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508B7BB4" w:rsidR="00DF4C8E" w:rsidRDefault="00DD466D" w:rsidP="00F44498">
      <w:pPr>
        <w:pStyle w:val="Heading1"/>
      </w:pPr>
      <w:r>
        <w:t>1.ИМЕ НА ЛЕКАРСТВЕНИЯ ПРОДУКТ</w:t>
      </w:r>
    </w:p>
    <w:p w14:paraId="1215956A" w14:textId="6111C1FF" w:rsidR="00AE3039" w:rsidRDefault="00AE3039" w:rsidP="00AE3039"/>
    <w:p w14:paraId="5B7B1161" w14:textId="77777777" w:rsidR="00AE3039" w:rsidRPr="00AE3039" w:rsidRDefault="00AE3039" w:rsidP="00AE3039">
      <w:pPr>
        <w:rPr>
          <w:sz w:val="24"/>
          <w:szCs w:val="24"/>
        </w:rPr>
      </w:pPr>
      <w:r w:rsidRPr="00AE3039">
        <w:rPr>
          <w:lang w:eastAsia="bg-BG"/>
        </w:rPr>
        <w:t xml:space="preserve">Фамултран 20 </w:t>
      </w:r>
      <w:r w:rsidRPr="00AE3039">
        <w:rPr>
          <w:lang w:val="en-US"/>
        </w:rPr>
        <w:t>mg</w:t>
      </w:r>
      <w:r w:rsidRPr="00AE3039">
        <w:t xml:space="preserve"> </w:t>
      </w:r>
      <w:r w:rsidRPr="00AE3039">
        <w:rPr>
          <w:lang w:eastAsia="bg-BG"/>
        </w:rPr>
        <w:t>филмирани таблетки</w:t>
      </w:r>
    </w:p>
    <w:p w14:paraId="1B56983F" w14:textId="77777777" w:rsidR="00AE3039" w:rsidRPr="00AE3039" w:rsidRDefault="00AE3039" w:rsidP="00AE3039">
      <w:pPr>
        <w:rPr>
          <w:sz w:val="24"/>
          <w:szCs w:val="24"/>
        </w:rPr>
      </w:pPr>
      <w:proofErr w:type="spellStart"/>
      <w:r w:rsidRPr="00AE3039">
        <w:rPr>
          <w:lang w:val="en-US"/>
        </w:rPr>
        <w:t>Famultran</w:t>
      </w:r>
      <w:proofErr w:type="spellEnd"/>
      <w:r w:rsidRPr="00AE3039">
        <w:t xml:space="preserve"> </w:t>
      </w:r>
      <w:r w:rsidRPr="00AE3039">
        <w:rPr>
          <w:lang w:eastAsia="bg-BG"/>
        </w:rPr>
        <w:t xml:space="preserve">20 </w:t>
      </w:r>
      <w:r w:rsidRPr="00AE3039">
        <w:rPr>
          <w:lang w:val="en-US"/>
        </w:rPr>
        <w:t>mg</w:t>
      </w:r>
      <w:r w:rsidRPr="00AE3039">
        <w:t xml:space="preserve"> </w:t>
      </w:r>
      <w:r w:rsidRPr="00AE3039">
        <w:rPr>
          <w:lang w:val="en-US"/>
        </w:rPr>
        <w:t>film</w:t>
      </w:r>
      <w:r w:rsidRPr="00AE3039">
        <w:t xml:space="preserve"> </w:t>
      </w:r>
      <w:r w:rsidRPr="00AE3039">
        <w:rPr>
          <w:lang w:val="en-US"/>
        </w:rPr>
        <w:t>coated</w:t>
      </w:r>
      <w:r w:rsidRPr="00AE3039">
        <w:t xml:space="preserve"> </w:t>
      </w:r>
      <w:r w:rsidRPr="00AE3039">
        <w:rPr>
          <w:lang w:val="en-US"/>
        </w:rPr>
        <w:t>tablets</w:t>
      </w:r>
    </w:p>
    <w:p w14:paraId="641B72D7" w14:textId="77777777" w:rsidR="00AE3039" w:rsidRPr="00AE3039" w:rsidRDefault="00AE3039" w:rsidP="00AE3039">
      <w:pPr>
        <w:rPr>
          <w:sz w:val="24"/>
          <w:szCs w:val="24"/>
        </w:rPr>
      </w:pPr>
      <w:r w:rsidRPr="00AE3039">
        <w:rPr>
          <w:lang w:eastAsia="bg-BG"/>
        </w:rPr>
        <w:t xml:space="preserve">Фамултран </w:t>
      </w:r>
      <w:r w:rsidRPr="00AE3039">
        <w:t xml:space="preserve">40 </w:t>
      </w:r>
      <w:r w:rsidRPr="00AE3039">
        <w:rPr>
          <w:lang w:val="en-US"/>
        </w:rPr>
        <w:t>mg</w:t>
      </w:r>
      <w:r w:rsidRPr="00AE3039">
        <w:t xml:space="preserve"> </w:t>
      </w:r>
      <w:r w:rsidRPr="00AE3039">
        <w:rPr>
          <w:lang w:eastAsia="bg-BG"/>
        </w:rPr>
        <w:t>филмирани таблетки</w:t>
      </w:r>
    </w:p>
    <w:p w14:paraId="0C1186AA" w14:textId="77777777" w:rsidR="00AE3039" w:rsidRPr="00AE3039" w:rsidRDefault="00AE3039" w:rsidP="00AE3039">
      <w:pPr>
        <w:rPr>
          <w:sz w:val="24"/>
          <w:szCs w:val="24"/>
        </w:rPr>
      </w:pPr>
      <w:proofErr w:type="spellStart"/>
      <w:r w:rsidRPr="00AE3039">
        <w:rPr>
          <w:lang w:val="en-US"/>
        </w:rPr>
        <w:t>Famultran</w:t>
      </w:r>
      <w:proofErr w:type="spellEnd"/>
      <w:r w:rsidRPr="00AE3039">
        <w:t xml:space="preserve"> 40 </w:t>
      </w:r>
      <w:r w:rsidRPr="00AE3039">
        <w:rPr>
          <w:lang w:val="en-US"/>
        </w:rPr>
        <w:t>mg</w:t>
      </w:r>
      <w:r w:rsidRPr="00AE3039">
        <w:t xml:space="preserve"> </w:t>
      </w:r>
      <w:r w:rsidRPr="00AE3039">
        <w:rPr>
          <w:lang w:val="en-US"/>
        </w:rPr>
        <w:t>film</w:t>
      </w:r>
      <w:r w:rsidRPr="00AE3039">
        <w:t xml:space="preserve"> </w:t>
      </w:r>
      <w:r w:rsidRPr="00AE3039">
        <w:rPr>
          <w:lang w:val="en-US"/>
        </w:rPr>
        <w:t>coated</w:t>
      </w:r>
      <w:r w:rsidRPr="00AE3039">
        <w:t xml:space="preserve"> </w:t>
      </w:r>
      <w:r w:rsidRPr="00AE3039">
        <w:rPr>
          <w:lang w:val="en-US"/>
        </w:rPr>
        <w:t>tablets</w:t>
      </w:r>
    </w:p>
    <w:p w14:paraId="014C4036" w14:textId="77777777" w:rsidR="00AE3039" w:rsidRPr="00AE3039" w:rsidRDefault="00AE3039" w:rsidP="00AE3039"/>
    <w:p w14:paraId="2BF7ACB1" w14:textId="1767D218" w:rsidR="00DF4C8E" w:rsidRDefault="00DD466D" w:rsidP="00F44498">
      <w:pPr>
        <w:pStyle w:val="Heading1"/>
      </w:pPr>
      <w:r>
        <w:t>2. КАЧЕСТВЕН И КОЛИЧЕСТВЕН СЪСТАВ</w:t>
      </w:r>
    </w:p>
    <w:p w14:paraId="04F3AE40" w14:textId="13708453" w:rsidR="00AE3039" w:rsidRDefault="00AE3039" w:rsidP="00AE3039"/>
    <w:p w14:paraId="1611F78B" w14:textId="77777777" w:rsidR="00AE3039" w:rsidRPr="00AE3039" w:rsidRDefault="00AE3039" w:rsidP="00AE3039">
      <w:pPr>
        <w:rPr>
          <w:sz w:val="24"/>
          <w:szCs w:val="24"/>
        </w:rPr>
      </w:pPr>
      <w:r w:rsidRPr="00AE3039">
        <w:rPr>
          <w:lang w:eastAsia="bg-BG"/>
        </w:rPr>
        <w:t>Активното вещество в една таблетка е фамотидин (</w:t>
      </w:r>
      <w:r w:rsidRPr="00AE3039">
        <w:rPr>
          <w:i/>
          <w:iCs/>
          <w:lang w:val="en-US"/>
        </w:rPr>
        <w:t>famotidine</w:t>
      </w:r>
      <w:r w:rsidRPr="00AE3039">
        <w:rPr>
          <w:i/>
          <w:iCs/>
          <w:lang w:val="ru-RU"/>
        </w:rPr>
        <w:t>)</w:t>
      </w:r>
      <w:r w:rsidRPr="00AE3039">
        <w:rPr>
          <w:lang w:val="ru-RU"/>
        </w:rPr>
        <w:t xml:space="preserve"> </w:t>
      </w:r>
      <w:r w:rsidRPr="00AE3039">
        <w:rPr>
          <w:lang w:eastAsia="bg-BG"/>
        </w:rPr>
        <w:t xml:space="preserve">20 </w:t>
      </w:r>
      <w:r w:rsidRPr="00AE3039">
        <w:rPr>
          <w:lang w:val="en-US"/>
        </w:rPr>
        <w:t>mg</w:t>
      </w:r>
      <w:r w:rsidRPr="00AE3039">
        <w:rPr>
          <w:lang w:val="ru-RU"/>
        </w:rPr>
        <w:t xml:space="preserve"> </w:t>
      </w:r>
      <w:r w:rsidRPr="00AE3039">
        <w:rPr>
          <w:lang w:eastAsia="bg-BG"/>
        </w:rPr>
        <w:t xml:space="preserve">или 40 </w:t>
      </w:r>
      <w:r w:rsidRPr="00AE3039">
        <w:rPr>
          <w:lang w:val="en-US"/>
        </w:rPr>
        <w:t>mg</w:t>
      </w:r>
      <w:r w:rsidRPr="00AE3039">
        <w:rPr>
          <w:lang w:val="ru-RU"/>
        </w:rPr>
        <w:t>.</w:t>
      </w:r>
    </w:p>
    <w:p w14:paraId="6768774B" w14:textId="77777777" w:rsidR="00AE3039" w:rsidRDefault="00AE3039" w:rsidP="00AE3039">
      <w:pPr>
        <w:rPr>
          <w:lang w:eastAsia="bg-BG"/>
        </w:rPr>
      </w:pPr>
    </w:p>
    <w:p w14:paraId="5E912B08" w14:textId="5494B173" w:rsidR="00AE3039" w:rsidRPr="00AE3039" w:rsidRDefault="00AE3039" w:rsidP="00AE3039">
      <w:r w:rsidRPr="00AE3039">
        <w:rPr>
          <w:lang w:eastAsia="bg-BG"/>
        </w:rPr>
        <w:t xml:space="preserve">Помощно вещество с известно действие: пшенично нишесте, лактоза монохидрат, </w:t>
      </w:r>
      <w:r w:rsidRPr="00AE3039">
        <w:rPr>
          <w:lang w:val="en-US"/>
        </w:rPr>
        <w:t>E</w:t>
      </w:r>
      <w:r w:rsidRPr="00AE3039">
        <w:rPr>
          <w:lang w:val="ru-RU"/>
        </w:rPr>
        <w:t>1</w:t>
      </w:r>
      <w:r w:rsidRPr="00AE3039">
        <w:rPr>
          <w:lang w:eastAsia="bg-BG"/>
        </w:rPr>
        <w:t>10.</w:t>
      </w:r>
    </w:p>
    <w:p w14:paraId="614984C4" w14:textId="2DB57561" w:rsidR="008A6AF2" w:rsidRDefault="00DD466D" w:rsidP="002C50EE">
      <w:pPr>
        <w:pStyle w:val="Heading1"/>
      </w:pPr>
      <w:r>
        <w:t>3. ЛЕКАРСТВЕНА ФОРМА</w:t>
      </w:r>
    </w:p>
    <w:p w14:paraId="2564CAC1" w14:textId="26C310A7" w:rsidR="00AE3039" w:rsidRDefault="00AE3039" w:rsidP="00AE3039"/>
    <w:p w14:paraId="6DBEDD98"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 xml:space="preserve">Фамултран 20 </w:t>
      </w:r>
      <w:r w:rsidRPr="00AE3039">
        <w:rPr>
          <w:rFonts w:eastAsia="Times New Roman" w:cs="Arial"/>
          <w:color w:val="000000"/>
          <w:u w:val="single"/>
          <w:lang w:val="en-US"/>
        </w:rPr>
        <w:t>mg</w:t>
      </w:r>
      <w:r w:rsidRPr="00AE3039">
        <w:rPr>
          <w:rFonts w:eastAsia="Times New Roman" w:cs="Arial"/>
          <w:color w:val="000000"/>
          <w:u w:val="single"/>
          <w:lang w:val="ru-RU"/>
        </w:rPr>
        <w:t xml:space="preserve"> </w:t>
      </w:r>
      <w:r w:rsidRPr="00AE3039">
        <w:rPr>
          <w:rFonts w:eastAsia="Times New Roman" w:cs="Arial"/>
          <w:color w:val="000000"/>
          <w:u w:val="single"/>
          <w:lang w:eastAsia="bg-BG"/>
        </w:rPr>
        <w:t>филмирани таблетки</w:t>
      </w:r>
    </w:p>
    <w:p w14:paraId="4E47EF61"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Светло оранжеви, кръгли, двойно-изпъкнали филмирани таблетки.</w:t>
      </w:r>
    </w:p>
    <w:p w14:paraId="06CAC98D" w14:textId="77777777" w:rsidR="00AE3039" w:rsidRPr="00AE3039" w:rsidRDefault="00AE3039" w:rsidP="00AE3039">
      <w:pPr>
        <w:spacing w:line="240" w:lineRule="auto"/>
        <w:rPr>
          <w:rFonts w:eastAsia="Times New Roman" w:cs="Arial"/>
          <w:color w:val="000000"/>
          <w:u w:val="single"/>
          <w:lang w:eastAsia="bg-BG"/>
        </w:rPr>
      </w:pPr>
    </w:p>
    <w:p w14:paraId="38B72A17" w14:textId="71849811"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 xml:space="preserve">Фамултран 40 </w:t>
      </w:r>
      <w:r w:rsidRPr="00AE3039">
        <w:rPr>
          <w:rFonts w:eastAsia="Times New Roman" w:cs="Arial"/>
          <w:color w:val="000000"/>
          <w:u w:val="single"/>
          <w:lang w:val="en-US"/>
        </w:rPr>
        <w:t>mg</w:t>
      </w:r>
      <w:r w:rsidRPr="00AE3039">
        <w:rPr>
          <w:rFonts w:eastAsia="Times New Roman" w:cs="Arial"/>
          <w:color w:val="000000"/>
          <w:u w:val="single"/>
          <w:lang w:val="ru-RU"/>
        </w:rPr>
        <w:t xml:space="preserve"> </w:t>
      </w:r>
      <w:r w:rsidRPr="00AE3039">
        <w:rPr>
          <w:rFonts w:eastAsia="Times New Roman" w:cs="Arial"/>
          <w:color w:val="000000"/>
          <w:u w:val="single"/>
          <w:lang w:eastAsia="bg-BG"/>
        </w:rPr>
        <w:t>филмирани таблетки</w:t>
      </w:r>
    </w:p>
    <w:p w14:paraId="65D683A1"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Оранжеви, кръгли, двойно-изпъкнали филмирани таблетки.</w:t>
      </w:r>
    </w:p>
    <w:p w14:paraId="24629589" w14:textId="77777777" w:rsidR="00AE3039" w:rsidRPr="00AE3039" w:rsidRDefault="00AE3039" w:rsidP="00AE3039"/>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22907BF2" w14:textId="77777777" w:rsidR="00AE3039" w:rsidRDefault="00AE3039" w:rsidP="00AE3039">
      <w:pPr>
        <w:spacing w:line="240" w:lineRule="auto"/>
        <w:rPr>
          <w:rFonts w:cs="Arial"/>
          <w:sz w:val="24"/>
        </w:rPr>
      </w:pPr>
    </w:p>
    <w:p w14:paraId="7CA693E8" w14:textId="77777777" w:rsidR="00AE3039" w:rsidRDefault="00AE3039" w:rsidP="00AE3039">
      <w:pPr>
        <w:pStyle w:val="ListParagraph"/>
        <w:numPr>
          <w:ilvl w:val="0"/>
          <w:numId w:val="34"/>
        </w:numPr>
        <w:spacing w:line="240" w:lineRule="auto"/>
        <w:rPr>
          <w:rFonts w:eastAsia="Times New Roman" w:cs="Arial"/>
          <w:color w:val="000000"/>
          <w:lang w:eastAsia="bg-BG"/>
        </w:rPr>
      </w:pPr>
      <w:r w:rsidRPr="00AE3039">
        <w:rPr>
          <w:rFonts w:eastAsia="Times New Roman" w:cs="Arial"/>
          <w:color w:val="000000"/>
          <w:lang w:eastAsia="bg-BG"/>
        </w:rPr>
        <w:t>Лечение на язва на дванадесетопръстника и профилактика на рецидиви;</w:t>
      </w:r>
    </w:p>
    <w:p w14:paraId="440FBC9B" w14:textId="77777777" w:rsidR="00AE3039" w:rsidRDefault="00AE3039" w:rsidP="00AE3039">
      <w:pPr>
        <w:pStyle w:val="ListParagraph"/>
        <w:numPr>
          <w:ilvl w:val="0"/>
          <w:numId w:val="34"/>
        </w:numPr>
        <w:spacing w:line="240" w:lineRule="auto"/>
        <w:rPr>
          <w:rFonts w:eastAsia="Times New Roman" w:cs="Arial"/>
          <w:color w:val="000000"/>
          <w:lang w:eastAsia="bg-BG"/>
        </w:rPr>
      </w:pPr>
      <w:r w:rsidRPr="00AE3039">
        <w:rPr>
          <w:rFonts w:eastAsia="Times New Roman" w:cs="Arial"/>
          <w:color w:val="000000"/>
          <w:lang w:eastAsia="bg-BG"/>
        </w:rPr>
        <w:t>Лечение на доброкачествена язва на стомаха;</w:t>
      </w:r>
    </w:p>
    <w:p w14:paraId="35AC7EA9" w14:textId="77777777" w:rsidR="00AE3039" w:rsidRDefault="00AE3039" w:rsidP="00AE3039">
      <w:pPr>
        <w:pStyle w:val="ListParagraph"/>
        <w:numPr>
          <w:ilvl w:val="0"/>
          <w:numId w:val="34"/>
        </w:numPr>
        <w:spacing w:line="240" w:lineRule="auto"/>
        <w:rPr>
          <w:rFonts w:eastAsia="Times New Roman" w:cs="Arial"/>
          <w:color w:val="000000"/>
          <w:lang w:eastAsia="bg-BG"/>
        </w:rPr>
      </w:pPr>
      <w:r w:rsidRPr="00AE3039">
        <w:rPr>
          <w:rFonts w:eastAsia="Times New Roman" w:cs="Arial"/>
          <w:color w:val="000000"/>
          <w:lang w:eastAsia="bg-BG"/>
        </w:rPr>
        <w:t>Лечение на ГЕРБ и профилактика на рецидив на симптомите, ерозиите и улцерациите, свързани с ГЕРБ;</w:t>
      </w:r>
    </w:p>
    <w:p w14:paraId="1653B78C" w14:textId="333FE7CD" w:rsidR="00AE3039" w:rsidRPr="00AE3039" w:rsidRDefault="00AE3039" w:rsidP="00AE3039">
      <w:pPr>
        <w:pStyle w:val="ListParagraph"/>
        <w:numPr>
          <w:ilvl w:val="0"/>
          <w:numId w:val="34"/>
        </w:numPr>
        <w:spacing w:line="240" w:lineRule="auto"/>
        <w:rPr>
          <w:rFonts w:eastAsia="Times New Roman" w:cs="Arial"/>
          <w:color w:val="000000"/>
          <w:lang w:eastAsia="bg-BG"/>
        </w:rPr>
      </w:pPr>
      <w:r w:rsidRPr="00AE3039">
        <w:rPr>
          <w:rFonts w:eastAsia="Times New Roman" w:cs="Arial"/>
          <w:color w:val="000000"/>
          <w:lang w:eastAsia="bg-BG"/>
        </w:rPr>
        <w:t xml:space="preserve">Лечение на патологични хиперсекреторни състояния, вкл. синдром на </w:t>
      </w:r>
      <w:proofErr w:type="spellStart"/>
      <w:r w:rsidRPr="00AE3039">
        <w:rPr>
          <w:rFonts w:eastAsia="Times New Roman" w:cs="Arial"/>
          <w:color w:val="000000"/>
          <w:lang w:val="en-US"/>
        </w:rPr>
        <w:t>Zollinger</w:t>
      </w:r>
      <w:proofErr w:type="spellEnd"/>
      <w:r w:rsidRPr="00AE3039">
        <w:rPr>
          <w:rFonts w:eastAsia="Times New Roman" w:cs="Arial"/>
          <w:color w:val="000000"/>
          <w:lang w:val="ru-RU"/>
        </w:rPr>
        <w:t xml:space="preserve">- </w:t>
      </w:r>
      <w:r w:rsidRPr="00AE3039">
        <w:rPr>
          <w:rFonts w:eastAsia="Times New Roman" w:cs="Arial"/>
          <w:color w:val="000000"/>
          <w:lang w:val="en-US"/>
        </w:rPr>
        <w:t>Ellison</w:t>
      </w:r>
      <w:r w:rsidRPr="00AE3039">
        <w:rPr>
          <w:rFonts w:eastAsia="Times New Roman" w:cs="Arial"/>
          <w:color w:val="000000"/>
          <w:lang w:val="ru-RU"/>
        </w:rPr>
        <w:t>.</w:t>
      </w:r>
    </w:p>
    <w:p w14:paraId="21E0F1A8" w14:textId="4DA36C62" w:rsidR="00AE3039" w:rsidRPr="00AE3039" w:rsidRDefault="00AE3039" w:rsidP="00AE3039">
      <w:pPr>
        <w:rPr>
          <w:rFonts w:cs="Arial"/>
          <w:sz w:val="24"/>
          <w:lang w:val="ru-RU"/>
        </w:rPr>
      </w:pPr>
    </w:p>
    <w:p w14:paraId="778B4979" w14:textId="3583F568" w:rsidR="00DF4C8E" w:rsidRDefault="002C50EE" w:rsidP="00F44498">
      <w:pPr>
        <w:pStyle w:val="Heading2"/>
      </w:pPr>
      <w:r>
        <w:t>4.2. Дозировка и начин на приложение</w:t>
      </w:r>
    </w:p>
    <w:p w14:paraId="226A72B8" w14:textId="1181C7D7" w:rsidR="00AE3039" w:rsidRDefault="00AE3039" w:rsidP="00AE3039"/>
    <w:p w14:paraId="65447E69"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Язва на дванадесетопръстника</w:t>
      </w:r>
    </w:p>
    <w:p w14:paraId="0FB25D30"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Препоръчваната доза е 40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еднократно дневно, вечер преди лягане. Продължителност на лечението - 4-8 седмици. При повечето пациенти очакваният ефект се постига след 4 седмично лечение; продължаване на лечението за още 4 седмици се препоръчва при</w:t>
      </w:r>
      <w:r w:rsidRPr="00AE3039">
        <w:rPr>
          <w:rFonts w:eastAsia="Times New Roman" w:cs="Arial"/>
          <w:color w:val="000000"/>
          <w:u w:val="single"/>
          <w:lang w:eastAsia="bg-BG"/>
        </w:rPr>
        <w:t xml:space="preserve"> </w:t>
      </w:r>
      <w:r w:rsidRPr="00AE3039">
        <w:rPr>
          <w:rFonts w:eastAsia="Times New Roman" w:cs="Arial"/>
          <w:color w:val="000000"/>
          <w:lang w:eastAsia="bg-BG"/>
        </w:rPr>
        <w:t>пациентите, при които язвата не е епителизирала напълно за този срок.</w:t>
      </w:r>
    </w:p>
    <w:p w14:paraId="3ADC4D96" w14:textId="452D181B" w:rsidR="00AE3039" w:rsidRDefault="00AE3039" w:rsidP="00AE3039"/>
    <w:p w14:paraId="74868510"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Поддържаща терапия с цел профилактика на рецидиви - 20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еднократно вечер в часовете преди сън.</w:t>
      </w:r>
    </w:p>
    <w:p w14:paraId="67AB9EBC" w14:textId="77777777" w:rsidR="00AE3039" w:rsidRDefault="00AE3039" w:rsidP="00AE3039">
      <w:pPr>
        <w:spacing w:line="240" w:lineRule="auto"/>
        <w:rPr>
          <w:rFonts w:eastAsia="Times New Roman" w:cs="Arial"/>
          <w:color w:val="000000"/>
          <w:u w:val="single"/>
          <w:lang w:eastAsia="bg-BG"/>
        </w:rPr>
      </w:pPr>
    </w:p>
    <w:p w14:paraId="3DF5901A"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Доброкачествена язва на стомаха</w:t>
      </w:r>
    </w:p>
    <w:p w14:paraId="10A60E50" w14:textId="77777777" w:rsidR="00AE3039" w:rsidRDefault="00AE3039" w:rsidP="00AE3039">
      <w:pPr>
        <w:spacing w:line="240" w:lineRule="auto"/>
        <w:rPr>
          <w:rFonts w:eastAsia="Times New Roman" w:cs="Arial"/>
          <w:color w:val="000000"/>
          <w:lang w:eastAsia="bg-BG"/>
        </w:rPr>
      </w:pPr>
      <w:r w:rsidRPr="00AE3039">
        <w:rPr>
          <w:rFonts w:eastAsia="Times New Roman" w:cs="Arial"/>
          <w:color w:val="000000"/>
          <w:lang w:eastAsia="bg-BG"/>
        </w:rPr>
        <w:t xml:space="preserve">Препоръчваната лечебна доза е 40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 xml:space="preserve">еднократно, вечер преди лягане. Препоръчвана продължителност на лечението - 4-8 седмици, ако по-рано ендоскопски не се установи </w:t>
      </w:r>
    </w:p>
    <w:p w14:paraId="4D7FD6DF"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оздравяване на язвата.</w:t>
      </w:r>
    </w:p>
    <w:p w14:paraId="3C63119D" w14:textId="77777777" w:rsidR="00AE3039" w:rsidRDefault="00AE3039" w:rsidP="00AE3039">
      <w:pPr>
        <w:spacing w:line="240" w:lineRule="auto"/>
        <w:rPr>
          <w:rFonts w:eastAsia="Times New Roman" w:cs="Arial"/>
          <w:color w:val="000000"/>
          <w:u w:val="single"/>
          <w:lang w:eastAsia="bg-BG"/>
        </w:rPr>
      </w:pPr>
    </w:p>
    <w:p w14:paraId="3FA77D64"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ГЕРБ</w:t>
      </w:r>
    </w:p>
    <w:p w14:paraId="17823880"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Препоръчваната доза е 20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 xml:space="preserve">двукратно дневно; продължителността на лечението е 6-12 седмици. В случаите, когато ГЕРБ е свързана с наличие на езофагеални ерозии и улцерации, препоръчваната доза е 40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двукратно дневно, която може да бъде прилагана в продължение на 6-12 седмици.</w:t>
      </w:r>
    </w:p>
    <w:p w14:paraId="79BE51CD"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Поддържаща терапия с цел профилактика на рецидиви на симптомите и ерозиите или улцерациите - препоръчвана доза 20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двукратно дневно.</w:t>
      </w:r>
    </w:p>
    <w:p w14:paraId="1555145F" w14:textId="77777777" w:rsidR="00AE3039" w:rsidRDefault="00AE3039" w:rsidP="00AE3039">
      <w:pPr>
        <w:spacing w:line="240" w:lineRule="auto"/>
        <w:rPr>
          <w:rFonts w:eastAsia="Times New Roman" w:cs="Arial"/>
          <w:color w:val="000000"/>
          <w:u w:val="single"/>
          <w:lang w:eastAsia="bg-BG"/>
        </w:rPr>
      </w:pPr>
    </w:p>
    <w:p w14:paraId="7BFB2D64"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 xml:space="preserve">Синдром на </w:t>
      </w:r>
      <w:proofErr w:type="spellStart"/>
      <w:r w:rsidRPr="00AE3039">
        <w:rPr>
          <w:rFonts w:eastAsia="Times New Roman" w:cs="Arial"/>
          <w:color w:val="000000"/>
          <w:u w:val="single"/>
          <w:lang w:val="en-US"/>
        </w:rPr>
        <w:t>Zollinger</w:t>
      </w:r>
      <w:proofErr w:type="spellEnd"/>
      <w:r w:rsidRPr="00AE3039">
        <w:rPr>
          <w:rFonts w:eastAsia="Times New Roman" w:cs="Arial"/>
          <w:color w:val="000000"/>
          <w:u w:val="single"/>
          <w:lang w:val="ru-RU"/>
        </w:rPr>
        <w:t xml:space="preserve">- </w:t>
      </w:r>
      <w:r w:rsidRPr="00AE3039">
        <w:rPr>
          <w:rFonts w:eastAsia="Times New Roman" w:cs="Arial"/>
          <w:color w:val="000000"/>
          <w:u w:val="single"/>
          <w:lang w:val="en-US"/>
        </w:rPr>
        <w:t>Ellison</w:t>
      </w:r>
    </w:p>
    <w:p w14:paraId="6E094DF6"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Препоръчвана начална доза - 20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 xml:space="preserve">на всеки 6 часа при пациенти без предшестваща антисекреторна терапия; след оценка на терапевтичния ефект и в зависимост от състоянието на пациента дозата трябва бъде индивидуализирана. При пациенти, които приемат друг Н2-антагонист, веднага може да бъде приложена доза по-висока от 20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на всеки 6 часа. Началната доза в тези случаи зависи от тежестта на състоянието и последната използвана доза Н2-антагонист.</w:t>
      </w:r>
    </w:p>
    <w:p w14:paraId="7600C149" w14:textId="77777777" w:rsidR="00AE3039" w:rsidRDefault="00AE3039" w:rsidP="00AE3039">
      <w:pPr>
        <w:spacing w:line="240" w:lineRule="auto"/>
        <w:rPr>
          <w:rFonts w:eastAsia="Times New Roman" w:cs="Arial"/>
          <w:color w:val="000000"/>
          <w:u w:val="single"/>
          <w:lang w:eastAsia="bg-BG"/>
        </w:rPr>
      </w:pPr>
    </w:p>
    <w:p w14:paraId="16041584"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Специални популации</w:t>
      </w:r>
    </w:p>
    <w:p w14:paraId="35BA3681" w14:textId="77777777" w:rsidR="00AE3039" w:rsidRDefault="00AE3039" w:rsidP="00AE3039">
      <w:pPr>
        <w:spacing w:line="240" w:lineRule="auto"/>
        <w:rPr>
          <w:rFonts w:eastAsia="Times New Roman" w:cs="Arial"/>
          <w:color w:val="000000"/>
          <w:lang w:val="ru-RU"/>
        </w:rPr>
      </w:pPr>
      <w:r w:rsidRPr="00AE3039">
        <w:rPr>
          <w:rFonts w:eastAsia="Times New Roman" w:cs="Arial"/>
          <w:i/>
          <w:iCs/>
          <w:color w:val="000000"/>
          <w:lang w:eastAsia="bg-BG"/>
        </w:rPr>
        <w:t>Пациенти с увредена бъбречна функция -</w:t>
      </w:r>
      <w:r w:rsidRPr="00AE3039">
        <w:rPr>
          <w:rFonts w:eastAsia="Times New Roman" w:cs="Arial"/>
          <w:color w:val="000000"/>
          <w:lang w:eastAsia="bg-BG"/>
        </w:rPr>
        <w:t xml:space="preserve"> фамотидин се екскретира основно през бъбреците, поради което елиминирането му от организма може да бъде нарушено при пациенти с тежки бъбречни увреждания. При креатининов клирънс &lt;30 </w:t>
      </w:r>
      <w:r w:rsidRPr="00AE3039">
        <w:rPr>
          <w:rFonts w:eastAsia="Times New Roman" w:cs="Arial"/>
          <w:color w:val="000000"/>
          <w:lang w:val="en-US"/>
        </w:rPr>
        <w:t>ml</w:t>
      </w:r>
      <w:r w:rsidRPr="00AE3039">
        <w:rPr>
          <w:rFonts w:eastAsia="Times New Roman" w:cs="Arial"/>
          <w:color w:val="000000"/>
          <w:lang w:val="ru-RU"/>
        </w:rPr>
        <w:t>/</w:t>
      </w:r>
      <w:r w:rsidRPr="00AE3039">
        <w:rPr>
          <w:rFonts w:eastAsia="Times New Roman" w:cs="Arial"/>
          <w:color w:val="000000"/>
          <w:lang w:val="en-US"/>
        </w:rPr>
        <w:t>min</w:t>
      </w:r>
      <w:r w:rsidRPr="00AE3039">
        <w:rPr>
          <w:rFonts w:eastAsia="Times New Roman" w:cs="Arial"/>
          <w:color w:val="000000"/>
          <w:lang w:val="ru-RU"/>
        </w:rPr>
        <w:t xml:space="preserve"> </w:t>
      </w:r>
      <w:r w:rsidRPr="00AE3039">
        <w:rPr>
          <w:rFonts w:eastAsia="Times New Roman" w:cs="Arial"/>
          <w:color w:val="000000"/>
          <w:lang w:eastAsia="bg-BG"/>
        </w:rPr>
        <w:t xml:space="preserve">и стойности на серумния креатинин &gt;3 </w:t>
      </w:r>
      <w:r w:rsidRPr="00AE3039">
        <w:rPr>
          <w:rFonts w:eastAsia="Times New Roman" w:cs="Arial"/>
          <w:color w:val="000000"/>
          <w:lang w:val="en-US"/>
        </w:rPr>
        <w:t>mg</w:t>
      </w:r>
      <w:r w:rsidRPr="00AE3039">
        <w:rPr>
          <w:rFonts w:eastAsia="Times New Roman" w:cs="Arial"/>
          <w:color w:val="000000"/>
          <w:lang w:val="ru-RU"/>
        </w:rPr>
        <w:t xml:space="preserve">/100 </w:t>
      </w:r>
      <w:r w:rsidRPr="00AE3039">
        <w:rPr>
          <w:rFonts w:eastAsia="Times New Roman" w:cs="Arial"/>
          <w:color w:val="000000"/>
          <w:lang w:val="en-US"/>
        </w:rPr>
        <w:t>ml</w:t>
      </w:r>
      <w:r w:rsidRPr="00AE3039">
        <w:rPr>
          <w:rFonts w:eastAsia="Times New Roman" w:cs="Arial"/>
          <w:color w:val="000000"/>
          <w:lang w:val="ru-RU"/>
        </w:rPr>
        <w:t xml:space="preserve"> </w:t>
      </w:r>
      <w:r w:rsidRPr="00AE3039">
        <w:rPr>
          <w:rFonts w:eastAsia="Times New Roman" w:cs="Arial"/>
          <w:color w:val="000000"/>
          <w:lang w:eastAsia="bg-BG"/>
        </w:rPr>
        <w:t xml:space="preserve">дневната доза трябва да бъде понижена на 20 </w:t>
      </w:r>
      <w:r w:rsidRPr="00AE3039">
        <w:rPr>
          <w:rFonts w:eastAsia="Times New Roman" w:cs="Arial"/>
          <w:color w:val="000000"/>
          <w:lang w:val="en-US"/>
        </w:rPr>
        <w:t>mg</w:t>
      </w:r>
      <w:r w:rsidRPr="00AE3039">
        <w:rPr>
          <w:rFonts w:eastAsia="Times New Roman" w:cs="Arial"/>
          <w:color w:val="000000"/>
          <w:lang w:val="ru-RU"/>
        </w:rPr>
        <w:t xml:space="preserve"> </w:t>
      </w:r>
    </w:p>
    <w:p w14:paraId="43C9CCA1"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или интервалът между отделните дози да бъде удължен на 36-48 часа.</w:t>
      </w:r>
    </w:p>
    <w:p w14:paraId="2FBC0731" w14:textId="77777777" w:rsidR="00AE3039" w:rsidRDefault="00AE3039" w:rsidP="00AE3039">
      <w:pPr>
        <w:spacing w:line="240" w:lineRule="auto"/>
        <w:rPr>
          <w:rFonts w:eastAsia="Times New Roman" w:cs="Arial"/>
          <w:i/>
          <w:iCs/>
          <w:color w:val="000000"/>
          <w:lang w:eastAsia="bg-BG"/>
        </w:rPr>
      </w:pPr>
    </w:p>
    <w:p w14:paraId="5B6CC04F"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Пациенти в старческа възраст</w:t>
      </w:r>
      <w:r w:rsidRPr="00AE3039">
        <w:rPr>
          <w:rFonts w:eastAsia="Times New Roman" w:cs="Arial"/>
          <w:color w:val="000000"/>
          <w:lang w:eastAsia="bg-BG"/>
        </w:rPr>
        <w:t xml:space="preserve"> — не е необходима корекция на дозата за всички показания.</w:t>
      </w:r>
    </w:p>
    <w:p w14:paraId="761A8AE9" w14:textId="77777777" w:rsidR="00AE3039" w:rsidRDefault="00AE3039" w:rsidP="00AE3039">
      <w:pPr>
        <w:rPr>
          <w:rFonts w:eastAsia="Times New Roman" w:cs="Arial"/>
          <w:i/>
          <w:iCs/>
          <w:color w:val="000000"/>
          <w:lang w:eastAsia="bg-BG"/>
        </w:rPr>
      </w:pPr>
    </w:p>
    <w:p w14:paraId="73500247" w14:textId="77777777" w:rsidR="00AE3039" w:rsidRPr="00AE3039" w:rsidRDefault="00AE3039" w:rsidP="00AE3039">
      <w:pPr>
        <w:rPr>
          <w:rFonts w:eastAsia="Times New Roman" w:cs="Arial"/>
          <w:color w:val="000000"/>
          <w:lang w:eastAsia="bg-BG"/>
        </w:rPr>
      </w:pPr>
      <w:r w:rsidRPr="00AE3039">
        <w:rPr>
          <w:rFonts w:eastAsia="Times New Roman" w:cs="Arial"/>
          <w:i/>
          <w:iCs/>
          <w:color w:val="000000"/>
          <w:lang w:eastAsia="bg-BG"/>
        </w:rPr>
        <w:t>Деца -</w:t>
      </w:r>
      <w:r w:rsidRPr="00AE3039">
        <w:rPr>
          <w:rFonts w:eastAsia="Times New Roman" w:cs="Arial"/>
          <w:color w:val="000000"/>
          <w:lang w:eastAsia="bg-BG"/>
        </w:rPr>
        <w:t xml:space="preserve"> безопасността и ефективността при деца не са установени.</w:t>
      </w:r>
    </w:p>
    <w:p w14:paraId="6E0297CD" w14:textId="77777777" w:rsidR="00AE3039" w:rsidRPr="00AE3039" w:rsidRDefault="00AE3039" w:rsidP="00AE3039"/>
    <w:p w14:paraId="6A85390E" w14:textId="68B45BCD" w:rsidR="00DF4C8E" w:rsidRDefault="002C50EE" w:rsidP="00F44498">
      <w:pPr>
        <w:pStyle w:val="Heading2"/>
      </w:pPr>
      <w:r>
        <w:t>4.3. Противопоказания</w:t>
      </w:r>
    </w:p>
    <w:p w14:paraId="27C28621" w14:textId="77777777" w:rsidR="00AE3039" w:rsidRDefault="00AE3039" w:rsidP="00AE3039">
      <w:pPr>
        <w:spacing w:line="240" w:lineRule="auto"/>
        <w:rPr>
          <w:rFonts w:eastAsia="Times New Roman" w:cs="Arial"/>
          <w:color w:val="000000"/>
          <w:lang w:eastAsia="bg-BG"/>
        </w:rPr>
      </w:pPr>
    </w:p>
    <w:p w14:paraId="0F4F457D" w14:textId="6F298AE6" w:rsidR="00AE3039" w:rsidRPr="00AE3039" w:rsidRDefault="00AE3039" w:rsidP="00AE3039">
      <w:pPr>
        <w:spacing w:line="240" w:lineRule="auto"/>
        <w:rPr>
          <w:rFonts w:eastAsia="Times New Roman" w:cs="Arial"/>
        </w:rPr>
      </w:pPr>
      <w:r w:rsidRPr="00AE3039">
        <w:rPr>
          <w:rFonts w:eastAsia="Times New Roman" w:cs="Arial"/>
          <w:color w:val="000000"/>
          <w:lang w:eastAsia="bg-BG"/>
        </w:rPr>
        <w:t>Свръхчувствителност към активното вещество или към някое от помощните вещества, изброени в точка 6.1. При този клас съединения е наблюдавана кръстосана чувствителност, поради което фамотидин не трябва да се прилага на пациенти с анамнеза за свръхчувствителност към други Н</w:t>
      </w:r>
      <w:r w:rsidRPr="00AE3039">
        <w:rPr>
          <w:rFonts w:eastAsia="Times New Roman" w:cs="Arial"/>
          <w:color w:val="000000"/>
          <w:vertAlign w:val="subscript"/>
          <w:lang w:eastAsia="bg-BG"/>
        </w:rPr>
        <w:t>2</w:t>
      </w:r>
      <w:r w:rsidRPr="00AE3039">
        <w:rPr>
          <w:rFonts w:eastAsia="Times New Roman" w:cs="Arial"/>
          <w:color w:val="000000"/>
          <w:lang w:eastAsia="bg-BG"/>
        </w:rPr>
        <w:t>- рецепторни антагонисти.</w:t>
      </w:r>
    </w:p>
    <w:p w14:paraId="6A32C653" w14:textId="38EF4BD9" w:rsidR="00AE3039" w:rsidRDefault="00AE3039" w:rsidP="00AE3039"/>
    <w:p w14:paraId="218BA891" w14:textId="05CE885D" w:rsidR="00AE3039" w:rsidRPr="00AE3039" w:rsidRDefault="00AE3039" w:rsidP="00AE3039"/>
    <w:p w14:paraId="115C9528" w14:textId="2510DA05" w:rsidR="00DF4C8E" w:rsidRDefault="002C50EE" w:rsidP="00F44498">
      <w:pPr>
        <w:pStyle w:val="Heading2"/>
      </w:pPr>
      <w:r>
        <w:t>4.4. Специални предупреждения и предпазни мерки при употреба</w:t>
      </w:r>
    </w:p>
    <w:p w14:paraId="1288C54A" w14:textId="240568B3" w:rsidR="00AE3039" w:rsidRDefault="00AE3039" w:rsidP="00AE3039"/>
    <w:p w14:paraId="42A2D9D1"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Стомашни неоплазми</w:t>
      </w:r>
    </w:p>
    <w:p w14:paraId="69199FED" w14:textId="7972EA59" w:rsidR="00AE3039" w:rsidRPr="00AE3039" w:rsidRDefault="00AE3039" w:rsidP="00AE3039">
      <w:pPr>
        <w:rPr>
          <w:rFonts w:eastAsia="Times New Roman" w:cs="Arial"/>
          <w:color w:val="000000"/>
          <w:lang w:eastAsia="bg-BG"/>
        </w:rPr>
      </w:pPr>
      <w:r w:rsidRPr="00AE3039">
        <w:rPr>
          <w:rFonts w:eastAsia="Times New Roman" w:cs="Arial"/>
          <w:color w:val="000000"/>
          <w:lang w:eastAsia="bg-BG"/>
        </w:rPr>
        <w:t>Преди да се започване лечение на стомашни язви с фамотидин трябва да се изключи малигнено заболяване на стомаха. Симптоматичният отговор към лечението при язва на стомаха не изключва наличието на злокачествено заболяване.</w:t>
      </w:r>
    </w:p>
    <w:p w14:paraId="48955E61" w14:textId="2552876E" w:rsidR="00AE3039" w:rsidRPr="00AE3039" w:rsidRDefault="00AE3039" w:rsidP="00AE3039">
      <w:pPr>
        <w:rPr>
          <w:rFonts w:eastAsia="Times New Roman" w:cs="Arial"/>
          <w:color w:val="000000"/>
          <w:lang w:eastAsia="bg-BG"/>
        </w:rPr>
      </w:pPr>
    </w:p>
    <w:p w14:paraId="0528769F" w14:textId="77777777"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lastRenderedPageBreak/>
        <w:t>Бъбречна дисфункция</w:t>
      </w:r>
    </w:p>
    <w:p w14:paraId="7C5B77E4"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При пациенти с удвредена бъбречна функция е необходимо повишено внимание, тъй като фамотидин се екскретира основно през бъбреците. При спадане на клирънса на креатинина под 10 </w:t>
      </w:r>
      <w:r w:rsidRPr="00AE3039">
        <w:rPr>
          <w:rFonts w:eastAsia="Times New Roman" w:cs="Arial"/>
          <w:color w:val="000000"/>
          <w:lang w:val="en-US"/>
        </w:rPr>
        <w:t>ml</w:t>
      </w:r>
      <w:r w:rsidRPr="00AE3039">
        <w:rPr>
          <w:rFonts w:eastAsia="Times New Roman" w:cs="Arial"/>
          <w:color w:val="000000"/>
          <w:lang w:val="ru-RU"/>
        </w:rPr>
        <w:t>/</w:t>
      </w:r>
      <w:r w:rsidRPr="00AE3039">
        <w:rPr>
          <w:rFonts w:eastAsia="Times New Roman" w:cs="Arial"/>
          <w:color w:val="000000"/>
          <w:lang w:val="en-US"/>
        </w:rPr>
        <w:t>min</w:t>
      </w:r>
      <w:r w:rsidRPr="00AE3039">
        <w:rPr>
          <w:rFonts w:eastAsia="Times New Roman" w:cs="Arial"/>
          <w:color w:val="000000"/>
          <w:lang w:val="ru-RU"/>
        </w:rPr>
        <w:t xml:space="preserve"> </w:t>
      </w:r>
      <w:r w:rsidRPr="00AE3039">
        <w:rPr>
          <w:rFonts w:eastAsia="Times New Roman" w:cs="Arial"/>
          <w:color w:val="000000"/>
          <w:lang w:eastAsia="bg-BG"/>
        </w:rPr>
        <w:t>дневната доза трябва да се редуцира (виж точка 4.2).</w:t>
      </w:r>
    </w:p>
    <w:p w14:paraId="5EC54E43" w14:textId="77777777" w:rsidR="00AE3039" w:rsidRDefault="00AE3039" w:rsidP="00AE3039">
      <w:pPr>
        <w:spacing w:line="240" w:lineRule="auto"/>
        <w:rPr>
          <w:rFonts w:eastAsia="Times New Roman" w:cs="Arial"/>
          <w:color w:val="000000"/>
          <w:u w:val="single"/>
          <w:lang w:eastAsia="bg-BG"/>
        </w:rPr>
      </w:pPr>
    </w:p>
    <w:p w14:paraId="5C1366A1" w14:textId="374B4C92"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Педиатрична употреба</w:t>
      </w:r>
    </w:p>
    <w:p w14:paraId="6F55119E"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При деца не са установени безопасността и ефикасността.</w:t>
      </w:r>
    </w:p>
    <w:p w14:paraId="1D274F1C" w14:textId="77777777" w:rsidR="00AE3039" w:rsidRDefault="00AE3039" w:rsidP="00AE3039">
      <w:pPr>
        <w:spacing w:line="240" w:lineRule="auto"/>
        <w:rPr>
          <w:rFonts w:eastAsia="Times New Roman" w:cs="Arial"/>
          <w:color w:val="000000"/>
          <w:u w:val="single"/>
          <w:lang w:eastAsia="bg-BG"/>
        </w:rPr>
      </w:pPr>
    </w:p>
    <w:p w14:paraId="2D91C027" w14:textId="52583648"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Употреба при пациенти в старческа възраст</w:t>
      </w:r>
    </w:p>
    <w:p w14:paraId="4B85656B"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В клинични проучвания след приложение на фамотидин при пациенти в старческа възраст не се наблюдава повишена честота или промяна на вида на лекарствено-свързаните нежелани лекарствени реакции. Не се налага корекция на дозировката въз основа само на възрастта.</w:t>
      </w:r>
    </w:p>
    <w:p w14:paraId="4FC403F4" w14:textId="77777777" w:rsidR="00AE3039" w:rsidRDefault="00AE3039" w:rsidP="00AE3039">
      <w:pPr>
        <w:spacing w:line="240" w:lineRule="auto"/>
        <w:rPr>
          <w:rFonts w:eastAsia="Times New Roman" w:cs="Arial"/>
          <w:color w:val="000000"/>
          <w:u w:val="single"/>
          <w:lang w:eastAsia="bg-BG"/>
        </w:rPr>
      </w:pPr>
    </w:p>
    <w:p w14:paraId="57909E20" w14:textId="0812AEAE"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Общи предупреждения</w:t>
      </w:r>
    </w:p>
    <w:p w14:paraId="620F0CD0"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При продължително лечение с високи дози се препоръчва мониториране на кръвната картина и чернодробната функция.</w:t>
      </w:r>
    </w:p>
    <w:p w14:paraId="766B6392"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При съществуваща от дълго време язва след отзвучаване на симптомите лечението не трябва да се прекратява внезапно.</w:t>
      </w:r>
    </w:p>
    <w:p w14:paraId="68420274" w14:textId="77777777" w:rsidR="00AE3039" w:rsidRDefault="00AE3039" w:rsidP="00AE3039">
      <w:pPr>
        <w:spacing w:line="240" w:lineRule="auto"/>
        <w:rPr>
          <w:rFonts w:eastAsia="Times New Roman" w:cs="Arial"/>
          <w:color w:val="000000"/>
          <w:u w:val="single"/>
          <w:lang w:eastAsia="bg-BG"/>
        </w:rPr>
      </w:pPr>
    </w:p>
    <w:p w14:paraId="10D7DA58" w14:textId="2DD89111"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Помощни вещества</w:t>
      </w:r>
    </w:p>
    <w:p w14:paraId="43E010A6"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Пшеничното нишесте може да съдържа само следи от глутен и се счита за безопасно при хора с цьолиакия.</w:t>
      </w:r>
    </w:p>
    <w:p w14:paraId="0AF2052E" w14:textId="77777777" w:rsidR="00AE3039" w:rsidRDefault="00AE3039" w:rsidP="00AE3039">
      <w:pPr>
        <w:spacing w:line="240" w:lineRule="auto"/>
        <w:rPr>
          <w:rFonts w:eastAsia="Times New Roman" w:cs="Arial"/>
          <w:color w:val="000000"/>
          <w:lang w:eastAsia="bg-BG"/>
        </w:rPr>
      </w:pPr>
    </w:p>
    <w:p w14:paraId="05EB905E" w14:textId="47650EB5"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Пациенти с редки наследствени проблеми на галактозна непоносимост, </w:t>
      </w:r>
      <w:r w:rsidRPr="00AE3039">
        <w:rPr>
          <w:rFonts w:eastAsia="Times New Roman" w:cs="Arial"/>
          <w:color w:val="000000"/>
          <w:lang w:val="en-US"/>
        </w:rPr>
        <w:t>Lapp</w:t>
      </w:r>
      <w:r w:rsidRPr="00AE3039">
        <w:rPr>
          <w:rFonts w:eastAsia="Times New Roman" w:cs="Arial"/>
          <w:color w:val="000000"/>
          <w:lang w:val="ru-RU"/>
        </w:rPr>
        <w:t xml:space="preserve"> </w:t>
      </w:r>
      <w:r w:rsidRPr="00AE3039">
        <w:rPr>
          <w:rFonts w:eastAsia="Times New Roman" w:cs="Arial"/>
          <w:color w:val="000000"/>
          <w:lang w:eastAsia="bg-BG"/>
        </w:rPr>
        <w:t>лактазен дефицит или глюкозо-галактозна малабсорбция не трябва да приемат това лекарство.</w:t>
      </w:r>
    </w:p>
    <w:p w14:paraId="5D92846A" w14:textId="77777777" w:rsidR="00AE3039" w:rsidRDefault="00AE3039" w:rsidP="00AE3039">
      <w:pPr>
        <w:spacing w:line="240" w:lineRule="auto"/>
        <w:rPr>
          <w:rFonts w:eastAsia="Times New Roman" w:cs="Arial"/>
          <w:color w:val="000000"/>
          <w:lang w:eastAsia="bg-BG"/>
        </w:rPr>
      </w:pPr>
    </w:p>
    <w:p w14:paraId="390E1461" w14:textId="4F646817" w:rsidR="00AE3039" w:rsidRPr="00AE3039" w:rsidRDefault="00AE3039" w:rsidP="00AE3039">
      <w:pPr>
        <w:spacing w:line="240" w:lineRule="auto"/>
        <w:rPr>
          <w:rFonts w:eastAsia="Times New Roman" w:cs="Arial"/>
        </w:rPr>
      </w:pPr>
      <w:r>
        <w:rPr>
          <w:rFonts w:eastAsia="Times New Roman" w:cs="Arial"/>
          <w:color w:val="000000"/>
          <w:lang w:eastAsia="bg-BG"/>
        </w:rPr>
        <w:t>Е110</w:t>
      </w:r>
      <w:r w:rsidRPr="00AE3039">
        <w:rPr>
          <w:rFonts w:eastAsia="Times New Roman" w:cs="Arial"/>
          <w:color w:val="000000"/>
          <w:lang w:eastAsia="bg-BG"/>
        </w:rPr>
        <w:t xml:space="preserve"> може да причини алергични реакции.</w:t>
      </w:r>
    </w:p>
    <w:p w14:paraId="6142CF5C" w14:textId="5B19DD4E" w:rsidR="00AE3039" w:rsidRPr="00AE3039" w:rsidRDefault="00AE3039" w:rsidP="00AE3039"/>
    <w:p w14:paraId="070777EC" w14:textId="59FA13BE" w:rsidR="00DF4C8E" w:rsidRDefault="002C50EE" w:rsidP="00F44498">
      <w:pPr>
        <w:pStyle w:val="Heading2"/>
      </w:pPr>
      <w:r>
        <w:t>4.5. Взаимодействие с други лекарствени продукти и други форми на взаимодействие</w:t>
      </w:r>
    </w:p>
    <w:p w14:paraId="69D4549C" w14:textId="0A4BCDDC" w:rsidR="00AE3039" w:rsidRDefault="00AE3039" w:rsidP="00AE3039"/>
    <w:p w14:paraId="54E57A26"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Не са наблюдавани клинично значими лекарствени взаимодействия.</w:t>
      </w:r>
    </w:p>
    <w:p w14:paraId="3841772C" w14:textId="77777777" w:rsidR="00AE3039" w:rsidRDefault="00AE3039" w:rsidP="00AE3039">
      <w:pPr>
        <w:spacing w:line="240" w:lineRule="auto"/>
        <w:rPr>
          <w:rFonts w:eastAsia="Times New Roman" w:cs="Arial"/>
          <w:color w:val="000000"/>
          <w:lang w:eastAsia="bg-BG"/>
        </w:rPr>
      </w:pPr>
    </w:p>
    <w:p w14:paraId="028BE25F" w14:textId="75116AF7" w:rsidR="00AE3039" w:rsidRPr="00AE3039" w:rsidRDefault="00AE3039" w:rsidP="00AE3039">
      <w:pPr>
        <w:spacing w:line="240" w:lineRule="auto"/>
        <w:rPr>
          <w:rFonts w:eastAsia="Times New Roman" w:cs="Arial"/>
        </w:rPr>
      </w:pPr>
      <w:r w:rsidRPr="00AE3039">
        <w:rPr>
          <w:rFonts w:eastAsia="Times New Roman" w:cs="Arial"/>
          <w:color w:val="000000"/>
          <w:lang w:eastAsia="bg-BG"/>
        </w:rPr>
        <w:t>Фамотидин не взаимодейства с цитохром Р450-свързаната метаболизираща лекарства ензимна система. Следните съединения, които се метаболизират от тази система са тествани при хора: варфарин, теофилин, фенитоин, диазепам, пропранолол, аминопирин и антипирин. Индоцианиново зелено е тествано, като показател за чернодробното кръвоснабдяване и/или чернодробната лекарствена екстракция и не са установени значими ефекти.</w:t>
      </w:r>
    </w:p>
    <w:p w14:paraId="1D4F6BCF" w14:textId="77777777" w:rsidR="00AE3039" w:rsidRDefault="00AE3039" w:rsidP="00AE3039">
      <w:pPr>
        <w:spacing w:line="240" w:lineRule="auto"/>
        <w:rPr>
          <w:rFonts w:eastAsia="Times New Roman" w:cs="Arial"/>
          <w:color w:val="000000"/>
          <w:lang w:eastAsia="bg-BG"/>
        </w:rPr>
      </w:pPr>
    </w:p>
    <w:p w14:paraId="4B77F7EE" w14:textId="4285AD20" w:rsidR="00AE3039" w:rsidRPr="00AE3039" w:rsidRDefault="00AE3039" w:rsidP="00AE3039">
      <w:pPr>
        <w:spacing w:line="240" w:lineRule="auto"/>
        <w:rPr>
          <w:rFonts w:eastAsia="Times New Roman" w:cs="Arial"/>
        </w:rPr>
      </w:pPr>
      <w:r w:rsidRPr="00AE3039">
        <w:rPr>
          <w:rFonts w:eastAsia="Times New Roman" w:cs="Arial"/>
          <w:color w:val="000000"/>
          <w:lang w:eastAsia="bg-BG"/>
        </w:rPr>
        <w:t>При проучвания при пациенти, стабилизирани на фенпрокумон терапия не са наблюдавани фармакокинетични взаимодействия с фамотидин и не е установен ефект върху фармакокинетиката или антикоагулантната активност на фенпрокоумон.</w:t>
      </w:r>
    </w:p>
    <w:p w14:paraId="546F3FC0" w14:textId="1E62A970" w:rsidR="00AE3039" w:rsidRPr="00AE3039" w:rsidRDefault="00AE3039" w:rsidP="00AE3039">
      <w:pPr>
        <w:spacing w:line="240" w:lineRule="auto"/>
        <w:rPr>
          <w:rFonts w:eastAsia="Times New Roman" w:cs="Arial"/>
        </w:rPr>
      </w:pPr>
      <w:r w:rsidRPr="00AE3039">
        <w:rPr>
          <w:rFonts w:eastAsia="Times New Roman" w:cs="Arial"/>
          <w:color w:val="000000"/>
          <w:lang w:eastAsia="bg-BG"/>
        </w:rPr>
        <w:t>В допълнение при проучвания с фамотидин след прием на алкохол не се наблюдава увеличаване на очакваните стойности на алкохол в кръвта.</w:t>
      </w:r>
    </w:p>
    <w:p w14:paraId="4AED94DF" w14:textId="77777777" w:rsidR="00AE3039" w:rsidRPr="00AE3039" w:rsidRDefault="00AE3039" w:rsidP="00AE3039">
      <w:pPr>
        <w:spacing w:line="240" w:lineRule="auto"/>
        <w:rPr>
          <w:rFonts w:eastAsia="Times New Roman" w:cs="Arial"/>
        </w:rPr>
      </w:pPr>
    </w:p>
    <w:p w14:paraId="17750CF9"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Промените на стомашното </w:t>
      </w:r>
      <w:r w:rsidRPr="00AE3039">
        <w:rPr>
          <w:rFonts w:eastAsia="Times New Roman" w:cs="Arial"/>
          <w:color w:val="000000"/>
          <w:lang w:val="en-US"/>
        </w:rPr>
        <w:t>pH</w:t>
      </w:r>
      <w:r w:rsidRPr="00AE3039">
        <w:rPr>
          <w:rFonts w:eastAsia="Times New Roman" w:cs="Arial"/>
          <w:color w:val="000000"/>
          <w:lang w:val="ru-RU"/>
        </w:rPr>
        <w:t xml:space="preserve"> </w:t>
      </w:r>
      <w:r w:rsidRPr="00AE3039">
        <w:rPr>
          <w:rFonts w:eastAsia="Times New Roman" w:cs="Arial"/>
          <w:color w:val="000000"/>
          <w:lang w:eastAsia="bg-BG"/>
        </w:rPr>
        <w:t>могат да окажат влияние върху бионаличността на някои лекарства, като например намаляване на абсорбцията на атазанавир.</w:t>
      </w:r>
    </w:p>
    <w:p w14:paraId="19252034" w14:textId="4A0AF40B" w:rsidR="00AE3039" w:rsidRDefault="00AE3039" w:rsidP="00AE3039"/>
    <w:p w14:paraId="42EC0269"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lastRenderedPageBreak/>
        <w:t>Абсорбцията на кетоконазол и итраконазол може да се намали. Кетоконазол трябва да се прилага 2 часа преди прием на фамотидин.</w:t>
      </w:r>
    </w:p>
    <w:p w14:paraId="2F05C754" w14:textId="77777777" w:rsidR="00AE3039" w:rsidRDefault="00AE3039" w:rsidP="00AE3039">
      <w:pPr>
        <w:spacing w:line="240" w:lineRule="auto"/>
        <w:rPr>
          <w:rFonts w:eastAsia="Times New Roman" w:cs="Arial"/>
          <w:color w:val="000000"/>
          <w:lang w:eastAsia="bg-BG"/>
        </w:rPr>
      </w:pPr>
    </w:p>
    <w:p w14:paraId="7325492A" w14:textId="527D612C" w:rsidR="00AE3039" w:rsidRPr="00AE3039" w:rsidRDefault="00AE3039" w:rsidP="00AE3039">
      <w:pPr>
        <w:spacing w:line="240" w:lineRule="auto"/>
        <w:rPr>
          <w:rFonts w:eastAsia="Times New Roman" w:cs="Arial"/>
        </w:rPr>
      </w:pPr>
      <w:r w:rsidRPr="00AE3039">
        <w:rPr>
          <w:rFonts w:eastAsia="Times New Roman" w:cs="Arial"/>
          <w:color w:val="000000"/>
          <w:lang w:eastAsia="bg-BG"/>
        </w:rPr>
        <w:t>Антиацидите могат да намалят абсорбцията на фамотидин и да доведат до по-ниски плазмени концентрации на фамотидин. Фамотидин трябва да се приема 1-2 часа преди прилагането на антиацид.</w:t>
      </w:r>
    </w:p>
    <w:p w14:paraId="17A93C5C" w14:textId="77777777" w:rsidR="00AE3039" w:rsidRDefault="00AE3039" w:rsidP="00AE3039">
      <w:pPr>
        <w:spacing w:line="240" w:lineRule="auto"/>
        <w:rPr>
          <w:rFonts w:eastAsia="Times New Roman" w:cs="Arial"/>
          <w:color w:val="000000"/>
          <w:lang w:eastAsia="bg-BG"/>
        </w:rPr>
      </w:pPr>
    </w:p>
    <w:p w14:paraId="7874B3FC" w14:textId="1EAAC08A" w:rsidR="00AE3039" w:rsidRPr="00AE3039" w:rsidRDefault="00AE3039" w:rsidP="00AE3039">
      <w:pPr>
        <w:spacing w:line="240" w:lineRule="auto"/>
        <w:rPr>
          <w:rFonts w:eastAsia="Times New Roman" w:cs="Arial"/>
        </w:rPr>
      </w:pPr>
      <w:r w:rsidRPr="00AE3039">
        <w:rPr>
          <w:rFonts w:eastAsia="Times New Roman" w:cs="Arial"/>
          <w:color w:val="000000"/>
          <w:lang w:eastAsia="bg-BG"/>
        </w:rPr>
        <w:t>Прилагането на пробенецид може да забави елиминирането на фамотидин. Трябва да се избягва едновременната употреба на пробенецид и фамотидин.</w:t>
      </w:r>
    </w:p>
    <w:p w14:paraId="4110055E" w14:textId="77777777" w:rsidR="00AE3039" w:rsidRDefault="00AE3039" w:rsidP="00AE3039">
      <w:pPr>
        <w:spacing w:line="240" w:lineRule="auto"/>
        <w:rPr>
          <w:rFonts w:eastAsia="Times New Roman" w:cs="Arial"/>
          <w:color w:val="000000"/>
          <w:lang w:eastAsia="bg-BG"/>
        </w:rPr>
      </w:pPr>
    </w:p>
    <w:p w14:paraId="5DBAD9CA" w14:textId="50A2079F" w:rsidR="00AE3039" w:rsidRPr="00AE3039" w:rsidRDefault="00AE3039" w:rsidP="00AE3039">
      <w:pPr>
        <w:spacing w:line="240" w:lineRule="auto"/>
        <w:rPr>
          <w:rFonts w:eastAsia="Times New Roman" w:cs="Arial"/>
          <w:color w:val="000000"/>
          <w:lang w:eastAsia="bg-BG"/>
        </w:rPr>
      </w:pPr>
      <w:r w:rsidRPr="00AE3039">
        <w:rPr>
          <w:rFonts w:eastAsia="Times New Roman" w:cs="Arial"/>
          <w:color w:val="000000"/>
          <w:lang w:eastAsia="bg-BG"/>
        </w:rPr>
        <w:t>Два часа след прием на фамотидин трябва да се избягва употреба на сукралфат.</w:t>
      </w:r>
    </w:p>
    <w:p w14:paraId="21413957" w14:textId="77777777" w:rsidR="00AE3039" w:rsidRPr="00AE3039" w:rsidRDefault="00AE3039" w:rsidP="00AE3039"/>
    <w:p w14:paraId="29D2BD58" w14:textId="730B38BF" w:rsidR="00DF4C8E" w:rsidRDefault="002C50EE" w:rsidP="00F44498">
      <w:pPr>
        <w:pStyle w:val="Heading2"/>
      </w:pPr>
      <w:r>
        <w:t>4.6. Фертилитет, бременност и кърмене</w:t>
      </w:r>
    </w:p>
    <w:p w14:paraId="108CFD5D" w14:textId="0BE08393" w:rsidR="00AE3039" w:rsidRDefault="00AE3039" w:rsidP="00AE3039"/>
    <w:p w14:paraId="47BC968C" w14:textId="77777777" w:rsidR="00AE3039" w:rsidRPr="00AE3039" w:rsidRDefault="00AE3039" w:rsidP="00AE3039">
      <w:pPr>
        <w:rPr>
          <w:sz w:val="24"/>
          <w:szCs w:val="24"/>
        </w:rPr>
      </w:pPr>
      <w:r w:rsidRPr="00AE3039">
        <w:rPr>
          <w:lang w:eastAsia="bg-BG"/>
        </w:rPr>
        <w:t>Фамотидин не се препоръчва за употреба по време на бременност и трябва да се изписва само при категорична необходимост. Преди да се вземе решение за приложението на фамотидин по време на бременност лекарят трябва внимателно да оцени потенциалната полза от лекарството спрямо възможните рискове.</w:t>
      </w:r>
    </w:p>
    <w:p w14:paraId="28E8607D" w14:textId="77777777" w:rsidR="00AE3039" w:rsidRPr="00AE3039" w:rsidRDefault="00AE3039" w:rsidP="00AE3039">
      <w:pPr>
        <w:rPr>
          <w:sz w:val="24"/>
          <w:szCs w:val="24"/>
        </w:rPr>
      </w:pPr>
      <w:r w:rsidRPr="00AE3039">
        <w:rPr>
          <w:lang w:eastAsia="bg-BG"/>
        </w:rPr>
        <w:t>При хора фамотидин се открива в майчиното мляко. Кърмачките трябва или да прекратят употребата на лекарството или да преустановят кърменето.</w:t>
      </w:r>
    </w:p>
    <w:p w14:paraId="3F244704" w14:textId="77777777" w:rsidR="00AE3039" w:rsidRPr="00AE3039" w:rsidRDefault="00AE3039" w:rsidP="00AE3039"/>
    <w:p w14:paraId="4DF5A2E7" w14:textId="75CA56E6" w:rsidR="00DF4C8E" w:rsidRDefault="002C50EE" w:rsidP="00F44498">
      <w:pPr>
        <w:pStyle w:val="Heading2"/>
      </w:pPr>
      <w:r>
        <w:t>4.7. Ефекти върху способността за шофиране и работа с машини</w:t>
      </w:r>
    </w:p>
    <w:p w14:paraId="6E74BE4C" w14:textId="0FB5567C" w:rsidR="00AE3039" w:rsidRDefault="00AE3039" w:rsidP="00AE3039"/>
    <w:p w14:paraId="3AC383AD" w14:textId="205D0856" w:rsidR="00AE3039" w:rsidRDefault="00AE3039" w:rsidP="00AE3039">
      <w:r>
        <w:t>При някои пациенти са наблюдавани нежелани лекарствени реакции, като замайване и главоболие по време на прием на фамотидин. При поява на тези симптоми пациентите трябва да бъдат информирани, че трябва да избягват шофиране или работа с машини или да извършват дейности, които изискват повишена бдителност (виж точка 4.8).</w:t>
      </w:r>
    </w:p>
    <w:p w14:paraId="1EDA3CD5" w14:textId="355C8B14" w:rsidR="00AE3039" w:rsidRPr="00AE3039" w:rsidRDefault="00AE3039" w:rsidP="00AE3039"/>
    <w:p w14:paraId="28229498" w14:textId="500FC5FD" w:rsidR="00DF4C8E" w:rsidRDefault="002C50EE" w:rsidP="00F44498">
      <w:pPr>
        <w:pStyle w:val="Heading2"/>
      </w:pPr>
      <w:r>
        <w:t>4.8. Нежелани лекарствени реакции</w:t>
      </w:r>
    </w:p>
    <w:p w14:paraId="082B5D85" w14:textId="3A5044A0" w:rsidR="00AE3039" w:rsidRDefault="00AE3039" w:rsidP="00AE3039"/>
    <w:p w14:paraId="6D8C74A7"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Доказано е, че по принцип фамотидин се понася добре.</w:t>
      </w:r>
    </w:p>
    <w:p w14:paraId="40642ADF"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чести (&gt;1/10) Чести ( &gt; 1/100, &lt;1/10) Нечести (&gt; 1/1 000, &lt;1/100) Редки (&gt;</w:t>
      </w:r>
    </w:p>
    <w:p w14:paraId="5DCD7EC2"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1/10 000, &lt;1/1 000) Много редки ( &lt; 1/10 000), включително изолирани случаи С неизвестна честота (не може да бъде определена от наличните данни)]</w:t>
      </w:r>
    </w:p>
    <w:p w14:paraId="3BF2A827" w14:textId="77777777" w:rsidR="00AE3039" w:rsidRDefault="00AE3039" w:rsidP="00AE3039">
      <w:pPr>
        <w:spacing w:line="240" w:lineRule="auto"/>
        <w:rPr>
          <w:rFonts w:eastAsia="Times New Roman" w:cs="Arial"/>
          <w:i/>
          <w:iCs/>
          <w:color w:val="000000"/>
          <w:u w:val="single"/>
          <w:lang w:eastAsia="bg-BG"/>
        </w:rPr>
      </w:pPr>
    </w:p>
    <w:p w14:paraId="2F84B8D6" w14:textId="5799A242"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Сърдечни нарушения</w:t>
      </w:r>
      <w:r w:rsidRPr="00AE3039">
        <w:rPr>
          <w:rFonts w:eastAsia="Times New Roman" w:cs="Arial"/>
          <w:i/>
          <w:iCs/>
          <w:color w:val="000000"/>
          <w:lang w:eastAsia="bg-BG"/>
        </w:rPr>
        <w:t>:</w:t>
      </w:r>
    </w:p>
    <w:p w14:paraId="11B3B3D9"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w:t>
      </w:r>
      <w:r w:rsidRPr="00AE3039">
        <w:rPr>
          <w:rFonts w:eastAsia="Times New Roman" w:cs="Arial"/>
          <w:color w:val="000000"/>
          <w:lang w:val="en-US"/>
        </w:rPr>
        <w:t>AV</w:t>
      </w:r>
      <w:r w:rsidRPr="00AE3039">
        <w:rPr>
          <w:rFonts w:eastAsia="Times New Roman" w:cs="Arial"/>
          <w:color w:val="000000"/>
          <w:lang w:val="ru-RU"/>
        </w:rPr>
        <w:t xml:space="preserve"> </w:t>
      </w:r>
      <w:r w:rsidRPr="00AE3039">
        <w:rPr>
          <w:rFonts w:eastAsia="Times New Roman" w:cs="Arial"/>
          <w:color w:val="000000"/>
          <w:lang w:eastAsia="bg-BG"/>
        </w:rPr>
        <w:t>блок с интравенозно приложени Н2- рецепторни антагонисти</w:t>
      </w:r>
    </w:p>
    <w:p w14:paraId="43483923" w14:textId="77777777" w:rsidR="00AE3039" w:rsidRDefault="00AE3039" w:rsidP="00AE3039">
      <w:pPr>
        <w:spacing w:line="240" w:lineRule="auto"/>
        <w:rPr>
          <w:rFonts w:eastAsia="Times New Roman" w:cs="Arial"/>
          <w:i/>
          <w:iCs/>
          <w:color w:val="000000"/>
          <w:u w:val="single"/>
          <w:lang w:eastAsia="bg-BG"/>
        </w:rPr>
      </w:pPr>
    </w:p>
    <w:p w14:paraId="360757F6" w14:textId="6729A267"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Нарушения на кръвта и лимфната система:</w:t>
      </w:r>
    </w:p>
    <w:p w14:paraId="52C640D2"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левкопения, тромбоцитопения, неутропения: агранулоцитоза: панцитопения</w:t>
      </w:r>
    </w:p>
    <w:p w14:paraId="4C0EBDC4" w14:textId="77777777" w:rsidR="00AE3039" w:rsidRDefault="00AE3039" w:rsidP="00AE3039">
      <w:pPr>
        <w:spacing w:line="240" w:lineRule="auto"/>
        <w:rPr>
          <w:rFonts w:eastAsia="Times New Roman" w:cs="Arial"/>
          <w:i/>
          <w:iCs/>
          <w:color w:val="000000"/>
          <w:u w:val="single"/>
          <w:lang w:eastAsia="bg-BG"/>
        </w:rPr>
      </w:pPr>
    </w:p>
    <w:p w14:paraId="1AB1AAEF" w14:textId="44C4C6E3"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Нарушения на нервната система:</w:t>
      </w:r>
    </w:p>
    <w:p w14:paraId="2CF742DB"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Чести:</w:t>
      </w:r>
      <w:r w:rsidRPr="00AE3039">
        <w:rPr>
          <w:rFonts w:eastAsia="Times New Roman" w:cs="Arial"/>
          <w:color w:val="000000"/>
          <w:lang w:eastAsia="bg-BG"/>
        </w:rPr>
        <w:t xml:space="preserve"> главоболие, виене на свят</w:t>
      </w:r>
    </w:p>
    <w:p w14:paraId="24CC8F98"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Нечести:</w:t>
      </w:r>
      <w:r w:rsidRPr="00AE3039">
        <w:rPr>
          <w:rFonts w:eastAsia="Times New Roman" w:cs="Arial"/>
          <w:color w:val="000000"/>
          <w:lang w:eastAsia="bg-BG"/>
        </w:rPr>
        <w:t xml:space="preserve"> нарушен вкус</w:t>
      </w:r>
    </w:p>
    <w:p w14:paraId="56AD915C"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конвулсии; гранд мал гърчове (особено при пациенти с нарушена бъбречна функция); парестезия; сънливост</w:t>
      </w:r>
    </w:p>
    <w:p w14:paraId="58BD8368" w14:textId="77777777" w:rsidR="00AE3039" w:rsidRDefault="00AE3039" w:rsidP="00AE3039">
      <w:pPr>
        <w:spacing w:line="240" w:lineRule="auto"/>
        <w:rPr>
          <w:rFonts w:eastAsia="Times New Roman" w:cs="Arial"/>
          <w:i/>
          <w:iCs/>
          <w:color w:val="000000"/>
          <w:u w:val="single"/>
          <w:lang w:eastAsia="bg-BG"/>
        </w:rPr>
      </w:pPr>
    </w:p>
    <w:p w14:paraId="4A500A00" w14:textId="3AB1F980"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Респираторни, гръдни и медиастинални нарушения:</w:t>
      </w:r>
    </w:p>
    <w:p w14:paraId="7B9C8607"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lastRenderedPageBreak/>
        <w:t>Много редки: интерстициална пневмония понякога с фатален изход</w:t>
      </w:r>
    </w:p>
    <w:p w14:paraId="0355B255" w14:textId="77777777" w:rsidR="00AE3039" w:rsidRDefault="00AE3039" w:rsidP="00AE3039">
      <w:pPr>
        <w:spacing w:line="240" w:lineRule="auto"/>
        <w:rPr>
          <w:rFonts w:eastAsia="Times New Roman" w:cs="Arial"/>
          <w:i/>
          <w:iCs/>
          <w:color w:val="000000"/>
          <w:u w:val="single"/>
          <w:lang w:eastAsia="bg-BG"/>
        </w:rPr>
      </w:pPr>
    </w:p>
    <w:p w14:paraId="3ECEBE31" w14:textId="796719CC"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Стомашно-чревни нарушения:</w:t>
      </w:r>
    </w:p>
    <w:p w14:paraId="1C633D30"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Чести:</w:t>
      </w:r>
      <w:r w:rsidRPr="00AE3039">
        <w:rPr>
          <w:rFonts w:eastAsia="Times New Roman" w:cs="Arial"/>
          <w:color w:val="000000"/>
          <w:lang w:eastAsia="bg-BG"/>
        </w:rPr>
        <w:t xml:space="preserve"> констипация; диария</w:t>
      </w:r>
    </w:p>
    <w:p w14:paraId="262F16AF"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Нечести:</w:t>
      </w:r>
      <w:r w:rsidRPr="00AE3039">
        <w:rPr>
          <w:rFonts w:eastAsia="Times New Roman" w:cs="Arial"/>
          <w:color w:val="000000"/>
          <w:lang w:eastAsia="bg-BG"/>
        </w:rPr>
        <w:t xml:space="preserve"> сухота в устата; гадене и/или повръщане; абдоминален дискомфорт или дистензия; флатуленция; анорексия</w:t>
      </w:r>
    </w:p>
    <w:p w14:paraId="67BF885A" w14:textId="77777777" w:rsidR="00AE3039" w:rsidRDefault="00AE3039" w:rsidP="00AE3039">
      <w:pPr>
        <w:spacing w:line="240" w:lineRule="auto"/>
        <w:rPr>
          <w:rFonts w:eastAsia="Times New Roman" w:cs="Arial"/>
          <w:i/>
          <w:iCs/>
          <w:color w:val="000000"/>
          <w:u w:val="single"/>
          <w:lang w:eastAsia="bg-BG"/>
        </w:rPr>
      </w:pPr>
    </w:p>
    <w:p w14:paraId="7785EC8C" w14:textId="09A706E0"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Нарушения на кожата и подкожната тъкан</w:t>
      </w:r>
      <w:r w:rsidRPr="00AE3039">
        <w:rPr>
          <w:rFonts w:eastAsia="Times New Roman" w:cs="Arial"/>
          <w:i/>
          <w:iCs/>
          <w:color w:val="000000"/>
          <w:lang w:eastAsia="bg-BG"/>
        </w:rPr>
        <w:t>:</w:t>
      </w:r>
    </w:p>
    <w:p w14:paraId="67D0A0CE"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Нечести:</w:t>
      </w:r>
      <w:r w:rsidRPr="00AE3039">
        <w:rPr>
          <w:rFonts w:eastAsia="Times New Roman" w:cs="Arial"/>
          <w:color w:val="000000"/>
          <w:lang w:eastAsia="bg-BG"/>
        </w:rPr>
        <w:t xml:space="preserve"> обрив, сърбеж, уртикария</w:t>
      </w:r>
    </w:p>
    <w:p w14:paraId="49B5F90B"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алопеция ; синдром на Стивънс-Джонсън/токсична епидермална некролиза понякога с фатален изход</w:t>
      </w:r>
    </w:p>
    <w:p w14:paraId="16C262FB" w14:textId="77777777" w:rsidR="00AE3039" w:rsidRDefault="00AE3039" w:rsidP="00AE3039">
      <w:pPr>
        <w:spacing w:line="240" w:lineRule="auto"/>
        <w:rPr>
          <w:rFonts w:eastAsia="Times New Roman" w:cs="Arial"/>
          <w:i/>
          <w:iCs/>
          <w:color w:val="000000"/>
          <w:u w:val="single"/>
          <w:lang w:eastAsia="bg-BG"/>
        </w:rPr>
      </w:pPr>
    </w:p>
    <w:p w14:paraId="651FFEA6" w14:textId="01683B95"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Нарушения на мускулно-скелетната система и съединителната тъкан</w:t>
      </w:r>
      <w:r w:rsidRPr="00AE3039">
        <w:rPr>
          <w:rFonts w:eastAsia="Times New Roman" w:cs="Arial"/>
          <w:i/>
          <w:iCs/>
          <w:color w:val="000000"/>
          <w:lang w:eastAsia="bg-BG"/>
        </w:rPr>
        <w:t>:</w:t>
      </w:r>
    </w:p>
    <w:p w14:paraId="1779167A" w14:textId="02E0B40E"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артралгия, мускулни крампи</w:t>
      </w:r>
    </w:p>
    <w:p w14:paraId="721AFB06" w14:textId="77777777" w:rsidR="00AE3039" w:rsidRDefault="00AE3039" w:rsidP="00AE3039">
      <w:pPr>
        <w:spacing w:line="240" w:lineRule="auto"/>
        <w:rPr>
          <w:rFonts w:eastAsia="Times New Roman" w:cs="Arial"/>
          <w:i/>
          <w:iCs/>
          <w:color w:val="000000"/>
          <w:u w:val="single"/>
          <w:lang w:eastAsia="bg-BG"/>
        </w:rPr>
      </w:pPr>
    </w:p>
    <w:p w14:paraId="1B5FF694" w14:textId="3A5BE2DD"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Нарушения на метаболизма и храненето:</w:t>
      </w:r>
    </w:p>
    <w:p w14:paraId="4B833E58"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Нечести:</w:t>
      </w:r>
      <w:r w:rsidRPr="00AE3039">
        <w:rPr>
          <w:rFonts w:eastAsia="Times New Roman" w:cs="Arial"/>
          <w:color w:val="000000"/>
          <w:lang w:eastAsia="bg-BG"/>
        </w:rPr>
        <w:t xml:space="preserve"> анорексия</w:t>
      </w:r>
    </w:p>
    <w:p w14:paraId="470F1F3F" w14:textId="77777777" w:rsidR="00AE3039" w:rsidRDefault="00AE3039" w:rsidP="00AE3039">
      <w:pPr>
        <w:spacing w:line="240" w:lineRule="auto"/>
        <w:rPr>
          <w:rFonts w:eastAsia="Times New Roman" w:cs="Arial"/>
          <w:i/>
          <w:iCs/>
          <w:color w:val="000000"/>
          <w:u w:val="single"/>
          <w:lang w:eastAsia="bg-BG"/>
        </w:rPr>
      </w:pPr>
    </w:p>
    <w:p w14:paraId="04FB80C0" w14:textId="101D172F"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Общи нарушения и ефекти на мястото на приложение:</w:t>
      </w:r>
    </w:p>
    <w:p w14:paraId="3F8703DE"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Нечести:</w:t>
      </w:r>
      <w:r w:rsidRPr="00AE3039">
        <w:rPr>
          <w:rFonts w:eastAsia="Times New Roman" w:cs="Arial"/>
          <w:color w:val="000000"/>
          <w:lang w:eastAsia="bg-BG"/>
        </w:rPr>
        <w:t xml:space="preserve"> умора</w:t>
      </w:r>
    </w:p>
    <w:p w14:paraId="39AC2561"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стягане в гърдите</w:t>
      </w:r>
    </w:p>
    <w:p w14:paraId="54A72545" w14:textId="77777777" w:rsidR="00AE3039" w:rsidRDefault="00AE3039" w:rsidP="00AE3039">
      <w:pPr>
        <w:spacing w:line="240" w:lineRule="auto"/>
        <w:rPr>
          <w:rFonts w:eastAsia="Times New Roman" w:cs="Arial"/>
          <w:i/>
          <w:iCs/>
          <w:color w:val="000000"/>
          <w:u w:val="single"/>
          <w:lang w:eastAsia="bg-BG"/>
        </w:rPr>
      </w:pPr>
    </w:p>
    <w:p w14:paraId="1C22C9E4" w14:textId="2A2E7E11"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Нарушения на имунната система</w:t>
      </w:r>
    </w:p>
    <w:p w14:paraId="7DA7E686"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 реакции на свръхчувствителност (анафилаксия, онгионевротичен оток, бронхо спазъм).</w:t>
      </w:r>
    </w:p>
    <w:p w14:paraId="5ECFD5DA" w14:textId="77777777" w:rsidR="00AE3039" w:rsidRDefault="00AE3039" w:rsidP="00AE3039">
      <w:pPr>
        <w:spacing w:line="240" w:lineRule="auto"/>
        <w:rPr>
          <w:rFonts w:eastAsia="Times New Roman" w:cs="Arial"/>
          <w:i/>
          <w:iCs/>
          <w:color w:val="000000"/>
          <w:u w:val="single"/>
          <w:lang w:eastAsia="bg-BG"/>
        </w:rPr>
      </w:pPr>
    </w:p>
    <w:p w14:paraId="2D439373" w14:textId="2B4DB2C4"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Хапатобилиарни нарушения</w:t>
      </w:r>
    </w:p>
    <w:p w14:paraId="147C647E"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отклонения на чернодробните ензими, хепатит, холестатична жълтеница.</w:t>
      </w:r>
    </w:p>
    <w:p w14:paraId="0D7922C2" w14:textId="77777777" w:rsidR="00AE3039" w:rsidRDefault="00AE3039" w:rsidP="00AE3039">
      <w:pPr>
        <w:spacing w:line="240" w:lineRule="auto"/>
        <w:rPr>
          <w:rFonts w:eastAsia="Times New Roman" w:cs="Arial"/>
          <w:i/>
          <w:iCs/>
          <w:color w:val="000000"/>
          <w:u w:val="single"/>
          <w:lang w:eastAsia="bg-BG"/>
        </w:rPr>
      </w:pPr>
    </w:p>
    <w:p w14:paraId="0327F4B8" w14:textId="664C056D"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Нарушения на репродуктивната система и гърдата</w:t>
      </w:r>
    </w:p>
    <w:p w14:paraId="2EE3DA23"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импотентност</w:t>
      </w:r>
    </w:p>
    <w:p w14:paraId="0CB206BD" w14:textId="77777777" w:rsidR="00AE3039" w:rsidRDefault="00AE3039" w:rsidP="00AE3039">
      <w:pPr>
        <w:spacing w:line="240" w:lineRule="auto"/>
        <w:rPr>
          <w:rFonts w:eastAsia="Times New Roman" w:cs="Arial"/>
          <w:i/>
          <w:iCs/>
          <w:color w:val="000000"/>
          <w:u w:val="single"/>
          <w:lang w:eastAsia="bg-BG"/>
        </w:rPr>
      </w:pPr>
    </w:p>
    <w:p w14:paraId="76343965" w14:textId="7B371F20" w:rsidR="00AE3039" w:rsidRPr="00AE3039" w:rsidRDefault="00AE3039" w:rsidP="00AE3039">
      <w:pPr>
        <w:spacing w:line="240" w:lineRule="auto"/>
        <w:rPr>
          <w:rFonts w:eastAsia="Times New Roman" w:cs="Arial"/>
        </w:rPr>
      </w:pPr>
      <w:r w:rsidRPr="00AE3039">
        <w:rPr>
          <w:rFonts w:eastAsia="Times New Roman" w:cs="Arial"/>
          <w:i/>
          <w:iCs/>
          <w:color w:val="000000"/>
          <w:u w:val="single"/>
          <w:lang w:eastAsia="bg-BG"/>
        </w:rPr>
        <w:t>Психични нарушения</w:t>
      </w:r>
    </w:p>
    <w:p w14:paraId="4C8ACFE0"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Много редки:</w:t>
      </w:r>
      <w:r w:rsidRPr="00AE3039">
        <w:rPr>
          <w:rFonts w:eastAsia="Times New Roman" w:cs="Arial"/>
          <w:color w:val="000000"/>
          <w:lang w:eastAsia="bg-BG"/>
        </w:rPr>
        <w:t xml:space="preserve"> обратими психични нарушения, като депресия, тревожни разстройства, възбуда, дезориентация, конфузия и халюцинации, инсомния, понижено либидо</w:t>
      </w:r>
    </w:p>
    <w:p w14:paraId="0455ABB5" w14:textId="77777777" w:rsidR="00AE3039" w:rsidRPr="00AE3039" w:rsidRDefault="00AE3039" w:rsidP="00AE3039">
      <w:pPr>
        <w:spacing w:line="240" w:lineRule="auto"/>
        <w:rPr>
          <w:rFonts w:eastAsia="Times New Roman" w:cs="Arial"/>
        </w:rPr>
      </w:pPr>
      <w:r w:rsidRPr="00AE3039">
        <w:rPr>
          <w:rFonts w:eastAsia="Times New Roman" w:cs="Arial"/>
          <w:i/>
          <w:iCs/>
          <w:color w:val="000000"/>
          <w:lang w:eastAsia="bg-BG"/>
        </w:rPr>
        <w:t xml:space="preserve">Нежелани лекарствени реакции - причинно-следствената връзка е неизвестна </w:t>
      </w:r>
      <w:r w:rsidRPr="00AE3039">
        <w:rPr>
          <w:rFonts w:eastAsia="Times New Roman" w:cs="Arial"/>
          <w:color w:val="000000"/>
          <w:lang w:eastAsia="bg-BG"/>
        </w:rPr>
        <w:t>Съобщава се за редки случаи на гинекомастия, въпреки че в контролирани клинични проучвания честотата не е по-висока от тази, наблюдавана с плацебо.</w:t>
      </w:r>
    </w:p>
    <w:p w14:paraId="710EE901" w14:textId="77777777" w:rsidR="00AE3039" w:rsidRDefault="00AE3039" w:rsidP="00AE3039">
      <w:pPr>
        <w:spacing w:line="240" w:lineRule="auto"/>
        <w:rPr>
          <w:rFonts w:eastAsia="Times New Roman" w:cs="Arial"/>
          <w:color w:val="000000"/>
          <w:u w:val="single"/>
          <w:lang w:eastAsia="bg-BG"/>
        </w:rPr>
      </w:pPr>
    </w:p>
    <w:p w14:paraId="65A8DE5F" w14:textId="24B93ABB" w:rsidR="00AE3039" w:rsidRPr="00AE3039" w:rsidRDefault="00AE3039" w:rsidP="00AE3039">
      <w:pPr>
        <w:spacing w:line="240" w:lineRule="auto"/>
        <w:rPr>
          <w:rFonts w:eastAsia="Times New Roman" w:cs="Arial"/>
        </w:rPr>
      </w:pPr>
      <w:r w:rsidRPr="00AE3039">
        <w:rPr>
          <w:rFonts w:eastAsia="Times New Roman" w:cs="Arial"/>
          <w:color w:val="000000"/>
          <w:u w:val="single"/>
          <w:lang w:eastAsia="bg-BG"/>
        </w:rPr>
        <w:t>Съобщаване на подозирани нежелани реакции</w:t>
      </w:r>
    </w:p>
    <w:p w14:paraId="1A67D561"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w:t>
      </w:r>
      <w:r w:rsidRPr="00AE3039">
        <w:rPr>
          <w:rFonts w:eastAsia="Times New Roman" w:cs="Arial"/>
          <w:color w:val="000000"/>
          <w:u w:val="single"/>
          <w:lang w:eastAsia="bg-BG"/>
        </w:rPr>
        <w:t xml:space="preserve"> </w:t>
      </w:r>
      <w:r w:rsidRPr="00AE3039">
        <w:rPr>
          <w:rFonts w:eastAsia="Times New Roman" w:cs="Arial"/>
          <w:color w:val="000000"/>
          <w:lang w:eastAsia="bg-BG"/>
        </w:rPr>
        <w:t>изисква да съобщават всяка подозирана нежелана реакция чрез:</w:t>
      </w:r>
    </w:p>
    <w:p w14:paraId="1C71AF2D"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Изпълнителна агенция по лекарствата ул. „Дамян Груев” № 8</w:t>
      </w:r>
    </w:p>
    <w:p w14:paraId="505A0905"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1303 София</w:t>
      </w:r>
    </w:p>
    <w:p w14:paraId="3465771B" w14:textId="640DB9BB" w:rsidR="00AE3039" w:rsidRDefault="00AE3039" w:rsidP="00AE3039">
      <w:pPr>
        <w:rPr>
          <w:rFonts w:eastAsia="Times New Roman" w:cs="Arial"/>
          <w:color w:val="000000"/>
          <w:lang w:eastAsia="bg-BG"/>
        </w:rPr>
      </w:pPr>
      <w:r w:rsidRPr="00AE3039">
        <w:rPr>
          <w:rFonts w:eastAsia="Times New Roman" w:cs="Arial"/>
          <w:color w:val="000000"/>
          <w:lang w:eastAsia="bg-BG"/>
        </w:rPr>
        <w:t>Тел.: 02 8903417</w:t>
      </w:r>
    </w:p>
    <w:p w14:paraId="7D9B2A33" w14:textId="6E7461B3" w:rsidR="00AE3039" w:rsidRPr="00AE3039" w:rsidRDefault="00AE3039" w:rsidP="00AE3039">
      <w:pPr>
        <w:rPr>
          <w:lang w:val="ru-RU"/>
        </w:rPr>
      </w:pPr>
      <w:r w:rsidRPr="00AE3039">
        <w:rPr>
          <w:color w:val="000000"/>
          <w:lang w:eastAsia="bg-BG"/>
        </w:rPr>
        <w:t xml:space="preserve">уебсайт: </w:t>
      </w:r>
      <w:r w:rsidRPr="00AE3039">
        <w:rPr>
          <w:lang w:val="en-US"/>
        </w:rPr>
        <w:fldChar w:fldCharType="begin"/>
      </w:r>
      <w:r w:rsidRPr="00AE3039">
        <w:rPr>
          <w:lang w:val="ru-RU"/>
        </w:rPr>
        <w:instrText xml:space="preserve"> </w:instrText>
      </w:r>
      <w:r w:rsidRPr="00AE3039">
        <w:rPr>
          <w:lang w:val="en-US"/>
        </w:rPr>
        <w:instrText>HYPERLINK</w:instrText>
      </w:r>
      <w:r w:rsidRPr="00AE3039">
        <w:rPr>
          <w:lang w:val="ru-RU"/>
        </w:rPr>
        <w:instrText xml:space="preserve"> "</w:instrText>
      </w:r>
      <w:r w:rsidRPr="00AE3039">
        <w:rPr>
          <w:lang w:val="en-US"/>
        </w:rPr>
        <w:instrText>http</w:instrText>
      </w:r>
      <w:r w:rsidRPr="00AE3039">
        <w:rPr>
          <w:lang w:val="ru-RU"/>
        </w:rPr>
        <w:instrText>://</w:instrText>
      </w:r>
      <w:r w:rsidRPr="00AE3039">
        <w:rPr>
          <w:lang w:val="en-US"/>
        </w:rPr>
        <w:instrText>www</w:instrText>
      </w:r>
      <w:r w:rsidRPr="00AE3039">
        <w:rPr>
          <w:lang w:val="ru-RU"/>
        </w:rPr>
        <w:instrText>.</w:instrText>
      </w:r>
      <w:r w:rsidRPr="00AE3039">
        <w:rPr>
          <w:lang w:val="en-US"/>
        </w:rPr>
        <w:instrText>bda</w:instrText>
      </w:r>
      <w:r w:rsidRPr="00AE3039">
        <w:rPr>
          <w:lang w:val="ru-RU"/>
        </w:rPr>
        <w:instrText>.</w:instrText>
      </w:r>
      <w:r w:rsidRPr="00AE3039">
        <w:rPr>
          <w:lang w:val="en-US"/>
        </w:rPr>
        <w:instrText>bg</w:instrText>
      </w:r>
      <w:r w:rsidRPr="00AE3039">
        <w:rPr>
          <w:lang w:val="ru-RU"/>
        </w:rPr>
        <w:instrText xml:space="preserve">" </w:instrText>
      </w:r>
      <w:r w:rsidRPr="00AE3039">
        <w:rPr>
          <w:lang w:val="en-US"/>
        </w:rPr>
      </w:r>
      <w:r w:rsidRPr="00AE3039">
        <w:rPr>
          <w:lang w:val="en-US"/>
        </w:rPr>
        <w:fldChar w:fldCharType="separate"/>
      </w:r>
      <w:r w:rsidRPr="00AE3039">
        <w:rPr>
          <w:color w:val="000000"/>
          <w:lang w:val="en-US"/>
        </w:rPr>
        <w:t>www</w:t>
      </w:r>
      <w:r w:rsidRPr="00AE3039">
        <w:rPr>
          <w:color w:val="000000"/>
          <w:lang w:val="ru-RU"/>
        </w:rPr>
        <w:t>.</w:t>
      </w:r>
      <w:proofErr w:type="spellStart"/>
      <w:r w:rsidRPr="00AE3039">
        <w:rPr>
          <w:color w:val="000000"/>
          <w:lang w:val="en-US"/>
        </w:rPr>
        <w:t>bda</w:t>
      </w:r>
      <w:proofErr w:type="spellEnd"/>
      <w:r w:rsidRPr="00AE3039">
        <w:rPr>
          <w:color w:val="000000"/>
          <w:lang w:val="ru-RU"/>
        </w:rPr>
        <w:t>.</w:t>
      </w:r>
      <w:proofErr w:type="spellStart"/>
      <w:r w:rsidRPr="00AE3039">
        <w:rPr>
          <w:color w:val="000000"/>
          <w:lang w:val="en-US"/>
        </w:rPr>
        <w:t>bg</w:t>
      </w:r>
      <w:proofErr w:type="spellEnd"/>
      <w:r w:rsidRPr="00AE3039">
        <w:rPr>
          <w:lang w:val="en-US"/>
        </w:rPr>
        <w:fldChar w:fldCharType="end"/>
      </w:r>
    </w:p>
    <w:p w14:paraId="07687653" w14:textId="4870864B" w:rsidR="00DF4C8E" w:rsidRDefault="002C50EE" w:rsidP="00F44498">
      <w:pPr>
        <w:pStyle w:val="Heading2"/>
      </w:pPr>
      <w:r>
        <w:t>4.9. Предозиране</w:t>
      </w:r>
    </w:p>
    <w:p w14:paraId="1FDCCAA2" w14:textId="74566517" w:rsidR="00AE3039" w:rsidRDefault="00AE3039" w:rsidP="00AE3039"/>
    <w:p w14:paraId="427BB062" w14:textId="77777777" w:rsidR="00AE3039" w:rsidRPr="00AE3039" w:rsidRDefault="00AE3039" w:rsidP="00AE3039">
      <w:pPr>
        <w:rPr>
          <w:sz w:val="24"/>
          <w:szCs w:val="24"/>
        </w:rPr>
      </w:pPr>
      <w:r w:rsidRPr="00AE3039">
        <w:rPr>
          <w:lang w:eastAsia="bg-BG"/>
        </w:rPr>
        <w:lastRenderedPageBreak/>
        <w:t>Нежеланите лекарствени реакции при предозиране са подобни на нежеланите лекарствени реакции, които нормално се наблюдават от клиничния опит (виж точка 4.8).</w:t>
      </w:r>
    </w:p>
    <w:p w14:paraId="1E2A691C" w14:textId="77777777" w:rsidR="00AE3039" w:rsidRPr="00AE3039" w:rsidRDefault="00AE3039" w:rsidP="00AE3039">
      <w:pPr>
        <w:rPr>
          <w:sz w:val="24"/>
          <w:szCs w:val="24"/>
        </w:rPr>
      </w:pPr>
      <w:r w:rsidRPr="00AE3039">
        <w:rPr>
          <w:lang w:eastAsia="bg-BG"/>
        </w:rPr>
        <w:t xml:space="preserve">Пациенти със синдрома на </w:t>
      </w:r>
      <w:proofErr w:type="spellStart"/>
      <w:r w:rsidRPr="00AE3039">
        <w:rPr>
          <w:lang w:val="en-US"/>
        </w:rPr>
        <w:t>Zollinger</w:t>
      </w:r>
      <w:proofErr w:type="spellEnd"/>
      <w:r w:rsidRPr="00AE3039">
        <w:rPr>
          <w:lang w:val="ru-RU"/>
        </w:rPr>
        <w:t xml:space="preserve">- </w:t>
      </w:r>
      <w:r w:rsidRPr="00AE3039">
        <w:rPr>
          <w:lang w:val="en-US"/>
        </w:rPr>
        <w:t>Ellison</w:t>
      </w:r>
      <w:r w:rsidRPr="00AE3039">
        <w:rPr>
          <w:lang w:val="ru-RU"/>
        </w:rPr>
        <w:t xml:space="preserve"> </w:t>
      </w:r>
      <w:r w:rsidRPr="00AE3039">
        <w:rPr>
          <w:lang w:eastAsia="bg-BG"/>
        </w:rPr>
        <w:t xml:space="preserve">са понесли дневни дози до 800 </w:t>
      </w:r>
      <w:r w:rsidRPr="00AE3039">
        <w:rPr>
          <w:lang w:val="en-US"/>
        </w:rPr>
        <w:t>mg</w:t>
      </w:r>
      <w:r w:rsidRPr="00AE3039">
        <w:rPr>
          <w:lang w:val="ru-RU"/>
        </w:rPr>
        <w:t xml:space="preserve">, </w:t>
      </w:r>
      <w:r w:rsidRPr="00AE3039">
        <w:rPr>
          <w:lang w:eastAsia="bg-BG"/>
        </w:rPr>
        <w:t>прилагани в продължение на една година без поява на значими нежелани лекарствени реакции.</w:t>
      </w:r>
    </w:p>
    <w:p w14:paraId="5C0F11EA" w14:textId="77777777" w:rsidR="00AE3039" w:rsidRPr="00AE3039" w:rsidRDefault="00AE3039" w:rsidP="00AE3039">
      <w:pPr>
        <w:rPr>
          <w:sz w:val="24"/>
          <w:szCs w:val="24"/>
        </w:rPr>
      </w:pPr>
      <w:r w:rsidRPr="00AE3039">
        <w:rPr>
          <w:lang w:eastAsia="bg-BG"/>
        </w:rPr>
        <w:t>При предозиране е необходимо да се предприемат мерки за елиминиране на нерезорбираното количество от гастро-интестиналния тракт, клинично мониториране и поддържаща терапия.</w:t>
      </w:r>
    </w:p>
    <w:p w14:paraId="3171250F" w14:textId="77777777" w:rsidR="00AE3039" w:rsidRPr="00AE3039" w:rsidRDefault="00AE3039" w:rsidP="00AE3039"/>
    <w:p w14:paraId="02081B24" w14:textId="1F46E296" w:rsidR="00395555" w:rsidRPr="00395555" w:rsidRDefault="002C50EE" w:rsidP="008A6AF2">
      <w:pPr>
        <w:pStyle w:val="Heading1"/>
      </w:pPr>
      <w:r>
        <w:t>5. ФАРМАКОЛОГИЧНИ СВОЙСТВА</w:t>
      </w:r>
    </w:p>
    <w:p w14:paraId="4D47A490" w14:textId="492F276F" w:rsidR="00DF4C8E" w:rsidRDefault="002C50EE" w:rsidP="00F44498">
      <w:pPr>
        <w:pStyle w:val="Heading2"/>
      </w:pPr>
      <w:r>
        <w:t>5.1. Фармакодинамични свойства</w:t>
      </w:r>
    </w:p>
    <w:p w14:paraId="3108969B" w14:textId="31868483" w:rsidR="00AE3039" w:rsidRDefault="00AE3039" w:rsidP="00AE3039"/>
    <w:p w14:paraId="72CA1FD2"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Фармакотерапевтична група: Н</w:t>
      </w:r>
      <w:r w:rsidRPr="00AE3039">
        <w:rPr>
          <w:rFonts w:eastAsia="Times New Roman" w:cs="Arial"/>
          <w:color w:val="000000"/>
          <w:vertAlign w:val="subscript"/>
          <w:lang w:eastAsia="bg-BG"/>
        </w:rPr>
        <w:t>2</w:t>
      </w:r>
      <w:r w:rsidRPr="00AE3039">
        <w:rPr>
          <w:rFonts w:eastAsia="Times New Roman" w:cs="Arial"/>
          <w:color w:val="000000"/>
          <w:lang w:eastAsia="bg-BG"/>
        </w:rPr>
        <w:t>-рецепторни антагонисти, АТС код: А02ВА03</w:t>
      </w:r>
    </w:p>
    <w:p w14:paraId="5E8170AC" w14:textId="77777777" w:rsidR="00AE3039" w:rsidRDefault="00AE3039" w:rsidP="00AE3039">
      <w:pPr>
        <w:spacing w:line="240" w:lineRule="auto"/>
        <w:rPr>
          <w:rFonts w:eastAsia="Times New Roman" w:cs="Arial"/>
          <w:color w:val="000000"/>
          <w:lang w:eastAsia="bg-BG"/>
        </w:rPr>
      </w:pPr>
    </w:p>
    <w:p w14:paraId="4F33C1C9" w14:textId="5D38938D" w:rsidR="00AE3039" w:rsidRPr="00AE3039" w:rsidRDefault="00AE3039" w:rsidP="00AE3039">
      <w:pPr>
        <w:spacing w:line="240" w:lineRule="auto"/>
        <w:rPr>
          <w:rFonts w:eastAsia="Times New Roman" w:cs="Arial"/>
        </w:rPr>
      </w:pPr>
      <w:r w:rsidRPr="00AE3039">
        <w:rPr>
          <w:rFonts w:eastAsia="Times New Roman" w:cs="Arial"/>
          <w:color w:val="000000"/>
          <w:lang w:eastAsia="bg-BG"/>
        </w:rPr>
        <w:t>Фамотидин е четвърто поколение селективен хистаминов Н</w:t>
      </w:r>
      <w:r w:rsidRPr="00AE3039">
        <w:rPr>
          <w:rFonts w:eastAsia="Times New Roman" w:cs="Arial"/>
          <w:color w:val="000000"/>
          <w:vertAlign w:val="subscript"/>
          <w:lang w:eastAsia="bg-BG"/>
        </w:rPr>
        <w:t>2</w:t>
      </w:r>
      <w:r w:rsidRPr="00AE3039">
        <w:rPr>
          <w:rFonts w:eastAsia="Times New Roman" w:cs="Arial"/>
          <w:color w:val="000000"/>
          <w:lang w:eastAsia="bg-BG"/>
        </w:rPr>
        <w:t>-блокер, който инхибира киселинната стомашна секреция, предизвикана както от хистамин, така и от гастрин и в по-малка степен от холинергични средства, храна и вагусова стимулация. Той намалява количеството на стомашния сок и концентрацията на водородни йони в него.</w:t>
      </w:r>
    </w:p>
    <w:p w14:paraId="0F9E17A9"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Н</w:t>
      </w:r>
      <w:r w:rsidRPr="00AE3039">
        <w:rPr>
          <w:rFonts w:eastAsia="Times New Roman" w:cs="Arial"/>
          <w:color w:val="000000"/>
          <w:vertAlign w:val="subscript"/>
          <w:lang w:eastAsia="bg-BG"/>
        </w:rPr>
        <w:t>2</w:t>
      </w:r>
      <w:r w:rsidRPr="00AE3039">
        <w:rPr>
          <w:rFonts w:eastAsia="Times New Roman" w:cs="Arial"/>
          <w:color w:val="000000"/>
          <w:lang w:eastAsia="bg-BG"/>
        </w:rPr>
        <w:t xml:space="preserve">-блокерите оказват и цитопротективен ефект чрез стимулиране секрецията на </w:t>
      </w:r>
      <w:r w:rsidRPr="00AE3039">
        <w:rPr>
          <w:rFonts w:eastAsia="Times New Roman" w:cs="Arial"/>
          <w:color w:val="000000"/>
          <w:lang w:val="en-US"/>
        </w:rPr>
        <w:t>PGE</w:t>
      </w:r>
      <w:r w:rsidRPr="00AE3039">
        <w:rPr>
          <w:rFonts w:eastAsia="Times New Roman" w:cs="Arial"/>
          <w:color w:val="000000"/>
          <w:vertAlign w:val="subscript"/>
          <w:lang w:val="ru-RU"/>
        </w:rPr>
        <w:t>2</w:t>
      </w:r>
      <w:r w:rsidRPr="00AE3039">
        <w:rPr>
          <w:rFonts w:eastAsia="Times New Roman" w:cs="Arial"/>
          <w:color w:val="000000"/>
          <w:lang w:val="ru-RU"/>
        </w:rPr>
        <w:t xml:space="preserve"> </w:t>
      </w:r>
      <w:r w:rsidRPr="00AE3039">
        <w:rPr>
          <w:rFonts w:eastAsia="Times New Roman" w:cs="Arial"/>
          <w:color w:val="000000"/>
          <w:lang w:eastAsia="bg-BG"/>
        </w:rPr>
        <w:t>и подобряване на функцията на мукус-продуциращите клетки. Фамотидин е няколко пъти по-мощен блокер на Н</w:t>
      </w:r>
      <w:r w:rsidRPr="00AE3039">
        <w:rPr>
          <w:rFonts w:eastAsia="Times New Roman" w:cs="Arial"/>
          <w:color w:val="000000"/>
          <w:vertAlign w:val="subscript"/>
          <w:lang w:eastAsia="bg-BG"/>
        </w:rPr>
        <w:t>2</w:t>
      </w:r>
      <w:r w:rsidRPr="00AE3039">
        <w:rPr>
          <w:rFonts w:eastAsia="Times New Roman" w:cs="Arial"/>
          <w:color w:val="000000"/>
          <w:lang w:eastAsia="bg-BG"/>
        </w:rPr>
        <w:t xml:space="preserve"> рецепторите от ранитидин и особено от циметидин.</w:t>
      </w:r>
    </w:p>
    <w:p w14:paraId="3EFE677E"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Мощното и удължено действие на фамотидин дава възможност за употребата му в по- ниски дози, приемани през по-големи интервали от време. Като селективен антагонист на Н</w:t>
      </w:r>
      <w:r w:rsidRPr="00AE3039">
        <w:rPr>
          <w:rFonts w:eastAsia="Times New Roman" w:cs="Arial"/>
          <w:color w:val="000000"/>
          <w:vertAlign w:val="subscript"/>
          <w:lang w:eastAsia="bg-BG"/>
        </w:rPr>
        <w:t>2</w:t>
      </w:r>
      <w:r w:rsidRPr="00AE3039">
        <w:rPr>
          <w:rFonts w:eastAsia="Times New Roman" w:cs="Arial"/>
          <w:color w:val="000000"/>
          <w:lang w:eastAsia="bg-BG"/>
        </w:rPr>
        <w:t>-рецепторите, той практически е лишен от страничните действия на неселективните Н</w:t>
      </w:r>
      <w:r w:rsidRPr="00AE3039">
        <w:rPr>
          <w:rFonts w:eastAsia="Times New Roman" w:cs="Arial"/>
          <w:color w:val="000000"/>
          <w:vertAlign w:val="subscript"/>
          <w:lang w:eastAsia="bg-BG"/>
        </w:rPr>
        <w:t>2</w:t>
      </w:r>
      <w:r w:rsidRPr="00AE3039">
        <w:rPr>
          <w:rFonts w:eastAsia="Times New Roman" w:cs="Arial"/>
          <w:color w:val="000000"/>
          <w:lang w:eastAsia="bg-BG"/>
        </w:rPr>
        <w:t>- блокери.</w:t>
      </w:r>
    </w:p>
    <w:p w14:paraId="40D50FFC"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Съвременното лечение на язвената болест се основава на намаляване влиянието на агресивните фактори (солна киселина, пепсин, жлъчни соли и др.) от една страна и засилване ефекта на лигавичните цитопротектори от друга.</w:t>
      </w:r>
    </w:p>
    <w:p w14:paraId="48D30DC3"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След еднократна доза от 20 или 40 </w:t>
      </w:r>
      <w:r w:rsidRPr="00AE3039">
        <w:rPr>
          <w:rFonts w:eastAsia="Times New Roman" w:cs="Arial"/>
          <w:color w:val="000000"/>
          <w:lang w:val="en-US"/>
        </w:rPr>
        <w:t>mg</w:t>
      </w:r>
      <w:r w:rsidRPr="00AE3039">
        <w:rPr>
          <w:rFonts w:eastAsia="Times New Roman" w:cs="Arial"/>
          <w:color w:val="000000"/>
          <w:lang w:val="ru-RU"/>
        </w:rPr>
        <w:t xml:space="preserve"> </w:t>
      </w:r>
      <w:r w:rsidRPr="00AE3039">
        <w:rPr>
          <w:rFonts w:eastAsia="Times New Roman" w:cs="Arial"/>
          <w:color w:val="000000"/>
          <w:lang w:eastAsia="bg-BG"/>
        </w:rPr>
        <w:t>лекарственото вещество инхибира нощната киселинна секреция средно с 86 %, респективно с 94 % в продължение на 10 часа.</w:t>
      </w:r>
    </w:p>
    <w:p w14:paraId="63C3DC29"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Секрецията на пепсин намалява заедно с намаляване на количеството стомашен сок. Секрецията на вътрешния фактор също намалява, но тъй като той е в голямо количество, абсорбцията на витамин В</w:t>
      </w:r>
      <w:r w:rsidRPr="00AE3039">
        <w:rPr>
          <w:rFonts w:eastAsia="Times New Roman" w:cs="Arial"/>
          <w:color w:val="000000"/>
          <w:vertAlign w:val="subscript"/>
          <w:lang w:eastAsia="bg-BG"/>
        </w:rPr>
        <w:t>12</w:t>
      </w:r>
      <w:r w:rsidRPr="00AE3039">
        <w:rPr>
          <w:rFonts w:eastAsia="Times New Roman" w:cs="Arial"/>
          <w:color w:val="000000"/>
          <w:lang w:eastAsia="bg-BG"/>
        </w:rPr>
        <w:t xml:space="preserve"> обикновено не се повлиява дори при продължително лечение.</w:t>
      </w:r>
    </w:p>
    <w:p w14:paraId="2CEDDAB7" w14:textId="3BEC7493" w:rsidR="00AE3039" w:rsidRPr="00AE3039" w:rsidRDefault="00AE3039" w:rsidP="00AE3039"/>
    <w:p w14:paraId="79643DB7" w14:textId="26CC5845" w:rsidR="00DF4C8E" w:rsidRDefault="002C50EE" w:rsidP="00F44498">
      <w:pPr>
        <w:pStyle w:val="Heading2"/>
      </w:pPr>
      <w:r>
        <w:t>5.2. Фармакокинетични свойства</w:t>
      </w:r>
    </w:p>
    <w:p w14:paraId="0863041F" w14:textId="7940F9ED" w:rsidR="00AE3039" w:rsidRDefault="00AE3039" w:rsidP="00AE3039"/>
    <w:p w14:paraId="1B785DF8" w14:textId="77777777" w:rsidR="00AE3039" w:rsidRPr="00AE3039" w:rsidRDefault="00AE3039" w:rsidP="00AE3039">
      <w:pPr>
        <w:rPr>
          <w:rFonts w:eastAsia="Times New Roman" w:cs="Arial"/>
        </w:rPr>
      </w:pPr>
      <w:r w:rsidRPr="00AE3039">
        <w:rPr>
          <w:rFonts w:eastAsia="Times New Roman" w:cs="Arial"/>
          <w:color w:val="000000"/>
          <w:lang w:eastAsia="bg-BG"/>
        </w:rPr>
        <w:t xml:space="preserve">Фамотидин се резорбира бързо, но непълно в гастроинтестиналния тракт. Бионаличността след системно приложение не е висока - около 40-45 %.Тя може слабо да бъде повишена след прием на храна и намалена при едновременно приложение с антиацидни продукти. Фамотидин се подлага в минимална степен на </w:t>
      </w:r>
      <w:r w:rsidRPr="00AE3039">
        <w:rPr>
          <w:rFonts w:eastAsia="Times New Roman" w:cs="Arial"/>
          <w:color w:val="000000"/>
          <w:lang w:val="en-US"/>
        </w:rPr>
        <w:t>first</w:t>
      </w:r>
      <w:r w:rsidRPr="00AE3039">
        <w:rPr>
          <w:rFonts w:eastAsia="Times New Roman" w:cs="Arial"/>
          <w:color w:val="000000"/>
          <w:lang w:val="ru-RU"/>
        </w:rPr>
        <w:t>-</w:t>
      </w:r>
      <w:r w:rsidRPr="00AE3039">
        <w:rPr>
          <w:rFonts w:eastAsia="Times New Roman" w:cs="Arial"/>
          <w:color w:val="000000"/>
          <w:lang w:val="en-US"/>
        </w:rPr>
        <w:t>pass</w:t>
      </w:r>
      <w:r w:rsidRPr="00AE3039">
        <w:rPr>
          <w:rFonts w:eastAsia="Times New Roman" w:cs="Arial"/>
          <w:color w:val="000000"/>
          <w:lang w:val="ru-RU"/>
        </w:rPr>
        <w:t xml:space="preserve"> </w:t>
      </w:r>
      <w:r w:rsidRPr="00AE3039">
        <w:rPr>
          <w:rFonts w:eastAsia="Times New Roman" w:cs="Arial"/>
          <w:color w:val="000000"/>
          <w:lang w:eastAsia="bg-BG"/>
        </w:rPr>
        <w:t>метаболизъм. След п</w:t>
      </w:r>
      <w:r w:rsidRPr="00AE3039">
        <w:rPr>
          <w:rFonts w:eastAsia="Times New Roman" w:cs="Arial"/>
          <w:color w:val="000000"/>
          <w:u w:val="single"/>
          <w:lang w:eastAsia="bg-BG"/>
        </w:rPr>
        <w:t>ерора</w:t>
      </w:r>
      <w:r w:rsidRPr="00AE3039">
        <w:rPr>
          <w:rFonts w:eastAsia="Times New Roman" w:cs="Arial"/>
          <w:color w:val="000000"/>
          <w:lang w:eastAsia="bg-BG"/>
        </w:rPr>
        <w:t xml:space="preserve">лно приложение максимални плазмени концентрации се наблюдават на 1-3 час. След многократно приложение плазмените концентрации са близки до тези след еднократен прием. Свързва се с плазмените протеини в 15 до 20 %. Метаболизира се в черния дроб, единственият идентифициран метаболит е </w:t>
      </w:r>
      <w:r w:rsidRPr="00AE3039">
        <w:rPr>
          <w:rFonts w:eastAsia="Times New Roman" w:cs="Arial"/>
          <w:color w:val="000000"/>
          <w:lang w:val="en-US"/>
        </w:rPr>
        <w:t>S</w:t>
      </w:r>
      <w:r w:rsidRPr="00AE3039">
        <w:rPr>
          <w:rFonts w:eastAsia="Times New Roman" w:cs="Arial"/>
          <w:color w:val="000000"/>
          <w:lang w:eastAsia="bg-BG"/>
        </w:rPr>
        <w:t xml:space="preserve">-оксид. Елиминира се основно чрез бъбречните - около 25-60% от приложената перорална доза, предимно в непроменен вид. Установена е корелация между креатининовия клирънс и елиминационния полуживот на фамотидин. При пациенти с креатининов клирънс под 10 </w:t>
      </w:r>
      <w:r w:rsidRPr="00AE3039">
        <w:rPr>
          <w:rFonts w:eastAsia="Times New Roman" w:cs="Arial"/>
          <w:color w:val="000000"/>
          <w:lang w:val="en-US"/>
        </w:rPr>
        <w:lastRenderedPageBreak/>
        <w:t>ml</w:t>
      </w:r>
      <w:r w:rsidRPr="00AE3039">
        <w:rPr>
          <w:rFonts w:eastAsia="Times New Roman" w:cs="Arial"/>
          <w:color w:val="000000"/>
          <w:lang w:val="ru-RU"/>
        </w:rPr>
        <w:t>/</w:t>
      </w:r>
      <w:r w:rsidRPr="00AE3039">
        <w:rPr>
          <w:rFonts w:eastAsia="Times New Roman" w:cs="Arial"/>
          <w:color w:val="000000"/>
          <w:lang w:val="en-US"/>
        </w:rPr>
        <w:t>min</w:t>
      </w:r>
      <w:r w:rsidRPr="00AE3039">
        <w:rPr>
          <w:rFonts w:eastAsia="Times New Roman" w:cs="Arial"/>
          <w:color w:val="000000"/>
          <w:lang w:val="ru-RU"/>
        </w:rPr>
        <w:t xml:space="preserve"> </w:t>
      </w:r>
      <w:r w:rsidRPr="00AE3039">
        <w:rPr>
          <w:rFonts w:eastAsia="Times New Roman" w:cs="Arial"/>
          <w:color w:val="000000"/>
          <w:lang w:eastAsia="bg-BG"/>
        </w:rPr>
        <w:t>(тежка бъбречна недостатъчност) елиминационният полуживот може да надвиши 20 часа, поради което е необходимо съответно понижаване на дозата или увеличаване на интервала между отделните дози. Кинетиката на фамотидин има линеен характер.</w:t>
      </w:r>
    </w:p>
    <w:p w14:paraId="4CC0E0B9" w14:textId="4C1B43D1" w:rsidR="00AE3039" w:rsidRPr="00AE3039" w:rsidRDefault="00AE3039" w:rsidP="00AE3039"/>
    <w:p w14:paraId="028E658A" w14:textId="4D0591AD" w:rsidR="00395555" w:rsidRDefault="002C50EE" w:rsidP="008A6AF2">
      <w:pPr>
        <w:pStyle w:val="Heading2"/>
      </w:pPr>
      <w:r>
        <w:t>5.3. Предклинични данни за безопасност</w:t>
      </w:r>
    </w:p>
    <w:p w14:paraId="69B27123" w14:textId="7DAB3D01" w:rsidR="00AE3039" w:rsidRDefault="00AE3039" w:rsidP="00AE3039"/>
    <w:p w14:paraId="50EDA011"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Фамотидин е слабо токсичен - стойностите на </w:t>
      </w:r>
      <w:r w:rsidRPr="00AE3039">
        <w:rPr>
          <w:rFonts w:eastAsia="Times New Roman" w:cs="Arial"/>
          <w:color w:val="000000"/>
          <w:lang w:val="en-US"/>
        </w:rPr>
        <w:t>LD</w:t>
      </w:r>
      <w:r w:rsidRPr="00AE3039">
        <w:rPr>
          <w:rFonts w:eastAsia="Times New Roman" w:cs="Arial"/>
          <w:color w:val="000000"/>
          <w:vertAlign w:val="subscript"/>
          <w:lang w:val="ru-RU"/>
        </w:rPr>
        <w:t xml:space="preserve">50 </w:t>
      </w:r>
      <w:r w:rsidRPr="00AE3039">
        <w:rPr>
          <w:rFonts w:eastAsia="Times New Roman" w:cs="Arial"/>
          <w:color w:val="000000"/>
          <w:lang w:eastAsia="bg-BG"/>
        </w:rPr>
        <w:t xml:space="preserve">при мъжки и женски плъхове и мишки са &gt; 3000 </w:t>
      </w:r>
      <w:r w:rsidRPr="00AE3039">
        <w:rPr>
          <w:rFonts w:eastAsia="Times New Roman" w:cs="Arial"/>
          <w:color w:val="000000"/>
          <w:lang w:val="en-US"/>
        </w:rPr>
        <w:t>mg</w:t>
      </w:r>
      <w:r w:rsidRPr="00AE3039">
        <w:rPr>
          <w:rFonts w:eastAsia="Times New Roman" w:cs="Arial"/>
          <w:color w:val="000000"/>
          <w:lang w:val="ru-RU"/>
        </w:rPr>
        <w:t>/</w:t>
      </w:r>
      <w:r w:rsidRPr="00AE3039">
        <w:rPr>
          <w:rFonts w:eastAsia="Times New Roman" w:cs="Arial"/>
          <w:color w:val="000000"/>
          <w:lang w:val="en-US"/>
        </w:rPr>
        <w:t>kg</w:t>
      </w:r>
      <w:r w:rsidRPr="00AE3039">
        <w:rPr>
          <w:rFonts w:eastAsia="Times New Roman" w:cs="Arial"/>
          <w:color w:val="000000"/>
          <w:lang w:val="ru-RU"/>
        </w:rPr>
        <w:t xml:space="preserve">. </w:t>
      </w:r>
      <w:r w:rsidRPr="00AE3039">
        <w:rPr>
          <w:rFonts w:eastAsia="Times New Roman" w:cs="Arial"/>
          <w:color w:val="000000"/>
          <w:lang w:eastAsia="bg-BG"/>
        </w:rPr>
        <w:t xml:space="preserve">Наблюдаваните токсични ефекти, свързани с приложението на фамотидин върху зайци са сигнификантна анорексия и потискане на растежа при перорално третиране с дневни дози 200 </w:t>
      </w:r>
      <w:r w:rsidRPr="00AE3039">
        <w:rPr>
          <w:rFonts w:eastAsia="Times New Roman" w:cs="Arial"/>
          <w:color w:val="000000"/>
          <w:lang w:val="en-US"/>
        </w:rPr>
        <w:t>mg</w:t>
      </w:r>
      <w:r w:rsidRPr="00AE3039">
        <w:rPr>
          <w:rFonts w:eastAsia="Times New Roman" w:cs="Arial"/>
          <w:color w:val="000000"/>
          <w:lang w:val="ru-RU"/>
        </w:rPr>
        <w:t>/</w:t>
      </w:r>
      <w:r w:rsidRPr="00AE3039">
        <w:rPr>
          <w:rFonts w:eastAsia="Times New Roman" w:cs="Arial"/>
          <w:color w:val="000000"/>
          <w:lang w:val="en-US"/>
        </w:rPr>
        <w:t>kg</w:t>
      </w:r>
      <w:r w:rsidRPr="00AE3039">
        <w:rPr>
          <w:rFonts w:eastAsia="Times New Roman" w:cs="Arial"/>
          <w:color w:val="000000"/>
          <w:lang w:val="ru-RU"/>
        </w:rPr>
        <w:t>.</w:t>
      </w:r>
    </w:p>
    <w:p w14:paraId="4722875D"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 xml:space="preserve">В изследвания върху плъхове и мишки, третирани перорално с дневна доза 2000 </w:t>
      </w:r>
      <w:r w:rsidRPr="00AE3039">
        <w:rPr>
          <w:rFonts w:eastAsia="Times New Roman" w:cs="Arial"/>
          <w:color w:val="000000"/>
          <w:lang w:val="en-US"/>
        </w:rPr>
        <w:t>mg</w:t>
      </w:r>
      <w:r w:rsidRPr="00AE3039">
        <w:rPr>
          <w:rFonts w:eastAsia="Times New Roman" w:cs="Arial"/>
          <w:color w:val="000000"/>
          <w:lang w:val="ru-RU"/>
        </w:rPr>
        <w:t>/</w:t>
      </w:r>
      <w:r w:rsidRPr="00AE3039">
        <w:rPr>
          <w:rFonts w:eastAsia="Times New Roman" w:cs="Arial"/>
          <w:color w:val="000000"/>
          <w:lang w:val="en-US"/>
        </w:rPr>
        <w:t>Kg</w:t>
      </w:r>
      <w:r w:rsidRPr="00AE3039">
        <w:rPr>
          <w:rFonts w:eastAsia="Times New Roman" w:cs="Arial"/>
          <w:color w:val="000000"/>
          <w:lang w:val="ru-RU"/>
        </w:rPr>
        <w:t xml:space="preserve"> </w:t>
      </w:r>
      <w:r w:rsidRPr="00AE3039">
        <w:rPr>
          <w:rFonts w:eastAsia="Times New Roman" w:cs="Arial"/>
          <w:color w:val="000000"/>
          <w:lang w:eastAsia="bg-BG"/>
        </w:rPr>
        <w:t>(доза надвишаваща 2500 пъти препоръчваната доза при хора) в продължение на съответно 106 и 92 седмици няма данни за канцерогенност.</w:t>
      </w:r>
    </w:p>
    <w:p w14:paraId="12AFD6CD"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Няма данни за ембриотоксично и тератогенно действие, както и за негативни ефекти върху фертилитета.</w:t>
      </w:r>
    </w:p>
    <w:p w14:paraId="7ED02C0B" w14:textId="77777777" w:rsidR="00AE3039" w:rsidRPr="00AE3039" w:rsidRDefault="00AE3039" w:rsidP="00AE3039">
      <w:pPr>
        <w:spacing w:line="240" w:lineRule="auto"/>
        <w:rPr>
          <w:rFonts w:eastAsia="Times New Roman" w:cs="Arial"/>
        </w:rPr>
      </w:pPr>
      <w:r w:rsidRPr="00AE3039">
        <w:rPr>
          <w:rFonts w:eastAsia="Times New Roman" w:cs="Arial"/>
          <w:color w:val="000000"/>
          <w:lang w:eastAsia="bg-BG"/>
        </w:rPr>
        <w:t>Няма данни за мутагенност.</w:t>
      </w:r>
    </w:p>
    <w:p w14:paraId="2D5041C8" w14:textId="77777777" w:rsidR="00AE3039" w:rsidRPr="00AE3039" w:rsidRDefault="00AE3039" w:rsidP="00AE3039"/>
    <w:p w14:paraId="6A7820AB" w14:textId="4AD330C1" w:rsidR="008A6AF2" w:rsidRDefault="002C50EE" w:rsidP="00395555">
      <w:pPr>
        <w:pStyle w:val="Heading1"/>
      </w:pPr>
      <w:r>
        <w:t>7. ПРИТЕЖАТЕЛ НА РАЗРЕШЕНИЕТО ЗА УПОТРЕБА</w:t>
      </w:r>
    </w:p>
    <w:p w14:paraId="2302440A" w14:textId="28F90B00" w:rsidR="00AE3039" w:rsidRDefault="00AE3039" w:rsidP="00AE3039"/>
    <w:p w14:paraId="794072EB" w14:textId="77777777" w:rsidR="00AE3039" w:rsidRPr="00AE3039" w:rsidRDefault="00AE3039" w:rsidP="00AE3039">
      <w:pPr>
        <w:rPr>
          <w:sz w:val="24"/>
          <w:szCs w:val="24"/>
        </w:rPr>
      </w:pPr>
      <w:r w:rsidRPr="00AE3039">
        <w:rPr>
          <w:lang w:eastAsia="bg-BG"/>
        </w:rPr>
        <w:t>"Актавис" ЕАД</w:t>
      </w:r>
    </w:p>
    <w:p w14:paraId="38858BD8" w14:textId="77777777" w:rsidR="00AE3039" w:rsidRPr="00AE3039" w:rsidRDefault="00AE3039" w:rsidP="00AE3039">
      <w:pPr>
        <w:rPr>
          <w:sz w:val="24"/>
          <w:szCs w:val="24"/>
        </w:rPr>
      </w:pPr>
      <w:r w:rsidRPr="00AE3039">
        <w:rPr>
          <w:lang w:eastAsia="bg-BG"/>
        </w:rPr>
        <w:t>ул. Атанас Дуков" № 29</w:t>
      </w:r>
    </w:p>
    <w:p w14:paraId="7652BBA7" w14:textId="77777777" w:rsidR="00AE3039" w:rsidRPr="00AE3039" w:rsidRDefault="00AE3039" w:rsidP="00AE3039">
      <w:pPr>
        <w:rPr>
          <w:sz w:val="24"/>
          <w:szCs w:val="24"/>
        </w:rPr>
      </w:pPr>
      <w:r w:rsidRPr="00AE3039">
        <w:rPr>
          <w:lang w:eastAsia="bg-BG"/>
        </w:rPr>
        <w:t>1407 София,</w:t>
      </w:r>
    </w:p>
    <w:p w14:paraId="5EF5DBDE" w14:textId="77777777" w:rsidR="00AE3039" w:rsidRPr="00AE3039" w:rsidRDefault="00AE3039" w:rsidP="00AE3039">
      <w:pPr>
        <w:rPr>
          <w:sz w:val="24"/>
          <w:szCs w:val="24"/>
        </w:rPr>
      </w:pPr>
      <w:r w:rsidRPr="00AE3039">
        <w:rPr>
          <w:lang w:eastAsia="bg-BG"/>
        </w:rPr>
        <w:t>България</w:t>
      </w:r>
    </w:p>
    <w:p w14:paraId="7527D0E5" w14:textId="77777777" w:rsidR="00AE3039" w:rsidRPr="00AE3039" w:rsidRDefault="00AE3039" w:rsidP="00AE3039"/>
    <w:p w14:paraId="04840D59" w14:textId="1900CA90" w:rsidR="002C50EE" w:rsidRDefault="002C50EE" w:rsidP="00395555">
      <w:pPr>
        <w:pStyle w:val="Heading1"/>
      </w:pPr>
      <w:r>
        <w:t>8. НОМЕР НА РАЗРЕШЕНИЕТО ЗА УПОТРЕБА</w:t>
      </w:r>
    </w:p>
    <w:p w14:paraId="4E67B3E7" w14:textId="7B6D8A98" w:rsidR="00AE3039" w:rsidRDefault="00AE3039" w:rsidP="00AE3039"/>
    <w:p w14:paraId="038B8441" w14:textId="77777777" w:rsidR="00AE3039" w:rsidRPr="00AE3039" w:rsidRDefault="00AE3039" w:rsidP="00AE3039">
      <w:pPr>
        <w:rPr>
          <w:sz w:val="24"/>
          <w:szCs w:val="24"/>
        </w:rPr>
      </w:pPr>
      <w:r w:rsidRPr="00AE3039">
        <w:rPr>
          <w:lang w:eastAsia="bg-BG"/>
        </w:rPr>
        <w:t xml:space="preserve">Фамултран 20 </w:t>
      </w:r>
      <w:r w:rsidRPr="00AE3039">
        <w:rPr>
          <w:lang w:val="en-US"/>
        </w:rPr>
        <w:t>mg</w:t>
      </w:r>
      <w:r w:rsidRPr="00AE3039">
        <w:rPr>
          <w:lang w:val="ru-RU"/>
        </w:rPr>
        <w:t xml:space="preserve"> </w:t>
      </w:r>
      <w:r w:rsidRPr="00AE3039">
        <w:rPr>
          <w:lang w:eastAsia="bg-BG"/>
        </w:rPr>
        <w:t xml:space="preserve">филмирани таблетки - </w:t>
      </w:r>
      <w:r w:rsidRPr="00AE3039">
        <w:rPr>
          <w:lang w:val="en-US"/>
        </w:rPr>
        <w:t>per</w:t>
      </w:r>
      <w:r w:rsidRPr="00AE3039">
        <w:rPr>
          <w:lang w:val="ru-RU"/>
        </w:rPr>
        <w:t xml:space="preserve">. </w:t>
      </w:r>
      <w:r w:rsidRPr="00AE3039">
        <w:rPr>
          <w:lang w:eastAsia="bg-BG"/>
        </w:rPr>
        <w:t>№ 9800116</w:t>
      </w:r>
    </w:p>
    <w:p w14:paraId="346AD5B7" w14:textId="1A5D6877" w:rsidR="00AE3039" w:rsidRPr="00AE3039" w:rsidRDefault="00AE3039" w:rsidP="00AE3039">
      <w:r w:rsidRPr="00AE3039">
        <w:rPr>
          <w:lang w:eastAsia="bg-BG"/>
        </w:rPr>
        <w:t xml:space="preserve">Фамултран 40 </w:t>
      </w:r>
      <w:r w:rsidRPr="00AE3039">
        <w:rPr>
          <w:lang w:val="en-US"/>
        </w:rPr>
        <w:t>mg</w:t>
      </w:r>
      <w:r w:rsidRPr="00AE3039">
        <w:rPr>
          <w:lang w:val="ru-RU"/>
        </w:rPr>
        <w:t xml:space="preserve"> </w:t>
      </w:r>
      <w:r w:rsidRPr="00AE3039">
        <w:rPr>
          <w:lang w:eastAsia="bg-BG"/>
        </w:rPr>
        <w:t xml:space="preserve">филмирани таблетки - </w:t>
      </w:r>
      <w:r w:rsidRPr="00AE3039">
        <w:rPr>
          <w:lang w:val="en-US"/>
        </w:rPr>
        <w:t>per</w:t>
      </w:r>
      <w:r w:rsidRPr="00AE3039">
        <w:rPr>
          <w:lang w:val="ru-RU"/>
        </w:rPr>
        <w:t xml:space="preserve">. </w:t>
      </w:r>
      <w:r w:rsidRPr="00AE3039">
        <w:rPr>
          <w:lang w:eastAsia="bg-BG"/>
        </w:rPr>
        <w:t>№ 9800117</w:t>
      </w:r>
    </w:p>
    <w:p w14:paraId="2CCB5832" w14:textId="0C7D4F36" w:rsidR="007C605B" w:rsidRDefault="002C50EE" w:rsidP="007C605B">
      <w:pPr>
        <w:pStyle w:val="Heading1"/>
      </w:pPr>
      <w:r>
        <w:t>9. ДАТА НА ПЪРВО РАЗРЕШАВАНЕ/ПОДНОВЯВАНЕ НА РАЗРЕШЕНИЕТО ЗА УПОТРЕБА</w:t>
      </w:r>
    </w:p>
    <w:p w14:paraId="3E548403" w14:textId="4B59462C" w:rsidR="00AE3039" w:rsidRDefault="00AE3039" w:rsidP="00AE3039"/>
    <w:p w14:paraId="586FA086" w14:textId="77777777" w:rsidR="00AE3039" w:rsidRPr="00AE3039" w:rsidRDefault="00AE3039" w:rsidP="00AE3039">
      <w:pPr>
        <w:rPr>
          <w:sz w:val="24"/>
          <w:szCs w:val="24"/>
        </w:rPr>
      </w:pPr>
      <w:r w:rsidRPr="00AE3039">
        <w:rPr>
          <w:lang w:eastAsia="bg-BG"/>
        </w:rPr>
        <w:t>Дата на първо разрешаване: март 2004 г.</w:t>
      </w:r>
    </w:p>
    <w:p w14:paraId="4D6E1C74" w14:textId="77777777" w:rsidR="00AE3039" w:rsidRPr="00AE3039" w:rsidRDefault="00AE3039" w:rsidP="00AE3039">
      <w:pPr>
        <w:rPr>
          <w:sz w:val="24"/>
          <w:szCs w:val="24"/>
        </w:rPr>
      </w:pPr>
      <w:r w:rsidRPr="00AE3039">
        <w:rPr>
          <w:lang w:eastAsia="bg-BG"/>
        </w:rPr>
        <w:t>Дата на последно подновяване: 21.05.2009 г.</w:t>
      </w:r>
    </w:p>
    <w:p w14:paraId="3AE5F315" w14:textId="77777777" w:rsidR="00AE3039" w:rsidRPr="00AE3039" w:rsidRDefault="00AE3039" w:rsidP="00AE3039"/>
    <w:p w14:paraId="0E9D0119" w14:textId="0245C6D7" w:rsidR="002C50EE" w:rsidRDefault="002C50EE" w:rsidP="002C50EE">
      <w:pPr>
        <w:pStyle w:val="Heading1"/>
      </w:pPr>
      <w:r>
        <w:t>10. ДАТА НА АКТУАЛИЗИРАНЕ НА ТЕКСТА</w:t>
      </w:r>
    </w:p>
    <w:bookmarkEnd w:id="0"/>
    <w:p w14:paraId="43FB38A2" w14:textId="04331390" w:rsidR="007C605B" w:rsidRPr="002B0A88" w:rsidRDefault="00AE3039" w:rsidP="00AE3039">
      <w:pPr>
        <w:rPr>
          <w:sz w:val="24"/>
          <w:szCs w:val="24"/>
        </w:rPr>
      </w:pPr>
      <w:r>
        <w:t>Март, 2014 г.</w:t>
      </w:r>
      <w:bookmarkStart w:id="1" w:name="_GoBack"/>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F53CE"/>
    <w:multiLevelType w:val="hybridMultilevel"/>
    <w:tmpl w:val="96E2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0"/>
  </w:num>
  <w:num w:numId="12">
    <w:abstractNumId w:val="14"/>
  </w:num>
  <w:num w:numId="13">
    <w:abstractNumId w:val="20"/>
  </w:num>
  <w:num w:numId="14">
    <w:abstractNumId w:val="12"/>
  </w:num>
  <w:num w:numId="15">
    <w:abstractNumId w:val="29"/>
  </w:num>
  <w:num w:numId="16">
    <w:abstractNumId w:val="10"/>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3"/>
  </w:num>
  <w:num w:numId="31">
    <w:abstractNumId w:val="5"/>
  </w:num>
  <w:num w:numId="32">
    <w:abstractNumId w:val="15"/>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AE3039"/>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12255</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2023-02-20T15:33:00Z</dcterms:created>
  <dcterms:modified xsi:type="dcterms:W3CDTF">2023-02-20T15:33:00Z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