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93D3EEF" w:rsidR="00AA23EC" w:rsidRDefault="00DD466D" w:rsidP="00DD466D">
      <w:pPr>
        <w:pStyle w:val="Heading1"/>
      </w:pPr>
      <w:r>
        <w:t>1.ИМЕ НА ЛЕКАРСТВЕНИЯ ПРОДУКТ</w:t>
      </w:r>
    </w:p>
    <w:p w14:paraId="3DA45DD8" w14:textId="65B10D98" w:rsidR="00791CE5" w:rsidRDefault="00791CE5" w:rsidP="00791CE5"/>
    <w:p w14:paraId="61EAA6B3" w14:textId="77777777" w:rsidR="00791CE5" w:rsidRPr="00791CE5" w:rsidRDefault="00791CE5" w:rsidP="00791CE5">
      <w:pPr>
        <w:rPr>
          <w:sz w:val="24"/>
          <w:szCs w:val="24"/>
        </w:rPr>
      </w:pPr>
      <w:r w:rsidRPr="00791CE5">
        <w:rPr>
          <w:lang w:eastAsia="bg-BG"/>
        </w:rPr>
        <w:t xml:space="preserve">ФАРЛУТАЛ 500 </w:t>
      </w:r>
      <w:r w:rsidRPr="00791CE5">
        <w:rPr>
          <w:lang w:val="en-US"/>
        </w:rPr>
        <w:t xml:space="preserve">mg </w:t>
      </w:r>
      <w:r w:rsidRPr="00791CE5">
        <w:rPr>
          <w:lang w:eastAsia="bg-BG"/>
        </w:rPr>
        <w:t>таблетки</w:t>
      </w:r>
    </w:p>
    <w:p w14:paraId="54637029" w14:textId="020A1565" w:rsidR="00791CE5" w:rsidRPr="00791CE5" w:rsidRDefault="00791CE5" w:rsidP="00791CE5">
      <w:r w:rsidRPr="00791CE5">
        <w:rPr>
          <w:lang w:val="en-US"/>
        </w:rPr>
        <w:t xml:space="preserve">FARLUTAL </w:t>
      </w:r>
      <w:r w:rsidRPr="00791CE5">
        <w:rPr>
          <w:lang w:eastAsia="bg-BG"/>
        </w:rPr>
        <w:t xml:space="preserve">500 </w:t>
      </w:r>
      <w:r w:rsidRPr="00791CE5">
        <w:rPr>
          <w:lang w:val="en-US"/>
        </w:rPr>
        <w:t>mg tablets</w:t>
      </w:r>
    </w:p>
    <w:p w14:paraId="0A368469" w14:textId="57E37A8A" w:rsidR="00C0049F" w:rsidRDefault="00DD466D" w:rsidP="009F1313">
      <w:pPr>
        <w:pStyle w:val="Heading1"/>
      </w:pPr>
      <w:r>
        <w:t>2. КАЧЕСТВЕН И КОЛИЧЕСТВЕН СЪСТАВ</w:t>
      </w:r>
    </w:p>
    <w:p w14:paraId="4CE0D87A" w14:textId="68DD90B7" w:rsidR="00791CE5" w:rsidRDefault="00791CE5" w:rsidP="00791CE5"/>
    <w:p w14:paraId="5D6AD02C" w14:textId="77777777" w:rsidR="00791CE5" w:rsidRPr="00791CE5" w:rsidRDefault="00791CE5" w:rsidP="00791CE5">
      <w:pPr>
        <w:spacing w:line="240" w:lineRule="auto"/>
        <w:rPr>
          <w:rFonts w:eastAsia="Times New Roman" w:cs="Arial"/>
          <w:sz w:val="24"/>
          <w:szCs w:val="24"/>
        </w:rPr>
      </w:pPr>
      <w:r w:rsidRPr="00791CE5">
        <w:rPr>
          <w:rFonts w:eastAsia="Times New Roman" w:cs="Arial"/>
          <w:color w:val="000000"/>
          <w:lang w:eastAsia="bg-BG"/>
        </w:rPr>
        <w:t xml:space="preserve">Всяка таблетка съдържа 500 </w:t>
      </w:r>
      <w:r w:rsidRPr="00791CE5">
        <w:rPr>
          <w:rFonts w:eastAsia="Times New Roman" w:cs="Arial"/>
          <w:color w:val="000000"/>
          <w:lang w:val="en-US"/>
        </w:rPr>
        <w:t>mg</w:t>
      </w:r>
      <w:r w:rsidRPr="00791CE5">
        <w:rPr>
          <w:rFonts w:eastAsia="Times New Roman" w:cs="Arial"/>
          <w:color w:val="000000"/>
        </w:rPr>
        <w:t xml:space="preserve"> </w:t>
      </w:r>
      <w:r w:rsidRPr="00791CE5">
        <w:rPr>
          <w:rFonts w:eastAsia="Times New Roman" w:cs="Arial"/>
          <w:color w:val="000000"/>
          <w:lang w:eastAsia="bg-BG"/>
        </w:rPr>
        <w:t xml:space="preserve">медроксипрогестеронов ацетат </w:t>
      </w:r>
      <w:r w:rsidRPr="00791CE5">
        <w:rPr>
          <w:rFonts w:eastAsia="Times New Roman" w:cs="Arial"/>
          <w:i/>
          <w:iCs/>
          <w:color w:val="000000"/>
        </w:rPr>
        <w:t>(</w:t>
      </w:r>
      <w:r w:rsidRPr="00791CE5">
        <w:rPr>
          <w:rFonts w:eastAsia="Times New Roman" w:cs="Arial"/>
          <w:i/>
          <w:iCs/>
          <w:color w:val="000000"/>
          <w:lang w:val="en-US"/>
        </w:rPr>
        <w:t>medroxyprogesterone</w:t>
      </w:r>
      <w:r w:rsidRPr="00791CE5">
        <w:rPr>
          <w:rFonts w:eastAsia="Times New Roman" w:cs="Arial"/>
          <w:i/>
          <w:iCs/>
          <w:color w:val="000000"/>
        </w:rPr>
        <w:t xml:space="preserve"> </w:t>
      </w:r>
      <w:r w:rsidRPr="00791CE5">
        <w:rPr>
          <w:rFonts w:eastAsia="Times New Roman" w:cs="Arial"/>
          <w:i/>
          <w:iCs/>
          <w:color w:val="000000"/>
          <w:lang w:val="en-US"/>
        </w:rPr>
        <w:t>acetate</w:t>
      </w:r>
      <w:r w:rsidRPr="00791CE5">
        <w:rPr>
          <w:rFonts w:eastAsia="Times New Roman" w:cs="Arial"/>
          <w:i/>
          <w:iCs/>
          <w:color w:val="000000"/>
        </w:rPr>
        <w:t xml:space="preserve">) </w:t>
      </w:r>
      <w:r w:rsidRPr="00791CE5">
        <w:rPr>
          <w:rFonts w:eastAsia="Times New Roman" w:cs="Arial"/>
          <w:color w:val="000000"/>
          <w:lang w:eastAsia="bg-BG"/>
        </w:rPr>
        <w:t>(МРА).</w:t>
      </w:r>
    </w:p>
    <w:p w14:paraId="06555642" w14:textId="77777777" w:rsidR="00791CE5" w:rsidRPr="00791CE5" w:rsidRDefault="00791CE5" w:rsidP="00791CE5">
      <w:pPr>
        <w:spacing w:line="240" w:lineRule="auto"/>
        <w:rPr>
          <w:rFonts w:eastAsia="Times New Roman" w:cs="Arial"/>
          <w:color w:val="000000"/>
          <w:u w:val="single"/>
          <w:lang w:eastAsia="bg-BG"/>
        </w:rPr>
      </w:pPr>
    </w:p>
    <w:p w14:paraId="65C11694" w14:textId="3B8C0980" w:rsidR="00791CE5" w:rsidRPr="00791CE5" w:rsidRDefault="00791CE5" w:rsidP="00791CE5">
      <w:pPr>
        <w:spacing w:line="240" w:lineRule="auto"/>
        <w:rPr>
          <w:rFonts w:eastAsia="Times New Roman" w:cs="Arial"/>
          <w:sz w:val="24"/>
          <w:szCs w:val="24"/>
        </w:rPr>
      </w:pPr>
      <w:r w:rsidRPr="00791CE5">
        <w:rPr>
          <w:rFonts w:eastAsia="Times New Roman" w:cs="Arial"/>
          <w:color w:val="000000"/>
          <w:u w:val="single"/>
          <w:lang w:eastAsia="bg-BG"/>
        </w:rPr>
        <w:t>Помощни вещества с известно действие</w:t>
      </w:r>
      <w:r w:rsidRPr="00791CE5">
        <w:rPr>
          <w:rFonts w:eastAsia="Times New Roman" w:cs="Arial"/>
          <w:color w:val="000000"/>
          <w:lang w:eastAsia="bg-BG"/>
        </w:rPr>
        <w:t>: лактоза.</w:t>
      </w:r>
    </w:p>
    <w:p w14:paraId="1705B8DD" w14:textId="77777777" w:rsidR="00791CE5" w:rsidRPr="00791CE5" w:rsidRDefault="00791CE5" w:rsidP="00791CE5"/>
    <w:p w14:paraId="614984C4" w14:textId="22297A7D" w:rsidR="008A6AF2" w:rsidRDefault="00DD466D" w:rsidP="002C50EE">
      <w:pPr>
        <w:pStyle w:val="Heading1"/>
      </w:pPr>
      <w:r>
        <w:t>3. ЛЕКАРСТВЕНА ФОРМА</w:t>
      </w:r>
    </w:p>
    <w:p w14:paraId="2C4CC9A7" w14:textId="18E0E702" w:rsidR="00791CE5" w:rsidRDefault="00791CE5" w:rsidP="00791CE5"/>
    <w:p w14:paraId="070AFB51" w14:textId="4F1BCDCC" w:rsidR="00791CE5" w:rsidRPr="00791CE5" w:rsidRDefault="00791CE5" w:rsidP="00791CE5">
      <w:r>
        <w:t>Таблетка</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78B2F8F3" w:rsidR="00395555" w:rsidRDefault="00395555" w:rsidP="00395555"/>
    <w:p w14:paraId="4DD26A1C" w14:textId="6352571E" w:rsidR="00791CE5" w:rsidRDefault="00791CE5" w:rsidP="00791CE5">
      <w:pPr>
        <w:spacing w:line="240" w:lineRule="auto"/>
        <w:rPr>
          <w:rFonts w:eastAsia="Times New Roman" w:cs="Arial"/>
          <w:color w:val="000000"/>
          <w:lang w:eastAsia="bg-BG"/>
        </w:rPr>
      </w:pPr>
      <w:r w:rsidRPr="00791CE5">
        <w:rPr>
          <w:rFonts w:eastAsia="Times New Roman" w:cs="Arial"/>
          <w:color w:val="000000"/>
          <w:lang w:eastAsia="bg-BG"/>
        </w:rPr>
        <w:t>Медроксипрогестеронов ацетат (МРА) таблетки са показани за лечението на:</w:t>
      </w:r>
    </w:p>
    <w:p w14:paraId="68E51381" w14:textId="77777777" w:rsidR="00791CE5" w:rsidRPr="00791CE5" w:rsidRDefault="00791CE5" w:rsidP="00791CE5">
      <w:pPr>
        <w:spacing w:line="240" w:lineRule="auto"/>
        <w:rPr>
          <w:rFonts w:eastAsia="Times New Roman" w:cs="Arial"/>
          <w:sz w:val="24"/>
          <w:szCs w:val="24"/>
        </w:rPr>
      </w:pPr>
    </w:p>
    <w:p w14:paraId="1C3D84A6" w14:textId="77777777" w:rsidR="00791CE5" w:rsidRPr="00791CE5" w:rsidRDefault="00791CE5" w:rsidP="00791CE5">
      <w:pPr>
        <w:pStyle w:val="ListParagraph"/>
        <w:numPr>
          <w:ilvl w:val="0"/>
          <w:numId w:val="32"/>
        </w:numPr>
        <w:spacing w:line="240" w:lineRule="auto"/>
        <w:rPr>
          <w:rFonts w:eastAsia="Times New Roman" w:cs="Arial"/>
          <w:color w:val="000000"/>
          <w:lang w:eastAsia="bg-BG"/>
        </w:rPr>
      </w:pPr>
      <w:r w:rsidRPr="00791CE5">
        <w:rPr>
          <w:rFonts w:eastAsia="Times New Roman" w:cs="Arial"/>
          <w:color w:val="000000"/>
          <w:lang w:eastAsia="bg-BG"/>
        </w:rPr>
        <w:t>рецидивиращ и/или метастазирал карцином на млечната жлеза;</w:t>
      </w:r>
    </w:p>
    <w:p w14:paraId="7F168AED" w14:textId="77777777" w:rsidR="00791CE5" w:rsidRPr="00791CE5" w:rsidRDefault="00791CE5" w:rsidP="00791CE5">
      <w:pPr>
        <w:pStyle w:val="ListParagraph"/>
        <w:numPr>
          <w:ilvl w:val="0"/>
          <w:numId w:val="32"/>
        </w:numPr>
        <w:spacing w:line="240" w:lineRule="auto"/>
        <w:rPr>
          <w:rFonts w:eastAsia="Times New Roman" w:cs="Arial"/>
          <w:color w:val="000000"/>
          <w:lang w:eastAsia="bg-BG"/>
        </w:rPr>
      </w:pPr>
      <w:r w:rsidRPr="00791CE5">
        <w:rPr>
          <w:rFonts w:eastAsia="Times New Roman" w:cs="Arial"/>
          <w:color w:val="000000"/>
          <w:lang w:eastAsia="bg-BG"/>
        </w:rPr>
        <w:t>рецидивиращ и/или метастазирал ендометриален карцином;</w:t>
      </w:r>
    </w:p>
    <w:p w14:paraId="1EDC8FE6" w14:textId="77777777" w:rsidR="00791CE5" w:rsidRPr="00791CE5" w:rsidRDefault="00791CE5" w:rsidP="00791CE5">
      <w:pPr>
        <w:pStyle w:val="ListParagraph"/>
        <w:numPr>
          <w:ilvl w:val="0"/>
          <w:numId w:val="32"/>
        </w:numPr>
        <w:spacing w:line="240" w:lineRule="auto"/>
        <w:rPr>
          <w:rFonts w:eastAsia="Times New Roman" w:cs="Arial"/>
          <w:color w:val="000000"/>
          <w:lang w:eastAsia="bg-BG"/>
        </w:rPr>
      </w:pPr>
      <w:r w:rsidRPr="00791CE5">
        <w:rPr>
          <w:rFonts w:eastAsia="Times New Roman" w:cs="Arial"/>
          <w:color w:val="000000"/>
          <w:lang w:eastAsia="bg-BG"/>
        </w:rPr>
        <w:t>рецидивиращ и/или метастазирал бъбречен карцином;</w:t>
      </w:r>
    </w:p>
    <w:p w14:paraId="0E893051" w14:textId="77777777" w:rsidR="00791CE5" w:rsidRPr="00791CE5" w:rsidRDefault="00791CE5" w:rsidP="00791CE5">
      <w:pPr>
        <w:pStyle w:val="ListParagraph"/>
        <w:numPr>
          <w:ilvl w:val="0"/>
          <w:numId w:val="32"/>
        </w:numPr>
        <w:spacing w:line="240" w:lineRule="auto"/>
        <w:rPr>
          <w:rFonts w:eastAsia="Times New Roman" w:cs="Arial"/>
          <w:color w:val="000000"/>
          <w:lang w:eastAsia="bg-BG"/>
        </w:rPr>
      </w:pPr>
      <w:r w:rsidRPr="00791CE5">
        <w:rPr>
          <w:rFonts w:eastAsia="Times New Roman" w:cs="Arial"/>
          <w:color w:val="000000"/>
          <w:lang w:eastAsia="bg-BG"/>
        </w:rPr>
        <w:t>метастазирал простатен карцином;</w:t>
      </w:r>
    </w:p>
    <w:p w14:paraId="400F4B06" w14:textId="77777777" w:rsidR="00791CE5" w:rsidRPr="00791CE5" w:rsidRDefault="00791CE5" w:rsidP="00791CE5">
      <w:pPr>
        <w:pStyle w:val="ListParagraph"/>
        <w:numPr>
          <w:ilvl w:val="0"/>
          <w:numId w:val="32"/>
        </w:numPr>
        <w:spacing w:line="240" w:lineRule="auto"/>
        <w:rPr>
          <w:rFonts w:eastAsia="Times New Roman" w:cs="Arial"/>
          <w:color w:val="000000"/>
          <w:lang w:eastAsia="bg-BG"/>
        </w:rPr>
      </w:pPr>
      <w:r w:rsidRPr="00791CE5">
        <w:rPr>
          <w:rFonts w:eastAsia="Times New Roman" w:cs="Arial"/>
          <w:color w:val="000000"/>
          <w:lang w:eastAsia="bg-BG"/>
        </w:rPr>
        <w:t>синдром на анорексия и кахексия.</w:t>
      </w:r>
    </w:p>
    <w:p w14:paraId="05058D6C" w14:textId="77777777" w:rsidR="00791CE5" w:rsidRPr="00395555" w:rsidRDefault="00791CE5" w:rsidP="00395555"/>
    <w:p w14:paraId="7C0CA5EB" w14:textId="372A3480" w:rsidR="00C0049F" w:rsidRDefault="002C50EE" w:rsidP="009F1313">
      <w:pPr>
        <w:pStyle w:val="Heading2"/>
      </w:pPr>
      <w:r>
        <w:t>4.2. Дозировка и начин на приложение</w:t>
      </w:r>
    </w:p>
    <w:p w14:paraId="692CD6E8" w14:textId="783D7C43" w:rsidR="00791CE5" w:rsidRDefault="00791CE5" w:rsidP="00791CE5"/>
    <w:p w14:paraId="68F50772" w14:textId="77777777" w:rsidR="00791CE5" w:rsidRPr="00791CE5" w:rsidRDefault="00791CE5" w:rsidP="00791CE5">
      <w:pPr>
        <w:pStyle w:val="Heading3"/>
        <w:rPr>
          <w:rFonts w:eastAsia="Times New Roman"/>
          <w:u w:val="single"/>
        </w:rPr>
      </w:pPr>
      <w:r w:rsidRPr="00791CE5">
        <w:rPr>
          <w:rFonts w:eastAsia="Times New Roman"/>
          <w:u w:val="single"/>
          <w:lang w:eastAsia="bg-BG"/>
        </w:rPr>
        <w:t>Дозировка</w:t>
      </w:r>
    </w:p>
    <w:p w14:paraId="35917984" w14:textId="77777777" w:rsidR="00791CE5" w:rsidRPr="00791CE5" w:rsidRDefault="00791CE5" w:rsidP="00791CE5">
      <w:pPr>
        <w:spacing w:line="240" w:lineRule="auto"/>
        <w:rPr>
          <w:rFonts w:eastAsia="Times New Roman" w:cs="Arial"/>
          <w:i/>
          <w:iCs/>
          <w:color w:val="000000"/>
          <w:lang w:eastAsia="bg-BG"/>
        </w:rPr>
      </w:pPr>
    </w:p>
    <w:p w14:paraId="1B2B8199" w14:textId="4041C0E2" w:rsidR="00791CE5" w:rsidRPr="00791CE5" w:rsidRDefault="00791CE5" w:rsidP="00791CE5">
      <w:pPr>
        <w:spacing w:line="240" w:lineRule="auto"/>
        <w:rPr>
          <w:rFonts w:eastAsia="Times New Roman" w:cs="Arial"/>
        </w:rPr>
      </w:pPr>
      <w:r w:rsidRPr="00791CE5">
        <w:rPr>
          <w:rFonts w:eastAsia="Times New Roman" w:cs="Arial"/>
          <w:i/>
          <w:iCs/>
          <w:color w:val="000000"/>
          <w:lang w:eastAsia="bg-BG"/>
        </w:rPr>
        <w:t>Рецидивиращ и/или метастазирал карцином на млечната жлеза:</w:t>
      </w:r>
    </w:p>
    <w:p w14:paraId="6F17949C" w14:textId="77777777" w:rsidR="00791CE5" w:rsidRPr="00791CE5" w:rsidRDefault="00791CE5" w:rsidP="00791CE5">
      <w:pPr>
        <w:pStyle w:val="ListParagraph"/>
        <w:numPr>
          <w:ilvl w:val="0"/>
          <w:numId w:val="33"/>
        </w:numPr>
        <w:spacing w:line="240" w:lineRule="auto"/>
        <w:rPr>
          <w:rFonts w:eastAsia="Times New Roman" w:cs="Arial"/>
          <w:color w:val="000000"/>
          <w:lang w:eastAsia="bg-BG"/>
        </w:rPr>
      </w:pPr>
      <w:r w:rsidRPr="00791CE5">
        <w:rPr>
          <w:rFonts w:eastAsia="Times New Roman" w:cs="Arial"/>
          <w:color w:val="000000"/>
          <w:lang w:eastAsia="bg-BG"/>
        </w:rPr>
        <w:t xml:space="preserve">400 до 1 500 </w:t>
      </w:r>
      <w:r w:rsidRPr="00791CE5">
        <w:rPr>
          <w:rFonts w:eastAsia="Times New Roman" w:cs="Arial"/>
          <w:color w:val="000000"/>
          <w:lang w:val="en-US"/>
        </w:rPr>
        <w:t xml:space="preserve">mg </w:t>
      </w:r>
      <w:r w:rsidRPr="00791CE5">
        <w:rPr>
          <w:rFonts w:eastAsia="Times New Roman" w:cs="Arial"/>
          <w:color w:val="000000"/>
          <w:lang w:eastAsia="bg-BG"/>
        </w:rPr>
        <w:t>дневно;</w:t>
      </w:r>
    </w:p>
    <w:p w14:paraId="440CF5E2" w14:textId="77777777" w:rsidR="00791CE5" w:rsidRPr="00791CE5" w:rsidRDefault="00791CE5" w:rsidP="00791CE5">
      <w:pPr>
        <w:spacing w:line="240" w:lineRule="auto"/>
        <w:rPr>
          <w:rFonts w:eastAsia="Times New Roman" w:cs="Arial"/>
          <w:i/>
          <w:iCs/>
          <w:color w:val="000000"/>
          <w:lang w:eastAsia="bg-BG"/>
        </w:rPr>
      </w:pPr>
    </w:p>
    <w:p w14:paraId="76AD1031" w14:textId="1434AE3C" w:rsidR="00791CE5" w:rsidRPr="00791CE5" w:rsidRDefault="00791CE5" w:rsidP="00791CE5">
      <w:pPr>
        <w:spacing w:line="240" w:lineRule="auto"/>
        <w:rPr>
          <w:rFonts w:eastAsia="Times New Roman" w:cs="Arial"/>
        </w:rPr>
      </w:pPr>
      <w:r w:rsidRPr="00791CE5">
        <w:rPr>
          <w:rFonts w:eastAsia="Times New Roman" w:cs="Arial"/>
          <w:i/>
          <w:iCs/>
          <w:color w:val="000000"/>
          <w:lang w:eastAsia="bg-BG"/>
        </w:rPr>
        <w:t>Рецидивиращ и/или метастазирал ендометриален или бъбречен карцином:</w:t>
      </w:r>
    </w:p>
    <w:p w14:paraId="68531AD0" w14:textId="77777777" w:rsidR="00791CE5" w:rsidRPr="00791CE5" w:rsidRDefault="00791CE5" w:rsidP="00791CE5">
      <w:pPr>
        <w:pStyle w:val="ListParagraph"/>
        <w:numPr>
          <w:ilvl w:val="0"/>
          <w:numId w:val="33"/>
        </w:numPr>
        <w:spacing w:line="240" w:lineRule="auto"/>
        <w:rPr>
          <w:rFonts w:eastAsia="Times New Roman" w:cs="Arial"/>
          <w:color w:val="000000"/>
          <w:lang w:eastAsia="bg-BG"/>
        </w:rPr>
      </w:pPr>
      <w:r w:rsidRPr="00791CE5">
        <w:rPr>
          <w:rFonts w:eastAsia="Times New Roman" w:cs="Arial"/>
          <w:color w:val="000000"/>
          <w:lang w:eastAsia="bg-BG"/>
        </w:rPr>
        <w:t xml:space="preserve">100 до 600 </w:t>
      </w:r>
      <w:r w:rsidRPr="00791CE5">
        <w:rPr>
          <w:rFonts w:eastAsia="Times New Roman" w:cs="Arial"/>
          <w:color w:val="000000"/>
          <w:lang w:val="en-US"/>
        </w:rPr>
        <w:t xml:space="preserve">mg </w:t>
      </w:r>
      <w:r w:rsidRPr="00791CE5">
        <w:rPr>
          <w:rFonts w:eastAsia="Times New Roman" w:cs="Arial"/>
          <w:color w:val="000000"/>
          <w:lang w:eastAsia="bg-BG"/>
        </w:rPr>
        <w:t>дневно;</w:t>
      </w:r>
    </w:p>
    <w:p w14:paraId="2F2AB37E" w14:textId="77777777" w:rsidR="00791CE5" w:rsidRPr="00791CE5" w:rsidRDefault="00791CE5" w:rsidP="00791CE5">
      <w:pPr>
        <w:spacing w:line="240" w:lineRule="auto"/>
        <w:rPr>
          <w:rFonts w:eastAsia="Times New Roman" w:cs="Arial"/>
          <w:i/>
          <w:iCs/>
          <w:color w:val="000000"/>
          <w:lang w:eastAsia="bg-BG"/>
        </w:rPr>
      </w:pPr>
    </w:p>
    <w:p w14:paraId="573896DF" w14:textId="12890FAA" w:rsidR="00791CE5" w:rsidRPr="00791CE5" w:rsidRDefault="00791CE5" w:rsidP="00791CE5">
      <w:pPr>
        <w:spacing w:line="240" w:lineRule="auto"/>
        <w:rPr>
          <w:rFonts w:eastAsia="Times New Roman" w:cs="Arial"/>
        </w:rPr>
      </w:pPr>
      <w:r w:rsidRPr="00791CE5">
        <w:rPr>
          <w:rFonts w:eastAsia="Times New Roman" w:cs="Arial"/>
          <w:i/>
          <w:iCs/>
          <w:color w:val="000000"/>
          <w:lang w:eastAsia="bg-BG"/>
        </w:rPr>
        <w:t>Метастазирал простатен карцином:</w:t>
      </w:r>
    </w:p>
    <w:p w14:paraId="3100C5C6" w14:textId="77777777" w:rsidR="00791CE5" w:rsidRPr="00791CE5" w:rsidRDefault="00791CE5" w:rsidP="00791CE5">
      <w:pPr>
        <w:pStyle w:val="ListParagraph"/>
        <w:numPr>
          <w:ilvl w:val="0"/>
          <w:numId w:val="33"/>
        </w:numPr>
        <w:spacing w:line="240" w:lineRule="auto"/>
        <w:rPr>
          <w:rFonts w:eastAsia="Times New Roman" w:cs="Arial"/>
          <w:color w:val="000000"/>
          <w:lang w:eastAsia="bg-BG"/>
        </w:rPr>
      </w:pPr>
      <w:r w:rsidRPr="00791CE5">
        <w:rPr>
          <w:rFonts w:eastAsia="Times New Roman" w:cs="Arial"/>
          <w:color w:val="000000"/>
          <w:lang w:eastAsia="bg-BG"/>
        </w:rPr>
        <w:t xml:space="preserve">100 до 500 </w:t>
      </w:r>
      <w:r w:rsidRPr="00791CE5">
        <w:rPr>
          <w:rFonts w:eastAsia="Times New Roman" w:cs="Arial"/>
          <w:color w:val="000000"/>
          <w:lang w:val="en-US"/>
        </w:rPr>
        <w:t xml:space="preserve">mg </w:t>
      </w:r>
      <w:r w:rsidRPr="00791CE5">
        <w:rPr>
          <w:rFonts w:eastAsia="Times New Roman" w:cs="Arial"/>
          <w:color w:val="000000"/>
          <w:lang w:eastAsia="bg-BG"/>
        </w:rPr>
        <w:t>дневно;</w:t>
      </w:r>
    </w:p>
    <w:p w14:paraId="3DDE41A4" w14:textId="77777777" w:rsidR="00791CE5" w:rsidRPr="00791CE5" w:rsidRDefault="00791CE5" w:rsidP="00791CE5">
      <w:pPr>
        <w:spacing w:line="240" w:lineRule="auto"/>
        <w:rPr>
          <w:rFonts w:eastAsia="Times New Roman" w:cs="Arial"/>
          <w:i/>
          <w:iCs/>
          <w:color w:val="000000"/>
          <w:lang w:eastAsia="bg-BG"/>
        </w:rPr>
      </w:pPr>
    </w:p>
    <w:p w14:paraId="05B011D4" w14:textId="6184C74A" w:rsidR="00791CE5" w:rsidRPr="00791CE5" w:rsidRDefault="00791CE5" w:rsidP="00791CE5">
      <w:pPr>
        <w:spacing w:line="240" w:lineRule="auto"/>
        <w:rPr>
          <w:rFonts w:eastAsia="Times New Roman" w:cs="Arial"/>
        </w:rPr>
      </w:pPr>
      <w:r w:rsidRPr="00791CE5">
        <w:rPr>
          <w:rFonts w:eastAsia="Times New Roman" w:cs="Arial"/>
          <w:i/>
          <w:iCs/>
          <w:color w:val="000000"/>
          <w:lang w:eastAsia="bg-BG"/>
        </w:rPr>
        <w:t>Синдром на анорексия и кахексия:</w:t>
      </w:r>
    </w:p>
    <w:p w14:paraId="4EA89DC6" w14:textId="77777777" w:rsidR="00791CE5" w:rsidRPr="00791CE5" w:rsidRDefault="00791CE5" w:rsidP="00791CE5">
      <w:pPr>
        <w:pStyle w:val="ListParagraph"/>
        <w:numPr>
          <w:ilvl w:val="0"/>
          <w:numId w:val="33"/>
        </w:numPr>
        <w:spacing w:line="240" w:lineRule="auto"/>
        <w:rPr>
          <w:rFonts w:eastAsia="Times New Roman" w:cs="Arial"/>
          <w:color w:val="000000"/>
          <w:lang w:eastAsia="bg-BG"/>
        </w:rPr>
      </w:pPr>
      <w:r w:rsidRPr="00791CE5">
        <w:rPr>
          <w:rFonts w:eastAsia="Times New Roman" w:cs="Arial"/>
          <w:color w:val="000000"/>
          <w:lang w:eastAsia="bg-BG"/>
        </w:rPr>
        <w:t xml:space="preserve">1 000 </w:t>
      </w:r>
      <w:r w:rsidRPr="00791CE5">
        <w:rPr>
          <w:rFonts w:eastAsia="Times New Roman" w:cs="Arial"/>
          <w:color w:val="000000"/>
          <w:lang w:val="en-US"/>
        </w:rPr>
        <w:t xml:space="preserve">mg </w:t>
      </w:r>
      <w:r w:rsidRPr="00791CE5">
        <w:rPr>
          <w:rFonts w:eastAsia="Times New Roman" w:cs="Arial"/>
          <w:color w:val="000000"/>
          <w:lang w:eastAsia="bg-BG"/>
        </w:rPr>
        <w:t>дневно.</w:t>
      </w:r>
    </w:p>
    <w:p w14:paraId="46A2758F" w14:textId="77777777" w:rsidR="00791CE5" w:rsidRPr="00791CE5" w:rsidRDefault="00791CE5" w:rsidP="00791CE5">
      <w:pPr>
        <w:spacing w:line="240" w:lineRule="auto"/>
        <w:rPr>
          <w:rFonts w:eastAsia="Times New Roman" w:cs="Arial"/>
          <w:b/>
          <w:bCs/>
          <w:i/>
          <w:iCs/>
          <w:color w:val="000000"/>
          <w:lang w:eastAsia="bg-BG"/>
        </w:rPr>
      </w:pPr>
    </w:p>
    <w:p w14:paraId="35B991C4" w14:textId="1BE8A22E" w:rsidR="00791CE5" w:rsidRPr="00791CE5" w:rsidRDefault="00791CE5" w:rsidP="00791CE5">
      <w:pPr>
        <w:spacing w:line="240" w:lineRule="auto"/>
        <w:rPr>
          <w:rFonts w:eastAsia="Times New Roman" w:cs="Arial"/>
        </w:rPr>
      </w:pPr>
      <w:r w:rsidRPr="00791CE5">
        <w:rPr>
          <w:rFonts w:eastAsia="Times New Roman" w:cs="Arial"/>
          <w:b/>
          <w:bCs/>
          <w:i/>
          <w:iCs/>
          <w:color w:val="000000"/>
          <w:lang w:eastAsia="bg-BG"/>
        </w:rPr>
        <w:t>Чернодробна недостатъчност</w:t>
      </w:r>
    </w:p>
    <w:p w14:paraId="69D50B73" w14:textId="28EF8782" w:rsidR="00791CE5" w:rsidRPr="00791CE5" w:rsidRDefault="00791CE5" w:rsidP="00791CE5">
      <w:pPr>
        <w:rPr>
          <w:rFonts w:eastAsia="Times New Roman" w:cs="Arial"/>
          <w:b/>
          <w:bCs/>
          <w:color w:val="000000"/>
          <w:lang w:eastAsia="bg-BG"/>
        </w:rPr>
      </w:pPr>
      <w:r w:rsidRPr="00791CE5">
        <w:rPr>
          <w:rFonts w:eastAsia="Times New Roman" w:cs="Arial"/>
          <w:color w:val="000000"/>
          <w:lang w:eastAsia="bg-BG"/>
        </w:rPr>
        <w:t xml:space="preserve">Няма клинични проучвания, които да оценяват ефекта на чернодробно заболяване върху фармакокинетиката на МРА. МРА обаче почти изцяло се елиминира чрез чернодробен метаболизъм и стероидните хормони могат слабо да се метаболизират при пациенти с тежка чернодробна недостатъчност </w:t>
      </w:r>
      <w:r w:rsidRPr="00791CE5">
        <w:rPr>
          <w:rFonts w:eastAsia="Times New Roman" w:cs="Arial"/>
          <w:b/>
          <w:bCs/>
          <w:color w:val="000000"/>
          <w:lang w:eastAsia="bg-BG"/>
        </w:rPr>
        <w:t>(вж. точка 4.3 - Противопоказания).</w:t>
      </w:r>
    </w:p>
    <w:p w14:paraId="082E55CE" w14:textId="749E6F90" w:rsidR="00791CE5" w:rsidRPr="00791CE5" w:rsidRDefault="00791CE5" w:rsidP="00791CE5">
      <w:pPr>
        <w:rPr>
          <w:rFonts w:eastAsia="Times New Roman" w:cs="Arial"/>
          <w:b/>
          <w:bCs/>
          <w:color w:val="000000"/>
          <w:lang w:eastAsia="bg-BG"/>
        </w:rPr>
      </w:pPr>
    </w:p>
    <w:p w14:paraId="2F4E3EEE" w14:textId="77777777" w:rsidR="00791CE5" w:rsidRPr="00791CE5" w:rsidRDefault="00791CE5" w:rsidP="00791CE5">
      <w:pPr>
        <w:spacing w:line="240" w:lineRule="auto"/>
        <w:rPr>
          <w:rFonts w:eastAsia="Times New Roman" w:cs="Arial"/>
        </w:rPr>
      </w:pPr>
      <w:r w:rsidRPr="00791CE5">
        <w:rPr>
          <w:rFonts w:eastAsia="Times New Roman" w:cs="Arial"/>
          <w:b/>
          <w:bCs/>
          <w:i/>
          <w:iCs/>
          <w:color w:val="000000"/>
          <w:lang w:eastAsia="bg-BG"/>
        </w:rPr>
        <w:t>Бъбречна недостатъчност</w:t>
      </w:r>
    </w:p>
    <w:p w14:paraId="7D2ADC32" w14:textId="59541FD8" w:rsidR="00791CE5" w:rsidRPr="00791CE5" w:rsidRDefault="00791CE5" w:rsidP="00791CE5">
      <w:pPr>
        <w:rPr>
          <w:rFonts w:eastAsia="Times New Roman" w:cs="Arial"/>
          <w:color w:val="000000"/>
          <w:lang w:eastAsia="bg-BG"/>
        </w:rPr>
      </w:pPr>
      <w:r w:rsidRPr="00791CE5">
        <w:rPr>
          <w:rFonts w:eastAsia="Times New Roman" w:cs="Arial"/>
          <w:color w:val="000000"/>
          <w:lang w:eastAsia="bg-BG"/>
        </w:rPr>
        <w:t>Няма клинични проучвания, които да оценяват ефекта на бъбречно заболяване върху фармакокинетиката на МРА. Тъй като МРА, почти изцяло се елиминира чрез чернодробен метаболизъм, не са необходими промени в дозите при жени с бъбречна недостатъчност.</w:t>
      </w:r>
    </w:p>
    <w:p w14:paraId="0B567431" w14:textId="77777777" w:rsidR="00791CE5" w:rsidRPr="00791CE5" w:rsidRDefault="00791CE5" w:rsidP="00791CE5"/>
    <w:p w14:paraId="62B13D0B" w14:textId="10650C07" w:rsidR="00395555" w:rsidRDefault="002C50EE" w:rsidP="008A6AF2">
      <w:pPr>
        <w:pStyle w:val="Heading2"/>
      </w:pPr>
      <w:r>
        <w:t>4.3. Противопоказания</w:t>
      </w:r>
    </w:p>
    <w:p w14:paraId="0F8B17D3" w14:textId="661DC4BA" w:rsidR="00791CE5" w:rsidRDefault="00791CE5" w:rsidP="00791CE5"/>
    <w:p w14:paraId="7945204A" w14:textId="629380E3" w:rsidR="00791CE5" w:rsidRDefault="00791CE5" w:rsidP="00791CE5">
      <w:pPr>
        <w:rPr>
          <w:lang w:eastAsia="bg-BG"/>
        </w:rPr>
      </w:pPr>
      <w:r w:rsidRPr="00791CE5">
        <w:rPr>
          <w:lang w:eastAsia="bg-BG"/>
        </w:rPr>
        <w:t>МРА е противопоказан при пациенти със следните състояния:</w:t>
      </w:r>
    </w:p>
    <w:p w14:paraId="4FC46678" w14:textId="77777777" w:rsidR="00791CE5" w:rsidRPr="00791CE5" w:rsidRDefault="00791CE5" w:rsidP="00791CE5">
      <w:pPr>
        <w:rPr>
          <w:sz w:val="24"/>
          <w:szCs w:val="24"/>
        </w:rPr>
      </w:pPr>
    </w:p>
    <w:p w14:paraId="6BF4C1DF" w14:textId="77777777" w:rsidR="00791CE5" w:rsidRPr="00791CE5" w:rsidRDefault="00791CE5" w:rsidP="00791CE5">
      <w:pPr>
        <w:pStyle w:val="ListParagraph"/>
        <w:numPr>
          <w:ilvl w:val="0"/>
          <w:numId w:val="33"/>
        </w:numPr>
        <w:rPr>
          <w:lang w:eastAsia="bg-BG"/>
        </w:rPr>
      </w:pPr>
      <w:r w:rsidRPr="00791CE5">
        <w:rPr>
          <w:lang w:eastAsia="bg-BG"/>
        </w:rPr>
        <w:t>установена или подозирана бременност;</w:t>
      </w:r>
    </w:p>
    <w:p w14:paraId="27BE861E" w14:textId="77777777" w:rsidR="00791CE5" w:rsidRPr="00791CE5" w:rsidRDefault="00791CE5" w:rsidP="00791CE5">
      <w:pPr>
        <w:pStyle w:val="ListParagraph"/>
        <w:numPr>
          <w:ilvl w:val="0"/>
          <w:numId w:val="33"/>
        </w:numPr>
        <w:rPr>
          <w:lang w:eastAsia="bg-BG"/>
        </w:rPr>
      </w:pPr>
      <w:r w:rsidRPr="00791CE5">
        <w:rPr>
          <w:lang w:eastAsia="bg-BG"/>
        </w:rPr>
        <w:t>диагностично неуточнено вагинално кървене;</w:t>
      </w:r>
    </w:p>
    <w:p w14:paraId="532BFB59" w14:textId="77777777" w:rsidR="00791CE5" w:rsidRPr="00791CE5" w:rsidRDefault="00791CE5" w:rsidP="00791CE5">
      <w:pPr>
        <w:pStyle w:val="ListParagraph"/>
        <w:numPr>
          <w:ilvl w:val="0"/>
          <w:numId w:val="33"/>
        </w:numPr>
        <w:rPr>
          <w:lang w:eastAsia="bg-BG"/>
        </w:rPr>
      </w:pPr>
      <w:r w:rsidRPr="00791CE5">
        <w:rPr>
          <w:lang w:eastAsia="bg-BG"/>
        </w:rPr>
        <w:t>тежка чернодробна дисфункция;</w:t>
      </w:r>
    </w:p>
    <w:p w14:paraId="595665FD" w14:textId="77777777" w:rsidR="00791CE5" w:rsidRPr="00791CE5" w:rsidRDefault="00791CE5" w:rsidP="00791CE5">
      <w:pPr>
        <w:pStyle w:val="ListParagraph"/>
        <w:numPr>
          <w:ilvl w:val="0"/>
          <w:numId w:val="33"/>
        </w:numPr>
        <w:rPr>
          <w:lang w:eastAsia="bg-BG"/>
        </w:rPr>
      </w:pPr>
      <w:r w:rsidRPr="00791CE5">
        <w:rPr>
          <w:lang w:eastAsia="bg-BG"/>
        </w:rPr>
        <w:t>известна свръхчувствителност към МРА или към някое от помощните вещества, изброени в точка 6.1.</w:t>
      </w:r>
    </w:p>
    <w:p w14:paraId="1F1113ED" w14:textId="77777777" w:rsidR="00791CE5" w:rsidRPr="00791CE5" w:rsidRDefault="00791CE5" w:rsidP="00791CE5"/>
    <w:p w14:paraId="5A4AC413" w14:textId="7B00D9E6" w:rsidR="00395555" w:rsidRDefault="002C50EE" w:rsidP="008A6AF2">
      <w:pPr>
        <w:pStyle w:val="Heading2"/>
      </w:pPr>
      <w:r>
        <w:t>4.4. Специални предупреждения и предпазни мерки при употреба</w:t>
      </w:r>
    </w:p>
    <w:p w14:paraId="6AB45692" w14:textId="236A0F5C" w:rsidR="00791CE5" w:rsidRDefault="00791CE5" w:rsidP="00791CE5"/>
    <w:p w14:paraId="4715EE40" w14:textId="77777777" w:rsidR="00791CE5" w:rsidRPr="00791CE5" w:rsidRDefault="00791CE5" w:rsidP="00791CE5">
      <w:pPr>
        <w:pStyle w:val="ListParagraph"/>
        <w:numPr>
          <w:ilvl w:val="0"/>
          <w:numId w:val="34"/>
        </w:numPr>
        <w:spacing w:line="240" w:lineRule="auto"/>
        <w:rPr>
          <w:rFonts w:eastAsia="Times New Roman" w:cs="Arial"/>
          <w:szCs w:val="20"/>
        </w:rPr>
      </w:pPr>
      <w:r w:rsidRPr="00791CE5">
        <w:rPr>
          <w:rFonts w:eastAsia="Times New Roman" w:cs="Arial"/>
          <w:color w:val="000000"/>
          <w:szCs w:val="20"/>
          <w:lang w:eastAsia="bg-BG"/>
        </w:rPr>
        <w:t>Трябва да се изследва всяко неочаквано вагинално кървене по време на лечение с МРА.</w:t>
      </w:r>
    </w:p>
    <w:p w14:paraId="05DCB4FD" w14:textId="77777777" w:rsidR="00791CE5" w:rsidRPr="00791CE5" w:rsidRDefault="00791CE5" w:rsidP="00791CE5">
      <w:pPr>
        <w:pStyle w:val="ListParagraph"/>
        <w:numPr>
          <w:ilvl w:val="0"/>
          <w:numId w:val="34"/>
        </w:numPr>
        <w:spacing w:line="240" w:lineRule="auto"/>
        <w:rPr>
          <w:rFonts w:eastAsia="Times New Roman" w:cs="Arial"/>
          <w:szCs w:val="20"/>
        </w:rPr>
      </w:pPr>
      <w:r w:rsidRPr="00791CE5">
        <w:rPr>
          <w:rFonts w:eastAsia="Times New Roman" w:cs="Arial"/>
          <w:color w:val="000000"/>
          <w:szCs w:val="20"/>
          <w:lang w:eastAsia="bg-BG"/>
        </w:rPr>
        <w:t>МРА може да предизвика известна задръжка на течности, следователно, трябва да се подхожда с внимание при лечение на пациенти с предшестващи заболявания, които биха могли да се влошат от задръжка на течности.</w:t>
      </w:r>
    </w:p>
    <w:p w14:paraId="1B807B8A" w14:textId="77777777" w:rsidR="00791CE5" w:rsidRPr="00791CE5" w:rsidRDefault="00791CE5" w:rsidP="00791CE5">
      <w:pPr>
        <w:pStyle w:val="ListParagraph"/>
        <w:numPr>
          <w:ilvl w:val="0"/>
          <w:numId w:val="34"/>
        </w:numPr>
        <w:spacing w:line="240" w:lineRule="auto"/>
        <w:rPr>
          <w:rFonts w:eastAsia="Times New Roman" w:cs="Arial"/>
          <w:szCs w:val="20"/>
        </w:rPr>
      </w:pPr>
      <w:r w:rsidRPr="00791CE5">
        <w:rPr>
          <w:rFonts w:eastAsia="Times New Roman" w:cs="Arial"/>
          <w:color w:val="000000"/>
          <w:szCs w:val="20"/>
          <w:lang w:eastAsia="bg-BG"/>
        </w:rPr>
        <w:t>Пациенти с анамнестични данни за лечение на клинично проявена депресия трябва да бъдат внимателно мониторирани по време на лечение с МРА.</w:t>
      </w:r>
    </w:p>
    <w:p w14:paraId="66398CA4" w14:textId="77777777" w:rsidR="00791CE5" w:rsidRPr="00791CE5" w:rsidRDefault="00791CE5" w:rsidP="00791CE5">
      <w:pPr>
        <w:pStyle w:val="ListParagraph"/>
        <w:numPr>
          <w:ilvl w:val="0"/>
          <w:numId w:val="34"/>
        </w:numPr>
        <w:spacing w:line="240" w:lineRule="auto"/>
        <w:rPr>
          <w:rFonts w:eastAsia="Times New Roman" w:cs="Arial"/>
          <w:szCs w:val="20"/>
        </w:rPr>
      </w:pPr>
      <w:r w:rsidRPr="00791CE5">
        <w:rPr>
          <w:rFonts w:eastAsia="Times New Roman" w:cs="Arial"/>
          <w:color w:val="000000"/>
          <w:szCs w:val="20"/>
          <w:lang w:eastAsia="bg-BG"/>
        </w:rPr>
        <w:t>Някои пациенти на лечение с МРА могат да изявят намален глюкозен толеранс. Пациенти, страдащи от диабет, трябва да бъдат внимателно наблюдавани по време на такова лечение.</w:t>
      </w:r>
    </w:p>
    <w:p w14:paraId="707D1DBF" w14:textId="2902A9D1" w:rsidR="00791CE5" w:rsidRPr="00791CE5" w:rsidRDefault="00791CE5" w:rsidP="00791CE5">
      <w:pPr>
        <w:pStyle w:val="ListParagraph"/>
        <w:numPr>
          <w:ilvl w:val="0"/>
          <w:numId w:val="34"/>
        </w:numPr>
        <w:spacing w:line="240" w:lineRule="auto"/>
        <w:rPr>
          <w:rFonts w:eastAsia="Times New Roman" w:cs="Arial"/>
          <w:szCs w:val="20"/>
        </w:rPr>
      </w:pPr>
      <w:r w:rsidRPr="00791CE5">
        <w:rPr>
          <w:rFonts w:eastAsia="Times New Roman" w:cs="Arial"/>
          <w:color w:val="000000"/>
          <w:szCs w:val="20"/>
          <w:lang w:eastAsia="bg-BG"/>
        </w:rPr>
        <w:t>Патологът (лабораторният лекар) трябва да бъде информиран, че пациентът е на терапия с МРА, ако бъде изпратена за изследване проба от ендометриална или ендоцервикална тъкан, • Лекарят/лабораторният лекар трябва да бъдат предупредени, че употребата на МРА може да намали нивата на следните ендокринни биомаркери:</w:t>
      </w:r>
    </w:p>
    <w:p w14:paraId="0AEB0EF8" w14:textId="2C84156C" w:rsidR="00791CE5" w:rsidRPr="00791CE5" w:rsidRDefault="00791CE5" w:rsidP="00791CE5">
      <w:pPr>
        <w:pStyle w:val="ListParagraph"/>
        <w:numPr>
          <w:ilvl w:val="0"/>
          <w:numId w:val="35"/>
        </w:numPr>
        <w:spacing w:line="240" w:lineRule="auto"/>
        <w:rPr>
          <w:rFonts w:eastAsia="Times New Roman" w:cs="Arial"/>
          <w:color w:val="000000"/>
          <w:szCs w:val="20"/>
          <w:lang w:eastAsia="bg-BG"/>
        </w:rPr>
      </w:pPr>
      <w:r w:rsidRPr="00791CE5">
        <w:rPr>
          <w:rFonts w:eastAsia="Times New Roman" w:cs="Arial"/>
          <w:color w:val="000000"/>
          <w:szCs w:val="20"/>
          <w:lang w:eastAsia="bg-BG"/>
        </w:rPr>
        <w:t>стероиди в плазмата/урината (например кортизол, естроген, прегнанедиол,</w:t>
      </w:r>
    </w:p>
    <w:p w14:paraId="358D8426" w14:textId="77777777" w:rsidR="00791CE5" w:rsidRDefault="00791CE5" w:rsidP="00791CE5">
      <w:pPr>
        <w:spacing w:line="240" w:lineRule="auto"/>
        <w:rPr>
          <w:rFonts w:eastAsia="Times New Roman" w:cs="Arial"/>
          <w:szCs w:val="20"/>
        </w:rPr>
      </w:pPr>
      <w:r w:rsidRPr="00791CE5">
        <w:rPr>
          <w:rFonts w:eastAsia="Times New Roman" w:cs="Arial"/>
          <w:color w:val="000000"/>
          <w:szCs w:val="20"/>
          <w:lang w:eastAsia="bg-BG"/>
        </w:rPr>
        <w:t>прогестерон, тестостерон);</w:t>
      </w:r>
    </w:p>
    <w:p w14:paraId="6F094FB2" w14:textId="1D1436D7" w:rsidR="00791CE5" w:rsidRPr="00791CE5" w:rsidRDefault="00791CE5" w:rsidP="00791CE5">
      <w:pPr>
        <w:pStyle w:val="ListParagraph"/>
        <w:numPr>
          <w:ilvl w:val="0"/>
          <w:numId w:val="35"/>
        </w:numPr>
        <w:spacing w:line="240" w:lineRule="auto"/>
        <w:rPr>
          <w:rFonts w:eastAsia="Times New Roman" w:cs="Arial"/>
          <w:szCs w:val="20"/>
        </w:rPr>
      </w:pPr>
      <w:r w:rsidRPr="00791CE5">
        <w:rPr>
          <w:rFonts w:eastAsia="Times New Roman" w:cs="Arial"/>
          <w:color w:val="000000"/>
          <w:szCs w:val="20"/>
          <w:lang w:eastAsia="bg-BG"/>
        </w:rPr>
        <w:t xml:space="preserve">гонадотропини в плазмата/урината (например </w:t>
      </w:r>
      <w:r w:rsidRPr="00791CE5">
        <w:rPr>
          <w:rFonts w:eastAsia="Times New Roman" w:cs="Arial"/>
          <w:color w:val="000000"/>
          <w:szCs w:val="20"/>
          <w:lang w:val="en-US"/>
        </w:rPr>
        <w:t>LH</w:t>
      </w:r>
      <w:r w:rsidRPr="00791CE5">
        <w:rPr>
          <w:rFonts w:eastAsia="Times New Roman" w:cs="Arial"/>
          <w:color w:val="000000"/>
          <w:szCs w:val="20"/>
          <w:lang w:val="ru-RU"/>
        </w:rPr>
        <w:t xml:space="preserve"> </w:t>
      </w:r>
      <w:r w:rsidRPr="00791CE5">
        <w:rPr>
          <w:rFonts w:eastAsia="Times New Roman" w:cs="Arial"/>
          <w:color w:val="000000"/>
          <w:szCs w:val="20"/>
          <w:lang w:eastAsia="bg-BG"/>
        </w:rPr>
        <w:t xml:space="preserve">и </w:t>
      </w:r>
      <w:r w:rsidRPr="00791CE5">
        <w:rPr>
          <w:rFonts w:eastAsia="Times New Roman" w:cs="Arial"/>
          <w:color w:val="000000"/>
          <w:szCs w:val="20"/>
          <w:lang w:val="en-US"/>
        </w:rPr>
        <w:t>FSH</w:t>
      </w:r>
      <w:r w:rsidRPr="00791CE5">
        <w:rPr>
          <w:rFonts w:eastAsia="Times New Roman" w:cs="Arial"/>
          <w:color w:val="000000"/>
          <w:szCs w:val="20"/>
          <w:lang w:val="ru-RU"/>
        </w:rPr>
        <w:t>);</w:t>
      </w:r>
    </w:p>
    <w:p w14:paraId="693635A5" w14:textId="77777777" w:rsidR="00791CE5" w:rsidRDefault="00791CE5" w:rsidP="00791CE5">
      <w:pPr>
        <w:pStyle w:val="ListParagraph"/>
        <w:numPr>
          <w:ilvl w:val="0"/>
          <w:numId w:val="35"/>
        </w:numPr>
        <w:spacing w:line="240" w:lineRule="auto"/>
        <w:rPr>
          <w:rFonts w:eastAsia="Times New Roman" w:cs="Arial"/>
          <w:color w:val="000000"/>
          <w:szCs w:val="20"/>
          <w:lang w:eastAsia="bg-BG"/>
        </w:rPr>
      </w:pPr>
      <w:r w:rsidRPr="00791CE5">
        <w:rPr>
          <w:rFonts w:eastAsia="Times New Roman" w:cs="Arial"/>
          <w:color w:val="000000"/>
          <w:szCs w:val="20"/>
          <w:lang w:eastAsia="bg-BG"/>
        </w:rPr>
        <w:t>свързващ половите хормони глобулин</w:t>
      </w:r>
    </w:p>
    <w:p w14:paraId="363A17EB" w14:textId="77777777" w:rsidR="00791CE5" w:rsidRDefault="00791CE5" w:rsidP="00791CE5">
      <w:pPr>
        <w:pStyle w:val="ListParagraph"/>
        <w:numPr>
          <w:ilvl w:val="0"/>
          <w:numId w:val="36"/>
        </w:numPr>
        <w:spacing w:line="240" w:lineRule="auto"/>
        <w:rPr>
          <w:rFonts w:eastAsia="Times New Roman" w:cs="Arial"/>
          <w:color w:val="000000"/>
          <w:szCs w:val="20"/>
          <w:lang w:eastAsia="bg-BG"/>
        </w:rPr>
      </w:pPr>
      <w:r w:rsidRPr="00791CE5">
        <w:rPr>
          <w:rFonts w:eastAsia="Times New Roman" w:cs="Arial"/>
          <w:color w:val="000000"/>
          <w:szCs w:val="20"/>
          <w:lang w:eastAsia="bg-BG"/>
        </w:rPr>
        <w:t>Лекарството не трябва да се приема повторно преди провеждане на изследване, ако има внезапна частична или пълна загуба на зрение или внезапна поява на проптоза, диплопия или мигрена. Ако изследването установи папиларен оток или лезии на ретиналните съдове, лекарството не трябва да бъде прилагано повторно.</w:t>
      </w:r>
    </w:p>
    <w:p w14:paraId="6687C208" w14:textId="2C32DC4C" w:rsidR="00791CE5" w:rsidRPr="00791CE5" w:rsidRDefault="00791CE5" w:rsidP="00791CE5">
      <w:pPr>
        <w:pStyle w:val="ListParagraph"/>
        <w:numPr>
          <w:ilvl w:val="0"/>
          <w:numId w:val="36"/>
        </w:numPr>
        <w:spacing w:line="240" w:lineRule="auto"/>
        <w:rPr>
          <w:rFonts w:eastAsia="Times New Roman" w:cs="Arial"/>
          <w:color w:val="000000"/>
          <w:szCs w:val="20"/>
          <w:lang w:eastAsia="bg-BG"/>
        </w:rPr>
      </w:pPr>
      <w:r w:rsidRPr="00791CE5">
        <w:rPr>
          <w:rFonts w:eastAsia="Times New Roman" w:cs="Arial"/>
          <w:color w:val="000000"/>
          <w:szCs w:val="20"/>
          <w:lang w:eastAsia="bg-BG"/>
        </w:rPr>
        <w:lastRenderedPageBreak/>
        <w:t>МРА не е бил причинно свързван с предизвикване на тромботични или тромбоемболични нарушения, но МРА не се препоръчва при пациенти с анамнестични данни за венозен тромбоемболизъм (ВТЕ). Препоръчва се прекратяване на приложениетона МРА при пациенти, които развият ВТЕ по време на провеждано лечение с МРА.</w:t>
      </w:r>
    </w:p>
    <w:p w14:paraId="35F9CF9B" w14:textId="77777777" w:rsidR="00791CE5" w:rsidRPr="00791CE5" w:rsidRDefault="00791CE5" w:rsidP="00791CE5">
      <w:pPr>
        <w:spacing w:line="240" w:lineRule="auto"/>
        <w:rPr>
          <w:rFonts w:eastAsia="Times New Roman" w:cs="Arial"/>
          <w:b/>
          <w:bCs/>
          <w:i/>
          <w:iCs/>
          <w:color w:val="000000"/>
          <w:szCs w:val="20"/>
          <w:lang w:eastAsia="bg-BG"/>
        </w:rPr>
      </w:pPr>
    </w:p>
    <w:p w14:paraId="6D5B6E1C" w14:textId="77777777" w:rsidR="00791CE5" w:rsidRDefault="00791CE5" w:rsidP="00791CE5">
      <w:pPr>
        <w:spacing w:line="240" w:lineRule="auto"/>
        <w:rPr>
          <w:rFonts w:eastAsia="Times New Roman" w:cs="Arial"/>
          <w:szCs w:val="20"/>
        </w:rPr>
      </w:pPr>
      <w:r w:rsidRPr="00791CE5">
        <w:rPr>
          <w:rFonts w:eastAsia="Times New Roman" w:cs="Arial"/>
          <w:b/>
          <w:bCs/>
          <w:i/>
          <w:iCs/>
          <w:color w:val="000000"/>
          <w:szCs w:val="20"/>
          <w:lang w:eastAsia="bg-BG"/>
        </w:rPr>
        <w:t>Допълнителни противопоказания и предупреждения при специфична употреба или различни лекарствени форми</w:t>
      </w:r>
    </w:p>
    <w:p w14:paraId="3B9D1421" w14:textId="77777777" w:rsidR="00791CE5" w:rsidRPr="00791CE5" w:rsidRDefault="00791CE5" w:rsidP="00791CE5">
      <w:pPr>
        <w:pStyle w:val="ListParagraph"/>
        <w:numPr>
          <w:ilvl w:val="0"/>
          <w:numId w:val="37"/>
        </w:numPr>
        <w:spacing w:line="240" w:lineRule="auto"/>
        <w:rPr>
          <w:rFonts w:eastAsia="Times New Roman" w:cs="Arial"/>
          <w:szCs w:val="20"/>
        </w:rPr>
      </w:pPr>
      <w:r w:rsidRPr="00791CE5">
        <w:rPr>
          <w:rFonts w:eastAsia="Times New Roman" w:cs="Arial"/>
          <w:color w:val="000000"/>
          <w:szCs w:val="20"/>
          <w:lang w:eastAsia="bg-BG"/>
        </w:rPr>
        <w:t>МРА може да доведе до проява на Къшингоидни симптоми.</w:t>
      </w:r>
    </w:p>
    <w:p w14:paraId="73FE3AF2" w14:textId="77777777" w:rsidR="00791CE5" w:rsidRPr="00791CE5" w:rsidRDefault="00791CE5" w:rsidP="00791CE5">
      <w:pPr>
        <w:pStyle w:val="ListParagraph"/>
        <w:numPr>
          <w:ilvl w:val="0"/>
          <w:numId w:val="37"/>
        </w:numPr>
        <w:spacing w:line="240" w:lineRule="auto"/>
        <w:rPr>
          <w:rFonts w:eastAsia="Times New Roman" w:cs="Arial"/>
          <w:szCs w:val="20"/>
        </w:rPr>
      </w:pPr>
      <w:r w:rsidRPr="00791CE5">
        <w:rPr>
          <w:rFonts w:eastAsia="Times New Roman" w:cs="Arial"/>
          <w:color w:val="000000"/>
          <w:szCs w:val="20"/>
          <w:lang w:eastAsia="bg-BG"/>
        </w:rPr>
        <w:t>Някои пациенти на терапия с МРА може да имат потисната функция на надбъбречните жлези. МРА може да намали концентрацията на адренокортикотропен хормон (АКТХ) и хидрокортизон в кръвта.</w:t>
      </w:r>
    </w:p>
    <w:p w14:paraId="36DBFA9D" w14:textId="25ACDF46" w:rsidR="00791CE5" w:rsidRPr="00791CE5" w:rsidRDefault="00791CE5" w:rsidP="00791CE5">
      <w:pPr>
        <w:pStyle w:val="ListParagraph"/>
        <w:numPr>
          <w:ilvl w:val="0"/>
          <w:numId w:val="37"/>
        </w:numPr>
        <w:spacing w:line="240" w:lineRule="auto"/>
        <w:rPr>
          <w:rFonts w:eastAsia="Times New Roman" w:cs="Arial"/>
          <w:szCs w:val="20"/>
        </w:rPr>
      </w:pPr>
      <w:r w:rsidRPr="00791CE5">
        <w:rPr>
          <w:rFonts w:eastAsia="Times New Roman" w:cs="Arial"/>
          <w:color w:val="000000"/>
          <w:szCs w:val="20"/>
          <w:lang w:eastAsia="bg-BG"/>
        </w:rPr>
        <w:t>Лекарят/лабораторният лекар трябва да бъдат информирани, че в допълнение към</w:t>
      </w:r>
      <w:r w:rsidRPr="00791CE5">
        <w:rPr>
          <w:rFonts w:eastAsia="Times New Roman" w:cs="Arial"/>
          <w:b/>
          <w:bCs/>
          <w:color w:val="000000"/>
          <w:szCs w:val="20"/>
          <w:lang w:eastAsia="bg-BG"/>
        </w:rPr>
        <w:t xml:space="preserve"> </w:t>
      </w:r>
      <w:r w:rsidRPr="00791CE5">
        <w:rPr>
          <w:rFonts w:eastAsia="Times New Roman" w:cs="Arial"/>
          <w:color w:val="000000"/>
          <w:szCs w:val="20"/>
          <w:lang w:eastAsia="bg-BG"/>
        </w:rPr>
        <w:t>ендокринните биомаркери, изброени в Специални предупреждения и предпазни мерки при употреба (точка 4.4), употребата на МРА при онкологични показания може също така да причини частична надбъбречна недостатъчност (недостатъчен отговор на оста хипофиза</w:t>
      </w:r>
      <w:r w:rsidRPr="00791CE5">
        <w:rPr>
          <w:rFonts w:eastAsia="Times New Roman" w:cs="Arial"/>
          <w:color w:val="000000"/>
          <w:szCs w:val="20"/>
          <w:vertAlign w:val="subscript"/>
          <w:lang w:eastAsia="bg-BG"/>
        </w:rPr>
        <w:t xml:space="preserve"> </w:t>
      </w:r>
      <w:r w:rsidRPr="00791CE5">
        <w:rPr>
          <w:rFonts w:eastAsia="Times New Roman" w:cs="Arial"/>
          <w:color w:val="000000"/>
          <w:szCs w:val="20"/>
          <w:lang w:eastAsia="bg-BG"/>
        </w:rPr>
        <w:t>надбъбрек) по време на тестване с метирапон. Поради това способността на кората на надбъбрека да отговори на АКТХ трябва да се провери преди прилагането на метирапон</w:t>
      </w:r>
      <w:r w:rsidRPr="00791CE5">
        <w:rPr>
          <w:rFonts w:eastAsia="Times New Roman" w:cs="Arial"/>
          <w:color w:val="000000"/>
          <w:szCs w:val="20"/>
          <w:lang w:val="ru-RU" w:eastAsia="bg-BG"/>
        </w:rPr>
        <w:t>.</w:t>
      </w:r>
    </w:p>
    <w:p w14:paraId="49E48B8F" w14:textId="5FCAC7FC" w:rsidR="00791CE5" w:rsidRPr="00791CE5" w:rsidRDefault="00791CE5" w:rsidP="00791CE5">
      <w:pPr>
        <w:rPr>
          <w:rFonts w:eastAsia="Times New Roman" w:cs="Arial"/>
          <w:color w:val="000000"/>
          <w:szCs w:val="20"/>
          <w:lang w:val="ru-RU" w:eastAsia="bg-BG"/>
        </w:rPr>
      </w:pPr>
    </w:p>
    <w:p w14:paraId="08C4361F" w14:textId="77777777" w:rsidR="00791CE5" w:rsidRPr="00791CE5" w:rsidRDefault="00791CE5" w:rsidP="00791CE5">
      <w:pPr>
        <w:spacing w:line="240" w:lineRule="auto"/>
        <w:rPr>
          <w:rFonts w:eastAsia="Times New Roman" w:cs="Arial"/>
          <w:szCs w:val="20"/>
        </w:rPr>
      </w:pPr>
      <w:r w:rsidRPr="00791CE5">
        <w:rPr>
          <w:rFonts w:eastAsia="Times New Roman" w:cs="Arial"/>
          <w:b/>
          <w:bCs/>
          <w:i/>
          <w:iCs/>
          <w:color w:val="000000"/>
          <w:szCs w:val="20"/>
          <w:lang w:eastAsia="bg-BG"/>
        </w:rPr>
        <w:t>Перорални лекарствени форми и парентерални лекарствени форми във високи дози (например употреба при пременопаузални жени с онкологични заболявалия)</w:t>
      </w:r>
    </w:p>
    <w:p w14:paraId="0E580992" w14:textId="77777777" w:rsidR="00791CE5" w:rsidRPr="00791CE5" w:rsidRDefault="00791CE5" w:rsidP="00791CE5">
      <w:pPr>
        <w:spacing w:line="240" w:lineRule="auto"/>
        <w:rPr>
          <w:rFonts w:eastAsia="Times New Roman" w:cs="Arial"/>
          <w:color w:val="000000"/>
          <w:szCs w:val="20"/>
          <w:u w:val="single"/>
          <w:lang w:eastAsia="bg-BG"/>
        </w:rPr>
      </w:pPr>
    </w:p>
    <w:p w14:paraId="6A5CFE3A" w14:textId="56802D55" w:rsidR="00791CE5" w:rsidRPr="00791CE5" w:rsidRDefault="00791CE5" w:rsidP="00791CE5">
      <w:pPr>
        <w:spacing w:line="240" w:lineRule="auto"/>
        <w:rPr>
          <w:rFonts w:eastAsia="Times New Roman" w:cs="Arial"/>
          <w:szCs w:val="20"/>
        </w:rPr>
      </w:pPr>
      <w:r w:rsidRPr="00791CE5">
        <w:rPr>
          <w:rFonts w:eastAsia="Times New Roman" w:cs="Arial"/>
          <w:color w:val="000000"/>
          <w:szCs w:val="20"/>
          <w:u w:val="single"/>
          <w:lang w:eastAsia="bg-BG"/>
        </w:rPr>
        <w:t>Намаление на костната минерална плътност (КМП)</w:t>
      </w:r>
    </w:p>
    <w:p w14:paraId="016702FD" w14:textId="21535DE2" w:rsidR="00791CE5" w:rsidRDefault="00791CE5" w:rsidP="00791CE5">
      <w:pPr>
        <w:rPr>
          <w:rFonts w:eastAsia="Times New Roman" w:cs="Arial"/>
          <w:color w:val="000000"/>
          <w:szCs w:val="20"/>
          <w:lang w:eastAsia="bg-BG"/>
        </w:rPr>
      </w:pPr>
      <w:r w:rsidRPr="00791CE5">
        <w:rPr>
          <w:rFonts w:eastAsia="Times New Roman" w:cs="Arial"/>
          <w:color w:val="000000"/>
          <w:szCs w:val="20"/>
          <w:lang w:eastAsia="bg-BG"/>
        </w:rPr>
        <w:t>Няма проучвания за ефектите от прилагане на перорален МРА или във високи дози парентерален МРА (напр. за приложение в онкологията) върху КМП. При някои пациенти на дългосрочна терапия с МРА може да е подходящо да се оцени КМП.</w:t>
      </w:r>
    </w:p>
    <w:p w14:paraId="164578A0" w14:textId="77777777" w:rsidR="00791CE5" w:rsidRPr="00791CE5" w:rsidRDefault="00791CE5" w:rsidP="00791CE5">
      <w:pPr>
        <w:rPr>
          <w:rFonts w:cs="Arial"/>
          <w:szCs w:val="20"/>
          <w:lang w:val="ru-RU"/>
        </w:rPr>
      </w:pPr>
    </w:p>
    <w:p w14:paraId="1244F76A" w14:textId="7B2850CB" w:rsidR="00395555" w:rsidRDefault="002C50EE" w:rsidP="008A6AF2">
      <w:pPr>
        <w:pStyle w:val="Heading2"/>
      </w:pPr>
      <w:r>
        <w:t>4.5. Взаимодействие с други лекарствени продукти и други форми на взаимодействие</w:t>
      </w:r>
    </w:p>
    <w:p w14:paraId="3ADFCD3C" w14:textId="7A4EC5CC" w:rsidR="00791CE5" w:rsidRDefault="00791CE5" w:rsidP="00791CE5"/>
    <w:p w14:paraId="5197885A" w14:textId="77777777" w:rsidR="00791CE5" w:rsidRPr="00791CE5" w:rsidRDefault="00791CE5" w:rsidP="00791CE5">
      <w:pPr>
        <w:rPr>
          <w:sz w:val="24"/>
          <w:szCs w:val="24"/>
        </w:rPr>
      </w:pPr>
      <w:r w:rsidRPr="00791CE5">
        <w:rPr>
          <w:lang w:eastAsia="bg-BG"/>
        </w:rPr>
        <w:t>Едновременната употреба на аминоглутетимид с високи дози перорален МРА може значително да намали плазмените концентрации на МРА. Пациентите на терапия с високи дози перорален МРА трябва да бъдат предупредени за възможността за намалена ефикасност при едновременна употреба с аминоглутетимид.</w:t>
      </w:r>
    </w:p>
    <w:p w14:paraId="1D4347E0" w14:textId="77777777" w:rsidR="00791CE5" w:rsidRDefault="00791CE5" w:rsidP="00791CE5">
      <w:pPr>
        <w:rPr>
          <w:lang w:eastAsia="bg-BG"/>
        </w:rPr>
      </w:pPr>
    </w:p>
    <w:p w14:paraId="3D56D58A" w14:textId="474AD7BD" w:rsidR="00791CE5" w:rsidRPr="00791CE5" w:rsidRDefault="00791CE5" w:rsidP="00791CE5">
      <w:pPr>
        <w:rPr>
          <w:sz w:val="24"/>
          <w:szCs w:val="24"/>
        </w:rPr>
      </w:pPr>
      <w:r w:rsidRPr="00791CE5">
        <w:rPr>
          <w:lang w:eastAsia="bg-BG"/>
        </w:rPr>
        <w:t xml:space="preserve">МРА се метаболизира </w:t>
      </w:r>
      <w:r w:rsidRPr="00791CE5">
        <w:rPr>
          <w:b/>
          <w:bCs/>
          <w:i/>
          <w:iCs/>
          <w:sz w:val="20"/>
          <w:szCs w:val="20"/>
          <w:lang w:val="en-US"/>
        </w:rPr>
        <w:t>in</w:t>
      </w:r>
      <w:r w:rsidRPr="00791CE5">
        <w:rPr>
          <w:b/>
          <w:bCs/>
          <w:i/>
          <w:iCs/>
          <w:sz w:val="20"/>
          <w:szCs w:val="20"/>
          <w:lang w:val="ru-RU"/>
        </w:rPr>
        <w:t>-</w:t>
      </w:r>
      <w:r w:rsidRPr="00791CE5">
        <w:rPr>
          <w:b/>
          <w:bCs/>
          <w:i/>
          <w:iCs/>
          <w:sz w:val="20"/>
          <w:szCs w:val="20"/>
          <w:lang w:val="en-US"/>
        </w:rPr>
        <w:t>vitro</w:t>
      </w:r>
      <w:r w:rsidRPr="00791CE5">
        <w:rPr>
          <w:lang w:val="ru-RU"/>
        </w:rPr>
        <w:t xml:space="preserve"> </w:t>
      </w:r>
      <w:r w:rsidRPr="00791CE5">
        <w:rPr>
          <w:lang w:eastAsia="bg-BG"/>
        </w:rPr>
        <w:t xml:space="preserve">предимно посредством хидроксилиране чрез </w:t>
      </w:r>
      <w:r w:rsidRPr="00791CE5">
        <w:rPr>
          <w:lang w:val="en-US"/>
        </w:rPr>
        <w:t>CYP</w:t>
      </w:r>
      <w:r w:rsidRPr="00791CE5">
        <w:rPr>
          <w:lang w:val="ru-RU"/>
        </w:rPr>
        <w:t>3</w:t>
      </w:r>
      <w:r w:rsidRPr="00791CE5">
        <w:rPr>
          <w:lang w:val="en-US"/>
        </w:rPr>
        <w:t>A</w:t>
      </w:r>
      <w:r w:rsidRPr="00791CE5">
        <w:rPr>
          <w:lang w:val="ru-RU"/>
        </w:rPr>
        <w:t xml:space="preserve">4. </w:t>
      </w:r>
      <w:r w:rsidRPr="00791CE5">
        <w:rPr>
          <w:lang w:eastAsia="bg-BG"/>
        </w:rPr>
        <w:t xml:space="preserve">Не са провеждани специфични проучвания за лекарствени взаимодействия, които да оценяват клиничните ефекти от индукторите или инхибиторите на </w:t>
      </w:r>
      <w:r w:rsidRPr="00791CE5">
        <w:rPr>
          <w:lang w:val="en-US"/>
        </w:rPr>
        <w:t>CYP</w:t>
      </w:r>
      <w:r w:rsidRPr="00791CE5">
        <w:rPr>
          <w:lang w:val="ru-RU"/>
        </w:rPr>
        <w:t>3</w:t>
      </w:r>
      <w:r w:rsidRPr="00791CE5">
        <w:rPr>
          <w:lang w:val="en-US"/>
        </w:rPr>
        <w:t>A</w:t>
      </w:r>
      <w:r w:rsidRPr="00791CE5">
        <w:rPr>
          <w:lang w:val="ru-RU"/>
        </w:rPr>
        <w:t xml:space="preserve">4 </w:t>
      </w:r>
      <w:r w:rsidRPr="00791CE5">
        <w:rPr>
          <w:lang w:eastAsia="bg-BG"/>
        </w:rPr>
        <w:t>върху МРА, и затова тези ефекти не са известни.</w:t>
      </w:r>
    </w:p>
    <w:p w14:paraId="3B071B12" w14:textId="77777777" w:rsidR="00791CE5" w:rsidRPr="00791CE5" w:rsidRDefault="00791CE5" w:rsidP="00791CE5"/>
    <w:p w14:paraId="6EADE4D6" w14:textId="39292A87" w:rsidR="00395555" w:rsidRDefault="002C50EE" w:rsidP="008A6AF2">
      <w:pPr>
        <w:pStyle w:val="Heading2"/>
      </w:pPr>
      <w:r>
        <w:t>4.6. Фертилитет, бременност и кърмене</w:t>
      </w:r>
    </w:p>
    <w:p w14:paraId="7B5141D3" w14:textId="7757321C" w:rsidR="00791CE5" w:rsidRDefault="00791CE5" w:rsidP="00791CE5"/>
    <w:p w14:paraId="55B5445B" w14:textId="77777777" w:rsidR="00791CE5" w:rsidRPr="00791CE5" w:rsidRDefault="00791CE5" w:rsidP="00791CE5">
      <w:pPr>
        <w:pStyle w:val="Heading3"/>
        <w:rPr>
          <w:rFonts w:eastAsia="Times New Roman"/>
          <w:u w:val="single"/>
        </w:rPr>
      </w:pPr>
      <w:r w:rsidRPr="00791CE5">
        <w:rPr>
          <w:rFonts w:eastAsia="Times New Roman"/>
          <w:u w:val="single"/>
          <w:lang w:eastAsia="bg-BG"/>
        </w:rPr>
        <w:t>Бременност</w:t>
      </w:r>
    </w:p>
    <w:p w14:paraId="260C402F" w14:textId="77777777" w:rsidR="00791CE5" w:rsidRPr="00791CE5" w:rsidRDefault="00791CE5" w:rsidP="00791CE5">
      <w:pPr>
        <w:spacing w:line="240" w:lineRule="auto"/>
        <w:rPr>
          <w:rFonts w:eastAsia="Times New Roman" w:cs="Arial"/>
          <w:sz w:val="24"/>
          <w:szCs w:val="24"/>
        </w:rPr>
      </w:pPr>
      <w:r w:rsidRPr="00791CE5">
        <w:rPr>
          <w:rFonts w:eastAsia="Times New Roman" w:cs="Arial"/>
          <w:color w:val="000000"/>
          <w:lang w:eastAsia="bg-BG"/>
        </w:rPr>
        <w:t>МРА е противопоказан за употреба при бременни.</w:t>
      </w:r>
    </w:p>
    <w:p w14:paraId="558AB654" w14:textId="77777777" w:rsidR="00791CE5" w:rsidRPr="00791CE5" w:rsidRDefault="00791CE5" w:rsidP="00791CE5">
      <w:pPr>
        <w:spacing w:line="240" w:lineRule="auto"/>
        <w:rPr>
          <w:rFonts w:eastAsia="Times New Roman" w:cs="Arial"/>
          <w:color w:val="000000"/>
          <w:lang w:eastAsia="bg-BG"/>
        </w:rPr>
      </w:pPr>
    </w:p>
    <w:p w14:paraId="3F071ED8" w14:textId="0EC5CE5E" w:rsidR="00791CE5" w:rsidRPr="00791CE5" w:rsidRDefault="00791CE5" w:rsidP="00791CE5">
      <w:pPr>
        <w:spacing w:line="240" w:lineRule="auto"/>
        <w:rPr>
          <w:rFonts w:eastAsia="Times New Roman" w:cs="Arial"/>
          <w:sz w:val="24"/>
          <w:szCs w:val="24"/>
        </w:rPr>
      </w:pPr>
      <w:r w:rsidRPr="00791CE5">
        <w:rPr>
          <w:rFonts w:eastAsia="Times New Roman" w:cs="Arial"/>
          <w:color w:val="000000"/>
          <w:lang w:eastAsia="bg-BG"/>
        </w:rPr>
        <w:t>Някои съобщения предполагат връзка между вътрематочната експозиция на прогестагени през първото тримесечие на бременността и гениталните малформации при фетуси.</w:t>
      </w:r>
    </w:p>
    <w:p w14:paraId="153C565F" w14:textId="77777777" w:rsidR="00791CE5" w:rsidRPr="00791CE5" w:rsidRDefault="00791CE5" w:rsidP="00791CE5">
      <w:pPr>
        <w:spacing w:line="240" w:lineRule="auto"/>
        <w:rPr>
          <w:rFonts w:eastAsia="Times New Roman" w:cs="Arial"/>
          <w:color w:val="000000"/>
          <w:lang w:eastAsia="bg-BG"/>
        </w:rPr>
      </w:pPr>
    </w:p>
    <w:p w14:paraId="0F372129" w14:textId="4581879C" w:rsidR="00791CE5" w:rsidRPr="00791CE5" w:rsidRDefault="00791CE5" w:rsidP="00791CE5">
      <w:pPr>
        <w:spacing w:line="240" w:lineRule="auto"/>
        <w:rPr>
          <w:rFonts w:eastAsia="Times New Roman" w:cs="Arial"/>
          <w:sz w:val="24"/>
          <w:szCs w:val="24"/>
        </w:rPr>
      </w:pPr>
      <w:r w:rsidRPr="00791CE5">
        <w:rPr>
          <w:rFonts w:eastAsia="Times New Roman" w:cs="Arial"/>
          <w:color w:val="000000"/>
          <w:lang w:eastAsia="bg-BG"/>
        </w:rPr>
        <w:t>Новородени от непланирани забременявания, които възникват от 1 до 2 месеца след поставяне на инжекция МРА инжекционна суспензия, могат да имат повишен риск за ниско тегло при раждането, което на свой ред да е свързано с повишен риск за смъртност в неонаталния период. Степента на риск от такъв характер е ниска, защото забременявания по време на лечение с МРА не са обичайни. Няма окончателна информация за другите лекарствени форми на МРА.</w:t>
      </w:r>
    </w:p>
    <w:p w14:paraId="5918E921" w14:textId="77777777" w:rsidR="00791CE5" w:rsidRPr="00791CE5" w:rsidRDefault="00791CE5" w:rsidP="00791CE5">
      <w:pPr>
        <w:spacing w:line="240" w:lineRule="auto"/>
        <w:rPr>
          <w:rFonts w:eastAsia="Times New Roman" w:cs="Arial"/>
          <w:color w:val="000000"/>
          <w:lang w:eastAsia="bg-BG"/>
        </w:rPr>
      </w:pPr>
    </w:p>
    <w:p w14:paraId="50FFC975" w14:textId="46CA472A" w:rsidR="00791CE5" w:rsidRPr="00791CE5" w:rsidRDefault="00791CE5" w:rsidP="00791CE5">
      <w:pPr>
        <w:spacing w:line="240" w:lineRule="auto"/>
        <w:rPr>
          <w:rFonts w:eastAsia="Times New Roman" w:cs="Arial"/>
          <w:sz w:val="24"/>
          <w:szCs w:val="24"/>
        </w:rPr>
      </w:pPr>
      <w:r w:rsidRPr="00791CE5">
        <w:rPr>
          <w:rFonts w:eastAsia="Times New Roman" w:cs="Arial"/>
          <w:color w:val="000000"/>
          <w:lang w:eastAsia="bg-BG"/>
        </w:rPr>
        <w:t>Ако пациентката забременее по време на лечение с това лекарство, то тя трябва да бъде информирана за потенциалната опасност за плода.</w:t>
      </w:r>
    </w:p>
    <w:p w14:paraId="43BE0DAC" w14:textId="77777777" w:rsidR="00791CE5" w:rsidRPr="00791CE5" w:rsidRDefault="00791CE5" w:rsidP="00791CE5">
      <w:pPr>
        <w:pStyle w:val="Heading3"/>
        <w:rPr>
          <w:rFonts w:eastAsia="Times New Roman"/>
          <w:u w:val="single"/>
          <w:lang w:eastAsia="bg-BG"/>
        </w:rPr>
      </w:pPr>
    </w:p>
    <w:p w14:paraId="7FE063BE" w14:textId="2BB46CC8" w:rsidR="00791CE5" w:rsidRPr="00791CE5" w:rsidRDefault="00791CE5" w:rsidP="00791CE5">
      <w:pPr>
        <w:pStyle w:val="Heading3"/>
        <w:rPr>
          <w:rFonts w:eastAsia="Times New Roman"/>
          <w:u w:val="single"/>
        </w:rPr>
      </w:pPr>
      <w:r w:rsidRPr="00791CE5">
        <w:rPr>
          <w:rFonts w:eastAsia="Times New Roman"/>
          <w:u w:val="single"/>
          <w:lang w:eastAsia="bg-BG"/>
        </w:rPr>
        <w:t>Кърмене</w:t>
      </w:r>
    </w:p>
    <w:p w14:paraId="5E5F72D9" w14:textId="77777777" w:rsidR="00791CE5" w:rsidRPr="00791CE5" w:rsidRDefault="00791CE5" w:rsidP="00791CE5">
      <w:pPr>
        <w:spacing w:line="240" w:lineRule="auto"/>
        <w:rPr>
          <w:rFonts w:ascii="Times New Roman" w:eastAsia="Times New Roman" w:hAnsi="Times New Roman" w:cs="Times New Roman"/>
          <w:sz w:val="24"/>
          <w:szCs w:val="24"/>
        </w:rPr>
      </w:pPr>
      <w:r w:rsidRPr="00791CE5">
        <w:rPr>
          <w:rFonts w:eastAsia="Times New Roman" w:cs="Arial"/>
          <w:color w:val="000000"/>
          <w:lang w:eastAsia="bg-BG"/>
        </w:rPr>
        <w:t>МРА и неговите метаболити се екскретират в кърмата. Няма данни, които да предполагат, че това представлява опасност за кърмачето.</w:t>
      </w:r>
    </w:p>
    <w:p w14:paraId="672A631E" w14:textId="77777777" w:rsidR="00791CE5" w:rsidRPr="00791CE5" w:rsidRDefault="00791CE5" w:rsidP="00791CE5"/>
    <w:p w14:paraId="5766770B" w14:textId="669C49FF" w:rsidR="00395555" w:rsidRDefault="002C50EE" w:rsidP="008A6AF2">
      <w:pPr>
        <w:pStyle w:val="Heading2"/>
      </w:pPr>
      <w:r>
        <w:t>4.7. Ефекти върху способността за шофиране и работа с машини</w:t>
      </w:r>
    </w:p>
    <w:p w14:paraId="14CFBC11" w14:textId="006E9865" w:rsidR="00791CE5" w:rsidRDefault="00791CE5" w:rsidP="00791CE5"/>
    <w:p w14:paraId="613A93A0" w14:textId="77777777" w:rsidR="00791CE5" w:rsidRPr="00791CE5" w:rsidRDefault="00791CE5" w:rsidP="00791CE5">
      <w:pPr>
        <w:rPr>
          <w:sz w:val="24"/>
          <w:szCs w:val="24"/>
        </w:rPr>
      </w:pPr>
      <w:r w:rsidRPr="00791CE5">
        <w:rPr>
          <w:lang w:eastAsia="bg-BG"/>
        </w:rPr>
        <w:t>Ефектът на медроксипрогестероновия ацетат върху способността за шофиране и работа с машини не е бил системно оценяван.</w:t>
      </w:r>
    </w:p>
    <w:p w14:paraId="2DD9015B" w14:textId="77777777" w:rsidR="00791CE5" w:rsidRPr="00791CE5" w:rsidRDefault="00791CE5" w:rsidP="00791CE5"/>
    <w:p w14:paraId="4FE16E21" w14:textId="1F3E490E" w:rsidR="00395555" w:rsidRDefault="002C50EE" w:rsidP="008A6AF2">
      <w:pPr>
        <w:pStyle w:val="Heading2"/>
      </w:pPr>
      <w:r>
        <w:t>4.8. Нежелани лекарствени реакции</w:t>
      </w:r>
    </w:p>
    <w:p w14:paraId="33854F17" w14:textId="1C37F741" w:rsidR="00791CE5" w:rsidRDefault="00791CE5" w:rsidP="00791CE5"/>
    <w:tbl>
      <w:tblPr>
        <w:tblStyle w:val="TableGrid"/>
        <w:tblW w:w="9576" w:type="dxa"/>
        <w:tblLook w:val="04A0" w:firstRow="1" w:lastRow="0" w:firstColumn="1" w:lastColumn="0" w:noHBand="0" w:noVBand="1"/>
      </w:tblPr>
      <w:tblGrid>
        <w:gridCol w:w="1927"/>
        <w:gridCol w:w="893"/>
        <w:gridCol w:w="1745"/>
        <w:gridCol w:w="2156"/>
        <w:gridCol w:w="2033"/>
        <w:gridCol w:w="893"/>
        <w:gridCol w:w="2038"/>
      </w:tblGrid>
      <w:tr w:rsidR="00791CE5" w14:paraId="4F460E47" w14:textId="77777777" w:rsidTr="00791CE5">
        <w:trPr>
          <w:trHeight w:val="1894"/>
        </w:trPr>
        <w:tc>
          <w:tcPr>
            <w:tcW w:w="1572" w:type="dxa"/>
          </w:tcPr>
          <w:p w14:paraId="02F59012" w14:textId="73C83643" w:rsidR="00791CE5" w:rsidRDefault="00791CE5" w:rsidP="00791CE5">
            <w:r>
              <w:rPr>
                <w:b/>
                <w:bCs/>
              </w:rPr>
              <w:t>Системо- органен клас</w:t>
            </w:r>
          </w:p>
        </w:tc>
        <w:tc>
          <w:tcPr>
            <w:tcW w:w="753" w:type="dxa"/>
          </w:tcPr>
          <w:p w14:paraId="62D69E46" w14:textId="77777777" w:rsidR="00791CE5" w:rsidRDefault="00791CE5" w:rsidP="00791CE5">
            <w:r>
              <w:rPr>
                <w:b/>
                <w:bCs/>
              </w:rPr>
              <w:t>Много чести</w:t>
            </w:r>
          </w:p>
          <w:p w14:paraId="21A4B2CC" w14:textId="5E82E009" w:rsidR="00791CE5" w:rsidRDefault="00791CE5" w:rsidP="00791CE5">
            <w:r>
              <w:rPr>
                <w:b/>
                <w:bCs/>
              </w:rPr>
              <w:t>≥1/10</w:t>
            </w:r>
          </w:p>
        </w:tc>
        <w:tc>
          <w:tcPr>
            <w:tcW w:w="1428" w:type="dxa"/>
          </w:tcPr>
          <w:p w14:paraId="5DD995BB" w14:textId="77777777" w:rsidR="00791CE5" w:rsidRDefault="00791CE5" w:rsidP="00791CE5">
            <w:r>
              <w:rPr>
                <w:b/>
                <w:bCs/>
              </w:rPr>
              <w:t>Чести</w:t>
            </w:r>
          </w:p>
          <w:p w14:paraId="466BEEB0" w14:textId="7F520650" w:rsidR="00791CE5" w:rsidRDefault="00791CE5" w:rsidP="00791CE5">
            <w:r>
              <w:rPr>
                <w:b/>
                <w:bCs/>
              </w:rPr>
              <w:t>≥1/100 до &lt;1/10</w:t>
            </w:r>
          </w:p>
        </w:tc>
        <w:tc>
          <w:tcPr>
            <w:tcW w:w="1754" w:type="dxa"/>
          </w:tcPr>
          <w:p w14:paraId="08C93409" w14:textId="77777777" w:rsidR="00791CE5" w:rsidRDefault="00791CE5" w:rsidP="00791CE5">
            <w:r>
              <w:rPr>
                <w:b/>
                <w:bCs/>
              </w:rPr>
              <w:t>Нечести</w:t>
            </w:r>
          </w:p>
          <w:p w14:paraId="35B0B7B8" w14:textId="29DDF23F" w:rsidR="00791CE5" w:rsidRDefault="00791CE5" w:rsidP="00791CE5">
            <w:r>
              <w:rPr>
                <w:b/>
                <w:bCs/>
              </w:rPr>
              <w:t>≥1/1 000 до &lt;1/100</w:t>
            </w:r>
          </w:p>
        </w:tc>
        <w:tc>
          <w:tcPr>
            <w:tcW w:w="1656" w:type="dxa"/>
          </w:tcPr>
          <w:p w14:paraId="42A31E79" w14:textId="77777777" w:rsidR="00791CE5" w:rsidRDefault="00791CE5" w:rsidP="00791CE5">
            <w:r>
              <w:rPr>
                <w:b/>
                <w:bCs/>
              </w:rPr>
              <w:t xml:space="preserve">Редки </w:t>
            </w:r>
          </w:p>
          <w:p w14:paraId="5784E941" w14:textId="06D4DBA8" w:rsidR="00791CE5" w:rsidRDefault="00791CE5" w:rsidP="00791CE5">
            <w:r>
              <w:rPr>
                <w:b/>
                <w:bCs/>
              </w:rPr>
              <w:t>≥1/10 000 до &lt;1/1000</w:t>
            </w:r>
          </w:p>
        </w:tc>
        <w:tc>
          <w:tcPr>
            <w:tcW w:w="753" w:type="dxa"/>
          </w:tcPr>
          <w:p w14:paraId="20F55388" w14:textId="2EFB6B63" w:rsidR="00791CE5" w:rsidRDefault="00791CE5" w:rsidP="00791CE5">
            <w:r>
              <w:rPr>
                <w:b/>
                <w:bCs/>
              </w:rPr>
              <w:t>Много редки &lt;1/10 000</w:t>
            </w:r>
          </w:p>
        </w:tc>
        <w:tc>
          <w:tcPr>
            <w:tcW w:w="1660" w:type="dxa"/>
            <w:vAlign w:val="bottom"/>
          </w:tcPr>
          <w:p w14:paraId="7E9257FA" w14:textId="7E538702" w:rsidR="00791CE5" w:rsidRDefault="00791CE5" w:rsidP="00791CE5">
            <w:r>
              <w:rPr>
                <w:b/>
                <w:bCs/>
              </w:rPr>
              <w:t>С неизвестна честота (от наличните данни не може да бъде направена оценка)</w:t>
            </w:r>
          </w:p>
        </w:tc>
      </w:tr>
      <w:tr w:rsidR="00791CE5" w14:paraId="6F51F53A" w14:textId="77777777" w:rsidTr="00791CE5">
        <w:trPr>
          <w:trHeight w:val="1349"/>
        </w:trPr>
        <w:tc>
          <w:tcPr>
            <w:tcW w:w="1572" w:type="dxa"/>
          </w:tcPr>
          <w:p w14:paraId="4D9E8864" w14:textId="48A80756" w:rsidR="00791CE5" w:rsidRDefault="00791CE5" w:rsidP="00791CE5">
            <w:r>
              <w:rPr>
                <w:b/>
                <w:bCs/>
              </w:rPr>
              <w:t xml:space="preserve">Нарушения на имунната </w:t>
            </w:r>
            <w:r>
              <w:rPr>
                <w:b/>
                <w:bCs/>
              </w:rPr>
              <w:t>система</w:t>
            </w:r>
          </w:p>
        </w:tc>
        <w:tc>
          <w:tcPr>
            <w:tcW w:w="753" w:type="dxa"/>
          </w:tcPr>
          <w:p w14:paraId="55E352EC" w14:textId="77777777" w:rsidR="00791CE5" w:rsidRDefault="00791CE5" w:rsidP="00791CE5"/>
        </w:tc>
        <w:tc>
          <w:tcPr>
            <w:tcW w:w="1428" w:type="dxa"/>
          </w:tcPr>
          <w:p w14:paraId="0CF10579" w14:textId="77777777" w:rsidR="00791CE5" w:rsidRDefault="00791CE5" w:rsidP="00791CE5"/>
        </w:tc>
        <w:tc>
          <w:tcPr>
            <w:tcW w:w="1754" w:type="dxa"/>
          </w:tcPr>
          <w:p w14:paraId="156BAF5A" w14:textId="2C3B486F" w:rsidR="00791CE5" w:rsidRDefault="00791CE5" w:rsidP="00791CE5">
            <w:r>
              <w:t>Ангиоедем</w:t>
            </w:r>
          </w:p>
        </w:tc>
        <w:tc>
          <w:tcPr>
            <w:tcW w:w="1656" w:type="dxa"/>
          </w:tcPr>
          <w:p w14:paraId="55FD0D13" w14:textId="67EB7EEC" w:rsidR="00791CE5" w:rsidRDefault="00791CE5" w:rsidP="00791CE5">
            <w:r>
              <w:t>Лекарствена свръхчувствите-</w:t>
            </w:r>
          </w:p>
          <w:p w14:paraId="5F32D29B" w14:textId="62A45927" w:rsidR="00791CE5" w:rsidRDefault="00791CE5" w:rsidP="00791CE5">
            <w:r>
              <w:t>л</w:t>
            </w:r>
            <w:r>
              <w:t>ност</w:t>
            </w:r>
          </w:p>
        </w:tc>
        <w:tc>
          <w:tcPr>
            <w:tcW w:w="753" w:type="dxa"/>
          </w:tcPr>
          <w:p w14:paraId="3BC66604" w14:textId="77777777" w:rsidR="00791CE5" w:rsidRDefault="00791CE5" w:rsidP="00791CE5"/>
        </w:tc>
        <w:tc>
          <w:tcPr>
            <w:tcW w:w="1660" w:type="dxa"/>
          </w:tcPr>
          <w:p w14:paraId="5E476983" w14:textId="77777777" w:rsidR="00791CE5" w:rsidRDefault="00791CE5" w:rsidP="00791CE5">
            <w:r>
              <w:t>Анафилактична</w:t>
            </w:r>
          </w:p>
          <w:p w14:paraId="5576D87F" w14:textId="332BA70F" w:rsidR="00791CE5" w:rsidRDefault="00791CE5" w:rsidP="00791CE5">
            <w:r>
              <w:t>реакция,</w:t>
            </w:r>
          </w:p>
          <w:p w14:paraId="72740A0A" w14:textId="77777777" w:rsidR="00791CE5" w:rsidRPr="00791CE5" w:rsidRDefault="00791CE5" w:rsidP="00791CE5">
            <w:pPr>
              <w:rPr>
                <w:sz w:val="24"/>
                <w:szCs w:val="24"/>
              </w:rPr>
            </w:pPr>
            <w:r w:rsidRPr="00791CE5">
              <w:rPr>
                <w:lang w:eastAsia="bg-BG"/>
              </w:rPr>
              <w:t>анафилактоидна реакция</w:t>
            </w:r>
          </w:p>
          <w:p w14:paraId="45447BE6" w14:textId="18718137" w:rsidR="00791CE5" w:rsidRPr="00791CE5" w:rsidRDefault="00791CE5" w:rsidP="00791CE5"/>
        </w:tc>
      </w:tr>
      <w:tr w:rsidR="00791CE5" w14:paraId="4C151C18" w14:textId="77777777" w:rsidTr="00791CE5">
        <w:trPr>
          <w:trHeight w:val="1076"/>
        </w:trPr>
        <w:tc>
          <w:tcPr>
            <w:tcW w:w="1572" w:type="dxa"/>
            <w:vAlign w:val="bottom"/>
          </w:tcPr>
          <w:p w14:paraId="3639A7A2" w14:textId="2C35F546" w:rsidR="00791CE5" w:rsidRDefault="00791CE5" w:rsidP="00791CE5">
            <w:r>
              <w:rPr>
                <w:b/>
                <w:bCs/>
              </w:rPr>
              <w:t>Нарушения на ендокринната система</w:t>
            </w:r>
          </w:p>
        </w:tc>
        <w:tc>
          <w:tcPr>
            <w:tcW w:w="753" w:type="dxa"/>
          </w:tcPr>
          <w:p w14:paraId="5CE0CB8A" w14:textId="77777777" w:rsidR="00791CE5" w:rsidRDefault="00791CE5" w:rsidP="00791CE5"/>
        </w:tc>
        <w:tc>
          <w:tcPr>
            <w:tcW w:w="1428" w:type="dxa"/>
          </w:tcPr>
          <w:p w14:paraId="36ED573B" w14:textId="77777777" w:rsidR="00791CE5" w:rsidRDefault="00791CE5" w:rsidP="00791CE5"/>
        </w:tc>
        <w:tc>
          <w:tcPr>
            <w:tcW w:w="1754" w:type="dxa"/>
            <w:vAlign w:val="bottom"/>
          </w:tcPr>
          <w:p w14:paraId="4A385411" w14:textId="2D0F5366" w:rsidR="00791CE5" w:rsidRDefault="00791CE5" w:rsidP="00791CE5">
            <w:r>
              <w:t>Кортикоидопо- добни ефекти (напр. къшингоид)</w:t>
            </w:r>
          </w:p>
        </w:tc>
        <w:tc>
          <w:tcPr>
            <w:tcW w:w="1656" w:type="dxa"/>
          </w:tcPr>
          <w:p w14:paraId="6DFDDDA6" w14:textId="77777777" w:rsidR="00791CE5" w:rsidRDefault="00791CE5" w:rsidP="00791CE5"/>
        </w:tc>
        <w:tc>
          <w:tcPr>
            <w:tcW w:w="753" w:type="dxa"/>
          </w:tcPr>
          <w:p w14:paraId="3F2D2277" w14:textId="77777777" w:rsidR="00791CE5" w:rsidRDefault="00791CE5" w:rsidP="00791CE5"/>
        </w:tc>
        <w:tc>
          <w:tcPr>
            <w:tcW w:w="1660" w:type="dxa"/>
          </w:tcPr>
          <w:p w14:paraId="418FFE21" w14:textId="3FFF4925" w:rsidR="00791CE5" w:rsidRDefault="00791CE5" w:rsidP="00791CE5">
            <w:r>
              <w:t>Ановулация</w:t>
            </w:r>
          </w:p>
        </w:tc>
      </w:tr>
      <w:tr w:rsidR="00791CE5" w14:paraId="76C694CB" w14:textId="77777777" w:rsidTr="00791CE5">
        <w:trPr>
          <w:trHeight w:val="1076"/>
        </w:trPr>
        <w:tc>
          <w:tcPr>
            <w:tcW w:w="1572" w:type="dxa"/>
            <w:vAlign w:val="bottom"/>
          </w:tcPr>
          <w:p w14:paraId="60E391F8" w14:textId="3FA5E928" w:rsidR="00791CE5" w:rsidRDefault="00791CE5" w:rsidP="00791CE5">
            <w:r>
              <w:rPr>
                <w:b/>
                <w:bCs/>
              </w:rPr>
              <w:t>Нарушения на метаболизма и храненето</w:t>
            </w:r>
          </w:p>
        </w:tc>
        <w:tc>
          <w:tcPr>
            <w:tcW w:w="753" w:type="dxa"/>
          </w:tcPr>
          <w:p w14:paraId="1563BB5A" w14:textId="77777777" w:rsidR="00791CE5" w:rsidRDefault="00791CE5" w:rsidP="00791CE5"/>
        </w:tc>
        <w:tc>
          <w:tcPr>
            <w:tcW w:w="1428" w:type="dxa"/>
            <w:vAlign w:val="bottom"/>
          </w:tcPr>
          <w:p w14:paraId="2E172085" w14:textId="5AEE7FC4" w:rsidR="00791CE5" w:rsidRDefault="00791CE5" w:rsidP="00791CE5">
            <w:r>
              <w:t>Повишен апетит, промени в теглото</w:t>
            </w:r>
          </w:p>
        </w:tc>
        <w:tc>
          <w:tcPr>
            <w:tcW w:w="1754" w:type="dxa"/>
            <w:vAlign w:val="bottom"/>
          </w:tcPr>
          <w:p w14:paraId="48476A54" w14:textId="0AA8730C" w:rsidR="00791CE5" w:rsidRDefault="00791CE5" w:rsidP="00791CE5">
            <w:r>
              <w:t>Влошаване на захарен диабет, хиперкалциемия</w:t>
            </w:r>
          </w:p>
        </w:tc>
        <w:tc>
          <w:tcPr>
            <w:tcW w:w="1656" w:type="dxa"/>
          </w:tcPr>
          <w:p w14:paraId="76C6F473" w14:textId="77777777" w:rsidR="00791CE5" w:rsidRDefault="00791CE5" w:rsidP="00791CE5"/>
        </w:tc>
        <w:tc>
          <w:tcPr>
            <w:tcW w:w="753" w:type="dxa"/>
          </w:tcPr>
          <w:p w14:paraId="499CDB1C" w14:textId="77777777" w:rsidR="00791CE5" w:rsidRDefault="00791CE5" w:rsidP="00791CE5"/>
        </w:tc>
        <w:tc>
          <w:tcPr>
            <w:tcW w:w="1660" w:type="dxa"/>
          </w:tcPr>
          <w:p w14:paraId="218E9A6A" w14:textId="77777777" w:rsidR="00791CE5" w:rsidRDefault="00791CE5" w:rsidP="00791CE5"/>
        </w:tc>
      </w:tr>
      <w:tr w:rsidR="00791CE5" w14:paraId="0BEDFD47" w14:textId="77777777" w:rsidTr="00791CE5">
        <w:trPr>
          <w:trHeight w:val="1076"/>
        </w:trPr>
        <w:tc>
          <w:tcPr>
            <w:tcW w:w="1572" w:type="dxa"/>
          </w:tcPr>
          <w:p w14:paraId="3B472A1B" w14:textId="7B525BF6" w:rsidR="00791CE5" w:rsidRDefault="00791CE5" w:rsidP="00791CE5">
            <w:r>
              <w:rPr>
                <w:b/>
                <w:bCs/>
              </w:rPr>
              <w:t>Психични нарушения</w:t>
            </w:r>
          </w:p>
        </w:tc>
        <w:tc>
          <w:tcPr>
            <w:tcW w:w="753" w:type="dxa"/>
          </w:tcPr>
          <w:p w14:paraId="3427191D" w14:textId="77777777" w:rsidR="00791CE5" w:rsidRDefault="00791CE5" w:rsidP="00791CE5"/>
        </w:tc>
        <w:tc>
          <w:tcPr>
            <w:tcW w:w="1428" w:type="dxa"/>
          </w:tcPr>
          <w:p w14:paraId="5AFB3610" w14:textId="219EECF2" w:rsidR="00791CE5" w:rsidRDefault="00791CE5" w:rsidP="00791CE5">
            <w:r>
              <w:t>Безсъние</w:t>
            </w:r>
          </w:p>
        </w:tc>
        <w:tc>
          <w:tcPr>
            <w:tcW w:w="1754" w:type="dxa"/>
            <w:vAlign w:val="bottom"/>
          </w:tcPr>
          <w:p w14:paraId="7255FD6B" w14:textId="68F4CE10" w:rsidR="00791CE5" w:rsidRDefault="00791CE5" w:rsidP="00791CE5">
            <w:r>
              <w:t>Еуфория, депресия, нарушения в либидото</w:t>
            </w:r>
          </w:p>
        </w:tc>
        <w:tc>
          <w:tcPr>
            <w:tcW w:w="1656" w:type="dxa"/>
          </w:tcPr>
          <w:p w14:paraId="67E7EA81" w14:textId="129226F7" w:rsidR="00791CE5" w:rsidRDefault="00791CE5" w:rsidP="00791CE5">
            <w:r>
              <w:t>Нервност</w:t>
            </w:r>
          </w:p>
        </w:tc>
        <w:tc>
          <w:tcPr>
            <w:tcW w:w="753" w:type="dxa"/>
          </w:tcPr>
          <w:p w14:paraId="471C41C9" w14:textId="77777777" w:rsidR="00791CE5" w:rsidRDefault="00791CE5" w:rsidP="00791CE5"/>
        </w:tc>
        <w:tc>
          <w:tcPr>
            <w:tcW w:w="1660" w:type="dxa"/>
          </w:tcPr>
          <w:p w14:paraId="22149D94" w14:textId="0BED7B78" w:rsidR="00791CE5" w:rsidRDefault="00791CE5" w:rsidP="00791CE5">
            <w:r>
              <w:t>Объркване</w:t>
            </w:r>
          </w:p>
        </w:tc>
      </w:tr>
      <w:tr w:rsidR="00791CE5" w14:paraId="4A096611" w14:textId="77777777" w:rsidTr="00791CE5">
        <w:trPr>
          <w:trHeight w:val="272"/>
        </w:trPr>
        <w:tc>
          <w:tcPr>
            <w:tcW w:w="1572" w:type="dxa"/>
            <w:vAlign w:val="bottom"/>
          </w:tcPr>
          <w:p w14:paraId="441A3D59" w14:textId="01BB40AD" w:rsidR="00791CE5" w:rsidRDefault="00791CE5" w:rsidP="00791CE5">
            <w:r>
              <w:rPr>
                <w:b/>
                <w:bCs/>
              </w:rPr>
              <w:lastRenderedPageBreak/>
              <w:t>Нарушения на нервната система</w:t>
            </w:r>
          </w:p>
        </w:tc>
        <w:tc>
          <w:tcPr>
            <w:tcW w:w="753" w:type="dxa"/>
          </w:tcPr>
          <w:p w14:paraId="3DB04DC8" w14:textId="77777777" w:rsidR="00791CE5" w:rsidRDefault="00791CE5" w:rsidP="00791CE5"/>
        </w:tc>
        <w:tc>
          <w:tcPr>
            <w:tcW w:w="1428" w:type="dxa"/>
            <w:vAlign w:val="bottom"/>
          </w:tcPr>
          <w:p w14:paraId="2FA4D251" w14:textId="07ACE340" w:rsidR="00791CE5" w:rsidRDefault="00791CE5" w:rsidP="00791CE5">
            <w:r>
              <w:t>Замаяност, главоболие, гремор</w:t>
            </w:r>
          </w:p>
        </w:tc>
        <w:tc>
          <w:tcPr>
            <w:tcW w:w="1754" w:type="dxa"/>
          </w:tcPr>
          <w:p w14:paraId="61252D0A" w14:textId="77777777" w:rsidR="00791CE5" w:rsidRDefault="00791CE5" w:rsidP="00791CE5"/>
        </w:tc>
        <w:tc>
          <w:tcPr>
            <w:tcW w:w="1656" w:type="dxa"/>
          </w:tcPr>
          <w:p w14:paraId="6A3DBAA3" w14:textId="0E96BCC9" w:rsidR="00791CE5" w:rsidRDefault="00791CE5" w:rsidP="00791CE5">
            <w:r>
              <w:t>Сомнолентност, мозъчен инсулт</w:t>
            </w:r>
          </w:p>
        </w:tc>
        <w:tc>
          <w:tcPr>
            <w:tcW w:w="753" w:type="dxa"/>
          </w:tcPr>
          <w:p w14:paraId="5D2DEF88" w14:textId="77777777" w:rsidR="00791CE5" w:rsidRDefault="00791CE5" w:rsidP="00791CE5"/>
        </w:tc>
        <w:tc>
          <w:tcPr>
            <w:tcW w:w="1660" w:type="dxa"/>
          </w:tcPr>
          <w:p w14:paraId="464B18F6" w14:textId="47D52DC5" w:rsidR="00791CE5" w:rsidRDefault="00791CE5" w:rsidP="00791CE5">
            <w:r>
              <w:t>Загуба на концентрация</w:t>
            </w:r>
          </w:p>
        </w:tc>
      </w:tr>
      <w:tr w:rsidR="00791CE5" w14:paraId="6BF5E992" w14:textId="77777777" w:rsidTr="00791CE5">
        <w:trPr>
          <w:trHeight w:val="144"/>
        </w:trPr>
        <w:tc>
          <w:tcPr>
            <w:tcW w:w="1572" w:type="dxa"/>
          </w:tcPr>
          <w:p w14:paraId="659D65B4" w14:textId="5849C973" w:rsidR="00791CE5" w:rsidRDefault="00791CE5" w:rsidP="00791CE5">
            <w:r>
              <w:rPr>
                <w:b/>
                <w:bCs/>
              </w:rPr>
              <w:t>Нарушения на очите</w:t>
            </w:r>
          </w:p>
        </w:tc>
        <w:tc>
          <w:tcPr>
            <w:tcW w:w="753" w:type="dxa"/>
          </w:tcPr>
          <w:p w14:paraId="625387D3" w14:textId="77777777" w:rsidR="00791CE5" w:rsidRDefault="00791CE5" w:rsidP="00791CE5"/>
        </w:tc>
        <w:tc>
          <w:tcPr>
            <w:tcW w:w="1428" w:type="dxa"/>
          </w:tcPr>
          <w:p w14:paraId="398E96E6" w14:textId="77777777" w:rsidR="00791CE5" w:rsidRDefault="00791CE5" w:rsidP="00791CE5"/>
        </w:tc>
        <w:tc>
          <w:tcPr>
            <w:tcW w:w="1754" w:type="dxa"/>
          </w:tcPr>
          <w:p w14:paraId="2E3FC8F4" w14:textId="77777777" w:rsidR="00791CE5" w:rsidRDefault="00791CE5" w:rsidP="00791CE5"/>
        </w:tc>
        <w:tc>
          <w:tcPr>
            <w:tcW w:w="1656" w:type="dxa"/>
          </w:tcPr>
          <w:p w14:paraId="600CF27C" w14:textId="77777777" w:rsidR="00791CE5" w:rsidRDefault="00791CE5" w:rsidP="00791CE5"/>
        </w:tc>
        <w:tc>
          <w:tcPr>
            <w:tcW w:w="753" w:type="dxa"/>
          </w:tcPr>
          <w:p w14:paraId="6BBF6193" w14:textId="77777777" w:rsidR="00791CE5" w:rsidRDefault="00791CE5" w:rsidP="00791CE5"/>
        </w:tc>
        <w:tc>
          <w:tcPr>
            <w:tcW w:w="1660" w:type="dxa"/>
            <w:vAlign w:val="bottom"/>
          </w:tcPr>
          <w:p w14:paraId="280F3F23" w14:textId="21C23212" w:rsidR="00791CE5" w:rsidRDefault="00791CE5" w:rsidP="00791CE5">
            <w:r>
              <w:t>Емболизъм и тромбоза на съдовете на ретината, диабетна катаракта, зрителни нарушения</w:t>
            </w:r>
          </w:p>
        </w:tc>
      </w:tr>
      <w:tr w:rsidR="00791CE5" w14:paraId="256DD990" w14:textId="77777777" w:rsidTr="00791CE5">
        <w:trPr>
          <w:trHeight w:val="144"/>
        </w:trPr>
        <w:tc>
          <w:tcPr>
            <w:tcW w:w="1572" w:type="dxa"/>
          </w:tcPr>
          <w:p w14:paraId="540E674C" w14:textId="3207A898" w:rsidR="00791CE5" w:rsidRDefault="00791CE5" w:rsidP="00791CE5">
            <w:r>
              <w:rPr>
                <w:b/>
                <w:bCs/>
              </w:rPr>
              <w:t>Сърдечни нарушения</w:t>
            </w:r>
          </w:p>
        </w:tc>
        <w:tc>
          <w:tcPr>
            <w:tcW w:w="753" w:type="dxa"/>
          </w:tcPr>
          <w:p w14:paraId="479D9FC2" w14:textId="77777777" w:rsidR="00791CE5" w:rsidRDefault="00791CE5" w:rsidP="00791CE5"/>
        </w:tc>
        <w:tc>
          <w:tcPr>
            <w:tcW w:w="1428" w:type="dxa"/>
          </w:tcPr>
          <w:p w14:paraId="0506A474" w14:textId="77777777" w:rsidR="00791CE5" w:rsidRDefault="00791CE5" w:rsidP="00791CE5"/>
        </w:tc>
        <w:tc>
          <w:tcPr>
            <w:tcW w:w="1754" w:type="dxa"/>
            <w:vAlign w:val="bottom"/>
          </w:tcPr>
          <w:p w14:paraId="6ADFBAD9" w14:textId="6ADB90B4" w:rsidR="00791CE5" w:rsidRDefault="00791CE5" w:rsidP="00791CE5">
            <w:r>
              <w:t>Конгестивна сърдечна недостатъчност</w:t>
            </w:r>
          </w:p>
        </w:tc>
        <w:tc>
          <w:tcPr>
            <w:tcW w:w="1656" w:type="dxa"/>
          </w:tcPr>
          <w:p w14:paraId="24100654" w14:textId="044B4028" w:rsidR="00791CE5" w:rsidRDefault="00791CE5" w:rsidP="00791CE5">
            <w:r>
              <w:t>Миокарден инфаркт</w:t>
            </w:r>
          </w:p>
        </w:tc>
        <w:tc>
          <w:tcPr>
            <w:tcW w:w="753" w:type="dxa"/>
          </w:tcPr>
          <w:p w14:paraId="15CF82C9" w14:textId="77777777" w:rsidR="00791CE5" w:rsidRDefault="00791CE5" w:rsidP="00791CE5"/>
        </w:tc>
        <w:tc>
          <w:tcPr>
            <w:tcW w:w="1660" w:type="dxa"/>
          </w:tcPr>
          <w:p w14:paraId="54D90A52" w14:textId="55E8EE42" w:rsidR="00791CE5" w:rsidRDefault="00791CE5" w:rsidP="00791CE5">
            <w:r>
              <w:t>Палпитации, гахикардия</w:t>
            </w:r>
          </w:p>
        </w:tc>
      </w:tr>
      <w:tr w:rsidR="00791CE5" w14:paraId="14D6CA8E" w14:textId="77777777" w:rsidTr="00791CE5">
        <w:trPr>
          <w:trHeight w:val="144"/>
        </w:trPr>
        <w:tc>
          <w:tcPr>
            <w:tcW w:w="1572" w:type="dxa"/>
            <w:vAlign w:val="bottom"/>
          </w:tcPr>
          <w:p w14:paraId="024020C3" w14:textId="492C23BE" w:rsidR="00791CE5" w:rsidRDefault="00791CE5" w:rsidP="00791CE5">
            <w:r>
              <w:rPr>
                <w:b/>
                <w:bCs/>
              </w:rPr>
              <w:t>Съдови нарушения</w:t>
            </w:r>
          </w:p>
        </w:tc>
        <w:tc>
          <w:tcPr>
            <w:tcW w:w="753" w:type="dxa"/>
          </w:tcPr>
          <w:p w14:paraId="71359C33" w14:textId="77777777" w:rsidR="00791CE5" w:rsidRDefault="00791CE5" w:rsidP="00791CE5"/>
        </w:tc>
        <w:tc>
          <w:tcPr>
            <w:tcW w:w="1428" w:type="dxa"/>
          </w:tcPr>
          <w:p w14:paraId="30B635AF" w14:textId="77777777" w:rsidR="00791CE5" w:rsidRDefault="00791CE5" w:rsidP="00791CE5"/>
        </w:tc>
        <w:tc>
          <w:tcPr>
            <w:tcW w:w="1754" w:type="dxa"/>
          </w:tcPr>
          <w:p w14:paraId="59364D5E" w14:textId="3D640A03" w:rsidR="00791CE5" w:rsidRDefault="00791CE5" w:rsidP="00791CE5">
            <w:r>
              <w:t>Громбофлебит</w:t>
            </w:r>
          </w:p>
        </w:tc>
        <w:tc>
          <w:tcPr>
            <w:tcW w:w="1656" w:type="dxa"/>
            <w:vAlign w:val="bottom"/>
          </w:tcPr>
          <w:p w14:paraId="13430457" w14:textId="41E0F4B3" w:rsidR="00791CE5" w:rsidRDefault="00791CE5" w:rsidP="00791CE5">
            <w:r>
              <w:t>Емболизъм и тромбоза</w:t>
            </w:r>
          </w:p>
        </w:tc>
        <w:tc>
          <w:tcPr>
            <w:tcW w:w="753" w:type="dxa"/>
          </w:tcPr>
          <w:p w14:paraId="0D0A3462" w14:textId="77777777" w:rsidR="00791CE5" w:rsidRDefault="00791CE5" w:rsidP="00791CE5"/>
        </w:tc>
        <w:tc>
          <w:tcPr>
            <w:tcW w:w="1660" w:type="dxa"/>
          </w:tcPr>
          <w:p w14:paraId="5B883E9C" w14:textId="77777777" w:rsidR="00791CE5" w:rsidRDefault="00791CE5" w:rsidP="00791CE5"/>
        </w:tc>
      </w:tr>
      <w:tr w:rsidR="00791CE5" w14:paraId="46B3A7B8" w14:textId="77777777" w:rsidTr="00791CE5">
        <w:trPr>
          <w:trHeight w:val="144"/>
        </w:trPr>
        <w:tc>
          <w:tcPr>
            <w:tcW w:w="1572" w:type="dxa"/>
            <w:vAlign w:val="bottom"/>
          </w:tcPr>
          <w:p w14:paraId="0F2561EF" w14:textId="6E18482C" w:rsidR="00791CE5" w:rsidRDefault="00791CE5" w:rsidP="00791CE5">
            <w:r>
              <w:rPr>
                <w:b/>
                <w:bCs/>
              </w:rPr>
              <w:t>Респираторни, гръдни и медиаетинални нарушения</w:t>
            </w:r>
          </w:p>
        </w:tc>
        <w:tc>
          <w:tcPr>
            <w:tcW w:w="753" w:type="dxa"/>
          </w:tcPr>
          <w:p w14:paraId="282AD814" w14:textId="77777777" w:rsidR="00791CE5" w:rsidRDefault="00791CE5" w:rsidP="00791CE5"/>
        </w:tc>
        <w:tc>
          <w:tcPr>
            <w:tcW w:w="1428" w:type="dxa"/>
          </w:tcPr>
          <w:p w14:paraId="0EB05155" w14:textId="77777777" w:rsidR="00791CE5" w:rsidRDefault="00791CE5" w:rsidP="00791CE5"/>
        </w:tc>
        <w:tc>
          <w:tcPr>
            <w:tcW w:w="1754" w:type="dxa"/>
          </w:tcPr>
          <w:p w14:paraId="1D2CEA18" w14:textId="3495B553" w:rsidR="00791CE5" w:rsidRDefault="00791CE5" w:rsidP="00791CE5">
            <w:r>
              <w:t>Белодробен емболизъм</w:t>
            </w:r>
          </w:p>
        </w:tc>
        <w:tc>
          <w:tcPr>
            <w:tcW w:w="1656" w:type="dxa"/>
          </w:tcPr>
          <w:p w14:paraId="5F1D67BE" w14:textId="77777777" w:rsidR="00791CE5" w:rsidRDefault="00791CE5" w:rsidP="00791CE5"/>
        </w:tc>
        <w:tc>
          <w:tcPr>
            <w:tcW w:w="753" w:type="dxa"/>
          </w:tcPr>
          <w:p w14:paraId="0621D9BD" w14:textId="77777777" w:rsidR="00791CE5" w:rsidRDefault="00791CE5" w:rsidP="00791CE5"/>
        </w:tc>
        <w:tc>
          <w:tcPr>
            <w:tcW w:w="1660" w:type="dxa"/>
          </w:tcPr>
          <w:p w14:paraId="5BAAE8D9" w14:textId="77777777" w:rsidR="00791CE5" w:rsidRDefault="00791CE5" w:rsidP="00791CE5"/>
        </w:tc>
      </w:tr>
      <w:tr w:rsidR="00791CE5" w14:paraId="5CEE8ABF" w14:textId="77777777" w:rsidTr="00791CE5">
        <w:trPr>
          <w:trHeight w:val="144"/>
        </w:trPr>
        <w:tc>
          <w:tcPr>
            <w:tcW w:w="1572" w:type="dxa"/>
            <w:vAlign w:val="bottom"/>
          </w:tcPr>
          <w:p w14:paraId="75362458" w14:textId="6E59F602" w:rsidR="00791CE5" w:rsidRDefault="00791CE5" w:rsidP="00791CE5">
            <w:r>
              <w:rPr>
                <w:b/>
                <w:bCs/>
              </w:rPr>
              <w:t>Стомашно- чревни нарушения</w:t>
            </w:r>
          </w:p>
        </w:tc>
        <w:tc>
          <w:tcPr>
            <w:tcW w:w="753" w:type="dxa"/>
          </w:tcPr>
          <w:p w14:paraId="391D3064" w14:textId="77777777" w:rsidR="00791CE5" w:rsidRDefault="00791CE5" w:rsidP="00791CE5"/>
        </w:tc>
        <w:tc>
          <w:tcPr>
            <w:tcW w:w="1428" w:type="dxa"/>
          </w:tcPr>
          <w:p w14:paraId="2FD63FE0" w14:textId="0C3FA829" w:rsidR="00791CE5" w:rsidRDefault="00791CE5" w:rsidP="00791CE5">
            <w:r>
              <w:t>Запек, гадене, повръщане</w:t>
            </w:r>
          </w:p>
        </w:tc>
        <w:tc>
          <w:tcPr>
            <w:tcW w:w="1754" w:type="dxa"/>
          </w:tcPr>
          <w:p w14:paraId="495D3C28" w14:textId="0122E312" w:rsidR="00791CE5" w:rsidRDefault="00791CE5" w:rsidP="00791CE5">
            <w:r>
              <w:t>Диария, сухота в устата</w:t>
            </w:r>
          </w:p>
        </w:tc>
        <w:tc>
          <w:tcPr>
            <w:tcW w:w="1656" w:type="dxa"/>
          </w:tcPr>
          <w:p w14:paraId="18D9A4D3" w14:textId="77777777" w:rsidR="00791CE5" w:rsidRDefault="00791CE5" w:rsidP="00791CE5"/>
        </w:tc>
        <w:tc>
          <w:tcPr>
            <w:tcW w:w="753" w:type="dxa"/>
          </w:tcPr>
          <w:p w14:paraId="7094E168" w14:textId="77777777" w:rsidR="00791CE5" w:rsidRDefault="00791CE5" w:rsidP="00791CE5"/>
        </w:tc>
        <w:tc>
          <w:tcPr>
            <w:tcW w:w="1660" w:type="dxa"/>
          </w:tcPr>
          <w:p w14:paraId="1A9839CF" w14:textId="77777777" w:rsidR="00791CE5" w:rsidRDefault="00791CE5" w:rsidP="00791CE5"/>
        </w:tc>
      </w:tr>
      <w:tr w:rsidR="00791CE5" w14:paraId="10C54FFD" w14:textId="77777777" w:rsidTr="00791CE5">
        <w:trPr>
          <w:trHeight w:val="144"/>
        </w:trPr>
        <w:tc>
          <w:tcPr>
            <w:tcW w:w="1572" w:type="dxa"/>
            <w:vAlign w:val="bottom"/>
          </w:tcPr>
          <w:p w14:paraId="464DA557" w14:textId="326DE987" w:rsidR="00791CE5" w:rsidRDefault="00791CE5" w:rsidP="00791CE5">
            <w:r>
              <w:rPr>
                <w:b/>
                <w:bCs/>
              </w:rPr>
              <w:t>Хепатобилиар ни нарушения</w:t>
            </w:r>
          </w:p>
        </w:tc>
        <w:tc>
          <w:tcPr>
            <w:tcW w:w="753" w:type="dxa"/>
          </w:tcPr>
          <w:p w14:paraId="2BCCE049" w14:textId="77777777" w:rsidR="00791CE5" w:rsidRDefault="00791CE5" w:rsidP="00791CE5"/>
        </w:tc>
        <w:tc>
          <w:tcPr>
            <w:tcW w:w="1428" w:type="dxa"/>
          </w:tcPr>
          <w:p w14:paraId="6DC516A6" w14:textId="77777777" w:rsidR="00791CE5" w:rsidRDefault="00791CE5" w:rsidP="00791CE5"/>
        </w:tc>
        <w:tc>
          <w:tcPr>
            <w:tcW w:w="1754" w:type="dxa"/>
          </w:tcPr>
          <w:p w14:paraId="3D02DF1B" w14:textId="77777777" w:rsidR="00791CE5" w:rsidRDefault="00791CE5" w:rsidP="00791CE5"/>
        </w:tc>
        <w:tc>
          <w:tcPr>
            <w:tcW w:w="1656" w:type="dxa"/>
          </w:tcPr>
          <w:p w14:paraId="3235F1F1" w14:textId="3DA4BE87" w:rsidR="00791CE5" w:rsidRDefault="00791CE5" w:rsidP="00791CE5">
            <w:r>
              <w:t>Жълтеница</w:t>
            </w:r>
          </w:p>
        </w:tc>
        <w:tc>
          <w:tcPr>
            <w:tcW w:w="753" w:type="dxa"/>
          </w:tcPr>
          <w:p w14:paraId="5A8F69F0" w14:textId="77777777" w:rsidR="00791CE5" w:rsidRDefault="00791CE5" w:rsidP="00791CE5"/>
        </w:tc>
        <w:tc>
          <w:tcPr>
            <w:tcW w:w="1660" w:type="dxa"/>
          </w:tcPr>
          <w:p w14:paraId="4AE00FA7" w14:textId="77777777" w:rsidR="00791CE5" w:rsidRDefault="00791CE5" w:rsidP="00791CE5"/>
        </w:tc>
      </w:tr>
      <w:tr w:rsidR="00791CE5" w14:paraId="568A4E7F" w14:textId="77777777" w:rsidTr="00791CE5">
        <w:trPr>
          <w:trHeight w:val="144"/>
        </w:trPr>
        <w:tc>
          <w:tcPr>
            <w:tcW w:w="1572" w:type="dxa"/>
            <w:vAlign w:val="bottom"/>
          </w:tcPr>
          <w:p w14:paraId="7C9A59F9" w14:textId="742E2841" w:rsidR="00791CE5" w:rsidRDefault="00791CE5" w:rsidP="00791CE5">
            <w:r>
              <w:rPr>
                <w:b/>
                <w:bCs/>
              </w:rPr>
              <w:t>Нарушения на кожата и подкожната тъкан</w:t>
            </w:r>
          </w:p>
        </w:tc>
        <w:tc>
          <w:tcPr>
            <w:tcW w:w="753" w:type="dxa"/>
          </w:tcPr>
          <w:p w14:paraId="487AA715" w14:textId="77777777" w:rsidR="00791CE5" w:rsidRDefault="00791CE5" w:rsidP="00791CE5"/>
        </w:tc>
        <w:tc>
          <w:tcPr>
            <w:tcW w:w="1428" w:type="dxa"/>
          </w:tcPr>
          <w:p w14:paraId="2468B3C3" w14:textId="29CB3AA7" w:rsidR="00791CE5" w:rsidRDefault="00791CE5" w:rsidP="00791CE5">
            <w:r>
              <w:t>Изпотяване</w:t>
            </w:r>
          </w:p>
        </w:tc>
        <w:tc>
          <w:tcPr>
            <w:tcW w:w="1754" w:type="dxa"/>
          </w:tcPr>
          <w:p w14:paraId="5FC4FF3A" w14:textId="7495E804" w:rsidR="00791CE5" w:rsidRDefault="00791CE5" w:rsidP="00791CE5">
            <w:r>
              <w:t>Акне, хирзутизъм</w:t>
            </w:r>
          </w:p>
        </w:tc>
        <w:tc>
          <w:tcPr>
            <w:tcW w:w="1656" w:type="dxa"/>
          </w:tcPr>
          <w:p w14:paraId="23804789" w14:textId="35F2C901" w:rsidR="00791CE5" w:rsidRDefault="00791CE5" w:rsidP="00791CE5">
            <w:r>
              <w:t>Алопеция, обрив</w:t>
            </w:r>
          </w:p>
        </w:tc>
        <w:tc>
          <w:tcPr>
            <w:tcW w:w="753" w:type="dxa"/>
          </w:tcPr>
          <w:p w14:paraId="0B452917" w14:textId="77777777" w:rsidR="00791CE5" w:rsidRDefault="00791CE5" w:rsidP="00791CE5"/>
        </w:tc>
        <w:tc>
          <w:tcPr>
            <w:tcW w:w="1660" w:type="dxa"/>
            <w:vAlign w:val="bottom"/>
          </w:tcPr>
          <w:p w14:paraId="7746146B" w14:textId="3E160667" w:rsidR="00791CE5" w:rsidRDefault="00791CE5" w:rsidP="00791CE5">
            <w:r>
              <w:t>Пруритус, уртикария, придобита пиподистрофия*§</w:t>
            </w:r>
          </w:p>
        </w:tc>
      </w:tr>
      <w:tr w:rsidR="00791CE5" w14:paraId="104D84C0" w14:textId="77777777" w:rsidTr="00791CE5">
        <w:trPr>
          <w:trHeight w:val="144"/>
        </w:trPr>
        <w:tc>
          <w:tcPr>
            <w:tcW w:w="1572" w:type="dxa"/>
            <w:vAlign w:val="bottom"/>
          </w:tcPr>
          <w:p w14:paraId="12F24145" w14:textId="5B687B2E" w:rsidR="00791CE5" w:rsidRDefault="00791CE5" w:rsidP="00791CE5">
            <w:r>
              <w:rPr>
                <w:b/>
                <w:bCs/>
              </w:rPr>
              <w:t>Нарушения на мускулно- скелетната система и съединителнат а тъкан</w:t>
            </w:r>
          </w:p>
        </w:tc>
        <w:tc>
          <w:tcPr>
            <w:tcW w:w="753" w:type="dxa"/>
          </w:tcPr>
          <w:p w14:paraId="72BEB374" w14:textId="77777777" w:rsidR="00791CE5" w:rsidRDefault="00791CE5" w:rsidP="00791CE5"/>
        </w:tc>
        <w:tc>
          <w:tcPr>
            <w:tcW w:w="1428" w:type="dxa"/>
          </w:tcPr>
          <w:p w14:paraId="18F75C9C" w14:textId="77777777" w:rsidR="00791CE5" w:rsidRDefault="00791CE5" w:rsidP="00791CE5"/>
        </w:tc>
        <w:tc>
          <w:tcPr>
            <w:tcW w:w="1754" w:type="dxa"/>
          </w:tcPr>
          <w:p w14:paraId="64A87CB3" w14:textId="524A68AE" w:rsidR="00791CE5" w:rsidRDefault="00791CE5" w:rsidP="00791CE5">
            <w:r>
              <w:t>Мускулни спазми</w:t>
            </w:r>
          </w:p>
        </w:tc>
        <w:tc>
          <w:tcPr>
            <w:tcW w:w="1656" w:type="dxa"/>
          </w:tcPr>
          <w:p w14:paraId="2EC4C96D" w14:textId="77777777" w:rsidR="00791CE5" w:rsidRDefault="00791CE5" w:rsidP="00791CE5"/>
        </w:tc>
        <w:tc>
          <w:tcPr>
            <w:tcW w:w="753" w:type="dxa"/>
          </w:tcPr>
          <w:p w14:paraId="4E7031BD" w14:textId="77777777" w:rsidR="00791CE5" w:rsidRDefault="00791CE5" w:rsidP="00791CE5"/>
        </w:tc>
        <w:tc>
          <w:tcPr>
            <w:tcW w:w="1660" w:type="dxa"/>
          </w:tcPr>
          <w:p w14:paraId="0B9EB44E" w14:textId="77777777" w:rsidR="00791CE5" w:rsidRDefault="00791CE5" w:rsidP="00791CE5">
            <w:r>
              <w:rPr>
                <w:i/>
                <w:iCs/>
              </w:rPr>
              <w:t>Остеопороза, включително остеопоротичн и</w:t>
            </w:r>
          </w:p>
          <w:p w14:paraId="41310304" w14:textId="6277C6B0" w:rsidR="00791CE5" w:rsidRDefault="00791CE5" w:rsidP="00791CE5">
            <w:r>
              <w:rPr>
                <w:i/>
                <w:iCs/>
              </w:rPr>
              <w:t>фрактури§</w:t>
            </w:r>
          </w:p>
        </w:tc>
      </w:tr>
      <w:tr w:rsidR="00791CE5" w14:paraId="39B6AF8E" w14:textId="77777777" w:rsidTr="00791CE5">
        <w:trPr>
          <w:trHeight w:val="144"/>
        </w:trPr>
        <w:tc>
          <w:tcPr>
            <w:tcW w:w="1572" w:type="dxa"/>
          </w:tcPr>
          <w:p w14:paraId="08EA7A7E" w14:textId="280E2A2D" w:rsidR="00791CE5" w:rsidRDefault="00791CE5" w:rsidP="00791CE5">
            <w:r>
              <w:rPr>
                <w:b/>
                <w:bCs/>
              </w:rPr>
              <w:t>Нарушения на бъбреците и пикочните пътища</w:t>
            </w:r>
          </w:p>
        </w:tc>
        <w:tc>
          <w:tcPr>
            <w:tcW w:w="753" w:type="dxa"/>
          </w:tcPr>
          <w:p w14:paraId="2669E4DA" w14:textId="77777777" w:rsidR="00791CE5" w:rsidRDefault="00791CE5" w:rsidP="00791CE5"/>
        </w:tc>
        <w:tc>
          <w:tcPr>
            <w:tcW w:w="1428" w:type="dxa"/>
          </w:tcPr>
          <w:p w14:paraId="477D580F" w14:textId="77777777" w:rsidR="00791CE5" w:rsidRDefault="00791CE5" w:rsidP="00791CE5"/>
        </w:tc>
        <w:tc>
          <w:tcPr>
            <w:tcW w:w="1754" w:type="dxa"/>
          </w:tcPr>
          <w:p w14:paraId="2EA821A0" w14:textId="77777777" w:rsidR="00791CE5" w:rsidRDefault="00791CE5" w:rsidP="00791CE5"/>
        </w:tc>
        <w:tc>
          <w:tcPr>
            <w:tcW w:w="1656" w:type="dxa"/>
          </w:tcPr>
          <w:p w14:paraId="031EB95E" w14:textId="77777777" w:rsidR="00791CE5" w:rsidRDefault="00791CE5" w:rsidP="00791CE5"/>
        </w:tc>
        <w:tc>
          <w:tcPr>
            <w:tcW w:w="753" w:type="dxa"/>
          </w:tcPr>
          <w:p w14:paraId="4CB9EE24" w14:textId="77777777" w:rsidR="00791CE5" w:rsidRDefault="00791CE5" w:rsidP="00791CE5"/>
        </w:tc>
        <w:tc>
          <w:tcPr>
            <w:tcW w:w="1660" w:type="dxa"/>
          </w:tcPr>
          <w:p w14:paraId="13F1AE41" w14:textId="4274CAD4" w:rsidR="00791CE5" w:rsidRDefault="00791CE5" w:rsidP="00791CE5">
            <w:r>
              <w:t>Глюкозурия</w:t>
            </w:r>
          </w:p>
        </w:tc>
      </w:tr>
      <w:tr w:rsidR="00791CE5" w14:paraId="77E5B10A" w14:textId="77777777" w:rsidTr="00791CE5">
        <w:trPr>
          <w:trHeight w:val="144"/>
        </w:trPr>
        <w:tc>
          <w:tcPr>
            <w:tcW w:w="1572" w:type="dxa"/>
          </w:tcPr>
          <w:p w14:paraId="3079C06A" w14:textId="596AE10A" w:rsidR="00791CE5" w:rsidRDefault="00791CE5" w:rsidP="00791CE5">
            <w:r>
              <w:rPr>
                <w:b/>
                <w:bCs/>
              </w:rPr>
              <w:t>Нарушения на възпроизводит едната система и гърдата</w:t>
            </w:r>
          </w:p>
        </w:tc>
        <w:tc>
          <w:tcPr>
            <w:tcW w:w="753" w:type="dxa"/>
          </w:tcPr>
          <w:p w14:paraId="49D77694" w14:textId="77777777" w:rsidR="00791CE5" w:rsidRDefault="00791CE5" w:rsidP="00791CE5"/>
        </w:tc>
        <w:tc>
          <w:tcPr>
            <w:tcW w:w="1428" w:type="dxa"/>
          </w:tcPr>
          <w:p w14:paraId="69ECDDF6" w14:textId="744831F8" w:rsidR="00791CE5" w:rsidRDefault="00791CE5" w:rsidP="00791CE5">
            <w:r>
              <w:t>Еректилна дисфункция</w:t>
            </w:r>
          </w:p>
        </w:tc>
        <w:tc>
          <w:tcPr>
            <w:tcW w:w="1754" w:type="dxa"/>
          </w:tcPr>
          <w:p w14:paraId="3F0C0A2C" w14:textId="10B1E22B" w:rsidR="00791CE5" w:rsidRDefault="00791CE5" w:rsidP="00791CE5">
            <w:r>
              <w:t>Абнормно маточно кървене (нередовно, повишено, намалено, зацапване), болки в гърдите</w:t>
            </w:r>
          </w:p>
        </w:tc>
        <w:tc>
          <w:tcPr>
            <w:tcW w:w="1656" w:type="dxa"/>
          </w:tcPr>
          <w:p w14:paraId="4BEF11BA" w14:textId="77777777" w:rsidR="00791CE5" w:rsidRDefault="00791CE5" w:rsidP="00791CE5"/>
        </w:tc>
        <w:tc>
          <w:tcPr>
            <w:tcW w:w="753" w:type="dxa"/>
          </w:tcPr>
          <w:p w14:paraId="2D87DAF2" w14:textId="77777777" w:rsidR="00791CE5" w:rsidRDefault="00791CE5" w:rsidP="00791CE5"/>
        </w:tc>
        <w:tc>
          <w:tcPr>
            <w:tcW w:w="1660" w:type="dxa"/>
          </w:tcPr>
          <w:p w14:paraId="4FE74F9A" w14:textId="133E54D4" w:rsidR="00791CE5" w:rsidRDefault="00791CE5" w:rsidP="00791CE5">
            <w:r>
              <w:t>Аменорея, ерозия на шийката на матката, галакторея цервикална киперсекреция</w:t>
            </w:r>
          </w:p>
        </w:tc>
      </w:tr>
      <w:tr w:rsidR="00791CE5" w14:paraId="73D3051D" w14:textId="77777777" w:rsidTr="00791CE5">
        <w:trPr>
          <w:trHeight w:val="144"/>
        </w:trPr>
        <w:tc>
          <w:tcPr>
            <w:tcW w:w="1572" w:type="dxa"/>
          </w:tcPr>
          <w:p w14:paraId="41C5D4A1" w14:textId="59490E40" w:rsidR="00791CE5" w:rsidRDefault="00791CE5" w:rsidP="00791CE5">
            <w:r>
              <w:rPr>
                <w:b/>
                <w:bCs/>
              </w:rPr>
              <w:lastRenderedPageBreak/>
              <w:t>Общи нарушения и ефекти на мястото на приложение</w:t>
            </w:r>
          </w:p>
        </w:tc>
        <w:tc>
          <w:tcPr>
            <w:tcW w:w="753" w:type="dxa"/>
          </w:tcPr>
          <w:p w14:paraId="5D7AF20A" w14:textId="77777777" w:rsidR="00791CE5" w:rsidRDefault="00791CE5" w:rsidP="00791CE5"/>
        </w:tc>
        <w:tc>
          <w:tcPr>
            <w:tcW w:w="1428" w:type="dxa"/>
          </w:tcPr>
          <w:p w14:paraId="50A44365" w14:textId="62B480CB" w:rsidR="00791CE5" w:rsidRDefault="00791CE5" w:rsidP="00791CE5">
            <w:r>
              <w:t>Оток/задръжка на течности, умора, реакция на мястото на инжектиране*</w:t>
            </w:r>
          </w:p>
        </w:tc>
        <w:tc>
          <w:tcPr>
            <w:tcW w:w="1754" w:type="dxa"/>
          </w:tcPr>
          <w:p w14:paraId="48BA6AC2" w14:textId="41BDD9E4" w:rsidR="00791CE5" w:rsidRDefault="00791CE5" w:rsidP="00791CE5">
            <w:r>
              <w:t>Болка/чувствителн ост на мястото на инжектиране**</w:t>
            </w:r>
          </w:p>
        </w:tc>
        <w:tc>
          <w:tcPr>
            <w:tcW w:w="1656" w:type="dxa"/>
          </w:tcPr>
          <w:p w14:paraId="329E71FD" w14:textId="2B5CDA1E" w:rsidR="00791CE5" w:rsidRDefault="00791CE5" w:rsidP="00791CE5">
            <w:r>
              <w:t>Неразположение, греска</w:t>
            </w:r>
          </w:p>
        </w:tc>
        <w:tc>
          <w:tcPr>
            <w:tcW w:w="753" w:type="dxa"/>
          </w:tcPr>
          <w:p w14:paraId="0387C4C4" w14:textId="77777777" w:rsidR="00791CE5" w:rsidRDefault="00791CE5" w:rsidP="00791CE5"/>
        </w:tc>
        <w:tc>
          <w:tcPr>
            <w:tcW w:w="1660" w:type="dxa"/>
          </w:tcPr>
          <w:p w14:paraId="0A943C1E" w14:textId="24288605" w:rsidR="00791CE5" w:rsidRDefault="00791CE5" w:rsidP="00791CE5">
            <w:r>
              <w:t>Персистираща атроф ия/вдлъб нат йна/неравност на мястото на инжектиране, възелче/бучка на мястото на Инжектиране**</w:t>
            </w:r>
          </w:p>
        </w:tc>
      </w:tr>
      <w:tr w:rsidR="00791CE5" w14:paraId="6928176D" w14:textId="77777777" w:rsidTr="00791CE5">
        <w:trPr>
          <w:trHeight w:val="144"/>
        </w:trPr>
        <w:tc>
          <w:tcPr>
            <w:tcW w:w="1572" w:type="dxa"/>
          </w:tcPr>
          <w:p w14:paraId="01782EE9" w14:textId="41AA2E7B" w:rsidR="00791CE5" w:rsidRDefault="00791CE5" w:rsidP="00791CE5">
            <w:r>
              <w:rPr>
                <w:b/>
                <w:bCs/>
              </w:rPr>
              <w:t>Изследвания</w:t>
            </w:r>
          </w:p>
        </w:tc>
        <w:tc>
          <w:tcPr>
            <w:tcW w:w="753" w:type="dxa"/>
          </w:tcPr>
          <w:p w14:paraId="7AAC6068" w14:textId="77777777" w:rsidR="00791CE5" w:rsidRDefault="00791CE5" w:rsidP="00791CE5"/>
        </w:tc>
        <w:tc>
          <w:tcPr>
            <w:tcW w:w="1428" w:type="dxa"/>
          </w:tcPr>
          <w:p w14:paraId="41FB65BA" w14:textId="77777777" w:rsidR="00791CE5" w:rsidRDefault="00791CE5" w:rsidP="00791CE5"/>
        </w:tc>
        <w:tc>
          <w:tcPr>
            <w:tcW w:w="1754" w:type="dxa"/>
          </w:tcPr>
          <w:p w14:paraId="647A5DD2" w14:textId="77777777" w:rsidR="00791CE5" w:rsidRDefault="00791CE5" w:rsidP="00791CE5"/>
        </w:tc>
        <w:tc>
          <w:tcPr>
            <w:tcW w:w="1656" w:type="dxa"/>
          </w:tcPr>
          <w:p w14:paraId="456E258B" w14:textId="38C5F528" w:rsidR="00791CE5" w:rsidRDefault="00791CE5" w:rsidP="00791CE5">
            <w:r>
              <w:t>Намален глюкозен толеранс, повишено кръвно налягане</w:t>
            </w:r>
          </w:p>
        </w:tc>
        <w:tc>
          <w:tcPr>
            <w:tcW w:w="753" w:type="dxa"/>
          </w:tcPr>
          <w:p w14:paraId="2DA320AF" w14:textId="77777777" w:rsidR="00791CE5" w:rsidRDefault="00791CE5" w:rsidP="00791CE5"/>
        </w:tc>
        <w:tc>
          <w:tcPr>
            <w:tcW w:w="1660" w:type="dxa"/>
          </w:tcPr>
          <w:p w14:paraId="6629B596" w14:textId="1D5ADC85" w:rsidR="00791CE5" w:rsidRDefault="00791CE5" w:rsidP="00791CE5">
            <w:r>
              <w:t>Нарушени чернодробни функционални тестове, повишен брой на белите кръвни клетки, повишен брой на громбоцитите</w:t>
            </w:r>
          </w:p>
        </w:tc>
      </w:tr>
    </w:tbl>
    <w:p w14:paraId="469B9AB9" w14:textId="77777777" w:rsidR="00977EB7" w:rsidRPr="00977EB7" w:rsidRDefault="00977EB7" w:rsidP="00977EB7">
      <w:pPr>
        <w:spacing w:line="240" w:lineRule="auto"/>
        <w:rPr>
          <w:rFonts w:eastAsia="Times New Roman" w:cs="Arial"/>
          <w:color w:val="000000"/>
          <w:u w:val="single"/>
          <w:lang w:eastAsia="bg-BG"/>
        </w:rPr>
      </w:pPr>
      <w:r w:rsidRPr="00977EB7">
        <w:rPr>
          <w:rFonts w:eastAsia="Times New Roman" w:cs="Arial"/>
          <w:color w:val="000000"/>
          <w:u w:val="single"/>
          <w:vertAlign w:val="superscript"/>
          <w:lang w:eastAsia="bg-BG"/>
        </w:rPr>
        <w:t>&amp;</w:t>
      </w:r>
      <w:r w:rsidRPr="00977EB7">
        <w:rPr>
          <w:rFonts w:eastAsia="Times New Roman" w:cs="Arial"/>
          <w:color w:val="000000"/>
          <w:u w:val="single"/>
          <w:lang w:eastAsia="bg-BG"/>
        </w:rPr>
        <w:t xml:space="preserve">При пациенти, на които е прилагана инжекционната форма </w:t>
      </w:r>
    </w:p>
    <w:p w14:paraId="77E2D77E" w14:textId="126EFAE3" w:rsidR="00977EB7" w:rsidRPr="00977EB7" w:rsidRDefault="00977EB7" w:rsidP="00977EB7">
      <w:pPr>
        <w:spacing w:line="240" w:lineRule="auto"/>
        <w:rPr>
          <w:rFonts w:eastAsia="Times New Roman" w:cs="Arial"/>
        </w:rPr>
      </w:pPr>
      <w:r w:rsidRPr="00977EB7">
        <w:rPr>
          <w:rFonts w:eastAsia="Times New Roman" w:cs="Arial"/>
          <w:color w:val="000000"/>
          <w:u w:val="single"/>
          <w:lang w:eastAsia="bg-BG"/>
        </w:rPr>
        <w:t>* НЛР са идентифицирани в постмаркетинговия период.</w:t>
      </w:r>
    </w:p>
    <w:p w14:paraId="50A98563" w14:textId="77777777" w:rsidR="00977EB7" w:rsidRPr="00977EB7" w:rsidRDefault="00977EB7" w:rsidP="00977EB7">
      <w:pPr>
        <w:spacing w:line="240" w:lineRule="auto"/>
        <w:rPr>
          <w:rFonts w:eastAsia="Times New Roman" w:cs="Arial"/>
          <w:color w:val="000000"/>
          <w:u w:val="single"/>
          <w:lang w:eastAsia="bg-BG"/>
        </w:rPr>
      </w:pPr>
    </w:p>
    <w:p w14:paraId="5471FA5A" w14:textId="57FE44FD" w:rsidR="00977EB7" w:rsidRPr="00977EB7" w:rsidRDefault="00977EB7" w:rsidP="00977EB7">
      <w:pPr>
        <w:spacing w:line="240" w:lineRule="auto"/>
        <w:rPr>
          <w:rFonts w:eastAsia="Times New Roman" w:cs="Arial"/>
        </w:rPr>
      </w:pPr>
      <w:r w:rsidRPr="00977EB7">
        <w:rPr>
          <w:rFonts w:eastAsia="Times New Roman" w:cs="Arial"/>
          <w:color w:val="000000"/>
          <w:u w:val="single"/>
          <w:lang w:eastAsia="bg-BG"/>
        </w:rPr>
        <w:t>Съобщаване на подозирани нежелани реакции</w:t>
      </w:r>
    </w:p>
    <w:p w14:paraId="2A15408C" w14:textId="339E3905" w:rsidR="00791CE5" w:rsidRPr="00977EB7" w:rsidRDefault="00977EB7" w:rsidP="00977EB7">
      <w:pPr>
        <w:rPr>
          <w:rFonts w:cs="Arial"/>
        </w:rPr>
      </w:pPr>
      <w:r w:rsidRPr="00977EB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 тел. +359 2 8903 417, уебсайт: </w:t>
      </w:r>
      <w:r w:rsidRPr="00977EB7">
        <w:rPr>
          <w:rFonts w:eastAsia="Times New Roman" w:cs="Arial"/>
        </w:rPr>
        <w:fldChar w:fldCharType="begin"/>
      </w:r>
      <w:r w:rsidRPr="00977EB7">
        <w:rPr>
          <w:rFonts w:eastAsia="Times New Roman" w:cs="Arial"/>
        </w:rPr>
        <w:instrText xml:space="preserve"> HYPERLINK "http://www.bda.bg" </w:instrText>
      </w:r>
      <w:r w:rsidRPr="00977EB7">
        <w:rPr>
          <w:rFonts w:eastAsia="Times New Roman" w:cs="Arial"/>
        </w:rPr>
      </w:r>
      <w:r w:rsidRPr="00977EB7">
        <w:rPr>
          <w:rFonts w:eastAsia="Times New Roman" w:cs="Arial"/>
        </w:rPr>
        <w:fldChar w:fldCharType="separate"/>
      </w:r>
      <w:r w:rsidRPr="00977EB7">
        <w:rPr>
          <w:rFonts w:eastAsia="Times New Roman" w:cs="Arial"/>
          <w:color w:val="000000"/>
          <w:lang w:val="en-US"/>
        </w:rPr>
        <w:t>www.bda.bg</w:t>
      </w:r>
      <w:r w:rsidRPr="00977EB7">
        <w:rPr>
          <w:rFonts w:eastAsia="Times New Roman" w:cs="Arial"/>
        </w:rPr>
        <w:fldChar w:fldCharType="end"/>
      </w:r>
      <w:r w:rsidRPr="00977EB7">
        <w:rPr>
          <w:rFonts w:eastAsia="Times New Roman" w:cs="Arial"/>
          <w:color w:val="000000"/>
          <w:lang w:val="en-US"/>
        </w:rPr>
        <w:t>.</w:t>
      </w:r>
    </w:p>
    <w:p w14:paraId="4ED30546" w14:textId="6380EBB1" w:rsidR="007C605B" w:rsidRDefault="002C50EE" w:rsidP="009F1313">
      <w:pPr>
        <w:pStyle w:val="Heading2"/>
      </w:pPr>
      <w:r>
        <w:t>4.9. Предозиране</w:t>
      </w:r>
    </w:p>
    <w:p w14:paraId="63DEC37C" w14:textId="73FE523F" w:rsidR="00977EB7" w:rsidRDefault="00977EB7" w:rsidP="00977EB7"/>
    <w:p w14:paraId="1188ED58" w14:textId="77777777" w:rsidR="00977EB7" w:rsidRPr="00977EB7" w:rsidRDefault="00977EB7" w:rsidP="00977EB7">
      <w:pPr>
        <w:rPr>
          <w:sz w:val="24"/>
          <w:szCs w:val="24"/>
        </w:rPr>
      </w:pPr>
      <w:r w:rsidRPr="00977EB7">
        <w:rPr>
          <w:lang w:eastAsia="bg-BG"/>
        </w:rPr>
        <w:t xml:space="preserve">Перорални дози до 3 </w:t>
      </w:r>
      <w:r w:rsidRPr="00977EB7">
        <w:rPr>
          <w:lang w:val="en-US"/>
        </w:rPr>
        <w:t>g</w:t>
      </w:r>
      <w:r w:rsidRPr="00977EB7">
        <w:rPr>
          <w:lang w:val="ru-RU"/>
        </w:rPr>
        <w:t xml:space="preserve"> </w:t>
      </w:r>
      <w:r w:rsidRPr="00977EB7">
        <w:rPr>
          <w:lang w:eastAsia="bg-BG"/>
        </w:rPr>
        <w:t>дневно са били понасяни добре. Лечението на предозирането е симптоматично и поддържащо.</w:t>
      </w:r>
    </w:p>
    <w:p w14:paraId="7EA631CB" w14:textId="77777777" w:rsidR="00977EB7" w:rsidRPr="00977EB7" w:rsidRDefault="00977EB7" w:rsidP="00977EB7"/>
    <w:p w14:paraId="02081B24" w14:textId="1F46E296" w:rsidR="00395555" w:rsidRPr="00395555" w:rsidRDefault="002C50EE" w:rsidP="008A6AF2">
      <w:pPr>
        <w:pStyle w:val="Heading1"/>
      </w:pPr>
      <w:r>
        <w:t>5. ФАРМАКОЛОГИЧНИ СВОЙСТВА</w:t>
      </w:r>
    </w:p>
    <w:p w14:paraId="5350637D" w14:textId="4D05FFF7" w:rsidR="00395555" w:rsidRDefault="002C50EE" w:rsidP="008A6AF2">
      <w:pPr>
        <w:pStyle w:val="Heading2"/>
      </w:pPr>
      <w:r>
        <w:t>5.1. Фармакодинамични свойства</w:t>
      </w:r>
    </w:p>
    <w:p w14:paraId="7A398D01" w14:textId="0CE35D3F" w:rsidR="00977EB7" w:rsidRDefault="00977EB7" w:rsidP="00977EB7"/>
    <w:p w14:paraId="08BF5504" w14:textId="77777777" w:rsidR="00977EB7" w:rsidRPr="00977EB7" w:rsidRDefault="00977EB7" w:rsidP="00977EB7">
      <w:pPr>
        <w:spacing w:line="240" w:lineRule="auto"/>
        <w:rPr>
          <w:rFonts w:eastAsia="Times New Roman" w:cs="Arial"/>
          <w:sz w:val="24"/>
          <w:szCs w:val="24"/>
        </w:rPr>
      </w:pPr>
      <w:r w:rsidRPr="00977EB7">
        <w:rPr>
          <w:rFonts w:ascii="Times New Roman" w:eastAsia="Times New Roman" w:hAnsi="Times New Roman" w:cs="Times New Roman"/>
          <w:color w:val="000000"/>
          <w:lang w:eastAsia="bg-BG"/>
        </w:rPr>
        <w:t>Фа</w:t>
      </w:r>
      <w:r w:rsidRPr="00977EB7">
        <w:rPr>
          <w:rFonts w:eastAsia="Times New Roman" w:cs="Arial"/>
          <w:color w:val="000000"/>
          <w:lang w:eastAsia="bg-BG"/>
        </w:rPr>
        <w:t xml:space="preserve">рмакотерапевтична група: прогестогени, АТС код: </w:t>
      </w:r>
      <w:r w:rsidRPr="00977EB7">
        <w:rPr>
          <w:rFonts w:eastAsia="Times New Roman" w:cs="Arial"/>
          <w:color w:val="000000"/>
          <w:lang w:val="en-US"/>
        </w:rPr>
        <w:t>L</w:t>
      </w:r>
      <w:r w:rsidRPr="00977EB7">
        <w:rPr>
          <w:rFonts w:eastAsia="Times New Roman" w:cs="Arial"/>
          <w:color w:val="000000"/>
          <w:lang w:val="ru-RU"/>
        </w:rPr>
        <w:t>02</w:t>
      </w:r>
      <w:r w:rsidRPr="00977EB7">
        <w:rPr>
          <w:rFonts w:eastAsia="Times New Roman" w:cs="Arial"/>
          <w:color w:val="000000"/>
          <w:lang w:val="en-US"/>
        </w:rPr>
        <w:t>AB</w:t>
      </w:r>
      <w:r w:rsidRPr="00977EB7">
        <w:rPr>
          <w:rFonts w:eastAsia="Times New Roman" w:cs="Arial"/>
          <w:color w:val="000000"/>
          <w:lang w:val="ru-RU"/>
        </w:rPr>
        <w:t>02</w:t>
      </w:r>
    </w:p>
    <w:p w14:paraId="50D70F37" w14:textId="77777777" w:rsidR="00977EB7" w:rsidRPr="00977EB7" w:rsidRDefault="00977EB7" w:rsidP="00977EB7">
      <w:pPr>
        <w:rPr>
          <w:rFonts w:eastAsia="Times New Roman" w:cs="Arial"/>
          <w:color w:val="000000"/>
          <w:lang w:eastAsia="bg-BG"/>
        </w:rPr>
      </w:pPr>
    </w:p>
    <w:p w14:paraId="097CF35C" w14:textId="656F8E1D" w:rsidR="00977EB7" w:rsidRPr="00977EB7" w:rsidRDefault="00977EB7" w:rsidP="00977EB7">
      <w:pPr>
        <w:rPr>
          <w:rFonts w:eastAsia="Times New Roman" w:cs="Arial"/>
          <w:color w:val="000000"/>
          <w:lang w:eastAsia="bg-BG"/>
        </w:rPr>
      </w:pPr>
      <w:r w:rsidRPr="00977EB7">
        <w:rPr>
          <w:rFonts w:eastAsia="Times New Roman" w:cs="Arial"/>
          <w:color w:val="000000"/>
          <w:lang w:eastAsia="bg-BG"/>
        </w:rPr>
        <w:t xml:space="preserve">Медроксипрогестероновият ацетат </w:t>
      </w:r>
      <w:r w:rsidRPr="00977EB7">
        <w:rPr>
          <w:rFonts w:eastAsia="Times New Roman" w:cs="Arial"/>
          <w:color w:val="000000"/>
        </w:rPr>
        <w:t>(17</w:t>
      </w:r>
      <w:r w:rsidRPr="00977EB7">
        <w:rPr>
          <w:rFonts w:eastAsia="Times New Roman" w:cs="Arial"/>
          <w:color w:val="000000"/>
          <w:lang w:val="en-US"/>
        </w:rPr>
        <w:t>a</w:t>
      </w:r>
      <w:r w:rsidRPr="00977EB7">
        <w:rPr>
          <w:rFonts w:eastAsia="Times New Roman" w:cs="Arial"/>
          <w:color w:val="000000"/>
        </w:rPr>
        <w:t>-</w:t>
      </w:r>
      <w:proofErr w:type="spellStart"/>
      <w:r w:rsidRPr="00977EB7">
        <w:rPr>
          <w:rFonts w:eastAsia="Times New Roman" w:cs="Arial"/>
          <w:color w:val="000000"/>
          <w:lang w:val="en-US"/>
        </w:rPr>
        <w:t>hydroxy</w:t>
      </w:r>
      <w:proofErr w:type="spellEnd"/>
      <w:r w:rsidRPr="00977EB7">
        <w:rPr>
          <w:rFonts w:eastAsia="Times New Roman" w:cs="Arial"/>
          <w:color w:val="000000"/>
        </w:rPr>
        <w:t>-6</w:t>
      </w:r>
      <w:r w:rsidRPr="00977EB7">
        <w:rPr>
          <w:rFonts w:eastAsia="Times New Roman" w:cs="Arial"/>
          <w:color w:val="000000"/>
          <w:lang w:val="en-US"/>
        </w:rPr>
        <w:t>a</w:t>
      </w:r>
      <w:r w:rsidRPr="00977EB7">
        <w:rPr>
          <w:rFonts w:eastAsia="Times New Roman" w:cs="Arial"/>
          <w:color w:val="000000"/>
        </w:rPr>
        <w:t>-</w:t>
      </w:r>
      <w:proofErr w:type="spellStart"/>
      <w:r w:rsidRPr="00977EB7">
        <w:rPr>
          <w:rFonts w:eastAsia="Times New Roman" w:cs="Arial"/>
          <w:color w:val="000000"/>
          <w:lang w:val="en-US"/>
        </w:rPr>
        <w:t>methlylprogesterone</w:t>
      </w:r>
      <w:proofErr w:type="spellEnd"/>
      <w:r w:rsidRPr="00977EB7">
        <w:rPr>
          <w:rFonts w:eastAsia="Times New Roman" w:cs="Arial"/>
          <w:color w:val="000000"/>
          <w:lang w:eastAsia="bg-BG"/>
        </w:rPr>
        <w:t xml:space="preserve"> </w:t>
      </w:r>
      <w:r w:rsidRPr="00977EB7">
        <w:rPr>
          <w:rFonts w:eastAsia="Times New Roman" w:cs="Arial"/>
          <w:color w:val="000000"/>
          <w:lang w:val="en-US"/>
        </w:rPr>
        <w:t>acetate</w:t>
      </w:r>
      <w:r w:rsidRPr="00977EB7">
        <w:rPr>
          <w:rFonts w:eastAsia="Times New Roman" w:cs="Arial"/>
          <w:color w:val="000000"/>
        </w:rPr>
        <w:t xml:space="preserve">) </w:t>
      </w:r>
      <w:r w:rsidRPr="00977EB7">
        <w:rPr>
          <w:rFonts w:eastAsia="Times New Roman" w:cs="Arial"/>
          <w:color w:val="000000"/>
          <w:lang w:eastAsia="bg-BG"/>
        </w:rPr>
        <w:t>е произволно на прогестерон.</w:t>
      </w:r>
    </w:p>
    <w:p w14:paraId="03ABE646" w14:textId="74ADC8F1" w:rsidR="00977EB7" w:rsidRPr="00977EB7" w:rsidRDefault="00977EB7" w:rsidP="00977EB7">
      <w:pPr>
        <w:rPr>
          <w:rFonts w:eastAsia="Times New Roman" w:cs="Arial"/>
          <w:color w:val="000000"/>
          <w:lang w:eastAsia="bg-BG"/>
        </w:rPr>
      </w:pPr>
    </w:p>
    <w:p w14:paraId="758A2C43" w14:textId="77777777" w:rsidR="00977EB7" w:rsidRPr="00977EB7" w:rsidRDefault="00977EB7" w:rsidP="00977EB7">
      <w:pPr>
        <w:spacing w:line="240" w:lineRule="auto"/>
        <w:rPr>
          <w:rFonts w:eastAsia="Times New Roman" w:cs="Arial"/>
          <w:sz w:val="24"/>
          <w:szCs w:val="24"/>
        </w:rPr>
      </w:pPr>
      <w:r w:rsidRPr="00977EB7">
        <w:rPr>
          <w:rFonts w:eastAsia="Times New Roman" w:cs="Arial"/>
          <w:color w:val="000000"/>
          <w:u w:val="single"/>
          <w:lang w:eastAsia="bg-BG"/>
        </w:rPr>
        <w:t>Механизъм на действие</w:t>
      </w:r>
    </w:p>
    <w:p w14:paraId="50D0EC9E" w14:textId="77777777"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МРА е синтетичен прогестин (структурно подобен на ендогенния хормон прогестерон), който е показал, че притежава няколко фармакологични действия върху ендокринната система:</w:t>
      </w:r>
    </w:p>
    <w:p w14:paraId="2A10472A" w14:textId="77777777" w:rsidR="00977EB7" w:rsidRPr="00977EB7" w:rsidRDefault="00977EB7" w:rsidP="00977EB7">
      <w:pPr>
        <w:spacing w:line="240" w:lineRule="auto"/>
        <w:rPr>
          <w:rFonts w:eastAsia="Times New Roman" w:cs="Arial"/>
          <w:color w:val="000000"/>
          <w:lang w:eastAsia="bg-BG"/>
        </w:rPr>
      </w:pPr>
    </w:p>
    <w:p w14:paraId="0A23B18A" w14:textId="77777777" w:rsidR="00977EB7" w:rsidRPr="00977EB7" w:rsidRDefault="00977EB7" w:rsidP="00977EB7">
      <w:pPr>
        <w:pStyle w:val="ListParagraph"/>
        <w:numPr>
          <w:ilvl w:val="0"/>
          <w:numId w:val="38"/>
        </w:numPr>
        <w:spacing w:line="240" w:lineRule="auto"/>
        <w:rPr>
          <w:rFonts w:eastAsia="Times New Roman" w:cs="Arial"/>
          <w:sz w:val="24"/>
          <w:szCs w:val="24"/>
        </w:rPr>
      </w:pPr>
      <w:r w:rsidRPr="00977EB7">
        <w:rPr>
          <w:rFonts w:eastAsia="Times New Roman" w:cs="Arial"/>
          <w:color w:val="000000"/>
          <w:lang w:eastAsia="bg-BG"/>
        </w:rPr>
        <w:t xml:space="preserve">инхибиране на хипофизарните гонадотропини </w:t>
      </w:r>
      <w:r w:rsidRPr="00977EB7">
        <w:rPr>
          <w:rFonts w:eastAsia="Times New Roman" w:cs="Arial"/>
          <w:color w:val="000000"/>
          <w:lang w:val="ru-RU"/>
        </w:rPr>
        <w:t>(</w:t>
      </w:r>
      <w:r w:rsidRPr="00977EB7">
        <w:rPr>
          <w:rFonts w:eastAsia="Times New Roman" w:cs="Arial"/>
          <w:color w:val="000000"/>
          <w:lang w:val="en-US"/>
        </w:rPr>
        <w:t>FSH</w:t>
      </w:r>
      <w:r w:rsidRPr="00977EB7">
        <w:rPr>
          <w:rFonts w:eastAsia="Times New Roman" w:cs="Arial"/>
          <w:color w:val="000000"/>
          <w:lang w:val="ru-RU"/>
        </w:rPr>
        <w:t xml:space="preserve"> </w:t>
      </w:r>
      <w:r w:rsidRPr="00977EB7">
        <w:rPr>
          <w:rFonts w:eastAsia="Times New Roman" w:cs="Arial"/>
          <w:color w:val="000000"/>
          <w:lang w:eastAsia="bg-BG"/>
        </w:rPr>
        <w:t xml:space="preserve">и </w:t>
      </w:r>
      <w:r w:rsidRPr="00977EB7">
        <w:rPr>
          <w:rFonts w:eastAsia="Times New Roman" w:cs="Arial"/>
          <w:color w:val="000000"/>
          <w:lang w:val="en-US"/>
        </w:rPr>
        <w:t>LH</w:t>
      </w:r>
      <w:r w:rsidRPr="00977EB7">
        <w:rPr>
          <w:rFonts w:eastAsia="Times New Roman" w:cs="Arial"/>
          <w:color w:val="000000"/>
          <w:lang w:val="ru-RU"/>
        </w:rPr>
        <w:t>);</w:t>
      </w:r>
    </w:p>
    <w:p w14:paraId="128F4B59" w14:textId="77777777" w:rsidR="00977EB7" w:rsidRPr="00977EB7" w:rsidRDefault="00977EB7" w:rsidP="00977EB7">
      <w:pPr>
        <w:pStyle w:val="ListParagraph"/>
        <w:numPr>
          <w:ilvl w:val="0"/>
          <w:numId w:val="38"/>
        </w:numPr>
        <w:spacing w:line="240" w:lineRule="auto"/>
        <w:rPr>
          <w:rFonts w:eastAsia="Times New Roman" w:cs="Arial"/>
          <w:sz w:val="24"/>
          <w:szCs w:val="24"/>
        </w:rPr>
      </w:pPr>
      <w:r w:rsidRPr="00977EB7">
        <w:rPr>
          <w:rFonts w:eastAsia="Times New Roman" w:cs="Arial"/>
          <w:color w:val="000000"/>
          <w:lang w:eastAsia="bg-BG"/>
        </w:rPr>
        <w:lastRenderedPageBreak/>
        <w:t>намаление на нивата на АКТХ и хидрокортизон в кръвта;</w:t>
      </w:r>
    </w:p>
    <w:p w14:paraId="0A8B2E9B" w14:textId="77777777" w:rsidR="00977EB7" w:rsidRPr="00977EB7" w:rsidRDefault="00977EB7" w:rsidP="00977EB7">
      <w:pPr>
        <w:pStyle w:val="ListParagraph"/>
        <w:numPr>
          <w:ilvl w:val="0"/>
          <w:numId w:val="38"/>
        </w:numPr>
        <w:spacing w:line="240" w:lineRule="auto"/>
        <w:rPr>
          <w:rFonts w:eastAsia="Times New Roman" w:cs="Arial"/>
          <w:sz w:val="24"/>
          <w:szCs w:val="24"/>
        </w:rPr>
      </w:pPr>
      <w:r w:rsidRPr="00977EB7">
        <w:rPr>
          <w:rFonts w:eastAsia="Times New Roman" w:cs="Arial"/>
          <w:color w:val="000000"/>
          <w:lang w:eastAsia="bg-BG"/>
        </w:rPr>
        <w:t>намаление на циркулиращия тестостерон;</w:t>
      </w:r>
    </w:p>
    <w:p w14:paraId="6165CDB5" w14:textId="72B0FA9C" w:rsidR="00977EB7" w:rsidRPr="00977EB7" w:rsidRDefault="00977EB7" w:rsidP="00977EB7">
      <w:pPr>
        <w:pStyle w:val="ListParagraph"/>
        <w:numPr>
          <w:ilvl w:val="0"/>
          <w:numId w:val="38"/>
        </w:numPr>
        <w:spacing w:line="240" w:lineRule="auto"/>
        <w:rPr>
          <w:rFonts w:eastAsia="Times New Roman" w:cs="Arial"/>
          <w:sz w:val="24"/>
          <w:szCs w:val="24"/>
        </w:rPr>
      </w:pPr>
      <w:r w:rsidRPr="00977EB7">
        <w:rPr>
          <w:rFonts w:eastAsia="Times New Roman" w:cs="Arial"/>
          <w:color w:val="000000"/>
          <w:lang w:eastAsia="bg-BG"/>
        </w:rPr>
        <w:t xml:space="preserve">намаление нивата на циркулиращия естроген (в резултат както на инхибирането на </w:t>
      </w:r>
      <w:r w:rsidRPr="00977EB7">
        <w:rPr>
          <w:rFonts w:eastAsia="Times New Roman" w:cs="Arial"/>
          <w:color w:val="000000"/>
          <w:lang w:val="en-US"/>
        </w:rPr>
        <w:t>FSH</w:t>
      </w:r>
      <w:r w:rsidRPr="00977EB7">
        <w:rPr>
          <w:rFonts w:eastAsia="Times New Roman" w:cs="Arial"/>
          <w:color w:val="000000"/>
          <w:lang w:val="ru-RU"/>
        </w:rPr>
        <w:t xml:space="preserve">, </w:t>
      </w:r>
      <w:r w:rsidRPr="00977EB7">
        <w:rPr>
          <w:rFonts w:eastAsia="Times New Roman" w:cs="Arial"/>
          <w:color w:val="000000"/>
          <w:lang w:eastAsia="bg-BG"/>
        </w:rPr>
        <w:t>така и на ензимната индукция на чернодробната редуктаза, вследствие на което клирънсът на тестостерона се увеличава и съответно намалява превръщането на андрогени в естрогени).</w:t>
      </w:r>
    </w:p>
    <w:p w14:paraId="498B2539" w14:textId="77777777" w:rsidR="00977EB7" w:rsidRPr="00977EB7" w:rsidRDefault="00977EB7" w:rsidP="00977EB7">
      <w:pPr>
        <w:spacing w:line="240" w:lineRule="auto"/>
        <w:rPr>
          <w:rFonts w:eastAsia="Times New Roman" w:cs="Arial"/>
          <w:color w:val="000000"/>
          <w:lang w:eastAsia="bg-BG"/>
        </w:rPr>
      </w:pPr>
    </w:p>
    <w:p w14:paraId="1991816E" w14:textId="4D86DAF7"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МРА демонстрира антитуморна активност. Когато МРА се прилага при пациенти във високи дози (независимо дали перорално или интрамускулно), той е ефективен при палиативното лечение на хормоно-активни злокачествени новообразувания.</w:t>
      </w:r>
    </w:p>
    <w:p w14:paraId="411A67E6" w14:textId="77777777" w:rsidR="00977EB7" w:rsidRPr="00977EB7" w:rsidRDefault="00977EB7" w:rsidP="00977EB7">
      <w:pPr>
        <w:spacing w:line="240" w:lineRule="auto"/>
        <w:rPr>
          <w:rFonts w:eastAsia="Times New Roman" w:cs="Arial"/>
          <w:color w:val="000000"/>
          <w:u w:val="single"/>
          <w:lang w:eastAsia="bg-BG"/>
        </w:rPr>
      </w:pPr>
    </w:p>
    <w:p w14:paraId="7E1F2948" w14:textId="3EEDBA8C" w:rsidR="00977EB7" w:rsidRPr="00977EB7" w:rsidRDefault="00977EB7" w:rsidP="00977EB7">
      <w:pPr>
        <w:spacing w:line="240" w:lineRule="auto"/>
        <w:rPr>
          <w:rFonts w:eastAsia="Times New Roman" w:cs="Arial"/>
          <w:sz w:val="24"/>
          <w:szCs w:val="24"/>
        </w:rPr>
      </w:pPr>
      <w:r w:rsidRPr="00977EB7">
        <w:rPr>
          <w:rFonts w:eastAsia="Times New Roman" w:cs="Arial"/>
          <w:color w:val="000000"/>
          <w:u w:val="single"/>
          <w:lang w:eastAsia="bg-BG"/>
        </w:rPr>
        <w:t>Клинични ефикасност и безопасност</w:t>
      </w:r>
    </w:p>
    <w:p w14:paraId="04F8A447" w14:textId="51C2F2E9" w:rsidR="00977EB7" w:rsidRPr="00977EB7" w:rsidRDefault="00977EB7" w:rsidP="00977EB7">
      <w:pPr>
        <w:spacing w:line="240" w:lineRule="auto"/>
        <w:rPr>
          <w:rFonts w:eastAsia="Times New Roman" w:cs="Arial"/>
          <w:color w:val="000000"/>
          <w:u w:val="single"/>
          <w:lang w:eastAsia="bg-BG"/>
        </w:rPr>
      </w:pPr>
    </w:p>
    <w:p w14:paraId="0C7FA493" w14:textId="7A1FE055" w:rsidR="00977EB7" w:rsidRPr="00977EB7" w:rsidRDefault="00977EB7" w:rsidP="00977EB7">
      <w:pPr>
        <w:spacing w:line="240" w:lineRule="auto"/>
        <w:rPr>
          <w:rFonts w:eastAsia="Times New Roman" w:cs="Arial"/>
          <w:sz w:val="24"/>
          <w:szCs w:val="24"/>
        </w:rPr>
      </w:pPr>
      <w:r w:rsidRPr="00977EB7">
        <w:rPr>
          <w:rFonts w:eastAsia="Times New Roman" w:cs="Arial"/>
          <w:color w:val="000000"/>
          <w:u w:val="single"/>
          <w:lang w:eastAsia="bg-BG"/>
        </w:rPr>
        <w:t>Клинични проучвания върху костната минерална плътност (КМП)</w:t>
      </w:r>
    </w:p>
    <w:p w14:paraId="7454F4AA" w14:textId="77777777" w:rsidR="00977EB7" w:rsidRPr="00977EB7" w:rsidRDefault="00977EB7" w:rsidP="00977EB7">
      <w:pPr>
        <w:spacing w:line="240" w:lineRule="auto"/>
        <w:rPr>
          <w:rFonts w:eastAsia="Times New Roman" w:cs="Arial"/>
          <w:i/>
          <w:iCs/>
          <w:color w:val="000000"/>
          <w:lang w:eastAsia="bg-BG"/>
        </w:rPr>
      </w:pPr>
    </w:p>
    <w:p w14:paraId="17D940CB" w14:textId="2D10B0A2" w:rsidR="00977EB7" w:rsidRPr="00977EB7" w:rsidRDefault="00977EB7" w:rsidP="00977EB7">
      <w:pPr>
        <w:spacing w:line="240" w:lineRule="auto"/>
        <w:rPr>
          <w:rFonts w:eastAsia="Times New Roman" w:cs="Arial"/>
          <w:sz w:val="24"/>
          <w:szCs w:val="24"/>
        </w:rPr>
      </w:pPr>
      <w:r w:rsidRPr="00977EB7">
        <w:rPr>
          <w:rFonts w:eastAsia="Times New Roman" w:cs="Arial"/>
          <w:i/>
          <w:iCs/>
          <w:color w:val="000000"/>
          <w:lang w:eastAsia="bg-BG"/>
        </w:rPr>
        <w:t>Промени в КМП при жени в зряла възраст</w:t>
      </w:r>
    </w:p>
    <w:p w14:paraId="4821A1BD" w14:textId="77777777" w:rsidR="00977EB7" w:rsidRPr="00977EB7" w:rsidRDefault="00977EB7" w:rsidP="00977EB7">
      <w:pPr>
        <w:spacing w:line="240" w:lineRule="auto"/>
        <w:rPr>
          <w:rFonts w:eastAsia="Times New Roman" w:cs="Arial"/>
          <w:color w:val="000000"/>
          <w:lang w:eastAsia="bg-BG"/>
        </w:rPr>
      </w:pPr>
    </w:p>
    <w:p w14:paraId="049777BA" w14:textId="7A3B1856"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 xml:space="preserve">В нерандомизирано, контролирано клинично проучване, сравняващо жени в зряла възраст, на които е прилаган контрацептив - инжекционен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(150 </w:t>
      </w:r>
      <w:r w:rsidRPr="00977EB7">
        <w:rPr>
          <w:rFonts w:eastAsia="Times New Roman" w:cs="Arial"/>
          <w:color w:val="000000"/>
          <w:lang w:val="en-US"/>
        </w:rPr>
        <w:t>mg</w:t>
      </w:r>
      <w:r w:rsidRPr="00977EB7">
        <w:rPr>
          <w:rFonts w:eastAsia="Times New Roman" w:cs="Arial"/>
          <w:color w:val="000000"/>
          <w:lang w:val="ru-RU"/>
        </w:rPr>
        <w:t xml:space="preserve"> </w:t>
      </w:r>
      <w:r w:rsidRPr="00977EB7">
        <w:rPr>
          <w:rFonts w:eastAsia="Times New Roman" w:cs="Arial"/>
          <w:color w:val="000000"/>
          <w:lang w:eastAsia="bg-BG"/>
        </w:rPr>
        <w:t xml:space="preserve">интрамускулно) за период до пет години, с жени, които са избрали да не използват хормонална контрацепция, 42 жени, използващи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завършват 5-годишното лечение и предоставят поне 1 проследяващо измерване на КМП след спиране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Сред жените, използващи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КМП намалява през.първите две години на приложение, с малки намаления през следващите години. Наблюдавани са средни промени в КМП в лумбалните прешлени от -2,86%, -4,11%, -4,89%, -4,93% и -5,38% след съответно 1, 2, 3, 4 и 5 години. Подобни са били средните намаления на КМП на тазобедрената става и бедрената шийка. Не се наблюдават значими промени в КМП при контролната група жени за същия период от време.</w:t>
      </w:r>
    </w:p>
    <w:p w14:paraId="2B266212" w14:textId="77777777" w:rsidR="00977EB7" w:rsidRPr="00977EB7" w:rsidRDefault="00977EB7" w:rsidP="00977EB7">
      <w:pPr>
        <w:spacing w:line="240" w:lineRule="auto"/>
        <w:rPr>
          <w:rFonts w:eastAsia="Times New Roman" w:cs="Arial"/>
          <w:i/>
          <w:iCs/>
          <w:color w:val="000000"/>
          <w:lang w:eastAsia="bg-BG"/>
        </w:rPr>
      </w:pPr>
    </w:p>
    <w:p w14:paraId="41D8D517" w14:textId="4D46AB4C" w:rsidR="00977EB7" w:rsidRPr="00977EB7" w:rsidRDefault="00977EB7" w:rsidP="00977EB7">
      <w:pPr>
        <w:spacing w:line="240" w:lineRule="auto"/>
        <w:rPr>
          <w:rFonts w:eastAsia="Times New Roman" w:cs="Arial"/>
          <w:sz w:val="24"/>
          <w:szCs w:val="24"/>
        </w:rPr>
      </w:pPr>
      <w:r w:rsidRPr="00977EB7">
        <w:rPr>
          <w:rFonts w:eastAsia="Times New Roman" w:cs="Arial"/>
          <w:i/>
          <w:iCs/>
          <w:color w:val="000000"/>
          <w:lang w:eastAsia="bg-BG"/>
        </w:rPr>
        <w:t>Възстановяване на КМП след лечение при жени е зряла възраст</w:t>
      </w:r>
    </w:p>
    <w:p w14:paraId="10A20FF8" w14:textId="77777777" w:rsidR="00977EB7" w:rsidRPr="00977EB7" w:rsidRDefault="00977EB7" w:rsidP="00977EB7">
      <w:pPr>
        <w:spacing w:line="240" w:lineRule="auto"/>
        <w:rPr>
          <w:rFonts w:eastAsia="Times New Roman" w:cs="Arial"/>
          <w:color w:val="000000"/>
          <w:lang w:eastAsia="bg-BG"/>
        </w:rPr>
      </w:pPr>
    </w:p>
    <w:p w14:paraId="3673A7E0" w14:textId="7A8D0FBF"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 xml:space="preserve">В същата популация на проучването е имало частично възстановяване на КМП спрямо изходните стойности по време на 2-годишния период след спиране на употребата на инжекционен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(150 </w:t>
      </w:r>
      <w:r w:rsidRPr="00977EB7">
        <w:rPr>
          <w:rFonts w:eastAsia="Times New Roman" w:cs="Arial"/>
          <w:color w:val="000000"/>
          <w:lang w:val="en-US"/>
        </w:rPr>
        <w:t>mg</w:t>
      </w:r>
      <w:r w:rsidRPr="00977EB7">
        <w:rPr>
          <w:rFonts w:eastAsia="Times New Roman" w:cs="Arial"/>
          <w:color w:val="000000"/>
          <w:lang w:val="ru-RU"/>
        </w:rPr>
        <w:t xml:space="preserve"> </w:t>
      </w:r>
      <w:r w:rsidRPr="00977EB7">
        <w:rPr>
          <w:rFonts w:eastAsia="Times New Roman" w:cs="Arial"/>
          <w:color w:val="000000"/>
          <w:lang w:eastAsia="bg-BG"/>
        </w:rPr>
        <w:t>интрамускулно)</w:t>
      </w:r>
    </w:p>
    <w:p w14:paraId="4AD72642" w14:textId="77777777" w:rsidR="00977EB7" w:rsidRPr="00977EB7" w:rsidRDefault="00977EB7" w:rsidP="00977EB7">
      <w:pPr>
        <w:spacing w:line="240" w:lineRule="auto"/>
        <w:rPr>
          <w:rFonts w:eastAsia="Times New Roman" w:cs="Arial"/>
          <w:color w:val="000000"/>
          <w:lang w:eastAsia="bg-BG"/>
        </w:rPr>
      </w:pPr>
    </w:p>
    <w:p w14:paraId="0DFC1205" w14:textId="344B610E"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 xml:space="preserve">След 5 години лечение с инжекционен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(150 </w:t>
      </w:r>
      <w:r w:rsidRPr="00977EB7">
        <w:rPr>
          <w:rFonts w:eastAsia="Times New Roman" w:cs="Arial"/>
          <w:color w:val="000000"/>
          <w:lang w:val="en-US"/>
        </w:rPr>
        <w:t>mg</w:t>
      </w:r>
      <w:r w:rsidRPr="00977EB7">
        <w:rPr>
          <w:rFonts w:eastAsia="Times New Roman" w:cs="Arial"/>
          <w:color w:val="000000"/>
          <w:lang w:val="ru-RU"/>
        </w:rPr>
        <w:t xml:space="preserve"> </w:t>
      </w:r>
      <w:r w:rsidRPr="00977EB7">
        <w:rPr>
          <w:rFonts w:eastAsia="Times New Roman" w:cs="Arial"/>
          <w:color w:val="000000"/>
          <w:lang w:eastAsia="bg-BG"/>
        </w:rPr>
        <w:t xml:space="preserve">интрамускулно) средната % промяна на КМП спрямо изходните стойности е съответно -5,4%, -5,2% и -6,1% за гръбначния стълб, тазобедрената става и бедрената шийка, докато при нелекуваните жени в контролната група за същия времеви интервал се наблюдават средни промени спрямо изходните стойности от +/- 0,5% или по-малко за същите места на скелета. Две години след спиране на инжекционния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средната КМП се увеличава във всичките 3 места на скелета, но остават дефицити: съответно -3,1%, -1,3% и -5,4% за гръбначния стълб, тазобедрената става и бедрената шийка. В същата времева точка при жените в контролната група се наблюдават средни промени спрямо изходните стойности на КМП от съответно 0,5%, 0,9% и -0,1% за гръбначния стълб, тазобедрената става и бедрената шийка.</w:t>
      </w:r>
    </w:p>
    <w:p w14:paraId="4882CB0F" w14:textId="77777777" w:rsidR="00977EB7" w:rsidRPr="00977EB7" w:rsidRDefault="00977EB7" w:rsidP="00977EB7">
      <w:pPr>
        <w:spacing w:line="240" w:lineRule="auto"/>
        <w:rPr>
          <w:rFonts w:eastAsia="Times New Roman" w:cs="Arial"/>
          <w:i/>
          <w:iCs/>
          <w:color w:val="000000"/>
          <w:lang w:eastAsia="bg-BG"/>
        </w:rPr>
      </w:pPr>
    </w:p>
    <w:p w14:paraId="1A4C14E6" w14:textId="3AE39974" w:rsidR="00977EB7" w:rsidRPr="00977EB7" w:rsidRDefault="00977EB7" w:rsidP="00977EB7">
      <w:pPr>
        <w:spacing w:line="240" w:lineRule="auto"/>
        <w:rPr>
          <w:rFonts w:eastAsia="Times New Roman" w:cs="Arial"/>
          <w:sz w:val="24"/>
          <w:szCs w:val="24"/>
        </w:rPr>
      </w:pPr>
      <w:r w:rsidRPr="00977EB7">
        <w:rPr>
          <w:rFonts w:eastAsia="Times New Roman" w:cs="Arial"/>
          <w:i/>
          <w:iCs/>
          <w:color w:val="000000"/>
          <w:lang w:eastAsia="bg-BG"/>
        </w:rPr>
        <w:t>Промени в КМП при момичета в юношеска възраст (12-18 години)</w:t>
      </w:r>
    </w:p>
    <w:p w14:paraId="235E4396" w14:textId="77777777" w:rsidR="00977EB7" w:rsidRPr="00977EB7" w:rsidRDefault="00977EB7" w:rsidP="00977EB7">
      <w:pPr>
        <w:spacing w:line="240" w:lineRule="auto"/>
        <w:rPr>
          <w:rFonts w:eastAsia="Times New Roman" w:cs="Arial"/>
          <w:color w:val="000000"/>
          <w:lang w:eastAsia="bg-BG"/>
        </w:rPr>
      </w:pPr>
    </w:p>
    <w:p w14:paraId="73CA6F2D" w14:textId="5CB4E912"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lastRenderedPageBreak/>
        <w:t xml:space="preserve">Ефектът от употребата на инжекционен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(150 </w:t>
      </w:r>
      <w:r w:rsidRPr="00977EB7">
        <w:rPr>
          <w:rFonts w:eastAsia="Times New Roman" w:cs="Arial"/>
          <w:color w:val="000000"/>
          <w:lang w:val="en-US"/>
        </w:rPr>
        <w:t>mg</w:t>
      </w:r>
      <w:r w:rsidRPr="00977EB7">
        <w:rPr>
          <w:rFonts w:eastAsia="Times New Roman" w:cs="Arial"/>
          <w:color w:val="000000"/>
          <w:lang w:val="ru-RU"/>
        </w:rPr>
        <w:t xml:space="preserve"> </w:t>
      </w:r>
      <w:r w:rsidRPr="00977EB7">
        <w:rPr>
          <w:rFonts w:eastAsia="Times New Roman" w:cs="Arial"/>
          <w:color w:val="000000"/>
          <w:lang w:eastAsia="bg-BG"/>
        </w:rPr>
        <w:t xml:space="preserve">интрамускулно) върхуКМП за период до 240 седмици (4,6 години) е оценен в открито, несравнително клинично проучване на 159 жени в юношеска възраст (12-18 години), които са избрали да започнат лечение с </w:t>
      </w:r>
      <w:r w:rsidRPr="00977EB7">
        <w:rPr>
          <w:rFonts w:eastAsia="Times New Roman" w:cs="Arial"/>
          <w:color w:val="000000"/>
          <w:lang w:val="en-US"/>
        </w:rPr>
        <w:t>DMPA</w:t>
      </w:r>
      <w:r w:rsidRPr="00977EB7">
        <w:rPr>
          <w:rFonts w:eastAsia="Times New Roman" w:cs="Arial"/>
          <w:color w:val="000000"/>
          <w:lang w:val="ru-RU"/>
        </w:rPr>
        <w:t>;</w:t>
      </w:r>
    </w:p>
    <w:p w14:paraId="0D53E9A8" w14:textId="77777777" w:rsidR="00977EB7" w:rsidRPr="00977EB7" w:rsidRDefault="00977EB7" w:rsidP="00977EB7">
      <w:pPr>
        <w:rPr>
          <w:rFonts w:eastAsia="Times New Roman" w:cs="Arial"/>
          <w:sz w:val="24"/>
          <w:szCs w:val="24"/>
        </w:rPr>
      </w:pPr>
      <w:r w:rsidRPr="00977EB7">
        <w:rPr>
          <w:rFonts w:eastAsia="Times New Roman" w:cs="Arial"/>
          <w:color w:val="000000"/>
          <w:lang w:eastAsia="bg-BG"/>
        </w:rPr>
        <w:t xml:space="preserve">114 от 159 участници, използват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непрекъснато (4 инжекции през всеки 60-седмичен период) и КМП е измерена на седмица 60. КМП намалява през първите 2 години на използване с малка промяна през следващите години. След 60 седмици употреба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средните % промени на КМП спрямо изходните стойности са съответно -2,5%, -2,8% и -3,0% за гръбначния стълб, тазобедрената става и бедрената шийка. Общо 73 участници продължават да използват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до 120 седмици; средните % промени на КМП спрямо изходните стойности са съответно -2,7%, -5,4% и -5,3% за гръбначния стълб, тазобедрената става и бедрената шийка. Общо 28 участници продължават да използват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до 240 седмици; средните % промени на КМП спрямо изходните стойности са съответно -2,1%, -6,4% и -5,4% за гръбначния стълб, тазобедрената става и бедрената шийка.</w:t>
      </w:r>
    </w:p>
    <w:p w14:paraId="3AE06C2B" w14:textId="77777777" w:rsidR="00977EB7" w:rsidRPr="00977EB7" w:rsidRDefault="00977EB7" w:rsidP="00977EB7">
      <w:pPr>
        <w:spacing w:line="240" w:lineRule="auto"/>
        <w:rPr>
          <w:rFonts w:eastAsia="Times New Roman" w:cs="Arial"/>
          <w:i/>
          <w:iCs/>
          <w:color w:val="000000"/>
          <w:lang w:eastAsia="bg-BG"/>
        </w:rPr>
      </w:pPr>
    </w:p>
    <w:p w14:paraId="67378D86" w14:textId="079A05E2" w:rsidR="00977EB7" w:rsidRPr="00977EB7" w:rsidRDefault="00977EB7" w:rsidP="00977EB7">
      <w:pPr>
        <w:spacing w:line="240" w:lineRule="auto"/>
        <w:rPr>
          <w:rFonts w:eastAsia="Times New Roman" w:cs="Arial"/>
          <w:sz w:val="24"/>
          <w:szCs w:val="24"/>
        </w:rPr>
      </w:pPr>
      <w:r w:rsidRPr="00977EB7">
        <w:rPr>
          <w:rFonts w:eastAsia="Times New Roman" w:cs="Arial"/>
          <w:i/>
          <w:iCs/>
          <w:color w:val="000000"/>
          <w:lang w:eastAsia="bg-BG"/>
        </w:rPr>
        <w:t>Възстановяване на КМП след лечение при юноши</w:t>
      </w:r>
    </w:p>
    <w:p w14:paraId="7C69F2F1" w14:textId="77777777" w:rsidR="00977EB7" w:rsidRPr="00977EB7" w:rsidRDefault="00977EB7" w:rsidP="00977EB7">
      <w:pPr>
        <w:spacing w:line="240" w:lineRule="auto"/>
        <w:rPr>
          <w:rFonts w:eastAsia="Times New Roman" w:cs="Arial"/>
          <w:color w:val="000000"/>
          <w:lang w:eastAsia="bg-BG"/>
        </w:rPr>
      </w:pPr>
    </w:p>
    <w:p w14:paraId="593D300F" w14:textId="68436441"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 xml:space="preserve">В същото проучване 98 участници в юношеска възраст получават поне 1 инжекция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и предоставят поне 1 проследяващо измерване на КМП след спиране на употребата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с лечение с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за период до 240 седмици (еквивалентно на приложението на 20 инжекции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и проследяване след лечението за период до 240 седмици след последното приложение на инжекционен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Медианата на броя на инжекционните приложения, получени по време на фазата на лечение, е 9. Към момента на последното приложение на инжекционен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 промени на КМП спрямо изходните стойности са съответно -2,7%, -4,1% и -3,9% за гръбначния стълб, тазобедрената става и бедрената шийка. С течение на времето тези средни дефицити на КМП се възстановяват напълно след прекратяване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За пълното възстановяване са били необходими 1,2 години за лумбалните прешлени, 4,6 години за тазобедрената става и 4,6 години за бедрената шийка. По-продължителното лечение и тютюнопушенето се свързват с по- бавно възстановяване.</w:t>
      </w:r>
    </w:p>
    <w:p w14:paraId="6EC3CAAE" w14:textId="77777777" w:rsidR="00977EB7" w:rsidRPr="00977EB7" w:rsidRDefault="00977EB7" w:rsidP="00977EB7">
      <w:pPr>
        <w:spacing w:line="240" w:lineRule="auto"/>
        <w:rPr>
          <w:rFonts w:eastAsia="Times New Roman" w:cs="Arial"/>
          <w:i/>
          <w:iCs/>
          <w:color w:val="000000"/>
          <w:lang w:eastAsia="bg-BG"/>
        </w:rPr>
      </w:pPr>
    </w:p>
    <w:p w14:paraId="1B699C3F" w14:textId="462E06B3" w:rsidR="00977EB7" w:rsidRPr="00977EB7" w:rsidRDefault="00977EB7" w:rsidP="00977EB7">
      <w:pPr>
        <w:spacing w:line="240" w:lineRule="auto"/>
        <w:rPr>
          <w:rFonts w:eastAsia="Times New Roman" w:cs="Arial"/>
          <w:sz w:val="24"/>
          <w:szCs w:val="24"/>
        </w:rPr>
      </w:pPr>
      <w:r w:rsidRPr="00977EB7">
        <w:rPr>
          <w:rFonts w:eastAsia="Times New Roman" w:cs="Arial"/>
          <w:i/>
          <w:iCs/>
          <w:color w:val="000000"/>
          <w:lang w:eastAsia="bg-BG"/>
        </w:rPr>
        <w:t xml:space="preserve">Връзка между честотата на фрактури и употребата на инжекционен </w:t>
      </w:r>
      <w:r w:rsidRPr="00977EB7">
        <w:rPr>
          <w:rFonts w:eastAsia="Times New Roman" w:cs="Arial"/>
          <w:i/>
          <w:iCs/>
          <w:color w:val="000000"/>
          <w:lang w:val="en-US"/>
        </w:rPr>
        <w:t>DMPA</w:t>
      </w:r>
      <w:r w:rsidRPr="00977EB7">
        <w:rPr>
          <w:rFonts w:eastAsia="Times New Roman" w:cs="Arial"/>
          <w:i/>
          <w:iCs/>
          <w:color w:val="000000"/>
          <w:lang w:val="ru-RU"/>
        </w:rPr>
        <w:t xml:space="preserve"> </w:t>
      </w:r>
      <w:r w:rsidRPr="00977EB7">
        <w:rPr>
          <w:rFonts w:eastAsia="Times New Roman" w:cs="Arial"/>
          <w:i/>
          <w:iCs/>
          <w:color w:val="000000"/>
          <w:lang w:eastAsia="bg-BG"/>
        </w:rPr>
        <w:t xml:space="preserve">(150 </w:t>
      </w:r>
      <w:r w:rsidRPr="00977EB7">
        <w:rPr>
          <w:rFonts w:eastAsia="Times New Roman" w:cs="Arial"/>
          <w:i/>
          <w:iCs/>
          <w:color w:val="000000"/>
          <w:lang w:val="en-US"/>
        </w:rPr>
        <w:t>mg</w:t>
      </w:r>
      <w:r w:rsidRPr="00977EB7">
        <w:rPr>
          <w:rFonts w:eastAsia="Times New Roman" w:cs="Arial"/>
          <w:i/>
          <w:iCs/>
          <w:color w:val="000000"/>
          <w:lang w:val="ru-RU"/>
        </w:rPr>
        <w:t xml:space="preserve"> </w:t>
      </w:r>
      <w:r w:rsidRPr="00977EB7">
        <w:rPr>
          <w:rFonts w:eastAsia="Times New Roman" w:cs="Arial"/>
          <w:i/>
          <w:iCs/>
          <w:color w:val="000000"/>
          <w:lang w:eastAsia="bg-BG"/>
        </w:rPr>
        <w:t>интрамускулно) или неизползването му от жени в репродуктивна възраст</w:t>
      </w:r>
    </w:p>
    <w:p w14:paraId="794E26A8" w14:textId="77777777" w:rsidR="00977EB7" w:rsidRPr="00977EB7" w:rsidRDefault="00977EB7" w:rsidP="00977EB7">
      <w:pPr>
        <w:spacing w:line="240" w:lineRule="auto"/>
        <w:rPr>
          <w:rFonts w:eastAsia="Times New Roman" w:cs="Arial"/>
          <w:color w:val="000000"/>
          <w:lang w:eastAsia="bg-BG"/>
        </w:rPr>
      </w:pPr>
    </w:p>
    <w:p w14:paraId="3D9BECD6" w14:textId="2B4E638F"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 xml:space="preserve">В Обединеното кралство е проведено ретроспективно кохортно проучване за оценка на връзката между приложението на инжекционен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и честотата на костни фрактури при 312 395 жени, които използват контрацепция. Коефициентите на честотата на фрактури са сравнени преди и след започване на употребата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както и между жените, които използват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и тези, които използват други контрацептиви, но нямат документирана употреба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При жените, които използват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употребата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не се свързва с увеличен риск от фрактури (съотношение на коефициента на инциденти (СКИ) = 1,01,95% ДИ 0,92-1,11 при сравняване на периода на проследяване на проучването с период до 2 години наблюдение преди използване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Въпреки това, при участниците, които използват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се наблюдават повече фрактури, отколкото при жените, които не го използват, както след първата употреба на контрацептив (СКИ = 1,23, 95% ДИ 1,16-1,30), така и преди първата употреба на контрацептив (СКИ = 1,28, 95% ДИ 1,07-1,53).</w:t>
      </w:r>
    </w:p>
    <w:p w14:paraId="70453D52" w14:textId="77777777" w:rsidR="00977EB7" w:rsidRPr="00977EB7" w:rsidRDefault="00977EB7" w:rsidP="00977EB7">
      <w:pPr>
        <w:spacing w:line="240" w:lineRule="auto"/>
        <w:rPr>
          <w:rFonts w:eastAsia="Times New Roman" w:cs="Arial"/>
          <w:color w:val="000000"/>
          <w:lang w:eastAsia="bg-BG"/>
        </w:rPr>
      </w:pPr>
    </w:p>
    <w:p w14:paraId="21D9A051" w14:textId="6AC70630"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lastRenderedPageBreak/>
        <w:t xml:space="preserve">В допълнение на това, фрактурите на специфични места по костите, характеризиращи се като фрактури поради остеопоротична чупливост (гръбначен стълб, бедро, таз), не са по-чести при участниците, използващи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в сравнение с тези, които не го използват (СКИ = 0,95,95% ДИ 0,74-1,23), нито има доказателства, че дългосрочната употреба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(2 години или повече) представлява по-голям риск за фрактура в сравнение с употреба по-малко от 2 години.</w:t>
      </w:r>
    </w:p>
    <w:p w14:paraId="6FECCED0" w14:textId="77777777" w:rsidR="00977EB7" w:rsidRPr="00977EB7" w:rsidRDefault="00977EB7" w:rsidP="00977EB7">
      <w:pPr>
        <w:spacing w:line="240" w:lineRule="auto"/>
        <w:rPr>
          <w:rFonts w:eastAsia="Times New Roman" w:cs="Arial"/>
          <w:color w:val="000000"/>
          <w:lang w:eastAsia="bg-BG"/>
        </w:rPr>
      </w:pPr>
    </w:p>
    <w:p w14:paraId="07A1778E" w14:textId="02116217" w:rsidR="00977EB7" w:rsidRPr="00977EB7" w:rsidRDefault="00977EB7" w:rsidP="00977EB7">
      <w:pPr>
        <w:spacing w:line="240" w:lineRule="auto"/>
        <w:rPr>
          <w:rFonts w:eastAsia="Times New Roman" w:cs="Arial"/>
          <w:color w:val="000000"/>
          <w:lang w:eastAsia="bg-BG"/>
        </w:rPr>
      </w:pPr>
      <w:r w:rsidRPr="00977EB7">
        <w:rPr>
          <w:rFonts w:eastAsia="Times New Roman" w:cs="Arial"/>
          <w:color w:val="000000"/>
          <w:lang w:eastAsia="bg-BG"/>
        </w:rPr>
        <w:t xml:space="preserve">Тези данни показват, че жените, използващи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са със специфичен профил на риск за фрактури, различен от този на лицата, които не използват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 xml:space="preserve">и причините за това не са </w:t>
      </w:r>
    </w:p>
    <w:p w14:paraId="34E7FD59" w14:textId="663E85D7"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 xml:space="preserve">свързани с употребата на </w:t>
      </w:r>
      <w:r w:rsidRPr="00977EB7">
        <w:rPr>
          <w:rFonts w:eastAsia="Times New Roman" w:cs="Arial"/>
          <w:color w:val="000000"/>
          <w:lang w:val="en-US"/>
        </w:rPr>
        <w:t>DMPA</w:t>
      </w:r>
      <w:r w:rsidRPr="00977EB7">
        <w:rPr>
          <w:rFonts w:eastAsia="Times New Roman" w:cs="Arial"/>
          <w:color w:val="000000"/>
          <w:lang w:val="ru-RU"/>
        </w:rPr>
        <w:t>.</w:t>
      </w:r>
    </w:p>
    <w:p w14:paraId="7BC9A6D0" w14:textId="77777777" w:rsidR="00977EB7" w:rsidRPr="00977EB7" w:rsidRDefault="00977EB7" w:rsidP="00977EB7">
      <w:pPr>
        <w:spacing w:line="240" w:lineRule="auto"/>
        <w:rPr>
          <w:rFonts w:eastAsia="Times New Roman" w:cs="Arial"/>
          <w:color w:val="000000"/>
          <w:lang w:eastAsia="bg-BG"/>
        </w:rPr>
      </w:pPr>
    </w:p>
    <w:p w14:paraId="38181752" w14:textId="58742C05" w:rsidR="00977EB7" w:rsidRPr="00977EB7" w:rsidRDefault="00977EB7" w:rsidP="00977EB7">
      <w:pPr>
        <w:spacing w:line="240" w:lineRule="auto"/>
        <w:rPr>
          <w:rFonts w:eastAsia="Times New Roman" w:cs="Arial"/>
          <w:sz w:val="24"/>
          <w:szCs w:val="24"/>
        </w:rPr>
      </w:pPr>
      <w:r w:rsidRPr="00977EB7">
        <w:rPr>
          <w:rFonts w:eastAsia="Times New Roman" w:cs="Arial"/>
          <w:color w:val="000000"/>
          <w:lang w:eastAsia="bg-BG"/>
        </w:rPr>
        <w:t xml:space="preserve">Максималното проследяване в това проучване е 15 години и следователно възможните ефекти на </w:t>
      </w:r>
      <w:r w:rsidRPr="00977EB7">
        <w:rPr>
          <w:rFonts w:eastAsia="Times New Roman" w:cs="Arial"/>
          <w:color w:val="000000"/>
          <w:lang w:val="en-US"/>
        </w:rPr>
        <w:t>DMPA</w:t>
      </w:r>
      <w:r w:rsidRPr="00977EB7">
        <w:rPr>
          <w:rFonts w:eastAsia="Times New Roman" w:cs="Arial"/>
          <w:color w:val="000000"/>
          <w:lang w:val="ru-RU"/>
        </w:rPr>
        <w:t xml:space="preserve">, </w:t>
      </w:r>
      <w:r w:rsidRPr="00977EB7">
        <w:rPr>
          <w:rFonts w:eastAsia="Times New Roman" w:cs="Arial"/>
          <w:color w:val="000000"/>
          <w:lang w:eastAsia="bg-BG"/>
        </w:rPr>
        <w:t>които може да превишават 15-те години проследяване, не могат да бъдат установени.</w:t>
      </w:r>
    </w:p>
    <w:p w14:paraId="4A02CAA0" w14:textId="77777777" w:rsidR="00977EB7" w:rsidRPr="00977EB7" w:rsidRDefault="00977EB7" w:rsidP="00977EB7"/>
    <w:p w14:paraId="26535098" w14:textId="1887B492" w:rsidR="00395555" w:rsidRDefault="002C50EE" w:rsidP="008A6AF2">
      <w:pPr>
        <w:pStyle w:val="Heading2"/>
      </w:pPr>
      <w:r>
        <w:t>5.2. Фармакокинетични свойства</w:t>
      </w:r>
    </w:p>
    <w:p w14:paraId="29270AB9" w14:textId="59D33233" w:rsidR="00977EB7" w:rsidRDefault="00977EB7" w:rsidP="00977EB7"/>
    <w:p w14:paraId="2349436B" w14:textId="77777777" w:rsidR="00977EB7" w:rsidRPr="00977EB7" w:rsidRDefault="00977EB7" w:rsidP="00977EB7">
      <w:pPr>
        <w:pStyle w:val="Heading3"/>
        <w:rPr>
          <w:rFonts w:eastAsia="Times New Roman"/>
          <w:u w:val="single"/>
        </w:rPr>
      </w:pPr>
      <w:r w:rsidRPr="00977EB7">
        <w:rPr>
          <w:rFonts w:eastAsia="Times New Roman"/>
          <w:u w:val="single"/>
          <w:lang w:eastAsia="bg-BG"/>
        </w:rPr>
        <w:t>Абсорбция:</w:t>
      </w:r>
    </w:p>
    <w:p w14:paraId="4CAC1332" w14:textId="77777777" w:rsidR="00977EB7" w:rsidRPr="00977EB7" w:rsidRDefault="00977EB7" w:rsidP="00977EB7">
      <w:pPr>
        <w:rPr>
          <w:sz w:val="24"/>
          <w:szCs w:val="24"/>
        </w:rPr>
      </w:pPr>
      <w:r w:rsidRPr="00977EB7">
        <w:rPr>
          <w:lang w:eastAsia="bg-BG"/>
        </w:rPr>
        <w:t>Пероралният медроксипрогестерон (МРА) се абсорбира бързо с достигане на максималната плазмена концентрация достигана след 2 до 4 часа. Плазменото полуелиминиране на пероралния МРА е около 17 часа. 90% от МРА се свързва с плазмените протеини и се екскретира предимно с урината.</w:t>
      </w:r>
    </w:p>
    <w:p w14:paraId="6EA5A740" w14:textId="77777777" w:rsidR="00977EB7" w:rsidRDefault="00977EB7" w:rsidP="00977EB7">
      <w:pPr>
        <w:rPr>
          <w:lang w:eastAsia="bg-BG"/>
        </w:rPr>
      </w:pPr>
    </w:p>
    <w:p w14:paraId="00694F44" w14:textId="4345FA71" w:rsidR="00977EB7" w:rsidRPr="00977EB7" w:rsidRDefault="00977EB7" w:rsidP="00977EB7">
      <w:pPr>
        <w:rPr>
          <w:sz w:val="24"/>
          <w:szCs w:val="24"/>
        </w:rPr>
      </w:pPr>
      <w:r w:rsidRPr="00977EB7">
        <w:rPr>
          <w:lang w:eastAsia="bg-BG"/>
        </w:rPr>
        <w:t xml:space="preserve">Приемането с храната увеличава бионаличността на МРА. Перорален МРА в доза 10 </w:t>
      </w:r>
      <w:r w:rsidRPr="00977EB7">
        <w:rPr>
          <w:lang w:val="en-US"/>
        </w:rPr>
        <w:t>mg</w:t>
      </w:r>
      <w:r w:rsidRPr="00977EB7">
        <w:rPr>
          <w:lang w:val="ru-RU"/>
        </w:rPr>
        <w:t xml:space="preserve">, </w:t>
      </w:r>
      <w:r w:rsidRPr="00977EB7">
        <w:rPr>
          <w:lang w:eastAsia="bg-BG"/>
        </w:rPr>
        <w:t>приет непосредствено преди или след хранене, увеличава средната стойност на С</w:t>
      </w:r>
      <w:r w:rsidRPr="00977EB7">
        <w:rPr>
          <w:vertAlign w:val="subscript"/>
          <w:lang w:val="en-US"/>
        </w:rPr>
        <w:t>max</w:t>
      </w:r>
      <w:r w:rsidRPr="00977EB7">
        <w:rPr>
          <w:lang w:eastAsia="bg-BG"/>
        </w:rPr>
        <w:t xml:space="preserve"> на МРА (51 и 77% съответно) и средната стойност на </w:t>
      </w:r>
      <w:r w:rsidRPr="00977EB7">
        <w:rPr>
          <w:lang w:val="en-US"/>
        </w:rPr>
        <w:t>AUC</w:t>
      </w:r>
      <w:r w:rsidRPr="00977EB7">
        <w:rPr>
          <w:lang w:val="ru-RU"/>
        </w:rPr>
        <w:t xml:space="preserve"> </w:t>
      </w:r>
      <w:r w:rsidRPr="00977EB7">
        <w:rPr>
          <w:lang w:eastAsia="bg-BG"/>
        </w:rPr>
        <w:t>(18 и 33% съответно). Храненето не променя плазменото полуелиминиране на МРА.</w:t>
      </w:r>
    </w:p>
    <w:p w14:paraId="080F052B" w14:textId="77777777" w:rsidR="00977EB7" w:rsidRDefault="00977EB7" w:rsidP="00977EB7">
      <w:pPr>
        <w:rPr>
          <w:lang w:eastAsia="bg-BG"/>
        </w:rPr>
      </w:pPr>
    </w:p>
    <w:p w14:paraId="63129EF8" w14:textId="7C9F5865" w:rsidR="00977EB7" w:rsidRPr="00977EB7" w:rsidRDefault="00977EB7" w:rsidP="00977EB7">
      <w:pPr>
        <w:pStyle w:val="Heading3"/>
        <w:rPr>
          <w:rFonts w:eastAsia="Times New Roman"/>
          <w:u w:val="single"/>
        </w:rPr>
      </w:pPr>
      <w:r w:rsidRPr="00977EB7">
        <w:rPr>
          <w:rFonts w:eastAsia="Times New Roman"/>
          <w:u w:val="single"/>
          <w:lang w:eastAsia="bg-BG"/>
        </w:rPr>
        <w:t>Разпределение:</w:t>
      </w:r>
    </w:p>
    <w:p w14:paraId="5C6983EF" w14:textId="77777777" w:rsidR="00977EB7" w:rsidRPr="00977EB7" w:rsidRDefault="00977EB7" w:rsidP="00977EB7">
      <w:pPr>
        <w:rPr>
          <w:sz w:val="24"/>
          <w:szCs w:val="24"/>
        </w:rPr>
      </w:pPr>
      <w:r w:rsidRPr="00977EB7">
        <w:rPr>
          <w:lang w:eastAsia="bg-BG"/>
        </w:rPr>
        <w:t>Приблизително 90% от МРА се свързва с плазмените протеини, главно с албумина. МРА не се свързва с глобулина, свързващ половите хормони. Несвързаният МРА модулира фармакологичните отговори.</w:t>
      </w:r>
    </w:p>
    <w:p w14:paraId="147C38E5" w14:textId="77777777" w:rsidR="00977EB7" w:rsidRDefault="00977EB7" w:rsidP="00977EB7">
      <w:pPr>
        <w:rPr>
          <w:lang w:eastAsia="bg-BG"/>
        </w:rPr>
      </w:pPr>
    </w:p>
    <w:p w14:paraId="56F74901" w14:textId="429620FC" w:rsidR="00977EB7" w:rsidRPr="00977EB7" w:rsidRDefault="00977EB7" w:rsidP="00977EB7">
      <w:pPr>
        <w:pStyle w:val="Heading3"/>
        <w:rPr>
          <w:rFonts w:eastAsia="Times New Roman"/>
          <w:u w:val="single"/>
        </w:rPr>
      </w:pPr>
      <w:r w:rsidRPr="00977EB7">
        <w:rPr>
          <w:rFonts w:eastAsia="Times New Roman"/>
          <w:u w:val="single"/>
          <w:lang w:eastAsia="bg-BG"/>
        </w:rPr>
        <w:t>Метаболизъм:</w:t>
      </w:r>
    </w:p>
    <w:p w14:paraId="67B89BC1" w14:textId="77777777" w:rsidR="00977EB7" w:rsidRPr="00977EB7" w:rsidRDefault="00977EB7" w:rsidP="00977EB7">
      <w:pPr>
        <w:rPr>
          <w:sz w:val="24"/>
          <w:szCs w:val="24"/>
        </w:rPr>
      </w:pPr>
      <w:r w:rsidRPr="00977EB7">
        <w:rPr>
          <w:lang w:eastAsia="bg-BG"/>
        </w:rPr>
        <w:t>След прием на перорална доза МРА се метаболизира екстензивно в черния дроб чрез хидроксилиране на пръстен А и/или страничната верига с последваща конюгация и елиминиране в урината. Идентифицирани са най-малко 16 метаболита на МРА. Резултатите от проучване за измерване на метаболизма на МРА сочат, че човешкият цитохром Р450 ЗА4 основно участва в цялостния метаболизъм на МРА в човешките чернодробни микрозоми.</w:t>
      </w:r>
    </w:p>
    <w:p w14:paraId="772E3437" w14:textId="77777777" w:rsidR="00977EB7" w:rsidRDefault="00977EB7" w:rsidP="00977EB7">
      <w:pPr>
        <w:rPr>
          <w:lang w:eastAsia="bg-BG"/>
        </w:rPr>
      </w:pPr>
    </w:p>
    <w:p w14:paraId="303C26A3" w14:textId="1F6EC2A7" w:rsidR="00977EB7" w:rsidRPr="00977EB7" w:rsidRDefault="00977EB7" w:rsidP="00977EB7">
      <w:pPr>
        <w:pStyle w:val="Heading3"/>
        <w:rPr>
          <w:rFonts w:eastAsia="Times New Roman"/>
          <w:u w:val="single"/>
        </w:rPr>
      </w:pPr>
      <w:r w:rsidRPr="00977EB7">
        <w:rPr>
          <w:rFonts w:eastAsia="Times New Roman"/>
          <w:u w:val="single"/>
          <w:lang w:eastAsia="bg-BG"/>
        </w:rPr>
        <w:t>Елиминиране:</w:t>
      </w:r>
    </w:p>
    <w:p w14:paraId="0EA307CB" w14:textId="77777777" w:rsidR="00977EB7" w:rsidRPr="00977EB7" w:rsidRDefault="00977EB7" w:rsidP="00977EB7">
      <w:pPr>
        <w:rPr>
          <w:sz w:val="24"/>
          <w:szCs w:val="24"/>
        </w:rPr>
      </w:pPr>
      <w:r w:rsidRPr="00977EB7">
        <w:rPr>
          <w:lang w:eastAsia="bg-BG"/>
        </w:rPr>
        <w:t xml:space="preserve">Повече метаболити на МРА се екскретират в урината като глюкуронидни конюгати и само малки количества се екскретират като сулфати. Средният процент от дозата, екскретирана в 24- часова урина на пациенти със стеатоза на черния дроб като интактен </w:t>
      </w:r>
      <w:r w:rsidRPr="00977EB7">
        <w:rPr>
          <w:lang w:eastAsia="bg-BG"/>
        </w:rPr>
        <w:lastRenderedPageBreak/>
        <w:t xml:space="preserve">МРА след прилагане на доза от 10 </w:t>
      </w:r>
      <w:r w:rsidRPr="00977EB7">
        <w:rPr>
          <w:lang w:val="en-US"/>
        </w:rPr>
        <w:t>mg</w:t>
      </w:r>
      <w:r w:rsidRPr="00977EB7">
        <w:rPr>
          <w:lang w:val="ru-RU"/>
        </w:rPr>
        <w:t xml:space="preserve"> </w:t>
      </w:r>
      <w:r w:rsidRPr="00977EB7">
        <w:rPr>
          <w:lang w:eastAsia="bg-BG"/>
        </w:rPr>
        <w:t xml:space="preserve">или 100 </w:t>
      </w:r>
      <w:r w:rsidRPr="00977EB7">
        <w:rPr>
          <w:lang w:val="en-US"/>
        </w:rPr>
        <w:t>mg</w:t>
      </w:r>
      <w:r w:rsidRPr="00977EB7">
        <w:rPr>
          <w:lang w:val="ru-RU"/>
        </w:rPr>
        <w:t xml:space="preserve">, </w:t>
      </w:r>
      <w:r w:rsidRPr="00977EB7">
        <w:rPr>
          <w:lang w:eastAsia="bg-BG"/>
        </w:rPr>
        <w:t>е съответно 7,3% и 6,4%. Времето на полуелиминиране на пероралния МРА е 12 до 17 часа.</w:t>
      </w:r>
    </w:p>
    <w:p w14:paraId="1639A3F3" w14:textId="77777777" w:rsidR="00977EB7" w:rsidRPr="00977EB7" w:rsidRDefault="00977EB7" w:rsidP="00977EB7"/>
    <w:p w14:paraId="028E658A" w14:textId="640E3929" w:rsidR="00395555" w:rsidRDefault="002C50EE" w:rsidP="008A6AF2">
      <w:pPr>
        <w:pStyle w:val="Heading2"/>
      </w:pPr>
      <w:r>
        <w:t>5.3. Предклинични данни за безопасност</w:t>
      </w:r>
    </w:p>
    <w:p w14:paraId="10B3BDED" w14:textId="5A89F361" w:rsidR="00977EB7" w:rsidRDefault="00977EB7" w:rsidP="00977EB7"/>
    <w:p w14:paraId="39AF04EB" w14:textId="77777777" w:rsidR="00977EB7" w:rsidRPr="00977EB7" w:rsidRDefault="00977EB7" w:rsidP="00977EB7">
      <w:pPr>
        <w:rPr>
          <w:sz w:val="24"/>
          <w:szCs w:val="24"/>
          <w:u w:val="single"/>
        </w:rPr>
      </w:pPr>
      <w:r w:rsidRPr="00977EB7">
        <w:rPr>
          <w:u w:val="single"/>
          <w:lang w:eastAsia="bg-BG"/>
        </w:rPr>
        <w:t>Карциногенеза, мутагенеза, увреждане на фертилитета</w:t>
      </w:r>
    </w:p>
    <w:p w14:paraId="0A5C8ECE" w14:textId="77777777" w:rsidR="00977EB7" w:rsidRPr="00977EB7" w:rsidRDefault="00977EB7" w:rsidP="00977EB7">
      <w:pPr>
        <w:rPr>
          <w:sz w:val="24"/>
          <w:szCs w:val="24"/>
        </w:rPr>
      </w:pPr>
      <w:r w:rsidRPr="00977EB7">
        <w:rPr>
          <w:lang w:eastAsia="bg-BG"/>
        </w:rPr>
        <w:t xml:space="preserve">Установено е, че дългосрочното интрамускулно приложение на МРА води до образуване на тумори в млечните жлези на кучета от породата гонче. Няма данни за карциногенен ефект, свързан с пероралното приложение на МРА при плъхове и мишки. МРА няма мутагенен ефект при серия от </w:t>
      </w:r>
      <w:r w:rsidRPr="00977EB7">
        <w:rPr>
          <w:i/>
          <w:iCs/>
          <w:lang w:val="en-US"/>
        </w:rPr>
        <w:t>in</w:t>
      </w:r>
      <w:r w:rsidRPr="00977EB7">
        <w:rPr>
          <w:i/>
          <w:iCs/>
          <w:lang w:val="ru-RU"/>
        </w:rPr>
        <w:t xml:space="preserve"> </w:t>
      </w:r>
      <w:r w:rsidRPr="00977EB7">
        <w:rPr>
          <w:i/>
          <w:iCs/>
          <w:lang w:val="en-US"/>
        </w:rPr>
        <w:t>vitro</w:t>
      </w:r>
      <w:r w:rsidRPr="00977EB7">
        <w:rPr>
          <w:lang w:val="ru-RU"/>
        </w:rPr>
        <w:t xml:space="preserve"> </w:t>
      </w:r>
      <w:r w:rsidRPr="00977EB7">
        <w:rPr>
          <w:lang w:eastAsia="bg-BG"/>
        </w:rPr>
        <w:t xml:space="preserve">и </w:t>
      </w:r>
      <w:r w:rsidRPr="00977EB7">
        <w:rPr>
          <w:i/>
          <w:iCs/>
          <w:lang w:val="en-US"/>
        </w:rPr>
        <w:t>in</w:t>
      </w:r>
      <w:r w:rsidRPr="00977EB7">
        <w:rPr>
          <w:i/>
          <w:iCs/>
          <w:lang w:val="ru-RU"/>
        </w:rPr>
        <w:t xml:space="preserve"> </w:t>
      </w:r>
      <w:r w:rsidRPr="00977EB7">
        <w:rPr>
          <w:i/>
          <w:iCs/>
          <w:lang w:val="en-US"/>
        </w:rPr>
        <w:t>vivo</w:t>
      </w:r>
      <w:r w:rsidRPr="00977EB7">
        <w:rPr>
          <w:lang w:val="ru-RU"/>
        </w:rPr>
        <w:t xml:space="preserve"> </w:t>
      </w:r>
      <w:r w:rsidRPr="00977EB7">
        <w:rPr>
          <w:lang w:eastAsia="bg-BG"/>
        </w:rPr>
        <w:t>изследвания за генетична токсичност. МРА във високи дози представлява лекарство с антифертилно действие и може да се очаква, че високите дози ще увреждат фертилитета, докато лечението не бъде преустановено.</w:t>
      </w:r>
    </w:p>
    <w:p w14:paraId="794AB89C" w14:textId="77777777" w:rsidR="00977EB7" w:rsidRPr="00977EB7" w:rsidRDefault="00977EB7" w:rsidP="00977EB7"/>
    <w:p w14:paraId="6A7820AB" w14:textId="1BDF29BD" w:rsidR="008A6AF2" w:rsidRDefault="002C50EE" w:rsidP="00395555">
      <w:pPr>
        <w:pStyle w:val="Heading1"/>
      </w:pPr>
      <w:r>
        <w:t>7. ПРИТЕЖАТЕЛ НА РАЗРЕШЕНИЕТО ЗА УПОТРЕБА</w:t>
      </w:r>
    </w:p>
    <w:p w14:paraId="5B50F447" w14:textId="4BB81F9C" w:rsidR="00977EB7" w:rsidRDefault="00977EB7" w:rsidP="00977EB7"/>
    <w:p w14:paraId="753AE893" w14:textId="77777777" w:rsidR="00977EB7" w:rsidRPr="00977EB7" w:rsidRDefault="00977EB7" w:rsidP="00977EB7">
      <w:pPr>
        <w:rPr>
          <w:sz w:val="24"/>
          <w:szCs w:val="24"/>
          <w:lang w:val="en-US"/>
        </w:rPr>
      </w:pPr>
      <w:r w:rsidRPr="00977EB7">
        <w:rPr>
          <w:lang w:val="en-US"/>
        </w:rPr>
        <w:t xml:space="preserve">Pfizer Europe </w:t>
      </w:r>
      <w:r w:rsidRPr="00977EB7">
        <w:rPr>
          <w:lang w:eastAsia="bg-BG"/>
        </w:rPr>
        <w:t xml:space="preserve">МА </w:t>
      </w:r>
      <w:r w:rsidRPr="00977EB7">
        <w:rPr>
          <w:lang w:val="en-US"/>
        </w:rPr>
        <w:t>EEIG</w:t>
      </w:r>
    </w:p>
    <w:p w14:paraId="6FF93920" w14:textId="77777777" w:rsidR="00977EB7" w:rsidRPr="00977EB7" w:rsidRDefault="00977EB7" w:rsidP="00977EB7">
      <w:pPr>
        <w:rPr>
          <w:sz w:val="24"/>
          <w:szCs w:val="24"/>
          <w:lang w:val="en-US"/>
        </w:rPr>
      </w:pPr>
      <w:r w:rsidRPr="00977EB7">
        <w:rPr>
          <w:lang w:val="en-US"/>
        </w:rPr>
        <w:t xml:space="preserve">Boulevard de la </w:t>
      </w:r>
      <w:proofErr w:type="spellStart"/>
      <w:r w:rsidRPr="00977EB7">
        <w:rPr>
          <w:lang w:val="en-US"/>
        </w:rPr>
        <w:t>Plaine</w:t>
      </w:r>
      <w:proofErr w:type="spellEnd"/>
      <w:r w:rsidRPr="00977EB7">
        <w:rPr>
          <w:lang w:val="en-US"/>
        </w:rPr>
        <w:t xml:space="preserve"> 17</w:t>
      </w:r>
    </w:p>
    <w:p w14:paraId="471165DA" w14:textId="77777777" w:rsidR="00977EB7" w:rsidRPr="00977EB7" w:rsidRDefault="00977EB7" w:rsidP="00977EB7">
      <w:pPr>
        <w:rPr>
          <w:sz w:val="24"/>
          <w:szCs w:val="24"/>
          <w:lang w:val="ru-RU"/>
        </w:rPr>
      </w:pPr>
      <w:r w:rsidRPr="00977EB7">
        <w:rPr>
          <w:lang w:val="ru-RU"/>
        </w:rPr>
        <w:t xml:space="preserve">1050 </w:t>
      </w:r>
      <w:proofErr w:type="spellStart"/>
      <w:r w:rsidRPr="00977EB7">
        <w:rPr>
          <w:lang w:val="en-US"/>
        </w:rPr>
        <w:t>Bruxelles</w:t>
      </w:r>
      <w:proofErr w:type="spellEnd"/>
    </w:p>
    <w:p w14:paraId="71A17903" w14:textId="017D4553" w:rsidR="00977EB7" w:rsidRPr="00977EB7" w:rsidRDefault="00977EB7" w:rsidP="00977EB7">
      <w:r w:rsidRPr="00977EB7">
        <w:rPr>
          <w:lang w:eastAsia="bg-BG"/>
        </w:rPr>
        <w:t>Белгия</w:t>
      </w:r>
    </w:p>
    <w:p w14:paraId="04840D59" w14:textId="3DD92E8F" w:rsidR="002C50EE" w:rsidRDefault="002C50EE" w:rsidP="00395555">
      <w:pPr>
        <w:pStyle w:val="Heading1"/>
      </w:pPr>
      <w:r>
        <w:t>8. НОМЕР НА РАЗРЕШЕНИЕТО ЗА УПОТРЕБА</w:t>
      </w:r>
    </w:p>
    <w:p w14:paraId="4FDC00A3" w14:textId="4611469B" w:rsidR="00977EB7" w:rsidRDefault="00977EB7" w:rsidP="00977EB7"/>
    <w:p w14:paraId="1FCE7689" w14:textId="1BBF4B33" w:rsidR="00977EB7" w:rsidRPr="00977EB7" w:rsidRDefault="00977EB7" w:rsidP="00977EB7">
      <w:r>
        <w:t>20000510</w:t>
      </w:r>
    </w:p>
    <w:p w14:paraId="2CCB5832" w14:textId="14B49668" w:rsidR="007C605B" w:rsidRDefault="002C50EE" w:rsidP="007C605B">
      <w:pPr>
        <w:pStyle w:val="Heading1"/>
      </w:pPr>
      <w:r>
        <w:t>9. ДАТА НА ПЪРВО РАЗРЕШАВАНЕ/ПОДНОВЯВАНЕ НА РАЗРЕШЕНИЕТО ЗА УПОТРЕБА</w:t>
      </w:r>
    </w:p>
    <w:p w14:paraId="6EFAD411" w14:textId="27A68A89" w:rsidR="00977EB7" w:rsidRDefault="00977EB7" w:rsidP="00977EB7"/>
    <w:p w14:paraId="5456B5B4" w14:textId="77777777" w:rsidR="00977EB7" w:rsidRPr="00977EB7" w:rsidRDefault="00977EB7" w:rsidP="00977EB7">
      <w:pPr>
        <w:rPr>
          <w:sz w:val="24"/>
          <w:szCs w:val="24"/>
        </w:rPr>
      </w:pPr>
      <w:r w:rsidRPr="00977EB7">
        <w:rPr>
          <w:lang w:eastAsia="bg-BG"/>
        </w:rPr>
        <w:t>Дата на първо разрешаване: 10 юни 1987 г.</w:t>
      </w:r>
    </w:p>
    <w:p w14:paraId="3B1D7513" w14:textId="0C9691FF" w:rsidR="00977EB7" w:rsidRPr="00977EB7" w:rsidRDefault="00977EB7" w:rsidP="00977EB7">
      <w:pPr>
        <w:rPr>
          <w:sz w:val="24"/>
          <w:szCs w:val="24"/>
        </w:rPr>
      </w:pPr>
      <w:r w:rsidRPr="00977EB7">
        <w:rPr>
          <w:lang w:eastAsia="bg-BG"/>
        </w:rPr>
        <w:t>Дата на последно подновяване: 15 август 2000 г.</w:t>
      </w:r>
    </w:p>
    <w:p w14:paraId="0E9D0119" w14:textId="0245C6D7" w:rsidR="002C50EE" w:rsidRDefault="002C50EE" w:rsidP="002C50EE">
      <w:pPr>
        <w:pStyle w:val="Heading1"/>
      </w:pPr>
      <w:r>
        <w:t>10. ДАТА НА АКТУАЛИЗИРАНЕ НА ТЕКСТА</w:t>
      </w:r>
    </w:p>
    <w:p w14:paraId="43FB38A2" w14:textId="1D8A3B61" w:rsidR="007C605B" w:rsidRPr="003E3126" w:rsidRDefault="007C605B" w:rsidP="00395555">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2689D"/>
    <w:multiLevelType w:val="hybridMultilevel"/>
    <w:tmpl w:val="233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33E01"/>
    <w:multiLevelType w:val="hybridMultilevel"/>
    <w:tmpl w:val="7936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5253EE3"/>
    <w:multiLevelType w:val="hybridMultilevel"/>
    <w:tmpl w:val="B922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83F23C1"/>
    <w:multiLevelType w:val="hybridMultilevel"/>
    <w:tmpl w:val="BEB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C326A"/>
    <w:multiLevelType w:val="hybridMultilevel"/>
    <w:tmpl w:val="82FE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5616F"/>
    <w:multiLevelType w:val="hybridMultilevel"/>
    <w:tmpl w:val="02C22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B6841"/>
    <w:multiLevelType w:val="hybridMultilevel"/>
    <w:tmpl w:val="9C9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6"/>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4"/>
  </w:num>
  <w:num w:numId="12">
    <w:abstractNumId w:val="17"/>
  </w:num>
  <w:num w:numId="13">
    <w:abstractNumId w:val="22"/>
  </w:num>
  <w:num w:numId="14">
    <w:abstractNumId w:val="15"/>
  </w:num>
  <w:num w:numId="15">
    <w:abstractNumId w:val="32"/>
  </w:num>
  <w:num w:numId="16">
    <w:abstractNumId w:val="11"/>
  </w:num>
  <w:num w:numId="17">
    <w:abstractNumId w:val="28"/>
  </w:num>
  <w:num w:numId="18">
    <w:abstractNumId w:val="8"/>
  </w:num>
  <w:num w:numId="19">
    <w:abstractNumId w:val="30"/>
  </w:num>
  <w:num w:numId="20">
    <w:abstractNumId w:val="27"/>
  </w:num>
  <w:num w:numId="21">
    <w:abstractNumId w:val="20"/>
  </w:num>
  <w:num w:numId="22">
    <w:abstractNumId w:val="29"/>
  </w:num>
  <w:num w:numId="23">
    <w:abstractNumId w:val="21"/>
  </w:num>
  <w:num w:numId="24">
    <w:abstractNumId w:val="9"/>
  </w:num>
  <w:num w:numId="25">
    <w:abstractNumId w:val="26"/>
  </w:num>
  <w:num w:numId="26">
    <w:abstractNumId w:val="25"/>
  </w:num>
  <w:num w:numId="27">
    <w:abstractNumId w:val="36"/>
  </w:num>
  <w:num w:numId="28">
    <w:abstractNumId w:val="7"/>
  </w:num>
  <w:num w:numId="29">
    <w:abstractNumId w:val="24"/>
  </w:num>
  <w:num w:numId="30">
    <w:abstractNumId w:val="37"/>
  </w:num>
  <w:num w:numId="31">
    <w:abstractNumId w:val="5"/>
  </w:num>
  <w:num w:numId="32">
    <w:abstractNumId w:val="23"/>
  </w:num>
  <w:num w:numId="33">
    <w:abstractNumId w:val="10"/>
  </w:num>
  <w:num w:numId="34">
    <w:abstractNumId w:val="12"/>
  </w:num>
  <w:num w:numId="35">
    <w:abstractNumId w:val="33"/>
  </w:num>
  <w:num w:numId="36">
    <w:abstractNumId w:val="6"/>
  </w:num>
  <w:num w:numId="37">
    <w:abstractNumId w:val="3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91CE5"/>
    <w:rsid w:val="007C605B"/>
    <w:rsid w:val="00814073"/>
    <w:rsid w:val="00826F0D"/>
    <w:rsid w:val="00893B92"/>
    <w:rsid w:val="008A6AF2"/>
    <w:rsid w:val="008C70A2"/>
    <w:rsid w:val="009773E4"/>
    <w:rsid w:val="00977EB7"/>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2928</Words>
  <Characters>16694</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2022-01-10T13:16:00Z</dcterms:created>
  <dcterms:modified xsi:type="dcterms:W3CDTF">2022-01-10T13:16:00Z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