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320F4BE" w14:textId="218E82F4" w:rsidR="00C40420" w:rsidRDefault="00DD466D" w:rsidP="004A448E">
      <w:pPr>
        <w:pStyle w:val="Heading1"/>
      </w:pPr>
      <w:r>
        <w:t>1.ИМЕ НА ЛЕКАРСТВЕНИЯ ПРОДУКТ</w:t>
      </w:r>
    </w:p>
    <w:p w14:paraId="7342963E" w14:textId="5C8AACED" w:rsidR="006B5396" w:rsidRDefault="006B5396" w:rsidP="006B5396"/>
    <w:p w14:paraId="1D853AC4" w14:textId="77777777" w:rsidR="006B5396" w:rsidRDefault="006B5396" w:rsidP="006B5396">
      <w:r>
        <w:t xml:space="preserve">Фемара 2,5 </w:t>
      </w:r>
      <w:r>
        <w:rPr>
          <w:lang w:val="en-US"/>
        </w:rPr>
        <w:t>mg</w:t>
      </w:r>
      <w:r w:rsidRPr="006B5396">
        <w:t xml:space="preserve"> </w:t>
      </w:r>
      <w:r>
        <w:t xml:space="preserve">филмирани таблетки </w:t>
      </w:r>
    </w:p>
    <w:p w14:paraId="4F18E939" w14:textId="1555F42E" w:rsidR="006B5396" w:rsidRPr="006B5396" w:rsidRDefault="006B5396" w:rsidP="006B5396">
      <w:proofErr w:type="spellStart"/>
      <w:r>
        <w:rPr>
          <w:lang w:val="en-US"/>
        </w:rPr>
        <w:t>Femara</w:t>
      </w:r>
      <w:proofErr w:type="spellEnd"/>
      <w:r w:rsidRPr="006B5396">
        <w:t xml:space="preserve"> </w:t>
      </w:r>
      <w:r>
        <w:t>2</w:t>
      </w:r>
      <w:proofErr w:type="gramStart"/>
      <w:r>
        <w:t>,5</w:t>
      </w:r>
      <w:proofErr w:type="gramEnd"/>
      <w:r>
        <w:t xml:space="preserve"> </w:t>
      </w:r>
      <w:r>
        <w:rPr>
          <w:lang w:val="en-US"/>
        </w:rPr>
        <w:t>mg</w:t>
      </w:r>
      <w:r w:rsidRPr="006B5396">
        <w:t xml:space="preserve"> </w:t>
      </w:r>
      <w:r>
        <w:rPr>
          <w:lang w:val="en-US"/>
        </w:rPr>
        <w:t>film</w:t>
      </w:r>
      <w:r w:rsidRPr="006B5396">
        <w:t>-</w:t>
      </w:r>
      <w:r>
        <w:rPr>
          <w:lang w:val="en-US"/>
        </w:rPr>
        <w:t>coated</w:t>
      </w:r>
      <w:r w:rsidRPr="006B5396">
        <w:t xml:space="preserve"> </w:t>
      </w:r>
      <w:r>
        <w:rPr>
          <w:lang w:val="en-US"/>
        </w:rPr>
        <w:t>tablets</w:t>
      </w:r>
    </w:p>
    <w:p w14:paraId="6920A680" w14:textId="1B2C3192" w:rsidR="00C40420" w:rsidRDefault="00DD466D" w:rsidP="004A448E">
      <w:pPr>
        <w:pStyle w:val="Heading1"/>
      </w:pPr>
      <w:r>
        <w:t>2. КАЧЕСТВЕН И КОЛИЧЕСТВЕН СЪСТАВ</w:t>
      </w:r>
    </w:p>
    <w:p w14:paraId="097662A4" w14:textId="1DB2F4B0" w:rsidR="006B5396" w:rsidRDefault="006B5396" w:rsidP="006B5396"/>
    <w:p w14:paraId="2C6AECE3" w14:textId="77777777" w:rsidR="006B5396" w:rsidRPr="006B5396" w:rsidRDefault="006B5396" w:rsidP="006B5396">
      <w:pPr>
        <w:rPr>
          <w:sz w:val="24"/>
          <w:szCs w:val="24"/>
        </w:rPr>
      </w:pPr>
      <w:r w:rsidRPr="006B5396">
        <w:rPr>
          <w:lang w:eastAsia="bg-BG"/>
        </w:rPr>
        <w:t xml:space="preserve">Активно вещество: летрозол </w:t>
      </w:r>
      <w:r w:rsidRPr="006B5396">
        <w:rPr>
          <w:lang w:val="ru-RU"/>
        </w:rPr>
        <w:t>(</w:t>
      </w:r>
      <w:proofErr w:type="spellStart"/>
      <w:r w:rsidRPr="006B5396">
        <w:rPr>
          <w:lang w:val="en-US"/>
        </w:rPr>
        <w:t>letrozole</w:t>
      </w:r>
      <w:proofErr w:type="spellEnd"/>
      <w:r w:rsidRPr="006B5396">
        <w:rPr>
          <w:lang w:val="ru-RU"/>
        </w:rPr>
        <w:t>)</w:t>
      </w:r>
    </w:p>
    <w:p w14:paraId="1D0E84CD" w14:textId="77777777" w:rsidR="006B5396" w:rsidRPr="006B5396" w:rsidRDefault="006B5396" w:rsidP="006B5396">
      <w:pPr>
        <w:rPr>
          <w:sz w:val="24"/>
          <w:szCs w:val="24"/>
        </w:rPr>
      </w:pPr>
      <w:r w:rsidRPr="006B5396">
        <w:rPr>
          <w:lang w:eastAsia="bg-BG"/>
        </w:rPr>
        <w:t xml:space="preserve">Всяка филмирана таблетка съдържа 2,5 </w:t>
      </w:r>
      <w:r w:rsidRPr="006B5396">
        <w:rPr>
          <w:lang w:val="en-US"/>
        </w:rPr>
        <w:t>mg</w:t>
      </w:r>
      <w:r w:rsidRPr="006B5396">
        <w:rPr>
          <w:lang w:val="ru-RU"/>
        </w:rPr>
        <w:t xml:space="preserve"> </w:t>
      </w:r>
      <w:r w:rsidRPr="006B5396">
        <w:rPr>
          <w:lang w:eastAsia="bg-BG"/>
        </w:rPr>
        <w:t>летрозол.</w:t>
      </w:r>
    </w:p>
    <w:p w14:paraId="51097920" w14:textId="77777777" w:rsidR="006B5396" w:rsidRPr="006B5396" w:rsidRDefault="006B5396" w:rsidP="006B5396">
      <w:pPr>
        <w:rPr>
          <w:sz w:val="24"/>
          <w:szCs w:val="24"/>
        </w:rPr>
      </w:pPr>
      <w:r w:rsidRPr="006B5396">
        <w:rPr>
          <w:lang w:eastAsia="bg-BG"/>
        </w:rPr>
        <w:t xml:space="preserve">Всяка филмирана таблетка съдържа 61,5 </w:t>
      </w:r>
      <w:r w:rsidRPr="006B5396">
        <w:rPr>
          <w:lang w:val="en-US"/>
        </w:rPr>
        <w:t>mg</w:t>
      </w:r>
      <w:r w:rsidRPr="006B5396">
        <w:rPr>
          <w:lang w:val="ru-RU"/>
        </w:rPr>
        <w:t xml:space="preserve"> </w:t>
      </w:r>
      <w:r w:rsidRPr="006B5396">
        <w:rPr>
          <w:lang w:eastAsia="bg-BG"/>
        </w:rPr>
        <w:t>лактоза.</w:t>
      </w:r>
    </w:p>
    <w:p w14:paraId="7561C5DF" w14:textId="77777777" w:rsidR="006B5396" w:rsidRPr="006B5396" w:rsidRDefault="006B5396" w:rsidP="006B5396"/>
    <w:p w14:paraId="614984C4" w14:textId="7378937E" w:rsidR="008A6AF2" w:rsidRDefault="00DD466D" w:rsidP="002C50EE">
      <w:pPr>
        <w:pStyle w:val="Heading1"/>
      </w:pPr>
      <w:r>
        <w:t>3. ЛЕКАРСТВЕНА ФОРМА</w:t>
      </w:r>
    </w:p>
    <w:p w14:paraId="73BF44ED" w14:textId="0BC4378E" w:rsidR="006B5396" w:rsidRDefault="006B5396" w:rsidP="006B5396"/>
    <w:p w14:paraId="33E6ED76" w14:textId="77777777" w:rsidR="006B5396" w:rsidRPr="006B5396" w:rsidRDefault="006B5396" w:rsidP="006B5396">
      <w:pPr>
        <w:rPr>
          <w:sz w:val="24"/>
          <w:szCs w:val="24"/>
        </w:rPr>
      </w:pPr>
      <w:r w:rsidRPr="006B5396">
        <w:rPr>
          <w:lang w:eastAsia="bg-BG"/>
        </w:rPr>
        <w:t>Филмирани таблетки.</w:t>
      </w:r>
    </w:p>
    <w:p w14:paraId="0356F1CD" w14:textId="77777777" w:rsidR="006B5396" w:rsidRDefault="006B5396" w:rsidP="006B5396">
      <w:pPr>
        <w:rPr>
          <w:lang w:eastAsia="bg-BG"/>
        </w:rPr>
      </w:pPr>
    </w:p>
    <w:p w14:paraId="3D309E69" w14:textId="0D39F41F" w:rsidR="006B5396" w:rsidRPr="006B5396" w:rsidRDefault="006B5396" w:rsidP="006B5396">
      <w:pPr>
        <w:rPr>
          <w:sz w:val="24"/>
          <w:szCs w:val="24"/>
        </w:rPr>
      </w:pPr>
      <w:r w:rsidRPr="006B5396">
        <w:rPr>
          <w:lang w:eastAsia="bg-BG"/>
        </w:rPr>
        <w:t xml:space="preserve">Филмирана таблетка, тъмно жълта, кръгла, леко двойно изпъкнала с фасета, като от едната страна е отпечатан надпис </w:t>
      </w:r>
      <w:r w:rsidRPr="006B5396">
        <w:rPr>
          <w:lang w:val="ru-RU"/>
        </w:rPr>
        <w:t>“</w:t>
      </w:r>
      <w:r w:rsidRPr="006B5396">
        <w:rPr>
          <w:lang w:val="en-US"/>
        </w:rPr>
        <w:t>FV</w:t>
      </w:r>
      <w:r w:rsidRPr="006B5396">
        <w:rPr>
          <w:lang w:val="ru-RU"/>
        </w:rPr>
        <w:t xml:space="preserve">”, </w:t>
      </w:r>
      <w:r w:rsidRPr="006B5396">
        <w:rPr>
          <w:lang w:eastAsia="bg-BG"/>
        </w:rPr>
        <w:t xml:space="preserve">а от другата - </w:t>
      </w:r>
      <w:r w:rsidRPr="006B5396">
        <w:rPr>
          <w:lang w:val="ru-RU"/>
        </w:rPr>
        <w:t>“</w:t>
      </w:r>
      <w:r w:rsidRPr="006B5396">
        <w:rPr>
          <w:lang w:val="en-US"/>
        </w:rPr>
        <w:t>CG</w:t>
      </w:r>
      <w:r w:rsidRPr="006B5396">
        <w:rPr>
          <w:lang w:val="ru-RU"/>
        </w:rPr>
        <w:t>”</w:t>
      </w:r>
    </w:p>
    <w:p w14:paraId="0193F504" w14:textId="77777777" w:rsidR="006B5396" w:rsidRPr="006B5396" w:rsidRDefault="006B5396" w:rsidP="006B5396"/>
    <w:p w14:paraId="490FC2C4" w14:textId="32682B15" w:rsidR="002C50EE" w:rsidRDefault="002C50EE" w:rsidP="002C50EE">
      <w:pPr>
        <w:pStyle w:val="Heading1"/>
      </w:pPr>
      <w:r>
        <w:t>4. КЛИНИЧНИ ДАННИ</w:t>
      </w:r>
    </w:p>
    <w:p w14:paraId="0C8E6903" w14:textId="39870337" w:rsidR="008134C8" w:rsidRDefault="002C50EE" w:rsidP="004A448E">
      <w:pPr>
        <w:pStyle w:val="Heading2"/>
      </w:pPr>
      <w:r>
        <w:t>4.1. Терапевтични показания</w:t>
      </w:r>
    </w:p>
    <w:p w14:paraId="0B93223C" w14:textId="269515B1" w:rsidR="006B5396" w:rsidRDefault="006B5396" w:rsidP="006B5396"/>
    <w:p w14:paraId="00B80CED" w14:textId="77777777" w:rsidR="006B5396" w:rsidRPr="006B5396" w:rsidRDefault="006B5396" w:rsidP="006B5396">
      <w:pPr>
        <w:pStyle w:val="ListParagraph"/>
        <w:numPr>
          <w:ilvl w:val="0"/>
          <w:numId w:val="35"/>
        </w:numPr>
        <w:rPr>
          <w:lang w:eastAsia="bg-BG"/>
        </w:rPr>
      </w:pPr>
      <w:r w:rsidRPr="006B5396">
        <w:rPr>
          <w:lang w:eastAsia="bg-BG"/>
        </w:rPr>
        <w:t>Адювантна терапия при жени в постменопауза с позитивен за хормонални рецептори инвазивен рак на гърдата в начален стадий.</w:t>
      </w:r>
    </w:p>
    <w:p w14:paraId="2FD49047" w14:textId="77777777" w:rsidR="006B5396" w:rsidRPr="006B5396" w:rsidRDefault="006B5396" w:rsidP="006B5396">
      <w:pPr>
        <w:pStyle w:val="ListParagraph"/>
        <w:numPr>
          <w:ilvl w:val="0"/>
          <w:numId w:val="35"/>
        </w:numPr>
        <w:rPr>
          <w:lang w:eastAsia="bg-BG"/>
        </w:rPr>
      </w:pPr>
      <w:r w:rsidRPr="006B5396">
        <w:rPr>
          <w:lang w:eastAsia="bg-BG"/>
        </w:rPr>
        <w:t>Разширена адювантна терапия на позитивен за хормонални рецептори инвазивен рак на гърдата при жени в постменопауза, които преди това са били лекувани с тамоксифен като стандартна адювантна терапия за период от 5 години.</w:t>
      </w:r>
    </w:p>
    <w:p w14:paraId="08AFC5C5" w14:textId="77777777" w:rsidR="006B5396" w:rsidRPr="006B5396" w:rsidRDefault="006B5396" w:rsidP="006B5396">
      <w:pPr>
        <w:pStyle w:val="ListParagraph"/>
        <w:numPr>
          <w:ilvl w:val="0"/>
          <w:numId w:val="35"/>
        </w:numPr>
        <w:rPr>
          <w:lang w:eastAsia="bg-BG"/>
        </w:rPr>
      </w:pPr>
      <w:r w:rsidRPr="006B5396">
        <w:rPr>
          <w:lang w:eastAsia="bg-BG"/>
        </w:rPr>
        <w:t>Терапия от първа линия при жени в постменопауза с позитивен за хормонални рецептори авансирал рак на гърдата.</w:t>
      </w:r>
    </w:p>
    <w:p w14:paraId="5A42CA9A" w14:textId="77777777" w:rsidR="006B5396" w:rsidRPr="006B5396" w:rsidRDefault="006B5396" w:rsidP="006B5396">
      <w:pPr>
        <w:pStyle w:val="ListParagraph"/>
        <w:numPr>
          <w:ilvl w:val="0"/>
          <w:numId w:val="35"/>
        </w:numPr>
        <w:rPr>
          <w:lang w:eastAsia="bg-BG"/>
        </w:rPr>
      </w:pPr>
      <w:r w:rsidRPr="006B5396">
        <w:rPr>
          <w:lang w:eastAsia="bg-BG"/>
        </w:rPr>
        <w:t>Лечение на авансирал рак на гърдата след рецидив или прогресия на заболяването при жени с естествен или изкуствено индуциран постменопаузален ендокринен статус, които преди това са лекувани с антиестрогени.</w:t>
      </w:r>
    </w:p>
    <w:p w14:paraId="33B468A7" w14:textId="0A0F9FB5" w:rsidR="006B5396" w:rsidRPr="006B5396" w:rsidRDefault="006B5396" w:rsidP="006B5396">
      <w:pPr>
        <w:pStyle w:val="ListParagraph"/>
        <w:numPr>
          <w:ilvl w:val="0"/>
          <w:numId w:val="35"/>
        </w:numPr>
        <w:rPr>
          <w:lang w:eastAsia="bg-BG"/>
        </w:rPr>
      </w:pPr>
      <w:r w:rsidRPr="006B5396">
        <w:rPr>
          <w:lang w:eastAsia="bg-BG"/>
        </w:rPr>
        <w:t>Неоадювантна терапия при жени в постменопауза с позитивен за хормонални рецептори,</w:t>
      </w:r>
      <w:r w:rsidRPr="006B5396">
        <w:rPr>
          <w:lang w:val="ru-RU" w:eastAsia="bg-BG"/>
        </w:rPr>
        <w:t xml:space="preserve"> </w:t>
      </w:r>
      <w:r w:rsidRPr="006B5396">
        <w:rPr>
          <w:lang w:val="en-US"/>
        </w:rPr>
        <w:t>HER</w:t>
      </w:r>
      <w:r w:rsidRPr="006B5396">
        <w:rPr>
          <w:lang w:val="ru-RU"/>
        </w:rPr>
        <w:t xml:space="preserve">-2 </w:t>
      </w:r>
      <w:r w:rsidRPr="006B5396">
        <w:rPr>
          <w:lang w:eastAsia="bg-BG"/>
        </w:rPr>
        <w:t>негативен рак на гърдата, при които химиотерапията не е подходяща и липсват показания за незабавно оперативно лечение.</w:t>
      </w:r>
    </w:p>
    <w:p w14:paraId="7563E2E2" w14:textId="77777777" w:rsidR="006B5396" w:rsidRDefault="006B5396" w:rsidP="006B5396">
      <w:pPr>
        <w:rPr>
          <w:lang w:eastAsia="bg-BG"/>
        </w:rPr>
      </w:pPr>
    </w:p>
    <w:p w14:paraId="2B1FAF67" w14:textId="7998C8FF" w:rsidR="006B5396" w:rsidRPr="006B5396" w:rsidRDefault="006B5396" w:rsidP="006B5396">
      <w:pPr>
        <w:rPr>
          <w:sz w:val="24"/>
          <w:szCs w:val="24"/>
        </w:rPr>
      </w:pPr>
      <w:r w:rsidRPr="006B5396">
        <w:rPr>
          <w:lang w:eastAsia="bg-BG"/>
        </w:rPr>
        <w:t>Не е доказана ефикасност при пациенти с негативен за хормонални рецептори рак на гърдата.</w:t>
      </w:r>
    </w:p>
    <w:p w14:paraId="406DDC20" w14:textId="77777777" w:rsidR="006B5396" w:rsidRPr="006B5396" w:rsidRDefault="006B5396" w:rsidP="006B5396"/>
    <w:p w14:paraId="30BE2C7B" w14:textId="146E9209" w:rsidR="008134C8" w:rsidRDefault="002C50EE" w:rsidP="004A448E">
      <w:pPr>
        <w:pStyle w:val="Heading2"/>
      </w:pPr>
      <w:r>
        <w:t>4.2. Дозировка и начин на приложение</w:t>
      </w:r>
    </w:p>
    <w:p w14:paraId="70E52E58" w14:textId="232FE653" w:rsidR="006B5396" w:rsidRDefault="006B5396" w:rsidP="006B5396"/>
    <w:p w14:paraId="722CA798" w14:textId="77777777" w:rsidR="006B5396" w:rsidRPr="006B5396" w:rsidRDefault="006B5396" w:rsidP="006B5396">
      <w:pPr>
        <w:pStyle w:val="Heading3"/>
        <w:rPr>
          <w:rFonts w:eastAsia="Times New Roman"/>
          <w:u w:val="single"/>
        </w:rPr>
      </w:pPr>
      <w:r w:rsidRPr="006B5396">
        <w:rPr>
          <w:rFonts w:eastAsia="Times New Roman"/>
          <w:u w:val="single"/>
          <w:lang w:eastAsia="bg-BG"/>
        </w:rPr>
        <w:lastRenderedPageBreak/>
        <w:t>Дозировка</w:t>
      </w:r>
    </w:p>
    <w:p w14:paraId="362678B7" w14:textId="22A7741A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i/>
          <w:iCs/>
          <w:color w:val="000000"/>
          <w:lang w:eastAsia="bg-BG"/>
        </w:rPr>
        <w:t>Възрастни и пациенти в старческа възраст</w:t>
      </w:r>
    </w:p>
    <w:p w14:paraId="7CF1E01D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 xml:space="preserve">Препоръчителната доза Фемара е 2,5 </w:t>
      </w:r>
      <w:r w:rsidRPr="006B5396">
        <w:rPr>
          <w:rFonts w:eastAsia="Times New Roman" w:cs="Arial"/>
          <w:color w:val="000000"/>
          <w:lang w:val="en-US"/>
        </w:rPr>
        <w:t>mg</w:t>
      </w:r>
      <w:r w:rsidRPr="006B5396">
        <w:rPr>
          <w:rFonts w:eastAsia="Times New Roman" w:cs="Arial"/>
          <w:color w:val="000000"/>
          <w:lang w:val="ru-RU"/>
        </w:rPr>
        <w:t xml:space="preserve"> </w:t>
      </w:r>
      <w:r w:rsidRPr="006B5396">
        <w:rPr>
          <w:rFonts w:eastAsia="Times New Roman" w:cs="Arial"/>
          <w:color w:val="000000"/>
          <w:lang w:eastAsia="bg-BG"/>
        </w:rPr>
        <w:t>един път дневно. Не се налага коригиране на дозата</w:t>
      </w:r>
    </w:p>
    <w:p w14:paraId="662FBE5B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при пациенти в старческа възраст.</w:t>
      </w:r>
    </w:p>
    <w:p w14:paraId="218C23C5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0A692C8" w14:textId="2E19743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При пациенти с авансирал или метастазирал рак на гърдата, лечението с</w:t>
      </w:r>
      <w:r w:rsidRPr="006B5396">
        <w:rPr>
          <w:rFonts w:eastAsia="Times New Roman" w:cs="Arial"/>
          <w:color w:val="000000"/>
          <w:lang w:val="ru-RU"/>
        </w:rPr>
        <w:t xml:space="preserve"> </w:t>
      </w:r>
      <w:r w:rsidRPr="006B5396">
        <w:rPr>
          <w:rFonts w:eastAsia="Times New Roman" w:cs="Arial"/>
          <w:color w:val="000000"/>
          <w:lang w:eastAsia="bg-BG"/>
        </w:rPr>
        <w:t>Фемара трябва да продължи дотогава, докато е налице прогресия на тумора.</w:t>
      </w:r>
    </w:p>
    <w:p w14:paraId="4BF917F8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159E7D0" w14:textId="0D1DD174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При адювантна или разширена адювантна терапия лечението с Фемара трябва да продължи</w:t>
      </w:r>
    </w:p>
    <w:p w14:paraId="7FA3B778" w14:textId="1845027A" w:rsidR="006B5396" w:rsidRPr="006B5396" w:rsidRDefault="006B5396" w:rsidP="006B5396">
      <w:pPr>
        <w:rPr>
          <w:rFonts w:eastAsia="Times New Roman" w:cs="Arial"/>
          <w:color w:val="000000"/>
          <w:lang w:eastAsia="bg-BG"/>
        </w:rPr>
      </w:pPr>
      <w:r w:rsidRPr="006B5396">
        <w:rPr>
          <w:rFonts w:eastAsia="Times New Roman" w:cs="Arial"/>
          <w:color w:val="000000"/>
          <w:lang w:eastAsia="bg-BG"/>
        </w:rPr>
        <w:t>5 години или до настъпване на рецидив на тумора.</w:t>
      </w:r>
    </w:p>
    <w:p w14:paraId="2A7CC7DB" w14:textId="100BE59E" w:rsidR="006B5396" w:rsidRPr="006B5396" w:rsidRDefault="006B5396" w:rsidP="006B5396">
      <w:pPr>
        <w:rPr>
          <w:rFonts w:eastAsia="Times New Roman" w:cs="Arial"/>
          <w:color w:val="000000"/>
          <w:lang w:eastAsia="bg-BG"/>
        </w:rPr>
      </w:pPr>
    </w:p>
    <w:p w14:paraId="6C53AC22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При адювантна терапия секвентната терапевтична схема (летрозол 2 години последван от тамоксифен 3 години) също трябва да се има предвид (вж. точки 4.4 и 5.1).</w:t>
      </w:r>
    </w:p>
    <w:p w14:paraId="3B9BA684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0FF97B3" w14:textId="18DEEFA1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При неоадювантна терапия лечението с Фемара трябва да се продължи за 4 до 8 месеца, за да се постигне оптимална туморна редукция. Ако не се постигне достатъчно терапевтично повлияване, лечението с Фемара трябва да се преустанови и да се планира оперативно лечение и/или да се обсъдят е пациентката други варианти за лечение.</w:t>
      </w:r>
    </w:p>
    <w:p w14:paraId="5CF18476" w14:textId="77777777" w:rsidR="006B5396" w:rsidRPr="006B5396" w:rsidRDefault="006B5396" w:rsidP="006B539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86B97E7" w14:textId="5D4FE42D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i/>
          <w:iCs/>
          <w:color w:val="000000"/>
          <w:lang w:eastAsia="bg-BG"/>
        </w:rPr>
        <w:t>Педиатрична популация</w:t>
      </w:r>
    </w:p>
    <w:p w14:paraId="62AF45A5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Фемара не се препоръчва за употреба при деца и юноши. Безопасността и ефикасността на Фемара при деца и юноши на възраст до 17 години не са установени. Налице са ограничени данни и не могат да бъдат дадени препоръки за дозировката.</w:t>
      </w:r>
    </w:p>
    <w:p w14:paraId="452FF323" w14:textId="77777777" w:rsidR="006B5396" w:rsidRPr="006B5396" w:rsidRDefault="006B5396" w:rsidP="006B539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790FA4C7" w14:textId="38739535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i/>
          <w:iCs/>
          <w:color w:val="000000"/>
          <w:lang w:eastAsia="bg-BG"/>
        </w:rPr>
        <w:t>Бъбречно увреждане</w:t>
      </w:r>
    </w:p>
    <w:p w14:paraId="68315E53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 xml:space="preserve">Не се налага коригиране на дозата на Фемара при пациенти с бъбречна недостатъчност е креатининов клирънс ≥10 </w:t>
      </w:r>
      <w:r w:rsidRPr="006B5396">
        <w:rPr>
          <w:rFonts w:eastAsia="Times New Roman" w:cs="Arial"/>
          <w:color w:val="000000"/>
          <w:lang w:val="en-US"/>
        </w:rPr>
        <w:t>ml</w:t>
      </w:r>
      <w:r w:rsidRPr="006B5396">
        <w:rPr>
          <w:rFonts w:eastAsia="Times New Roman" w:cs="Arial"/>
          <w:color w:val="000000"/>
          <w:lang w:val="ru-RU"/>
        </w:rPr>
        <w:t>/</w:t>
      </w:r>
      <w:r w:rsidRPr="006B5396">
        <w:rPr>
          <w:rFonts w:eastAsia="Times New Roman" w:cs="Arial"/>
          <w:color w:val="000000"/>
          <w:lang w:val="en-US"/>
        </w:rPr>
        <w:t>min</w:t>
      </w:r>
      <w:r w:rsidRPr="006B5396">
        <w:rPr>
          <w:rFonts w:eastAsia="Times New Roman" w:cs="Arial"/>
          <w:color w:val="000000"/>
          <w:lang w:val="ru-RU"/>
        </w:rPr>
        <w:t xml:space="preserve">. </w:t>
      </w:r>
      <w:r w:rsidRPr="006B5396">
        <w:rPr>
          <w:rFonts w:eastAsia="Times New Roman" w:cs="Arial"/>
          <w:color w:val="000000"/>
          <w:lang w:eastAsia="bg-BG"/>
        </w:rPr>
        <w:t xml:space="preserve">Няма достатъчно данни при случаи на бъбречна недостатъчност с креатининов клирънс под 10 </w:t>
      </w:r>
      <w:r w:rsidRPr="006B5396">
        <w:rPr>
          <w:rFonts w:eastAsia="Times New Roman" w:cs="Arial"/>
          <w:color w:val="000000"/>
          <w:lang w:val="en-US"/>
        </w:rPr>
        <w:t>ml</w:t>
      </w:r>
      <w:r w:rsidRPr="006B5396">
        <w:rPr>
          <w:rFonts w:eastAsia="Times New Roman" w:cs="Arial"/>
          <w:color w:val="000000"/>
          <w:lang w:val="ru-RU"/>
        </w:rPr>
        <w:t>/</w:t>
      </w:r>
      <w:r w:rsidRPr="006B5396">
        <w:rPr>
          <w:rFonts w:eastAsia="Times New Roman" w:cs="Arial"/>
          <w:color w:val="000000"/>
          <w:lang w:val="en-US"/>
        </w:rPr>
        <w:t>min</w:t>
      </w:r>
      <w:r w:rsidRPr="006B5396">
        <w:rPr>
          <w:rFonts w:eastAsia="Times New Roman" w:cs="Arial"/>
          <w:color w:val="000000"/>
          <w:lang w:val="ru-RU"/>
        </w:rPr>
        <w:t xml:space="preserve"> </w:t>
      </w:r>
      <w:r w:rsidRPr="006B5396">
        <w:rPr>
          <w:rFonts w:eastAsia="Times New Roman" w:cs="Arial"/>
          <w:color w:val="000000"/>
          <w:lang w:eastAsia="bg-BG"/>
        </w:rPr>
        <w:t>(вж. точки 4.4 и 5.2).</w:t>
      </w:r>
    </w:p>
    <w:p w14:paraId="25858571" w14:textId="77777777" w:rsidR="006B5396" w:rsidRPr="006B5396" w:rsidRDefault="006B5396" w:rsidP="006B539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8FC960E" w14:textId="5B8F5A3C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i/>
          <w:iCs/>
          <w:color w:val="000000"/>
          <w:lang w:eastAsia="bg-BG"/>
        </w:rPr>
        <w:t>Чернодробно увреждане</w:t>
      </w:r>
    </w:p>
    <w:p w14:paraId="1D157340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 xml:space="preserve">Не се налага коригиране на дозата на Фемара при пациенти с лека до умерена чернодробна недостатъчност (Клас А или В по </w:t>
      </w:r>
      <w:r w:rsidRPr="006B5396">
        <w:rPr>
          <w:rFonts w:eastAsia="Times New Roman" w:cs="Arial"/>
          <w:color w:val="000000"/>
          <w:lang w:val="en-US"/>
        </w:rPr>
        <w:t>Child</w:t>
      </w:r>
      <w:r w:rsidRPr="006B5396">
        <w:rPr>
          <w:rFonts w:eastAsia="Times New Roman" w:cs="Arial"/>
          <w:color w:val="000000"/>
          <w:lang w:val="ru-RU"/>
        </w:rPr>
        <w:t>-</w:t>
      </w:r>
      <w:r w:rsidRPr="006B5396">
        <w:rPr>
          <w:rFonts w:eastAsia="Times New Roman" w:cs="Arial"/>
          <w:color w:val="000000"/>
          <w:lang w:val="en-US"/>
        </w:rPr>
        <w:t>Pugh</w:t>
      </w:r>
      <w:r w:rsidRPr="006B5396">
        <w:rPr>
          <w:rFonts w:eastAsia="Times New Roman" w:cs="Arial"/>
          <w:color w:val="000000"/>
          <w:lang w:val="ru-RU"/>
        </w:rPr>
        <w:t xml:space="preserve">). </w:t>
      </w:r>
      <w:r w:rsidRPr="006B5396">
        <w:rPr>
          <w:rFonts w:eastAsia="Times New Roman" w:cs="Arial"/>
          <w:color w:val="000000"/>
          <w:lang w:eastAsia="bg-BG"/>
        </w:rPr>
        <w:t xml:space="preserve">Няма достатъчно данни за пациенти с тежко чернодробно увреждане. При пациентите с тежко чернодробно увреждане (Клас С по </w:t>
      </w:r>
      <w:r w:rsidRPr="006B5396">
        <w:rPr>
          <w:rFonts w:eastAsia="Times New Roman" w:cs="Arial"/>
          <w:color w:val="000000"/>
          <w:lang w:val="en-US"/>
        </w:rPr>
        <w:t>Child</w:t>
      </w:r>
      <w:r w:rsidRPr="006B5396">
        <w:rPr>
          <w:rFonts w:eastAsia="Times New Roman" w:cs="Arial"/>
          <w:color w:val="000000"/>
          <w:lang w:val="ru-RU"/>
        </w:rPr>
        <w:t xml:space="preserve">- </w:t>
      </w:r>
      <w:r w:rsidRPr="006B5396">
        <w:rPr>
          <w:rFonts w:eastAsia="Times New Roman" w:cs="Arial"/>
          <w:color w:val="000000"/>
          <w:lang w:val="en-US"/>
        </w:rPr>
        <w:t>Pugh</w:t>
      </w:r>
      <w:r w:rsidRPr="006B5396">
        <w:rPr>
          <w:rFonts w:eastAsia="Times New Roman" w:cs="Arial"/>
          <w:color w:val="000000"/>
          <w:lang w:val="ru-RU"/>
        </w:rPr>
        <w:t xml:space="preserve">) </w:t>
      </w:r>
      <w:r w:rsidRPr="006B5396">
        <w:rPr>
          <w:rFonts w:eastAsia="Times New Roman" w:cs="Arial"/>
          <w:color w:val="000000"/>
          <w:lang w:eastAsia="bg-BG"/>
        </w:rPr>
        <w:t>е необходимо внимателно проследяване (вж. точки 4.4 и 5.2).</w:t>
      </w:r>
    </w:p>
    <w:p w14:paraId="2280CAFB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AF321C2" w14:textId="0E5D0B22" w:rsidR="006B5396" w:rsidRPr="006B5396" w:rsidRDefault="006B5396" w:rsidP="006B5396">
      <w:pPr>
        <w:pStyle w:val="Heading3"/>
        <w:rPr>
          <w:rFonts w:eastAsia="Times New Roman"/>
          <w:u w:val="single"/>
        </w:rPr>
      </w:pPr>
      <w:r w:rsidRPr="006B5396">
        <w:rPr>
          <w:rFonts w:eastAsia="Times New Roman"/>
          <w:u w:val="single"/>
          <w:lang w:eastAsia="bg-BG"/>
        </w:rPr>
        <w:t>Начин на приложение</w:t>
      </w:r>
    </w:p>
    <w:p w14:paraId="3C630291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Фемара трябва да се приема перорално и може да се приема със или без храна.</w:t>
      </w:r>
    </w:p>
    <w:p w14:paraId="3D664E84" w14:textId="77777777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 xml:space="preserve">Пациентът следва да приеме пропуснатата доза веднага щом се сети. Ако е наближило времето за прием на следващата доза (не повече от 2 или 3 часа), пропуснатата доза трябва да се прескочи и пациентката да приеме следващата доза в обичайното време. Дозите не трябва да се удвояват, защото при дневни дози над препоръчителната доза от 2,5 </w:t>
      </w:r>
      <w:r w:rsidRPr="006B5396">
        <w:rPr>
          <w:rFonts w:eastAsia="Times New Roman" w:cs="Arial"/>
          <w:color w:val="000000"/>
          <w:lang w:val="en-US"/>
        </w:rPr>
        <w:t>mg</w:t>
      </w:r>
      <w:r w:rsidRPr="006B5396">
        <w:rPr>
          <w:rFonts w:eastAsia="Times New Roman" w:cs="Arial"/>
          <w:color w:val="000000"/>
          <w:lang w:val="ru-RU"/>
        </w:rPr>
        <w:t xml:space="preserve"> </w:t>
      </w:r>
      <w:r w:rsidRPr="006B5396">
        <w:rPr>
          <w:rFonts w:eastAsia="Times New Roman" w:cs="Arial"/>
          <w:color w:val="000000"/>
          <w:lang w:eastAsia="bg-BG"/>
        </w:rPr>
        <w:t>се наблюдава непропорционалност в системната експозиция (вж. точка 5.2).</w:t>
      </w:r>
    </w:p>
    <w:p w14:paraId="337495B2" w14:textId="77777777" w:rsidR="006B5396" w:rsidRPr="006B5396" w:rsidRDefault="006B5396" w:rsidP="006B5396"/>
    <w:p w14:paraId="28C984E8" w14:textId="447B7225" w:rsidR="008134C8" w:rsidRDefault="002C50EE" w:rsidP="004A448E">
      <w:pPr>
        <w:pStyle w:val="Heading2"/>
      </w:pPr>
      <w:r>
        <w:t>4.3. Противопоказания</w:t>
      </w:r>
    </w:p>
    <w:p w14:paraId="4ED6E083" w14:textId="246FF116" w:rsidR="006B5396" w:rsidRDefault="006B5396" w:rsidP="006B5396"/>
    <w:p w14:paraId="3F187B41" w14:textId="77777777" w:rsidR="006B5396" w:rsidRPr="006B5396" w:rsidRDefault="006B5396" w:rsidP="006B5396">
      <w:pPr>
        <w:pStyle w:val="ListParagraph"/>
        <w:numPr>
          <w:ilvl w:val="0"/>
          <w:numId w:val="36"/>
        </w:numPr>
        <w:rPr>
          <w:lang w:eastAsia="bg-BG"/>
        </w:rPr>
      </w:pPr>
      <w:r w:rsidRPr="006B5396">
        <w:rPr>
          <w:lang w:eastAsia="bg-BG"/>
        </w:rPr>
        <w:lastRenderedPageBreak/>
        <w:t>Свръхчувствителност към активното вещество или към някое от помощните вещества, изброени в точка 6.1</w:t>
      </w:r>
    </w:p>
    <w:p w14:paraId="293D50A5" w14:textId="77777777" w:rsidR="006B5396" w:rsidRPr="006B5396" w:rsidRDefault="006B5396" w:rsidP="006B5396">
      <w:pPr>
        <w:pStyle w:val="ListParagraph"/>
        <w:numPr>
          <w:ilvl w:val="0"/>
          <w:numId w:val="36"/>
        </w:numPr>
        <w:rPr>
          <w:lang w:eastAsia="bg-BG"/>
        </w:rPr>
      </w:pPr>
      <w:r w:rsidRPr="006B5396">
        <w:rPr>
          <w:lang w:eastAsia="bg-BG"/>
        </w:rPr>
        <w:t>Предменопаузален ендокринен статус</w:t>
      </w:r>
    </w:p>
    <w:p w14:paraId="304B903A" w14:textId="77777777" w:rsidR="006B5396" w:rsidRPr="006B5396" w:rsidRDefault="006B5396" w:rsidP="006B5396">
      <w:pPr>
        <w:pStyle w:val="ListParagraph"/>
        <w:numPr>
          <w:ilvl w:val="0"/>
          <w:numId w:val="36"/>
        </w:numPr>
        <w:rPr>
          <w:lang w:eastAsia="bg-BG"/>
        </w:rPr>
      </w:pPr>
      <w:r w:rsidRPr="006B5396">
        <w:rPr>
          <w:lang w:eastAsia="bg-BG"/>
        </w:rPr>
        <w:t>Бременност (вж. точка 4.6)</w:t>
      </w:r>
    </w:p>
    <w:p w14:paraId="5DE8C315" w14:textId="77777777" w:rsidR="006B5396" w:rsidRPr="006B5396" w:rsidRDefault="006B5396" w:rsidP="006B5396">
      <w:pPr>
        <w:pStyle w:val="ListParagraph"/>
        <w:numPr>
          <w:ilvl w:val="0"/>
          <w:numId w:val="36"/>
        </w:numPr>
        <w:rPr>
          <w:lang w:eastAsia="bg-BG"/>
        </w:rPr>
      </w:pPr>
      <w:r w:rsidRPr="006B5396">
        <w:rPr>
          <w:lang w:eastAsia="bg-BG"/>
        </w:rPr>
        <w:t>Кърмене (вж. точка 4.6)</w:t>
      </w:r>
    </w:p>
    <w:p w14:paraId="75809741" w14:textId="77777777" w:rsidR="006B5396" w:rsidRPr="006B5396" w:rsidRDefault="006B5396" w:rsidP="006B5396"/>
    <w:p w14:paraId="212F509C" w14:textId="77E6854C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6194B2DD" w14:textId="209EA4AD" w:rsidR="006B5396" w:rsidRDefault="006B5396" w:rsidP="006B5396"/>
    <w:p w14:paraId="272A0C12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u w:val="single"/>
          <w:lang w:eastAsia="bg-BG"/>
        </w:rPr>
        <w:t>Менопаузален статус</w:t>
      </w:r>
    </w:p>
    <w:p w14:paraId="131DE5D5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 xml:space="preserve">При пациенти, при които менопаузалният статус е неясен, трябва да се изследват нивата на лутеинизиращия хормон </w:t>
      </w:r>
      <w:r w:rsidRPr="006B5396">
        <w:rPr>
          <w:rFonts w:eastAsia="Times New Roman" w:cs="Arial"/>
          <w:color w:val="000000"/>
          <w:lang w:val="ru-RU"/>
        </w:rPr>
        <w:t>(</w:t>
      </w:r>
      <w:r w:rsidRPr="006B5396">
        <w:rPr>
          <w:rFonts w:eastAsia="Times New Roman" w:cs="Arial"/>
          <w:color w:val="000000"/>
          <w:lang w:val="en-US"/>
        </w:rPr>
        <w:t>LH</w:t>
      </w:r>
      <w:r w:rsidRPr="006B5396">
        <w:rPr>
          <w:rFonts w:eastAsia="Times New Roman" w:cs="Arial"/>
          <w:color w:val="000000"/>
          <w:lang w:val="ru-RU"/>
        </w:rPr>
        <w:t xml:space="preserve">), </w:t>
      </w:r>
      <w:r w:rsidRPr="006B5396">
        <w:rPr>
          <w:rFonts w:eastAsia="Times New Roman" w:cs="Arial"/>
          <w:color w:val="000000"/>
          <w:lang w:eastAsia="bg-BG"/>
        </w:rPr>
        <w:t xml:space="preserve">фоликулостимулиращия хормон </w:t>
      </w:r>
      <w:r w:rsidRPr="006B5396">
        <w:rPr>
          <w:rFonts w:eastAsia="Times New Roman" w:cs="Arial"/>
          <w:color w:val="000000"/>
          <w:lang w:val="ru-RU"/>
        </w:rPr>
        <w:t>(</w:t>
      </w:r>
      <w:r w:rsidRPr="006B5396">
        <w:rPr>
          <w:rFonts w:eastAsia="Times New Roman" w:cs="Arial"/>
          <w:color w:val="000000"/>
          <w:lang w:val="en-US"/>
        </w:rPr>
        <w:t>FSH</w:t>
      </w:r>
      <w:r w:rsidRPr="006B5396">
        <w:rPr>
          <w:rFonts w:eastAsia="Times New Roman" w:cs="Arial"/>
          <w:color w:val="000000"/>
          <w:lang w:val="ru-RU"/>
        </w:rPr>
        <w:t xml:space="preserve">) </w:t>
      </w:r>
      <w:r w:rsidRPr="006B5396">
        <w:rPr>
          <w:rFonts w:eastAsia="Times New Roman" w:cs="Arial"/>
          <w:color w:val="000000"/>
          <w:lang w:eastAsia="bg-BG"/>
        </w:rPr>
        <w:t>и/или нивата на естрадиол преди да се започне лечение с Фемара. Само жени с постменопаузален ендокринен статус трябва да получават Фемара.</w:t>
      </w:r>
    </w:p>
    <w:p w14:paraId="077D54AC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D06E74E" w14:textId="6A52D9E0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u w:val="single"/>
          <w:lang w:eastAsia="bg-BG"/>
        </w:rPr>
        <w:t>Бъбречно увреждане</w:t>
      </w:r>
    </w:p>
    <w:p w14:paraId="0CE48DC1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 xml:space="preserve">Фемара не е проучвана при достатъчен брой пациенти с креатининов клирънс под 10 </w:t>
      </w:r>
      <w:r w:rsidRPr="006B5396">
        <w:rPr>
          <w:rFonts w:eastAsia="Times New Roman" w:cs="Arial"/>
          <w:color w:val="000000"/>
          <w:lang w:val="en-US"/>
        </w:rPr>
        <w:t>ml</w:t>
      </w:r>
      <w:r w:rsidRPr="006B5396">
        <w:rPr>
          <w:rFonts w:eastAsia="Times New Roman" w:cs="Arial"/>
          <w:color w:val="000000"/>
          <w:lang w:val="ru-RU"/>
        </w:rPr>
        <w:t>/</w:t>
      </w:r>
      <w:r w:rsidRPr="006B5396">
        <w:rPr>
          <w:rFonts w:eastAsia="Times New Roman" w:cs="Arial"/>
          <w:color w:val="000000"/>
          <w:lang w:val="en-US"/>
        </w:rPr>
        <w:t>min</w:t>
      </w:r>
      <w:r w:rsidRPr="006B5396">
        <w:rPr>
          <w:rFonts w:eastAsia="Times New Roman" w:cs="Arial"/>
          <w:color w:val="000000"/>
          <w:lang w:val="ru-RU"/>
        </w:rPr>
        <w:t xml:space="preserve">. </w:t>
      </w:r>
      <w:r w:rsidRPr="006B5396">
        <w:rPr>
          <w:rFonts w:eastAsia="Times New Roman" w:cs="Arial"/>
          <w:color w:val="000000"/>
          <w:lang w:eastAsia="bg-BG"/>
        </w:rPr>
        <w:t>При такива пациенти трябва внимателно да се прецени потенциалното съотношение полза/риск преди да се приложи Фемара.</w:t>
      </w:r>
    </w:p>
    <w:p w14:paraId="44B47F35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71EE6AD" w14:textId="6E260C58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u w:val="single"/>
          <w:lang w:eastAsia="bg-BG"/>
        </w:rPr>
        <w:t>Чернодробно увреждане</w:t>
      </w:r>
    </w:p>
    <w:p w14:paraId="3BB25CDC" w14:textId="77777777" w:rsidR="006B5396" w:rsidRPr="006B5396" w:rsidRDefault="006B5396" w:rsidP="006B5396">
      <w:pPr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 xml:space="preserve">При пациенти с тежко чернодробно увреждане (Клас С </w:t>
      </w:r>
      <w:r w:rsidRPr="006B5396">
        <w:rPr>
          <w:rFonts w:eastAsia="Times New Roman" w:cs="Arial"/>
          <w:i/>
          <w:iCs/>
          <w:color w:val="000000"/>
          <w:lang w:val="en-US"/>
        </w:rPr>
        <w:t>no</w:t>
      </w:r>
      <w:r w:rsidRPr="006B5396">
        <w:rPr>
          <w:rFonts w:eastAsia="Times New Roman" w:cs="Arial"/>
          <w:color w:val="000000"/>
          <w:lang w:val="ru-RU"/>
        </w:rPr>
        <w:t xml:space="preserve"> </w:t>
      </w:r>
      <w:r w:rsidRPr="006B5396">
        <w:rPr>
          <w:rFonts w:eastAsia="Times New Roman" w:cs="Arial"/>
          <w:color w:val="000000"/>
          <w:lang w:val="en-US"/>
        </w:rPr>
        <w:t>Child</w:t>
      </w:r>
      <w:r w:rsidRPr="006B5396">
        <w:rPr>
          <w:rFonts w:eastAsia="Times New Roman" w:cs="Arial"/>
          <w:color w:val="000000"/>
          <w:lang w:val="ru-RU"/>
        </w:rPr>
        <w:t>-</w:t>
      </w:r>
      <w:r w:rsidRPr="006B5396">
        <w:rPr>
          <w:rFonts w:eastAsia="Times New Roman" w:cs="Arial"/>
          <w:color w:val="000000"/>
          <w:lang w:val="en-US"/>
        </w:rPr>
        <w:t>Pugh</w:t>
      </w:r>
      <w:r w:rsidRPr="006B5396">
        <w:rPr>
          <w:rFonts w:eastAsia="Times New Roman" w:cs="Arial"/>
          <w:color w:val="000000"/>
          <w:lang w:val="ru-RU"/>
        </w:rPr>
        <w:t>),</w:t>
      </w:r>
      <w:r w:rsidRPr="006B5396">
        <w:rPr>
          <w:rFonts w:eastAsia="Times New Roman" w:cs="Arial"/>
          <w:color w:val="000000"/>
          <w:lang w:eastAsia="bg-BG"/>
        </w:rPr>
        <w:t xml:space="preserve"> системна експозиция и терминалният полуживот са били приблизително двойно по-високи в сравнение с тази при здрави доброволци. Поради тази причина такива пациенти трябва да бъдат под непосредствено</w:t>
      </w:r>
      <w:r w:rsidRPr="006B5396">
        <w:rPr>
          <w:rFonts w:eastAsia="Times New Roman" w:cs="Arial"/>
          <w:color w:val="000000"/>
          <w:lang w:val="ru-RU" w:eastAsia="bg-BG"/>
        </w:rPr>
        <w:t xml:space="preserve"> </w:t>
      </w:r>
      <w:r w:rsidRPr="006B5396">
        <w:rPr>
          <w:rFonts w:eastAsia="Times New Roman" w:cs="Arial"/>
          <w:color w:val="000000"/>
          <w:lang w:eastAsia="bg-BG"/>
        </w:rPr>
        <w:t>наблюдение (вж. точка 5.2).</w:t>
      </w:r>
    </w:p>
    <w:p w14:paraId="37AADA2E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44A13F09" w14:textId="59128CA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u w:val="single"/>
          <w:lang w:eastAsia="bg-BG"/>
        </w:rPr>
        <w:t>Ефекти върху костите</w:t>
      </w:r>
    </w:p>
    <w:p w14:paraId="78FC114F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Фемара е мощно естроген-понижаващо средство. При жените с анамнеза за остеопороза и/или фрактури, както и тези, които са с повишен риск от развитие на остеопороза, трябва да бъде определена костната плътност преди започване на адювантна или разширена адювантна терапия и да бъдат проследени по време на и след приключване на лечението с летрозол. Ако е необходимо, трябва да бъде започнато лечение или профилактика на остеопорозата и да бъдат внимателно проследявани. При адювантна терапия може също така да се има предвид секвентна терапевтична схема (летрозол 2 години последван от тамоксифен 3 години) в зависимост от профила на безопасност при съответния пациент (вж. точки 4.2, 4.8 и 5.1).</w:t>
      </w:r>
    </w:p>
    <w:p w14:paraId="5BF855A5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9310A1E" w14:textId="3080E5B0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u w:val="single"/>
          <w:lang w:eastAsia="bg-BG"/>
        </w:rPr>
        <w:t>Тендинит и руптура на сухожилията</w:t>
      </w:r>
    </w:p>
    <w:p w14:paraId="695E1C01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Може да се развие тендинит и да настъпи руптура на сухожилията (редки). Трябва да се започне внимателно проследяване на пациентите и да се предприемат подходящи мерки за засегнатото сухожилие (напр. имобилизация) (вж. точка 4.8).</w:t>
      </w:r>
    </w:p>
    <w:p w14:paraId="6EF5A3C0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A653CFC" w14:textId="6651E61C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u w:val="single"/>
          <w:lang w:eastAsia="bg-BG"/>
        </w:rPr>
        <w:t>Други предупреждениия</w:t>
      </w:r>
    </w:p>
    <w:p w14:paraId="78E17B97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Едновременното приложение на Фемара с тамоксифен, други антиестрогени или естроген- съдържащи лекарства трябва да се избягва, тъй като тези вещества могат да намалят фармакологичното действие на летрозол (вж. точка 4.5).</w:t>
      </w:r>
    </w:p>
    <w:p w14:paraId="3E5D7604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12032E7" w14:textId="5F95FE66" w:rsidR="006B5396" w:rsidRDefault="006B5396" w:rsidP="006B5396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6B5396">
        <w:rPr>
          <w:rFonts w:eastAsia="Times New Roman" w:cs="Arial"/>
          <w:color w:val="000000"/>
          <w:lang w:eastAsia="bg-BG"/>
        </w:rPr>
        <w:t>Тъй като таблетките съдържат лактоза, Фемара не се препоръчва при пациенти с редки наследствени нарушения като галактозна непоносимост, тежък лактазен дефицит или г</w:t>
      </w:r>
      <w:r>
        <w:rPr>
          <w:rFonts w:eastAsia="Times New Roman" w:cs="Arial"/>
          <w:color w:val="000000"/>
          <w:lang w:eastAsia="bg-BG"/>
        </w:rPr>
        <w:t>люкозо- галактозна малабсорбция.</w:t>
      </w:r>
    </w:p>
    <w:p w14:paraId="184D75DC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19DED1E" w14:textId="4A5D3F9E" w:rsidR="004F498A" w:rsidRDefault="002C50EE" w:rsidP="004A448E">
      <w:pPr>
        <w:pStyle w:val="Heading2"/>
      </w:pPr>
      <w:r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765E7A1F" w14:textId="217FDC6B" w:rsidR="006B5396" w:rsidRDefault="006B5396" w:rsidP="006B5396"/>
    <w:p w14:paraId="0615C240" w14:textId="77777777" w:rsidR="006B5396" w:rsidRPr="006B5396" w:rsidRDefault="006B5396" w:rsidP="006B5396">
      <w:pPr>
        <w:rPr>
          <w:sz w:val="24"/>
          <w:szCs w:val="24"/>
        </w:rPr>
      </w:pPr>
      <w:r w:rsidRPr="006B5396">
        <w:rPr>
          <w:lang w:eastAsia="bg-BG"/>
        </w:rPr>
        <w:t xml:space="preserve">Метаболизмът на летрозол се осъществява чрез </w:t>
      </w:r>
      <w:r w:rsidRPr="006B5396">
        <w:rPr>
          <w:lang w:val="en-US"/>
        </w:rPr>
        <w:t>CYP</w:t>
      </w:r>
      <w:r w:rsidRPr="006B5396">
        <w:rPr>
          <w:lang w:val="ru-RU"/>
        </w:rPr>
        <w:t>2</w:t>
      </w:r>
      <w:r w:rsidRPr="006B5396">
        <w:rPr>
          <w:lang w:val="en-US"/>
        </w:rPr>
        <w:t>A</w:t>
      </w:r>
      <w:r w:rsidRPr="006B5396">
        <w:rPr>
          <w:lang w:val="ru-RU"/>
        </w:rPr>
        <w:t xml:space="preserve">6 </w:t>
      </w:r>
      <w:r w:rsidRPr="006B5396">
        <w:rPr>
          <w:lang w:eastAsia="bg-BG"/>
        </w:rPr>
        <w:t xml:space="preserve">и </w:t>
      </w:r>
      <w:r w:rsidRPr="006B5396">
        <w:rPr>
          <w:lang w:val="en-US"/>
        </w:rPr>
        <w:t>CYP</w:t>
      </w:r>
      <w:r w:rsidRPr="006B5396">
        <w:rPr>
          <w:lang w:val="ru-RU"/>
        </w:rPr>
        <w:t>3</w:t>
      </w:r>
      <w:r w:rsidRPr="006B5396">
        <w:rPr>
          <w:lang w:val="en-US"/>
        </w:rPr>
        <w:t>A</w:t>
      </w:r>
      <w:r w:rsidRPr="006B5396">
        <w:rPr>
          <w:lang w:val="ru-RU"/>
        </w:rPr>
        <w:t xml:space="preserve">4. </w:t>
      </w:r>
      <w:r w:rsidRPr="006B5396">
        <w:rPr>
          <w:lang w:eastAsia="bg-BG"/>
        </w:rPr>
        <w:t xml:space="preserve">Циметидин е слаб, неспецифичен инхибитор на </w:t>
      </w:r>
      <w:r w:rsidRPr="006B5396">
        <w:rPr>
          <w:lang w:val="en-US"/>
        </w:rPr>
        <w:t>CYP</w:t>
      </w:r>
      <w:r w:rsidRPr="006B5396">
        <w:rPr>
          <w:lang w:val="ru-RU"/>
        </w:rPr>
        <w:t xml:space="preserve">450 </w:t>
      </w:r>
      <w:r w:rsidRPr="006B5396">
        <w:rPr>
          <w:lang w:eastAsia="bg-BG"/>
        </w:rPr>
        <w:t xml:space="preserve">ензимите и не повлиява плазмените концентрации на летрозол. Ефектът на мощни инхибитори на </w:t>
      </w:r>
      <w:r w:rsidRPr="006B5396">
        <w:rPr>
          <w:lang w:val="en-US"/>
        </w:rPr>
        <w:t>CYP</w:t>
      </w:r>
      <w:r w:rsidRPr="006B5396">
        <w:rPr>
          <w:lang w:val="ru-RU"/>
        </w:rPr>
        <w:t xml:space="preserve">450 </w:t>
      </w:r>
      <w:r w:rsidRPr="006B5396">
        <w:rPr>
          <w:lang w:eastAsia="bg-BG"/>
        </w:rPr>
        <w:t>не известен.</w:t>
      </w:r>
    </w:p>
    <w:p w14:paraId="73F96043" w14:textId="77777777" w:rsidR="006B5396" w:rsidRDefault="006B5396" w:rsidP="006B5396">
      <w:pPr>
        <w:rPr>
          <w:lang w:eastAsia="bg-BG"/>
        </w:rPr>
      </w:pPr>
    </w:p>
    <w:p w14:paraId="0BC9C5A1" w14:textId="48D6D014" w:rsidR="006B5396" w:rsidRPr="006B5396" w:rsidRDefault="006B5396" w:rsidP="006B5396">
      <w:pPr>
        <w:rPr>
          <w:sz w:val="24"/>
          <w:szCs w:val="24"/>
        </w:rPr>
      </w:pPr>
      <w:r w:rsidRPr="006B5396">
        <w:rPr>
          <w:lang w:eastAsia="bg-BG"/>
        </w:rPr>
        <w:t>Към момента няма клиничен опит с прилагането на Фемара в комбинация с естрогени или други противоракови средства, различни от тамоксифен. Тамоксифен, други антиестрогени или естроген-съдържащи лекарства могат да намалят фармакологичното действие на летрозол.</w:t>
      </w:r>
    </w:p>
    <w:p w14:paraId="56AF63B0" w14:textId="77777777" w:rsidR="006B5396" w:rsidRPr="006B5396" w:rsidRDefault="006B5396" w:rsidP="006B5396">
      <w:pPr>
        <w:rPr>
          <w:sz w:val="24"/>
          <w:szCs w:val="24"/>
        </w:rPr>
      </w:pPr>
      <w:r w:rsidRPr="006B5396">
        <w:rPr>
          <w:lang w:eastAsia="bg-BG"/>
        </w:rPr>
        <w:t>Освен това е установено, че едновременното приложение на тамоксифен с летрозол значително намалява плазмената концентрация на летрозол. Едновременното приложение на летрозол с тамоксифен, други антиестрогени и естрогени трябва да се избягва.</w:t>
      </w:r>
    </w:p>
    <w:p w14:paraId="21FED8FB" w14:textId="77777777" w:rsidR="006B5396" w:rsidRDefault="006B5396" w:rsidP="006B5396">
      <w:pPr>
        <w:rPr>
          <w:lang w:eastAsia="bg-BG"/>
        </w:rPr>
      </w:pPr>
    </w:p>
    <w:p w14:paraId="21904B9A" w14:textId="37B125AB" w:rsidR="006B5396" w:rsidRPr="006B5396" w:rsidRDefault="006B5396" w:rsidP="006B5396">
      <w:pPr>
        <w:rPr>
          <w:sz w:val="24"/>
          <w:szCs w:val="24"/>
        </w:rPr>
      </w:pPr>
      <w:r w:rsidRPr="006B5396">
        <w:rPr>
          <w:lang w:eastAsia="bg-BG"/>
        </w:rPr>
        <w:t xml:space="preserve">Летрозол инхибира </w:t>
      </w:r>
      <w:r w:rsidRPr="006B5396">
        <w:rPr>
          <w:i/>
          <w:iCs/>
          <w:lang w:val="en-US"/>
        </w:rPr>
        <w:t>in</w:t>
      </w:r>
      <w:r w:rsidRPr="006B5396">
        <w:rPr>
          <w:i/>
          <w:iCs/>
          <w:lang w:val="ru-RU"/>
        </w:rPr>
        <w:t xml:space="preserve"> </w:t>
      </w:r>
      <w:r w:rsidRPr="006B5396">
        <w:rPr>
          <w:i/>
          <w:iCs/>
          <w:lang w:val="en-US"/>
        </w:rPr>
        <w:t>vitro</w:t>
      </w:r>
      <w:r w:rsidRPr="006B5396">
        <w:rPr>
          <w:lang w:val="ru-RU"/>
        </w:rPr>
        <w:t xml:space="preserve"> </w:t>
      </w:r>
      <w:r w:rsidRPr="006B5396">
        <w:rPr>
          <w:lang w:eastAsia="bg-BG"/>
        </w:rPr>
        <w:t>цитохром Р-450 изоензимите 2А6, а също и 2С19 в умерена степен, но клиничната значимост не е ясна. Поради тази причина е необходимо повишено внимание при едновременно прилагане на летрозол с лекарствени продукти, чието елиминиране зависи предимно от тези изоензими и които имат тесен терапевтичен индекс (напр. фенитоин, клопидогрел).</w:t>
      </w:r>
    </w:p>
    <w:p w14:paraId="1E925F3C" w14:textId="24F132FA" w:rsidR="006B5396" w:rsidRPr="006B5396" w:rsidRDefault="006B5396" w:rsidP="006B5396"/>
    <w:p w14:paraId="394A7584" w14:textId="543D6933" w:rsidR="004F498A" w:rsidRDefault="002C50EE" w:rsidP="004A448E">
      <w:pPr>
        <w:pStyle w:val="Heading2"/>
      </w:pPr>
      <w:r>
        <w:t>4.6. Фертилитет, бременност и кърмене</w:t>
      </w:r>
    </w:p>
    <w:p w14:paraId="52F9B533" w14:textId="50A9400A" w:rsidR="006B5396" w:rsidRDefault="006B5396" w:rsidP="006B5396"/>
    <w:p w14:paraId="46220881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u w:val="single"/>
          <w:lang w:eastAsia="bg-BG"/>
        </w:rPr>
        <w:t>Жени с перименопаузален статус или с детероден потенциал</w:t>
      </w:r>
    </w:p>
    <w:p w14:paraId="22AD120F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Фемара трябва да се прилага само при жени с ясно установен постменопаузален статус (вж. точка 4.4). Тъй като има съобщения за жени с възстановена яйчникова функция по време на лечението с Фемара, независимо от ясния постменопаузален статус при започване на</w:t>
      </w:r>
    </w:p>
    <w:p w14:paraId="649A9114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лечението, при необходимост лекарят трябва да обсъди провеждането на подходяща контрацепция.</w:t>
      </w:r>
    </w:p>
    <w:p w14:paraId="2DD9F573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8BC9EFC" w14:textId="09521AC7" w:rsidR="006B5396" w:rsidRPr="006B5396" w:rsidRDefault="006B5396" w:rsidP="006B5396">
      <w:pPr>
        <w:pStyle w:val="Heading3"/>
        <w:rPr>
          <w:rFonts w:eastAsia="Times New Roman"/>
          <w:u w:val="single"/>
        </w:rPr>
      </w:pPr>
      <w:r w:rsidRPr="006B5396">
        <w:rPr>
          <w:rFonts w:eastAsia="Times New Roman"/>
          <w:u w:val="single"/>
          <w:lang w:eastAsia="bg-BG"/>
        </w:rPr>
        <w:t>Бременност</w:t>
      </w:r>
    </w:p>
    <w:p w14:paraId="3F0D8784" w14:textId="77777777" w:rsidR="006B5396" w:rsidRPr="006B5396" w:rsidRDefault="006B5396" w:rsidP="006B5396">
      <w:pPr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На база на опита при хора, при които има изолирани случаи на вродени дефекти (срастнали лабии, гениталии от смесен тип), Фемара може да причинява вродени малформации, когато се</w:t>
      </w:r>
      <w:r w:rsidRPr="006B5396">
        <w:rPr>
          <w:rFonts w:eastAsia="Times New Roman" w:cs="Arial"/>
          <w:color w:val="000000"/>
          <w:lang w:val="ru-RU" w:eastAsia="bg-BG"/>
        </w:rPr>
        <w:t xml:space="preserve"> </w:t>
      </w:r>
      <w:r w:rsidRPr="006B5396">
        <w:rPr>
          <w:rFonts w:eastAsia="Times New Roman" w:cs="Arial"/>
          <w:color w:val="000000"/>
          <w:lang w:eastAsia="bg-BG"/>
        </w:rPr>
        <w:t>прилага по време на бременност. Проучванията при животни показват репродуктивна токсичност (вж. точка 5.3).</w:t>
      </w:r>
    </w:p>
    <w:p w14:paraId="3E617301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514A9F3" w14:textId="7957F511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Фемара е противопоказан по време на бременност (вж. точки 4.3 и 5.3).</w:t>
      </w:r>
    </w:p>
    <w:p w14:paraId="436E4B9F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4C87E56" w14:textId="1BA27BA6" w:rsidR="006B5396" w:rsidRPr="006B5396" w:rsidRDefault="006B5396" w:rsidP="006B5396">
      <w:pPr>
        <w:pStyle w:val="Heading3"/>
        <w:rPr>
          <w:rFonts w:eastAsia="Times New Roman"/>
          <w:u w:val="single"/>
        </w:rPr>
      </w:pPr>
      <w:r w:rsidRPr="006B5396">
        <w:rPr>
          <w:rFonts w:eastAsia="Times New Roman"/>
          <w:u w:val="single"/>
          <w:lang w:eastAsia="bg-BG"/>
        </w:rPr>
        <w:t>Кърмене</w:t>
      </w:r>
    </w:p>
    <w:p w14:paraId="1AA35F6B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Не е известно дали летрозол и неговите метаболити са екскретират в кърмата. Не може да се изключи риск за новородените/кърмачетата.</w:t>
      </w:r>
    </w:p>
    <w:p w14:paraId="08904BDD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Фемара е противопоказан по време на кърмене (вж. точка 4.3).</w:t>
      </w:r>
    </w:p>
    <w:p w14:paraId="6A21540E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2BB1569" w14:textId="3B9F5233" w:rsidR="006B5396" w:rsidRPr="006B5396" w:rsidRDefault="006B5396" w:rsidP="006B5396">
      <w:pPr>
        <w:pStyle w:val="Heading3"/>
        <w:rPr>
          <w:rFonts w:eastAsia="Times New Roman"/>
          <w:u w:val="single"/>
        </w:rPr>
      </w:pPr>
      <w:r w:rsidRPr="006B5396">
        <w:rPr>
          <w:rFonts w:eastAsia="Times New Roman"/>
          <w:u w:val="single"/>
          <w:lang w:eastAsia="bg-BG"/>
        </w:rPr>
        <w:lastRenderedPageBreak/>
        <w:t>Фертилитет</w:t>
      </w:r>
    </w:p>
    <w:p w14:paraId="7E31127D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 xml:space="preserve">Фармакологичното действие на летрозол е да намалява производството на естрогени чрез инхибиране на ароматазата. При жени преди менопауза, инхибирането на естрогеновия синтез води обратно до повишаване на нивата на гонадотропините </w:t>
      </w:r>
      <w:r w:rsidRPr="006B5396">
        <w:rPr>
          <w:rFonts w:eastAsia="Times New Roman" w:cs="Arial"/>
          <w:color w:val="000000"/>
          <w:lang w:val="ru-RU"/>
        </w:rPr>
        <w:t>(</w:t>
      </w:r>
      <w:r w:rsidRPr="006B5396">
        <w:rPr>
          <w:rFonts w:eastAsia="Times New Roman" w:cs="Arial"/>
          <w:color w:val="000000"/>
          <w:lang w:val="en-US"/>
        </w:rPr>
        <w:t>LH</w:t>
      </w:r>
      <w:r w:rsidRPr="006B5396">
        <w:rPr>
          <w:rFonts w:eastAsia="Times New Roman" w:cs="Arial"/>
          <w:color w:val="000000"/>
          <w:lang w:val="ru-RU"/>
        </w:rPr>
        <w:t xml:space="preserve">, </w:t>
      </w:r>
      <w:r w:rsidRPr="006B5396">
        <w:rPr>
          <w:rFonts w:eastAsia="Times New Roman" w:cs="Arial"/>
          <w:color w:val="000000"/>
          <w:lang w:val="en-US"/>
        </w:rPr>
        <w:t>FSH</w:t>
      </w:r>
      <w:r w:rsidRPr="006B5396">
        <w:rPr>
          <w:rFonts w:eastAsia="Times New Roman" w:cs="Arial"/>
          <w:color w:val="000000"/>
          <w:lang w:val="ru-RU"/>
        </w:rPr>
        <w:t xml:space="preserve">). </w:t>
      </w:r>
      <w:r w:rsidRPr="006B5396">
        <w:rPr>
          <w:rFonts w:eastAsia="Times New Roman" w:cs="Arial"/>
          <w:color w:val="000000"/>
          <w:lang w:eastAsia="bg-BG"/>
        </w:rPr>
        <w:t xml:space="preserve">Повишените нива на </w:t>
      </w:r>
      <w:r w:rsidRPr="006B5396">
        <w:rPr>
          <w:rFonts w:eastAsia="Times New Roman" w:cs="Arial"/>
          <w:color w:val="000000"/>
          <w:lang w:val="en-US"/>
        </w:rPr>
        <w:t>FSH</w:t>
      </w:r>
      <w:r w:rsidRPr="006B5396">
        <w:rPr>
          <w:rFonts w:eastAsia="Times New Roman" w:cs="Arial"/>
          <w:color w:val="000000"/>
          <w:lang w:val="ru-RU"/>
        </w:rPr>
        <w:t xml:space="preserve"> </w:t>
      </w:r>
      <w:r w:rsidRPr="006B5396">
        <w:rPr>
          <w:rFonts w:eastAsia="Times New Roman" w:cs="Arial"/>
          <w:color w:val="000000"/>
          <w:lang w:eastAsia="bg-BG"/>
        </w:rPr>
        <w:t>от своя страна стимулират фоликуларния растеж и могат да предизвикат овулация.</w:t>
      </w:r>
    </w:p>
    <w:p w14:paraId="080AA9A9" w14:textId="1DA9F640" w:rsidR="006B5396" w:rsidRPr="006B5396" w:rsidRDefault="006B5396" w:rsidP="006B5396"/>
    <w:p w14:paraId="064DF1DE" w14:textId="3CD3E903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289EF035" w14:textId="7471EC1B" w:rsidR="006B5396" w:rsidRDefault="006B5396" w:rsidP="006B5396"/>
    <w:p w14:paraId="3DC8767F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 xml:space="preserve">Фемара повлиява в малка степен способността за шофиране и работата с машини. Тъй като при употребата на Фемара са наблюдавани умора и замаяност, и нечесто се съобщава за сънливост, се препоръчва повишено внимание при шофиране или работа </w:t>
      </w:r>
      <w:r w:rsidRPr="006B5396">
        <w:rPr>
          <w:rFonts w:eastAsia="Times New Roman" w:cs="Arial"/>
          <w:i/>
          <w:iCs/>
          <w:color w:val="000000"/>
          <w:lang w:eastAsia="bg-BG"/>
        </w:rPr>
        <w:t>с машини.</w:t>
      </w:r>
    </w:p>
    <w:p w14:paraId="517BB341" w14:textId="77777777" w:rsidR="006B5396" w:rsidRPr="006B5396" w:rsidRDefault="006B5396" w:rsidP="006B5396"/>
    <w:p w14:paraId="37A3FD9F" w14:textId="771B2CBE" w:rsidR="00CF77F7" w:rsidRDefault="002C50EE" w:rsidP="004A448E">
      <w:pPr>
        <w:pStyle w:val="Heading2"/>
      </w:pPr>
      <w:r>
        <w:t>4.8. Нежелани лекарствени реакции</w:t>
      </w:r>
    </w:p>
    <w:p w14:paraId="68907812" w14:textId="095B3EE8" w:rsidR="006B5396" w:rsidRDefault="006B5396" w:rsidP="006B5396"/>
    <w:p w14:paraId="77DC7BB7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u w:val="single"/>
          <w:lang w:eastAsia="bg-BG"/>
        </w:rPr>
        <w:t>Обобщение на профила на безопасност</w:t>
      </w:r>
    </w:p>
    <w:p w14:paraId="6083025B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Честотите на нежеланите реакции при Фемара са базирани предимно на данни от клиничните изпитвания.</w:t>
      </w:r>
    </w:p>
    <w:p w14:paraId="50AECAC1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CFE4609" w14:textId="5180AE62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Приблизително при една трета от пациентите, лекувани с Фемара при налични метастази и приблизително при 80% от пациентите на адювантна терапия, както и при тези на разширена адювантна терапия се наблюдават нежелани реакции. Болшинството от нежеланите реакции възникват през първите няколко седмици на лечението.</w:t>
      </w:r>
    </w:p>
    <w:p w14:paraId="4836BF16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1D18D1A" w14:textId="5CA53031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Най-често съобщаваните нежелани реакции по време на клиничните проучвания са горещи вълни, хиперхолестеролемия, артралгия, умора, повишено потене и гадене.</w:t>
      </w:r>
    </w:p>
    <w:p w14:paraId="758419AB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F1F0360" w14:textId="774D8F6C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Важни допълнителни нежелани реакции, които могат да възникнат при лечение с Фемара са: скелетно-свързани събития като остеопороза и/или костни фрактури и сърдечно-съдови събития (включително мозъчно-съдови и тромбоемболични събития. Честотата на тези нежелани реакции е описана в Таблица 1.</w:t>
      </w:r>
    </w:p>
    <w:p w14:paraId="2367A16C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23D1470E" w14:textId="67D9A3A3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u w:val="single"/>
          <w:lang w:eastAsia="bg-BG"/>
        </w:rPr>
        <w:t>Таблично представяне на нежелани реакции</w:t>
      </w:r>
    </w:p>
    <w:p w14:paraId="2E9F9B03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Честотите на нежеланите реакции при Фемара са базирани предимно на данни от клиничните изпитвания.</w:t>
      </w:r>
    </w:p>
    <w:p w14:paraId="2E6C1843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C0A7B09" w14:textId="59A873B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Следващите нежелани лекарствени реакции, изброени в Таблица 1, са съобщени по време на клиничните проучвания и постмаркетинговия опит с Фемара:</w:t>
      </w:r>
    </w:p>
    <w:p w14:paraId="7CD6F04A" w14:textId="77777777" w:rsidR="006B5396" w:rsidRPr="006B5396" w:rsidRDefault="006B5396" w:rsidP="006B539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791EE3E7" w14:textId="03EB8195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b/>
          <w:bCs/>
          <w:color w:val="000000"/>
          <w:lang w:eastAsia="bg-BG"/>
        </w:rPr>
        <w:t>Таблица 1</w:t>
      </w:r>
    </w:p>
    <w:p w14:paraId="311A1ABE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Нежеланите реакции са класифицирани в зависимост от честотата, като се започва от най- честите, съгласно следната конвенция: много чести (≥1/10); чести (≥1/100 до &lt;1/10); нечести</w:t>
      </w:r>
      <w:r w:rsidRPr="006B5396">
        <w:rPr>
          <w:rFonts w:eastAsia="Times New Roman" w:cs="Arial"/>
          <w:color w:val="000000"/>
          <w:u w:val="single"/>
          <w:lang w:eastAsia="bg-BG"/>
        </w:rPr>
        <w:t xml:space="preserve"> </w:t>
      </w:r>
      <w:r w:rsidRPr="006B5396">
        <w:rPr>
          <w:rFonts w:eastAsia="Times New Roman" w:cs="Arial"/>
          <w:color w:val="000000"/>
          <w:lang w:eastAsia="bg-BG"/>
        </w:rPr>
        <w:t>(≥1/1 000 до &lt;1/100); редки (≥1/10 000 до &lt;1/1 000); много редки (&lt;1/10 000); с неизвестна честота (от наличните данни не може да бъде направена оценка).</w:t>
      </w:r>
    </w:p>
    <w:p w14:paraId="0C890122" w14:textId="5B406A00" w:rsidR="006B5396" w:rsidRDefault="006B5396" w:rsidP="006B5396"/>
    <w:p w14:paraId="1BDDF4F6" w14:textId="77777777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0"/>
      <w:r w:rsidRPr="006B539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Инфекции и инфестацин</w:t>
      </w:r>
      <w:bookmarkEnd w:id="1"/>
    </w:p>
    <w:p w14:paraId="2D0B48C6" w14:textId="12DD2333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Нечести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 xml:space="preserve">Инфекция на пикочните пътища </w:t>
      </w:r>
    </w:p>
    <w:p w14:paraId="512F5F96" w14:textId="489C0616" w:rsidR="006B5396" w:rsidRDefault="006B5396" w:rsidP="006B5396"/>
    <w:p w14:paraId="0F6D0139" w14:textId="77777777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9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lastRenderedPageBreak/>
        <w:t>Неоплазми - доброкачествени, злокачествени и неопределени (вкл. кисти и полипи)</w:t>
      </w:r>
    </w:p>
    <w:p w14:paraId="63D4932A" w14:textId="063CFC52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Нечести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Туморна болка</w:t>
      </w:r>
      <w:r w:rsidRPr="006B5396">
        <w:rPr>
          <w:rFonts w:ascii="Times New Roman" w:eastAsia="Times New Roman" w:hAnsi="Times New Roman" w:cs="Times New Roman"/>
          <w:color w:val="000000"/>
          <w:vertAlign w:val="superscript"/>
          <w:lang w:eastAsia="bg-BG"/>
        </w:rPr>
        <w:t>1</w:t>
      </w:r>
    </w:p>
    <w:p w14:paraId="789DC918" w14:textId="77777777" w:rsid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p w14:paraId="6D1E9995" w14:textId="251A2F85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9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Нарушения на кръвта и лимфната система</w:t>
      </w:r>
    </w:p>
    <w:p w14:paraId="49F6D57A" w14:textId="1215D368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Нечести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Левкопения</w:t>
      </w:r>
    </w:p>
    <w:p w14:paraId="3807FA4D" w14:textId="77777777" w:rsid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p w14:paraId="1D6875F9" w14:textId="79D69466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9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Нарушения на имунната система</w:t>
      </w:r>
    </w:p>
    <w:p w14:paraId="4B82A454" w14:textId="26716775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С неизвестна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честота</w:t>
      </w:r>
      <w:r w:rsidRPr="006B53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Анафилактична реакция</w:t>
      </w:r>
    </w:p>
    <w:p w14:paraId="3E165563" w14:textId="77777777" w:rsid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p w14:paraId="5203AFB7" w14:textId="7C2BF9AD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9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Нарушения на метаболизма и храненето</w:t>
      </w:r>
    </w:p>
    <w:p w14:paraId="7278D139" w14:textId="52D1C243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Много чести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Хиперхолестеролемия</w:t>
      </w:r>
    </w:p>
    <w:p w14:paraId="1FFF7E6E" w14:textId="4534829C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Чести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Намален апетит, повишен апетит</w:t>
      </w:r>
    </w:p>
    <w:p w14:paraId="44689BC0" w14:textId="77777777" w:rsid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p w14:paraId="27A20C37" w14:textId="65CEAA50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9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Психични нарушения</w:t>
      </w:r>
    </w:p>
    <w:p w14:paraId="0EBB740C" w14:textId="7623AA65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Чести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Депресия</w:t>
      </w:r>
    </w:p>
    <w:p w14:paraId="485FB093" w14:textId="7F7663B4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Нечести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Тревожност (включително нервност), раздразнителност</w:t>
      </w:r>
    </w:p>
    <w:p w14:paraId="02E35208" w14:textId="77777777" w:rsid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p w14:paraId="1A05C46E" w14:textId="10C8D014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9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Нарушения на нервната система</w:t>
      </w:r>
    </w:p>
    <w:p w14:paraId="6A4D7F4F" w14:textId="67B7D4E8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Чести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Главоболие, замаяност</w:t>
      </w:r>
    </w:p>
    <w:p w14:paraId="3A19E140" w14:textId="5768CFB0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Нечести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Сънливост, безсъние, нарушения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в паметта, дизестезия (включително</w:t>
      </w:r>
    </w:p>
    <w:p w14:paraId="0DE32F24" w14:textId="77777777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парестезия, хипоестезия), дисгеузия, мозъчно-съдов инцидент, синдром на карпалния канал</w:t>
      </w:r>
    </w:p>
    <w:p w14:paraId="4D78079C" w14:textId="77777777" w:rsid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p w14:paraId="5F943837" w14:textId="373027EA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9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Нарушения на очите</w:t>
      </w:r>
    </w:p>
    <w:p w14:paraId="543D8267" w14:textId="26FA9711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Нечести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Катаракта, възпаление на окото, замъглено зрение</w:t>
      </w:r>
    </w:p>
    <w:p w14:paraId="6C73F2A2" w14:textId="77777777" w:rsid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p w14:paraId="56C07CE3" w14:textId="6B13AA2A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9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Сърдечни нарушения</w:t>
      </w:r>
    </w:p>
    <w:p w14:paraId="3183F7A4" w14:textId="5D17C4D8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Чести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Палпитации</w:t>
      </w:r>
      <w:r w:rsidRPr="006B5396">
        <w:rPr>
          <w:rFonts w:ascii="Times New Roman" w:eastAsia="Times New Roman" w:hAnsi="Times New Roman" w:cs="Times New Roman"/>
          <w:color w:val="000000"/>
          <w:vertAlign w:val="superscript"/>
          <w:lang w:eastAsia="bg-BG"/>
        </w:rPr>
        <w:t>1</w:t>
      </w:r>
    </w:p>
    <w:p w14:paraId="2EC02CFD" w14:textId="7DC1DA9D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Нечести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Тахикардия, исхемични сърдечно-съдови събития (включително новопоявила</w:t>
      </w:r>
    </w:p>
    <w:p w14:paraId="1D8ABAA8" w14:textId="77777777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се или влошаваща се стенокардия, стенокардия, изискваща оперативно лечение, миокарден инфаркт и миокардна исхемия)</w:t>
      </w:r>
    </w:p>
    <w:p w14:paraId="773C9B03" w14:textId="77777777" w:rsid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p w14:paraId="6E278337" w14:textId="6DF5514B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9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Съдови нарушения</w:t>
      </w:r>
    </w:p>
    <w:p w14:paraId="7CE1BA0E" w14:textId="26DBCCE7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Много чести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Горещи вълни</w:t>
      </w:r>
    </w:p>
    <w:p w14:paraId="7AABACA2" w14:textId="6B78001A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Чести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Хипертония</w:t>
      </w:r>
    </w:p>
    <w:p w14:paraId="270AC54E" w14:textId="4749D3BC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Нечести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Тромбофлебит (включително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повърхностен и дълбок венозен тромбофлебит)</w:t>
      </w:r>
    </w:p>
    <w:p w14:paraId="633FFDF3" w14:textId="5E0ADC08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Редки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Белодробна тромбоемболия, артериална тромбоза, мозъчен инфаркт</w:t>
      </w:r>
    </w:p>
    <w:p w14:paraId="218B096D" w14:textId="77777777" w:rsid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p w14:paraId="28FE5175" w14:textId="27B3387E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9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Респираторни, гръдни и медиастинални нарушения</w:t>
      </w:r>
    </w:p>
    <w:p w14:paraId="3F87CAD9" w14:textId="47573CB2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Нечести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Диспнея, кашлица</w:t>
      </w:r>
    </w:p>
    <w:p w14:paraId="5B49579E" w14:textId="77777777" w:rsid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p w14:paraId="577DBC66" w14:textId="07E44575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9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Стомашно-чревни нарушения</w:t>
      </w:r>
    </w:p>
    <w:p w14:paraId="0DB17F88" w14:textId="59319DF1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Чести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Гадене, диспепсия</w:t>
      </w:r>
      <w:r w:rsidRPr="006B5396">
        <w:rPr>
          <w:rFonts w:ascii="Times New Roman" w:eastAsia="Times New Roman" w:hAnsi="Times New Roman" w:cs="Times New Roman"/>
          <w:color w:val="000000"/>
          <w:vertAlign w:val="superscript"/>
          <w:lang w:eastAsia="bg-BG"/>
        </w:rPr>
        <w:t>1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, запек, коремна болка, диария, повръщане</w:t>
      </w:r>
    </w:p>
    <w:p w14:paraId="6D763C27" w14:textId="349FE5BD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Нечести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Сухота в устата, стоматит</w:t>
      </w:r>
      <w:r w:rsidRPr="006B5396">
        <w:rPr>
          <w:rFonts w:ascii="Times New Roman" w:eastAsia="Times New Roman" w:hAnsi="Times New Roman" w:cs="Times New Roman"/>
          <w:color w:val="000000"/>
          <w:vertAlign w:val="superscript"/>
          <w:lang w:eastAsia="bg-BG"/>
        </w:rPr>
        <w:t>1</w:t>
      </w:r>
    </w:p>
    <w:p w14:paraId="182CC091" w14:textId="77777777" w:rsid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p w14:paraId="6BEE8366" w14:textId="3E1DCC20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9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Хепатобилиарни нарушения</w:t>
      </w:r>
    </w:p>
    <w:p w14:paraId="3833DB2A" w14:textId="52CA49F9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Нечести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Повишени чернодробни ензими, хипербилирубинемия, жълтеница</w:t>
      </w:r>
    </w:p>
    <w:p w14:paraId="386B9E85" w14:textId="2848A5B1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С неизвестна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честота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Хепатит</w:t>
      </w:r>
    </w:p>
    <w:p w14:paraId="206E2F6A" w14:textId="77777777" w:rsid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p w14:paraId="72CB48FD" w14:textId="1D09EA4C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9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Нарушения на кожата и подкожната тъкан</w:t>
      </w:r>
    </w:p>
    <w:p w14:paraId="7BBC0DB0" w14:textId="015C2D37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Много чести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Хиперхидроза</w:t>
      </w:r>
    </w:p>
    <w:p w14:paraId="78661BD6" w14:textId="5F8F8142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Чести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Алопеция, обрив (включително еритематозен,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ab/>
        <w:t>макулопапуларен,</w:t>
      </w:r>
    </w:p>
    <w:p w14:paraId="0046C72C" w14:textId="77777777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lastRenderedPageBreak/>
        <w:t>псориазиформен и везикуларен) суха кожа</w:t>
      </w:r>
    </w:p>
    <w:p w14:paraId="3653A226" w14:textId="70DDEBC3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Нечести 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>: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Пруритус, уртикария</w:t>
      </w:r>
    </w:p>
    <w:p w14:paraId="41806A5E" w14:textId="1CF12B70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С неизвестна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честота</w:t>
      </w:r>
      <w:r w:rsidRPr="006B5396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Ангиоедем, токсична епидермална некролиза,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ab/>
        <w:t>еритема мултиформе</w:t>
      </w:r>
    </w:p>
    <w:p w14:paraId="5806EEF4" w14:textId="77777777" w:rsid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p w14:paraId="434622B5" w14:textId="2C5F1DCC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9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Нарушения на мускулно-скелетната система и съединителната тъкан</w:t>
      </w:r>
    </w:p>
    <w:p w14:paraId="74AE479A" w14:textId="1DCAB471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Много чести: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Артралгия</w:t>
      </w:r>
    </w:p>
    <w:p w14:paraId="5CFDD495" w14:textId="004E86D1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Чести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Миалгия, костна болка</w:t>
      </w:r>
      <w:r w:rsidRPr="006B5396">
        <w:rPr>
          <w:rFonts w:ascii="Times New Roman" w:eastAsia="Times New Roman" w:hAnsi="Times New Roman" w:cs="Times New Roman"/>
          <w:color w:val="000000"/>
          <w:vertAlign w:val="superscript"/>
          <w:lang w:eastAsia="bg-BG"/>
        </w:rPr>
        <w:t>1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, остеопороза, костни фрактури, артрит</w:t>
      </w:r>
    </w:p>
    <w:p w14:paraId="10D138DD" w14:textId="3D4AF4ED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Нечести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Тендинит</w:t>
      </w:r>
    </w:p>
    <w:p w14:paraId="457F3CDE" w14:textId="0D795E1A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Редки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Руптура на сухожилията</w:t>
      </w:r>
    </w:p>
    <w:p w14:paraId="7726F3AD" w14:textId="425DDDCF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 xml:space="preserve">С неизвестна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честота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Тригер пръст</w:t>
      </w:r>
    </w:p>
    <w:p w14:paraId="466A0B06" w14:textId="77777777" w:rsid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p w14:paraId="6306481D" w14:textId="26131DC6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9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Нарушения на бъбреците и пикочните пътища</w:t>
      </w:r>
    </w:p>
    <w:p w14:paraId="24A25A6D" w14:textId="4997A5F4" w:rsidR="006B5396" w:rsidRDefault="006B5396" w:rsidP="006B5396">
      <w:pPr>
        <w:rPr>
          <w:rFonts w:ascii="Times New Roman" w:eastAsia="Times New Roman" w:hAnsi="Times New Roman" w:cs="Times New Roman"/>
          <w:color w:val="000000"/>
          <w:lang w:eastAsia="bg-BG"/>
        </w:rPr>
      </w:pP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Н</w:t>
      </w:r>
      <w:r>
        <w:rPr>
          <w:rFonts w:ascii="Times New Roman" w:eastAsia="Times New Roman" w:hAnsi="Times New Roman" w:cs="Times New Roman"/>
          <w:color w:val="000000"/>
          <w:lang w:eastAsia="bg-BG"/>
        </w:rPr>
        <w:t>ечести</w:t>
      </w:r>
      <w:r>
        <w:rPr>
          <w:rFonts w:ascii="Times New Roman" w:eastAsia="Times New Roman" w:hAnsi="Times New Roman" w:cs="Times New Roman"/>
          <w:color w:val="000000"/>
          <w:lang w:val="en-US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Полакиурия</w:t>
      </w:r>
    </w:p>
    <w:p w14:paraId="59C651F6" w14:textId="28433FC8" w:rsidR="006B5396" w:rsidRDefault="006B5396" w:rsidP="006B5396">
      <w:pPr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67D27F2B" w14:textId="77777777" w:rsid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  <w:r w:rsidRPr="006B539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 xml:space="preserve">Нарушения на възпроизводителната система и гърдата </w:t>
      </w:r>
    </w:p>
    <w:p w14:paraId="288336A3" w14:textId="1065114A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Чес</w:t>
      </w:r>
      <w:r>
        <w:rPr>
          <w:rFonts w:ascii="Times New Roman" w:eastAsia="Times New Roman" w:hAnsi="Times New Roman" w:cs="Times New Roman"/>
          <w:color w:val="000000"/>
          <w:lang w:eastAsia="bg-BG"/>
        </w:rPr>
        <w:t>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Вагинално кръвотечение</w:t>
      </w:r>
    </w:p>
    <w:p w14:paraId="4CD3DADD" w14:textId="63FE9276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Нечести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Вагинално течение, вулвовагинална сухота, болки в гърдите</w:t>
      </w:r>
    </w:p>
    <w:p w14:paraId="7C10EBAA" w14:textId="77777777" w:rsid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p w14:paraId="76802D58" w14:textId="2FFF9C03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39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>Общи нарушения и ефекти на мястото на приложение</w:t>
      </w:r>
    </w:p>
    <w:p w14:paraId="2E5879BD" w14:textId="38B2B26C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Много чести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Умора (включително астения, общо неразположение)</w:t>
      </w:r>
    </w:p>
    <w:p w14:paraId="13430960" w14:textId="409D1159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Чести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Периферни отоци, болка в гръдния кош</w:t>
      </w:r>
    </w:p>
    <w:p w14:paraId="0DCB66D1" w14:textId="15B35395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Нечести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Генерализиран оток, сухота на лигавиците, жажда, пирексия</w:t>
      </w:r>
    </w:p>
    <w:p w14:paraId="337BD0A2" w14:textId="77777777" w:rsid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p w14:paraId="0722A927" w14:textId="77777777" w:rsid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  <w:r w:rsidRPr="006B5396">
        <w:rPr>
          <w:rFonts w:ascii="Times New Roman" w:eastAsia="Times New Roman" w:hAnsi="Times New Roman" w:cs="Times New Roman"/>
          <w:b/>
          <w:bCs/>
          <w:color w:val="000000"/>
          <w:lang w:eastAsia="bg-BG"/>
        </w:rPr>
        <w:t xml:space="preserve">Изследвания </w:t>
      </w:r>
    </w:p>
    <w:p w14:paraId="4F342994" w14:textId="37A72DE7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Чести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Повишено тегло</w:t>
      </w:r>
    </w:p>
    <w:p w14:paraId="1F2C01D0" w14:textId="5A755408" w:rsidR="006B5396" w:rsidRPr="006B5396" w:rsidRDefault="006B5396" w:rsidP="006B539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lang w:eastAsia="bg-BG"/>
        </w:rPr>
        <w:t>Нечести</w:t>
      </w:r>
      <w:r w:rsidRPr="006B5396">
        <w:rPr>
          <w:rFonts w:ascii="Times New Roman" w:eastAsia="Times New Roman" w:hAnsi="Times New Roman" w:cs="Times New Roman"/>
          <w:color w:val="000000"/>
          <w:lang w:val="ru-RU" w:eastAsia="bg-BG"/>
        </w:rPr>
        <w:t xml:space="preserve">: </w:t>
      </w:r>
      <w:r w:rsidRPr="006B5396">
        <w:rPr>
          <w:rFonts w:ascii="Times New Roman" w:eastAsia="Times New Roman" w:hAnsi="Times New Roman" w:cs="Times New Roman"/>
          <w:color w:val="000000"/>
          <w:lang w:eastAsia="bg-BG"/>
        </w:rPr>
        <w:t>Намалено тегло</w:t>
      </w:r>
    </w:p>
    <w:p w14:paraId="36F2A756" w14:textId="6225AE6A" w:rsidR="006B5396" w:rsidRDefault="006B5396" w:rsidP="006B5396"/>
    <w:p w14:paraId="6E7FF9C1" w14:textId="0ADEFACD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vertAlign w:val="superscript"/>
          <w:lang w:eastAsia="bg-BG"/>
        </w:rPr>
        <w:t>1</w:t>
      </w:r>
      <w:r w:rsidRPr="006B5396">
        <w:rPr>
          <w:rFonts w:eastAsia="Times New Roman" w:cs="Arial"/>
          <w:color w:val="000000"/>
          <w:lang w:eastAsia="bg-BG"/>
        </w:rPr>
        <w:t>Нежелани реакции, съобщавани само при пациенти с метастази</w:t>
      </w:r>
    </w:p>
    <w:p w14:paraId="7D00AED5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E9D6609" w14:textId="23C5F97B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Някои нежелани реакции се съобщават с подчертано различна честота при адювантна терапия. Следващите таблици предоставят информация за значителните разлики при Фемара спрямо тамоксифен, прилагани като монотерапия и при Фемара-тамоксифен прилагани като секвентна терапия:</w:t>
      </w:r>
    </w:p>
    <w:p w14:paraId="315EFABD" w14:textId="77777777" w:rsidR="006B5396" w:rsidRPr="006B5396" w:rsidRDefault="006B5396" w:rsidP="006B539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37604A1A" w14:textId="04079154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b/>
          <w:bCs/>
          <w:color w:val="000000"/>
          <w:lang w:eastAsia="bg-BG"/>
        </w:rPr>
        <w:t>Таблица 2 Адювантна монотерапия с Фемара спрямо тамоксифен, прилаган като монотерапия - нежелани събития със сигнификантна разлика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8"/>
        <w:gridCol w:w="1689"/>
        <w:gridCol w:w="1922"/>
        <w:gridCol w:w="1689"/>
        <w:gridCol w:w="1922"/>
      </w:tblGrid>
      <w:tr w:rsidR="006B5396" w14:paraId="6A4209CD" w14:textId="77777777" w:rsidTr="006B5396">
        <w:tc>
          <w:tcPr>
            <w:tcW w:w="2128" w:type="dxa"/>
          </w:tcPr>
          <w:p w14:paraId="663FE49A" w14:textId="77777777" w:rsidR="006B5396" w:rsidRDefault="006B5396" w:rsidP="006B5396"/>
        </w:tc>
        <w:tc>
          <w:tcPr>
            <w:tcW w:w="3724" w:type="dxa"/>
            <w:gridSpan w:val="2"/>
          </w:tcPr>
          <w:p w14:paraId="5D0C205F" w14:textId="507B9D50" w:rsidR="006B5396" w:rsidRDefault="006B5396" w:rsidP="006B5396">
            <w:r>
              <w:rPr>
                <w:b/>
                <w:bCs/>
              </w:rPr>
              <w:t>Фемара, честота на нежеланото събитие</w:t>
            </w:r>
          </w:p>
        </w:tc>
        <w:tc>
          <w:tcPr>
            <w:tcW w:w="3724" w:type="dxa"/>
            <w:gridSpan w:val="2"/>
          </w:tcPr>
          <w:p w14:paraId="5AEA5169" w14:textId="314EDAE2" w:rsidR="006B5396" w:rsidRDefault="006B5396" w:rsidP="006B5396">
            <w:r>
              <w:rPr>
                <w:b/>
                <w:bCs/>
              </w:rPr>
              <w:t>Тамоксифен, честота на нежеланото събитие</w:t>
            </w:r>
          </w:p>
        </w:tc>
      </w:tr>
      <w:tr w:rsidR="006B5396" w14:paraId="0A723D38" w14:textId="77777777" w:rsidTr="006B5396">
        <w:tc>
          <w:tcPr>
            <w:tcW w:w="2128" w:type="dxa"/>
          </w:tcPr>
          <w:p w14:paraId="027EE374" w14:textId="77777777" w:rsidR="006B5396" w:rsidRDefault="006B5396" w:rsidP="006B5396"/>
        </w:tc>
        <w:tc>
          <w:tcPr>
            <w:tcW w:w="3724" w:type="dxa"/>
            <w:gridSpan w:val="2"/>
          </w:tcPr>
          <w:p w14:paraId="6DA0ACF9" w14:textId="6639A47F" w:rsidR="006B5396" w:rsidRDefault="006B5396" w:rsidP="006B5396">
            <w:pPr>
              <w:jc w:val="center"/>
            </w:pPr>
            <w:r>
              <w:rPr>
                <w:lang w:val="en-US"/>
              </w:rPr>
              <w:t xml:space="preserve">N </w:t>
            </w:r>
            <w:r>
              <w:t>= 2 448</w:t>
            </w:r>
          </w:p>
        </w:tc>
        <w:tc>
          <w:tcPr>
            <w:tcW w:w="3724" w:type="dxa"/>
            <w:gridSpan w:val="2"/>
          </w:tcPr>
          <w:p w14:paraId="79BE0928" w14:textId="4C688363" w:rsidR="006B5396" w:rsidRDefault="006B5396" w:rsidP="006B5396">
            <w:pPr>
              <w:jc w:val="center"/>
            </w:pPr>
            <w:r>
              <w:rPr>
                <w:lang w:val="en-US"/>
              </w:rPr>
              <w:t xml:space="preserve">N </w:t>
            </w:r>
            <w:r>
              <w:t>= 2 447</w:t>
            </w:r>
          </w:p>
        </w:tc>
      </w:tr>
      <w:tr w:rsidR="006B5396" w14:paraId="34A3182B" w14:textId="77777777" w:rsidTr="006B5396">
        <w:trPr>
          <w:trHeight w:val="1154"/>
        </w:trPr>
        <w:tc>
          <w:tcPr>
            <w:tcW w:w="2128" w:type="dxa"/>
          </w:tcPr>
          <w:p w14:paraId="5BA34038" w14:textId="77777777" w:rsidR="006B5396" w:rsidRDefault="006B5396" w:rsidP="006B5396"/>
        </w:tc>
        <w:tc>
          <w:tcPr>
            <w:tcW w:w="1802" w:type="dxa"/>
          </w:tcPr>
          <w:p w14:paraId="20E38AFF" w14:textId="01D8309D" w:rsidR="006B5396" w:rsidRDefault="006B5396" w:rsidP="006B5396">
            <w:r>
              <w:t>По време на лечението (Медиана 5 г.)</w:t>
            </w:r>
          </w:p>
        </w:tc>
        <w:tc>
          <w:tcPr>
            <w:tcW w:w="1922" w:type="dxa"/>
          </w:tcPr>
          <w:p w14:paraId="54582CA1" w14:textId="5DCDAA82" w:rsidR="006B5396" w:rsidRDefault="006B5396" w:rsidP="006B5396">
            <w:r>
              <w:t>По всяко време след рандомизацията (Медиана 8 г.)</w:t>
            </w:r>
          </w:p>
        </w:tc>
        <w:tc>
          <w:tcPr>
            <w:tcW w:w="1802" w:type="dxa"/>
          </w:tcPr>
          <w:p w14:paraId="55B50E14" w14:textId="36133544" w:rsidR="006B5396" w:rsidRDefault="006B5396" w:rsidP="006B5396">
            <w:r>
              <w:t>По време на лечението (Медиана 5 г.)</w:t>
            </w:r>
          </w:p>
        </w:tc>
        <w:tc>
          <w:tcPr>
            <w:tcW w:w="1922" w:type="dxa"/>
          </w:tcPr>
          <w:p w14:paraId="1DE9FD32" w14:textId="19EF3BBC" w:rsidR="006B5396" w:rsidRDefault="006B5396" w:rsidP="006B5396">
            <w:r>
              <w:t>По всяко време след рандомизацията (Медиана 8 г.)</w:t>
            </w:r>
          </w:p>
        </w:tc>
      </w:tr>
      <w:tr w:rsidR="006B5396" w14:paraId="6D339E0E" w14:textId="77777777" w:rsidTr="006B5396">
        <w:tc>
          <w:tcPr>
            <w:tcW w:w="2128" w:type="dxa"/>
          </w:tcPr>
          <w:p w14:paraId="6FE2FB84" w14:textId="560F35A7" w:rsidR="006B5396" w:rsidRDefault="006B5396" w:rsidP="006B5396">
            <w:r>
              <w:t>Костни фрактури</w:t>
            </w:r>
          </w:p>
        </w:tc>
        <w:tc>
          <w:tcPr>
            <w:tcW w:w="1802" w:type="dxa"/>
          </w:tcPr>
          <w:p w14:paraId="71D7E53F" w14:textId="208A2628" w:rsidR="006B5396" w:rsidRDefault="006B5396" w:rsidP="006B5396">
            <w:r>
              <w:t>10,2%</w:t>
            </w:r>
          </w:p>
        </w:tc>
        <w:tc>
          <w:tcPr>
            <w:tcW w:w="1922" w:type="dxa"/>
          </w:tcPr>
          <w:p w14:paraId="02828A1E" w14:textId="6EE681E1" w:rsidR="006B5396" w:rsidRDefault="006B5396" w:rsidP="006B5396">
            <w:r>
              <w:t>14,7%</w:t>
            </w:r>
          </w:p>
        </w:tc>
        <w:tc>
          <w:tcPr>
            <w:tcW w:w="1802" w:type="dxa"/>
          </w:tcPr>
          <w:p w14:paraId="64F9477C" w14:textId="1C117B2B" w:rsidR="006B5396" w:rsidRDefault="006B5396" w:rsidP="006B5396">
            <w:r>
              <w:t>7,2%</w:t>
            </w:r>
          </w:p>
        </w:tc>
        <w:tc>
          <w:tcPr>
            <w:tcW w:w="1922" w:type="dxa"/>
          </w:tcPr>
          <w:p w14:paraId="4A384ECB" w14:textId="65AEDFC9" w:rsidR="006B5396" w:rsidRDefault="006B5396" w:rsidP="006B5396">
            <w:r>
              <w:t>11,4%</w:t>
            </w:r>
          </w:p>
        </w:tc>
      </w:tr>
      <w:tr w:rsidR="006B5396" w14:paraId="08D4C64F" w14:textId="77777777" w:rsidTr="006B5396">
        <w:tc>
          <w:tcPr>
            <w:tcW w:w="2128" w:type="dxa"/>
          </w:tcPr>
          <w:p w14:paraId="704376E5" w14:textId="00CC0095" w:rsidR="006B5396" w:rsidRDefault="006B5396" w:rsidP="006B5396">
            <w:r>
              <w:t>Остеопороза</w:t>
            </w:r>
          </w:p>
        </w:tc>
        <w:tc>
          <w:tcPr>
            <w:tcW w:w="1802" w:type="dxa"/>
          </w:tcPr>
          <w:p w14:paraId="67351A1D" w14:textId="2D3F1073" w:rsidR="006B5396" w:rsidRDefault="006B5396" w:rsidP="006B5396">
            <w:r>
              <w:t>5,1%</w:t>
            </w:r>
          </w:p>
        </w:tc>
        <w:tc>
          <w:tcPr>
            <w:tcW w:w="1922" w:type="dxa"/>
          </w:tcPr>
          <w:p w14:paraId="7B37AC2A" w14:textId="6766C7B8" w:rsidR="006B5396" w:rsidRDefault="006B5396" w:rsidP="006B5396">
            <w:r>
              <w:t>5,1%</w:t>
            </w:r>
          </w:p>
        </w:tc>
        <w:tc>
          <w:tcPr>
            <w:tcW w:w="1802" w:type="dxa"/>
          </w:tcPr>
          <w:p w14:paraId="21D4BB19" w14:textId="6D08CF2C" w:rsidR="006B5396" w:rsidRDefault="006B5396" w:rsidP="006B5396">
            <w:r>
              <w:t>2,7%</w:t>
            </w:r>
          </w:p>
        </w:tc>
        <w:tc>
          <w:tcPr>
            <w:tcW w:w="1922" w:type="dxa"/>
          </w:tcPr>
          <w:p w14:paraId="791A8106" w14:textId="0600ADBE" w:rsidR="006B5396" w:rsidRDefault="006B5396" w:rsidP="006B5396">
            <w:r>
              <w:t>2,7%</w:t>
            </w:r>
          </w:p>
        </w:tc>
      </w:tr>
      <w:tr w:rsidR="006B5396" w14:paraId="523988A7" w14:textId="77777777" w:rsidTr="006B5396">
        <w:tc>
          <w:tcPr>
            <w:tcW w:w="2128" w:type="dxa"/>
          </w:tcPr>
          <w:p w14:paraId="65C87361" w14:textId="63161515" w:rsidR="006B5396" w:rsidRDefault="006B5396" w:rsidP="006B5396">
            <w:r>
              <w:t>Тромбоемболични събития</w:t>
            </w:r>
          </w:p>
        </w:tc>
        <w:tc>
          <w:tcPr>
            <w:tcW w:w="1802" w:type="dxa"/>
          </w:tcPr>
          <w:p w14:paraId="55FF304C" w14:textId="6133B645" w:rsidR="006B5396" w:rsidRDefault="006B5396" w:rsidP="006B5396">
            <w:r>
              <w:t>2,1%</w:t>
            </w:r>
          </w:p>
        </w:tc>
        <w:tc>
          <w:tcPr>
            <w:tcW w:w="1922" w:type="dxa"/>
          </w:tcPr>
          <w:p w14:paraId="39ECA834" w14:textId="17E467A2" w:rsidR="006B5396" w:rsidRDefault="006B5396" w:rsidP="006B5396">
            <w:r>
              <w:t>3,2%</w:t>
            </w:r>
          </w:p>
        </w:tc>
        <w:tc>
          <w:tcPr>
            <w:tcW w:w="1802" w:type="dxa"/>
          </w:tcPr>
          <w:p w14:paraId="46FDAF80" w14:textId="30688147" w:rsidR="006B5396" w:rsidRDefault="006B5396" w:rsidP="006B5396">
            <w:r>
              <w:t>3,6%</w:t>
            </w:r>
          </w:p>
        </w:tc>
        <w:tc>
          <w:tcPr>
            <w:tcW w:w="1922" w:type="dxa"/>
          </w:tcPr>
          <w:p w14:paraId="0D42AED3" w14:textId="343448F3" w:rsidR="006B5396" w:rsidRDefault="006B5396" w:rsidP="006B5396">
            <w:r>
              <w:t>4,6%</w:t>
            </w:r>
          </w:p>
        </w:tc>
      </w:tr>
      <w:tr w:rsidR="006B5396" w14:paraId="54C2648C" w14:textId="77777777" w:rsidTr="006B5396">
        <w:tc>
          <w:tcPr>
            <w:tcW w:w="2128" w:type="dxa"/>
          </w:tcPr>
          <w:p w14:paraId="043C4AC2" w14:textId="54DF690B" w:rsidR="006B5396" w:rsidRDefault="006B5396" w:rsidP="006B5396">
            <w:r>
              <w:t>Миокарден инфаркт</w:t>
            </w:r>
          </w:p>
        </w:tc>
        <w:tc>
          <w:tcPr>
            <w:tcW w:w="1802" w:type="dxa"/>
          </w:tcPr>
          <w:p w14:paraId="180CB105" w14:textId="19CDB1E0" w:rsidR="006B5396" w:rsidRDefault="006B5396" w:rsidP="006B5396">
            <w:r>
              <w:t>1,0%</w:t>
            </w:r>
          </w:p>
        </w:tc>
        <w:tc>
          <w:tcPr>
            <w:tcW w:w="1922" w:type="dxa"/>
          </w:tcPr>
          <w:p w14:paraId="39EFDDAA" w14:textId="032DA0EA" w:rsidR="006B5396" w:rsidRDefault="006B5396" w:rsidP="006B5396">
            <w:r>
              <w:t>1,7%</w:t>
            </w:r>
          </w:p>
        </w:tc>
        <w:tc>
          <w:tcPr>
            <w:tcW w:w="1802" w:type="dxa"/>
          </w:tcPr>
          <w:p w14:paraId="42179C39" w14:textId="0882EFE0" w:rsidR="006B5396" w:rsidRDefault="006B5396" w:rsidP="006B5396">
            <w:r>
              <w:t>0,5%</w:t>
            </w:r>
          </w:p>
        </w:tc>
        <w:tc>
          <w:tcPr>
            <w:tcW w:w="1922" w:type="dxa"/>
          </w:tcPr>
          <w:p w14:paraId="1ED10BE7" w14:textId="22392711" w:rsidR="006B5396" w:rsidRDefault="006B5396" w:rsidP="006B5396">
            <w:r>
              <w:t>1,1%</w:t>
            </w:r>
          </w:p>
        </w:tc>
      </w:tr>
      <w:tr w:rsidR="006B5396" w14:paraId="6965DBA8" w14:textId="77777777" w:rsidTr="006B5396">
        <w:tc>
          <w:tcPr>
            <w:tcW w:w="2128" w:type="dxa"/>
          </w:tcPr>
          <w:p w14:paraId="40984193" w14:textId="059C749D" w:rsidR="006B5396" w:rsidRDefault="006B5396" w:rsidP="006B5396">
            <w:r>
              <w:lastRenderedPageBreak/>
              <w:t>Хиперплазия на ендометриума/ рак на ендометриума</w:t>
            </w:r>
          </w:p>
        </w:tc>
        <w:tc>
          <w:tcPr>
            <w:tcW w:w="1802" w:type="dxa"/>
          </w:tcPr>
          <w:p w14:paraId="2C1881C4" w14:textId="5E324D2A" w:rsidR="006B5396" w:rsidRDefault="006B5396" w:rsidP="006B5396">
            <w:r>
              <w:t>0,2%</w:t>
            </w:r>
          </w:p>
        </w:tc>
        <w:tc>
          <w:tcPr>
            <w:tcW w:w="1922" w:type="dxa"/>
          </w:tcPr>
          <w:p w14:paraId="4336FC1E" w14:textId="4AC72733" w:rsidR="006B5396" w:rsidRDefault="006B5396" w:rsidP="006B5396">
            <w:r>
              <w:t>0,4%</w:t>
            </w:r>
          </w:p>
        </w:tc>
        <w:tc>
          <w:tcPr>
            <w:tcW w:w="1802" w:type="dxa"/>
          </w:tcPr>
          <w:p w14:paraId="2F72E26B" w14:textId="5537B714" w:rsidR="006B5396" w:rsidRDefault="006B5396" w:rsidP="006B5396">
            <w:r>
              <w:t>2,3%</w:t>
            </w:r>
          </w:p>
        </w:tc>
        <w:tc>
          <w:tcPr>
            <w:tcW w:w="1922" w:type="dxa"/>
          </w:tcPr>
          <w:p w14:paraId="6564DC57" w14:textId="55775527" w:rsidR="006B5396" w:rsidRDefault="006B5396" w:rsidP="006B5396">
            <w:r>
              <w:t>2,9%</w:t>
            </w:r>
          </w:p>
        </w:tc>
      </w:tr>
      <w:tr w:rsidR="006B5396" w14:paraId="1A07AD73" w14:textId="77777777" w:rsidTr="006B5396">
        <w:tc>
          <w:tcPr>
            <w:tcW w:w="9576" w:type="dxa"/>
            <w:gridSpan w:val="5"/>
          </w:tcPr>
          <w:p w14:paraId="3F90332A" w14:textId="72260B73" w:rsidR="006B5396" w:rsidRPr="006B5396" w:rsidRDefault="006B5396" w:rsidP="006B5396">
            <w:pPr>
              <w:rPr>
                <w:sz w:val="24"/>
                <w:szCs w:val="24"/>
              </w:rPr>
            </w:pPr>
            <w:r w:rsidRPr="006B5396">
              <w:rPr>
                <w:lang w:eastAsia="bg-BG"/>
              </w:rPr>
              <w:t>Забележка: Периодът “По време на лечението“ включва 30 дни след последната доза. “По всяко време“ включва периода на проследяване след завършване или прекъсване на лечението по време на изпитването.</w:t>
            </w:r>
          </w:p>
        </w:tc>
      </w:tr>
    </w:tbl>
    <w:p w14:paraId="5AA10DD8" w14:textId="38922C38" w:rsidR="006B5396" w:rsidRDefault="006B5396" w:rsidP="006B5396"/>
    <w:p w14:paraId="702C3C11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b/>
          <w:bCs/>
          <w:color w:val="000000"/>
          <w:lang w:eastAsia="bg-BG"/>
        </w:rPr>
        <w:t>Таблица 3 Секвентна терапия спрямо Фемара, прилагана като монотерапия - нежелани събития със сигнификантна разлика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5"/>
        <w:gridCol w:w="2264"/>
        <w:gridCol w:w="2268"/>
        <w:gridCol w:w="2263"/>
      </w:tblGrid>
      <w:tr w:rsidR="006B5396" w14:paraId="6B552A52" w14:textId="77777777" w:rsidTr="006B5396">
        <w:tc>
          <w:tcPr>
            <w:tcW w:w="2555" w:type="dxa"/>
          </w:tcPr>
          <w:p w14:paraId="6856E6C7" w14:textId="77777777" w:rsidR="006B5396" w:rsidRDefault="006B5396" w:rsidP="006B5396"/>
        </w:tc>
        <w:tc>
          <w:tcPr>
            <w:tcW w:w="2340" w:type="dxa"/>
          </w:tcPr>
          <w:p w14:paraId="68E05C26" w14:textId="5FAC894E" w:rsidR="006B5396" w:rsidRDefault="006B5396" w:rsidP="006B5396">
            <w:r>
              <w:rPr>
                <w:b/>
                <w:bCs/>
              </w:rPr>
              <w:t>Фемара като монотерапия</w:t>
            </w:r>
          </w:p>
        </w:tc>
        <w:tc>
          <w:tcPr>
            <w:tcW w:w="2342" w:type="dxa"/>
          </w:tcPr>
          <w:p w14:paraId="023C0150" w14:textId="791C68CC" w:rsidR="006B5396" w:rsidRDefault="006B5396" w:rsidP="006B5396">
            <w:r>
              <w:rPr>
                <w:b/>
                <w:bCs/>
              </w:rPr>
              <w:t>Фемара- &gt;тамоксифен</w:t>
            </w:r>
          </w:p>
        </w:tc>
        <w:tc>
          <w:tcPr>
            <w:tcW w:w="2339" w:type="dxa"/>
          </w:tcPr>
          <w:p w14:paraId="530B15EE" w14:textId="51ED56CA" w:rsidR="006B5396" w:rsidRDefault="006B5396" w:rsidP="006B5396">
            <w:r>
              <w:rPr>
                <w:b/>
                <w:bCs/>
              </w:rPr>
              <w:t>Тамоксифен- &gt;Фемара</w:t>
            </w:r>
          </w:p>
        </w:tc>
      </w:tr>
      <w:tr w:rsidR="006B5396" w14:paraId="0F8FD24E" w14:textId="77777777" w:rsidTr="006B5396">
        <w:tc>
          <w:tcPr>
            <w:tcW w:w="2555" w:type="dxa"/>
          </w:tcPr>
          <w:p w14:paraId="3D457AFC" w14:textId="77777777" w:rsidR="006B5396" w:rsidRDefault="006B5396" w:rsidP="006B5396"/>
        </w:tc>
        <w:tc>
          <w:tcPr>
            <w:tcW w:w="2340" w:type="dxa"/>
          </w:tcPr>
          <w:p w14:paraId="2D8BDE4E" w14:textId="192766D1" w:rsidR="006B5396" w:rsidRDefault="006B5396" w:rsidP="006B5396">
            <w:r>
              <w:rPr>
                <w:lang w:val="en-US"/>
              </w:rPr>
              <w:t xml:space="preserve">N=1 </w:t>
            </w:r>
            <w:r>
              <w:t>535</w:t>
            </w:r>
          </w:p>
        </w:tc>
        <w:tc>
          <w:tcPr>
            <w:tcW w:w="2342" w:type="dxa"/>
          </w:tcPr>
          <w:p w14:paraId="69DC181F" w14:textId="17A014D4" w:rsidR="006B5396" w:rsidRDefault="006B5396" w:rsidP="006B5396">
            <w:r>
              <w:rPr>
                <w:lang w:val="en-US"/>
              </w:rPr>
              <w:t xml:space="preserve">N </w:t>
            </w:r>
            <w:r>
              <w:t>= 1 527</w:t>
            </w:r>
          </w:p>
        </w:tc>
        <w:tc>
          <w:tcPr>
            <w:tcW w:w="2339" w:type="dxa"/>
          </w:tcPr>
          <w:p w14:paraId="3B964989" w14:textId="734BC5A1" w:rsidR="006B5396" w:rsidRDefault="006B5396" w:rsidP="006B5396">
            <w:r>
              <w:rPr>
                <w:lang w:val="en-US"/>
              </w:rPr>
              <w:t xml:space="preserve">N = </w:t>
            </w:r>
            <w:r>
              <w:t>1 541</w:t>
            </w:r>
          </w:p>
        </w:tc>
      </w:tr>
      <w:tr w:rsidR="006B5396" w14:paraId="28B62FC8" w14:textId="77777777" w:rsidTr="006B5396">
        <w:tc>
          <w:tcPr>
            <w:tcW w:w="2555" w:type="dxa"/>
          </w:tcPr>
          <w:p w14:paraId="1B83C365" w14:textId="77777777" w:rsidR="006B5396" w:rsidRDefault="006B5396" w:rsidP="006B5396"/>
        </w:tc>
        <w:tc>
          <w:tcPr>
            <w:tcW w:w="2340" w:type="dxa"/>
          </w:tcPr>
          <w:p w14:paraId="28EBB0FD" w14:textId="3CE9AFAB" w:rsidR="006B5396" w:rsidRDefault="006B5396" w:rsidP="006B5396">
            <w:r>
              <w:t>5 години</w:t>
            </w:r>
          </w:p>
        </w:tc>
        <w:tc>
          <w:tcPr>
            <w:tcW w:w="2342" w:type="dxa"/>
          </w:tcPr>
          <w:p w14:paraId="74F1B5B2" w14:textId="6C050876" w:rsidR="006B5396" w:rsidRDefault="006B5396" w:rsidP="006B5396">
            <w:r>
              <w:t>2 год.-&gt; 3 год.</w:t>
            </w:r>
          </w:p>
        </w:tc>
        <w:tc>
          <w:tcPr>
            <w:tcW w:w="2339" w:type="dxa"/>
          </w:tcPr>
          <w:p w14:paraId="77D45B0E" w14:textId="182292CD" w:rsidR="006B5396" w:rsidRDefault="006B5396" w:rsidP="006B5396">
            <w:r>
              <w:t>2 год.-&gt; 3 год.</w:t>
            </w:r>
          </w:p>
        </w:tc>
      </w:tr>
      <w:tr w:rsidR="006B5396" w14:paraId="2B01674F" w14:textId="77777777" w:rsidTr="006B5396">
        <w:tc>
          <w:tcPr>
            <w:tcW w:w="2555" w:type="dxa"/>
          </w:tcPr>
          <w:p w14:paraId="7053E3B2" w14:textId="016686BD" w:rsidR="006B5396" w:rsidRDefault="006B5396" w:rsidP="006B5396">
            <w:r>
              <w:t>Костни фрактури</w:t>
            </w:r>
          </w:p>
        </w:tc>
        <w:tc>
          <w:tcPr>
            <w:tcW w:w="2340" w:type="dxa"/>
          </w:tcPr>
          <w:p w14:paraId="5D530DE9" w14:textId="554B9FFB" w:rsidR="006B5396" w:rsidRDefault="006B5396" w:rsidP="006B5396">
            <w:r>
              <w:t>10,0%</w:t>
            </w:r>
          </w:p>
        </w:tc>
        <w:tc>
          <w:tcPr>
            <w:tcW w:w="2342" w:type="dxa"/>
          </w:tcPr>
          <w:p w14:paraId="5649935D" w14:textId="5145372D" w:rsidR="006B5396" w:rsidRDefault="006B5396" w:rsidP="006B5396">
            <w:r>
              <w:t>7,7%*</w:t>
            </w:r>
          </w:p>
        </w:tc>
        <w:tc>
          <w:tcPr>
            <w:tcW w:w="2339" w:type="dxa"/>
          </w:tcPr>
          <w:p w14:paraId="5FA729F4" w14:textId="67629A3A" w:rsidR="006B5396" w:rsidRDefault="006B5396" w:rsidP="006B5396">
            <w:r>
              <w:t>9,7%</w:t>
            </w:r>
          </w:p>
        </w:tc>
      </w:tr>
      <w:tr w:rsidR="006B5396" w14:paraId="41D86404" w14:textId="77777777" w:rsidTr="006B5396">
        <w:tc>
          <w:tcPr>
            <w:tcW w:w="2555" w:type="dxa"/>
          </w:tcPr>
          <w:p w14:paraId="6FE50A3A" w14:textId="4CC39DF4" w:rsidR="006B5396" w:rsidRDefault="006B5396" w:rsidP="006B5396">
            <w:r>
              <w:t>Пролиферативни нарушения на ендометриума</w:t>
            </w:r>
          </w:p>
        </w:tc>
        <w:tc>
          <w:tcPr>
            <w:tcW w:w="2340" w:type="dxa"/>
          </w:tcPr>
          <w:p w14:paraId="40C64CAE" w14:textId="078F6F4A" w:rsidR="006B5396" w:rsidRDefault="006B5396" w:rsidP="006B5396">
            <w:r>
              <w:t>0,7%</w:t>
            </w:r>
          </w:p>
        </w:tc>
        <w:tc>
          <w:tcPr>
            <w:tcW w:w="2342" w:type="dxa"/>
          </w:tcPr>
          <w:p w14:paraId="1278818F" w14:textId="24AD0E9A" w:rsidR="006B5396" w:rsidRDefault="006B5396" w:rsidP="006B5396">
            <w:r>
              <w:t>3,4%**</w:t>
            </w:r>
          </w:p>
        </w:tc>
        <w:tc>
          <w:tcPr>
            <w:tcW w:w="2339" w:type="dxa"/>
          </w:tcPr>
          <w:p w14:paraId="340F1654" w14:textId="1E15DD93" w:rsidR="006B5396" w:rsidRDefault="006B5396" w:rsidP="006B5396">
            <w:r>
              <w:t>1,7%**</w:t>
            </w:r>
          </w:p>
        </w:tc>
      </w:tr>
      <w:tr w:rsidR="006B5396" w14:paraId="5984A1E7" w14:textId="77777777" w:rsidTr="006B5396">
        <w:tc>
          <w:tcPr>
            <w:tcW w:w="2555" w:type="dxa"/>
          </w:tcPr>
          <w:p w14:paraId="2581BC94" w14:textId="47E209A6" w:rsidR="006B5396" w:rsidRDefault="006B5396" w:rsidP="006B5396">
            <w:r>
              <w:t>Хиперхолестеролемия</w:t>
            </w:r>
          </w:p>
        </w:tc>
        <w:tc>
          <w:tcPr>
            <w:tcW w:w="2340" w:type="dxa"/>
          </w:tcPr>
          <w:p w14:paraId="7D2C4C68" w14:textId="4598F674" w:rsidR="006B5396" w:rsidRDefault="006B5396" w:rsidP="006B5396">
            <w:r>
              <w:t>52,5%</w:t>
            </w:r>
          </w:p>
        </w:tc>
        <w:tc>
          <w:tcPr>
            <w:tcW w:w="2342" w:type="dxa"/>
          </w:tcPr>
          <w:p w14:paraId="277C3F66" w14:textId="18338F1E" w:rsidR="006B5396" w:rsidRDefault="006B5396" w:rsidP="006B5396">
            <w:r>
              <w:t>44,2%*</w:t>
            </w:r>
          </w:p>
        </w:tc>
        <w:tc>
          <w:tcPr>
            <w:tcW w:w="2339" w:type="dxa"/>
          </w:tcPr>
          <w:p w14:paraId="6498EB38" w14:textId="0D06369C" w:rsidR="006B5396" w:rsidRDefault="006B5396" w:rsidP="006B5396">
            <w:r>
              <w:t>40,8%*</w:t>
            </w:r>
          </w:p>
        </w:tc>
      </w:tr>
      <w:tr w:rsidR="006B5396" w14:paraId="36AC749F" w14:textId="77777777" w:rsidTr="006B5396">
        <w:tc>
          <w:tcPr>
            <w:tcW w:w="2555" w:type="dxa"/>
          </w:tcPr>
          <w:p w14:paraId="5043FD99" w14:textId="4269C7CD" w:rsidR="006B5396" w:rsidRDefault="006B5396" w:rsidP="006B5396">
            <w:r>
              <w:t>Горещи вълни</w:t>
            </w:r>
          </w:p>
        </w:tc>
        <w:tc>
          <w:tcPr>
            <w:tcW w:w="2340" w:type="dxa"/>
          </w:tcPr>
          <w:p w14:paraId="5B64B8E3" w14:textId="6F22E819" w:rsidR="006B5396" w:rsidRDefault="006B5396" w:rsidP="006B5396">
            <w:r>
              <w:t>37,6%</w:t>
            </w:r>
          </w:p>
        </w:tc>
        <w:tc>
          <w:tcPr>
            <w:tcW w:w="2342" w:type="dxa"/>
          </w:tcPr>
          <w:p w14:paraId="4215C24B" w14:textId="292F051D" w:rsidR="006B5396" w:rsidRDefault="006B5396" w:rsidP="006B5396">
            <w:r>
              <w:t>41,7%**</w:t>
            </w:r>
          </w:p>
        </w:tc>
        <w:tc>
          <w:tcPr>
            <w:tcW w:w="2339" w:type="dxa"/>
          </w:tcPr>
          <w:p w14:paraId="57CB8B51" w14:textId="0BE3F118" w:rsidR="006B5396" w:rsidRDefault="006B5396" w:rsidP="006B5396">
            <w:r>
              <w:t>43,9%**</w:t>
            </w:r>
          </w:p>
        </w:tc>
      </w:tr>
      <w:tr w:rsidR="006B5396" w14:paraId="07C64794" w14:textId="77777777" w:rsidTr="006B5396">
        <w:tc>
          <w:tcPr>
            <w:tcW w:w="2555" w:type="dxa"/>
          </w:tcPr>
          <w:p w14:paraId="1102DB92" w14:textId="42A4EB1A" w:rsidR="006B5396" w:rsidRDefault="006B5396" w:rsidP="006B5396">
            <w:r>
              <w:t>Вагинално кървене</w:t>
            </w:r>
          </w:p>
        </w:tc>
        <w:tc>
          <w:tcPr>
            <w:tcW w:w="2340" w:type="dxa"/>
          </w:tcPr>
          <w:p w14:paraId="35AE216B" w14:textId="4BDC25ED" w:rsidR="006B5396" w:rsidRDefault="006B5396" w:rsidP="006B5396">
            <w:r>
              <w:t>6,3%</w:t>
            </w:r>
          </w:p>
        </w:tc>
        <w:tc>
          <w:tcPr>
            <w:tcW w:w="2342" w:type="dxa"/>
          </w:tcPr>
          <w:p w14:paraId="7444D43E" w14:textId="57A7DB00" w:rsidR="006B5396" w:rsidRDefault="006B5396" w:rsidP="006B5396">
            <w:r>
              <w:t>9,6%**</w:t>
            </w:r>
          </w:p>
        </w:tc>
        <w:tc>
          <w:tcPr>
            <w:tcW w:w="2339" w:type="dxa"/>
          </w:tcPr>
          <w:p w14:paraId="0F8F4E94" w14:textId="5D896A09" w:rsidR="006B5396" w:rsidRDefault="006B5396" w:rsidP="006B5396">
            <w:r>
              <w:t>12,7%**</w:t>
            </w:r>
          </w:p>
        </w:tc>
      </w:tr>
      <w:tr w:rsidR="006B5396" w14:paraId="11A79B03" w14:textId="77777777" w:rsidTr="006B5396">
        <w:tc>
          <w:tcPr>
            <w:tcW w:w="9576" w:type="dxa"/>
            <w:gridSpan w:val="4"/>
          </w:tcPr>
          <w:p w14:paraId="159A4F8A" w14:textId="1441CCAC" w:rsidR="006B5396" w:rsidRPr="006B5396" w:rsidRDefault="006B5396" w:rsidP="006B5396">
            <w:pPr>
              <w:spacing w:line="240" w:lineRule="auto"/>
              <w:rPr>
                <w:rFonts w:eastAsia="Times New Roman" w:cs="Arial"/>
                <w:color w:val="000000"/>
                <w:lang w:eastAsia="bg-BG"/>
              </w:rPr>
            </w:pPr>
            <w:r w:rsidRPr="006B5396">
              <w:rPr>
                <w:rFonts w:eastAsia="Times New Roman" w:cs="Arial"/>
                <w:color w:val="000000"/>
                <w:lang w:val="ru-RU" w:eastAsia="bg-BG"/>
              </w:rPr>
              <w:t>*</w:t>
            </w:r>
            <w:r w:rsidRPr="006B5396">
              <w:rPr>
                <w:rFonts w:eastAsia="Times New Roman" w:cs="Arial"/>
                <w:color w:val="000000"/>
                <w:lang w:eastAsia="bg-BG"/>
              </w:rPr>
              <w:t>Значително по-малко при Фемара като монотерапия</w:t>
            </w:r>
          </w:p>
          <w:p w14:paraId="5BEA26AA" w14:textId="3A02B0B4" w:rsidR="006B5396" w:rsidRPr="006B5396" w:rsidRDefault="006B5396" w:rsidP="006B5396">
            <w:pPr>
              <w:spacing w:line="240" w:lineRule="auto"/>
              <w:rPr>
                <w:rFonts w:eastAsia="Times New Roman" w:cs="Arial"/>
                <w:color w:val="000000"/>
                <w:lang w:eastAsia="bg-BG"/>
              </w:rPr>
            </w:pPr>
            <w:r w:rsidRPr="006B5396">
              <w:rPr>
                <w:rFonts w:eastAsia="Times New Roman" w:cs="Arial"/>
                <w:color w:val="000000"/>
                <w:lang w:val="ru-RU" w:eastAsia="bg-BG"/>
              </w:rPr>
              <w:t>**</w:t>
            </w:r>
            <w:r w:rsidRPr="006B5396">
              <w:rPr>
                <w:rFonts w:eastAsia="Times New Roman" w:cs="Arial"/>
                <w:color w:val="000000"/>
                <w:lang w:eastAsia="bg-BG"/>
              </w:rPr>
              <w:t>Значително повече при Фемара като монотерапия</w:t>
            </w:r>
          </w:p>
          <w:p w14:paraId="3518C0C2" w14:textId="6146836B" w:rsidR="006B5396" w:rsidRPr="006B5396" w:rsidRDefault="006B5396" w:rsidP="006B5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396">
              <w:rPr>
                <w:rFonts w:eastAsia="Times New Roman" w:cs="Arial"/>
                <w:color w:val="000000"/>
                <w:lang w:eastAsia="bg-BG"/>
              </w:rPr>
              <w:t>Забележка: Периодът за съобщаване е по време на лечението или 30 дни след спиране на лечението</w:t>
            </w:r>
          </w:p>
        </w:tc>
      </w:tr>
    </w:tbl>
    <w:p w14:paraId="5292B729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u w:val="single"/>
          <w:lang w:eastAsia="bg-BG"/>
        </w:rPr>
        <w:t>Описание на избрани нежелани реакции</w:t>
      </w:r>
    </w:p>
    <w:p w14:paraId="618984D2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i/>
          <w:iCs/>
          <w:color w:val="000000"/>
          <w:lang w:eastAsia="bg-BG"/>
        </w:rPr>
        <w:t>Нежелани реакции свързани със сърцето</w:t>
      </w:r>
    </w:p>
    <w:p w14:paraId="73B95FD3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При адювантна терапия, в допълнение към данните, представени в Таблица 2, се съобщават следните нежелани събития, съответно при Фемара и тамоксифен (при медиана на продължителност на лечението 60 месеца плюс 30 дни): стенокардия, изискваща оперативно лечение (1,0% спрямо 1,0%); сърдечна недостатъчност (1,1% спрямо 0,6%); хипертония (5,6% спрямо 5,7%); мозъчно-съдов инцидент/транзиторна исхемична атака (2,1% спрямо 1,9%).</w:t>
      </w:r>
    </w:p>
    <w:p w14:paraId="618E86EA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99E254E" w14:textId="1C5770C9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При разширена адювантна терапия съответно при Фемара (медиана на продължителност на лечението 5 години) и плацебо (медиана на продължителност на лечението 3 години) се съобщават: стенокардия, изискваща оперативно лечение (0,8% спрямо 0,6%); новопоявила се или влошаваща се стенокардия (1,4% спрямо 1,0%); миокарден инфаркт (1,0% спрямо 0,7%); тромбоемболични събития* (0,9% спрямо 0,3%); инсулт/транзиторна исхемична атака* (1,5% спрямо 0,8%).</w:t>
      </w:r>
    </w:p>
    <w:p w14:paraId="68C56952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309DA5C" w14:textId="33DAB7AE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Събитията, отбелязани със * имат статистически значима разлика в двете терапевтични рамена.</w:t>
      </w:r>
    </w:p>
    <w:p w14:paraId="0C04E03A" w14:textId="77777777" w:rsidR="006B5396" w:rsidRPr="006B5396" w:rsidRDefault="006B5396" w:rsidP="006B539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C0AB7AB" w14:textId="78666A31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i/>
          <w:iCs/>
          <w:color w:val="000000"/>
          <w:lang w:eastAsia="bg-BG"/>
        </w:rPr>
        <w:t>Скелетно-свързани събития</w:t>
      </w:r>
    </w:p>
    <w:p w14:paraId="6234D018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За данните за безопасност по отношение на костите при адюванта терапия, моля отнесете се към Таблица 2.</w:t>
      </w:r>
    </w:p>
    <w:p w14:paraId="472F8953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F2012AB" w14:textId="321ABF74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lastRenderedPageBreak/>
        <w:t xml:space="preserve">При разширена адювантна терапия при значително повече пациенти, лекувани с Фемара, се наблюдават костни фрактури или остеопороза (костни фрактури </w:t>
      </w:r>
      <w:r w:rsidRPr="006B5396">
        <w:rPr>
          <w:rFonts w:eastAsia="Times New Roman" w:cs="Arial"/>
          <w:i/>
          <w:iCs/>
          <w:color w:val="000000"/>
          <w:lang w:eastAsia="bg-BG"/>
        </w:rPr>
        <w:t>10,4%</w:t>
      </w:r>
      <w:r w:rsidRPr="006B5396">
        <w:rPr>
          <w:rFonts w:eastAsia="Times New Roman" w:cs="Arial"/>
          <w:color w:val="000000"/>
          <w:lang w:eastAsia="bg-BG"/>
        </w:rPr>
        <w:t xml:space="preserve"> и остеопороза 12,2%), отколкото при пациентите в плацебо-рамото (съответно 5,8% и 6,4%). Медианата на продължителност на лечението е 5 години с Фемара, спрямо 3 години с плацебо.</w:t>
      </w:r>
    </w:p>
    <w:p w14:paraId="695F248B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C78FDD1" w14:textId="05B41A3C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Съобщаване на подозирани нежелани реакции</w:t>
      </w:r>
    </w:p>
    <w:p w14:paraId="38AE10A5" w14:textId="4B5AEF6B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 националния регулаторен орган на адрес:</w:t>
      </w:r>
    </w:p>
    <w:p w14:paraId="5A27EE84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8C15BFE" w14:textId="7A9FA91E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Изпълнителна агенция по лекарствата</w:t>
      </w:r>
    </w:p>
    <w:p w14:paraId="7CF2CEC6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ул.,Дамян Груев” № 8</w:t>
      </w:r>
    </w:p>
    <w:p w14:paraId="09F38848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1303 София</w:t>
      </w:r>
    </w:p>
    <w:p w14:paraId="5EBFD97E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Тел.: +359 2 8903417</w:t>
      </w:r>
    </w:p>
    <w:p w14:paraId="7F45CE84" w14:textId="61A2A226" w:rsidR="006B5396" w:rsidRPr="006B5396" w:rsidRDefault="006B5396" w:rsidP="006B5396">
      <w:pPr>
        <w:rPr>
          <w:rFonts w:eastAsia="Times New Roman" w:cs="Arial"/>
          <w:color w:val="000000"/>
          <w:u w:val="single"/>
          <w:lang w:val="ru-RU"/>
        </w:rPr>
      </w:pPr>
      <w:r w:rsidRPr="006B5396">
        <w:rPr>
          <w:rFonts w:eastAsia="Times New Roman" w:cs="Arial"/>
          <w:color w:val="000000"/>
          <w:lang w:eastAsia="bg-BG"/>
        </w:rPr>
        <w:t xml:space="preserve">уебсайт: </w:t>
      </w:r>
      <w:hyperlink r:id="rId5" w:history="1">
        <w:r w:rsidRPr="006B5396">
          <w:rPr>
            <w:rStyle w:val="Hyperlink"/>
            <w:rFonts w:eastAsia="Times New Roman" w:cs="Arial"/>
            <w:lang w:val="en-US"/>
          </w:rPr>
          <w:t>www</w:t>
        </w:r>
        <w:r w:rsidRPr="006B5396">
          <w:rPr>
            <w:rStyle w:val="Hyperlink"/>
            <w:rFonts w:eastAsia="Times New Roman" w:cs="Arial"/>
            <w:lang w:val="ru-RU"/>
          </w:rPr>
          <w:t>.</w:t>
        </w:r>
        <w:proofErr w:type="spellStart"/>
        <w:r w:rsidRPr="006B5396">
          <w:rPr>
            <w:rStyle w:val="Hyperlink"/>
            <w:rFonts w:eastAsia="Times New Roman" w:cs="Arial"/>
            <w:lang w:val="en-US"/>
          </w:rPr>
          <w:t>bda</w:t>
        </w:r>
        <w:proofErr w:type="spellEnd"/>
        <w:r w:rsidRPr="006B5396">
          <w:rPr>
            <w:rStyle w:val="Hyperlink"/>
            <w:rFonts w:eastAsia="Times New Roman" w:cs="Arial"/>
            <w:lang w:val="ru-RU"/>
          </w:rPr>
          <w:t>.</w:t>
        </w:r>
        <w:proofErr w:type="spellStart"/>
        <w:r w:rsidRPr="006B5396">
          <w:rPr>
            <w:rStyle w:val="Hyperlink"/>
            <w:rFonts w:eastAsia="Times New Roman" w:cs="Arial"/>
            <w:lang w:val="en-US"/>
          </w:rPr>
          <w:t>bg</w:t>
        </w:r>
        <w:proofErr w:type="spellEnd"/>
      </w:hyperlink>
    </w:p>
    <w:p w14:paraId="243515D5" w14:textId="77777777" w:rsidR="006B5396" w:rsidRPr="006B5396" w:rsidRDefault="006B5396" w:rsidP="006B5396">
      <w:pPr>
        <w:rPr>
          <w:lang w:val="ru-RU"/>
        </w:rPr>
      </w:pPr>
    </w:p>
    <w:p w14:paraId="0A023CE0" w14:textId="42224AC1" w:rsidR="00CF77F7" w:rsidRDefault="002C50EE" w:rsidP="004A448E">
      <w:pPr>
        <w:pStyle w:val="Heading2"/>
      </w:pPr>
      <w:r>
        <w:t>4.9. Предозиране</w:t>
      </w:r>
    </w:p>
    <w:p w14:paraId="389AA52E" w14:textId="1FBFB21A" w:rsidR="006B5396" w:rsidRDefault="006B5396" w:rsidP="006B5396"/>
    <w:p w14:paraId="5E015E6E" w14:textId="77777777" w:rsidR="006B5396" w:rsidRPr="006B5396" w:rsidRDefault="006B5396" w:rsidP="006B5396">
      <w:pPr>
        <w:rPr>
          <w:sz w:val="24"/>
          <w:szCs w:val="24"/>
        </w:rPr>
      </w:pPr>
      <w:r w:rsidRPr="006B5396">
        <w:rPr>
          <w:lang w:eastAsia="bg-BG"/>
        </w:rPr>
        <w:t>Съобщават се изолирани случаи на предозиране с Фемара.</w:t>
      </w:r>
    </w:p>
    <w:p w14:paraId="010DE7D6" w14:textId="77777777" w:rsidR="006B5396" w:rsidRDefault="006B5396" w:rsidP="006B5396">
      <w:pPr>
        <w:rPr>
          <w:lang w:eastAsia="bg-BG"/>
        </w:rPr>
      </w:pPr>
    </w:p>
    <w:p w14:paraId="759086D0" w14:textId="4490C622" w:rsidR="006B5396" w:rsidRPr="006B5396" w:rsidRDefault="006B5396" w:rsidP="006B5396">
      <w:pPr>
        <w:rPr>
          <w:sz w:val="24"/>
          <w:szCs w:val="24"/>
        </w:rPr>
      </w:pPr>
      <w:r w:rsidRPr="006B5396">
        <w:rPr>
          <w:lang w:eastAsia="bg-BG"/>
        </w:rPr>
        <w:t>Не е известно специфично лечение при предозиране, лечението трябва да бъде симптоматично и поддържащо.</w:t>
      </w:r>
    </w:p>
    <w:p w14:paraId="18204180" w14:textId="77777777" w:rsidR="006B5396" w:rsidRPr="006B5396" w:rsidRDefault="006B5396" w:rsidP="006B5396"/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32B6DE66" w14:textId="0D83BC49" w:rsidR="00CF77F7" w:rsidRDefault="002C50EE" w:rsidP="004A448E">
      <w:pPr>
        <w:pStyle w:val="Heading2"/>
      </w:pPr>
      <w:r>
        <w:t>5.1. Фармакодинамични свойства</w:t>
      </w:r>
    </w:p>
    <w:p w14:paraId="11DAF133" w14:textId="1763E4BE" w:rsidR="006B5396" w:rsidRDefault="006B5396" w:rsidP="006B5396"/>
    <w:p w14:paraId="2E20E550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 xml:space="preserve">Фармакотерапевтична група: Ендокринна терапия. Хормонални антагонисти и сродни средства: ароматазен инхибитор, АТС код: </w:t>
      </w:r>
      <w:r w:rsidRPr="006B5396">
        <w:rPr>
          <w:rFonts w:eastAsia="Times New Roman" w:cs="Arial"/>
          <w:color w:val="000000"/>
          <w:lang w:val="en-US"/>
        </w:rPr>
        <w:t>L</w:t>
      </w:r>
      <w:r w:rsidRPr="006B5396">
        <w:rPr>
          <w:rFonts w:eastAsia="Times New Roman" w:cs="Arial"/>
          <w:color w:val="000000"/>
          <w:lang w:val="ru-RU"/>
        </w:rPr>
        <w:t>02</w:t>
      </w:r>
      <w:r w:rsidRPr="006B5396">
        <w:rPr>
          <w:rFonts w:eastAsia="Times New Roman" w:cs="Arial"/>
          <w:color w:val="000000"/>
          <w:lang w:val="en-US"/>
        </w:rPr>
        <w:t>BG</w:t>
      </w:r>
      <w:r w:rsidRPr="006B5396">
        <w:rPr>
          <w:rFonts w:eastAsia="Times New Roman" w:cs="Arial"/>
          <w:color w:val="000000"/>
          <w:lang w:val="ru-RU"/>
        </w:rPr>
        <w:t>04.</w:t>
      </w:r>
    </w:p>
    <w:p w14:paraId="0DC31994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F09FB50" w14:textId="550A78A4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u w:val="single"/>
          <w:lang w:eastAsia="bg-BG"/>
        </w:rPr>
        <w:t>Фармакодинамични ефекти</w:t>
      </w:r>
    </w:p>
    <w:p w14:paraId="7CFB1050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Елиминирането на естроген-медиираното стимулиране на растежа е предпоставка за повлияването на тумора в случаите, когато растежа на туморна тъкан зависи от присъствието на естрогени и се използва ендокринно лечение. При жените в постменопауза естрогени се произвеждат основно чрез действието на ензима ароматаза, който преобразува надбъбречните андрогени - предимно андростендион и тестостерон, в естрон и естрадиол. Следователно, потискането на биосинтезата на естроген в периферните тъкани и в самата ракова тъкан може да се постигне чрез специфично инхибиране на ензима ароматаза.</w:t>
      </w:r>
    </w:p>
    <w:p w14:paraId="20C6117A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6ADCE9D" w14:textId="10B8E8C2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Летрозол е нестероиден ароматазен инхибитор. Инхибира ензима ароматаза чрез конкурентно свързване с хема на ароматазните цитохром Р450 изоензими, което води до намаляване на биосинтезата на естроген във всички тъкани.</w:t>
      </w:r>
    </w:p>
    <w:p w14:paraId="359C1650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4DC3920" w14:textId="6999353B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 xml:space="preserve">При здрави жени в постменопауза, единични дози от 0,1 </w:t>
      </w:r>
      <w:r w:rsidRPr="006B5396">
        <w:rPr>
          <w:rFonts w:eastAsia="Times New Roman" w:cs="Arial"/>
          <w:color w:val="000000"/>
          <w:lang w:val="en-US"/>
        </w:rPr>
        <w:t>mg</w:t>
      </w:r>
      <w:r w:rsidRPr="006B5396">
        <w:rPr>
          <w:rFonts w:eastAsia="Times New Roman" w:cs="Arial"/>
          <w:color w:val="000000"/>
          <w:lang w:val="ru-RU"/>
        </w:rPr>
        <w:t xml:space="preserve">; </w:t>
      </w:r>
      <w:r w:rsidRPr="006B5396">
        <w:rPr>
          <w:rFonts w:eastAsia="Times New Roman" w:cs="Arial"/>
          <w:color w:val="000000"/>
          <w:lang w:eastAsia="bg-BG"/>
        </w:rPr>
        <w:t xml:space="preserve">0,5 </w:t>
      </w:r>
      <w:r w:rsidRPr="006B5396">
        <w:rPr>
          <w:rFonts w:eastAsia="Times New Roman" w:cs="Arial"/>
          <w:color w:val="000000"/>
          <w:lang w:val="en-US"/>
        </w:rPr>
        <w:t>mg</w:t>
      </w:r>
      <w:r w:rsidRPr="006B5396">
        <w:rPr>
          <w:rFonts w:eastAsia="Times New Roman" w:cs="Arial"/>
          <w:color w:val="000000"/>
          <w:lang w:val="ru-RU"/>
        </w:rPr>
        <w:t xml:space="preserve"> </w:t>
      </w:r>
      <w:r w:rsidRPr="006B5396">
        <w:rPr>
          <w:rFonts w:eastAsia="Times New Roman" w:cs="Arial"/>
          <w:color w:val="000000"/>
          <w:lang w:eastAsia="bg-BG"/>
        </w:rPr>
        <w:t xml:space="preserve">и 2,5 </w:t>
      </w:r>
      <w:r w:rsidRPr="006B5396">
        <w:rPr>
          <w:rFonts w:eastAsia="Times New Roman" w:cs="Arial"/>
          <w:color w:val="000000"/>
          <w:lang w:val="en-US"/>
        </w:rPr>
        <w:t>mg</w:t>
      </w:r>
      <w:r w:rsidRPr="006B5396">
        <w:rPr>
          <w:rFonts w:eastAsia="Times New Roman" w:cs="Arial"/>
          <w:color w:val="000000"/>
          <w:lang w:val="ru-RU"/>
        </w:rPr>
        <w:t xml:space="preserve"> </w:t>
      </w:r>
      <w:r w:rsidRPr="006B5396">
        <w:rPr>
          <w:rFonts w:eastAsia="Times New Roman" w:cs="Arial"/>
          <w:color w:val="000000"/>
          <w:lang w:eastAsia="bg-BG"/>
        </w:rPr>
        <w:t>летрозол понижават нивата на естрон и естрадиол в серума със съответно 75-78% и 78% спрямо изходните. Максимална супресия се постига в рамките на 48-78 часа.</w:t>
      </w:r>
    </w:p>
    <w:p w14:paraId="61AA693E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F883D2A" w14:textId="4010DAE5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 xml:space="preserve">При всички пациенти в постменопауза с рак на гърдата в напреднал стадий, лекувани с дневни дози от 0,1 </w:t>
      </w:r>
      <w:r w:rsidRPr="006B5396">
        <w:rPr>
          <w:rFonts w:eastAsia="Times New Roman" w:cs="Arial"/>
          <w:color w:val="000000"/>
          <w:lang w:val="en-US"/>
        </w:rPr>
        <w:t>mg</w:t>
      </w:r>
      <w:r w:rsidRPr="006B5396">
        <w:rPr>
          <w:rFonts w:eastAsia="Times New Roman" w:cs="Arial"/>
          <w:color w:val="000000"/>
          <w:lang w:val="ru-RU"/>
        </w:rPr>
        <w:t xml:space="preserve"> </w:t>
      </w:r>
      <w:r w:rsidRPr="006B5396">
        <w:rPr>
          <w:rFonts w:eastAsia="Times New Roman" w:cs="Arial"/>
          <w:color w:val="000000"/>
          <w:lang w:eastAsia="bg-BG"/>
        </w:rPr>
        <w:t xml:space="preserve">до 5 </w:t>
      </w:r>
      <w:r w:rsidRPr="006B5396">
        <w:rPr>
          <w:rFonts w:eastAsia="Times New Roman" w:cs="Arial"/>
          <w:color w:val="000000"/>
          <w:lang w:val="en-US"/>
        </w:rPr>
        <w:t>mg</w:t>
      </w:r>
      <w:r w:rsidRPr="006B5396">
        <w:rPr>
          <w:rFonts w:eastAsia="Times New Roman" w:cs="Arial"/>
          <w:color w:val="000000"/>
          <w:lang w:val="ru-RU"/>
        </w:rPr>
        <w:t xml:space="preserve">, </w:t>
      </w:r>
      <w:r w:rsidRPr="006B5396">
        <w:rPr>
          <w:rFonts w:eastAsia="Times New Roman" w:cs="Arial"/>
          <w:color w:val="000000"/>
          <w:lang w:eastAsia="bg-BG"/>
        </w:rPr>
        <w:t xml:space="preserve">плазмените концентрации на естрадиол, естрон и естрон сулфат се понижават със 75-95% от изходните. При дози от 0,5 </w:t>
      </w:r>
      <w:r w:rsidRPr="006B5396">
        <w:rPr>
          <w:rFonts w:eastAsia="Times New Roman" w:cs="Arial"/>
          <w:color w:val="000000"/>
          <w:lang w:val="en-US"/>
        </w:rPr>
        <w:t>mg</w:t>
      </w:r>
      <w:r w:rsidRPr="006B5396">
        <w:rPr>
          <w:rFonts w:eastAsia="Times New Roman" w:cs="Arial"/>
          <w:color w:val="000000"/>
          <w:lang w:val="ru-RU"/>
        </w:rPr>
        <w:t xml:space="preserve"> </w:t>
      </w:r>
      <w:r w:rsidRPr="006B5396">
        <w:rPr>
          <w:rFonts w:eastAsia="Times New Roman" w:cs="Arial"/>
          <w:color w:val="000000"/>
          <w:lang w:eastAsia="bg-BG"/>
        </w:rPr>
        <w:t>и по-високи, много от стойностите на естрон и естрон сулфат са под границата на откриване при количествено определяне, което показва, че при такава дозировка се постига по-висока степен на потискане на естрогена. Потискането на естрогените се поддържа при всички пациенти по време на целия лечебен курс.</w:t>
      </w:r>
    </w:p>
    <w:p w14:paraId="1313EC56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89F6B79" w14:textId="6194587F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 xml:space="preserve">Инхибирането на ароматазата от летрозол е високо специфично. Не се наблюдава нарушаване на стероидогенезата на надбъбречната жлеза. При пациентите в постменопауза, лекувани с дневни дози летрозол от 0,1 до 5 </w:t>
      </w:r>
      <w:r w:rsidRPr="006B5396">
        <w:rPr>
          <w:rFonts w:eastAsia="Times New Roman" w:cs="Arial"/>
          <w:color w:val="000000"/>
          <w:lang w:val="en-US"/>
        </w:rPr>
        <w:t>mg</w:t>
      </w:r>
      <w:r w:rsidRPr="006B5396">
        <w:rPr>
          <w:rFonts w:eastAsia="Times New Roman" w:cs="Arial"/>
          <w:color w:val="000000"/>
          <w:lang w:val="ru-RU"/>
        </w:rPr>
        <w:t xml:space="preserve"> </w:t>
      </w:r>
      <w:r w:rsidRPr="006B5396">
        <w:rPr>
          <w:rFonts w:eastAsia="Times New Roman" w:cs="Arial"/>
          <w:color w:val="000000"/>
          <w:lang w:eastAsia="bg-BG"/>
        </w:rPr>
        <w:t xml:space="preserve">не са установени клинично значими изменения в плазмените концентрации на кортизол, алдостерон, 11-дезоксикортизол, 17-хидроксипрогестерон и АСТН или в активността на плазмения ренин. Тестът за стимулиране с АСТН, проведен след 6 и 12 седмици лечение с дневни дози от 0,1 </w:t>
      </w:r>
      <w:r w:rsidRPr="006B5396">
        <w:rPr>
          <w:rFonts w:eastAsia="Times New Roman" w:cs="Arial"/>
          <w:color w:val="000000"/>
          <w:lang w:val="en-US"/>
        </w:rPr>
        <w:t>mg</w:t>
      </w:r>
      <w:r w:rsidRPr="006B5396">
        <w:rPr>
          <w:rFonts w:eastAsia="Times New Roman" w:cs="Arial"/>
          <w:color w:val="000000"/>
          <w:lang w:val="ru-RU"/>
        </w:rPr>
        <w:t xml:space="preserve">, </w:t>
      </w:r>
      <w:r w:rsidRPr="006B5396">
        <w:rPr>
          <w:rFonts w:eastAsia="Times New Roman" w:cs="Arial"/>
          <w:color w:val="000000"/>
          <w:lang w:eastAsia="bg-BG"/>
        </w:rPr>
        <w:t xml:space="preserve">0,25 </w:t>
      </w:r>
      <w:r w:rsidRPr="006B5396">
        <w:rPr>
          <w:rFonts w:eastAsia="Times New Roman" w:cs="Arial"/>
          <w:color w:val="000000"/>
          <w:lang w:val="en-US"/>
        </w:rPr>
        <w:t>mg</w:t>
      </w:r>
      <w:r w:rsidRPr="006B5396">
        <w:rPr>
          <w:rFonts w:eastAsia="Times New Roman" w:cs="Arial"/>
          <w:color w:val="000000"/>
          <w:lang w:val="ru-RU"/>
        </w:rPr>
        <w:t xml:space="preserve">, </w:t>
      </w:r>
      <w:r w:rsidRPr="006B5396">
        <w:rPr>
          <w:rFonts w:eastAsia="Times New Roman" w:cs="Arial"/>
          <w:color w:val="000000"/>
          <w:lang w:eastAsia="bg-BG"/>
        </w:rPr>
        <w:t xml:space="preserve">0,5 </w:t>
      </w:r>
      <w:r w:rsidRPr="006B5396">
        <w:rPr>
          <w:rFonts w:eastAsia="Times New Roman" w:cs="Arial"/>
          <w:color w:val="000000"/>
          <w:lang w:val="en-US"/>
        </w:rPr>
        <w:t>mg</w:t>
      </w:r>
      <w:r w:rsidRPr="006B5396">
        <w:rPr>
          <w:rFonts w:eastAsia="Times New Roman" w:cs="Arial"/>
          <w:color w:val="000000"/>
          <w:lang w:val="ru-RU"/>
        </w:rPr>
        <w:t xml:space="preserve">, </w:t>
      </w:r>
      <w:r w:rsidRPr="006B5396">
        <w:rPr>
          <w:rFonts w:eastAsia="Times New Roman" w:cs="Arial"/>
          <w:color w:val="000000"/>
          <w:lang w:eastAsia="bg-BG"/>
        </w:rPr>
        <w:t xml:space="preserve">1 </w:t>
      </w:r>
      <w:r w:rsidRPr="006B5396">
        <w:rPr>
          <w:rFonts w:eastAsia="Times New Roman" w:cs="Arial"/>
          <w:color w:val="000000"/>
          <w:lang w:val="en-US"/>
        </w:rPr>
        <w:t>mg</w:t>
      </w:r>
      <w:r w:rsidRPr="006B5396">
        <w:rPr>
          <w:rFonts w:eastAsia="Times New Roman" w:cs="Arial"/>
          <w:color w:val="000000"/>
          <w:lang w:val="ru-RU"/>
        </w:rPr>
        <w:t xml:space="preserve">, 2,5 </w:t>
      </w:r>
      <w:r w:rsidRPr="006B5396">
        <w:rPr>
          <w:rFonts w:eastAsia="Times New Roman" w:cs="Arial"/>
          <w:color w:val="000000"/>
          <w:lang w:val="en-US"/>
        </w:rPr>
        <w:t>mg</w:t>
      </w:r>
      <w:r w:rsidRPr="006B5396">
        <w:rPr>
          <w:rFonts w:eastAsia="Times New Roman" w:cs="Arial"/>
          <w:color w:val="000000"/>
          <w:lang w:val="ru-RU"/>
        </w:rPr>
        <w:t xml:space="preserve"> </w:t>
      </w:r>
      <w:r w:rsidRPr="006B5396">
        <w:rPr>
          <w:rFonts w:eastAsia="Times New Roman" w:cs="Arial"/>
          <w:color w:val="000000"/>
          <w:lang w:eastAsia="bg-BG"/>
        </w:rPr>
        <w:t xml:space="preserve">и </w:t>
      </w:r>
      <w:r w:rsidRPr="006B5396">
        <w:rPr>
          <w:rFonts w:eastAsia="Times New Roman" w:cs="Arial"/>
          <w:color w:val="000000"/>
          <w:lang w:val="ru-RU"/>
        </w:rPr>
        <w:t xml:space="preserve">5 </w:t>
      </w:r>
      <w:r w:rsidRPr="006B5396">
        <w:rPr>
          <w:rFonts w:eastAsia="Times New Roman" w:cs="Arial"/>
          <w:color w:val="000000"/>
          <w:lang w:val="en-US"/>
        </w:rPr>
        <w:t>mg</w:t>
      </w:r>
      <w:r w:rsidRPr="006B5396">
        <w:rPr>
          <w:rFonts w:eastAsia="Times New Roman" w:cs="Arial"/>
          <w:color w:val="000000"/>
          <w:lang w:val="ru-RU"/>
        </w:rPr>
        <w:t xml:space="preserve">, </w:t>
      </w:r>
      <w:r w:rsidRPr="006B5396">
        <w:rPr>
          <w:rFonts w:eastAsia="Times New Roman" w:cs="Arial"/>
          <w:color w:val="000000"/>
          <w:lang w:eastAsia="bg-BG"/>
        </w:rPr>
        <w:t>не показва отслабване на продукцията на алдостерон или кортизол. Така че, не е необходимо допълване на лечението с глюкокортикоиди и минералокортикоиди.</w:t>
      </w:r>
    </w:p>
    <w:p w14:paraId="05419B61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6EAB40E" w14:textId="3470B6F2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lang w:val="ru-RU"/>
        </w:rPr>
      </w:pPr>
      <w:r w:rsidRPr="006B5396">
        <w:rPr>
          <w:rFonts w:eastAsia="Times New Roman" w:cs="Arial"/>
          <w:color w:val="000000"/>
          <w:lang w:eastAsia="bg-BG"/>
        </w:rPr>
        <w:t xml:space="preserve">Не са установени изменения в плазмените концентрации на андрогените (андростендион и тестостерон) при здрави жени в постменопауза след приемане на единични дози от 0,1 </w:t>
      </w:r>
      <w:r w:rsidRPr="006B5396">
        <w:rPr>
          <w:rFonts w:eastAsia="Times New Roman" w:cs="Arial"/>
          <w:color w:val="000000"/>
          <w:lang w:val="en-US"/>
        </w:rPr>
        <w:t>mg</w:t>
      </w:r>
      <w:r w:rsidRPr="006B5396">
        <w:rPr>
          <w:rFonts w:eastAsia="Times New Roman" w:cs="Arial"/>
          <w:color w:val="000000"/>
          <w:lang w:val="ru-RU"/>
        </w:rPr>
        <w:t xml:space="preserve">, </w:t>
      </w:r>
      <w:r w:rsidRPr="006B5396">
        <w:rPr>
          <w:rFonts w:eastAsia="Times New Roman" w:cs="Arial"/>
          <w:color w:val="000000"/>
          <w:lang w:eastAsia="bg-BG"/>
        </w:rPr>
        <w:t xml:space="preserve">0,5 </w:t>
      </w:r>
      <w:r w:rsidRPr="006B5396">
        <w:rPr>
          <w:rFonts w:eastAsia="Times New Roman" w:cs="Arial"/>
          <w:color w:val="000000"/>
          <w:lang w:val="en-US"/>
        </w:rPr>
        <w:t>mg</w:t>
      </w:r>
      <w:r w:rsidRPr="006B5396">
        <w:rPr>
          <w:rFonts w:eastAsia="Times New Roman" w:cs="Arial"/>
          <w:color w:val="000000"/>
          <w:lang w:val="ru-RU"/>
        </w:rPr>
        <w:t xml:space="preserve"> </w:t>
      </w:r>
      <w:r w:rsidRPr="006B5396">
        <w:rPr>
          <w:rFonts w:eastAsia="Times New Roman" w:cs="Arial"/>
          <w:color w:val="000000"/>
          <w:lang w:eastAsia="bg-BG"/>
        </w:rPr>
        <w:t xml:space="preserve">и 2,5 </w:t>
      </w:r>
      <w:r w:rsidRPr="006B5396">
        <w:rPr>
          <w:rFonts w:eastAsia="Times New Roman" w:cs="Arial"/>
          <w:color w:val="000000"/>
          <w:lang w:val="en-US"/>
        </w:rPr>
        <w:t>mg</w:t>
      </w:r>
      <w:r w:rsidRPr="006B5396">
        <w:rPr>
          <w:rFonts w:eastAsia="Times New Roman" w:cs="Arial"/>
          <w:color w:val="000000"/>
          <w:lang w:val="ru-RU"/>
        </w:rPr>
        <w:t xml:space="preserve"> </w:t>
      </w:r>
      <w:r w:rsidRPr="006B5396">
        <w:rPr>
          <w:rFonts w:eastAsia="Times New Roman" w:cs="Arial"/>
          <w:color w:val="000000"/>
          <w:lang w:eastAsia="bg-BG"/>
        </w:rPr>
        <w:t xml:space="preserve">летрозол, както и в плазмените концентрации на андростендион при пациентите в постменопауза, лекувани с дневни дози от 0,1 </w:t>
      </w:r>
      <w:r w:rsidRPr="006B5396">
        <w:rPr>
          <w:rFonts w:eastAsia="Times New Roman" w:cs="Arial"/>
          <w:color w:val="000000"/>
          <w:lang w:val="en-US"/>
        </w:rPr>
        <w:t>mg</w:t>
      </w:r>
      <w:r w:rsidRPr="006B5396">
        <w:rPr>
          <w:rFonts w:eastAsia="Times New Roman" w:cs="Arial"/>
          <w:color w:val="000000"/>
          <w:lang w:val="ru-RU"/>
        </w:rPr>
        <w:t xml:space="preserve"> </w:t>
      </w:r>
      <w:r w:rsidRPr="006B5396">
        <w:rPr>
          <w:rFonts w:eastAsia="Times New Roman" w:cs="Arial"/>
          <w:color w:val="000000"/>
          <w:lang w:eastAsia="bg-BG"/>
        </w:rPr>
        <w:t xml:space="preserve">до 5 </w:t>
      </w:r>
      <w:r w:rsidRPr="006B5396">
        <w:rPr>
          <w:rFonts w:eastAsia="Times New Roman" w:cs="Arial"/>
          <w:color w:val="000000"/>
          <w:lang w:val="en-US"/>
        </w:rPr>
        <w:t>mg</w:t>
      </w:r>
      <w:r w:rsidRPr="006B5396">
        <w:rPr>
          <w:rFonts w:eastAsia="Times New Roman" w:cs="Arial"/>
          <w:color w:val="000000"/>
          <w:lang w:val="ru-RU"/>
        </w:rPr>
        <w:t xml:space="preserve">, </w:t>
      </w:r>
      <w:r w:rsidRPr="006B5396">
        <w:rPr>
          <w:rFonts w:eastAsia="Times New Roman" w:cs="Arial"/>
          <w:color w:val="000000"/>
          <w:lang w:eastAsia="bg-BG"/>
        </w:rPr>
        <w:t xml:space="preserve">което показва, че блокирането на биосинтезата на естроген не води до кумулиране на андрогенни прекурсори При пациентите плазмените нива на </w:t>
      </w:r>
      <w:r w:rsidRPr="006B5396">
        <w:rPr>
          <w:rFonts w:eastAsia="Times New Roman" w:cs="Arial"/>
          <w:color w:val="000000"/>
          <w:lang w:val="en-US"/>
        </w:rPr>
        <w:t>LH</w:t>
      </w:r>
      <w:r w:rsidRPr="006B5396">
        <w:rPr>
          <w:rFonts w:eastAsia="Times New Roman" w:cs="Arial"/>
          <w:color w:val="000000"/>
          <w:lang w:val="ru-RU"/>
        </w:rPr>
        <w:t xml:space="preserve"> </w:t>
      </w:r>
      <w:r w:rsidRPr="006B5396">
        <w:rPr>
          <w:rFonts w:eastAsia="Times New Roman" w:cs="Arial"/>
          <w:color w:val="000000"/>
          <w:lang w:eastAsia="bg-BG"/>
        </w:rPr>
        <w:t xml:space="preserve">и </w:t>
      </w:r>
      <w:r w:rsidRPr="006B5396">
        <w:rPr>
          <w:rFonts w:eastAsia="Times New Roman" w:cs="Arial"/>
          <w:color w:val="000000"/>
          <w:lang w:val="en-US"/>
        </w:rPr>
        <w:t>FSH</w:t>
      </w:r>
      <w:r w:rsidRPr="006B5396">
        <w:rPr>
          <w:rFonts w:eastAsia="Times New Roman" w:cs="Arial"/>
          <w:color w:val="000000"/>
          <w:lang w:val="ru-RU"/>
        </w:rPr>
        <w:t xml:space="preserve"> </w:t>
      </w:r>
      <w:r w:rsidRPr="006B5396">
        <w:rPr>
          <w:rFonts w:eastAsia="Times New Roman" w:cs="Arial"/>
          <w:color w:val="000000"/>
          <w:lang w:eastAsia="bg-BG"/>
        </w:rPr>
        <w:t xml:space="preserve">не се повлияват от летрозол, същото се отнася и до функцията на щитовидната жлеза, оценена чрез тест за захващане на </w:t>
      </w:r>
      <w:r w:rsidRPr="006B5396">
        <w:rPr>
          <w:rFonts w:eastAsia="Times New Roman" w:cs="Arial"/>
          <w:color w:val="000000"/>
          <w:lang w:val="en-US"/>
        </w:rPr>
        <w:t>TSH</w:t>
      </w:r>
      <w:r w:rsidRPr="006B5396">
        <w:rPr>
          <w:rFonts w:eastAsia="Times New Roman" w:cs="Arial"/>
          <w:color w:val="000000"/>
          <w:lang w:val="ru-RU"/>
        </w:rPr>
        <w:t xml:space="preserve">, </w:t>
      </w:r>
      <w:r w:rsidRPr="006B5396">
        <w:rPr>
          <w:rFonts w:eastAsia="Times New Roman" w:cs="Arial"/>
          <w:color w:val="000000"/>
          <w:lang w:val="en-US"/>
        </w:rPr>
        <w:t>T</w:t>
      </w:r>
      <w:r w:rsidRPr="006B5396">
        <w:rPr>
          <w:rFonts w:eastAsia="Times New Roman" w:cs="Arial"/>
          <w:color w:val="000000"/>
          <w:lang w:val="ru-RU"/>
        </w:rPr>
        <w:t xml:space="preserve">4 </w:t>
      </w:r>
      <w:r w:rsidRPr="006B5396">
        <w:rPr>
          <w:rFonts w:eastAsia="Times New Roman" w:cs="Arial"/>
          <w:color w:val="000000"/>
          <w:lang w:eastAsia="bg-BG"/>
        </w:rPr>
        <w:t xml:space="preserve">и </w:t>
      </w:r>
      <w:r w:rsidRPr="006B5396">
        <w:rPr>
          <w:rFonts w:eastAsia="Times New Roman" w:cs="Arial"/>
          <w:color w:val="000000"/>
          <w:lang w:val="en-US"/>
        </w:rPr>
        <w:t>T</w:t>
      </w:r>
      <w:r w:rsidRPr="006B5396">
        <w:rPr>
          <w:rFonts w:eastAsia="Times New Roman" w:cs="Arial"/>
          <w:color w:val="000000"/>
          <w:lang w:val="ru-RU"/>
        </w:rPr>
        <w:t>3.</w:t>
      </w:r>
    </w:p>
    <w:p w14:paraId="6327354F" w14:textId="7234F7E8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lang w:val="ru-RU"/>
        </w:rPr>
      </w:pPr>
    </w:p>
    <w:p w14:paraId="00EB5F2E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u w:val="single"/>
          <w:lang w:eastAsia="bg-BG"/>
        </w:rPr>
        <w:t>Адювантна терапия</w:t>
      </w:r>
    </w:p>
    <w:p w14:paraId="60AF1BC9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i/>
          <w:iCs/>
          <w:color w:val="000000"/>
          <w:u w:val="single"/>
          <w:lang w:eastAsia="bg-BG"/>
        </w:rPr>
        <w:t xml:space="preserve">Проучване </w:t>
      </w:r>
      <w:r w:rsidRPr="006B5396">
        <w:rPr>
          <w:rFonts w:eastAsia="Times New Roman" w:cs="Arial"/>
          <w:i/>
          <w:iCs/>
          <w:color w:val="000000"/>
          <w:u w:val="single"/>
          <w:lang w:val="en-US"/>
        </w:rPr>
        <w:t>BIG</w:t>
      </w:r>
      <w:r w:rsidRPr="006B5396">
        <w:rPr>
          <w:rFonts w:eastAsia="Times New Roman" w:cs="Arial"/>
          <w:i/>
          <w:iCs/>
          <w:color w:val="000000"/>
          <w:u w:val="single"/>
          <w:lang w:val="ru-RU"/>
        </w:rPr>
        <w:t xml:space="preserve"> </w:t>
      </w:r>
      <w:r w:rsidRPr="006B5396">
        <w:rPr>
          <w:rFonts w:eastAsia="Times New Roman" w:cs="Arial"/>
          <w:i/>
          <w:iCs/>
          <w:color w:val="000000"/>
          <w:u w:val="single"/>
          <w:lang w:eastAsia="bg-BG"/>
        </w:rPr>
        <w:t>1-98</w:t>
      </w:r>
    </w:p>
    <w:p w14:paraId="38C9D114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val="en-US"/>
        </w:rPr>
        <w:t>BIG</w:t>
      </w:r>
      <w:r w:rsidRPr="006B5396">
        <w:rPr>
          <w:rFonts w:eastAsia="Times New Roman" w:cs="Arial"/>
          <w:color w:val="000000"/>
          <w:lang w:val="ru-RU"/>
        </w:rPr>
        <w:t xml:space="preserve"> </w:t>
      </w:r>
      <w:r w:rsidRPr="006B5396">
        <w:rPr>
          <w:rFonts w:eastAsia="Times New Roman" w:cs="Arial"/>
          <w:color w:val="000000"/>
          <w:lang w:eastAsia="bg-BG"/>
        </w:rPr>
        <w:t>1-98 е многоцентрово, двойносляпо проучване, при което над 8 000 постменопаузални жени с позитивен за хормонални рецептори рак на гърдата в начален стадий са рандомизирани на едно от следните лечения: А. тамоксифен за 5 години; Б. Фемара за 5 години; В. тамоксифен за 2 години, а след това Фемара за 3 години; Г. Фемара за 2 години, а след това тамоксифен за 3 години.</w:t>
      </w:r>
    </w:p>
    <w:p w14:paraId="34C5C681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166B027" w14:textId="1029F5C2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 xml:space="preserve">Първичната крайна точка е преживяемост без заболяване </w:t>
      </w:r>
      <w:r w:rsidRPr="006B5396">
        <w:rPr>
          <w:rFonts w:eastAsia="Times New Roman" w:cs="Arial"/>
          <w:color w:val="000000"/>
          <w:lang w:val="ru-RU"/>
        </w:rPr>
        <w:t>(</w:t>
      </w:r>
      <w:r w:rsidRPr="006B5396">
        <w:rPr>
          <w:rFonts w:eastAsia="Times New Roman" w:cs="Arial"/>
          <w:color w:val="000000"/>
          <w:lang w:val="en-US"/>
        </w:rPr>
        <w:t>DFS</w:t>
      </w:r>
      <w:r w:rsidRPr="006B5396">
        <w:rPr>
          <w:rFonts w:eastAsia="Times New Roman" w:cs="Arial"/>
          <w:color w:val="000000"/>
          <w:lang w:val="ru-RU"/>
        </w:rPr>
        <w:t xml:space="preserve">); </w:t>
      </w:r>
      <w:r w:rsidRPr="006B5396">
        <w:rPr>
          <w:rFonts w:eastAsia="Times New Roman" w:cs="Arial"/>
          <w:color w:val="000000"/>
          <w:lang w:eastAsia="bg-BG"/>
        </w:rPr>
        <w:t xml:space="preserve">вторични крайни точки за ефикасност са време до поява на далечни метастази </w:t>
      </w:r>
      <w:r w:rsidRPr="006B5396">
        <w:rPr>
          <w:rFonts w:eastAsia="Times New Roman" w:cs="Arial"/>
          <w:color w:val="000000"/>
          <w:lang w:val="ru-RU"/>
        </w:rPr>
        <w:t>(</w:t>
      </w:r>
      <w:r w:rsidRPr="006B5396">
        <w:rPr>
          <w:rFonts w:eastAsia="Times New Roman" w:cs="Arial"/>
          <w:color w:val="000000"/>
          <w:lang w:val="en-US"/>
        </w:rPr>
        <w:t>TDM</w:t>
      </w:r>
      <w:r w:rsidRPr="006B5396">
        <w:rPr>
          <w:rFonts w:eastAsia="Times New Roman" w:cs="Arial"/>
          <w:color w:val="000000"/>
          <w:lang w:val="ru-RU"/>
        </w:rPr>
        <w:t xml:space="preserve">), </w:t>
      </w:r>
      <w:r w:rsidRPr="006B5396">
        <w:rPr>
          <w:rFonts w:eastAsia="Times New Roman" w:cs="Arial"/>
          <w:color w:val="000000"/>
          <w:lang w:eastAsia="bg-BG"/>
        </w:rPr>
        <w:t xml:space="preserve">преживяемост без далечни метастази </w:t>
      </w:r>
      <w:r w:rsidRPr="006B5396">
        <w:rPr>
          <w:rFonts w:eastAsia="Times New Roman" w:cs="Arial"/>
          <w:color w:val="000000"/>
          <w:lang w:val="ru-RU"/>
        </w:rPr>
        <w:t>(</w:t>
      </w:r>
      <w:r w:rsidRPr="006B5396">
        <w:rPr>
          <w:rFonts w:eastAsia="Times New Roman" w:cs="Arial"/>
          <w:color w:val="000000"/>
          <w:lang w:val="en-US"/>
        </w:rPr>
        <w:t>DDFS</w:t>
      </w:r>
      <w:r w:rsidRPr="006B5396">
        <w:rPr>
          <w:rFonts w:eastAsia="Times New Roman" w:cs="Arial"/>
          <w:color w:val="000000"/>
          <w:lang w:val="ru-RU"/>
        </w:rPr>
        <w:t xml:space="preserve">), </w:t>
      </w:r>
      <w:r w:rsidRPr="006B5396">
        <w:rPr>
          <w:rFonts w:eastAsia="Times New Roman" w:cs="Arial"/>
          <w:color w:val="000000"/>
          <w:lang w:eastAsia="bg-BG"/>
        </w:rPr>
        <w:t xml:space="preserve">обща преживяемост </w:t>
      </w:r>
      <w:r w:rsidRPr="006B5396">
        <w:rPr>
          <w:rFonts w:eastAsia="Times New Roman" w:cs="Arial"/>
          <w:color w:val="000000"/>
          <w:lang w:val="ru-RU"/>
        </w:rPr>
        <w:t>(</w:t>
      </w:r>
      <w:r w:rsidRPr="006B5396">
        <w:rPr>
          <w:rFonts w:eastAsia="Times New Roman" w:cs="Arial"/>
          <w:color w:val="000000"/>
          <w:lang w:val="en-US"/>
        </w:rPr>
        <w:t>OS</w:t>
      </w:r>
      <w:r w:rsidRPr="006B5396">
        <w:rPr>
          <w:rFonts w:eastAsia="Times New Roman" w:cs="Arial"/>
          <w:color w:val="000000"/>
          <w:lang w:val="ru-RU"/>
        </w:rPr>
        <w:t xml:space="preserve">), </w:t>
      </w:r>
      <w:r w:rsidRPr="006B5396">
        <w:rPr>
          <w:rFonts w:eastAsia="Times New Roman" w:cs="Arial"/>
          <w:color w:val="000000"/>
          <w:lang w:eastAsia="bg-BG"/>
        </w:rPr>
        <w:t xml:space="preserve">преживяемост без системно заболяване </w:t>
      </w:r>
      <w:r w:rsidRPr="006B5396">
        <w:rPr>
          <w:rFonts w:eastAsia="Times New Roman" w:cs="Arial"/>
          <w:color w:val="000000"/>
          <w:lang w:val="ru-RU"/>
        </w:rPr>
        <w:t>(</w:t>
      </w:r>
      <w:r w:rsidRPr="006B5396">
        <w:rPr>
          <w:rFonts w:eastAsia="Times New Roman" w:cs="Arial"/>
          <w:color w:val="000000"/>
          <w:lang w:val="en-US"/>
        </w:rPr>
        <w:t>SDFS</w:t>
      </w:r>
      <w:r w:rsidRPr="006B5396">
        <w:rPr>
          <w:rFonts w:eastAsia="Times New Roman" w:cs="Arial"/>
          <w:color w:val="000000"/>
          <w:lang w:val="ru-RU"/>
        </w:rPr>
        <w:t xml:space="preserve">), </w:t>
      </w:r>
      <w:r w:rsidRPr="006B5396">
        <w:rPr>
          <w:rFonts w:eastAsia="Times New Roman" w:cs="Arial"/>
          <w:color w:val="000000"/>
          <w:lang w:eastAsia="bg-BG"/>
        </w:rPr>
        <w:t>инвазивен контралатерален рак на гърдата и време до рецидив на рака на гърдата.</w:t>
      </w:r>
    </w:p>
    <w:p w14:paraId="427EA919" w14:textId="77777777" w:rsidR="006B5396" w:rsidRPr="006B5396" w:rsidRDefault="006B5396" w:rsidP="006B5396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4B80915F" w14:textId="0ED9542B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i/>
          <w:iCs/>
          <w:color w:val="000000"/>
          <w:lang w:eastAsia="bg-BG"/>
        </w:rPr>
        <w:t>Данни за ефикасност при медиана на проследяване 26 и 60 месеца</w:t>
      </w:r>
    </w:p>
    <w:p w14:paraId="1E55D51C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color w:val="000000"/>
          <w:lang w:eastAsia="bg-BG"/>
        </w:rPr>
        <w:t>Данните в Таблица 4 отразяват резултатите от Първичния основен анализ на проучването (РСА), базиран на данните от рамената на монотерапия (А и Б) и от двете рамена, при които има смяна на терапията (В и Г), при медиана на продължителност на лечението 24 месеца и медиана на проследяване 26 месеца, и при медиана на продължителност на лечението 32 месеца и медиана на проследяване 60 месеца.</w:t>
      </w:r>
    </w:p>
    <w:p w14:paraId="3D194E30" w14:textId="77777777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11963A1" w14:textId="62C51090" w:rsidR="006B5396" w:rsidRPr="006B5396" w:rsidRDefault="006B5396" w:rsidP="006B5396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6B5396">
        <w:rPr>
          <w:rFonts w:eastAsia="Times New Roman" w:cs="Arial"/>
          <w:color w:val="000000"/>
          <w:lang w:eastAsia="bg-BG"/>
        </w:rPr>
        <w:t xml:space="preserve">Процентът на 5-годишната преживяемост без заболяване е 84% при Фемара и 81,4% при </w:t>
      </w:r>
    </w:p>
    <w:p w14:paraId="5DDD66B7" w14:textId="7202C374" w:rsidR="006B5396" w:rsidRDefault="006B5396" w:rsidP="006B5396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6B5396">
        <w:rPr>
          <w:rFonts w:eastAsia="Times New Roman" w:cs="Arial"/>
          <w:color w:val="000000"/>
          <w:lang w:eastAsia="bg-BG"/>
        </w:rPr>
        <w:t>тамоксифен.</w:t>
      </w:r>
    </w:p>
    <w:p w14:paraId="6F113525" w14:textId="7777777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</w:p>
    <w:p w14:paraId="78E420A3" w14:textId="77777777" w:rsidR="006B5396" w:rsidRPr="006B5396" w:rsidRDefault="006B5396" w:rsidP="006B5396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11BA68A1" w14:textId="160FD827" w:rsidR="006B5396" w:rsidRPr="006B5396" w:rsidRDefault="006B5396" w:rsidP="006B5396">
      <w:pPr>
        <w:spacing w:line="240" w:lineRule="auto"/>
        <w:rPr>
          <w:rFonts w:eastAsia="Times New Roman" w:cs="Arial"/>
          <w:sz w:val="24"/>
          <w:szCs w:val="24"/>
        </w:rPr>
      </w:pPr>
      <w:r w:rsidRPr="006B5396">
        <w:rPr>
          <w:rFonts w:eastAsia="Times New Roman" w:cs="Arial"/>
          <w:b/>
          <w:bCs/>
          <w:color w:val="000000"/>
          <w:lang w:eastAsia="bg-BG"/>
        </w:rPr>
        <w:t xml:space="preserve">Таблица </w:t>
      </w:r>
      <w:r w:rsidRPr="006B5396">
        <w:rPr>
          <w:rFonts w:eastAsia="Times New Roman" w:cs="Arial"/>
          <w:b/>
          <w:bCs/>
          <w:i/>
          <w:iCs/>
          <w:color w:val="000000"/>
          <w:lang w:eastAsia="bg-BG"/>
        </w:rPr>
        <w:t>4</w:t>
      </w:r>
      <w:r w:rsidRPr="006B5396">
        <w:rPr>
          <w:rFonts w:eastAsia="Times New Roman" w:cs="Arial"/>
          <w:b/>
          <w:bCs/>
          <w:color w:val="000000"/>
          <w:lang w:eastAsia="bg-BG"/>
        </w:rPr>
        <w:t xml:space="preserve"> Първичен анализ на проучването: Преживяемост без заболяване и обща преживяемост при средно проследяване от 26 месеца и средно проследяване от 60 месеца </w:t>
      </w:r>
      <w:r w:rsidRPr="006B5396">
        <w:rPr>
          <w:rFonts w:eastAsia="Times New Roman" w:cs="Arial"/>
          <w:b/>
          <w:bCs/>
          <w:color w:val="000000"/>
          <w:lang w:val="ru-RU"/>
        </w:rPr>
        <w:t>(</w:t>
      </w:r>
      <w:r w:rsidRPr="006B5396">
        <w:rPr>
          <w:rFonts w:eastAsia="Times New Roman" w:cs="Arial"/>
          <w:b/>
          <w:bCs/>
          <w:color w:val="000000"/>
          <w:lang w:val="en-US"/>
        </w:rPr>
        <w:t>ITT</w:t>
      </w:r>
      <w:r w:rsidRPr="006B5396">
        <w:rPr>
          <w:rFonts w:eastAsia="Times New Roman" w:cs="Arial"/>
          <w:b/>
          <w:bCs/>
          <w:color w:val="000000"/>
          <w:lang w:val="ru-RU"/>
        </w:rPr>
        <w:t xml:space="preserve"> </w:t>
      </w:r>
      <w:r w:rsidRPr="006B5396">
        <w:rPr>
          <w:rFonts w:eastAsia="Times New Roman" w:cs="Arial"/>
          <w:b/>
          <w:bCs/>
          <w:color w:val="000000"/>
          <w:lang w:eastAsia="bg-BG"/>
        </w:rPr>
        <w:t>популация)</w:t>
      </w:r>
    </w:p>
    <w:tbl>
      <w:tblPr>
        <w:tblStyle w:val="TableGrid"/>
        <w:tblW w:w="9578" w:type="dxa"/>
        <w:tblLook w:val="04A0" w:firstRow="1" w:lastRow="0" w:firstColumn="1" w:lastColumn="0" w:noHBand="0" w:noVBand="1"/>
      </w:tblPr>
      <w:tblGrid>
        <w:gridCol w:w="2214"/>
        <w:gridCol w:w="1068"/>
        <w:gridCol w:w="1586"/>
        <w:gridCol w:w="1218"/>
        <w:gridCol w:w="1088"/>
        <w:gridCol w:w="1586"/>
        <w:gridCol w:w="818"/>
      </w:tblGrid>
      <w:tr w:rsidR="006B5396" w14:paraId="222B3CF3" w14:textId="77777777" w:rsidTr="006B5396">
        <w:tc>
          <w:tcPr>
            <w:tcW w:w="2214" w:type="dxa"/>
          </w:tcPr>
          <w:p w14:paraId="1C33E93D" w14:textId="77777777" w:rsidR="006B5396" w:rsidRDefault="006B5396" w:rsidP="006B5396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7364" w:type="dxa"/>
            <w:gridSpan w:val="6"/>
          </w:tcPr>
          <w:p w14:paraId="108A3BF7" w14:textId="73F2A0A0" w:rsidR="006B5396" w:rsidRPr="006B5396" w:rsidRDefault="006B5396" w:rsidP="006B5396">
            <w:pPr>
              <w:jc w:val="center"/>
              <w:rPr>
                <w:b/>
                <w:sz w:val="24"/>
                <w:szCs w:val="24"/>
              </w:rPr>
            </w:pPr>
            <w:r w:rsidRPr="006B5396">
              <w:rPr>
                <w:b/>
                <w:lang w:eastAsia="bg-BG"/>
              </w:rPr>
              <w:t>Първичен анализ на проучването</w:t>
            </w:r>
          </w:p>
        </w:tc>
      </w:tr>
      <w:tr w:rsidR="006B5396" w14:paraId="559357C2" w14:textId="77777777" w:rsidTr="006B5396">
        <w:tc>
          <w:tcPr>
            <w:tcW w:w="2214" w:type="dxa"/>
          </w:tcPr>
          <w:p w14:paraId="6FCDF9AC" w14:textId="77777777" w:rsidR="006B5396" w:rsidRDefault="006B5396" w:rsidP="006B5396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872" w:type="dxa"/>
            <w:gridSpan w:val="3"/>
          </w:tcPr>
          <w:p w14:paraId="16C17744" w14:textId="2536247B" w:rsidR="006B5396" w:rsidRDefault="006B5396" w:rsidP="006B5396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b/>
                <w:bCs/>
              </w:rPr>
              <w:t xml:space="preserve">Средно проследяване от </w:t>
            </w:r>
            <w:r>
              <w:rPr>
                <w:b/>
                <w:bCs/>
                <w:i/>
                <w:iCs/>
              </w:rPr>
              <w:t>26</w:t>
            </w:r>
            <w:r>
              <w:rPr>
                <w:b/>
                <w:bCs/>
              </w:rPr>
              <w:t xml:space="preserve"> месеца</w:t>
            </w:r>
          </w:p>
        </w:tc>
        <w:tc>
          <w:tcPr>
            <w:tcW w:w="3492" w:type="dxa"/>
            <w:gridSpan w:val="3"/>
          </w:tcPr>
          <w:p w14:paraId="56CB6FF8" w14:textId="2922533C" w:rsidR="006B5396" w:rsidRDefault="006B5396" w:rsidP="006B5396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b/>
                <w:bCs/>
              </w:rPr>
              <w:t>Средно проследяване от 60 месеца</w:t>
            </w:r>
          </w:p>
        </w:tc>
      </w:tr>
      <w:tr w:rsidR="006B5396" w14:paraId="4722F882" w14:textId="77777777" w:rsidTr="006B5396">
        <w:tc>
          <w:tcPr>
            <w:tcW w:w="2214" w:type="dxa"/>
          </w:tcPr>
          <w:p w14:paraId="109A7F14" w14:textId="77777777" w:rsidR="006B5396" w:rsidRDefault="006B5396" w:rsidP="006B5396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068" w:type="dxa"/>
          </w:tcPr>
          <w:p w14:paraId="1209CE54" w14:textId="51631E7F" w:rsidR="006B5396" w:rsidRDefault="006B5396" w:rsidP="006B5396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b/>
                <w:bCs/>
              </w:rPr>
              <w:t xml:space="preserve">Фемара </w:t>
            </w:r>
            <w:r>
              <w:rPr>
                <w:b/>
                <w:bCs/>
                <w:lang w:val="en-US"/>
              </w:rPr>
              <w:t xml:space="preserve">N=4 </w:t>
            </w:r>
            <w:r>
              <w:rPr>
                <w:b/>
                <w:bCs/>
              </w:rPr>
              <w:t>003</w:t>
            </w:r>
          </w:p>
        </w:tc>
        <w:tc>
          <w:tcPr>
            <w:tcW w:w="1586" w:type="dxa"/>
          </w:tcPr>
          <w:p w14:paraId="1D3D1880" w14:textId="6295C49A" w:rsidR="006B5396" w:rsidRDefault="006B5396" w:rsidP="006B5396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b/>
                <w:bCs/>
              </w:rPr>
              <w:t xml:space="preserve">Тамоксифен </w:t>
            </w:r>
            <w:r>
              <w:rPr>
                <w:b/>
                <w:bCs/>
                <w:lang w:val="en-US"/>
              </w:rPr>
              <w:t xml:space="preserve">N=4 </w:t>
            </w:r>
            <w:r>
              <w:rPr>
                <w:b/>
                <w:bCs/>
              </w:rPr>
              <w:t>007</w:t>
            </w:r>
          </w:p>
        </w:tc>
        <w:tc>
          <w:tcPr>
            <w:tcW w:w="1218" w:type="dxa"/>
          </w:tcPr>
          <w:p w14:paraId="26A43950" w14:textId="77777777" w:rsidR="006B5396" w:rsidRDefault="006B5396" w:rsidP="006B5396">
            <w:r>
              <w:rPr>
                <w:b/>
                <w:bCs/>
                <w:lang w:val="en-US"/>
              </w:rPr>
              <w:t>HR</w:t>
            </w:r>
            <w:r>
              <w:rPr>
                <w:b/>
                <w:bCs/>
                <w:vertAlign w:val="superscript"/>
                <w:lang w:val="en-US"/>
              </w:rPr>
              <w:t>1</w:t>
            </w:r>
          </w:p>
          <w:p w14:paraId="4BE1B1E1" w14:textId="05378516" w:rsidR="006B5396" w:rsidRDefault="006B5396" w:rsidP="006B5396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b/>
                <w:bCs/>
              </w:rPr>
              <w:t xml:space="preserve">(95% </w:t>
            </w:r>
            <w:r>
              <w:rPr>
                <w:b/>
                <w:bCs/>
                <w:lang w:val="en-US"/>
              </w:rPr>
              <w:t xml:space="preserve">CI) </w:t>
            </w:r>
            <w:r>
              <w:rPr>
                <w:b/>
                <w:bCs/>
                <w:i/>
                <w:iCs/>
              </w:rPr>
              <w:t>Р</w:t>
            </w:r>
          </w:p>
        </w:tc>
        <w:tc>
          <w:tcPr>
            <w:tcW w:w="1088" w:type="dxa"/>
          </w:tcPr>
          <w:p w14:paraId="2C71D43D" w14:textId="3DF95A5C" w:rsidR="006B5396" w:rsidRDefault="006B5396" w:rsidP="006B5396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b/>
                <w:bCs/>
              </w:rPr>
              <w:t xml:space="preserve">Фемара </w:t>
            </w:r>
            <w:r>
              <w:rPr>
                <w:b/>
                <w:bCs/>
                <w:lang w:val="en-US"/>
              </w:rPr>
              <w:t>N=4 003</w:t>
            </w:r>
          </w:p>
        </w:tc>
        <w:tc>
          <w:tcPr>
            <w:tcW w:w="1586" w:type="dxa"/>
          </w:tcPr>
          <w:p w14:paraId="25E7F749" w14:textId="220C4C32" w:rsidR="006B5396" w:rsidRDefault="006B5396" w:rsidP="006B5396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b/>
                <w:bCs/>
              </w:rPr>
              <w:t xml:space="preserve">Тамоксифен </w:t>
            </w:r>
            <w:r>
              <w:rPr>
                <w:b/>
                <w:bCs/>
                <w:lang w:val="en-US"/>
              </w:rPr>
              <w:t xml:space="preserve">N=4 </w:t>
            </w:r>
            <w:r>
              <w:rPr>
                <w:b/>
                <w:bCs/>
              </w:rPr>
              <w:t>007</w:t>
            </w:r>
          </w:p>
        </w:tc>
        <w:tc>
          <w:tcPr>
            <w:tcW w:w="818" w:type="dxa"/>
          </w:tcPr>
          <w:p w14:paraId="4CD3ECA9" w14:textId="77777777" w:rsidR="006B5396" w:rsidRDefault="006B5396" w:rsidP="006B5396">
            <w:r>
              <w:rPr>
                <w:b/>
                <w:bCs/>
                <w:lang w:val="en-US"/>
              </w:rPr>
              <w:t>HR</w:t>
            </w:r>
            <w:r>
              <w:rPr>
                <w:b/>
                <w:bCs/>
                <w:vertAlign w:val="superscript"/>
                <w:lang w:val="en-US"/>
              </w:rPr>
              <w:t>1</w:t>
            </w:r>
          </w:p>
          <w:p w14:paraId="4F067E2A" w14:textId="792AE8B5" w:rsidR="006B5396" w:rsidRDefault="006B5396" w:rsidP="006B5396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b/>
                <w:bCs/>
              </w:rPr>
              <w:t xml:space="preserve">(95% </w:t>
            </w:r>
            <w:r>
              <w:rPr>
                <w:b/>
                <w:bCs/>
                <w:lang w:val="en-US"/>
              </w:rPr>
              <w:t xml:space="preserve">CI) </w:t>
            </w:r>
            <w:r>
              <w:rPr>
                <w:b/>
                <w:bCs/>
                <w:i/>
                <w:iCs/>
              </w:rPr>
              <w:t>Р</w:t>
            </w:r>
          </w:p>
        </w:tc>
      </w:tr>
      <w:tr w:rsidR="006B5396" w14:paraId="73A43C53" w14:textId="77777777" w:rsidTr="006B5396">
        <w:tc>
          <w:tcPr>
            <w:tcW w:w="2214" w:type="dxa"/>
            <w:vAlign w:val="bottom"/>
          </w:tcPr>
          <w:p w14:paraId="23A4789B" w14:textId="7E2E555F" w:rsidR="006B5396" w:rsidRDefault="006B5396" w:rsidP="006B5396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Преживяемост без заболяване (първична крайна точка) - събития (дефиниция по протокол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68" w:type="dxa"/>
          </w:tcPr>
          <w:p w14:paraId="77B3A2EE" w14:textId="528E13D3" w:rsidR="006B5396" w:rsidRDefault="006B5396" w:rsidP="006B5396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351</w:t>
            </w:r>
          </w:p>
        </w:tc>
        <w:tc>
          <w:tcPr>
            <w:tcW w:w="1586" w:type="dxa"/>
          </w:tcPr>
          <w:p w14:paraId="417E6F62" w14:textId="2F9B584D" w:rsidR="006B5396" w:rsidRDefault="006B5396" w:rsidP="006B5396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428</w:t>
            </w:r>
          </w:p>
        </w:tc>
        <w:tc>
          <w:tcPr>
            <w:tcW w:w="1218" w:type="dxa"/>
          </w:tcPr>
          <w:p w14:paraId="759742DC" w14:textId="77777777" w:rsidR="006B5396" w:rsidRDefault="006B5396" w:rsidP="006B5396">
            <w:r>
              <w:rPr>
                <w:b/>
                <w:bCs/>
                <w:i/>
                <w:iCs/>
              </w:rPr>
              <w:t>0,81</w:t>
            </w:r>
          </w:p>
          <w:p w14:paraId="2A83E43C" w14:textId="46ECD74D" w:rsidR="006B5396" w:rsidRDefault="006B5396" w:rsidP="006B5396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(0,70, 0,93) 0,003</w:t>
            </w:r>
          </w:p>
        </w:tc>
        <w:tc>
          <w:tcPr>
            <w:tcW w:w="1088" w:type="dxa"/>
          </w:tcPr>
          <w:p w14:paraId="20D79F46" w14:textId="070C75AD" w:rsidR="006B5396" w:rsidRDefault="006B5396" w:rsidP="006B5396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585</w:t>
            </w:r>
          </w:p>
        </w:tc>
        <w:tc>
          <w:tcPr>
            <w:tcW w:w="1586" w:type="dxa"/>
          </w:tcPr>
          <w:p w14:paraId="0B06133B" w14:textId="040B1304" w:rsidR="006B5396" w:rsidRDefault="006B5396" w:rsidP="006B5396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664</w:t>
            </w:r>
          </w:p>
        </w:tc>
        <w:tc>
          <w:tcPr>
            <w:tcW w:w="818" w:type="dxa"/>
          </w:tcPr>
          <w:p w14:paraId="031C66E6" w14:textId="37E53787" w:rsidR="006B5396" w:rsidRDefault="006B5396" w:rsidP="006B5396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0,86 (0,77, 0,96) 0,008</w:t>
            </w:r>
          </w:p>
        </w:tc>
      </w:tr>
      <w:tr w:rsidR="006B5396" w14:paraId="118E540B" w14:textId="77777777" w:rsidTr="006B5396">
        <w:tc>
          <w:tcPr>
            <w:tcW w:w="2214" w:type="dxa"/>
            <w:vAlign w:val="bottom"/>
          </w:tcPr>
          <w:p w14:paraId="7EAB33E3" w14:textId="6F8FFCEC" w:rsidR="006B5396" w:rsidRDefault="006B5396" w:rsidP="006B5396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Обща преживяемост (вторична крайна точка) Брой смъртни случаи</w:t>
            </w:r>
          </w:p>
        </w:tc>
        <w:tc>
          <w:tcPr>
            <w:tcW w:w="1068" w:type="dxa"/>
          </w:tcPr>
          <w:p w14:paraId="08F2866D" w14:textId="01E6E37F" w:rsidR="006B5396" w:rsidRDefault="006B5396" w:rsidP="006B5396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b/>
                <w:bCs/>
              </w:rPr>
              <w:t>166</w:t>
            </w:r>
          </w:p>
        </w:tc>
        <w:tc>
          <w:tcPr>
            <w:tcW w:w="1586" w:type="dxa"/>
          </w:tcPr>
          <w:p w14:paraId="5B1BB9EB" w14:textId="11B2390F" w:rsidR="006B5396" w:rsidRDefault="006B5396" w:rsidP="006B5396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192</w:t>
            </w:r>
          </w:p>
        </w:tc>
        <w:tc>
          <w:tcPr>
            <w:tcW w:w="1218" w:type="dxa"/>
          </w:tcPr>
          <w:p w14:paraId="51B860A9" w14:textId="7D43B795" w:rsidR="006B5396" w:rsidRDefault="006B5396" w:rsidP="006B5396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0,86(0,70, 1,06)</w:t>
            </w:r>
          </w:p>
        </w:tc>
        <w:tc>
          <w:tcPr>
            <w:tcW w:w="1088" w:type="dxa"/>
          </w:tcPr>
          <w:p w14:paraId="296109A4" w14:textId="29E6DCBF" w:rsidR="006B5396" w:rsidRDefault="006B5396" w:rsidP="006B5396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330</w:t>
            </w:r>
          </w:p>
        </w:tc>
        <w:tc>
          <w:tcPr>
            <w:tcW w:w="1586" w:type="dxa"/>
          </w:tcPr>
          <w:p w14:paraId="0ABB8EAE" w14:textId="18AF4A8E" w:rsidR="006B5396" w:rsidRDefault="006B5396" w:rsidP="006B5396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374</w:t>
            </w:r>
          </w:p>
        </w:tc>
        <w:tc>
          <w:tcPr>
            <w:tcW w:w="818" w:type="dxa"/>
          </w:tcPr>
          <w:p w14:paraId="585D623B" w14:textId="17CBE1C9" w:rsidR="006B5396" w:rsidRDefault="006B5396" w:rsidP="006B5396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0,87 (0,75, 1,01)</w:t>
            </w:r>
          </w:p>
        </w:tc>
      </w:tr>
      <w:tr w:rsidR="006B5396" w14:paraId="4FD631CB" w14:textId="77777777" w:rsidTr="006B5396">
        <w:trPr>
          <w:trHeight w:val="269"/>
        </w:trPr>
        <w:tc>
          <w:tcPr>
            <w:tcW w:w="9578" w:type="dxa"/>
            <w:gridSpan w:val="7"/>
          </w:tcPr>
          <w:p w14:paraId="5EAB89AC" w14:textId="77777777" w:rsidR="006B5396" w:rsidRPr="006B5396" w:rsidRDefault="006B5396" w:rsidP="006B5396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6B5396">
              <w:rPr>
                <w:rFonts w:eastAsia="Times New Roman" w:cs="Arial"/>
                <w:color w:val="000000"/>
                <w:lang w:val="en-US"/>
              </w:rPr>
              <w:t>HR</w:t>
            </w:r>
            <w:r w:rsidRPr="006B5396">
              <w:rPr>
                <w:rFonts w:eastAsia="Times New Roman" w:cs="Arial"/>
                <w:color w:val="000000"/>
                <w:lang w:val="ru-RU"/>
              </w:rPr>
              <w:t xml:space="preserve"> </w:t>
            </w:r>
            <w:r w:rsidRPr="006B5396">
              <w:rPr>
                <w:rFonts w:eastAsia="Times New Roman" w:cs="Arial"/>
                <w:color w:val="000000"/>
                <w:lang w:eastAsia="bg-BG"/>
              </w:rPr>
              <w:t xml:space="preserve">= Коефициент на риск; </w:t>
            </w:r>
            <w:r w:rsidRPr="006B5396">
              <w:rPr>
                <w:rFonts w:eastAsia="Times New Roman" w:cs="Arial"/>
                <w:color w:val="000000"/>
                <w:lang w:val="en-US"/>
              </w:rPr>
              <w:t>CI</w:t>
            </w:r>
            <w:r w:rsidRPr="006B5396">
              <w:rPr>
                <w:rFonts w:eastAsia="Times New Roman" w:cs="Arial"/>
                <w:color w:val="000000"/>
                <w:lang w:val="ru-RU"/>
              </w:rPr>
              <w:t xml:space="preserve"> </w:t>
            </w:r>
            <w:r w:rsidRPr="006B5396">
              <w:rPr>
                <w:rFonts w:eastAsia="Times New Roman" w:cs="Arial"/>
                <w:color w:val="000000"/>
                <w:lang w:eastAsia="bg-BG"/>
              </w:rPr>
              <w:t>= Доверителен интервал</w:t>
            </w:r>
          </w:p>
          <w:p w14:paraId="75CD7475" w14:textId="5C29599A" w:rsidR="006B5396" w:rsidRPr="006B5396" w:rsidRDefault="00A7319E" w:rsidP="006B5396">
            <w:pPr>
              <w:spacing w:line="240" w:lineRule="auto"/>
              <w:rPr>
                <w:rFonts w:eastAsia="Times New Roman" w:cs="Arial"/>
                <w:color w:val="000000"/>
                <w:lang w:val="ru-RU"/>
              </w:rPr>
            </w:pPr>
            <w:r w:rsidRPr="00A7319E">
              <w:rPr>
                <w:rFonts w:eastAsia="Times New Roman" w:cs="Arial"/>
                <w:color w:val="000000"/>
                <w:vertAlign w:val="superscript"/>
                <w:lang w:val="ru-RU"/>
              </w:rPr>
              <w:t>1</w:t>
            </w:r>
            <w:r w:rsidR="006B5396" w:rsidRPr="006B5396">
              <w:rPr>
                <w:rFonts w:eastAsia="Times New Roman" w:cs="Arial"/>
                <w:color w:val="000000"/>
                <w:lang w:val="en-US"/>
              </w:rPr>
              <w:t>Log</w:t>
            </w:r>
            <w:r w:rsidR="006B5396" w:rsidRPr="006B5396">
              <w:rPr>
                <w:rFonts w:eastAsia="Times New Roman" w:cs="Arial"/>
                <w:color w:val="000000"/>
                <w:lang w:val="ru-RU"/>
              </w:rPr>
              <w:t xml:space="preserve"> </w:t>
            </w:r>
            <w:r w:rsidR="006B5396" w:rsidRPr="006B5396">
              <w:rPr>
                <w:rFonts w:eastAsia="Times New Roman" w:cs="Arial"/>
                <w:color w:val="000000"/>
                <w:lang w:val="en-US"/>
              </w:rPr>
              <w:t>rank</w:t>
            </w:r>
            <w:r w:rsidR="006B5396" w:rsidRPr="006B5396">
              <w:rPr>
                <w:rFonts w:eastAsia="Times New Roman" w:cs="Arial"/>
                <w:color w:val="000000"/>
                <w:lang w:val="ru-RU"/>
              </w:rPr>
              <w:t xml:space="preserve"> </w:t>
            </w:r>
            <w:r w:rsidR="006B5396" w:rsidRPr="006B5396">
              <w:rPr>
                <w:rFonts w:eastAsia="Times New Roman" w:cs="Arial"/>
                <w:color w:val="000000"/>
                <w:lang w:eastAsia="bg-BG"/>
              </w:rPr>
              <w:t xml:space="preserve">тест, стратификация по начин </w:t>
            </w:r>
            <w:proofErr w:type="gramStart"/>
            <w:r w:rsidR="006B5396" w:rsidRPr="006B5396">
              <w:rPr>
                <w:rFonts w:eastAsia="Times New Roman" w:cs="Arial"/>
                <w:color w:val="000000"/>
                <w:lang w:eastAsia="bg-BG"/>
              </w:rPr>
              <w:t>на рандомизация</w:t>
            </w:r>
            <w:proofErr w:type="gramEnd"/>
            <w:r w:rsidR="006B5396" w:rsidRPr="006B5396">
              <w:rPr>
                <w:rFonts w:eastAsia="Times New Roman" w:cs="Arial"/>
                <w:color w:val="000000"/>
                <w:lang w:eastAsia="bg-BG"/>
              </w:rPr>
              <w:t xml:space="preserve"> и прилагане на химиотерапия (да/не)</w:t>
            </w:r>
          </w:p>
          <w:p w14:paraId="5B00FC26" w14:textId="17528208" w:rsidR="006B5396" w:rsidRPr="006B5396" w:rsidRDefault="00A7319E" w:rsidP="006B5396">
            <w:pPr>
              <w:spacing w:line="240" w:lineRule="auto"/>
              <w:rPr>
                <w:rFonts w:eastAsia="Times New Roman" w:cs="Arial"/>
                <w:color w:val="000000"/>
                <w:lang w:eastAsia="bg-BG"/>
              </w:rPr>
            </w:pPr>
            <w:r w:rsidRPr="00A7319E">
              <w:rPr>
                <w:rFonts w:eastAsia="Times New Roman" w:cs="Arial"/>
                <w:color w:val="000000"/>
                <w:vertAlign w:val="superscript"/>
                <w:lang w:val="ru-RU" w:eastAsia="bg-BG"/>
              </w:rPr>
              <w:t>2</w:t>
            </w:r>
            <w:r w:rsidR="006B5396" w:rsidRPr="006B5396">
              <w:rPr>
                <w:rFonts w:eastAsia="Times New Roman" w:cs="Arial"/>
                <w:color w:val="000000"/>
                <w:lang w:eastAsia="bg-BG"/>
              </w:rPr>
              <w:t>Преживяемост без заболяване - събития: локорегионален рецидив, далечни метастази, инвазивен контралатерален рак на гърдата, вторична (не на гърдата) първична неоплазма, смърт поради друга причина без предшестваща неоплазма.</w:t>
            </w:r>
          </w:p>
        </w:tc>
      </w:tr>
    </w:tbl>
    <w:p w14:paraId="44159D0C" w14:textId="77777777" w:rsidR="00A7319E" w:rsidRDefault="00A7319E" w:rsidP="00A7319E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lang w:eastAsia="bg-BG"/>
        </w:rPr>
      </w:pPr>
    </w:p>
    <w:p w14:paraId="773EB12F" w14:textId="3ABB721D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i/>
          <w:iCs/>
          <w:color w:val="000000"/>
          <w:lang w:eastAsia="bg-BG"/>
        </w:rPr>
        <w:t xml:space="preserve">Резултати при медиана на проследяване 96 месеца (само рамената на монотерапия) </w:t>
      </w:r>
      <w:r w:rsidRPr="00A7319E">
        <w:rPr>
          <w:rFonts w:eastAsia="Times New Roman" w:cs="Arial"/>
          <w:color w:val="000000"/>
          <w:lang w:eastAsia="bg-BG"/>
        </w:rPr>
        <w:t>Получените при анализа на рамената на монотерапия (МАА) дългосрочни данни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>относно ефикасността на Фемара като монотерапия спрямо тамоксифен като монотерапия (медиана на</w:t>
      </w:r>
      <w:r w:rsidRPr="00A7319E">
        <w:rPr>
          <w:rFonts w:eastAsia="Times New Roman" w:cs="Arial"/>
          <w:color w:val="000000"/>
          <w:vertAlign w:val="superscript"/>
          <w:lang w:eastAsia="bg-BG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>продължителност на адювантната терапия: 5 години) са представени в Таблица 5</w:t>
      </w:r>
    </w:p>
    <w:p w14:paraId="48673725" w14:textId="77777777" w:rsidR="00A7319E" w:rsidRPr="00A7319E" w:rsidRDefault="00A7319E" w:rsidP="00A7319E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751761CF" w14:textId="15052E3F" w:rsidR="006B5396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  <w:lang w:val="ru-RU"/>
        </w:rPr>
      </w:pPr>
      <w:r w:rsidRPr="00A7319E">
        <w:rPr>
          <w:rFonts w:eastAsia="Times New Roman" w:cs="Arial"/>
          <w:b/>
          <w:bCs/>
          <w:color w:val="000000"/>
          <w:lang w:eastAsia="bg-BG"/>
        </w:rPr>
        <w:t>Таблица 5 Анализ на рамената на монотерапия: Преживяемост без заболяване и обща</w:t>
      </w:r>
      <w:r w:rsidRPr="00A7319E">
        <w:rPr>
          <w:rFonts w:eastAsia="Times New Roman" w:cs="Arial"/>
          <w:b/>
          <w:bCs/>
          <w:color w:val="000000"/>
          <w:lang w:val="ru-RU" w:eastAsia="bg-BG"/>
        </w:rPr>
        <w:t xml:space="preserve"> </w:t>
      </w:r>
      <w:r w:rsidRPr="00A7319E">
        <w:rPr>
          <w:rFonts w:cs="Arial"/>
          <w:b/>
          <w:bCs/>
        </w:rPr>
        <w:t xml:space="preserve">преживяемост при медиана на проследяване 96 месеца </w:t>
      </w:r>
      <w:r w:rsidRPr="00A7319E">
        <w:rPr>
          <w:rFonts w:cs="Arial"/>
          <w:b/>
          <w:bCs/>
          <w:lang w:val="ru-RU"/>
        </w:rPr>
        <w:t>(</w:t>
      </w:r>
      <w:r w:rsidRPr="00A7319E">
        <w:rPr>
          <w:rFonts w:cs="Arial"/>
          <w:b/>
          <w:bCs/>
          <w:lang w:val="en-US"/>
        </w:rPr>
        <w:t>ITT</w:t>
      </w:r>
      <w:r w:rsidRPr="00A7319E">
        <w:rPr>
          <w:rFonts w:cs="Arial"/>
          <w:b/>
          <w:bCs/>
          <w:lang w:val="ru-RU"/>
        </w:rPr>
        <w:t xml:space="preserve"> </w:t>
      </w:r>
      <w:r w:rsidRPr="00A7319E">
        <w:rPr>
          <w:rFonts w:cs="Arial"/>
          <w:b/>
          <w:bCs/>
        </w:rPr>
        <w:t>популация)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2"/>
        <w:gridCol w:w="1068"/>
        <w:gridCol w:w="2416"/>
        <w:gridCol w:w="1569"/>
        <w:gridCol w:w="1645"/>
      </w:tblGrid>
      <w:tr w:rsidR="00A7319E" w14:paraId="56AAC353" w14:textId="77777777" w:rsidTr="00A7319E">
        <w:tc>
          <w:tcPr>
            <w:tcW w:w="2747" w:type="dxa"/>
          </w:tcPr>
          <w:p w14:paraId="4F36F38A" w14:textId="77777777" w:rsidR="00A7319E" w:rsidRDefault="00A7319E" w:rsidP="00A7319E"/>
        </w:tc>
        <w:tc>
          <w:tcPr>
            <w:tcW w:w="1068" w:type="dxa"/>
          </w:tcPr>
          <w:p w14:paraId="0A29D8CB" w14:textId="5BCAB003" w:rsidR="00A7319E" w:rsidRDefault="00A7319E" w:rsidP="00A7319E">
            <w:r>
              <w:rPr>
                <w:b/>
                <w:bCs/>
              </w:rPr>
              <w:t xml:space="preserve">Фемара </w:t>
            </w:r>
            <w:r>
              <w:rPr>
                <w:b/>
                <w:bCs/>
                <w:lang w:val="en-US"/>
              </w:rPr>
              <w:t xml:space="preserve">N=2 </w:t>
            </w:r>
            <w:r>
              <w:rPr>
                <w:b/>
                <w:bCs/>
              </w:rPr>
              <w:t>463</w:t>
            </w:r>
          </w:p>
        </w:tc>
        <w:tc>
          <w:tcPr>
            <w:tcW w:w="2502" w:type="dxa"/>
          </w:tcPr>
          <w:p w14:paraId="026E8731" w14:textId="09CF3909" w:rsidR="00A7319E" w:rsidRDefault="00A7319E" w:rsidP="00A7319E">
            <w:r>
              <w:rPr>
                <w:b/>
                <w:bCs/>
              </w:rPr>
              <w:t xml:space="preserve">Тамоксифен </w:t>
            </w:r>
            <w:r>
              <w:rPr>
                <w:b/>
                <w:bCs/>
                <w:lang w:val="en-US"/>
              </w:rPr>
              <w:t xml:space="preserve">N=2 </w:t>
            </w:r>
            <w:r>
              <w:rPr>
                <w:b/>
                <w:bCs/>
              </w:rPr>
              <w:t>459</w:t>
            </w:r>
          </w:p>
        </w:tc>
        <w:tc>
          <w:tcPr>
            <w:tcW w:w="1569" w:type="dxa"/>
          </w:tcPr>
          <w:p w14:paraId="6545130D" w14:textId="6DCBCEDB" w:rsidR="00A7319E" w:rsidRDefault="00A7319E" w:rsidP="00A7319E">
            <w:r>
              <w:rPr>
                <w:b/>
                <w:bCs/>
              </w:rPr>
              <w:t>Коефициент на риск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</w:rPr>
              <w:t xml:space="preserve"> (95 % </w:t>
            </w:r>
            <w:r>
              <w:rPr>
                <w:b/>
                <w:bCs/>
                <w:lang w:val="en-US"/>
              </w:rPr>
              <w:t>CI)</w:t>
            </w:r>
          </w:p>
        </w:tc>
        <w:tc>
          <w:tcPr>
            <w:tcW w:w="1690" w:type="dxa"/>
          </w:tcPr>
          <w:p w14:paraId="25F8D908" w14:textId="3ECB976D" w:rsidR="00A7319E" w:rsidRDefault="00A7319E" w:rsidP="00A7319E">
            <w:r>
              <w:rPr>
                <w:b/>
                <w:bCs/>
                <w:i/>
                <w:iCs/>
              </w:rPr>
              <w:t xml:space="preserve">Р </w:t>
            </w:r>
            <w:r>
              <w:rPr>
                <w:b/>
                <w:bCs/>
              </w:rPr>
              <w:t>стойност</w:t>
            </w:r>
          </w:p>
        </w:tc>
      </w:tr>
      <w:tr w:rsidR="00A7319E" w14:paraId="468CD564" w14:textId="77777777" w:rsidTr="00A7319E">
        <w:tc>
          <w:tcPr>
            <w:tcW w:w="2747" w:type="dxa"/>
          </w:tcPr>
          <w:p w14:paraId="70142290" w14:textId="237D11C8" w:rsidR="00A7319E" w:rsidRDefault="00A7319E" w:rsidP="00A7319E">
            <w:r>
              <w:t>Преживяемост без заболяване - събития (първична)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1068" w:type="dxa"/>
          </w:tcPr>
          <w:p w14:paraId="4F7EDF3B" w14:textId="101FEFB0" w:rsidR="00A7319E" w:rsidRDefault="00A7319E" w:rsidP="00A7319E">
            <w:r>
              <w:t>626</w:t>
            </w:r>
          </w:p>
        </w:tc>
        <w:tc>
          <w:tcPr>
            <w:tcW w:w="2502" w:type="dxa"/>
          </w:tcPr>
          <w:p w14:paraId="5146AA15" w14:textId="343AF819" w:rsidR="00A7319E" w:rsidRDefault="00A7319E" w:rsidP="00A7319E">
            <w:r>
              <w:t>698</w:t>
            </w:r>
          </w:p>
        </w:tc>
        <w:tc>
          <w:tcPr>
            <w:tcW w:w="1569" w:type="dxa"/>
          </w:tcPr>
          <w:p w14:paraId="1EF7C4B1" w14:textId="554CA3A8" w:rsidR="00A7319E" w:rsidRDefault="00A7319E" w:rsidP="00A7319E">
            <w:r>
              <w:t>0,87 (0,78, 0,97)</w:t>
            </w:r>
          </w:p>
        </w:tc>
        <w:tc>
          <w:tcPr>
            <w:tcW w:w="1690" w:type="dxa"/>
          </w:tcPr>
          <w:p w14:paraId="224184B5" w14:textId="782F564B" w:rsidR="00A7319E" w:rsidRDefault="00A7319E" w:rsidP="00A7319E">
            <w:r>
              <w:t>0,01</w:t>
            </w:r>
          </w:p>
        </w:tc>
      </w:tr>
      <w:tr w:rsidR="00A7319E" w14:paraId="556B4A33" w14:textId="77777777" w:rsidTr="00A7319E">
        <w:tc>
          <w:tcPr>
            <w:tcW w:w="2747" w:type="dxa"/>
          </w:tcPr>
          <w:p w14:paraId="23E33BAA" w14:textId="4B0E7B86" w:rsidR="00A7319E" w:rsidRDefault="00A7319E" w:rsidP="00A7319E">
            <w:r>
              <w:t>Време до появата на далечни метастази (вторична)</w:t>
            </w:r>
          </w:p>
        </w:tc>
        <w:tc>
          <w:tcPr>
            <w:tcW w:w="1068" w:type="dxa"/>
          </w:tcPr>
          <w:p w14:paraId="5F74B688" w14:textId="05A59C53" w:rsidR="00A7319E" w:rsidRDefault="00A7319E" w:rsidP="00A7319E">
            <w:r>
              <w:t>301</w:t>
            </w:r>
          </w:p>
        </w:tc>
        <w:tc>
          <w:tcPr>
            <w:tcW w:w="2502" w:type="dxa"/>
          </w:tcPr>
          <w:p w14:paraId="1B8B6E14" w14:textId="3D6ACB0F" w:rsidR="00A7319E" w:rsidRDefault="00A7319E" w:rsidP="00A7319E">
            <w:r>
              <w:t>342</w:t>
            </w:r>
          </w:p>
        </w:tc>
        <w:tc>
          <w:tcPr>
            <w:tcW w:w="1569" w:type="dxa"/>
          </w:tcPr>
          <w:p w14:paraId="4F0AB39B" w14:textId="44FCCD0D" w:rsidR="00A7319E" w:rsidRDefault="00A7319E" w:rsidP="00A7319E">
            <w:r>
              <w:t>0,86 (0,74, 1,01)</w:t>
            </w:r>
          </w:p>
        </w:tc>
        <w:tc>
          <w:tcPr>
            <w:tcW w:w="1690" w:type="dxa"/>
          </w:tcPr>
          <w:p w14:paraId="68991FF1" w14:textId="315333F4" w:rsidR="00A7319E" w:rsidRDefault="00A7319E" w:rsidP="00A7319E">
            <w:r>
              <w:t>0,06</w:t>
            </w:r>
          </w:p>
        </w:tc>
      </w:tr>
      <w:tr w:rsidR="00A7319E" w14:paraId="0911C67F" w14:textId="77777777" w:rsidTr="00A7319E">
        <w:tc>
          <w:tcPr>
            <w:tcW w:w="2747" w:type="dxa"/>
          </w:tcPr>
          <w:p w14:paraId="100A64B7" w14:textId="5FFCF560" w:rsidR="00A7319E" w:rsidRDefault="00A7319E" w:rsidP="00A7319E">
            <w:r>
              <w:t>Обща преживяемост (вторична) - смъртни случаи</w:t>
            </w:r>
          </w:p>
        </w:tc>
        <w:tc>
          <w:tcPr>
            <w:tcW w:w="1068" w:type="dxa"/>
          </w:tcPr>
          <w:p w14:paraId="79C68051" w14:textId="065E46A2" w:rsidR="00A7319E" w:rsidRDefault="00A7319E" w:rsidP="00A7319E">
            <w:r>
              <w:t>393</w:t>
            </w:r>
          </w:p>
        </w:tc>
        <w:tc>
          <w:tcPr>
            <w:tcW w:w="2502" w:type="dxa"/>
          </w:tcPr>
          <w:p w14:paraId="4F359A56" w14:textId="69C877C3" w:rsidR="00A7319E" w:rsidRDefault="00A7319E" w:rsidP="00A7319E">
            <w:r>
              <w:t>436</w:t>
            </w:r>
          </w:p>
        </w:tc>
        <w:tc>
          <w:tcPr>
            <w:tcW w:w="1569" w:type="dxa"/>
          </w:tcPr>
          <w:p w14:paraId="566EB945" w14:textId="4AA7558C" w:rsidR="00A7319E" w:rsidRDefault="00A7319E" w:rsidP="00A7319E">
            <w:r>
              <w:t>0,89 (0,77,1,02)</w:t>
            </w:r>
          </w:p>
        </w:tc>
        <w:tc>
          <w:tcPr>
            <w:tcW w:w="1690" w:type="dxa"/>
          </w:tcPr>
          <w:p w14:paraId="70C678B6" w14:textId="1089B04F" w:rsidR="00A7319E" w:rsidRDefault="00A7319E" w:rsidP="00A7319E">
            <w:r>
              <w:t>0,08</w:t>
            </w:r>
          </w:p>
        </w:tc>
      </w:tr>
      <w:tr w:rsidR="00A7319E" w14:paraId="506DF00B" w14:textId="77777777" w:rsidTr="00A7319E">
        <w:tc>
          <w:tcPr>
            <w:tcW w:w="2747" w:type="dxa"/>
          </w:tcPr>
          <w:p w14:paraId="09F8AAAA" w14:textId="0D3D6F04" w:rsidR="00A7319E" w:rsidRDefault="00A7319E" w:rsidP="00A7319E">
            <w:r>
              <w:lastRenderedPageBreak/>
              <w:t xml:space="preserve">Цензуриран анализ на </w:t>
            </w:r>
            <w:r>
              <w:rPr>
                <w:lang w:val="en-US"/>
              </w:rPr>
              <w:t>DFS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1068" w:type="dxa"/>
          </w:tcPr>
          <w:p w14:paraId="23B7FBE6" w14:textId="08D8954B" w:rsidR="00A7319E" w:rsidRDefault="00A7319E" w:rsidP="00A7319E">
            <w:r>
              <w:t>626</w:t>
            </w:r>
          </w:p>
        </w:tc>
        <w:tc>
          <w:tcPr>
            <w:tcW w:w="2502" w:type="dxa"/>
          </w:tcPr>
          <w:p w14:paraId="64476C9C" w14:textId="77E4117E" w:rsidR="00A7319E" w:rsidRDefault="00A7319E" w:rsidP="00A7319E">
            <w:r>
              <w:t>649</w:t>
            </w:r>
          </w:p>
        </w:tc>
        <w:tc>
          <w:tcPr>
            <w:tcW w:w="1569" w:type="dxa"/>
          </w:tcPr>
          <w:p w14:paraId="231E9682" w14:textId="03801845" w:rsidR="00A7319E" w:rsidRDefault="00A7319E" w:rsidP="00A7319E">
            <w:r>
              <w:t>0,83 (0,74, 0,92)</w:t>
            </w:r>
          </w:p>
        </w:tc>
        <w:tc>
          <w:tcPr>
            <w:tcW w:w="1690" w:type="dxa"/>
          </w:tcPr>
          <w:p w14:paraId="6780BA0A" w14:textId="77777777" w:rsidR="00A7319E" w:rsidRDefault="00A7319E" w:rsidP="00A7319E"/>
        </w:tc>
      </w:tr>
      <w:tr w:rsidR="00A7319E" w14:paraId="59F68A60" w14:textId="77777777" w:rsidTr="00A7319E">
        <w:tc>
          <w:tcPr>
            <w:tcW w:w="2747" w:type="dxa"/>
          </w:tcPr>
          <w:p w14:paraId="249EAABE" w14:textId="642FCE87" w:rsidR="00A7319E" w:rsidRDefault="00A7319E" w:rsidP="00A7319E">
            <w:r>
              <w:t xml:space="preserve">Цензуриран анализ на </w:t>
            </w:r>
            <w:r>
              <w:rPr>
                <w:lang w:val="en-US"/>
              </w:rPr>
              <w:t>OS</w:t>
            </w:r>
            <w:r>
              <w:rPr>
                <w:vertAlign w:val="superscript"/>
                <w:lang w:val="en-US"/>
              </w:rPr>
              <w:t>3</w:t>
            </w:r>
          </w:p>
        </w:tc>
        <w:tc>
          <w:tcPr>
            <w:tcW w:w="1068" w:type="dxa"/>
          </w:tcPr>
          <w:p w14:paraId="7608FF35" w14:textId="19130B7A" w:rsidR="00A7319E" w:rsidRDefault="00A7319E" w:rsidP="00A7319E">
            <w:r>
              <w:t>393</w:t>
            </w:r>
          </w:p>
        </w:tc>
        <w:tc>
          <w:tcPr>
            <w:tcW w:w="2502" w:type="dxa"/>
          </w:tcPr>
          <w:p w14:paraId="52337955" w14:textId="0AAC1985" w:rsidR="00A7319E" w:rsidRDefault="00A7319E" w:rsidP="00A7319E">
            <w:r>
              <w:t>419</w:t>
            </w:r>
          </w:p>
        </w:tc>
        <w:tc>
          <w:tcPr>
            <w:tcW w:w="1569" w:type="dxa"/>
          </w:tcPr>
          <w:p w14:paraId="1BC28D12" w14:textId="075BC0C3" w:rsidR="00A7319E" w:rsidRDefault="00A7319E" w:rsidP="00A7319E">
            <w:r>
              <w:t>0,81 (0,70, 0,93)</w:t>
            </w:r>
          </w:p>
        </w:tc>
        <w:tc>
          <w:tcPr>
            <w:tcW w:w="1690" w:type="dxa"/>
          </w:tcPr>
          <w:p w14:paraId="11AAA131" w14:textId="77777777" w:rsidR="00A7319E" w:rsidRDefault="00A7319E" w:rsidP="00A7319E"/>
        </w:tc>
      </w:tr>
    </w:tbl>
    <w:p w14:paraId="453E2BC7" w14:textId="703EAB89" w:rsidR="00A7319E" w:rsidRPr="00A7319E" w:rsidRDefault="00A7319E" w:rsidP="00A7319E">
      <w:pPr>
        <w:spacing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A7319E">
        <w:rPr>
          <w:rFonts w:ascii="Times New Roman" w:eastAsia="Times New Roman" w:hAnsi="Times New Roman" w:cs="Times New Roman"/>
          <w:color w:val="000000"/>
          <w:vertAlign w:val="superscript"/>
          <w:lang w:val="ru-RU"/>
        </w:rPr>
        <w:t>1</w:t>
      </w:r>
      <w:r w:rsidRPr="00A7319E">
        <w:rPr>
          <w:rFonts w:ascii="Times New Roman" w:eastAsia="Times New Roman" w:hAnsi="Times New Roman" w:cs="Times New Roman"/>
          <w:color w:val="000000"/>
          <w:lang w:val="en-US"/>
        </w:rPr>
        <w:t>Log</w:t>
      </w:r>
      <w:r w:rsidRPr="00A7319E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A7319E">
        <w:rPr>
          <w:rFonts w:ascii="Times New Roman" w:eastAsia="Times New Roman" w:hAnsi="Times New Roman" w:cs="Times New Roman"/>
          <w:color w:val="000000"/>
          <w:lang w:val="en-US"/>
        </w:rPr>
        <w:t>rank</w:t>
      </w:r>
      <w:r w:rsidRPr="00A7319E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A7319E">
        <w:rPr>
          <w:rFonts w:ascii="Times New Roman" w:eastAsia="Times New Roman" w:hAnsi="Times New Roman" w:cs="Times New Roman"/>
          <w:color w:val="000000"/>
          <w:lang w:eastAsia="bg-BG"/>
        </w:rPr>
        <w:t xml:space="preserve">тест, стратификация по начин </w:t>
      </w:r>
      <w:proofErr w:type="gramStart"/>
      <w:r w:rsidRPr="00A7319E">
        <w:rPr>
          <w:rFonts w:ascii="Times New Roman" w:eastAsia="Times New Roman" w:hAnsi="Times New Roman" w:cs="Times New Roman"/>
          <w:color w:val="000000"/>
          <w:lang w:eastAsia="bg-BG"/>
        </w:rPr>
        <w:t>на рандомизация</w:t>
      </w:r>
      <w:proofErr w:type="gramEnd"/>
      <w:r w:rsidRPr="00A7319E">
        <w:rPr>
          <w:rFonts w:ascii="Times New Roman" w:eastAsia="Times New Roman" w:hAnsi="Times New Roman" w:cs="Times New Roman"/>
          <w:color w:val="000000"/>
          <w:lang w:eastAsia="bg-BG"/>
        </w:rPr>
        <w:t xml:space="preserve"> и прилагане на химиотерапия (да/не)</w:t>
      </w:r>
    </w:p>
    <w:p w14:paraId="7D224E93" w14:textId="2F47AC98" w:rsidR="00A7319E" w:rsidRPr="00A7319E" w:rsidRDefault="00A7319E" w:rsidP="00A7319E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  <w:r w:rsidRPr="00A7319E">
        <w:rPr>
          <w:rFonts w:ascii="Times New Roman" w:eastAsia="Times New Roman" w:hAnsi="Times New Roman" w:cs="Times New Roman"/>
          <w:color w:val="000000"/>
          <w:vertAlign w:val="superscript"/>
          <w:lang w:val="ru-RU" w:eastAsia="bg-BG"/>
        </w:rPr>
        <w:t>2</w:t>
      </w:r>
      <w:r w:rsidRPr="00A7319E">
        <w:rPr>
          <w:rFonts w:ascii="Times New Roman" w:eastAsia="Times New Roman" w:hAnsi="Times New Roman" w:cs="Times New Roman"/>
          <w:color w:val="000000"/>
          <w:lang w:eastAsia="bg-BG"/>
        </w:rPr>
        <w:t>Преживяемост без заболяване - събития: локорегионален рецидив, далечни метастази, инвазивен контралатерален рак на гърдата, вторична (не на гърдата) първична неоплазма, смърт поради друга причина без предшестваща неоплазма.</w:t>
      </w:r>
    </w:p>
    <w:p w14:paraId="282D6314" w14:textId="6BB50694" w:rsidR="00A7319E" w:rsidRPr="00A7319E" w:rsidRDefault="00A7319E" w:rsidP="00A7319E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  <w:r w:rsidRPr="00A7319E">
        <w:rPr>
          <w:rFonts w:ascii="Times New Roman" w:eastAsia="Times New Roman" w:hAnsi="Times New Roman" w:cs="Times New Roman"/>
          <w:color w:val="000000"/>
          <w:vertAlign w:val="superscript"/>
          <w:lang w:val="ru-RU" w:eastAsia="bg-BG"/>
        </w:rPr>
        <w:t>3</w:t>
      </w:r>
      <w:r w:rsidRPr="00A7319E">
        <w:rPr>
          <w:rFonts w:ascii="Times New Roman" w:eastAsia="Times New Roman" w:hAnsi="Times New Roman" w:cs="Times New Roman"/>
          <w:color w:val="000000"/>
          <w:lang w:eastAsia="bg-BG"/>
        </w:rPr>
        <w:t>Наблюдения в рамото на тамоксифен, цензурирани към датата на селективно преминаване на летрозол</w:t>
      </w:r>
    </w:p>
    <w:p w14:paraId="6E4B197C" w14:textId="5353185D" w:rsidR="006B5396" w:rsidRDefault="006B5396" w:rsidP="006B5396"/>
    <w:p w14:paraId="0AD900CB" w14:textId="77777777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i/>
          <w:iCs/>
          <w:color w:val="000000"/>
          <w:lang w:eastAsia="bg-BG"/>
        </w:rPr>
        <w:t xml:space="preserve">Анализ на секвентлната терапия </w:t>
      </w:r>
      <w:r w:rsidRPr="00A7319E">
        <w:rPr>
          <w:rFonts w:eastAsia="Times New Roman" w:cs="Arial"/>
          <w:i/>
          <w:iCs/>
          <w:color w:val="000000"/>
          <w:lang w:val="ru-RU"/>
        </w:rPr>
        <w:t>(</w:t>
      </w:r>
      <w:r w:rsidRPr="00A7319E">
        <w:rPr>
          <w:rFonts w:eastAsia="Times New Roman" w:cs="Arial"/>
          <w:i/>
          <w:iCs/>
          <w:color w:val="000000"/>
          <w:lang w:val="en-US"/>
        </w:rPr>
        <w:t>STA</w:t>
      </w:r>
      <w:r w:rsidRPr="00A7319E">
        <w:rPr>
          <w:rFonts w:eastAsia="Times New Roman" w:cs="Arial"/>
          <w:i/>
          <w:iCs/>
          <w:color w:val="000000"/>
          <w:lang w:val="ru-RU"/>
        </w:rPr>
        <w:t>)</w:t>
      </w:r>
    </w:p>
    <w:p w14:paraId="42001DA6" w14:textId="77777777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 xml:space="preserve">Анализът на секвентната терапия </w:t>
      </w:r>
      <w:r w:rsidRPr="00A7319E">
        <w:rPr>
          <w:rFonts w:eastAsia="Times New Roman" w:cs="Arial"/>
          <w:color w:val="000000"/>
          <w:lang w:val="ru-RU"/>
        </w:rPr>
        <w:t>(</w:t>
      </w:r>
      <w:r w:rsidRPr="00A7319E">
        <w:rPr>
          <w:rFonts w:eastAsia="Times New Roman" w:cs="Arial"/>
          <w:color w:val="000000"/>
          <w:lang w:val="en-US"/>
        </w:rPr>
        <w:t>ST</w:t>
      </w:r>
      <w:r w:rsidRPr="00A7319E">
        <w:rPr>
          <w:rFonts w:eastAsia="Times New Roman" w:cs="Arial"/>
          <w:color w:val="000000"/>
          <w:lang w:eastAsia="bg-BG"/>
        </w:rPr>
        <w:t xml:space="preserve">А) се отнася до втория основен въпрос на </w:t>
      </w:r>
      <w:r w:rsidRPr="00A7319E">
        <w:rPr>
          <w:rFonts w:eastAsia="Times New Roman" w:cs="Arial"/>
          <w:color w:val="000000"/>
          <w:lang w:val="en-US"/>
        </w:rPr>
        <w:t>BIG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 xml:space="preserve">1-98, а именно дали секвенираното прилагане на тамоксифен и летрозол превъзхожда монотерапията. Няма сигнификантни разлики по отношение на </w:t>
      </w:r>
      <w:r w:rsidRPr="00A7319E">
        <w:rPr>
          <w:rFonts w:eastAsia="Times New Roman" w:cs="Arial"/>
          <w:color w:val="000000"/>
          <w:lang w:val="en-US"/>
        </w:rPr>
        <w:t>DFS</w:t>
      </w:r>
      <w:r w:rsidRPr="00A7319E">
        <w:rPr>
          <w:rFonts w:eastAsia="Times New Roman" w:cs="Arial"/>
          <w:color w:val="000000"/>
          <w:lang w:val="ru-RU"/>
        </w:rPr>
        <w:t xml:space="preserve">, </w:t>
      </w:r>
      <w:r w:rsidRPr="00A7319E">
        <w:rPr>
          <w:rFonts w:eastAsia="Times New Roman" w:cs="Arial"/>
          <w:color w:val="000000"/>
          <w:lang w:val="en-US"/>
        </w:rPr>
        <w:t>OS</w:t>
      </w:r>
      <w:r w:rsidRPr="00A7319E">
        <w:rPr>
          <w:rFonts w:eastAsia="Times New Roman" w:cs="Arial"/>
          <w:color w:val="000000"/>
          <w:lang w:val="ru-RU"/>
        </w:rPr>
        <w:t xml:space="preserve">, </w:t>
      </w:r>
      <w:r w:rsidRPr="00A7319E">
        <w:rPr>
          <w:rFonts w:eastAsia="Times New Roman" w:cs="Arial"/>
          <w:color w:val="000000"/>
          <w:lang w:val="en-US"/>
        </w:rPr>
        <w:t>SDFS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 xml:space="preserve">и </w:t>
      </w:r>
      <w:r w:rsidRPr="00A7319E">
        <w:rPr>
          <w:rFonts w:eastAsia="Times New Roman" w:cs="Arial"/>
          <w:color w:val="000000"/>
          <w:lang w:val="en-US"/>
        </w:rPr>
        <w:t>DDFS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>при смяна на терапията спрямо монотерапията (Таблица 6).</w:t>
      </w:r>
    </w:p>
    <w:p w14:paraId="5B4ACB74" w14:textId="77777777" w:rsidR="00A7319E" w:rsidRPr="00A7319E" w:rsidRDefault="00A7319E" w:rsidP="00A7319E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197E4219" w14:textId="431DA192" w:rsidR="00A7319E" w:rsidRDefault="00A7319E" w:rsidP="00A7319E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r w:rsidRPr="00A7319E">
        <w:rPr>
          <w:rFonts w:eastAsia="Times New Roman" w:cs="Arial"/>
          <w:b/>
          <w:bCs/>
          <w:color w:val="000000"/>
          <w:lang w:eastAsia="bg-BG"/>
        </w:rPr>
        <w:t xml:space="preserve">Таблица 6 Анализ на секвентната терапия по отношение на преживяемост без заболяване при прилагане на летрозол като първо ендокринно средство </w:t>
      </w:r>
      <w:r w:rsidRPr="00A7319E">
        <w:rPr>
          <w:rFonts w:eastAsia="Times New Roman" w:cs="Arial"/>
          <w:b/>
          <w:bCs/>
          <w:color w:val="000000"/>
          <w:lang w:val="ru-RU"/>
        </w:rPr>
        <w:t>(</w:t>
      </w:r>
      <w:r w:rsidRPr="00A7319E">
        <w:rPr>
          <w:rFonts w:eastAsia="Times New Roman" w:cs="Arial"/>
          <w:b/>
          <w:bCs/>
          <w:color w:val="000000"/>
          <w:lang w:val="en-US"/>
        </w:rPr>
        <w:t>STA</w:t>
      </w:r>
      <w:r w:rsidRPr="00A7319E">
        <w:rPr>
          <w:rFonts w:eastAsia="Times New Roman" w:cs="Arial"/>
          <w:b/>
          <w:bCs/>
          <w:color w:val="000000"/>
          <w:lang w:val="ru-RU"/>
        </w:rPr>
        <w:t xml:space="preserve"> </w:t>
      </w:r>
      <w:r w:rsidRPr="00A7319E">
        <w:rPr>
          <w:rFonts w:eastAsia="Times New Roman" w:cs="Arial"/>
          <w:b/>
          <w:bCs/>
          <w:color w:val="000000"/>
          <w:lang w:eastAsia="bg-BG"/>
        </w:rPr>
        <w:t>популация със смяна на терапията)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4"/>
        <w:gridCol w:w="1134"/>
        <w:gridCol w:w="1539"/>
        <w:gridCol w:w="1592"/>
        <w:gridCol w:w="1643"/>
        <w:gridCol w:w="1538"/>
      </w:tblGrid>
      <w:tr w:rsidR="00A7319E" w14:paraId="4CDA39DC" w14:textId="77777777" w:rsidTr="00A7319E">
        <w:tc>
          <w:tcPr>
            <w:tcW w:w="1951" w:type="dxa"/>
          </w:tcPr>
          <w:p w14:paraId="23BAF2CD" w14:textId="77777777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215" w:type="dxa"/>
          </w:tcPr>
          <w:p w14:paraId="56017544" w14:textId="7288000A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N</w:t>
            </w:r>
          </w:p>
        </w:tc>
        <w:tc>
          <w:tcPr>
            <w:tcW w:w="1586" w:type="dxa"/>
          </w:tcPr>
          <w:p w14:paraId="10FCA6E5" w14:textId="66767FAF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b/>
                <w:bCs/>
              </w:rPr>
              <w:t>Брой събития</w:t>
            </w:r>
            <w:r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95" w:type="dxa"/>
          </w:tcPr>
          <w:p w14:paraId="479B55F7" w14:textId="6B0D46BF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b/>
                <w:bCs/>
              </w:rPr>
              <w:t>Коефициент на риск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643" w:type="dxa"/>
          </w:tcPr>
          <w:p w14:paraId="2D3DB61B" w14:textId="775FF5FC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b/>
                <w:bCs/>
              </w:rPr>
              <w:t>(97,5% доверителен интервал)</w:t>
            </w:r>
          </w:p>
        </w:tc>
        <w:tc>
          <w:tcPr>
            <w:tcW w:w="1586" w:type="dxa"/>
          </w:tcPr>
          <w:p w14:paraId="337FE753" w14:textId="376CB444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b/>
                <w:bCs/>
              </w:rPr>
              <w:t xml:space="preserve">Сох модел </w:t>
            </w:r>
            <w:r>
              <w:rPr>
                <w:b/>
                <w:bCs/>
                <w:i/>
                <w:iCs/>
              </w:rPr>
              <w:t xml:space="preserve">Р- </w:t>
            </w:r>
            <w:r>
              <w:rPr>
                <w:b/>
                <w:bCs/>
              </w:rPr>
              <w:t>стойност</w:t>
            </w:r>
          </w:p>
        </w:tc>
      </w:tr>
      <w:tr w:rsidR="00A7319E" w14:paraId="476D7EFB" w14:textId="77777777" w:rsidTr="00A7319E">
        <w:tc>
          <w:tcPr>
            <w:tcW w:w="1951" w:type="dxa"/>
          </w:tcPr>
          <w:p w14:paraId="6AEA9D89" w14:textId="604C67F2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b/>
                <w:bCs/>
              </w:rPr>
              <w:t>[Летрозол →] Тамоксифен</w:t>
            </w:r>
          </w:p>
        </w:tc>
        <w:tc>
          <w:tcPr>
            <w:tcW w:w="1215" w:type="dxa"/>
          </w:tcPr>
          <w:p w14:paraId="45AA9132" w14:textId="6E3CA78C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1 460</w:t>
            </w:r>
          </w:p>
        </w:tc>
        <w:tc>
          <w:tcPr>
            <w:tcW w:w="1586" w:type="dxa"/>
          </w:tcPr>
          <w:p w14:paraId="3B9111E4" w14:textId="27F490A2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254</w:t>
            </w:r>
          </w:p>
        </w:tc>
        <w:tc>
          <w:tcPr>
            <w:tcW w:w="1595" w:type="dxa"/>
          </w:tcPr>
          <w:p w14:paraId="476832CA" w14:textId="6C5D6A8B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1,03</w:t>
            </w:r>
          </w:p>
        </w:tc>
        <w:tc>
          <w:tcPr>
            <w:tcW w:w="1643" w:type="dxa"/>
          </w:tcPr>
          <w:p w14:paraId="03715CDB" w14:textId="56CD5294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(0,84,</w:t>
            </w:r>
            <w:r>
              <w:rPr>
                <w:lang w:val="en-US"/>
              </w:rPr>
              <w:t xml:space="preserve"> </w:t>
            </w:r>
            <w:r>
              <w:t>1,26)</w:t>
            </w:r>
          </w:p>
        </w:tc>
        <w:tc>
          <w:tcPr>
            <w:tcW w:w="1586" w:type="dxa"/>
          </w:tcPr>
          <w:p w14:paraId="2F03FF7F" w14:textId="1DE5C9D1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0,72</w:t>
            </w:r>
          </w:p>
        </w:tc>
      </w:tr>
      <w:tr w:rsidR="00A7319E" w14:paraId="1414F1CF" w14:textId="77777777" w:rsidTr="00A7319E">
        <w:tc>
          <w:tcPr>
            <w:tcW w:w="1951" w:type="dxa"/>
          </w:tcPr>
          <w:p w14:paraId="4EAD46D6" w14:textId="137C066F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b/>
                <w:bCs/>
              </w:rPr>
              <w:t>Летрозол</w:t>
            </w:r>
          </w:p>
        </w:tc>
        <w:tc>
          <w:tcPr>
            <w:tcW w:w="1215" w:type="dxa"/>
          </w:tcPr>
          <w:p w14:paraId="68836FE8" w14:textId="180F89F2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1 464</w:t>
            </w:r>
          </w:p>
        </w:tc>
        <w:tc>
          <w:tcPr>
            <w:tcW w:w="1586" w:type="dxa"/>
          </w:tcPr>
          <w:p w14:paraId="15691444" w14:textId="272BD68B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249</w:t>
            </w:r>
          </w:p>
        </w:tc>
        <w:tc>
          <w:tcPr>
            <w:tcW w:w="1595" w:type="dxa"/>
          </w:tcPr>
          <w:p w14:paraId="7B3B2747" w14:textId="77777777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643" w:type="dxa"/>
          </w:tcPr>
          <w:p w14:paraId="275EBFF0" w14:textId="77777777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586" w:type="dxa"/>
          </w:tcPr>
          <w:p w14:paraId="78F61873" w14:textId="77777777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60CEC79F" w14:textId="5B8D8012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vertAlign w:val="superscript"/>
          <w:lang w:eastAsia="bg-BG"/>
        </w:rPr>
        <w:t>1</w:t>
      </w:r>
      <w:r w:rsidRPr="00A7319E">
        <w:rPr>
          <w:rFonts w:eastAsia="Times New Roman" w:cs="Arial"/>
          <w:color w:val="000000"/>
          <w:lang w:eastAsia="bg-BG"/>
        </w:rPr>
        <w:t>Дефиниция по протокол, включително втора първична неоплазма, която не е на гърдата, след смяната на терапията/ след две година</w:t>
      </w:r>
    </w:p>
    <w:p w14:paraId="62CC24B2" w14:textId="33F88F6E" w:rsidR="00A7319E" w:rsidRPr="00A7319E" w:rsidRDefault="00A7319E" w:rsidP="00A7319E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A7319E">
        <w:rPr>
          <w:rFonts w:eastAsia="Times New Roman" w:cs="Arial"/>
          <w:color w:val="000000"/>
          <w:vertAlign w:val="superscript"/>
          <w:lang w:eastAsia="bg-BG"/>
        </w:rPr>
        <w:t>2</w:t>
      </w:r>
      <w:r w:rsidRPr="00A7319E">
        <w:rPr>
          <w:rFonts w:eastAsia="Times New Roman" w:cs="Arial"/>
          <w:color w:val="000000"/>
          <w:lang w:eastAsia="bg-BG"/>
        </w:rPr>
        <w:t>Коригиран чрез прилагане на химиотерапия</w:t>
      </w:r>
    </w:p>
    <w:p w14:paraId="184DD4F9" w14:textId="7CF01664" w:rsidR="00A7319E" w:rsidRPr="00A7319E" w:rsidRDefault="00A7319E" w:rsidP="00A7319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E296B75" w14:textId="77777777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 xml:space="preserve">Няма сигнификантна разлика по отношение на </w:t>
      </w:r>
      <w:r w:rsidRPr="00A7319E">
        <w:rPr>
          <w:rFonts w:eastAsia="Times New Roman" w:cs="Arial"/>
          <w:color w:val="000000"/>
          <w:lang w:val="en-US"/>
        </w:rPr>
        <w:t>DFS</w:t>
      </w:r>
      <w:r w:rsidRPr="00A7319E">
        <w:rPr>
          <w:rFonts w:eastAsia="Times New Roman" w:cs="Arial"/>
          <w:color w:val="000000"/>
          <w:lang w:val="ru-RU"/>
        </w:rPr>
        <w:t xml:space="preserve">, </w:t>
      </w:r>
      <w:r w:rsidRPr="00A7319E">
        <w:rPr>
          <w:rFonts w:eastAsia="Times New Roman" w:cs="Arial"/>
          <w:color w:val="000000"/>
          <w:lang w:val="en-US"/>
        </w:rPr>
        <w:t>OS</w:t>
      </w:r>
      <w:r w:rsidRPr="00A7319E">
        <w:rPr>
          <w:rFonts w:eastAsia="Times New Roman" w:cs="Arial"/>
          <w:color w:val="000000"/>
          <w:lang w:val="ru-RU"/>
        </w:rPr>
        <w:t xml:space="preserve">, </w:t>
      </w:r>
      <w:r w:rsidRPr="00A7319E">
        <w:rPr>
          <w:rFonts w:eastAsia="Times New Roman" w:cs="Arial"/>
          <w:color w:val="000000"/>
          <w:lang w:val="en-US"/>
        </w:rPr>
        <w:t>SDFS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 xml:space="preserve">и </w:t>
      </w:r>
      <w:r w:rsidRPr="00A7319E">
        <w:rPr>
          <w:rFonts w:eastAsia="Times New Roman" w:cs="Arial"/>
          <w:color w:val="000000"/>
          <w:lang w:val="en-US"/>
        </w:rPr>
        <w:t>DDFS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 xml:space="preserve">при пито един от </w:t>
      </w:r>
      <w:r w:rsidRPr="00A7319E">
        <w:rPr>
          <w:rFonts w:eastAsia="Times New Roman" w:cs="Arial"/>
          <w:color w:val="000000"/>
          <w:lang w:val="en-US"/>
        </w:rPr>
        <w:t>STA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>на сдвоените сравнения на рандомизацията (Таблица 7).</w:t>
      </w:r>
    </w:p>
    <w:p w14:paraId="115117AB" w14:textId="77777777" w:rsidR="00A7319E" w:rsidRPr="00A7319E" w:rsidRDefault="00A7319E" w:rsidP="00A7319E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</w:p>
    <w:p w14:paraId="260C3488" w14:textId="3D4814C1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b/>
          <w:bCs/>
          <w:color w:val="000000"/>
          <w:lang w:eastAsia="bg-BG"/>
        </w:rPr>
        <w:t xml:space="preserve">Таблица 7 Анализ на секвентната терапия от рандомизацията </w:t>
      </w:r>
      <w:r w:rsidRPr="00A7319E">
        <w:rPr>
          <w:rFonts w:eastAsia="Times New Roman" w:cs="Arial"/>
          <w:b/>
          <w:bCs/>
          <w:color w:val="000000"/>
          <w:lang w:val="ru-RU"/>
        </w:rPr>
        <w:t>(</w:t>
      </w:r>
      <w:r w:rsidRPr="00A7319E">
        <w:rPr>
          <w:rFonts w:eastAsia="Times New Roman" w:cs="Arial"/>
          <w:b/>
          <w:bCs/>
          <w:color w:val="000000"/>
          <w:lang w:val="en-US"/>
        </w:rPr>
        <w:t>STA</w:t>
      </w:r>
      <w:r w:rsidRPr="00A7319E">
        <w:rPr>
          <w:rFonts w:eastAsia="Times New Roman" w:cs="Arial"/>
          <w:b/>
          <w:bCs/>
          <w:color w:val="000000"/>
          <w:lang w:val="ru-RU"/>
        </w:rPr>
        <w:t>-</w:t>
      </w:r>
      <w:r w:rsidRPr="00A7319E">
        <w:rPr>
          <w:rFonts w:eastAsia="Times New Roman" w:cs="Arial"/>
          <w:b/>
          <w:bCs/>
          <w:color w:val="000000"/>
          <w:lang w:val="en-US"/>
        </w:rPr>
        <w:t>R</w:t>
      </w:r>
      <w:r w:rsidRPr="00A7319E">
        <w:rPr>
          <w:rFonts w:eastAsia="Times New Roman" w:cs="Arial"/>
          <w:b/>
          <w:bCs/>
          <w:color w:val="000000"/>
          <w:lang w:val="ru-RU"/>
        </w:rPr>
        <w:t xml:space="preserve">) </w:t>
      </w:r>
      <w:r w:rsidRPr="00A7319E">
        <w:rPr>
          <w:rFonts w:eastAsia="Times New Roman" w:cs="Arial"/>
          <w:b/>
          <w:bCs/>
          <w:color w:val="000000"/>
          <w:lang w:eastAsia="bg-BG"/>
        </w:rPr>
        <w:t xml:space="preserve">по отношение на прежнвяемостта без заболяване </w:t>
      </w:r>
      <w:r w:rsidRPr="00A7319E">
        <w:rPr>
          <w:rFonts w:eastAsia="Times New Roman" w:cs="Arial"/>
          <w:b/>
          <w:bCs/>
          <w:color w:val="000000"/>
          <w:lang w:val="ru-RU"/>
        </w:rPr>
        <w:t>(</w:t>
      </w:r>
      <w:r w:rsidRPr="00A7319E">
        <w:rPr>
          <w:rFonts w:eastAsia="Times New Roman" w:cs="Arial"/>
          <w:b/>
          <w:bCs/>
          <w:color w:val="000000"/>
          <w:lang w:val="en-US"/>
        </w:rPr>
        <w:t>ITT</w:t>
      </w:r>
      <w:r w:rsidRPr="00A7319E">
        <w:rPr>
          <w:rFonts w:eastAsia="Times New Roman" w:cs="Arial"/>
          <w:b/>
          <w:bCs/>
          <w:color w:val="000000"/>
          <w:lang w:val="ru-RU"/>
        </w:rPr>
        <w:t xml:space="preserve"> </w:t>
      </w:r>
      <w:r w:rsidRPr="00A7319E">
        <w:rPr>
          <w:rFonts w:eastAsia="Times New Roman" w:cs="Arial"/>
          <w:b/>
          <w:bCs/>
          <w:color w:val="000000"/>
          <w:lang w:val="en-US"/>
        </w:rPr>
        <w:t>STA</w:t>
      </w:r>
      <w:r w:rsidRPr="00A7319E">
        <w:rPr>
          <w:rFonts w:eastAsia="Times New Roman" w:cs="Arial"/>
          <w:b/>
          <w:bCs/>
          <w:color w:val="000000"/>
          <w:lang w:val="ru-RU"/>
        </w:rPr>
        <w:t>-</w:t>
      </w:r>
      <w:r w:rsidRPr="00A7319E">
        <w:rPr>
          <w:rFonts w:eastAsia="Times New Roman" w:cs="Arial"/>
          <w:b/>
          <w:bCs/>
          <w:color w:val="000000"/>
          <w:lang w:val="en-US"/>
        </w:rPr>
        <w:t>R</w:t>
      </w:r>
      <w:r w:rsidRPr="00A7319E">
        <w:rPr>
          <w:rFonts w:eastAsia="Times New Roman" w:cs="Arial"/>
          <w:b/>
          <w:bCs/>
          <w:color w:val="000000"/>
          <w:lang w:val="ru-RU"/>
        </w:rPr>
        <w:t xml:space="preserve"> </w:t>
      </w:r>
      <w:r w:rsidRPr="00A7319E">
        <w:rPr>
          <w:rFonts w:eastAsia="Times New Roman" w:cs="Arial"/>
          <w:b/>
          <w:bCs/>
          <w:color w:val="000000"/>
          <w:lang w:eastAsia="bg-BG"/>
        </w:rPr>
        <w:t>популация)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6"/>
        <w:gridCol w:w="2273"/>
        <w:gridCol w:w="3121"/>
      </w:tblGrid>
      <w:tr w:rsidR="00A7319E" w14:paraId="68DC88F6" w14:textId="77777777" w:rsidTr="00A7319E">
        <w:tc>
          <w:tcPr>
            <w:tcW w:w="4077" w:type="dxa"/>
          </w:tcPr>
          <w:p w14:paraId="2C946AF0" w14:textId="77777777" w:rsidR="00A7319E" w:rsidRDefault="00A7319E" w:rsidP="00A7319E"/>
        </w:tc>
        <w:tc>
          <w:tcPr>
            <w:tcW w:w="2307" w:type="dxa"/>
            <w:vAlign w:val="bottom"/>
          </w:tcPr>
          <w:p w14:paraId="54D74FE1" w14:textId="1854A9BB" w:rsidR="00A7319E" w:rsidRDefault="00A7319E" w:rsidP="00A7319E">
            <w:r>
              <w:rPr>
                <w:b/>
                <w:bCs/>
              </w:rPr>
              <w:t xml:space="preserve">Летрозол </w:t>
            </w:r>
            <w:r>
              <w:rPr>
                <w:b/>
                <w:bCs/>
                <w:lang w:val="en-US"/>
              </w:rPr>
              <w:t>→</w:t>
            </w:r>
            <w:r>
              <w:rPr>
                <w:b/>
                <w:bCs/>
              </w:rPr>
              <w:t xml:space="preserve"> Тамоксифен</w:t>
            </w:r>
          </w:p>
        </w:tc>
        <w:tc>
          <w:tcPr>
            <w:tcW w:w="3192" w:type="dxa"/>
          </w:tcPr>
          <w:p w14:paraId="63204AA5" w14:textId="03003053" w:rsidR="00A7319E" w:rsidRDefault="00A7319E" w:rsidP="00A7319E">
            <w:r>
              <w:rPr>
                <w:b/>
                <w:bCs/>
              </w:rPr>
              <w:t>Летрозол</w:t>
            </w:r>
          </w:p>
        </w:tc>
      </w:tr>
      <w:tr w:rsidR="00A7319E" w14:paraId="6D8E2D63" w14:textId="77777777" w:rsidTr="00A7319E">
        <w:tc>
          <w:tcPr>
            <w:tcW w:w="4077" w:type="dxa"/>
            <w:vAlign w:val="bottom"/>
          </w:tcPr>
          <w:p w14:paraId="6F7F2A38" w14:textId="394A8069" w:rsidR="00A7319E" w:rsidRDefault="00A7319E" w:rsidP="00A7319E">
            <w:r>
              <w:t>Брой пациенти</w:t>
            </w:r>
          </w:p>
        </w:tc>
        <w:tc>
          <w:tcPr>
            <w:tcW w:w="2307" w:type="dxa"/>
            <w:vAlign w:val="bottom"/>
          </w:tcPr>
          <w:p w14:paraId="7C8392E9" w14:textId="7A2D0A55" w:rsidR="00A7319E" w:rsidRDefault="00A7319E" w:rsidP="00A7319E">
            <w:r>
              <w:t>1 540</w:t>
            </w:r>
          </w:p>
        </w:tc>
        <w:tc>
          <w:tcPr>
            <w:tcW w:w="3192" w:type="dxa"/>
            <w:vAlign w:val="bottom"/>
          </w:tcPr>
          <w:p w14:paraId="5EA7FC7D" w14:textId="2CF2514C" w:rsidR="00A7319E" w:rsidRDefault="00A7319E" w:rsidP="00A7319E">
            <w:r>
              <w:t>1 546</w:t>
            </w:r>
          </w:p>
        </w:tc>
      </w:tr>
      <w:tr w:rsidR="00A7319E" w14:paraId="3A8694BB" w14:textId="77777777" w:rsidTr="00A7319E">
        <w:tc>
          <w:tcPr>
            <w:tcW w:w="4077" w:type="dxa"/>
            <w:vAlign w:val="bottom"/>
          </w:tcPr>
          <w:p w14:paraId="027010FA" w14:textId="6725922B" w:rsidR="00A7319E" w:rsidRDefault="00A7319E" w:rsidP="00A7319E">
            <w:r>
              <w:t xml:space="preserve">Брой пациенти с </w:t>
            </w:r>
            <w:r>
              <w:rPr>
                <w:lang w:val="en-US"/>
              </w:rPr>
              <w:t>DFS</w:t>
            </w:r>
            <w:r w:rsidRPr="00A7319E">
              <w:rPr>
                <w:lang w:val="ru-RU"/>
              </w:rPr>
              <w:t xml:space="preserve"> </w:t>
            </w:r>
            <w:r>
              <w:t>-събитие (дефиниция по протокол)</w:t>
            </w:r>
          </w:p>
        </w:tc>
        <w:tc>
          <w:tcPr>
            <w:tcW w:w="2307" w:type="dxa"/>
          </w:tcPr>
          <w:p w14:paraId="2047EA6A" w14:textId="2765795A" w:rsidR="00A7319E" w:rsidRDefault="00A7319E" w:rsidP="00A7319E">
            <w:r>
              <w:t>330</w:t>
            </w:r>
          </w:p>
        </w:tc>
        <w:tc>
          <w:tcPr>
            <w:tcW w:w="3192" w:type="dxa"/>
          </w:tcPr>
          <w:p w14:paraId="01F8A2B4" w14:textId="7AED4397" w:rsidR="00A7319E" w:rsidRDefault="00A7319E" w:rsidP="00A7319E">
            <w:r>
              <w:t>319</w:t>
            </w:r>
          </w:p>
        </w:tc>
      </w:tr>
      <w:tr w:rsidR="00A7319E" w14:paraId="2BD85BA4" w14:textId="77777777" w:rsidTr="00A7319E">
        <w:tc>
          <w:tcPr>
            <w:tcW w:w="4077" w:type="dxa"/>
            <w:vAlign w:val="bottom"/>
          </w:tcPr>
          <w:p w14:paraId="58048C65" w14:textId="0B18C9D1" w:rsidR="00A7319E" w:rsidRDefault="00A7319E" w:rsidP="00A7319E">
            <w:r>
              <w:t>Коефициент на риск</w:t>
            </w:r>
            <w:r>
              <w:rPr>
                <w:vertAlign w:val="superscript"/>
              </w:rPr>
              <w:t>1</w:t>
            </w:r>
            <w:r>
              <w:t xml:space="preserve"> (99% </w:t>
            </w:r>
            <w:r>
              <w:rPr>
                <w:lang w:val="en-US"/>
              </w:rPr>
              <w:t>CI)</w:t>
            </w:r>
          </w:p>
        </w:tc>
        <w:tc>
          <w:tcPr>
            <w:tcW w:w="5499" w:type="dxa"/>
            <w:gridSpan w:val="2"/>
            <w:vAlign w:val="bottom"/>
          </w:tcPr>
          <w:p w14:paraId="0ABDBBC0" w14:textId="51031830" w:rsidR="00A7319E" w:rsidRDefault="00A7319E" w:rsidP="00A7319E">
            <w:r>
              <w:t>1,04 (0,85, 1,27)</w:t>
            </w:r>
          </w:p>
        </w:tc>
      </w:tr>
      <w:tr w:rsidR="00A7319E" w14:paraId="38A3660F" w14:textId="77777777" w:rsidTr="00A7319E">
        <w:tc>
          <w:tcPr>
            <w:tcW w:w="4077" w:type="dxa"/>
          </w:tcPr>
          <w:p w14:paraId="26406079" w14:textId="77777777" w:rsidR="00A7319E" w:rsidRDefault="00A7319E" w:rsidP="00A7319E"/>
        </w:tc>
        <w:tc>
          <w:tcPr>
            <w:tcW w:w="2307" w:type="dxa"/>
            <w:vAlign w:val="bottom"/>
          </w:tcPr>
          <w:p w14:paraId="0EC1B6C9" w14:textId="7FCEFAF2" w:rsidR="00A7319E" w:rsidRDefault="00A7319E" w:rsidP="00A7319E">
            <w:r>
              <w:rPr>
                <w:b/>
                <w:bCs/>
              </w:rPr>
              <w:t xml:space="preserve">Летрозол </w:t>
            </w:r>
            <w:r>
              <w:rPr>
                <w:b/>
                <w:bCs/>
                <w:lang w:val="en-US"/>
              </w:rPr>
              <w:t>→</w:t>
            </w:r>
            <w:r>
              <w:rPr>
                <w:b/>
                <w:bCs/>
              </w:rPr>
              <w:t xml:space="preserve"> Тамоксифен</w:t>
            </w:r>
          </w:p>
        </w:tc>
        <w:tc>
          <w:tcPr>
            <w:tcW w:w="3192" w:type="dxa"/>
          </w:tcPr>
          <w:p w14:paraId="388DF2AB" w14:textId="427E082E" w:rsidR="00A7319E" w:rsidRDefault="00A7319E" w:rsidP="00A7319E">
            <w:r>
              <w:rPr>
                <w:b/>
                <w:bCs/>
              </w:rPr>
              <w:t>Тамоксифен</w:t>
            </w:r>
            <w:r>
              <w:rPr>
                <w:b/>
                <w:bCs/>
                <w:vertAlign w:val="superscript"/>
              </w:rPr>
              <w:t>2</w:t>
            </w:r>
          </w:p>
        </w:tc>
      </w:tr>
      <w:tr w:rsidR="00A7319E" w14:paraId="5E4B52BC" w14:textId="77777777" w:rsidTr="00A7319E">
        <w:tc>
          <w:tcPr>
            <w:tcW w:w="4077" w:type="dxa"/>
            <w:vAlign w:val="bottom"/>
          </w:tcPr>
          <w:p w14:paraId="6F8F226A" w14:textId="780CA6B2" w:rsidR="00A7319E" w:rsidRDefault="00A7319E" w:rsidP="00A7319E">
            <w:r>
              <w:t>Брой пациенти</w:t>
            </w:r>
          </w:p>
        </w:tc>
        <w:tc>
          <w:tcPr>
            <w:tcW w:w="2307" w:type="dxa"/>
            <w:vAlign w:val="bottom"/>
          </w:tcPr>
          <w:p w14:paraId="61283BF6" w14:textId="186400A3" w:rsidR="00A7319E" w:rsidRDefault="00A7319E" w:rsidP="00A7319E">
            <w:r>
              <w:t>1 540</w:t>
            </w:r>
          </w:p>
        </w:tc>
        <w:tc>
          <w:tcPr>
            <w:tcW w:w="3192" w:type="dxa"/>
            <w:vAlign w:val="bottom"/>
          </w:tcPr>
          <w:p w14:paraId="5F912528" w14:textId="4F793E5D" w:rsidR="00A7319E" w:rsidRDefault="00A7319E" w:rsidP="00A7319E">
            <w:r>
              <w:t>1 548</w:t>
            </w:r>
          </w:p>
        </w:tc>
      </w:tr>
      <w:tr w:rsidR="00A7319E" w14:paraId="66399761" w14:textId="77777777" w:rsidTr="00A7319E">
        <w:tc>
          <w:tcPr>
            <w:tcW w:w="4077" w:type="dxa"/>
            <w:vAlign w:val="bottom"/>
          </w:tcPr>
          <w:p w14:paraId="0AB1E305" w14:textId="795A44C2" w:rsidR="00A7319E" w:rsidRDefault="00A7319E" w:rsidP="00A7319E">
            <w:r>
              <w:t xml:space="preserve">Брой пациенти с </w:t>
            </w:r>
            <w:r>
              <w:rPr>
                <w:lang w:val="en-US"/>
              </w:rPr>
              <w:t>DFS</w:t>
            </w:r>
            <w:r w:rsidRPr="00A7319E">
              <w:rPr>
                <w:lang w:val="ru-RU"/>
              </w:rPr>
              <w:t xml:space="preserve"> </w:t>
            </w:r>
            <w:r>
              <w:t>-събитие (дефиниция по протокол)</w:t>
            </w:r>
          </w:p>
        </w:tc>
        <w:tc>
          <w:tcPr>
            <w:tcW w:w="2307" w:type="dxa"/>
          </w:tcPr>
          <w:p w14:paraId="655EFFCB" w14:textId="170CB18D" w:rsidR="00A7319E" w:rsidRDefault="00A7319E" w:rsidP="00A7319E">
            <w:r>
              <w:t>330</w:t>
            </w:r>
          </w:p>
        </w:tc>
        <w:tc>
          <w:tcPr>
            <w:tcW w:w="3192" w:type="dxa"/>
          </w:tcPr>
          <w:p w14:paraId="08880BCE" w14:textId="5D04376D" w:rsidR="00A7319E" w:rsidRDefault="00A7319E" w:rsidP="00A7319E">
            <w:r>
              <w:t>353</w:t>
            </w:r>
          </w:p>
        </w:tc>
      </w:tr>
      <w:tr w:rsidR="00A7319E" w14:paraId="29AF45FA" w14:textId="77777777" w:rsidTr="007B3F4A">
        <w:tc>
          <w:tcPr>
            <w:tcW w:w="4077" w:type="dxa"/>
            <w:vAlign w:val="bottom"/>
          </w:tcPr>
          <w:p w14:paraId="4A715142" w14:textId="45C204F1" w:rsidR="00A7319E" w:rsidRDefault="00A7319E" w:rsidP="00A7319E">
            <w:r>
              <w:t>Коефициент на риск</w:t>
            </w:r>
            <w:r>
              <w:rPr>
                <w:vertAlign w:val="superscript"/>
              </w:rPr>
              <w:t>1</w:t>
            </w:r>
            <w:r>
              <w:t xml:space="preserve"> (99% </w:t>
            </w:r>
            <w:r>
              <w:rPr>
                <w:lang w:val="en-US"/>
              </w:rPr>
              <w:t>CI)</w:t>
            </w:r>
          </w:p>
        </w:tc>
        <w:tc>
          <w:tcPr>
            <w:tcW w:w="5499" w:type="dxa"/>
            <w:gridSpan w:val="2"/>
            <w:vAlign w:val="bottom"/>
          </w:tcPr>
          <w:p w14:paraId="5EE8F296" w14:textId="3F447D39" w:rsidR="00A7319E" w:rsidRDefault="00A7319E" w:rsidP="00A7319E">
            <w:r>
              <w:t>0,92 (0,75,</w:t>
            </w:r>
            <w:r>
              <w:rPr>
                <w:lang w:val="en-US"/>
              </w:rPr>
              <w:t xml:space="preserve"> </w:t>
            </w:r>
            <w:r>
              <w:t>1,12)</w:t>
            </w:r>
          </w:p>
        </w:tc>
      </w:tr>
      <w:tr w:rsidR="00A7319E" w14:paraId="3BB034BB" w14:textId="77777777" w:rsidTr="00A7319E">
        <w:trPr>
          <w:trHeight w:val="416"/>
        </w:trPr>
        <w:tc>
          <w:tcPr>
            <w:tcW w:w="9576" w:type="dxa"/>
            <w:gridSpan w:val="3"/>
          </w:tcPr>
          <w:p w14:paraId="5A91BC20" w14:textId="103F6FAF" w:rsidR="00A7319E" w:rsidRPr="00A7319E" w:rsidRDefault="00A7319E" w:rsidP="00A7319E">
            <w:pPr>
              <w:rPr>
                <w:lang w:eastAsia="bg-BG"/>
              </w:rPr>
            </w:pPr>
            <w:r w:rsidRPr="00A7319E">
              <w:rPr>
                <w:vertAlign w:val="superscript"/>
                <w:lang w:val="ru-RU" w:eastAsia="bg-BG"/>
              </w:rPr>
              <w:t>1</w:t>
            </w:r>
            <w:r w:rsidRPr="00A7319E">
              <w:rPr>
                <w:lang w:val="ru-RU" w:eastAsia="bg-BG"/>
              </w:rPr>
              <w:t xml:space="preserve"> </w:t>
            </w:r>
            <w:r w:rsidRPr="00A7319E">
              <w:rPr>
                <w:lang w:eastAsia="bg-BG"/>
              </w:rPr>
              <w:t xml:space="preserve">Коригиран чрез прилагане </w:t>
            </w:r>
            <w:proofErr w:type="gramStart"/>
            <w:r w:rsidRPr="00A7319E">
              <w:rPr>
                <w:lang w:eastAsia="bg-BG"/>
              </w:rPr>
              <w:t>на химиотерапия</w:t>
            </w:r>
            <w:proofErr w:type="gramEnd"/>
            <w:r w:rsidRPr="00A7319E">
              <w:rPr>
                <w:lang w:eastAsia="bg-BG"/>
              </w:rPr>
              <w:t xml:space="preserve"> (да/не)</w:t>
            </w:r>
          </w:p>
          <w:p w14:paraId="23EAF510" w14:textId="4AD2B390" w:rsidR="00A7319E" w:rsidRPr="00A7319E" w:rsidRDefault="00A7319E" w:rsidP="00A7319E">
            <w:pPr>
              <w:rPr>
                <w:lang w:eastAsia="bg-BG"/>
              </w:rPr>
            </w:pPr>
            <w:r w:rsidRPr="00A7319E">
              <w:rPr>
                <w:vertAlign w:val="superscript"/>
                <w:lang w:val="ru-RU" w:eastAsia="bg-BG"/>
              </w:rPr>
              <w:lastRenderedPageBreak/>
              <w:t xml:space="preserve">2 </w:t>
            </w:r>
            <w:r w:rsidRPr="00A7319E">
              <w:rPr>
                <w:lang w:eastAsia="bg-BG"/>
              </w:rPr>
              <w:t>626 (40%) пациенти, селективно преминали на летрозол след разслепяване на рамото с</w:t>
            </w:r>
          </w:p>
          <w:p w14:paraId="07C82DB3" w14:textId="77777777" w:rsidR="00A7319E" w:rsidRPr="00A7319E" w:rsidRDefault="00A7319E" w:rsidP="00A7319E">
            <w:pPr>
              <w:rPr>
                <w:sz w:val="24"/>
                <w:szCs w:val="24"/>
              </w:rPr>
            </w:pPr>
            <w:r w:rsidRPr="00A7319E">
              <w:rPr>
                <w:lang w:eastAsia="bg-BG"/>
              </w:rPr>
              <w:t>тамоксифен през 2005 г.</w:t>
            </w:r>
          </w:p>
          <w:p w14:paraId="3BC2CFF1" w14:textId="77777777" w:rsidR="00A7319E" w:rsidRDefault="00A7319E" w:rsidP="00A7319E"/>
        </w:tc>
      </w:tr>
    </w:tbl>
    <w:p w14:paraId="1CF3F27A" w14:textId="77777777" w:rsidR="00A7319E" w:rsidRDefault="00A7319E" w:rsidP="00A7319E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u w:val="single"/>
          <w:lang w:eastAsia="bg-BG"/>
        </w:rPr>
      </w:pPr>
    </w:p>
    <w:p w14:paraId="3BD8CF57" w14:textId="760AF207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i/>
          <w:iCs/>
          <w:color w:val="000000"/>
          <w:u w:val="single"/>
          <w:lang w:eastAsia="bg-BG"/>
        </w:rPr>
        <w:t xml:space="preserve">Проучване </w:t>
      </w:r>
      <w:r w:rsidRPr="00A7319E">
        <w:rPr>
          <w:rFonts w:eastAsia="Times New Roman" w:cs="Arial"/>
          <w:i/>
          <w:iCs/>
          <w:color w:val="000000"/>
          <w:u w:val="single"/>
          <w:lang w:val="en-US"/>
        </w:rPr>
        <w:t>D</w:t>
      </w:r>
      <w:r w:rsidRPr="00A7319E">
        <w:rPr>
          <w:rFonts w:eastAsia="Times New Roman" w:cs="Arial"/>
          <w:i/>
          <w:iCs/>
          <w:color w:val="000000"/>
          <w:u w:val="single"/>
          <w:lang w:val="ru-RU"/>
        </w:rPr>
        <w:t>2407</w:t>
      </w:r>
    </w:p>
    <w:p w14:paraId="079702E4" w14:textId="77777777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 xml:space="preserve">Проучване </w:t>
      </w:r>
      <w:r w:rsidRPr="00A7319E">
        <w:rPr>
          <w:rFonts w:eastAsia="Times New Roman" w:cs="Arial"/>
          <w:color w:val="000000"/>
          <w:lang w:val="en-US"/>
        </w:rPr>
        <w:t>D</w:t>
      </w:r>
      <w:r w:rsidRPr="00A7319E">
        <w:rPr>
          <w:rFonts w:eastAsia="Times New Roman" w:cs="Arial"/>
          <w:color w:val="000000"/>
          <w:lang w:val="ru-RU"/>
        </w:rPr>
        <w:t xml:space="preserve">2407 </w:t>
      </w:r>
      <w:r w:rsidRPr="00A7319E">
        <w:rPr>
          <w:rFonts w:eastAsia="Times New Roman" w:cs="Arial"/>
          <w:color w:val="000000"/>
          <w:lang w:eastAsia="bg-BG"/>
        </w:rPr>
        <w:t>е отворено, рандомизирано, многоцентрово проучване за безопасност след разрешаване за употреба, планирано да сравни ефектите на адювантната терапия с летрозол и тамоксифен върху костната минерална плътност (КМП) и серумния липиден профил. При общо 262 пациенти е назначено да получават или летрозол в продължение на 5 години или тамоксифен продължение на 2 години, а след това летрозол в продължение на 3 години.</w:t>
      </w:r>
    </w:p>
    <w:p w14:paraId="746577CF" w14:textId="77777777" w:rsidR="00A7319E" w:rsidRPr="00A7319E" w:rsidRDefault="00A7319E" w:rsidP="00A7319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756A6D7" w14:textId="55A9F694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 xml:space="preserve">На 24-ия месец е установена статистически значима разлика по отношение на първичната крайна точка КМП в областта на лумбалните прешлени </w:t>
      </w:r>
      <w:r w:rsidRPr="00A7319E">
        <w:rPr>
          <w:rFonts w:eastAsia="Times New Roman" w:cs="Arial"/>
          <w:color w:val="000000"/>
          <w:lang w:val="ru-RU"/>
        </w:rPr>
        <w:t>(</w:t>
      </w:r>
      <w:r w:rsidRPr="00A7319E">
        <w:rPr>
          <w:rFonts w:eastAsia="Times New Roman" w:cs="Arial"/>
          <w:color w:val="000000"/>
          <w:lang w:val="en-US"/>
        </w:rPr>
        <w:t>L</w:t>
      </w:r>
      <w:r w:rsidRPr="00A7319E">
        <w:rPr>
          <w:rFonts w:eastAsia="Times New Roman" w:cs="Arial"/>
          <w:color w:val="000000"/>
          <w:lang w:val="ru-RU"/>
        </w:rPr>
        <w:t>2-</w:t>
      </w:r>
      <w:r w:rsidRPr="00A7319E">
        <w:rPr>
          <w:rFonts w:eastAsia="Times New Roman" w:cs="Arial"/>
          <w:color w:val="000000"/>
          <w:lang w:val="en-US"/>
        </w:rPr>
        <w:t>L</w:t>
      </w:r>
      <w:r w:rsidRPr="00A7319E">
        <w:rPr>
          <w:rFonts w:eastAsia="Times New Roman" w:cs="Arial"/>
          <w:color w:val="000000"/>
          <w:lang w:val="ru-RU"/>
        </w:rPr>
        <w:t xml:space="preserve">4), </w:t>
      </w:r>
      <w:r w:rsidRPr="00A7319E">
        <w:rPr>
          <w:rFonts w:eastAsia="Times New Roman" w:cs="Arial"/>
          <w:color w:val="000000"/>
          <w:lang w:eastAsia="bg-BG"/>
        </w:rPr>
        <w:t>показваща медиана на понижение 4,1% за летрозол спрямо медиана на повишение 0,3% за тамоксифен.</w:t>
      </w:r>
    </w:p>
    <w:p w14:paraId="17F04615" w14:textId="77777777" w:rsidR="00A7319E" w:rsidRPr="00A7319E" w:rsidRDefault="00A7319E" w:rsidP="00A7319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24B60EB" w14:textId="73B23D8D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>При нито един от пациентите с нормална КМП на изходно ниво не е наблюдавано развитие на остеопороза в хода на 2-годишното лечение и само при 1 пациент с остеопения на изходно ниво (Т скор от -1,9) е наблюдавано развитие на остеопороза по време на лечението (оценка чрез централен преглед).</w:t>
      </w:r>
    </w:p>
    <w:p w14:paraId="34D357AB" w14:textId="77777777" w:rsidR="00A7319E" w:rsidRPr="00A7319E" w:rsidRDefault="00A7319E" w:rsidP="00A7319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0D1F6E9" w14:textId="77BD50D8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>Резултатите за обща КМП на бедрената кост са подобни на тези за лумбалните прешлени, но по-слабо изразени.</w:t>
      </w:r>
    </w:p>
    <w:p w14:paraId="186E717D" w14:textId="77777777" w:rsidR="00A7319E" w:rsidRPr="00A7319E" w:rsidRDefault="00A7319E" w:rsidP="00A7319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1F9EC77" w14:textId="2AD715DC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>Няма статистически значима разлика между леченията по отношение на честотата на фрактурите - 15% в рамото на летрозол и 17% в рамото на тамоксифен.</w:t>
      </w:r>
    </w:p>
    <w:p w14:paraId="2B1696D7" w14:textId="77777777" w:rsidR="00A7319E" w:rsidRPr="00A7319E" w:rsidRDefault="00A7319E" w:rsidP="00A7319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BF13DF7" w14:textId="600496B5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>В рамото на тамоксифен медианата на нивата на общия холестерол се понижава с 16% спрямо изходните стойности след 6 месеца и това понижение се поддържа при следващите визити до 24 месеца. В рамото на летрозол нивата на общия холестерол остават относително постоянни в течение на времето, давайки статистически значима разлика в полза на тамоксифен във всяка времева точка.</w:t>
      </w:r>
    </w:p>
    <w:p w14:paraId="13DE27A1" w14:textId="77777777" w:rsidR="00A7319E" w:rsidRPr="00A7319E" w:rsidRDefault="00A7319E" w:rsidP="00A7319E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30E2FC91" w14:textId="1CA57DF7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i/>
          <w:iCs/>
          <w:color w:val="000000"/>
          <w:u w:val="single"/>
          <w:lang w:eastAsia="bg-BG"/>
        </w:rPr>
        <w:t>Разширена адювантна терапия (МА-17)</w:t>
      </w:r>
    </w:p>
    <w:p w14:paraId="0F0021F1" w14:textId="77777777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>В едно многоцентрово, двойносляпо, рандомизирано, плацебо-контролирано проучване (</w:t>
      </w:r>
      <w:r w:rsidRPr="00A7319E">
        <w:rPr>
          <w:rFonts w:eastAsia="Times New Roman" w:cs="Arial"/>
          <w:color w:val="000000"/>
          <w:lang w:val="en-US"/>
        </w:rPr>
        <w:t>MA</w:t>
      </w:r>
      <w:r w:rsidRPr="00A7319E">
        <w:rPr>
          <w:rFonts w:eastAsia="Times New Roman" w:cs="Arial"/>
          <w:color w:val="000000"/>
          <w:lang w:val="ru-RU"/>
        </w:rPr>
        <w:t>-</w:t>
      </w:r>
      <w:r w:rsidRPr="00A7319E">
        <w:rPr>
          <w:rFonts w:eastAsia="Times New Roman" w:cs="Arial"/>
          <w:color w:val="000000"/>
          <w:lang w:eastAsia="bg-BG"/>
        </w:rPr>
        <w:t xml:space="preserve"> 17) над 5 100 жени в постменопаузата с рецептор-положителен или неустановен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>първичен рак на гърдата, които са завършили адювантна терапия с тамоксифен (4,5 до 6 години), са рандомизирани на Фемара или плацебо в продължение на 5 години.</w:t>
      </w:r>
    </w:p>
    <w:p w14:paraId="1322D72C" w14:textId="77777777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</w:p>
    <w:p w14:paraId="676ECC57" w14:textId="77777777" w:rsidR="00A7319E" w:rsidRPr="00A7319E" w:rsidRDefault="00A7319E" w:rsidP="00A7319E">
      <w:pPr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>Първичната крайна точка е преживяемост без заболяване, дефинирана като интеревала между</w:t>
      </w:r>
      <w:r w:rsidRPr="00A7319E">
        <w:rPr>
          <w:rFonts w:eastAsia="Times New Roman" w:cs="Arial"/>
          <w:color w:val="000000"/>
          <w:lang w:val="ru-RU" w:eastAsia="bg-BG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>рандомизацията и най-ранната поява на локорегионален рецидив, далечни метастази или контралатерален рак на гърдата.</w:t>
      </w:r>
    </w:p>
    <w:p w14:paraId="01245A1E" w14:textId="77777777" w:rsidR="00A7319E" w:rsidRPr="00A7319E" w:rsidRDefault="00A7319E" w:rsidP="00A7319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0A202F8" w14:textId="06E1025D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 xml:space="preserve">Първият планиран междинен анализ при медиана на проследяване около 28 месеца (25% от пациентите са проследени в продължение на поне 38 месеца) показва, че Фемара значимо намалява риска от рецидив на рак на гърдата с 42% спрямо плацебо </w:t>
      </w:r>
      <w:r w:rsidRPr="00A7319E">
        <w:rPr>
          <w:rFonts w:eastAsia="Times New Roman" w:cs="Arial"/>
          <w:color w:val="000000"/>
          <w:lang w:val="ru-RU"/>
        </w:rPr>
        <w:t>(</w:t>
      </w:r>
      <w:r w:rsidRPr="00A7319E">
        <w:rPr>
          <w:rFonts w:eastAsia="Times New Roman" w:cs="Arial"/>
          <w:color w:val="000000"/>
          <w:lang w:val="en-US"/>
        </w:rPr>
        <w:t>HR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 xml:space="preserve">0,58; 95% </w:t>
      </w:r>
      <w:r w:rsidRPr="00A7319E">
        <w:rPr>
          <w:rFonts w:eastAsia="Times New Roman" w:cs="Arial"/>
          <w:color w:val="000000"/>
          <w:lang w:val="en-US"/>
        </w:rPr>
        <w:t>CI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 xml:space="preserve">0,45, 0,76; Р=0,00003). Предимство в полза на летрозол се наблюдава независимо от статуса на лимфните възли. Няма статистически значима разлика по отношение на </w:t>
      </w:r>
      <w:r w:rsidRPr="00A7319E">
        <w:rPr>
          <w:rFonts w:eastAsia="Times New Roman" w:cs="Arial"/>
          <w:color w:val="000000"/>
          <w:lang w:eastAsia="bg-BG"/>
        </w:rPr>
        <w:lastRenderedPageBreak/>
        <w:t xml:space="preserve">общата преживяемост: (Фемара 51 смъртни случая; плацебо 62; </w:t>
      </w:r>
      <w:r w:rsidRPr="00A7319E">
        <w:rPr>
          <w:rFonts w:eastAsia="Times New Roman" w:cs="Arial"/>
          <w:color w:val="000000"/>
          <w:lang w:val="en-US"/>
        </w:rPr>
        <w:t>HR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 xml:space="preserve">0,82; 95% </w:t>
      </w:r>
      <w:r w:rsidRPr="00A7319E">
        <w:rPr>
          <w:rFonts w:eastAsia="Times New Roman" w:cs="Arial"/>
          <w:color w:val="000000"/>
          <w:lang w:val="en-US"/>
        </w:rPr>
        <w:t>CI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>0,56,1,19).</w:t>
      </w:r>
    </w:p>
    <w:p w14:paraId="60ABDE12" w14:textId="77777777" w:rsidR="00A7319E" w:rsidRPr="00A7319E" w:rsidRDefault="00A7319E" w:rsidP="00A7319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258A403" w14:textId="6AA1EA71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>Затова, след първия междинен анализ проучването е разслепено и продължава като отворено, и на пациентите от плацебо рамото е позволено да преминат на лечение с Фемара в продължение на 5 години. Над 60% от подходящите пациенти (без заболяване при разслепяването) избират да преминат на терапия с Фемара. Крайният анализ включва 1551 жени, преминали от лечение с плацебо към лечение с Фемара при медиана 31 месеца (граници от 12 до 106 месеца) след приключване на адювантната терапия с тамоксифен. Медианата на продължителност на лечението с Фемара след смяната на терапията е 40 месеца.</w:t>
      </w:r>
    </w:p>
    <w:p w14:paraId="2DBEDE1D" w14:textId="77777777" w:rsidR="00A7319E" w:rsidRPr="00A7319E" w:rsidRDefault="00A7319E" w:rsidP="00A7319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D98B83F" w14:textId="3C7348DB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>Крайният анализ, проведен при медиана на проследяване 62 месеца, потвърждава сигнификантната редукция на риска от рецидив на рак на гърдата при Фемара.</w:t>
      </w:r>
    </w:p>
    <w:p w14:paraId="35DA8F1D" w14:textId="0E5BCF3C" w:rsidR="00A7319E" w:rsidRPr="00A7319E" w:rsidRDefault="00A7319E" w:rsidP="00A7319E">
      <w:pPr>
        <w:rPr>
          <w:rFonts w:cs="Arial"/>
        </w:rPr>
      </w:pPr>
    </w:p>
    <w:p w14:paraId="3428788D" w14:textId="2AD3BD3D" w:rsidR="00A7319E" w:rsidRDefault="00A7319E" w:rsidP="00A7319E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r w:rsidRPr="00A7319E">
        <w:rPr>
          <w:rFonts w:eastAsia="Times New Roman" w:cs="Arial"/>
          <w:b/>
          <w:bCs/>
          <w:color w:val="000000"/>
          <w:lang w:eastAsia="bg-BG"/>
        </w:rPr>
        <w:t xml:space="preserve">Таблица 8 Преживяемост без заболяване и обща преживяемост (Модифицирана </w:t>
      </w:r>
      <w:r w:rsidRPr="00A7319E">
        <w:rPr>
          <w:rFonts w:eastAsia="Times New Roman" w:cs="Arial"/>
          <w:b/>
          <w:bCs/>
          <w:color w:val="000000"/>
          <w:lang w:val="en-US"/>
        </w:rPr>
        <w:t>ITT</w:t>
      </w:r>
      <w:r w:rsidRPr="00A7319E">
        <w:rPr>
          <w:rFonts w:eastAsia="Times New Roman" w:cs="Arial"/>
          <w:b/>
          <w:bCs/>
          <w:color w:val="000000"/>
          <w:lang w:val="ru-RU"/>
        </w:rPr>
        <w:t xml:space="preserve"> </w:t>
      </w:r>
      <w:r w:rsidRPr="00A7319E">
        <w:rPr>
          <w:rFonts w:eastAsia="Times New Roman" w:cs="Arial"/>
          <w:b/>
          <w:bCs/>
          <w:color w:val="000000"/>
          <w:lang w:eastAsia="bg-BG"/>
        </w:rPr>
        <w:t>популация)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2"/>
        <w:gridCol w:w="1294"/>
        <w:gridCol w:w="1271"/>
        <w:gridCol w:w="1304"/>
        <w:gridCol w:w="1294"/>
        <w:gridCol w:w="1271"/>
        <w:gridCol w:w="1304"/>
      </w:tblGrid>
      <w:tr w:rsidR="00A7319E" w14:paraId="75F4D4C0" w14:textId="77777777" w:rsidTr="00A7319E">
        <w:tc>
          <w:tcPr>
            <w:tcW w:w="1696" w:type="dxa"/>
          </w:tcPr>
          <w:p w14:paraId="05C82BA5" w14:textId="77777777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7880" w:type="dxa"/>
            <w:gridSpan w:val="6"/>
          </w:tcPr>
          <w:p w14:paraId="5BFF8DEE" w14:textId="2514DA81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eastAsia="Times New Roman" w:cs="Arial"/>
                <w:color w:val="000000"/>
                <w:lang w:eastAsia="bg-BG"/>
              </w:rPr>
              <w:t>Медиана на проследяване 28 месеца Медиана на проследяяване 62 месеца</w:t>
            </w:r>
            <w:r w:rsidRPr="00A7319E">
              <w:rPr>
                <w:rFonts w:eastAsia="Times New Roman" w:cs="Arial"/>
                <w:color w:val="000000"/>
                <w:vertAlign w:val="superscript"/>
                <w:lang w:eastAsia="bg-BG"/>
              </w:rPr>
              <w:t>1</w:t>
            </w:r>
          </w:p>
        </w:tc>
      </w:tr>
      <w:tr w:rsidR="00A7319E" w14:paraId="30D4E70D" w14:textId="77777777" w:rsidTr="00A7319E">
        <w:tc>
          <w:tcPr>
            <w:tcW w:w="1696" w:type="dxa"/>
          </w:tcPr>
          <w:p w14:paraId="4C92BC2A" w14:textId="77777777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1322" w:type="dxa"/>
          </w:tcPr>
          <w:p w14:paraId="34497F2F" w14:textId="41A40680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cs="Arial"/>
              </w:rPr>
              <w:t xml:space="preserve">Летрозол </w:t>
            </w:r>
            <w:r w:rsidRPr="00A7319E">
              <w:rPr>
                <w:rFonts w:cs="Arial"/>
                <w:lang w:val="en-US"/>
              </w:rPr>
              <w:t>N=2582</w:t>
            </w:r>
          </w:p>
        </w:tc>
        <w:tc>
          <w:tcPr>
            <w:tcW w:w="1308" w:type="dxa"/>
          </w:tcPr>
          <w:p w14:paraId="02A10572" w14:textId="4C9A2F98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cs="Arial"/>
              </w:rPr>
              <w:t xml:space="preserve">Плацебо </w:t>
            </w:r>
            <w:r w:rsidRPr="00A7319E">
              <w:rPr>
                <w:rFonts w:cs="Arial"/>
                <w:lang w:val="en-US"/>
              </w:rPr>
              <w:t>N=2586</w:t>
            </w:r>
          </w:p>
        </w:tc>
        <w:tc>
          <w:tcPr>
            <w:tcW w:w="1310" w:type="dxa"/>
          </w:tcPr>
          <w:p w14:paraId="765A91F2" w14:textId="5220C4EA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lang w:val="en-US"/>
              </w:rPr>
              <w:t xml:space="preserve">HR </w:t>
            </w:r>
            <w:r>
              <w:t xml:space="preserve">(95% </w:t>
            </w:r>
            <w:r>
              <w:rPr>
                <w:lang w:val="en-US"/>
              </w:rPr>
              <w:t>CI)</w:t>
            </w:r>
            <w:r>
              <w:rPr>
                <w:vertAlign w:val="superscript"/>
                <w:lang w:val="en-US"/>
              </w:rPr>
              <w:t xml:space="preserve">2 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lang w:val="en-US"/>
              </w:rPr>
              <w:t xml:space="preserve"> </w:t>
            </w:r>
            <w:r>
              <w:t>стойност</w:t>
            </w:r>
          </w:p>
        </w:tc>
        <w:tc>
          <w:tcPr>
            <w:tcW w:w="1322" w:type="dxa"/>
          </w:tcPr>
          <w:p w14:paraId="0B9DDF37" w14:textId="4E2F3806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 xml:space="preserve">Летрозол </w:t>
            </w:r>
            <w:r>
              <w:rPr>
                <w:lang w:val="en-US"/>
              </w:rPr>
              <w:t>N=2582</w:t>
            </w:r>
          </w:p>
        </w:tc>
        <w:tc>
          <w:tcPr>
            <w:tcW w:w="1308" w:type="dxa"/>
          </w:tcPr>
          <w:p w14:paraId="4288F38F" w14:textId="0485110E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 xml:space="preserve">Плацебо </w:t>
            </w:r>
            <w:r>
              <w:rPr>
                <w:lang w:val="en-US"/>
              </w:rPr>
              <w:t>N=2586</w:t>
            </w:r>
          </w:p>
        </w:tc>
        <w:tc>
          <w:tcPr>
            <w:tcW w:w="1310" w:type="dxa"/>
          </w:tcPr>
          <w:p w14:paraId="1AF47FBB" w14:textId="7FEBF583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lang w:val="en-US"/>
              </w:rPr>
              <w:t xml:space="preserve">HR </w:t>
            </w:r>
            <w:r>
              <w:t xml:space="preserve">(95% </w:t>
            </w:r>
            <w:r>
              <w:rPr>
                <w:lang w:val="en-US"/>
              </w:rPr>
              <w:t>CI)</w:t>
            </w:r>
            <w:r>
              <w:rPr>
                <w:vertAlign w:val="superscript"/>
                <w:lang w:val="en-US"/>
              </w:rPr>
              <w:t xml:space="preserve">2 </w:t>
            </w:r>
            <w:r>
              <w:rPr>
                <w:i/>
                <w:iCs/>
              </w:rPr>
              <w:t>Р</w:t>
            </w:r>
            <w:r>
              <w:rPr>
                <w:i/>
                <w:iCs/>
                <w:lang w:val="en-US"/>
              </w:rPr>
              <w:t xml:space="preserve"> </w:t>
            </w:r>
            <w:r>
              <w:t>стойност</w:t>
            </w:r>
          </w:p>
        </w:tc>
      </w:tr>
      <w:tr w:rsidR="00A7319E" w14:paraId="500C950A" w14:textId="77777777" w:rsidTr="00FF2A13">
        <w:tc>
          <w:tcPr>
            <w:tcW w:w="9576" w:type="dxa"/>
            <w:gridSpan w:val="7"/>
          </w:tcPr>
          <w:p w14:paraId="3F418809" w14:textId="46AA233F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eastAsia="Times New Roman" w:cs="Arial"/>
                <w:b/>
                <w:bCs/>
                <w:color w:val="000000"/>
                <w:lang w:eastAsia="bg-BG"/>
              </w:rPr>
              <w:t>Преживяемост без заболяване</w:t>
            </w:r>
            <w:r w:rsidRPr="00A7319E">
              <w:rPr>
                <w:rFonts w:eastAsia="Times New Roman" w:cs="Arial"/>
                <w:vertAlign w:val="superscript"/>
                <w:lang w:val="en-US"/>
              </w:rPr>
              <w:t>3</w:t>
            </w:r>
          </w:p>
        </w:tc>
      </w:tr>
      <w:tr w:rsidR="00A7319E" w14:paraId="042F3B6A" w14:textId="77777777" w:rsidTr="00A7319E">
        <w:tc>
          <w:tcPr>
            <w:tcW w:w="1696" w:type="dxa"/>
          </w:tcPr>
          <w:p w14:paraId="0DBE7D53" w14:textId="7FED3360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cs="Arial"/>
              </w:rPr>
              <w:t>Събития</w:t>
            </w:r>
          </w:p>
        </w:tc>
        <w:tc>
          <w:tcPr>
            <w:tcW w:w="1322" w:type="dxa"/>
          </w:tcPr>
          <w:p w14:paraId="5FDA80B6" w14:textId="49D8F817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cs="Arial"/>
              </w:rPr>
              <w:t>92 (3,6%)</w:t>
            </w:r>
          </w:p>
        </w:tc>
        <w:tc>
          <w:tcPr>
            <w:tcW w:w="1308" w:type="dxa"/>
          </w:tcPr>
          <w:p w14:paraId="5C88C2B9" w14:textId="23B25AE8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cs="Arial"/>
              </w:rPr>
              <w:t>155 (6,0%)</w:t>
            </w:r>
          </w:p>
        </w:tc>
        <w:tc>
          <w:tcPr>
            <w:tcW w:w="1310" w:type="dxa"/>
          </w:tcPr>
          <w:p w14:paraId="05A30FAC" w14:textId="0C5633E0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0,58 (0,45, 0,76) 0,00003</w:t>
            </w:r>
          </w:p>
        </w:tc>
        <w:tc>
          <w:tcPr>
            <w:tcW w:w="1322" w:type="dxa"/>
          </w:tcPr>
          <w:p w14:paraId="5B9CF281" w14:textId="6210D7B0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209 (8,1%)</w:t>
            </w:r>
          </w:p>
        </w:tc>
        <w:tc>
          <w:tcPr>
            <w:tcW w:w="1308" w:type="dxa"/>
          </w:tcPr>
          <w:p w14:paraId="2F102178" w14:textId="3B2F676F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286 (11,1%)</w:t>
            </w:r>
          </w:p>
        </w:tc>
        <w:tc>
          <w:tcPr>
            <w:tcW w:w="1310" w:type="dxa"/>
          </w:tcPr>
          <w:p w14:paraId="18E0D3EF" w14:textId="249FE7C4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0,75 (0,63, 0,.89)</w:t>
            </w:r>
          </w:p>
        </w:tc>
      </w:tr>
      <w:tr w:rsidR="00A7319E" w14:paraId="3307F662" w14:textId="77777777" w:rsidTr="00A7319E">
        <w:tc>
          <w:tcPr>
            <w:tcW w:w="1696" w:type="dxa"/>
          </w:tcPr>
          <w:p w14:paraId="2306FED7" w14:textId="258B06E6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cs="Arial"/>
              </w:rPr>
              <w:t xml:space="preserve">4-годишна </w:t>
            </w:r>
            <w:r w:rsidRPr="00A7319E">
              <w:rPr>
                <w:rFonts w:cs="Arial"/>
                <w:lang w:val="en-US"/>
              </w:rPr>
              <w:t>DFS</w:t>
            </w:r>
          </w:p>
        </w:tc>
        <w:tc>
          <w:tcPr>
            <w:tcW w:w="1322" w:type="dxa"/>
          </w:tcPr>
          <w:p w14:paraId="5E6B53D2" w14:textId="61945DF9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cs="Arial"/>
              </w:rPr>
              <w:t>94,4%</w:t>
            </w:r>
          </w:p>
        </w:tc>
        <w:tc>
          <w:tcPr>
            <w:tcW w:w="1308" w:type="dxa"/>
          </w:tcPr>
          <w:p w14:paraId="567B97B3" w14:textId="13E6110C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cs="Arial"/>
              </w:rPr>
              <w:t>89,8%</w:t>
            </w:r>
          </w:p>
        </w:tc>
        <w:tc>
          <w:tcPr>
            <w:tcW w:w="1310" w:type="dxa"/>
          </w:tcPr>
          <w:p w14:paraId="5E7783E5" w14:textId="77777777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322" w:type="dxa"/>
          </w:tcPr>
          <w:p w14:paraId="2A0BC82D" w14:textId="7C28A8EF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94,4%</w:t>
            </w:r>
          </w:p>
        </w:tc>
        <w:tc>
          <w:tcPr>
            <w:tcW w:w="1308" w:type="dxa"/>
          </w:tcPr>
          <w:p w14:paraId="210B33FA" w14:textId="3EE5E624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91,4%</w:t>
            </w:r>
          </w:p>
        </w:tc>
        <w:tc>
          <w:tcPr>
            <w:tcW w:w="1310" w:type="dxa"/>
          </w:tcPr>
          <w:p w14:paraId="45D5B830" w14:textId="77777777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7319E" w14:paraId="159522EE" w14:textId="77777777" w:rsidTr="00B34F37">
        <w:tc>
          <w:tcPr>
            <w:tcW w:w="9576" w:type="dxa"/>
            <w:gridSpan w:val="7"/>
          </w:tcPr>
          <w:p w14:paraId="1C62CE68" w14:textId="3ECA98F1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eastAsia="Times New Roman" w:cs="Arial"/>
                <w:b/>
                <w:bCs/>
                <w:color w:val="000000"/>
                <w:lang w:eastAsia="bg-BG"/>
              </w:rPr>
              <w:t>Преживяемост без заболяване</w:t>
            </w:r>
            <w:r w:rsidRPr="00A7319E">
              <w:rPr>
                <w:rFonts w:eastAsia="Times New Roman" w:cs="Arial"/>
                <w:b/>
                <w:bCs/>
                <w:color w:val="000000"/>
                <w:vertAlign w:val="superscript"/>
                <w:lang w:val="ru-RU" w:eastAsia="bg-BG"/>
              </w:rPr>
              <w:t>3</w:t>
            </w:r>
            <w:r w:rsidRPr="00A7319E">
              <w:rPr>
                <w:rFonts w:eastAsia="Times New Roman" w:cs="Arial"/>
                <w:b/>
                <w:bCs/>
                <w:color w:val="000000"/>
                <w:lang w:eastAsia="bg-BG"/>
              </w:rPr>
              <w:t xml:space="preserve"> , включително смърт поради друга причина</w:t>
            </w:r>
          </w:p>
        </w:tc>
      </w:tr>
      <w:tr w:rsidR="00A7319E" w14:paraId="58ED1906" w14:textId="77777777" w:rsidTr="00A7319E">
        <w:tc>
          <w:tcPr>
            <w:tcW w:w="1696" w:type="dxa"/>
          </w:tcPr>
          <w:p w14:paraId="1569D250" w14:textId="0683A857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cs="Arial"/>
              </w:rPr>
              <w:t>Събития</w:t>
            </w:r>
          </w:p>
        </w:tc>
        <w:tc>
          <w:tcPr>
            <w:tcW w:w="1322" w:type="dxa"/>
          </w:tcPr>
          <w:p w14:paraId="17B61657" w14:textId="03DDC7EF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cs="Arial"/>
              </w:rPr>
              <w:t>122 (4,7%)</w:t>
            </w:r>
          </w:p>
        </w:tc>
        <w:tc>
          <w:tcPr>
            <w:tcW w:w="1308" w:type="dxa"/>
          </w:tcPr>
          <w:p w14:paraId="3F83C1D3" w14:textId="6E4BC362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cs="Arial"/>
              </w:rPr>
              <w:t>193 (7,5%)</w:t>
            </w:r>
          </w:p>
        </w:tc>
        <w:tc>
          <w:tcPr>
            <w:tcW w:w="1310" w:type="dxa"/>
          </w:tcPr>
          <w:p w14:paraId="3CAF9AA9" w14:textId="6B938334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0,62 (0,49, 0,78)</w:t>
            </w:r>
          </w:p>
        </w:tc>
        <w:tc>
          <w:tcPr>
            <w:tcW w:w="1322" w:type="dxa"/>
          </w:tcPr>
          <w:p w14:paraId="37CD2B86" w14:textId="151D64CB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344 (13,3%)</w:t>
            </w:r>
          </w:p>
        </w:tc>
        <w:tc>
          <w:tcPr>
            <w:tcW w:w="1308" w:type="dxa"/>
          </w:tcPr>
          <w:p w14:paraId="550B7D42" w14:textId="23B07FD0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402 (15,5%)</w:t>
            </w:r>
          </w:p>
        </w:tc>
        <w:tc>
          <w:tcPr>
            <w:tcW w:w="1310" w:type="dxa"/>
          </w:tcPr>
          <w:p w14:paraId="34D1350E" w14:textId="45240DA7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0,89 (0,77,1,03)</w:t>
            </w:r>
          </w:p>
        </w:tc>
      </w:tr>
      <w:tr w:rsidR="00A7319E" w14:paraId="4F67CA3E" w14:textId="77777777" w:rsidTr="00A7319E">
        <w:tc>
          <w:tcPr>
            <w:tcW w:w="1696" w:type="dxa"/>
          </w:tcPr>
          <w:p w14:paraId="1AE5EB33" w14:textId="132C9743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cs="Arial"/>
              </w:rPr>
              <w:t xml:space="preserve">5-годишна </w:t>
            </w:r>
            <w:r w:rsidRPr="00A7319E">
              <w:rPr>
                <w:rFonts w:cs="Arial"/>
                <w:lang w:val="en-US"/>
              </w:rPr>
              <w:t>DFS</w:t>
            </w:r>
          </w:p>
        </w:tc>
        <w:tc>
          <w:tcPr>
            <w:tcW w:w="1322" w:type="dxa"/>
          </w:tcPr>
          <w:p w14:paraId="017CCC36" w14:textId="30B3A5C8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cs="Arial"/>
              </w:rPr>
              <w:t>90,5%</w:t>
            </w:r>
          </w:p>
        </w:tc>
        <w:tc>
          <w:tcPr>
            <w:tcW w:w="1308" w:type="dxa"/>
          </w:tcPr>
          <w:p w14:paraId="2BB2EE70" w14:textId="76EBA539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cs="Arial"/>
              </w:rPr>
              <w:t>80,8%</w:t>
            </w:r>
          </w:p>
        </w:tc>
        <w:tc>
          <w:tcPr>
            <w:tcW w:w="1310" w:type="dxa"/>
          </w:tcPr>
          <w:p w14:paraId="0A7208B9" w14:textId="77777777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322" w:type="dxa"/>
          </w:tcPr>
          <w:p w14:paraId="53C54B81" w14:textId="492E650E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88,8%</w:t>
            </w:r>
          </w:p>
        </w:tc>
        <w:tc>
          <w:tcPr>
            <w:tcW w:w="1308" w:type="dxa"/>
          </w:tcPr>
          <w:p w14:paraId="52EE6F16" w14:textId="13E7B2EA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86,7%</w:t>
            </w:r>
          </w:p>
        </w:tc>
        <w:tc>
          <w:tcPr>
            <w:tcW w:w="1310" w:type="dxa"/>
          </w:tcPr>
          <w:p w14:paraId="202891A2" w14:textId="77777777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7319E" w14:paraId="11F9DCC8" w14:textId="77777777" w:rsidTr="00A7319E">
        <w:tc>
          <w:tcPr>
            <w:tcW w:w="1696" w:type="dxa"/>
          </w:tcPr>
          <w:p w14:paraId="3AC772E8" w14:textId="77777777" w:rsidR="00A7319E" w:rsidRPr="00A7319E" w:rsidRDefault="00A7319E" w:rsidP="00A7319E">
            <w:pPr>
              <w:rPr>
                <w:rFonts w:cs="Arial"/>
              </w:rPr>
            </w:pPr>
            <w:r w:rsidRPr="00A7319E">
              <w:rPr>
                <w:rFonts w:cs="Arial"/>
              </w:rPr>
              <w:t>Далечни метастази</w:t>
            </w:r>
          </w:p>
          <w:p w14:paraId="5BC696EC" w14:textId="108FF517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cs="Arial"/>
              </w:rPr>
              <w:t>Събития</w:t>
            </w:r>
          </w:p>
        </w:tc>
        <w:tc>
          <w:tcPr>
            <w:tcW w:w="1322" w:type="dxa"/>
          </w:tcPr>
          <w:p w14:paraId="6C98B2E0" w14:textId="7DBA3FC7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cs="Arial"/>
              </w:rPr>
              <w:t>57 (2,2%)</w:t>
            </w:r>
          </w:p>
        </w:tc>
        <w:tc>
          <w:tcPr>
            <w:tcW w:w="1308" w:type="dxa"/>
          </w:tcPr>
          <w:p w14:paraId="39131EBB" w14:textId="6D2DBFFC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cs="Arial"/>
              </w:rPr>
              <w:t>93 (3,6%)</w:t>
            </w:r>
          </w:p>
        </w:tc>
        <w:tc>
          <w:tcPr>
            <w:tcW w:w="1310" w:type="dxa"/>
          </w:tcPr>
          <w:p w14:paraId="2D8EC061" w14:textId="0F2B08C8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0,61 (0,44, 0,84)</w:t>
            </w:r>
          </w:p>
        </w:tc>
        <w:tc>
          <w:tcPr>
            <w:tcW w:w="1322" w:type="dxa"/>
          </w:tcPr>
          <w:p w14:paraId="587717E9" w14:textId="00FC993B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142 (5,5%)</w:t>
            </w:r>
          </w:p>
        </w:tc>
        <w:tc>
          <w:tcPr>
            <w:tcW w:w="1308" w:type="dxa"/>
          </w:tcPr>
          <w:p w14:paraId="6BDD3B34" w14:textId="758F253A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169 (6,5%)</w:t>
            </w:r>
          </w:p>
        </w:tc>
        <w:tc>
          <w:tcPr>
            <w:tcW w:w="1310" w:type="dxa"/>
          </w:tcPr>
          <w:p w14:paraId="213539DF" w14:textId="0F941624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0,88 (0,70,1,10)</w:t>
            </w:r>
          </w:p>
        </w:tc>
      </w:tr>
      <w:tr w:rsidR="00A7319E" w14:paraId="599B60C0" w14:textId="77777777" w:rsidTr="00E13B3A">
        <w:tc>
          <w:tcPr>
            <w:tcW w:w="9576" w:type="dxa"/>
            <w:gridSpan w:val="7"/>
          </w:tcPr>
          <w:p w14:paraId="0ACF9BDF" w14:textId="65050A5E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eastAsia="Times New Roman" w:cs="Arial"/>
                <w:b/>
                <w:bCs/>
                <w:color w:val="000000"/>
                <w:lang w:eastAsia="bg-BG"/>
              </w:rPr>
              <w:t>Обща преживяемост</w:t>
            </w:r>
          </w:p>
        </w:tc>
      </w:tr>
      <w:tr w:rsidR="00A7319E" w14:paraId="0F332034" w14:textId="77777777" w:rsidTr="00A7319E">
        <w:tc>
          <w:tcPr>
            <w:tcW w:w="1696" w:type="dxa"/>
          </w:tcPr>
          <w:p w14:paraId="38DB9310" w14:textId="4789BA3F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cs="Arial"/>
              </w:rPr>
              <w:t>Смъртни случаи</w:t>
            </w:r>
          </w:p>
        </w:tc>
        <w:tc>
          <w:tcPr>
            <w:tcW w:w="1322" w:type="dxa"/>
          </w:tcPr>
          <w:p w14:paraId="5AA597E4" w14:textId="09BAE858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cs="Arial"/>
              </w:rPr>
              <w:t>51 (2,0%)</w:t>
            </w:r>
          </w:p>
        </w:tc>
        <w:tc>
          <w:tcPr>
            <w:tcW w:w="1308" w:type="dxa"/>
          </w:tcPr>
          <w:p w14:paraId="1DC0DFD2" w14:textId="62702932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cs="Arial"/>
              </w:rPr>
              <w:t>62 (2,4%)</w:t>
            </w:r>
          </w:p>
        </w:tc>
        <w:tc>
          <w:tcPr>
            <w:tcW w:w="1310" w:type="dxa"/>
          </w:tcPr>
          <w:p w14:paraId="0B57348A" w14:textId="03E949F8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0,82 (0,56,1,19)</w:t>
            </w:r>
          </w:p>
        </w:tc>
        <w:tc>
          <w:tcPr>
            <w:tcW w:w="1322" w:type="dxa"/>
          </w:tcPr>
          <w:p w14:paraId="2B873CEB" w14:textId="27C76AAA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236 (9,1%)</w:t>
            </w:r>
          </w:p>
        </w:tc>
        <w:tc>
          <w:tcPr>
            <w:tcW w:w="1308" w:type="dxa"/>
          </w:tcPr>
          <w:p w14:paraId="7E38D258" w14:textId="2853BEBF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232 (9,0%)</w:t>
            </w:r>
          </w:p>
        </w:tc>
        <w:tc>
          <w:tcPr>
            <w:tcW w:w="1310" w:type="dxa"/>
          </w:tcPr>
          <w:p w14:paraId="64EA650A" w14:textId="2FC967B3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1,13 (0,95, 1,36)</w:t>
            </w:r>
          </w:p>
        </w:tc>
      </w:tr>
      <w:tr w:rsidR="00A7319E" w14:paraId="7247C3E4" w14:textId="77777777" w:rsidTr="00A7319E">
        <w:tc>
          <w:tcPr>
            <w:tcW w:w="1696" w:type="dxa"/>
          </w:tcPr>
          <w:p w14:paraId="37673020" w14:textId="5C9C0E59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cs="Arial"/>
              </w:rPr>
              <w:t>Смърти случаи</w:t>
            </w:r>
            <w:r w:rsidRPr="00A7319E">
              <w:rPr>
                <w:rFonts w:cs="Arial"/>
                <w:vertAlign w:val="superscript"/>
              </w:rPr>
              <w:t>4</w:t>
            </w:r>
          </w:p>
        </w:tc>
        <w:tc>
          <w:tcPr>
            <w:tcW w:w="1322" w:type="dxa"/>
          </w:tcPr>
          <w:p w14:paraId="0CAE0F2C" w14:textId="77777777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1308" w:type="dxa"/>
          </w:tcPr>
          <w:p w14:paraId="0C88D2C5" w14:textId="77777777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1310" w:type="dxa"/>
          </w:tcPr>
          <w:p w14:paraId="780A837D" w14:textId="77777777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322" w:type="dxa"/>
          </w:tcPr>
          <w:p w14:paraId="46634DE4" w14:textId="69DF61BE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236</w:t>
            </w:r>
            <w:r>
              <w:rPr>
                <w:vertAlign w:val="superscript"/>
              </w:rPr>
              <w:t xml:space="preserve">5 </w:t>
            </w:r>
            <w:r>
              <w:t>(9,1%)</w:t>
            </w:r>
          </w:p>
        </w:tc>
        <w:tc>
          <w:tcPr>
            <w:tcW w:w="1308" w:type="dxa"/>
          </w:tcPr>
          <w:p w14:paraId="6AB00ADA" w14:textId="39B5A811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170</w:t>
            </w:r>
            <w:r>
              <w:rPr>
                <w:vertAlign w:val="superscript"/>
              </w:rPr>
              <w:t xml:space="preserve">6 </w:t>
            </w:r>
            <w:r>
              <w:t>(6,6%)</w:t>
            </w:r>
          </w:p>
        </w:tc>
        <w:tc>
          <w:tcPr>
            <w:tcW w:w="1310" w:type="dxa"/>
          </w:tcPr>
          <w:p w14:paraId="7E9D4407" w14:textId="08FD5930" w:rsidR="00A7319E" w:rsidRDefault="00A7319E" w:rsidP="00A7319E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>
              <w:t>0,78 (0,64, 0,96)</w:t>
            </w:r>
          </w:p>
        </w:tc>
      </w:tr>
      <w:tr w:rsidR="00A7319E" w14:paraId="40954522" w14:textId="77777777" w:rsidTr="007F5E56">
        <w:tc>
          <w:tcPr>
            <w:tcW w:w="9576" w:type="dxa"/>
            <w:gridSpan w:val="7"/>
          </w:tcPr>
          <w:p w14:paraId="66729F1F" w14:textId="77777777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eastAsia="Times New Roman" w:cs="Arial"/>
                <w:color w:val="000000"/>
                <w:lang w:val="en-US"/>
              </w:rPr>
              <w:t>HR</w:t>
            </w:r>
            <w:r w:rsidRPr="00A7319E">
              <w:rPr>
                <w:rFonts w:eastAsia="Times New Roman" w:cs="Arial"/>
                <w:color w:val="000000"/>
                <w:lang w:val="ru-RU"/>
              </w:rPr>
              <w:t xml:space="preserve"> </w:t>
            </w:r>
            <w:r w:rsidRPr="00A7319E">
              <w:rPr>
                <w:rFonts w:eastAsia="Times New Roman" w:cs="Arial"/>
                <w:color w:val="000000"/>
                <w:lang w:eastAsia="bg-BG"/>
              </w:rPr>
              <w:t xml:space="preserve">= Коефициент на риск; </w:t>
            </w:r>
            <w:r w:rsidRPr="00A7319E">
              <w:rPr>
                <w:rFonts w:eastAsia="Times New Roman" w:cs="Arial"/>
                <w:color w:val="000000"/>
                <w:lang w:val="en-US"/>
              </w:rPr>
              <w:t>CI</w:t>
            </w:r>
            <w:r w:rsidRPr="00A7319E">
              <w:rPr>
                <w:rFonts w:eastAsia="Times New Roman" w:cs="Arial"/>
                <w:color w:val="000000"/>
                <w:lang w:val="ru-RU"/>
              </w:rPr>
              <w:t xml:space="preserve"> =</w:t>
            </w:r>
            <w:r w:rsidRPr="00A7319E">
              <w:rPr>
                <w:rFonts w:eastAsia="Times New Roman" w:cs="Arial"/>
                <w:color w:val="000000"/>
                <w:lang w:eastAsia="bg-BG"/>
              </w:rPr>
              <w:t xml:space="preserve"> Доверителен интервал</w:t>
            </w:r>
          </w:p>
          <w:p w14:paraId="564F57D4" w14:textId="35B26CFC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eastAsia="Times New Roman" w:cs="Arial"/>
                <w:color w:val="000000"/>
                <w:vertAlign w:val="superscript"/>
                <w:lang w:val="ru-RU" w:eastAsia="bg-BG"/>
              </w:rPr>
              <w:t xml:space="preserve">1 </w:t>
            </w:r>
            <w:r w:rsidRPr="00A7319E">
              <w:rPr>
                <w:rFonts w:eastAsia="Times New Roman" w:cs="Arial"/>
                <w:color w:val="000000"/>
                <w:lang w:eastAsia="bg-BG"/>
              </w:rPr>
              <w:t xml:space="preserve">Когато проучването е разслепено през 2003 г, 1 551 пациенти, рандомизирани в плацебо рамото (60% от тези, при които може да се смени терапията, т.е. такива, които са без заболяване) преминават към лечение с летрозол </w:t>
            </w:r>
            <w:proofErr w:type="gramStart"/>
            <w:r w:rsidRPr="00A7319E">
              <w:rPr>
                <w:rFonts w:eastAsia="Times New Roman" w:cs="Arial"/>
                <w:color w:val="000000"/>
                <w:lang w:eastAsia="bg-BG"/>
              </w:rPr>
              <w:t>при медиана</w:t>
            </w:r>
            <w:proofErr w:type="gramEnd"/>
            <w:r w:rsidRPr="00A7319E">
              <w:rPr>
                <w:rFonts w:eastAsia="Times New Roman" w:cs="Arial"/>
                <w:color w:val="000000"/>
                <w:lang w:eastAsia="bg-BG"/>
              </w:rPr>
              <w:t xml:space="preserve"> 31 месеца след рандомизацията. Настоящият анализ игнорира селективната смяна на терапията.</w:t>
            </w:r>
          </w:p>
          <w:p w14:paraId="5D069994" w14:textId="0B84F7F0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eastAsia="Times New Roman" w:cs="Arial"/>
                <w:color w:val="000000"/>
                <w:vertAlign w:val="superscript"/>
                <w:lang w:eastAsia="bg-BG"/>
              </w:rPr>
              <w:t>2</w:t>
            </w:r>
            <w:r w:rsidRPr="00A7319E">
              <w:rPr>
                <w:rFonts w:eastAsia="Times New Roman" w:cs="Arial"/>
                <w:lang w:val="ru-RU"/>
              </w:rPr>
              <w:t xml:space="preserve"> </w:t>
            </w:r>
            <w:r w:rsidRPr="00A7319E">
              <w:rPr>
                <w:rFonts w:eastAsia="Times New Roman" w:cs="Arial"/>
                <w:color w:val="000000"/>
                <w:lang w:eastAsia="bg-BG"/>
              </w:rPr>
              <w:t>Стратификация по рецепторен статус, нодален статус и наличие на предхождаща адювантна химиотерапия.</w:t>
            </w:r>
          </w:p>
          <w:p w14:paraId="3D15B4EF" w14:textId="2C8A88EA" w:rsidR="00A7319E" w:rsidRPr="00A7319E" w:rsidRDefault="00A7319E" w:rsidP="00A7319E">
            <w:pPr>
              <w:spacing w:line="240" w:lineRule="auto"/>
              <w:rPr>
                <w:rFonts w:eastAsia="Times New Roman" w:cs="Arial"/>
              </w:rPr>
            </w:pPr>
            <w:r w:rsidRPr="00A7319E">
              <w:rPr>
                <w:rFonts w:eastAsia="Times New Roman" w:cs="Arial"/>
                <w:color w:val="000000"/>
                <w:vertAlign w:val="superscript"/>
                <w:lang w:eastAsia="bg-BG"/>
              </w:rPr>
              <w:t>3</w:t>
            </w:r>
            <w:r w:rsidRPr="00A7319E">
              <w:rPr>
                <w:rFonts w:eastAsia="Times New Roman" w:cs="Arial"/>
                <w:lang w:val="ru-RU"/>
              </w:rPr>
              <w:t xml:space="preserve"> </w:t>
            </w:r>
            <w:r w:rsidRPr="00A7319E">
              <w:rPr>
                <w:rFonts w:eastAsia="Times New Roman" w:cs="Arial"/>
                <w:color w:val="000000"/>
                <w:lang w:eastAsia="bg-BG"/>
              </w:rPr>
              <w:t>Дефиниция по протокол за събития, свързани с преживяемост без заболяване: локорегионален рецидив, далечни метастази или контралатерален рак на гърдата.</w:t>
            </w:r>
          </w:p>
          <w:p w14:paraId="04CB09F2" w14:textId="6C7E490F" w:rsidR="00A7319E" w:rsidRPr="00A7319E" w:rsidRDefault="00A7319E" w:rsidP="00A7319E">
            <w:pPr>
              <w:spacing w:line="240" w:lineRule="auto"/>
              <w:rPr>
                <w:rFonts w:eastAsia="Times New Roman" w:cs="Arial"/>
                <w:color w:val="000000"/>
                <w:lang w:eastAsia="bg-BG"/>
              </w:rPr>
            </w:pPr>
            <w:r w:rsidRPr="00A7319E">
              <w:rPr>
                <w:rFonts w:eastAsia="Times New Roman" w:cs="Arial"/>
                <w:color w:val="000000"/>
                <w:vertAlign w:val="superscript"/>
                <w:lang w:val="ru-RU" w:eastAsia="bg-BG"/>
              </w:rPr>
              <w:lastRenderedPageBreak/>
              <w:t>4</w:t>
            </w:r>
            <w:r w:rsidRPr="00A7319E">
              <w:rPr>
                <w:rFonts w:eastAsia="Times New Roman" w:cs="Arial"/>
                <w:color w:val="000000"/>
                <w:lang w:eastAsia="bg-BG"/>
              </w:rPr>
              <w:t>Експлоративен анализ, цензуриращ времето на проследяване към датата на смяна на терапията (ако има такава) в плацебо рамото.</w:t>
            </w:r>
          </w:p>
          <w:p w14:paraId="7C494993" w14:textId="43C5A961" w:rsidR="00A7319E" w:rsidRPr="00A7319E" w:rsidRDefault="00A7319E" w:rsidP="00A7319E">
            <w:pPr>
              <w:spacing w:line="240" w:lineRule="auto"/>
              <w:rPr>
                <w:rFonts w:eastAsia="Times New Roman" w:cs="Arial"/>
                <w:color w:val="000000"/>
                <w:lang w:eastAsia="bg-BG"/>
              </w:rPr>
            </w:pPr>
            <w:r w:rsidRPr="00A7319E">
              <w:rPr>
                <w:rFonts w:eastAsia="Times New Roman" w:cs="Arial"/>
                <w:color w:val="000000"/>
                <w:vertAlign w:val="superscript"/>
                <w:lang w:val="ru-RU" w:eastAsia="bg-BG"/>
              </w:rPr>
              <w:t>5</w:t>
            </w:r>
            <w:r w:rsidRPr="00A7319E">
              <w:rPr>
                <w:rFonts w:eastAsia="Times New Roman" w:cs="Arial"/>
                <w:color w:val="000000"/>
                <w:lang w:eastAsia="bg-BG"/>
              </w:rPr>
              <w:t>Медиана на проследяване 62 месеца.</w:t>
            </w:r>
          </w:p>
          <w:p w14:paraId="68DB4FE7" w14:textId="5215EAF2" w:rsidR="00A7319E" w:rsidRPr="00A7319E" w:rsidRDefault="00A7319E" w:rsidP="00A7319E">
            <w:pPr>
              <w:spacing w:line="240" w:lineRule="auto"/>
              <w:rPr>
                <w:rFonts w:eastAsia="Times New Roman" w:cs="Arial"/>
                <w:color w:val="000000"/>
                <w:lang w:eastAsia="bg-BG"/>
              </w:rPr>
            </w:pPr>
            <w:r w:rsidRPr="00A7319E">
              <w:rPr>
                <w:rFonts w:eastAsia="Times New Roman" w:cs="Arial"/>
                <w:color w:val="000000"/>
                <w:vertAlign w:val="superscript"/>
                <w:lang w:val="ru-RU" w:eastAsia="bg-BG"/>
              </w:rPr>
              <w:t>6</w:t>
            </w:r>
            <w:r w:rsidRPr="00A7319E">
              <w:rPr>
                <w:rFonts w:eastAsia="Times New Roman" w:cs="Arial"/>
                <w:color w:val="000000"/>
                <w:lang w:eastAsia="bg-BG"/>
              </w:rPr>
              <w:t>Медиана на проследяване до смяната на терапията (ако има такава) 37 месеца.</w:t>
            </w:r>
          </w:p>
        </w:tc>
      </w:tr>
    </w:tbl>
    <w:p w14:paraId="180F9E16" w14:textId="296607C8" w:rsid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</w:p>
    <w:p w14:paraId="2B1EC27B" w14:textId="77777777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 xml:space="preserve">В МА-17 подпроучването за костна плътност, при което са прилагани едновременно калций и витамин </w:t>
      </w:r>
      <w:r w:rsidRPr="00A7319E">
        <w:rPr>
          <w:rFonts w:eastAsia="Times New Roman" w:cs="Arial"/>
          <w:color w:val="000000"/>
          <w:lang w:val="en-US"/>
        </w:rPr>
        <w:t>D</w:t>
      </w:r>
      <w:r w:rsidRPr="00A7319E">
        <w:rPr>
          <w:rFonts w:eastAsia="Times New Roman" w:cs="Arial"/>
          <w:color w:val="000000"/>
          <w:lang w:val="ru-RU"/>
        </w:rPr>
        <w:t xml:space="preserve">, </w:t>
      </w:r>
      <w:r w:rsidRPr="00A7319E">
        <w:rPr>
          <w:rFonts w:eastAsia="Times New Roman" w:cs="Arial"/>
          <w:color w:val="000000"/>
          <w:lang w:eastAsia="bg-BG"/>
        </w:rPr>
        <w:t>се наблюдава по-голямо намаление на КМП спрямо изходното ниво при Фемара спрямо плацебо. Единствената статистически значима разлика възниква на 2-рата година и е в общата КМП на бедрената кост (медиана на понижение 3,8% за летрозол спрямо медиана на понижение 2,0% за плацебо).</w:t>
      </w:r>
    </w:p>
    <w:p w14:paraId="7BE3B40C" w14:textId="77777777" w:rsidR="00A7319E" w:rsidRPr="00A7319E" w:rsidRDefault="00A7319E" w:rsidP="00A7319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5617A680" w14:textId="6DC36417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>В МА-17 подпроучването за липидния статус няма сигнификантна разлика между летрозол и плацебо по отношение на общия холестерол или отделните липидни фракции.</w:t>
      </w:r>
    </w:p>
    <w:p w14:paraId="5F918C62" w14:textId="77777777" w:rsidR="00A7319E" w:rsidRPr="00A7319E" w:rsidRDefault="00A7319E" w:rsidP="00A7319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A455E9E" w14:textId="1E3482FB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 xml:space="preserve">В актуализирано подпроучване за качеството на живот, няма сигнификантни разлики между леченията по отношение на скора за физическо състояние, скора за психично състояние или в някой от основните скорове от </w:t>
      </w:r>
      <w:r w:rsidRPr="00A7319E">
        <w:rPr>
          <w:rFonts w:eastAsia="Times New Roman" w:cs="Arial"/>
          <w:color w:val="000000"/>
          <w:lang w:val="en-US"/>
        </w:rPr>
        <w:t>SF</w:t>
      </w:r>
      <w:r w:rsidRPr="00A7319E">
        <w:rPr>
          <w:rFonts w:eastAsia="Times New Roman" w:cs="Arial"/>
          <w:color w:val="000000"/>
          <w:lang w:val="ru-RU"/>
        </w:rPr>
        <w:t xml:space="preserve">-36 </w:t>
      </w:r>
      <w:r w:rsidRPr="00A7319E">
        <w:rPr>
          <w:rFonts w:eastAsia="Times New Roman" w:cs="Arial"/>
          <w:color w:val="000000"/>
          <w:lang w:eastAsia="bg-BG"/>
        </w:rPr>
        <w:t xml:space="preserve">скалата. В </w:t>
      </w:r>
      <w:r w:rsidRPr="00A7319E">
        <w:rPr>
          <w:rFonts w:eastAsia="Times New Roman" w:cs="Arial"/>
          <w:color w:val="000000"/>
          <w:lang w:val="en-US"/>
        </w:rPr>
        <w:t>MENQOL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>скалата, значително порсЧе^йщот рамото на Фемара, спрямо рамото на плацебо, са по-притеснени (общо, през първата година от лечението) от симптомите, произхождащи от потискането на естрогените - горещи вълни и вагинална сухота. Симптомът, тревожещ най-много пациенти и в двете терапевтични рамена, е мускулни болки, при статистически значима разлика в полза на плацебо.</w:t>
      </w:r>
    </w:p>
    <w:p w14:paraId="7329FC52" w14:textId="669D93FF" w:rsidR="00A7319E" w:rsidRDefault="00A7319E" w:rsidP="00A7319E"/>
    <w:p w14:paraId="36280DDA" w14:textId="77777777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i/>
          <w:iCs/>
          <w:color w:val="000000"/>
          <w:u w:val="single"/>
          <w:lang w:eastAsia="bg-BG"/>
        </w:rPr>
        <w:t>Неоадювантна терапия</w:t>
      </w:r>
    </w:p>
    <w:p w14:paraId="39A833D8" w14:textId="77777777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 xml:space="preserve">Проведено е двойносляпо изпитване (Р024) при 337 жени в постменопауза е рак на гърдата, рандомизирани да приемат Фемара 2,5 </w:t>
      </w:r>
      <w:r w:rsidRPr="00A7319E">
        <w:rPr>
          <w:rFonts w:eastAsia="Times New Roman" w:cs="Arial"/>
          <w:color w:val="000000"/>
          <w:lang w:val="en-US"/>
        </w:rPr>
        <w:t>mg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 xml:space="preserve">в продължение на 4 месеца или тамоксифен в продължение на 4 месеца. На изходно ниво всички пациенти са с тумор в стадий Т2-Т4с, </w:t>
      </w:r>
      <w:r w:rsidRPr="00A7319E">
        <w:rPr>
          <w:rFonts w:eastAsia="Times New Roman" w:cs="Arial"/>
          <w:color w:val="000000"/>
          <w:lang w:val="en-US"/>
        </w:rPr>
        <w:t>N</w:t>
      </w:r>
      <w:r w:rsidRPr="00A7319E">
        <w:rPr>
          <w:rFonts w:eastAsia="Times New Roman" w:cs="Arial"/>
          <w:color w:val="000000"/>
          <w:lang w:val="ru-RU"/>
        </w:rPr>
        <w:t xml:space="preserve">0-2, </w:t>
      </w:r>
      <w:r w:rsidRPr="00A7319E">
        <w:rPr>
          <w:rFonts w:eastAsia="Times New Roman" w:cs="Arial"/>
          <w:color w:val="000000"/>
          <w:lang w:eastAsia="bg-BG"/>
        </w:rPr>
        <w:t xml:space="preserve">МО, </w:t>
      </w:r>
      <w:r w:rsidRPr="00A7319E">
        <w:rPr>
          <w:rFonts w:eastAsia="Times New Roman" w:cs="Arial"/>
          <w:color w:val="000000"/>
          <w:lang w:val="en-US"/>
        </w:rPr>
        <w:t>ER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 xml:space="preserve">и/или </w:t>
      </w:r>
      <w:proofErr w:type="spellStart"/>
      <w:r w:rsidRPr="00A7319E">
        <w:rPr>
          <w:rFonts w:eastAsia="Times New Roman" w:cs="Arial"/>
          <w:color w:val="000000"/>
          <w:lang w:val="en-US"/>
        </w:rPr>
        <w:t>PgR</w:t>
      </w:r>
      <w:proofErr w:type="spellEnd"/>
      <w:r w:rsidRPr="00A7319E">
        <w:rPr>
          <w:rFonts w:eastAsia="Times New Roman" w:cs="Arial"/>
          <w:color w:val="000000"/>
          <w:lang w:eastAsia="bg-BG"/>
        </w:rPr>
        <w:t>-позитивен и нито един от пациентите не е преценен като подходяща за съхраняващо гърдата оперативно лечение. Въз основа на клиничната оценка е наблюдавано обективно повлияване при 55% от пациентите в рамото на Фемара, спрямо 36% в рамото на тамоксифен (Р&lt;0,001). Тази находка е потвърдена ехографски (Фемара 35% спрямо тамоксифен 25%, Р=0,04) и чрез мамография (Фемара 34% спрямо тамоксифен 16%, Р&lt;0,001). При общо 45% от пациентите в групата на Фемара спрямо 35% от пациентите от групата на тамоксифен (Р=0,02) е проведено съхраняващо гърдата оперативно лечение). По време на 4-месечни предоперативен период на лечение при 12% от пациентите, лекувани с Фемара и 17% от пациентите, лекувани с тамоксифен е установена прогресия на заболяването при клинична оценка.</w:t>
      </w:r>
    </w:p>
    <w:p w14:paraId="374C25BA" w14:textId="77777777" w:rsidR="00A7319E" w:rsidRPr="00A7319E" w:rsidRDefault="00A7319E" w:rsidP="00A7319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4D9C289" w14:textId="66110DD2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u w:val="single"/>
          <w:lang w:eastAsia="bg-BG"/>
        </w:rPr>
        <w:t>Първа линия на лечение</w:t>
      </w:r>
    </w:p>
    <w:p w14:paraId="3108A5D0" w14:textId="77777777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 xml:space="preserve">Проведено е едно контролирано двойносляпо изпитване, сравняващо Фемара (летрозол) 2,5 </w:t>
      </w:r>
      <w:r w:rsidRPr="00A7319E">
        <w:rPr>
          <w:rFonts w:eastAsia="Times New Roman" w:cs="Arial"/>
          <w:color w:val="000000"/>
          <w:lang w:val="en-US"/>
        </w:rPr>
        <w:t>mg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 xml:space="preserve">спрямо тамоксифен 20 </w:t>
      </w:r>
      <w:r w:rsidRPr="00A7319E">
        <w:rPr>
          <w:rFonts w:eastAsia="Times New Roman" w:cs="Arial"/>
          <w:color w:val="000000"/>
          <w:lang w:val="en-US"/>
        </w:rPr>
        <w:t>mg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>като първа линия на лечение при постменопаузални жени с авансирал рак на гърдата. При 907 жени летрозол превъзхожда тамоксифен по отношение на времето до прогресия на заболяването (първична крайна точка), общия обективен отговор, времето до терапевтичен неуспех и клиничната полза.</w:t>
      </w:r>
    </w:p>
    <w:p w14:paraId="38851F5D" w14:textId="77777777" w:rsidR="00A7319E" w:rsidRPr="00A7319E" w:rsidRDefault="00A7319E" w:rsidP="00A7319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33CDDE33" w14:textId="1513ED59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>Резултатите са обобщени в Таблица 9:</w:t>
      </w:r>
    </w:p>
    <w:p w14:paraId="034F5246" w14:textId="77777777" w:rsidR="00A7319E" w:rsidRPr="00A7319E" w:rsidRDefault="00A7319E" w:rsidP="00A7319E">
      <w:pPr>
        <w:rPr>
          <w:rFonts w:eastAsia="Times New Roman" w:cs="Arial"/>
          <w:b/>
          <w:bCs/>
          <w:color w:val="000000"/>
          <w:lang w:eastAsia="bg-BG"/>
        </w:rPr>
      </w:pPr>
    </w:p>
    <w:p w14:paraId="46437DC5" w14:textId="1E61733B" w:rsidR="00A7319E" w:rsidRDefault="00A7319E" w:rsidP="00A7319E">
      <w:pPr>
        <w:rPr>
          <w:rFonts w:eastAsia="Times New Roman" w:cs="Arial"/>
          <w:b/>
          <w:bCs/>
          <w:color w:val="000000"/>
          <w:lang w:eastAsia="bg-BG"/>
        </w:rPr>
      </w:pPr>
      <w:r w:rsidRPr="00A7319E">
        <w:rPr>
          <w:rFonts w:eastAsia="Times New Roman" w:cs="Arial"/>
          <w:b/>
          <w:bCs/>
          <w:color w:val="000000"/>
          <w:lang w:eastAsia="bg-BG"/>
        </w:rPr>
        <w:t xml:space="preserve">Таблица </w:t>
      </w:r>
      <w:r w:rsidRPr="00A7319E">
        <w:rPr>
          <w:rFonts w:eastAsia="Times New Roman" w:cs="Arial"/>
          <w:b/>
          <w:bCs/>
          <w:i/>
          <w:iCs/>
          <w:color w:val="000000"/>
          <w:lang w:eastAsia="bg-BG"/>
        </w:rPr>
        <w:t>9</w:t>
      </w:r>
      <w:r w:rsidRPr="00A7319E">
        <w:rPr>
          <w:rFonts w:eastAsia="Times New Roman" w:cs="Arial"/>
          <w:b/>
          <w:bCs/>
          <w:color w:val="000000"/>
          <w:lang w:eastAsia="bg-BG"/>
        </w:rPr>
        <w:t xml:space="preserve"> Резултати при медиана на проследяване </w:t>
      </w:r>
      <w:r w:rsidRPr="00A7319E">
        <w:rPr>
          <w:rFonts w:eastAsia="Times New Roman" w:cs="Arial"/>
          <w:b/>
          <w:bCs/>
          <w:i/>
          <w:iCs/>
          <w:color w:val="000000"/>
          <w:lang w:eastAsia="bg-BG"/>
        </w:rPr>
        <w:t>32</w:t>
      </w:r>
      <w:r w:rsidRPr="00A7319E">
        <w:rPr>
          <w:rFonts w:eastAsia="Times New Roman" w:cs="Arial"/>
          <w:b/>
          <w:bCs/>
          <w:color w:val="000000"/>
          <w:lang w:eastAsia="bg-BG"/>
        </w:rPr>
        <w:t xml:space="preserve"> месеца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5"/>
        <w:gridCol w:w="2348"/>
        <w:gridCol w:w="2313"/>
        <w:gridCol w:w="2344"/>
      </w:tblGrid>
      <w:tr w:rsidR="00A7319E" w14:paraId="4398595E" w14:textId="77777777" w:rsidTr="00A7319E">
        <w:tc>
          <w:tcPr>
            <w:tcW w:w="2394" w:type="dxa"/>
          </w:tcPr>
          <w:p w14:paraId="3EF4F622" w14:textId="6FF82F13" w:rsidR="00A7319E" w:rsidRDefault="00A7319E" w:rsidP="00A7319E">
            <w:pPr>
              <w:rPr>
                <w:rFonts w:cs="Arial"/>
              </w:rPr>
            </w:pPr>
            <w:r>
              <w:rPr>
                <w:b/>
                <w:bCs/>
              </w:rPr>
              <w:t>Променлива</w:t>
            </w:r>
          </w:p>
        </w:tc>
        <w:tc>
          <w:tcPr>
            <w:tcW w:w="2394" w:type="dxa"/>
          </w:tcPr>
          <w:p w14:paraId="5693403B" w14:textId="1F32E0F1" w:rsidR="00A7319E" w:rsidRDefault="00A7319E" w:rsidP="00A7319E">
            <w:pPr>
              <w:rPr>
                <w:rFonts w:cs="Arial"/>
              </w:rPr>
            </w:pPr>
            <w:r>
              <w:rPr>
                <w:b/>
                <w:bCs/>
              </w:rPr>
              <w:t>Статистика</w:t>
            </w:r>
          </w:p>
        </w:tc>
        <w:tc>
          <w:tcPr>
            <w:tcW w:w="2394" w:type="dxa"/>
          </w:tcPr>
          <w:p w14:paraId="6A13F504" w14:textId="7DEC4CE5" w:rsidR="00A7319E" w:rsidRDefault="00A7319E" w:rsidP="00A7319E">
            <w:pPr>
              <w:rPr>
                <w:rFonts w:cs="Arial"/>
              </w:rPr>
            </w:pPr>
            <w:r>
              <w:rPr>
                <w:b/>
                <w:bCs/>
              </w:rPr>
              <w:t xml:space="preserve">Фемара </w:t>
            </w:r>
            <w:r>
              <w:rPr>
                <w:b/>
                <w:bCs/>
                <w:lang w:val="en-US"/>
              </w:rPr>
              <w:t>N=453</w:t>
            </w:r>
          </w:p>
        </w:tc>
        <w:tc>
          <w:tcPr>
            <w:tcW w:w="2394" w:type="dxa"/>
          </w:tcPr>
          <w:p w14:paraId="1AAB95A3" w14:textId="6D4EFB1A" w:rsidR="00A7319E" w:rsidRDefault="00A7319E" w:rsidP="00A7319E">
            <w:pPr>
              <w:rPr>
                <w:rFonts w:cs="Arial"/>
              </w:rPr>
            </w:pPr>
            <w:r>
              <w:rPr>
                <w:b/>
                <w:bCs/>
              </w:rPr>
              <w:t xml:space="preserve">Тамоксифен </w:t>
            </w:r>
            <w:r>
              <w:rPr>
                <w:b/>
                <w:bCs/>
                <w:lang w:val="en-US"/>
              </w:rPr>
              <w:t>N=454</w:t>
            </w:r>
          </w:p>
        </w:tc>
      </w:tr>
      <w:tr w:rsidR="00A7319E" w14:paraId="3717584E" w14:textId="77777777" w:rsidTr="00A7319E">
        <w:tc>
          <w:tcPr>
            <w:tcW w:w="2394" w:type="dxa"/>
            <w:vMerge w:val="restart"/>
          </w:tcPr>
          <w:p w14:paraId="46A94C1B" w14:textId="5A7C63C0" w:rsidR="00A7319E" w:rsidRDefault="00A7319E" w:rsidP="00A7319E">
            <w:pPr>
              <w:rPr>
                <w:rFonts w:cs="Arial"/>
              </w:rPr>
            </w:pPr>
            <w:r>
              <w:rPr>
                <w:b/>
                <w:bCs/>
              </w:rPr>
              <w:lastRenderedPageBreak/>
              <w:t>Време до прогресия</w:t>
            </w:r>
          </w:p>
        </w:tc>
        <w:tc>
          <w:tcPr>
            <w:tcW w:w="2394" w:type="dxa"/>
          </w:tcPr>
          <w:p w14:paraId="710B9264" w14:textId="77777777" w:rsidR="00A7319E" w:rsidRDefault="00A7319E" w:rsidP="00A7319E">
            <w:r>
              <w:t>Медиана</w:t>
            </w:r>
          </w:p>
          <w:p w14:paraId="67D9834B" w14:textId="63FBF7C5" w:rsidR="00A7319E" w:rsidRDefault="00A7319E" w:rsidP="00A7319E">
            <w:pPr>
              <w:rPr>
                <w:rFonts w:cs="Arial"/>
              </w:rPr>
            </w:pPr>
            <w:r>
              <w:t xml:space="preserve">(95% </w:t>
            </w:r>
            <w:r>
              <w:rPr>
                <w:lang w:val="en-US"/>
              </w:rPr>
              <w:t xml:space="preserve">CI </w:t>
            </w:r>
            <w:r>
              <w:t>за медианата)</w:t>
            </w:r>
          </w:p>
        </w:tc>
        <w:tc>
          <w:tcPr>
            <w:tcW w:w="2394" w:type="dxa"/>
          </w:tcPr>
          <w:p w14:paraId="545D1AB4" w14:textId="77777777" w:rsidR="00A7319E" w:rsidRDefault="00A7319E" w:rsidP="00A7319E">
            <w:r>
              <w:t>9,4 месеца</w:t>
            </w:r>
          </w:p>
          <w:p w14:paraId="1E8ECC22" w14:textId="12D658F0" w:rsidR="00A7319E" w:rsidRDefault="00A7319E" w:rsidP="00A7319E">
            <w:pPr>
              <w:rPr>
                <w:rFonts w:cs="Arial"/>
              </w:rPr>
            </w:pPr>
            <w:r>
              <w:t>(8,9, 11,6 месеца)</w:t>
            </w:r>
          </w:p>
        </w:tc>
        <w:tc>
          <w:tcPr>
            <w:tcW w:w="2394" w:type="dxa"/>
          </w:tcPr>
          <w:p w14:paraId="441EB818" w14:textId="77777777" w:rsidR="00A7319E" w:rsidRDefault="00A7319E" w:rsidP="00A7319E">
            <w:r>
              <w:t>6,0 месеца</w:t>
            </w:r>
          </w:p>
          <w:p w14:paraId="6739FFCD" w14:textId="69894071" w:rsidR="00A7319E" w:rsidRDefault="00A7319E" w:rsidP="00A7319E">
            <w:pPr>
              <w:rPr>
                <w:rFonts w:cs="Arial"/>
              </w:rPr>
            </w:pPr>
            <w:r>
              <w:t>(5,4,6,3 месеца)</w:t>
            </w:r>
          </w:p>
        </w:tc>
      </w:tr>
      <w:tr w:rsidR="00A7319E" w14:paraId="07EB1D61" w14:textId="77777777" w:rsidTr="00A7319E">
        <w:tc>
          <w:tcPr>
            <w:tcW w:w="2394" w:type="dxa"/>
            <w:vMerge/>
          </w:tcPr>
          <w:p w14:paraId="15A37358" w14:textId="77777777" w:rsidR="00A7319E" w:rsidRDefault="00A7319E" w:rsidP="00A7319E">
            <w:pPr>
              <w:rPr>
                <w:rFonts w:cs="Arial"/>
              </w:rPr>
            </w:pPr>
          </w:p>
        </w:tc>
        <w:tc>
          <w:tcPr>
            <w:tcW w:w="2394" w:type="dxa"/>
          </w:tcPr>
          <w:p w14:paraId="517A1314" w14:textId="77777777" w:rsidR="00A7319E" w:rsidRDefault="00A7319E" w:rsidP="00A7319E">
            <w:r>
              <w:t xml:space="preserve">Коефициент на риск </w:t>
            </w:r>
            <w:r w:rsidRPr="00A7319E">
              <w:rPr>
                <w:lang w:val="ru-RU"/>
              </w:rPr>
              <w:t>(</w:t>
            </w:r>
            <w:r>
              <w:rPr>
                <w:lang w:val="en-US"/>
              </w:rPr>
              <w:t>HR</w:t>
            </w:r>
            <w:r w:rsidRPr="00A7319E">
              <w:rPr>
                <w:lang w:val="ru-RU"/>
              </w:rPr>
              <w:t>)</w:t>
            </w:r>
          </w:p>
          <w:p w14:paraId="3A8CA3A0" w14:textId="533AD2E9" w:rsidR="00A7319E" w:rsidRDefault="00A7319E" w:rsidP="00A7319E">
            <w:pPr>
              <w:rPr>
                <w:rFonts w:cs="Arial"/>
              </w:rPr>
            </w:pPr>
            <w:r>
              <w:t xml:space="preserve">(95% </w:t>
            </w:r>
            <w:r>
              <w:rPr>
                <w:lang w:val="en-US"/>
              </w:rPr>
              <w:t>CI</w:t>
            </w:r>
            <w:r w:rsidRPr="00A7319E">
              <w:rPr>
                <w:lang w:val="ru-RU"/>
              </w:rPr>
              <w:t xml:space="preserve"> </w:t>
            </w:r>
            <w:r>
              <w:t xml:space="preserve">за </w:t>
            </w:r>
            <w:r>
              <w:rPr>
                <w:lang w:val="en-US"/>
              </w:rPr>
              <w:t>HR</w:t>
            </w:r>
            <w:r w:rsidRPr="00A7319E">
              <w:rPr>
                <w:lang w:val="ru-RU"/>
              </w:rPr>
              <w:t>)</w:t>
            </w:r>
          </w:p>
        </w:tc>
        <w:tc>
          <w:tcPr>
            <w:tcW w:w="2394" w:type="dxa"/>
          </w:tcPr>
          <w:p w14:paraId="406E14DB" w14:textId="77777777" w:rsidR="00A7319E" w:rsidRDefault="00A7319E" w:rsidP="00A7319E">
            <w:pPr>
              <w:rPr>
                <w:rFonts w:cs="Arial"/>
              </w:rPr>
            </w:pPr>
          </w:p>
        </w:tc>
        <w:tc>
          <w:tcPr>
            <w:tcW w:w="2394" w:type="dxa"/>
          </w:tcPr>
          <w:p w14:paraId="12BA1D06" w14:textId="77777777" w:rsidR="00A7319E" w:rsidRDefault="00A7319E" w:rsidP="00A7319E">
            <w:r>
              <w:t>0,72</w:t>
            </w:r>
          </w:p>
          <w:p w14:paraId="5A22E654" w14:textId="08F823A2" w:rsidR="00A7319E" w:rsidRDefault="00A7319E" w:rsidP="00A7319E">
            <w:pPr>
              <w:rPr>
                <w:rFonts w:cs="Arial"/>
              </w:rPr>
            </w:pPr>
            <w:r>
              <w:t>(0,62, 0,83) Р&lt;0,0001</w:t>
            </w:r>
          </w:p>
        </w:tc>
      </w:tr>
      <w:tr w:rsidR="00A7319E" w14:paraId="56F43642" w14:textId="77777777" w:rsidTr="00A7319E">
        <w:tc>
          <w:tcPr>
            <w:tcW w:w="2394" w:type="dxa"/>
            <w:vMerge w:val="restart"/>
          </w:tcPr>
          <w:p w14:paraId="61D2C530" w14:textId="327BB706" w:rsidR="00A7319E" w:rsidRDefault="00A7319E" w:rsidP="00A7319E">
            <w:pPr>
              <w:rPr>
                <w:rFonts w:cs="Arial"/>
              </w:rPr>
            </w:pPr>
            <w:r>
              <w:rPr>
                <w:b/>
                <w:bCs/>
              </w:rPr>
              <w:t xml:space="preserve">Честота на обективен отговор </w:t>
            </w:r>
            <w:r w:rsidRPr="00A7319E">
              <w:rPr>
                <w:b/>
                <w:bCs/>
                <w:lang w:val="ru-RU"/>
              </w:rPr>
              <w:t>(</w:t>
            </w:r>
            <w:r>
              <w:rPr>
                <w:b/>
                <w:bCs/>
                <w:lang w:val="en-US"/>
              </w:rPr>
              <w:t>ORR</w:t>
            </w:r>
            <w:r w:rsidRPr="00A7319E">
              <w:rPr>
                <w:b/>
                <w:bCs/>
                <w:lang w:val="ru-RU"/>
              </w:rPr>
              <w:t>)</w:t>
            </w:r>
          </w:p>
        </w:tc>
        <w:tc>
          <w:tcPr>
            <w:tcW w:w="2394" w:type="dxa"/>
          </w:tcPr>
          <w:p w14:paraId="6DE3B00E" w14:textId="4F292B5C" w:rsidR="00A7319E" w:rsidRDefault="00A7319E" w:rsidP="00A7319E">
            <w:pPr>
              <w:rPr>
                <w:rFonts w:cs="Arial"/>
              </w:rPr>
            </w:pPr>
            <w:r>
              <w:rPr>
                <w:lang w:val="en-US"/>
              </w:rPr>
              <w:t>CR+PR</w:t>
            </w:r>
          </w:p>
        </w:tc>
        <w:tc>
          <w:tcPr>
            <w:tcW w:w="2394" w:type="dxa"/>
          </w:tcPr>
          <w:p w14:paraId="52E5FF52" w14:textId="79713B84" w:rsidR="00A7319E" w:rsidRDefault="00A7319E" w:rsidP="00A7319E">
            <w:pPr>
              <w:rPr>
                <w:rFonts w:cs="Arial"/>
              </w:rPr>
            </w:pPr>
            <w:r>
              <w:t>145 (32%)</w:t>
            </w:r>
          </w:p>
        </w:tc>
        <w:tc>
          <w:tcPr>
            <w:tcW w:w="2394" w:type="dxa"/>
          </w:tcPr>
          <w:p w14:paraId="5C80DEE7" w14:textId="080521A8" w:rsidR="00A7319E" w:rsidRDefault="00A7319E" w:rsidP="00A7319E">
            <w:pPr>
              <w:rPr>
                <w:rFonts w:cs="Arial"/>
              </w:rPr>
            </w:pPr>
            <w:r>
              <w:t>95 (21%)</w:t>
            </w:r>
          </w:p>
        </w:tc>
      </w:tr>
      <w:tr w:rsidR="00A7319E" w14:paraId="19B17004" w14:textId="77777777" w:rsidTr="00A7319E">
        <w:tc>
          <w:tcPr>
            <w:tcW w:w="2394" w:type="dxa"/>
            <w:vMerge/>
          </w:tcPr>
          <w:p w14:paraId="71D262DB" w14:textId="77777777" w:rsidR="00A7319E" w:rsidRDefault="00A7319E" w:rsidP="00A7319E">
            <w:pPr>
              <w:rPr>
                <w:rFonts w:cs="Arial"/>
              </w:rPr>
            </w:pPr>
          </w:p>
        </w:tc>
        <w:tc>
          <w:tcPr>
            <w:tcW w:w="2394" w:type="dxa"/>
          </w:tcPr>
          <w:p w14:paraId="2F276671" w14:textId="47E8D052" w:rsidR="00A7319E" w:rsidRDefault="00A7319E" w:rsidP="00A7319E">
            <w:pPr>
              <w:rPr>
                <w:rFonts w:cs="Arial"/>
              </w:rPr>
            </w:pPr>
            <w:r>
              <w:t xml:space="preserve">(95% </w:t>
            </w:r>
            <w:r>
              <w:rPr>
                <w:lang w:val="en-US"/>
              </w:rPr>
              <w:t xml:space="preserve">CI </w:t>
            </w:r>
            <w:r>
              <w:t>за честотата)</w:t>
            </w:r>
          </w:p>
        </w:tc>
        <w:tc>
          <w:tcPr>
            <w:tcW w:w="2394" w:type="dxa"/>
          </w:tcPr>
          <w:p w14:paraId="1591D2B2" w14:textId="498CACA9" w:rsidR="00A7319E" w:rsidRDefault="00A7319E" w:rsidP="00A7319E">
            <w:pPr>
              <w:rPr>
                <w:rFonts w:cs="Arial"/>
              </w:rPr>
            </w:pPr>
            <w:r>
              <w:t>(28, 36%)</w:t>
            </w:r>
          </w:p>
        </w:tc>
        <w:tc>
          <w:tcPr>
            <w:tcW w:w="2394" w:type="dxa"/>
          </w:tcPr>
          <w:p w14:paraId="164CC1BF" w14:textId="34C8A530" w:rsidR="00A7319E" w:rsidRDefault="00A7319E" w:rsidP="00A7319E">
            <w:pPr>
              <w:rPr>
                <w:rFonts w:cs="Arial"/>
              </w:rPr>
            </w:pPr>
            <w:r>
              <w:t>(17,25%)</w:t>
            </w:r>
          </w:p>
        </w:tc>
      </w:tr>
      <w:tr w:rsidR="00A7319E" w14:paraId="2AC9566B" w14:textId="77777777" w:rsidTr="00A7319E">
        <w:tc>
          <w:tcPr>
            <w:tcW w:w="2394" w:type="dxa"/>
            <w:vMerge/>
          </w:tcPr>
          <w:p w14:paraId="472302B3" w14:textId="77777777" w:rsidR="00A7319E" w:rsidRDefault="00A7319E" w:rsidP="00A7319E">
            <w:pPr>
              <w:rPr>
                <w:rFonts w:cs="Arial"/>
              </w:rPr>
            </w:pPr>
          </w:p>
        </w:tc>
        <w:tc>
          <w:tcPr>
            <w:tcW w:w="2394" w:type="dxa"/>
          </w:tcPr>
          <w:p w14:paraId="252B5E2D" w14:textId="1075FB75" w:rsidR="00A7319E" w:rsidRDefault="00A7319E" w:rsidP="00A7319E">
            <w:pPr>
              <w:rPr>
                <w:rFonts w:cs="Arial"/>
              </w:rPr>
            </w:pPr>
            <w:r>
              <w:t xml:space="preserve">Съотношение на шансовете (95% </w:t>
            </w:r>
            <w:r>
              <w:rPr>
                <w:lang w:val="en-US"/>
              </w:rPr>
              <w:t>CI</w:t>
            </w:r>
            <w:r w:rsidRPr="00A7319E">
              <w:rPr>
                <w:lang w:val="ru-RU"/>
              </w:rPr>
              <w:t xml:space="preserve"> </w:t>
            </w:r>
            <w:r>
              <w:t xml:space="preserve">за </w:t>
            </w:r>
            <w:r>
              <w:rPr>
                <w:lang w:val="en-US"/>
              </w:rPr>
              <w:t>odds</w:t>
            </w:r>
            <w:r w:rsidRPr="00A7319E">
              <w:rPr>
                <w:lang w:val="ru-RU"/>
              </w:rPr>
              <w:t xml:space="preserve"> </w:t>
            </w:r>
            <w:r>
              <w:rPr>
                <w:lang w:val="en-US"/>
              </w:rPr>
              <w:t>ratio</w:t>
            </w:r>
            <w:r w:rsidRPr="00A7319E">
              <w:rPr>
                <w:lang w:val="ru-RU"/>
              </w:rPr>
              <w:t>)</w:t>
            </w:r>
          </w:p>
        </w:tc>
        <w:tc>
          <w:tcPr>
            <w:tcW w:w="2394" w:type="dxa"/>
          </w:tcPr>
          <w:p w14:paraId="0BC8B353" w14:textId="77777777" w:rsidR="00A7319E" w:rsidRDefault="00A7319E" w:rsidP="00A7319E">
            <w:pPr>
              <w:rPr>
                <w:rFonts w:cs="Arial"/>
              </w:rPr>
            </w:pPr>
          </w:p>
        </w:tc>
        <w:tc>
          <w:tcPr>
            <w:tcW w:w="2394" w:type="dxa"/>
          </w:tcPr>
          <w:p w14:paraId="2D943BDD" w14:textId="193C62E4" w:rsidR="00A7319E" w:rsidRDefault="00A7319E" w:rsidP="00A7319E">
            <w:pPr>
              <w:rPr>
                <w:rFonts w:cs="Arial"/>
              </w:rPr>
            </w:pPr>
            <w:r>
              <w:t>1,78 (1,32, 2,40) Р=0,0002</w:t>
            </w:r>
          </w:p>
        </w:tc>
      </w:tr>
    </w:tbl>
    <w:p w14:paraId="65D894D0" w14:textId="77777777" w:rsidR="00A7319E" w:rsidRDefault="00A7319E" w:rsidP="00A7319E">
      <w:pPr>
        <w:spacing w:line="240" w:lineRule="auto"/>
        <w:rPr>
          <w:rFonts w:ascii="Times New Roman" w:eastAsia="Times New Roman" w:hAnsi="Times New Roman" w:cs="Times New Roman"/>
          <w:color w:val="000000"/>
          <w:lang w:eastAsia="bg-BG"/>
        </w:rPr>
      </w:pPr>
    </w:p>
    <w:p w14:paraId="1EF824DF" w14:textId="1D01B710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>Времето до прогресия е сигнификантно по-дълго и честотата на терапевтично повлияване е сигнификантно по-висока при летрозол, независимо от това, дали е прилагана или не адювантна антиестрогенна терапия. Времето до прогресия на заболяването е сигнификантно по-дълго при летрозол, независимо от основната локализацията на заболяването. Медианата на времето до прогресия е 12,1 месеца при Фемара и 6,4 месеца при тамоксифен при пациенти само със заболяване на меките тъкани, и медиана 8,3 месеца при Фемара и 4,6 месеца при тамоксифен при пациенти с висцерални метастази.</w:t>
      </w:r>
    </w:p>
    <w:p w14:paraId="478A3AE1" w14:textId="77777777" w:rsidR="00A7319E" w:rsidRPr="00A7319E" w:rsidRDefault="00A7319E" w:rsidP="00A7319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B8E53A3" w14:textId="16E4E7F1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>При прогресия на заболяването дизайнът на проучването позволява преминаване на пациентите на другата терапия или прекратяване на участието в проучването. Приблизително 50% от пациентите преминават в другото терапевтично рамо, като преминаването завършва на практика до 36 месеца. Медианата на времето до преминаване на другата терапия е 17 месеца</w:t>
      </w:r>
      <w:r w:rsidRPr="00A7319E">
        <w:rPr>
          <w:rFonts w:eastAsia="Times New Roman" w:cs="Arial"/>
          <w:sz w:val="24"/>
          <w:szCs w:val="24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>(от Фемара към тамоксифен) и 13 месеца (от тамоксифен към Фемара).</w:t>
      </w:r>
    </w:p>
    <w:p w14:paraId="4B7E8236" w14:textId="66A2BF9F" w:rsidR="00A7319E" w:rsidRPr="00A7319E" w:rsidRDefault="00A7319E" w:rsidP="00A7319E">
      <w:pPr>
        <w:rPr>
          <w:rFonts w:eastAsia="Times New Roman" w:cs="Arial"/>
          <w:color w:val="000000"/>
          <w:lang w:eastAsia="bg-BG"/>
        </w:rPr>
      </w:pPr>
    </w:p>
    <w:p w14:paraId="2CDF55F0" w14:textId="77777777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 xml:space="preserve">Приложението на Фемара като първа линия на лечение при рак на гърдата в напреднал стадий води до медиана на общата преживяемост 34 месеца спрямо 30 месеца за тамоксифен </w:t>
      </w:r>
      <w:r w:rsidRPr="00A7319E">
        <w:rPr>
          <w:rFonts w:eastAsia="Times New Roman" w:cs="Arial"/>
          <w:color w:val="000000"/>
          <w:lang w:val="ru-RU"/>
        </w:rPr>
        <w:t>(</w:t>
      </w:r>
      <w:proofErr w:type="spellStart"/>
      <w:r w:rsidRPr="00A7319E">
        <w:rPr>
          <w:rFonts w:eastAsia="Times New Roman" w:cs="Arial"/>
          <w:color w:val="000000"/>
          <w:lang w:val="en-US"/>
        </w:rPr>
        <w:t>logrank</w:t>
      </w:r>
      <w:proofErr w:type="spellEnd"/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>тест Р=0,53, несигнификантно). Липсата на предимство за Фемара по отношение на общата преживяемост може да бъде обяснена с кръстосания дизайн на проучването.</w:t>
      </w:r>
    </w:p>
    <w:p w14:paraId="67EF52D1" w14:textId="77777777" w:rsidR="00A7319E" w:rsidRPr="00A7319E" w:rsidRDefault="00A7319E" w:rsidP="00A7319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EF09BC7" w14:textId="788A2D0D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u w:val="single"/>
          <w:lang w:eastAsia="bg-BG"/>
        </w:rPr>
        <w:t>Втора линия на лечение</w:t>
      </w:r>
    </w:p>
    <w:p w14:paraId="3F94CEA0" w14:textId="77777777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 xml:space="preserve">Проведени са две добре контролирани клинични изпитвания, сравняващи съответно две дози летрозол (0,5 </w:t>
      </w:r>
      <w:r w:rsidRPr="00A7319E">
        <w:rPr>
          <w:rFonts w:eastAsia="Times New Roman" w:cs="Arial"/>
          <w:color w:val="000000"/>
          <w:lang w:val="en-US"/>
        </w:rPr>
        <w:t>mg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 xml:space="preserve">и 2,5 </w:t>
      </w:r>
      <w:r w:rsidRPr="00A7319E">
        <w:rPr>
          <w:rFonts w:eastAsia="Times New Roman" w:cs="Arial"/>
          <w:color w:val="000000"/>
          <w:lang w:val="en-US"/>
        </w:rPr>
        <w:t>mg</w:t>
      </w:r>
      <w:r w:rsidRPr="00A7319E">
        <w:rPr>
          <w:rFonts w:eastAsia="Times New Roman" w:cs="Arial"/>
          <w:color w:val="000000"/>
          <w:lang w:val="ru-RU"/>
        </w:rPr>
        <w:t xml:space="preserve">) </w:t>
      </w:r>
      <w:r w:rsidRPr="00A7319E">
        <w:rPr>
          <w:rFonts w:eastAsia="Times New Roman" w:cs="Arial"/>
          <w:color w:val="000000"/>
          <w:lang w:eastAsia="bg-BG"/>
        </w:rPr>
        <w:t>е мегестрол ацетат и е аминоглутетимид, при жени в постменопауза с рак на гърдата в напреднал стадий, лекувани преди това с антиестрогени.</w:t>
      </w:r>
    </w:p>
    <w:p w14:paraId="03E910C6" w14:textId="77777777" w:rsidR="00A7319E" w:rsidRPr="00A7319E" w:rsidRDefault="00A7319E" w:rsidP="00A7319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AC7A5D8" w14:textId="634908F2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 xml:space="preserve">Времето до прогресия на заболяването не се различава съществено между летрозол 2,5 </w:t>
      </w:r>
      <w:r w:rsidRPr="00A7319E">
        <w:rPr>
          <w:rFonts w:eastAsia="Times New Roman" w:cs="Arial"/>
          <w:color w:val="000000"/>
          <w:lang w:val="en-US"/>
        </w:rPr>
        <w:t>mg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 xml:space="preserve">и мегестрол ацетат </w:t>
      </w:r>
      <w:r w:rsidRPr="00A7319E">
        <w:rPr>
          <w:rFonts w:eastAsia="Times New Roman" w:cs="Arial"/>
          <w:i/>
          <w:iCs/>
          <w:color w:val="000000"/>
          <w:lang w:eastAsia="bg-BG"/>
        </w:rPr>
        <w:t>(Р=0,07).</w:t>
      </w:r>
      <w:r w:rsidRPr="00A7319E">
        <w:rPr>
          <w:rFonts w:eastAsia="Times New Roman" w:cs="Arial"/>
          <w:color w:val="000000"/>
          <w:lang w:eastAsia="bg-BG"/>
        </w:rPr>
        <w:t xml:space="preserve"> Статистически значими различия се наблюдават в полза на летрозол 2,5 </w:t>
      </w:r>
      <w:r w:rsidRPr="00A7319E">
        <w:rPr>
          <w:rFonts w:eastAsia="Times New Roman" w:cs="Arial"/>
          <w:color w:val="000000"/>
          <w:lang w:val="en-US"/>
        </w:rPr>
        <w:t>mg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>спрямо мегестрол ацетат в степента на общия обективен туморен отговор (24% спрямо 16%, Р=0,04) и във времето до настъпване на терапевтичен неуспех (Р=0,04). Общата преживяемост не се различава значимо в двете рамена (Р=0,2).</w:t>
      </w:r>
    </w:p>
    <w:p w14:paraId="53775C56" w14:textId="77777777" w:rsidR="00A7319E" w:rsidRPr="00A7319E" w:rsidRDefault="00A7319E" w:rsidP="00A7319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8322183" w14:textId="1F351BC7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 xml:space="preserve">Във второто проучване степента на отговор не показва статистически значима разлика между летрозол 2,5 </w:t>
      </w:r>
      <w:r w:rsidRPr="00A7319E">
        <w:rPr>
          <w:rFonts w:eastAsia="Times New Roman" w:cs="Arial"/>
          <w:color w:val="000000"/>
          <w:lang w:val="en-US"/>
        </w:rPr>
        <w:t>mg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 xml:space="preserve">и аминоглутетимид (Р=0,06). Летрозол 2,5 </w:t>
      </w:r>
      <w:r w:rsidRPr="00A7319E">
        <w:rPr>
          <w:rFonts w:eastAsia="Times New Roman" w:cs="Arial"/>
          <w:color w:val="000000"/>
          <w:lang w:val="en-US"/>
        </w:rPr>
        <w:t>mg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 xml:space="preserve">превъзхожда </w:t>
      </w:r>
      <w:r w:rsidRPr="00A7319E">
        <w:rPr>
          <w:rFonts w:eastAsia="Times New Roman" w:cs="Arial"/>
          <w:color w:val="000000"/>
          <w:lang w:eastAsia="bg-BG"/>
        </w:rPr>
        <w:lastRenderedPageBreak/>
        <w:t>статистически аминоглутетимид относно времето до прогресия (Р=0,008), времето за достигане на терапевтичен неуспех (Р=0,003) и общата преживяемост (Р=0,002).</w:t>
      </w:r>
    </w:p>
    <w:p w14:paraId="11DE5382" w14:textId="77777777" w:rsidR="00A7319E" w:rsidRPr="00A7319E" w:rsidRDefault="00A7319E" w:rsidP="00A7319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63C9AD2" w14:textId="251E2E2E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u w:val="single"/>
          <w:lang w:eastAsia="bg-BG"/>
        </w:rPr>
        <w:t>Рак на гърдата при мъже</w:t>
      </w:r>
    </w:p>
    <w:p w14:paraId="3E0C4A46" w14:textId="77777777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>Употребата на Фемара при мъже с рак на гърдата не е проучвана.</w:t>
      </w:r>
    </w:p>
    <w:p w14:paraId="367508B2" w14:textId="785480EE" w:rsidR="00A7319E" w:rsidRPr="00A7319E" w:rsidRDefault="00A7319E" w:rsidP="00A7319E">
      <w:pPr>
        <w:rPr>
          <w:rFonts w:cs="Arial"/>
        </w:rPr>
      </w:pPr>
    </w:p>
    <w:p w14:paraId="35F84B81" w14:textId="5CE32F15" w:rsidR="00CF77F7" w:rsidRDefault="002C50EE" w:rsidP="004A448E">
      <w:pPr>
        <w:pStyle w:val="Heading2"/>
      </w:pPr>
      <w:r>
        <w:t>5.2. Фармакокинетични свойства</w:t>
      </w:r>
    </w:p>
    <w:p w14:paraId="129225F4" w14:textId="0BC6B5A5" w:rsidR="00A7319E" w:rsidRDefault="00A7319E" w:rsidP="00A7319E"/>
    <w:p w14:paraId="628EBCDF" w14:textId="77777777" w:rsidR="00A7319E" w:rsidRPr="004E6441" w:rsidRDefault="00A7319E" w:rsidP="004E6441">
      <w:pPr>
        <w:pStyle w:val="Heading3"/>
        <w:rPr>
          <w:rFonts w:eastAsia="Times New Roman"/>
          <w:u w:val="single"/>
        </w:rPr>
      </w:pPr>
      <w:r w:rsidRPr="004E6441">
        <w:rPr>
          <w:rFonts w:eastAsia="Times New Roman"/>
          <w:u w:val="single"/>
          <w:lang w:eastAsia="bg-BG"/>
        </w:rPr>
        <w:t>Абсорбция</w:t>
      </w:r>
    </w:p>
    <w:p w14:paraId="18F0A84E" w14:textId="77777777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 xml:space="preserve">Летрозол се абсорбира бързо и изцяло в стомашно-чревния тракт (средна абсолютна бионаличност 99,9%). Храната леко понижава скоростта на абсорбция (медиана на </w:t>
      </w:r>
      <w:proofErr w:type="spellStart"/>
      <w:r w:rsidRPr="00A7319E">
        <w:rPr>
          <w:rFonts w:eastAsia="Times New Roman" w:cs="Arial"/>
          <w:color w:val="000000"/>
          <w:lang w:val="en-US"/>
        </w:rPr>
        <w:t>t</w:t>
      </w:r>
      <w:r w:rsidRPr="00A7319E">
        <w:rPr>
          <w:rFonts w:eastAsia="Times New Roman" w:cs="Arial"/>
          <w:color w:val="000000"/>
          <w:vertAlign w:val="subscript"/>
          <w:lang w:val="en-US"/>
        </w:rPr>
        <w:t>max</w:t>
      </w:r>
      <w:proofErr w:type="spellEnd"/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>1 час на гладно спрямо 2 часа след нахранване; средно С</w:t>
      </w:r>
      <w:r w:rsidRPr="00A7319E">
        <w:rPr>
          <w:rFonts w:eastAsia="Times New Roman" w:cs="Arial"/>
          <w:color w:val="000000"/>
          <w:vertAlign w:val="subscript"/>
          <w:lang w:val="en-US"/>
        </w:rPr>
        <w:t>max</w:t>
      </w:r>
      <w:r w:rsidRPr="00A7319E">
        <w:rPr>
          <w:rFonts w:eastAsia="Times New Roman" w:cs="Arial"/>
          <w:color w:val="000000"/>
          <w:lang w:eastAsia="bg-BG"/>
        </w:rPr>
        <w:t xml:space="preserve">= 129 ± 20,3 </w:t>
      </w:r>
      <w:proofErr w:type="spellStart"/>
      <w:r w:rsidRPr="00A7319E">
        <w:rPr>
          <w:rFonts w:eastAsia="Times New Roman" w:cs="Arial"/>
          <w:color w:val="000000"/>
          <w:lang w:val="en-US"/>
        </w:rPr>
        <w:t>nmolA</w:t>
      </w:r>
      <w:proofErr w:type="spellEnd"/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 xml:space="preserve">на гладно спрямо 98,7 ± 18,6 </w:t>
      </w:r>
      <w:proofErr w:type="spellStart"/>
      <w:r w:rsidRPr="00A7319E">
        <w:rPr>
          <w:rFonts w:eastAsia="Times New Roman" w:cs="Arial"/>
          <w:color w:val="000000"/>
          <w:lang w:val="en-US"/>
        </w:rPr>
        <w:t>nmol</w:t>
      </w:r>
      <w:proofErr w:type="spellEnd"/>
      <w:r w:rsidRPr="00A7319E">
        <w:rPr>
          <w:rFonts w:eastAsia="Times New Roman" w:cs="Arial"/>
          <w:color w:val="000000"/>
          <w:lang w:val="ru-RU"/>
        </w:rPr>
        <w:t xml:space="preserve">/1 </w:t>
      </w:r>
      <w:r w:rsidRPr="00A7319E">
        <w:rPr>
          <w:rFonts w:eastAsia="Times New Roman" w:cs="Arial"/>
          <w:color w:val="000000"/>
          <w:lang w:eastAsia="bg-BG"/>
        </w:rPr>
        <w:t xml:space="preserve">след нахранване), но степента на абсорбция (площта под кривата </w:t>
      </w:r>
      <w:r w:rsidRPr="00A7319E">
        <w:rPr>
          <w:rFonts w:eastAsia="Times New Roman" w:cs="Arial"/>
          <w:color w:val="000000"/>
          <w:lang w:val="en-US"/>
        </w:rPr>
        <w:t>AUC</w:t>
      </w:r>
      <w:r w:rsidRPr="00A7319E">
        <w:rPr>
          <w:rFonts w:eastAsia="Times New Roman" w:cs="Arial"/>
          <w:color w:val="000000"/>
          <w:lang w:val="ru-RU"/>
        </w:rPr>
        <w:t xml:space="preserve">) </w:t>
      </w:r>
      <w:r w:rsidRPr="00A7319E">
        <w:rPr>
          <w:rFonts w:eastAsia="Times New Roman" w:cs="Arial"/>
          <w:color w:val="000000"/>
          <w:lang w:eastAsia="bg-BG"/>
        </w:rPr>
        <w:t>остава непроменена. Незначителният ефект върху скоростта на аборбция не се счита за клинично значим и следователно летрозол може да се приема независимо от времето на хранене.</w:t>
      </w:r>
    </w:p>
    <w:p w14:paraId="4CBE53B5" w14:textId="77777777" w:rsidR="00A7319E" w:rsidRPr="004E6441" w:rsidRDefault="00A7319E" w:rsidP="00A7319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63758463" w14:textId="22F283FD" w:rsidR="00A7319E" w:rsidRPr="004E6441" w:rsidRDefault="00A7319E" w:rsidP="004E6441">
      <w:pPr>
        <w:pStyle w:val="Heading3"/>
        <w:rPr>
          <w:rFonts w:eastAsia="Times New Roman"/>
          <w:u w:val="single"/>
        </w:rPr>
      </w:pPr>
      <w:r w:rsidRPr="004E6441">
        <w:rPr>
          <w:rFonts w:eastAsia="Times New Roman"/>
          <w:u w:val="single"/>
          <w:lang w:eastAsia="bg-BG"/>
        </w:rPr>
        <w:t>Разпределение</w:t>
      </w:r>
    </w:p>
    <w:p w14:paraId="2E64B1D1" w14:textId="77777777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 xml:space="preserve">Свързването на летрозол с плазмените протеини е приблизително 60%, предимно с албумин (55%). Концентрацията на летрозол в еритроцитите е около 80% от тази в плазмата. След прилагането на 2,5 </w:t>
      </w:r>
      <w:r w:rsidRPr="00A7319E">
        <w:rPr>
          <w:rFonts w:eastAsia="Times New Roman" w:cs="Arial"/>
          <w:color w:val="000000"/>
          <w:lang w:val="en-US"/>
        </w:rPr>
        <w:t>mg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 xml:space="preserve">изотопно маркиран </w:t>
      </w:r>
      <w:r w:rsidRPr="00A7319E">
        <w:rPr>
          <w:rFonts w:eastAsia="Times New Roman" w:cs="Arial"/>
          <w:color w:val="000000"/>
          <w:vertAlign w:val="superscript"/>
          <w:lang w:eastAsia="bg-BG"/>
        </w:rPr>
        <w:t>14</w:t>
      </w:r>
      <w:r w:rsidRPr="00A7319E">
        <w:rPr>
          <w:rFonts w:eastAsia="Times New Roman" w:cs="Arial"/>
          <w:color w:val="000000"/>
          <w:lang w:eastAsia="bg-BG"/>
        </w:rPr>
        <w:t xml:space="preserve">С летрозол, приблизително 82% от радиоактивността в плазмата се дължи на непроменено вещество. По тази причина системната експозиция на метаболитите е ниска. Летрозол се разпределя в тъканите бързо и екстензивно. Привидният обем на разпределение в стационарно състояние е около 1,87 ± 0,47 </w:t>
      </w:r>
      <w:r w:rsidRPr="00A7319E">
        <w:rPr>
          <w:rFonts w:eastAsia="Times New Roman" w:cs="Arial"/>
          <w:color w:val="000000"/>
          <w:lang w:val="ru-RU"/>
        </w:rPr>
        <w:t>1/</w:t>
      </w:r>
      <w:r w:rsidRPr="00A7319E">
        <w:rPr>
          <w:rFonts w:eastAsia="Times New Roman" w:cs="Arial"/>
          <w:color w:val="000000"/>
          <w:lang w:val="en-US"/>
        </w:rPr>
        <w:t>kg</w:t>
      </w:r>
      <w:r w:rsidRPr="00A7319E">
        <w:rPr>
          <w:rFonts w:eastAsia="Times New Roman" w:cs="Arial"/>
          <w:color w:val="000000"/>
          <w:lang w:val="ru-RU"/>
        </w:rPr>
        <w:t>.</w:t>
      </w:r>
    </w:p>
    <w:p w14:paraId="3F89C25F" w14:textId="77777777" w:rsidR="00A7319E" w:rsidRPr="004E6441" w:rsidRDefault="00A7319E" w:rsidP="004E6441">
      <w:pPr>
        <w:pStyle w:val="Heading3"/>
        <w:rPr>
          <w:rFonts w:eastAsia="Times New Roman"/>
          <w:u w:val="single"/>
          <w:lang w:eastAsia="bg-BG"/>
        </w:rPr>
      </w:pPr>
    </w:p>
    <w:p w14:paraId="68066F52" w14:textId="06A33DE2" w:rsidR="00A7319E" w:rsidRPr="004E6441" w:rsidRDefault="00A7319E" w:rsidP="004E6441">
      <w:pPr>
        <w:pStyle w:val="Heading3"/>
        <w:rPr>
          <w:rFonts w:eastAsia="Times New Roman"/>
          <w:u w:val="single"/>
        </w:rPr>
      </w:pPr>
      <w:r w:rsidRPr="004E6441">
        <w:rPr>
          <w:rFonts w:eastAsia="Times New Roman"/>
          <w:u w:val="single"/>
          <w:lang w:eastAsia="bg-BG"/>
        </w:rPr>
        <w:t>Биотрансформация</w:t>
      </w:r>
    </w:p>
    <w:p w14:paraId="613330AA" w14:textId="273090C4" w:rsidR="00A7319E" w:rsidRPr="004E6441" w:rsidRDefault="00A7319E" w:rsidP="00A7319E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A7319E">
        <w:rPr>
          <w:rFonts w:eastAsia="Times New Roman" w:cs="Arial"/>
          <w:color w:val="000000"/>
          <w:lang w:eastAsia="bg-BG"/>
        </w:rPr>
        <w:t xml:space="preserve">Основният път на елиминиране на летрозол е метаболитен клирънс до фармакологично неактивен карбинолов метаболит </w:t>
      </w:r>
      <w:r w:rsidRPr="00A7319E">
        <w:rPr>
          <w:rFonts w:eastAsia="Times New Roman" w:cs="Arial"/>
          <w:color w:val="000000"/>
          <w:lang w:val="ru-RU"/>
        </w:rPr>
        <w:t>(</w:t>
      </w:r>
      <w:proofErr w:type="spellStart"/>
      <w:r w:rsidRPr="00A7319E">
        <w:rPr>
          <w:rFonts w:eastAsia="Times New Roman" w:cs="Arial"/>
          <w:color w:val="000000"/>
          <w:lang w:val="en-US"/>
        </w:rPr>
        <w:t>CL</w:t>
      </w:r>
      <w:r w:rsidRPr="00A7319E">
        <w:rPr>
          <w:rFonts w:eastAsia="Times New Roman" w:cs="Arial"/>
          <w:color w:val="000000"/>
          <w:vertAlign w:val="subscript"/>
          <w:lang w:val="en-US"/>
        </w:rPr>
        <w:t>m</w:t>
      </w:r>
      <w:proofErr w:type="spellEnd"/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>= 2,1</w:t>
      </w:r>
      <w:r w:rsidRPr="00A7319E">
        <w:rPr>
          <w:rFonts w:eastAsia="Times New Roman" w:cs="Arial"/>
          <w:color w:val="000000"/>
          <w:lang w:val="ru-RU"/>
        </w:rPr>
        <w:t>1/</w:t>
      </w:r>
      <w:r w:rsidRPr="00A7319E">
        <w:rPr>
          <w:rFonts w:eastAsia="Times New Roman" w:cs="Arial"/>
          <w:color w:val="000000"/>
          <w:lang w:val="en-US"/>
        </w:rPr>
        <w:t>h</w:t>
      </w:r>
      <w:r w:rsidRPr="00A7319E">
        <w:rPr>
          <w:rFonts w:eastAsia="Times New Roman" w:cs="Arial"/>
          <w:color w:val="000000"/>
          <w:lang w:val="ru-RU"/>
        </w:rPr>
        <w:t xml:space="preserve">), </w:t>
      </w:r>
      <w:r w:rsidRPr="00A7319E">
        <w:rPr>
          <w:rFonts w:eastAsia="Times New Roman" w:cs="Arial"/>
          <w:color w:val="000000"/>
          <w:lang w:eastAsia="bg-BG"/>
        </w:rPr>
        <w:t xml:space="preserve">но той е относително бавен в сравнение е чернодробния кръвоток (около 90 </w:t>
      </w:r>
      <w:r w:rsidRPr="00A7319E">
        <w:rPr>
          <w:rFonts w:eastAsia="Times New Roman" w:cs="Arial"/>
          <w:color w:val="000000"/>
          <w:lang w:val="ru-RU"/>
        </w:rPr>
        <w:t>1/</w:t>
      </w:r>
      <w:r w:rsidRPr="00A7319E">
        <w:rPr>
          <w:rFonts w:eastAsia="Times New Roman" w:cs="Arial"/>
          <w:color w:val="000000"/>
          <w:lang w:val="en-US"/>
        </w:rPr>
        <w:t>h</w:t>
      </w:r>
      <w:r w:rsidRPr="00A7319E">
        <w:rPr>
          <w:rFonts w:eastAsia="Times New Roman" w:cs="Arial"/>
          <w:color w:val="000000"/>
          <w:lang w:val="ru-RU"/>
        </w:rPr>
        <w:t xml:space="preserve">). </w:t>
      </w:r>
      <w:r w:rsidRPr="00A7319E">
        <w:rPr>
          <w:rFonts w:eastAsia="Times New Roman" w:cs="Arial"/>
          <w:color w:val="000000"/>
          <w:lang w:eastAsia="bg-BG"/>
        </w:rPr>
        <w:t xml:space="preserve">Установено е, че цитохром Р450 изоензимите ЗА4 и 2А6 могат да превръщат летрозол в неговия метаболит. Образуването на второстепенни неидентифицирани метаболити и директното екскретиране през бъбреците и в изпражненията играе несъществена роля в общото елиминиране на летрозол. В рамките на 2 седмици след приложението на 2,5 </w:t>
      </w:r>
      <w:r w:rsidRPr="00A7319E">
        <w:rPr>
          <w:rFonts w:eastAsia="Times New Roman" w:cs="Arial"/>
          <w:color w:val="000000"/>
          <w:lang w:val="en-US"/>
        </w:rPr>
        <w:t>mg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 xml:space="preserve">летрозол, маркиран с </w:t>
      </w:r>
      <w:r w:rsidRPr="00A7319E">
        <w:rPr>
          <w:rFonts w:eastAsia="Times New Roman" w:cs="Arial"/>
          <w:color w:val="000000"/>
          <w:vertAlign w:val="superscript"/>
          <w:lang w:eastAsia="bg-BG"/>
        </w:rPr>
        <w:t>14</w:t>
      </w:r>
      <w:r w:rsidRPr="00A7319E">
        <w:rPr>
          <w:rFonts w:eastAsia="Times New Roman" w:cs="Arial"/>
          <w:color w:val="000000"/>
          <w:lang w:eastAsia="bg-BG"/>
        </w:rPr>
        <w:t>С, при здрави доброволки в постменопауза 88,2 ± 7,6% от радиоактивността е възстановена в урината и 3,8 ± 0,9% в изпражненията. Най- малко 75% от радиоактивността, възстановена в урината за период до 216 часа</w:t>
      </w:r>
      <w:r w:rsidRPr="00A7319E">
        <w:rPr>
          <w:rFonts w:eastAsia="Times New Roman" w:cs="Arial"/>
          <w:color w:val="000000"/>
          <w:lang w:val="ru-RU"/>
        </w:rPr>
        <w:t xml:space="preserve"> (84,7 </w:t>
      </w:r>
      <w:r w:rsidRPr="00A7319E">
        <w:rPr>
          <w:rFonts w:eastAsia="Times New Roman" w:cs="Arial"/>
          <w:color w:val="000000"/>
          <w:lang w:eastAsia="bg-BG"/>
        </w:rPr>
        <w:t>±7,8%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>от дозата), се дължат на глюкуронид на карбиноловия метаболит, около 9%- на два</w:t>
      </w:r>
      <w:r w:rsidRPr="004E6441">
        <w:rPr>
          <w:rFonts w:eastAsia="Times New Roman" w:cs="Arial"/>
          <w:sz w:val="24"/>
          <w:szCs w:val="24"/>
          <w:lang w:val="ru-RU"/>
        </w:rPr>
        <w:t xml:space="preserve"> </w:t>
      </w:r>
      <w:r w:rsidRPr="004E6441">
        <w:rPr>
          <w:rFonts w:eastAsia="Times New Roman" w:cs="Arial"/>
          <w:color w:val="000000"/>
          <w:lang w:eastAsia="bg-BG"/>
        </w:rPr>
        <w:t>неидентифицирани метаболита и 6% - на непроменен летрозол.</w:t>
      </w:r>
    </w:p>
    <w:p w14:paraId="0D2E678D" w14:textId="4847567A" w:rsidR="00A7319E" w:rsidRPr="004E6441" w:rsidRDefault="00A7319E" w:rsidP="00A7319E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95E2BEB" w14:textId="77777777" w:rsidR="00A7319E" w:rsidRPr="004E6441" w:rsidRDefault="00A7319E" w:rsidP="004E6441">
      <w:pPr>
        <w:pStyle w:val="Heading3"/>
        <w:rPr>
          <w:rFonts w:eastAsia="Times New Roman"/>
          <w:u w:val="single"/>
        </w:rPr>
      </w:pPr>
      <w:r w:rsidRPr="004E6441">
        <w:rPr>
          <w:rFonts w:eastAsia="Times New Roman"/>
          <w:u w:val="single"/>
          <w:lang w:eastAsia="bg-BG"/>
        </w:rPr>
        <w:t>Елиминиране</w:t>
      </w:r>
    </w:p>
    <w:p w14:paraId="7CC78F9D" w14:textId="77777777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 xml:space="preserve">Привидният терминален полуживот в плазмата е около 2 до 4 дни. След прилагане на 2,5 </w:t>
      </w:r>
      <w:r w:rsidRPr="00A7319E">
        <w:rPr>
          <w:rFonts w:eastAsia="Times New Roman" w:cs="Arial"/>
          <w:color w:val="000000"/>
          <w:lang w:val="en-US"/>
        </w:rPr>
        <w:t>mg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 xml:space="preserve">дневно, нивата в стационарно състояние се достигат след 2 до 6 седмици. Плазмените концентрации в стационарно състояние са приблизително 7 пъти по-високи от концентрациите, измерени след приемане на единична доза от 2,5 </w:t>
      </w:r>
      <w:r w:rsidRPr="00A7319E">
        <w:rPr>
          <w:rFonts w:eastAsia="Times New Roman" w:cs="Arial"/>
          <w:color w:val="000000"/>
          <w:lang w:val="en-US"/>
        </w:rPr>
        <w:t>mg</w:t>
      </w:r>
      <w:r w:rsidRPr="00A7319E">
        <w:rPr>
          <w:rFonts w:eastAsia="Times New Roman" w:cs="Arial"/>
          <w:color w:val="000000"/>
          <w:lang w:val="ru-RU"/>
        </w:rPr>
        <w:t xml:space="preserve">, </w:t>
      </w:r>
      <w:r w:rsidRPr="00A7319E">
        <w:rPr>
          <w:rFonts w:eastAsia="Times New Roman" w:cs="Arial"/>
          <w:color w:val="000000"/>
          <w:lang w:eastAsia="bg-BG"/>
        </w:rPr>
        <w:t xml:space="preserve">но са само 1,5 до 2 пъти по-високи от стойностите в стационарно състояние, очаквани при концентрациите, измерени след единична доза, което показва слаба нелинейност във фармакокинетиката на летрозол при прилагане на 2,5 </w:t>
      </w:r>
      <w:r w:rsidRPr="00A7319E">
        <w:rPr>
          <w:rFonts w:eastAsia="Times New Roman" w:cs="Arial"/>
          <w:color w:val="000000"/>
          <w:lang w:val="en-US"/>
        </w:rPr>
        <w:t>mg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 xml:space="preserve">дневно. Тъй като нивата в </w:t>
      </w:r>
      <w:r w:rsidRPr="00A7319E">
        <w:rPr>
          <w:rFonts w:eastAsia="Times New Roman" w:cs="Arial"/>
          <w:color w:val="000000"/>
          <w:lang w:eastAsia="bg-BG"/>
        </w:rPr>
        <w:lastRenderedPageBreak/>
        <w:t>стационарно състояние се запазват във времето, може да се заключи, че няма постоянно кумулиране на летрозол.</w:t>
      </w:r>
    </w:p>
    <w:p w14:paraId="5A79624F" w14:textId="77777777" w:rsidR="004E6441" w:rsidRPr="004E6441" w:rsidRDefault="004E6441" w:rsidP="00A7319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EDD718D" w14:textId="1ACD8BD0" w:rsidR="00A7319E" w:rsidRPr="004E6441" w:rsidRDefault="00A7319E" w:rsidP="004E6441">
      <w:pPr>
        <w:pStyle w:val="Heading3"/>
        <w:rPr>
          <w:rFonts w:eastAsia="Times New Roman"/>
          <w:u w:val="single"/>
        </w:rPr>
      </w:pPr>
      <w:r w:rsidRPr="004E6441">
        <w:rPr>
          <w:rFonts w:eastAsia="Times New Roman"/>
          <w:u w:val="single"/>
          <w:lang w:eastAsia="bg-BG"/>
        </w:rPr>
        <w:t>Линейност/нелинейност</w:t>
      </w:r>
    </w:p>
    <w:p w14:paraId="6059D6E8" w14:textId="77777777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 xml:space="preserve">Фармакокинетичните показатели на летрозол след единични перорални дози до 10 </w:t>
      </w:r>
      <w:r w:rsidRPr="00A7319E">
        <w:rPr>
          <w:rFonts w:eastAsia="Times New Roman" w:cs="Arial"/>
          <w:color w:val="000000"/>
          <w:lang w:val="en-US"/>
        </w:rPr>
        <w:t>mg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 xml:space="preserve">(дозов интервал: 0,01 до 30 </w:t>
      </w:r>
      <w:r w:rsidRPr="00A7319E">
        <w:rPr>
          <w:rFonts w:eastAsia="Times New Roman" w:cs="Arial"/>
          <w:color w:val="000000"/>
          <w:lang w:val="en-US"/>
        </w:rPr>
        <w:t>mg</w:t>
      </w:r>
      <w:r w:rsidRPr="00A7319E">
        <w:rPr>
          <w:rFonts w:eastAsia="Times New Roman" w:cs="Arial"/>
          <w:color w:val="000000"/>
          <w:lang w:val="ru-RU"/>
        </w:rPr>
        <w:t xml:space="preserve">) </w:t>
      </w:r>
      <w:r w:rsidRPr="00A7319E">
        <w:rPr>
          <w:rFonts w:eastAsia="Times New Roman" w:cs="Arial"/>
          <w:color w:val="000000"/>
          <w:lang w:eastAsia="bg-BG"/>
        </w:rPr>
        <w:t xml:space="preserve">и след дневни дози до 1,0 </w:t>
      </w:r>
      <w:r w:rsidRPr="00A7319E">
        <w:rPr>
          <w:rFonts w:eastAsia="Times New Roman" w:cs="Arial"/>
          <w:color w:val="000000"/>
          <w:lang w:val="en-US"/>
        </w:rPr>
        <w:t>mg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 xml:space="preserve">(дозов интервал: 0,1 до 5 </w:t>
      </w:r>
      <w:r w:rsidRPr="00A7319E">
        <w:rPr>
          <w:rFonts w:eastAsia="Times New Roman" w:cs="Arial"/>
          <w:color w:val="000000"/>
          <w:lang w:val="en-US"/>
        </w:rPr>
        <w:t>mg</w:t>
      </w:r>
      <w:r w:rsidRPr="00A7319E">
        <w:rPr>
          <w:rFonts w:eastAsia="Times New Roman" w:cs="Arial"/>
          <w:color w:val="000000"/>
          <w:lang w:val="ru-RU"/>
        </w:rPr>
        <w:t xml:space="preserve">) </w:t>
      </w:r>
      <w:r w:rsidRPr="00A7319E">
        <w:rPr>
          <w:rFonts w:eastAsia="Times New Roman" w:cs="Arial"/>
          <w:color w:val="000000"/>
          <w:lang w:eastAsia="bg-BG"/>
        </w:rPr>
        <w:t xml:space="preserve">са пропорционални на дозата. След единична перорална доза от 30 </w:t>
      </w:r>
      <w:r w:rsidRPr="00A7319E">
        <w:rPr>
          <w:rFonts w:eastAsia="Times New Roman" w:cs="Arial"/>
          <w:color w:val="000000"/>
          <w:lang w:val="en-US"/>
        </w:rPr>
        <w:t>mg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 xml:space="preserve">се наблюдава непропорционално на дозата леко повишавене на стойноста на </w:t>
      </w:r>
      <w:r w:rsidRPr="00A7319E">
        <w:rPr>
          <w:rFonts w:eastAsia="Times New Roman" w:cs="Arial"/>
          <w:color w:val="000000"/>
          <w:lang w:val="en-US"/>
        </w:rPr>
        <w:t>AUC</w:t>
      </w:r>
      <w:r w:rsidRPr="00A7319E">
        <w:rPr>
          <w:rFonts w:eastAsia="Times New Roman" w:cs="Arial"/>
          <w:color w:val="000000"/>
          <w:lang w:val="ru-RU"/>
        </w:rPr>
        <w:t xml:space="preserve">. </w:t>
      </w:r>
      <w:r w:rsidRPr="00A7319E">
        <w:rPr>
          <w:rFonts w:eastAsia="Times New Roman" w:cs="Arial"/>
          <w:color w:val="000000"/>
          <w:lang w:eastAsia="bg-BG"/>
        </w:rPr>
        <w:t xml:space="preserve">Непропорционалността вероятно е резултат от насищане на метаболитните процеси на елиминиране. Стационарни нива се достигат при всички изпитвани дозови режими (0,1-5,0 </w:t>
      </w:r>
      <w:r w:rsidRPr="00A7319E">
        <w:rPr>
          <w:rFonts w:eastAsia="Times New Roman" w:cs="Arial"/>
          <w:color w:val="000000"/>
          <w:lang w:val="en-US"/>
        </w:rPr>
        <w:t>mg</w:t>
      </w:r>
      <w:r w:rsidRPr="00A7319E">
        <w:rPr>
          <w:rFonts w:eastAsia="Times New Roman" w:cs="Arial"/>
          <w:color w:val="000000"/>
          <w:lang w:eastAsia="bg-BG"/>
        </w:rPr>
        <w:t>/дневно) след 1 до 2 месеца.</w:t>
      </w:r>
    </w:p>
    <w:p w14:paraId="0255CEA4" w14:textId="77777777" w:rsidR="004E6441" w:rsidRPr="004E6441" w:rsidRDefault="004E6441" w:rsidP="00A7319E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1967452" w14:textId="223FBD81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u w:val="single"/>
          <w:lang w:eastAsia="bg-BG"/>
        </w:rPr>
        <w:t>Специални популации</w:t>
      </w:r>
    </w:p>
    <w:p w14:paraId="33F9592A" w14:textId="77777777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i/>
          <w:iCs/>
          <w:color w:val="000000"/>
          <w:lang w:eastAsia="bg-BG"/>
        </w:rPr>
        <w:t>Старческа възраст</w:t>
      </w:r>
    </w:p>
    <w:p w14:paraId="7FDE5EF8" w14:textId="77777777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>Възрастта не оказва влияние върху фармакокинетиката на летрозол.</w:t>
      </w:r>
    </w:p>
    <w:p w14:paraId="5F7EC06F" w14:textId="77777777" w:rsidR="004E6441" w:rsidRPr="004E6441" w:rsidRDefault="004E6441" w:rsidP="00A7319E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10EE5193" w14:textId="30E515B6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i/>
          <w:iCs/>
          <w:color w:val="000000"/>
          <w:lang w:eastAsia="bg-BG"/>
        </w:rPr>
        <w:t>Бъбречно увреждане</w:t>
      </w:r>
    </w:p>
    <w:p w14:paraId="21BC2316" w14:textId="77777777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 xml:space="preserve">В едно проучване, включващо 19 доброволци с различна степен на засягане на бъбречната функция (24-часов клирънс на креатинина 9 до 116 </w:t>
      </w:r>
      <w:r w:rsidRPr="00A7319E">
        <w:rPr>
          <w:rFonts w:eastAsia="Times New Roman" w:cs="Arial"/>
          <w:color w:val="000000"/>
          <w:lang w:val="en-US"/>
        </w:rPr>
        <w:t>ml</w:t>
      </w:r>
      <w:r w:rsidRPr="00A7319E">
        <w:rPr>
          <w:rFonts w:eastAsia="Times New Roman" w:cs="Arial"/>
          <w:color w:val="000000"/>
          <w:lang w:val="ru-RU"/>
        </w:rPr>
        <w:t>/</w:t>
      </w:r>
      <w:r w:rsidRPr="00A7319E">
        <w:rPr>
          <w:rFonts w:eastAsia="Times New Roman" w:cs="Arial"/>
          <w:color w:val="000000"/>
          <w:lang w:val="en-US"/>
        </w:rPr>
        <w:t>min</w:t>
      </w:r>
      <w:r w:rsidRPr="00A7319E">
        <w:rPr>
          <w:rFonts w:eastAsia="Times New Roman" w:cs="Arial"/>
          <w:color w:val="000000"/>
          <w:lang w:val="ru-RU"/>
        </w:rPr>
        <w:t xml:space="preserve">) </w:t>
      </w:r>
      <w:r w:rsidRPr="00A7319E">
        <w:rPr>
          <w:rFonts w:eastAsia="Times New Roman" w:cs="Arial"/>
          <w:color w:val="000000"/>
          <w:lang w:eastAsia="bg-BG"/>
        </w:rPr>
        <w:t xml:space="preserve">не е установен ефект върху фармакокинетиката на летрозол след прилагане на единична доза от 2,5 </w:t>
      </w:r>
      <w:r w:rsidRPr="00A7319E">
        <w:rPr>
          <w:rFonts w:eastAsia="Times New Roman" w:cs="Arial"/>
          <w:color w:val="000000"/>
          <w:lang w:val="en-US"/>
        </w:rPr>
        <w:t>mg</w:t>
      </w:r>
      <w:r w:rsidRPr="00A7319E">
        <w:rPr>
          <w:rFonts w:eastAsia="Times New Roman" w:cs="Arial"/>
          <w:color w:val="000000"/>
          <w:lang w:val="ru-RU"/>
        </w:rPr>
        <w:t xml:space="preserve">. </w:t>
      </w:r>
      <w:r w:rsidRPr="00A7319E">
        <w:rPr>
          <w:rFonts w:eastAsia="Times New Roman" w:cs="Arial"/>
          <w:color w:val="000000"/>
          <w:lang w:eastAsia="bg-BG"/>
        </w:rPr>
        <w:t xml:space="preserve">В допълнение към това проучване, оценяващо влиянието на летрозол при бъбречно увреждане, е извършен ковариационен анализ, базиран на данните от две пилотни изпитвания </w:t>
      </w:r>
      <w:r w:rsidRPr="00A7319E">
        <w:rPr>
          <w:rFonts w:eastAsia="Times New Roman" w:cs="Arial"/>
          <w:color w:val="000000"/>
          <w:lang w:val="ru-RU"/>
        </w:rPr>
        <w:t>(</w:t>
      </w:r>
      <w:r w:rsidRPr="00A7319E">
        <w:rPr>
          <w:rFonts w:eastAsia="Times New Roman" w:cs="Arial"/>
          <w:color w:val="000000"/>
          <w:lang w:val="en-US"/>
        </w:rPr>
        <w:t>AR</w:t>
      </w:r>
      <w:r w:rsidRPr="00A7319E">
        <w:rPr>
          <w:rFonts w:eastAsia="Times New Roman" w:cs="Arial"/>
          <w:color w:val="000000"/>
          <w:lang w:val="ru-RU"/>
        </w:rPr>
        <w:t>/</w:t>
      </w:r>
      <w:r w:rsidRPr="00A7319E">
        <w:rPr>
          <w:rFonts w:eastAsia="Times New Roman" w:cs="Arial"/>
          <w:color w:val="000000"/>
          <w:lang w:val="en-US"/>
        </w:rPr>
        <w:t>BC</w:t>
      </w:r>
      <w:r w:rsidRPr="00A7319E">
        <w:rPr>
          <w:rFonts w:eastAsia="Times New Roman" w:cs="Arial"/>
          <w:color w:val="000000"/>
          <w:lang w:val="ru-RU"/>
        </w:rPr>
        <w:t xml:space="preserve">2 </w:t>
      </w:r>
      <w:r w:rsidRPr="00A7319E">
        <w:rPr>
          <w:rFonts w:eastAsia="Times New Roman" w:cs="Arial"/>
          <w:color w:val="000000"/>
          <w:lang w:eastAsia="bg-BG"/>
        </w:rPr>
        <w:t xml:space="preserve">и </w:t>
      </w:r>
      <w:r w:rsidRPr="00A7319E">
        <w:rPr>
          <w:rFonts w:eastAsia="Times New Roman" w:cs="Arial"/>
          <w:color w:val="000000"/>
          <w:lang w:val="en-US"/>
        </w:rPr>
        <w:t>AR</w:t>
      </w:r>
      <w:r w:rsidRPr="00A7319E">
        <w:rPr>
          <w:rFonts w:eastAsia="Times New Roman" w:cs="Arial"/>
          <w:color w:val="000000"/>
          <w:lang w:val="ru-RU"/>
        </w:rPr>
        <w:t>/</w:t>
      </w:r>
      <w:r w:rsidRPr="00A7319E">
        <w:rPr>
          <w:rFonts w:eastAsia="Times New Roman" w:cs="Arial"/>
          <w:color w:val="000000"/>
          <w:lang w:val="en-US"/>
        </w:rPr>
        <w:t>BC</w:t>
      </w:r>
      <w:r w:rsidRPr="00A7319E">
        <w:rPr>
          <w:rFonts w:eastAsia="Times New Roman" w:cs="Arial"/>
          <w:color w:val="000000"/>
          <w:lang w:val="ru-RU"/>
        </w:rPr>
        <w:t xml:space="preserve">3). </w:t>
      </w:r>
      <w:r w:rsidRPr="00A7319E">
        <w:rPr>
          <w:rFonts w:eastAsia="Times New Roman" w:cs="Arial"/>
          <w:color w:val="000000"/>
          <w:lang w:eastAsia="bg-BG"/>
        </w:rPr>
        <w:t xml:space="preserve">Изчисленият креатининов клиръс (КК) [за изпитване </w:t>
      </w:r>
      <w:r w:rsidRPr="00A7319E">
        <w:rPr>
          <w:rFonts w:eastAsia="Times New Roman" w:cs="Arial"/>
          <w:color w:val="000000"/>
          <w:lang w:val="en-US"/>
        </w:rPr>
        <w:t>AR</w:t>
      </w:r>
      <w:r w:rsidRPr="00A7319E">
        <w:rPr>
          <w:rFonts w:eastAsia="Times New Roman" w:cs="Arial"/>
          <w:color w:val="000000"/>
          <w:lang w:val="ru-RU"/>
        </w:rPr>
        <w:t>/</w:t>
      </w:r>
      <w:r w:rsidRPr="00A7319E">
        <w:rPr>
          <w:rFonts w:eastAsia="Times New Roman" w:cs="Arial"/>
          <w:color w:val="000000"/>
          <w:lang w:val="en-US"/>
        </w:rPr>
        <w:t>BC</w:t>
      </w:r>
      <w:r w:rsidRPr="00A7319E">
        <w:rPr>
          <w:rFonts w:eastAsia="Times New Roman" w:cs="Arial"/>
          <w:color w:val="000000"/>
          <w:lang w:val="ru-RU"/>
        </w:rPr>
        <w:t xml:space="preserve">2 </w:t>
      </w:r>
      <w:r w:rsidRPr="00A7319E">
        <w:rPr>
          <w:rFonts w:eastAsia="Times New Roman" w:cs="Arial"/>
          <w:color w:val="000000"/>
          <w:lang w:eastAsia="bg-BG"/>
        </w:rPr>
        <w:t xml:space="preserve">в диапазон: 19 до 187 </w:t>
      </w:r>
      <w:r w:rsidRPr="00A7319E">
        <w:rPr>
          <w:rFonts w:eastAsia="Times New Roman" w:cs="Arial"/>
          <w:color w:val="000000"/>
          <w:lang w:val="en-US"/>
        </w:rPr>
        <w:t>ml</w:t>
      </w:r>
      <w:r w:rsidRPr="00A7319E">
        <w:rPr>
          <w:rFonts w:eastAsia="Times New Roman" w:cs="Arial"/>
          <w:color w:val="000000"/>
          <w:lang w:val="ru-RU"/>
        </w:rPr>
        <w:t>/</w:t>
      </w:r>
      <w:r w:rsidRPr="00A7319E">
        <w:rPr>
          <w:rFonts w:eastAsia="Times New Roman" w:cs="Arial"/>
          <w:color w:val="000000"/>
          <w:lang w:val="en-US"/>
        </w:rPr>
        <w:t>min</w:t>
      </w:r>
      <w:r w:rsidRPr="00A7319E">
        <w:rPr>
          <w:rFonts w:eastAsia="Times New Roman" w:cs="Arial"/>
          <w:color w:val="000000"/>
          <w:lang w:val="ru-RU"/>
        </w:rPr>
        <w:t xml:space="preserve">; </w:t>
      </w:r>
      <w:r w:rsidRPr="00A7319E">
        <w:rPr>
          <w:rFonts w:eastAsia="Times New Roman" w:cs="Arial"/>
          <w:color w:val="000000"/>
          <w:lang w:eastAsia="bg-BG"/>
        </w:rPr>
        <w:t xml:space="preserve">за изпитване </w:t>
      </w:r>
      <w:r w:rsidRPr="00A7319E">
        <w:rPr>
          <w:rFonts w:eastAsia="Times New Roman" w:cs="Arial"/>
          <w:color w:val="000000"/>
          <w:lang w:val="en-US"/>
        </w:rPr>
        <w:t>AR</w:t>
      </w:r>
      <w:r w:rsidRPr="00A7319E">
        <w:rPr>
          <w:rFonts w:eastAsia="Times New Roman" w:cs="Arial"/>
          <w:color w:val="000000"/>
          <w:lang w:val="ru-RU"/>
        </w:rPr>
        <w:t>/</w:t>
      </w:r>
      <w:r w:rsidRPr="00A7319E">
        <w:rPr>
          <w:rFonts w:eastAsia="Times New Roman" w:cs="Arial"/>
          <w:color w:val="000000"/>
          <w:lang w:val="en-US"/>
        </w:rPr>
        <w:t>BC</w:t>
      </w:r>
      <w:r w:rsidRPr="00A7319E">
        <w:rPr>
          <w:rFonts w:eastAsia="Times New Roman" w:cs="Arial"/>
          <w:color w:val="000000"/>
          <w:lang w:val="ru-RU"/>
        </w:rPr>
        <w:t xml:space="preserve">3 </w:t>
      </w:r>
      <w:r w:rsidRPr="00A7319E">
        <w:rPr>
          <w:rFonts w:eastAsia="Times New Roman" w:cs="Arial"/>
          <w:color w:val="000000"/>
          <w:lang w:eastAsia="bg-BG"/>
        </w:rPr>
        <w:t xml:space="preserve">в диапазон: 10 до 180 </w:t>
      </w:r>
      <w:r w:rsidRPr="00A7319E">
        <w:rPr>
          <w:rFonts w:eastAsia="Times New Roman" w:cs="Arial"/>
          <w:color w:val="000000"/>
          <w:lang w:val="en-US"/>
        </w:rPr>
        <w:t>ml</w:t>
      </w:r>
      <w:r w:rsidRPr="00A7319E">
        <w:rPr>
          <w:rFonts w:eastAsia="Times New Roman" w:cs="Arial"/>
          <w:color w:val="000000"/>
          <w:lang w:val="ru-RU"/>
        </w:rPr>
        <w:t>/</w:t>
      </w:r>
      <w:r w:rsidRPr="00A7319E">
        <w:rPr>
          <w:rFonts w:eastAsia="Times New Roman" w:cs="Arial"/>
          <w:color w:val="000000"/>
          <w:lang w:val="en-US"/>
        </w:rPr>
        <w:t>min</w:t>
      </w:r>
      <w:r w:rsidRPr="00A7319E">
        <w:rPr>
          <w:rFonts w:eastAsia="Times New Roman" w:cs="Arial"/>
          <w:color w:val="000000"/>
          <w:lang w:val="ru-RU"/>
        </w:rPr>
        <w:t xml:space="preserve">] </w:t>
      </w:r>
      <w:r w:rsidRPr="00A7319E">
        <w:rPr>
          <w:rFonts w:eastAsia="Times New Roman" w:cs="Arial"/>
          <w:color w:val="000000"/>
          <w:lang w:eastAsia="bg-BG"/>
        </w:rPr>
        <w:t xml:space="preserve">не показва статистически значима връзка с минималните плазмени нива на летрозол при стационарно състояние </w:t>
      </w:r>
      <w:r w:rsidRPr="00A7319E">
        <w:rPr>
          <w:rFonts w:eastAsia="Times New Roman" w:cs="Arial"/>
          <w:color w:val="000000"/>
          <w:lang w:val="ru-RU"/>
        </w:rPr>
        <w:t>(</w:t>
      </w:r>
      <w:proofErr w:type="spellStart"/>
      <w:r w:rsidRPr="00A7319E">
        <w:rPr>
          <w:rFonts w:eastAsia="Times New Roman" w:cs="Arial"/>
          <w:color w:val="000000"/>
          <w:lang w:val="en-US"/>
        </w:rPr>
        <w:t>Cmin</w:t>
      </w:r>
      <w:proofErr w:type="spellEnd"/>
      <w:r w:rsidRPr="00A7319E">
        <w:rPr>
          <w:rFonts w:eastAsia="Times New Roman" w:cs="Arial"/>
          <w:color w:val="000000"/>
          <w:lang w:val="ru-RU"/>
        </w:rPr>
        <w:t xml:space="preserve">). </w:t>
      </w:r>
      <w:r w:rsidRPr="00A7319E">
        <w:rPr>
          <w:rFonts w:eastAsia="Times New Roman" w:cs="Arial"/>
          <w:color w:val="000000"/>
          <w:lang w:eastAsia="bg-BG"/>
        </w:rPr>
        <w:t xml:space="preserve">Освен това, при резултатите от изпитванията </w:t>
      </w:r>
      <w:r w:rsidRPr="00A7319E">
        <w:rPr>
          <w:rFonts w:eastAsia="Times New Roman" w:cs="Arial"/>
          <w:color w:val="000000"/>
          <w:lang w:val="en-US"/>
        </w:rPr>
        <w:t>AR</w:t>
      </w:r>
      <w:r w:rsidRPr="00A7319E">
        <w:rPr>
          <w:rFonts w:eastAsia="Times New Roman" w:cs="Arial"/>
          <w:color w:val="000000"/>
          <w:lang w:val="ru-RU"/>
        </w:rPr>
        <w:t>/</w:t>
      </w:r>
      <w:r w:rsidRPr="00A7319E">
        <w:rPr>
          <w:rFonts w:eastAsia="Times New Roman" w:cs="Arial"/>
          <w:color w:val="000000"/>
          <w:lang w:val="en-US"/>
        </w:rPr>
        <w:t>BC</w:t>
      </w:r>
      <w:r w:rsidRPr="00A7319E">
        <w:rPr>
          <w:rFonts w:eastAsia="Times New Roman" w:cs="Arial"/>
          <w:color w:val="000000"/>
          <w:lang w:val="ru-RU"/>
        </w:rPr>
        <w:t xml:space="preserve">2 </w:t>
      </w:r>
      <w:r w:rsidRPr="00A7319E">
        <w:rPr>
          <w:rFonts w:eastAsia="Times New Roman" w:cs="Arial"/>
          <w:color w:val="000000"/>
          <w:lang w:eastAsia="bg-BG"/>
        </w:rPr>
        <w:t xml:space="preserve">и </w:t>
      </w:r>
      <w:r w:rsidRPr="00A7319E">
        <w:rPr>
          <w:rFonts w:eastAsia="Times New Roman" w:cs="Arial"/>
          <w:color w:val="000000"/>
          <w:lang w:val="en-US"/>
        </w:rPr>
        <w:t>AR</w:t>
      </w:r>
      <w:r w:rsidRPr="00A7319E">
        <w:rPr>
          <w:rFonts w:eastAsia="Times New Roman" w:cs="Arial"/>
          <w:color w:val="000000"/>
          <w:lang w:val="ru-RU"/>
        </w:rPr>
        <w:t>/</w:t>
      </w:r>
      <w:r w:rsidRPr="00A7319E">
        <w:rPr>
          <w:rFonts w:eastAsia="Times New Roman" w:cs="Arial"/>
          <w:color w:val="000000"/>
          <w:lang w:val="en-US"/>
        </w:rPr>
        <w:t>BC</w:t>
      </w:r>
      <w:r w:rsidRPr="00A7319E">
        <w:rPr>
          <w:rFonts w:eastAsia="Times New Roman" w:cs="Arial"/>
          <w:color w:val="000000"/>
          <w:lang w:val="ru-RU"/>
        </w:rPr>
        <w:t xml:space="preserve">3 </w:t>
      </w:r>
      <w:r w:rsidRPr="00A7319E">
        <w:rPr>
          <w:rFonts w:eastAsia="Times New Roman" w:cs="Arial"/>
          <w:color w:val="000000"/>
          <w:lang w:eastAsia="bg-BG"/>
        </w:rPr>
        <w:t xml:space="preserve">върху метастатичен рак на гърдата втора линия на лечение, липсват доказателства за нежелани ефекти на летрозол на </w:t>
      </w:r>
      <w:r w:rsidRPr="00A7319E">
        <w:rPr>
          <w:rFonts w:eastAsia="Times New Roman" w:cs="Arial"/>
          <w:i/>
          <w:iCs/>
          <w:color w:val="000000"/>
          <w:lang w:eastAsia="bg-BG"/>
        </w:rPr>
        <w:t>КК</w:t>
      </w:r>
      <w:r w:rsidRPr="00A7319E">
        <w:rPr>
          <w:rFonts w:eastAsia="Times New Roman" w:cs="Arial"/>
          <w:color w:val="000000"/>
          <w:lang w:eastAsia="bg-BG"/>
        </w:rPr>
        <w:t xml:space="preserve"> или увреждането на бъбречната функция.</w:t>
      </w:r>
    </w:p>
    <w:p w14:paraId="499ABCB0" w14:textId="77777777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 xml:space="preserve">Поради това не е необходимо коригиране на дозата при пациенти с бъбречно увреждане (КК ≥10 </w:t>
      </w:r>
      <w:r w:rsidRPr="00A7319E">
        <w:rPr>
          <w:rFonts w:eastAsia="Times New Roman" w:cs="Arial"/>
          <w:color w:val="000000"/>
          <w:lang w:val="en-US"/>
        </w:rPr>
        <w:t>ml</w:t>
      </w:r>
      <w:r w:rsidRPr="00A7319E">
        <w:rPr>
          <w:rFonts w:eastAsia="Times New Roman" w:cs="Arial"/>
          <w:color w:val="000000"/>
          <w:lang w:val="ru-RU"/>
        </w:rPr>
        <w:t>/</w:t>
      </w:r>
      <w:r w:rsidRPr="00A7319E">
        <w:rPr>
          <w:rFonts w:eastAsia="Times New Roman" w:cs="Arial"/>
          <w:color w:val="000000"/>
          <w:lang w:val="en-US"/>
        </w:rPr>
        <w:t>min</w:t>
      </w:r>
      <w:r w:rsidRPr="00A7319E">
        <w:rPr>
          <w:rFonts w:eastAsia="Times New Roman" w:cs="Arial"/>
          <w:color w:val="000000"/>
          <w:lang w:val="ru-RU"/>
        </w:rPr>
        <w:t xml:space="preserve">). </w:t>
      </w:r>
      <w:r w:rsidRPr="00A7319E">
        <w:rPr>
          <w:rFonts w:eastAsia="Times New Roman" w:cs="Arial"/>
          <w:color w:val="000000"/>
          <w:lang w:eastAsia="bg-BG"/>
        </w:rPr>
        <w:t xml:space="preserve">Информацията за пациети с тежко бъбречно увреждане (КК &lt;10 </w:t>
      </w:r>
      <w:r w:rsidRPr="00A7319E">
        <w:rPr>
          <w:rFonts w:eastAsia="Times New Roman" w:cs="Arial"/>
          <w:color w:val="000000"/>
          <w:lang w:val="en-US"/>
        </w:rPr>
        <w:t>ml</w:t>
      </w:r>
      <w:r w:rsidRPr="00A7319E">
        <w:rPr>
          <w:rFonts w:eastAsia="Times New Roman" w:cs="Arial"/>
          <w:color w:val="000000"/>
          <w:lang w:val="ru-RU"/>
        </w:rPr>
        <w:t>/</w:t>
      </w:r>
      <w:r w:rsidRPr="00A7319E">
        <w:rPr>
          <w:rFonts w:eastAsia="Times New Roman" w:cs="Arial"/>
          <w:color w:val="000000"/>
          <w:lang w:val="en-US"/>
        </w:rPr>
        <w:t>min</w:t>
      </w:r>
      <w:r w:rsidRPr="00A7319E">
        <w:rPr>
          <w:rFonts w:eastAsia="Times New Roman" w:cs="Arial"/>
          <w:color w:val="000000"/>
          <w:lang w:val="ru-RU"/>
        </w:rPr>
        <w:t xml:space="preserve">) </w:t>
      </w:r>
      <w:r w:rsidRPr="00A7319E">
        <w:rPr>
          <w:rFonts w:eastAsia="Times New Roman" w:cs="Arial"/>
          <w:color w:val="000000"/>
          <w:lang w:eastAsia="bg-BG"/>
        </w:rPr>
        <w:t>е ограничена.</w:t>
      </w:r>
    </w:p>
    <w:p w14:paraId="62B0587E" w14:textId="77777777" w:rsidR="004E6441" w:rsidRPr="004E6441" w:rsidRDefault="004E6441" w:rsidP="00A7319E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50458088" w14:textId="7DBD4FEE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i/>
          <w:iCs/>
          <w:color w:val="000000"/>
          <w:lang w:eastAsia="bg-BG"/>
        </w:rPr>
        <w:t>Чернодробно увреждане</w:t>
      </w:r>
    </w:p>
    <w:p w14:paraId="1560BE05" w14:textId="77777777" w:rsidR="00A7319E" w:rsidRPr="00A7319E" w:rsidRDefault="00A7319E" w:rsidP="00A7319E">
      <w:pPr>
        <w:spacing w:line="240" w:lineRule="auto"/>
        <w:rPr>
          <w:rFonts w:eastAsia="Times New Roman" w:cs="Arial"/>
          <w:sz w:val="24"/>
          <w:szCs w:val="24"/>
        </w:rPr>
      </w:pPr>
      <w:r w:rsidRPr="00A7319E">
        <w:rPr>
          <w:rFonts w:eastAsia="Times New Roman" w:cs="Arial"/>
          <w:color w:val="000000"/>
          <w:lang w:eastAsia="bg-BG"/>
        </w:rPr>
        <w:t xml:space="preserve">В подобно изпитване при лица с различна степен на засягане на чернодробната функция, средните стойности на </w:t>
      </w:r>
      <w:r w:rsidRPr="00A7319E">
        <w:rPr>
          <w:rFonts w:eastAsia="Times New Roman" w:cs="Arial"/>
          <w:color w:val="000000"/>
          <w:lang w:val="en-US"/>
        </w:rPr>
        <w:t>AUC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 xml:space="preserve">при доброволците с умерено чернодробно увреждане (Клас В по </w:t>
      </w:r>
      <w:r w:rsidRPr="00A7319E">
        <w:rPr>
          <w:rFonts w:eastAsia="Times New Roman" w:cs="Arial"/>
          <w:color w:val="000000"/>
          <w:lang w:val="en-US"/>
        </w:rPr>
        <w:t>Child</w:t>
      </w:r>
      <w:r w:rsidRPr="00A7319E">
        <w:rPr>
          <w:rFonts w:eastAsia="Times New Roman" w:cs="Arial"/>
          <w:color w:val="000000"/>
          <w:lang w:val="ru-RU"/>
        </w:rPr>
        <w:t>-</w:t>
      </w:r>
      <w:r w:rsidRPr="00A7319E">
        <w:rPr>
          <w:rFonts w:eastAsia="Times New Roman" w:cs="Arial"/>
          <w:color w:val="000000"/>
          <w:lang w:val="en-US"/>
        </w:rPr>
        <w:t>Pugh</w:t>
      </w:r>
      <w:r w:rsidRPr="00A7319E">
        <w:rPr>
          <w:rFonts w:eastAsia="Times New Roman" w:cs="Arial"/>
          <w:color w:val="000000"/>
          <w:lang w:val="ru-RU"/>
        </w:rPr>
        <w:t xml:space="preserve">) </w:t>
      </w:r>
      <w:r w:rsidRPr="00A7319E">
        <w:rPr>
          <w:rFonts w:eastAsia="Times New Roman" w:cs="Arial"/>
          <w:color w:val="000000"/>
          <w:lang w:eastAsia="bg-BG"/>
        </w:rPr>
        <w:t xml:space="preserve">са с 37% по-високи отколкото при здравите доброволци, но все пак в границите, наблюдавани при участниците без нарушение на чернодробната функция. В проучване, сравняващо фармакокинетиката на летрозол след еднократна перорална доза при осем пациенти мъже с чернодробна цироза и тежко чернодробно увреждане (Клас С по </w:t>
      </w:r>
      <w:r w:rsidRPr="00A7319E">
        <w:rPr>
          <w:rFonts w:eastAsia="Times New Roman" w:cs="Arial"/>
          <w:color w:val="000000"/>
          <w:lang w:val="en-US"/>
        </w:rPr>
        <w:t>Child</w:t>
      </w:r>
      <w:r w:rsidRPr="00A7319E">
        <w:rPr>
          <w:rFonts w:eastAsia="Times New Roman" w:cs="Arial"/>
          <w:color w:val="000000"/>
          <w:lang w:val="ru-RU"/>
        </w:rPr>
        <w:t>-</w:t>
      </w:r>
      <w:r w:rsidRPr="00A7319E">
        <w:rPr>
          <w:rFonts w:eastAsia="Times New Roman" w:cs="Arial"/>
          <w:color w:val="000000"/>
          <w:lang w:val="en-US"/>
        </w:rPr>
        <w:t>Pugh</w:t>
      </w:r>
      <w:r w:rsidRPr="00A7319E">
        <w:rPr>
          <w:rFonts w:eastAsia="Times New Roman" w:cs="Arial"/>
          <w:color w:val="000000"/>
          <w:lang w:val="ru-RU"/>
        </w:rPr>
        <w:t xml:space="preserve">) </w:t>
      </w:r>
      <w:r w:rsidRPr="00A7319E">
        <w:rPr>
          <w:rFonts w:eastAsia="Times New Roman" w:cs="Arial"/>
          <w:color w:val="000000"/>
          <w:lang w:eastAsia="bg-BG"/>
        </w:rPr>
        <w:t xml:space="preserve">спрямо здрави доброволци </w:t>
      </w:r>
      <w:r w:rsidRPr="00A7319E">
        <w:rPr>
          <w:rFonts w:eastAsia="Times New Roman" w:cs="Arial"/>
          <w:color w:val="000000"/>
          <w:lang w:val="ru-RU"/>
        </w:rPr>
        <w:t>(</w:t>
      </w:r>
      <w:r w:rsidRPr="00A7319E">
        <w:rPr>
          <w:rFonts w:eastAsia="Times New Roman" w:cs="Arial"/>
          <w:color w:val="000000"/>
          <w:lang w:val="en-US"/>
        </w:rPr>
        <w:t>n</w:t>
      </w:r>
      <w:r w:rsidRPr="00A7319E">
        <w:rPr>
          <w:rFonts w:eastAsia="Times New Roman" w:cs="Arial"/>
          <w:color w:val="000000"/>
          <w:lang w:val="ru-RU"/>
        </w:rPr>
        <w:t xml:space="preserve">=8), </w:t>
      </w:r>
      <w:r w:rsidRPr="00A7319E">
        <w:rPr>
          <w:rFonts w:eastAsia="Times New Roman" w:cs="Arial"/>
          <w:color w:val="000000"/>
          <w:lang w:val="en-US"/>
        </w:rPr>
        <w:t>AUC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 xml:space="preserve">и </w:t>
      </w:r>
      <w:r w:rsidRPr="00A7319E">
        <w:rPr>
          <w:rFonts w:eastAsia="Times New Roman" w:cs="Arial"/>
          <w:color w:val="000000"/>
          <w:lang w:val="en-US"/>
        </w:rPr>
        <w:t>t</w:t>
      </w:r>
      <w:r w:rsidRPr="00A7319E">
        <w:rPr>
          <w:rFonts w:eastAsia="Times New Roman" w:cs="Arial"/>
          <w:color w:val="000000"/>
          <w:vertAlign w:val="subscript"/>
          <w:lang w:val="ru-RU"/>
        </w:rPr>
        <w:t>1/2</w:t>
      </w:r>
      <w:r w:rsidRPr="00A7319E">
        <w:rPr>
          <w:rFonts w:eastAsia="Times New Roman" w:cs="Arial"/>
          <w:color w:val="000000"/>
          <w:lang w:val="ru-RU"/>
        </w:rPr>
        <w:t xml:space="preserve"> </w:t>
      </w:r>
      <w:r w:rsidRPr="00A7319E">
        <w:rPr>
          <w:rFonts w:eastAsia="Times New Roman" w:cs="Arial"/>
          <w:color w:val="000000"/>
          <w:lang w:eastAsia="bg-BG"/>
        </w:rPr>
        <w:t>се увеличават съответно с 95 и 187%. Поради тази причина Фемара трябва да се прилага с повишено внимание при пациентите с тежко чернодробно увреждане и след преценка на съотношението полза/риск за всеки отделен пациент.</w:t>
      </w:r>
    </w:p>
    <w:p w14:paraId="73CD6062" w14:textId="77777777" w:rsidR="00A7319E" w:rsidRPr="00A7319E" w:rsidRDefault="00A7319E" w:rsidP="00A7319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8E39DA" w14:textId="67B03366" w:rsidR="00CF77F7" w:rsidRDefault="002C50EE" w:rsidP="004A448E">
      <w:pPr>
        <w:pStyle w:val="Heading2"/>
      </w:pPr>
      <w:r>
        <w:t>5.3. Предклинични данни за безопасност</w:t>
      </w:r>
    </w:p>
    <w:p w14:paraId="6DB0B462" w14:textId="2F04F5C2" w:rsidR="004E6441" w:rsidRDefault="004E6441" w:rsidP="004E6441"/>
    <w:p w14:paraId="5DD4B651" w14:textId="77777777" w:rsidR="004E6441" w:rsidRPr="004E6441" w:rsidRDefault="004E6441" w:rsidP="004E6441">
      <w:pPr>
        <w:spacing w:line="240" w:lineRule="auto"/>
        <w:rPr>
          <w:rFonts w:eastAsia="Times New Roman" w:cs="Arial"/>
          <w:sz w:val="24"/>
          <w:szCs w:val="24"/>
        </w:rPr>
      </w:pPr>
      <w:r w:rsidRPr="004E6441">
        <w:rPr>
          <w:rFonts w:eastAsia="Times New Roman" w:cs="Arial"/>
          <w:color w:val="000000"/>
          <w:lang w:eastAsia="bg-BG"/>
        </w:rPr>
        <w:t>При различни предклинични проучвания за безопасност, проведени със стандартни животински видове, няма данни за системна или таргетна органна токсичност.</w:t>
      </w:r>
    </w:p>
    <w:p w14:paraId="7C026F13" w14:textId="77777777" w:rsidR="004E6441" w:rsidRPr="004E6441" w:rsidRDefault="004E6441" w:rsidP="004E6441">
      <w:pPr>
        <w:rPr>
          <w:rFonts w:eastAsia="Times New Roman" w:cs="Arial"/>
          <w:color w:val="000000"/>
          <w:lang w:eastAsia="bg-BG"/>
        </w:rPr>
      </w:pPr>
    </w:p>
    <w:p w14:paraId="6C54EB84" w14:textId="579AF4F9" w:rsidR="004E6441" w:rsidRPr="004E6441" w:rsidRDefault="004E6441" w:rsidP="004E6441">
      <w:pPr>
        <w:rPr>
          <w:rFonts w:eastAsia="Times New Roman" w:cs="Arial"/>
          <w:color w:val="000000"/>
          <w:lang w:val="ru-RU"/>
        </w:rPr>
      </w:pPr>
      <w:r w:rsidRPr="004E6441">
        <w:rPr>
          <w:rFonts w:eastAsia="Times New Roman" w:cs="Arial"/>
          <w:color w:val="000000"/>
          <w:lang w:eastAsia="bg-BG"/>
        </w:rPr>
        <w:lastRenderedPageBreak/>
        <w:t>Летрозол показва ниска степен на остра токсичност при гризачи, експонирани до 2000</w:t>
      </w:r>
      <w:r w:rsidRPr="004E6441">
        <w:rPr>
          <w:rFonts w:eastAsia="Times New Roman" w:cs="Arial"/>
          <w:color w:val="000000"/>
          <w:lang w:val="ru-RU"/>
        </w:rPr>
        <w:t xml:space="preserve"> </w:t>
      </w:r>
      <w:r w:rsidRPr="004E6441">
        <w:rPr>
          <w:rFonts w:eastAsia="Times New Roman" w:cs="Arial"/>
          <w:color w:val="000000"/>
          <w:lang w:val="en-US"/>
        </w:rPr>
        <w:t>mg</w:t>
      </w:r>
      <w:r w:rsidRPr="004E6441">
        <w:rPr>
          <w:rFonts w:eastAsia="Times New Roman" w:cs="Arial"/>
          <w:color w:val="000000"/>
          <w:lang w:val="ru-RU"/>
        </w:rPr>
        <w:t>/</w:t>
      </w:r>
      <w:r w:rsidRPr="004E6441">
        <w:rPr>
          <w:rFonts w:eastAsia="Times New Roman" w:cs="Arial"/>
          <w:color w:val="000000"/>
          <w:lang w:val="en-US"/>
        </w:rPr>
        <w:t>kg</w:t>
      </w:r>
      <w:r w:rsidRPr="004E6441">
        <w:rPr>
          <w:rFonts w:eastAsia="Times New Roman" w:cs="Arial"/>
          <w:color w:val="000000"/>
          <w:lang w:eastAsia="bg-BG"/>
        </w:rPr>
        <w:t xml:space="preserve"> При кучета летрозол причинява признаци на умерена токсичност при доза</w:t>
      </w:r>
      <w:r w:rsidRPr="004E6441">
        <w:rPr>
          <w:rFonts w:eastAsia="Times New Roman" w:cs="Arial"/>
          <w:color w:val="000000"/>
          <w:lang w:val="ru-RU"/>
        </w:rPr>
        <w:t xml:space="preserve"> 100 </w:t>
      </w:r>
      <w:r w:rsidRPr="004E6441">
        <w:rPr>
          <w:rFonts w:eastAsia="Times New Roman" w:cs="Arial"/>
          <w:color w:val="000000"/>
          <w:lang w:val="en-US"/>
        </w:rPr>
        <w:t>mg</w:t>
      </w:r>
      <w:r w:rsidRPr="004E6441">
        <w:rPr>
          <w:rFonts w:eastAsia="Times New Roman" w:cs="Arial"/>
          <w:color w:val="000000"/>
          <w:lang w:val="ru-RU"/>
        </w:rPr>
        <w:t>/</w:t>
      </w:r>
      <w:r w:rsidRPr="004E6441">
        <w:rPr>
          <w:rFonts w:eastAsia="Times New Roman" w:cs="Arial"/>
          <w:color w:val="000000"/>
          <w:lang w:val="en-US"/>
        </w:rPr>
        <w:t>kg</w:t>
      </w:r>
      <w:r w:rsidRPr="004E6441">
        <w:rPr>
          <w:rFonts w:eastAsia="Times New Roman" w:cs="Arial"/>
          <w:color w:val="000000"/>
          <w:lang w:val="ru-RU"/>
        </w:rPr>
        <w:t>.</w:t>
      </w:r>
    </w:p>
    <w:p w14:paraId="6EB4E872" w14:textId="2D463E26" w:rsidR="004E6441" w:rsidRPr="004E6441" w:rsidRDefault="004E6441" w:rsidP="004E6441">
      <w:pPr>
        <w:rPr>
          <w:rFonts w:eastAsia="Times New Roman" w:cs="Arial"/>
          <w:color w:val="000000"/>
          <w:lang w:val="ru-RU"/>
        </w:rPr>
      </w:pPr>
    </w:p>
    <w:p w14:paraId="1ADB1FA0" w14:textId="77777777" w:rsidR="004E6441" w:rsidRPr="004E6441" w:rsidRDefault="004E6441" w:rsidP="004E6441">
      <w:pPr>
        <w:spacing w:line="240" w:lineRule="auto"/>
        <w:rPr>
          <w:rFonts w:eastAsia="Times New Roman" w:cs="Arial"/>
          <w:sz w:val="24"/>
          <w:szCs w:val="24"/>
        </w:rPr>
      </w:pPr>
      <w:r w:rsidRPr="004E6441">
        <w:rPr>
          <w:rFonts w:eastAsia="Times New Roman" w:cs="Arial"/>
          <w:color w:val="000000"/>
          <w:lang w:eastAsia="bg-BG"/>
        </w:rPr>
        <w:t xml:space="preserve">В проучвания за токсичност при многократно прилагане при плъхове и кучета, с продължителност до 12 месеца, основните наблюдавани находки могат да се припишат на фармакологичното действие на веществото. Дозировката, при която няма нежелани реакции и при двата вида, е 0,3 </w:t>
      </w:r>
      <w:r w:rsidRPr="004E6441">
        <w:rPr>
          <w:rFonts w:eastAsia="Times New Roman" w:cs="Arial"/>
          <w:color w:val="000000"/>
          <w:lang w:val="en-US"/>
        </w:rPr>
        <w:t>mg</w:t>
      </w:r>
      <w:r w:rsidRPr="004E6441">
        <w:rPr>
          <w:rFonts w:eastAsia="Times New Roman" w:cs="Arial"/>
          <w:color w:val="000000"/>
          <w:lang w:val="ru-RU"/>
        </w:rPr>
        <w:t>/</w:t>
      </w:r>
      <w:r w:rsidRPr="004E6441">
        <w:rPr>
          <w:rFonts w:eastAsia="Times New Roman" w:cs="Arial"/>
          <w:color w:val="000000"/>
          <w:lang w:val="en-US"/>
        </w:rPr>
        <w:t>kg</w:t>
      </w:r>
      <w:r w:rsidRPr="004E6441">
        <w:rPr>
          <w:rFonts w:eastAsia="Times New Roman" w:cs="Arial"/>
          <w:color w:val="000000"/>
          <w:lang w:val="ru-RU"/>
        </w:rPr>
        <w:t>.</w:t>
      </w:r>
    </w:p>
    <w:p w14:paraId="7136542F" w14:textId="77777777" w:rsidR="004E6441" w:rsidRPr="004E6441" w:rsidRDefault="004E6441" w:rsidP="004E64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3590055" w14:textId="2E96FB60" w:rsidR="004E6441" w:rsidRPr="004E6441" w:rsidRDefault="004E6441" w:rsidP="004E6441">
      <w:pPr>
        <w:spacing w:line="240" w:lineRule="auto"/>
        <w:rPr>
          <w:rFonts w:eastAsia="Times New Roman" w:cs="Arial"/>
          <w:sz w:val="24"/>
          <w:szCs w:val="24"/>
        </w:rPr>
      </w:pPr>
      <w:r w:rsidRPr="004E6441">
        <w:rPr>
          <w:rFonts w:eastAsia="Times New Roman" w:cs="Arial"/>
          <w:color w:val="000000"/>
          <w:lang w:eastAsia="bg-BG"/>
        </w:rPr>
        <w:t>Пероралното приложение на летрозол при женски плъхове води до понижаване на съотношението оплождане/бременност и повишаване на пре-имплантационните загуби.</w:t>
      </w:r>
    </w:p>
    <w:p w14:paraId="154058E4" w14:textId="77777777" w:rsidR="004E6441" w:rsidRPr="004E6441" w:rsidRDefault="004E6441" w:rsidP="004E64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86EBA75" w14:textId="4C4885C3" w:rsidR="004E6441" w:rsidRPr="004E6441" w:rsidRDefault="004E6441" w:rsidP="004E6441">
      <w:pPr>
        <w:spacing w:line="240" w:lineRule="auto"/>
        <w:rPr>
          <w:rFonts w:eastAsia="Times New Roman" w:cs="Arial"/>
          <w:sz w:val="24"/>
          <w:szCs w:val="24"/>
        </w:rPr>
      </w:pPr>
      <w:r w:rsidRPr="004E6441">
        <w:rPr>
          <w:rFonts w:eastAsia="Times New Roman" w:cs="Arial"/>
          <w:color w:val="000000"/>
          <w:lang w:eastAsia="bg-BG"/>
        </w:rPr>
        <w:t xml:space="preserve">Проучванията </w:t>
      </w:r>
      <w:r w:rsidRPr="004E6441">
        <w:rPr>
          <w:rFonts w:eastAsia="Times New Roman" w:cs="Arial"/>
          <w:i/>
          <w:iCs/>
          <w:color w:val="000000"/>
          <w:lang w:val="en-US"/>
        </w:rPr>
        <w:t>in</w:t>
      </w:r>
      <w:r w:rsidRPr="004E6441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4E6441">
        <w:rPr>
          <w:rFonts w:eastAsia="Times New Roman" w:cs="Arial"/>
          <w:i/>
          <w:iCs/>
          <w:color w:val="000000"/>
          <w:lang w:val="en-US"/>
        </w:rPr>
        <w:t>vitro</w:t>
      </w:r>
      <w:r w:rsidRPr="004E6441">
        <w:rPr>
          <w:rFonts w:eastAsia="Times New Roman" w:cs="Arial"/>
          <w:color w:val="000000"/>
          <w:lang w:val="ru-RU"/>
        </w:rPr>
        <w:t xml:space="preserve"> </w:t>
      </w:r>
      <w:r w:rsidRPr="004E6441">
        <w:rPr>
          <w:rFonts w:eastAsia="Times New Roman" w:cs="Arial"/>
          <w:color w:val="000000"/>
          <w:lang w:eastAsia="bg-BG"/>
        </w:rPr>
        <w:t xml:space="preserve">и </w:t>
      </w:r>
      <w:r w:rsidRPr="004E6441">
        <w:rPr>
          <w:rFonts w:eastAsia="Times New Roman" w:cs="Arial"/>
          <w:i/>
          <w:iCs/>
          <w:color w:val="000000"/>
          <w:lang w:val="en-US"/>
        </w:rPr>
        <w:t>in</w:t>
      </w:r>
      <w:r w:rsidRPr="004E6441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4E6441">
        <w:rPr>
          <w:rFonts w:eastAsia="Times New Roman" w:cs="Arial"/>
          <w:i/>
          <w:iCs/>
          <w:color w:val="000000"/>
          <w:lang w:val="en-US"/>
        </w:rPr>
        <w:t>vivo</w:t>
      </w:r>
      <w:r w:rsidRPr="004E6441">
        <w:rPr>
          <w:rFonts w:eastAsia="Times New Roman" w:cs="Arial"/>
          <w:color w:val="000000"/>
          <w:lang w:val="ru-RU"/>
        </w:rPr>
        <w:t xml:space="preserve"> </w:t>
      </w:r>
      <w:r w:rsidRPr="004E6441">
        <w:rPr>
          <w:rFonts w:eastAsia="Times New Roman" w:cs="Arial"/>
          <w:color w:val="000000"/>
          <w:lang w:eastAsia="bg-BG"/>
        </w:rPr>
        <w:t>за мутагенен потенциал на летрозол не дават индикации за генотоксичност.</w:t>
      </w:r>
    </w:p>
    <w:p w14:paraId="4C30B63C" w14:textId="77777777" w:rsidR="004E6441" w:rsidRPr="004E6441" w:rsidRDefault="004E6441" w:rsidP="004E64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AF404D3" w14:textId="609EEE81" w:rsidR="004E6441" w:rsidRPr="004E6441" w:rsidRDefault="004E6441" w:rsidP="004E6441">
      <w:pPr>
        <w:spacing w:line="240" w:lineRule="auto"/>
        <w:rPr>
          <w:rFonts w:eastAsia="Times New Roman" w:cs="Arial"/>
          <w:sz w:val="24"/>
          <w:szCs w:val="24"/>
        </w:rPr>
      </w:pPr>
      <w:r w:rsidRPr="004E6441">
        <w:rPr>
          <w:rFonts w:eastAsia="Times New Roman" w:cs="Arial"/>
          <w:color w:val="000000"/>
          <w:lang w:eastAsia="bg-BG"/>
        </w:rPr>
        <w:t>В 104-седмично проучване за карциногенност при плъхове не са установени свързани с лечението тумори при мъжките плъхове. При женските плъхове е установена понижена честота на доброкачествените и злокачествени тумори на млечната жлеза при всички дозировки на летрозол.</w:t>
      </w:r>
    </w:p>
    <w:p w14:paraId="44478C9E" w14:textId="77777777" w:rsidR="004E6441" w:rsidRPr="004E6441" w:rsidRDefault="004E6441" w:rsidP="004E64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E6A092F" w14:textId="03CC00CE" w:rsidR="004E6441" w:rsidRPr="004E6441" w:rsidRDefault="004E6441" w:rsidP="004E6441">
      <w:pPr>
        <w:spacing w:line="240" w:lineRule="auto"/>
        <w:rPr>
          <w:rFonts w:eastAsia="Times New Roman" w:cs="Arial"/>
          <w:sz w:val="24"/>
          <w:szCs w:val="24"/>
        </w:rPr>
      </w:pPr>
      <w:r w:rsidRPr="004E6441">
        <w:rPr>
          <w:rFonts w:eastAsia="Times New Roman" w:cs="Arial"/>
          <w:color w:val="000000"/>
          <w:lang w:eastAsia="bg-BG"/>
        </w:rPr>
        <w:t xml:space="preserve">В 104-седмично проучване за канцерогенност при мишки не са установени свързани с лечението тумори при мъжки мишки. При женски мишки се наблюдава общо дозо-зависимо повишаване на случаите на доброкачествени гранулозни тека-клетъчни овариални тумори, при всички тествани дози на летрозол. За тези тумори се смята, че са свързани с фармакологично инхибиране на естрогеновия синтез и могат да се дължат на повишените нива на лутеинизиращия хормон </w:t>
      </w:r>
      <w:r w:rsidRPr="004E6441">
        <w:rPr>
          <w:rFonts w:eastAsia="Times New Roman" w:cs="Arial"/>
          <w:color w:val="000000"/>
          <w:lang w:val="ru-RU"/>
        </w:rPr>
        <w:t>(</w:t>
      </w:r>
      <w:r w:rsidRPr="004E6441">
        <w:rPr>
          <w:rFonts w:eastAsia="Times New Roman" w:cs="Arial"/>
          <w:color w:val="000000"/>
          <w:lang w:val="en-US"/>
        </w:rPr>
        <w:t>LH</w:t>
      </w:r>
      <w:r w:rsidRPr="004E6441">
        <w:rPr>
          <w:rFonts w:eastAsia="Times New Roman" w:cs="Arial"/>
          <w:color w:val="000000"/>
          <w:lang w:val="ru-RU"/>
        </w:rPr>
        <w:t xml:space="preserve">), </w:t>
      </w:r>
      <w:r w:rsidRPr="004E6441">
        <w:rPr>
          <w:rFonts w:eastAsia="Times New Roman" w:cs="Arial"/>
          <w:color w:val="000000"/>
          <w:lang w:eastAsia="bg-BG"/>
        </w:rPr>
        <w:t>които са резултат от понижението на циркулиращия естроген.</w:t>
      </w:r>
    </w:p>
    <w:p w14:paraId="45D40DFF" w14:textId="77777777" w:rsidR="004E6441" w:rsidRPr="004E6441" w:rsidRDefault="004E6441" w:rsidP="004E64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44EF5E10" w14:textId="07EA6291" w:rsidR="004E6441" w:rsidRPr="004E6441" w:rsidRDefault="004E6441" w:rsidP="004E6441">
      <w:pPr>
        <w:spacing w:line="240" w:lineRule="auto"/>
        <w:rPr>
          <w:rFonts w:eastAsia="Times New Roman" w:cs="Arial"/>
          <w:sz w:val="24"/>
          <w:szCs w:val="24"/>
        </w:rPr>
      </w:pPr>
      <w:r w:rsidRPr="004E6441">
        <w:rPr>
          <w:rFonts w:eastAsia="Times New Roman" w:cs="Arial"/>
          <w:color w:val="000000"/>
          <w:lang w:eastAsia="bg-BG"/>
        </w:rPr>
        <w:t>Летрозол е ембриотоксичен и фетотоксичен при бременни плъхове и зайци след перорален прием на клинично значими дози. При плъховете с живи фетуси се наблюдава повишена честота на фетални малформации, включително куполообразна глава и цервикална/централна вертебрална фузия. Не се наблюдава повишена честота на фетални малформации при зайци. Не е известно дали това е индиректно следствие от фармакологичните свойства (инхибиране на синтезата на естрогени) или директен ефект на лекарството (вж. точки 4.3 и 4.6).</w:t>
      </w:r>
    </w:p>
    <w:p w14:paraId="24E101F8" w14:textId="77777777" w:rsidR="004E6441" w:rsidRPr="004E6441" w:rsidRDefault="004E6441" w:rsidP="004E644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DF86DBF" w14:textId="7329C7C0" w:rsidR="004E6441" w:rsidRPr="004E6441" w:rsidRDefault="004E6441" w:rsidP="004E6441">
      <w:pPr>
        <w:spacing w:line="240" w:lineRule="auto"/>
        <w:rPr>
          <w:rFonts w:eastAsia="Times New Roman" w:cs="Arial"/>
          <w:sz w:val="24"/>
          <w:szCs w:val="24"/>
        </w:rPr>
      </w:pPr>
      <w:r w:rsidRPr="004E6441">
        <w:rPr>
          <w:rFonts w:eastAsia="Times New Roman" w:cs="Arial"/>
          <w:color w:val="000000"/>
          <w:lang w:eastAsia="bg-BG"/>
        </w:rPr>
        <w:t>Предклиничните наблюдения са ограничени до тези, свързани с известното фармакологично действие, което е единственото съображение за безопасност при употреба при хора, получено от проучванията при животни.</w:t>
      </w:r>
    </w:p>
    <w:p w14:paraId="4446C098" w14:textId="397784F5" w:rsidR="004E6441" w:rsidRPr="004E6441" w:rsidRDefault="004E6441" w:rsidP="004E6441"/>
    <w:p w14:paraId="6A7820AB" w14:textId="3934733D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2C35B989" w14:textId="241B9676" w:rsidR="004E6441" w:rsidRDefault="004E6441" w:rsidP="004E6441"/>
    <w:p w14:paraId="2B8D98AA" w14:textId="77777777" w:rsidR="004E6441" w:rsidRPr="004E6441" w:rsidRDefault="004E6441" w:rsidP="004E6441">
      <w:pPr>
        <w:rPr>
          <w:sz w:val="24"/>
          <w:szCs w:val="24"/>
        </w:rPr>
      </w:pPr>
      <w:r w:rsidRPr="004E6441">
        <w:rPr>
          <w:lang w:val="en-US"/>
        </w:rPr>
        <w:t>Novartis</w:t>
      </w:r>
      <w:r w:rsidRPr="004E6441">
        <w:t xml:space="preserve"> </w:t>
      </w:r>
      <w:r w:rsidRPr="004E6441">
        <w:rPr>
          <w:lang w:val="en-US"/>
        </w:rPr>
        <w:t>Pharma</w:t>
      </w:r>
      <w:r w:rsidRPr="004E6441">
        <w:t xml:space="preserve"> </w:t>
      </w:r>
      <w:r w:rsidRPr="004E6441">
        <w:rPr>
          <w:lang w:val="en-US"/>
        </w:rPr>
        <w:t>GmbH</w:t>
      </w:r>
      <w:r w:rsidRPr="004E6441">
        <w:t>,</w:t>
      </w:r>
    </w:p>
    <w:p w14:paraId="5167F09A" w14:textId="7226830D" w:rsidR="004E6441" w:rsidRPr="004E6441" w:rsidRDefault="004E6441" w:rsidP="004E6441">
      <w:proofErr w:type="spellStart"/>
      <w:r w:rsidRPr="004E6441">
        <w:rPr>
          <w:lang w:val="en-US"/>
        </w:rPr>
        <w:t>Roonstrasse</w:t>
      </w:r>
      <w:proofErr w:type="spellEnd"/>
      <w:r w:rsidRPr="004E6441">
        <w:t xml:space="preserve"> 25</w:t>
      </w:r>
      <w:proofErr w:type="gramStart"/>
      <w:r w:rsidRPr="004E6441">
        <w:t>,90429</w:t>
      </w:r>
      <w:proofErr w:type="gramEnd"/>
      <w:r w:rsidRPr="004E6441">
        <w:t xml:space="preserve"> </w:t>
      </w:r>
      <w:proofErr w:type="spellStart"/>
      <w:r w:rsidRPr="004E6441">
        <w:rPr>
          <w:lang w:val="en-US"/>
        </w:rPr>
        <w:t>Nuernberg</w:t>
      </w:r>
      <w:proofErr w:type="spellEnd"/>
      <w:r w:rsidRPr="004E6441">
        <w:t xml:space="preserve">, </w:t>
      </w:r>
      <w:r w:rsidRPr="004E6441">
        <w:rPr>
          <w:lang w:eastAsia="bg-BG"/>
        </w:rPr>
        <w:t>Германия</w:t>
      </w:r>
    </w:p>
    <w:p w14:paraId="7BA1BA64" w14:textId="4A7E8CFF" w:rsidR="00CF77F7" w:rsidRDefault="002C50EE" w:rsidP="004A448E">
      <w:pPr>
        <w:pStyle w:val="Heading1"/>
      </w:pPr>
      <w:r>
        <w:t>8. НОМЕР НА РАЗРЕШЕНИЕТО ЗА УПОТРЕБА</w:t>
      </w:r>
    </w:p>
    <w:p w14:paraId="73F3F577" w14:textId="711CC678" w:rsidR="004E6441" w:rsidRDefault="004E6441" w:rsidP="004E6441"/>
    <w:p w14:paraId="6ECE1326" w14:textId="77777777" w:rsidR="004E6441" w:rsidRPr="004E6441" w:rsidRDefault="004E6441" w:rsidP="004E6441">
      <w:pPr>
        <w:rPr>
          <w:sz w:val="24"/>
          <w:szCs w:val="24"/>
          <w:lang w:val="en-US"/>
        </w:rPr>
      </w:pPr>
      <w:r w:rsidRPr="004E6441">
        <w:rPr>
          <w:lang w:val="en-US"/>
        </w:rPr>
        <w:t>20020268</w:t>
      </w:r>
    </w:p>
    <w:p w14:paraId="77F6EDB0" w14:textId="77777777" w:rsidR="004E6441" w:rsidRPr="004E6441" w:rsidRDefault="004E6441" w:rsidP="004E6441"/>
    <w:p w14:paraId="2CCB5832" w14:textId="32885E5B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34988A79" w14:textId="5B050D63" w:rsidR="004E6441" w:rsidRDefault="004E6441" w:rsidP="004E6441"/>
    <w:p w14:paraId="55DB3C87" w14:textId="77777777" w:rsidR="004E6441" w:rsidRPr="004E6441" w:rsidRDefault="004E6441" w:rsidP="004E6441">
      <w:pPr>
        <w:rPr>
          <w:sz w:val="24"/>
          <w:szCs w:val="24"/>
        </w:rPr>
      </w:pPr>
      <w:r w:rsidRPr="004E6441">
        <w:rPr>
          <w:lang w:eastAsia="bg-BG"/>
        </w:rPr>
        <w:t>Дата на първо разрешаване: 21 март 2002 г.</w:t>
      </w:r>
    </w:p>
    <w:p w14:paraId="6BDF691A" w14:textId="56ADD857" w:rsidR="004E6441" w:rsidRPr="004E6441" w:rsidRDefault="004E6441" w:rsidP="004E6441">
      <w:r w:rsidRPr="004E6441">
        <w:rPr>
          <w:lang w:eastAsia="bg-BG"/>
        </w:rPr>
        <w:t>Дата на последно подновяване: 27 март 2017 г.</w:t>
      </w:r>
    </w:p>
    <w:p w14:paraId="0E9D0119" w14:textId="0245C6D7" w:rsidR="002C50EE" w:rsidRDefault="002C50EE" w:rsidP="002C50EE">
      <w:pPr>
        <w:pStyle w:val="Heading1"/>
      </w:pPr>
      <w:r>
        <w:t>10. ДАТА НА АКТУАЛИЗИРАНЕ НА ТЕКСТА</w:t>
      </w:r>
    </w:p>
    <w:p w14:paraId="43FB38A2" w14:textId="23540D98" w:rsidR="007C605B" w:rsidRPr="003E3126" w:rsidRDefault="004E6441" w:rsidP="004E6441">
      <w:bookmarkStart w:id="2" w:name="_GoBack"/>
      <w:bookmarkEnd w:id="0"/>
      <w:r>
        <w:t>25 септември 2019 г.</w:t>
      </w:r>
      <w:bookmarkEnd w:id="2"/>
    </w:p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4037508"/>
    <w:multiLevelType w:val="hybridMultilevel"/>
    <w:tmpl w:val="0D9E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35FD5"/>
    <w:multiLevelType w:val="hybridMultilevel"/>
    <w:tmpl w:val="9E6069F0"/>
    <w:lvl w:ilvl="0" w:tplc="312CAE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060A5"/>
    <w:multiLevelType w:val="hybridMultilevel"/>
    <w:tmpl w:val="AFFC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0322DE"/>
    <w:multiLevelType w:val="hybridMultilevel"/>
    <w:tmpl w:val="1C100530"/>
    <w:lvl w:ilvl="0" w:tplc="48E4C2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9"/>
  </w:num>
  <w:num w:numId="2">
    <w:abstractNumId w:val="0"/>
  </w:num>
  <w:num w:numId="3">
    <w:abstractNumId w:val="13"/>
  </w:num>
  <w:num w:numId="4">
    <w:abstractNumId w:val="3"/>
  </w:num>
  <w:num w:numId="5">
    <w:abstractNumId w:val="1"/>
  </w:num>
  <w:num w:numId="6">
    <w:abstractNumId w:val="17"/>
  </w:num>
  <w:num w:numId="7">
    <w:abstractNumId w:val="11"/>
  </w:num>
  <w:num w:numId="8">
    <w:abstractNumId w:val="16"/>
  </w:num>
  <w:num w:numId="9">
    <w:abstractNumId w:val="2"/>
  </w:num>
  <w:num w:numId="10">
    <w:abstractNumId w:val="4"/>
  </w:num>
  <w:num w:numId="11">
    <w:abstractNumId w:val="32"/>
  </w:num>
  <w:num w:numId="12">
    <w:abstractNumId w:val="15"/>
  </w:num>
  <w:num w:numId="13">
    <w:abstractNumId w:val="20"/>
  </w:num>
  <w:num w:numId="14">
    <w:abstractNumId w:val="12"/>
  </w:num>
  <w:num w:numId="15">
    <w:abstractNumId w:val="31"/>
  </w:num>
  <w:num w:numId="16">
    <w:abstractNumId w:val="10"/>
  </w:num>
  <w:num w:numId="17">
    <w:abstractNumId w:val="26"/>
  </w:num>
  <w:num w:numId="18">
    <w:abstractNumId w:val="8"/>
  </w:num>
  <w:num w:numId="19">
    <w:abstractNumId w:val="28"/>
  </w:num>
  <w:num w:numId="20">
    <w:abstractNumId w:val="25"/>
  </w:num>
  <w:num w:numId="21">
    <w:abstractNumId w:val="18"/>
  </w:num>
  <w:num w:numId="22">
    <w:abstractNumId w:val="27"/>
  </w:num>
  <w:num w:numId="23">
    <w:abstractNumId w:val="19"/>
  </w:num>
  <w:num w:numId="24">
    <w:abstractNumId w:val="9"/>
  </w:num>
  <w:num w:numId="25">
    <w:abstractNumId w:val="24"/>
  </w:num>
  <w:num w:numId="26">
    <w:abstractNumId w:val="23"/>
  </w:num>
  <w:num w:numId="27">
    <w:abstractNumId w:val="34"/>
  </w:num>
  <w:num w:numId="28">
    <w:abstractNumId w:val="6"/>
  </w:num>
  <w:num w:numId="29">
    <w:abstractNumId w:val="22"/>
  </w:num>
  <w:num w:numId="30">
    <w:abstractNumId w:val="37"/>
  </w:num>
  <w:num w:numId="31">
    <w:abstractNumId w:val="5"/>
  </w:num>
  <w:num w:numId="32">
    <w:abstractNumId w:val="36"/>
  </w:num>
  <w:num w:numId="33">
    <w:abstractNumId w:val="30"/>
  </w:num>
  <w:num w:numId="34">
    <w:abstractNumId w:val="35"/>
  </w:num>
  <w:num w:numId="35">
    <w:abstractNumId w:val="7"/>
  </w:num>
  <w:num w:numId="36">
    <w:abstractNumId w:val="21"/>
  </w:num>
  <w:num w:numId="37">
    <w:abstractNumId w:val="33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E6441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6B5396"/>
    <w:rsid w:val="0075649D"/>
    <w:rsid w:val="007C605B"/>
    <w:rsid w:val="008134C8"/>
    <w:rsid w:val="00814073"/>
    <w:rsid w:val="00826F0D"/>
    <w:rsid w:val="00893B92"/>
    <w:rsid w:val="008A6AF2"/>
    <w:rsid w:val="008C70A2"/>
    <w:rsid w:val="009773E4"/>
    <w:rsid w:val="009B171C"/>
    <w:rsid w:val="009F1313"/>
    <w:rsid w:val="00A20351"/>
    <w:rsid w:val="00A65A81"/>
    <w:rsid w:val="00A7319E"/>
    <w:rsid w:val="00AA23EC"/>
    <w:rsid w:val="00AC63CE"/>
    <w:rsid w:val="00AE2107"/>
    <w:rsid w:val="00B275A8"/>
    <w:rsid w:val="00BF2600"/>
    <w:rsid w:val="00C0049F"/>
    <w:rsid w:val="00C07B84"/>
    <w:rsid w:val="00C33464"/>
    <w:rsid w:val="00C40420"/>
    <w:rsid w:val="00C809A7"/>
    <w:rsid w:val="00C83063"/>
    <w:rsid w:val="00C87E90"/>
    <w:rsid w:val="00CA1B57"/>
    <w:rsid w:val="00CF77F7"/>
    <w:rsid w:val="00D86297"/>
    <w:rsid w:val="00DD466D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53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6646</Words>
  <Characters>37887</Characters>
  <Application>Microsoft Office Word</Application>
  <DocSecurity>0</DocSecurity>
  <Lines>315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petar vasilev</cp:lastModifiedBy>
  <cp:revision>2</cp:revision>
  <dcterms:created xsi:type="dcterms:W3CDTF">2022-02-27T20:36:00Z</dcterms:created>
  <dcterms:modified xsi:type="dcterms:W3CDTF">2022-02-27T20:36:00Z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