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3D24DC68" w:rsidR="009F77A4" w:rsidRDefault="00DD466D" w:rsidP="00387A66">
      <w:pPr>
        <w:pStyle w:val="Heading1"/>
      </w:pPr>
      <w:r>
        <w:t>1.ИМЕ НА ЛЕКАРСТВЕНИЯ ПРОДУКТ</w:t>
      </w:r>
    </w:p>
    <w:p w14:paraId="4A28679C" w14:textId="0B1B9FBF" w:rsidR="005B4161" w:rsidRDefault="005B4161" w:rsidP="005B4161"/>
    <w:p w14:paraId="55999770" w14:textId="77777777" w:rsidR="005B4161" w:rsidRDefault="005B4161" w:rsidP="005B4161">
      <w:pPr>
        <w:rPr>
          <w:lang w:eastAsia="bg-BG"/>
        </w:rPr>
      </w:pPr>
      <w:r>
        <w:rPr>
          <w:lang w:eastAsia="bg-BG"/>
        </w:rPr>
        <w:t xml:space="preserve">Фемоден 0,03 </w:t>
      </w:r>
      <w:r>
        <w:t xml:space="preserve">mg/0,075 mg </w:t>
      </w:r>
      <w:r>
        <w:rPr>
          <w:lang w:eastAsia="bg-BG"/>
        </w:rPr>
        <w:t xml:space="preserve">обвити таблетки </w:t>
      </w:r>
    </w:p>
    <w:p w14:paraId="3DCC0E38" w14:textId="5A2EEF27" w:rsidR="005B4161" w:rsidRPr="005B4161" w:rsidRDefault="005B4161" w:rsidP="005B4161">
      <w:r>
        <w:t xml:space="preserve">Femoden </w:t>
      </w:r>
      <w:r>
        <w:rPr>
          <w:lang w:eastAsia="bg-BG"/>
        </w:rPr>
        <w:t xml:space="preserve">0,03 </w:t>
      </w:r>
      <w:r>
        <w:t>mg/0,075 mg coated tablets</w:t>
      </w:r>
    </w:p>
    <w:p w14:paraId="0DF202EC" w14:textId="00538F97" w:rsidR="00F53FB7" w:rsidRDefault="00DD466D" w:rsidP="00A93499">
      <w:pPr>
        <w:pStyle w:val="Heading1"/>
      </w:pPr>
      <w:r>
        <w:t>2. КАЧЕСТВЕН И КОЛИЧЕСТВЕН СЪСТАВ</w:t>
      </w:r>
    </w:p>
    <w:p w14:paraId="20B8368D" w14:textId="56117685" w:rsidR="005B4161" w:rsidRDefault="005B4161" w:rsidP="005B4161"/>
    <w:p w14:paraId="28796E19"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Хормон-съдържащи бели обвити таблетки</w:t>
      </w:r>
    </w:p>
    <w:p w14:paraId="215E0967" w14:textId="77777777" w:rsidR="005B4161" w:rsidRPr="005B4161" w:rsidRDefault="005B4161" w:rsidP="005B4161">
      <w:pPr>
        <w:spacing w:line="240" w:lineRule="auto"/>
        <w:rPr>
          <w:rFonts w:eastAsia="Times New Roman" w:cs="Arial"/>
          <w:color w:val="000000"/>
          <w:lang w:eastAsia="bg-BG"/>
        </w:rPr>
      </w:pPr>
    </w:p>
    <w:p w14:paraId="5581901E" w14:textId="172FD729"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 xml:space="preserve">Всяка обвита таблетка съдържа 0,03 </w:t>
      </w:r>
      <w:r w:rsidRPr="005B4161">
        <w:rPr>
          <w:rFonts w:eastAsia="Times New Roman" w:cs="Arial"/>
          <w:color w:val="000000"/>
          <w:lang w:val="en-US"/>
        </w:rPr>
        <w:t xml:space="preserve">mg </w:t>
      </w:r>
      <w:r w:rsidRPr="005B4161">
        <w:rPr>
          <w:rFonts w:eastAsia="Times New Roman" w:cs="Arial"/>
          <w:color w:val="000000"/>
          <w:lang w:eastAsia="bg-BG"/>
        </w:rPr>
        <w:t xml:space="preserve">етинилестрадиол </w:t>
      </w:r>
      <w:r w:rsidRPr="005B4161">
        <w:rPr>
          <w:rFonts w:eastAsia="Times New Roman" w:cs="Arial"/>
          <w:i/>
          <w:iCs/>
          <w:color w:val="000000"/>
          <w:lang w:val="en-US"/>
        </w:rPr>
        <w:t>(</w:t>
      </w:r>
      <w:proofErr w:type="spellStart"/>
      <w:r w:rsidRPr="005B4161">
        <w:rPr>
          <w:rFonts w:eastAsia="Times New Roman" w:cs="Arial"/>
          <w:i/>
          <w:iCs/>
          <w:color w:val="000000"/>
          <w:lang w:val="en-US"/>
        </w:rPr>
        <w:t>ethinylestradiol</w:t>
      </w:r>
      <w:proofErr w:type="spellEnd"/>
      <w:r w:rsidRPr="005B4161">
        <w:rPr>
          <w:rFonts w:eastAsia="Times New Roman" w:cs="Arial"/>
          <w:i/>
          <w:iCs/>
          <w:color w:val="000000"/>
          <w:lang w:val="en-US"/>
        </w:rPr>
        <w:t>)</w:t>
      </w:r>
      <w:r w:rsidRPr="005B4161">
        <w:rPr>
          <w:rFonts w:eastAsia="Times New Roman" w:cs="Arial"/>
          <w:color w:val="000000"/>
          <w:lang w:val="en-US"/>
        </w:rPr>
        <w:t xml:space="preserve"> </w:t>
      </w:r>
      <w:r w:rsidRPr="005B4161">
        <w:rPr>
          <w:rFonts w:eastAsia="Times New Roman" w:cs="Arial"/>
          <w:color w:val="000000"/>
          <w:lang w:eastAsia="bg-BG"/>
        </w:rPr>
        <w:t xml:space="preserve">и 0,075 </w:t>
      </w:r>
      <w:r w:rsidRPr="005B4161">
        <w:rPr>
          <w:rFonts w:eastAsia="Times New Roman" w:cs="Arial"/>
          <w:color w:val="000000"/>
          <w:lang w:val="en-US"/>
        </w:rPr>
        <w:t xml:space="preserve">mg </w:t>
      </w:r>
      <w:r w:rsidRPr="005B4161">
        <w:rPr>
          <w:rFonts w:eastAsia="Times New Roman" w:cs="Arial"/>
          <w:color w:val="000000"/>
          <w:lang w:eastAsia="bg-BG"/>
        </w:rPr>
        <w:t xml:space="preserve">гестоден </w:t>
      </w:r>
      <w:r w:rsidRPr="005B4161">
        <w:rPr>
          <w:rFonts w:eastAsia="Times New Roman" w:cs="Arial"/>
          <w:i/>
          <w:iCs/>
          <w:color w:val="000000"/>
          <w:lang w:val="en-US"/>
        </w:rPr>
        <w:t>(</w:t>
      </w:r>
      <w:proofErr w:type="spellStart"/>
      <w:r w:rsidRPr="005B4161">
        <w:rPr>
          <w:rFonts w:eastAsia="Times New Roman" w:cs="Arial"/>
          <w:i/>
          <w:iCs/>
          <w:color w:val="000000"/>
          <w:lang w:val="en-US"/>
        </w:rPr>
        <w:t>gestodene</w:t>
      </w:r>
      <w:proofErr w:type="spellEnd"/>
      <w:r w:rsidRPr="005B4161">
        <w:rPr>
          <w:rFonts w:eastAsia="Times New Roman" w:cs="Arial"/>
          <w:i/>
          <w:iCs/>
          <w:color w:val="000000"/>
          <w:lang w:val="en-US"/>
        </w:rPr>
        <w:t>).</w:t>
      </w:r>
    </w:p>
    <w:p w14:paraId="54747257" w14:textId="77777777" w:rsidR="005B4161" w:rsidRPr="005B4161" w:rsidRDefault="005B4161" w:rsidP="005B4161">
      <w:pPr>
        <w:spacing w:line="240" w:lineRule="auto"/>
        <w:rPr>
          <w:rFonts w:eastAsia="Times New Roman" w:cs="Arial"/>
          <w:color w:val="000000"/>
          <w:u w:val="single"/>
          <w:lang w:eastAsia="bg-BG"/>
        </w:rPr>
      </w:pPr>
    </w:p>
    <w:p w14:paraId="6682C356" w14:textId="35D8AD13" w:rsidR="005B4161" w:rsidRPr="005B4161" w:rsidRDefault="005B4161" w:rsidP="005B4161">
      <w:pPr>
        <w:spacing w:line="240" w:lineRule="auto"/>
        <w:rPr>
          <w:rFonts w:eastAsia="Times New Roman" w:cs="Arial"/>
          <w:lang w:eastAsia="bg-BG"/>
        </w:rPr>
      </w:pPr>
      <w:r w:rsidRPr="005B4161">
        <w:rPr>
          <w:rFonts w:eastAsia="Times New Roman" w:cs="Arial"/>
          <w:color w:val="000000"/>
          <w:u w:val="single"/>
          <w:lang w:eastAsia="bg-BG"/>
        </w:rPr>
        <w:t>Помощно(и) вещество(а) с известно действие</w:t>
      </w:r>
      <w:r w:rsidRPr="005B4161">
        <w:rPr>
          <w:rFonts w:eastAsia="Times New Roman" w:cs="Arial"/>
          <w:color w:val="000000"/>
          <w:lang w:eastAsia="bg-BG"/>
        </w:rPr>
        <w:t xml:space="preserve">: лактоза монохидрат 37,43 </w:t>
      </w:r>
      <w:r w:rsidRPr="005B4161">
        <w:rPr>
          <w:rFonts w:eastAsia="Times New Roman" w:cs="Arial"/>
          <w:color w:val="000000"/>
          <w:lang w:val="en-US"/>
        </w:rPr>
        <w:t xml:space="preserve">mg </w:t>
      </w:r>
      <w:r w:rsidRPr="005B4161">
        <w:rPr>
          <w:rFonts w:eastAsia="Times New Roman" w:cs="Arial"/>
          <w:color w:val="000000"/>
          <w:lang w:eastAsia="bg-BG"/>
        </w:rPr>
        <w:t xml:space="preserve">и 19,66 </w:t>
      </w:r>
      <w:r w:rsidRPr="005B4161">
        <w:rPr>
          <w:rFonts w:eastAsia="Times New Roman" w:cs="Arial"/>
          <w:color w:val="000000"/>
          <w:lang w:val="en-US"/>
        </w:rPr>
        <w:t xml:space="preserve">mg </w:t>
      </w:r>
      <w:r w:rsidRPr="005B4161">
        <w:rPr>
          <w:rFonts w:eastAsia="Times New Roman" w:cs="Arial"/>
          <w:color w:val="000000"/>
          <w:lang w:eastAsia="bg-BG"/>
        </w:rPr>
        <w:t>захароза.</w:t>
      </w:r>
    </w:p>
    <w:p w14:paraId="76FCB67D" w14:textId="77777777" w:rsidR="005B4161" w:rsidRPr="005B4161" w:rsidRDefault="005B4161" w:rsidP="005B4161"/>
    <w:p w14:paraId="4CABB9ED" w14:textId="782D6483" w:rsidR="00F53FB7" w:rsidRDefault="00DD466D" w:rsidP="00A93499">
      <w:pPr>
        <w:pStyle w:val="Heading1"/>
      </w:pPr>
      <w:r>
        <w:t>3. ЛЕКАРСТВЕНА ФОРМА</w:t>
      </w:r>
    </w:p>
    <w:p w14:paraId="0075F0A0" w14:textId="479CE77E" w:rsidR="005B4161" w:rsidRDefault="005B4161" w:rsidP="005B4161"/>
    <w:p w14:paraId="72364454" w14:textId="77777777" w:rsidR="005B4161" w:rsidRPr="005B4161" w:rsidRDefault="005B4161" w:rsidP="005B4161">
      <w:pPr>
        <w:rPr>
          <w:sz w:val="24"/>
          <w:szCs w:val="24"/>
          <w:lang w:eastAsia="bg-BG"/>
        </w:rPr>
      </w:pPr>
      <w:r w:rsidRPr="005B4161">
        <w:rPr>
          <w:lang w:eastAsia="bg-BG"/>
        </w:rPr>
        <w:t>Обвита таблетка.</w:t>
      </w:r>
    </w:p>
    <w:p w14:paraId="5268D143" w14:textId="77777777" w:rsidR="005B4161" w:rsidRDefault="005B4161" w:rsidP="005B4161">
      <w:pPr>
        <w:rPr>
          <w:lang w:eastAsia="bg-BG"/>
        </w:rPr>
      </w:pPr>
    </w:p>
    <w:p w14:paraId="69699D8C" w14:textId="608D4416" w:rsidR="005B4161" w:rsidRPr="005B4161" w:rsidRDefault="005B4161" w:rsidP="005B4161">
      <w:r w:rsidRPr="005B4161">
        <w:rPr>
          <w:lang w:eastAsia="bg-BG"/>
        </w:rPr>
        <w:t>Таблетките са обвити, кръгли, бели на цвят с конвексни повърхности</w:t>
      </w:r>
      <w:r>
        <w:rPr>
          <w:lang w:eastAsia="bg-BG"/>
        </w:rPr>
        <w:t>.</w:t>
      </w:r>
    </w:p>
    <w:p w14:paraId="490FC2C4" w14:textId="6899DE43" w:rsidR="002C50EE" w:rsidRDefault="002C50EE" w:rsidP="002C50EE">
      <w:pPr>
        <w:pStyle w:val="Heading1"/>
      </w:pPr>
      <w:r>
        <w:t>4. КЛИНИЧНИ ДАННИ</w:t>
      </w:r>
    </w:p>
    <w:p w14:paraId="461901E4" w14:textId="29D053B4" w:rsidR="009F77A4" w:rsidRDefault="002C50EE" w:rsidP="00387A66">
      <w:pPr>
        <w:pStyle w:val="Heading2"/>
      </w:pPr>
      <w:r>
        <w:t>4.1. Терапевтични показания</w:t>
      </w:r>
    </w:p>
    <w:p w14:paraId="3827F390" w14:textId="6FB7A69D" w:rsidR="005B4161" w:rsidRDefault="005B4161" w:rsidP="005B4161"/>
    <w:p w14:paraId="7FC6B003" w14:textId="77777777" w:rsidR="005B4161" w:rsidRPr="005B4161" w:rsidRDefault="005B4161" w:rsidP="005B4161">
      <w:pPr>
        <w:rPr>
          <w:sz w:val="24"/>
          <w:szCs w:val="24"/>
          <w:lang w:eastAsia="bg-BG"/>
        </w:rPr>
      </w:pPr>
      <w:r w:rsidRPr="005B4161">
        <w:rPr>
          <w:lang w:eastAsia="bg-BG"/>
        </w:rPr>
        <w:t>Перорална контрацепция.</w:t>
      </w:r>
    </w:p>
    <w:p w14:paraId="2289A9CD" w14:textId="77777777" w:rsidR="005B4161" w:rsidRDefault="005B4161" w:rsidP="005B4161">
      <w:pPr>
        <w:rPr>
          <w:lang w:eastAsia="bg-BG"/>
        </w:rPr>
      </w:pPr>
    </w:p>
    <w:p w14:paraId="045B5B0E" w14:textId="5BF6B4F9" w:rsidR="005B4161" w:rsidRPr="005B4161" w:rsidRDefault="005B4161" w:rsidP="005B4161">
      <w:pPr>
        <w:rPr>
          <w:sz w:val="24"/>
          <w:szCs w:val="24"/>
          <w:lang w:eastAsia="bg-BG"/>
        </w:rPr>
      </w:pPr>
      <w:r w:rsidRPr="005B4161">
        <w:rPr>
          <w:lang w:eastAsia="bg-BG"/>
        </w:rPr>
        <w:t>При вземане на решение за предписване на Фемоден трябва да се имат предвид настоящите рискови фактори на отделната жена, особено тези за венозна тромбоемболия (ВТЕ) и това какъв е рискът от ВТЕ при Фемоден в сравнение с този при други комбинирани хормонални контрацептиви (КХК) (вж. точки 4.3 и 4.4).</w:t>
      </w:r>
    </w:p>
    <w:p w14:paraId="737FC3ED" w14:textId="77777777" w:rsidR="005B4161" w:rsidRPr="005B4161" w:rsidRDefault="005B4161" w:rsidP="005B4161"/>
    <w:p w14:paraId="31744E5A" w14:textId="42881033" w:rsidR="009F77A4" w:rsidRDefault="002C50EE" w:rsidP="00387A66">
      <w:pPr>
        <w:pStyle w:val="Heading2"/>
      </w:pPr>
      <w:r>
        <w:t>4.2. Дозировка и начин на приложение</w:t>
      </w:r>
    </w:p>
    <w:p w14:paraId="78E241A0" w14:textId="1AFC93CF" w:rsidR="005B4161" w:rsidRDefault="005B4161" w:rsidP="005B4161"/>
    <w:p w14:paraId="4C599691" w14:textId="77777777" w:rsidR="005B4161" w:rsidRPr="005B4161" w:rsidRDefault="005B4161" w:rsidP="005B4161">
      <w:pPr>
        <w:pStyle w:val="Heading3"/>
        <w:rPr>
          <w:rFonts w:eastAsia="Times New Roman"/>
          <w:u w:val="single"/>
          <w:lang w:eastAsia="bg-BG"/>
        </w:rPr>
      </w:pPr>
      <w:r w:rsidRPr="005B4161">
        <w:rPr>
          <w:rFonts w:eastAsia="Times New Roman"/>
          <w:u w:val="single"/>
          <w:lang w:eastAsia="bg-BG"/>
        </w:rPr>
        <w:t>Дозировка</w:t>
      </w:r>
    </w:p>
    <w:p w14:paraId="7CB379D8" w14:textId="77777777" w:rsidR="005B4161" w:rsidRDefault="005B4161" w:rsidP="005B4161">
      <w:pPr>
        <w:spacing w:line="240" w:lineRule="auto"/>
        <w:rPr>
          <w:rFonts w:eastAsia="Times New Roman" w:cs="Arial"/>
          <w:i/>
          <w:iCs/>
          <w:color w:val="000000"/>
          <w:lang w:eastAsia="bg-BG"/>
        </w:rPr>
      </w:pPr>
    </w:p>
    <w:p w14:paraId="23F214FD" w14:textId="486C4582"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Как се приема Фемоден</w:t>
      </w:r>
    </w:p>
    <w:p w14:paraId="4DDCE439" w14:textId="77777777" w:rsidR="005B4161" w:rsidRDefault="005B4161" w:rsidP="005B4161">
      <w:pPr>
        <w:spacing w:line="240" w:lineRule="auto"/>
        <w:rPr>
          <w:rFonts w:eastAsia="Times New Roman" w:cs="Arial"/>
          <w:color w:val="000000"/>
          <w:lang w:eastAsia="bg-BG"/>
        </w:rPr>
      </w:pPr>
    </w:p>
    <w:p w14:paraId="191BFF5C" w14:textId="59DEA7EC"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Комбинираните орални контрацептиви имат степен на неуспех приблизително 1% годишно, когато се приемат правилно. Степента на неуспех може да нарасне, когато се пропуснат таблетки или се приемат неправилно.</w:t>
      </w:r>
    </w:p>
    <w:p w14:paraId="704312E2" w14:textId="77777777" w:rsidR="005B4161" w:rsidRDefault="005B4161" w:rsidP="005B4161">
      <w:pPr>
        <w:spacing w:line="240" w:lineRule="auto"/>
        <w:rPr>
          <w:rFonts w:eastAsia="Times New Roman" w:cs="Arial"/>
          <w:color w:val="000000"/>
          <w:lang w:eastAsia="bg-BG"/>
        </w:rPr>
      </w:pPr>
    </w:p>
    <w:p w14:paraId="622030E8" w14:textId="583864EE" w:rsidR="005B4161" w:rsidRDefault="005B4161" w:rsidP="005B4161">
      <w:pPr>
        <w:spacing w:line="240" w:lineRule="auto"/>
        <w:rPr>
          <w:rFonts w:eastAsia="Times New Roman" w:cs="Arial"/>
          <w:color w:val="000000"/>
          <w:lang w:eastAsia="bg-BG"/>
        </w:rPr>
      </w:pPr>
      <w:r w:rsidRPr="005B4161">
        <w:rPr>
          <w:rFonts w:eastAsia="Times New Roman" w:cs="Arial"/>
          <w:color w:val="000000"/>
          <w:lang w:eastAsia="bg-BG"/>
        </w:rPr>
        <w:lastRenderedPageBreak/>
        <w:t>Таблетките трябва да се вземат по реда, означен на опаковката, всеки ден по едно и също време е малко течност, ако е нужно. Приема се по една таблетка дневно в продължение на 21 последователни дни. Всяка следваща опаковка се започва след 7-дневен интервал без таблетки, по време на който се появява кървене. Обичайно, то започва на 2-3 ден след приема на последната обвита таблетка и може да не е приключило до началото на следващата опаковка.</w:t>
      </w:r>
    </w:p>
    <w:p w14:paraId="0684EFFB" w14:textId="34F72AC7" w:rsidR="005B4161" w:rsidRDefault="005B4161" w:rsidP="005B4161">
      <w:pPr>
        <w:spacing w:line="240" w:lineRule="auto"/>
        <w:rPr>
          <w:rFonts w:eastAsia="Times New Roman" w:cs="Arial"/>
          <w:color w:val="000000"/>
          <w:lang w:eastAsia="bg-BG"/>
        </w:rPr>
      </w:pPr>
    </w:p>
    <w:p w14:paraId="25B417B1" w14:textId="77777777"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Как се започва терапия с Фемоден</w:t>
      </w:r>
    </w:p>
    <w:p w14:paraId="3611B276" w14:textId="77777777" w:rsidR="005B4161" w:rsidRDefault="005B4161" w:rsidP="005B4161">
      <w:pPr>
        <w:spacing w:line="240" w:lineRule="auto"/>
        <w:rPr>
          <w:rFonts w:eastAsia="Times New Roman" w:cs="Arial"/>
          <w:i/>
          <w:iCs/>
          <w:color w:val="000000"/>
          <w:lang w:eastAsia="bg-BG"/>
        </w:rPr>
      </w:pPr>
    </w:p>
    <w:p w14:paraId="08FDB500" w14:textId="1D613A99"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Когато през изминалия месец не е използван хормонален контрацептив</w:t>
      </w:r>
    </w:p>
    <w:p w14:paraId="56747FC5" w14:textId="77777777" w:rsidR="005B4161" w:rsidRDefault="005B4161" w:rsidP="005B4161">
      <w:pPr>
        <w:spacing w:line="240" w:lineRule="auto"/>
        <w:rPr>
          <w:rFonts w:eastAsia="Times New Roman" w:cs="Arial"/>
          <w:color w:val="000000"/>
          <w:lang w:eastAsia="bg-BG"/>
        </w:rPr>
      </w:pPr>
    </w:p>
    <w:p w14:paraId="0815705C" w14:textId="683BBAA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Приемът на таблетки трябва да започне в първия ден на цикъла (първия ден на менструалното кървене). Може да се започне и на 2-5 ден от цикъла, но в този случай през първия цикъл трябва да се използва и бариерен метод в първите 7 дни на прием на таблетки.</w:t>
      </w:r>
    </w:p>
    <w:p w14:paraId="6779A597" w14:textId="77777777" w:rsidR="005B4161" w:rsidRDefault="005B4161" w:rsidP="005B4161">
      <w:pPr>
        <w:spacing w:line="240" w:lineRule="auto"/>
        <w:rPr>
          <w:rFonts w:eastAsia="Times New Roman" w:cs="Arial"/>
          <w:i/>
          <w:iCs/>
          <w:color w:val="000000"/>
          <w:lang w:eastAsia="bg-BG"/>
        </w:rPr>
      </w:pPr>
    </w:p>
    <w:p w14:paraId="3984251B" w14:textId="4E568002"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Когато се заменя комбиниран хормонален контрацептив (комбиниран перорален контрацептив/КОК), вагинален пръстен или трансдермален пластир</w:t>
      </w:r>
    </w:p>
    <w:p w14:paraId="62ABF0BE" w14:textId="77777777" w:rsidR="005B4161" w:rsidRDefault="005B4161" w:rsidP="005B4161">
      <w:pPr>
        <w:spacing w:line="240" w:lineRule="auto"/>
        <w:rPr>
          <w:rFonts w:eastAsia="Times New Roman" w:cs="Arial"/>
          <w:color w:val="000000"/>
          <w:lang w:eastAsia="bg-BG"/>
        </w:rPr>
      </w:pPr>
    </w:p>
    <w:p w14:paraId="1D9052AE" w14:textId="473BF828"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Желателно е приемът на Фемоден да започне в деня след приема на последната хормон-съдържаща таблетка от предишния КОК или най-късно от деня след интервала без таблетки или интервала на прием на плацебо от предишния КОК. В случай че е използван вагинален пръстен или трансдермален пластир, за предпочитане е употребата на Фемоден да започне в деня на отстраняване на последния пръстен или пластир от календарната опаковка, но най-късно когато е трябвало да започне следващото приложение.</w:t>
      </w:r>
    </w:p>
    <w:p w14:paraId="172EC1F2" w14:textId="77777777" w:rsidR="005B4161" w:rsidRDefault="005B4161" w:rsidP="005B4161">
      <w:pPr>
        <w:spacing w:line="240" w:lineRule="auto"/>
        <w:rPr>
          <w:rFonts w:eastAsia="Times New Roman" w:cs="Arial"/>
          <w:i/>
          <w:iCs/>
          <w:color w:val="000000"/>
          <w:lang w:eastAsia="bg-BG"/>
        </w:rPr>
      </w:pPr>
    </w:p>
    <w:p w14:paraId="44C096D5" w14:textId="501D82C6"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Когато са приемани таблетки, съдържащи само прогестоген (мингапаблетка, инжекция, имплантант) или при прогестоген-освобождаваща интраутеринна система (ВМС)</w:t>
      </w:r>
    </w:p>
    <w:p w14:paraId="188B7BEB" w14:textId="77777777" w:rsidR="005B4161" w:rsidRDefault="005B4161" w:rsidP="005B4161">
      <w:pPr>
        <w:spacing w:line="240" w:lineRule="auto"/>
        <w:rPr>
          <w:rFonts w:eastAsia="Times New Roman" w:cs="Arial"/>
          <w:color w:val="000000"/>
          <w:lang w:eastAsia="bg-BG"/>
        </w:rPr>
      </w:pPr>
    </w:p>
    <w:p w14:paraId="2B673702" w14:textId="793F9D89"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Жената може да премине, в който и да е ден от минитаблетката (от имплантанта или ВМС в деня на отстраняването им, при инжекция - когато трябва да бъде направена следващата инжекция), но в тези случаи трябва да бъде посъветвана да използва бариерен метод в първите 7 дни на приема на Фемоден.</w:t>
      </w:r>
    </w:p>
    <w:p w14:paraId="20F3B9D8" w14:textId="77777777" w:rsidR="005B4161" w:rsidRDefault="005B4161" w:rsidP="005B4161">
      <w:pPr>
        <w:spacing w:line="240" w:lineRule="auto"/>
        <w:rPr>
          <w:rFonts w:eastAsia="Times New Roman" w:cs="Arial"/>
          <w:i/>
          <w:iCs/>
          <w:color w:val="000000"/>
          <w:lang w:eastAsia="bg-BG"/>
        </w:rPr>
      </w:pPr>
    </w:p>
    <w:p w14:paraId="31B60219" w14:textId="3A1DB69F"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След аборт през първия триместър</w:t>
      </w:r>
    </w:p>
    <w:p w14:paraId="39D26D2F" w14:textId="77777777" w:rsidR="005B4161" w:rsidRDefault="005B4161" w:rsidP="005B4161">
      <w:pPr>
        <w:spacing w:line="240" w:lineRule="auto"/>
        <w:rPr>
          <w:rFonts w:eastAsia="Times New Roman" w:cs="Arial"/>
          <w:color w:val="000000"/>
          <w:lang w:eastAsia="bg-BG"/>
        </w:rPr>
      </w:pPr>
    </w:p>
    <w:p w14:paraId="2E7B3FAA" w14:textId="46A818F6"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Жената може да започне незабавно приема на Фемоден. Не са необходими допълнителни контрацептивни мерки.</w:t>
      </w:r>
    </w:p>
    <w:p w14:paraId="37984272" w14:textId="77777777" w:rsidR="005B4161" w:rsidRDefault="005B4161" w:rsidP="005B4161">
      <w:pPr>
        <w:spacing w:line="240" w:lineRule="auto"/>
        <w:rPr>
          <w:rFonts w:eastAsia="Times New Roman" w:cs="Arial"/>
          <w:i/>
          <w:iCs/>
          <w:color w:val="000000"/>
          <w:lang w:eastAsia="bg-BG"/>
        </w:rPr>
      </w:pPr>
    </w:p>
    <w:p w14:paraId="49463AA5" w14:textId="6B806464"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След раждане или аборт през втория триместър</w:t>
      </w:r>
    </w:p>
    <w:p w14:paraId="7845D370" w14:textId="77777777" w:rsidR="005B4161" w:rsidRDefault="005B4161" w:rsidP="005B4161">
      <w:pPr>
        <w:spacing w:line="240" w:lineRule="auto"/>
        <w:rPr>
          <w:rFonts w:eastAsia="Times New Roman" w:cs="Arial"/>
          <w:color w:val="000000"/>
          <w:lang w:eastAsia="bg-BG"/>
        </w:rPr>
      </w:pPr>
    </w:p>
    <w:p w14:paraId="26449646" w14:textId="58B3796B"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За кърмещи жени вижте точка 4.6.</w:t>
      </w:r>
    </w:p>
    <w:p w14:paraId="4608B514" w14:textId="77777777" w:rsidR="005B4161" w:rsidRDefault="005B4161" w:rsidP="005B4161">
      <w:pPr>
        <w:spacing w:line="240" w:lineRule="auto"/>
        <w:rPr>
          <w:rFonts w:eastAsia="Times New Roman" w:cs="Arial"/>
          <w:color w:val="000000"/>
          <w:lang w:eastAsia="bg-BG"/>
        </w:rPr>
      </w:pPr>
    </w:p>
    <w:p w14:paraId="3045B61A" w14:textId="29CD5A2A"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 xml:space="preserve">Жената трябва да бъде посъветвана да започне приема между 21 и 28 ден след раждане или аборт във втория триместър. В случай че започне по-късно е необходимо да се използва допълнителен бариерен метод през първите 7 дни на прием на таблетки. Въпреки това, ако междувременно е имало полов контакт, трябва да се изключи </w:t>
      </w:r>
      <w:r w:rsidRPr="005B4161">
        <w:rPr>
          <w:rFonts w:eastAsia="Times New Roman" w:cs="Arial"/>
          <w:color w:val="000000"/>
          <w:lang w:eastAsia="bg-BG"/>
        </w:rPr>
        <w:lastRenderedPageBreak/>
        <w:t>бременност преди началото на приема на Фемоден или да се изчака появата на нормалния менструален цикъл.</w:t>
      </w:r>
    </w:p>
    <w:p w14:paraId="415A1A24" w14:textId="77777777" w:rsidR="005B4161" w:rsidRDefault="005B4161" w:rsidP="005B4161">
      <w:pPr>
        <w:spacing w:line="240" w:lineRule="auto"/>
        <w:rPr>
          <w:rFonts w:eastAsia="Times New Roman" w:cs="Arial"/>
          <w:i/>
          <w:iCs/>
          <w:color w:val="000000"/>
          <w:lang w:eastAsia="bg-BG"/>
        </w:rPr>
      </w:pPr>
    </w:p>
    <w:p w14:paraId="7D67BF89" w14:textId="5717A677"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Пропускане прием на таблетки</w:t>
      </w:r>
    </w:p>
    <w:p w14:paraId="62790795" w14:textId="77777777" w:rsidR="005B4161" w:rsidRDefault="005B4161" w:rsidP="005B4161">
      <w:pPr>
        <w:spacing w:line="240" w:lineRule="auto"/>
        <w:rPr>
          <w:rFonts w:eastAsia="Times New Roman" w:cs="Arial"/>
          <w:color w:val="000000"/>
          <w:lang w:eastAsia="bg-BG"/>
        </w:rPr>
      </w:pPr>
    </w:p>
    <w:p w14:paraId="102BDE89" w14:textId="38A9BB09"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 xml:space="preserve">Ако пациентката е закъсняла с приема на следващата таблетка с </w:t>
      </w:r>
      <w:r w:rsidRPr="005B4161">
        <w:rPr>
          <w:rFonts w:eastAsia="Times New Roman" w:cs="Arial"/>
          <w:b/>
          <w:bCs/>
          <w:color w:val="000000"/>
          <w:lang w:eastAsia="bg-BG"/>
        </w:rPr>
        <w:t xml:space="preserve">по-малко от 12 часа, </w:t>
      </w:r>
      <w:r w:rsidRPr="005B4161">
        <w:rPr>
          <w:rFonts w:eastAsia="Times New Roman" w:cs="Arial"/>
          <w:color w:val="000000"/>
          <w:lang w:eastAsia="bg-BG"/>
        </w:rPr>
        <w:t>контрацептивната защита не намалява. Жената трябва да вземе таблетката веднага щом си спомни и да продължи приема на следващите таблетки в обичайното време.</w:t>
      </w:r>
    </w:p>
    <w:p w14:paraId="16A49391" w14:textId="77777777" w:rsidR="005B4161" w:rsidRDefault="005B4161" w:rsidP="005B4161">
      <w:pPr>
        <w:spacing w:line="240" w:lineRule="auto"/>
        <w:rPr>
          <w:rFonts w:eastAsia="Times New Roman" w:cs="Arial"/>
          <w:color w:val="000000"/>
          <w:lang w:eastAsia="bg-BG"/>
        </w:rPr>
      </w:pPr>
    </w:p>
    <w:p w14:paraId="7E04F9AB" w14:textId="5824CBA0"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 xml:space="preserve">Ако е закъсняла </w:t>
      </w:r>
      <w:r w:rsidRPr="005B4161">
        <w:rPr>
          <w:rFonts w:eastAsia="Times New Roman" w:cs="Arial"/>
          <w:b/>
          <w:bCs/>
          <w:color w:val="000000"/>
          <w:lang w:eastAsia="bg-BG"/>
        </w:rPr>
        <w:t xml:space="preserve">повече от 12 часа, </w:t>
      </w:r>
      <w:r w:rsidRPr="005B4161">
        <w:rPr>
          <w:rFonts w:eastAsia="Times New Roman" w:cs="Arial"/>
          <w:color w:val="000000"/>
          <w:lang w:eastAsia="bg-BG"/>
        </w:rPr>
        <w:t>контрацептивната защита може да отслабне. В такъв случай</w:t>
      </w:r>
      <w:r w:rsidRPr="005B4161">
        <w:rPr>
          <w:rFonts w:eastAsia="Times New Roman" w:cs="Arial"/>
          <w:b/>
          <w:bCs/>
          <w:color w:val="000000"/>
          <w:lang w:eastAsia="bg-BG"/>
        </w:rPr>
        <w:t xml:space="preserve"> </w:t>
      </w:r>
      <w:r w:rsidRPr="005B4161">
        <w:rPr>
          <w:rFonts w:eastAsia="Times New Roman" w:cs="Arial"/>
          <w:color w:val="000000"/>
          <w:lang w:eastAsia="bg-BG"/>
        </w:rPr>
        <w:t>поведението спрямо пропуснатите таблетки се ръководи от следните правила:</w:t>
      </w:r>
    </w:p>
    <w:p w14:paraId="1FEB1567" w14:textId="0FAA87AD" w:rsidR="005B4161" w:rsidRPr="005B4161" w:rsidRDefault="005B4161" w:rsidP="005B4161">
      <w:pPr>
        <w:pStyle w:val="ListParagraph"/>
        <w:numPr>
          <w:ilvl w:val="0"/>
          <w:numId w:val="41"/>
        </w:numPr>
        <w:spacing w:line="240" w:lineRule="auto"/>
        <w:rPr>
          <w:rFonts w:eastAsia="Times New Roman" w:cs="Arial"/>
          <w:color w:val="000000"/>
          <w:lang w:eastAsia="bg-BG"/>
        </w:rPr>
      </w:pPr>
      <w:r w:rsidRPr="005B4161">
        <w:rPr>
          <w:rFonts w:eastAsia="Times New Roman" w:cs="Arial"/>
          <w:color w:val="000000"/>
          <w:lang w:eastAsia="bg-BG"/>
        </w:rPr>
        <w:t>приемът на таблетки не трябва да се прекратява за повече от 7 дни</w:t>
      </w:r>
    </w:p>
    <w:p w14:paraId="77A75CF2" w14:textId="1B0F546F" w:rsidR="005B4161" w:rsidRPr="005B4161" w:rsidRDefault="005B4161" w:rsidP="005B4161">
      <w:pPr>
        <w:pStyle w:val="ListParagraph"/>
        <w:numPr>
          <w:ilvl w:val="0"/>
          <w:numId w:val="41"/>
        </w:numPr>
        <w:spacing w:line="240" w:lineRule="auto"/>
        <w:rPr>
          <w:rFonts w:eastAsia="Times New Roman" w:cs="Arial"/>
          <w:lang w:eastAsia="bg-BG"/>
        </w:rPr>
      </w:pPr>
      <w:r w:rsidRPr="005B4161">
        <w:rPr>
          <w:rFonts w:eastAsia="Times New Roman" w:cs="Arial"/>
          <w:color w:val="000000"/>
          <w:lang w:eastAsia="bg-BG"/>
        </w:rPr>
        <w:t>необходим е 7 дневен непрекъснат прием на таблетки за потискане на хипоталамо-хипофизарно-овариалната ос.</w:t>
      </w:r>
    </w:p>
    <w:p w14:paraId="6AA5B7E8"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За всекидневата практика важат следните съвети:</w:t>
      </w:r>
    </w:p>
    <w:p w14:paraId="0E587E4D" w14:textId="77777777" w:rsidR="005B4161" w:rsidRDefault="005B4161" w:rsidP="005B4161">
      <w:pPr>
        <w:spacing w:line="240" w:lineRule="auto"/>
        <w:rPr>
          <w:rFonts w:eastAsia="Times New Roman" w:cs="Arial"/>
          <w:i/>
          <w:iCs/>
          <w:color w:val="000000"/>
          <w:lang w:eastAsia="bg-BG"/>
        </w:rPr>
      </w:pPr>
    </w:p>
    <w:p w14:paraId="728D3331" w14:textId="3626ECD5"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Първа седмица</w:t>
      </w:r>
    </w:p>
    <w:p w14:paraId="4B583FCC" w14:textId="77777777" w:rsidR="005B4161" w:rsidRDefault="005B4161" w:rsidP="005B4161">
      <w:pPr>
        <w:spacing w:line="240" w:lineRule="auto"/>
        <w:rPr>
          <w:rFonts w:eastAsia="Times New Roman" w:cs="Arial"/>
          <w:color w:val="000000"/>
          <w:lang w:eastAsia="bg-BG"/>
        </w:rPr>
      </w:pPr>
    </w:p>
    <w:p w14:paraId="2DF1DEEE" w14:textId="29556033"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Пациентката трябва да приеме пропуснатата таблетка веднага щом си спомни, дори това да означава прием на две таблетки едновременно. Следващите таблетки се приемат в обичайното време. Необходимо е използването на други бариерни методи като ползване на кондом в следващите 7 дни. В случай на полов контакт в предишните 7 дни не може да се изключи евентуална бременност. Рискът е толкова по-голям, колкото повече таблетки са пропуснати и колкото по-близо до интервала без таблетки са дните, в които това се случва.</w:t>
      </w:r>
    </w:p>
    <w:p w14:paraId="39CB474A" w14:textId="77777777" w:rsidR="005B4161" w:rsidRDefault="005B4161" w:rsidP="005B4161">
      <w:pPr>
        <w:spacing w:line="240" w:lineRule="auto"/>
        <w:rPr>
          <w:rFonts w:eastAsia="Times New Roman" w:cs="Arial"/>
          <w:i/>
          <w:iCs/>
          <w:color w:val="000000"/>
          <w:lang w:eastAsia="bg-BG"/>
        </w:rPr>
      </w:pPr>
    </w:p>
    <w:p w14:paraId="33021B51" w14:textId="13944297"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Втора седмица</w:t>
      </w:r>
    </w:p>
    <w:p w14:paraId="7A1D6984" w14:textId="77777777" w:rsidR="005B4161" w:rsidRDefault="005B4161" w:rsidP="005B4161">
      <w:pPr>
        <w:spacing w:line="240" w:lineRule="auto"/>
        <w:rPr>
          <w:rFonts w:eastAsia="Times New Roman" w:cs="Arial"/>
          <w:color w:val="000000"/>
          <w:lang w:eastAsia="bg-BG"/>
        </w:rPr>
      </w:pPr>
    </w:p>
    <w:p w14:paraId="72DEB782" w14:textId="0DC92F04"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Пациентката трябва да приеме пропуснатата таблетка веднага щом си спомни, дори това да означава прием на две таблетки едновременно. Следващите таблетки се приемат в обичайното време. В случай че жената е взела всички таблетки през първата седмица до деня, в който е пропуснала приема, не се налага употреба на допълнителни контрацептивни методи. Използването на такива в следващите 7 дни е необходимо в случай, че е пропусната повече от една таблетка.</w:t>
      </w:r>
    </w:p>
    <w:p w14:paraId="427E86E5" w14:textId="77777777" w:rsidR="005B4161" w:rsidRDefault="005B4161" w:rsidP="005B4161">
      <w:pPr>
        <w:spacing w:line="240" w:lineRule="auto"/>
        <w:rPr>
          <w:rFonts w:eastAsia="Times New Roman" w:cs="Arial"/>
          <w:i/>
          <w:iCs/>
          <w:color w:val="000000"/>
          <w:lang w:eastAsia="bg-BG"/>
        </w:rPr>
      </w:pPr>
    </w:p>
    <w:p w14:paraId="6532E232" w14:textId="5565EE94" w:rsidR="005B4161" w:rsidRPr="005B4161" w:rsidRDefault="005B4161" w:rsidP="005B4161">
      <w:pPr>
        <w:pStyle w:val="ListParagraph"/>
        <w:numPr>
          <w:ilvl w:val="0"/>
          <w:numId w:val="40"/>
        </w:numPr>
        <w:spacing w:line="240" w:lineRule="auto"/>
        <w:rPr>
          <w:rFonts w:eastAsia="Times New Roman" w:cs="Arial"/>
          <w:i/>
          <w:iCs/>
          <w:color w:val="000000"/>
          <w:lang w:eastAsia="bg-BG"/>
        </w:rPr>
      </w:pPr>
      <w:r w:rsidRPr="005B4161">
        <w:rPr>
          <w:rFonts w:eastAsia="Times New Roman" w:cs="Arial"/>
          <w:i/>
          <w:iCs/>
          <w:color w:val="000000"/>
          <w:lang w:eastAsia="bg-BG"/>
        </w:rPr>
        <w:t>Трета седмица</w:t>
      </w:r>
    </w:p>
    <w:p w14:paraId="443DBAF1" w14:textId="77777777" w:rsidR="005B4161" w:rsidRDefault="005B4161" w:rsidP="005B4161">
      <w:pPr>
        <w:spacing w:line="240" w:lineRule="auto"/>
        <w:rPr>
          <w:rFonts w:eastAsia="Times New Roman" w:cs="Arial"/>
          <w:color w:val="000000"/>
          <w:lang w:eastAsia="bg-BG"/>
        </w:rPr>
      </w:pPr>
    </w:p>
    <w:p w14:paraId="6C1C8EA0" w14:textId="0CD0E068"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Рискът от намаляване на ефективността е много висок поради близостта до интервала без таблетки. Въпреки това, чрез адаптиране на схемата на приема може да се предотврати намалената контрацептивна защита. При спазване на едно от следните две правила не е необходима употребата на допълнителни контрацептивни мерки, ако всичките 7 дни преди първата пропусната таблетка жената е приела правилно всички таблетки. В противен случай, пациентката трябва да бъде посъветвана да спази първото правило и същевременно да използва и допълнителни предпазни мерки в следващите 7 дни.</w:t>
      </w:r>
    </w:p>
    <w:p w14:paraId="6ED73F45" w14:textId="77777777" w:rsidR="005B4161" w:rsidRDefault="005B4161" w:rsidP="005B4161">
      <w:pPr>
        <w:spacing w:line="240" w:lineRule="auto"/>
        <w:rPr>
          <w:rFonts w:eastAsia="Times New Roman" w:cs="Arial"/>
          <w:color w:val="000000"/>
          <w:lang w:eastAsia="bg-BG"/>
        </w:rPr>
      </w:pPr>
    </w:p>
    <w:p w14:paraId="1E9870A3" w14:textId="7124F662" w:rsidR="005B4161" w:rsidRPr="005B4161" w:rsidRDefault="005B4161" w:rsidP="005B4161">
      <w:pPr>
        <w:spacing w:line="240" w:lineRule="auto"/>
        <w:rPr>
          <w:rFonts w:eastAsia="Times New Roman" w:cs="Arial"/>
          <w:color w:val="000000"/>
          <w:lang w:eastAsia="bg-BG"/>
        </w:rPr>
      </w:pPr>
      <w:r>
        <w:rPr>
          <w:rFonts w:eastAsia="Times New Roman" w:cs="Arial"/>
          <w:color w:val="000000"/>
          <w:lang w:eastAsia="bg-BG"/>
        </w:rPr>
        <w:t xml:space="preserve">1. </w:t>
      </w:r>
      <w:r w:rsidRPr="005B4161">
        <w:rPr>
          <w:rFonts w:eastAsia="Times New Roman" w:cs="Arial"/>
          <w:color w:val="000000"/>
          <w:lang w:eastAsia="bg-BG"/>
        </w:rPr>
        <w:t xml:space="preserve">Пациентката трябва да вземе последната пропусната таблетка веднага щом си спомни, дори това да означава да вземе 2 таблетки едновременно. След това приемът трябва да продължи в обичайното време. Щом тази опаковка свърши, веднага се започва следващата, без интервал между тях. В този случай жената ще има редовно кървене в </w:t>
      </w:r>
      <w:r w:rsidRPr="005B4161">
        <w:rPr>
          <w:rFonts w:eastAsia="Times New Roman" w:cs="Arial"/>
          <w:color w:val="000000"/>
          <w:lang w:eastAsia="bg-BG"/>
        </w:rPr>
        <w:lastRenderedPageBreak/>
        <w:t>края на втората опаковка, но може да се появи зацапване или пробивно кървене в дните, в които приема таблетките.</w:t>
      </w:r>
    </w:p>
    <w:p w14:paraId="38C0CC5B" w14:textId="77777777" w:rsidR="005B4161" w:rsidRDefault="005B4161" w:rsidP="005B4161">
      <w:pPr>
        <w:spacing w:line="240" w:lineRule="auto"/>
        <w:rPr>
          <w:rFonts w:eastAsia="Times New Roman" w:cs="Arial"/>
          <w:color w:val="000000"/>
          <w:lang w:eastAsia="bg-BG"/>
        </w:rPr>
      </w:pPr>
    </w:p>
    <w:p w14:paraId="5925CEE4" w14:textId="613B042E" w:rsidR="005B4161" w:rsidRPr="005B4161" w:rsidRDefault="005B4161" w:rsidP="005B4161">
      <w:pPr>
        <w:spacing w:line="240" w:lineRule="auto"/>
        <w:rPr>
          <w:rFonts w:eastAsia="Times New Roman" w:cs="Arial"/>
          <w:color w:val="000000"/>
          <w:lang w:eastAsia="bg-BG"/>
        </w:rPr>
      </w:pPr>
      <w:r>
        <w:rPr>
          <w:rFonts w:eastAsia="Times New Roman" w:cs="Arial"/>
          <w:color w:val="000000"/>
          <w:lang w:eastAsia="bg-BG"/>
        </w:rPr>
        <w:t xml:space="preserve">2. </w:t>
      </w:r>
      <w:r w:rsidRPr="005B4161">
        <w:rPr>
          <w:rFonts w:eastAsia="Times New Roman" w:cs="Arial"/>
          <w:color w:val="000000"/>
          <w:lang w:eastAsia="bg-BG"/>
        </w:rPr>
        <w:t>Жената също може да бъде посъветвана да прекрати приема на таблетки от тази опаковка. След това не трябва да се приемат таблетки до 7 дни, включително деня, в който е пропуснала таблетката, и после да започне нова опаковка.</w:t>
      </w:r>
    </w:p>
    <w:p w14:paraId="68DD058E" w14:textId="77777777" w:rsidR="005B4161" w:rsidRDefault="005B4161" w:rsidP="005B4161">
      <w:pPr>
        <w:spacing w:line="240" w:lineRule="auto"/>
        <w:rPr>
          <w:rFonts w:eastAsia="Times New Roman" w:cs="Arial"/>
          <w:color w:val="000000"/>
          <w:lang w:eastAsia="bg-BG"/>
        </w:rPr>
      </w:pPr>
    </w:p>
    <w:p w14:paraId="1A7EEB14" w14:textId="4F8628EE"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Ако жената е пропуснала таблетки и не получи кървене в първия нормален интервал без таблетки, е необходимо да се изключи евентуална бременност.</w:t>
      </w:r>
    </w:p>
    <w:p w14:paraId="4052B45B" w14:textId="77777777" w:rsidR="005B4161" w:rsidRDefault="005B4161" w:rsidP="005B4161">
      <w:pPr>
        <w:spacing w:line="240" w:lineRule="auto"/>
        <w:rPr>
          <w:rFonts w:eastAsia="Times New Roman" w:cs="Arial"/>
          <w:i/>
          <w:iCs/>
          <w:color w:val="000000"/>
          <w:lang w:eastAsia="bg-BG"/>
        </w:rPr>
      </w:pPr>
    </w:p>
    <w:p w14:paraId="120D2779" w14:textId="2ABD6EDC"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Съвет в случай на гастро-интестинални нарушения</w:t>
      </w:r>
    </w:p>
    <w:p w14:paraId="4729D42C" w14:textId="77777777" w:rsidR="005B4161" w:rsidRDefault="005B4161" w:rsidP="005B4161">
      <w:pPr>
        <w:spacing w:line="240" w:lineRule="auto"/>
        <w:rPr>
          <w:rFonts w:eastAsia="Times New Roman" w:cs="Arial"/>
          <w:color w:val="000000"/>
          <w:lang w:eastAsia="bg-BG"/>
        </w:rPr>
      </w:pPr>
    </w:p>
    <w:p w14:paraId="1DB01231" w14:textId="022B034A"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В случай на тежки гастро-интестинални нарушения абсорбцията може да не е пълна и е необходимо да се предприемат допълнителни контрацептивни мерки.</w:t>
      </w:r>
    </w:p>
    <w:p w14:paraId="3C8E3A4C" w14:textId="77777777" w:rsidR="005B4161" w:rsidRDefault="005B4161" w:rsidP="005B4161">
      <w:pPr>
        <w:rPr>
          <w:rFonts w:eastAsia="Times New Roman" w:cs="Arial"/>
          <w:color w:val="000000"/>
          <w:lang w:eastAsia="bg-BG"/>
        </w:rPr>
      </w:pPr>
    </w:p>
    <w:p w14:paraId="0647D66C" w14:textId="77777777" w:rsidR="005B4161" w:rsidRPr="005B4161" w:rsidRDefault="005B4161" w:rsidP="005B4161">
      <w:pPr>
        <w:rPr>
          <w:rFonts w:eastAsia="Times New Roman" w:cs="Arial"/>
          <w:lang w:eastAsia="bg-BG"/>
        </w:rPr>
      </w:pPr>
      <w:r w:rsidRPr="005B4161">
        <w:rPr>
          <w:rFonts w:eastAsia="Times New Roman" w:cs="Arial"/>
          <w:color w:val="000000"/>
          <w:lang w:eastAsia="bg-BG"/>
        </w:rPr>
        <w:t xml:space="preserve">Ако се появи повръщане 3-4 часа след прием на таблетка, се прилага съвета, даден в раздел </w:t>
      </w:r>
      <w:r w:rsidRPr="005B4161">
        <w:rPr>
          <w:rFonts w:eastAsia="Times New Roman" w:cs="Arial"/>
          <w:i/>
          <w:iCs/>
          <w:color w:val="000000"/>
          <w:lang w:eastAsia="bg-BG"/>
        </w:rPr>
        <w:t>”Пропускане прием на таблетки Ако</w:t>
      </w:r>
      <w:r w:rsidRPr="005B4161">
        <w:rPr>
          <w:rFonts w:eastAsia="Times New Roman" w:cs="Arial"/>
          <w:color w:val="000000"/>
          <w:lang w:eastAsia="bg-BG"/>
        </w:rPr>
        <w:t xml:space="preserve"> жената не иска да промени нормалната схема на прием на</w:t>
      </w:r>
      <w:r>
        <w:rPr>
          <w:rFonts w:eastAsia="Times New Roman" w:cs="Arial"/>
          <w:color w:val="000000"/>
          <w:lang w:eastAsia="bg-BG"/>
        </w:rPr>
        <w:t xml:space="preserve"> </w:t>
      </w:r>
      <w:r w:rsidRPr="005B4161">
        <w:rPr>
          <w:rFonts w:eastAsia="Times New Roman" w:cs="Arial"/>
          <w:color w:val="000000"/>
          <w:lang w:eastAsia="bg-BG"/>
        </w:rPr>
        <w:t>таблетки, тя може да вземе необходимата допълнителна таблетка от друга опаковка.</w:t>
      </w:r>
    </w:p>
    <w:p w14:paraId="438971C4" w14:textId="77777777" w:rsidR="005B4161" w:rsidRDefault="005B4161" w:rsidP="005B4161">
      <w:pPr>
        <w:spacing w:line="240" w:lineRule="auto"/>
        <w:rPr>
          <w:rFonts w:eastAsia="Times New Roman" w:cs="Arial"/>
          <w:i/>
          <w:iCs/>
          <w:color w:val="000000"/>
          <w:lang w:eastAsia="bg-BG"/>
        </w:rPr>
      </w:pPr>
    </w:p>
    <w:p w14:paraId="0CF99DF1" w14:textId="1D2585C4"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Как да се измести или да се отложи менструалното кървене</w:t>
      </w:r>
    </w:p>
    <w:p w14:paraId="0BD309F0" w14:textId="77777777" w:rsidR="005B4161" w:rsidRDefault="005B4161" w:rsidP="005B4161">
      <w:pPr>
        <w:spacing w:line="240" w:lineRule="auto"/>
        <w:rPr>
          <w:rFonts w:eastAsia="Times New Roman" w:cs="Arial"/>
          <w:color w:val="000000"/>
          <w:lang w:eastAsia="bg-BG"/>
        </w:rPr>
      </w:pPr>
    </w:p>
    <w:p w14:paraId="5F2CDC93" w14:textId="0ADE4393"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За да се отложи менструацията, жената трябва да продължи приема на втора опаковка Фемоден без интервал без таблетки между двете. Това удължаване може да продължи колкото е желано до края на втората опаковка. Жената може да получи зацапване или пробивно кървене по това време. Редовният прием на Фемоден започва отново след обичайния 7-дневен интервал без таблетки.</w:t>
      </w:r>
    </w:p>
    <w:p w14:paraId="0577DB21" w14:textId="77777777" w:rsidR="005B4161" w:rsidRDefault="005B4161" w:rsidP="005B4161">
      <w:pPr>
        <w:spacing w:line="240" w:lineRule="auto"/>
        <w:rPr>
          <w:rFonts w:eastAsia="Times New Roman" w:cs="Arial"/>
          <w:color w:val="000000"/>
          <w:lang w:eastAsia="bg-BG"/>
        </w:rPr>
      </w:pPr>
    </w:p>
    <w:p w14:paraId="5716CBD1" w14:textId="3A31041F"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За да се измести менструацията в друг ден от седмицата, жената трябва да съкрати интервала без таблетки с толкова дни, колкото иска. Колкото интервалът е по-кратък, толкова по-голям е рискът тя да не получи кървене след прекъсването и да се появи зацапване или пробивно кървене, докато използва следващата опаковка (подобно на отлагането на менструация).</w:t>
      </w:r>
    </w:p>
    <w:p w14:paraId="39DE4147" w14:textId="77777777" w:rsidR="005B4161" w:rsidRDefault="005B4161" w:rsidP="005B4161">
      <w:pPr>
        <w:spacing w:line="240" w:lineRule="auto"/>
        <w:rPr>
          <w:rFonts w:eastAsia="Times New Roman" w:cs="Arial"/>
          <w:b/>
          <w:bCs/>
          <w:i/>
          <w:iCs/>
          <w:color w:val="000000"/>
          <w:lang w:eastAsia="bg-BG"/>
        </w:rPr>
      </w:pPr>
    </w:p>
    <w:p w14:paraId="2095F7A8" w14:textId="621E2780" w:rsidR="005B4161" w:rsidRPr="005B4161" w:rsidRDefault="005B4161" w:rsidP="005B4161">
      <w:pPr>
        <w:spacing w:line="240" w:lineRule="auto"/>
        <w:rPr>
          <w:rFonts w:eastAsia="Times New Roman" w:cs="Arial"/>
          <w:lang w:eastAsia="bg-BG"/>
        </w:rPr>
      </w:pPr>
      <w:r w:rsidRPr="005B4161">
        <w:rPr>
          <w:rFonts w:eastAsia="Times New Roman" w:cs="Arial"/>
          <w:b/>
          <w:bCs/>
          <w:i/>
          <w:iCs/>
          <w:color w:val="000000"/>
          <w:lang w:eastAsia="bg-BG"/>
        </w:rPr>
        <w:t>Допълнителна информация за специални групи пациенти</w:t>
      </w:r>
    </w:p>
    <w:p w14:paraId="714406D8" w14:textId="77777777" w:rsidR="005B4161" w:rsidRDefault="005B4161" w:rsidP="005B4161">
      <w:pPr>
        <w:spacing w:line="240" w:lineRule="auto"/>
        <w:rPr>
          <w:rFonts w:eastAsia="Times New Roman" w:cs="Arial"/>
          <w:i/>
          <w:iCs/>
          <w:color w:val="000000"/>
          <w:lang w:eastAsia="bg-BG"/>
        </w:rPr>
      </w:pPr>
    </w:p>
    <w:p w14:paraId="344A9CA2" w14:textId="1E7B0A3A"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Девойки (момичета)</w:t>
      </w:r>
    </w:p>
    <w:p w14:paraId="2D67B9F6"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Фемоден се прилага само след менархе.</w:t>
      </w:r>
    </w:p>
    <w:p w14:paraId="54A0B482" w14:textId="77777777" w:rsidR="005B4161" w:rsidRDefault="005B4161" w:rsidP="005B4161">
      <w:pPr>
        <w:spacing w:line="240" w:lineRule="auto"/>
        <w:rPr>
          <w:rFonts w:eastAsia="Times New Roman" w:cs="Arial"/>
          <w:i/>
          <w:iCs/>
          <w:color w:val="000000"/>
          <w:lang w:eastAsia="bg-BG"/>
        </w:rPr>
      </w:pPr>
    </w:p>
    <w:p w14:paraId="7F55D44D" w14:textId="59C77A03"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Пациентки в напреднала възраст</w:t>
      </w:r>
    </w:p>
    <w:p w14:paraId="1ABE882F"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Неприложимо. Фемоден не е показан след менопауза.</w:t>
      </w:r>
    </w:p>
    <w:p w14:paraId="26102C41" w14:textId="77777777" w:rsidR="005B4161" w:rsidRDefault="005B4161" w:rsidP="005B4161">
      <w:pPr>
        <w:spacing w:line="240" w:lineRule="auto"/>
        <w:rPr>
          <w:rFonts w:eastAsia="Times New Roman" w:cs="Arial"/>
          <w:i/>
          <w:iCs/>
          <w:color w:val="000000"/>
          <w:lang w:eastAsia="bg-BG"/>
        </w:rPr>
      </w:pPr>
    </w:p>
    <w:p w14:paraId="1A7B3071" w14:textId="3439BCE3"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Пациентки с чернодробни увреждания</w:t>
      </w:r>
    </w:p>
    <w:p w14:paraId="02FE2FD4"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Фемоден е противопоказан при жени с тежки чернодробни заболявания. Вижте също точка 4.3 Противопоказания.</w:t>
      </w:r>
    </w:p>
    <w:p w14:paraId="711A1B45" w14:textId="77777777" w:rsidR="005B4161" w:rsidRDefault="005B4161" w:rsidP="005B4161">
      <w:pPr>
        <w:spacing w:line="240" w:lineRule="auto"/>
        <w:rPr>
          <w:rFonts w:eastAsia="Times New Roman" w:cs="Arial"/>
          <w:i/>
          <w:iCs/>
          <w:color w:val="000000"/>
          <w:lang w:eastAsia="bg-BG"/>
        </w:rPr>
      </w:pPr>
    </w:p>
    <w:p w14:paraId="6C7D8425" w14:textId="557E80A5"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Пациентки с бъбречни увреждания</w:t>
      </w:r>
    </w:p>
    <w:p w14:paraId="26437F20"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Не са правени специални проучвания на Фемоден при пациентки с бъбречни увреждания. Наличните данни не предполагат промяна на лечението при тази група пациенти.</w:t>
      </w:r>
    </w:p>
    <w:p w14:paraId="21A21A20" w14:textId="77777777" w:rsidR="005B4161" w:rsidRDefault="005B4161" w:rsidP="005B4161">
      <w:pPr>
        <w:spacing w:line="240" w:lineRule="auto"/>
        <w:rPr>
          <w:rFonts w:eastAsia="Times New Roman" w:cs="Arial"/>
          <w:color w:val="000000"/>
          <w:u w:val="single"/>
          <w:lang w:eastAsia="bg-BG"/>
        </w:rPr>
      </w:pPr>
    </w:p>
    <w:p w14:paraId="0670A69A" w14:textId="11952466" w:rsidR="005B4161" w:rsidRPr="005B4161" w:rsidRDefault="005B4161" w:rsidP="005B4161">
      <w:pPr>
        <w:pStyle w:val="Heading3"/>
        <w:rPr>
          <w:rFonts w:eastAsia="Times New Roman"/>
          <w:u w:val="single"/>
          <w:lang w:eastAsia="bg-BG"/>
        </w:rPr>
      </w:pPr>
      <w:r w:rsidRPr="005B4161">
        <w:rPr>
          <w:rFonts w:eastAsia="Times New Roman"/>
          <w:u w:val="single"/>
          <w:lang w:eastAsia="bg-BG"/>
        </w:rPr>
        <w:lastRenderedPageBreak/>
        <w:t>Начин на приложение</w:t>
      </w:r>
    </w:p>
    <w:p w14:paraId="04F4E1AA" w14:textId="77777777" w:rsidR="005B4161" w:rsidRDefault="005B4161" w:rsidP="005B4161">
      <w:pPr>
        <w:spacing w:line="240" w:lineRule="auto"/>
        <w:rPr>
          <w:rFonts w:eastAsia="Times New Roman" w:cs="Arial"/>
          <w:color w:val="000000"/>
          <w:lang w:eastAsia="bg-BG"/>
        </w:rPr>
      </w:pPr>
    </w:p>
    <w:p w14:paraId="2AB4095C" w14:textId="62D0F286"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Перорално приложение</w:t>
      </w:r>
    </w:p>
    <w:p w14:paraId="35D7C2DA" w14:textId="57D7D6BA" w:rsidR="005B4161" w:rsidRPr="005B4161" w:rsidRDefault="005B4161" w:rsidP="005B4161">
      <w:pPr>
        <w:rPr>
          <w:rFonts w:cs="Arial"/>
        </w:rPr>
      </w:pPr>
    </w:p>
    <w:p w14:paraId="5D9E65DA" w14:textId="444A405E" w:rsidR="009F77A4" w:rsidRDefault="002C50EE" w:rsidP="00387A66">
      <w:pPr>
        <w:pStyle w:val="Heading2"/>
      </w:pPr>
      <w:r>
        <w:t>4.3. Противопоказания</w:t>
      </w:r>
    </w:p>
    <w:p w14:paraId="6F943D8C" w14:textId="250A172D" w:rsidR="005B4161" w:rsidRDefault="005B4161" w:rsidP="005B4161"/>
    <w:p w14:paraId="343A8351"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Комбинирани хормонални контрацептиви (КХК) не трябва да се използват при следните състояния. Ако някой от тях се появи за пръв път по време на употреба на КХК, съответният продукт трябва да бъде спрян незабавно.</w:t>
      </w:r>
    </w:p>
    <w:p w14:paraId="52FA6EE9" w14:textId="77777777" w:rsidR="005B4161" w:rsidRDefault="005B4161" w:rsidP="005B4161">
      <w:pPr>
        <w:spacing w:line="240" w:lineRule="auto"/>
        <w:rPr>
          <w:rFonts w:eastAsia="Times New Roman" w:cs="Arial"/>
          <w:color w:val="000000"/>
          <w:lang w:eastAsia="bg-BG"/>
        </w:rPr>
      </w:pPr>
    </w:p>
    <w:p w14:paraId="43CC776B" w14:textId="01A93247" w:rsidR="005B4161" w:rsidRP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Наличие на или риск от венозна тромбоемболия (ВТЕ)</w:t>
      </w:r>
    </w:p>
    <w:p w14:paraId="10647470" w14:textId="77777777" w:rsidR="005B4161" w:rsidRPr="005B4161" w:rsidRDefault="005B4161" w:rsidP="005B4161">
      <w:pPr>
        <w:pStyle w:val="ListParagraph"/>
        <w:numPr>
          <w:ilvl w:val="0"/>
          <w:numId w:val="42"/>
        </w:numPr>
        <w:spacing w:line="240" w:lineRule="auto"/>
        <w:rPr>
          <w:rFonts w:eastAsia="Times New Roman" w:cs="Arial"/>
          <w:lang w:eastAsia="bg-BG"/>
        </w:rPr>
      </w:pPr>
      <w:r w:rsidRPr="005B4161">
        <w:rPr>
          <w:rFonts w:eastAsia="Times New Roman" w:cs="Arial"/>
          <w:color w:val="000000"/>
          <w:lang w:eastAsia="bg-BG"/>
        </w:rPr>
        <w:t>Венозна тромбоемболия — настояща ВТЕ (на антикоагуланти) или анамнеза за такава (напр. дълбока венозна тромбоза [ДВТ] или белодробна емболия [БЕ])</w:t>
      </w:r>
    </w:p>
    <w:p w14:paraId="3D5EC565" w14:textId="77777777" w:rsidR="005B4161" w:rsidRPr="005B4161" w:rsidRDefault="005B4161" w:rsidP="005B4161">
      <w:pPr>
        <w:pStyle w:val="ListParagraph"/>
        <w:numPr>
          <w:ilvl w:val="0"/>
          <w:numId w:val="42"/>
        </w:numPr>
        <w:spacing w:line="240" w:lineRule="auto"/>
        <w:rPr>
          <w:rFonts w:eastAsia="Times New Roman" w:cs="Arial"/>
          <w:lang w:eastAsia="bg-BG"/>
        </w:rPr>
      </w:pPr>
      <w:r w:rsidRPr="005B4161">
        <w:rPr>
          <w:rFonts w:eastAsia="Times New Roman" w:cs="Arial"/>
          <w:color w:val="000000"/>
          <w:lang w:eastAsia="bg-BG"/>
        </w:rPr>
        <w:t xml:space="preserve">Известно наследствено или придобито предразположние към венозна тромбоемболия, като резистентност към активиран протеин С (АРС) (включително фактор V на </w:t>
      </w:r>
      <w:r w:rsidRPr="005B4161">
        <w:rPr>
          <w:rFonts w:eastAsia="Times New Roman" w:cs="Arial"/>
          <w:color w:val="000000"/>
          <w:lang w:val="en-US"/>
        </w:rPr>
        <w:t xml:space="preserve">Leiden), </w:t>
      </w:r>
      <w:r w:rsidRPr="005B4161">
        <w:rPr>
          <w:rFonts w:eastAsia="Times New Roman" w:cs="Arial"/>
          <w:color w:val="000000"/>
          <w:lang w:eastAsia="bg-BG"/>
        </w:rPr>
        <w:t xml:space="preserve">дефицит на антитромбин III, дефицит на протеин С, дефицит на протеин </w:t>
      </w:r>
      <w:r w:rsidRPr="005B4161">
        <w:rPr>
          <w:rFonts w:eastAsia="Times New Roman" w:cs="Arial"/>
          <w:color w:val="000000"/>
          <w:lang w:val="en-US"/>
        </w:rPr>
        <w:t>S</w:t>
      </w:r>
    </w:p>
    <w:p w14:paraId="34CF6B03" w14:textId="77777777" w:rsidR="005B4161" w:rsidRPr="005B4161" w:rsidRDefault="005B4161" w:rsidP="005B4161">
      <w:pPr>
        <w:pStyle w:val="ListParagraph"/>
        <w:numPr>
          <w:ilvl w:val="0"/>
          <w:numId w:val="42"/>
        </w:numPr>
        <w:spacing w:line="240" w:lineRule="auto"/>
        <w:rPr>
          <w:rFonts w:eastAsia="Times New Roman" w:cs="Arial"/>
          <w:lang w:eastAsia="bg-BG"/>
        </w:rPr>
      </w:pPr>
      <w:r w:rsidRPr="005B4161">
        <w:rPr>
          <w:rFonts w:eastAsia="Times New Roman" w:cs="Arial"/>
          <w:color w:val="000000"/>
          <w:lang w:eastAsia="bg-BG"/>
        </w:rPr>
        <w:t>Голяма хирургична намеса с продължителна имобилизация (вж. точка 4.4)</w:t>
      </w:r>
    </w:p>
    <w:p w14:paraId="0F27E1CE" w14:textId="14491EF8" w:rsidR="005B4161" w:rsidRPr="005B4161" w:rsidRDefault="005B4161" w:rsidP="005B4161">
      <w:pPr>
        <w:pStyle w:val="ListParagraph"/>
        <w:numPr>
          <w:ilvl w:val="0"/>
          <w:numId w:val="42"/>
        </w:numPr>
        <w:spacing w:line="240" w:lineRule="auto"/>
        <w:rPr>
          <w:rFonts w:eastAsia="Times New Roman" w:cs="Arial"/>
          <w:lang w:eastAsia="bg-BG"/>
        </w:rPr>
      </w:pPr>
      <w:r w:rsidRPr="005B4161">
        <w:rPr>
          <w:rFonts w:eastAsia="Times New Roman" w:cs="Arial"/>
          <w:color w:val="000000"/>
          <w:lang w:eastAsia="bg-BG"/>
        </w:rPr>
        <w:t>Висок риск за венозна тромбоемболия вследствие на наличие на множество рискови фактори (вж. точка 4.4)</w:t>
      </w:r>
    </w:p>
    <w:p w14:paraId="5435D181" w14:textId="73EA3E1A" w:rsidR="005B4161" w:rsidRDefault="005B4161" w:rsidP="005B4161">
      <w:pPr>
        <w:spacing w:line="240" w:lineRule="auto"/>
        <w:rPr>
          <w:rFonts w:eastAsia="Times New Roman" w:cs="Arial"/>
          <w:lang w:eastAsia="bg-BG"/>
        </w:rPr>
      </w:pPr>
    </w:p>
    <w:p w14:paraId="6370E606" w14:textId="14430EF6" w:rsidR="005B4161" w:rsidRPr="005B4161" w:rsidRDefault="005B4161" w:rsidP="005B4161">
      <w:pPr>
        <w:pStyle w:val="ListParagraph"/>
        <w:numPr>
          <w:ilvl w:val="0"/>
          <w:numId w:val="40"/>
        </w:numPr>
        <w:spacing w:line="240" w:lineRule="auto"/>
        <w:rPr>
          <w:rFonts w:eastAsia="Times New Roman" w:cs="Arial"/>
          <w:lang w:eastAsia="bg-BG"/>
        </w:rPr>
      </w:pPr>
      <w:r w:rsidRPr="005B4161">
        <w:rPr>
          <w:rFonts w:eastAsia="Times New Roman" w:cs="Arial"/>
          <w:color w:val="000000"/>
          <w:lang w:eastAsia="bg-BG"/>
        </w:rPr>
        <w:t>Наличие на или риск от артериална тромбоемболия (АТЕ)</w:t>
      </w:r>
    </w:p>
    <w:p w14:paraId="4FC5925D" w14:textId="77777777" w:rsidR="005B4161" w:rsidRPr="005B4161" w:rsidRDefault="005B4161" w:rsidP="005B4161">
      <w:pPr>
        <w:pStyle w:val="ListParagraph"/>
        <w:numPr>
          <w:ilvl w:val="0"/>
          <w:numId w:val="43"/>
        </w:numPr>
        <w:spacing w:line="240" w:lineRule="auto"/>
        <w:rPr>
          <w:rFonts w:eastAsia="Times New Roman" w:cs="Arial"/>
          <w:lang w:eastAsia="bg-BG"/>
        </w:rPr>
      </w:pPr>
      <w:r w:rsidRPr="005B4161">
        <w:rPr>
          <w:rFonts w:eastAsia="Times New Roman" w:cs="Arial"/>
          <w:color w:val="000000"/>
          <w:lang w:eastAsia="bg-BG"/>
        </w:rPr>
        <w:t>Артериална тромбоемболия - настояща артериална тромбоемболия, анамнеза за артериална тромбоемболия (напр. инфаркт на миокарда) или продромално състояние (напр. стенокардия)</w:t>
      </w:r>
    </w:p>
    <w:p w14:paraId="4CDE3E29" w14:textId="77777777" w:rsidR="005B4161" w:rsidRPr="005B4161" w:rsidRDefault="005B4161" w:rsidP="005B4161">
      <w:pPr>
        <w:pStyle w:val="ListParagraph"/>
        <w:numPr>
          <w:ilvl w:val="0"/>
          <w:numId w:val="43"/>
        </w:numPr>
        <w:spacing w:line="240" w:lineRule="auto"/>
        <w:rPr>
          <w:rFonts w:eastAsia="Times New Roman" w:cs="Arial"/>
          <w:lang w:eastAsia="bg-BG"/>
        </w:rPr>
      </w:pPr>
      <w:r w:rsidRPr="005B4161">
        <w:rPr>
          <w:rFonts w:eastAsia="Times New Roman" w:cs="Arial"/>
          <w:color w:val="000000"/>
          <w:lang w:eastAsia="bg-BG"/>
        </w:rPr>
        <w:t xml:space="preserve">Мозъчно-съдова болест - настоящ </w:t>
      </w:r>
      <w:r w:rsidRPr="005B4161">
        <w:rPr>
          <w:rFonts w:eastAsia="Times New Roman" w:cs="Arial"/>
          <w:i/>
          <w:iCs/>
          <w:color w:val="000000"/>
          <w:lang w:eastAsia="bg-BG"/>
        </w:rPr>
        <w:t>инсулт, анамнеза за</w:t>
      </w:r>
      <w:r w:rsidRPr="005B4161">
        <w:rPr>
          <w:rFonts w:eastAsia="Times New Roman" w:cs="Arial"/>
          <w:color w:val="000000"/>
          <w:lang w:eastAsia="bg-BG"/>
        </w:rPr>
        <w:t xml:space="preserve"> инсулт или продромално състояние (напр. преходна исхемична атака, ПИА)</w:t>
      </w:r>
    </w:p>
    <w:p w14:paraId="20A2F444" w14:textId="77777777" w:rsidR="005B4161" w:rsidRPr="005B4161" w:rsidRDefault="005B4161" w:rsidP="005B4161">
      <w:pPr>
        <w:pStyle w:val="ListParagraph"/>
        <w:numPr>
          <w:ilvl w:val="0"/>
          <w:numId w:val="43"/>
        </w:numPr>
        <w:spacing w:line="240" w:lineRule="auto"/>
        <w:rPr>
          <w:rFonts w:eastAsia="Times New Roman" w:cs="Arial"/>
          <w:lang w:eastAsia="bg-BG"/>
        </w:rPr>
      </w:pPr>
      <w:r w:rsidRPr="005B4161">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антифосфолипидни антитела (антикардиолипинови антитела, лупусен антикоагулант).</w:t>
      </w:r>
    </w:p>
    <w:p w14:paraId="79D7677A" w14:textId="77777777" w:rsidR="005B4161" w:rsidRPr="005B4161" w:rsidRDefault="005B4161" w:rsidP="005B4161">
      <w:pPr>
        <w:pStyle w:val="ListParagraph"/>
        <w:numPr>
          <w:ilvl w:val="0"/>
          <w:numId w:val="43"/>
        </w:numPr>
        <w:spacing w:line="240" w:lineRule="auto"/>
        <w:rPr>
          <w:rFonts w:eastAsia="Times New Roman" w:cs="Arial"/>
          <w:lang w:eastAsia="bg-BG"/>
        </w:rPr>
      </w:pPr>
      <w:r w:rsidRPr="005B4161">
        <w:rPr>
          <w:rFonts w:eastAsia="Times New Roman" w:cs="Arial"/>
          <w:color w:val="000000"/>
          <w:lang w:eastAsia="bg-BG"/>
        </w:rPr>
        <w:t>Анамнеза за мигрена с фокални неврологични симптоми.</w:t>
      </w:r>
    </w:p>
    <w:p w14:paraId="77D1E97D" w14:textId="2AD2F395" w:rsidR="005B4161" w:rsidRPr="005B4161" w:rsidRDefault="005B4161" w:rsidP="005B4161">
      <w:pPr>
        <w:pStyle w:val="ListParagraph"/>
        <w:numPr>
          <w:ilvl w:val="0"/>
          <w:numId w:val="43"/>
        </w:numPr>
        <w:spacing w:line="240" w:lineRule="auto"/>
        <w:rPr>
          <w:rFonts w:eastAsia="Times New Roman" w:cs="Arial"/>
          <w:lang w:eastAsia="bg-BG"/>
        </w:rPr>
      </w:pPr>
      <w:r w:rsidRPr="005B4161">
        <w:rPr>
          <w:rFonts w:eastAsia="Times New Roman" w:cs="Arial"/>
          <w:color w:val="000000"/>
          <w:lang w:eastAsia="bg-BG"/>
        </w:rPr>
        <w:t>Висок риск от артериална тромбоемболия вследствие на множество рискови фактори (вж. точка 4.4) или на наличието на един сериозен рисков фактор, като например:</w:t>
      </w:r>
    </w:p>
    <w:p w14:paraId="7CB3E77A"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захарен диабет със съдови симптоми</w:t>
      </w:r>
    </w:p>
    <w:p w14:paraId="7F7E97A6"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тежка хипертония</w:t>
      </w:r>
    </w:p>
    <w:p w14:paraId="2C39A2A3"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тежка дислипопротеинемия</w:t>
      </w:r>
    </w:p>
    <w:p w14:paraId="4A61C239"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Тежко чернодробно заболяване, при което функционалните чернодробни показатели не са се нормализирали;</w:t>
      </w:r>
    </w:p>
    <w:p w14:paraId="5AEF2285"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Наличие или анамнеза за тумори на черния дроб (доброкачествени или злокачествени) или анамнеза за такива;</w:t>
      </w:r>
    </w:p>
    <w:p w14:paraId="13373339"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Известни или подозирани злокачествени тумори, зависими от половите хормони (напр. на гениталните органи или на гърдата);</w:t>
      </w:r>
    </w:p>
    <w:p w14:paraId="52CE78C9"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Вагинално кървене с неизяснен произход;</w:t>
      </w:r>
    </w:p>
    <w:p w14:paraId="3CCEF861" w14:textId="77777777" w:rsid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Известна или подозирана бременност;</w:t>
      </w:r>
    </w:p>
    <w:p w14:paraId="58695722" w14:textId="14B9F3E9" w:rsidR="005B4161" w:rsidRPr="005B4161" w:rsidRDefault="005B4161" w:rsidP="005B4161">
      <w:pPr>
        <w:pStyle w:val="ListParagraph"/>
        <w:numPr>
          <w:ilvl w:val="0"/>
          <w:numId w:val="40"/>
        </w:numPr>
        <w:spacing w:line="240" w:lineRule="auto"/>
        <w:rPr>
          <w:rFonts w:eastAsia="Times New Roman" w:cs="Arial"/>
          <w:color w:val="000000"/>
          <w:lang w:eastAsia="bg-BG"/>
        </w:rPr>
      </w:pPr>
      <w:r w:rsidRPr="005B4161">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65DE7AB7" w14:textId="77777777" w:rsidR="005B4161" w:rsidRDefault="005B4161" w:rsidP="005B4161">
      <w:pPr>
        <w:spacing w:line="240" w:lineRule="auto"/>
        <w:rPr>
          <w:rFonts w:eastAsia="Times New Roman" w:cs="Arial"/>
          <w:color w:val="000000"/>
          <w:lang w:eastAsia="bg-BG"/>
        </w:rPr>
      </w:pPr>
    </w:p>
    <w:p w14:paraId="5C4090F0" w14:textId="57BC1780"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lastRenderedPageBreak/>
        <w:t>Фемоден е противопоказан за едновременна употреба с лекарствените продукти, съдържащи омбитасвир/паритапревир/ритонавир и дасабувир (вж. точки 4.4 и 4.5).</w:t>
      </w:r>
    </w:p>
    <w:p w14:paraId="7C5D53F8" w14:textId="77777777" w:rsidR="005B4161" w:rsidRPr="005B4161" w:rsidRDefault="005B4161" w:rsidP="005B4161">
      <w:pPr>
        <w:spacing w:line="240" w:lineRule="auto"/>
        <w:rPr>
          <w:rFonts w:eastAsia="Times New Roman" w:cs="Arial"/>
          <w:lang w:eastAsia="bg-BG"/>
        </w:rPr>
      </w:pPr>
    </w:p>
    <w:p w14:paraId="1C27CE53" w14:textId="2316A9EE" w:rsidR="009F77A4" w:rsidRDefault="002C50EE" w:rsidP="00387A66">
      <w:pPr>
        <w:pStyle w:val="Heading2"/>
      </w:pPr>
      <w:r>
        <w:t>4.4. Специални предупреждения и предпазни мерки при употреба</w:t>
      </w:r>
    </w:p>
    <w:p w14:paraId="3781D512" w14:textId="0AD7E391" w:rsidR="005B4161" w:rsidRDefault="005B4161" w:rsidP="005B4161"/>
    <w:p w14:paraId="6125EC97" w14:textId="77777777" w:rsidR="005B4161" w:rsidRPr="005B4161" w:rsidRDefault="005B4161" w:rsidP="005B4161">
      <w:pPr>
        <w:spacing w:line="240" w:lineRule="auto"/>
        <w:rPr>
          <w:rFonts w:eastAsia="Times New Roman" w:cs="Arial"/>
          <w:lang w:eastAsia="bg-BG"/>
        </w:rPr>
      </w:pPr>
      <w:r w:rsidRPr="005B4161">
        <w:rPr>
          <w:rFonts w:eastAsia="Times New Roman" w:cs="Arial"/>
          <w:b/>
          <w:bCs/>
          <w:i/>
          <w:iCs/>
          <w:color w:val="000000"/>
          <w:u w:val="single"/>
          <w:lang w:eastAsia="bg-BG"/>
        </w:rPr>
        <w:t>Предупреждения</w:t>
      </w:r>
    </w:p>
    <w:p w14:paraId="49CE5A62" w14:textId="77777777" w:rsidR="005B4161" w:rsidRDefault="005B4161" w:rsidP="005B4161">
      <w:pPr>
        <w:spacing w:line="240" w:lineRule="auto"/>
        <w:rPr>
          <w:rFonts w:eastAsia="Times New Roman" w:cs="Arial"/>
          <w:i/>
          <w:iCs/>
          <w:color w:val="000000"/>
          <w:lang w:eastAsia="bg-BG"/>
        </w:rPr>
      </w:pPr>
    </w:p>
    <w:p w14:paraId="06F23606" w14:textId="4F45F4D4" w:rsidR="005B4161" w:rsidRPr="005B4161" w:rsidRDefault="005B4161" w:rsidP="005B4161">
      <w:pPr>
        <w:spacing w:line="240" w:lineRule="auto"/>
        <w:rPr>
          <w:rFonts w:eastAsia="Times New Roman" w:cs="Arial"/>
          <w:lang w:eastAsia="bg-BG"/>
        </w:rPr>
      </w:pPr>
      <w:r w:rsidRPr="005B4161">
        <w:rPr>
          <w:rFonts w:eastAsia="Times New Roman" w:cs="Arial"/>
          <w:i/>
          <w:iCs/>
          <w:color w:val="000000"/>
          <w:lang w:eastAsia="bg-BG"/>
        </w:rPr>
        <w:t>Ако е</w:t>
      </w:r>
      <w:r w:rsidRPr="005B4161">
        <w:rPr>
          <w:rFonts w:eastAsia="Times New Roman" w:cs="Arial"/>
          <w:color w:val="000000"/>
          <w:lang w:eastAsia="bg-BG"/>
        </w:rPr>
        <w:t xml:space="preserve"> налично някое от споменатите по-долу състояния или рискови фактори, трябва да се обсъди с жената дали Фемоден е подходящ.</w:t>
      </w:r>
    </w:p>
    <w:p w14:paraId="150F3D81"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В случай на влошаване или първа поява на някое от тези състояния или рискови фактори, жената трябва да бъде посъветвана да се свърже със своя лекар, за да се определи дали употребата на Фемоден трябва да се прекрати.</w:t>
      </w:r>
    </w:p>
    <w:p w14:paraId="7AE59B7D" w14:textId="77777777" w:rsidR="005B4161" w:rsidRDefault="005B4161" w:rsidP="005B4161">
      <w:pPr>
        <w:spacing w:line="240" w:lineRule="auto"/>
        <w:rPr>
          <w:rFonts w:eastAsia="Times New Roman" w:cs="Arial"/>
          <w:color w:val="000000"/>
          <w:lang w:eastAsia="bg-BG"/>
        </w:rPr>
      </w:pPr>
    </w:p>
    <w:p w14:paraId="04B72F9F" w14:textId="0C6E34A0"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В случай на подозирана или потвърдена ВТЕ или АТЕ, употребата на КХК трябва да се преустанови. В случай че е започната терапия с антикоагуланти, трябва да бъде започната адекватна алтернативна контрацепция, поради тератогенността на антикоагулантната терапия (кумарини).</w:t>
      </w:r>
    </w:p>
    <w:p w14:paraId="0B1103EB" w14:textId="77777777" w:rsidR="005B4161" w:rsidRDefault="005B4161" w:rsidP="005B4161">
      <w:pPr>
        <w:spacing w:line="240" w:lineRule="auto"/>
        <w:rPr>
          <w:rFonts w:eastAsia="Times New Roman" w:cs="Arial"/>
          <w:color w:val="000000"/>
          <w:lang w:eastAsia="bg-BG"/>
        </w:rPr>
      </w:pPr>
    </w:p>
    <w:p w14:paraId="02AA8B42" w14:textId="03B67E1E" w:rsidR="005B4161" w:rsidRPr="005B4161" w:rsidRDefault="005B4161" w:rsidP="005B4161">
      <w:pPr>
        <w:pStyle w:val="ListParagraph"/>
        <w:numPr>
          <w:ilvl w:val="0"/>
          <w:numId w:val="44"/>
        </w:numPr>
        <w:spacing w:line="240" w:lineRule="auto"/>
        <w:rPr>
          <w:rFonts w:eastAsia="Times New Roman" w:cs="Arial"/>
          <w:lang w:eastAsia="bg-BG"/>
        </w:rPr>
      </w:pPr>
      <w:r w:rsidRPr="005B4161">
        <w:rPr>
          <w:rFonts w:eastAsia="Times New Roman" w:cs="Arial"/>
          <w:color w:val="000000"/>
          <w:lang w:eastAsia="bg-BG"/>
        </w:rPr>
        <w:t>Циркулаторни нарушения</w:t>
      </w:r>
    </w:p>
    <w:p w14:paraId="066269B6" w14:textId="77777777" w:rsidR="005B4161" w:rsidRDefault="005B4161" w:rsidP="005B4161">
      <w:pPr>
        <w:spacing w:line="240" w:lineRule="auto"/>
        <w:rPr>
          <w:rFonts w:eastAsia="Times New Roman" w:cs="Arial"/>
          <w:b/>
          <w:bCs/>
          <w:color w:val="000000"/>
          <w:lang w:eastAsia="bg-BG"/>
        </w:rPr>
      </w:pPr>
      <w:bookmarkStart w:id="1" w:name="bookmark0"/>
    </w:p>
    <w:p w14:paraId="63AD01B2" w14:textId="3A3E62D5" w:rsidR="005B4161" w:rsidRPr="005B4161" w:rsidRDefault="005B4161" w:rsidP="005B4161">
      <w:pPr>
        <w:spacing w:line="240" w:lineRule="auto"/>
        <w:rPr>
          <w:rFonts w:eastAsia="Times New Roman" w:cs="Arial"/>
          <w:lang w:eastAsia="bg-BG"/>
        </w:rPr>
      </w:pPr>
      <w:r w:rsidRPr="005B4161">
        <w:rPr>
          <w:rFonts w:eastAsia="Times New Roman" w:cs="Arial"/>
          <w:b/>
          <w:bCs/>
          <w:color w:val="000000"/>
          <w:lang w:eastAsia="bg-BG"/>
        </w:rPr>
        <w:t xml:space="preserve">Риск от венозна тромбоемболия </w:t>
      </w:r>
      <w:r w:rsidRPr="005B4161">
        <w:rPr>
          <w:rFonts w:eastAsia="Times New Roman" w:cs="Arial"/>
          <w:b/>
          <w:bCs/>
          <w:i/>
          <w:iCs/>
          <w:color w:val="000000"/>
          <w:lang w:eastAsia="bg-BG"/>
        </w:rPr>
        <w:t>(ВТЕ)</w:t>
      </w:r>
      <w:bookmarkEnd w:id="1"/>
    </w:p>
    <w:p w14:paraId="613EC283" w14:textId="77777777" w:rsidR="005B4161" w:rsidRPr="005B4161" w:rsidRDefault="005B4161" w:rsidP="005B4161">
      <w:pPr>
        <w:rPr>
          <w:rFonts w:eastAsia="Times New Roman" w:cs="Arial"/>
          <w:lang w:eastAsia="bg-BG"/>
        </w:rPr>
      </w:pPr>
      <w:r w:rsidRPr="005B4161">
        <w:rPr>
          <w:rFonts w:eastAsia="Times New Roman" w:cs="Arial"/>
          <w:color w:val="000000"/>
          <w:lang w:eastAsia="bg-BG"/>
        </w:rPr>
        <w:t>Употребата на всеки комбиниран хормонален контрацептив (КХК) повишава риска от венозна тромбоемболия (ВТЕ) в сравнение с този при лицата, които не употребяват КХК. Продукти, които</w:t>
      </w:r>
      <w:r w:rsidRPr="005B4161">
        <w:rPr>
          <w:rFonts w:eastAsia="Times New Roman" w:cs="Arial"/>
          <w:b/>
          <w:bCs/>
          <w:color w:val="000000"/>
          <w:lang w:eastAsia="bg-BG"/>
        </w:rPr>
        <w:t xml:space="preserve"> съдържат левоноргестрел, норгестимат или норетистерон, са свързани с най-ниския риск от</w:t>
      </w:r>
      <w:r>
        <w:rPr>
          <w:rFonts w:eastAsia="Times New Roman" w:cs="Arial"/>
          <w:b/>
          <w:bCs/>
          <w:color w:val="000000"/>
          <w:lang w:eastAsia="bg-BG"/>
        </w:rPr>
        <w:t xml:space="preserve"> </w:t>
      </w:r>
      <w:r w:rsidRPr="005B4161">
        <w:rPr>
          <w:rFonts w:eastAsia="Times New Roman" w:cs="Arial"/>
          <w:b/>
          <w:bCs/>
          <w:color w:val="000000"/>
          <w:lang w:eastAsia="bg-BG"/>
        </w:rPr>
        <w:t>ВТЕ. Други продукти, като Фемоден могат да носят до два пъти по-голям риск. Решението за употреба на всеки продукт, различен от някой от тези с най-нисък риск от ВТЕ, трябва да се взема само след обсъждане с жената, за да се гарантира, че тя разбира риска от ВТЕ при Фемоден, как нейните настоящи рискови фактори влияят върху този риск и това, че рискът от ВТЕ е най-висок в първата година на употреба. Има също известни данни, че рискът се увеличава, когато приемът на КХК започне отново след прекъсване на употреба от 4 седмици или повече.</w:t>
      </w:r>
    </w:p>
    <w:p w14:paraId="567FEEC1" w14:textId="77777777" w:rsidR="005B4161" w:rsidRDefault="005B4161" w:rsidP="005B4161">
      <w:pPr>
        <w:spacing w:line="240" w:lineRule="auto"/>
        <w:rPr>
          <w:rFonts w:eastAsia="Times New Roman" w:cs="Arial"/>
          <w:color w:val="000000"/>
          <w:lang w:eastAsia="bg-BG"/>
        </w:rPr>
      </w:pPr>
    </w:p>
    <w:p w14:paraId="3FB8F43B" w14:textId="64456D53"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по-висок, в зависимост от нейните съществуващи рискови фактори (вж. по-долу).</w:t>
      </w:r>
    </w:p>
    <w:p w14:paraId="357E50B4"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Изчислено е,</w:t>
      </w:r>
      <w:r w:rsidRPr="005B4161">
        <w:rPr>
          <w:rFonts w:eastAsia="Times New Roman" w:cs="Arial"/>
          <w:color w:val="000000"/>
          <w:vertAlign w:val="superscript"/>
          <w:lang w:eastAsia="bg-BG"/>
        </w:rPr>
        <w:t>1</w:t>
      </w:r>
      <w:r w:rsidRPr="005B4161">
        <w:rPr>
          <w:rFonts w:eastAsia="Times New Roman" w:cs="Arial"/>
          <w:color w:val="000000"/>
          <w:lang w:eastAsia="bg-BG"/>
        </w:rPr>
        <w:t xml:space="preserve"> че от 10 000 жени, които използват КХК, съдържащи гестоден, между 9 и 12 жени ще развият ВТЕ в рамките на една година; това е сравнимо с около 6</w:t>
      </w:r>
      <w:r w:rsidRPr="005B4161">
        <w:rPr>
          <w:rFonts w:eastAsia="Times New Roman" w:cs="Arial"/>
          <w:color w:val="000000"/>
          <w:vertAlign w:val="superscript"/>
          <w:lang w:eastAsia="bg-BG"/>
        </w:rPr>
        <w:t>2</w:t>
      </w:r>
      <w:r w:rsidRPr="005B4161">
        <w:rPr>
          <w:rFonts w:eastAsia="Times New Roman" w:cs="Arial"/>
          <w:color w:val="000000"/>
          <w:lang w:eastAsia="bg-BG"/>
        </w:rPr>
        <w:t xml:space="preserve"> при жени, които използват КХК, съдържащи левоноргестрел.</w:t>
      </w:r>
    </w:p>
    <w:p w14:paraId="49EAD7FD"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И в двата случая, броят на случаите на ВТЕ годишно е по-малък от броя, очакван при жени по време на бременност или в следродилния период.</w:t>
      </w:r>
    </w:p>
    <w:p w14:paraId="516CF381" w14:textId="77777777" w:rsidR="005B4161" w:rsidRPr="005B4161" w:rsidRDefault="005B4161" w:rsidP="005B4161">
      <w:pPr>
        <w:spacing w:line="240" w:lineRule="auto"/>
        <w:rPr>
          <w:rFonts w:eastAsia="Times New Roman" w:cs="Arial"/>
          <w:lang w:eastAsia="bg-BG"/>
        </w:rPr>
      </w:pPr>
      <w:r w:rsidRPr="005B4161">
        <w:rPr>
          <w:rFonts w:eastAsia="Times New Roman" w:cs="Arial"/>
          <w:color w:val="000000"/>
          <w:lang w:eastAsia="bg-BG"/>
        </w:rPr>
        <w:t>ВТЕ може да бъде фатален в 1 -2% от случаите.</w:t>
      </w:r>
    </w:p>
    <w:p w14:paraId="1D843D24" w14:textId="77777777" w:rsidR="005B4161" w:rsidRDefault="005B4161" w:rsidP="005B4161">
      <w:pPr>
        <w:spacing w:line="240" w:lineRule="auto"/>
        <w:rPr>
          <w:rFonts w:eastAsia="Times New Roman" w:cs="Arial"/>
          <w:b/>
          <w:bCs/>
          <w:color w:val="000000"/>
          <w:lang w:eastAsia="bg-BG"/>
        </w:rPr>
      </w:pPr>
    </w:p>
    <w:p w14:paraId="5BC67999" w14:textId="04F747A5" w:rsidR="005B4161" w:rsidRPr="005B4161" w:rsidRDefault="005B4161" w:rsidP="005B4161">
      <w:pPr>
        <w:spacing w:line="240" w:lineRule="auto"/>
        <w:rPr>
          <w:rFonts w:eastAsia="Times New Roman" w:cs="Arial"/>
          <w:lang w:eastAsia="bg-BG"/>
        </w:rPr>
      </w:pPr>
      <w:r w:rsidRPr="005B4161">
        <w:rPr>
          <w:rFonts w:eastAsia="Times New Roman" w:cs="Arial"/>
          <w:b/>
          <w:bCs/>
          <w:color w:val="000000"/>
          <w:lang w:eastAsia="bg-BG"/>
        </w:rPr>
        <w:t>Брой случаи на ВТЕ на 10 000 жени в рамките на една година</w:t>
      </w:r>
    </w:p>
    <w:p w14:paraId="7F26F5A2" w14:textId="6833C556" w:rsidR="005B4161" w:rsidRPr="005B4161" w:rsidRDefault="005B4161" w:rsidP="005B4161">
      <w:pPr>
        <w:spacing w:line="240" w:lineRule="auto"/>
        <w:rPr>
          <w:rFonts w:eastAsia="Times New Roman" w:cs="Arial"/>
          <w:lang w:eastAsia="bg-BG"/>
        </w:rPr>
      </w:pPr>
    </w:p>
    <w:p w14:paraId="1741E4DB" w14:textId="4CCDCF9C" w:rsidR="005B4161" w:rsidRDefault="00AF43AE" w:rsidP="005B4161">
      <w:r>
        <w:rPr>
          <w:noProof/>
        </w:rPr>
        <w:lastRenderedPageBreak/>
        <w:drawing>
          <wp:inline distT="0" distB="0" distL="0" distR="0" wp14:anchorId="0236B630" wp14:editId="65B0DAFC">
            <wp:extent cx="5943600" cy="363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35375"/>
                    </a:xfrm>
                    <a:prstGeom prst="rect">
                      <a:avLst/>
                    </a:prstGeom>
                  </pic:spPr>
                </pic:pic>
              </a:graphicData>
            </a:graphic>
          </wp:inline>
        </w:drawing>
      </w:r>
    </w:p>
    <w:p w14:paraId="0EA27A41" w14:textId="0A38B648" w:rsidR="00AF43AE" w:rsidRDefault="00AF43AE" w:rsidP="005B4161"/>
    <w:p w14:paraId="08B59F86"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Има изключително редки съобщения за тромбоза в други кръвоносни съдове, напр. чернодробни, мезентериални, бъбречни или ретинални вени и артерии, при жени, използващи </w:t>
      </w:r>
      <w:r w:rsidRPr="00AF43AE">
        <w:rPr>
          <w:rFonts w:eastAsia="Times New Roman" w:cs="Arial"/>
          <w:i/>
          <w:iCs/>
          <w:color w:val="000000"/>
          <w:lang w:eastAsia="bg-BG"/>
        </w:rPr>
        <w:t>КХК.</w:t>
      </w:r>
    </w:p>
    <w:p w14:paraId="3AB59DE3" w14:textId="77777777" w:rsidR="00AF43AE" w:rsidRPr="00AF43AE" w:rsidRDefault="00AF43AE" w:rsidP="00AF43AE">
      <w:pPr>
        <w:spacing w:line="240" w:lineRule="auto"/>
        <w:rPr>
          <w:rFonts w:eastAsia="Times New Roman" w:cs="Arial"/>
          <w:lang w:eastAsia="bg-BG"/>
        </w:rPr>
      </w:pPr>
    </w:p>
    <w:p w14:paraId="6476EEDF" w14:textId="2E61AADE" w:rsidR="00AF43AE" w:rsidRPr="00AF43AE" w:rsidRDefault="00AF43AE" w:rsidP="00AF43AE">
      <w:pPr>
        <w:spacing w:line="240" w:lineRule="auto"/>
        <w:rPr>
          <w:rFonts w:eastAsia="Times New Roman" w:cs="Arial"/>
          <w:lang w:eastAsia="bg-BG"/>
        </w:rPr>
      </w:pPr>
      <w:r w:rsidRPr="00AF43AE">
        <w:rPr>
          <w:rFonts w:eastAsia="Times New Roman" w:cs="Arial"/>
          <w:color w:val="000000"/>
          <w:vertAlign w:val="superscript"/>
          <w:lang w:eastAsia="bg-BG"/>
        </w:rPr>
        <w:footnoteRef/>
      </w:r>
      <w:r w:rsidRPr="00AF43AE">
        <w:rPr>
          <w:rFonts w:eastAsia="Times New Roman" w:cs="Arial"/>
          <w:color w:val="000000"/>
          <w:lang w:eastAsia="bg-BG"/>
        </w:rPr>
        <w:t>Тези случаи са били изчислени от обшия брой данни от епидемиологични проучвания, като се използва относителен риск за различните продукти, сравнени с КХК, съдържащи левоноргестрел.</w:t>
      </w:r>
    </w:p>
    <w:p w14:paraId="3CB59124" w14:textId="73E4D984" w:rsidR="00AF43AE" w:rsidRPr="00AF43AE" w:rsidRDefault="00AF43AE" w:rsidP="00AF43AE">
      <w:pPr>
        <w:rPr>
          <w:rFonts w:eastAsia="Times New Roman" w:cs="Arial"/>
          <w:color w:val="000000"/>
          <w:lang w:eastAsia="bg-BG"/>
        </w:rPr>
      </w:pPr>
      <w:r>
        <w:rPr>
          <w:rFonts w:eastAsia="Times New Roman" w:cs="Arial"/>
          <w:color w:val="000000"/>
          <w:vertAlign w:val="superscript"/>
          <w:lang w:eastAsia="bg-BG"/>
        </w:rPr>
        <w:t>2</w:t>
      </w:r>
      <w:r w:rsidRPr="00AF43AE">
        <w:rPr>
          <w:rFonts w:eastAsia="Times New Roman" w:cs="Arial"/>
          <w:color w:val="000000"/>
          <w:lang w:eastAsia="bg-BG"/>
        </w:rPr>
        <w:t>Средна точка в интервал от 5 - 7 на 10 000 жени, въз основа на относителен риск за КХК, съдържащи левоноргестрел, спрямо жени, които не използват КХК, от приблизително 2,3 до 3,6</w:t>
      </w:r>
    </w:p>
    <w:p w14:paraId="358C034B" w14:textId="57672E4F" w:rsidR="00AF43AE" w:rsidRPr="00AF43AE" w:rsidRDefault="00AF43AE" w:rsidP="00AF43AE">
      <w:pPr>
        <w:rPr>
          <w:rFonts w:eastAsia="Times New Roman" w:cs="Arial"/>
          <w:color w:val="000000"/>
          <w:lang w:eastAsia="bg-BG"/>
        </w:rPr>
      </w:pPr>
    </w:p>
    <w:p w14:paraId="2EA80EC4" w14:textId="77777777" w:rsidR="00AF43AE" w:rsidRPr="00AF43AE" w:rsidRDefault="00AF43AE" w:rsidP="00AF43AE">
      <w:pPr>
        <w:spacing w:line="240" w:lineRule="auto"/>
        <w:rPr>
          <w:rFonts w:eastAsia="Times New Roman" w:cs="Arial"/>
          <w:lang w:eastAsia="bg-BG"/>
        </w:rPr>
      </w:pPr>
      <w:r w:rsidRPr="00AF43AE">
        <w:rPr>
          <w:rFonts w:eastAsia="Times New Roman" w:cs="Arial"/>
          <w:b/>
          <w:bCs/>
          <w:color w:val="000000"/>
          <w:u w:val="single"/>
          <w:lang w:eastAsia="bg-BG"/>
        </w:rPr>
        <w:t>Рискови Фактори за ВТЕ</w:t>
      </w:r>
    </w:p>
    <w:p w14:paraId="004B5198"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6485E645"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Фемоден е противопоказан, ако дадена жена има множество рискови фактори, които я излагат на висок риск от венозна тромбоемболия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 се счита за отрицателно, КХК не трябва да се предписват (вж. точка 4.3).</w:t>
      </w:r>
    </w:p>
    <w:p w14:paraId="3DE68CEE" w14:textId="77777777" w:rsidR="00AF43AE" w:rsidRPr="00AF43AE" w:rsidRDefault="00AF43AE" w:rsidP="00AF43AE">
      <w:pPr>
        <w:rPr>
          <w:rFonts w:eastAsia="Times New Roman" w:cs="Arial"/>
          <w:b/>
          <w:bCs/>
          <w:color w:val="000000"/>
          <w:u w:val="single"/>
          <w:lang w:eastAsia="bg-BG"/>
        </w:rPr>
      </w:pPr>
    </w:p>
    <w:p w14:paraId="2C687347" w14:textId="2D79991C" w:rsidR="00AF43AE" w:rsidRDefault="00AF43AE" w:rsidP="00AF43AE">
      <w:pPr>
        <w:rPr>
          <w:rFonts w:eastAsia="Times New Roman" w:cs="Arial"/>
          <w:b/>
          <w:bCs/>
          <w:color w:val="000000"/>
          <w:u w:val="single"/>
          <w:lang w:eastAsia="bg-BG"/>
        </w:rPr>
      </w:pPr>
      <w:r w:rsidRPr="00AF43AE">
        <w:rPr>
          <w:rFonts w:eastAsia="Times New Roman" w:cs="Arial"/>
          <w:b/>
          <w:bCs/>
          <w:color w:val="000000"/>
          <w:u w:val="single"/>
          <w:lang w:eastAsia="bg-BG"/>
        </w:rPr>
        <w:t>Таблица: Рискови фактори за ВТЕ</w:t>
      </w:r>
    </w:p>
    <w:tbl>
      <w:tblPr>
        <w:tblStyle w:val="TableGrid"/>
        <w:tblW w:w="0" w:type="auto"/>
        <w:tblLook w:val="04A0" w:firstRow="1" w:lastRow="0" w:firstColumn="1" w:lastColumn="0" w:noHBand="0" w:noVBand="1"/>
      </w:tblPr>
      <w:tblGrid>
        <w:gridCol w:w="4666"/>
        <w:gridCol w:w="4684"/>
      </w:tblGrid>
      <w:tr w:rsidR="00AF43AE" w14:paraId="32C86A48" w14:textId="77777777" w:rsidTr="005D522E">
        <w:tc>
          <w:tcPr>
            <w:tcW w:w="4750" w:type="dxa"/>
            <w:vAlign w:val="bottom"/>
          </w:tcPr>
          <w:p w14:paraId="5D44C93D" w14:textId="6367191A" w:rsidR="00AF43AE" w:rsidRPr="00AF43AE" w:rsidRDefault="00AF43AE" w:rsidP="00AF43AE">
            <w:pPr>
              <w:rPr>
                <w:rFonts w:cs="Arial"/>
              </w:rPr>
            </w:pPr>
            <w:r w:rsidRPr="00AF43AE">
              <w:rPr>
                <w:b/>
                <w:bCs/>
              </w:rPr>
              <w:t>Рисков фактор</w:t>
            </w:r>
          </w:p>
        </w:tc>
        <w:tc>
          <w:tcPr>
            <w:tcW w:w="4750" w:type="dxa"/>
            <w:vAlign w:val="bottom"/>
          </w:tcPr>
          <w:p w14:paraId="32E9149C" w14:textId="053AE2AD" w:rsidR="00AF43AE" w:rsidRPr="00AF43AE" w:rsidRDefault="00AF43AE" w:rsidP="00AF43AE">
            <w:pPr>
              <w:rPr>
                <w:rFonts w:cs="Arial"/>
              </w:rPr>
            </w:pPr>
            <w:r w:rsidRPr="00AF43AE">
              <w:rPr>
                <w:b/>
                <w:bCs/>
              </w:rPr>
              <w:t>Коментар</w:t>
            </w:r>
          </w:p>
        </w:tc>
      </w:tr>
      <w:tr w:rsidR="00AF43AE" w14:paraId="666A7569" w14:textId="77777777" w:rsidTr="005D522E">
        <w:tc>
          <w:tcPr>
            <w:tcW w:w="4750" w:type="dxa"/>
          </w:tcPr>
          <w:p w14:paraId="4DA21C2E" w14:textId="3F16AD5C" w:rsidR="00AF43AE" w:rsidRPr="00AF43AE" w:rsidRDefault="00AF43AE" w:rsidP="00AF43AE">
            <w:pPr>
              <w:rPr>
                <w:rFonts w:cs="Arial"/>
              </w:rPr>
            </w:pPr>
            <w:r w:rsidRPr="00AF43AE">
              <w:t xml:space="preserve">Наднормено тегло (индекс на телесна маса над 30 </w:t>
            </w:r>
            <w:r w:rsidRPr="00AF43AE">
              <w:rPr>
                <w:lang w:val="en-US"/>
              </w:rPr>
              <w:t>kg/m</w:t>
            </w:r>
            <w:r w:rsidRPr="00AF43AE">
              <w:rPr>
                <w:vertAlign w:val="superscript"/>
                <w:lang w:val="en-US"/>
              </w:rPr>
              <w:t>2</w:t>
            </w:r>
            <w:r w:rsidRPr="00AF43AE">
              <w:rPr>
                <w:lang w:val="en-US"/>
              </w:rPr>
              <w:t>)</w:t>
            </w:r>
          </w:p>
        </w:tc>
        <w:tc>
          <w:tcPr>
            <w:tcW w:w="4750" w:type="dxa"/>
            <w:vAlign w:val="bottom"/>
          </w:tcPr>
          <w:p w14:paraId="64058A32" w14:textId="77777777" w:rsidR="00AF43AE" w:rsidRPr="00AF43AE" w:rsidRDefault="00AF43AE" w:rsidP="00AF43AE">
            <w:r w:rsidRPr="00AF43AE">
              <w:t xml:space="preserve">Рискът значително се увеличава с повишаването на индекса на телесна маса </w:t>
            </w:r>
            <w:r w:rsidRPr="00AF43AE">
              <w:rPr>
                <w:lang w:val="en-US"/>
              </w:rPr>
              <w:lastRenderedPageBreak/>
              <w:t>(BMI).</w:t>
            </w:r>
          </w:p>
          <w:p w14:paraId="5F1FEA40" w14:textId="43938FF5" w:rsidR="00AF43AE" w:rsidRPr="00AF43AE" w:rsidRDefault="00AF43AE" w:rsidP="00AF43AE">
            <w:pPr>
              <w:rPr>
                <w:rFonts w:cs="Arial"/>
              </w:rPr>
            </w:pPr>
            <w:r w:rsidRPr="00AF43AE">
              <w:t>Особено важно е да се прецени, ако са налице и други рискови фактори.</w:t>
            </w:r>
          </w:p>
        </w:tc>
      </w:tr>
      <w:tr w:rsidR="00AF43AE" w14:paraId="565E2956" w14:textId="77777777" w:rsidTr="005D522E">
        <w:tc>
          <w:tcPr>
            <w:tcW w:w="4750" w:type="dxa"/>
            <w:vAlign w:val="bottom"/>
          </w:tcPr>
          <w:p w14:paraId="0F068425" w14:textId="77777777" w:rsidR="00AF43AE" w:rsidRPr="00AF43AE" w:rsidRDefault="00AF43AE" w:rsidP="00AF43AE">
            <w:r w:rsidRPr="00AF43AE">
              <w:lastRenderedPageBreak/>
              <w:t>Продължителна имобилизация, голяма хирургична намеса, всякаква хирургична намеса на краката или таза, неврохирургична намеса или голяма травма</w:t>
            </w:r>
          </w:p>
          <w:p w14:paraId="1D272705" w14:textId="080846A1" w:rsidR="00AF43AE" w:rsidRPr="00AF43AE" w:rsidRDefault="00AF43AE" w:rsidP="00AF43AE">
            <w:pPr>
              <w:rPr>
                <w:rFonts w:cs="Arial"/>
              </w:rPr>
            </w:pPr>
            <w:r w:rsidRPr="00AF43AE">
              <w:t>Забележка: временна имобилизация, включително пътуване със самолет &gt;4 часа може също да бъде рисков фактор за ВТЕ, особено при жени с други рискови фактори</w:t>
            </w:r>
          </w:p>
        </w:tc>
        <w:tc>
          <w:tcPr>
            <w:tcW w:w="4750" w:type="dxa"/>
          </w:tcPr>
          <w:p w14:paraId="0210B78C" w14:textId="408A3108" w:rsidR="00AF43AE" w:rsidRPr="00AF43AE" w:rsidRDefault="00AF43AE" w:rsidP="00AF43AE">
            <w:pPr>
              <w:rPr>
                <w:rFonts w:cs="Arial"/>
              </w:rPr>
            </w:pPr>
            <w:r w:rsidRPr="00AF43AE">
              <w:t>При тези условия е препоръчително употребата на пластир/хапче/пръстен да се прекрати (в случай на планова операция поне четири седмици по-рано) и приложението им да не започва отново до изтичане на две седмици след пълното раздвижване. Трябва да се използва друг метод за контрацепция, за да се избегне нежелана бременност. Трябва да се обмисли антитромботично лечение, ако употребата на Фемоден не е прекратена предварително.</w:t>
            </w:r>
          </w:p>
        </w:tc>
      </w:tr>
      <w:tr w:rsidR="00AF43AE" w14:paraId="33A3B294" w14:textId="77777777" w:rsidTr="005D522E">
        <w:tc>
          <w:tcPr>
            <w:tcW w:w="4750" w:type="dxa"/>
            <w:vAlign w:val="bottom"/>
          </w:tcPr>
          <w:p w14:paraId="756499EA" w14:textId="1087CFA2" w:rsidR="00AF43AE" w:rsidRPr="00AF43AE" w:rsidRDefault="00AF43AE" w:rsidP="00AF43AE">
            <w:pPr>
              <w:rPr>
                <w:rFonts w:cs="Arial"/>
              </w:rPr>
            </w:pPr>
            <w:r w:rsidRPr="00AF43AE">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750" w:type="dxa"/>
          </w:tcPr>
          <w:p w14:paraId="2F719667" w14:textId="45353784" w:rsidR="00AF43AE" w:rsidRPr="00AF43AE" w:rsidRDefault="00AF43AE" w:rsidP="00AF43AE">
            <w:pPr>
              <w:rPr>
                <w:rFonts w:cs="Arial"/>
              </w:rPr>
            </w:pPr>
            <w:r w:rsidRPr="00AF43AE">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AF43AE" w14:paraId="112B37EE" w14:textId="77777777" w:rsidTr="005D522E">
        <w:tc>
          <w:tcPr>
            <w:tcW w:w="4750" w:type="dxa"/>
          </w:tcPr>
          <w:p w14:paraId="2A06A458" w14:textId="259FAF9A" w:rsidR="00AF43AE" w:rsidRPr="00AF43AE" w:rsidRDefault="00AF43AE" w:rsidP="00AF43AE">
            <w:pPr>
              <w:rPr>
                <w:rFonts w:cs="Arial"/>
              </w:rPr>
            </w:pPr>
            <w:r w:rsidRPr="00AF43AE">
              <w:t>Други заболявания, свързани с ВТЕ</w:t>
            </w:r>
          </w:p>
        </w:tc>
        <w:tc>
          <w:tcPr>
            <w:tcW w:w="4750" w:type="dxa"/>
            <w:vAlign w:val="bottom"/>
          </w:tcPr>
          <w:p w14:paraId="5BDB8FDF" w14:textId="7A2068F4" w:rsidR="00AF43AE" w:rsidRPr="00AF43AE" w:rsidRDefault="00AF43AE" w:rsidP="00AF43AE">
            <w:pPr>
              <w:rPr>
                <w:rFonts w:cs="Arial"/>
              </w:rPr>
            </w:pPr>
            <w:r w:rsidRPr="00AF43AE">
              <w:t xml:space="preserve">Рак, системен лупус еритематодес, хемолитичен уремичен синдром, хронична възпалителна болест на червата (болест на </w:t>
            </w:r>
            <w:r w:rsidRPr="00AF43AE">
              <w:rPr>
                <w:lang w:val="en-US"/>
              </w:rPr>
              <w:t xml:space="preserve">Crohn </w:t>
            </w:r>
            <w:r w:rsidRPr="00AF43AE">
              <w:t>или улцерозен колит) и сърповидноклетъчна анемия</w:t>
            </w:r>
          </w:p>
        </w:tc>
      </w:tr>
      <w:tr w:rsidR="00AF43AE" w14:paraId="33A1F310" w14:textId="77777777" w:rsidTr="005D522E">
        <w:tc>
          <w:tcPr>
            <w:tcW w:w="4750" w:type="dxa"/>
            <w:vAlign w:val="bottom"/>
          </w:tcPr>
          <w:p w14:paraId="420D57BD" w14:textId="486759D1" w:rsidR="00AF43AE" w:rsidRPr="00AF43AE" w:rsidRDefault="00AF43AE" w:rsidP="00AF43AE">
            <w:pPr>
              <w:rPr>
                <w:rFonts w:cs="Arial"/>
              </w:rPr>
            </w:pPr>
            <w:r w:rsidRPr="00AF43AE">
              <w:t>Напредваща възраст</w:t>
            </w:r>
          </w:p>
        </w:tc>
        <w:tc>
          <w:tcPr>
            <w:tcW w:w="4750" w:type="dxa"/>
            <w:vAlign w:val="bottom"/>
          </w:tcPr>
          <w:p w14:paraId="14EBC2EE" w14:textId="3FED8676" w:rsidR="00AF43AE" w:rsidRPr="00AF43AE" w:rsidRDefault="00AF43AE" w:rsidP="00AF43AE">
            <w:pPr>
              <w:rPr>
                <w:rFonts w:cs="Arial"/>
              </w:rPr>
            </w:pPr>
            <w:r w:rsidRPr="00AF43AE">
              <w:t>Особено над 35 години</w:t>
            </w:r>
          </w:p>
        </w:tc>
      </w:tr>
    </w:tbl>
    <w:p w14:paraId="0989E854" w14:textId="77777777" w:rsidR="00AF43AE" w:rsidRDefault="00AF43AE" w:rsidP="00AF43AE">
      <w:pPr>
        <w:rPr>
          <w:lang w:eastAsia="bg-BG"/>
        </w:rPr>
      </w:pPr>
    </w:p>
    <w:p w14:paraId="1AB4DE29" w14:textId="411624AD" w:rsidR="00AF43AE" w:rsidRPr="00AF43AE" w:rsidRDefault="00AF43AE" w:rsidP="00AF43AE">
      <w:pPr>
        <w:rPr>
          <w:rFonts w:cs="Arial"/>
          <w:sz w:val="24"/>
          <w:szCs w:val="24"/>
          <w:lang w:eastAsia="bg-BG"/>
        </w:rPr>
      </w:pPr>
      <w:r w:rsidRPr="00AF43AE">
        <w:rPr>
          <w:rFonts w:cs="Arial"/>
          <w:lang w:eastAsia="bg-BG"/>
        </w:rPr>
        <w:t>Няма консенсус относно възможната роля на варикозните вени и повърхностния тромбофлебит в появата или прогресирането на венозна тромбоза.</w:t>
      </w:r>
    </w:p>
    <w:p w14:paraId="27BB9BE5" w14:textId="77777777" w:rsidR="00AF43AE" w:rsidRPr="00AF43AE" w:rsidRDefault="00AF43AE" w:rsidP="00AF43AE">
      <w:pPr>
        <w:rPr>
          <w:rFonts w:cs="Arial"/>
          <w:sz w:val="24"/>
          <w:szCs w:val="24"/>
          <w:lang w:eastAsia="bg-BG"/>
        </w:rPr>
      </w:pPr>
      <w:r w:rsidRPr="00AF43AE">
        <w:rPr>
          <w:rFonts w:cs="Arial"/>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„Бременност и кърмене” вж. точка 4.6).</w:t>
      </w:r>
    </w:p>
    <w:p w14:paraId="2CF3A043" w14:textId="69F40811" w:rsidR="00AF43AE" w:rsidRPr="00AF43AE" w:rsidRDefault="00AF43AE" w:rsidP="00AF43AE">
      <w:pPr>
        <w:rPr>
          <w:rFonts w:cs="Arial"/>
        </w:rPr>
      </w:pPr>
    </w:p>
    <w:p w14:paraId="2DD847DE" w14:textId="77777777" w:rsidR="00AF43AE" w:rsidRPr="00AF43AE" w:rsidRDefault="00AF43AE" w:rsidP="00AF43AE">
      <w:pPr>
        <w:spacing w:line="240" w:lineRule="auto"/>
        <w:rPr>
          <w:rFonts w:eastAsia="Times New Roman" w:cs="Arial"/>
          <w:lang w:eastAsia="bg-BG"/>
        </w:rPr>
      </w:pPr>
      <w:r w:rsidRPr="00AF43AE">
        <w:rPr>
          <w:rFonts w:eastAsia="Times New Roman" w:cs="Arial"/>
          <w:b/>
          <w:bCs/>
          <w:color w:val="000000"/>
          <w:u w:val="single"/>
          <w:lang w:eastAsia="bg-BG"/>
        </w:rPr>
        <w:t>Симптоми на ВТЕ (дълбока венозна тромбоза и белодробна емболия)</w:t>
      </w:r>
    </w:p>
    <w:p w14:paraId="5D49D268"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7419D9E9"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Симптомите на дълбока венозна тромбоза (ДВТ) могат да включват:</w:t>
      </w:r>
    </w:p>
    <w:p w14:paraId="2245ACC4" w14:textId="77777777" w:rsidR="00AF43AE" w:rsidRP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 xml:space="preserve">едностранен оток на крака и/или ходилото, или по </w:t>
      </w:r>
      <w:r w:rsidRPr="00AF43AE">
        <w:rPr>
          <w:rFonts w:eastAsia="Times New Roman" w:cs="Arial"/>
          <w:i/>
          <w:iCs/>
          <w:color w:val="000000"/>
          <w:lang w:eastAsia="bg-BG"/>
        </w:rPr>
        <w:t>продължение на вена в</w:t>
      </w:r>
      <w:r w:rsidRPr="00AF43AE">
        <w:rPr>
          <w:rFonts w:eastAsia="Times New Roman" w:cs="Arial"/>
          <w:color w:val="000000"/>
          <w:lang w:eastAsia="bg-BG"/>
        </w:rPr>
        <w:t xml:space="preserve"> крака;</w:t>
      </w:r>
    </w:p>
    <w:p w14:paraId="3E047F62" w14:textId="77777777" w:rsidR="00AF43AE" w:rsidRP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болка или тежест в крака, която може да се усеща само при ставане или ходене,</w:t>
      </w:r>
    </w:p>
    <w:p w14:paraId="22571255" w14:textId="5C4AD61A" w:rsidR="00AF43AE" w:rsidRP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 xml:space="preserve">затопляне на засегнатия крак; зачервяване или промяна в цвета на кожата на крака. </w:t>
      </w:r>
    </w:p>
    <w:p w14:paraId="57BFBBDB" w14:textId="77777777" w:rsidR="00AF43AE" w:rsidRPr="00AF43AE" w:rsidRDefault="00AF43AE" w:rsidP="00AF43AE">
      <w:pPr>
        <w:rPr>
          <w:rFonts w:cs="Arial"/>
          <w:lang w:eastAsia="bg-BG"/>
        </w:rPr>
      </w:pPr>
    </w:p>
    <w:p w14:paraId="333CFAF8" w14:textId="475D0CC5" w:rsidR="00AF43AE" w:rsidRPr="00AF43AE" w:rsidRDefault="00AF43AE" w:rsidP="00AF43AE">
      <w:pPr>
        <w:rPr>
          <w:rFonts w:eastAsia="Times New Roman" w:cs="Arial"/>
          <w:color w:val="000000"/>
          <w:lang w:eastAsia="bg-BG"/>
        </w:rPr>
      </w:pPr>
      <w:r w:rsidRPr="00AF43AE">
        <w:rPr>
          <w:rFonts w:cs="Arial"/>
          <w:lang w:eastAsia="bg-BG"/>
        </w:rPr>
        <w:t>Симптомите на белодробна емболия (БЕ) могат да включват:</w:t>
      </w:r>
    </w:p>
    <w:p w14:paraId="40A24114" w14:textId="77777777" w:rsidR="00AF43AE" w:rsidRPr="00AF43AE" w:rsidRDefault="00AF43AE" w:rsidP="00AF43AE">
      <w:pPr>
        <w:pStyle w:val="ListParagraph"/>
        <w:numPr>
          <w:ilvl w:val="0"/>
          <w:numId w:val="2"/>
        </w:numPr>
        <w:rPr>
          <w:rFonts w:eastAsia="Times New Roman" w:cs="Arial"/>
          <w:color w:val="000000"/>
          <w:lang w:eastAsia="bg-BG"/>
        </w:rPr>
      </w:pPr>
      <w:r w:rsidRPr="00AF43AE">
        <w:rPr>
          <w:rFonts w:eastAsia="Times New Roman" w:cs="Arial"/>
          <w:color w:val="000000"/>
          <w:lang w:eastAsia="bg-BG"/>
        </w:rPr>
        <w:t>внезапна поява на необясним задух или учестено дишане;</w:t>
      </w:r>
    </w:p>
    <w:p w14:paraId="47C37200" w14:textId="77777777" w:rsidR="00AF43AE" w:rsidRPr="00AF43AE" w:rsidRDefault="00AF43AE" w:rsidP="00AF43AE">
      <w:pPr>
        <w:pStyle w:val="ListParagraph"/>
        <w:numPr>
          <w:ilvl w:val="0"/>
          <w:numId w:val="2"/>
        </w:numPr>
        <w:rPr>
          <w:rFonts w:eastAsia="Times New Roman" w:cs="Arial"/>
          <w:color w:val="000000"/>
          <w:lang w:eastAsia="bg-BG"/>
        </w:rPr>
      </w:pPr>
      <w:r w:rsidRPr="00AF43AE">
        <w:rPr>
          <w:rFonts w:eastAsia="Times New Roman" w:cs="Arial"/>
          <w:color w:val="000000"/>
          <w:lang w:eastAsia="bg-BG"/>
        </w:rPr>
        <w:t>внезапна кашлица, която може да бъде свързана с хемоптиза;</w:t>
      </w:r>
    </w:p>
    <w:p w14:paraId="7025F4A8" w14:textId="77777777" w:rsidR="00AF43AE" w:rsidRPr="00AF43AE" w:rsidRDefault="00AF43AE" w:rsidP="00AF43AE">
      <w:pPr>
        <w:pStyle w:val="ListParagraph"/>
        <w:numPr>
          <w:ilvl w:val="0"/>
          <w:numId w:val="2"/>
        </w:numPr>
        <w:rPr>
          <w:rFonts w:eastAsia="Times New Roman" w:cs="Arial"/>
          <w:color w:val="000000"/>
          <w:lang w:eastAsia="bg-BG"/>
        </w:rPr>
      </w:pPr>
      <w:r w:rsidRPr="00AF43AE">
        <w:rPr>
          <w:rFonts w:eastAsia="Times New Roman" w:cs="Arial"/>
          <w:color w:val="000000"/>
          <w:lang w:eastAsia="bg-BG"/>
        </w:rPr>
        <w:t>остра болка в гръдния кош;</w:t>
      </w:r>
    </w:p>
    <w:p w14:paraId="70AFAE05" w14:textId="77777777" w:rsidR="00AF43AE" w:rsidRPr="00AF43AE" w:rsidRDefault="00AF43AE" w:rsidP="00AF43AE">
      <w:pPr>
        <w:pStyle w:val="ListParagraph"/>
        <w:numPr>
          <w:ilvl w:val="0"/>
          <w:numId w:val="2"/>
        </w:numPr>
        <w:rPr>
          <w:rFonts w:eastAsia="Times New Roman" w:cs="Arial"/>
          <w:color w:val="000000"/>
          <w:lang w:eastAsia="bg-BG"/>
        </w:rPr>
      </w:pPr>
      <w:r w:rsidRPr="00AF43AE">
        <w:rPr>
          <w:rFonts w:eastAsia="Times New Roman" w:cs="Arial"/>
          <w:color w:val="000000"/>
          <w:lang w:eastAsia="bg-BG"/>
        </w:rPr>
        <w:lastRenderedPageBreak/>
        <w:t>тежка замаяност или виене на свят;</w:t>
      </w:r>
    </w:p>
    <w:p w14:paraId="6F994C70" w14:textId="0C569570" w:rsidR="00AF43AE" w:rsidRPr="00AF43AE" w:rsidRDefault="00AF43AE" w:rsidP="00AF43AE">
      <w:pPr>
        <w:pStyle w:val="ListParagraph"/>
        <w:numPr>
          <w:ilvl w:val="0"/>
          <w:numId w:val="2"/>
        </w:numPr>
        <w:rPr>
          <w:rFonts w:eastAsia="Times New Roman" w:cs="Arial"/>
          <w:color w:val="000000"/>
          <w:lang w:eastAsia="bg-BG"/>
        </w:rPr>
      </w:pPr>
      <w:r w:rsidRPr="00AF43AE">
        <w:rPr>
          <w:rFonts w:eastAsia="Times New Roman" w:cs="Arial"/>
          <w:color w:val="000000"/>
          <w:lang w:eastAsia="bg-BG"/>
        </w:rPr>
        <w:t>ускорен или неправилен сърдечен ритъм.</w:t>
      </w:r>
    </w:p>
    <w:p w14:paraId="67164D23"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Някои от тези симптоми (напр. „задух”, „кашлица”) не са 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5D9A19A5"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Други признаци на съдова оклузия могат да включват: внезапна болка, оток и леко посиняване на крайник.</w:t>
      </w:r>
    </w:p>
    <w:p w14:paraId="7BD6B84A"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Ако оклузията се получи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се получи почти веднага.</w:t>
      </w:r>
    </w:p>
    <w:p w14:paraId="76F80652" w14:textId="77777777" w:rsidR="00AF43AE" w:rsidRPr="00AF43AE" w:rsidRDefault="00AF43AE" w:rsidP="00AF43AE">
      <w:pPr>
        <w:spacing w:line="240" w:lineRule="auto"/>
        <w:rPr>
          <w:rFonts w:eastAsia="Times New Roman" w:cs="Arial"/>
          <w:b/>
          <w:bCs/>
          <w:color w:val="000000"/>
          <w:lang w:eastAsia="bg-BG"/>
        </w:rPr>
      </w:pPr>
      <w:bookmarkStart w:id="2" w:name="bookmark2"/>
    </w:p>
    <w:p w14:paraId="7768D78E" w14:textId="1EB3E8D5" w:rsidR="00AF43AE" w:rsidRPr="00AF43AE" w:rsidRDefault="00AF43AE" w:rsidP="00AF43AE">
      <w:pPr>
        <w:spacing w:line="240" w:lineRule="auto"/>
        <w:rPr>
          <w:rFonts w:eastAsia="Times New Roman" w:cs="Arial"/>
          <w:lang w:eastAsia="bg-BG"/>
        </w:rPr>
      </w:pPr>
      <w:r w:rsidRPr="00AF43AE">
        <w:rPr>
          <w:rFonts w:eastAsia="Times New Roman" w:cs="Arial"/>
          <w:b/>
          <w:bCs/>
          <w:color w:val="000000"/>
          <w:lang w:eastAsia="bg-BG"/>
        </w:rPr>
        <w:t>Риск от артериална тромбоемболия (АТЕ)</w:t>
      </w:r>
      <w:bookmarkEnd w:id="2"/>
    </w:p>
    <w:p w14:paraId="0C22595A"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При епидемиологични проучвания е установена връзка между употребата на КХК и увеличен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33D3380D" w14:textId="77777777" w:rsidR="00AF43AE" w:rsidRPr="00AF43AE" w:rsidRDefault="00AF43AE" w:rsidP="00AF43AE">
      <w:pPr>
        <w:spacing w:line="240" w:lineRule="auto"/>
        <w:rPr>
          <w:rFonts w:eastAsia="Times New Roman" w:cs="Arial"/>
          <w:b/>
          <w:bCs/>
          <w:color w:val="000000"/>
          <w:u w:val="single"/>
          <w:lang w:eastAsia="bg-BG"/>
        </w:rPr>
      </w:pPr>
      <w:bookmarkStart w:id="3" w:name="bookmark4"/>
    </w:p>
    <w:p w14:paraId="1CCA816D" w14:textId="24177AEA" w:rsidR="00AF43AE" w:rsidRPr="00AF43AE" w:rsidRDefault="00AF43AE" w:rsidP="00AF43AE">
      <w:pPr>
        <w:spacing w:line="240" w:lineRule="auto"/>
        <w:rPr>
          <w:rFonts w:eastAsia="Times New Roman" w:cs="Arial"/>
          <w:lang w:eastAsia="bg-BG"/>
        </w:rPr>
      </w:pPr>
      <w:r w:rsidRPr="00AF43AE">
        <w:rPr>
          <w:rFonts w:eastAsia="Times New Roman" w:cs="Arial"/>
          <w:b/>
          <w:bCs/>
          <w:color w:val="000000"/>
          <w:u w:val="single"/>
          <w:lang w:eastAsia="bg-BG"/>
        </w:rPr>
        <w:t>Рискови Фактори за АТЕ</w:t>
      </w:r>
      <w:bookmarkEnd w:id="3"/>
    </w:p>
    <w:p w14:paraId="1FD40120"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Рискът от артериални тромбоемболични усложнения или от мозъчно-съдов инцидент при жени, приемащи КХК, е увеличен при жените, които имат рискови фактори (вж. таблицата). Фемоден е противопоказан, ако дадена жена има един сериозен или множество рискови 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0BE80F41" w14:textId="77777777" w:rsidR="00AF43AE" w:rsidRPr="00AF43AE" w:rsidRDefault="00AF43AE" w:rsidP="00AF43AE">
      <w:pPr>
        <w:rPr>
          <w:rFonts w:eastAsia="Times New Roman" w:cs="Arial"/>
          <w:b/>
          <w:bCs/>
          <w:color w:val="000000"/>
          <w:u w:val="single"/>
          <w:lang w:eastAsia="bg-BG"/>
        </w:rPr>
      </w:pPr>
    </w:p>
    <w:p w14:paraId="51E6611F" w14:textId="3DD5F27B" w:rsidR="00AF43AE" w:rsidRDefault="00AF43AE" w:rsidP="00AF43AE">
      <w:pPr>
        <w:rPr>
          <w:rFonts w:eastAsia="Times New Roman" w:cs="Arial"/>
          <w:b/>
          <w:bCs/>
          <w:color w:val="000000"/>
          <w:u w:val="single"/>
          <w:lang w:eastAsia="bg-BG"/>
        </w:rPr>
      </w:pPr>
      <w:r w:rsidRPr="00AF43AE">
        <w:rPr>
          <w:rFonts w:eastAsia="Times New Roman" w:cs="Arial"/>
          <w:b/>
          <w:bCs/>
          <w:color w:val="000000"/>
          <w:u w:val="single"/>
          <w:lang w:eastAsia="bg-BG"/>
        </w:rPr>
        <w:t>Таблица: Рискови фактори за АТЕ</w:t>
      </w:r>
    </w:p>
    <w:tbl>
      <w:tblPr>
        <w:tblStyle w:val="TableGrid"/>
        <w:tblW w:w="0" w:type="auto"/>
        <w:tblLook w:val="04A0" w:firstRow="1" w:lastRow="0" w:firstColumn="1" w:lastColumn="0" w:noHBand="0" w:noVBand="1"/>
      </w:tblPr>
      <w:tblGrid>
        <w:gridCol w:w="4662"/>
        <w:gridCol w:w="4688"/>
      </w:tblGrid>
      <w:tr w:rsidR="00AF43AE" w14:paraId="6D41F7E0" w14:textId="77777777" w:rsidTr="00AF43AE">
        <w:tc>
          <w:tcPr>
            <w:tcW w:w="4750" w:type="dxa"/>
          </w:tcPr>
          <w:p w14:paraId="662F34A5" w14:textId="37FE58B4" w:rsidR="00AF43AE" w:rsidRPr="00AF43AE" w:rsidRDefault="00AF43AE" w:rsidP="00AF43AE">
            <w:pPr>
              <w:rPr>
                <w:rFonts w:eastAsia="Times New Roman" w:cs="Arial"/>
                <w:b/>
                <w:bCs/>
                <w:color w:val="000000"/>
                <w:u w:val="single"/>
                <w:lang w:eastAsia="bg-BG"/>
              </w:rPr>
            </w:pPr>
            <w:r w:rsidRPr="00AF43AE">
              <w:rPr>
                <w:b/>
                <w:bCs/>
              </w:rPr>
              <w:t>Рисков фактор</w:t>
            </w:r>
          </w:p>
        </w:tc>
        <w:tc>
          <w:tcPr>
            <w:tcW w:w="4750" w:type="dxa"/>
          </w:tcPr>
          <w:p w14:paraId="3C037F93" w14:textId="339DC610" w:rsidR="00AF43AE" w:rsidRPr="00AF43AE" w:rsidRDefault="00AF43AE" w:rsidP="00AF43AE">
            <w:pPr>
              <w:rPr>
                <w:rFonts w:eastAsia="Times New Roman" w:cs="Arial"/>
                <w:b/>
                <w:bCs/>
                <w:color w:val="000000"/>
                <w:u w:val="single"/>
                <w:lang w:eastAsia="bg-BG"/>
              </w:rPr>
            </w:pPr>
            <w:r w:rsidRPr="00AF43AE">
              <w:rPr>
                <w:b/>
                <w:bCs/>
              </w:rPr>
              <w:t>Коментар</w:t>
            </w:r>
          </w:p>
        </w:tc>
      </w:tr>
      <w:tr w:rsidR="00AF43AE" w14:paraId="52B4EF39" w14:textId="77777777" w:rsidTr="00AF43AE">
        <w:tc>
          <w:tcPr>
            <w:tcW w:w="4750" w:type="dxa"/>
          </w:tcPr>
          <w:p w14:paraId="16CF4589" w14:textId="46C41107" w:rsidR="00AF43AE" w:rsidRPr="00AF43AE" w:rsidRDefault="00AF43AE" w:rsidP="00AF43AE">
            <w:pPr>
              <w:rPr>
                <w:rFonts w:eastAsia="Times New Roman" w:cs="Arial"/>
                <w:b/>
                <w:bCs/>
                <w:color w:val="000000"/>
                <w:u w:val="single"/>
                <w:lang w:eastAsia="bg-BG"/>
              </w:rPr>
            </w:pPr>
            <w:r w:rsidRPr="00AF43AE">
              <w:t>Напредваща възраст</w:t>
            </w:r>
          </w:p>
        </w:tc>
        <w:tc>
          <w:tcPr>
            <w:tcW w:w="4750" w:type="dxa"/>
          </w:tcPr>
          <w:p w14:paraId="28AB67AC" w14:textId="6ACE22BD" w:rsidR="00AF43AE" w:rsidRPr="00AF43AE" w:rsidRDefault="00AF43AE" w:rsidP="00AF43AE">
            <w:pPr>
              <w:rPr>
                <w:rFonts w:eastAsia="Times New Roman" w:cs="Arial"/>
                <w:b/>
                <w:bCs/>
                <w:color w:val="000000"/>
                <w:u w:val="single"/>
                <w:lang w:eastAsia="bg-BG"/>
              </w:rPr>
            </w:pPr>
            <w:r w:rsidRPr="00AF43AE">
              <w:t>Особено над 35 години</w:t>
            </w:r>
          </w:p>
        </w:tc>
      </w:tr>
      <w:tr w:rsidR="00AF43AE" w14:paraId="492ED030" w14:textId="77777777" w:rsidTr="00AF43AE">
        <w:tc>
          <w:tcPr>
            <w:tcW w:w="4750" w:type="dxa"/>
          </w:tcPr>
          <w:p w14:paraId="024A5153" w14:textId="0117ADC4" w:rsidR="00AF43AE" w:rsidRPr="00AF43AE" w:rsidRDefault="00AF43AE" w:rsidP="00AF43AE">
            <w:pPr>
              <w:rPr>
                <w:rFonts w:eastAsia="Times New Roman" w:cs="Arial"/>
                <w:b/>
                <w:bCs/>
                <w:color w:val="000000"/>
                <w:u w:val="single"/>
                <w:lang w:eastAsia="bg-BG"/>
              </w:rPr>
            </w:pPr>
            <w:r w:rsidRPr="00AF43AE">
              <w:t>Тютюнопушене</w:t>
            </w:r>
          </w:p>
        </w:tc>
        <w:tc>
          <w:tcPr>
            <w:tcW w:w="4750" w:type="dxa"/>
          </w:tcPr>
          <w:p w14:paraId="781E9B0A" w14:textId="0471EA7C" w:rsidR="00AF43AE" w:rsidRPr="00AF43AE" w:rsidRDefault="00AF43AE" w:rsidP="00AF43AE">
            <w:pPr>
              <w:rPr>
                <w:rFonts w:eastAsia="Times New Roman" w:cs="Arial"/>
                <w:b/>
                <w:bCs/>
                <w:color w:val="000000"/>
                <w:u w:val="single"/>
                <w:lang w:eastAsia="bg-BG"/>
              </w:rPr>
            </w:pPr>
            <w:r w:rsidRPr="00AF43AE">
              <w:t>Жените трябва да бъдат съветвани да не пушат, ако желаят да използват КХК. Жени над 35 години, които продължават да пушат, трябва настойчиво да бъдат съветвани да използват различен метод на контрацепция.</w:t>
            </w:r>
          </w:p>
        </w:tc>
      </w:tr>
      <w:tr w:rsidR="00AF43AE" w14:paraId="51DF15DD" w14:textId="77777777" w:rsidTr="00AF43AE">
        <w:tc>
          <w:tcPr>
            <w:tcW w:w="4750" w:type="dxa"/>
          </w:tcPr>
          <w:p w14:paraId="23F58E17" w14:textId="213D45F5" w:rsidR="00AF43AE" w:rsidRPr="00AF43AE" w:rsidRDefault="00AF43AE" w:rsidP="00AF43AE">
            <w:pPr>
              <w:rPr>
                <w:rFonts w:eastAsia="Times New Roman" w:cs="Arial"/>
                <w:b/>
                <w:bCs/>
                <w:color w:val="000000"/>
                <w:u w:val="single"/>
                <w:lang w:eastAsia="bg-BG"/>
              </w:rPr>
            </w:pPr>
            <w:r w:rsidRPr="00AF43AE">
              <w:t>Хипертония</w:t>
            </w:r>
          </w:p>
        </w:tc>
        <w:tc>
          <w:tcPr>
            <w:tcW w:w="4750" w:type="dxa"/>
          </w:tcPr>
          <w:p w14:paraId="1E58DB3B" w14:textId="77777777" w:rsidR="00AF43AE" w:rsidRPr="00AF43AE" w:rsidRDefault="00AF43AE" w:rsidP="00AF43AE">
            <w:pPr>
              <w:rPr>
                <w:rFonts w:eastAsia="Times New Roman" w:cs="Arial"/>
                <w:b/>
                <w:bCs/>
                <w:color w:val="000000"/>
                <w:u w:val="single"/>
                <w:lang w:eastAsia="bg-BG"/>
              </w:rPr>
            </w:pPr>
          </w:p>
        </w:tc>
      </w:tr>
      <w:tr w:rsidR="00AF43AE" w14:paraId="50B8DA47" w14:textId="77777777" w:rsidTr="00AF43AE">
        <w:tc>
          <w:tcPr>
            <w:tcW w:w="4750" w:type="dxa"/>
          </w:tcPr>
          <w:p w14:paraId="7656984C" w14:textId="46B17BBD" w:rsidR="00AF43AE" w:rsidRPr="00AF43AE" w:rsidRDefault="00AF43AE" w:rsidP="00AF43AE">
            <w:pPr>
              <w:rPr>
                <w:rFonts w:eastAsia="Times New Roman" w:cs="Arial"/>
                <w:b/>
                <w:bCs/>
                <w:color w:val="000000"/>
                <w:u w:val="single"/>
                <w:lang w:eastAsia="bg-BG"/>
              </w:rPr>
            </w:pPr>
            <w:r w:rsidRPr="00AF43AE">
              <w:t xml:space="preserve">Наднормено тегло (индекс на телесна маса над 30 </w:t>
            </w:r>
            <w:r w:rsidRPr="00AF43AE">
              <w:rPr>
                <w:lang w:val="en-US"/>
              </w:rPr>
              <w:t>kg/m</w:t>
            </w:r>
            <w:r w:rsidRPr="00AF43AE">
              <w:rPr>
                <w:vertAlign w:val="superscript"/>
                <w:lang w:val="en-US"/>
              </w:rPr>
              <w:t>2</w:t>
            </w:r>
            <w:r w:rsidRPr="00AF43AE">
              <w:rPr>
                <w:lang w:val="en-US"/>
              </w:rPr>
              <w:t>)</w:t>
            </w:r>
          </w:p>
        </w:tc>
        <w:tc>
          <w:tcPr>
            <w:tcW w:w="4750" w:type="dxa"/>
          </w:tcPr>
          <w:p w14:paraId="21E4D0E6" w14:textId="77777777" w:rsidR="00AF43AE" w:rsidRPr="00AF43AE" w:rsidRDefault="00AF43AE" w:rsidP="00AF43AE">
            <w:r w:rsidRPr="00AF43AE">
              <w:t xml:space="preserve">Рискът значително се увеличава с повишаването на индекса на телесна </w:t>
            </w:r>
            <w:r w:rsidRPr="00AF43AE">
              <w:rPr>
                <w:i/>
                <w:iCs/>
              </w:rPr>
              <w:t>маса</w:t>
            </w:r>
            <w:r w:rsidRPr="00AF43AE">
              <w:t xml:space="preserve"> </w:t>
            </w:r>
            <w:r w:rsidRPr="00AF43AE">
              <w:rPr>
                <w:lang w:val="en-US"/>
              </w:rPr>
              <w:t>(BMI).</w:t>
            </w:r>
          </w:p>
          <w:p w14:paraId="731D93B7" w14:textId="7A89CC76" w:rsidR="00AF43AE" w:rsidRPr="00AF43AE" w:rsidRDefault="00AF43AE" w:rsidP="00AF43AE">
            <w:pPr>
              <w:rPr>
                <w:rFonts w:ascii="Times New Roman" w:eastAsia="Times New Roman" w:hAnsi="Times New Roman" w:cs="Times New Roman"/>
                <w:sz w:val="24"/>
                <w:szCs w:val="24"/>
                <w:lang w:eastAsia="bg-BG"/>
              </w:rPr>
            </w:pPr>
            <w:r w:rsidRPr="00AF43AE">
              <w:t>Особено важно при жени с допълнителни рискови</w:t>
            </w:r>
            <w:r>
              <w:t xml:space="preserve"> </w:t>
            </w:r>
            <w:r w:rsidRPr="00AF43AE">
              <w:t>фактори</w:t>
            </w:r>
          </w:p>
        </w:tc>
      </w:tr>
      <w:tr w:rsidR="00AF43AE" w14:paraId="0CE911C1" w14:textId="77777777" w:rsidTr="00AF43AE">
        <w:tc>
          <w:tcPr>
            <w:tcW w:w="4750" w:type="dxa"/>
          </w:tcPr>
          <w:p w14:paraId="5E9AA6F0" w14:textId="3D2B61C8" w:rsidR="00AF43AE" w:rsidRPr="00AF43AE" w:rsidRDefault="00AF43AE" w:rsidP="00AF43AE">
            <w:pPr>
              <w:rPr>
                <w:rFonts w:eastAsia="Times New Roman" w:cs="Arial"/>
                <w:b/>
                <w:bCs/>
                <w:color w:val="000000"/>
                <w:u w:val="single"/>
                <w:lang w:eastAsia="bg-BG"/>
              </w:rPr>
            </w:pPr>
            <w:r w:rsidRPr="00AF43AE">
              <w:t>Наличие на фамилна анамнеза (артериална тромбоемболия при брат/сестра или родител, особено в сравнително млада възраст, напр. под 50 години).</w:t>
            </w:r>
          </w:p>
        </w:tc>
        <w:tc>
          <w:tcPr>
            <w:tcW w:w="4750" w:type="dxa"/>
          </w:tcPr>
          <w:p w14:paraId="6E033A86" w14:textId="44531185" w:rsidR="00AF43AE" w:rsidRPr="00AF43AE" w:rsidRDefault="00AF43AE" w:rsidP="00AF43AE">
            <w:pPr>
              <w:rPr>
                <w:rFonts w:eastAsia="Times New Roman" w:cs="Arial"/>
                <w:b/>
                <w:bCs/>
                <w:color w:val="000000"/>
                <w:u w:val="single"/>
                <w:lang w:eastAsia="bg-BG"/>
              </w:rPr>
            </w:pPr>
            <w:r w:rsidRPr="00AF43AE">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AF43AE" w14:paraId="2D979EBA" w14:textId="77777777" w:rsidTr="00AF43AE">
        <w:tc>
          <w:tcPr>
            <w:tcW w:w="4750" w:type="dxa"/>
          </w:tcPr>
          <w:p w14:paraId="645AE251" w14:textId="41D3E951" w:rsidR="00AF43AE" w:rsidRPr="00AF43AE" w:rsidRDefault="00AF43AE" w:rsidP="00AF43AE">
            <w:pPr>
              <w:rPr>
                <w:rFonts w:eastAsia="Times New Roman" w:cs="Arial"/>
                <w:b/>
                <w:bCs/>
                <w:color w:val="000000"/>
                <w:u w:val="single"/>
                <w:lang w:eastAsia="bg-BG"/>
              </w:rPr>
            </w:pPr>
            <w:r w:rsidRPr="00AF43AE">
              <w:t>Мигрена</w:t>
            </w:r>
          </w:p>
        </w:tc>
        <w:tc>
          <w:tcPr>
            <w:tcW w:w="4750" w:type="dxa"/>
          </w:tcPr>
          <w:p w14:paraId="0DA92907" w14:textId="79AAA5A2" w:rsidR="00AF43AE" w:rsidRPr="00AF43AE" w:rsidRDefault="00AF43AE" w:rsidP="00AF43AE">
            <w:pPr>
              <w:rPr>
                <w:rFonts w:eastAsia="Times New Roman" w:cs="Arial"/>
                <w:b/>
                <w:bCs/>
                <w:color w:val="000000"/>
                <w:u w:val="single"/>
                <w:lang w:eastAsia="bg-BG"/>
              </w:rPr>
            </w:pPr>
            <w:r w:rsidRPr="00AF43AE">
              <w:t xml:space="preserve">Увеличаването на честотата или тежестта </w:t>
            </w:r>
            <w:r w:rsidRPr="00AF43AE">
              <w:lastRenderedPageBreak/>
              <w:t>на мигренозните пристъпи по време на приемане на КХК (което може да е продромално състояние на мозъчно- съдов инцидент) може да стане причина за незабавно прекратяване на приема.</w:t>
            </w:r>
          </w:p>
        </w:tc>
      </w:tr>
      <w:tr w:rsidR="00AF43AE" w14:paraId="5D240BAA" w14:textId="77777777" w:rsidTr="00AF43AE">
        <w:tc>
          <w:tcPr>
            <w:tcW w:w="4750" w:type="dxa"/>
          </w:tcPr>
          <w:p w14:paraId="2CB10D5A" w14:textId="22A1368F" w:rsidR="00AF43AE" w:rsidRPr="00AF43AE" w:rsidRDefault="00AF43AE" w:rsidP="00AF43AE">
            <w:pPr>
              <w:rPr>
                <w:rFonts w:eastAsia="Times New Roman" w:cs="Arial"/>
                <w:b/>
                <w:bCs/>
                <w:color w:val="000000"/>
                <w:u w:val="single"/>
                <w:lang w:eastAsia="bg-BG"/>
              </w:rPr>
            </w:pPr>
            <w:r w:rsidRPr="00AF43AE">
              <w:lastRenderedPageBreak/>
              <w:t>Други заболявания, свързани с нежелани съдови събития</w:t>
            </w:r>
          </w:p>
        </w:tc>
        <w:tc>
          <w:tcPr>
            <w:tcW w:w="4750" w:type="dxa"/>
          </w:tcPr>
          <w:p w14:paraId="1F5A0FFC" w14:textId="1DB6C56C" w:rsidR="00AF43AE" w:rsidRPr="00AF43AE" w:rsidRDefault="00AF43AE" w:rsidP="00AF43AE">
            <w:pPr>
              <w:rPr>
                <w:rFonts w:eastAsia="Times New Roman" w:cs="Arial"/>
                <w:b/>
                <w:bCs/>
                <w:color w:val="000000"/>
                <w:u w:val="single"/>
                <w:lang w:eastAsia="bg-BG"/>
              </w:rPr>
            </w:pPr>
            <w:r w:rsidRPr="00AF43AE">
              <w:t>Захарен диабет, хиперхомоцистеинемия, клапно сърдечно заболяване и предсърдно мъждене, дислипопротеинемия и системен лупус еритематодес.</w:t>
            </w:r>
          </w:p>
        </w:tc>
      </w:tr>
    </w:tbl>
    <w:p w14:paraId="53C43A9D" w14:textId="07C07FED" w:rsidR="00AF43AE" w:rsidRDefault="00AF43AE" w:rsidP="00AF43AE">
      <w:pPr>
        <w:rPr>
          <w:rFonts w:eastAsia="Times New Roman" w:cs="Arial"/>
          <w:b/>
          <w:bCs/>
          <w:color w:val="000000"/>
          <w:u w:val="single"/>
          <w:lang w:eastAsia="bg-BG"/>
        </w:rPr>
      </w:pPr>
    </w:p>
    <w:p w14:paraId="15C9A00A" w14:textId="77777777" w:rsidR="00AF43AE" w:rsidRPr="00AF43AE" w:rsidRDefault="00AF43AE" w:rsidP="00AF43AE">
      <w:pPr>
        <w:spacing w:line="240" w:lineRule="auto"/>
        <w:rPr>
          <w:rFonts w:eastAsia="Times New Roman" w:cs="Arial"/>
          <w:lang w:eastAsia="bg-BG"/>
        </w:rPr>
      </w:pPr>
      <w:r w:rsidRPr="00AF43AE">
        <w:rPr>
          <w:rFonts w:eastAsia="Times New Roman" w:cs="Arial"/>
          <w:b/>
          <w:bCs/>
          <w:color w:val="000000"/>
          <w:u w:val="single"/>
          <w:lang w:eastAsia="bg-BG"/>
        </w:rPr>
        <w:t>Симптоми на АТЕ</w:t>
      </w:r>
    </w:p>
    <w:p w14:paraId="730D6922"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648744D2"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Симптомите на мозъчно-съдов инцидент могат да включват:</w:t>
      </w:r>
    </w:p>
    <w:p w14:paraId="22746D5C"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внезапно изтръпване или слабост на лицето, ръцете или краката, особено от едната страна на тялото;</w:t>
      </w:r>
    </w:p>
    <w:p w14:paraId="53D3A521"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внезапно затруднение при ходене, замаяност, загуба на равновесие или координация;</w:t>
      </w:r>
    </w:p>
    <w:p w14:paraId="4F5BC944"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внезапна обърканост, затруднен говор или затруднено разбиране;</w:t>
      </w:r>
    </w:p>
    <w:p w14:paraId="7473866C"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внезапно затруднено виждане с едното или и с двете очи;</w:t>
      </w:r>
    </w:p>
    <w:p w14:paraId="29C60877"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внезапно, тежко или продължително главоболие без известна причина;</w:t>
      </w:r>
    </w:p>
    <w:p w14:paraId="24AE3A19" w14:textId="1995FADF" w:rsidR="00AF43AE" w:rsidRP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загуба на съзнание или припадък със или без гърч.</w:t>
      </w:r>
    </w:p>
    <w:p w14:paraId="4AF79198" w14:textId="2D3F93B3"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Преходните симптоми предполагат, че събитието е преходна исхемична атака (ПИА).</w:t>
      </w:r>
    </w:p>
    <w:p w14:paraId="16995D1F"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Симптомите на инфаркт на миокарда (ИМ) могат да включват:</w:t>
      </w:r>
    </w:p>
    <w:p w14:paraId="25C10F7D"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болка, дискомфорт, напрежение, тежест, усещане за тежест или стягане в гърдите, ръката или под гръдната кост;</w:t>
      </w:r>
    </w:p>
    <w:p w14:paraId="57DAA791"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дискомфорт, разпространяващ се към гърба, челюстта, гърлото, ръката, стомаха;</w:t>
      </w:r>
    </w:p>
    <w:p w14:paraId="63BD3B9E"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усещане за ситост, наличие на лошо храносмилане или задавяне;</w:t>
      </w:r>
    </w:p>
    <w:p w14:paraId="22FE986B" w14:textId="77777777" w:rsid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изпотяване, гадене, повръщане или замаяност;</w:t>
      </w:r>
    </w:p>
    <w:p w14:paraId="1418C517" w14:textId="1995CDA3" w:rsidR="00AF43AE" w:rsidRPr="00AF43AE" w:rsidRDefault="00AF43AE" w:rsidP="00AF43AE">
      <w:pPr>
        <w:pStyle w:val="ListParagraph"/>
        <w:numPr>
          <w:ilvl w:val="0"/>
          <w:numId w:val="2"/>
        </w:numPr>
        <w:spacing w:line="240" w:lineRule="auto"/>
        <w:rPr>
          <w:rFonts w:eastAsia="Times New Roman" w:cs="Arial"/>
          <w:color w:val="000000"/>
          <w:lang w:eastAsia="bg-BG"/>
        </w:rPr>
      </w:pPr>
      <w:r w:rsidRPr="00AF43AE">
        <w:rPr>
          <w:rFonts w:eastAsia="Times New Roman" w:cs="Arial"/>
          <w:color w:val="000000"/>
          <w:lang w:eastAsia="bg-BG"/>
        </w:rPr>
        <w:t>прекомерна слабост, безпокойство или задух; — ускорен или неправилен сърдечен ритъм.</w:t>
      </w:r>
    </w:p>
    <w:p w14:paraId="1494DDB5" w14:textId="77777777" w:rsidR="00AF43AE" w:rsidRDefault="00AF43AE" w:rsidP="00AF43AE">
      <w:pPr>
        <w:spacing w:line="240" w:lineRule="auto"/>
        <w:rPr>
          <w:rFonts w:eastAsia="Times New Roman" w:cs="Arial"/>
          <w:i/>
          <w:iCs/>
          <w:color w:val="000000"/>
          <w:lang w:eastAsia="bg-BG"/>
        </w:rPr>
      </w:pPr>
    </w:p>
    <w:p w14:paraId="154DB6C2" w14:textId="1C2A0F2C"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eastAsia="bg-BG"/>
        </w:rPr>
        <w:t>Тумори</w:t>
      </w:r>
    </w:p>
    <w:p w14:paraId="57F7B1ED" w14:textId="77777777" w:rsidR="00AF43AE" w:rsidRDefault="00AF43AE" w:rsidP="00AF43AE">
      <w:pPr>
        <w:spacing w:line="240" w:lineRule="auto"/>
        <w:rPr>
          <w:rFonts w:eastAsia="Times New Roman" w:cs="Arial"/>
          <w:color w:val="000000"/>
          <w:lang w:eastAsia="bg-BG"/>
        </w:rPr>
      </w:pPr>
    </w:p>
    <w:p w14:paraId="6168FB2E" w14:textId="2E0A309D"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Най-важният рисков фактор за цервикален рак е налична </w:t>
      </w:r>
      <w:r w:rsidRPr="00AF43AE">
        <w:rPr>
          <w:rFonts w:eastAsia="Times New Roman" w:cs="Arial"/>
          <w:color w:val="000000"/>
          <w:lang w:val="en-US"/>
        </w:rPr>
        <w:t xml:space="preserve">HPV </w:t>
      </w:r>
      <w:r w:rsidRPr="00AF43AE">
        <w:rPr>
          <w:rFonts w:eastAsia="Times New Roman" w:cs="Arial"/>
          <w:color w:val="000000"/>
          <w:lang w:eastAsia="bg-BG"/>
        </w:rPr>
        <w:t>инфекция. В някои епидемиологични проучвания се съобщава за увеличен риск от рак на маточната шийка при продължителна употреба на КОК, но те все още са противоречиви относно степента, до която тази находка може да се дължи на придружаващи фактори, например цервикален скрининг и сексуално поведение, включващо употреба на бариерна контрацепция.</w:t>
      </w:r>
    </w:p>
    <w:p w14:paraId="2C2417E8" w14:textId="77777777" w:rsidR="00AF43AE" w:rsidRDefault="00AF43AE" w:rsidP="00AF43AE">
      <w:pPr>
        <w:rPr>
          <w:rFonts w:eastAsia="Times New Roman" w:cs="Arial"/>
          <w:color w:val="000000"/>
          <w:lang w:eastAsia="bg-BG"/>
        </w:rPr>
      </w:pPr>
    </w:p>
    <w:p w14:paraId="3EC504F8" w14:textId="77777777" w:rsidR="00AF43AE" w:rsidRPr="00AF43AE" w:rsidRDefault="00AF43AE" w:rsidP="00AF43AE">
      <w:pPr>
        <w:rPr>
          <w:rFonts w:eastAsia="Times New Roman" w:cs="Arial"/>
          <w:lang w:eastAsia="bg-BG"/>
        </w:rPr>
      </w:pPr>
      <w:r w:rsidRPr="00AF43AE">
        <w:rPr>
          <w:rFonts w:eastAsia="Times New Roman" w:cs="Arial"/>
          <w:color w:val="000000"/>
          <w:lang w:eastAsia="bg-BG"/>
        </w:rPr>
        <w:t xml:space="preserve">Мета-анализ на 54 епидемиологични проучвания показва, че съществува леко увеличен относителен риск </w:t>
      </w:r>
      <w:r w:rsidRPr="00AF43AE">
        <w:rPr>
          <w:rFonts w:eastAsia="Times New Roman" w:cs="Arial"/>
          <w:color w:val="000000"/>
          <w:lang w:val="en-US"/>
        </w:rPr>
        <w:t xml:space="preserve">(RR=1,24) </w:t>
      </w:r>
      <w:r w:rsidRPr="00AF43AE">
        <w:rPr>
          <w:rFonts w:eastAsia="Times New Roman" w:cs="Arial"/>
          <w:color w:val="000000"/>
          <w:lang w:eastAsia="bg-BG"/>
        </w:rPr>
        <w:t xml:space="preserve">за установяване рак на гърдата при жени, използващи КОК. Рискът постепенно изчезва в продължение на 10 години след прекратяване употребата на КОК. Тъй като рак на гърдата се среща рядко при жени под 40 години, увеличеният брой на диагноза на рак на гърдата при жени, употребяващи или употребявали КОК, е </w:t>
      </w:r>
      <w:r w:rsidRPr="00AF43AE">
        <w:rPr>
          <w:rFonts w:eastAsia="Times New Roman" w:cs="Arial"/>
          <w:color w:val="000000"/>
          <w:lang w:eastAsia="bg-BG"/>
        </w:rPr>
        <w:lastRenderedPageBreak/>
        <w:t>малък в сравнение с общия риск от рак на гърдата. Тези проучвания не дават доказателство за причинна връзка. Наблюдаваното увеличение на риска може да се дължи на по-ранна диагноза на рак на гърдата при жени, използващи КОК, на биологичните</w:t>
      </w:r>
      <w:r>
        <w:rPr>
          <w:rFonts w:eastAsia="Times New Roman" w:cs="Arial"/>
          <w:color w:val="000000"/>
          <w:lang w:eastAsia="bg-BG"/>
        </w:rPr>
        <w:t xml:space="preserve"> </w:t>
      </w:r>
      <w:r w:rsidRPr="00AF43AE">
        <w:rPr>
          <w:rFonts w:eastAsia="Times New Roman" w:cs="Arial"/>
          <w:color w:val="000000"/>
          <w:lang w:eastAsia="bg-BG"/>
        </w:rPr>
        <w:t>ефекти на КОК или на комбинация от двете. Ракът на гърдата, диагностициран при употребяващите КОК, е в по-ранен стадий, отколкото този, диагностициран при жени, които никога не са използвали КОК.</w:t>
      </w:r>
    </w:p>
    <w:p w14:paraId="788BED39" w14:textId="77777777" w:rsidR="00AF43AE" w:rsidRDefault="00AF43AE" w:rsidP="00AF43AE">
      <w:pPr>
        <w:spacing w:line="240" w:lineRule="auto"/>
        <w:rPr>
          <w:rFonts w:eastAsia="Times New Roman" w:cs="Arial"/>
          <w:color w:val="000000"/>
          <w:lang w:eastAsia="bg-BG"/>
        </w:rPr>
      </w:pPr>
    </w:p>
    <w:p w14:paraId="275C7251" w14:textId="3C7BE84F"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В редки случаи при употреба на КОК се наблюдават доброкачествени тумори на черния дроб, а в много редки случаи - злокачествени. В изолирани случаи, тези тумори са причинили животозастрашаващи интраабдоминални хеморагии. При диференциална диагноза трябва да се мисли за чернодробен тумор когато при жени, взимащи КОК се появят силни болки в горната коремна област, увеличение на черния дроб или признаци на интраабдоминална хеморагия.</w:t>
      </w:r>
    </w:p>
    <w:p w14:paraId="67A61DCF" w14:textId="77777777" w:rsidR="00AF43AE" w:rsidRDefault="00AF43AE" w:rsidP="00AF43AE">
      <w:pPr>
        <w:spacing w:line="240" w:lineRule="auto"/>
        <w:rPr>
          <w:rFonts w:eastAsia="Times New Roman" w:cs="Arial"/>
          <w:color w:val="000000"/>
          <w:lang w:eastAsia="bg-BG"/>
        </w:rPr>
      </w:pPr>
    </w:p>
    <w:p w14:paraId="209A4733" w14:textId="2B188B56"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Злокачествените заболявания могат да бъдат животозастрашаващи или да имат фатален изход.</w:t>
      </w:r>
    </w:p>
    <w:p w14:paraId="27411E89" w14:textId="77777777" w:rsidR="00AF43AE" w:rsidRDefault="00AF43AE" w:rsidP="00AF43AE">
      <w:pPr>
        <w:spacing w:line="240" w:lineRule="auto"/>
        <w:rPr>
          <w:rFonts w:eastAsia="Times New Roman" w:cs="Arial"/>
          <w:i/>
          <w:iCs/>
          <w:color w:val="000000"/>
          <w:lang w:eastAsia="bg-BG"/>
        </w:rPr>
      </w:pPr>
    </w:p>
    <w:p w14:paraId="59AA24BA" w14:textId="6AD2778C"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eastAsia="bg-BG"/>
        </w:rPr>
        <w:t>Други състояния</w:t>
      </w:r>
    </w:p>
    <w:p w14:paraId="3086CDA4" w14:textId="77777777" w:rsidR="00AF43AE" w:rsidRDefault="00AF43AE" w:rsidP="00AF43AE">
      <w:pPr>
        <w:spacing w:line="240" w:lineRule="auto"/>
        <w:rPr>
          <w:rFonts w:eastAsia="Times New Roman" w:cs="Arial"/>
          <w:color w:val="000000"/>
          <w:lang w:eastAsia="bg-BG"/>
        </w:rPr>
      </w:pPr>
    </w:p>
    <w:p w14:paraId="6F4FCC0F" w14:textId="083D3E2C"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Жените с хипертриглицеридемия или с фамилна обремененост са с увеличен риск от поява на панкреатит при употреба на КОК.</w:t>
      </w:r>
    </w:p>
    <w:p w14:paraId="1556081A" w14:textId="77777777" w:rsidR="00AF43AE" w:rsidRDefault="00AF43AE" w:rsidP="00AF43AE">
      <w:pPr>
        <w:spacing w:line="240" w:lineRule="auto"/>
        <w:rPr>
          <w:rFonts w:eastAsia="Times New Roman" w:cs="Arial"/>
          <w:color w:val="000000"/>
          <w:lang w:eastAsia="bg-BG"/>
        </w:rPr>
      </w:pPr>
    </w:p>
    <w:p w14:paraId="63544924" w14:textId="3E8BD423"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Въпреки че при някои жени, приемащи КОК има съобщения за повишени стойности на кръвното налягане, клинично значимата хипертония е рядкост. Въпреки това, ако по време на лечението с КОК се появи клинично значима хипертония, желателно е да се прекрати лечението с КОК и да се лекува хипертонията. В случаи на необходимост при достигнати нормотензивни стойности на кръвното налягане, употребата на КОК може да бъде възобновена.</w:t>
      </w:r>
    </w:p>
    <w:p w14:paraId="2460E238" w14:textId="77777777" w:rsidR="00AF43AE" w:rsidRDefault="00AF43AE" w:rsidP="00AF43AE">
      <w:pPr>
        <w:spacing w:line="240" w:lineRule="auto"/>
        <w:rPr>
          <w:rFonts w:eastAsia="Times New Roman" w:cs="Arial"/>
          <w:color w:val="000000"/>
          <w:lang w:eastAsia="bg-BG"/>
        </w:rPr>
      </w:pPr>
    </w:p>
    <w:p w14:paraId="3386E749" w14:textId="20818891"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Следните състояния са свързани или се влошават при бременност или употребата на КОК, но връзката им с КОК не е доказана: жълтеница и/или сърбеж, свързан с холестаза; образуване на жлъчни камъни; порфирия; системен лупус еритематозус; хемолитичен уремичен синдром; хорея на </w:t>
      </w:r>
      <w:r w:rsidRPr="00AF43AE">
        <w:rPr>
          <w:rFonts w:eastAsia="Times New Roman" w:cs="Arial"/>
          <w:color w:val="000000"/>
          <w:lang w:val="en-US"/>
        </w:rPr>
        <w:t xml:space="preserve">Sydenham; </w:t>
      </w:r>
      <w:r w:rsidRPr="00AF43AE">
        <w:rPr>
          <w:rFonts w:eastAsia="Times New Roman" w:cs="Arial"/>
          <w:color w:val="000000"/>
          <w:lang w:eastAsia="bg-BG"/>
        </w:rPr>
        <w:t>гестационен херпес; загуба на слуха, свързана с отосклероза.</w:t>
      </w:r>
    </w:p>
    <w:p w14:paraId="485914E4" w14:textId="77777777" w:rsidR="00AF43AE" w:rsidRDefault="00AF43AE" w:rsidP="00AF43AE">
      <w:pPr>
        <w:spacing w:line="240" w:lineRule="auto"/>
        <w:rPr>
          <w:rFonts w:eastAsia="Times New Roman" w:cs="Arial"/>
          <w:color w:val="000000"/>
          <w:lang w:eastAsia="bg-BG"/>
        </w:rPr>
      </w:pPr>
    </w:p>
    <w:p w14:paraId="5963A300" w14:textId="33D33305"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При жени с наследствен ангиоедем, екзогенните естрогени могат да индуцират или обострят симптомите на ангиоедем.</w:t>
      </w:r>
    </w:p>
    <w:p w14:paraId="751447F1" w14:textId="77777777" w:rsidR="00AF43AE" w:rsidRDefault="00AF43AE" w:rsidP="00AF43AE">
      <w:pPr>
        <w:spacing w:line="240" w:lineRule="auto"/>
        <w:rPr>
          <w:rFonts w:eastAsia="Times New Roman" w:cs="Arial"/>
          <w:color w:val="000000"/>
          <w:lang w:eastAsia="bg-BG"/>
        </w:rPr>
      </w:pPr>
    </w:p>
    <w:p w14:paraId="5E711BC7" w14:textId="1C835302"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При остри или хронични нарушения на чернодробната функция може да се наложи прекратяване употребата на КОК, докато се нормализират чернодробните проби. Рецидив на холестатична жълтеница, която за пръв път се е появила по време на бременност или при предишна употреба на полови хормони, също налага да се прекрати употребата на КОК.</w:t>
      </w:r>
    </w:p>
    <w:p w14:paraId="25977B00" w14:textId="77777777" w:rsidR="00AF43AE" w:rsidRDefault="00AF43AE" w:rsidP="00AF43AE">
      <w:pPr>
        <w:spacing w:line="240" w:lineRule="auto"/>
        <w:rPr>
          <w:rFonts w:eastAsia="Times New Roman" w:cs="Arial"/>
          <w:color w:val="000000"/>
          <w:lang w:eastAsia="bg-BG"/>
        </w:rPr>
      </w:pPr>
    </w:p>
    <w:p w14:paraId="344386E6" w14:textId="2618EF0D"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Въпреки че КОК може да оказват ефект върху периферната резистентност на инсулин и глкжозния толеранс, няма доказателства за необходимост от промяна на терапевтичния режим при диабетички, използващи нискодозови КОК (съдържащи &lt; 0,05 </w:t>
      </w:r>
      <w:r w:rsidRPr="00AF43AE">
        <w:rPr>
          <w:rFonts w:eastAsia="Times New Roman" w:cs="Arial"/>
          <w:color w:val="000000"/>
          <w:lang w:val="en-US"/>
        </w:rPr>
        <w:t xml:space="preserve">mg </w:t>
      </w:r>
      <w:r w:rsidRPr="00AF43AE">
        <w:rPr>
          <w:rFonts w:eastAsia="Times New Roman" w:cs="Arial"/>
          <w:color w:val="000000"/>
          <w:lang w:eastAsia="bg-BG"/>
        </w:rPr>
        <w:t>етинилестрадиол). Все пак диабетичките трябва внимателно да се наблюдават, докато приемат КОК.</w:t>
      </w:r>
    </w:p>
    <w:p w14:paraId="70E44A4A" w14:textId="77777777" w:rsidR="00AF43AE" w:rsidRDefault="00AF43AE" w:rsidP="00AF43AE">
      <w:pPr>
        <w:spacing w:line="240" w:lineRule="auto"/>
        <w:rPr>
          <w:rFonts w:eastAsia="Times New Roman" w:cs="Arial"/>
          <w:color w:val="000000"/>
          <w:lang w:eastAsia="bg-BG"/>
        </w:rPr>
      </w:pPr>
    </w:p>
    <w:p w14:paraId="1D9AE4B9" w14:textId="3F566819"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lastRenderedPageBreak/>
        <w:t xml:space="preserve">Болестта на </w:t>
      </w:r>
      <w:r w:rsidRPr="00AF43AE">
        <w:rPr>
          <w:rFonts w:eastAsia="Times New Roman" w:cs="Arial"/>
          <w:color w:val="000000"/>
          <w:lang w:val="en-US"/>
        </w:rPr>
        <w:t xml:space="preserve">Crohn </w:t>
      </w:r>
      <w:r w:rsidRPr="00AF43AE">
        <w:rPr>
          <w:rFonts w:eastAsia="Times New Roman" w:cs="Arial"/>
          <w:color w:val="000000"/>
          <w:lang w:eastAsia="bg-BG"/>
        </w:rPr>
        <w:t>и улцерозният колит се свързват с употребата на КОК.</w:t>
      </w:r>
    </w:p>
    <w:p w14:paraId="69B5F730" w14:textId="77777777" w:rsidR="00AF43AE" w:rsidRDefault="00AF43AE" w:rsidP="00AF43AE">
      <w:pPr>
        <w:spacing w:line="240" w:lineRule="auto"/>
        <w:rPr>
          <w:rFonts w:eastAsia="Times New Roman" w:cs="Arial"/>
          <w:color w:val="000000"/>
          <w:lang w:eastAsia="bg-BG"/>
        </w:rPr>
      </w:pPr>
    </w:p>
    <w:p w14:paraId="5A454567" w14:textId="0102F6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Понякога може да се появи хлоазма, най-вече при жените, които са имали хлоазма по време на бременност. Жените с предразположение към хлоазма трябва да избягват излагане на слънце или ултравиолетово облъчване, докато приемат КОК.</w:t>
      </w:r>
    </w:p>
    <w:p w14:paraId="0F885D66" w14:textId="77777777" w:rsidR="00AF43AE" w:rsidRDefault="00AF43AE" w:rsidP="00AF43AE">
      <w:pPr>
        <w:spacing w:line="240" w:lineRule="auto"/>
        <w:rPr>
          <w:rFonts w:eastAsia="Times New Roman" w:cs="Arial"/>
          <w:color w:val="000000"/>
          <w:lang w:eastAsia="bg-BG"/>
        </w:rPr>
      </w:pPr>
    </w:p>
    <w:p w14:paraId="2E84631A" w14:textId="04D8E2FB"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Всяка обвита таблетка от този лекарствен продукт съдържа 37,43 </w:t>
      </w:r>
      <w:r w:rsidRPr="00AF43AE">
        <w:rPr>
          <w:rFonts w:eastAsia="Times New Roman" w:cs="Arial"/>
          <w:color w:val="000000"/>
          <w:lang w:val="en-US"/>
        </w:rPr>
        <w:t xml:space="preserve">mg </w:t>
      </w:r>
      <w:r w:rsidRPr="00AF43AE">
        <w:rPr>
          <w:rFonts w:eastAsia="Times New Roman" w:cs="Arial"/>
          <w:color w:val="000000"/>
          <w:lang w:eastAsia="bg-BG"/>
        </w:rPr>
        <w:t xml:space="preserve">лактоза монохидрат и 19,66 </w:t>
      </w:r>
      <w:r w:rsidRPr="00AF43AE">
        <w:rPr>
          <w:rFonts w:eastAsia="Times New Roman" w:cs="Arial"/>
          <w:color w:val="000000"/>
          <w:lang w:val="en-US"/>
        </w:rPr>
        <w:t xml:space="preserve">mg </w:t>
      </w:r>
      <w:r w:rsidRPr="00AF43AE">
        <w:rPr>
          <w:rFonts w:eastAsia="Times New Roman" w:cs="Arial"/>
          <w:color w:val="000000"/>
          <w:lang w:eastAsia="bg-BG"/>
        </w:rPr>
        <w:t xml:space="preserve">захароза. Пациентите с редки наследствени проблеми на непоносимост към фруктоза, сукраза изомалтазна недостатъчност, галактозна непоносимост, </w:t>
      </w:r>
      <w:r w:rsidRPr="00AF43AE">
        <w:rPr>
          <w:rFonts w:eastAsia="Times New Roman" w:cs="Arial"/>
          <w:color w:val="000000"/>
          <w:lang w:val="en-US"/>
        </w:rPr>
        <w:t xml:space="preserve">Lapp </w:t>
      </w:r>
      <w:r w:rsidRPr="00AF43AE">
        <w:rPr>
          <w:rFonts w:eastAsia="Times New Roman" w:cs="Arial"/>
          <w:color w:val="000000"/>
          <w:lang w:eastAsia="bg-BG"/>
        </w:rPr>
        <w:t>лактазен дефицит или глюкозо- галактозна малабсорбция не трябва да приемат това лекарство.</w:t>
      </w:r>
    </w:p>
    <w:p w14:paraId="7EF869B5" w14:textId="27DA9864" w:rsidR="00AF43AE" w:rsidRPr="00AF43AE" w:rsidRDefault="00AF43AE" w:rsidP="00AF43AE">
      <w:pPr>
        <w:rPr>
          <w:rFonts w:eastAsia="Times New Roman" w:cs="Arial"/>
          <w:b/>
          <w:bCs/>
          <w:color w:val="000000"/>
          <w:u w:val="single"/>
          <w:lang w:eastAsia="bg-BG"/>
        </w:rPr>
      </w:pPr>
    </w:p>
    <w:p w14:paraId="220F417B"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u w:val="single"/>
          <w:lang w:eastAsia="bg-BG"/>
        </w:rPr>
        <w:t>Повишаване на АЛАТ</w:t>
      </w:r>
    </w:p>
    <w:p w14:paraId="583E9523" w14:textId="77777777" w:rsidR="00AF43AE" w:rsidRDefault="00AF43AE" w:rsidP="00AF43AE">
      <w:pPr>
        <w:spacing w:line="240" w:lineRule="auto"/>
        <w:rPr>
          <w:rFonts w:eastAsia="Times New Roman" w:cs="Arial"/>
          <w:color w:val="000000"/>
          <w:lang w:eastAsia="bg-BG"/>
        </w:rPr>
      </w:pPr>
    </w:p>
    <w:p w14:paraId="3E4FBFC2" w14:textId="084EF5F6"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По време на клинични проучвания при пациенти с хепатит С вирусни </w:t>
      </w:r>
      <w:r w:rsidRPr="00AF43AE">
        <w:rPr>
          <w:rFonts w:eastAsia="Times New Roman" w:cs="Arial"/>
          <w:color w:val="000000"/>
          <w:lang w:val="en-US"/>
        </w:rPr>
        <w:t xml:space="preserve">(hepatitis </w:t>
      </w:r>
      <w:r w:rsidRPr="00AF43AE">
        <w:rPr>
          <w:rFonts w:eastAsia="Times New Roman" w:cs="Arial"/>
          <w:color w:val="000000"/>
          <w:lang w:eastAsia="bg-BG"/>
        </w:rPr>
        <w:t xml:space="preserve">С </w:t>
      </w:r>
      <w:r w:rsidRPr="00AF43AE">
        <w:rPr>
          <w:rFonts w:eastAsia="Times New Roman" w:cs="Arial"/>
          <w:color w:val="000000"/>
          <w:lang w:val="en-US"/>
        </w:rPr>
        <w:t xml:space="preserve">virus, HCV) </w:t>
      </w:r>
      <w:r w:rsidRPr="00AF43AE">
        <w:rPr>
          <w:rFonts w:eastAsia="Times New Roman" w:cs="Arial"/>
          <w:color w:val="000000"/>
          <w:lang w:eastAsia="bg-BG"/>
        </w:rPr>
        <w:t xml:space="preserve">инфекции, лекувани с лекарствени продукти, съдържащи омбитасвир/паритапревир/ритонавир и дасабувир със или без рибавирин, се наблюдава значително повишаване на трансаминазите (АЛАТ) повече от 5 пъти над горната граница на нормата </w:t>
      </w:r>
      <w:r w:rsidRPr="00AF43AE">
        <w:rPr>
          <w:rFonts w:eastAsia="Times New Roman" w:cs="Arial"/>
          <w:color w:val="000000"/>
          <w:lang w:val="en-US"/>
        </w:rPr>
        <w:t xml:space="preserve">(upper limit of normal, ULN), </w:t>
      </w:r>
      <w:r w:rsidRPr="00AF43AE">
        <w:rPr>
          <w:rFonts w:eastAsia="Times New Roman" w:cs="Arial"/>
          <w:color w:val="000000"/>
          <w:lang w:eastAsia="bg-BG"/>
        </w:rPr>
        <w:t>което се случва значително по-често при жени, употребяващи лекарства, съдържащи етинилестрадиол, такива като комбинирани хормонални контрацептиви (КХК) (вж. точки 4.3 и 4.5).</w:t>
      </w:r>
    </w:p>
    <w:p w14:paraId="16F9CD8A" w14:textId="77777777" w:rsidR="00AF43AE" w:rsidRDefault="00AF43AE" w:rsidP="00AF43AE">
      <w:pPr>
        <w:spacing w:line="240" w:lineRule="auto"/>
        <w:rPr>
          <w:rFonts w:eastAsia="Times New Roman" w:cs="Arial"/>
          <w:b/>
          <w:bCs/>
          <w:i/>
          <w:iCs/>
          <w:color w:val="000000"/>
          <w:lang w:eastAsia="bg-BG"/>
        </w:rPr>
      </w:pPr>
    </w:p>
    <w:p w14:paraId="147C5889" w14:textId="293FFDD6"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Медицински прегледи/консултации</w:t>
      </w:r>
    </w:p>
    <w:p w14:paraId="4CE3BAA8" w14:textId="77777777" w:rsidR="00AF43AE" w:rsidRDefault="00AF43AE" w:rsidP="00AF43AE">
      <w:pPr>
        <w:spacing w:line="240" w:lineRule="auto"/>
        <w:rPr>
          <w:rFonts w:eastAsia="Times New Roman" w:cs="Arial"/>
          <w:color w:val="000000"/>
          <w:lang w:eastAsia="bg-BG"/>
        </w:rPr>
      </w:pPr>
    </w:p>
    <w:p w14:paraId="015D3832" w14:textId="73EC5773"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Преди започване или подновяване на приема на Фемоден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 Важно е вниманието на жената да се насочи към информацията за венозна и артериална тромбоза, включително риска при Фемоден, сравнен с този при другите КХК, симптомите на ВТЕ и АТЕ, известните рискови фактори и какво да се прави в случай на съмнение за тромбоза.</w:t>
      </w:r>
    </w:p>
    <w:p w14:paraId="30841D57" w14:textId="77777777" w:rsidR="00AF43AE" w:rsidRDefault="00AF43AE" w:rsidP="00AF43AE">
      <w:pPr>
        <w:spacing w:line="240" w:lineRule="auto"/>
        <w:rPr>
          <w:rFonts w:eastAsia="Times New Roman" w:cs="Arial"/>
          <w:color w:val="000000"/>
          <w:lang w:eastAsia="bg-BG"/>
        </w:rPr>
      </w:pPr>
    </w:p>
    <w:p w14:paraId="70418105" w14:textId="5B0D83BF"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 основават на установените практически указания и да се адаптират за всяка отделна жена.</w:t>
      </w:r>
    </w:p>
    <w:p w14:paraId="62BF2C25" w14:textId="77777777" w:rsidR="00AF43AE" w:rsidRDefault="00AF43AE" w:rsidP="00AF43AE">
      <w:pPr>
        <w:spacing w:line="240" w:lineRule="auto"/>
        <w:rPr>
          <w:rFonts w:eastAsia="Times New Roman" w:cs="Arial"/>
          <w:color w:val="000000"/>
          <w:lang w:eastAsia="bg-BG"/>
        </w:rPr>
      </w:pPr>
    </w:p>
    <w:p w14:paraId="1BFF9920" w14:textId="577C9DD0"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Жените трябва да се информират, че хормоналните контрацептиви не предпазват от НГУ инфекции </w:t>
      </w:r>
      <w:r w:rsidRPr="00AF43AE">
        <w:rPr>
          <w:rFonts w:eastAsia="Times New Roman" w:cs="Arial"/>
          <w:i/>
          <w:iCs/>
          <w:color w:val="000000"/>
          <w:lang w:eastAsia="bg-BG"/>
        </w:rPr>
        <w:t>(СПИН)</w:t>
      </w:r>
      <w:r w:rsidRPr="00AF43AE">
        <w:rPr>
          <w:rFonts w:eastAsia="Times New Roman" w:cs="Arial"/>
          <w:color w:val="000000"/>
          <w:lang w:eastAsia="bg-BG"/>
        </w:rPr>
        <w:t xml:space="preserve"> и други болести, предавани по </w:t>
      </w:r>
      <w:r w:rsidRPr="00AF43AE">
        <w:rPr>
          <w:rFonts w:eastAsia="Times New Roman" w:cs="Arial"/>
          <w:i/>
          <w:iCs/>
          <w:color w:val="000000"/>
          <w:lang w:eastAsia="bg-BG"/>
        </w:rPr>
        <w:t>полов път.</w:t>
      </w:r>
    </w:p>
    <w:p w14:paraId="0CE87F48" w14:textId="77777777" w:rsidR="00AF43AE" w:rsidRDefault="00AF43AE" w:rsidP="00AF43AE">
      <w:pPr>
        <w:spacing w:line="240" w:lineRule="auto"/>
        <w:rPr>
          <w:rFonts w:eastAsia="Times New Roman" w:cs="Arial"/>
          <w:b/>
          <w:bCs/>
          <w:i/>
          <w:iCs/>
          <w:color w:val="000000"/>
          <w:lang w:eastAsia="bg-BG"/>
        </w:rPr>
      </w:pPr>
    </w:p>
    <w:p w14:paraId="37A22CD4" w14:textId="57665C1C"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Намалена ефективност</w:t>
      </w:r>
    </w:p>
    <w:p w14:paraId="7AE01D9F" w14:textId="77777777" w:rsidR="00AF43AE" w:rsidRDefault="00AF43AE" w:rsidP="00AF43AE">
      <w:pPr>
        <w:spacing w:line="240" w:lineRule="auto"/>
        <w:rPr>
          <w:rFonts w:eastAsia="Times New Roman" w:cs="Arial"/>
          <w:color w:val="000000"/>
          <w:lang w:eastAsia="bg-BG"/>
        </w:rPr>
      </w:pPr>
    </w:p>
    <w:p w14:paraId="639E9070" w14:textId="4E67B03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Контрацептивният ефект на КОК може да се влоши, например в случаи на пропускане прием на таблетки (вж. точка 4.2 </w:t>
      </w:r>
      <w:r w:rsidRPr="00AF43AE">
        <w:rPr>
          <w:rFonts w:eastAsia="Times New Roman" w:cs="Arial"/>
          <w:i/>
          <w:iCs/>
          <w:color w:val="000000"/>
          <w:lang w:eastAsia="bg-BG"/>
        </w:rPr>
        <w:t>Пропускане прием на таблетки),</w:t>
      </w:r>
      <w:r w:rsidRPr="00AF43AE">
        <w:rPr>
          <w:rFonts w:eastAsia="Times New Roman" w:cs="Arial"/>
          <w:color w:val="000000"/>
          <w:lang w:eastAsia="bg-BG"/>
        </w:rPr>
        <w:t xml:space="preserve"> гастро-интестинални нарушения (вж. точка 4.2 </w:t>
      </w:r>
      <w:r w:rsidRPr="00AF43AE">
        <w:rPr>
          <w:rFonts w:eastAsia="Times New Roman" w:cs="Arial"/>
          <w:i/>
          <w:iCs/>
          <w:color w:val="000000"/>
          <w:lang w:eastAsia="bg-BG"/>
        </w:rPr>
        <w:t>Съвети в случай на гастро-интестинални смущения)</w:t>
      </w:r>
      <w:r w:rsidRPr="00AF43AE">
        <w:rPr>
          <w:rFonts w:eastAsia="Times New Roman" w:cs="Arial"/>
          <w:color w:val="000000"/>
          <w:lang w:eastAsia="bg-BG"/>
        </w:rPr>
        <w:t xml:space="preserve"> по време на употребата на таблетките или едновременно прилагане с други лекарствени продукти (вж. точка 4.5 Взаимодействие с други лекарствени продукти и други форми на взаимодействие).</w:t>
      </w:r>
    </w:p>
    <w:p w14:paraId="7F391903" w14:textId="77777777" w:rsidR="00AF43AE" w:rsidRDefault="00AF43AE" w:rsidP="00AF43AE">
      <w:pPr>
        <w:spacing w:line="240" w:lineRule="auto"/>
        <w:rPr>
          <w:rFonts w:eastAsia="Times New Roman" w:cs="Arial"/>
          <w:b/>
          <w:bCs/>
          <w:i/>
          <w:iCs/>
          <w:color w:val="000000"/>
          <w:lang w:eastAsia="bg-BG"/>
        </w:rPr>
      </w:pPr>
    </w:p>
    <w:p w14:paraId="55180735" w14:textId="02DD4F55"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Влошен контрол върху цикъла</w:t>
      </w:r>
    </w:p>
    <w:p w14:paraId="1EBB807E" w14:textId="77777777" w:rsidR="00AF43AE" w:rsidRDefault="00AF43AE" w:rsidP="00AF43AE">
      <w:pPr>
        <w:spacing w:line="240" w:lineRule="auto"/>
        <w:rPr>
          <w:rFonts w:eastAsia="Times New Roman" w:cs="Arial"/>
          <w:color w:val="000000"/>
          <w:lang w:eastAsia="bg-BG"/>
        </w:rPr>
      </w:pPr>
    </w:p>
    <w:p w14:paraId="15D95306" w14:textId="4C817D94"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lastRenderedPageBreak/>
        <w:t>При използване на всеки КОК може да се появи ациклично кървене (зацапване или пробивно кървене), особено по време на първите месеци на употреба. Следователно, преценката на всяко ациклично кървене е от значение само след адаптационния период от около три цикъла.</w:t>
      </w:r>
    </w:p>
    <w:p w14:paraId="36171665" w14:textId="77777777" w:rsidR="00AF43AE" w:rsidRDefault="00AF43AE" w:rsidP="00AF43AE">
      <w:pPr>
        <w:spacing w:line="240" w:lineRule="auto"/>
        <w:rPr>
          <w:rFonts w:eastAsia="Times New Roman" w:cs="Arial"/>
          <w:color w:val="000000"/>
          <w:lang w:eastAsia="bg-BG"/>
        </w:rPr>
      </w:pPr>
    </w:p>
    <w:p w14:paraId="4D52CDB1" w14:textId="1A3D2091"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В случай, че ацикличното кървене персистира или се появява след редовни цикли, трябва да се изключи нехормонална причина и да бъдат предприети адекватни диагностични действия за изключване на бременност или злокачествено заболяване. Това може да включва кюретаж.</w:t>
      </w:r>
    </w:p>
    <w:p w14:paraId="07BBF479" w14:textId="77777777" w:rsidR="00AF43AE" w:rsidRDefault="00AF43AE" w:rsidP="00AF43AE">
      <w:pPr>
        <w:rPr>
          <w:rFonts w:eastAsia="Times New Roman" w:cs="Arial"/>
          <w:color w:val="000000"/>
          <w:lang w:eastAsia="bg-BG"/>
        </w:rPr>
      </w:pPr>
    </w:p>
    <w:p w14:paraId="4E525726" w14:textId="2EC2F19E" w:rsidR="00AF43AE" w:rsidRPr="00AF43AE" w:rsidRDefault="00AF43AE" w:rsidP="00AF43AE">
      <w:pPr>
        <w:rPr>
          <w:rFonts w:eastAsia="Times New Roman" w:cs="Arial"/>
          <w:color w:val="000000"/>
          <w:lang w:eastAsia="bg-BG"/>
        </w:rPr>
      </w:pPr>
      <w:r w:rsidRPr="00AF43AE">
        <w:rPr>
          <w:rFonts w:eastAsia="Times New Roman" w:cs="Arial"/>
          <w:color w:val="000000"/>
          <w:lang w:eastAsia="bg-BG"/>
        </w:rPr>
        <w:t>При някои жени след интервала без таблетки не се появява менструално кървене. Ако КОК е използван според указанията описани в точка 4.2, малко вероятно е жената да е бременно, но ако указанията не са спазени преди първото липсващо редовно кървене или ако два пъти не се появи такова кървене, трябва да се изключи бременност преди да се продължи използването на КОК.</w:t>
      </w:r>
    </w:p>
    <w:p w14:paraId="01D1E2A8" w14:textId="77777777" w:rsidR="00AF43AE" w:rsidRPr="00AF43AE" w:rsidRDefault="00AF43AE" w:rsidP="00AF43AE">
      <w:pPr>
        <w:rPr>
          <w:rFonts w:cs="Arial"/>
        </w:rPr>
      </w:pPr>
    </w:p>
    <w:p w14:paraId="1DA47448" w14:textId="509E70AA"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9551820" w14:textId="008B72D3" w:rsidR="00AF43AE" w:rsidRDefault="00AF43AE" w:rsidP="00AF43AE"/>
    <w:p w14:paraId="5D5760C7"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Забележка: Следва да се направи справка с лекарствената информация за прилаганите едновременно лекарства, за да се установи възможността за евентуални взаимодействия.</w:t>
      </w:r>
    </w:p>
    <w:p w14:paraId="203A6331" w14:textId="77777777" w:rsidR="00AF43AE" w:rsidRDefault="00AF43AE" w:rsidP="00AF43AE">
      <w:pPr>
        <w:spacing w:line="240" w:lineRule="auto"/>
        <w:rPr>
          <w:rFonts w:eastAsia="Times New Roman" w:cs="Arial"/>
          <w:b/>
          <w:bCs/>
          <w:i/>
          <w:iCs/>
          <w:color w:val="000000"/>
          <w:lang w:eastAsia="bg-BG"/>
        </w:rPr>
      </w:pPr>
    </w:p>
    <w:p w14:paraId="7C28A23C" w14:textId="1137AED2"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Ефекти на други лекарствени продукти върху Фемоден</w:t>
      </w:r>
    </w:p>
    <w:p w14:paraId="324EDFB0" w14:textId="77777777" w:rsidR="00AF43AE" w:rsidRDefault="00AF43AE" w:rsidP="00AF43AE">
      <w:pPr>
        <w:spacing w:line="240" w:lineRule="auto"/>
        <w:rPr>
          <w:rFonts w:eastAsia="Times New Roman" w:cs="Arial"/>
          <w:color w:val="000000"/>
          <w:lang w:eastAsia="bg-BG"/>
        </w:rPr>
      </w:pPr>
    </w:p>
    <w:p w14:paraId="3DE4BFDF" w14:textId="7AFC0B6A"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Може да възникнат взаимодействия с други лекарства, които индуцират микрозомални ензими, и това може да доведе до повишен клирънс на половите хормони, водещ до пробивно кървене и/или намалена контрацептивна защита.</w:t>
      </w:r>
    </w:p>
    <w:p w14:paraId="65C3F7B9" w14:textId="77777777" w:rsidR="00AF43AE" w:rsidRDefault="00AF43AE" w:rsidP="00AF43AE">
      <w:pPr>
        <w:spacing w:line="240" w:lineRule="auto"/>
        <w:rPr>
          <w:rFonts w:eastAsia="Times New Roman" w:cs="Arial"/>
          <w:color w:val="000000"/>
          <w:lang w:eastAsia="bg-BG"/>
        </w:rPr>
      </w:pPr>
    </w:p>
    <w:p w14:paraId="0BA1B365" w14:textId="16E83849"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Контрол</w:t>
      </w:r>
    </w:p>
    <w:p w14:paraId="5E541752" w14:textId="77777777" w:rsidR="00AF43AE" w:rsidRDefault="00AF43AE" w:rsidP="00AF43AE">
      <w:pPr>
        <w:spacing w:line="240" w:lineRule="auto"/>
        <w:rPr>
          <w:rFonts w:eastAsia="Times New Roman" w:cs="Arial"/>
          <w:color w:val="000000"/>
          <w:lang w:eastAsia="bg-BG"/>
        </w:rPr>
      </w:pPr>
    </w:p>
    <w:p w14:paraId="556BD3F3" w14:textId="2A035EAF"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Ензимна индукция може да се наблюдава след няколко дни лечение. Обикновено максималната ензимна индукция протича в рамките на няколко седмици. След спиране на лекарствената терапия ензимната индукция може да продължи до около 4 седмици.</w:t>
      </w:r>
    </w:p>
    <w:p w14:paraId="7D48AED8" w14:textId="77777777" w:rsidR="00AF43AE" w:rsidRDefault="00AF43AE" w:rsidP="00AF43AE">
      <w:pPr>
        <w:spacing w:line="240" w:lineRule="auto"/>
        <w:rPr>
          <w:rFonts w:eastAsia="Times New Roman" w:cs="Arial"/>
          <w:color w:val="000000"/>
          <w:lang w:eastAsia="bg-BG"/>
        </w:rPr>
      </w:pPr>
    </w:p>
    <w:p w14:paraId="10920B6C" w14:textId="77777777" w:rsidR="00AF43AE" w:rsidRDefault="00AF43AE" w:rsidP="00AF43AE">
      <w:pPr>
        <w:spacing w:line="240" w:lineRule="auto"/>
        <w:rPr>
          <w:rFonts w:eastAsia="Times New Roman" w:cs="Arial"/>
          <w:color w:val="000000"/>
          <w:lang w:eastAsia="bg-BG"/>
        </w:rPr>
      </w:pPr>
      <w:r w:rsidRPr="00AF43AE">
        <w:rPr>
          <w:rFonts w:eastAsia="Times New Roman" w:cs="Arial"/>
          <w:color w:val="000000"/>
          <w:lang w:eastAsia="bg-BG"/>
        </w:rPr>
        <w:t xml:space="preserve">Жени, лекуващи се с някои от тези лекарствени продукти, трябва временно да използват и бариерен метод в допълниение към КОК или да изберат друг метод на контрацепция. </w:t>
      </w:r>
    </w:p>
    <w:p w14:paraId="24AEFC34" w14:textId="4DCCE994"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Бариерният метод за контрацепция трябва да се използва по време на едновременното приложение на лекарствата и 28 дни след спирането им. Ако периодът, по време на който е използван бариерен метод, продължи и след приключване на таблетките от опаковката КОК, следващата опаковка КОК трябва да бъде започната без обичайния период без таблетки.</w:t>
      </w:r>
    </w:p>
    <w:p w14:paraId="56D2B972" w14:textId="77777777" w:rsidR="00AF43AE" w:rsidRDefault="00AF43AE" w:rsidP="00AF43AE">
      <w:pPr>
        <w:spacing w:line="240" w:lineRule="auto"/>
        <w:rPr>
          <w:rFonts w:eastAsia="Times New Roman" w:cs="Arial"/>
          <w:i/>
          <w:iCs/>
          <w:color w:val="000000"/>
          <w:lang w:eastAsia="bg-BG"/>
        </w:rPr>
      </w:pPr>
    </w:p>
    <w:p w14:paraId="680E1215" w14:textId="5E00914A"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eastAsia="bg-BG"/>
        </w:rPr>
        <w:t>Вещества, повишаващи клирънса на КОК (намалена ефикасност на КОК поради ензимна индукция), напр:</w:t>
      </w:r>
    </w:p>
    <w:p w14:paraId="7ED89C7F"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Фенитоин, барбитурати, примидон, карбамазепин, рифампицин, а също така е възможно и окскарбазепин, топирамат, фелбамат, гризеофулвин и продукти, съдържащи билката жълт кантарион.</w:t>
      </w:r>
    </w:p>
    <w:p w14:paraId="2B7003AD" w14:textId="77777777" w:rsidR="00AF43AE" w:rsidRDefault="00AF43AE" w:rsidP="00AF43AE">
      <w:pPr>
        <w:spacing w:line="240" w:lineRule="auto"/>
        <w:rPr>
          <w:rFonts w:eastAsia="Times New Roman" w:cs="Arial"/>
          <w:i/>
          <w:iCs/>
          <w:color w:val="000000"/>
          <w:lang w:eastAsia="bg-BG"/>
        </w:rPr>
      </w:pPr>
    </w:p>
    <w:p w14:paraId="56F8B16A" w14:textId="6D212407"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eastAsia="bg-BG"/>
        </w:rPr>
        <w:lastRenderedPageBreak/>
        <w:t>Вещества с вариращ ефект върху клирънса на КОК, напр.:</w:t>
      </w:r>
    </w:p>
    <w:p w14:paraId="1DBB2453"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При едновременно приложение с КОК много </w:t>
      </w:r>
      <w:r w:rsidRPr="00AF43AE">
        <w:rPr>
          <w:rFonts w:eastAsia="Times New Roman" w:cs="Arial"/>
          <w:color w:val="000000"/>
          <w:lang w:val="en-US"/>
        </w:rPr>
        <w:t xml:space="preserve">HIV/HCV </w:t>
      </w:r>
      <w:r w:rsidRPr="00AF43AE">
        <w:rPr>
          <w:rFonts w:eastAsia="Times New Roman" w:cs="Arial"/>
          <w:color w:val="000000"/>
          <w:lang w:eastAsia="bg-BG"/>
        </w:rPr>
        <w:t>протеазни инхибитори и ненуклеозидни инхибитори на обратната транскриптаза може да повишат или намалят плазмените концентрации на естрогена или прогестина. Тези промени може да бъдат клинично значими в някои случаи.</w:t>
      </w:r>
    </w:p>
    <w:p w14:paraId="3FD6A822" w14:textId="77777777" w:rsidR="00AF43AE" w:rsidRDefault="00AF43AE" w:rsidP="00AF43AE">
      <w:pPr>
        <w:spacing w:line="240" w:lineRule="auto"/>
        <w:rPr>
          <w:rFonts w:eastAsia="Times New Roman" w:cs="Arial"/>
          <w:i/>
          <w:iCs/>
          <w:color w:val="000000"/>
          <w:lang w:eastAsia="bg-BG"/>
        </w:rPr>
      </w:pPr>
    </w:p>
    <w:p w14:paraId="2F6D3E73" w14:textId="0349C351"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eastAsia="bg-BG"/>
        </w:rPr>
        <w:t>Вещества, понижаващи клирънса на КОК (ензимни инхибитори)</w:t>
      </w:r>
    </w:p>
    <w:p w14:paraId="0D018165" w14:textId="77777777"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Силни и умерено силни инхибитори на </w:t>
      </w:r>
      <w:r w:rsidRPr="00AF43AE">
        <w:rPr>
          <w:rFonts w:eastAsia="Times New Roman" w:cs="Arial"/>
          <w:color w:val="000000"/>
          <w:lang w:val="en-US"/>
        </w:rPr>
        <w:t xml:space="preserve">CYP3A4 </w:t>
      </w:r>
      <w:r w:rsidRPr="00AF43AE">
        <w:rPr>
          <w:rFonts w:eastAsia="Times New Roman" w:cs="Arial"/>
          <w:color w:val="000000"/>
          <w:lang w:eastAsia="bg-BG"/>
        </w:rPr>
        <w:t>като азоловите антимикотици (напр. итраконазол, вориконазол, флуконазол), верапамил, макролиди (напр. кларитромицин, еритромицин), дилтиазем и сок от грейпфрут могат да повишат плазмените концентрации на естроген или прогестин, или и двете.</w:t>
      </w:r>
    </w:p>
    <w:p w14:paraId="0AF1DFAC" w14:textId="77777777" w:rsidR="00AF43AE" w:rsidRDefault="00AF43AE" w:rsidP="00AF43AE">
      <w:pPr>
        <w:spacing w:line="240" w:lineRule="auto"/>
        <w:rPr>
          <w:rFonts w:eastAsia="Times New Roman" w:cs="Arial"/>
          <w:color w:val="000000"/>
          <w:lang w:eastAsia="bg-BG"/>
        </w:rPr>
      </w:pPr>
    </w:p>
    <w:p w14:paraId="0DCDBB56" w14:textId="28FCF28D"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Еторикоксиб в дози от 60 до 120 </w:t>
      </w:r>
      <w:r w:rsidRPr="00AF43AE">
        <w:rPr>
          <w:rFonts w:eastAsia="Times New Roman" w:cs="Arial"/>
          <w:color w:val="000000"/>
          <w:lang w:val="en-US"/>
        </w:rPr>
        <w:t>mg</w:t>
      </w:r>
      <w:r w:rsidRPr="00AF43AE">
        <w:rPr>
          <w:rFonts w:eastAsia="Times New Roman" w:cs="Arial"/>
          <w:color w:val="000000"/>
          <w:lang w:eastAsia="bg-BG"/>
        </w:rPr>
        <w:t xml:space="preserve">/ден е показал повишаване на плазмените концентрации на етинилестрадиол 1,4- до 1,6-кратно, съответно когато са приемани едновременно с комбиниран хормонален контрацептив, съдържащ 0,035 </w:t>
      </w:r>
      <w:r w:rsidRPr="00AF43AE">
        <w:rPr>
          <w:rFonts w:eastAsia="Times New Roman" w:cs="Arial"/>
          <w:color w:val="000000"/>
          <w:lang w:val="en-US"/>
        </w:rPr>
        <w:t xml:space="preserve">mg </w:t>
      </w:r>
      <w:r w:rsidRPr="00AF43AE">
        <w:rPr>
          <w:rFonts w:eastAsia="Times New Roman" w:cs="Arial"/>
          <w:color w:val="000000"/>
          <w:lang w:eastAsia="bg-BG"/>
        </w:rPr>
        <w:t>етинилестрадиол.</w:t>
      </w:r>
    </w:p>
    <w:p w14:paraId="6A4CB4C3" w14:textId="77777777" w:rsidR="00AF43AE" w:rsidRDefault="00AF43AE" w:rsidP="00AF43AE">
      <w:pPr>
        <w:spacing w:line="240" w:lineRule="auto"/>
        <w:rPr>
          <w:rFonts w:eastAsia="Times New Roman" w:cs="Arial"/>
          <w:b/>
          <w:bCs/>
          <w:i/>
          <w:iCs/>
          <w:color w:val="000000"/>
          <w:lang w:eastAsia="bg-BG"/>
        </w:rPr>
      </w:pPr>
    </w:p>
    <w:p w14:paraId="28989C33" w14:textId="67B01CC6"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Ефекти на КОК върху другите лекарствени продукти</w:t>
      </w:r>
    </w:p>
    <w:p w14:paraId="6E55ABE3" w14:textId="77777777" w:rsidR="00AF43AE" w:rsidRDefault="00AF43AE" w:rsidP="00AF43AE">
      <w:pPr>
        <w:spacing w:line="240" w:lineRule="auto"/>
        <w:rPr>
          <w:rFonts w:eastAsia="Times New Roman" w:cs="Arial"/>
          <w:color w:val="000000"/>
          <w:lang w:eastAsia="bg-BG"/>
        </w:rPr>
      </w:pPr>
    </w:p>
    <w:p w14:paraId="01AD0EB9" w14:textId="1BBF9F11" w:rsidR="00AF43AE" w:rsidRDefault="00AF43AE" w:rsidP="00AF43AE">
      <w:pPr>
        <w:spacing w:line="240" w:lineRule="auto"/>
        <w:rPr>
          <w:rFonts w:eastAsia="Times New Roman" w:cs="Arial"/>
          <w:color w:val="000000"/>
          <w:lang w:eastAsia="bg-BG"/>
        </w:rPr>
      </w:pPr>
      <w:r w:rsidRPr="00AF43AE">
        <w:rPr>
          <w:rFonts w:eastAsia="Times New Roman" w:cs="Arial"/>
          <w:color w:val="000000"/>
          <w:lang w:eastAsia="bg-BG"/>
        </w:rPr>
        <w:t>Пероралните контрацептиви могат да повлияят метаболизма на други лекарства. Съответно плазмените и тъканните концентрации могат да бъдат повишени (например циклоспорин) или намалени (например ламотригин).</w:t>
      </w:r>
    </w:p>
    <w:p w14:paraId="21461D2E" w14:textId="19DA2490" w:rsidR="00AF43AE" w:rsidRDefault="00AF43AE" w:rsidP="00AF43AE">
      <w:pPr>
        <w:spacing w:line="240" w:lineRule="auto"/>
        <w:rPr>
          <w:rFonts w:eastAsia="Times New Roman" w:cs="Arial"/>
          <w:color w:val="000000"/>
          <w:lang w:eastAsia="bg-BG"/>
        </w:rPr>
      </w:pPr>
    </w:p>
    <w:p w14:paraId="40824E5F" w14:textId="77777777" w:rsidR="00AF43AE" w:rsidRPr="00AF43AE" w:rsidRDefault="00AF43AE" w:rsidP="00AF43AE">
      <w:pPr>
        <w:spacing w:line="240" w:lineRule="auto"/>
        <w:rPr>
          <w:rFonts w:eastAsia="Times New Roman" w:cs="Arial"/>
          <w:lang w:eastAsia="bg-BG"/>
        </w:rPr>
      </w:pPr>
      <w:r w:rsidRPr="00AF43AE">
        <w:rPr>
          <w:rFonts w:eastAsia="Times New Roman" w:cs="Arial"/>
          <w:i/>
          <w:iCs/>
          <w:color w:val="000000"/>
          <w:lang w:val="en-US"/>
        </w:rPr>
        <w:t>In vitro,</w:t>
      </w:r>
      <w:r w:rsidRPr="00AF43AE">
        <w:rPr>
          <w:rFonts w:eastAsia="Times New Roman" w:cs="Arial"/>
          <w:color w:val="000000"/>
          <w:lang w:val="en-US"/>
        </w:rPr>
        <w:t xml:space="preserve"> </w:t>
      </w:r>
      <w:r w:rsidRPr="00AF43AE">
        <w:rPr>
          <w:rFonts w:eastAsia="Times New Roman" w:cs="Arial"/>
          <w:color w:val="000000"/>
          <w:lang w:eastAsia="bg-BG"/>
        </w:rPr>
        <w:t xml:space="preserve">етинилестрадиол е обратим инхибитор на </w:t>
      </w:r>
      <w:r w:rsidRPr="00AF43AE">
        <w:rPr>
          <w:rFonts w:eastAsia="Times New Roman" w:cs="Arial"/>
          <w:color w:val="000000"/>
          <w:lang w:val="en-US"/>
        </w:rPr>
        <w:t xml:space="preserve">CYP2C19, CYP1A1 </w:t>
      </w:r>
      <w:r w:rsidRPr="00AF43AE">
        <w:rPr>
          <w:rFonts w:eastAsia="Times New Roman" w:cs="Arial"/>
          <w:color w:val="000000"/>
          <w:lang w:eastAsia="bg-BG"/>
        </w:rPr>
        <w:t xml:space="preserve">и </w:t>
      </w:r>
      <w:r w:rsidRPr="00AF43AE">
        <w:rPr>
          <w:rFonts w:eastAsia="Times New Roman" w:cs="Arial"/>
          <w:color w:val="000000"/>
          <w:lang w:val="en-US"/>
        </w:rPr>
        <w:t xml:space="preserve">CYP1A2, </w:t>
      </w:r>
      <w:r w:rsidRPr="00AF43AE">
        <w:rPr>
          <w:rFonts w:eastAsia="Times New Roman" w:cs="Arial"/>
          <w:color w:val="000000"/>
          <w:lang w:eastAsia="bg-BG"/>
        </w:rPr>
        <w:t xml:space="preserve">както и базиран на механизма на действие инхибитор на </w:t>
      </w:r>
      <w:r w:rsidRPr="00AF43AE">
        <w:rPr>
          <w:rFonts w:eastAsia="Times New Roman" w:cs="Arial"/>
          <w:color w:val="000000"/>
          <w:lang w:val="en-US"/>
        </w:rPr>
        <w:t xml:space="preserve">CYP3A4/5, CYP2C8 </w:t>
      </w:r>
      <w:r w:rsidRPr="00AF43AE">
        <w:rPr>
          <w:rFonts w:eastAsia="Times New Roman" w:cs="Arial"/>
          <w:color w:val="000000"/>
          <w:lang w:eastAsia="bg-BG"/>
        </w:rPr>
        <w:t xml:space="preserve">и </w:t>
      </w:r>
      <w:r w:rsidRPr="00AF43AE">
        <w:rPr>
          <w:rFonts w:eastAsia="Times New Roman" w:cs="Arial"/>
          <w:color w:val="000000"/>
          <w:lang w:val="en-US"/>
        </w:rPr>
        <w:t xml:space="preserve">CYP2J2. </w:t>
      </w:r>
      <w:r w:rsidRPr="00AF43AE">
        <w:rPr>
          <w:rFonts w:eastAsia="Times New Roman" w:cs="Arial"/>
          <w:color w:val="000000"/>
          <w:lang w:eastAsia="bg-BG"/>
        </w:rPr>
        <w:t xml:space="preserve">В клинични проучвания, приложението на хормонални контрацептиви, съдържащи етинилестрадиол, не е довело до никакво или е довело само до слабо повишаване на плазмените концентрации на субстратите на </w:t>
      </w:r>
      <w:r w:rsidRPr="00AF43AE">
        <w:rPr>
          <w:rFonts w:eastAsia="Times New Roman" w:cs="Arial"/>
          <w:color w:val="000000"/>
          <w:lang w:val="en-US"/>
        </w:rPr>
        <w:t xml:space="preserve">CYP3A4 </w:t>
      </w:r>
      <w:r w:rsidRPr="00AF43AE">
        <w:rPr>
          <w:rFonts w:eastAsia="Times New Roman" w:cs="Arial"/>
          <w:color w:val="000000"/>
          <w:lang w:eastAsia="bg-BG"/>
        </w:rPr>
        <w:t xml:space="preserve">(напр. мидазолам), докато плазмените концентрации на субстратите на </w:t>
      </w:r>
      <w:r w:rsidRPr="00AF43AE">
        <w:rPr>
          <w:rFonts w:eastAsia="Times New Roman" w:cs="Arial"/>
          <w:color w:val="000000"/>
          <w:lang w:val="en-US"/>
        </w:rPr>
        <w:t xml:space="preserve">CYP1A2 </w:t>
      </w:r>
      <w:r w:rsidRPr="00AF43AE">
        <w:rPr>
          <w:rFonts w:eastAsia="Times New Roman" w:cs="Arial"/>
          <w:color w:val="000000"/>
          <w:lang w:eastAsia="bg-BG"/>
        </w:rPr>
        <w:t>може да се повишат слабо (напр. теофилин) или умерено (напр. мелатонин и тизанидин).</w:t>
      </w:r>
    </w:p>
    <w:p w14:paraId="331F9C86" w14:textId="77777777" w:rsidR="00AF43AE" w:rsidRDefault="00AF43AE" w:rsidP="00AF43AE">
      <w:pPr>
        <w:spacing w:line="240" w:lineRule="auto"/>
        <w:rPr>
          <w:rFonts w:eastAsia="Times New Roman" w:cs="Arial"/>
          <w:b/>
          <w:bCs/>
          <w:i/>
          <w:iCs/>
          <w:color w:val="000000"/>
          <w:lang w:eastAsia="bg-BG"/>
        </w:rPr>
      </w:pPr>
    </w:p>
    <w:p w14:paraId="62055A24" w14:textId="05309061"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Фармакодинамични взаимодействия</w:t>
      </w:r>
    </w:p>
    <w:p w14:paraId="380F6A7D" w14:textId="77777777" w:rsidR="00AF43AE" w:rsidRDefault="00AF43AE" w:rsidP="00AF43AE">
      <w:pPr>
        <w:spacing w:line="240" w:lineRule="auto"/>
        <w:rPr>
          <w:rFonts w:eastAsia="Times New Roman" w:cs="Arial"/>
          <w:color w:val="000000"/>
          <w:lang w:eastAsia="bg-BG"/>
        </w:rPr>
      </w:pPr>
    </w:p>
    <w:p w14:paraId="026009CC" w14:textId="5EC49EDD"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Едновременната употреба с лекарствени продукти, съдържащи омбитасвир/паритапревир/ ритонавир и дасабувир, със или без рибавирин може да увеличи риска от повишаване на АЛАТ (вж. точки 4.3 и 4.4).</w:t>
      </w:r>
    </w:p>
    <w:p w14:paraId="1FA553F6" w14:textId="77777777" w:rsidR="00AF43AE" w:rsidRDefault="00AF43AE" w:rsidP="00AF43AE">
      <w:pPr>
        <w:spacing w:line="240" w:lineRule="auto"/>
        <w:rPr>
          <w:rFonts w:eastAsia="Times New Roman" w:cs="Arial"/>
          <w:color w:val="000000"/>
          <w:lang w:eastAsia="bg-BG"/>
        </w:rPr>
      </w:pPr>
    </w:p>
    <w:p w14:paraId="39648E1C" w14:textId="42750DF5"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По тази причина, употребяващите Фемоден трябва да преминат към алтернативен метод на контрацепция (напр. контрацепция само с прогестаген или нехормонални методи) преди започване на терапия с този режим на комбинация. Приемът на Фемоден може да се започне отново 2 седмици след завършване на този комбиниран режим на лечение.</w:t>
      </w:r>
    </w:p>
    <w:p w14:paraId="2D69D6B5" w14:textId="77777777" w:rsidR="00AF43AE" w:rsidRDefault="00AF43AE" w:rsidP="00AF43AE">
      <w:pPr>
        <w:spacing w:line="240" w:lineRule="auto"/>
        <w:rPr>
          <w:rFonts w:eastAsia="Times New Roman" w:cs="Arial"/>
          <w:b/>
          <w:bCs/>
          <w:i/>
          <w:iCs/>
          <w:color w:val="000000"/>
          <w:lang w:eastAsia="bg-BG"/>
        </w:rPr>
      </w:pPr>
    </w:p>
    <w:p w14:paraId="61AC8816" w14:textId="2492C3AF" w:rsidR="00AF43AE" w:rsidRPr="00AF43AE" w:rsidRDefault="00AF43AE" w:rsidP="00AF43AE">
      <w:pPr>
        <w:spacing w:line="240" w:lineRule="auto"/>
        <w:rPr>
          <w:rFonts w:eastAsia="Times New Roman" w:cs="Arial"/>
          <w:lang w:eastAsia="bg-BG"/>
        </w:rPr>
      </w:pPr>
      <w:r w:rsidRPr="00AF43AE">
        <w:rPr>
          <w:rFonts w:eastAsia="Times New Roman" w:cs="Arial"/>
          <w:b/>
          <w:bCs/>
          <w:i/>
          <w:iCs/>
          <w:color w:val="000000"/>
          <w:lang w:eastAsia="bg-BG"/>
        </w:rPr>
        <w:t>Други форми на взаимодействие</w:t>
      </w:r>
    </w:p>
    <w:p w14:paraId="74201330" w14:textId="77777777" w:rsidR="00AF43AE" w:rsidRDefault="00AF43AE" w:rsidP="00AF43AE">
      <w:pPr>
        <w:spacing w:line="240" w:lineRule="auto"/>
        <w:rPr>
          <w:rFonts w:eastAsia="Times New Roman" w:cs="Arial"/>
          <w:i/>
          <w:iCs/>
          <w:color w:val="000000"/>
          <w:lang w:eastAsia="bg-BG"/>
        </w:rPr>
      </w:pPr>
    </w:p>
    <w:p w14:paraId="32EDA283" w14:textId="42593A58" w:rsidR="00AF43AE" w:rsidRPr="00AF43AE" w:rsidRDefault="00AF43AE" w:rsidP="00AF43AE">
      <w:pPr>
        <w:pStyle w:val="ListParagraph"/>
        <w:numPr>
          <w:ilvl w:val="0"/>
          <w:numId w:val="44"/>
        </w:numPr>
        <w:spacing w:line="240" w:lineRule="auto"/>
        <w:rPr>
          <w:rFonts w:eastAsia="Times New Roman" w:cs="Arial"/>
          <w:lang w:eastAsia="bg-BG"/>
        </w:rPr>
      </w:pPr>
      <w:r w:rsidRPr="00AF43AE">
        <w:rPr>
          <w:rFonts w:eastAsia="Times New Roman" w:cs="Arial"/>
          <w:i/>
          <w:iCs/>
          <w:color w:val="000000"/>
          <w:lang w:eastAsia="bg-BG"/>
        </w:rPr>
        <w:t>Лабораторни тестове</w:t>
      </w:r>
    </w:p>
    <w:p w14:paraId="37399BB8" w14:textId="77777777" w:rsidR="00AF43AE" w:rsidRDefault="00AF43AE" w:rsidP="00AF43AE">
      <w:pPr>
        <w:spacing w:line="240" w:lineRule="auto"/>
        <w:rPr>
          <w:rFonts w:eastAsia="Times New Roman" w:cs="Arial"/>
          <w:color w:val="000000"/>
          <w:lang w:eastAsia="bg-BG"/>
        </w:rPr>
      </w:pPr>
    </w:p>
    <w:p w14:paraId="6180525B" w14:textId="0EE66190"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 xml:space="preserve">Употребата на контрацептивни стероиди може да повлияе върху резултатите от някои лабораторни тестове, включително биохимичните параметри на чернодробната, тироидната, надбъбречната и бъбречната функция, плазмената концентрация на (транспортните) протеини, например кортикостероид-свързващия глобулин и липидни/липопротеинни фракции, параметрите на обмяната на въглехидратите и </w:t>
      </w:r>
      <w:r w:rsidRPr="00AF43AE">
        <w:rPr>
          <w:rFonts w:eastAsia="Times New Roman" w:cs="Arial"/>
          <w:color w:val="000000"/>
          <w:lang w:eastAsia="bg-BG"/>
        </w:rPr>
        <w:lastRenderedPageBreak/>
        <w:t>параметрите на кръвосъсирването и фибринолизата. Промените обикновено са в порядъка на нормата.</w:t>
      </w:r>
    </w:p>
    <w:p w14:paraId="7DE78404" w14:textId="77777777" w:rsidR="00AF43AE" w:rsidRDefault="00AF43AE" w:rsidP="00AF43AE">
      <w:pPr>
        <w:spacing w:line="240" w:lineRule="auto"/>
        <w:rPr>
          <w:rFonts w:eastAsia="Times New Roman" w:cs="Arial"/>
          <w:color w:val="000000"/>
          <w:lang w:eastAsia="bg-BG"/>
        </w:rPr>
      </w:pPr>
    </w:p>
    <w:p w14:paraId="12E453F0" w14:textId="3817A37B" w:rsidR="00AF43AE" w:rsidRPr="00AF43AE" w:rsidRDefault="00AF43AE" w:rsidP="00AF43AE">
      <w:pPr>
        <w:spacing w:line="240" w:lineRule="auto"/>
        <w:rPr>
          <w:rFonts w:eastAsia="Times New Roman" w:cs="Arial"/>
          <w:lang w:eastAsia="bg-BG"/>
        </w:rPr>
      </w:pPr>
      <w:r w:rsidRPr="00AF43AE">
        <w:rPr>
          <w:rFonts w:eastAsia="Times New Roman" w:cs="Arial"/>
          <w:color w:val="000000"/>
          <w:lang w:eastAsia="bg-BG"/>
        </w:rPr>
        <w:t>Забележка: Лекарствената информация на съпътстващото лечение трябва да бъде разгледана с цел определяне на потенциални взаимодействия.</w:t>
      </w:r>
    </w:p>
    <w:p w14:paraId="00C0AB0C" w14:textId="77777777" w:rsidR="00AF43AE" w:rsidRPr="00AF43AE" w:rsidRDefault="00AF43AE" w:rsidP="00AF43AE"/>
    <w:p w14:paraId="48846BBA" w14:textId="35C08198" w:rsidR="009F77A4" w:rsidRDefault="002C50EE" w:rsidP="00387A66">
      <w:pPr>
        <w:pStyle w:val="Heading2"/>
      </w:pPr>
      <w:r>
        <w:t>4.6. Фертилитет, бременност и кърмене</w:t>
      </w:r>
    </w:p>
    <w:p w14:paraId="35386CAD" w14:textId="50ADF520" w:rsidR="00AF43AE" w:rsidRDefault="00AF43AE" w:rsidP="00AF43AE"/>
    <w:p w14:paraId="19C92494"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Бременност</w:t>
      </w:r>
    </w:p>
    <w:p w14:paraId="00B3ABAB" w14:textId="77777777" w:rsidR="009349DB" w:rsidRDefault="009349DB" w:rsidP="009349DB">
      <w:pPr>
        <w:spacing w:line="240" w:lineRule="auto"/>
        <w:rPr>
          <w:rFonts w:eastAsia="Times New Roman" w:cs="Arial"/>
          <w:color w:val="000000"/>
          <w:lang w:eastAsia="bg-BG"/>
        </w:rPr>
      </w:pPr>
    </w:p>
    <w:p w14:paraId="548D0127" w14:textId="182FE6BD"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Фемоден не е показан за приложение по време на бременност. Ако възникне бременност по време на приема на Фемоден, по-нататъшното му приложение трябва да бъде преустановено. Въпреки това, при продължителни епидемиологични проучвания не е открит повишен риск от вродени дефекти у деца, родени от майки, използвали КОК преди бременността. Не е установен тератогенен ефект, когато КОК са приемани при неустановена ранна бременност.</w:t>
      </w:r>
    </w:p>
    <w:p w14:paraId="6EAC9505" w14:textId="77777777" w:rsidR="009349DB" w:rsidRDefault="009349DB" w:rsidP="009349DB">
      <w:pPr>
        <w:spacing w:line="240" w:lineRule="auto"/>
        <w:rPr>
          <w:rFonts w:eastAsia="Times New Roman" w:cs="Arial"/>
          <w:color w:val="000000"/>
          <w:lang w:eastAsia="bg-BG"/>
        </w:rPr>
      </w:pPr>
    </w:p>
    <w:p w14:paraId="407228A2" w14:textId="07CD6BC8"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При възобновяване на приема на Фемоден трябва да се има предвид повишеният риск от венозна тромбоемболия (ВТЕ) по време на следродовия период (вж. точки 4.2 и 4.4).</w:t>
      </w:r>
    </w:p>
    <w:p w14:paraId="746BBA52" w14:textId="77777777" w:rsidR="009349DB" w:rsidRDefault="009349DB" w:rsidP="009349DB">
      <w:pPr>
        <w:spacing w:line="240" w:lineRule="auto"/>
        <w:rPr>
          <w:rFonts w:eastAsia="Times New Roman" w:cs="Arial"/>
          <w:color w:val="000000"/>
          <w:u w:val="single"/>
          <w:lang w:eastAsia="bg-BG"/>
        </w:rPr>
      </w:pPr>
    </w:p>
    <w:p w14:paraId="768DA52A" w14:textId="6DDDE374"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Кърмене</w:t>
      </w:r>
    </w:p>
    <w:p w14:paraId="68C3CC2D" w14:textId="77777777" w:rsidR="009349DB" w:rsidRDefault="009349DB" w:rsidP="009349DB">
      <w:pPr>
        <w:spacing w:line="240" w:lineRule="auto"/>
        <w:rPr>
          <w:rFonts w:eastAsia="Times New Roman" w:cs="Arial"/>
          <w:color w:val="000000"/>
          <w:lang w:eastAsia="bg-BG"/>
        </w:rPr>
      </w:pPr>
    </w:p>
    <w:p w14:paraId="3306460D" w14:textId="63D7CC41"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КОК могат да окажат ефект върху кърменето, като намаляват количеството на кърмата и променят нейния състав. Следователно, не се препоръчва употребата на КОК, докато майката не спре да кърми. Малки количества контрацептивни стероиди и/или техни метаболити могат да се екскретират в кърмата.</w:t>
      </w:r>
    </w:p>
    <w:p w14:paraId="3CA1A305" w14:textId="77777777" w:rsidR="00AF43AE" w:rsidRPr="00AF43AE" w:rsidRDefault="00AF43AE" w:rsidP="00AF43AE"/>
    <w:p w14:paraId="321AAB00" w14:textId="3A7CD023" w:rsidR="009F77A4" w:rsidRDefault="002C50EE" w:rsidP="00387A66">
      <w:pPr>
        <w:pStyle w:val="Heading2"/>
      </w:pPr>
      <w:r>
        <w:t>4.7. Ефекти върху способността за шофиране и работа с машини</w:t>
      </w:r>
    </w:p>
    <w:p w14:paraId="614996DE" w14:textId="5F2DBFC7" w:rsidR="009349DB" w:rsidRDefault="009349DB" w:rsidP="009349DB"/>
    <w:p w14:paraId="5A495DF2" w14:textId="77777777" w:rsidR="009349DB" w:rsidRPr="009349DB" w:rsidRDefault="009349DB" w:rsidP="009349DB">
      <w:pPr>
        <w:rPr>
          <w:sz w:val="24"/>
          <w:szCs w:val="24"/>
          <w:lang w:eastAsia="bg-BG"/>
        </w:rPr>
      </w:pPr>
      <w:r w:rsidRPr="009349DB">
        <w:rPr>
          <w:lang w:eastAsia="bg-BG"/>
        </w:rPr>
        <w:t>Не са провеждани проучвания за ефектите върху способността за шофиране и работа с машини. Не са били наблюдавани ефекти върху способността за шофиране и работа с машини при жени, приемащи КОК.</w:t>
      </w:r>
    </w:p>
    <w:p w14:paraId="79231C2B" w14:textId="77777777" w:rsidR="009349DB" w:rsidRPr="009349DB" w:rsidRDefault="009349DB" w:rsidP="009349DB"/>
    <w:p w14:paraId="136C86B8" w14:textId="02B224F6" w:rsidR="009F77A4" w:rsidRDefault="002C50EE" w:rsidP="00387A66">
      <w:pPr>
        <w:pStyle w:val="Heading2"/>
      </w:pPr>
      <w:r>
        <w:t>4.8. Нежелани лекарствени реакции</w:t>
      </w:r>
    </w:p>
    <w:p w14:paraId="0740B3E8" w14:textId="58428A26" w:rsidR="009349DB" w:rsidRDefault="009349DB" w:rsidP="009349DB"/>
    <w:p w14:paraId="31255C88" w14:textId="77777777" w:rsidR="009349DB" w:rsidRPr="009349DB" w:rsidRDefault="009349DB" w:rsidP="009349DB">
      <w:pPr>
        <w:spacing w:line="240" w:lineRule="auto"/>
        <w:rPr>
          <w:rFonts w:eastAsia="Times New Roman" w:cs="Arial"/>
          <w:lang w:eastAsia="bg-BG"/>
        </w:rPr>
      </w:pPr>
      <w:r w:rsidRPr="009349DB">
        <w:rPr>
          <w:rFonts w:eastAsia="Times New Roman" w:cs="Arial"/>
          <w:b/>
          <w:bCs/>
          <w:color w:val="000000"/>
          <w:u w:val="single"/>
          <w:lang w:eastAsia="bg-BG"/>
        </w:rPr>
        <w:t>Резюме на профила на безопасност</w:t>
      </w:r>
    </w:p>
    <w:p w14:paraId="4A163C1A" w14:textId="77777777" w:rsidR="009349DB" w:rsidRDefault="009349DB" w:rsidP="009349DB">
      <w:pPr>
        <w:spacing w:line="240" w:lineRule="auto"/>
        <w:rPr>
          <w:rFonts w:eastAsia="Times New Roman" w:cs="Arial"/>
          <w:color w:val="000000"/>
          <w:lang w:eastAsia="bg-BG"/>
        </w:rPr>
      </w:pPr>
    </w:p>
    <w:p w14:paraId="015B8BE7" w14:textId="23DF56EB"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Най-често съобщаваните нежелани реакции с Фемоден са гадене, коремна болка, увеличаване на теглото, главоболие, депресивно настроение, промени в настроението, болка в гърдите, напрежение в гърдите. Те се появяват при &gt;1% от пациентките.</w:t>
      </w:r>
    </w:p>
    <w:p w14:paraId="04148FDA" w14:textId="77777777" w:rsidR="009349DB" w:rsidRDefault="009349DB" w:rsidP="009349DB">
      <w:pPr>
        <w:spacing w:line="240" w:lineRule="auto"/>
        <w:rPr>
          <w:rFonts w:eastAsia="Times New Roman" w:cs="Arial"/>
          <w:color w:val="000000"/>
          <w:lang w:eastAsia="bg-BG"/>
        </w:rPr>
      </w:pPr>
    </w:p>
    <w:p w14:paraId="3012BCC4" w14:textId="60966103"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Сериозните нежелани реакции са артериална и венозна тромбоемболия.</w:t>
      </w:r>
    </w:p>
    <w:p w14:paraId="2AC8489C" w14:textId="77777777" w:rsidR="009349DB" w:rsidRDefault="009349DB" w:rsidP="009349DB">
      <w:pPr>
        <w:spacing w:line="240" w:lineRule="auto"/>
        <w:rPr>
          <w:rFonts w:eastAsia="Times New Roman" w:cs="Arial"/>
          <w:b/>
          <w:bCs/>
          <w:color w:val="000000"/>
          <w:u w:val="single"/>
          <w:lang w:eastAsia="bg-BG"/>
        </w:rPr>
      </w:pPr>
    </w:p>
    <w:p w14:paraId="59E0663F" w14:textId="50BAD69E" w:rsidR="009349DB" w:rsidRPr="009349DB" w:rsidRDefault="009349DB" w:rsidP="009349DB">
      <w:pPr>
        <w:spacing w:line="240" w:lineRule="auto"/>
        <w:rPr>
          <w:rFonts w:eastAsia="Times New Roman" w:cs="Arial"/>
          <w:lang w:eastAsia="bg-BG"/>
        </w:rPr>
      </w:pPr>
      <w:r w:rsidRPr="009349DB">
        <w:rPr>
          <w:rFonts w:eastAsia="Times New Roman" w:cs="Arial"/>
          <w:b/>
          <w:bCs/>
          <w:color w:val="000000"/>
          <w:u w:val="single"/>
          <w:lang w:eastAsia="bg-BG"/>
        </w:rPr>
        <w:t>Списък на нежеланите реакции в табличен вид</w:t>
      </w:r>
    </w:p>
    <w:p w14:paraId="48FA2227" w14:textId="77777777" w:rsidR="009349DB" w:rsidRDefault="009349DB" w:rsidP="009349DB">
      <w:pPr>
        <w:spacing w:line="240" w:lineRule="auto"/>
        <w:rPr>
          <w:rFonts w:eastAsia="Times New Roman" w:cs="Arial"/>
          <w:color w:val="000000"/>
          <w:lang w:eastAsia="bg-BG"/>
        </w:rPr>
      </w:pPr>
    </w:p>
    <w:p w14:paraId="10BF6953" w14:textId="520C9D44"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По-долу са изброени нежелани реакции, които са съобщавани при употреба на КОК, но при които връзката с КОК не е била нито потвърдена, нито отхвърлена*:</w:t>
      </w:r>
    </w:p>
    <w:p w14:paraId="0BBAAD7D" w14:textId="3EFD13F3" w:rsidR="009349DB" w:rsidRDefault="009349DB" w:rsidP="009349DB"/>
    <w:tbl>
      <w:tblPr>
        <w:tblStyle w:val="TableGrid"/>
        <w:tblW w:w="0" w:type="auto"/>
        <w:tblLook w:val="04A0" w:firstRow="1" w:lastRow="0" w:firstColumn="1" w:lastColumn="0" w:noHBand="0" w:noVBand="1"/>
      </w:tblPr>
      <w:tblGrid>
        <w:gridCol w:w="2468"/>
        <w:gridCol w:w="2220"/>
        <w:gridCol w:w="2202"/>
        <w:gridCol w:w="2460"/>
      </w:tblGrid>
      <w:tr w:rsidR="009349DB" w14:paraId="023DF541" w14:textId="77777777" w:rsidTr="009349DB">
        <w:tc>
          <w:tcPr>
            <w:tcW w:w="2468" w:type="dxa"/>
          </w:tcPr>
          <w:p w14:paraId="44381C58" w14:textId="6C6F9C6B" w:rsidR="009349DB" w:rsidRPr="009349DB" w:rsidRDefault="009349DB" w:rsidP="009349DB">
            <w:r w:rsidRPr="009349DB">
              <w:rPr>
                <w:b/>
                <w:bCs/>
              </w:rPr>
              <w:t xml:space="preserve">Системо-органни </w:t>
            </w:r>
            <w:r w:rsidRPr="009349DB">
              <w:rPr>
                <w:b/>
                <w:bCs/>
              </w:rPr>
              <w:lastRenderedPageBreak/>
              <w:t xml:space="preserve">класове </w:t>
            </w:r>
            <w:r w:rsidRPr="009349DB">
              <w:rPr>
                <w:b/>
                <w:bCs/>
                <w:lang w:val="en-US"/>
              </w:rPr>
              <w:t>(MedDRA)</w:t>
            </w:r>
          </w:p>
        </w:tc>
        <w:tc>
          <w:tcPr>
            <w:tcW w:w="2327" w:type="dxa"/>
          </w:tcPr>
          <w:p w14:paraId="10D0A9FD" w14:textId="77777777" w:rsidR="009349DB" w:rsidRPr="009349DB" w:rsidRDefault="009349DB" w:rsidP="009349DB">
            <w:r w:rsidRPr="009349DB">
              <w:rPr>
                <w:b/>
                <w:bCs/>
              </w:rPr>
              <w:lastRenderedPageBreak/>
              <w:t>Чести</w:t>
            </w:r>
          </w:p>
          <w:p w14:paraId="37A425C6" w14:textId="3015FECA" w:rsidR="009349DB" w:rsidRPr="009349DB" w:rsidRDefault="009349DB" w:rsidP="009349DB">
            <w:r w:rsidRPr="009349DB">
              <w:rPr>
                <w:b/>
                <w:bCs/>
              </w:rPr>
              <w:lastRenderedPageBreak/>
              <w:t>1/100)</w:t>
            </w:r>
          </w:p>
        </w:tc>
        <w:tc>
          <w:tcPr>
            <w:tcW w:w="2321" w:type="dxa"/>
          </w:tcPr>
          <w:p w14:paraId="2F49F38C" w14:textId="56DC67D8" w:rsidR="009349DB" w:rsidRPr="009349DB" w:rsidRDefault="009349DB" w:rsidP="009349DB">
            <w:r w:rsidRPr="009349DB">
              <w:rPr>
                <w:b/>
                <w:bCs/>
              </w:rPr>
              <w:lastRenderedPageBreak/>
              <w:t xml:space="preserve">Нечести (≥1/1 000 и </w:t>
            </w:r>
            <w:r w:rsidRPr="009349DB">
              <w:rPr>
                <w:b/>
                <w:bCs/>
              </w:rPr>
              <w:lastRenderedPageBreak/>
              <w:t>&lt; 1/100)</w:t>
            </w:r>
          </w:p>
        </w:tc>
        <w:tc>
          <w:tcPr>
            <w:tcW w:w="2460" w:type="dxa"/>
          </w:tcPr>
          <w:p w14:paraId="43111ACD" w14:textId="6088A8DA" w:rsidR="009349DB" w:rsidRPr="009349DB" w:rsidRDefault="009349DB" w:rsidP="009349DB">
            <w:r w:rsidRPr="009349DB">
              <w:rPr>
                <w:b/>
                <w:bCs/>
              </w:rPr>
              <w:lastRenderedPageBreak/>
              <w:t>Редки (&lt; 1/1000)</w:t>
            </w:r>
          </w:p>
        </w:tc>
      </w:tr>
      <w:tr w:rsidR="009349DB" w14:paraId="2077274F" w14:textId="77777777" w:rsidTr="009349DB">
        <w:tc>
          <w:tcPr>
            <w:tcW w:w="2468" w:type="dxa"/>
          </w:tcPr>
          <w:p w14:paraId="1DF67CBB" w14:textId="75C295CC" w:rsidR="009349DB" w:rsidRPr="009349DB" w:rsidRDefault="009349DB" w:rsidP="009349DB">
            <w:r w:rsidRPr="009349DB">
              <w:t>Нарушения на очите</w:t>
            </w:r>
          </w:p>
        </w:tc>
        <w:tc>
          <w:tcPr>
            <w:tcW w:w="2327" w:type="dxa"/>
          </w:tcPr>
          <w:p w14:paraId="141BDBAB" w14:textId="77777777" w:rsidR="009349DB" w:rsidRPr="009349DB" w:rsidRDefault="009349DB" w:rsidP="009349DB"/>
        </w:tc>
        <w:tc>
          <w:tcPr>
            <w:tcW w:w="2321" w:type="dxa"/>
          </w:tcPr>
          <w:p w14:paraId="0BC6EF6A" w14:textId="77777777" w:rsidR="009349DB" w:rsidRPr="009349DB" w:rsidRDefault="009349DB" w:rsidP="009349DB"/>
        </w:tc>
        <w:tc>
          <w:tcPr>
            <w:tcW w:w="2460" w:type="dxa"/>
          </w:tcPr>
          <w:p w14:paraId="69DB6323" w14:textId="44F9B4CF" w:rsidR="009349DB" w:rsidRPr="009349DB" w:rsidRDefault="009349DB" w:rsidP="009349DB">
            <w:r w:rsidRPr="009349DB">
              <w:t>Непоносимост към контактни лещи</w:t>
            </w:r>
          </w:p>
        </w:tc>
      </w:tr>
      <w:tr w:rsidR="009349DB" w14:paraId="22267CCF" w14:textId="77777777" w:rsidTr="009349DB">
        <w:tc>
          <w:tcPr>
            <w:tcW w:w="2468" w:type="dxa"/>
          </w:tcPr>
          <w:p w14:paraId="162BC344" w14:textId="3A9A5339" w:rsidR="009349DB" w:rsidRPr="009349DB" w:rsidRDefault="009349DB" w:rsidP="009349DB">
            <w:r w:rsidRPr="009349DB">
              <w:t>Стомашно-чревни нарушения</w:t>
            </w:r>
          </w:p>
        </w:tc>
        <w:tc>
          <w:tcPr>
            <w:tcW w:w="2327" w:type="dxa"/>
          </w:tcPr>
          <w:p w14:paraId="4D778C5F" w14:textId="77777777" w:rsidR="009349DB" w:rsidRPr="009349DB" w:rsidRDefault="009349DB" w:rsidP="009349DB">
            <w:r w:rsidRPr="009349DB">
              <w:t>Гадене</w:t>
            </w:r>
          </w:p>
          <w:p w14:paraId="27EEB8B5" w14:textId="7E50EA1B" w:rsidR="009349DB" w:rsidRPr="009349DB" w:rsidRDefault="009349DB" w:rsidP="009349DB">
            <w:r w:rsidRPr="009349DB">
              <w:t>Коремна болка</w:t>
            </w:r>
          </w:p>
        </w:tc>
        <w:tc>
          <w:tcPr>
            <w:tcW w:w="2321" w:type="dxa"/>
          </w:tcPr>
          <w:p w14:paraId="0C30C9A7" w14:textId="01320699" w:rsidR="009349DB" w:rsidRPr="009349DB" w:rsidRDefault="009349DB" w:rsidP="009349DB">
            <w:r w:rsidRPr="009349DB">
              <w:t>Повръщане Диария</w:t>
            </w:r>
          </w:p>
        </w:tc>
        <w:tc>
          <w:tcPr>
            <w:tcW w:w="2460" w:type="dxa"/>
          </w:tcPr>
          <w:p w14:paraId="46B4D399" w14:textId="77777777" w:rsidR="009349DB" w:rsidRPr="009349DB" w:rsidRDefault="009349DB" w:rsidP="009349DB"/>
        </w:tc>
      </w:tr>
      <w:tr w:rsidR="009349DB" w14:paraId="7A21AD06" w14:textId="77777777" w:rsidTr="009349DB">
        <w:tc>
          <w:tcPr>
            <w:tcW w:w="2468" w:type="dxa"/>
          </w:tcPr>
          <w:p w14:paraId="398EDE14" w14:textId="7733C790" w:rsidR="009349DB" w:rsidRPr="009349DB" w:rsidRDefault="009349DB" w:rsidP="009349DB">
            <w:r w:rsidRPr="009349DB">
              <w:t>Нарушения на имунната система</w:t>
            </w:r>
          </w:p>
        </w:tc>
        <w:tc>
          <w:tcPr>
            <w:tcW w:w="2327" w:type="dxa"/>
          </w:tcPr>
          <w:p w14:paraId="38EA66AE" w14:textId="77777777" w:rsidR="009349DB" w:rsidRPr="009349DB" w:rsidRDefault="009349DB" w:rsidP="009349DB"/>
        </w:tc>
        <w:tc>
          <w:tcPr>
            <w:tcW w:w="2321" w:type="dxa"/>
          </w:tcPr>
          <w:p w14:paraId="1371EAA5" w14:textId="77777777" w:rsidR="009349DB" w:rsidRPr="009349DB" w:rsidRDefault="009349DB" w:rsidP="009349DB"/>
        </w:tc>
        <w:tc>
          <w:tcPr>
            <w:tcW w:w="2460" w:type="dxa"/>
          </w:tcPr>
          <w:p w14:paraId="14436FB8" w14:textId="187BD10F" w:rsidR="009349DB" w:rsidRPr="009349DB" w:rsidRDefault="009349DB" w:rsidP="009349DB">
            <w:r w:rsidRPr="009349DB">
              <w:t>Свръхчувствителност</w:t>
            </w:r>
          </w:p>
        </w:tc>
      </w:tr>
      <w:tr w:rsidR="009349DB" w14:paraId="756C9467" w14:textId="77777777" w:rsidTr="009349DB">
        <w:tc>
          <w:tcPr>
            <w:tcW w:w="2468" w:type="dxa"/>
          </w:tcPr>
          <w:p w14:paraId="78F7AE72" w14:textId="610FE11F" w:rsidR="009349DB" w:rsidRPr="009349DB" w:rsidRDefault="009349DB" w:rsidP="009349DB">
            <w:r w:rsidRPr="009349DB">
              <w:t>Съдови нарушения</w:t>
            </w:r>
          </w:p>
        </w:tc>
        <w:tc>
          <w:tcPr>
            <w:tcW w:w="2327" w:type="dxa"/>
          </w:tcPr>
          <w:p w14:paraId="50EC4193" w14:textId="77777777" w:rsidR="009349DB" w:rsidRPr="009349DB" w:rsidRDefault="009349DB" w:rsidP="009349DB"/>
        </w:tc>
        <w:tc>
          <w:tcPr>
            <w:tcW w:w="2321" w:type="dxa"/>
          </w:tcPr>
          <w:p w14:paraId="129C8F7A" w14:textId="77777777" w:rsidR="009349DB" w:rsidRPr="009349DB" w:rsidRDefault="009349DB" w:rsidP="009349DB"/>
        </w:tc>
        <w:tc>
          <w:tcPr>
            <w:tcW w:w="2460" w:type="dxa"/>
          </w:tcPr>
          <w:p w14:paraId="1B390474" w14:textId="393C56B3" w:rsidR="009349DB" w:rsidRPr="009349DB" w:rsidRDefault="009349DB" w:rsidP="009349DB">
            <w:r w:rsidRPr="009349DB">
              <w:t>Венозна тромбоемболия (ВТЕ)**, Артериална тромбоемболия (АТЕ)**</w:t>
            </w:r>
          </w:p>
        </w:tc>
      </w:tr>
      <w:tr w:rsidR="009349DB" w14:paraId="2F6F66F4" w14:textId="77777777" w:rsidTr="009349DB">
        <w:tc>
          <w:tcPr>
            <w:tcW w:w="2468" w:type="dxa"/>
          </w:tcPr>
          <w:p w14:paraId="61863172" w14:textId="5AD6F535" w:rsidR="009349DB" w:rsidRPr="009349DB" w:rsidRDefault="009349DB" w:rsidP="009349DB">
            <w:r w:rsidRPr="009349DB">
              <w:t>Изследвания</w:t>
            </w:r>
          </w:p>
        </w:tc>
        <w:tc>
          <w:tcPr>
            <w:tcW w:w="2327" w:type="dxa"/>
          </w:tcPr>
          <w:p w14:paraId="7423D055" w14:textId="0389C67A" w:rsidR="009349DB" w:rsidRPr="009349DB" w:rsidRDefault="009349DB" w:rsidP="009349DB">
            <w:r w:rsidRPr="009349DB">
              <w:t>Увеличаване на теглото</w:t>
            </w:r>
          </w:p>
        </w:tc>
        <w:tc>
          <w:tcPr>
            <w:tcW w:w="2321" w:type="dxa"/>
          </w:tcPr>
          <w:p w14:paraId="1CFC38A1" w14:textId="77777777" w:rsidR="009349DB" w:rsidRPr="009349DB" w:rsidRDefault="009349DB" w:rsidP="009349DB"/>
        </w:tc>
        <w:tc>
          <w:tcPr>
            <w:tcW w:w="2460" w:type="dxa"/>
          </w:tcPr>
          <w:p w14:paraId="131533C2" w14:textId="578FF017" w:rsidR="009349DB" w:rsidRPr="009349DB" w:rsidRDefault="009349DB" w:rsidP="009349DB">
            <w:r w:rsidRPr="009349DB">
              <w:t>Намаляване на теглото</w:t>
            </w:r>
          </w:p>
        </w:tc>
      </w:tr>
      <w:tr w:rsidR="009349DB" w14:paraId="685E136E" w14:textId="77777777" w:rsidTr="009349DB">
        <w:tc>
          <w:tcPr>
            <w:tcW w:w="2468" w:type="dxa"/>
          </w:tcPr>
          <w:p w14:paraId="5FCD716F" w14:textId="47FA7DEB" w:rsidR="009349DB" w:rsidRPr="009349DB" w:rsidRDefault="009349DB" w:rsidP="009349DB">
            <w:r w:rsidRPr="009349DB">
              <w:t>Нарушения на метаболизма и храненето</w:t>
            </w:r>
          </w:p>
        </w:tc>
        <w:tc>
          <w:tcPr>
            <w:tcW w:w="2327" w:type="dxa"/>
          </w:tcPr>
          <w:p w14:paraId="6785A483" w14:textId="77777777" w:rsidR="009349DB" w:rsidRPr="009349DB" w:rsidRDefault="009349DB" w:rsidP="009349DB"/>
        </w:tc>
        <w:tc>
          <w:tcPr>
            <w:tcW w:w="2321" w:type="dxa"/>
          </w:tcPr>
          <w:p w14:paraId="0D0512BB" w14:textId="6FBD78DC" w:rsidR="009349DB" w:rsidRPr="009349DB" w:rsidRDefault="009349DB" w:rsidP="009349DB">
            <w:r w:rsidRPr="009349DB">
              <w:t>Задръжка на течности</w:t>
            </w:r>
          </w:p>
        </w:tc>
        <w:tc>
          <w:tcPr>
            <w:tcW w:w="2460" w:type="dxa"/>
          </w:tcPr>
          <w:p w14:paraId="16AC3AF2" w14:textId="77777777" w:rsidR="009349DB" w:rsidRPr="009349DB" w:rsidRDefault="009349DB" w:rsidP="009349DB"/>
        </w:tc>
      </w:tr>
      <w:tr w:rsidR="009349DB" w14:paraId="25158617" w14:textId="77777777" w:rsidTr="009349DB">
        <w:tc>
          <w:tcPr>
            <w:tcW w:w="2468" w:type="dxa"/>
          </w:tcPr>
          <w:p w14:paraId="7C1C41AB" w14:textId="52D27D9E" w:rsidR="009349DB" w:rsidRPr="009349DB" w:rsidRDefault="009349DB" w:rsidP="009349DB">
            <w:r w:rsidRPr="009349DB">
              <w:t>Нарушения на нервната система</w:t>
            </w:r>
          </w:p>
        </w:tc>
        <w:tc>
          <w:tcPr>
            <w:tcW w:w="2327" w:type="dxa"/>
          </w:tcPr>
          <w:p w14:paraId="63102DBD" w14:textId="7029ED3D" w:rsidR="009349DB" w:rsidRPr="009349DB" w:rsidRDefault="009349DB" w:rsidP="009349DB">
            <w:r w:rsidRPr="009349DB">
              <w:t>Главоболие</w:t>
            </w:r>
          </w:p>
        </w:tc>
        <w:tc>
          <w:tcPr>
            <w:tcW w:w="2321" w:type="dxa"/>
          </w:tcPr>
          <w:p w14:paraId="7EB785CC" w14:textId="137F2B02" w:rsidR="009349DB" w:rsidRPr="009349DB" w:rsidRDefault="009349DB" w:rsidP="009349DB">
            <w:r w:rsidRPr="009349DB">
              <w:t>Мигрена</w:t>
            </w:r>
          </w:p>
        </w:tc>
        <w:tc>
          <w:tcPr>
            <w:tcW w:w="2460" w:type="dxa"/>
          </w:tcPr>
          <w:p w14:paraId="6194D0A7" w14:textId="77777777" w:rsidR="009349DB" w:rsidRPr="009349DB" w:rsidRDefault="009349DB" w:rsidP="009349DB"/>
        </w:tc>
      </w:tr>
      <w:tr w:rsidR="009349DB" w14:paraId="5E3BDA69" w14:textId="77777777" w:rsidTr="009349DB">
        <w:tc>
          <w:tcPr>
            <w:tcW w:w="2468" w:type="dxa"/>
          </w:tcPr>
          <w:p w14:paraId="45C5D7A7" w14:textId="10A1AA4B" w:rsidR="009349DB" w:rsidRPr="009349DB" w:rsidRDefault="009349DB" w:rsidP="009349DB">
            <w:r w:rsidRPr="009349DB">
              <w:t>Психични нарушения</w:t>
            </w:r>
          </w:p>
        </w:tc>
        <w:tc>
          <w:tcPr>
            <w:tcW w:w="2327" w:type="dxa"/>
          </w:tcPr>
          <w:p w14:paraId="51EEFD74" w14:textId="250ECC6D" w:rsidR="009349DB" w:rsidRPr="009349DB" w:rsidRDefault="009349DB" w:rsidP="009349DB">
            <w:r w:rsidRPr="009349DB">
              <w:t>Депресивно настроение Промени в настроението</w:t>
            </w:r>
          </w:p>
        </w:tc>
        <w:tc>
          <w:tcPr>
            <w:tcW w:w="2321" w:type="dxa"/>
          </w:tcPr>
          <w:p w14:paraId="587E3889" w14:textId="43C52885" w:rsidR="009349DB" w:rsidRPr="009349DB" w:rsidRDefault="009349DB" w:rsidP="009349DB">
            <w:r w:rsidRPr="009349DB">
              <w:t>Понижено либидо</w:t>
            </w:r>
          </w:p>
        </w:tc>
        <w:tc>
          <w:tcPr>
            <w:tcW w:w="2460" w:type="dxa"/>
          </w:tcPr>
          <w:p w14:paraId="7D4BC119" w14:textId="7DB0559F" w:rsidR="009349DB" w:rsidRPr="009349DB" w:rsidRDefault="009349DB" w:rsidP="009349DB">
            <w:r w:rsidRPr="009349DB">
              <w:t>Повишено либидо</w:t>
            </w:r>
          </w:p>
        </w:tc>
      </w:tr>
      <w:tr w:rsidR="009349DB" w14:paraId="4E6FA6AA" w14:textId="77777777" w:rsidTr="009349DB">
        <w:tc>
          <w:tcPr>
            <w:tcW w:w="2468" w:type="dxa"/>
          </w:tcPr>
          <w:p w14:paraId="3936D193" w14:textId="70D1B6C2" w:rsidR="009349DB" w:rsidRPr="009349DB" w:rsidRDefault="009349DB" w:rsidP="009349DB">
            <w:r w:rsidRPr="009349DB">
              <w:t>Нарушения на възпроизводителната система и гърдата</w:t>
            </w:r>
          </w:p>
        </w:tc>
        <w:tc>
          <w:tcPr>
            <w:tcW w:w="2327" w:type="dxa"/>
          </w:tcPr>
          <w:p w14:paraId="0712CFAB" w14:textId="385D3660" w:rsidR="009349DB" w:rsidRPr="009349DB" w:rsidRDefault="009349DB" w:rsidP="009349DB">
            <w:r w:rsidRPr="009349DB">
              <w:t>Болка в гърдите, Напрежение в гърдите</w:t>
            </w:r>
          </w:p>
        </w:tc>
        <w:tc>
          <w:tcPr>
            <w:tcW w:w="2321" w:type="dxa"/>
          </w:tcPr>
          <w:p w14:paraId="77B58FBC" w14:textId="6AFBCB20" w:rsidR="009349DB" w:rsidRPr="009349DB" w:rsidRDefault="009349DB" w:rsidP="009349DB">
            <w:r w:rsidRPr="009349DB">
              <w:t>Хипертофия на гърдите</w:t>
            </w:r>
          </w:p>
        </w:tc>
        <w:tc>
          <w:tcPr>
            <w:tcW w:w="2460" w:type="dxa"/>
          </w:tcPr>
          <w:p w14:paraId="0B581D7B" w14:textId="58AC8B0D" w:rsidR="009349DB" w:rsidRPr="009349DB" w:rsidRDefault="009349DB" w:rsidP="009349DB">
            <w:r w:rsidRPr="009349DB">
              <w:t>Вагинална секреция Секреция от гърдите</w:t>
            </w:r>
          </w:p>
        </w:tc>
      </w:tr>
      <w:tr w:rsidR="009349DB" w14:paraId="4355D793" w14:textId="77777777" w:rsidTr="009349DB">
        <w:tc>
          <w:tcPr>
            <w:tcW w:w="2468" w:type="dxa"/>
          </w:tcPr>
          <w:p w14:paraId="2C599D54" w14:textId="6E5F5872" w:rsidR="009349DB" w:rsidRPr="009349DB" w:rsidRDefault="009349DB" w:rsidP="009349DB">
            <w:r w:rsidRPr="009349DB">
              <w:t>Нарушения на кожата и подкожната тъкан</w:t>
            </w:r>
          </w:p>
        </w:tc>
        <w:tc>
          <w:tcPr>
            <w:tcW w:w="2327" w:type="dxa"/>
          </w:tcPr>
          <w:p w14:paraId="04F563A1" w14:textId="77777777" w:rsidR="009349DB" w:rsidRPr="009349DB" w:rsidRDefault="009349DB" w:rsidP="009349DB"/>
        </w:tc>
        <w:tc>
          <w:tcPr>
            <w:tcW w:w="2321" w:type="dxa"/>
          </w:tcPr>
          <w:p w14:paraId="54FBCF3C" w14:textId="5AD10EBD" w:rsidR="009349DB" w:rsidRPr="009349DB" w:rsidRDefault="009349DB" w:rsidP="009349DB">
            <w:r w:rsidRPr="009349DB">
              <w:t>Зачервяване Уртикария</w:t>
            </w:r>
          </w:p>
        </w:tc>
        <w:tc>
          <w:tcPr>
            <w:tcW w:w="2460" w:type="dxa"/>
          </w:tcPr>
          <w:p w14:paraId="5B4A1008" w14:textId="212F5648" w:rsidR="009349DB" w:rsidRPr="009349DB" w:rsidRDefault="009349DB" w:rsidP="009349DB">
            <w:r w:rsidRPr="009349DB">
              <w:t>Еритема нодозум Еритема мултиформе</w:t>
            </w:r>
          </w:p>
        </w:tc>
      </w:tr>
    </w:tbl>
    <w:p w14:paraId="2FD94050" w14:textId="4313390F" w:rsidR="009349DB" w:rsidRPr="009349DB" w:rsidRDefault="009349DB" w:rsidP="009349DB">
      <w:pPr>
        <w:spacing w:line="240" w:lineRule="auto"/>
        <w:rPr>
          <w:rFonts w:eastAsia="Times New Roman" w:cs="Arial"/>
          <w:color w:val="000000"/>
          <w:lang w:eastAsia="bg-BG"/>
        </w:rPr>
      </w:pPr>
      <w:r>
        <w:rPr>
          <w:rFonts w:eastAsia="Times New Roman" w:cs="Arial"/>
          <w:color w:val="000000"/>
          <w:lang w:eastAsia="bg-BG"/>
        </w:rPr>
        <w:t>*</w:t>
      </w:r>
      <w:r w:rsidRPr="009349DB">
        <w:rPr>
          <w:rFonts w:eastAsia="Times New Roman" w:cs="Arial"/>
          <w:color w:val="000000"/>
          <w:lang w:eastAsia="bg-BG"/>
        </w:rPr>
        <w:t xml:space="preserve">Използвани са най-подходящияте </w:t>
      </w:r>
      <w:r w:rsidRPr="009349DB">
        <w:rPr>
          <w:rFonts w:eastAsia="Times New Roman" w:cs="Arial"/>
          <w:color w:val="000000"/>
          <w:lang w:val="en-US"/>
        </w:rPr>
        <w:t xml:space="preserve">MedDRA </w:t>
      </w:r>
      <w:r w:rsidRPr="009349DB">
        <w:rPr>
          <w:rFonts w:eastAsia="Times New Roman" w:cs="Arial"/>
          <w:color w:val="000000"/>
          <w:lang w:eastAsia="bg-BG"/>
        </w:rPr>
        <w:t>термини (12.0 версия) за описване на определени нежелани реакции. Синоними или подобни състояния не са описани, но трябва да се имат предвид.</w:t>
      </w:r>
    </w:p>
    <w:p w14:paraId="3C85121B" w14:textId="23C27FE8" w:rsidR="009349DB" w:rsidRPr="009349DB" w:rsidRDefault="009349DB" w:rsidP="009349DB">
      <w:pPr>
        <w:spacing w:line="240" w:lineRule="auto"/>
        <w:rPr>
          <w:rFonts w:eastAsia="Times New Roman" w:cs="Arial"/>
          <w:color w:val="000000"/>
          <w:lang w:eastAsia="bg-BG"/>
        </w:rPr>
      </w:pPr>
      <w:r>
        <w:rPr>
          <w:rFonts w:eastAsia="Times New Roman" w:cs="Arial"/>
          <w:color w:val="000000"/>
          <w:lang w:eastAsia="bg-BG"/>
        </w:rPr>
        <w:t>*</w:t>
      </w:r>
      <w:r w:rsidRPr="009349DB">
        <w:rPr>
          <w:rFonts w:eastAsia="Times New Roman" w:cs="Arial"/>
          <w:color w:val="000000"/>
          <w:lang w:eastAsia="bg-BG"/>
        </w:rPr>
        <w:t>* - Честотата е изчислена от епидемиологични проучвания, обхващащи група от комбинирани орални контрацептиви.</w:t>
      </w:r>
    </w:p>
    <w:p w14:paraId="581475DE"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„Венозна тромбоемболия (ВТЕ)**, Артериална тромбоемболия (АТЕ)**“ обобщават следните мединцинки понятия: периферна дълбока венозна оклузия, тромбоза и емболия / Белодробна съдова оклузия, тромбоза, емболия и инфаркт / Инфаркт на миокарда / Мозъчен инфаркт и инсулт, които не са определени като хеморагични.</w:t>
      </w:r>
    </w:p>
    <w:p w14:paraId="75DAFB81" w14:textId="77777777" w:rsidR="009349DB" w:rsidRDefault="009349DB" w:rsidP="009349DB">
      <w:pPr>
        <w:spacing w:line="240" w:lineRule="auto"/>
        <w:rPr>
          <w:rFonts w:eastAsia="Times New Roman" w:cs="Arial"/>
          <w:b/>
          <w:bCs/>
          <w:color w:val="000000"/>
          <w:u w:val="single"/>
          <w:lang w:eastAsia="bg-BG"/>
        </w:rPr>
      </w:pPr>
    </w:p>
    <w:p w14:paraId="23FA9A3F" w14:textId="77B1AA30" w:rsidR="009349DB" w:rsidRPr="009349DB" w:rsidRDefault="009349DB" w:rsidP="009349DB">
      <w:pPr>
        <w:spacing w:line="240" w:lineRule="auto"/>
        <w:rPr>
          <w:rFonts w:eastAsia="Times New Roman" w:cs="Arial"/>
          <w:lang w:eastAsia="bg-BG"/>
        </w:rPr>
      </w:pPr>
      <w:r w:rsidRPr="009349DB">
        <w:rPr>
          <w:rFonts w:eastAsia="Times New Roman" w:cs="Arial"/>
          <w:b/>
          <w:bCs/>
          <w:color w:val="000000"/>
          <w:u w:val="single"/>
          <w:lang w:eastAsia="bg-BG"/>
        </w:rPr>
        <w:t>Описание на избрани нежелани лекарствени реакции</w:t>
      </w:r>
    </w:p>
    <w:p w14:paraId="3ADB5B3C" w14:textId="77777777" w:rsidR="009349DB" w:rsidRDefault="009349DB" w:rsidP="009349DB">
      <w:pPr>
        <w:spacing w:line="240" w:lineRule="auto"/>
        <w:rPr>
          <w:rFonts w:eastAsia="Times New Roman" w:cs="Arial"/>
          <w:color w:val="000000"/>
          <w:lang w:eastAsia="bg-BG"/>
        </w:rPr>
      </w:pPr>
    </w:p>
    <w:p w14:paraId="5FFC1922" w14:textId="6CEF7EAB"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Наблюдаван е повишен риск от артериални и венозни тромботични и тромбоемболични събития, включително инфаркт на миокарда, инсулт, преходни исхемични атаки, венозна тромбоза и белодробна емболия, при жени, използващи КХК, които са обсъдени по-подробно в точка 4.4.</w:t>
      </w:r>
    </w:p>
    <w:p w14:paraId="3CDDD318" w14:textId="77777777" w:rsidR="009349DB" w:rsidRDefault="009349DB" w:rsidP="009349DB">
      <w:pPr>
        <w:spacing w:line="240" w:lineRule="auto"/>
        <w:rPr>
          <w:rFonts w:eastAsia="Times New Roman" w:cs="Arial"/>
          <w:color w:val="000000"/>
          <w:lang w:eastAsia="bg-BG"/>
        </w:rPr>
      </w:pPr>
    </w:p>
    <w:p w14:paraId="655D1AAC" w14:textId="0C47E30B"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Нежеланите реакции с много ниска честота или със забавена проява на симптоми, които са определени като свързани с групата на комбинираните орални контрацептиви, са </w:t>
      </w:r>
      <w:r w:rsidRPr="009349DB">
        <w:rPr>
          <w:rFonts w:eastAsia="Times New Roman" w:cs="Arial"/>
          <w:color w:val="000000"/>
          <w:lang w:eastAsia="bg-BG"/>
        </w:rPr>
        <w:lastRenderedPageBreak/>
        <w:t>изброени по-долу (вижте също точки „Противопоказания” и „Специални предупреждения и предпазни мерки при употреба”):</w:t>
      </w:r>
    </w:p>
    <w:p w14:paraId="5DCE0B0D" w14:textId="77777777" w:rsidR="009349DB" w:rsidRDefault="009349DB" w:rsidP="009349DB">
      <w:pPr>
        <w:spacing w:line="240" w:lineRule="auto"/>
        <w:rPr>
          <w:rFonts w:eastAsia="Times New Roman" w:cs="Arial"/>
          <w:i/>
          <w:iCs/>
          <w:color w:val="000000"/>
          <w:lang w:eastAsia="bg-BG"/>
        </w:rPr>
      </w:pPr>
    </w:p>
    <w:p w14:paraId="3FD512D9" w14:textId="24F81F1B" w:rsidR="009349DB" w:rsidRPr="009349DB" w:rsidRDefault="009349DB" w:rsidP="009349DB">
      <w:pPr>
        <w:spacing w:line="240" w:lineRule="auto"/>
        <w:rPr>
          <w:rFonts w:eastAsia="Times New Roman" w:cs="Arial"/>
          <w:lang w:eastAsia="bg-BG"/>
        </w:rPr>
      </w:pPr>
      <w:r w:rsidRPr="009349DB">
        <w:rPr>
          <w:rFonts w:eastAsia="Times New Roman" w:cs="Arial"/>
          <w:i/>
          <w:iCs/>
          <w:color w:val="000000"/>
          <w:lang w:eastAsia="bg-BG"/>
        </w:rPr>
        <w:t>Тумори</w:t>
      </w:r>
    </w:p>
    <w:p w14:paraId="12A5233D" w14:textId="77777777" w:rsidR="009349DB" w:rsidRDefault="009349DB" w:rsidP="009349DB">
      <w:pPr>
        <w:pStyle w:val="ListParagraph"/>
        <w:numPr>
          <w:ilvl w:val="0"/>
          <w:numId w:val="44"/>
        </w:numPr>
        <w:spacing w:line="240" w:lineRule="auto"/>
        <w:rPr>
          <w:rFonts w:eastAsia="Times New Roman" w:cs="Arial"/>
          <w:color w:val="000000"/>
          <w:lang w:eastAsia="bg-BG"/>
        </w:rPr>
      </w:pPr>
      <w:r w:rsidRPr="009349DB">
        <w:rPr>
          <w:rFonts w:eastAsia="Times New Roman" w:cs="Arial"/>
          <w:color w:val="000000"/>
          <w:lang w:eastAsia="bg-BG"/>
        </w:rPr>
        <w:t>Честотата на диагностициране на рак на гърдата е много слабо повишена при жени, използващи ОК. Тъй като рак на гърдата се наблюдава рядко при жени на възраст под 40 години, разликата е малка в сравнение с общия риск от рак на гърдата. Причинно-следствената връзка с употребата на КОК не е известна.</w:t>
      </w:r>
    </w:p>
    <w:p w14:paraId="11811C48" w14:textId="748E5022" w:rsidR="009349DB" w:rsidRPr="009349DB" w:rsidRDefault="009349DB" w:rsidP="009349DB">
      <w:pPr>
        <w:pStyle w:val="ListParagraph"/>
        <w:numPr>
          <w:ilvl w:val="0"/>
          <w:numId w:val="44"/>
        </w:numPr>
        <w:spacing w:line="240" w:lineRule="auto"/>
        <w:rPr>
          <w:rFonts w:eastAsia="Times New Roman" w:cs="Arial"/>
          <w:color w:val="000000"/>
          <w:lang w:eastAsia="bg-BG"/>
        </w:rPr>
      </w:pPr>
      <w:r w:rsidRPr="009349DB">
        <w:rPr>
          <w:rFonts w:eastAsia="Times New Roman" w:cs="Arial"/>
          <w:color w:val="000000"/>
          <w:lang w:eastAsia="bg-BG"/>
        </w:rPr>
        <w:t>Чернодробни тумори (доброкачествени и злокачествени)</w:t>
      </w:r>
    </w:p>
    <w:p w14:paraId="5ADCDC21" w14:textId="77777777" w:rsidR="009349DB" w:rsidRDefault="009349DB" w:rsidP="009349DB">
      <w:pPr>
        <w:spacing w:line="240" w:lineRule="auto"/>
        <w:rPr>
          <w:rFonts w:eastAsia="Times New Roman" w:cs="Arial"/>
          <w:i/>
          <w:iCs/>
          <w:color w:val="000000"/>
          <w:lang w:eastAsia="bg-BG"/>
        </w:rPr>
      </w:pPr>
    </w:p>
    <w:p w14:paraId="2126A0A5" w14:textId="64458A70" w:rsidR="009349DB" w:rsidRPr="009349DB" w:rsidRDefault="009349DB" w:rsidP="009349DB">
      <w:pPr>
        <w:spacing w:line="240" w:lineRule="auto"/>
        <w:rPr>
          <w:rFonts w:eastAsia="Times New Roman" w:cs="Arial"/>
          <w:lang w:eastAsia="bg-BG"/>
        </w:rPr>
      </w:pPr>
      <w:r w:rsidRPr="009349DB">
        <w:rPr>
          <w:rFonts w:eastAsia="Times New Roman" w:cs="Arial"/>
          <w:i/>
          <w:iCs/>
          <w:color w:val="000000"/>
          <w:lang w:eastAsia="bg-BG"/>
        </w:rPr>
        <w:t>Други състояния</w:t>
      </w:r>
    </w:p>
    <w:p w14:paraId="2B865AE2"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Жени с хипертриглицеридемия (повишен риск от панкреатит, когато се използват КОК)</w:t>
      </w:r>
    </w:p>
    <w:p w14:paraId="484D352C"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Хипертония</w:t>
      </w:r>
    </w:p>
    <w:p w14:paraId="459148AA"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 xml:space="preserve">Поява или влошаване на заболявания, при които връзката с едновременната употребата на КОК не е убедителна: жълтеница и/или сърбеж, свързани с холестаза; образуване на жлъчни камъни; порфирия; системен лупус еритематозус; хемолитичен уремичен синдром; хорея на </w:t>
      </w:r>
      <w:r w:rsidRPr="009349DB">
        <w:rPr>
          <w:rFonts w:eastAsia="Times New Roman" w:cs="Arial"/>
          <w:color w:val="000000"/>
          <w:lang w:val="en-US"/>
        </w:rPr>
        <w:t xml:space="preserve">Sydenham; </w:t>
      </w:r>
      <w:r w:rsidRPr="009349DB">
        <w:rPr>
          <w:rFonts w:eastAsia="Times New Roman" w:cs="Arial"/>
          <w:color w:val="000000"/>
          <w:lang w:eastAsia="bg-BG"/>
        </w:rPr>
        <w:t>гестационен херпес; свързана с отосклероза загуба на слуха</w:t>
      </w:r>
    </w:p>
    <w:p w14:paraId="17F052BD"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При жени с наследствен ангиоедем, екзогенните естрогените могат да предизвикат или обострят симптомите на ангиоедем</w:t>
      </w:r>
    </w:p>
    <w:p w14:paraId="154FC1A9"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Чернодробни функционални нарушения</w:t>
      </w:r>
    </w:p>
    <w:p w14:paraId="4CEE18B9"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Промени в глюкозния толеранс или повлияване на периферната инсулиновата резистентност</w:t>
      </w:r>
    </w:p>
    <w:p w14:paraId="7EDBF0C7" w14:textId="77777777" w:rsid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Болест на Крон, улцерозен колит</w:t>
      </w:r>
    </w:p>
    <w:p w14:paraId="12454B71" w14:textId="61F13DC7" w:rsidR="009349DB" w:rsidRPr="009349DB" w:rsidRDefault="009349DB" w:rsidP="009349DB">
      <w:pPr>
        <w:pStyle w:val="ListParagraph"/>
        <w:numPr>
          <w:ilvl w:val="0"/>
          <w:numId w:val="46"/>
        </w:numPr>
        <w:spacing w:line="240" w:lineRule="auto"/>
        <w:rPr>
          <w:rFonts w:eastAsia="Times New Roman" w:cs="Arial"/>
          <w:color w:val="000000"/>
          <w:lang w:eastAsia="bg-BG"/>
        </w:rPr>
      </w:pPr>
      <w:r w:rsidRPr="009349DB">
        <w:rPr>
          <w:rFonts w:eastAsia="Times New Roman" w:cs="Arial"/>
          <w:color w:val="000000"/>
          <w:lang w:eastAsia="bg-BG"/>
        </w:rPr>
        <w:t>Хлоазма</w:t>
      </w:r>
    </w:p>
    <w:p w14:paraId="0B41B2CE" w14:textId="77777777" w:rsidR="009349DB" w:rsidRDefault="009349DB" w:rsidP="009349DB">
      <w:pPr>
        <w:spacing w:line="240" w:lineRule="auto"/>
        <w:rPr>
          <w:rFonts w:eastAsia="Times New Roman" w:cs="Arial"/>
          <w:i/>
          <w:iCs/>
          <w:color w:val="000000"/>
          <w:lang w:eastAsia="bg-BG"/>
        </w:rPr>
      </w:pPr>
    </w:p>
    <w:p w14:paraId="076BE99F" w14:textId="72A3A6C4" w:rsidR="009349DB" w:rsidRPr="009349DB" w:rsidRDefault="009349DB" w:rsidP="009349DB">
      <w:pPr>
        <w:spacing w:line="240" w:lineRule="auto"/>
        <w:rPr>
          <w:rFonts w:eastAsia="Times New Roman" w:cs="Arial"/>
          <w:lang w:eastAsia="bg-BG"/>
        </w:rPr>
      </w:pPr>
      <w:r w:rsidRPr="009349DB">
        <w:rPr>
          <w:rFonts w:eastAsia="Times New Roman" w:cs="Arial"/>
          <w:i/>
          <w:iCs/>
          <w:color w:val="000000"/>
          <w:lang w:eastAsia="bg-BG"/>
        </w:rPr>
        <w:t>Взаимодействия</w:t>
      </w:r>
    </w:p>
    <w:p w14:paraId="51EE3BBF"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Пробивно кървене и/или контрацептивен неуспех могат да се появят в резултат от взаимодействие на други лекарства (ензимни индуктори) с орални контрацептиви (вижте точка “ Взаимодействие с други лекарствени продукти и други форми на взаимодействие”).</w:t>
      </w:r>
    </w:p>
    <w:p w14:paraId="15D42388" w14:textId="77777777" w:rsidR="009349DB" w:rsidRDefault="009349DB" w:rsidP="009349DB">
      <w:pPr>
        <w:spacing w:line="240" w:lineRule="auto"/>
        <w:rPr>
          <w:rFonts w:eastAsia="Times New Roman" w:cs="Arial"/>
          <w:color w:val="000000"/>
          <w:u w:val="single"/>
          <w:lang w:eastAsia="bg-BG"/>
        </w:rPr>
      </w:pPr>
    </w:p>
    <w:p w14:paraId="3B76F710" w14:textId="72753737"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Съобщаване на подозирани нежелани реакции</w:t>
      </w:r>
    </w:p>
    <w:p w14:paraId="5DF0F122" w14:textId="301B46FE" w:rsidR="009349DB" w:rsidRPr="009349DB" w:rsidRDefault="009349DB" w:rsidP="009349DB">
      <w:pPr>
        <w:spacing w:line="240" w:lineRule="auto"/>
        <w:rPr>
          <w:rFonts w:eastAsia="Times New Roman" w:cs="Arial"/>
          <w:color w:val="000000"/>
          <w:lang w:eastAsia="bg-BG"/>
        </w:rPr>
      </w:pPr>
      <w:r w:rsidRPr="009349D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w:t>
      </w:r>
    </w:p>
    <w:p w14:paraId="5A8524DA" w14:textId="77777777" w:rsidR="009349DB" w:rsidRPr="009349DB" w:rsidRDefault="009349DB" w:rsidP="009349DB">
      <w:pPr>
        <w:rPr>
          <w:sz w:val="24"/>
          <w:szCs w:val="24"/>
          <w:lang w:eastAsia="bg-BG"/>
        </w:rPr>
      </w:pPr>
      <w:r w:rsidRPr="009349DB">
        <w:rPr>
          <w:lang w:eastAsia="bg-BG"/>
        </w:rPr>
        <w:t>ул. „Дамян Груев” № 8</w:t>
      </w:r>
    </w:p>
    <w:p w14:paraId="40E3A46C" w14:textId="77777777" w:rsidR="009349DB" w:rsidRPr="009349DB" w:rsidRDefault="009349DB" w:rsidP="009349DB">
      <w:pPr>
        <w:rPr>
          <w:sz w:val="24"/>
          <w:szCs w:val="24"/>
          <w:lang w:eastAsia="bg-BG"/>
        </w:rPr>
      </w:pPr>
      <w:r w:rsidRPr="009349DB">
        <w:rPr>
          <w:lang w:eastAsia="bg-BG"/>
        </w:rPr>
        <w:t>1303 София</w:t>
      </w:r>
    </w:p>
    <w:p w14:paraId="7278C1A3" w14:textId="77777777" w:rsidR="009349DB" w:rsidRDefault="009349DB" w:rsidP="009349DB">
      <w:pPr>
        <w:rPr>
          <w:lang w:eastAsia="bg-BG"/>
        </w:rPr>
      </w:pPr>
      <w:r w:rsidRPr="009349DB">
        <w:rPr>
          <w:lang w:eastAsia="bg-BG"/>
        </w:rPr>
        <w:t xml:space="preserve">Тел.:+359 2 8903417 </w:t>
      </w:r>
    </w:p>
    <w:p w14:paraId="7827AC48" w14:textId="15A1925D" w:rsidR="009349DB" w:rsidRPr="009349DB" w:rsidRDefault="009349DB" w:rsidP="009349DB">
      <w:pPr>
        <w:rPr>
          <w:sz w:val="24"/>
          <w:szCs w:val="24"/>
          <w:lang w:eastAsia="bg-BG"/>
        </w:rPr>
      </w:pPr>
      <w:r w:rsidRPr="009349DB">
        <w:rPr>
          <w:lang w:eastAsia="bg-BG"/>
        </w:rPr>
        <w:t xml:space="preserve">уебсайт: </w:t>
      </w:r>
      <w:r w:rsidRPr="009349DB">
        <w:rPr>
          <w:sz w:val="24"/>
          <w:szCs w:val="24"/>
          <w:lang w:eastAsia="bg-BG"/>
        </w:rPr>
        <w:fldChar w:fldCharType="begin"/>
      </w:r>
      <w:r w:rsidRPr="009349DB">
        <w:rPr>
          <w:sz w:val="24"/>
          <w:szCs w:val="24"/>
          <w:lang w:eastAsia="bg-BG"/>
        </w:rPr>
        <w:instrText xml:space="preserve"> HYPERLINK "http://www.bda.bg" </w:instrText>
      </w:r>
      <w:r w:rsidRPr="009349DB">
        <w:rPr>
          <w:sz w:val="24"/>
          <w:szCs w:val="24"/>
          <w:lang w:eastAsia="bg-BG"/>
        </w:rPr>
      </w:r>
      <w:r w:rsidRPr="009349DB">
        <w:rPr>
          <w:sz w:val="24"/>
          <w:szCs w:val="24"/>
          <w:lang w:eastAsia="bg-BG"/>
        </w:rPr>
        <w:fldChar w:fldCharType="separate"/>
      </w:r>
      <w:r w:rsidRPr="009349DB">
        <w:rPr>
          <w:u w:val="single"/>
          <w:lang w:val="en-US"/>
        </w:rPr>
        <w:t>www.bda.bg</w:t>
      </w:r>
      <w:r w:rsidRPr="009349DB">
        <w:rPr>
          <w:sz w:val="24"/>
          <w:szCs w:val="24"/>
          <w:lang w:eastAsia="bg-BG"/>
        </w:rPr>
        <w:fldChar w:fldCharType="end"/>
      </w:r>
    </w:p>
    <w:p w14:paraId="0DF32CB1" w14:textId="77777777" w:rsidR="009349DB" w:rsidRPr="009349DB" w:rsidRDefault="009349DB" w:rsidP="009349DB"/>
    <w:p w14:paraId="378A0F20" w14:textId="217F3C8B" w:rsidR="001D095A" w:rsidRDefault="002C50EE" w:rsidP="00340E8D">
      <w:pPr>
        <w:pStyle w:val="Heading2"/>
      </w:pPr>
      <w:r>
        <w:t>4.9. Предозиране</w:t>
      </w:r>
    </w:p>
    <w:p w14:paraId="294251CD" w14:textId="7048ECE0" w:rsidR="009349DB" w:rsidRDefault="009349DB" w:rsidP="009349DB"/>
    <w:p w14:paraId="38B4518D" w14:textId="708528A9" w:rsidR="009349DB" w:rsidRPr="009349DB" w:rsidRDefault="009349DB" w:rsidP="009349DB">
      <w:r>
        <w:t xml:space="preserve">Няма съобщения за сериозни вредни ефекти при предозиране. На базата на общия опит с комбинирани перорални контрацептиви, симптомите, които обикновено могат да се появят, включват: гадене, повръщане и отпадно кървене. Отпадното кървене може да се </w:t>
      </w:r>
      <w:r>
        <w:lastRenderedPageBreak/>
        <w:t>прояви дори при момичетата преди менархе, ако случайно приемат лекарствения продукт. Няма специални антидота и последващото лечение следва да бъде симптоматично.</w:t>
      </w:r>
    </w:p>
    <w:p w14:paraId="02081B24" w14:textId="36FE76F4" w:rsidR="00395555" w:rsidRPr="00395555" w:rsidRDefault="002C50EE" w:rsidP="008A6AF2">
      <w:pPr>
        <w:pStyle w:val="Heading1"/>
      </w:pPr>
      <w:r>
        <w:t>5. ФАРМАКОЛОГИЧНИ СВОЙСТВА</w:t>
      </w:r>
    </w:p>
    <w:p w14:paraId="7F6CC5E1" w14:textId="0BE51C63" w:rsidR="00F62E44" w:rsidRDefault="002C50EE" w:rsidP="00387A66">
      <w:pPr>
        <w:pStyle w:val="Heading2"/>
      </w:pPr>
      <w:r>
        <w:t>5.1. Фармакодинамични свойства</w:t>
      </w:r>
    </w:p>
    <w:p w14:paraId="6F7EC95E" w14:textId="6E001F52" w:rsidR="009349DB" w:rsidRDefault="009349DB" w:rsidP="009349DB"/>
    <w:p w14:paraId="53190A25"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Фармакотерапевтична група: Прогестогени и естрогени, фиксирани комбинации, АТС код: </w:t>
      </w:r>
      <w:r w:rsidRPr="009349DB">
        <w:rPr>
          <w:rFonts w:eastAsia="Times New Roman" w:cs="Arial"/>
          <w:color w:val="000000"/>
          <w:lang w:val="en-US"/>
        </w:rPr>
        <w:t>G03AA10</w:t>
      </w:r>
    </w:p>
    <w:p w14:paraId="38F44448" w14:textId="77777777" w:rsidR="009349DB" w:rsidRDefault="009349DB" w:rsidP="009349DB">
      <w:pPr>
        <w:spacing w:line="240" w:lineRule="auto"/>
        <w:rPr>
          <w:rFonts w:eastAsia="Times New Roman" w:cs="Arial"/>
          <w:color w:val="000000"/>
          <w:lang w:eastAsia="bg-BG"/>
        </w:rPr>
      </w:pPr>
    </w:p>
    <w:p w14:paraId="02A70DCE" w14:textId="189220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Контрацептивният ефект на КОК се базира на взаимодействие на множество фактори, най-важният от които е потискане на овулацията и промени в цервикалната секреция.</w:t>
      </w:r>
    </w:p>
    <w:p w14:paraId="3CD95BC0" w14:textId="77777777" w:rsidR="009349DB" w:rsidRDefault="009349DB" w:rsidP="009349DB">
      <w:pPr>
        <w:spacing w:line="240" w:lineRule="auto"/>
        <w:rPr>
          <w:rFonts w:eastAsia="Times New Roman" w:cs="Arial"/>
          <w:color w:val="000000"/>
          <w:lang w:eastAsia="bg-BG"/>
        </w:rPr>
      </w:pPr>
    </w:p>
    <w:p w14:paraId="5DC93B93" w14:textId="0DEC49D6"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Постмаркетингови проучвания за безопасност са показали, че честотата на диагностициране на ВТЕ варира между 7 до 10 на 10 000 жени-години при приемане на КОК с ниски дози естроген (&lt; 50 μ</w:t>
      </w:r>
      <w:r w:rsidRPr="009349DB">
        <w:rPr>
          <w:rFonts w:eastAsia="Times New Roman" w:cs="Arial"/>
          <w:color w:val="000000"/>
          <w:lang w:val="en-US"/>
        </w:rPr>
        <w:t xml:space="preserve">g </w:t>
      </w:r>
      <w:r w:rsidRPr="009349DB">
        <w:rPr>
          <w:rFonts w:eastAsia="Times New Roman" w:cs="Arial"/>
          <w:color w:val="000000"/>
          <w:lang w:eastAsia="bg-BG"/>
        </w:rPr>
        <w:t>етинилестрадиол). Най-новите данни показват, че честотата на диагностициране на ВТЕ е приблизително 4 на 10 000 жени-години при приемане на КОК от жени, които не са бременни, и варира между 20 до 30 на 10 000 жени-години при бременни жени или такива след раждане.</w:t>
      </w:r>
    </w:p>
    <w:p w14:paraId="6C9E2AA1" w14:textId="77777777" w:rsidR="009349DB" w:rsidRDefault="009349DB" w:rsidP="009349DB">
      <w:pPr>
        <w:spacing w:line="240" w:lineRule="auto"/>
        <w:rPr>
          <w:rFonts w:eastAsia="Times New Roman" w:cs="Arial"/>
          <w:color w:val="000000"/>
          <w:lang w:eastAsia="bg-BG"/>
        </w:rPr>
      </w:pPr>
    </w:p>
    <w:p w14:paraId="0BFF68E6" w14:textId="1850BE38"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Повишеният риск от ВТЕ, асоцииран с употребата на КОК, се приписва на естрагеновия компонент. Остава научен дебат относно какъвто и да е модулиращ ефект върху риска от ВТЕ от страна на прогестиновия компонент на КОК. Епидемиологичните проучвания, сравняващи риска от ВТЕ, асоцииран с употребата на КОК съдържащи етинилестрадиол/гестоден, с риска при употребата на КОК, съдържащи левоноргестрел, са показали различни резултати. Някои проучвания са показали по-висок риск за етинилестрадиол/гестоден, докато други проучвания не са открили разлика в риска.</w:t>
      </w:r>
    </w:p>
    <w:p w14:paraId="4C5FF542" w14:textId="77777777" w:rsidR="009349DB" w:rsidRDefault="009349DB" w:rsidP="009349DB">
      <w:pPr>
        <w:spacing w:line="240" w:lineRule="auto"/>
        <w:rPr>
          <w:rFonts w:eastAsia="Times New Roman" w:cs="Arial"/>
          <w:color w:val="000000"/>
          <w:lang w:eastAsia="bg-BG"/>
        </w:rPr>
      </w:pPr>
    </w:p>
    <w:p w14:paraId="6067F8A6" w14:textId="79A1B9C0"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Освен предпазването от бременност, КОК имат множество положителни ефекти, които заедно с отрицателните такива (вижте точка 4.4 Специални предупреждения и предпазни мерки при употреба, точка 4.8 Нежелани лекарствени реакции) могат да повлияят върху избора на метод за контрол върху раждаемостта. Менструалният цикъл става по-редовен, менструацията става по- безболезнена, а кървенето по-слабо. Това може да доведе до намаляване на железния дефицит. Освен това, има доказателства за намаляване на риска от рак на ендометриума и на яйчниците. Също така, има доказателства, че по-високите дози КОК (0,05 </w:t>
      </w:r>
      <w:r w:rsidRPr="009349DB">
        <w:rPr>
          <w:rFonts w:eastAsia="Times New Roman" w:cs="Arial"/>
          <w:color w:val="000000"/>
          <w:lang w:val="en-US"/>
        </w:rPr>
        <w:t xml:space="preserve">mg </w:t>
      </w:r>
      <w:r w:rsidRPr="009349DB">
        <w:rPr>
          <w:rFonts w:eastAsia="Times New Roman" w:cs="Arial"/>
          <w:color w:val="000000"/>
          <w:lang w:eastAsia="bg-BG"/>
        </w:rPr>
        <w:t>етинилестрадиол) намаляват риска от овариални кисти, възпалителни тазови заболявания, доброкачествени заболявания на гърдите и ектопична бременност. Не е потвърдено, че този ефект се отнася и за ниско-дозовите КОК.</w:t>
      </w:r>
    </w:p>
    <w:p w14:paraId="15BE7684" w14:textId="77777777" w:rsidR="009349DB" w:rsidRPr="009349DB" w:rsidRDefault="009349DB" w:rsidP="009349DB"/>
    <w:p w14:paraId="544FFDAF" w14:textId="0AD65CDA" w:rsidR="00F62E44" w:rsidRDefault="002C50EE" w:rsidP="00387A66">
      <w:pPr>
        <w:pStyle w:val="Heading2"/>
      </w:pPr>
      <w:r>
        <w:t>5.2. Фармакокинетични свойства</w:t>
      </w:r>
    </w:p>
    <w:p w14:paraId="5CB4BC22" w14:textId="1CA2533F" w:rsidR="009349DB" w:rsidRDefault="009349DB" w:rsidP="009349DB"/>
    <w:p w14:paraId="4A80513E" w14:textId="77777777" w:rsidR="009349DB" w:rsidRPr="009349DB" w:rsidRDefault="009349DB" w:rsidP="009349DB">
      <w:pPr>
        <w:spacing w:line="240" w:lineRule="auto"/>
        <w:rPr>
          <w:rFonts w:eastAsia="Times New Roman" w:cs="Arial"/>
          <w:lang w:eastAsia="bg-BG"/>
        </w:rPr>
      </w:pPr>
      <w:r w:rsidRPr="009349DB">
        <w:rPr>
          <w:rFonts w:eastAsia="Times New Roman" w:cs="Arial"/>
          <w:b/>
          <w:bCs/>
          <w:i/>
          <w:iCs/>
          <w:color w:val="000000"/>
          <w:lang w:eastAsia="bg-BG"/>
        </w:rPr>
        <w:t>Гестоден</w:t>
      </w:r>
    </w:p>
    <w:p w14:paraId="24931583" w14:textId="77777777" w:rsidR="009349DB" w:rsidRDefault="009349DB" w:rsidP="009349DB">
      <w:pPr>
        <w:spacing w:line="240" w:lineRule="auto"/>
        <w:rPr>
          <w:rFonts w:eastAsia="Times New Roman" w:cs="Arial"/>
          <w:color w:val="000000"/>
          <w:u w:val="single"/>
          <w:lang w:eastAsia="bg-BG"/>
        </w:rPr>
      </w:pPr>
    </w:p>
    <w:p w14:paraId="37B99E53" w14:textId="7A081ED0"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Абсорбция</w:t>
      </w:r>
    </w:p>
    <w:p w14:paraId="66FBB815"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Приложеният перорално гестоден се абсорбира бързо и почти напълно. След еднократен прием на Фемоден се достига максимална серумна концентрация от 4 </w:t>
      </w:r>
      <w:r w:rsidRPr="009349DB">
        <w:rPr>
          <w:rFonts w:eastAsia="Times New Roman" w:cs="Arial"/>
          <w:color w:val="000000"/>
          <w:lang w:val="en-US"/>
        </w:rPr>
        <w:t xml:space="preserve">ng/ml </w:t>
      </w:r>
      <w:r w:rsidRPr="009349DB">
        <w:rPr>
          <w:rFonts w:eastAsia="Times New Roman" w:cs="Arial"/>
          <w:color w:val="000000"/>
          <w:lang w:eastAsia="bg-BG"/>
        </w:rPr>
        <w:t>за около 1 час. Бионаличността е около 99 %.</w:t>
      </w:r>
    </w:p>
    <w:p w14:paraId="406AC22B" w14:textId="77777777" w:rsidR="009349DB" w:rsidRDefault="009349DB" w:rsidP="009349DB">
      <w:pPr>
        <w:spacing w:line="240" w:lineRule="auto"/>
        <w:rPr>
          <w:rFonts w:eastAsia="Times New Roman" w:cs="Arial"/>
          <w:color w:val="000000"/>
          <w:u w:val="single"/>
          <w:lang w:eastAsia="bg-BG"/>
        </w:rPr>
      </w:pPr>
    </w:p>
    <w:p w14:paraId="61D1E6FA" w14:textId="39AD177C"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lastRenderedPageBreak/>
        <w:t>Разпределение</w:t>
      </w:r>
    </w:p>
    <w:p w14:paraId="4C96ED7F"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Гестоден се свързва със серумния албумин и глобулина, свързващ половите хормони </w:t>
      </w:r>
      <w:r w:rsidRPr="009349DB">
        <w:rPr>
          <w:rFonts w:eastAsia="Times New Roman" w:cs="Arial"/>
          <w:color w:val="000000"/>
          <w:lang w:val="en-US"/>
        </w:rPr>
        <w:t xml:space="preserve">(SHBG). </w:t>
      </w:r>
      <w:r w:rsidRPr="009349DB">
        <w:rPr>
          <w:rFonts w:eastAsia="Times New Roman" w:cs="Arial"/>
          <w:color w:val="000000"/>
          <w:lang w:eastAsia="bg-BG"/>
        </w:rPr>
        <w:t xml:space="preserve">Само 1-2% от общата му серумна концентрация е под формата на свободен стероид, а около 50-70% са специфично свързани със </w:t>
      </w:r>
      <w:r w:rsidRPr="009349DB">
        <w:rPr>
          <w:rFonts w:eastAsia="Times New Roman" w:cs="Arial"/>
          <w:color w:val="000000"/>
          <w:lang w:val="en-US"/>
        </w:rPr>
        <w:t xml:space="preserve">SHBG. </w:t>
      </w:r>
      <w:r w:rsidRPr="009349DB">
        <w:rPr>
          <w:rFonts w:eastAsia="Times New Roman" w:cs="Arial"/>
          <w:color w:val="000000"/>
          <w:lang w:eastAsia="bg-BG"/>
        </w:rPr>
        <w:t xml:space="preserve">Етинилестрадиол-индуцираното повишаване на </w:t>
      </w:r>
      <w:r w:rsidRPr="009349DB">
        <w:rPr>
          <w:rFonts w:eastAsia="Times New Roman" w:cs="Arial"/>
          <w:color w:val="000000"/>
          <w:lang w:val="en-US"/>
        </w:rPr>
        <w:t xml:space="preserve">SHBG </w:t>
      </w:r>
      <w:r w:rsidRPr="009349DB">
        <w:rPr>
          <w:rFonts w:eastAsia="Times New Roman" w:cs="Arial"/>
          <w:color w:val="000000"/>
          <w:lang w:eastAsia="bg-BG"/>
        </w:rPr>
        <w:t xml:space="preserve">влияе на процента на гестоден, свързан със серумните протеини, като причинява увеличаване на </w:t>
      </w:r>
      <w:r w:rsidRPr="009349DB">
        <w:rPr>
          <w:rFonts w:eastAsia="Times New Roman" w:cs="Arial"/>
          <w:color w:val="000000"/>
          <w:lang w:val="en-US"/>
        </w:rPr>
        <w:t>SHBG</w:t>
      </w:r>
      <w:r w:rsidRPr="009349DB">
        <w:rPr>
          <w:rFonts w:eastAsia="Times New Roman" w:cs="Arial"/>
          <w:color w:val="000000"/>
          <w:lang w:eastAsia="bg-BG"/>
        </w:rPr>
        <w:t xml:space="preserve">- свързаната фракция и намаляване на албумин-свързаната фракция. Обемът на разпределение на гестоден е 0,7 </w:t>
      </w:r>
      <w:r w:rsidRPr="009349DB">
        <w:rPr>
          <w:rFonts w:eastAsia="Times New Roman" w:cs="Arial"/>
          <w:color w:val="000000"/>
          <w:lang w:val="en-US"/>
        </w:rPr>
        <w:t>1/kg.</w:t>
      </w:r>
    </w:p>
    <w:p w14:paraId="71C20C5D" w14:textId="77777777" w:rsidR="009349DB" w:rsidRDefault="009349DB" w:rsidP="009349DB">
      <w:pPr>
        <w:spacing w:line="240" w:lineRule="auto"/>
        <w:rPr>
          <w:rFonts w:eastAsia="Times New Roman" w:cs="Arial"/>
          <w:color w:val="000000"/>
          <w:u w:val="single"/>
          <w:lang w:eastAsia="bg-BG"/>
        </w:rPr>
      </w:pPr>
    </w:p>
    <w:p w14:paraId="5521F175" w14:textId="5AA7C875"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Биотрансформация</w:t>
      </w:r>
    </w:p>
    <w:p w14:paraId="12390AEB"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Гестоден се метаболизира напълно по познатите метаболитни пътища на стероидния метаболизъм. Метаболитният клирънс от серума е 0,8 </w:t>
      </w:r>
      <w:r w:rsidRPr="009349DB">
        <w:rPr>
          <w:rFonts w:eastAsia="Times New Roman" w:cs="Arial"/>
          <w:color w:val="000000"/>
          <w:lang w:val="en-US"/>
        </w:rPr>
        <w:t xml:space="preserve">ml/min/kg. </w:t>
      </w:r>
      <w:r w:rsidRPr="009349DB">
        <w:rPr>
          <w:rFonts w:eastAsia="Times New Roman" w:cs="Arial"/>
          <w:color w:val="000000"/>
          <w:lang w:eastAsia="bg-BG"/>
        </w:rPr>
        <w:t>Не е установено пряко взаимодействие с едновременно прилагания етинилестрадиол.</w:t>
      </w:r>
    </w:p>
    <w:p w14:paraId="79E6CF16" w14:textId="77777777" w:rsidR="009349DB" w:rsidRDefault="009349DB" w:rsidP="009349DB">
      <w:pPr>
        <w:spacing w:line="240" w:lineRule="auto"/>
        <w:rPr>
          <w:rFonts w:eastAsia="Times New Roman" w:cs="Arial"/>
          <w:color w:val="000000"/>
          <w:u w:val="single"/>
          <w:lang w:eastAsia="bg-BG"/>
        </w:rPr>
      </w:pPr>
    </w:p>
    <w:p w14:paraId="3164A50D" w14:textId="3C614026"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Елиминиране</w:t>
      </w:r>
    </w:p>
    <w:p w14:paraId="7D1CA8BA"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Серумната концентрация на гестоден намалява в две фази. Крайната фаза на отделяне се характеризира с елиминационен полуживот от 12-15 часа. Гестоден не се екскретира в непроменена форма. Метаболитите му се екскретират в урината и жлъчката в съотношение 6:4. Елиминационният полуживот на метаболитите е около 1 ден.</w:t>
      </w:r>
    </w:p>
    <w:p w14:paraId="6A254965" w14:textId="77777777" w:rsidR="009349DB" w:rsidRDefault="009349DB" w:rsidP="009349DB">
      <w:pPr>
        <w:spacing w:line="240" w:lineRule="auto"/>
        <w:rPr>
          <w:rFonts w:eastAsia="Times New Roman" w:cs="Arial"/>
          <w:color w:val="000000"/>
          <w:u w:val="single"/>
          <w:lang w:eastAsia="bg-BG"/>
        </w:rPr>
      </w:pPr>
    </w:p>
    <w:p w14:paraId="4F81F2F0" w14:textId="26A384AB"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Линейност/нелинейност</w:t>
      </w:r>
    </w:p>
    <w:p w14:paraId="4751B555"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Фармакокинетиката на гестоден се влияе от </w:t>
      </w:r>
      <w:r w:rsidRPr="009349DB">
        <w:rPr>
          <w:rFonts w:eastAsia="Times New Roman" w:cs="Arial"/>
          <w:color w:val="000000"/>
          <w:lang w:val="en-US"/>
        </w:rPr>
        <w:t xml:space="preserve">SHBG </w:t>
      </w:r>
      <w:r w:rsidRPr="009349DB">
        <w:rPr>
          <w:rFonts w:eastAsia="Times New Roman" w:cs="Arial"/>
          <w:color w:val="000000"/>
          <w:lang w:eastAsia="bg-BG"/>
        </w:rPr>
        <w:t>нивата, които се повишават трикратно, когато се прилага едновременно с етинилестрадиол. След ежедневен прием, серумните нива се повишават четирикратно, достигайки стационарни състояния през втората половина на лечебния цикъл.</w:t>
      </w:r>
    </w:p>
    <w:p w14:paraId="71B6A660" w14:textId="77777777" w:rsidR="009349DB" w:rsidRDefault="009349DB" w:rsidP="009349DB">
      <w:pPr>
        <w:spacing w:line="240" w:lineRule="auto"/>
        <w:rPr>
          <w:rFonts w:eastAsia="Times New Roman" w:cs="Arial"/>
          <w:b/>
          <w:bCs/>
          <w:i/>
          <w:iCs/>
          <w:color w:val="000000"/>
          <w:lang w:eastAsia="bg-BG"/>
        </w:rPr>
      </w:pPr>
    </w:p>
    <w:p w14:paraId="24A6570C" w14:textId="337D8727" w:rsidR="009349DB" w:rsidRPr="009349DB" w:rsidRDefault="009349DB" w:rsidP="009349DB">
      <w:pPr>
        <w:spacing w:line="240" w:lineRule="auto"/>
        <w:rPr>
          <w:rFonts w:eastAsia="Times New Roman" w:cs="Arial"/>
          <w:lang w:eastAsia="bg-BG"/>
        </w:rPr>
      </w:pPr>
      <w:r w:rsidRPr="009349DB">
        <w:rPr>
          <w:rFonts w:eastAsia="Times New Roman" w:cs="Arial"/>
          <w:b/>
          <w:bCs/>
          <w:i/>
          <w:iCs/>
          <w:color w:val="000000"/>
          <w:lang w:eastAsia="bg-BG"/>
        </w:rPr>
        <w:t>Етинилестрадиол</w:t>
      </w:r>
    </w:p>
    <w:p w14:paraId="7F468276" w14:textId="77777777" w:rsidR="009349DB" w:rsidRDefault="009349DB" w:rsidP="009349DB">
      <w:pPr>
        <w:spacing w:line="240" w:lineRule="auto"/>
        <w:rPr>
          <w:rFonts w:eastAsia="Times New Roman" w:cs="Arial"/>
          <w:color w:val="000000"/>
          <w:u w:val="single"/>
          <w:lang w:eastAsia="bg-BG"/>
        </w:rPr>
      </w:pPr>
    </w:p>
    <w:p w14:paraId="1C6620AF" w14:textId="0719AE75"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Абсорбция</w:t>
      </w:r>
    </w:p>
    <w:p w14:paraId="15008B54"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Перорално приложеният етинилестрадиол се абсорбира бързо и напълно. Максималната серумна концетрация от приблизително 80 </w:t>
      </w:r>
      <w:proofErr w:type="spellStart"/>
      <w:r w:rsidRPr="009349DB">
        <w:rPr>
          <w:rFonts w:eastAsia="Times New Roman" w:cs="Arial"/>
          <w:color w:val="000000"/>
          <w:lang w:val="en-US"/>
        </w:rPr>
        <w:t>pg</w:t>
      </w:r>
      <w:proofErr w:type="spellEnd"/>
      <w:r w:rsidRPr="009349DB">
        <w:rPr>
          <w:rFonts w:eastAsia="Times New Roman" w:cs="Arial"/>
          <w:color w:val="000000"/>
          <w:lang w:val="en-US"/>
        </w:rPr>
        <w:t xml:space="preserve">/ml </w:t>
      </w:r>
      <w:r w:rsidRPr="009349DB">
        <w:rPr>
          <w:rFonts w:eastAsia="Times New Roman" w:cs="Arial"/>
          <w:color w:val="000000"/>
          <w:lang w:eastAsia="bg-BG"/>
        </w:rPr>
        <w:t>се достига за 1-2 часа. По време на абсорбцията и първото преминаване през черния дроб етинилестрадиол се метаболизира значително при средна перорална бионаличност от около 45% с големи индивидуални различия от 20-65%.</w:t>
      </w:r>
    </w:p>
    <w:p w14:paraId="7C125A0A" w14:textId="77777777" w:rsidR="009349DB" w:rsidRDefault="009349DB" w:rsidP="009349DB">
      <w:pPr>
        <w:spacing w:line="240" w:lineRule="auto"/>
        <w:rPr>
          <w:rFonts w:eastAsia="Times New Roman" w:cs="Arial"/>
          <w:color w:val="000000"/>
          <w:u w:val="single"/>
          <w:lang w:eastAsia="bg-BG"/>
        </w:rPr>
      </w:pPr>
    </w:p>
    <w:p w14:paraId="50EDE05E" w14:textId="4F07DF67"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Разпределение</w:t>
      </w:r>
    </w:p>
    <w:p w14:paraId="50C56198" w14:textId="77777777" w:rsidR="009349DB" w:rsidRPr="009349DB" w:rsidRDefault="009349DB" w:rsidP="009349DB">
      <w:pPr>
        <w:spacing w:line="240" w:lineRule="auto"/>
        <w:rPr>
          <w:rFonts w:eastAsia="Times New Roman" w:cs="Arial"/>
          <w:lang w:eastAsia="bg-BG"/>
        </w:rPr>
      </w:pPr>
      <w:r w:rsidRPr="009349DB">
        <w:rPr>
          <w:rFonts w:eastAsia="Times New Roman" w:cs="Arial"/>
          <w:color w:val="000000"/>
          <w:lang w:eastAsia="bg-BG"/>
        </w:rPr>
        <w:t xml:space="preserve">Етинилестрадиол се свързва неспецифично в значителна степен със серумните албумини (около 98%) и повишава серумната концентрация на </w:t>
      </w:r>
      <w:r w:rsidRPr="009349DB">
        <w:rPr>
          <w:rFonts w:eastAsia="Times New Roman" w:cs="Arial"/>
          <w:color w:val="000000"/>
          <w:lang w:val="en-US"/>
        </w:rPr>
        <w:t xml:space="preserve">SHBG. </w:t>
      </w:r>
      <w:r w:rsidRPr="009349DB">
        <w:rPr>
          <w:rFonts w:eastAsia="Times New Roman" w:cs="Arial"/>
          <w:color w:val="000000"/>
          <w:lang w:eastAsia="bg-BG"/>
        </w:rPr>
        <w:t xml:space="preserve">Изчисленият обем на разпределение е около 2,8 - 8,6 </w:t>
      </w:r>
      <w:r w:rsidRPr="009349DB">
        <w:rPr>
          <w:rFonts w:eastAsia="Times New Roman" w:cs="Arial"/>
          <w:color w:val="000000"/>
          <w:lang w:val="en-US"/>
        </w:rPr>
        <w:t>l/kg.</w:t>
      </w:r>
    </w:p>
    <w:p w14:paraId="345942BA" w14:textId="77777777" w:rsidR="009349DB" w:rsidRDefault="009349DB" w:rsidP="009349DB">
      <w:pPr>
        <w:spacing w:line="240" w:lineRule="auto"/>
        <w:rPr>
          <w:rFonts w:eastAsia="Times New Roman" w:cs="Arial"/>
          <w:color w:val="000000"/>
          <w:u w:val="single"/>
          <w:lang w:eastAsia="bg-BG"/>
        </w:rPr>
      </w:pPr>
    </w:p>
    <w:p w14:paraId="3F3DF031" w14:textId="671539DA" w:rsidR="009349DB" w:rsidRPr="009349DB" w:rsidRDefault="009349DB" w:rsidP="009349DB">
      <w:pPr>
        <w:spacing w:line="240" w:lineRule="auto"/>
        <w:rPr>
          <w:rFonts w:eastAsia="Times New Roman" w:cs="Arial"/>
          <w:lang w:eastAsia="bg-BG"/>
        </w:rPr>
      </w:pPr>
      <w:r w:rsidRPr="009349DB">
        <w:rPr>
          <w:rFonts w:eastAsia="Times New Roman" w:cs="Arial"/>
          <w:color w:val="000000"/>
          <w:u w:val="single"/>
          <w:lang w:eastAsia="bg-BG"/>
        </w:rPr>
        <w:t>Биотрансформация</w:t>
      </w:r>
    </w:p>
    <w:p w14:paraId="0305CDC7" w14:textId="77777777" w:rsidR="00085FC4" w:rsidRPr="00085FC4" w:rsidRDefault="009349DB" w:rsidP="00085FC4">
      <w:pPr>
        <w:rPr>
          <w:rFonts w:eastAsia="Times New Roman" w:cs="Arial"/>
          <w:lang w:eastAsia="bg-BG"/>
        </w:rPr>
      </w:pPr>
      <w:r w:rsidRPr="009349DB">
        <w:rPr>
          <w:rFonts w:eastAsia="Times New Roman" w:cs="Arial"/>
          <w:color w:val="000000"/>
          <w:lang w:eastAsia="bg-BG"/>
        </w:rPr>
        <w:t>Етинилестрадиол се подлага на предсистемно конюгиране в лигавицата на тънките черва и в черния дроб. Етинилестрадиол се метаболизира предимно чрез ароматно хидроксилиране, но се формират и много хидроксилирани и метилирани метаболити, които присъстват в свободен вид или като</w:t>
      </w:r>
      <w:r w:rsidR="00085FC4">
        <w:rPr>
          <w:rFonts w:eastAsia="Times New Roman" w:cs="Arial"/>
          <w:color w:val="000000"/>
          <w:lang w:eastAsia="bg-BG"/>
        </w:rPr>
        <w:t xml:space="preserve"> </w:t>
      </w:r>
      <w:r w:rsidR="00085FC4" w:rsidRPr="00085FC4">
        <w:rPr>
          <w:rFonts w:eastAsia="Times New Roman" w:cs="Arial"/>
          <w:color w:val="000000"/>
          <w:lang w:eastAsia="bg-BG"/>
        </w:rPr>
        <w:t xml:space="preserve">конюгати с глюкурониди и сулфати. Метаболитният клирънс е 2,3 - 7 </w:t>
      </w:r>
      <w:r w:rsidR="00085FC4" w:rsidRPr="00085FC4">
        <w:rPr>
          <w:rFonts w:eastAsia="Times New Roman" w:cs="Arial"/>
          <w:color w:val="000000"/>
          <w:lang w:val="en-US"/>
        </w:rPr>
        <w:t>ml/min/kg.</w:t>
      </w:r>
    </w:p>
    <w:p w14:paraId="6713D240" w14:textId="77777777" w:rsidR="00085FC4" w:rsidRDefault="00085FC4" w:rsidP="00085FC4">
      <w:pPr>
        <w:spacing w:line="240" w:lineRule="auto"/>
        <w:rPr>
          <w:rFonts w:eastAsia="Times New Roman" w:cs="Arial"/>
          <w:color w:val="000000"/>
          <w:u w:val="single"/>
          <w:lang w:eastAsia="bg-BG"/>
        </w:rPr>
      </w:pPr>
    </w:p>
    <w:p w14:paraId="10B408E3" w14:textId="73824166" w:rsidR="00085FC4" w:rsidRPr="00085FC4" w:rsidRDefault="00085FC4" w:rsidP="00085FC4">
      <w:pPr>
        <w:spacing w:line="240" w:lineRule="auto"/>
        <w:rPr>
          <w:rFonts w:eastAsia="Times New Roman" w:cs="Arial"/>
          <w:lang w:eastAsia="bg-BG"/>
        </w:rPr>
      </w:pPr>
      <w:r w:rsidRPr="00085FC4">
        <w:rPr>
          <w:rFonts w:eastAsia="Times New Roman" w:cs="Arial"/>
          <w:color w:val="000000"/>
          <w:u w:val="single"/>
          <w:lang w:eastAsia="bg-BG"/>
        </w:rPr>
        <w:t>Елиминиране</w:t>
      </w:r>
    </w:p>
    <w:p w14:paraId="65C5ABC8" w14:textId="77777777" w:rsidR="00085FC4" w:rsidRPr="00085FC4" w:rsidRDefault="00085FC4" w:rsidP="00085FC4">
      <w:pPr>
        <w:spacing w:line="240" w:lineRule="auto"/>
        <w:rPr>
          <w:rFonts w:eastAsia="Times New Roman" w:cs="Arial"/>
          <w:lang w:eastAsia="bg-BG"/>
        </w:rPr>
      </w:pPr>
      <w:r w:rsidRPr="00085FC4">
        <w:rPr>
          <w:rFonts w:eastAsia="Times New Roman" w:cs="Arial"/>
          <w:color w:val="000000"/>
          <w:lang w:eastAsia="bg-BG"/>
        </w:rPr>
        <w:t xml:space="preserve">Серумната концентрация на етинилестрадиол намалява в две фази, характеризиращи се с полуживот от около 1 час и съответно 10-20 часа. Не се ексретира в непроменен вид, а </w:t>
      </w:r>
      <w:r w:rsidRPr="00085FC4">
        <w:rPr>
          <w:rFonts w:eastAsia="Times New Roman" w:cs="Arial"/>
          <w:color w:val="000000"/>
          <w:lang w:eastAsia="bg-BG"/>
        </w:rPr>
        <w:lastRenderedPageBreak/>
        <w:t>под форма на метаболити чрез урината и жлъчката в съотношение 4:6. Метаболитният елиминационен полуживот е около 1 ден.</w:t>
      </w:r>
    </w:p>
    <w:p w14:paraId="07409FE4" w14:textId="77777777" w:rsidR="00085FC4" w:rsidRDefault="00085FC4" w:rsidP="00085FC4">
      <w:pPr>
        <w:spacing w:line="240" w:lineRule="auto"/>
        <w:rPr>
          <w:rFonts w:eastAsia="Times New Roman" w:cs="Arial"/>
          <w:color w:val="000000"/>
          <w:u w:val="single"/>
          <w:lang w:eastAsia="bg-BG"/>
        </w:rPr>
      </w:pPr>
    </w:p>
    <w:p w14:paraId="6B5BF4CA" w14:textId="7E75C62D" w:rsidR="00085FC4" w:rsidRPr="00085FC4" w:rsidRDefault="00085FC4" w:rsidP="00085FC4">
      <w:pPr>
        <w:spacing w:line="240" w:lineRule="auto"/>
        <w:rPr>
          <w:rFonts w:eastAsia="Times New Roman" w:cs="Arial"/>
          <w:lang w:eastAsia="bg-BG"/>
        </w:rPr>
      </w:pPr>
      <w:r w:rsidRPr="00085FC4">
        <w:rPr>
          <w:rFonts w:eastAsia="Times New Roman" w:cs="Arial"/>
          <w:color w:val="000000"/>
          <w:u w:val="single"/>
          <w:lang w:eastAsia="bg-BG"/>
        </w:rPr>
        <w:t>Линейност/нелинейност</w:t>
      </w:r>
    </w:p>
    <w:p w14:paraId="41CAE11E" w14:textId="77777777" w:rsidR="00085FC4" w:rsidRPr="00085FC4" w:rsidRDefault="00085FC4" w:rsidP="00085FC4">
      <w:pPr>
        <w:spacing w:line="240" w:lineRule="auto"/>
        <w:rPr>
          <w:rFonts w:eastAsia="Times New Roman" w:cs="Arial"/>
          <w:lang w:eastAsia="bg-BG"/>
        </w:rPr>
      </w:pPr>
      <w:r w:rsidRPr="00085FC4">
        <w:rPr>
          <w:rFonts w:eastAsia="Times New Roman" w:cs="Arial"/>
          <w:color w:val="000000"/>
          <w:lang w:eastAsia="bg-BG"/>
        </w:rPr>
        <w:t>Според различния полуживот на крайната елиминационна фаза от серума и начина на хранене стационарни серумни концентрации на етинилестрадиол се достигат след около една седмица.</w:t>
      </w:r>
    </w:p>
    <w:p w14:paraId="2FFD6AC6" w14:textId="77777777" w:rsidR="009349DB" w:rsidRPr="009349DB" w:rsidRDefault="009349DB" w:rsidP="009349DB"/>
    <w:p w14:paraId="6925FEB0" w14:textId="5542A4E6" w:rsidR="00F62E44" w:rsidRDefault="002C50EE" w:rsidP="00387A66">
      <w:pPr>
        <w:pStyle w:val="Heading2"/>
      </w:pPr>
      <w:r>
        <w:t>5.3. Предклинични данни за безопасност</w:t>
      </w:r>
    </w:p>
    <w:p w14:paraId="78BCF8CC" w14:textId="04A1A3DF" w:rsidR="00085FC4" w:rsidRDefault="00085FC4" w:rsidP="00085FC4"/>
    <w:p w14:paraId="527674CB" w14:textId="77777777" w:rsidR="00085FC4" w:rsidRPr="00085FC4" w:rsidRDefault="00085FC4" w:rsidP="00085FC4">
      <w:pPr>
        <w:rPr>
          <w:sz w:val="24"/>
          <w:szCs w:val="24"/>
          <w:lang w:eastAsia="bg-BG"/>
        </w:rPr>
      </w:pPr>
      <w:r w:rsidRPr="00085FC4">
        <w:rPr>
          <w:lang w:eastAsia="bg-BG"/>
        </w:rPr>
        <w:t xml:space="preserve">Неклиничните данни не показват особен риск за хора на базата </w:t>
      </w:r>
      <w:r w:rsidRPr="00085FC4">
        <w:rPr>
          <w:i/>
          <w:iCs/>
          <w:lang w:eastAsia="bg-BG"/>
        </w:rPr>
        <w:t>на</w:t>
      </w:r>
      <w:r w:rsidRPr="00085FC4">
        <w:rPr>
          <w:lang w:eastAsia="bg-BG"/>
        </w:rPr>
        <w:t xml:space="preserve">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 Въпреки това трябва да се има в предвид, че половите стероиди могат да стимулират растежа на определени хормонално-зависими тъкани и тумори.</w:t>
      </w:r>
    </w:p>
    <w:p w14:paraId="48185BEE" w14:textId="77777777" w:rsidR="00085FC4" w:rsidRPr="00085FC4" w:rsidRDefault="00085FC4" w:rsidP="00085FC4"/>
    <w:p w14:paraId="357049A8" w14:textId="2FDA7B18" w:rsidR="00BB22B4" w:rsidRDefault="002C50EE" w:rsidP="00471F10">
      <w:pPr>
        <w:pStyle w:val="Heading1"/>
      </w:pPr>
      <w:r>
        <w:t>7. ПРИТЕЖАТЕЛ НА РАЗРЕШЕНИЕТО ЗА УПОТРЕБА</w:t>
      </w:r>
    </w:p>
    <w:p w14:paraId="6BB10888" w14:textId="01A127D2" w:rsidR="00085FC4" w:rsidRDefault="00085FC4" w:rsidP="00085FC4"/>
    <w:p w14:paraId="766A5920" w14:textId="77777777" w:rsidR="00085FC4" w:rsidRPr="00085FC4" w:rsidRDefault="00085FC4" w:rsidP="00085FC4">
      <w:pPr>
        <w:rPr>
          <w:sz w:val="24"/>
          <w:szCs w:val="24"/>
          <w:lang w:val="en-US" w:eastAsia="bg-BG"/>
        </w:rPr>
      </w:pPr>
      <w:r w:rsidRPr="00085FC4">
        <w:rPr>
          <w:lang w:val="en-US"/>
        </w:rPr>
        <w:t>Bayer AG</w:t>
      </w:r>
    </w:p>
    <w:p w14:paraId="68EA08D9" w14:textId="77777777" w:rsidR="00085FC4" w:rsidRPr="00085FC4" w:rsidRDefault="00085FC4" w:rsidP="00085FC4">
      <w:pPr>
        <w:rPr>
          <w:sz w:val="24"/>
          <w:szCs w:val="24"/>
          <w:lang w:val="en-US" w:eastAsia="bg-BG"/>
        </w:rPr>
      </w:pPr>
      <w:r w:rsidRPr="00085FC4">
        <w:rPr>
          <w:lang w:val="en-US"/>
        </w:rPr>
        <w:t>Kaiser-Wilhelm-Allee 1</w:t>
      </w:r>
    </w:p>
    <w:p w14:paraId="75626025" w14:textId="77777777" w:rsidR="00085FC4" w:rsidRPr="00085FC4" w:rsidRDefault="00085FC4" w:rsidP="00085FC4">
      <w:pPr>
        <w:rPr>
          <w:sz w:val="24"/>
          <w:szCs w:val="24"/>
          <w:lang w:val="en-US" w:eastAsia="bg-BG"/>
        </w:rPr>
      </w:pPr>
      <w:r w:rsidRPr="00085FC4">
        <w:rPr>
          <w:lang w:val="en-US"/>
        </w:rPr>
        <w:t>51373 Leverkusen</w:t>
      </w:r>
    </w:p>
    <w:p w14:paraId="1E8151AC" w14:textId="5A0F5A2F" w:rsidR="00085FC4" w:rsidRPr="00085FC4" w:rsidRDefault="00085FC4" w:rsidP="00085FC4">
      <w:r w:rsidRPr="00085FC4">
        <w:rPr>
          <w:lang w:eastAsia="bg-BG"/>
        </w:rPr>
        <w:t>Германия</w:t>
      </w:r>
    </w:p>
    <w:p w14:paraId="0A53321D" w14:textId="7CC846F2" w:rsidR="00EE6C97" w:rsidRDefault="00936AD0" w:rsidP="00A93499">
      <w:pPr>
        <w:pStyle w:val="Heading1"/>
      </w:pPr>
      <w:r>
        <w:t>8.</w:t>
      </w:r>
      <w:r w:rsidR="002C50EE">
        <w:t>НОМЕР НА РАЗРЕШЕНИЕТО ЗА УПОТРЕБА</w:t>
      </w:r>
    </w:p>
    <w:p w14:paraId="2A56A275" w14:textId="58A335C0" w:rsidR="00085FC4" w:rsidRDefault="00085FC4" w:rsidP="00085FC4"/>
    <w:p w14:paraId="0851D906" w14:textId="23004224" w:rsidR="00085FC4" w:rsidRPr="00085FC4" w:rsidRDefault="00085FC4" w:rsidP="00085FC4">
      <w:pPr>
        <w:rPr>
          <w:sz w:val="24"/>
          <w:szCs w:val="24"/>
          <w:lang w:eastAsia="bg-BG"/>
        </w:rPr>
      </w:pPr>
      <w:r w:rsidRPr="00085FC4">
        <w:rPr>
          <w:lang w:eastAsia="bg-BG"/>
        </w:rPr>
        <w:t>Регистрационен номер: 20010359</w:t>
      </w:r>
    </w:p>
    <w:p w14:paraId="7C2688F5" w14:textId="6D610EDF" w:rsidR="00F62E44" w:rsidRDefault="00F62E44" w:rsidP="00F62E44"/>
    <w:p w14:paraId="00481C21" w14:textId="0E27769C" w:rsidR="00F62E44" w:rsidRDefault="002C50EE" w:rsidP="00387A66">
      <w:pPr>
        <w:pStyle w:val="Heading1"/>
      </w:pPr>
      <w:r>
        <w:t>9. ДАТА НА ПЪРВО РАЗРЕШАВАНЕ/ПОДНОВЯВАНЕ НА РАЗРЕШЕНИЕТО ЗА УПОТРЕБА</w:t>
      </w:r>
    </w:p>
    <w:p w14:paraId="1AFDFF7D" w14:textId="1D3F1675" w:rsidR="00085FC4" w:rsidRDefault="00085FC4" w:rsidP="00085FC4"/>
    <w:p w14:paraId="3A1E5880" w14:textId="77777777" w:rsidR="00085FC4" w:rsidRPr="00085FC4" w:rsidRDefault="00085FC4" w:rsidP="00085FC4">
      <w:pPr>
        <w:rPr>
          <w:sz w:val="24"/>
          <w:szCs w:val="24"/>
          <w:lang w:eastAsia="bg-BG"/>
        </w:rPr>
      </w:pPr>
      <w:r w:rsidRPr="00085FC4">
        <w:rPr>
          <w:lang w:eastAsia="bg-BG"/>
        </w:rPr>
        <w:t>Дата на първо разрешаване: 17 април 2001 г.</w:t>
      </w:r>
    </w:p>
    <w:p w14:paraId="184D5B40" w14:textId="3935E8AA" w:rsidR="00085FC4" w:rsidRPr="00085FC4" w:rsidRDefault="00085FC4" w:rsidP="00085FC4">
      <w:r w:rsidRPr="00085FC4">
        <w:rPr>
          <w:lang w:eastAsia="bg-BG"/>
        </w:rPr>
        <w:t>Дата на последно подновяване: 16 февруари 2012 г.</w:t>
      </w:r>
    </w:p>
    <w:p w14:paraId="43FB38A2" w14:textId="0C18A683" w:rsidR="007C605B" w:rsidRDefault="002C50EE" w:rsidP="005726E3">
      <w:pPr>
        <w:pStyle w:val="Heading1"/>
      </w:pPr>
      <w:r>
        <w:t>10. ДАТА НА АКТУАЛИЗИРАНЕ НА ТЕКСТА</w:t>
      </w:r>
      <w:bookmarkEnd w:id="0"/>
    </w:p>
    <w:p w14:paraId="1D76AD10" w14:textId="77777777" w:rsidR="00085FC4" w:rsidRDefault="00085FC4" w:rsidP="00085FC4"/>
    <w:p w14:paraId="472617BD" w14:textId="003C520B" w:rsidR="00BB22B4" w:rsidRPr="001861BF" w:rsidRDefault="00085FC4" w:rsidP="00085FC4">
      <w:pPr>
        <w:rPr>
          <w:lang w:val="en-US"/>
        </w:rPr>
      </w:pPr>
      <w:r>
        <w:t>ММ</w:t>
      </w:r>
      <w:r>
        <w:t>/</w:t>
      </w:r>
      <w:r>
        <w:t>ГГГГ</w:t>
      </w:r>
    </w:p>
    <w:sectPr w:rsidR="00BB22B4" w:rsidRPr="0018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23A0ED1"/>
    <w:multiLevelType w:val="hybridMultilevel"/>
    <w:tmpl w:val="A2ECA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531708"/>
    <w:multiLevelType w:val="hybridMultilevel"/>
    <w:tmpl w:val="219A9A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45CD4"/>
    <w:multiLevelType w:val="hybridMultilevel"/>
    <w:tmpl w:val="0B88D5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36028"/>
    <w:multiLevelType w:val="hybridMultilevel"/>
    <w:tmpl w:val="61964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7944935"/>
    <w:multiLevelType w:val="hybridMultilevel"/>
    <w:tmpl w:val="759C3B9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E7F04"/>
    <w:multiLevelType w:val="hybridMultilevel"/>
    <w:tmpl w:val="88EE7E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7"/>
  </w:num>
  <w:num w:numId="2" w16cid:durableId="1612932146">
    <w:abstractNumId w:val="0"/>
  </w:num>
  <w:num w:numId="3" w16cid:durableId="1810323821">
    <w:abstractNumId w:val="19"/>
  </w:num>
  <w:num w:numId="4" w16cid:durableId="2135319613">
    <w:abstractNumId w:val="4"/>
  </w:num>
  <w:num w:numId="5" w16cid:durableId="740105516">
    <w:abstractNumId w:val="1"/>
  </w:num>
  <w:num w:numId="6" w16cid:durableId="1668363208">
    <w:abstractNumId w:val="23"/>
  </w:num>
  <w:num w:numId="7" w16cid:durableId="1241988161">
    <w:abstractNumId w:val="16"/>
  </w:num>
  <w:num w:numId="8" w16cid:durableId="2102022361">
    <w:abstractNumId w:val="22"/>
  </w:num>
  <w:num w:numId="9" w16cid:durableId="1154613663">
    <w:abstractNumId w:val="3"/>
  </w:num>
  <w:num w:numId="10" w16cid:durableId="1733848127">
    <w:abstractNumId w:val="7"/>
  </w:num>
  <w:num w:numId="11" w16cid:durableId="1861704680">
    <w:abstractNumId w:val="40"/>
  </w:num>
  <w:num w:numId="12" w16cid:durableId="1434934028">
    <w:abstractNumId w:val="20"/>
  </w:num>
  <w:num w:numId="13" w16cid:durableId="479157895">
    <w:abstractNumId w:val="26"/>
  </w:num>
  <w:num w:numId="14" w16cid:durableId="1670476636">
    <w:abstractNumId w:val="18"/>
  </w:num>
  <w:num w:numId="15" w16cid:durableId="1000155783">
    <w:abstractNumId w:val="39"/>
  </w:num>
  <w:num w:numId="16" w16cid:durableId="2056420707">
    <w:abstractNumId w:val="15"/>
  </w:num>
  <w:num w:numId="17" w16cid:durableId="1787119182">
    <w:abstractNumId w:val="33"/>
  </w:num>
  <w:num w:numId="18" w16cid:durableId="722945139">
    <w:abstractNumId w:val="11"/>
  </w:num>
  <w:num w:numId="19" w16cid:durableId="1678728408">
    <w:abstractNumId w:val="36"/>
  </w:num>
  <w:num w:numId="20" w16cid:durableId="1970816657">
    <w:abstractNumId w:val="32"/>
  </w:num>
  <w:num w:numId="21" w16cid:durableId="1531146514">
    <w:abstractNumId w:val="24"/>
  </w:num>
  <w:num w:numId="22" w16cid:durableId="1276465">
    <w:abstractNumId w:val="34"/>
  </w:num>
  <w:num w:numId="23" w16cid:durableId="1624310558">
    <w:abstractNumId w:val="25"/>
  </w:num>
  <w:num w:numId="24" w16cid:durableId="1692877547">
    <w:abstractNumId w:val="12"/>
  </w:num>
  <w:num w:numId="25" w16cid:durableId="50930855">
    <w:abstractNumId w:val="31"/>
  </w:num>
  <w:num w:numId="26" w16cid:durableId="176701536">
    <w:abstractNumId w:val="30"/>
  </w:num>
  <w:num w:numId="27" w16cid:durableId="2050564750">
    <w:abstractNumId w:val="41"/>
  </w:num>
  <w:num w:numId="28" w16cid:durableId="1820733422">
    <w:abstractNumId w:val="9"/>
  </w:num>
  <w:num w:numId="29" w16cid:durableId="973678124">
    <w:abstractNumId w:val="29"/>
  </w:num>
  <w:num w:numId="30" w16cid:durableId="154884452">
    <w:abstractNumId w:val="45"/>
  </w:num>
  <w:num w:numId="31" w16cid:durableId="1053964910">
    <w:abstractNumId w:val="8"/>
  </w:num>
  <w:num w:numId="32" w16cid:durableId="2073575793">
    <w:abstractNumId w:val="43"/>
  </w:num>
  <w:num w:numId="33" w16cid:durableId="1566643170">
    <w:abstractNumId w:val="38"/>
  </w:num>
  <w:num w:numId="34" w16cid:durableId="2060787732">
    <w:abstractNumId w:val="42"/>
  </w:num>
  <w:num w:numId="35" w16cid:durableId="34161354">
    <w:abstractNumId w:val="10"/>
  </w:num>
  <w:num w:numId="36" w16cid:durableId="1976908676">
    <w:abstractNumId w:val="13"/>
  </w:num>
  <w:num w:numId="37" w16cid:durableId="758528303">
    <w:abstractNumId w:val="21"/>
  </w:num>
  <w:num w:numId="38" w16cid:durableId="178396561">
    <w:abstractNumId w:val="44"/>
  </w:num>
  <w:num w:numId="39" w16cid:durableId="934825996">
    <w:abstractNumId w:val="17"/>
  </w:num>
  <w:num w:numId="40" w16cid:durableId="1429078280">
    <w:abstractNumId w:val="35"/>
  </w:num>
  <w:num w:numId="41" w16cid:durableId="1447001149">
    <w:abstractNumId w:val="6"/>
  </w:num>
  <w:num w:numId="42" w16cid:durableId="438062335">
    <w:abstractNumId w:val="14"/>
  </w:num>
  <w:num w:numId="43" w16cid:durableId="1450583914">
    <w:abstractNumId w:val="28"/>
  </w:num>
  <w:num w:numId="44" w16cid:durableId="2031026712">
    <w:abstractNumId w:val="5"/>
  </w:num>
  <w:num w:numId="45" w16cid:durableId="637224088">
    <w:abstractNumId w:val="2"/>
  </w:num>
  <w:num w:numId="46" w16cid:durableId="21238359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85FC4"/>
    <w:rsid w:val="00185A46"/>
    <w:rsid w:val="001861BF"/>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5B4161"/>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49DB"/>
    <w:rsid w:val="00936AD0"/>
    <w:rsid w:val="00954129"/>
    <w:rsid w:val="009773E4"/>
    <w:rsid w:val="009B171C"/>
    <w:rsid w:val="009F1313"/>
    <w:rsid w:val="009F77A4"/>
    <w:rsid w:val="00A20351"/>
    <w:rsid w:val="00A428B7"/>
    <w:rsid w:val="00A65A81"/>
    <w:rsid w:val="00A71DCF"/>
    <w:rsid w:val="00A93499"/>
    <w:rsid w:val="00AA23EC"/>
    <w:rsid w:val="00AC63CE"/>
    <w:rsid w:val="00AE2107"/>
    <w:rsid w:val="00AF43AE"/>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6640</Words>
  <Characters>37854</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2023-02-19T11:20:00Z</dcterms:created>
  <dcterms:modified xsi:type="dcterms:W3CDTF">2023-02-19T11:20:00Z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