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72CA9" w14:textId="08D7A9D6" w:rsidR="00D2077E" w:rsidRDefault="00D2077E" w:rsidP="00D2077E">
      <w:bookmarkStart w:id="0" w:name="_Hlk63124480"/>
      <w:r>
        <w:t>▼ 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549B2B91" w14:textId="77777777" w:rsidR="00D2077E" w:rsidRDefault="00D2077E" w:rsidP="00D2077E"/>
    <w:p w14:paraId="007A328C" w14:textId="616B78D3" w:rsidR="002C50EE" w:rsidRDefault="002C50EE" w:rsidP="002C50EE">
      <w:pPr>
        <w:pStyle w:val="Heading1"/>
        <w:jc w:val="center"/>
      </w:pPr>
      <w:r>
        <w:t>КРАТКА ХАРАКТЕРИСТИКА НА ПРОДУКТА</w:t>
      </w:r>
    </w:p>
    <w:p w14:paraId="3B239815" w14:textId="7A06E2D9" w:rsidR="00AA23EC" w:rsidRDefault="00DD466D" w:rsidP="00DD466D">
      <w:pPr>
        <w:pStyle w:val="Heading1"/>
      </w:pPr>
      <w:r>
        <w:t>1.ИМЕ НА ЛЕКАРСТВЕНИЯ ПРОДУКТ</w:t>
      </w:r>
    </w:p>
    <w:p w14:paraId="413ED0ED" w14:textId="75A268A3" w:rsidR="00D2077E" w:rsidRDefault="00D2077E" w:rsidP="00D2077E"/>
    <w:p w14:paraId="743D75BC" w14:textId="77777777" w:rsidR="00D2077E" w:rsidRPr="00D2077E" w:rsidRDefault="00D2077E" w:rsidP="00D2077E">
      <w:pPr>
        <w:rPr>
          <w:sz w:val="24"/>
          <w:szCs w:val="24"/>
          <w:lang w:val="ru-RU"/>
        </w:rPr>
      </w:pPr>
      <w:r w:rsidRPr="00D2077E">
        <w:rPr>
          <w:lang w:eastAsia="bg-BG"/>
        </w:rPr>
        <w:t xml:space="preserve">Феринжект 50 </w:t>
      </w:r>
      <w:r w:rsidRPr="00D2077E">
        <w:rPr>
          <w:lang w:val="en-US"/>
        </w:rPr>
        <w:t>mg</w:t>
      </w:r>
      <w:r w:rsidRPr="00D2077E">
        <w:rPr>
          <w:lang w:val="ru-RU"/>
        </w:rPr>
        <w:t xml:space="preserve"> </w:t>
      </w:r>
      <w:r w:rsidRPr="00D2077E">
        <w:rPr>
          <w:lang w:eastAsia="bg-BG"/>
        </w:rPr>
        <w:t>желязо</w:t>
      </w:r>
      <w:r w:rsidRPr="00D2077E">
        <w:rPr>
          <w:lang w:val="ru-RU"/>
        </w:rPr>
        <w:t>/</w:t>
      </w:r>
      <w:r w:rsidRPr="00D2077E">
        <w:rPr>
          <w:lang w:val="en-US"/>
        </w:rPr>
        <w:t>ml</w:t>
      </w:r>
      <w:r w:rsidRPr="00D2077E">
        <w:rPr>
          <w:lang w:val="ru-RU"/>
        </w:rPr>
        <w:t xml:space="preserve"> </w:t>
      </w:r>
      <w:r w:rsidRPr="00D2077E">
        <w:rPr>
          <w:lang w:eastAsia="bg-BG"/>
        </w:rPr>
        <w:t>инжекционен/инфузионен</w:t>
      </w:r>
      <w:r w:rsidRPr="00D2077E">
        <w:rPr>
          <w:lang w:val="ru-RU"/>
        </w:rPr>
        <w:t xml:space="preserve"> </w:t>
      </w:r>
      <w:r w:rsidRPr="00D2077E">
        <w:rPr>
          <w:lang w:eastAsia="bg-BG"/>
        </w:rPr>
        <w:t>разтвор</w:t>
      </w:r>
    </w:p>
    <w:p w14:paraId="74DAAB2C" w14:textId="77777777" w:rsidR="00D2077E" w:rsidRPr="00D2077E" w:rsidRDefault="00D2077E" w:rsidP="00D2077E">
      <w:pPr>
        <w:rPr>
          <w:sz w:val="24"/>
          <w:szCs w:val="24"/>
          <w:lang w:val="en-US"/>
        </w:rPr>
      </w:pPr>
      <w:proofErr w:type="spellStart"/>
      <w:r w:rsidRPr="00D2077E">
        <w:rPr>
          <w:lang w:val="en-US"/>
        </w:rPr>
        <w:t>Ferinject</w:t>
      </w:r>
      <w:proofErr w:type="spellEnd"/>
      <w:r w:rsidRPr="00D2077E">
        <w:rPr>
          <w:lang w:val="en-US"/>
        </w:rPr>
        <w:t xml:space="preserve"> </w:t>
      </w:r>
      <w:r w:rsidRPr="00D2077E">
        <w:rPr>
          <w:lang w:eastAsia="bg-BG"/>
        </w:rPr>
        <w:t xml:space="preserve">50 </w:t>
      </w:r>
      <w:r w:rsidRPr="00D2077E">
        <w:rPr>
          <w:lang w:val="en-US"/>
        </w:rPr>
        <w:t xml:space="preserve">mg iron/ml solution for injection </w:t>
      </w:r>
      <w:r w:rsidRPr="00D2077E">
        <w:rPr>
          <w:lang w:eastAsia="bg-BG"/>
        </w:rPr>
        <w:t xml:space="preserve">/ </w:t>
      </w:r>
      <w:r w:rsidRPr="00D2077E">
        <w:rPr>
          <w:lang w:val="en-US"/>
        </w:rPr>
        <w:t>infusion</w:t>
      </w:r>
    </w:p>
    <w:p w14:paraId="729536FD" w14:textId="77777777" w:rsidR="00D2077E" w:rsidRPr="00D2077E" w:rsidRDefault="00D2077E" w:rsidP="00D2077E">
      <w:pPr>
        <w:rPr>
          <w:lang w:val="en-US"/>
        </w:rPr>
      </w:pPr>
    </w:p>
    <w:p w14:paraId="0A368469" w14:textId="03E5BD2F" w:rsidR="00C0049F" w:rsidRDefault="00DD466D" w:rsidP="009F1313">
      <w:pPr>
        <w:pStyle w:val="Heading1"/>
      </w:pPr>
      <w:r>
        <w:t>2. КАЧЕСТВЕН И КОЛИЧЕСТВЕН СЪСТАВ</w:t>
      </w:r>
    </w:p>
    <w:p w14:paraId="1F9773D7" w14:textId="1043C8B0" w:rsidR="00D2077E" w:rsidRDefault="00D2077E" w:rsidP="00D2077E"/>
    <w:p w14:paraId="63C22DF8" w14:textId="77777777" w:rsidR="00D2077E" w:rsidRPr="00D2077E" w:rsidRDefault="00D2077E" w:rsidP="00D2077E">
      <w:pPr>
        <w:rPr>
          <w:sz w:val="24"/>
          <w:szCs w:val="24"/>
        </w:rPr>
      </w:pPr>
      <w:r w:rsidRPr="00D2077E">
        <w:rPr>
          <w:lang w:eastAsia="bg-BG"/>
        </w:rPr>
        <w:t xml:space="preserve">Един </w:t>
      </w:r>
      <w:r w:rsidRPr="00D2077E">
        <w:rPr>
          <w:lang w:val="en-US"/>
        </w:rPr>
        <w:t>ml</w:t>
      </w:r>
      <w:r w:rsidRPr="00D2077E">
        <w:t xml:space="preserve"> </w:t>
      </w:r>
      <w:r w:rsidRPr="00D2077E">
        <w:rPr>
          <w:lang w:eastAsia="bg-BG"/>
        </w:rPr>
        <w:t xml:space="preserve">от разтвора съдържа 50 </w:t>
      </w:r>
      <w:r w:rsidRPr="00D2077E">
        <w:rPr>
          <w:lang w:val="en-US"/>
        </w:rPr>
        <w:t>mg</w:t>
      </w:r>
      <w:r w:rsidRPr="00D2077E">
        <w:t xml:space="preserve"> </w:t>
      </w:r>
      <w:r w:rsidRPr="00D2077E">
        <w:rPr>
          <w:lang w:eastAsia="bg-BG"/>
        </w:rPr>
        <w:t xml:space="preserve">желязо </w:t>
      </w:r>
      <w:r w:rsidRPr="00D2077E">
        <w:t>(</w:t>
      </w:r>
      <w:r w:rsidRPr="00D2077E">
        <w:rPr>
          <w:lang w:val="en-US"/>
        </w:rPr>
        <w:t>iron</w:t>
      </w:r>
      <w:r w:rsidRPr="00D2077E">
        <w:t xml:space="preserve">) </w:t>
      </w:r>
      <w:r w:rsidRPr="00D2077E">
        <w:rPr>
          <w:lang w:eastAsia="bg-BG"/>
        </w:rPr>
        <w:t xml:space="preserve">под формата на желязна карбоксималтоза </w:t>
      </w:r>
      <w:r w:rsidRPr="00D2077E">
        <w:t>(</w:t>
      </w:r>
      <w:r w:rsidRPr="00D2077E">
        <w:rPr>
          <w:lang w:val="en-US"/>
        </w:rPr>
        <w:t>ferric</w:t>
      </w:r>
      <w:r w:rsidRPr="00D2077E">
        <w:t xml:space="preserve"> </w:t>
      </w:r>
      <w:proofErr w:type="spellStart"/>
      <w:r w:rsidRPr="00D2077E">
        <w:rPr>
          <w:lang w:val="en-US"/>
        </w:rPr>
        <w:t>carboxymaltose</w:t>
      </w:r>
      <w:proofErr w:type="spellEnd"/>
      <w:r w:rsidRPr="00D2077E">
        <w:t>).</w:t>
      </w:r>
    </w:p>
    <w:p w14:paraId="13F16FC9" w14:textId="77777777" w:rsidR="00D2077E" w:rsidRDefault="00D2077E" w:rsidP="00D2077E">
      <w:pPr>
        <w:rPr>
          <w:lang w:eastAsia="bg-BG"/>
        </w:rPr>
      </w:pPr>
    </w:p>
    <w:p w14:paraId="2B6A695F" w14:textId="2D9A4FBA" w:rsidR="00D2077E" w:rsidRPr="00D2077E" w:rsidRDefault="00D2077E" w:rsidP="00D2077E">
      <w:pPr>
        <w:rPr>
          <w:sz w:val="24"/>
          <w:szCs w:val="24"/>
        </w:rPr>
      </w:pPr>
      <w:r w:rsidRPr="00D2077E">
        <w:rPr>
          <w:lang w:eastAsia="bg-BG"/>
        </w:rPr>
        <w:t xml:space="preserve">Всеки флакон от 2 </w:t>
      </w:r>
      <w:r w:rsidRPr="00D2077E">
        <w:rPr>
          <w:lang w:val="en-US"/>
        </w:rPr>
        <w:t>ml</w:t>
      </w:r>
      <w:r w:rsidRPr="00D2077E">
        <w:rPr>
          <w:lang w:val="ru-RU"/>
        </w:rPr>
        <w:t xml:space="preserve"> </w:t>
      </w:r>
      <w:r w:rsidRPr="00D2077E">
        <w:rPr>
          <w:lang w:eastAsia="bg-BG"/>
        </w:rPr>
        <w:t xml:space="preserve">съдържа 100 </w:t>
      </w:r>
      <w:r w:rsidRPr="00D2077E">
        <w:rPr>
          <w:lang w:val="en-US"/>
        </w:rPr>
        <w:t>mg</w:t>
      </w:r>
      <w:r w:rsidRPr="00D2077E">
        <w:rPr>
          <w:lang w:val="ru-RU"/>
        </w:rPr>
        <w:t xml:space="preserve"> </w:t>
      </w:r>
      <w:r w:rsidRPr="00D2077E">
        <w:rPr>
          <w:lang w:eastAsia="bg-BG"/>
        </w:rPr>
        <w:t>желязо под формата на желязна карбоксималтоза.</w:t>
      </w:r>
    </w:p>
    <w:p w14:paraId="2C593908" w14:textId="77777777" w:rsidR="00D2077E" w:rsidRPr="00D2077E" w:rsidRDefault="00D2077E" w:rsidP="00D2077E">
      <w:pPr>
        <w:rPr>
          <w:sz w:val="24"/>
          <w:szCs w:val="24"/>
        </w:rPr>
      </w:pPr>
      <w:r w:rsidRPr="00D2077E">
        <w:rPr>
          <w:lang w:eastAsia="bg-BG"/>
        </w:rPr>
        <w:t xml:space="preserve">Всеки флакон от 10 </w:t>
      </w:r>
      <w:r w:rsidRPr="00D2077E">
        <w:rPr>
          <w:lang w:val="en-US"/>
        </w:rPr>
        <w:t>ml</w:t>
      </w:r>
      <w:r w:rsidRPr="00D2077E">
        <w:rPr>
          <w:lang w:val="ru-RU"/>
        </w:rPr>
        <w:t xml:space="preserve"> </w:t>
      </w:r>
      <w:r w:rsidRPr="00D2077E">
        <w:rPr>
          <w:lang w:eastAsia="bg-BG"/>
        </w:rPr>
        <w:t xml:space="preserve">съдържа 500 </w:t>
      </w:r>
      <w:r w:rsidRPr="00D2077E">
        <w:rPr>
          <w:lang w:val="en-US"/>
        </w:rPr>
        <w:t>mg</w:t>
      </w:r>
      <w:r w:rsidRPr="00D2077E">
        <w:rPr>
          <w:lang w:val="ru-RU"/>
        </w:rPr>
        <w:t xml:space="preserve"> </w:t>
      </w:r>
      <w:r w:rsidRPr="00D2077E">
        <w:rPr>
          <w:lang w:eastAsia="bg-BG"/>
        </w:rPr>
        <w:t>желязо под формата на желязна карбоксималтоза.</w:t>
      </w:r>
    </w:p>
    <w:p w14:paraId="75EDA160" w14:textId="77777777" w:rsidR="00D2077E" w:rsidRPr="00D2077E" w:rsidRDefault="00D2077E" w:rsidP="00D2077E">
      <w:pPr>
        <w:rPr>
          <w:sz w:val="24"/>
          <w:szCs w:val="24"/>
        </w:rPr>
      </w:pPr>
      <w:r w:rsidRPr="00D2077E">
        <w:rPr>
          <w:lang w:eastAsia="bg-BG"/>
        </w:rPr>
        <w:t xml:space="preserve">Всеки флакон от 20 </w:t>
      </w:r>
      <w:r w:rsidRPr="00D2077E">
        <w:rPr>
          <w:lang w:val="en-US"/>
        </w:rPr>
        <w:t>ml</w:t>
      </w:r>
      <w:r w:rsidRPr="00D2077E">
        <w:rPr>
          <w:lang w:val="ru-RU"/>
        </w:rPr>
        <w:t xml:space="preserve"> </w:t>
      </w:r>
      <w:r w:rsidRPr="00D2077E">
        <w:rPr>
          <w:lang w:eastAsia="bg-BG"/>
        </w:rPr>
        <w:t xml:space="preserve">съдържа 1 000 </w:t>
      </w:r>
      <w:r w:rsidRPr="00D2077E">
        <w:rPr>
          <w:lang w:val="en-US"/>
        </w:rPr>
        <w:t>mg</w:t>
      </w:r>
      <w:r w:rsidRPr="00D2077E">
        <w:rPr>
          <w:lang w:val="ru-RU"/>
        </w:rPr>
        <w:t xml:space="preserve"> </w:t>
      </w:r>
      <w:r w:rsidRPr="00D2077E">
        <w:rPr>
          <w:lang w:eastAsia="bg-BG"/>
        </w:rPr>
        <w:t>желязо под формата на желязна карбоксималтоза.</w:t>
      </w:r>
    </w:p>
    <w:p w14:paraId="3CE4B902" w14:textId="77777777" w:rsidR="00D2077E" w:rsidRDefault="00D2077E" w:rsidP="00D2077E">
      <w:pPr>
        <w:rPr>
          <w:u w:val="single"/>
          <w:lang w:eastAsia="bg-BG"/>
        </w:rPr>
      </w:pPr>
    </w:p>
    <w:p w14:paraId="3854C5EE" w14:textId="76DAA479" w:rsidR="00D2077E" w:rsidRPr="00D2077E" w:rsidRDefault="00D2077E" w:rsidP="00D2077E">
      <w:pPr>
        <w:rPr>
          <w:sz w:val="24"/>
          <w:szCs w:val="24"/>
        </w:rPr>
      </w:pPr>
      <w:r w:rsidRPr="00D2077E">
        <w:rPr>
          <w:u w:val="single"/>
          <w:lang w:eastAsia="bg-BG"/>
        </w:rPr>
        <w:t>Помощно(и) вещество(а) с известно действие</w:t>
      </w:r>
    </w:p>
    <w:p w14:paraId="1376C9A7" w14:textId="2739FE39" w:rsidR="00D2077E" w:rsidRPr="00D2077E" w:rsidRDefault="00D2077E" w:rsidP="00D2077E">
      <w:r w:rsidRPr="00D2077E">
        <w:rPr>
          <w:lang w:eastAsia="bg-BG"/>
        </w:rPr>
        <w:t xml:space="preserve">Един </w:t>
      </w:r>
      <w:r w:rsidRPr="00D2077E">
        <w:rPr>
          <w:lang w:val="en-US"/>
        </w:rPr>
        <w:t>ml</w:t>
      </w:r>
      <w:r w:rsidRPr="00D2077E">
        <w:rPr>
          <w:lang w:val="ru-RU"/>
        </w:rPr>
        <w:t xml:space="preserve"> </w:t>
      </w:r>
      <w:r w:rsidRPr="00D2077E">
        <w:rPr>
          <w:lang w:eastAsia="bg-BG"/>
        </w:rPr>
        <w:t xml:space="preserve">от разтвора съдържа до 5,5 </w:t>
      </w:r>
      <w:r w:rsidRPr="00D2077E">
        <w:rPr>
          <w:lang w:val="en-US"/>
        </w:rPr>
        <w:t>mg</w:t>
      </w:r>
      <w:r w:rsidRPr="00D2077E">
        <w:rPr>
          <w:lang w:val="ru-RU"/>
        </w:rPr>
        <w:t xml:space="preserve"> </w:t>
      </w:r>
      <w:r w:rsidRPr="00D2077E">
        <w:rPr>
          <w:lang w:eastAsia="bg-BG"/>
        </w:rPr>
        <w:t xml:space="preserve">(0,24 </w:t>
      </w:r>
      <w:proofErr w:type="spellStart"/>
      <w:r w:rsidRPr="00D2077E">
        <w:rPr>
          <w:lang w:val="en-US"/>
        </w:rPr>
        <w:t>mmol</w:t>
      </w:r>
      <w:proofErr w:type="spellEnd"/>
      <w:r w:rsidRPr="00D2077E">
        <w:rPr>
          <w:lang w:val="ru-RU"/>
        </w:rPr>
        <w:t xml:space="preserve">) </w:t>
      </w:r>
      <w:r w:rsidRPr="00D2077E">
        <w:rPr>
          <w:lang w:eastAsia="bg-BG"/>
        </w:rPr>
        <w:t>натрий, вижте точка 4.4.</w:t>
      </w:r>
    </w:p>
    <w:p w14:paraId="614984C4" w14:textId="305A23FF" w:rsidR="008A6AF2" w:rsidRDefault="00DD466D" w:rsidP="002C50EE">
      <w:pPr>
        <w:pStyle w:val="Heading1"/>
      </w:pPr>
      <w:r>
        <w:t>3. ЛЕКАРСТВЕНА ФОРМА</w:t>
      </w:r>
    </w:p>
    <w:p w14:paraId="0D23CD66" w14:textId="318B7AC7" w:rsidR="00D2077E" w:rsidRDefault="00D2077E" w:rsidP="00D2077E"/>
    <w:p w14:paraId="4EF1EB06" w14:textId="3624E9F1" w:rsidR="00D2077E" w:rsidRPr="00D2077E" w:rsidRDefault="00D2077E" w:rsidP="00D2077E">
      <w:r>
        <w:t>Инжекционен/инфузионен разтвор. Тъмнокафяв, непрозрачен, воден разтвор.</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12F8935" w:rsidR="00395555" w:rsidRDefault="00395555" w:rsidP="00395555"/>
    <w:p w14:paraId="38AF05DC" w14:textId="77777777" w:rsidR="00D2077E" w:rsidRDefault="00D2077E" w:rsidP="00D2077E">
      <w:pPr>
        <w:rPr>
          <w:lang w:eastAsia="bg-BG"/>
        </w:rPr>
      </w:pPr>
      <w:r w:rsidRPr="00D2077E">
        <w:rPr>
          <w:lang w:eastAsia="bg-BG"/>
        </w:rPr>
        <w:t>Феринжект е показан за лечение на железен деф</w:t>
      </w:r>
      <w:r>
        <w:rPr>
          <w:lang w:eastAsia="bg-BG"/>
        </w:rPr>
        <w:t>ицит, когато (вижте точка 5.1):</w:t>
      </w:r>
    </w:p>
    <w:p w14:paraId="29FDD6B2" w14:textId="77777777" w:rsidR="00D2077E" w:rsidRPr="00D2077E" w:rsidRDefault="00D2077E" w:rsidP="00D2077E">
      <w:pPr>
        <w:pStyle w:val="ListParagraph"/>
        <w:numPr>
          <w:ilvl w:val="0"/>
          <w:numId w:val="32"/>
        </w:numPr>
        <w:rPr>
          <w:sz w:val="24"/>
          <w:szCs w:val="24"/>
        </w:rPr>
      </w:pPr>
      <w:r w:rsidRPr="00D2077E">
        <w:rPr>
          <w:lang w:eastAsia="bg-BG"/>
        </w:rPr>
        <w:t xml:space="preserve">пероралните железни препарати са неефективни. </w:t>
      </w:r>
    </w:p>
    <w:p w14:paraId="5E4C2A50" w14:textId="77777777" w:rsidR="00D2077E" w:rsidRPr="00D2077E" w:rsidRDefault="00D2077E" w:rsidP="00D2077E">
      <w:pPr>
        <w:pStyle w:val="ListParagraph"/>
        <w:numPr>
          <w:ilvl w:val="0"/>
          <w:numId w:val="32"/>
        </w:numPr>
        <w:rPr>
          <w:sz w:val="24"/>
          <w:szCs w:val="24"/>
        </w:rPr>
      </w:pPr>
      <w:r w:rsidRPr="00D2077E">
        <w:rPr>
          <w:lang w:eastAsia="bg-BG"/>
        </w:rPr>
        <w:t xml:space="preserve">пероралните железни препарати не могат да се използват. </w:t>
      </w:r>
    </w:p>
    <w:p w14:paraId="4567E635" w14:textId="0A223B5E" w:rsidR="00D2077E" w:rsidRPr="00D2077E" w:rsidRDefault="00D2077E" w:rsidP="00D2077E">
      <w:pPr>
        <w:pStyle w:val="ListParagraph"/>
        <w:numPr>
          <w:ilvl w:val="0"/>
          <w:numId w:val="32"/>
        </w:numPr>
        <w:rPr>
          <w:sz w:val="24"/>
          <w:szCs w:val="24"/>
        </w:rPr>
      </w:pPr>
      <w:r w:rsidRPr="00D2077E">
        <w:rPr>
          <w:lang w:eastAsia="bg-BG"/>
        </w:rPr>
        <w:t>има клинична необходимост от бързо доставяне на желязо.</w:t>
      </w:r>
    </w:p>
    <w:p w14:paraId="3C365006" w14:textId="77777777" w:rsidR="00D2077E" w:rsidRDefault="00D2077E" w:rsidP="00D2077E">
      <w:pPr>
        <w:rPr>
          <w:lang w:eastAsia="bg-BG"/>
        </w:rPr>
      </w:pPr>
    </w:p>
    <w:p w14:paraId="57AF9B1B" w14:textId="3BF5F600" w:rsidR="00D2077E" w:rsidRDefault="00D2077E" w:rsidP="00D2077E">
      <w:pPr>
        <w:rPr>
          <w:lang w:eastAsia="bg-BG"/>
        </w:rPr>
      </w:pPr>
      <w:r w:rsidRPr="00D2077E">
        <w:rPr>
          <w:lang w:eastAsia="bg-BG"/>
        </w:rPr>
        <w:t>Диагнозата на железния дефицит трябва да се основава на лабораторни изследвания.</w:t>
      </w:r>
    </w:p>
    <w:p w14:paraId="65EB325E" w14:textId="77777777" w:rsidR="00D2077E" w:rsidRPr="00395555" w:rsidRDefault="00D2077E" w:rsidP="00D2077E"/>
    <w:p w14:paraId="7C0CA5EB" w14:textId="2B001C80" w:rsidR="00C0049F" w:rsidRDefault="002C50EE" w:rsidP="009F1313">
      <w:pPr>
        <w:pStyle w:val="Heading2"/>
      </w:pPr>
      <w:r>
        <w:t>4.2. Дозировка и начин на приложение</w:t>
      </w:r>
    </w:p>
    <w:p w14:paraId="6E11EDA9" w14:textId="5B1C56BF" w:rsidR="00D2077E" w:rsidRDefault="00D2077E" w:rsidP="00D2077E"/>
    <w:p w14:paraId="76311FD2"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lastRenderedPageBreak/>
        <w:t>Проследявайте внимателно пациентите за признаци и симптоми на реакции на свръхчувствителност по време на и след всяко приложение на Феринжект.</w:t>
      </w:r>
    </w:p>
    <w:p w14:paraId="1F7240BF" w14:textId="77777777" w:rsidR="00D2077E" w:rsidRPr="00D2077E" w:rsidRDefault="00D2077E" w:rsidP="00D2077E">
      <w:pPr>
        <w:spacing w:line="240" w:lineRule="auto"/>
        <w:rPr>
          <w:rFonts w:eastAsia="Times New Roman" w:cs="Arial"/>
          <w:color w:val="000000"/>
          <w:lang w:eastAsia="bg-BG"/>
        </w:rPr>
      </w:pPr>
    </w:p>
    <w:p w14:paraId="559EA17E" w14:textId="7D2A9EB3" w:rsidR="00D2077E" w:rsidRPr="00D2077E" w:rsidRDefault="00D2077E" w:rsidP="00D2077E">
      <w:pPr>
        <w:spacing w:line="240" w:lineRule="auto"/>
        <w:rPr>
          <w:rFonts w:eastAsia="Times New Roman" w:cs="Arial"/>
          <w:color w:val="000000"/>
          <w:lang w:eastAsia="bg-BG"/>
        </w:rPr>
      </w:pPr>
      <w:r w:rsidRPr="00D2077E">
        <w:rPr>
          <w:rFonts w:eastAsia="Times New Roman" w:cs="Arial"/>
          <w:color w:val="000000"/>
          <w:lang w:eastAsia="bg-BG"/>
        </w:rPr>
        <w:t>Феринжект трябва да се прилага само при непосредствено наличие на персонал, обучен да оценява и овладява анафилактични реакции, и пълни възможности за осигуряване на реанимация. Пациентът трябва да се наблюдава за нежелани реакции най-малко 30 минути. след всяко приложение на Феринжект (вж. точка 4.4).</w:t>
      </w:r>
    </w:p>
    <w:p w14:paraId="67172585" w14:textId="7E07601D" w:rsidR="00D2077E" w:rsidRPr="00D2077E" w:rsidRDefault="00D2077E" w:rsidP="00D2077E">
      <w:pPr>
        <w:spacing w:line="240" w:lineRule="auto"/>
        <w:rPr>
          <w:rFonts w:eastAsia="Times New Roman" w:cs="Arial"/>
          <w:color w:val="000000"/>
          <w:lang w:eastAsia="bg-BG"/>
        </w:rPr>
      </w:pPr>
    </w:p>
    <w:p w14:paraId="4739A15D"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u w:val="single"/>
          <w:lang w:eastAsia="bg-BG"/>
        </w:rPr>
        <w:t>Дозировка</w:t>
      </w:r>
    </w:p>
    <w:p w14:paraId="00BD5DC3" w14:textId="77777777" w:rsidR="00D2077E" w:rsidRPr="00D2077E" w:rsidRDefault="00D2077E" w:rsidP="00D2077E">
      <w:pPr>
        <w:spacing w:line="240" w:lineRule="auto"/>
        <w:rPr>
          <w:rFonts w:eastAsia="Times New Roman" w:cs="Arial"/>
          <w:color w:val="000000"/>
          <w:lang w:eastAsia="bg-BG"/>
        </w:rPr>
      </w:pPr>
    </w:p>
    <w:p w14:paraId="08F03911" w14:textId="6FD95C78"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Дозировката на Феринжект следва стъпаловиден подход: [1] определяне на индивидуалните нужди от желязо, [2] изчисляване и прилагане на дозата(ите) желязо и [3] оценки след попълване на железните депа. Тези стъпки са изложени накратко по-долу:</w:t>
      </w:r>
    </w:p>
    <w:p w14:paraId="789E66C4" w14:textId="77777777" w:rsidR="00D2077E" w:rsidRPr="00D2077E" w:rsidRDefault="00D2077E" w:rsidP="00D2077E">
      <w:pPr>
        <w:spacing w:line="240" w:lineRule="auto"/>
        <w:rPr>
          <w:rFonts w:eastAsia="Times New Roman" w:cs="Arial"/>
          <w:i/>
          <w:iCs/>
          <w:color w:val="000000"/>
          <w:lang w:eastAsia="bg-BG"/>
        </w:rPr>
      </w:pPr>
    </w:p>
    <w:p w14:paraId="02C9F135" w14:textId="27F8388E"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Стъпка 1:</w:t>
      </w:r>
    </w:p>
    <w:p w14:paraId="1837424B" w14:textId="66ECDD71"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Определяне на нуждите от желязо</w:t>
      </w:r>
    </w:p>
    <w:p w14:paraId="1AF6E808"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Индивидуалните нужди от желязо за попълване на железните депа посредством Феринжект се определят на базата на телесното тегло и нивото на хемоглобина (НЬ) на пациента. Вижте Таблица 1 за определяне на нуждите от желязо:</w:t>
      </w:r>
    </w:p>
    <w:p w14:paraId="4BCEA3C5" w14:textId="77777777" w:rsidR="00D2077E" w:rsidRPr="00D2077E" w:rsidRDefault="00D2077E" w:rsidP="00D2077E">
      <w:pPr>
        <w:spacing w:line="240" w:lineRule="auto"/>
        <w:rPr>
          <w:rFonts w:eastAsia="Times New Roman" w:cs="Arial"/>
          <w:b/>
          <w:bCs/>
          <w:color w:val="000000"/>
          <w:lang w:eastAsia="bg-BG"/>
        </w:rPr>
      </w:pPr>
      <w:bookmarkStart w:id="1" w:name="bookmark0"/>
    </w:p>
    <w:p w14:paraId="0D30288A" w14:textId="4E7A7B07" w:rsidR="00D2077E" w:rsidRPr="00D2077E" w:rsidRDefault="00D2077E" w:rsidP="00D2077E">
      <w:pPr>
        <w:spacing w:line="240" w:lineRule="auto"/>
        <w:rPr>
          <w:rFonts w:eastAsia="Times New Roman" w:cs="Arial"/>
          <w:sz w:val="24"/>
          <w:szCs w:val="24"/>
        </w:rPr>
      </w:pPr>
      <w:r w:rsidRPr="00D2077E">
        <w:rPr>
          <w:rFonts w:eastAsia="Times New Roman" w:cs="Arial"/>
          <w:b/>
          <w:bCs/>
          <w:color w:val="000000"/>
          <w:lang w:eastAsia="bg-BG"/>
        </w:rPr>
        <w:t>Таблица 1: Определяне на нуждите от желязо</w:t>
      </w:r>
      <w:bookmarkEnd w:id="1"/>
    </w:p>
    <w:tbl>
      <w:tblPr>
        <w:tblStyle w:val="TableGrid"/>
        <w:tblW w:w="0" w:type="auto"/>
        <w:tblLook w:val="04A0" w:firstRow="1" w:lastRow="0" w:firstColumn="1" w:lastColumn="0" w:noHBand="0" w:noVBand="1"/>
      </w:tblPr>
      <w:tblGrid>
        <w:gridCol w:w="1863"/>
        <w:gridCol w:w="1879"/>
        <w:gridCol w:w="1865"/>
        <w:gridCol w:w="1863"/>
        <w:gridCol w:w="1880"/>
      </w:tblGrid>
      <w:tr w:rsidR="00D2077E" w14:paraId="1CAFA24D" w14:textId="77777777" w:rsidTr="00595F39">
        <w:tc>
          <w:tcPr>
            <w:tcW w:w="3830" w:type="dxa"/>
            <w:gridSpan w:val="2"/>
          </w:tcPr>
          <w:p w14:paraId="7B8F6F55" w14:textId="27305157" w:rsidR="00D2077E" w:rsidRDefault="00D2077E" w:rsidP="00D2077E">
            <w:pPr>
              <w:jc w:val="center"/>
            </w:pPr>
            <w:r>
              <w:rPr>
                <w:b/>
                <w:bCs/>
              </w:rPr>
              <w:t>Н</w:t>
            </w:r>
            <w:r>
              <w:rPr>
                <w:b/>
                <w:bCs/>
                <w:lang w:val="en-US"/>
              </w:rPr>
              <w:t>b</w:t>
            </w:r>
          </w:p>
        </w:tc>
        <w:tc>
          <w:tcPr>
            <w:tcW w:w="5746" w:type="dxa"/>
            <w:gridSpan w:val="3"/>
          </w:tcPr>
          <w:p w14:paraId="1EE39AA0" w14:textId="03AD3D2C" w:rsidR="00D2077E" w:rsidRDefault="00D2077E" w:rsidP="00D2077E">
            <w:pPr>
              <w:jc w:val="center"/>
            </w:pPr>
            <w:r>
              <w:rPr>
                <w:b/>
                <w:bCs/>
              </w:rPr>
              <w:t>Телесно тегло на пациента</w:t>
            </w:r>
          </w:p>
        </w:tc>
      </w:tr>
      <w:tr w:rsidR="00D2077E" w14:paraId="1C93C3D9" w14:textId="77777777" w:rsidTr="00D2077E">
        <w:tc>
          <w:tcPr>
            <w:tcW w:w="1915" w:type="dxa"/>
          </w:tcPr>
          <w:p w14:paraId="18F223F7" w14:textId="0B779F76" w:rsidR="00D2077E" w:rsidRDefault="00D2077E" w:rsidP="00D2077E">
            <w:r>
              <w:t>g/dl</w:t>
            </w:r>
          </w:p>
        </w:tc>
        <w:tc>
          <w:tcPr>
            <w:tcW w:w="1915" w:type="dxa"/>
          </w:tcPr>
          <w:p w14:paraId="1C5A72DB" w14:textId="072D2BF1" w:rsidR="00D2077E" w:rsidRDefault="00D2077E" w:rsidP="00D2077E">
            <w:r>
              <w:rPr>
                <w:b/>
                <w:bCs/>
              </w:rPr>
              <w:t>mmol/1</w:t>
            </w:r>
          </w:p>
        </w:tc>
        <w:tc>
          <w:tcPr>
            <w:tcW w:w="1915" w:type="dxa"/>
          </w:tcPr>
          <w:p w14:paraId="54F4F0E8" w14:textId="6AFB6742" w:rsidR="00D2077E" w:rsidRDefault="00D2077E" w:rsidP="00D2077E">
            <w:r>
              <w:rPr>
                <w:b/>
                <w:bCs/>
                <w:lang w:eastAsia="bg-BG"/>
              </w:rPr>
              <w:t xml:space="preserve">под 35 </w:t>
            </w:r>
            <w:r>
              <w:rPr>
                <w:b/>
                <w:bCs/>
              </w:rPr>
              <w:t>kg</w:t>
            </w:r>
          </w:p>
        </w:tc>
        <w:tc>
          <w:tcPr>
            <w:tcW w:w="1915" w:type="dxa"/>
          </w:tcPr>
          <w:p w14:paraId="53CADAB5" w14:textId="49B53D58" w:rsidR="00D2077E" w:rsidRDefault="00D2077E" w:rsidP="00D2077E">
            <w:r>
              <w:rPr>
                <w:b/>
                <w:bCs/>
              </w:rPr>
              <w:t xml:space="preserve">35 kg </w:t>
            </w:r>
            <w:r>
              <w:rPr>
                <w:b/>
                <w:bCs/>
                <w:lang w:eastAsia="bg-BG"/>
              </w:rPr>
              <w:t xml:space="preserve">до </w:t>
            </w:r>
            <w:r>
              <w:rPr>
                <w:b/>
                <w:bCs/>
              </w:rPr>
              <w:t>&lt;70 kg</w:t>
            </w:r>
          </w:p>
        </w:tc>
        <w:tc>
          <w:tcPr>
            <w:tcW w:w="1916" w:type="dxa"/>
          </w:tcPr>
          <w:p w14:paraId="28353735" w14:textId="48FF483D" w:rsidR="00D2077E" w:rsidRDefault="00D2077E" w:rsidP="00D2077E">
            <w:r>
              <w:rPr>
                <w:b/>
                <w:bCs/>
              </w:rPr>
              <w:t xml:space="preserve">70 kg </w:t>
            </w:r>
            <w:r>
              <w:rPr>
                <w:b/>
                <w:bCs/>
                <w:lang w:eastAsia="bg-BG"/>
              </w:rPr>
              <w:t>и повече</w:t>
            </w:r>
          </w:p>
        </w:tc>
      </w:tr>
      <w:tr w:rsidR="00D2077E" w14:paraId="288AAC29" w14:textId="77777777" w:rsidTr="00D2077E">
        <w:tc>
          <w:tcPr>
            <w:tcW w:w="1915" w:type="dxa"/>
          </w:tcPr>
          <w:p w14:paraId="6BCD1C45" w14:textId="2E3FCB8F" w:rsidR="00D2077E" w:rsidRDefault="00D2077E" w:rsidP="00D2077E">
            <w:r>
              <w:rPr>
                <w:lang w:eastAsia="bg-BG"/>
              </w:rPr>
              <w:t>&lt;10</w:t>
            </w:r>
          </w:p>
        </w:tc>
        <w:tc>
          <w:tcPr>
            <w:tcW w:w="1915" w:type="dxa"/>
          </w:tcPr>
          <w:p w14:paraId="36C26500" w14:textId="6070EF42" w:rsidR="00D2077E" w:rsidRDefault="00D2077E" w:rsidP="00D2077E">
            <w:r>
              <w:rPr>
                <w:lang w:eastAsia="bg-BG"/>
              </w:rPr>
              <w:t>&lt;6,2</w:t>
            </w:r>
          </w:p>
        </w:tc>
        <w:tc>
          <w:tcPr>
            <w:tcW w:w="1915" w:type="dxa"/>
          </w:tcPr>
          <w:p w14:paraId="5AA9740F" w14:textId="6797ADA9" w:rsidR="00D2077E" w:rsidRDefault="00D2077E" w:rsidP="00D2077E">
            <w:r>
              <w:rPr>
                <w:lang w:eastAsia="bg-BG"/>
              </w:rPr>
              <w:t xml:space="preserve">500 </w:t>
            </w:r>
            <w:r>
              <w:t>mg</w:t>
            </w:r>
          </w:p>
        </w:tc>
        <w:tc>
          <w:tcPr>
            <w:tcW w:w="1915" w:type="dxa"/>
          </w:tcPr>
          <w:p w14:paraId="31D65318" w14:textId="40EE21CF" w:rsidR="00D2077E" w:rsidRDefault="00D2077E" w:rsidP="00D2077E">
            <w:r>
              <w:t>1 500 mg</w:t>
            </w:r>
          </w:p>
        </w:tc>
        <w:tc>
          <w:tcPr>
            <w:tcW w:w="1916" w:type="dxa"/>
          </w:tcPr>
          <w:p w14:paraId="063E8BED" w14:textId="0A93CDE1" w:rsidR="00D2077E" w:rsidRDefault="00D2077E" w:rsidP="00D2077E">
            <w:r>
              <w:t>2 000 mg</w:t>
            </w:r>
          </w:p>
        </w:tc>
      </w:tr>
      <w:tr w:rsidR="00D2077E" w14:paraId="0669978A" w14:textId="77777777" w:rsidTr="00D2077E">
        <w:tc>
          <w:tcPr>
            <w:tcW w:w="1915" w:type="dxa"/>
          </w:tcPr>
          <w:p w14:paraId="6AFB690C" w14:textId="634DF5BF" w:rsidR="00D2077E" w:rsidRDefault="00D2077E" w:rsidP="00D2077E">
            <w:r>
              <w:rPr>
                <w:lang w:eastAsia="bg-BG"/>
              </w:rPr>
              <w:t>10 до &lt;14</w:t>
            </w:r>
          </w:p>
        </w:tc>
        <w:tc>
          <w:tcPr>
            <w:tcW w:w="1915" w:type="dxa"/>
          </w:tcPr>
          <w:p w14:paraId="49F9EE7D" w14:textId="40D98564" w:rsidR="00D2077E" w:rsidRDefault="00D2077E" w:rsidP="00D2077E">
            <w:r>
              <w:rPr>
                <w:lang w:eastAsia="bg-BG"/>
              </w:rPr>
              <w:t>6,2 до &lt;8,7</w:t>
            </w:r>
          </w:p>
        </w:tc>
        <w:tc>
          <w:tcPr>
            <w:tcW w:w="1915" w:type="dxa"/>
          </w:tcPr>
          <w:p w14:paraId="143F1871" w14:textId="73DF2178" w:rsidR="00D2077E" w:rsidRDefault="00D2077E" w:rsidP="00D2077E">
            <w:r>
              <w:rPr>
                <w:lang w:eastAsia="bg-BG"/>
              </w:rPr>
              <w:t xml:space="preserve">500 </w:t>
            </w:r>
            <w:r>
              <w:t>mg</w:t>
            </w:r>
          </w:p>
        </w:tc>
        <w:tc>
          <w:tcPr>
            <w:tcW w:w="1915" w:type="dxa"/>
          </w:tcPr>
          <w:p w14:paraId="53995129" w14:textId="5213F81F" w:rsidR="00D2077E" w:rsidRDefault="00D2077E" w:rsidP="00D2077E">
            <w:r>
              <w:t>1 000 mg</w:t>
            </w:r>
          </w:p>
        </w:tc>
        <w:tc>
          <w:tcPr>
            <w:tcW w:w="1916" w:type="dxa"/>
          </w:tcPr>
          <w:p w14:paraId="3BCB6EE2" w14:textId="63229D18" w:rsidR="00D2077E" w:rsidRDefault="00D2077E" w:rsidP="00D2077E">
            <w:r>
              <w:t>1 500 mg</w:t>
            </w:r>
          </w:p>
        </w:tc>
      </w:tr>
      <w:tr w:rsidR="00D2077E" w14:paraId="527166AC" w14:textId="77777777" w:rsidTr="00D2077E">
        <w:tc>
          <w:tcPr>
            <w:tcW w:w="1915" w:type="dxa"/>
          </w:tcPr>
          <w:p w14:paraId="1BE74EE5" w14:textId="41F187C5" w:rsidR="00D2077E" w:rsidRDefault="00D2077E" w:rsidP="00D2077E">
            <w:r>
              <w:t>≥</w:t>
            </w:r>
            <w:r>
              <w:rPr>
                <w:lang w:eastAsia="bg-BG"/>
              </w:rPr>
              <w:t>14</w:t>
            </w:r>
          </w:p>
        </w:tc>
        <w:tc>
          <w:tcPr>
            <w:tcW w:w="1915" w:type="dxa"/>
          </w:tcPr>
          <w:p w14:paraId="13CA5ECB" w14:textId="69F2798A" w:rsidR="00D2077E" w:rsidRDefault="00D2077E" w:rsidP="00D2077E">
            <w:r>
              <w:t>≥</w:t>
            </w:r>
            <w:r>
              <w:rPr>
                <w:lang w:eastAsia="bg-BG"/>
              </w:rPr>
              <w:t>8,7</w:t>
            </w:r>
          </w:p>
        </w:tc>
        <w:tc>
          <w:tcPr>
            <w:tcW w:w="1915" w:type="dxa"/>
          </w:tcPr>
          <w:p w14:paraId="55A33CAE" w14:textId="162D8F55" w:rsidR="00D2077E" w:rsidRDefault="00D2077E" w:rsidP="00D2077E">
            <w:r>
              <w:rPr>
                <w:lang w:eastAsia="bg-BG"/>
              </w:rPr>
              <w:t xml:space="preserve">500 </w:t>
            </w:r>
            <w:r>
              <w:t>mg</w:t>
            </w:r>
          </w:p>
        </w:tc>
        <w:tc>
          <w:tcPr>
            <w:tcW w:w="1915" w:type="dxa"/>
          </w:tcPr>
          <w:p w14:paraId="725BBC1F" w14:textId="6CE06E71" w:rsidR="00D2077E" w:rsidRDefault="00D2077E" w:rsidP="00D2077E">
            <w:r>
              <w:t>500 mg</w:t>
            </w:r>
          </w:p>
        </w:tc>
        <w:tc>
          <w:tcPr>
            <w:tcW w:w="1916" w:type="dxa"/>
          </w:tcPr>
          <w:p w14:paraId="444CD418" w14:textId="78F9D896" w:rsidR="00D2077E" w:rsidRDefault="00D2077E" w:rsidP="00D2077E">
            <w:r>
              <w:t>500 mg</w:t>
            </w:r>
          </w:p>
        </w:tc>
      </w:tr>
    </w:tbl>
    <w:p w14:paraId="6938CADB" w14:textId="23F6F64B" w:rsidR="00D2077E" w:rsidRDefault="00D2077E" w:rsidP="00D2077E"/>
    <w:p w14:paraId="1972F80D"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Железният дефицит трябва да бъде потвърден от лабораторни изследвания, както е заявено в 4.1.</w:t>
      </w:r>
    </w:p>
    <w:p w14:paraId="0A55AF9B" w14:textId="77777777" w:rsidR="00D2077E" w:rsidRPr="00D2077E" w:rsidRDefault="00D2077E" w:rsidP="00D2077E">
      <w:pPr>
        <w:spacing w:line="240" w:lineRule="auto"/>
        <w:rPr>
          <w:rFonts w:eastAsia="Times New Roman" w:cs="Arial"/>
          <w:i/>
          <w:iCs/>
          <w:color w:val="000000"/>
          <w:lang w:eastAsia="bg-BG"/>
        </w:rPr>
      </w:pPr>
    </w:p>
    <w:p w14:paraId="6AA2C9F6" w14:textId="495CDB4B"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 xml:space="preserve">Стъпка 2: Изчисляване и прилагане на максималната(ите) индивидуална(и) доза(и) желязо </w:t>
      </w:r>
      <w:r w:rsidRPr="00D2077E">
        <w:rPr>
          <w:rFonts w:eastAsia="Times New Roman" w:cs="Arial"/>
          <w:color w:val="000000"/>
          <w:lang w:eastAsia="bg-BG"/>
        </w:rPr>
        <w:t>На базата на определените по-горе нужди от желязо трябва да се прилага съответната доза(и) Феринжект, като се взема предвид следното:</w:t>
      </w:r>
    </w:p>
    <w:p w14:paraId="3170A453" w14:textId="77777777" w:rsidR="00D2077E" w:rsidRPr="00D2077E" w:rsidRDefault="00D2077E" w:rsidP="00D2077E">
      <w:pPr>
        <w:spacing w:line="240" w:lineRule="auto"/>
        <w:rPr>
          <w:rFonts w:eastAsia="Times New Roman" w:cs="Arial"/>
          <w:color w:val="000000"/>
          <w:lang w:eastAsia="bg-BG"/>
        </w:rPr>
      </w:pPr>
    </w:p>
    <w:p w14:paraId="022AC7E6" w14:textId="7EEBA6F3"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Еднократното приложение на Феринжект не трябва да превишава:</w:t>
      </w:r>
    </w:p>
    <w:p w14:paraId="3DC8FA6F" w14:textId="61F0BE73" w:rsidR="00D2077E" w:rsidRPr="00D2077E" w:rsidRDefault="00D2077E" w:rsidP="00D2077E">
      <w:pPr>
        <w:pStyle w:val="ListParagraph"/>
        <w:numPr>
          <w:ilvl w:val="0"/>
          <w:numId w:val="35"/>
        </w:numPr>
        <w:spacing w:line="240" w:lineRule="auto"/>
        <w:rPr>
          <w:rFonts w:eastAsia="Times New Roman" w:cs="Arial"/>
          <w:color w:val="000000"/>
          <w:lang w:eastAsia="bg-BG"/>
        </w:rPr>
      </w:pPr>
      <w:r w:rsidRPr="00D2077E">
        <w:rPr>
          <w:rFonts w:eastAsia="Times New Roman" w:cs="Arial"/>
          <w:color w:val="000000"/>
          <w:lang w:eastAsia="bg-BG"/>
        </w:rPr>
        <w:t xml:space="preserve">15 </w:t>
      </w:r>
      <w:r w:rsidRPr="00D2077E">
        <w:rPr>
          <w:rFonts w:eastAsia="Times New Roman" w:cs="Arial"/>
          <w:color w:val="000000"/>
          <w:lang w:val="en-US"/>
        </w:rPr>
        <w:t>mg</w:t>
      </w:r>
      <w:r w:rsidRPr="00D2077E">
        <w:rPr>
          <w:rFonts w:eastAsia="Times New Roman" w:cs="Arial"/>
          <w:color w:val="000000"/>
          <w:lang w:val="ru-RU"/>
        </w:rPr>
        <w:t xml:space="preserve"> </w:t>
      </w:r>
      <w:r w:rsidRPr="00D2077E">
        <w:rPr>
          <w:rFonts w:eastAsia="Times New Roman" w:cs="Arial"/>
          <w:color w:val="000000"/>
          <w:lang w:eastAsia="bg-BG"/>
        </w:rPr>
        <w:t>желязо</w:t>
      </w:r>
      <w:r w:rsidRPr="00D2077E">
        <w:rPr>
          <w:rFonts w:eastAsia="Times New Roman" w:cs="Arial"/>
          <w:color w:val="000000"/>
          <w:lang w:val="ru-RU"/>
        </w:rPr>
        <w:t>/</w:t>
      </w:r>
      <w:r w:rsidRPr="00D2077E">
        <w:rPr>
          <w:rFonts w:eastAsia="Times New Roman" w:cs="Arial"/>
          <w:color w:val="000000"/>
          <w:lang w:val="en-US"/>
        </w:rPr>
        <w:t>kg</w:t>
      </w:r>
      <w:r w:rsidRPr="00D2077E">
        <w:rPr>
          <w:rFonts w:eastAsia="Times New Roman" w:cs="Arial"/>
          <w:color w:val="000000"/>
          <w:lang w:val="ru-RU"/>
        </w:rPr>
        <w:t xml:space="preserve"> </w:t>
      </w:r>
      <w:r w:rsidRPr="00D2077E">
        <w:rPr>
          <w:rFonts w:eastAsia="Times New Roman" w:cs="Arial"/>
          <w:color w:val="000000"/>
          <w:lang w:eastAsia="bg-BG"/>
        </w:rPr>
        <w:t xml:space="preserve">телесно тегло (за приложение чрез интравенозна инжекция) или 20 </w:t>
      </w:r>
      <w:r w:rsidRPr="00D2077E">
        <w:rPr>
          <w:rFonts w:eastAsia="Times New Roman" w:cs="Arial"/>
          <w:color w:val="000000"/>
          <w:lang w:val="en-US"/>
        </w:rPr>
        <w:t>mg</w:t>
      </w:r>
      <w:r>
        <w:rPr>
          <w:rFonts w:eastAsia="Times New Roman" w:cs="Arial"/>
          <w:color w:val="000000"/>
        </w:rPr>
        <w:t xml:space="preserve"> </w:t>
      </w:r>
      <w:r w:rsidRPr="00D2077E">
        <w:rPr>
          <w:rFonts w:eastAsia="Times New Roman" w:cs="Arial"/>
          <w:color w:val="000000"/>
          <w:lang w:eastAsia="bg-BG"/>
        </w:rPr>
        <w:t>желязо</w:t>
      </w:r>
      <w:r w:rsidRPr="00D2077E">
        <w:rPr>
          <w:rFonts w:eastAsia="Times New Roman" w:cs="Arial"/>
          <w:color w:val="000000"/>
          <w:lang w:val="ru-RU"/>
        </w:rPr>
        <w:t>/</w:t>
      </w:r>
      <w:r w:rsidRPr="00D2077E">
        <w:rPr>
          <w:rFonts w:eastAsia="Times New Roman" w:cs="Arial"/>
          <w:color w:val="000000"/>
          <w:lang w:val="en-US"/>
        </w:rPr>
        <w:t>kg</w:t>
      </w:r>
      <w:r w:rsidRPr="00D2077E">
        <w:rPr>
          <w:rFonts w:eastAsia="Times New Roman" w:cs="Arial"/>
          <w:color w:val="000000"/>
          <w:lang w:val="ru-RU"/>
        </w:rPr>
        <w:t xml:space="preserve"> </w:t>
      </w:r>
      <w:r w:rsidRPr="00D2077E">
        <w:rPr>
          <w:rFonts w:eastAsia="Times New Roman" w:cs="Arial"/>
          <w:color w:val="000000"/>
          <w:lang w:eastAsia="bg-BG"/>
        </w:rPr>
        <w:t>телесно тегло (за приложение чрез интравенозна инфузия)</w:t>
      </w:r>
    </w:p>
    <w:p w14:paraId="623C4745" w14:textId="77777777" w:rsidR="00D2077E" w:rsidRPr="00D2077E" w:rsidRDefault="00D2077E" w:rsidP="00D2077E">
      <w:pPr>
        <w:pStyle w:val="ListParagraph"/>
        <w:numPr>
          <w:ilvl w:val="0"/>
          <w:numId w:val="35"/>
        </w:numPr>
        <w:spacing w:line="240" w:lineRule="auto"/>
        <w:rPr>
          <w:rFonts w:eastAsia="Times New Roman" w:cs="Arial"/>
          <w:color w:val="000000"/>
          <w:lang w:eastAsia="bg-BG"/>
        </w:rPr>
      </w:pPr>
      <w:r w:rsidRPr="00D2077E">
        <w:rPr>
          <w:rFonts w:eastAsia="Times New Roman" w:cs="Arial"/>
          <w:color w:val="000000"/>
          <w:lang w:eastAsia="bg-BG"/>
        </w:rPr>
        <w:t xml:space="preserve">1 000 </w:t>
      </w:r>
      <w:r w:rsidRPr="00D2077E">
        <w:rPr>
          <w:rFonts w:eastAsia="Times New Roman" w:cs="Arial"/>
          <w:color w:val="000000"/>
          <w:lang w:val="en-US"/>
        </w:rPr>
        <w:t xml:space="preserve">mg </w:t>
      </w:r>
      <w:r w:rsidRPr="00D2077E">
        <w:rPr>
          <w:rFonts w:eastAsia="Times New Roman" w:cs="Arial"/>
          <w:color w:val="000000"/>
          <w:lang w:eastAsia="bg-BG"/>
        </w:rPr>
        <w:t xml:space="preserve">желязо (20 </w:t>
      </w:r>
      <w:r w:rsidRPr="00D2077E">
        <w:rPr>
          <w:rFonts w:eastAsia="Times New Roman" w:cs="Arial"/>
          <w:color w:val="000000"/>
          <w:lang w:val="en-US"/>
        </w:rPr>
        <w:t xml:space="preserve">ml </w:t>
      </w:r>
      <w:r w:rsidRPr="00D2077E">
        <w:rPr>
          <w:rFonts w:eastAsia="Times New Roman" w:cs="Arial"/>
          <w:color w:val="000000"/>
          <w:lang w:eastAsia="bg-BG"/>
        </w:rPr>
        <w:t>Феринжект)</w:t>
      </w:r>
    </w:p>
    <w:p w14:paraId="1E92C065" w14:textId="77777777" w:rsidR="00D2077E" w:rsidRPr="00D2077E" w:rsidRDefault="00D2077E" w:rsidP="00D2077E">
      <w:pPr>
        <w:spacing w:line="240" w:lineRule="auto"/>
        <w:rPr>
          <w:rFonts w:eastAsia="Times New Roman" w:cs="Arial"/>
          <w:color w:val="000000"/>
          <w:lang w:eastAsia="bg-BG"/>
        </w:rPr>
      </w:pPr>
    </w:p>
    <w:p w14:paraId="3D86FED4" w14:textId="0DA8C4CE"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 xml:space="preserve">Максималната препоръчителна кумулативна доза на Феринжект е 1 000 </w:t>
      </w:r>
      <w:r w:rsidRPr="00D2077E">
        <w:rPr>
          <w:rFonts w:eastAsia="Times New Roman" w:cs="Arial"/>
          <w:color w:val="000000"/>
          <w:lang w:val="en-US"/>
        </w:rPr>
        <w:t>mg</w:t>
      </w:r>
      <w:r w:rsidRPr="00D2077E">
        <w:rPr>
          <w:rFonts w:eastAsia="Times New Roman" w:cs="Arial"/>
          <w:color w:val="000000"/>
          <w:lang w:val="ru-RU"/>
        </w:rPr>
        <w:t xml:space="preserve"> </w:t>
      </w:r>
      <w:r w:rsidRPr="00D2077E">
        <w:rPr>
          <w:rFonts w:eastAsia="Times New Roman" w:cs="Arial"/>
          <w:color w:val="000000"/>
          <w:lang w:eastAsia="bg-BG"/>
        </w:rPr>
        <w:t xml:space="preserve">желязо (20 </w:t>
      </w:r>
      <w:r w:rsidRPr="00D2077E">
        <w:rPr>
          <w:rFonts w:eastAsia="Times New Roman" w:cs="Arial"/>
          <w:color w:val="000000"/>
          <w:lang w:val="en-US"/>
        </w:rPr>
        <w:t>ml</w:t>
      </w:r>
      <w:r w:rsidRPr="00D2077E">
        <w:rPr>
          <w:rFonts w:eastAsia="Times New Roman" w:cs="Arial"/>
          <w:color w:val="000000"/>
          <w:lang w:val="ru-RU"/>
        </w:rPr>
        <w:t xml:space="preserve"> </w:t>
      </w:r>
      <w:r w:rsidRPr="00D2077E">
        <w:rPr>
          <w:rFonts w:eastAsia="Times New Roman" w:cs="Arial"/>
          <w:color w:val="000000"/>
          <w:lang w:eastAsia="bg-BG"/>
        </w:rPr>
        <w:t>Феринжект) за седмица.</w:t>
      </w:r>
    </w:p>
    <w:p w14:paraId="2C2E7770" w14:textId="77777777" w:rsidR="00D2077E" w:rsidRPr="00D2077E" w:rsidRDefault="00D2077E" w:rsidP="00D2077E">
      <w:pPr>
        <w:spacing w:line="240" w:lineRule="auto"/>
        <w:rPr>
          <w:rFonts w:eastAsia="Times New Roman" w:cs="Arial"/>
          <w:i/>
          <w:iCs/>
          <w:color w:val="000000"/>
          <w:lang w:eastAsia="bg-BG"/>
        </w:rPr>
      </w:pPr>
    </w:p>
    <w:p w14:paraId="7EEADFE8" w14:textId="2D7CEA1F"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Стъпка 3: Оценки след попълване на железните депа</w:t>
      </w:r>
    </w:p>
    <w:p w14:paraId="139CBFC5"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Повторно оценяване трябва да се извършва от лекаря въз основа на състоянието на конкретния пациент. Нивото на хемоглобина (Н</w:t>
      </w:r>
      <w:r w:rsidRPr="00D2077E">
        <w:rPr>
          <w:rFonts w:eastAsia="Times New Roman" w:cs="Arial"/>
          <w:color w:val="000000"/>
          <w:lang w:val="en-US"/>
        </w:rPr>
        <w:t>b</w:t>
      </w:r>
      <w:r w:rsidRPr="00D2077E">
        <w:rPr>
          <w:rFonts w:eastAsia="Times New Roman" w:cs="Arial"/>
          <w:color w:val="000000"/>
          <w:lang w:eastAsia="bg-BG"/>
        </w:rPr>
        <w:t>) трябва да се оцени повторно не по-рано от 4 седмици след последното прилагане на Феринжект, за да се осигури достатъчно време за еритропоеза и усвояване на желязото. В случай че пациентът се нуждае от допълнително попълване на железните депа, нуждите от желязо трябва да се преизчислят с помощта на Таблица 1 по-горе, (вж. точка 5.1).</w:t>
      </w:r>
    </w:p>
    <w:p w14:paraId="4B4EEA3C" w14:textId="77777777" w:rsidR="00D2077E" w:rsidRPr="00D2077E" w:rsidRDefault="00D2077E" w:rsidP="00D2077E">
      <w:pPr>
        <w:spacing w:line="240" w:lineRule="auto"/>
        <w:rPr>
          <w:rFonts w:eastAsia="Times New Roman" w:cs="Arial"/>
          <w:i/>
          <w:iCs/>
          <w:color w:val="000000"/>
          <w:lang w:eastAsia="bg-BG"/>
        </w:rPr>
      </w:pPr>
    </w:p>
    <w:p w14:paraId="7F759F09" w14:textId="6CE293D9"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 xml:space="preserve">Специална популация - пациенти с хронично бъбречно заболяване, зависимо от хемодиализа </w:t>
      </w:r>
      <w:r w:rsidRPr="00D2077E">
        <w:rPr>
          <w:rFonts w:eastAsia="Times New Roman" w:cs="Arial"/>
          <w:color w:val="000000"/>
          <w:lang w:eastAsia="bg-BG"/>
        </w:rPr>
        <w:t xml:space="preserve">Единичната максимална дневна доза от 200 </w:t>
      </w:r>
      <w:r w:rsidRPr="00D2077E">
        <w:rPr>
          <w:rFonts w:eastAsia="Times New Roman" w:cs="Arial"/>
          <w:color w:val="000000"/>
          <w:lang w:val="en-US"/>
        </w:rPr>
        <w:t>mg</w:t>
      </w:r>
      <w:r w:rsidRPr="00D2077E">
        <w:rPr>
          <w:rFonts w:eastAsia="Times New Roman" w:cs="Arial"/>
          <w:color w:val="000000"/>
          <w:lang w:val="ru-RU"/>
        </w:rPr>
        <w:t xml:space="preserve"> </w:t>
      </w:r>
      <w:r w:rsidRPr="00D2077E">
        <w:rPr>
          <w:rFonts w:eastAsia="Times New Roman" w:cs="Arial"/>
          <w:color w:val="000000"/>
          <w:lang w:eastAsia="bg-BG"/>
        </w:rPr>
        <w:t>желязо не трябва да се надвишава при пациенти с хронично бъбречно заболяване, зависимо от хемодиализа (вж. също точка 4.4).</w:t>
      </w:r>
    </w:p>
    <w:p w14:paraId="75AF9B37" w14:textId="77777777" w:rsidR="00D2077E" w:rsidRPr="00D2077E" w:rsidRDefault="00D2077E" w:rsidP="00D2077E">
      <w:pPr>
        <w:spacing w:line="240" w:lineRule="auto"/>
        <w:rPr>
          <w:rFonts w:eastAsia="Times New Roman" w:cs="Arial"/>
          <w:i/>
          <w:iCs/>
          <w:color w:val="000000"/>
          <w:lang w:eastAsia="bg-BG"/>
        </w:rPr>
      </w:pPr>
    </w:p>
    <w:p w14:paraId="5E631E7E" w14:textId="5A6527AA"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Педиатрична популация</w:t>
      </w:r>
    </w:p>
    <w:p w14:paraId="54536234" w14:textId="6BC738E9" w:rsidR="00D2077E" w:rsidRDefault="00D2077E" w:rsidP="00D2077E">
      <w:pPr>
        <w:rPr>
          <w:rFonts w:eastAsia="Times New Roman" w:cs="Arial"/>
          <w:color w:val="000000"/>
          <w:lang w:eastAsia="bg-BG"/>
        </w:rPr>
      </w:pPr>
      <w:r w:rsidRPr="00D2077E">
        <w:rPr>
          <w:rFonts w:eastAsia="Times New Roman" w:cs="Arial"/>
          <w:color w:val="000000"/>
          <w:lang w:eastAsia="bg-BG"/>
        </w:rPr>
        <w:t>Употребата на Феринжект не е проучвана при деца и затова не се препоръчва</w:t>
      </w:r>
      <w:r w:rsidRPr="00D2077E">
        <w:rPr>
          <w:rFonts w:eastAsia="Times New Roman" w:cs="Arial"/>
          <w:color w:val="000000"/>
          <w:lang w:val="ru-RU"/>
        </w:rPr>
        <w:t xml:space="preserve"> </w:t>
      </w:r>
      <w:r w:rsidRPr="00D2077E">
        <w:rPr>
          <w:rFonts w:eastAsia="Times New Roman" w:cs="Arial"/>
          <w:color w:val="000000"/>
          <w:lang w:eastAsia="bg-BG"/>
        </w:rPr>
        <w:t>при деца под 14 години.</w:t>
      </w:r>
    </w:p>
    <w:p w14:paraId="54DF3B81" w14:textId="12FA9D41" w:rsidR="00D2077E" w:rsidRDefault="00D2077E" w:rsidP="00D2077E">
      <w:pPr>
        <w:rPr>
          <w:rFonts w:eastAsia="Times New Roman" w:cs="Arial"/>
          <w:color w:val="000000"/>
          <w:lang w:eastAsia="bg-BG"/>
        </w:rPr>
      </w:pPr>
    </w:p>
    <w:p w14:paraId="7B099648"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u w:val="single"/>
          <w:lang w:eastAsia="bg-BG"/>
        </w:rPr>
        <w:t>Начин на приложение</w:t>
      </w:r>
    </w:p>
    <w:p w14:paraId="5F8B5981" w14:textId="77777777" w:rsidR="00D2077E" w:rsidRPr="00D2077E" w:rsidRDefault="00D2077E" w:rsidP="00D2077E">
      <w:pPr>
        <w:spacing w:line="240" w:lineRule="auto"/>
        <w:rPr>
          <w:rFonts w:eastAsia="Times New Roman" w:cs="Arial"/>
          <w:color w:val="000000"/>
          <w:lang w:eastAsia="bg-BG"/>
        </w:rPr>
      </w:pPr>
    </w:p>
    <w:p w14:paraId="39D74D74" w14:textId="25DB0CEB"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Феринжект трябва да се прилага само интравенозно:</w:t>
      </w:r>
    </w:p>
    <w:p w14:paraId="13C33A61" w14:textId="12C83662" w:rsidR="00D2077E" w:rsidRPr="00D2077E" w:rsidRDefault="00D2077E" w:rsidP="00D2077E">
      <w:pPr>
        <w:pStyle w:val="ListParagraph"/>
        <w:numPr>
          <w:ilvl w:val="0"/>
          <w:numId w:val="36"/>
        </w:numPr>
        <w:spacing w:line="240" w:lineRule="auto"/>
        <w:rPr>
          <w:rFonts w:eastAsia="Times New Roman" w:cs="Arial"/>
          <w:color w:val="000000"/>
          <w:lang w:eastAsia="bg-BG"/>
        </w:rPr>
      </w:pPr>
      <w:r w:rsidRPr="00D2077E">
        <w:rPr>
          <w:rFonts w:eastAsia="Times New Roman" w:cs="Arial"/>
          <w:color w:val="000000"/>
          <w:lang w:eastAsia="bg-BG"/>
        </w:rPr>
        <w:t>чрез инжекция или</w:t>
      </w:r>
    </w:p>
    <w:p w14:paraId="43A3498B" w14:textId="77777777" w:rsidR="00D2077E" w:rsidRPr="00D2077E" w:rsidRDefault="00D2077E" w:rsidP="00D2077E">
      <w:pPr>
        <w:pStyle w:val="ListParagraph"/>
        <w:numPr>
          <w:ilvl w:val="0"/>
          <w:numId w:val="36"/>
        </w:numPr>
        <w:spacing w:line="240" w:lineRule="auto"/>
        <w:rPr>
          <w:rFonts w:eastAsia="Times New Roman" w:cs="Arial"/>
          <w:color w:val="000000"/>
          <w:lang w:eastAsia="bg-BG"/>
        </w:rPr>
      </w:pPr>
      <w:r w:rsidRPr="00D2077E">
        <w:rPr>
          <w:rFonts w:eastAsia="Times New Roman" w:cs="Arial"/>
          <w:color w:val="000000"/>
          <w:lang w:eastAsia="bg-BG"/>
        </w:rPr>
        <w:t>чрез инфузия, или</w:t>
      </w:r>
    </w:p>
    <w:p w14:paraId="6A493D13" w14:textId="77777777" w:rsidR="00D2077E" w:rsidRPr="00D2077E" w:rsidRDefault="00D2077E" w:rsidP="00D2077E">
      <w:pPr>
        <w:pStyle w:val="ListParagraph"/>
        <w:numPr>
          <w:ilvl w:val="0"/>
          <w:numId w:val="36"/>
        </w:numPr>
        <w:spacing w:line="240" w:lineRule="auto"/>
        <w:rPr>
          <w:rFonts w:eastAsia="Times New Roman" w:cs="Arial"/>
          <w:color w:val="000000"/>
          <w:lang w:eastAsia="bg-BG"/>
        </w:rPr>
      </w:pPr>
      <w:r w:rsidRPr="00D2077E">
        <w:rPr>
          <w:rFonts w:eastAsia="Times New Roman" w:cs="Arial"/>
          <w:color w:val="000000"/>
          <w:lang w:eastAsia="bg-BG"/>
        </w:rPr>
        <w:t>по време на хемодиализна процедура, неразреден, направо във венозния край на диализатора.</w:t>
      </w:r>
    </w:p>
    <w:p w14:paraId="0BF82A58" w14:textId="77777777" w:rsidR="00D2077E" w:rsidRPr="00D2077E" w:rsidRDefault="00D2077E" w:rsidP="00D2077E">
      <w:pPr>
        <w:spacing w:line="240" w:lineRule="auto"/>
        <w:rPr>
          <w:rFonts w:eastAsia="Times New Roman" w:cs="Arial"/>
          <w:color w:val="000000"/>
          <w:lang w:eastAsia="bg-BG"/>
        </w:rPr>
      </w:pPr>
    </w:p>
    <w:p w14:paraId="16B8EB1B" w14:textId="1E99C3C5"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Феринжект не трябва да се прилага подкожно или интрамускулно.</w:t>
      </w:r>
    </w:p>
    <w:p w14:paraId="2B77663C" w14:textId="77777777" w:rsidR="00D2077E" w:rsidRPr="00D2077E" w:rsidRDefault="00D2077E" w:rsidP="00D2077E">
      <w:pPr>
        <w:spacing w:line="240" w:lineRule="auto"/>
        <w:rPr>
          <w:rFonts w:eastAsia="Times New Roman" w:cs="Arial"/>
          <w:i/>
          <w:iCs/>
          <w:color w:val="000000"/>
          <w:lang w:eastAsia="bg-BG"/>
        </w:rPr>
      </w:pPr>
    </w:p>
    <w:p w14:paraId="4F201F2F" w14:textId="37BEBD78" w:rsidR="00D2077E" w:rsidRPr="00D2077E" w:rsidRDefault="00D2077E" w:rsidP="00D2077E">
      <w:pPr>
        <w:spacing w:line="240" w:lineRule="auto"/>
        <w:rPr>
          <w:rFonts w:eastAsia="Times New Roman" w:cs="Arial"/>
          <w:sz w:val="24"/>
          <w:szCs w:val="24"/>
        </w:rPr>
      </w:pPr>
      <w:r w:rsidRPr="00D2077E">
        <w:rPr>
          <w:rFonts w:eastAsia="Times New Roman" w:cs="Arial"/>
          <w:i/>
          <w:iCs/>
          <w:color w:val="000000"/>
          <w:lang w:eastAsia="bg-BG"/>
        </w:rPr>
        <w:t>Интравенозна инжекция</w:t>
      </w:r>
    </w:p>
    <w:p w14:paraId="1E5926A4" w14:textId="77777777" w:rsidR="00D2077E" w:rsidRPr="00D2077E" w:rsidRDefault="00D2077E" w:rsidP="00D2077E">
      <w:pPr>
        <w:spacing w:line="240" w:lineRule="auto"/>
        <w:rPr>
          <w:rFonts w:eastAsia="Times New Roman" w:cs="Arial"/>
          <w:sz w:val="24"/>
          <w:szCs w:val="24"/>
        </w:rPr>
      </w:pPr>
      <w:r w:rsidRPr="00D2077E">
        <w:rPr>
          <w:rFonts w:eastAsia="Times New Roman" w:cs="Arial"/>
          <w:color w:val="000000"/>
          <w:lang w:eastAsia="bg-BG"/>
        </w:rPr>
        <w:t xml:space="preserve">Феринжект може да се прилага чрез интравенозна инжекция, като се използва неразреден разтвор. Максималната единична доза е 15 </w:t>
      </w:r>
      <w:r w:rsidRPr="00D2077E">
        <w:rPr>
          <w:rFonts w:eastAsia="Times New Roman" w:cs="Arial"/>
          <w:color w:val="000000"/>
          <w:lang w:val="en-US"/>
        </w:rPr>
        <w:t>mg</w:t>
      </w:r>
      <w:r w:rsidRPr="00D2077E">
        <w:rPr>
          <w:rFonts w:eastAsia="Times New Roman" w:cs="Arial"/>
          <w:color w:val="000000"/>
          <w:lang w:val="ru-RU"/>
        </w:rPr>
        <w:t xml:space="preserve"> </w:t>
      </w:r>
      <w:r w:rsidRPr="00D2077E">
        <w:rPr>
          <w:rFonts w:eastAsia="Times New Roman" w:cs="Arial"/>
          <w:color w:val="000000"/>
          <w:lang w:eastAsia="bg-BG"/>
        </w:rPr>
        <w:t>желязо</w:t>
      </w:r>
      <w:r w:rsidRPr="00D2077E">
        <w:rPr>
          <w:rFonts w:eastAsia="Times New Roman" w:cs="Arial"/>
          <w:color w:val="000000"/>
          <w:lang w:val="ru-RU"/>
        </w:rPr>
        <w:t>/</w:t>
      </w:r>
      <w:r w:rsidRPr="00D2077E">
        <w:rPr>
          <w:rFonts w:eastAsia="Times New Roman" w:cs="Arial"/>
          <w:color w:val="000000"/>
          <w:lang w:val="en-US"/>
        </w:rPr>
        <w:t>kg</w:t>
      </w:r>
      <w:r w:rsidRPr="00D2077E">
        <w:rPr>
          <w:rFonts w:eastAsia="Times New Roman" w:cs="Arial"/>
          <w:color w:val="000000"/>
          <w:lang w:val="ru-RU"/>
        </w:rPr>
        <w:t xml:space="preserve"> </w:t>
      </w:r>
      <w:r w:rsidRPr="00D2077E">
        <w:rPr>
          <w:rFonts w:eastAsia="Times New Roman" w:cs="Arial"/>
          <w:color w:val="000000"/>
          <w:lang w:eastAsia="bg-BG"/>
        </w:rPr>
        <w:t xml:space="preserve">телесно тегло, но не трябва да превишава 1 000 </w:t>
      </w:r>
      <w:r w:rsidRPr="00D2077E">
        <w:rPr>
          <w:rFonts w:eastAsia="Times New Roman" w:cs="Arial"/>
          <w:color w:val="000000"/>
          <w:lang w:val="en-US"/>
        </w:rPr>
        <w:t>mg</w:t>
      </w:r>
      <w:r w:rsidRPr="00D2077E">
        <w:rPr>
          <w:rFonts w:eastAsia="Times New Roman" w:cs="Arial"/>
          <w:color w:val="000000"/>
          <w:lang w:val="ru-RU"/>
        </w:rPr>
        <w:t xml:space="preserve"> </w:t>
      </w:r>
      <w:r w:rsidRPr="00D2077E">
        <w:rPr>
          <w:rFonts w:eastAsia="Times New Roman" w:cs="Arial"/>
          <w:color w:val="000000"/>
          <w:lang w:eastAsia="bg-BG"/>
        </w:rPr>
        <w:t>желязо. Скоростите на приложение са показани в Таблица 2:</w:t>
      </w:r>
    </w:p>
    <w:p w14:paraId="3AE67FB9" w14:textId="77777777" w:rsidR="00D2077E" w:rsidRPr="00D2077E" w:rsidRDefault="00D2077E" w:rsidP="00D2077E">
      <w:pPr>
        <w:rPr>
          <w:rFonts w:eastAsia="Times New Roman" w:cs="Arial"/>
          <w:b/>
          <w:bCs/>
          <w:color w:val="000000"/>
          <w:lang w:eastAsia="bg-BG"/>
        </w:rPr>
      </w:pPr>
    </w:p>
    <w:p w14:paraId="336F94D7" w14:textId="12558839" w:rsidR="00D2077E" w:rsidRDefault="00D2077E" w:rsidP="00D2077E">
      <w:pPr>
        <w:rPr>
          <w:rFonts w:eastAsia="Times New Roman" w:cs="Arial"/>
          <w:b/>
          <w:bCs/>
          <w:color w:val="000000"/>
          <w:lang w:eastAsia="bg-BG"/>
        </w:rPr>
      </w:pPr>
      <w:r w:rsidRPr="00D2077E">
        <w:rPr>
          <w:rFonts w:eastAsia="Times New Roman" w:cs="Arial"/>
          <w:b/>
          <w:bCs/>
          <w:color w:val="000000"/>
          <w:lang w:eastAsia="bg-BG"/>
        </w:rPr>
        <w:t>Таблица 2: Скорости на приложение за интравенозно инжектиране на Феринжект</w:t>
      </w:r>
    </w:p>
    <w:tbl>
      <w:tblPr>
        <w:tblStyle w:val="TableGrid"/>
        <w:tblW w:w="0" w:type="auto"/>
        <w:tblLook w:val="04A0" w:firstRow="1" w:lastRow="0" w:firstColumn="1" w:lastColumn="0" w:noHBand="0" w:noVBand="1"/>
      </w:tblPr>
      <w:tblGrid>
        <w:gridCol w:w="645"/>
        <w:gridCol w:w="794"/>
        <w:gridCol w:w="1176"/>
        <w:gridCol w:w="1301"/>
        <w:gridCol w:w="1115"/>
        <w:gridCol w:w="1399"/>
        <w:gridCol w:w="2920"/>
      </w:tblGrid>
      <w:tr w:rsidR="00C576EC" w14:paraId="432A0645" w14:textId="77777777" w:rsidTr="00C576EC">
        <w:tc>
          <w:tcPr>
            <w:tcW w:w="2670" w:type="dxa"/>
            <w:gridSpan w:val="3"/>
          </w:tcPr>
          <w:p w14:paraId="3FE3E87A" w14:textId="3EAC52C9" w:rsidR="00C576EC" w:rsidRDefault="00C576EC" w:rsidP="00C576EC">
            <w:pPr>
              <w:rPr>
                <w:rFonts w:cs="Arial"/>
              </w:rPr>
            </w:pPr>
            <w:r>
              <w:rPr>
                <w:b/>
                <w:bCs/>
              </w:rPr>
              <w:t>Необходим обем Феринжект</w:t>
            </w:r>
          </w:p>
        </w:tc>
        <w:tc>
          <w:tcPr>
            <w:tcW w:w="3918" w:type="dxa"/>
            <w:gridSpan w:val="3"/>
          </w:tcPr>
          <w:p w14:paraId="4AD87572" w14:textId="73F0AF26" w:rsidR="00C576EC" w:rsidRDefault="00C576EC" w:rsidP="00C576EC">
            <w:pPr>
              <w:rPr>
                <w:rFonts w:cs="Arial"/>
              </w:rPr>
            </w:pPr>
            <w:r>
              <w:rPr>
                <w:b/>
                <w:bCs/>
              </w:rPr>
              <w:t>Еквивалентна доза желязо</w:t>
            </w:r>
          </w:p>
        </w:tc>
        <w:tc>
          <w:tcPr>
            <w:tcW w:w="2988" w:type="dxa"/>
          </w:tcPr>
          <w:p w14:paraId="6D1E6C34" w14:textId="737C459B" w:rsidR="00C576EC" w:rsidRDefault="00C576EC" w:rsidP="00C576EC">
            <w:pPr>
              <w:rPr>
                <w:rFonts w:cs="Arial"/>
              </w:rPr>
            </w:pPr>
            <w:r>
              <w:rPr>
                <w:b/>
                <w:bCs/>
              </w:rPr>
              <w:t>Скорост на приложение / Минимално време за приложение</w:t>
            </w:r>
          </w:p>
        </w:tc>
      </w:tr>
      <w:tr w:rsidR="00C576EC" w14:paraId="74CF9ABD" w14:textId="77777777" w:rsidTr="00C576EC">
        <w:tc>
          <w:tcPr>
            <w:tcW w:w="648" w:type="dxa"/>
          </w:tcPr>
          <w:p w14:paraId="3E3F56D0" w14:textId="713B32F4" w:rsidR="00C576EC" w:rsidRDefault="00C576EC" w:rsidP="00C576EC">
            <w:pPr>
              <w:rPr>
                <w:rFonts w:cs="Arial"/>
              </w:rPr>
            </w:pPr>
            <w:r>
              <w:t>2</w:t>
            </w:r>
          </w:p>
        </w:tc>
        <w:tc>
          <w:tcPr>
            <w:tcW w:w="810" w:type="dxa"/>
          </w:tcPr>
          <w:p w14:paraId="0F5FD0E6" w14:textId="04B2411E" w:rsidR="00C576EC" w:rsidRDefault="00C576EC" w:rsidP="00C576EC">
            <w:pPr>
              <w:rPr>
                <w:rFonts w:cs="Arial"/>
              </w:rPr>
            </w:pPr>
            <w:r>
              <w:t>до</w:t>
            </w:r>
          </w:p>
        </w:tc>
        <w:tc>
          <w:tcPr>
            <w:tcW w:w="1212" w:type="dxa"/>
          </w:tcPr>
          <w:p w14:paraId="1EF249EC" w14:textId="19C5BB9E" w:rsidR="00C576EC" w:rsidRDefault="00C576EC" w:rsidP="00C576EC">
            <w:pPr>
              <w:rPr>
                <w:rFonts w:cs="Arial"/>
              </w:rPr>
            </w:pPr>
            <w:r>
              <w:t xml:space="preserve">4 </w:t>
            </w:r>
            <w:r>
              <w:rPr>
                <w:lang w:val="en-US"/>
              </w:rPr>
              <w:t>ml</w:t>
            </w:r>
          </w:p>
        </w:tc>
        <w:tc>
          <w:tcPr>
            <w:tcW w:w="1331" w:type="dxa"/>
          </w:tcPr>
          <w:p w14:paraId="500AACD6" w14:textId="78E21DFD" w:rsidR="00C576EC" w:rsidRDefault="00C576EC" w:rsidP="00C576EC">
            <w:pPr>
              <w:rPr>
                <w:rFonts w:cs="Arial"/>
              </w:rPr>
            </w:pPr>
            <w:r>
              <w:t>100</w:t>
            </w:r>
          </w:p>
        </w:tc>
        <w:tc>
          <w:tcPr>
            <w:tcW w:w="1147" w:type="dxa"/>
          </w:tcPr>
          <w:p w14:paraId="4495803C" w14:textId="15A56541" w:rsidR="00C576EC" w:rsidRDefault="00C576EC" w:rsidP="00C576EC">
            <w:pPr>
              <w:rPr>
                <w:rFonts w:cs="Arial"/>
              </w:rPr>
            </w:pPr>
            <w:r>
              <w:t>до</w:t>
            </w:r>
          </w:p>
        </w:tc>
        <w:tc>
          <w:tcPr>
            <w:tcW w:w="1440" w:type="dxa"/>
          </w:tcPr>
          <w:p w14:paraId="36654641" w14:textId="052A2949" w:rsidR="00C576EC" w:rsidRDefault="00C576EC" w:rsidP="00C576EC">
            <w:pPr>
              <w:rPr>
                <w:rFonts w:cs="Arial"/>
              </w:rPr>
            </w:pPr>
            <w:r>
              <w:t xml:space="preserve">200 </w:t>
            </w:r>
            <w:r>
              <w:rPr>
                <w:lang w:val="en-US"/>
              </w:rPr>
              <w:t>mg</w:t>
            </w:r>
          </w:p>
        </w:tc>
        <w:tc>
          <w:tcPr>
            <w:tcW w:w="2988" w:type="dxa"/>
          </w:tcPr>
          <w:p w14:paraId="7EE6BC38" w14:textId="1867A067" w:rsidR="00C576EC" w:rsidRDefault="00C576EC" w:rsidP="00C576EC">
            <w:pPr>
              <w:rPr>
                <w:rFonts w:cs="Arial"/>
              </w:rPr>
            </w:pPr>
            <w:r>
              <w:t>Няма минимално предписано време</w:t>
            </w:r>
          </w:p>
        </w:tc>
      </w:tr>
      <w:tr w:rsidR="00C576EC" w14:paraId="2994F7FA" w14:textId="77777777" w:rsidTr="00C576EC">
        <w:tc>
          <w:tcPr>
            <w:tcW w:w="648" w:type="dxa"/>
          </w:tcPr>
          <w:p w14:paraId="5B70422A" w14:textId="071EA485" w:rsidR="00C576EC" w:rsidRDefault="00C576EC" w:rsidP="00C576EC">
            <w:pPr>
              <w:rPr>
                <w:rFonts w:cs="Arial"/>
              </w:rPr>
            </w:pPr>
            <w:r>
              <w:t>&gt;4</w:t>
            </w:r>
          </w:p>
        </w:tc>
        <w:tc>
          <w:tcPr>
            <w:tcW w:w="810" w:type="dxa"/>
          </w:tcPr>
          <w:p w14:paraId="692F88A5" w14:textId="4578D811" w:rsidR="00C576EC" w:rsidRDefault="00C576EC" w:rsidP="00C576EC">
            <w:pPr>
              <w:rPr>
                <w:rFonts w:cs="Arial"/>
              </w:rPr>
            </w:pPr>
            <w:r>
              <w:t>до</w:t>
            </w:r>
          </w:p>
        </w:tc>
        <w:tc>
          <w:tcPr>
            <w:tcW w:w="1212" w:type="dxa"/>
          </w:tcPr>
          <w:p w14:paraId="7CA728AF" w14:textId="1E9E1A6D" w:rsidR="00C576EC" w:rsidRDefault="00C576EC" w:rsidP="00C576EC">
            <w:pPr>
              <w:rPr>
                <w:rFonts w:cs="Arial"/>
              </w:rPr>
            </w:pPr>
            <w:r>
              <w:t xml:space="preserve">10 </w:t>
            </w:r>
            <w:r>
              <w:rPr>
                <w:lang w:val="en-US"/>
              </w:rPr>
              <w:t>ml</w:t>
            </w:r>
          </w:p>
        </w:tc>
        <w:tc>
          <w:tcPr>
            <w:tcW w:w="1331" w:type="dxa"/>
          </w:tcPr>
          <w:p w14:paraId="33D0C334" w14:textId="3D7E919D" w:rsidR="00C576EC" w:rsidRDefault="00C576EC" w:rsidP="00C576EC">
            <w:pPr>
              <w:rPr>
                <w:rFonts w:cs="Arial"/>
              </w:rPr>
            </w:pPr>
            <w:r>
              <w:t>&gt;200</w:t>
            </w:r>
          </w:p>
        </w:tc>
        <w:tc>
          <w:tcPr>
            <w:tcW w:w="1147" w:type="dxa"/>
          </w:tcPr>
          <w:p w14:paraId="6ADD5EA8" w14:textId="3BA50170" w:rsidR="00C576EC" w:rsidRDefault="00C576EC" w:rsidP="00C576EC">
            <w:pPr>
              <w:rPr>
                <w:rFonts w:cs="Arial"/>
              </w:rPr>
            </w:pPr>
            <w:r>
              <w:t>до</w:t>
            </w:r>
          </w:p>
        </w:tc>
        <w:tc>
          <w:tcPr>
            <w:tcW w:w="1440" w:type="dxa"/>
          </w:tcPr>
          <w:p w14:paraId="498538C9" w14:textId="4434F184" w:rsidR="00C576EC" w:rsidRDefault="00C576EC" w:rsidP="00C576EC">
            <w:pPr>
              <w:rPr>
                <w:rFonts w:cs="Arial"/>
              </w:rPr>
            </w:pPr>
            <w:r>
              <w:t xml:space="preserve">500 </w:t>
            </w:r>
            <w:r>
              <w:rPr>
                <w:lang w:val="en-US"/>
              </w:rPr>
              <w:t>mg</w:t>
            </w:r>
          </w:p>
        </w:tc>
        <w:tc>
          <w:tcPr>
            <w:tcW w:w="2988" w:type="dxa"/>
          </w:tcPr>
          <w:p w14:paraId="34A7EF52" w14:textId="5A815985" w:rsidR="00C576EC" w:rsidRDefault="00C576EC" w:rsidP="00C576EC">
            <w:pPr>
              <w:rPr>
                <w:rFonts w:cs="Arial"/>
              </w:rPr>
            </w:pPr>
            <w:r>
              <w:t xml:space="preserve">100 </w:t>
            </w:r>
            <w:r>
              <w:rPr>
                <w:lang w:val="en-US"/>
              </w:rPr>
              <w:t xml:space="preserve">mg </w:t>
            </w:r>
            <w:r>
              <w:t xml:space="preserve">желязо / </w:t>
            </w:r>
            <w:r>
              <w:rPr>
                <w:lang w:val="en-US"/>
              </w:rPr>
              <w:t>min</w:t>
            </w:r>
          </w:p>
        </w:tc>
      </w:tr>
      <w:tr w:rsidR="00C576EC" w14:paraId="3852E00A" w14:textId="77777777" w:rsidTr="00C576EC">
        <w:tc>
          <w:tcPr>
            <w:tcW w:w="648" w:type="dxa"/>
          </w:tcPr>
          <w:p w14:paraId="52FA0DD5" w14:textId="3D9A28C1" w:rsidR="00C576EC" w:rsidRDefault="00C576EC" w:rsidP="00C576EC">
            <w:pPr>
              <w:rPr>
                <w:rFonts w:cs="Arial"/>
              </w:rPr>
            </w:pPr>
            <w:r>
              <w:t>&gt;10</w:t>
            </w:r>
          </w:p>
        </w:tc>
        <w:tc>
          <w:tcPr>
            <w:tcW w:w="810" w:type="dxa"/>
          </w:tcPr>
          <w:p w14:paraId="3BB3C146" w14:textId="4805D88B" w:rsidR="00C576EC" w:rsidRDefault="00C576EC" w:rsidP="00C576EC">
            <w:pPr>
              <w:rPr>
                <w:rFonts w:cs="Arial"/>
              </w:rPr>
            </w:pPr>
            <w:r>
              <w:t>до</w:t>
            </w:r>
          </w:p>
        </w:tc>
        <w:tc>
          <w:tcPr>
            <w:tcW w:w="1212" w:type="dxa"/>
          </w:tcPr>
          <w:p w14:paraId="5DF18050" w14:textId="4847EADD" w:rsidR="00C576EC" w:rsidRDefault="00C576EC" w:rsidP="00C576EC">
            <w:pPr>
              <w:rPr>
                <w:rFonts w:cs="Arial"/>
              </w:rPr>
            </w:pPr>
            <w:r>
              <w:t xml:space="preserve">20 </w:t>
            </w:r>
            <w:r>
              <w:rPr>
                <w:lang w:val="en-US"/>
              </w:rPr>
              <w:t>ml</w:t>
            </w:r>
          </w:p>
        </w:tc>
        <w:tc>
          <w:tcPr>
            <w:tcW w:w="1331" w:type="dxa"/>
          </w:tcPr>
          <w:p w14:paraId="14D47866" w14:textId="3E2227E6" w:rsidR="00C576EC" w:rsidRDefault="00C576EC" w:rsidP="00C576EC">
            <w:pPr>
              <w:rPr>
                <w:rFonts w:cs="Arial"/>
              </w:rPr>
            </w:pPr>
            <w:r>
              <w:t>&gt;500</w:t>
            </w:r>
          </w:p>
        </w:tc>
        <w:tc>
          <w:tcPr>
            <w:tcW w:w="1147" w:type="dxa"/>
          </w:tcPr>
          <w:p w14:paraId="361B93C8" w14:textId="3F617F51" w:rsidR="00C576EC" w:rsidRDefault="00C576EC" w:rsidP="00C576EC">
            <w:pPr>
              <w:rPr>
                <w:rFonts w:cs="Arial"/>
              </w:rPr>
            </w:pPr>
            <w:r>
              <w:t>до</w:t>
            </w:r>
          </w:p>
        </w:tc>
        <w:tc>
          <w:tcPr>
            <w:tcW w:w="1440" w:type="dxa"/>
          </w:tcPr>
          <w:p w14:paraId="5B01385F" w14:textId="1A5E1B52" w:rsidR="00C576EC" w:rsidRDefault="00C576EC" w:rsidP="00C576EC">
            <w:pPr>
              <w:rPr>
                <w:rFonts w:cs="Arial"/>
              </w:rPr>
            </w:pPr>
            <w:r>
              <w:t xml:space="preserve">1 000 </w:t>
            </w:r>
            <w:r>
              <w:rPr>
                <w:lang w:val="en-US"/>
              </w:rPr>
              <w:t>mg</w:t>
            </w:r>
          </w:p>
        </w:tc>
        <w:tc>
          <w:tcPr>
            <w:tcW w:w="2988" w:type="dxa"/>
          </w:tcPr>
          <w:p w14:paraId="1BDE403B" w14:textId="2F5435CF" w:rsidR="00C576EC" w:rsidRDefault="00C576EC" w:rsidP="00C576EC">
            <w:pPr>
              <w:rPr>
                <w:rFonts w:cs="Arial"/>
              </w:rPr>
            </w:pPr>
            <w:r>
              <w:t>15 минути</w:t>
            </w:r>
          </w:p>
        </w:tc>
      </w:tr>
    </w:tbl>
    <w:p w14:paraId="7657BF5B" w14:textId="23513A91" w:rsidR="00C576EC" w:rsidRDefault="00C576EC" w:rsidP="00D2077E">
      <w:pPr>
        <w:rPr>
          <w:rFonts w:cs="Arial"/>
        </w:rPr>
      </w:pPr>
    </w:p>
    <w:p w14:paraId="5A00FBC1" w14:textId="77777777"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Интравенозна инфузия</w:t>
      </w:r>
    </w:p>
    <w:p w14:paraId="72C6F3FA"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Феринжект може да се прилага чрез интравенозна инфузия, като в този случай трябва да бъде разреден. Максималната единична доза е 20 </w:t>
      </w:r>
      <w:r w:rsidRPr="00C576EC">
        <w:rPr>
          <w:rFonts w:eastAsia="Times New Roman" w:cs="Arial"/>
          <w:color w:val="000000"/>
          <w:lang w:val="en-US"/>
        </w:rPr>
        <w:t>mg</w:t>
      </w:r>
      <w:r w:rsidRPr="00C576EC">
        <w:rPr>
          <w:rFonts w:eastAsia="Times New Roman" w:cs="Arial"/>
          <w:color w:val="000000"/>
          <w:lang w:val="ru-RU"/>
        </w:rPr>
        <w:t xml:space="preserve"> </w:t>
      </w:r>
      <w:r w:rsidRPr="00C576EC">
        <w:rPr>
          <w:rFonts w:eastAsia="Times New Roman" w:cs="Arial"/>
          <w:color w:val="000000"/>
          <w:lang w:eastAsia="bg-BG"/>
        </w:rPr>
        <w:t>желязо</w:t>
      </w:r>
      <w:r w:rsidRPr="00C576EC">
        <w:rPr>
          <w:rFonts w:eastAsia="Times New Roman" w:cs="Arial"/>
          <w:color w:val="000000"/>
          <w:lang w:val="ru-RU"/>
        </w:rPr>
        <w:t>/</w:t>
      </w:r>
      <w:r w:rsidRPr="00C576EC">
        <w:rPr>
          <w:rFonts w:eastAsia="Times New Roman" w:cs="Arial"/>
          <w:color w:val="000000"/>
          <w:lang w:val="en-US"/>
        </w:rPr>
        <w:t>kg</w:t>
      </w:r>
      <w:r w:rsidRPr="00C576EC">
        <w:rPr>
          <w:rFonts w:eastAsia="Times New Roman" w:cs="Arial"/>
          <w:color w:val="000000"/>
          <w:lang w:val="ru-RU"/>
        </w:rPr>
        <w:t xml:space="preserve"> </w:t>
      </w:r>
      <w:r w:rsidRPr="00C576EC">
        <w:rPr>
          <w:rFonts w:eastAsia="Times New Roman" w:cs="Arial"/>
          <w:color w:val="000000"/>
          <w:lang w:eastAsia="bg-BG"/>
        </w:rPr>
        <w:t xml:space="preserve">телесно тегло, но не трябва да превишава 1 000 </w:t>
      </w:r>
      <w:r w:rsidRPr="00C576EC">
        <w:rPr>
          <w:rFonts w:eastAsia="Times New Roman" w:cs="Arial"/>
          <w:color w:val="000000"/>
          <w:lang w:val="en-US"/>
        </w:rPr>
        <w:t>mg</w:t>
      </w:r>
      <w:r w:rsidRPr="00C576EC">
        <w:rPr>
          <w:rFonts w:eastAsia="Times New Roman" w:cs="Arial"/>
          <w:color w:val="000000"/>
          <w:lang w:val="ru-RU"/>
        </w:rPr>
        <w:t xml:space="preserve"> </w:t>
      </w:r>
      <w:r w:rsidRPr="00C576EC">
        <w:rPr>
          <w:rFonts w:eastAsia="Times New Roman" w:cs="Arial"/>
          <w:color w:val="000000"/>
          <w:lang w:eastAsia="bg-BG"/>
        </w:rPr>
        <w:t>желязо.</w:t>
      </w:r>
    </w:p>
    <w:p w14:paraId="019E4997" w14:textId="77777777" w:rsidR="00C576EC" w:rsidRPr="00C576EC" w:rsidRDefault="00C576EC" w:rsidP="00C576EC">
      <w:pPr>
        <w:spacing w:line="240" w:lineRule="auto"/>
        <w:rPr>
          <w:rFonts w:eastAsia="Times New Roman" w:cs="Arial"/>
          <w:color w:val="000000"/>
          <w:lang w:eastAsia="bg-BG"/>
        </w:rPr>
      </w:pPr>
    </w:p>
    <w:p w14:paraId="558AA7FE" w14:textId="0362D551"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За инфузия Феринжект трябва да се разреди само в стерилен 0,9% </w:t>
      </w:r>
      <w:r w:rsidRPr="00C576EC">
        <w:rPr>
          <w:rFonts w:eastAsia="Times New Roman" w:cs="Arial"/>
          <w:color w:val="000000"/>
          <w:lang w:val="en-US"/>
        </w:rPr>
        <w:t>m</w:t>
      </w:r>
      <w:r w:rsidRPr="00C576EC">
        <w:rPr>
          <w:rFonts w:eastAsia="Times New Roman" w:cs="Arial"/>
          <w:color w:val="000000"/>
          <w:lang w:val="ru-RU"/>
        </w:rPr>
        <w:t>/</w:t>
      </w:r>
      <w:r w:rsidRPr="00C576EC">
        <w:rPr>
          <w:rFonts w:eastAsia="Times New Roman" w:cs="Arial"/>
          <w:color w:val="000000"/>
          <w:lang w:val="en-US"/>
        </w:rPr>
        <w:t>V</w:t>
      </w:r>
      <w:r w:rsidRPr="00C576EC">
        <w:rPr>
          <w:rFonts w:eastAsia="Times New Roman" w:cs="Arial"/>
          <w:color w:val="000000"/>
          <w:lang w:val="ru-RU"/>
        </w:rPr>
        <w:t xml:space="preserve"> </w:t>
      </w:r>
      <w:r w:rsidRPr="00C576EC">
        <w:rPr>
          <w:rFonts w:eastAsia="Times New Roman" w:cs="Arial"/>
          <w:color w:val="000000"/>
          <w:lang w:eastAsia="bg-BG"/>
        </w:rPr>
        <w:t xml:space="preserve">разтвор на натриев хлорид, както е показано в Таблица 3. Забележка: от съображения за стабилност Феринжект не трябва да се разрежда до концентрации под 2 </w:t>
      </w:r>
      <w:r w:rsidRPr="00C576EC">
        <w:rPr>
          <w:rFonts w:eastAsia="Times New Roman" w:cs="Arial"/>
          <w:color w:val="000000"/>
          <w:lang w:val="en-US"/>
        </w:rPr>
        <w:t>mg</w:t>
      </w:r>
      <w:r w:rsidRPr="00C576EC">
        <w:rPr>
          <w:rFonts w:eastAsia="Times New Roman" w:cs="Arial"/>
          <w:color w:val="000000"/>
          <w:lang w:val="ru-RU"/>
        </w:rPr>
        <w:t xml:space="preserve"> </w:t>
      </w:r>
      <w:r w:rsidRPr="00C576EC">
        <w:rPr>
          <w:rFonts w:eastAsia="Times New Roman" w:cs="Arial"/>
          <w:color w:val="000000"/>
          <w:lang w:eastAsia="bg-BG"/>
        </w:rPr>
        <w:t>желязо</w:t>
      </w:r>
      <w:r w:rsidRPr="00C576EC">
        <w:rPr>
          <w:rFonts w:eastAsia="Times New Roman" w:cs="Arial"/>
          <w:color w:val="000000"/>
          <w:lang w:val="ru-RU"/>
        </w:rPr>
        <w:t>/</w:t>
      </w:r>
      <w:r w:rsidRPr="00C576EC">
        <w:rPr>
          <w:rFonts w:eastAsia="Times New Roman" w:cs="Arial"/>
          <w:color w:val="000000"/>
          <w:lang w:val="en-US"/>
        </w:rPr>
        <w:t>ml</w:t>
      </w:r>
      <w:r w:rsidRPr="00C576EC">
        <w:rPr>
          <w:rFonts w:eastAsia="Times New Roman" w:cs="Arial"/>
          <w:color w:val="000000"/>
          <w:lang w:val="ru-RU"/>
        </w:rPr>
        <w:t xml:space="preserve"> </w:t>
      </w:r>
      <w:r w:rsidRPr="00C576EC">
        <w:rPr>
          <w:rFonts w:eastAsia="Times New Roman" w:cs="Arial"/>
          <w:color w:val="000000"/>
          <w:lang w:eastAsia="bg-BG"/>
        </w:rPr>
        <w:t>(не се включва обемът на разтвора на желязната карбоксималтоза). За допълнителни инструкции за разреждане на лекарствения продукт преди прилагане вижте точка 6.6.</w:t>
      </w:r>
    </w:p>
    <w:p w14:paraId="71EBEFFE" w14:textId="77777777" w:rsidR="00C576EC" w:rsidRPr="00C576EC" w:rsidRDefault="00C576EC" w:rsidP="00C576EC">
      <w:pPr>
        <w:rPr>
          <w:rFonts w:eastAsia="Times New Roman" w:cs="Arial"/>
          <w:b/>
          <w:bCs/>
          <w:color w:val="000000"/>
          <w:lang w:eastAsia="bg-BG"/>
        </w:rPr>
      </w:pPr>
    </w:p>
    <w:p w14:paraId="7E409FFE" w14:textId="11621637" w:rsidR="00C576EC" w:rsidRDefault="00C576EC" w:rsidP="00C576EC">
      <w:pPr>
        <w:rPr>
          <w:rFonts w:eastAsia="Times New Roman" w:cs="Arial"/>
          <w:b/>
          <w:bCs/>
          <w:color w:val="000000"/>
          <w:lang w:eastAsia="bg-BG"/>
        </w:rPr>
      </w:pPr>
      <w:r w:rsidRPr="00C576EC">
        <w:rPr>
          <w:rFonts w:eastAsia="Times New Roman" w:cs="Arial"/>
          <w:b/>
          <w:bCs/>
          <w:color w:val="000000"/>
          <w:lang w:eastAsia="bg-BG"/>
        </w:rPr>
        <w:t>Таблица 3: План за разреждане на Феринжект за интравенозна инфузия</w:t>
      </w:r>
    </w:p>
    <w:tbl>
      <w:tblPr>
        <w:tblStyle w:val="TableGrid"/>
        <w:tblW w:w="0" w:type="auto"/>
        <w:tblLook w:val="04A0" w:firstRow="1" w:lastRow="0" w:firstColumn="1" w:lastColumn="0" w:noHBand="0" w:noVBand="1"/>
      </w:tblPr>
      <w:tblGrid>
        <w:gridCol w:w="1275"/>
        <w:gridCol w:w="1238"/>
        <w:gridCol w:w="1251"/>
        <w:gridCol w:w="705"/>
        <w:gridCol w:w="1129"/>
        <w:gridCol w:w="2190"/>
        <w:gridCol w:w="1562"/>
      </w:tblGrid>
      <w:tr w:rsidR="00C576EC" w14:paraId="40448BCD" w14:textId="77777777" w:rsidTr="00C576EC">
        <w:tc>
          <w:tcPr>
            <w:tcW w:w="2593" w:type="dxa"/>
            <w:gridSpan w:val="2"/>
          </w:tcPr>
          <w:p w14:paraId="69E351D7" w14:textId="38AF13BF" w:rsidR="00C576EC" w:rsidRDefault="00C576EC" w:rsidP="00C576EC">
            <w:pPr>
              <w:rPr>
                <w:rFonts w:cs="Arial"/>
              </w:rPr>
            </w:pPr>
            <w:r>
              <w:rPr>
                <w:b/>
                <w:bCs/>
              </w:rPr>
              <w:lastRenderedPageBreak/>
              <w:t>Необходим обем Феринжект</w:t>
            </w:r>
          </w:p>
        </w:tc>
        <w:tc>
          <w:tcPr>
            <w:tcW w:w="3185" w:type="dxa"/>
            <w:gridSpan w:val="3"/>
          </w:tcPr>
          <w:p w14:paraId="4D72022B" w14:textId="2F9566AC" w:rsidR="00C576EC" w:rsidRDefault="00C576EC" w:rsidP="00C576EC">
            <w:pPr>
              <w:rPr>
                <w:rFonts w:cs="Arial"/>
              </w:rPr>
            </w:pPr>
            <w:r>
              <w:rPr>
                <w:b/>
                <w:bCs/>
              </w:rPr>
              <w:t>Еквивалентна доза желязо</w:t>
            </w:r>
          </w:p>
        </w:tc>
        <w:tc>
          <w:tcPr>
            <w:tcW w:w="2236" w:type="dxa"/>
          </w:tcPr>
          <w:p w14:paraId="29CA0337" w14:textId="119097A0" w:rsidR="00C576EC" w:rsidRDefault="00C576EC" w:rsidP="00C576EC">
            <w:pPr>
              <w:rPr>
                <w:rFonts w:cs="Arial"/>
              </w:rPr>
            </w:pPr>
            <w:r>
              <w:rPr>
                <w:b/>
                <w:bCs/>
              </w:rPr>
              <w:t xml:space="preserve">Максимално количество стерилен 0,9% </w:t>
            </w:r>
            <w:r>
              <w:rPr>
                <w:b/>
                <w:bCs/>
                <w:lang w:val="en-US"/>
              </w:rPr>
              <w:t>m</w:t>
            </w:r>
            <w:r w:rsidRPr="00C576EC">
              <w:rPr>
                <w:b/>
                <w:bCs/>
                <w:lang w:val="ru-RU"/>
              </w:rPr>
              <w:t>/</w:t>
            </w:r>
            <w:r>
              <w:rPr>
                <w:b/>
                <w:bCs/>
                <w:lang w:val="en-US"/>
              </w:rPr>
              <w:t>V</w:t>
            </w:r>
            <w:r w:rsidRPr="00C576EC">
              <w:rPr>
                <w:b/>
                <w:bCs/>
                <w:lang w:val="ru-RU"/>
              </w:rPr>
              <w:t xml:space="preserve"> </w:t>
            </w:r>
            <w:r>
              <w:rPr>
                <w:b/>
                <w:bCs/>
              </w:rPr>
              <w:t>разтвор на натриев хлорид</w:t>
            </w:r>
          </w:p>
        </w:tc>
        <w:tc>
          <w:tcPr>
            <w:tcW w:w="1562" w:type="dxa"/>
          </w:tcPr>
          <w:p w14:paraId="45EA156B" w14:textId="73157F02" w:rsidR="00C576EC" w:rsidRDefault="00C576EC" w:rsidP="00C576EC">
            <w:pPr>
              <w:rPr>
                <w:rFonts w:cs="Arial"/>
              </w:rPr>
            </w:pPr>
            <w:r>
              <w:rPr>
                <w:b/>
                <w:bCs/>
              </w:rPr>
              <w:t>Минимално време за приложение</w:t>
            </w:r>
          </w:p>
        </w:tc>
      </w:tr>
      <w:tr w:rsidR="00C576EC" w14:paraId="43BCFBFF" w14:textId="77777777" w:rsidTr="00C576EC">
        <w:tc>
          <w:tcPr>
            <w:tcW w:w="1311" w:type="dxa"/>
          </w:tcPr>
          <w:p w14:paraId="20B420D3" w14:textId="58CDD2D9" w:rsidR="00C576EC" w:rsidRDefault="00C576EC" w:rsidP="00C576EC">
            <w:pPr>
              <w:rPr>
                <w:rFonts w:cs="Arial"/>
              </w:rPr>
            </w:pPr>
            <w:r>
              <w:t>2 до</w:t>
            </w:r>
          </w:p>
        </w:tc>
        <w:tc>
          <w:tcPr>
            <w:tcW w:w="1282" w:type="dxa"/>
          </w:tcPr>
          <w:p w14:paraId="395C00F7" w14:textId="6B1EAF0A" w:rsidR="00C576EC" w:rsidRDefault="00C576EC" w:rsidP="00C576EC">
            <w:pPr>
              <w:rPr>
                <w:rFonts w:cs="Arial"/>
              </w:rPr>
            </w:pPr>
            <w:r>
              <w:t xml:space="preserve">4 </w:t>
            </w:r>
            <w:r>
              <w:rPr>
                <w:lang w:val="en-US"/>
              </w:rPr>
              <w:t>ml</w:t>
            </w:r>
          </w:p>
        </w:tc>
        <w:tc>
          <w:tcPr>
            <w:tcW w:w="1292" w:type="dxa"/>
          </w:tcPr>
          <w:p w14:paraId="199DD40E" w14:textId="5BAE9AEA" w:rsidR="00C576EC" w:rsidRDefault="00C576EC" w:rsidP="00C576EC">
            <w:pPr>
              <w:rPr>
                <w:rFonts w:cs="Arial"/>
              </w:rPr>
            </w:pPr>
            <w:r>
              <w:t>100</w:t>
            </w:r>
          </w:p>
        </w:tc>
        <w:tc>
          <w:tcPr>
            <w:tcW w:w="723" w:type="dxa"/>
          </w:tcPr>
          <w:p w14:paraId="56DCEC22" w14:textId="5479F99E" w:rsidR="00C576EC" w:rsidRDefault="00C576EC" w:rsidP="00C576EC">
            <w:pPr>
              <w:rPr>
                <w:rFonts w:cs="Arial"/>
              </w:rPr>
            </w:pPr>
            <w:r>
              <w:t>до</w:t>
            </w:r>
          </w:p>
        </w:tc>
        <w:tc>
          <w:tcPr>
            <w:tcW w:w="1170" w:type="dxa"/>
          </w:tcPr>
          <w:p w14:paraId="745BC664" w14:textId="666A10D7" w:rsidR="00C576EC" w:rsidRDefault="00C576EC" w:rsidP="00C576EC">
            <w:pPr>
              <w:rPr>
                <w:rFonts w:cs="Arial"/>
              </w:rPr>
            </w:pPr>
            <w:r>
              <w:t xml:space="preserve">200 </w:t>
            </w:r>
            <w:r>
              <w:rPr>
                <w:lang w:val="en-US"/>
              </w:rPr>
              <w:t>mg</w:t>
            </w:r>
          </w:p>
        </w:tc>
        <w:tc>
          <w:tcPr>
            <w:tcW w:w="2236" w:type="dxa"/>
          </w:tcPr>
          <w:p w14:paraId="7FD6D5B2" w14:textId="48AB4B58" w:rsidR="00C576EC" w:rsidRDefault="00C576EC" w:rsidP="00C576EC">
            <w:pPr>
              <w:rPr>
                <w:rFonts w:cs="Arial"/>
              </w:rPr>
            </w:pPr>
            <w:r>
              <w:t xml:space="preserve">50 </w:t>
            </w:r>
            <w:r>
              <w:rPr>
                <w:lang w:val="en-US"/>
              </w:rPr>
              <w:t>ml</w:t>
            </w:r>
          </w:p>
        </w:tc>
        <w:tc>
          <w:tcPr>
            <w:tcW w:w="1562" w:type="dxa"/>
          </w:tcPr>
          <w:p w14:paraId="6FD1191A" w14:textId="6E763E51" w:rsidR="00C576EC" w:rsidRDefault="00C576EC" w:rsidP="00C576EC">
            <w:pPr>
              <w:rPr>
                <w:rFonts w:cs="Arial"/>
              </w:rPr>
            </w:pPr>
            <w:r>
              <w:t>Няма минимално предписано време</w:t>
            </w:r>
          </w:p>
        </w:tc>
      </w:tr>
      <w:tr w:rsidR="00C576EC" w14:paraId="3AAE4C1B" w14:textId="77777777" w:rsidTr="00C576EC">
        <w:tc>
          <w:tcPr>
            <w:tcW w:w="1311" w:type="dxa"/>
          </w:tcPr>
          <w:p w14:paraId="441C41B9" w14:textId="132DF52B" w:rsidR="00C576EC" w:rsidRDefault="00C576EC" w:rsidP="00C576EC">
            <w:pPr>
              <w:rPr>
                <w:rFonts w:cs="Arial"/>
              </w:rPr>
            </w:pPr>
            <w:r>
              <w:t>&gt;4 до</w:t>
            </w:r>
          </w:p>
        </w:tc>
        <w:tc>
          <w:tcPr>
            <w:tcW w:w="1282" w:type="dxa"/>
          </w:tcPr>
          <w:p w14:paraId="0B12391E" w14:textId="652320B3" w:rsidR="00C576EC" w:rsidRDefault="00C576EC" w:rsidP="00C576EC">
            <w:pPr>
              <w:rPr>
                <w:rFonts w:cs="Arial"/>
              </w:rPr>
            </w:pPr>
            <w:r>
              <w:t xml:space="preserve">10 </w:t>
            </w:r>
            <w:r>
              <w:rPr>
                <w:lang w:val="en-US"/>
              </w:rPr>
              <w:t>ml</w:t>
            </w:r>
          </w:p>
        </w:tc>
        <w:tc>
          <w:tcPr>
            <w:tcW w:w="1292" w:type="dxa"/>
          </w:tcPr>
          <w:p w14:paraId="5525DE62" w14:textId="0E14FE45" w:rsidR="00C576EC" w:rsidRDefault="00C576EC" w:rsidP="00C576EC">
            <w:pPr>
              <w:rPr>
                <w:rFonts w:cs="Arial"/>
              </w:rPr>
            </w:pPr>
            <w:r>
              <w:t>&gt;200</w:t>
            </w:r>
          </w:p>
        </w:tc>
        <w:tc>
          <w:tcPr>
            <w:tcW w:w="723" w:type="dxa"/>
          </w:tcPr>
          <w:p w14:paraId="28D12F11" w14:textId="566B61B3" w:rsidR="00C576EC" w:rsidRDefault="00C576EC" w:rsidP="00C576EC">
            <w:pPr>
              <w:rPr>
                <w:rFonts w:cs="Arial"/>
              </w:rPr>
            </w:pPr>
            <w:r>
              <w:t>до</w:t>
            </w:r>
          </w:p>
        </w:tc>
        <w:tc>
          <w:tcPr>
            <w:tcW w:w="1170" w:type="dxa"/>
          </w:tcPr>
          <w:p w14:paraId="7C07745E" w14:textId="708FF88D" w:rsidR="00C576EC" w:rsidRDefault="00C576EC" w:rsidP="00C576EC">
            <w:pPr>
              <w:rPr>
                <w:rFonts w:cs="Arial"/>
              </w:rPr>
            </w:pPr>
            <w:r>
              <w:t xml:space="preserve">500 </w:t>
            </w:r>
            <w:r>
              <w:rPr>
                <w:lang w:val="en-US"/>
              </w:rPr>
              <w:t>mg</w:t>
            </w:r>
          </w:p>
        </w:tc>
        <w:tc>
          <w:tcPr>
            <w:tcW w:w="2236" w:type="dxa"/>
          </w:tcPr>
          <w:p w14:paraId="45082825" w14:textId="494190FA" w:rsidR="00C576EC" w:rsidRDefault="00C576EC" w:rsidP="00C576EC">
            <w:pPr>
              <w:rPr>
                <w:rFonts w:cs="Arial"/>
              </w:rPr>
            </w:pPr>
            <w:r>
              <w:t xml:space="preserve">100 </w:t>
            </w:r>
            <w:r>
              <w:rPr>
                <w:lang w:val="en-US"/>
              </w:rPr>
              <w:t>ml</w:t>
            </w:r>
          </w:p>
        </w:tc>
        <w:tc>
          <w:tcPr>
            <w:tcW w:w="1562" w:type="dxa"/>
          </w:tcPr>
          <w:p w14:paraId="64F8DFCB" w14:textId="7363A1DB" w:rsidR="00C576EC" w:rsidRDefault="00C576EC" w:rsidP="00C576EC">
            <w:pPr>
              <w:rPr>
                <w:rFonts w:cs="Arial"/>
              </w:rPr>
            </w:pPr>
            <w:r>
              <w:t>6 минути</w:t>
            </w:r>
          </w:p>
        </w:tc>
      </w:tr>
      <w:tr w:rsidR="00C576EC" w14:paraId="42192B42" w14:textId="77777777" w:rsidTr="00C576EC">
        <w:tc>
          <w:tcPr>
            <w:tcW w:w="1311" w:type="dxa"/>
          </w:tcPr>
          <w:p w14:paraId="4BAA8E16" w14:textId="0FAA6812" w:rsidR="00C576EC" w:rsidRDefault="00C576EC" w:rsidP="00C576EC">
            <w:pPr>
              <w:rPr>
                <w:rFonts w:cs="Arial"/>
              </w:rPr>
            </w:pPr>
            <w:r>
              <w:t>&gt; 10 до</w:t>
            </w:r>
          </w:p>
        </w:tc>
        <w:tc>
          <w:tcPr>
            <w:tcW w:w="1282" w:type="dxa"/>
          </w:tcPr>
          <w:p w14:paraId="6919B982" w14:textId="17672361" w:rsidR="00C576EC" w:rsidRDefault="00C576EC" w:rsidP="00C576EC">
            <w:pPr>
              <w:rPr>
                <w:rFonts w:cs="Arial"/>
              </w:rPr>
            </w:pPr>
            <w:r>
              <w:t xml:space="preserve">20 </w:t>
            </w:r>
            <w:r>
              <w:rPr>
                <w:lang w:val="en-US"/>
              </w:rPr>
              <w:t>ml</w:t>
            </w:r>
          </w:p>
        </w:tc>
        <w:tc>
          <w:tcPr>
            <w:tcW w:w="1292" w:type="dxa"/>
          </w:tcPr>
          <w:p w14:paraId="1AEE9010" w14:textId="5E3F21F9" w:rsidR="00C576EC" w:rsidRDefault="00C576EC" w:rsidP="00C576EC">
            <w:pPr>
              <w:rPr>
                <w:rFonts w:cs="Arial"/>
              </w:rPr>
            </w:pPr>
            <w:r>
              <w:t>&gt;500</w:t>
            </w:r>
          </w:p>
        </w:tc>
        <w:tc>
          <w:tcPr>
            <w:tcW w:w="723" w:type="dxa"/>
          </w:tcPr>
          <w:p w14:paraId="4D197580" w14:textId="370724E6" w:rsidR="00C576EC" w:rsidRDefault="00C576EC" w:rsidP="00C576EC">
            <w:pPr>
              <w:rPr>
                <w:rFonts w:cs="Arial"/>
              </w:rPr>
            </w:pPr>
            <w:r>
              <w:t>до</w:t>
            </w:r>
          </w:p>
        </w:tc>
        <w:tc>
          <w:tcPr>
            <w:tcW w:w="1170" w:type="dxa"/>
          </w:tcPr>
          <w:p w14:paraId="64BD9879" w14:textId="281F646C" w:rsidR="00C576EC" w:rsidRDefault="00C576EC" w:rsidP="00C576EC">
            <w:pPr>
              <w:rPr>
                <w:rFonts w:cs="Arial"/>
              </w:rPr>
            </w:pPr>
            <w:r>
              <w:t xml:space="preserve">1 000 </w:t>
            </w:r>
            <w:r>
              <w:rPr>
                <w:lang w:val="en-US"/>
              </w:rPr>
              <w:t>mg</w:t>
            </w:r>
          </w:p>
        </w:tc>
        <w:tc>
          <w:tcPr>
            <w:tcW w:w="2236" w:type="dxa"/>
          </w:tcPr>
          <w:p w14:paraId="588F4627" w14:textId="504542FF" w:rsidR="00C576EC" w:rsidRDefault="00C576EC" w:rsidP="00C576EC">
            <w:pPr>
              <w:rPr>
                <w:rFonts w:cs="Arial"/>
              </w:rPr>
            </w:pPr>
            <w:r>
              <w:t xml:space="preserve">250 </w:t>
            </w:r>
            <w:r>
              <w:rPr>
                <w:lang w:val="en-US"/>
              </w:rPr>
              <w:t>ml</w:t>
            </w:r>
          </w:p>
        </w:tc>
        <w:tc>
          <w:tcPr>
            <w:tcW w:w="1562" w:type="dxa"/>
          </w:tcPr>
          <w:p w14:paraId="0B832B1A" w14:textId="0C2814F8" w:rsidR="00C576EC" w:rsidRDefault="00C576EC" w:rsidP="00C576EC">
            <w:pPr>
              <w:rPr>
                <w:rFonts w:cs="Arial"/>
              </w:rPr>
            </w:pPr>
            <w:r>
              <w:t>15 минути</w:t>
            </w:r>
          </w:p>
        </w:tc>
      </w:tr>
    </w:tbl>
    <w:p w14:paraId="7AFAF42C" w14:textId="77777777" w:rsidR="00C576EC" w:rsidRPr="00C576EC" w:rsidRDefault="00C576EC" w:rsidP="00C576EC">
      <w:pPr>
        <w:rPr>
          <w:rFonts w:cs="Arial"/>
        </w:rPr>
      </w:pPr>
    </w:p>
    <w:p w14:paraId="62B13D0B" w14:textId="389CE5D0" w:rsidR="00395555" w:rsidRDefault="002C50EE" w:rsidP="008A6AF2">
      <w:pPr>
        <w:pStyle w:val="Heading2"/>
      </w:pPr>
      <w:r>
        <w:t>4.3. Противопоказания</w:t>
      </w:r>
    </w:p>
    <w:p w14:paraId="7629319A" w14:textId="2560E75E" w:rsidR="00C576EC" w:rsidRDefault="00C576EC" w:rsidP="00C576EC"/>
    <w:p w14:paraId="14DCA4FF"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Употребата на Феринжект е противопоказана в случаи на:</w:t>
      </w:r>
    </w:p>
    <w:p w14:paraId="6FB29663" w14:textId="77777777" w:rsidR="00C576EC" w:rsidRPr="00C576EC" w:rsidRDefault="00C576EC" w:rsidP="00C576EC">
      <w:pPr>
        <w:pStyle w:val="ListParagraph"/>
        <w:numPr>
          <w:ilvl w:val="0"/>
          <w:numId w:val="37"/>
        </w:numPr>
        <w:spacing w:line="240" w:lineRule="auto"/>
        <w:rPr>
          <w:rFonts w:eastAsia="Times New Roman" w:cs="Arial"/>
          <w:color w:val="000000"/>
          <w:lang w:eastAsia="bg-BG"/>
        </w:rPr>
      </w:pPr>
      <w:r w:rsidRPr="00C576EC">
        <w:rPr>
          <w:rFonts w:eastAsia="Times New Roman" w:cs="Arial"/>
          <w:color w:val="000000"/>
          <w:lang w:eastAsia="bg-BG"/>
        </w:rPr>
        <w:t>свръхчувствителност към активното вещество, към Феринжект или към някое от помощните вещества, изброени в точка 6.1.</w:t>
      </w:r>
    </w:p>
    <w:p w14:paraId="3140464F" w14:textId="77777777" w:rsidR="00C576EC" w:rsidRPr="00C576EC" w:rsidRDefault="00C576EC" w:rsidP="00C576EC">
      <w:pPr>
        <w:pStyle w:val="ListParagraph"/>
        <w:numPr>
          <w:ilvl w:val="0"/>
          <w:numId w:val="37"/>
        </w:numPr>
        <w:spacing w:line="240" w:lineRule="auto"/>
        <w:rPr>
          <w:rFonts w:eastAsia="Times New Roman" w:cs="Arial"/>
          <w:color w:val="000000"/>
          <w:lang w:eastAsia="bg-BG"/>
        </w:rPr>
      </w:pPr>
      <w:r w:rsidRPr="00C576EC">
        <w:rPr>
          <w:rFonts w:eastAsia="Times New Roman" w:cs="Arial"/>
          <w:color w:val="000000"/>
          <w:lang w:eastAsia="bg-BG"/>
        </w:rPr>
        <w:t>известна сериозна свръхчувствителност към други продукти на желязото за паренторално приложение.</w:t>
      </w:r>
    </w:p>
    <w:p w14:paraId="1198D5E5" w14:textId="2252E019" w:rsidR="00C576EC" w:rsidRDefault="00C576EC" w:rsidP="00C576EC">
      <w:pPr>
        <w:pStyle w:val="ListParagraph"/>
        <w:numPr>
          <w:ilvl w:val="0"/>
          <w:numId w:val="37"/>
        </w:numPr>
        <w:spacing w:line="240" w:lineRule="auto"/>
        <w:rPr>
          <w:rFonts w:eastAsia="Times New Roman" w:cs="Arial"/>
          <w:color w:val="000000"/>
          <w:lang w:eastAsia="bg-BG"/>
        </w:rPr>
      </w:pPr>
      <w:r w:rsidRPr="00C576EC">
        <w:rPr>
          <w:rFonts w:eastAsia="Times New Roman" w:cs="Arial"/>
          <w:color w:val="000000"/>
          <w:lang w:eastAsia="bg-BG"/>
        </w:rPr>
        <w:t>анемия, която не се дължи на железен дефицит, напр. друга микроцитна анемия</w:t>
      </w:r>
      <w:r>
        <w:rPr>
          <w:rFonts w:eastAsia="Times New Roman" w:cs="Arial"/>
          <w:color w:val="000000"/>
          <w:lang w:eastAsia="bg-BG"/>
        </w:rPr>
        <w:t xml:space="preserve"> </w:t>
      </w:r>
      <w:r w:rsidRPr="00C576EC">
        <w:rPr>
          <w:rFonts w:eastAsia="Times New Roman" w:cs="Arial"/>
          <w:color w:val="000000"/>
          <w:lang w:eastAsia="bg-BG"/>
        </w:rPr>
        <w:t>данни за претоварване с желязо или нарушения на усвояването на желязото</w:t>
      </w:r>
    </w:p>
    <w:p w14:paraId="606BE1B1" w14:textId="2819676A" w:rsidR="00C576EC" w:rsidRDefault="00C576EC" w:rsidP="00C576EC">
      <w:pPr>
        <w:spacing w:line="240" w:lineRule="auto"/>
        <w:rPr>
          <w:rFonts w:eastAsia="Times New Roman" w:cs="Arial"/>
          <w:color w:val="000000"/>
          <w:lang w:eastAsia="bg-BG"/>
        </w:rPr>
      </w:pPr>
    </w:p>
    <w:p w14:paraId="71A1069A" w14:textId="77777777" w:rsidR="00C576EC" w:rsidRPr="00C576EC" w:rsidRDefault="00C576EC" w:rsidP="00C576EC">
      <w:pPr>
        <w:spacing w:line="240" w:lineRule="auto"/>
        <w:rPr>
          <w:rFonts w:eastAsia="Times New Roman" w:cs="Arial"/>
          <w:color w:val="000000"/>
          <w:lang w:eastAsia="bg-BG"/>
        </w:rPr>
      </w:pPr>
    </w:p>
    <w:p w14:paraId="5A4AC413" w14:textId="49872B85" w:rsidR="00395555" w:rsidRDefault="002C50EE" w:rsidP="008A6AF2">
      <w:pPr>
        <w:pStyle w:val="Heading2"/>
      </w:pPr>
      <w:r>
        <w:t>4.4. Специални предупреждения и предпазни мерки при употреба</w:t>
      </w:r>
    </w:p>
    <w:p w14:paraId="619D649B" w14:textId="6E297F99" w:rsidR="00C576EC" w:rsidRDefault="00C576EC" w:rsidP="00C576EC"/>
    <w:p w14:paraId="65909D1E" w14:textId="77777777"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Реакции на свръхчувствителност</w:t>
      </w:r>
    </w:p>
    <w:p w14:paraId="77E86D93"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Прилаганите парентерално железни препарати могат да причинят реакции на свръхчувствителност, включително сериозни и потенциално фатални анафилактични/анафилактоидни реакции. Реакции на свръхчувствителност са съобщавани и след парентерално прилагани комплекси на желязото в дози, които преди това не са предизвиквали събития. Съобщавани са случаи на свръхчувствителност, които прогресират до синдрома на </w:t>
      </w:r>
      <w:proofErr w:type="spellStart"/>
      <w:r w:rsidRPr="00C576EC">
        <w:rPr>
          <w:rFonts w:eastAsia="Times New Roman" w:cs="Arial"/>
          <w:color w:val="000000"/>
          <w:lang w:val="en-US"/>
        </w:rPr>
        <w:t>Kounis</w:t>
      </w:r>
      <w:proofErr w:type="spellEnd"/>
      <w:r w:rsidRPr="00C576EC">
        <w:rPr>
          <w:rFonts w:eastAsia="Times New Roman" w:cs="Arial"/>
          <w:color w:val="000000"/>
          <w:lang w:val="ru-RU"/>
        </w:rPr>
        <w:t xml:space="preserve"> </w:t>
      </w:r>
      <w:r w:rsidRPr="00C576EC">
        <w:rPr>
          <w:rFonts w:eastAsia="Times New Roman" w:cs="Arial"/>
          <w:color w:val="000000"/>
          <w:lang w:eastAsia="bg-BG"/>
        </w:rPr>
        <w:t>(остър алергичен спазъм на коронарните артерии, който може да доведе до миокарден инфаркт, вж. точка 4.8).</w:t>
      </w:r>
    </w:p>
    <w:p w14:paraId="3494AF99" w14:textId="77777777" w:rsidR="00C576EC" w:rsidRPr="00C576EC" w:rsidRDefault="00C576EC" w:rsidP="00C576EC">
      <w:pPr>
        <w:spacing w:line="240" w:lineRule="auto"/>
        <w:rPr>
          <w:rFonts w:eastAsia="Times New Roman" w:cs="Arial"/>
          <w:color w:val="000000"/>
          <w:lang w:eastAsia="bg-BG"/>
        </w:rPr>
      </w:pPr>
    </w:p>
    <w:p w14:paraId="2AC08CE6" w14:textId="6CA5ED7C"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Рискът е повишен при пациенти с известни алергии, в това число лекарствени алергии, включително пациенти с анамнеза за тежка астма, екзема или друга атопична алергия. Има и повишен риск от реакции на свръхчувствителност към парентерални комплекси на желязото при пациенти с имунни или възпалителни заболявания (напр. системен лупус еритематозус, ревматоиден артрит).</w:t>
      </w:r>
    </w:p>
    <w:p w14:paraId="462AA26C" w14:textId="77777777" w:rsidR="00C576EC" w:rsidRPr="00C576EC" w:rsidRDefault="00C576EC" w:rsidP="00C576EC">
      <w:pPr>
        <w:spacing w:line="240" w:lineRule="auto"/>
        <w:rPr>
          <w:rFonts w:eastAsia="Times New Roman" w:cs="Arial"/>
          <w:color w:val="000000"/>
          <w:lang w:eastAsia="bg-BG"/>
        </w:rPr>
      </w:pPr>
    </w:p>
    <w:p w14:paraId="37EA2DFE" w14:textId="243FFF1C"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Феринжект трябва да се прилага само при непосредствено наличие на персонал, обучен да оценява и овладява анафилактични реакции, и пълни възможности за осигуряване на реанимация. Всеки пациент трябва да се наблюдава за нежелани реакции най-малко 30 минути след всяко приложение на Феринжект. При възникване на реакции на свръхчувствителност или признаци на непоносимост по време на прилагането, лечението трябва да се преустанови незабавно. Необходимо е наличието на условия за сърдечно-белодробна реанимация и средства за овладяване на остри </w:t>
      </w:r>
      <w:r w:rsidRPr="00C576EC">
        <w:rPr>
          <w:rFonts w:eastAsia="Times New Roman" w:cs="Arial"/>
          <w:color w:val="000000"/>
          <w:lang w:eastAsia="bg-BG"/>
        </w:rPr>
        <w:lastRenderedPageBreak/>
        <w:t>анафилактични/анафилактоидни реакции, включително инжекционен разтвор на адреналин 1:1000. Допълнително лечение с антихистамини и/или кортикостероиди трябва да се прилага по целесъобразност.</w:t>
      </w:r>
    </w:p>
    <w:p w14:paraId="7B19B4F4" w14:textId="77777777" w:rsidR="00C576EC" w:rsidRPr="00C576EC" w:rsidRDefault="00C576EC" w:rsidP="00C576EC">
      <w:pPr>
        <w:spacing w:line="240" w:lineRule="auto"/>
        <w:rPr>
          <w:rFonts w:eastAsia="Times New Roman" w:cs="Arial"/>
          <w:i/>
          <w:iCs/>
          <w:color w:val="000000"/>
          <w:lang w:eastAsia="bg-BG"/>
        </w:rPr>
      </w:pPr>
    </w:p>
    <w:p w14:paraId="2DF34C54" w14:textId="1F221F5B"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Хипофосфатемична остеомалация</w:t>
      </w:r>
    </w:p>
    <w:p w14:paraId="69C4114C"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За симптоматична хипофосфатемия, водеща до остеомалация и фрактури, за които се налага клинична интервенция, включително хирургична операция се съобщава при постмаркетинговата употреба. Пациентите трябва да бъдат съветвани да потърсят медицинска помощ, ако изпитат нарастваща умора с миалгии или болка в костите. Серумният фосфат трябва да се проследява при пациенти, които получават многократно приложение на по-високи дози или дългосрочно лечение, както и при такива със съществуващи рискови фактори за хипофосфатемия. В случай на персистираща хипофосфатемия лечението с желязна карбоксималтоза трябва да се преоцени.</w:t>
      </w:r>
    </w:p>
    <w:p w14:paraId="459E69CF" w14:textId="77777777" w:rsidR="00C576EC" w:rsidRPr="00C576EC" w:rsidRDefault="00C576EC" w:rsidP="00C576EC">
      <w:pPr>
        <w:spacing w:line="240" w:lineRule="auto"/>
        <w:rPr>
          <w:rFonts w:eastAsia="Times New Roman" w:cs="Arial"/>
          <w:i/>
          <w:iCs/>
          <w:color w:val="000000"/>
          <w:lang w:eastAsia="bg-BG"/>
        </w:rPr>
      </w:pPr>
    </w:p>
    <w:p w14:paraId="21D88832" w14:textId="764B663F"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Чернодробно или бъбречно увреждане</w:t>
      </w:r>
    </w:p>
    <w:p w14:paraId="0AEDBC1C"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При пациентите с нарушена чернодробна функция парентерално желязо трябва да се прилага само след внимателна оценка на съотношението риск/полза. Приложението на парентерално желязо трябва да се избягва при пациенти с нарушена чернодробна функция, когато претоварването с желязо е отключващият фактор, по-специално </w:t>
      </w:r>
      <w:r w:rsidRPr="00C576EC">
        <w:rPr>
          <w:rFonts w:eastAsia="Times New Roman" w:cs="Arial"/>
          <w:i/>
          <w:iCs/>
          <w:color w:val="000000"/>
          <w:lang w:val="en-US"/>
        </w:rPr>
        <w:t>Porphyria</w:t>
      </w:r>
      <w:r w:rsidRPr="00C576EC">
        <w:rPr>
          <w:rFonts w:eastAsia="Times New Roman" w:cs="Arial"/>
          <w:i/>
          <w:iCs/>
          <w:color w:val="000000"/>
          <w:lang w:val="ru-RU"/>
        </w:rPr>
        <w:t xml:space="preserve"> </w:t>
      </w:r>
      <w:proofErr w:type="spellStart"/>
      <w:r w:rsidRPr="00C576EC">
        <w:rPr>
          <w:rFonts w:eastAsia="Times New Roman" w:cs="Arial"/>
          <w:i/>
          <w:iCs/>
          <w:color w:val="000000"/>
          <w:lang w:val="en-US"/>
        </w:rPr>
        <w:t>Cutanea</w:t>
      </w:r>
      <w:proofErr w:type="spellEnd"/>
      <w:r w:rsidRPr="00C576EC">
        <w:rPr>
          <w:rFonts w:eastAsia="Times New Roman" w:cs="Arial"/>
          <w:i/>
          <w:iCs/>
          <w:color w:val="000000"/>
          <w:lang w:val="ru-RU"/>
        </w:rPr>
        <w:t xml:space="preserve"> </w:t>
      </w:r>
      <w:proofErr w:type="spellStart"/>
      <w:r w:rsidRPr="00C576EC">
        <w:rPr>
          <w:rFonts w:eastAsia="Times New Roman" w:cs="Arial"/>
          <w:i/>
          <w:iCs/>
          <w:color w:val="000000"/>
          <w:lang w:val="en-US"/>
        </w:rPr>
        <w:t>Tarda</w:t>
      </w:r>
      <w:proofErr w:type="spellEnd"/>
      <w:r w:rsidRPr="00C576EC">
        <w:rPr>
          <w:rFonts w:eastAsia="Times New Roman" w:cs="Arial"/>
          <w:i/>
          <w:iCs/>
          <w:color w:val="000000"/>
          <w:lang w:val="ru-RU"/>
        </w:rPr>
        <w:t xml:space="preserve"> (</w:t>
      </w:r>
      <w:r w:rsidRPr="00C576EC">
        <w:rPr>
          <w:rFonts w:eastAsia="Times New Roman" w:cs="Arial"/>
          <w:i/>
          <w:iCs/>
          <w:color w:val="000000"/>
          <w:lang w:val="en-US"/>
        </w:rPr>
        <w:t>PCT</w:t>
      </w:r>
      <w:r w:rsidRPr="00C576EC">
        <w:rPr>
          <w:rFonts w:eastAsia="Times New Roman" w:cs="Arial"/>
          <w:i/>
          <w:iCs/>
          <w:color w:val="000000"/>
          <w:lang w:val="ru-RU"/>
        </w:rPr>
        <w:t xml:space="preserve">). </w:t>
      </w:r>
      <w:r w:rsidRPr="00C576EC">
        <w:rPr>
          <w:rFonts w:eastAsia="Times New Roman" w:cs="Arial"/>
          <w:color w:val="000000"/>
          <w:lang w:eastAsia="bg-BG"/>
        </w:rPr>
        <w:t>Препоръчва се внимателно проследяване на железния статус, за да се избегне претоварване с желязо.</w:t>
      </w:r>
    </w:p>
    <w:p w14:paraId="7228B7DA" w14:textId="77777777" w:rsidR="00C576EC" w:rsidRPr="00C576EC" w:rsidRDefault="00C576EC" w:rsidP="00C576EC">
      <w:pPr>
        <w:spacing w:line="240" w:lineRule="auto"/>
        <w:rPr>
          <w:rFonts w:eastAsia="Times New Roman" w:cs="Arial"/>
          <w:color w:val="000000"/>
          <w:lang w:eastAsia="bg-BG"/>
        </w:rPr>
      </w:pPr>
    </w:p>
    <w:p w14:paraId="5D563EC2" w14:textId="694E0BD4"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Няма данни за безопасността при пациенти с хронично бъбречно заболяване, зависими от хемодиализа, които получават единични дози от над 200 </w:t>
      </w:r>
      <w:r w:rsidRPr="00C576EC">
        <w:rPr>
          <w:rFonts w:eastAsia="Times New Roman" w:cs="Arial"/>
          <w:color w:val="000000"/>
          <w:lang w:val="en-US"/>
        </w:rPr>
        <w:t>mg</w:t>
      </w:r>
      <w:r w:rsidRPr="00C576EC">
        <w:rPr>
          <w:rFonts w:eastAsia="Times New Roman" w:cs="Arial"/>
          <w:color w:val="000000"/>
          <w:lang w:val="ru-RU"/>
        </w:rPr>
        <w:t xml:space="preserve"> </w:t>
      </w:r>
      <w:r w:rsidRPr="00C576EC">
        <w:rPr>
          <w:rFonts w:eastAsia="Times New Roman" w:cs="Arial"/>
          <w:color w:val="000000"/>
          <w:lang w:eastAsia="bg-BG"/>
        </w:rPr>
        <w:t>желязо.</w:t>
      </w:r>
    </w:p>
    <w:p w14:paraId="755C7041" w14:textId="77777777" w:rsidR="00C576EC" w:rsidRPr="00C576EC" w:rsidRDefault="00C576EC" w:rsidP="00C576EC">
      <w:pPr>
        <w:spacing w:line="240" w:lineRule="auto"/>
        <w:rPr>
          <w:rFonts w:eastAsia="Times New Roman" w:cs="Arial"/>
          <w:i/>
          <w:iCs/>
          <w:color w:val="000000"/>
          <w:lang w:eastAsia="bg-BG"/>
        </w:rPr>
      </w:pPr>
    </w:p>
    <w:p w14:paraId="50B28858" w14:textId="215FDADF"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Инфекция</w:t>
      </w:r>
    </w:p>
    <w:p w14:paraId="491102FF" w14:textId="1307D22F" w:rsidR="00C576EC" w:rsidRDefault="00C576EC" w:rsidP="00C576EC">
      <w:pPr>
        <w:spacing w:line="240" w:lineRule="auto"/>
        <w:rPr>
          <w:rFonts w:eastAsia="Times New Roman" w:cs="Arial"/>
          <w:color w:val="000000"/>
          <w:lang w:eastAsia="bg-BG"/>
        </w:rPr>
      </w:pPr>
      <w:r w:rsidRPr="00C576EC">
        <w:rPr>
          <w:rFonts w:eastAsia="Times New Roman" w:cs="Arial"/>
          <w:color w:val="000000"/>
          <w:lang w:eastAsia="bg-BG"/>
        </w:rPr>
        <w:t>Парентералното желязо трябва да се използва с повишено внимание в случай на остра или хронична инфекция, астма, екзема или атопични алергии. Препоръчва се лечението с Феринжект да се спира при пациенти с текуща бактериемия. Затова при пациенти с хронични инфекции трябва да се извършва оценка на съотношението полза/риск, като се взема предвид</w:t>
      </w:r>
      <w:r>
        <w:rPr>
          <w:rFonts w:eastAsia="Times New Roman" w:cs="Arial"/>
          <w:sz w:val="24"/>
          <w:szCs w:val="24"/>
        </w:rPr>
        <w:t xml:space="preserve"> </w:t>
      </w:r>
      <w:r w:rsidRPr="00C576EC">
        <w:rPr>
          <w:rFonts w:eastAsia="Times New Roman" w:cs="Arial"/>
          <w:color w:val="000000"/>
          <w:lang w:eastAsia="bg-BG"/>
        </w:rPr>
        <w:t>потискането на еритропоезата.</w:t>
      </w:r>
    </w:p>
    <w:p w14:paraId="2E17216D" w14:textId="486A2FF5" w:rsidR="00C576EC" w:rsidRDefault="00C576EC" w:rsidP="00C576EC">
      <w:pPr>
        <w:spacing w:line="240" w:lineRule="auto"/>
        <w:rPr>
          <w:rFonts w:eastAsia="Times New Roman" w:cs="Arial"/>
          <w:color w:val="000000"/>
          <w:lang w:eastAsia="bg-BG"/>
        </w:rPr>
      </w:pPr>
    </w:p>
    <w:p w14:paraId="1688D1F5" w14:textId="77777777"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Екстравазация</w:t>
      </w:r>
    </w:p>
    <w:p w14:paraId="19EB6DF6"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Трябва да се подхожда предпазливо, за да се избегне паравенозно изтичане при приложението на Феринжект. Паравенозното изтичане на Феринжект на мястото на приложение може да доведе до дразнене на кожата и потенциално продължително оцветяване в кафяво на мястото на приложение. В случай на паравенозно изтичане приложението на Феринжект трябва да се спре незабавно.</w:t>
      </w:r>
    </w:p>
    <w:p w14:paraId="5F2988ED" w14:textId="77777777" w:rsidR="00C576EC" w:rsidRPr="00C576EC" w:rsidRDefault="00C576EC" w:rsidP="00C576EC">
      <w:pPr>
        <w:spacing w:line="240" w:lineRule="auto"/>
        <w:rPr>
          <w:rFonts w:eastAsia="Times New Roman" w:cs="Arial"/>
          <w:i/>
          <w:iCs/>
          <w:color w:val="000000"/>
          <w:lang w:eastAsia="bg-BG"/>
        </w:rPr>
      </w:pPr>
    </w:p>
    <w:p w14:paraId="77E6348E" w14:textId="07BFABAC"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Помощни вещества</w:t>
      </w:r>
    </w:p>
    <w:p w14:paraId="557B22A5"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Един </w:t>
      </w:r>
      <w:r w:rsidRPr="00C576EC">
        <w:rPr>
          <w:rFonts w:eastAsia="Times New Roman" w:cs="Arial"/>
          <w:color w:val="000000"/>
          <w:lang w:val="en-US"/>
        </w:rPr>
        <w:t>ml</w:t>
      </w:r>
      <w:r w:rsidRPr="00C576EC">
        <w:rPr>
          <w:rFonts w:eastAsia="Times New Roman" w:cs="Arial"/>
          <w:color w:val="000000"/>
          <w:lang w:val="ru-RU"/>
        </w:rPr>
        <w:t xml:space="preserve"> </w:t>
      </w:r>
      <w:r w:rsidRPr="00C576EC">
        <w:rPr>
          <w:rFonts w:eastAsia="Times New Roman" w:cs="Arial"/>
          <w:color w:val="000000"/>
          <w:lang w:eastAsia="bg-BG"/>
        </w:rPr>
        <w:t xml:space="preserve">от неразредения Феринжект съдържа до 5,5 </w:t>
      </w:r>
      <w:r w:rsidRPr="00C576EC">
        <w:rPr>
          <w:rFonts w:eastAsia="Times New Roman" w:cs="Arial"/>
          <w:color w:val="000000"/>
          <w:lang w:val="en-US"/>
        </w:rPr>
        <w:t>mg</w:t>
      </w:r>
      <w:r w:rsidRPr="00C576EC">
        <w:rPr>
          <w:rFonts w:eastAsia="Times New Roman" w:cs="Arial"/>
          <w:color w:val="000000"/>
          <w:lang w:val="ru-RU"/>
        </w:rPr>
        <w:t xml:space="preserve"> </w:t>
      </w:r>
      <w:r w:rsidRPr="00C576EC">
        <w:rPr>
          <w:rFonts w:eastAsia="Times New Roman" w:cs="Arial"/>
          <w:color w:val="000000"/>
          <w:lang w:eastAsia="bg-BG"/>
        </w:rPr>
        <w:t xml:space="preserve">(0,24 </w:t>
      </w:r>
      <w:proofErr w:type="spellStart"/>
      <w:r w:rsidRPr="00C576EC">
        <w:rPr>
          <w:rFonts w:eastAsia="Times New Roman" w:cs="Arial"/>
          <w:color w:val="000000"/>
          <w:lang w:val="en-US"/>
        </w:rPr>
        <w:t>mmol</w:t>
      </w:r>
      <w:proofErr w:type="spellEnd"/>
      <w:r w:rsidRPr="00C576EC">
        <w:rPr>
          <w:rFonts w:eastAsia="Times New Roman" w:cs="Arial"/>
          <w:color w:val="000000"/>
          <w:lang w:val="ru-RU"/>
        </w:rPr>
        <w:t xml:space="preserve">) </w:t>
      </w:r>
      <w:r w:rsidRPr="00C576EC">
        <w:rPr>
          <w:rFonts w:eastAsia="Times New Roman" w:cs="Arial"/>
          <w:color w:val="000000"/>
          <w:lang w:eastAsia="bg-BG"/>
        </w:rPr>
        <w:t>натрий. Това трябва да се има предвид при пациенти с диета с контролирано съдържание на натрий.</w:t>
      </w:r>
    </w:p>
    <w:p w14:paraId="216701E0" w14:textId="77777777" w:rsidR="00C576EC" w:rsidRPr="00C576EC" w:rsidRDefault="00C576EC" w:rsidP="00C576EC">
      <w:pPr>
        <w:spacing w:line="240" w:lineRule="auto"/>
        <w:rPr>
          <w:rFonts w:eastAsia="Times New Roman" w:cs="Arial"/>
          <w:i/>
          <w:iCs/>
          <w:color w:val="000000"/>
          <w:lang w:eastAsia="bg-BG"/>
        </w:rPr>
      </w:pPr>
    </w:p>
    <w:p w14:paraId="6FED05E8" w14:textId="273117B3" w:rsidR="00C576EC" w:rsidRPr="00C576EC" w:rsidRDefault="00C576EC" w:rsidP="00C576EC">
      <w:pPr>
        <w:spacing w:line="240" w:lineRule="auto"/>
        <w:rPr>
          <w:rFonts w:eastAsia="Times New Roman" w:cs="Arial"/>
          <w:sz w:val="24"/>
          <w:szCs w:val="24"/>
        </w:rPr>
      </w:pPr>
      <w:r w:rsidRPr="00C576EC">
        <w:rPr>
          <w:rFonts w:eastAsia="Times New Roman" w:cs="Arial"/>
          <w:i/>
          <w:iCs/>
          <w:color w:val="000000"/>
          <w:lang w:eastAsia="bg-BG"/>
        </w:rPr>
        <w:t>Педиатрична популация</w:t>
      </w:r>
    </w:p>
    <w:p w14:paraId="63125389" w14:textId="77767B46"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Приложението на Феринжект не е изследвано при деца.</w:t>
      </w:r>
    </w:p>
    <w:p w14:paraId="1244F76A" w14:textId="17642990" w:rsidR="00395555" w:rsidRDefault="002C50EE" w:rsidP="008A6AF2">
      <w:pPr>
        <w:pStyle w:val="Heading2"/>
      </w:pPr>
      <w:r>
        <w:t>4.5. Взаимодействие с други лекарствени продукти и други форми на взаимодействие</w:t>
      </w:r>
    </w:p>
    <w:p w14:paraId="789B39F9" w14:textId="760BFC4A" w:rsidR="00C576EC" w:rsidRDefault="00C576EC" w:rsidP="00C576EC"/>
    <w:p w14:paraId="44DAA662" w14:textId="79169257" w:rsidR="00C576EC" w:rsidRDefault="00C576EC" w:rsidP="00C576EC">
      <w:pPr>
        <w:rPr>
          <w:sz w:val="24"/>
          <w:szCs w:val="24"/>
        </w:rPr>
      </w:pPr>
      <w:r w:rsidRPr="00C576EC">
        <w:rPr>
          <w:lang w:eastAsia="bg-BG"/>
        </w:rPr>
        <w:t xml:space="preserve">Абсорбцията на пероралното желязо е понижена, когато се прилага едновременно с парентерални железни препарати. Следователно, ако е необходимо, терапията с </w:t>
      </w:r>
      <w:r w:rsidRPr="00C576EC">
        <w:rPr>
          <w:lang w:eastAsia="bg-BG"/>
        </w:rPr>
        <w:lastRenderedPageBreak/>
        <w:t>перорално желязо не трябва да се започва в продължение на най-малко 5 дни след последното приложение на Феринжект.</w:t>
      </w:r>
    </w:p>
    <w:p w14:paraId="71F91275" w14:textId="77777777" w:rsidR="00C576EC" w:rsidRPr="00C576EC" w:rsidRDefault="00C576EC" w:rsidP="00C576EC">
      <w:pPr>
        <w:spacing w:line="240" w:lineRule="auto"/>
        <w:rPr>
          <w:rFonts w:ascii="Times New Roman" w:eastAsia="Times New Roman" w:hAnsi="Times New Roman" w:cs="Times New Roman"/>
          <w:sz w:val="24"/>
          <w:szCs w:val="24"/>
        </w:rPr>
      </w:pPr>
    </w:p>
    <w:p w14:paraId="6EADE4D6" w14:textId="7B460045" w:rsidR="00395555" w:rsidRDefault="002C50EE" w:rsidP="008A6AF2">
      <w:pPr>
        <w:pStyle w:val="Heading2"/>
      </w:pPr>
      <w:r>
        <w:t>4.6. Фертилитет, бременност и кърмене</w:t>
      </w:r>
    </w:p>
    <w:p w14:paraId="47855B51" w14:textId="620CFCD4" w:rsidR="00C576EC" w:rsidRDefault="00C576EC" w:rsidP="00C576EC"/>
    <w:p w14:paraId="3DFC5A8A" w14:textId="77777777" w:rsidR="00C576EC" w:rsidRPr="00C576EC" w:rsidRDefault="00C576EC" w:rsidP="00C576EC">
      <w:pPr>
        <w:pStyle w:val="Heading3"/>
        <w:rPr>
          <w:rFonts w:eastAsia="Times New Roman"/>
          <w:u w:val="single"/>
        </w:rPr>
      </w:pPr>
      <w:r w:rsidRPr="00C576EC">
        <w:rPr>
          <w:rFonts w:eastAsia="Times New Roman"/>
          <w:u w:val="single"/>
          <w:lang w:eastAsia="bg-BG"/>
        </w:rPr>
        <w:t>Бременност</w:t>
      </w:r>
    </w:p>
    <w:p w14:paraId="152A3EFF"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Налице са ограничени данни от употребата на Феринжект при бременни жени (вижте точка 5.1). Поради това е необходима внимателна оценка на съотношението риск/полза преди употреба по време на бременност, като Феринжект трябва да се използва по време на бременност само при категорична необходимост (вж. точка 4.4).</w:t>
      </w:r>
    </w:p>
    <w:p w14:paraId="0773B142" w14:textId="77777777" w:rsidR="00C576EC" w:rsidRPr="00C576EC" w:rsidRDefault="00C576EC" w:rsidP="00C576EC">
      <w:pPr>
        <w:spacing w:line="240" w:lineRule="auto"/>
        <w:rPr>
          <w:rFonts w:eastAsia="Times New Roman" w:cs="Arial"/>
          <w:color w:val="000000"/>
          <w:lang w:eastAsia="bg-BG"/>
        </w:rPr>
      </w:pPr>
    </w:p>
    <w:p w14:paraId="10BF6E78" w14:textId="6F6B6E4F"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Желязодефицитна анемия през първия триместър от бременността може в много случаи да се лекува с перорално желязо. Лечението с Феринжект трябва да се ограничи до втория и третия триместър, ако се прецени, че ползата от превишава потенциалния риск както за майката, така и за фетуса.</w:t>
      </w:r>
    </w:p>
    <w:p w14:paraId="6770DA16" w14:textId="77777777" w:rsidR="00C576EC" w:rsidRPr="00C576EC" w:rsidRDefault="00C576EC" w:rsidP="00C576EC">
      <w:pPr>
        <w:spacing w:line="240" w:lineRule="auto"/>
        <w:rPr>
          <w:rFonts w:eastAsia="Times New Roman" w:cs="Arial"/>
          <w:color w:val="000000"/>
          <w:lang w:eastAsia="bg-BG"/>
        </w:rPr>
      </w:pPr>
    </w:p>
    <w:p w14:paraId="1AFD9D0E" w14:textId="3E3A8E46"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След приложение на парентерални желязосъдържащи лекарствени продукти може да възникне фетална брадикардия. Тя обикновено е преходна и е последица от реакция на свръхчувствителност при майката. Плодът трябва да се проследява внимателно по време на интравенозно приложение на парентерални желязосъдържащи лекарствени продукти при бременни жени.</w:t>
      </w:r>
    </w:p>
    <w:p w14:paraId="00FB2802" w14:textId="77777777" w:rsidR="00C576EC" w:rsidRPr="00C576EC" w:rsidRDefault="00C576EC" w:rsidP="00C576EC">
      <w:pPr>
        <w:spacing w:line="240" w:lineRule="auto"/>
        <w:rPr>
          <w:rFonts w:eastAsia="Times New Roman" w:cs="Arial"/>
          <w:color w:val="000000"/>
          <w:lang w:eastAsia="bg-BG"/>
        </w:rPr>
      </w:pPr>
    </w:p>
    <w:p w14:paraId="0E7EE30D" w14:textId="3095E190"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Проучванията при животни показват, че желязото, освободено от Феринжект, може да преминава плацентарната бариера, и че употребата му по време на бременност може да повлияе развитието на скелета на фетуса (вж. точка 5.3).</w:t>
      </w:r>
    </w:p>
    <w:p w14:paraId="60622798" w14:textId="77777777" w:rsidR="00C576EC" w:rsidRPr="00C576EC" w:rsidRDefault="00C576EC" w:rsidP="00C576EC">
      <w:pPr>
        <w:spacing w:line="240" w:lineRule="auto"/>
        <w:rPr>
          <w:rFonts w:eastAsia="Times New Roman" w:cs="Arial"/>
          <w:color w:val="000000"/>
          <w:u w:val="single"/>
          <w:lang w:eastAsia="bg-BG"/>
        </w:rPr>
      </w:pPr>
    </w:p>
    <w:p w14:paraId="34D92FB5" w14:textId="4D44B860" w:rsidR="00C576EC" w:rsidRPr="00C576EC" w:rsidRDefault="00C576EC" w:rsidP="00C576EC">
      <w:pPr>
        <w:pStyle w:val="Heading3"/>
        <w:rPr>
          <w:rFonts w:eastAsia="Times New Roman"/>
          <w:u w:val="single"/>
        </w:rPr>
      </w:pPr>
      <w:r w:rsidRPr="00C576EC">
        <w:rPr>
          <w:rFonts w:eastAsia="Times New Roman"/>
          <w:u w:val="single"/>
          <w:lang w:eastAsia="bg-BG"/>
        </w:rPr>
        <w:t>Кърмене</w:t>
      </w:r>
    </w:p>
    <w:p w14:paraId="0B07FF42"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Клиничните проучвания показват, че преминаването на желязото от Феринжект в човешката кърма е пренебрежимо (&lt;1%). Въз основа на ограничените данни за кърмещи жени е малко вероятно Феринжект да представлява риск за кърмачето.</w:t>
      </w:r>
    </w:p>
    <w:p w14:paraId="6221FF1C" w14:textId="77777777" w:rsidR="00C576EC" w:rsidRPr="00C576EC" w:rsidRDefault="00C576EC" w:rsidP="00C576EC">
      <w:pPr>
        <w:spacing w:line="240" w:lineRule="auto"/>
        <w:rPr>
          <w:rFonts w:eastAsia="Times New Roman" w:cs="Arial"/>
          <w:color w:val="000000"/>
          <w:u w:val="single"/>
          <w:lang w:eastAsia="bg-BG"/>
        </w:rPr>
      </w:pPr>
    </w:p>
    <w:p w14:paraId="4CD84BE9" w14:textId="0D64767B" w:rsidR="00C576EC" w:rsidRPr="00C576EC" w:rsidRDefault="00C576EC" w:rsidP="00C576EC">
      <w:pPr>
        <w:pStyle w:val="Heading3"/>
        <w:rPr>
          <w:rFonts w:eastAsia="Times New Roman"/>
          <w:u w:val="single"/>
        </w:rPr>
      </w:pPr>
      <w:r w:rsidRPr="00C576EC">
        <w:rPr>
          <w:rFonts w:eastAsia="Times New Roman"/>
          <w:u w:val="single"/>
          <w:lang w:eastAsia="bg-BG"/>
        </w:rPr>
        <w:t>Фертилитет</w:t>
      </w:r>
    </w:p>
    <w:p w14:paraId="20E507AF"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Липсват данни за ефекта на Феринжект върху фертилитета при хора. При проучвания с животни фертилитетьт не е бил повлиян след лечение с Феринжект (вж. точка 5.3)</w:t>
      </w:r>
    </w:p>
    <w:p w14:paraId="274C3905" w14:textId="77777777" w:rsidR="00C576EC" w:rsidRPr="00C576EC" w:rsidRDefault="00C576EC" w:rsidP="00C576EC"/>
    <w:p w14:paraId="5766770B" w14:textId="770113A5" w:rsidR="00395555" w:rsidRDefault="002C50EE" w:rsidP="008A6AF2">
      <w:pPr>
        <w:pStyle w:val="Heading2"/>
      </w:pPr>
      <w:r>
        <w:t>4.7. Ефекти върху способността за шофиране и работа с машини</w:t>
      </w:r>
    </w:p>
    <w:p w14:paraId="7F5B97D9" w14:textId="77DD6A39" w:rsidR="00C576EC" w:rsidRDefault="00C576EC" w:rsidP="00C576EC"/>
    <w:p w14:paraId="0440F96F" w14:textId="4977683F" w:rsidR="00C576EC" w:rsidRDefault="00C576EC" w:rsidP="00C576EC">
      <w:r>
        <w:t>Малко вероятно е Феринжект да повлиява способността за шофиране или работа с машини.</w:t>
      </w:r>
    </w:p>
    <w:p w14:paraId="04E72397" w14:textId="77777777" w:rsidR="00C576EC" w:rsidRPr="00C576EC" w:rsidRDefault="00C576EC" w:rsidP="00C576EC"/>
    <w:p w14:paraId="4FE16E21" w14:textId="1940D7D1" w:rsidR="00395555" w:rsidRDefault="002C50EE" w:rsidP="008A6AF2">
      <w:pPr>
        <w:pStyle w:val="Heading2"/>
      </w:pPr>
      <w:r>
        <w:t>4.8. Нежелани лекарствени реакции</w:t>
      </w:r>
    </w:p>
    <w:p w14:paraId="67A42160" w14:textId="1EA13F69" w:rsidR="00C576EC" w:rsidRDefault="00C576EC" w:rsidP="00C576EC"/>
    <w:p w14:paraId="0D465503" w14:textId="77777777"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t xml:space="preserve">На Таблица </w:t>
      </w:r>
      <w:r w:rsidRPr="00C576EC">
        <w:rPr>
          <w:rFonts w:eastAsia="Times New Roman" w:cs="Arial"/>
          <w:color w:val="000000"/>
          <w:lang w:val="ru-RU"/>
        </w:rPr>
        <w:t xml:space="preserve">4 </w:t>
      </w:r>
      <w:r w:rsidRPr="00C576EC">
        <w:rPr>
          <w:rFonts w:eastAsia="Times New Roman" w:cs="Arial"/>
          <w:color w:val="000000"/>
          <w:lang w:eastAsia="bg-BG"/>
        </w:rPr>
        <w:t>са представени нежеланите лекарствени реакции (НЛР), съобщавани по време на клинични проучвания, в които Феринжект е приложен на &gt; 8000 участници, както и тези от постмаркетинговия опит (за подробности вижте забележките под линия на таблицата).</w:t>
      </w:r>
    </w:p>
    <w:p w14:paraId="39B53E27" w14:textId="77777777" w:rsidR="00C576EC" w:rsidRPr="00C576EC" w:rsidRDefault="00C576EC" w:rsidP="00C576EC">
      <w:pPr>
        <w:spacing w:line="240" w:lineRule="auto"/>
        <w:rPr>
          <w:rFonts w:eastAsia="Times New Roman" w:cs="Arial"/>
          <w:color w:val="000000"/>
          <w:lang w:eastAsia="bg-BG"/>
        </w:rPr>
      </w:pPr>
    </w:p>
    <w:p w14:paraId="5E37F954" w14:textId="52C70FC8" w:rsidR="00C576EC" w:rsidRPr="00C576EC" w:rsidRDefault="00C576EC" w:rsidP="00C576EC">
      <w:pPr>
        <w:spacing w:line="240" w:lineRule="auto"/>
        <w:rPr>
          <w:rFonts w:eastAsia="Times New Roman" w:cs="Arial"/>
          <w:sz w:val="24"/>
          <w:szCs w:val="24"/>
        </w:rPr>
      </w:pPr>
      <w:r w:rsidRPr="00C576EC">
        <w:rPr>
          <w:rFonts w:eastAsia="Times New Roman" w:cs="Arial"/>
          <w:color w:val="000000"/>
          <w:lang w:eastAsia="bg-BG"/>
        </w:rPr>
        <w:lastRenderedPageBreak/>
        <w:t>Най-често съобщаваната нежелана лекарствена реакция е гадене (възникващо при 2,9% от участниците), следвана от реакции на мястото на инжектиране/инфузията, хипофосфатемия, главоболие, изчервяване, замаяност и повишено кръвно налягане. Реакциите на мястото на инжектиране/инфузията, се състоят от няколко НЛР, които поотделно са нечести или редки. Най-сериозните НЛР са анафилактоидните/анафилактичните реакции (редки); съобщавани са смъртни случаи. Вижте точка 4.4 за повече подробности.</w:t>
      </w:r>
    </w:p>
    <w:p w14:paraId="1743574E" w14:textId="77777777" w:rsidR="00C576EC" w:rsidRPr="00C576EC" w:rsidRDefault="00C576EC" w:rsidP="00C576EC">
      <w:pPr>
        <w:spacing w:line="240" w:lineRule="auto"/>
        <w:rPr>
          <w:rFonts w:eastAsia="Times New Roman" w:cs="Arial"/>
          <w:b/>
          <w:bCs/>
          <w:color w:val="000000"/>
          <w:lang w:eastAsia="bg-BG"/>
        </w:rPr>
      </w:pPr>
    </w:p>
    <w:p w14:paraId="246506EA" w14:textId="67649699" w:rsidR="00C576EC" w:rsidRDefault="00C576EC" w:rsidP="00C576EC">
      <w:pPr>
        <w:spacing w:line="240" w:lineRule="auto"/>
        <w:rPr>
          <w:rFonts w:eastAsia="Times New Roman" w:cs="Arial"/>
          <w:b/>
          <w:bCs/>
          <w:color w:val="000000"/>
          <w:lang w:eastAsia="bg-BG"/>
        </w:rPr>
      </w:pPr>
      <w:r w:rsidRPr="00C576EC">
        <w:rPr>
          <w:rFonts w:eastAsia="Times New Roman" w:cs="Arial"/>
          <w:b/>
          <w:bCs/>
          <w:color w:val="000000"/>
          <w:lang w:eastAsia="bg-BG"/>
        </w:rPr>
        <w:t>Таблица 4: Нежелани лекарствени реакции, наблюдавани по време на клинични проучвания и постмаркетинговия опит</w:t>
      </w:r>
    </w:p>
    <w:tbl>
      <w:tblPr>
        <w:tblStyle w:val="TableGrid"/>
        <w:tblW w:w="0" w:type="auto"/>
        <w:tblLook w:val="04A0" w:firstRow="1" w:lastRow="0" w:firstColumn="1" w:lastColumn="0" w:noHBand="0" w:noVBand="1"/>
      </w:tblPr>
      <w:tblGrid>
        <w:gridCol w:w="1690"/>
        <w:gridCol w:w="2387"/>
        <w:gridCol w:w="1647"/>
        <w:gridCol w:w="1706"/>
        <w:gridCol w:w="1920"/>
      </w:tblGrid>
      <w:tr w:rsidR="00C576EC" w14:paraId="05E0D01D" w14:textId="77777777" w:rsidTr="00D216FF">
        <w:tc>
          <w:tcPr>
            <w:tcW w:w="1907" w:type="dxa"/>
          </w:tcPr>
          <w:p w14:paraId="706C2860" w14:textId="58A93E36" w:rsidR="00C576EC" w:rsidRDefault="00C576EC" w:rsidP="00C576EC">
            <w:pPr>
              <w:spacing w:line="240" w:lineRule="auto"/>
              <w:rPr>
                <w:rFonts w:eastAsia="Times New Roman" w:cs="Arial"/>
                <w:sz w:val="24"/>
                <w:szCs w:val="24"/>
              </w:rPr>
            </w:pPr>
            <w:r>
              <w:rPr>
                <w:b/>
                <w:bCs/>
              </w:rPr>
              <w:t>Системо- органен клас</w:t>
            </w:r>
          </w:p>
        </w:tc>
        <w:tc>
          <w:tcPr>
            <w:tcW w:w="1945" w:type="dxa"/>
          </w:tcPr>
          <w:p w14:paraId="0055CD56" w14:textId="6FC48E4F" w:rsidR="00C576EC" w:rsidRDefault="00C576EC" w:rsidP="00C576EC">
            <w:pPr>
              <w:spacing w:line="240" w:lineRule="auto"/>
              <w:rPr>
                <w:rFonts w:eastAsia="Times New Roman" w:cs="Arial"/>
                <w:sz w:val="24"/>
                <w:szCs w:val="24"/>
              </w:rPr>
            </w:pPr>
            <w:r>
              <w:rPr>
                <w:b/>
                <w:bCs/>
              </w:rPr>
              <w:t>Чести (</w:t>
            </w:r>
            <w:r>
              <w:rPr>
                <w:b/>
                <w:bCs/>
                <w:lang w:val="en-US"/>
              </w:rPr>
              <w:t>≥</w:t>
            </w:r>
            <w:r>
              <w:rPr>
                <w:b/>
                <w:bCs/>
              </w:rPr>
              <w:t>1/100 до &lt;1/10)</w:t>
            </w:r>
          </w:p>
        </w:tc>
        <w:tc>
          <w:tcPr>
            <w:tcW w:w="1632" w:type="dxa"/>
          </w:tcPr>
          <w:p w14:paraId="62944DBB" w14:textId="77777777" w:rsidR="00C576EC" w:rsidRDefault="00C576EC" w:rsidP="00C576EC">
            <w:r>
              <w:rPr>
                <w:b/>
                <w:bCs/>
              </w:rPr>
              <w:t>Нечести</w:t>
            </w:r>
          </w:p>
          <w:p w14:paraId="6E76E176" w14:textId="77777777" w:rsidR="00C576EC" w:rsidRDefault="00C576EC" w:rsidP="00C576EC">
            <w:r>
              <w:rPr>
                <w:b/>
                <w:bCs/>
                <w:lang w:val="en-US"/>
              </w:rPr>
              <w:t>≥</w:t>
            </w:r>
            <w:r>
              <w:rPr>
                <w:b/>
                <w:bCs/>
              </w:rPr>
              <w:t>1/1000 до</w:t>
            </w:r>
          </w:p>
          <w:p w14:paraId="76B3036D" w14:textId="61B46699" w:rsidR="00C576EC" w:rsidRDefault="00C576EC" w:rsidP="00C576EC">
            <w:pPr>
              <w:spacing w:line="240" w:lineRule="auto"/>
              <w:rPr>
                <w:rFonts w:eastAsia="Times New Roman" w:cs="Arial"/>
                <w:sz w:val="24"/>
                <w:szCs w:val="24"/>
              </w:rPr>
            </w:pPr>
            <w:r>
              <w:rPr>
                <w:b/>
                <w:bCs/>
              </w:rPr>
              <w:t>&lt; 1/100)</w:t>
            </w:r>
          </w:p>
        </w:tc>
        <w:tc>
          <w:tcPr>
            <w:tcW w:w="1923" w:type="dxa"/>
          </w:tcPr>
          <w:p w14:paraId="4C976CBA" w14:textId="60D0E9CD" w:rsidR="00C576EC" w:rsidRDefault="00C576EC" w:rsidP="00C576EC">
            <w:pPr>
              <w:spacing w:line="240" w:lineRule="auto"/>
              <w:rPr>
                <w:rFonts w:eastAsia="Times New Roman" w:cs="Arial"/>
                <w:sz w:val="24"/>
                <w:szCs w:val="24"/>
              </w:rPr>
            </w:pPr>
            <w:r>
              <w:rPr>
                <w:b/>
                <w:bCs/>
              </w:rPr>
              <w:t>Редки (</w:t>
            </w:r>
            <w:r>
              <w:rPr>
                <w:b/>
                <w:bCs/>
                <w:lang w:val="en-US"/>
              </w:rPr>
              <w:t>≥</w:t>
            </w:r>
            <w:r>
              <w:rPr>
                <w:b/>
                <w:bCs/>
              </w:rPr>
              <w:t>1/10 000 до &lt; 1/1000)</w:t>
            </w:r>
          </w:p>
        </w:tc>
        <w:tc>
          <w:tcPr>
            <w:tcW w:w="2169" w:type="dxa"/>
          </w:tcPr>
          <w:p w14:paraId="6832F4A8" w14:textId="49A63EBB" w:rsidR="00C576EC" w:rsidRDefault="00C576EC" w:rsidP="00C576EC">
            <w:pPr>
              <w:spacing w:line="240" w:lineRule="auto"/>
              <w:rPr>
                <w:rFonts w:eastAsia="Times New Roman" w:cs="Arial"/>
                <w:sz w:val="24"/>
                <w:szCs w:val="24"/>
              </w:rPr>
            </w:pPr>
            <w:r>
              <w:rPr>
                <w:b/>
                <w:bCs/>
              </w:rPr>
              <w:t>С неизвестна честота(1)</w:t>
            </w:r>
          </w:p>
        </w:tc>
      </w:tr>
      <w:tr w:rsidR="00C576EC" w14:paraId="36BCF4CA" w14:textId="77777777" w:rsidTr="00D216FF">
        <w:tc>
          <w:tcPr>
            <w:tcW w:w="1907" w:type="dxa"/>
          </w:tcPr>
          <w:p w14:paraId="1C9C9E69" w14:textId="09C15CEF" w:rsidR="00C576EC" w:rsidRDefault="00C576EC" w:rsidP="00C576EC">
            <w:pPr>
              <w:spacing w:line="240" w:lineRule="auto"/>
              <w:rPr>
                <w:rFonts w:eastAsia="Times New Roman" w:cs="Arial"/>
                <w:sz w:val="24"/>
                <w:szCs w:val="24"/>
              </w:rPr>
            </w:pPr>
            <w:r>
              <w:rPr>
                <w:b/>
                <w:bCs/>
              </w:rPr>
              <w:t>Нарушения на имунната система</w:t>
            </w:r>
          </w:p>
        </w:tc>
        <w:tc>
          <w:tcPr>
            <w:tcW w:w="1945" w:type="dxa"/>
          </w:tcPr>
          <w:p w14:paraId="3F75ECA0" w14:textId="77777777" w:rsidR="00C576EC" w:rsidRDefault="00C576EC" w:rsidP="00C576EC">
            <w:pPr>
              <w:spacing w:line="240" w:lineRule="auto"/>
              <w:rPr>
                <w:rFonts w:eastAsia="Times New Roman" w:cs="Arial"/>
                <w:sz w:val="24"/>
                <w:szCs w:val="24"/>
              </w:rPr>
            </w:pPr>
          </w:p>
        </w:tc>
        <w:tc>
          <w:tcPr>
            <w:tcW w:w="1632" w:type="dxa"/>
          </w:tcPr>
          <w:p w14:paraId="2A037EBB" w14:textId="5A16FDDC" w:rsidR="00C576EC" w:rsidRDefault="00C576EC" w:rsidP="00C576EC">
            <w:pPr>
              <w:spacing w:line="240" w:lineRule="auto"/>
              <w:rPr>
                <w:rFonts w:eastAsia="Times New Roman" w:cs="Arial"/>
                <w:sz w:val="24"/>
                <w:szCs w:val="24"/>
              </w:rPr>
            </w:pPr>
            <w:r>
              <w:t>Свръхчувстви</w:t>
            </w:r>
            <w:r>
              <w:softHyphen/>
              <w:t>телност</w:t>
            </w:r>
          </w:p>
        </w:tc>
        <w:tc>
          <w:tcPr>
            <w:tcW w:w="1923" w:type="dxa"/>
          </w:tcPr>
          <w:p w14:paraId="6321A625" w14:textId="3F15D43D" w:rsidR="00C576EC" w:rsidRDefault="00C576EC" w:rsidP="00C576EC">
            <w:pPr>
              <w:spacing w:line="240" w:lineRule="auto"/>
              <w:rPr>
                <w:rFonts w:eastAsia="Times New Roman" w:cs="Arial"/>
                <w:sz w:val="24"/>
                <w:szCs w:val="24"/>
              </w:rPr>
            </w:pPr>
            <w:r>
              <w:t>Анафилактоидни/ анафилактични реакции</w:t>
            </w:r>
          </w:p>
        </w:tc>
        <w:tc>
          <w:tcPr>
            <w:tcW w:w="2169" w:type="dxa"/>
          </w:tcPr>
          <w:p w14:paraId="1CEFCDF5" w14:textId="77777777" w:rsidR="00C576EC" w:rsidRDefault="00C576EC" w:rsidP="00C576EC">
            <w:pPr>
              <w:spacing w:line="240" w:lineRule="auto"/>
              <w:rPr>
                <w:rFonts w:eastAsia="Times New Roman" w:cs="Arial"/>
                <w:sz w:val="24"/>
                <w:szCs w:val="24"/>
              </w:rPr>
            </w:pPr>
          </w:p>
        </w:tc>
      </w:tr>
      <w:tr w:rsidR="00C576EC" w14:paraId="3FB992F0" w14:textId="77777777" w:rsidTr="00D216FF">
        <w:tc>
          <w:tcPr>
            <w:tcW w:w="1907" w:type="dxa"/>
          </w:tcPr>
          <w:p w14:paraId="0A07B97C" w14:textId="437BF08A" w:rsidR="00C576EC" w:rsidRDefault="00C576EC" w:rsidP="00C576EC">
            <w:pPr>
              <w:spacing w:line="240" w:lineRule="auto"/>
              <w:rPr>
                <w:rFonts w:eastAsia="Times New Roman" w:cs="Arial"/>
                <w:sz w:val="24"/>
                <w:szCs w:val="24"/>
              </w:rPr>
            </w:pPr>
            <w:r>
              <w:rPr>
                <w:b/>
                <w:bCs/>
              </w:rPr>
              <w:t>Нарушения на метаболизма и храненето</w:t>
            </w:r>
          </w:p>
        </w:tc>
        <w:tc>
          <w:tcPr>
            <w:tcW w:w="1945" w:type="dxa"/>
          </w:tcPr>
          <w:p w14:paraId="65638430" w14:textId="04C7C9CF" w:rsidR="00C576EC" w:rsidRDefault="00C576EC" w:rsidP="00C576EC">
            <w:pPr>
              <w:spacing w:line="240" w:lineRule="auto"/>
              <w:rPr>
                <w:rFonts w:eastAsia="Times New Roman" w:cs="Arial"/>
                <w:sz w:val="24"/>
                <w:szCs w:val="24"/>
              </w:rPr>
            </w:pPr>
            <w:r>
              <w:t>Хипофосфатемия</w:t>
            </w:r>
          </w:p>
        </w:tc>
        <w:tc>
          <w:tcPr>
            <w:tcW w:w="1632" w:type="dxa"/>
          </w:tcPr>
          <w:p w14:paraId="35D323D8" w14:textId="77777777" w:rsidR="00C576EC" w:rsidRDefault="00C576EC" w:rsidP="00C576EC">
            <w:pPr>
              <w:spacing w:line="240" w:lineRule="auto"/>
              <w:rPr>
                <w:rFonts w:eastAsia="Times New Roman" w:cs="Arial"/>
                <w:sz w:val="24"/>
                <w:szCs w:val="24"/>
              </w:rPr>
            </w:pPr>
          </w:p>
        </w:tc>
        <w:tc>
          <w:tcPr>
            <w:tcW w:w="1923" w:type="dxa"/>
          </w:tcPr>
          <w:p w14:paraId="0012D95C" w14:textId="77777777" w:rsidR="00C576EC" w:rsidRDefault="00C576EC" w:rsidP="00C576EC">
            <w:pPr>
              <w:spacing w:line="240" w:lineRule="auto"/>
              <w:rPr>
                <w:rFonts w:eastAsia="Times New Roman" w:cs="Arial"/>
                <w:sz w:val="24"/>
                <w:szCs w:val="24"/>
              </w:rPr>
            </w:pPr>
          </w:p>
        </w:tc>
        <w:tc>
          <w:tcPr>
            <w:tcW w:w="2169" w:type="dxa"/>
          </w:tcPr>
          <w:p w14:paraId="6E294143" w14:textId="77777777" w:rsidR="00C576EC" w:rsidRDefault="00C576EC" w:rsidP="00C576EC">
            <w:pPr>
              <w:spacing w:line="240" w:lineRule="auto"/>
              <w:rPr>
                <w:rFonts w:eastAsia="Times New Roman" w:cs="Arial"/>
                <w:sz w:val="24"/>
                <w:szCs w:val="24"/>
              </w:rPr>
            </w:pPr>
          </w:p>
        </w:tc>
      </w:tr>
      <w:tr w:rsidR="00C576EC" w14:paraId="5E820121" w14:textId="77777777" w:rsidTr="00D216FF">
        <w:tc>
          <w:tcPr>
            <w:tcW w:w="1907" w:type="dxa"/>
          </w:tcPr>
          <w:p w14:paraId="4D46E285" w14:textId="7F95BE59" w:rsidR="00C576EC" w:rsidRDefault="00C576EC" w:rsidP="00C576EC">
            <w:pPr>
              <w:spacing w:line="240" w:lineRule="auto"/>
              <w:rPr>
                <w:rFonts w:eastAsia="Times New Roman" w:cs="Arial"/>
                <w:sz w:val="24"/>
                <w:szCs w:val="24"/>
              </w:rPr>
            </w:pPr>
            <w:r>
              <w:rPr>
                <w:b/>
                <w:bCs/>
              </w:rPr>
              <w:t>Нарушения на нервната система</w:t>
            </w:r>
          </w:p>
        </w:tc>
        <w:tc>
          <w:tcPr>
            <w:tcW w:w="1945" w:type="dxa"/>
          </w:tcPr>
          <w:p w14:paraId="336CE049" w14:textId="2EB4465B" w:rsidR="00C576EC" w:rsidRDefault="00C576EC" w:rsidP="00C576EC">
            <w:pPr>
              <w:spacing w:line="240" w:lineRule="auto"/>
              <w:rPr>
                <w:rFonts w:eastAsia="Times New Roman" w:cs="Arial"/>
                <w:sz w:val="24"/>
                <w:szCs w:val="24"/>
              </w:rPr>
            </w:pPr>
            <w:r>
              <w:t>Главоболие, замаяност</w:t>
            </w:r>
          </w:p>
        </w:tc>
        <w:tc>
          <w:tcPr>
            <w:tcW w:w="1632" w:type="dxa"/>
          </w:tcPr>
          <w:p w14:paraId="72E50D6F" w14:textId="54FBEBCC" w:rsidR="00C576EC" w:rsidRDefault="00C576EC" w:rsidP="00C576EC">
            <w:pPr>
              <w:spacing w:line="240" w:lineRule="auto"/>
              <w:rPr>
                <w:rFonts w:eastAsia="Times New Roman" w:cs="Arial"/>
                <w:sz w:val="24"/>
                <w:szCs w:val="24"/>
              </w:rPr>
            </w:pPr>
            <w:r>
              <w:t>Парестезия, дисгеузия</w:t>
            </w:r>
          </w:p>
        </w:tc>
        <w:tc>
          <w:tcPr>
            <w:tcW w:w="1923" w:type="dxa"/>
          </w:tcPr>
          <w:p w14:paraId="58414F03" w14:textId="77777777" w:rsidR="00C576EC" w:rsidRDefault="00C576EC" w:rsidP="00C576EC">
            <w:pPr>
              <w:spacing w:line="240" w:lineRule="auto"/>
              <w:rPr>
                <w:rFonts w:eastAsia="Times New Roman" w:cs="Arial"/>
                <w:sz w:val="24"/>
                <w:szCs w:val="24"/>
              </w:rPr>
            </w:pPr>
          </w:p>
        </w:tc>
        <w:tc>
          <w:tcPr>
            <w:tcW w:w="2169" w:type="dxa"/>
          </w:tcPr>
          <w:p w14:paraId="5C811150" w14:textId="0CCBB6E7" w:rsidR="00C576EC" w:rsidRDefault="00C576EC" w:rsidP="00C576EC">
            <w:pPr>
              <w:spacing w:line="240" w:lineRule="auto"/>
              <w:rPr>
                <w:rFonts w:eastAsia="Times New Roman" w:cs="Arial"/>
                <w:sz w:val="24"/>
                <w:szCs w:val="24"/>
              </w:rPr>
            </w:pPr>
            <w:r>
              <w:t>Загуба на съзнание</w:t>
            </w:r>
            <w:r>
              <w:rPr>
                <w:lang w:val="en-US"/>
              </w:rPr>
              <w:t>(</w:t>
            </w:r>
            <w:r>
              <w:rPr>
                <w:vertAlign w:val="superscript"/>
              </w:rPr>
              <w:t>1</w:t>
            </w:r>
            <w:r>
              <w:t>)</w:t>
            </w:r>
          </w:p>
        </w:tc>
      </w:tr>
      <w:tr w:rsidR="00D216FF" w14:paraId="5E26CC62" w14:textId="77777777" w:rsidTr="00D216FF">
        <w:tc>
          <w:tcPr>
            <w:tcW w:w="1907" w:type="dxa"/>
          </w:tcPr>
          <w:p w14:paraId="3C722B60" w14:textId="740B443A" w:rsidR="00D216FF" w:rsidRDefault="00D216FF" w:rsidP="00D216FF">
            <w:pPr>
              <w:spacing w:line="240" w:lineRule="auto"/>
              <w:rPr>
                <w:rFonts w:eastAsia="Times New Roman" w:cs="Arial"/>
                <w:sz w:val="24"/>
                <w:szCs w:val="24"/>
              </w:rPr>
            </w:pPr>
            <w:r>
              <w:rPr>
                <w:b/>
                <w:bCs/>
              </w:rPr>
              <w:t>Психични нарушения</w:t>
            </w:r>
          </w:p>
        </w:tc>
        <w:tc>
          <w:tcPr>
            <w:tcW w:w="1945" w:type="dxa"/>
          </w:tcPr>
          <w:p w14:paraId="02F6DA4B" w14:textId="77777777" w:rsidR="00D216FF" w:rsidRDefault="00D216FF" w:rsidP="00D216FF">
            <w:pPr>
              <w:spacing w:line="240" w:lineRule="auto"/>
              <w:rPr>
                <w:rFonts w:eastAsia="Times New Roman" w:cs="Arial"/>
                <w:sz w:val="24"/>
                <w:szCs w:val="24"/>
              </w:rPr>
            </w:pPr>
          </w:p>
        </w:tc>
        <w:tc>
          <w:tcPr>
            <w:tcW w:w="1632" w:type="dxa"/>
          </w:tcPr>
          <w:p w14:paraId="53212F9C" w14:textId="77777777" w:rsidR="00D216FF" w:rsidRDefault="00D216FF" w:rsidP="00D216FF">
            <w:pPr>
              <w:spacing w:line="240" w:lineRule="auto"/>
              <w:rPr>
                <w:rFonts w:eastAsia="Times New Roman" w:cs="Arial"/>
                <w:sz w:val="24"/>
                <w:szCs w:val="24"/>
              </w:rPr>
            </w:pPr>
          </w:p>
        </w:tc>
        <w:tc>
          <w:tcPr>
            <w:tcW w:w="1923" w:type="dxa"/>
          </w:tcPr>
          <w:p w14:paraId="3B2C4EA3" w14:textId="6F456AAA" w:rsidR="00D216FF" w:rsidRDefault="00D216FF" w:rsidP="00D216FF">
            <w:pPr>
              <w:spacing w:line="240" w:lineRule="auto"/>
              <w:rPr>
                <w:rFonts w:eastAsia="Times New Roman" w:cs="Arial"/>
                <w:sz w:val="24"/>
                <w:szCs w:val="24"/>
              </w:rPr>
            </w:pPr>
            <w:r>
              <w:t>Тревожност</w:t>
            </w:r>
            <w:r>
              <w:rPr>
                <w:vertAlign w:val="superscript"/>
              </w:rPr>
              <w:t>(2)</w:t>
            </w:r>
          </w:p>
        </w:tc>
        <w:tc>
          <w:tcPr>
            <w:tcW w:w="2169" w:type="dxa"/>
          </w:tcPr>
          <w:p w14:paraId="2DD1A154" w14:textId="77777777" w:rsidR="00D216FF" w:rsidRDefault="00D216FF" w:rsidP="00D216FF">
            <w:pPr>
              <w:spacing w:line="240" w:lineRule="auto"/>
              <w:rPr>
                <w:rFonts w:eastAsia="Times New Roman" w:cs="Arial"/>
                <w:sz w:val="24"/>
                <w:szCs w:val="24"/>
              </w:rPr>
            </w:pPr>
          </w:p>
        </w:tc>
      </w:tr>
      <w:tr w:rsidR="00D216FF" w14:paraId="4716E22C" w14:textId="77777777" w:rsidTr="00D216FF">
        <w:tc>
          <w:tcPr>
            <w:tcW w:w="1907" w:type="dxa"/>
          </w:tcPr>
          <w:p w14:paraId="117BC6A3" w14:textId="5519F6DD" w:rsidR="00D216FF" w:rsidRDefault="00D216FF" w:rsidP="00D216FF">
            <w:pPr>
              <w:spacing w:line="240" w:lineRule="auto"/>
              <w:rPr>
                <w:rFonts w:eastAsia="Times New Roman" w:cs="Arial"/>
                <w:sz w:val="24"/>
                <w:szCs w:val="24"/>
              </w:rPr>
            </w:pPr>
            <w:r>
              <w:rPr>
                <w:b/>
                <w:bCs/>
              </w:rPr>
              <w:t>Сърдечни нарушения</w:t>
            </w:r>
          </w:p>
        </w:tc>
        <w:tc>
          <w:tcPr>
            <w:tcW w:w="1945" w:type="dxa"/>
          </w:tcPr>
          <w:p w14:paraId="5480186E" w14:textId="77777777" w:rsidR="00D216FF" w:rsidRDefault="00D216FF" w:rsidP="00D216FF">
            <w:pPr>
              <w:spacing w:line="240" w:lineRule="auto"/>
              <w:rPr>
                <w:rFonts w:eastAsia="Times New Roman" w:cs="Arial"/>
                <w:sz w:val="24"/>
                <w:szCs w:val="24"/>
              </w:rPr>
            </w:pPr>
          </w:p>
        </w:tc>
        <w:tc>
          <w:tcPr>
            <w:tcW w:w="1632" w:type="dxa"/>
          </w:tcPr>
          <w:p w14:paraId="51361D29" w14:textId="602066E8" w:rsidR="00D216FF" w:rsidRDefault="00D216FF" w:rsidP="00D216FF">
            <w:pPr>
              <w:spacing w:line="240" w:lineRule="auto"/>
              <w:rPr>
                <w:rFonts w:eastAsia="Times New Roman" w:cs="Arial"/>
                <w:sz w:val="24"/>
                <w:szCs w:val="24"/>
              </w:rPr>
            </w:pPr>
            <w:r>
              <w:t>Тахикардия</w:t>
            </w:r>
          </w:p>
        </w:tc>
        <w:tc>
          <w:tcPr>
            <w:tcW w:w="1923" w:type="dxa"/>
          </w:tcPr>
          <w:p w14:paraId="240988A2" w14:textId="77777777" w:rsidR="00D216FF" w:rsidRDefault="00D216FF" w:rsidP="00D216FF">
            <w:pPr>
              <w:spacing w:line="240" w:lineRule="auto"/>
              <w:rPr>
                <w:rFonts w:eastAsia="Times New Roman" w:cs="Arial"/>
                <w:sz w:val="24"/>
                <w:szCs w:val="24"/>
              </w:rPr>
            </w:pPr>
          </w:p>
        </w:tc>
        <w:tc>
          <w:tcPr>
            <w:tcW w:w="2169" w:type="dxa"/>
          </w:tcPr>
          <w:p w14:paraId="1CCB876B" w14:textId="5618BE54" w:rsidR="00D216FF" w:rsidRDefault="00D216FF" w:rsidP="00D216FF">
            <w:pPr>
              <w:spacing w:line="240" w:lineRule="auto"/>
              <w:rPr>
                <w:rFonts w:eastAsia="Times New Roman" w:cs="Arial"/>
                <w:sz w:val="24"/>
                <w:szCs w:val="24"/>
              </w:rPr>
            </w:pPr>
            <w:r>
              <w:t xml:space="preserve">Синдром на </w:t>
            </w:r>
            <w:proofErr w:type="spellStart"/>
            <w:r>
              <w:rPr>
                <w:lang w:val="en-US"/>
              </w:rPr>
              <w:t>Kounis</w:t>
            </w:r>
            <w:proofErr w:type="spellEnd"/>
            <w:r>
              <w:rPr>
                <w:vertAlign w:val="superscript"/>
                <w:lang w:val="en-US"/>
              </w:rPr>
              <w:t>(1)</w:t>
            </w:r>
          </w:p>
        </w:tc>
      </w:tr>
      <w:tr w:rsidR="00D216FF" w14:paraId="3B46873C" w14:textId="77777777" w:rsidTr="00D216FF">
        <w:tc>
          <w:tcPr>
            <w:tcW w:w="1907" w:type="dxa"/>
          </w:tcPr>
          <w:p w14:paraId="53EF84B4" w14:textId="0E4A7383" w:rsidR="00D216FF" w:rsidRDefault="00D216FF" w:rsidP="00D216FF">
            <w:pPr>
              <w:spacing w:line="240" w:lineRule="auto"/>
              <w:rPr>
                <w:rFonts w:eastAsia="Times New Roman" w:cs="Arial"/>
                <w:sz w:val="24"/>
                <w:szCs w:val="24"/>
              </w:rPr>
            </w:pPr>
            <w:r>
              <w:rPr>
                <w:b/>
                <w:bCs/>
              </w:rPr>
              <w:t>Съдови нарушения</w:t>
            </w:r>
          </w:p>
        </w:tc>
        <w:tc>
          <w:tcPr>
            <w:tcW w:w="1945" w:type="dxa"/>
          </w:tcPr>
          <w:p w14:paraId="26C2DB9D" w14:textId="593E17A5" w:rsidR="00D216FF" w:rsidRDefault="00D216FF" w:rsidP="00D216FF">
            <w:pPr>
              <w:spacing w:line="240" w:lineRule="auto"/>
              <w:rPr>
                <w:rFonts w:eastAsia="Times New Roman" w:cs="Arial"/>
                <w:sz w:val="24"/>
                <w:szCs w:val="24"/>
              </w:rPr>
            </w:pPr>
            <w:r>
              <w:t>Зачервяване, хипертония</w:t>
            </w:r>
          </w:p>
        </w:tc>
        <w:tc>
          <w:tcPr>
            <w:tcW w:w="1632" w:type="dxa"/>
          </w:tcPr>
          <w:p w14:paraId="1C6FD0EE" w14:textId="3E1DF17A" w:rsidR="00D216FF" w:rsidRDefault="00D216FF" w:rsidP="00D216FF">
            <w:pPr>
              <w:spacing w:line="240" w:lineRule="auto"/>
              <w:rPr>
                <w:rFonts w:eastAsia="Times New Roman" w:cs="Arial"/>
                <w:sz w:val="24"/>
                <w:szCs w:val="24"/>
              </w:rPr>
            </w:pPr>
            <w:r>
              <w:t>Хипотония</w:t>
            </w:r>
          </w:p>
        </w:tc>
        <w:tc>
          <w:tcPr>
            <w:tcW w:w="1923" w:type="dxa"/>
          </w:tcPr>
          <w:p w14:paraId="08AF0B76" w14:textId="1DC5BBAD" w:rsidR="00D216FF" w:rsidRDefault="00D216FF" w:rsidP="00D216FF">
            <w:pPr>
              <w:spacing w:line="240" w:lineRule="auto"/>
              <w:rPr>
                <w:rFonts w:eastAsia="Times New Roman" w:cs="Arial"/>
                <w:sz w:val="24"/>
                <w:szCs w:val="24"/>
              </w:rPr>
            </w:pPr>
            <w:r>
              <w:t>Флебит, синкоп</w:t>
            </w:r>
            <w:r>
              <w:rPr>
                <w:vertAlign w:val="superscript"/>
              </w:rPr>
              <w:t>(2)</w:t>
            </w:r>
            <w:r>
              <w:t>, пресинкоп</w:t>
            </w:r>
            <w:r>
              <w:rPr>
                <w:vertAlign w:val="superscript"/>
              </w:rPr>
              <w:t>(2)</w:t>
            </w:r>
          </w:p>
        </w:tc>
        <w:tc>
          <w:tcPr>
            <w:tcW w:w="2169" w:type="dxa"/>
          </w:tcPr>
          <w:p w14:paraId="3E576EE8" w14:textId="77777777" w:rsidR="00D216FF" w:rsidRDefault="00D216FF" w:rsidP="00D216FF">
            <w:pPr>
              <w:spacing w:line="240" w:lineRule="auto"/>
              <w:rPr>
                <w:rFonts w:eastAsia="Times New Roman" w:cs="Arial"/>
                <w:sz w:val="24"/>
                <w:szCs w:val="24"/>
              </w:rPr>
            </w:pPr>
          </w:p>
        </w:tc>
      </w:tr>
      <w:tr w:rsidR="00D216FF" w14:paraId="47AD0D14" w14:textId="77777777" w:rsidTr="00D216FF">
        <w:tc>
          <w:tcPr>
            <w:tcW w:w="1907" w:type="dxa"/>
          </w:tcPr>
          <w:p w14:paraId="1BBED12E" w14:textId="45BD93F8" w:rsidR="00D216FF" w:rsidRDefault="00D216FF" w:rsidP="00D216FF">
            <w:pPr>
              <w:spacing w:line="240" w:lineRule="auto"/>
              <w:rPr>
                <w:rFonts w:eastAsia="Times New Roman" w:cs="Arial"/>
                <w:sz w:val="24"/>
                <w:szCs w:val="24"/>
              </w:rPr>
            </w:pPr>
            <w:r>
              <w:rPr>
                <w:b/>
                <w:bCs/>
              </w:rPr>
              <w:t>Респираторни, гръдни и медиастинални нарушения</w:t>
            </w:r>
          </w:p>
        </w:tc>
        <w:tc>
          <w:tcPr>
            <w:tcW w:w="1945" w:type="dxa"/>
          </w:tcPr>
          <w:p w14:paraId="026B9706" w14:textId="77777777" w:rsidR="00D216FF" w:rsidRDefault="00D216FF" w:rsidP="00D216FF">
            <w:pPr>
              <w:spacing w:line="240" w:lineRule="auto"/>
              <w:rPr>
                <w:rFonts w:eastAsia="Times New Roman" w:cs="Arial"/>
                <w:sz w:val="24"/>
                <w:szCs w:val="24"/>
              </w:rPr>
            </w:pPr>
          </w:p>
        </w:tc>
        <w:tc>
          <w:tcPr>
            <w:tcW w:w="1632" w:type="dxa"/>
          </w:tcPr>
          <w:p w14:paraId="748D7554" w14:textId="14E26CCF" w:rsidR="00D216FF" w:rsidRDefault="00D216FF" w:rsidP="00D216FF">
            <w:pPr>
              <w:spacing w:line="240" w:lineRule="auto"/>
              <w:rPr>
                <w:rFonts w:eastAsia="Times New Roman" w:cs="Arial"/>
                <w:sz w:val="24"/>
                <w:szCs w:val="24"/>
              </w:rPr>
            </w:pPr>
            <w:r>
              <w:t>Задух</w:t>
            </w:r>
          </w:p>
        </w:tc>
        <w:tc>
          <w:tcPr>
            <w:tcW w:w="1923" w:type="dxa"/>
          </w:tcPr>
          <w:p w14:paraId="71DB018A" w14:textId="4D750143" w:rsidR="00D216FF" w:rsidRDefault="00D216FF" w:rsidP="00D216FF">
            <w:pPr>
              <w:spacing w:line="240" w:lineRule="auto"/>
              <w:rPr>
                <w:rFonts w:eastAsia="Times New Roman" w:cs="Arial"/>
                <w:sz w:val="24"/>
                <w:szCs w:val="24"/>
              </w:rPr>
            </w:pPr>
            <w:r>
              <w:t>Бронхоспазъм</w:t>
            </w:r>
            <w:r>
              <w:rPr>
                <w:vertAlign w:val="superscript"/>
              </w:rPr>
              <w:t>(2)</w:t>
            </w:r>
          </w:p>
        </w:tc>
        <w:tc>
          <w:tcPr>
            <w:tcW w:w="2169" w:type="dxa"/>
          </w:tcPr>
          <w:p w14:paraId="79D6FCCC" w14:textId="77777777" w:rsidR="00D216FF" w:rsidRDefault="00D216FF" w:rsidP="00D216FF">
            <w:pPr>
              <w:spacing w:line="240" w:lineRule="auto"/>
              <w:rPr>
                <w:rFonts w:eastAsia="Times New Roman" w:cs="Arial"/>
                <w:sz w:val="24"/>
                <w:szCs w:val="24"/>
              </w:rPr>
            </w:pPr>
          </w:p>
        </w:tc>
      </w:tr>
      <w:tr w:rsidR="00D216FF" w14:paraId="07AD9D71" w14:textId="77777777" w:rsidTr="00D216FF">
        <w:tc>
          <w:tcPr>
            <w:tcW w:w="1907" w:type="dxa"/>
          </w:tcPr>
          <w:p w14:paraId="54DB928E" w14:textId="611BE8FF" w:rsidR="00D216FF" w:rsidRDefault="00D216FF" w:rsidP="00D216FF">
            <w:pPr>
              <w:spacing w:line="240" w:lineRule="auto"/>
              <w:rPr>
                <w:rFonts w:eastAsia="Times New Roman" w:cs="Arial"/>
                <w:sz w:val="24"/>
                <w:szCs w:val="24"/>
              </w:rPr>
            </w:pPr>
            <w:r>
              <w:rPr>
                <w:b/>
                <w:bCs/>
              </w:rPr>
              <w:t>Стомашно- чревни нарушения</w:t>
            </w:r>
          </w:p>
        </w:tc>
        <w:tc>
          <w:tcPr>
            <w:tcW w:w="1945" w:type="dxa"/>
          </w:tcPr>
          <w:p w14:paraId="069226B5" w14:textId="06C6624C" w:rsidR="00D216FF" w:rsidRDefault="00D216FF" w:rsidP="00D216FF">
            <w:pPr>
              <w:spacing w:line="240" w:lineRule="auto"/>
              <w:rPr>
                <w:rFonts w:eastAsia="Times New Roman" w:cs="Arial"/>
                <w:sz w:val="24"/>
                <w:szCs w:val="24"/>
              </w:rPr>
            </w:pPr>
            <w:r>
              <w:t>Гадене</w:t>
            </w:r>
          </w:p>
        </w:tc>
        <w:tc>
          <w:tcPr>
            <w:tcW w:w="1632" w:type="dxa"/>
          </w:tcPr>
          <w:p w14:paraId="2FE3AE6B" w14:textId="03B5A10E" w:rsidR="00D216FF" w:rsidRDefault="00D216FF" w:rsidP="00D216FF">
            <w:pPr>
              <w:spacing w:line="240" w:lineRule="auto"/>
              <w:rPr>
                <w:rFonts w:eastAsia="Times New Roman" w:cs="Arial"/>
                <w:sz w:val="24"/>
                <w:szCs w:val="24"/>
              </w:rPr>
            </w:pPr>
            <w:r>
              <w:t>Повръщане, диспепсия, коремна болка, запек, диария</w:t>
            </w:r>
          </w:p>
        </w:tc>
        <w:tc>
          <w:tcPr>
            <w:tcW w:w="1923" w:type="dxa"/>
          </w:tcPr>
          <w:p w14:paraId="4CA70F58" w14:textId="69F04656" w:rsidR="00D216FF" w:rsidRDefault="00D216FF" w:rsidP="00D216FF">
            <w:pPr>
              <w:spacing w:line="240" w:lineRule="auto"/>
              <w:rPr>
                <w:rFonts w:eastAsia="Times New Roman" w:cs="Arial"/>
                <w:sz w:val="24"/>
                <w:szCs w:val="24"/>
              </w:rPr>
            </w:pPr>
            <w:r>
              <w:t>Отделяне на газове</w:t>
            </w:r>
          </w:p>
        </w:tc>
        <w:tc>
          <w:tcPr>
            <w:tcW w:w="2169" w:type="dxa"/>
          </w:tcPr>
          <w:p w14:paraId="40047FF5" w14:textId="77777777" w:rsidR="00D216FF" w:rsidRDefault="00D216FF" w:rsidP="00D216FF">
            <w:pPr>
              <w:spacing w:line="240" w:lineRule="auto"/>
              <w:rPr>
                <w:rFonts w:eastAsia="Times New Roman" w:cs="Arial"/>
                <w:sz w:val="24"/>
                <w:szCs w:val="24"/>
              </w:rPr>
            </w:pPr>
          </w:p>
        </w:tc>
      </w:tr>
      <w:tr w:rsidR="00D216FF" w14:paraId="5BE4AA28" w14:textId="77777777" w:rsidTr="00D216FF">
        <w:tc>
          <w:tcPr>
            <w:tcW w:w="1907" w:type="dxa"/>
          </w:tcPr>
          <w:p w14:paraId="2A7DBDD0" w14:textId="41C7508C" w:rsidR="00D216FF" w:rsidRDefault="00D216FF" w:rsidP="00D216FF">
            <w:pPr>
              <w:spacing w:line="240" w:lineRule="auto"/>
              <w:rPr>
                <w:rFonts w:eastAsia="Times New Roman" w:cs="Arial"/>
                <w:sz w:val="24"/>
                <w:szCs w:val="24"/>
              </w:rPr>
            </w:pPr>
            <w:r>
              <w:rPr>
                <w:b/>
                <w:bCs/>
              </w:rPr>
              <w:t>Нарушения на кожата и подкожната тъкан</w:t>
            </w:r>
          </w:p>
        </w:tc>
        <w:tc>
          <w:tcPr>
            <w:tcW w:w="1945" w:type="dxa"/>
          </w:tcPr>
          <w:p w14:paraId="34E78C29" w14:textId="77777777" w:rsidR="00D216FF" w:rsidRDefault="00D216FF" w:rsidP="00D216FF">
            <w:pPr>
              <w:spacing w:line="240" w:lineRule="auto"/>
              <w:rPr>
                <w:rFonts w:eastAsia="Times New Roman" w:cs="Arial"/>
                <w:sz w:val="24"/>
                <w:szCs w:val="24"/>
              </w:rPr>
            </w:pPr>
          </w:p>
        </w:tc>
        <w:tc>
          <w:tcPr>
            <w:tcW w:w="1632" w:type="dxa"/>
          </w:tcPr>
          <w:p w14:paraId="31F8D231" w14:textId="1669D5A4" w:rsidR="00D216FF" w:rsidRDefault="00D216FF" w:rsidP="00D216FF">
            <w:pPr>
              <w:spacing w:line="240" w:lineRule="auto"/>
              <w:rPr>
                <w:rFonts w:eastAsia="Times New Roman" w:cs="Arial"/>
                <w:sz w:val="24"/>
                <w:szCs w:val="24"/>
              </w:rPr>
            </w:pPr>
            <w:r>
              <w:t>Сърбеж, уртикария, еритема, обрив(3)</w:t>
            </w:r>
          </w:p>
        </w:tc>
        <w:tc>
          <w:tcPr>
            <w:tcW w:w="1923" w:type="dxa"/>
          </w:tcPr>
          <w:p w14:paraId="31A47EB7" w14:textId="7535B2B1" w:rsidR="00D216FF" w:rsidRDefault="00D216FF" w:rsidP="00D216FF">
            <w:pPr>
              <w:spacing w:line="240" w:lineRule="auto"/>
              <w:rPr>
                <w:rFonts w:eastAsia="Times New Roman" w:cs="Arial"/>
                <w:sz w:val="24"/>
                <w:szCs w:val="24"/>
              </w:rPr>
            </w:pPr>
            <w:r>
              <w:t>Ангиоедем</w:t>
            </w:r>
            <w:r>
              <w:rPr>
                <w:vertAlign w:val="superscript"/>
              </w:rPr>
              <w:t>(2)</w:t>
            </w:r>
            <w:r>
              <w:t>, бледност</w:t>
            </w:r>
            <w:r>
              <w:rPr>
                <w:vertAlign w:val="superscript"/>
              </w:rPr>
              <w:t>(2)</w:t>
            </w:r>
          </w:p>
        </w:tc>
        <w:tc>
          <w:tcPr>
            <w:tcW w:w="2169" w:type="dxa"/>
          </w:tcPr>
          <w:p w14:paraId="0E9DEEF3" w14:textId="28152065" w:rsidR="00D216FF" w:rsidRDefault="00D216FF" w:rsidP="00D216FF">
            <w:pPr>
              <w:spacing w:line="240" w:lineRule="auto"/>
              <w:rPr>
                <w:rFonts w:eastAsia="Times New Roman" w:cs="Arial"/>
                <w:sz w:val="24"/>
                <w:szCs w:val="24"/>
              </w:rPr>
            </w:pPr>
            <w:r>
              <w:t>Оток на лицето</w:t>
            </w:r>
            <w:r>
              <w:rPr>
                <w:vertAlign w:val="superscript"/>
              </w:rPr>
              <w:t>(1)</w:t>
            </w:r>
          </w:p>
        </w:tc>
      </w:tr>
      <w:tr w:rsidR="00D216FF" w14:paraId="2DB3B447" w14:textId="77777777" w:rsidTr="00D216FF">
        <w:tc>
          <w:tcPr>
            <w:tcW w:w="1907" w:type="dxa"/>
          </w:tcPr>
          <w:p w14:paraId="6E609E1D" w14:textId="4D889257" w:rsidR="00D216FF" w:rsidRDefault="00D216FF" w:rsidP="00D216FF">
            <w:pPr>
              <w:spacing w:line="240" w:lineRule="auto"/>
              <w:rPr>
                <w:rFonts w:eastAsia="Times New Roman" w:cs="Arial"/>
                <w:sz w:val="24"/>
                <w:szCs w:val="24"/>
              </w:rPr>
            </w:pPr>
            <w:r>
              <w:rPr>
                <w:b/>
                <w:bCs/>
              </w:rPr>
              <w:t xml:space="preserve">Нарушения на мускулно- скелетната система и </w:t>
            </w:r>
            <w:r>
              <w:rPr>
                <w:b/>
                <w:bCs/>
              </w:rPr>
              <w:lastRenderedPageBreak/>
              <w:t>съединителната тъкан</w:t>
            </w:r>
          </w:p>
        </w:tc>
        <w:tc>
          <w:tcPr>
            <w:tcW w:w="1945" w:type="dxa"/>
          </w:tcPr>
          <w:p w14:paraId="0B9EB9B9" w14:textId="77777777" w:rsidR="00D216FF" w:rsidRDefault="00D216FF" w:rsidP="00D216FF">
            <w:pPr>
              <w:spacing w:line="240" w:lineRule="auto"/>
              <w:rPr>
                <w:rFonts w:eastAsia="Times New Roman" w:cs="Arial"/>
                <w:sz w:val="24"/>
                <w:szCs w:val="24"/>
              </w:rPr>
            </w:pPr>
          </w:p>
        </w:tc>
        <w:tc>
          <w:tcPr>
            <w:tcW w:w="1632" w:type="dxa"/>
          </w:tcPr>
          <w:p w14:paraId="634792FF" w14:textId="0B62F0AC" w:rsidR="00D216FF" w:rsidRDefault="00D216FF" w:rsidP="00D216FF">
            <w:pPr>
              <w:spacing w:line="240" w:lineRule="auto"/>
              <w:rPr>
                <w:rFonts w:eastAsia="Times New Roman" w:cs="Arial"/>
                <w:sz w:val="24"/>
                <w:szCs w:val="24"/>
              </w:rPr>
            </w:pPr>
            <w:r>
              <w:t xml:space="preserve">Миалгия, болки в гърба, артралгия, болка в </w:t>
            </w:r>
            <w:r>
              <w:lastRenderedPageBreak/>
              <w:t>крайниците, мускулни спазми</w:t>
            </w:r>
          </w:p>
        </w:tc>
        <w:tc>
          <w:tcPr>
            <w:tcW w:w="1923" w:type="dxa"/>
          </w:tcPr>
          <w:p w14:paraId="4BDF2198" w14:textId="77777777" w:rsidR="00D216FF" w:rsidRDefault="00D216FF" w:rsidP="00D216FF">
            <w:pPr>
              <w:spacing w:line="240" w:lineRule="auto"/>
              <w:rPr>
                <w:rFonts w:eastAsia="Times New Roman" w:cs="Arial"/>
                <w:sz w:val="24"/>
                <w:szCs w:val="24"/>
              </w:rPr>
            </w:pPr>
          </w:p>
        </w:tc>
        <w:tc>
          <w:tcPr>
            <w:tcW w:w="2169" w:type="dxa"/>
          </w:tcPr>
          <w:p w14:paraId="6DB79A86" w14:textId="77777777" w:rsidR="00D216FF" w:rsidRDefault="00D216FF" w:rsidP="00D216FF">
            <w:r>
              <w:t>Хипофосфатемична</w:t>
            </w:r>
          </w:p>
          <w:p w14:paraId="4A189FB5" w14:textId="37AFEEAE" w:rsidR="00D216FF" w:rsidRDefault="00D216FF" w:rsidP="00D216FF">
            <w:pPr>
              <w:spacing w:line="240" w:lineRule="auto"/>
              <w:rPr>
                <w:rFonts w:eastAsia="Times New Roman" w:cs="Arial"/>
                <w:sz w:val="24"/>
                <w:szCs w:val="24"/>
              </w:rPr>
            </w:pPr>
            <w:proofErr w:type="spellStart"/>
            <w:r>
              <w:rPr>
                <w:lang w:val="en-US"/>
              </w:rPr>
              <w:t>остеомалация</w:t>
            </w:r>
            <w:proofErr w:type="spellEnd"/>
            <w:r>
              <w:rPr>
                <w:vertAlign w:val="superscript"/>
                <w:lang w:val="en-US"/>
              </w:rPr>
              <w:t>(1)</w:t>
            </w:r>
          </w:p>
        </w:tc>
      </w:tr>
      <w:tr w:rsidR="00D216FF" w14:paraId="6894A1F2" w14:textId="77777777" w:rsidTr="00D216FF">
        <w:tc>
          <w:tcPr>
            <w:tcW w:w="1907" w:type="dxa"/>
          </w:tcPr>
          <w:p w14:paraId="6217D33E" w14:textId="6ECEACA5" w:rsidR="00D216FF" w:rsidRDefault="00D216FF" w:rsidP="00D216FF">
            <w:pPr>
              <w:spacing w:line="240" w:lineRule="auto"/>
              <w:rPr>
                <w:rFonts w:eastAsia="Times New Roman" w:cs="Arial"/>
                <w:sz w:val="24"/>
                <w:szCs w:val="24"/>
              </w:rPr>
            </w:pPr>
            <w:r>
              <w:rPr>
                <w:b/>
                <w:bCs/>
              </w:rPr>
              <w:t>Общи нарушения и ефекти на мястото на приложение</w:t>
            </w:r>
          </w:p>
        </w:tc>
        <w:tc>
          <w:tcPr>
            <w:tcW w:w="1945" w:type="dxa"/>
          </w:tcPr>
          <w:p w14:paraId="470FEE5B" w14:textId="09C236E6" w:rsidR="00D216FF" w:rsidRDefault="00D216FF" w:rsidP="00D216FF">
            <w:pPr>
              <w:spacing w:line="240" w:lineRule="auto"/>
              <w:rPr>
                <w:rFonts w:eastAsia="Times New Roman" w:cs="Arial"/>
                <w:sz w:val="24"/>
                <w:szCs w:val="24"/>
              </w:rPr>
            </w:pPr>
            <w:r>
              <w:t>Реакции на мястото на инжектиране/инфузията</w:t>
            </w:r>
            <w:r>
              <w:rPr>
                <w:vertAlign w:val="superscript"/>
              </w:rPr>
              <w:t>(4)</w:t>
            </w:r>
          </w:p>
        </w:tc>
        <w:tc>
          <w:tcPr>
            <w:tcW w:w="1632" w:type="dxa"/>
          </w:tcPr>
          <w:p w14:paraId="4937E410" w14:textId="7AC0B9E4" w:rsidR="00D216FF" w:rsidRDefault="00D216FF" w:rsidP="00D216FF">
            <w:pPr>
              <w:spacing w:line="240" w:lineRule="auto"/>
              <w:rPr>
                <w:rFonts w:eastAsia="Times New Roman" w:cs="Arial"/>
                <w:sz w:val="24"/>
                <w:szCs w:val="24"/>
              </w:rPr>
            </w:pPr>
            <w:r>
              <w:t>Пирексия, умора, болки в гръдния кош, периферни отоци, втрисане</w:t>
            </w:r>
          </w:p>
        </w:tc>
        <w:tc>
          <w:tcPr>
            <w:tcW w:w="1923" w:type="dxa"/>
          </w:tcPr>
          <w:p w14:paraId="00350CD6" w14:textId="4EA863B4" w:rsidR="00D216FF" w:rsidRDefault="00D216FF" w:rsidP="00D216FF">
            <w:pPr>
              <w:spacing w:line="240" w:lineRule="auto"/>
              <w:rPr>
                <w:rFonts w:eastAsia="Times New Roman" w:cs="Arial"/>
                <w:sz w:val="24"/>
                <w:szCs w:val="24"/>
              </w:rPr>
            </w:pPr>
            <w:r>
              <w:t xml:space="preserve">Физическо неразположение, грипоподобно заболяване (чието начало може да варира от няколко часа до няколко дни) </w:t>
            </w:r>
            <w:r>
              <w:rPr>
                <w:vertAlign w:val="superscript"/>
              </w:rPr>
              <w:t>(2)</w:t>
            </w:r>
          </w:p>
        </w:tc>
        <w:tc>
          <w:tcPr>
            <w:tcW w:w="2169" w:type="dxa"/>
          </w:tcPr>
          <w:p w14:paraId="0E3A2B1D" w14:textId="77777777" w:rsidR="00D216FF" w:rsidRDefault="00D216FF" w:rsidP="00D216FF">
            <w:pPr>
              <w:spacing w:line="240" w:lineRule="auto"/>
              <w:rPr>
                <w:rFonts w:eastAsia="Times New Roman" w:cs="Arial"/>
                <w:sz w:val="24"/>
                <w:szCs w:val="24"/>
              </w:rPr>
            </w:pPr>
          </w:p>
        </w:tc>
      </w:tr>
      <w:tr w:rsidR="00D216FF" w14:paraId="794B2C00" w14:textId="77777777" w:rsidTr="00D216FF">
        <w:tc>
          <w:tcPr>
            <w:tcW w:w="1907" w:type="dxa"/>
          </w:tcPr>
          <w:p w14:paraId="2915A1C8" w14:textId="2D05BE3E" w:rsidR="00D216FF" w:rsidRDefault="00D216FF" w:rsidP="00D216FF">
            <w:pPr>
              <w:spacing w:line="240" w:lineRule="auto"/>
              <w:rPr>
                <w:rFonts w:eastAsia="Times New Roman" w:cs="Arial"/>
                <w:sz w:val="24"/>
                <w:szCs w:val="24"/>
              </w:rPr>
            </w:pPr>
            <w:r>
              <w:rPr>
                <w:b/>
                <w:bCs/>
              </w:rPr>
              <w:t>Изследвания</w:t>
            </w:r>
          </w:p>
        </w:tc>
        <w:tc>
          <w:tcPr>
            <w:tcW w:w="1945" w:type="dxa"/>
          </w:tcPr>
          <w:p w14:paraId="3DEC2BAE" w14:textId="77777777" w:rsidR="00D216FF" w:rsidRDefault="00D216FF" w:rsidP="00D216FF">
            <w:pPr>
              <w:spacing w:line="240" w:lineRule="auto"/>
              <w:rPr>
                <w:rFonts w:eastAsia="Times New Roman" w:cs="Arial"/>
                <w:sz w:val="24"/>
                <w:szCs w:val="24"/>
              </w:rPr>
            </w:pPr>
          </w:p>
        </w:tc>
        <w:tc>
          <w:tcPr>
            <w:tcW w:w="1632" w:type="dxa"/>
          </w:tcPr>
          <w:p w14:paraId="28548AA1" w14:textId="50601FCC" w:rsidR="00D216FF" w:rsidRDefault="00D216FF" w:rsidP="00D216FF">
            <w:pPr>
              <w:spacing w:line="240" w:lineRule="auto"/>
              <w:rPr>
                <w:rFonts w:eastAsia="Times New Roman" w:cs="Arial"/>
                <w:sz w:val="24"/>
                <w:szCs w:val="24"/>
              </w:rPr>
            </w:pPr>
            <w:r>
              <w:t>Повишаване на аланин-амино- трансферазата, повишение на аспартат амино- трансферазата, повишение на гама-глутамил- трансферазата, повишение на лактат дехидрогеназата в кръвта, повишение на алкалната фосфатаза в кръвта</w:t>
            </w:r>
          </w:p>
        </w:tc>
        <w:tc>
          <w:tcPr>
            <w:tcW w:w="1923" w:type="dxa"/>
          </w:tcPr>
          <w:p w14:paraId="4E5702DA" w14:textId="77777777" w:rsidR="00D216FF" w:rsidRDefault="00D216FF" w:rsidP="00D216FF">
            <w:pPr>
              <w:spacing w:line="240" w:lineRule="auto"/>
              <w:rPr>
                <w:rFonts w:eastAsia="Times New Roman" w:cs="Arial"/>
                <w:sz w:val="24"/>
                <w:szCs w:val="24"/>
              </w:rPr>
            </w:pPr>
          </w:p>
        </w:tc>
        <w:tc>
          <w:tcPr>
            <w:tcW w:w="2169" w:type="dxa"/>
          </w:tcPr>
          <w:p w14:paraId="7B154028" w14:textId="77777777" w:rsidR="00D216FF" w:rsidRDefault="00D216FF" w:rsidP="00D216FF">
            <w:pPr>
              <w:spacing w:line="240" w:lineRule="auto"/>
              <w:rPr>
                <w:rFonts w:eastAsia="Times New Roman" w:cs="Arial"/>
                <w:sz w:val="24"/>
                <w:szCs w:val="24"/>
              </w:rPr>
            </w:pPr>
          </w:p>
        </w:tc>
      </w:tr>
    </w:tbl>
    <w:p w14:paraId="42738941" w14:textId="77777777" w:rsidR="00D216FF" w:rsidRPr="00D216FF" w:rsidRDefault="00D216FF" w:rsidP="00D216FF">
      <w:pPr>
        <w:pStyle w:val="ListParagraph"/>
        <w:numPr>
          <w:ilvl w:val="0"/>
          <w:numId w:val="38"/>
        </w:numPr>
        <w:spacing w:line="240" w:lineRule="auto"/>
        <w:rPr>
          <w:rFonts w:eastAsia="Times New Roman" w:cs="Arial"/>
          <w:color w:val="000000"/>
          <w:lang w:eastAsia="bg-BG"/>
        </w:rPr>
      </w:pPr>
      <w:r w:rsidRPr="00D216FF">
        <w:rPr>
          <w:rFonts w:eastAsia="Times New Roman" w:cs="Arial"/>
          <w:color w:val="000000"/>
          <w:lang w:eastAsia="bg-BG"/>
        </w:rPr>
        <w:t>НЛР, съобщавани само в постмаркетингови условия, определени като редки.</w:t>
      </w:r>
    </w:p>
    <w:p w14:paraId="414A1D34" w14:textId="77777777" w:rsidR="00D216FF" w:rsidRPr="00D216FF" w:rsidRDefault="00D216FF" w:rsidP="00D216FF">
      <w:pPr>
        <w:pStyle w:val="ListParagraph"/>
        <w:numPr>
          <w:ilvl w:val="0"/>
          <w:numId w:val="38"/>
        </w:numPr>
        <w:spacing w:line="240" w:lineRule="auto"/>
        <w:rPr>
          <w:rFonts w:eastAsia="Times New Roman" w:cs="Arial"/>
          <w:color w:val="000000"/>
          <w:lang w:eastAsia="bg-BG"/>
        </w:rPr>
      </w:pPr>
      <w:r w:rsidRPr="00D216FF">
        <w:rPr>
          <w:rFonts w:eastAsia="Times New Roman" w:cs="Arial"/>
          <w:color w:val="000000"/>
          <w:lang w:eastAsia="bg-BG"/>
        </w:rPr>
        <w:t>НЛР, съобщавани в посмаркетингови условия, които са наблюдавани и по време на клиничните проучвания.</w:t>
      </w:r>
    </w:p>
    <w:p w14:paraId="0C48161F" w14:textId="77777777" w:rsidR="00D216FF" w:rsidRPr="00D216FF" w:rsidRDefault="00D216FF" w:rsidP="00D216FF">
      <w:pPr>
        <w:pStyle w:val="ListParagraph"/>
        <w:numPr>
          <w:ilvl w:val="0"/>
          <w:numId w:val="38"/>
        </w:numPr>
        <w:spacing w:line="240" w:lineRule="auto"/>
        <w:rPr>
          <w:rFonts w:eastAsia="Times New Roman" w:cs="Arial"/>
          <w:color w:val="000000"/>
          <w:lang w:eastAsia="bg-BG"/>
        </w:rPr>
      </w:pPr>
      <w:r w:rsidRPr="00D216FF">
        <w:rPr>
          <w:rFonts w:eastAsia="Times New Roman" w:cs="Arial"/>
          <w:color w:val="000000"/>
          <w:lang w:eastAsia="bg-BG"/>
        </w:rPr>
        <w:t>Включва следните предпочитани термини: обрив (отделните НЛР са определени като нечести) и еритематозен обрив - генерализиран, -макулозен, -макулопапулозен, сърбящ (всички отделни НЛР са определени като редки).</w:t>
      </w:r>
    </w:p>
    <w:p w14:paraId="24A22202" w14:textId="3AF96297" w:rsidR="00D216FF" w:rsidRPr="00D216FF" w:rsidRDefault="00D216FF" w:rsidP="00D216FF">
      <w:pPr>
        <w:pStyle w:val="ListParagraph"/>
        <w:numPr>
          <w:ilvl w:val="0"/>
          <w:numId w:val="38"/>
        </w:numPr>
        <w:spacing w:line="240" w:lineRule="auto"/>
        <w:rPr>
          <w:rFonts w:eastAsia="Times New Roman" w:cs="Arial"/>
          <w:color w:val="000000"/>
          <w:lang w:eastAsia="bg-BG"/>
        </w:rPr>
      </w:pPr>
      <w:r w:rsidRPr="00D216FF">
        <w:rPr>
          <w:rFonts w:eastAsia="Times New Roman" w:cs="Arial"/>
          <w:color w:val="000000"/>
          <w:lang w:eastAsia="bg-BG"/>
        </w:rPr>
        <w:t>Включва, но не се ограничава до, следните предпочитани термини: -болка, -хематом, -промяна в цвета, -екстравазация, - дразнене, реакция на мястото на инжектиране/инфузията (всички отделни НЛР са определени като нечести) и -парестезия на мястото на инфузията (отделните НЛР са определени като редки).</w:t>
      </w:r>
    </w:p>
    <w:p w14:paraId="7AFF5E8B"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t>Забележка: НЛР = нежелана лекарствена реакция.</w:t>
      </w:r>
    </w:p>
    <w:p w14:paraId="4BBC128E" w14:textId="77777777" w:rsidR="00D216FF" w:rsidRPr="00D216FF" w:rsidRDefault="00D216FF" w:rsidP="00D216FF">
      <w:pPr>
        <w:spacing w:line="240" w:lineRule="auto"/>
        <w:rPr>
          <w:rFonts w:eastAsia="Times New Roman" w:cs="Arial"/>
          <w:b/>
          <w:bCs/>
          <w:color w:val="000000"/>
          <w:u w:val="single"/>
          <w:lang w:eastAsia="bg-BG"/>
        </w:rPr>
      </w:pPr>
    </w:p>
    <w:p w14:paraId="31DB0710" w14:textId="44855FE1" w:rsidR="00D216FF" w:rsidRPr="00D216FF" w:rsidRDefault="00D216FF" w:rsidP="00D216FF">
      <w:pPr>
        <w:spacing w:line="240" w:lineRule="auto"/>
        <w:rPr>
          <w:rFonts w:eastAsia="Times New Roman" w:cs="Arial"/>
        </w:rPr>
      </w:pPr>
      <w:r w:rsidRPr="00D216FF">
        <w:rPr>
          <w:rFonts w:eastAsia="Times New Roman" w:cs="Arial"/>
          <w:b/>
          <w:bCs/>
          <w:color w:val="000000"/>
          <w:u w:val="single"/>
          <w:lang w:eastAsia="bg-BG"/>
        </w:rPr>
        <w:t>Съобщаване на подозирани нежелани реакции</w:t>
      </w:r>
    </w:p>
    <w:p w14:paraId="3AAAC15C"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3C8CA60"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t>Изпълнителна агенция по лекарствата</w:t>
      </w:r>
    </w:p>
    <w:p w14:paraId="0908AA8E"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t>ул. „Дамян Груев“ № 8</w:t>
      </w:r>
    </w:p>
    <w:p w14:paraId="2C83CFB8"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t>1303 София</w:t>
      </w:r>
    </w:p>
    <w:p w14:paraId="57C4A048" w14:textId="77777777" w:rsidR="00D216FF" w:rsidRPr="00D216FF" w:rsidRDefault="00D216FF" w:rsidP="00D216FF">
      <w:pPr>
        <w:spacing w:line="240" w:lineRule="auto"/>
        <w:rPr>
          <w:rFonts w:eastAsia="Times New Roman" w:cs="Arial"/>
        </w:rPr>
      </w:pPr>
      <w:r w:rsidRPr="00D216FF">
        <w:rPr>
          <w:rFonts w:eastAsia="Times New Roman" w:cs="Arial"/>
          <w:color w:val="000000"/>
          <w:lang w:eastAsia="bg-BG"/>
        </w:rPr>
        <w:t>Тел.: +35928903417</w:t>
      </w:r>
    </w:p>
    <w:p w14:paraId="4EBEA450" w14:textId="3D5EE28F" w:rsidR="00C576EC" w:rsidRDefault="00D216FF" w:rsidP="00D216FF">
      <w:pPr>
        <w:spacing w:line="240" w:lineRule="auto"/>
        <w:rPr>
          <w:rFonts w:eastAsia="Times New Roman" w:cs="Arial"/>
        </w:rPr>
      </w:pPr>
      <w:r w:rsidRPr="00D216FF">
        <w:rPr>
          <w:rFonts w:eastAsia="Times New Roman" w:cs="Arial"/>
          <w:color w:val="000000"/>
          <w:lang w:eastAsia="bg-BG"/>
        </w:rPr>
        <w:t xml:space="preserve">уебсайт: </w:t>
      </w:r>
      <w:r w:rsidRPr="00D216FF">
        <w:rPr>
          <w:rFonts w:eastAsia="Times New Roman" w:cs="Arial"/>
        </w:rPr>
        <w:fldChar w:fldCharType="begin"/>
      </w:r>
      <w:r w:rsidRPr="00D216FF">
        <w:rPr>
          <w:rFonts w:eastAsia="Times New Roman" w:cs="Arial"/>
        </w:rPr>
        <w:instrText xml:space="preserve"> HYPERLINK "http://www.bda.bg" </w:instrText>
      </w:r>
      <w:r w:rsidRPr="00D216FF">
        <w:rPr>
          <w:rFonts w:eastAsia="Times New Roman" w:cs="Arial"/>
        </w:rPr>
      </w:r>
      <w:r w:rsidRPr="00D216FF">
        <w:rPr>
          <w:rFonts w:eastAsia="Times New Roman" w:cs="Arial"/>
        </w:rPr>
        <w:fldChar w:fldCharType="separate"/>
      </w:r>
      <w:r w:rsidRPr="00D216FF">
        <w:rPr>
          <w:rFonts w:eastAsia="Times New Roman" w:cs="Arial"/>
          <w:color w:val="000000"/>
          <w:lang w:val="en-US"/>
        </w:rPr>
        <w:t>www</w:t>
      </w:r>
      <w:r w:rsidRPr="00D216FF">
        <w:rPr>
          <w:rFonts w:eastAsia="Times New Roman" w:cs="Arial"/>
          <w:color w:val="000000"/>
          <w:lang w:val="ru-RU"/>
        </w:rPr>
        <w:t>.</w:t>
      </w:r>
      <w:proofErr w:type="spellStart"/>
      <w:r w:rsidRPr="00D216FF">
        <w:rPr>
          <w:rFonts w:eastAsia="Times New Roman" w:cs="Arial"/>
          <w:color w:val="000000"/>
          <w:lang w:val="en-US"/>
        </w:rPr>
        <w:t>bda</w:t>
      </w:r>
      <w:proofErr w:type="spellEnd"/>
      <w:r w:rsidRPr="00D216FF">
        <w:rPr>
          <w:rFonts w:eastAsia="Times New Roman" w:cs="Arial"/>
          <w:color w:val="000000"/>
          <w:lang w:val="ru-RU"/>
        </w:rPr>
        <w:t>.</w:t>
      </w:r>
      <w:proofErr w:type="spellStart"/>
      <w:r w:rsidRPr="00D216FF">
        <w:rPr>
          <w:rFonts w:eastAsia="Times New Roman" w:cs="Arial"/>
          <w:color w:val="000000"/>
          <w:lang w:val="en-US"/>
        </w:rPr>
        <w:t>bg</w:t>
      </w:r>
      <w:proofErr w:type="spellEnd"/>
      <w:r w:rsidRPr="00D216FF">
        <w:rPr>
          <w:rFonts w:eastAsia="Times New Roman" w:cs="Arial"/>
        </w:rPr>
        <w:fldChar w:fldCharType="end"/>
      </w:r>
    </w:p>
    <w:p w14:paraId="7C265B1E" w14:textId="77777777" w:rsidR="00D216FF" w:rsidRPr="00D216FF" w:rsidRDefault="00D216FF" w:rsidP="00D216FF">
      <w:pPr>
        <w:spacing w:line="240" w:lineRule="auto"/>
        <w:rPr>
          <w:rFonts w:eastAsia="Times New Roman" w:cs="Arial"/>
        </w:rPr>
      </w:pPr>
    </w:p>
    <w:p w14:paraId="4ED30546" w14:textId="28BFB2E5" w:rsidR="007C605B" w:rsidRDefault="002C50EE" w:rsidP="00D216FF">
      <w:pPr>
        <w:pStyle w:val="Heading2"/>
        <w:numPr>
          <w:ilvl w:val="1"/>
          <w:numId w:val="38"/>
        </w:numPr>
      </w:pPr>
      <w:r>
        <w:t>Предозиране</w:t>
      </w:r>
    </w:p>
    <w:p w14:paraId="49E1FDBE" w14:textId="77777777" w:rsidR="00D216FF" w:rsidRDefault="00D216FF" w:rsidP="00D216FF"/>
    <w:p w14:paraId="31229BA9" w14:textId="2F938855" w:rsidR="00D216FF" w:rsidRPr="00D216FF" w:rsidRDefault="00D216FF" w:rsidP="00D216FF">
      <w:r>
        <w:t>Приложението на Феринжект в количества, превишаващи количеството, необходимо за корекция на железния дефицит към момента на приложението, може да доведе до натрупване на желязо в депата, което евентуално да доведе до хемосидероза. Проследяването на железните параметри като серумен феритин и трансферинова сатурация може да подпомогне разпознаването на натрупване на желязо. Ако е възникнало натрупване на желязо, да се случва в съответствие със стандартната медицинска практика, например да се обмисли</w:t>
      </w:r>
      <w:r w:rsidRPr="00D216FF">
        <w:rPr>
          <w:lang w:val="ru-RU"/>
        </w:rPr>
        <w:t xml:space="preserve"> </w:t>
      </w:r>
      <w:r>
        <w:t>използването на хелатор на желязото.</w:t>
      </w:r>
    </w:p>
    <w:p w14:paraId="02081B24" w14:textId="1F46E296" w:rsidR="00395555" w:rsidRPr="00395555" w:rsidRDefault="002C50EE" w:rsidP="008A6AF2">
      <w:pPr>
        <w:pStyle w:val="Heading1"/>
      </w:pPr>
      <w:r>
        <w:t>5. ФАРМАКОЛОГИЧНИ СВОЙСТВА</w:t>
      </w:r>
    </w:p>
    <w:p w14:paraId="5DD86C40" w14:textId="66827F90" w:rsidR="00D216FF" w:rsidRDefault="002C50EE" w:rsidP="00D216FF">
      <w:pPr>
        <w:pStyle w:val="Heading2"/>
      </w:pPr>
      <w:r>
        <w:t>5.1. Фармакодинамични свойства</w:t>
      </w:r>
    </w:p>
    <w:p w14:paraId="3764A648" w14:textId="2B4BF25F" w:rsidR="00D216FF" w:rsidRDefault="00D216FF" w:rsidP="00D216FF"/>
    <w:p w14:paraId="4408F1A4"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Фармакотерапевтична група: Желязо тривалентно, парентерален препарат. АТС код: ВОЗА</w:t>
      </w:r>
      <w:r w:rsidRPr="00D216FF">
        <w:rPr>
          <w:rFonts w:eastAsia="Times New Roman" w:cs="Arial"/>
          <w:color w:val="000000"/>
          <w:lang w:val="en-US"/>
        </w:rPr>
        <w:t>CO</w:t>
      </w:r>
      <w:r w:rsidRPr="00D216FF">
        <w:rPr>
          <w:rFonts w:eastAsia="Times New Roman" w:cs="Arial"/>
          <w:color w:val="000000"/>
          <w:lang w:eastAsia="bg-BG"/>
        </w:rPr>
        <w:t>1</w:t>
      </w:r>
    </w:p>
    <w:p w14:paraId="03EBAE9C" w14:textId="77777777" w:rsidR="00D216FF" w:rsidRPr="00D216FF" w:rsidRDefault="00D216FF" w:rsidP="00D216FF">
      <w:pPr>
        <w:spacing w:line="240" w:lineRule="auto"/>
        <w:rPr>
          <w:rFonts w:eastAsia="Times New Roman" w:cs="Arial"/>
          <w:color w:val="000000"/>
          <w:lang w:eastAsia="bg-BG"/>
        </w:rPr>
      </w:pPr>
    </w:p>
    <w:p w14:paraId="262AE66A" w14:textId="6BA06911"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Инжекционният/инфузионният разтвор Феринжект е колоиден разтвор на железния комплекс желязна карбоксималтоза. Комплексът е предназначен да осигури, по контролиран начин, усвоимо желязо за протеините, транспортиращи и съхраняващи желязото в организма (съответно трансферни и феритин).</w:t>
      </w:r>
    </w:p>
    <w:p w14:paraId="56D62F12"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Усвояването на </w:t>
      </w:r>
      <w:r w:rsidRPr="00D216FF">
        <w:rPr>
          <w:rFonts w:eastAsia="Times New Roman" w:cs="Arial"/>
          <w:color w:val="000000"/>
          <w:vertAlign w:val="superscript"/>
          <w:lang w:val="ru-RU"/>
        </w:rPr>
        <w:t>59</w:t>
      </w:r>
      <w:r w:rsidRPr="00D216FF">
        <w:rPr>
          <w:rFonts w:eastAsia="Times New Roman" w:cs="Arial"/>
          <w:color w:val="000000"/>
          <w:lang w:val="en-US"/>
        </w:rPr>
        <w:t>Fe</w:t>
      </w:r>
      <w:r w:rsidRPr="00D216FF">
        <w:rPr>
          <w:rFonts w:eastAsia="Times New Roman" w:cs="Arial"/>
          <w:color w:val="000000"/>
          <w:lang w:val="ru-RU"/>
        </w:rPr>
        <w:t xml:space="preserve"> </w:t>
      </w:r>
      <w:r w:rsidRPr="00D216FF">
        <w:rPr>
          <w:rFonts w:eastAsia="Times New Roman" w:cs="Arial"/>
          <w:color w:val="000000"/>
          <w:lang w:eastAsia="bg-BG"/>
        </w:rPr>
        <w:t>от радиобелязан Феринжект от червените кръвни клетки варира в диапазона от 91% до 99% при участници с дефицит на желязо (ДЖ) и от 61% до 84% при участници с бъбречна анемия 24 дни след прилагане на дозата.</w:t>
      </w:r>
    </w:p>
    <w:p w14:paraId="71D8B913"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Лечението с Феринжект води до повишаване на броя на ретикулоцитите, нивата на серумния феритин и </w:t>
      </w:r>
      <w:r w:rsidRPr="00D216FF">
        <w:rPr>
          <w:rFonts w:eastAsia="Times New Roman" w:cs="Arial"/>
          <w:color w:val="000000"/>
          <w:lang w:val="en-US"/>
        </w:rPr>
        <w:t>TSAT</w:t>
      </w:r>
      <w:r w:rsidRPr="00D216FF">
        <w:rPr>
          <w:rFonts w:eastAsia="Times New Roman" w:cs="Arial"/>
          <w:color w:val="000000"/>
          <w:lang w:val="ru-RU"/>
        </w:rPr>
        <w:t xml:space="preserve"> </w:t>
      </w:r>
      <w:r w:rsidRPr="00D216FF">
        <w:rPr>
          <w:rFonts w:eastAsia="Times New Roman" w:cs="Arial"/>
          <w:color w:val="000000"/>
          <w:lang w:eastAsia="bg-BG"/>
        </w:rPr>
        <w:t>до нормалните граници.</w:t>
      </w:r>
    </w:p>
    <w:p w14:paraId="1E3193B6" w14:textId="77777777" w:rsidR="00D216FF" w:rsidRPr="00D216FF" w:rsidRDefault="00D216FF" w:rsidP="00D216FF">
      <w:pPr>
        <w:spacing w:line="240" w:lineRule="auto"/>
        <w:rPr>
          <w:rFonts w:eastAsia="Times New Roman" w:cs="Arial"/>
          <w:color w:val="000000"/>
          <w:u w:val="single"/>
          <w:lang w:eastAsia="bg-BG"/>
        </w:rPr>
      </w:pPr>
    </w:p>
    <w:p w14:paraId="2241118E" w14:textId="6A74CEE2" w:rsidR="00D216FF" w:rsidRPr="00D216FF" w:rsidRDefault="00D216FF" w:rsidP="00D216FF">
      <w:pPr>
        <w:spacing w:line="240" w:lineRule="auto"/>
        <w:rPr>
          <w:rFonts w:eastAsia="Times New Roman" w:cs="Arial"/>
          <w:sz w:val="24"/>
          <w:szCs w:val="24"/>
        </w:rPr>
      </w:pPr>
      <w:r w:rsidRPr="00D216FF">
        <w:rPr>
          <w:rFonts w:eastAsia="Times New Roman" w:cs="Arial"/>
          <w:color w:val="000000"/>
          <w:u w:val="single"/>
          <w:lang w:eastAsia="bg-BG"/>
        </w:rPr>
        <w:t>Клинична ефикасност и безопасност</w:t>
      </w:r>
    </w:p>
    <w:p w14:paraId="6784C5AD" w14:textId="77777777" w:rsidR="00D216FF" w:rsidRPr="00D216FF" w:rsidRDefault="00D216FF" w:rsidP="00D216FF">
      <w:pPr>
        <w:spacing w:line="240" w:lineRule="auto"/>
        <w:rPr>
          <w:rFonts w:eastAsia="Times New Roman" w:cs="Arial"/>
          <w:color w:val="000000"/>
          <w:lang w:eastAsia="bg-BG"/>
        </w:rPr>
      </w:pPr>
    </w:p>
    <w:p w14:paraId="354B2D9B" w14:textId="6EFC7E43"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Ефикасността и безопасността на Феринжект е проучвана в различни терапевтични области, изискващи интравенозно желязо за коригиране на железен дефицит. Основните проучвания са описани по-подробно по-долу.</w:t>
      </w:r>
    </w:p>
    <w:p w14:paraId="392C1029" w14:textId="77777777" w:rsidR="00D216FF" w:rsidRPr="00D216FF" w:rsidRDefault="00D216FF" w:rsidP="00D216FF">
      <w:pPr>
        <w:spacing w:line="240" w:lineRule="auto"/>
        <w:rPr>
          <w:rFonts w:eastAsia="Times New Roman" w:cs="Arial"/>
          <w:i/>
          <w:iCs/>
          <w:color w:val="000000"/>
          <w:u w:val="single"/>
          <w:lang w:eastAsia="bg-BG"/>
        </w:rPr>
      </w:pPr>
    </w:p>
    <w:p w14:paraId="202175EB" w14:textId="59053E18"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u w:val="single"/>
          <w:lang w:eastAsia="bg-BG"/>
        </w:rPr>
        <w:t>Кардиология</w:t>
      </w:r>
    </w:p>
    <w:p w14:paraId="2ADC1B04" w14:textId="77777777" w:rsidR="00D216FF" w:rsidRPr="00D216FF" w:rsidRDefault="00D216FF" w:rsidP="00D216FF">
      <w:pPr>
        <w:spacing w:line="240" w:lineRule="auto"/>
        <w:rPr>
          <w:rFonts w:eastAsia="Times New Roman" w:cs="Arial"/>
          <w:i/>
          <w:iCs/>
          <w:color w:val="000000"/>
          <w:lang w:eastAsia="bg-BG"/>
        </w:rPr>
      </w:pPr>
    </w:p>
    <w:p w14:paraId="3EB56D59" w14:textId="6D8538AC"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Хронична сърдечна недостатъчност</w:t>
      </w:r>
    </w:p>
    <w:p w14:paraId="5130B2EB"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Проучването </w:t>
      </w:r>
      <w:r w:rsidRPr="00D216FF">
        <w:rPr>
          <w:rFonts w:eastAsia="Times New Roman" w:cs="Arial"/>
          <w:color w:val="000000"/>
          <w:lang w:val="en-US"/>
        </w:rPr>
        <w:t>CONFIRM</w:t>
      </w:r>
      <w:r w:rsidRPr="00D216FF">
        <w:rPr>
          <w:rFonts w:eastAsia="Times New Roman" w:cs="Arial"/>
          <w:color w:val="000000"/>
          <w:lang w:val="ru-RU"/>
        </w:rPr>
        <w:t>-</w:t>
      </w:r>
      <w:r w:rsidRPr="00D216FF">
        <w:rPr>
          <w:rFonts w:eastAsia="Times New Roman" w:cs="Arial"/>
          <w:color w:val="000000"/>
          <w:lang w:val="en-US"/>
        </w:rPr>
        <w:t>HF</w:t>
      </w:r>
      <w:r w:rsidRPr="00D216FF">
        <w:rPr>
          <w:rFonts w:eastAsia="Times New Roman" w:cs="Arial"/>
          <w:color w:val="000000"/>
          <w:lang w:val="ru-RU"/>
        </w:rPr>
        <w:t xml:space="preserve"> </w:t>
      </w:r>
      <w:r w:rsidRPr="00D216FF">
        <w:rPr>
          <w:rFonts w:eastAsia="Times New Roman" w:cs="Arial"/>
          <w:color w:val="000000"/>
          <w:lang w:eastAsia="bg-BG"/>
        </w:rPr>
        <w:t xml:space="preserve">е двойно-сляпо, рандомизирано проучване с 2 рамена, сравняващо Феринжект </w:t>
      </w:r>
      <w:r w:rsidRPr="00D216FF">
        <w:rPr>
          <w:rFonts w:eastAsia="Times New Roman" w:cs="Arial"/>
          <w:color w:val="000000"/>
          <w:lang w:val="ru-RU"/>
        </w:rPr>
        <w:t>(</w:t>
      </w:r>
      <w:r w:rsidRPr="00D216FF">
        <w:rPr>
          <w:rFonts w:eastAsia="Times New Roman" w:cs="Arial"/>
          <w:color w:val="000000"/>
          <w:lang w:val="en-US"/>
        </w:rPr>
        <w:t>n</w:t>
      </w:r>
      <w:r w:rsidRPr="00D216FF">
        <w:rPr>
          <w:rFonts w:eastAsia="Times New Roman" w:cs="Arial"/>
          <w:color w:val="000000"/>
          <w:lang w:val="ru-RU"/>
        </w:rPr>
        <w:t xml:space="preserve">= </w:t>
      </w:r>
      <w:r w:rsidRPr="00D216FF">
        <w:rPr>
          <w:rFonts w:eastAsia="Times New Roman" w:cs="Arial"/>
          <w:color w:val="000000"/>
          <w:lang w:eastAsia="bg-BG"/>
        </w:rPr>
        <w:t>150) с плацебо (</w:t>
      </w:r>
      <w:r w:rsidRPr="00D216FF">
        <w:rPr>
          <w:rFonts w:eastAsia="Times New Roman" w:cs="Arial"/>
          <w:color w:val="000000"/>
          <w:lang w:val="en-US"/>
        </w:rPr>
        <w:t>n</w:t>
      </w:r>
      <w:r w:rsidRPr="00D216FF">
        <w:rPr>
          <w:rFonts w:eastAsia="Times New Roman" w:cs="Arial"/>
          <w:color w:val="000000"/>
          <w:lang w:eastAsia="bg-BG"/>
        </w:rPr>
        <w:t xml:space="preserve">=151) при участници с хронична сърдечна недостатъчност и ДЖ в лечебен период от 52 седмици. В Ден 1 и Седмица 6 (фаза за корекция) участниците са приемали Феринжект по опростена схема на дозиране, </w:t>
      </w:r>
      <w:r w:rsidRPr="00D216FF">
        <w:rPr>
          <w:rFonts w:eastAsia="Times New Roman" w:cs="Arial"/>
          <w:color w:val="000000"/>
          <w:lang w:eastAsia="bg-BG"/>
        </w:rPr>
        <w:lastRenderedPageBreak/>
        <w:t>използваща изходните стойности на Н</w:t>
      </w:r>
      <w:r w:rsidRPr="00D216FF">
        <w:rPr>
          <w:rFonts w:eastAsia="Times New Roman" w:cs="Arial"/>
          <w:color w:val="000000"/>
          <w:lang w:val="en-US"/>
        </w:rPr>
        <w:t>b</w:t>
      </w:r>
      <w:r w:rsidRPr="00D216FF">
        <w:rPr>
          <w:rFonts w:eastAsia="Times New Roman" w:cs="Arial"/>
          <w:color w:val="000000"/>
          <w:lang w:eastAsia="bg-BG"/>
        </w:rPr>
        <w:t xml:space="preserve"> и телесно тегло към момента на скрининг (вижте точка 4.2), плацебо или никаква доза.</w:t>
      </w:r>
    </w:p>
    <w:p w14:paraId="544CB511"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В Седмици 12,24 и 36 (поддържаща фаза) участниците са получавали Феринжект (500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или плацебо, ако серумният феритин е бил &lt;100 </w:t>
      </w:r>
      <w:r w:rsidRPr="00D216FF">
        <w:rPr>
          <w:rFonts w:eastAsia="Times New Roman" w:cs="Arial"/>
          <w:color w:val="000000"/>
          <w:lang w:val="en-US"/>
        </w:rPr>
        <w:t>ng</w:t>
      </w:r>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или 100 - 300 </w:t>
      </w:r>
      <w:r w:rsidRPr="00D216FF">
        <w:rPr>
          <w:rFonts w:eastAsia="Times New Roman" w:cs="Arial"/>
          <w:color w:val="000000"/>
          <w:lang w:val="en-US"/>
        </w:rPr>
        <w:t>ng</w:t>
      </w:r>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с </w:t>
      </w:r>
      <w:r w:rsidRPr="00D216FF">
        <w:rPr>
          <w:rFonts w:eastAsia="Times New Roman" w:cs="Arial"/>
          <w:color w:val="000000"/>
          <w:lang w:val="en-US"/>
        </w:rPr>
        <w:t>TSAT</w:t>
      </w:r>
      <w:r w:rsidRPr="00D216FF">
        <w:rPr>
          <w:rFonts w:eastAsia="Times New Roman" w:cs="Arial"/>
          <w:color w:val="000000"/>
          <w:lang w:val="ru-RU"/>
        </w:rPr>
        <w:t xml:space="preserve"> </w:t>
      </w:r>
      <w:r w:rsidRPr="00D216FF">
        <w:rPr>
          <w:rFonts w:eastAsia="Times New Roman" w:cs="Arial"/>
          <w:color w:val="000000"/>
          <w:lang w:eastAsia="bg-BG"/>
        </w:rPr>
        <w:t xml:space="preserve">&lt;20%. Лечебната полза от Феринжект в сравнение с плацебо е била демонстрирана с първичната крайна точка за ефикасност, промяната в 6-минутния тест с ходене </w:t>
      </w:r>
      <w:r w:rsidRPr="00D216FF">
        <w:rPr>
          <w:rFonts w:eastAsia="Times New Roman" w:cs="Arial"/>
          <w:color w:val="000000"/>
          <w:lang w:val="ru-RU"/>
        </w:rPr>
        <w:t>(6</w:t>
      </w:r>
      <w:r w:rsidRPr="00D216FF">
        <w:rPr>
          <w:rFonts w:eastAsia="Times New Roman" w:cs="Arial"/>
          <w:color w:val="000000"/>
          <w:lang w:val="en-US"/>
        </w:rPr>
        <w:t>MWT</w:t>
      </w:r>
      <w:r w:rsidRPr="00D216FF">
        <w:rPr>
          <w:rFonts w:eastAsia="Times New Roman" w:cs="Arial"/>
          <w:color w:val="000000"/>
          <w:lang w:val="ru-RU"/>
        </w:rPr>
        <w:t xml:space="preserve">) </w:t>
      </w:r>
      <w:r w:rsidRPr="00D216FF">
        <w:rPr>
          <w:rFonts w:eastAsia="Times New Roman" w:cs="Arial"/>
          <w:color w:val="000000"/>
          <w:lang w:eastAsia="bg-BG"/>
        </w:rPr>
        <w:t>спрямо изходното ниво до Седмица 24 ((33 ±11 метра, р=0,002). Този ефект е бил поддържан по време на проучването до Седмица 52 ((36 ±11 метра, р&lt;0,001).</w:t>
      </w:r>
    </w:p>
    <w:p w14:paraId="50FBF8D1" w14:textId="77777777" w:rsidR="00D216FF" w:rsidRPr="00D216FF" w:rsidRDefault="00D216FF" w:rsidP="00D216FF">
      <w:pPr>
        <w:spacing w:line="240" w:lineRule="auto"/>
        <w:rPr>
          <w:rFonts w:eastAsia="Times New Roman" w:cs="Arial"/>
          <w:color w:val="000000"/>
          <w:lang w:eastAsia="bg-BG"/>
        </w:rPr>
      </w:pPr>
    </w:p>
    <w:p w14:paraId="1DCB22E5" w14:textId="77ECC2D9"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Проучването </w:t>
      </w:r>
      <w:r w:rsidRPr="00D216FF">
        <w:rPr>
          <w:rFonts w:eastAsia="Times New Roman" w:cs="Arial"/>
          <w:color w:val="000000"/>
          <w:lang w:val="en-US"/>
        </w:rPr>
        <w:t>EFFECT</w:t>
      </w:r>
      <w:r w:rsidRPr="00D216FF">
        <w:rPr>
          <w:rFonts w:eastAsia="Times New Roman" w:cs="Arial"/>
          <w:color w:val="000000"/>
          <w:lang w:val="ru-RU"/>
        </w:rPr>
        <w:t>-</w:t>
      </w:r>
      <w:r w:rsidRPr="00D216FF">
        <w:rPr>
          <w:rFonts w:eastAsia="Times New Roman" w:cs="Arial"/>
          <w:color w:val="000000"/>
          <w:lang w:val="en-US"/>
        </w:rPr>
        <w:t>HF</w:t>
      </w:r>
      <w:r w:rsidRPr="00D216FF">
        <w:rPr>
          <w:rFonts w:eastAsia="Times New Roman" w:cs="Arial"/>
          <w:color w:val="000000"/>
          <w:lang w:val="ru-RU"/>
        </w:rPr>
        <w:t xml:space="preserve"> </w:t>
      </w:r>
      <w:r w:rsidRPr="00D216FF">
        <w:rPr>
          <w:rFonts w:eastAsia="Times New Roman" w:cs="Arial"/>
          <w:color w:val="000000"/>
          <w:lang w:eastAsia="bg-BG"/>
        </w:rPr>
        <w:t>е открито (със заслепена оценка на крайните точки), рандомизирано проучване с 2 рамена, сравняващо Феринжект (</w:t>
      </w:r>
      <w:r w:rsidRPr="00D216FF">
        <w:rPr>
          <w:rFonts w:eastAsia="Times New Roman" w:cs="Arial"/>
          <w:color w:val="000000"/>
          <w:lang w:val="en-US"/>
        </w:rPr>
        <w:t>n</w:t>
      </w:r>
      <w:r w:rsidRPr="00D216FF">
        <w:rPr>
          <w:rFonts w:eastAsia="Times New Roman" w:cs="Arial"/>
          <w:color w:val="000000"/>
          <w:lang w:eastAsia="bg-BG"/>
        </w:rPr>
        <w:t>=86) със стандартна терапия (</w:t>
      </w:r>
      <w:r w:rsidRPr="00D216FF">
        <w:rPr>
          <w:rFonts w:eastAsia="Times New Roman" w:cs="Arial"/>
          <w:color w:val="000000"/>
          <w:lang w:val="en-US"/>
        </w:rPr>
        <w:t>n</w:t>
      </w:r>
      <w:r w:rsidRPr="00D216FF">
        <w:rPr>
          <w:rFonts w:eastAsia="Times New Roman" w:cs="Arial"/>
          <w:color w:val="000000"/>
          <w:lang w:eastAsia="bg-BG"/>
        </w:rPr>
        <w:t>=86) при участници с хронична сърдечна недостатъчност и ДЖ в лечебен период от 24 седмици. В Ден 1 и Седмица 6 (фаза за корекция) участниците са получавали Феринжект по опростена схема на дозиране, използваща изходните стойности на Н</w:t>
      </w:r>
      <w:r w:rsidRPr="00D216FF">
        <w:rPr>
          <w:rFonts w:eastAsia="Times New Roman" w:cs="Arial"/>
          <w:color w:val="000000"/>
          <w:lang w:val="en-US"/>
        </w:rPr>
        <w:t>b</w:t>
      </w:r>
      <w:r w:rsidRPr="00D216FF">
        <w:rPr>
          <w:rFonts w:eastAsia="Times New Roman" w:cs="Arial"/>
          <w:color w:val="000000"/>
          <w:lang w:val="ru-RU"/>
        </w:rPr>
        <w:t xml:space="preserve"> </w:t>
      </w:r>
      <w:r w:rsidRPr="00D216FF">
        <w:rPr>
          <w:rFonts w:eastAsia="Times New Roman" w:cs="Arial"/>
          <w:color w:val="000000"/>
          <w:lang w:eastAsia="bg-BG"/>
        </w:rPr>
        <w:t xml:space="preserve">и телесно тегло към момента на скрининг (вижте точка 4.2), или стандартна терапия. В Седмица 12, (поддържаща фаза) участниците са приемали Феринжект (500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или стандартна терапия, ако серумният феритин е бил &lt;100 </w:t>
      </w:r>
      <w:r w:rsidRPr="00D216FF">
        <w:rPr>
          <w:rFonts w:eastAsia="Times New Roman" w:cs="Arial"/>
          <w:color w:val="000000"/>
          <w:lang w:val="en-US"/>
        </w:rPr>
        <w:t>ng</w:t>
      </w:r>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или 100 до 300 </w:t>
      </w:r>
      <w:r w:rsidRPr="00D216FF">
        <w:rPr>
          <w:rFonts w:eastAsia="Times New Roman" w:cs="Arial"/>
          <w:color w:val="000000"/>
          <w:lang w:val="en-US"/>
        </w:rPr>
        <w:t>ng</w:t>
      </w:r>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и </w:t>
      </w:r>
      <w:r w:rsidRPr="00D216FF">
        <w:rPr>
          <w:rFonts w:eastAsia="Times New Roman" w:cs="Arial"/>
          <w:color w:val="000000"/>
          <w:lang w:val="en-US"/>
        </w:rPr>
        <w:t>TSAT</w:t>
      </w:r>
      <w:r w:rsidRPr="00D216FF">
        <w:rPr>
          <w:rFonts w:eastAsia="Times New Roman" w:cs="Arial"/>
          <w:color w:val="000000"/>
          <w:lang w:val="ru-RU"/>
        </w:rPr>
        <w:t xml:space="preserve"> </w:t>
      </w:r>
      <w:r w:rsidRPr="00D216FF">
        <w:rPr>
          <w:rFonts w:eastAsia="Times New Roman" w:cs="Arial"/>
          <w:color w:val="000000"/>
          <w:lang w:eastAsia="bg-BG"/>
        </w:rPr>
        <w:t xml:space="preserve">&lt;20%. Лечебната полза от Феринжект в сравнение със стандартна терапия е била демонстрирана с първичната крайна точка за ефикасност, промяната в коригирания спрямо теглото пиков </w:t>
      </w:r>
      <w:r w:rsidRPr="00D216FF">
        <w:rPr>
          <w:rFonts w:eastAsia="Times New Roman" w:cs="Arial"/>
          <w:color w:val="000000"/>
          <w:lang w:val="en-US"/>
        </w:rPr>
        <w:t>VO</w:t>
      </w:r>
      <w:r w:rsidRPr="00D216FF">
        <w:rPr>
          <w:rFonts w:eastAsia="Times New Roman" w:cs="Arial"/>
          <w:color w:val="000000"/>
          <w:vertAlign w:val="subscript"/>
          <w:lang w:val="ru-RU"/>
        </w:rPr>
        <w:t>2</w:t>
      </w:r>
      <w:r w:rsidRPr="00D216FF">
        <w:rPr>
          <w:rFonts w:eastAsia="Times New Roman" w:cs="Arial"/>
          <w:color w:val="000000"/>
          <w:lang w:val="ru-RU"/>
        </w:rPr>
        <w:t xml:space="preserve"> </w:t>
      </w:r>
      <w:r w:rsidRPr="00D216FF">
        <w:rPr>
          <w:rFonts w:eastAsia="Times New Roman" w:cs="Arial"/>
          <w:color w:val="000000"/>
          <w:lang w:eastAsia="bg-BG"/>
        </w:rPr>
        <w:t xml:space="preserve">спрямо изходното ниво до Седмица 24 (Средно </w:t>
      </w:r>
      <w:r w:rsidRPr="00D216FF">
        <w:rPr>
          <w:rFonts w:eastAsia="Times New Roman" w:cs="Arial"/>
          <w:color w:val="000000"/>
          <w:lang w:val="en-US"/>
        </w:rPr>
        <w:t>LS</w:t>
      </w:r>
      <w:r w:rsidRPr="00D216FF">
        <w:rPr>
          <w:rFonts w:eastAsia="Times New Roman" w:cs="Arial"/>
          <w:color w:val="000000"/>
          <w:lang w:val="ru-RU"/>
        </w:rPr>
        <w:t xml:space="preserve"> </w:t>
      </w:r>
      <w:r w:rsidRPr="00D216FF">
        <w:rPr>
          <w:rFonts w:eastAsia="Times New Roman" w:cs="Arial"/>
          <w:color w:val="000000"/>
          <w:lang w:eastAsia="bg-BG"/>
        </w:rPr>
        <w:t>1,04 ±0,44, р=0,02).</w:t>
      </w:r>
    </w:p>
    <w:p w14:paraId="1DD5A3DB" w14:textId="77777777" w:rsidR="00D216FF" w:rsidRPr="00D216FF" w:rsidRDefault="00D216FF" w:rsidP="00D216FF">
      <w:pPr>
        <w:spacing w:line="240" w:lineRule="auto"/>
        <w:rPr>
          <w:rFonts w:eastAsia="Times New Roman" w:cs="Arial"/>
          <w:i/>
          <w:iCs/>
          <w:color w:val="000000"/>
          <w:u w:val="single"/>
          <w:lang w:eastAsia="bg-BG"/>
        </w:rPr>
      </w:pPr>
    </w:p>
    <w:p w14:paraId="15067D3E" w14:textId="05D37FAC"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u w:val="single"/>
          <w:lang w:eastAsia="bg-BG"/>
        </w:rPr>
        <w:t>Нефрология</w:t>
      </w:r>
    </w:p>
    <w:p w14:paraId="05570F25" w14:textId="77777777" w:rsidR="00D216FF" w:rsidRPr="00D216FF" w:rsidRDefault="00D216FF" w:rsidP="00D216FF">
      <w:pPr>
        <w:spacing w:line="240" w:lineRule="auto"/>
        <w:rPr>
          <w:rFonts w:eastAsia="Times New Roman" w:cs="Arial"/>
          <w:i/>
          <w:iCs/>
          <w:color w:val="000000"/>
          <w:lang w:eastAsia="bg-BG"/>
        </w:rPr>
      </w:pPr>
    </w:p>
    <w:p w14:paraId="34FF6307" w14:textId="796DD37B"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Хронично бъбречно заболяване със зависимост от хемодиализа</w:t>
      </w:r>
    </w:p>
    <w:p w14:paraId="487AF362" w14:textId="77777777" w:rsidR="00D216FF" w:rsidRPr="00D216FF" w:rsidRDefault="00D216FF" w:rsidP="00D216FF">
      <w:pPr>
        <w:rPr>
          <w:rFonts w:eastAsia="Times New Roman" w:cs="Arial"/>
          <w:sz w:val="24"/>
          <w:szCs w:val="24"/>
        </w:rPr>
      </w:pPr>
      <w:r w:rsidRPr="00D216FF">
        <w:rPr>
          <w:rFonts w:eastAsia="Times New Roman" w:cs="Arial"/>
          <w:color w:val="000000"/>
          <w:lang w:eastAsia="bg-BG"/>
        </w:rPr>
        <w:t xml:space="preserve">Проучването </w:t>
      </w:r>
      <w:r w:rsidRPr="00D216FF">
        <w:rPr>
          <w:rFonts w:eastAsia="Times New Roman" w:cs="Arial"/>
          <w:color w:val="000000"/>
          <w:lang w:val="en-US"/>
        </w:rPr>
        <w:t>V</w:t>
      </w:r>
      <w:r w:rsidRPr="00D216FF">
        <w:rPr>
          <w:rFonts w:eastAsia="Times New Roman" w:cs="Arial"/>
          <w:color w:val="000000"/>
          <w:lang w:val="ru-RU"/>
        </w:rPr>
        <w:t>1</w:t>
      </w:r>
      <w:r w:rsidRPr="00D216FF">
        <w:rPr>
          <w:rFonts w:eastAsia="Times New Roman" w:cs="Arial"/>
          <w:color w:val="000000"/>
          <w:lang w:val="en-US"/>
        </w:rPr>
        <w:t>T</w:t>
      </w:r>
      <w:r w:rsidRPr="00D216FF">
        <w:rPr>
          <w:rFonts w:eastAsia="Times New Roman" w:cs="Arial"/>
          <w:color w:val="000000"/>
          <w:lang w:val="ru-RU"/>
        </w:rPr>
        <w:t>-</w:t>
      </w:r>
      <w:r w:rsidRPr="00D216FF">
        <w:rPr>
          <w:rFonts w:eastAsia="Times New Roman" w:cs="Arial"/>
          <w:color w:val="000000"/>
          <w:lang w:val="en-US"/>
        </w:rPr>
        <w:t>IV</w:t>
      </w:r>
      <w:r w:rsidRPr="00D216FF">
        <w:rPr>
          <w:rFonts w:eastAsia="Times New Roman" w:cs="Arial"/>
          <w:color w:val="000000"/>
          <w:lang w:val="ru-RU"/>
        </w:rPr>
        <w:t>-</w:t>
      </w:r>
      <w:r w:rsidRPr="00D216FF">
        <w:rPr>
          <w:rFonts w:eastAsia="Times New Roman" w:cs="Arial"/>
          <w:color w:val="000000"/>
          <w:lang w:val="en-US"/>
        </w:rPr>
        <w:t>CL</w:t>
      </w:r>
      <w:r w:rsidRPr="00D216FF">
        <w:rPr>
          <w:rFonts w:eastAsia="Times New Roman" w:cs="Arial"/>
          <w:color w:val="000000"/>
          <w:lang w:val="ru-RU"/>
        </w:rPr>
        <w:t>-01</w:t>
      </w:r>
      <w:r w:rsidRPr="00D216FF">
        <w:rPr>
          <w:rFonts w:eastAsia="Times New Roman" w:cs="Arial"/>
          <w:color w:val="000000"/>
          <w:lang w:eastAsia="bg-BG"/>
        </w:rPr>
        <w:t>5 е отворено, рандомизирано, паралелногрупово</w:t>
      </w:r>
      <w:r w:rsidRPr="00D216FF">
        <w:rPr>
          <w:rFonts w:eastAsia="Times New Roman" w:cs="Arial"/>
          <w:color w:val="000000"/>
          <w:lang w:val="ru-RU"/>
        </w:rPr>
        <w:t xml:space="preserve"> </w:t>
      </w:r>
      <w:r w:rsidRPr="00D216FF">
        <w:rPr>
          <w:rFonts w:eastAsia="Times New Roman" w:cs="Arial"/>
          <w:color w:val="000000"/>
          <w:lang w:eastAsia="bg-BG"/>
        </w:rPr>
        <w:t>проучване сравняващо Феринжект (</w:t>
      </w:r>
      <w:r w:rsidRPr="00D216FF">
        <w:rPr>
          <w:rFonts w:eastAsia="Times New Roman" w:cs="Arial"/>
          <w:color w:val="000000"/>
          <w:lang w:val="en-US"/>
        </w:rPr>
        <w:t>n</w:t>
      </w:r>
      <w:r w:rsidRPr="00D216FF">
        <w:rPr>
          <w:rFonts w:eastAsia="Times New Roman" w:cs="Arial"/>
          <w:color w:val="000000"/>
          <w:lang w:eastAsia="bg-BG"/>
        </w:rPr>
        <w:t>=97) със захарозен комплекс на желязото (</w:t>
      </w:r>
      <w:r w:rsidRPr="00D216FF">
        <w:rPr>
          <w:rFonts w:eastAsia="Times New Roman" w:cs="Arial"/>
          <w:color w:val="000000"/>
          <w:lang w:val="en-US"/>
        </w:rPr>
        <w:t>n</w:t>
      </w:r>
      <w:r w:rsidRPr="00D216FF">
        <w:rPr>
          <w:rFonts w:eastAsia="Times New Roman" w:cs="Arial"/>
          <w:color w:val="000000"/>
          <w:lang w:eastAsia="bg-BG"/>
        </w:rPr>
        <w:t xml:space="preserve">=86) при участници желязодефицитна анемия на хемодиализа. Участниците получават Феринжект или захарозен комплекс на желязото 2-3 пъти седмично в единични дози от 200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желязо директно в</w:t>
      </w:r>
      <w:r w:rsidRPr="00D216FF">
        <w:rPr>
          <w:rFonts w:eastAsia="Times New Roman" w:cs="Arial"/>
          <w:color w:val="000000"/>
          <w:lang w:val="ru-RU" w:eastAsia="bg-BG"/>
        </w:rPr>
        <w:t xml:space="preserve"> </w:t>
      </w:r>
      <w:r w:rsidRPr="00D216FF">
        <w:rPr>
          <w:rFonts w:eastAsia="Times New Roman" w:cs="Arial"/>
          <w:color w:val="000000"/>
          <w:lang w:eastAsia="bg-BG"/>
        </w:rPr>
        <w:t xml:space="preserve">диализатора до достигане на индивидуално изчислена кумулативна доза желязо (средна кумулативна доза желязо, приложена като Феринжект: 1 700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Първичната крайна точка за ефикасност е процентът на участниците, достигнали увеличение на Н</w:t>
      </w:r>
      <w:r w:rsidRPr="00D216FF">
        <w:rPr>
          <w:rFonts w:eastAsia="Times New Roman" w:cs="Arial"/>
          <w:color w:val="000000"/>
          <w:lang w:val="en-US"/>
        </w:rPr>
        <w:t>b</w:t>
      </w:r>
      <w:r w:rsidRPr="00D216FF">
        <w:rPr>
          <w:rFonts w:eastAsia="Times New Roman" w:cs="Arial"/>
          <w:color w:val="000000"/>
          <w:lang w:eastAsia="bg-BG"/>
        </w:rPr>
        <w:t xml:space="preserve"> от </w:t>
      </w:r>
      <w:r w:rsidRPr="00D216FF">
        <w:rPr>
          <w:rFonts w:eastAsia="Times New Roman" w:cs="Arial"/>
          <w:color w:val="000000"/>
          <w:lang w:val="ru-RU"/>
        </w:rPr>
        <w:t>≥</w:t>
      </w:r>
      <w:r w:rsidRPr="00D216FF">
        <w:rPr>
          <w:rFonts w:eastAsia="Times New Roman" w:cs="Arial"/>
          <w:color w:val="000000"/>
          <w:lang w:eastAsia="bg-BG"/>
        </w:rPr>
        <w:t xml:space="preserve">1,0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4 седмици след началото. Четири седмици след началото 44,1% реагират на лечението с Феринжект (например с увеличение на Н</w:t>
      </w:r>
      <w:r w:rsidRPr="00D216FF">
        <w:rPr>
          <w:rFonts w:eastAsia="Times New Roman" w:cs="Arial"/>
          <w:color w:val="000000"/>
          <w:lang w:val="en-US"/>
        </w:rPr>
        <w:t>b</w:t>
      </w:r>
      <w:r w:rsidRPr="00D216FF">
        <w:rPr>
          <w:rFonts w:eastAsia="Times New Roman" w:cs="Arial"/>
          <w:color w:val="000000"/>
          <w:lang w:eastAsia="bg-BG"/>
        </w:rPr>
        <w:t xml:space="preserve"> от </w:t>
      </w:r>
      <w:r w:rsidRPr="00D216FF">
        <w:rPr>
          <w:rFonts w:eastAsia="Times New Roman" w:cs="Arial"/>
          <w:color w:val="000000"/>
          <w:lang w:val="ru-RU"/>
        </w:rPr>
        <w:t>≥</w:t>
      </w:r>
      <w:r w:rsidRPr="00D216FF">
        <w:rPr>
          <w:rFonts w:eastAsia="Times New Roman" w:cs="Arial"/>
          <w:color w:val="000000"/>
          <w:lang w:eastAsia="bg-BG"/>
        </w:rPr>
        <w:t xml:space="preserve">1,0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в сравнение с 35,3% при лечение със захарозен комплекс на желязото (р=0,2254).</w:t>
      </w:r>
    </w:p>
    <w:p w14:paraId="0B227108" w14:textId="77777777" w:rsidR="00D216FF" w:rsidRPr="00D216FF" w:rsidRDefault="00D216FF" w:rsidP="00D216FF">
      <w:pPr>
        <w:spacing w:line="240" w:lineRule="auto"/>
        <w:rPr>
          <w:rFonts w:eastAsia="Times New Roman" w:cs="Arial"/>
          <w:i/>
          <w:iCs/>
          <w:color w:val="000000"/>
          <w:lang w:eastAsia="bg-BG"/>
        </w:rPr>
      </w:pPr>
    </w:p>
    <w:p w14:paraId="2FD7E44C" w14:textId="710C97A4"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Хронично бъбречно заболяване без зависимост от хемодиализа</w:t>
      </w:r>
    </w:p>
    <w:p w14:paraId="085E0E74"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Проучване </w:t>
      </w:r>
      <w:r w:rsidRPr="00D216FF">
        <w:rPr>
          <w:rFonts w:eastAsia="Times New Roman" w:cs="Arial"/>
          <w:color w:val="000000"/>
          <w:lang w:val="ru-RU"/>
        </w:rPr>
        <w:t>1</w:t>
      </w:r>
      <w:r w:rsidRPr="00D216FF">
        <w:rPr>
          <w:rFonts w:eastAsia="Times New Roman" w:cs="Arial"/>
          <w:color w:val="000000"/>
          <w:lang w:val="en-US"/>
        </w:rPr>
        <w:t>VIT</w:t>
      </w:r>
      <w:r w:rsidRPr="00D216FF">
        <w:rPr>
          <w:rFonts w:eastAsia="Times New Roman" w:cs="Arial"/>
          <w:color w:val="000000"/>
          <w:lang w:val="ru-RU"/>
        </w:rPr>
        <w:t xml:space="preserve">04004 </w:t>
      </w:r>
      <w:r w:rsidRPr="00D216FF">
        <w:rPr>
          <w:rFonts w:eastAsia="Times New Roman" w:cs="Arial"/>
          <w:color w:val="000000"/>
          <w:lang w:eastAsia="bg-BG"/>
        </w:rPr>
        <w:t>е отворено, рандомизирано, активно контролирано проучване, оценяващо безопасността и ефикасността на Феринжект (</w:t>
      </w:r>
      <w:r w:rsidRPr="00D216FF">
        <w:rPr>
          <w:rFonts w:eastAsia="Times New Roman" w:cs="Arial"/>
          <w:color w:val="000000"/>
          <w:lang w:val="en-US"/>
        </w:rPr>
        <w:t>n</w:t>
      </w:r>
      <w:r w:rsidRPr="00D216FF">
        <w:rPr>
          <w:rFonts w:eastAsia="Times New Roman" w:cs="Arial"/>
          <w:color w:val="000000"/>
          <w:lang w:eastAsia="bg-BG"/>
        </w:rPr>
        <w:t>=147) спрямо перорален прием на желязо (</w:t>
      </w:r>
      <w:r w:rsidRPr="00D216FF">
        <w:rPr>
          <w:rFonts w:eastAsia="Times New Roman" w:cs="Arial"/>
          <w:color w:val="000000"/>
          <w:lang w:val="en-US"/>
        </w:rPr>
        <w:t>n</w:t>
      </w:r>
      <w:r w:rsidRPr="00D216FF">
        <w:rPr>
          <w:rFonts w:eastAsia="Times New Roman" w:cs="Arial"/>
          <w:color w:val="000000"/>
          <w:lang w:eastAsia="bg-BG"/>
        </w:rPr>
        <w:t xml:space="preserve">=103). Участниците от групата на Феринжект получават 1 000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на изходното ниво и 500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в ден 14 и 28, ако насищането с трансферни </w:t>
      </w:r>
      <w:r w:rsidRPr="00D216FF">
        <w:rPr>
          <w:rFonts w:eastAsia="Times New Roman" w:cs="Arial"/>
          <w:color w:val="000000"/>
          <w:lang w:val="ru-RU"/>
        </w:rPr>
        <w:t>(</w:t>
      </w:r>
      <w:r w:rsidRPr="00D216FF">
        <w:rPr>
          <w:rFonts w:eastAsia="Times New Roman" w:cs="Arial"/>
          <w:color w:val="000000"/>
          <w:lang w:val="en-US"/>
        </w:rPr>
        <w:t>TSAT</w:t>
      </w:r>
      <w:r w:rsidRPr="00D216FF">
        <w:rPr>
          <w:rFonts w:eastAsia="Times New Roman" w:cs="Arial"/>
          <w:color w:val="000000"/>
          <w:lang w:val="ru-RU"/>
        </w:rPr>
        <w:t xml:space="preserve">) </w:t>
      </w:r>
      <w:r w:rsidRPr="00D216FF">
        <w:rPr>
          <w:rFonts w:eastAsia="Times New Roman" w:cs="Arial"/>
          <w:color w:val="000000"/>
          <w:lang w:eastAsia="bg-BG"/>
        </w:rPr>
        <w:t xml:space="preserve">е &lt; 30% и серумният феритин е &lt; 500 </w:t>
      </w:r>
      <w:r w:rsidRPr="00D216FF">
        <w:rPr>
          <w:rFonts w:eastAsia="Times New Roman" w:cs="Arial"/>
          <w:color w:val="000000"/>
          <w:lang w:val="en-US"/>
        </w:rPr>
        <w:t>ng</w:t>
      </w:r>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при съответната визита. Участниците в групата с перорален прием на желязо получават 65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желязо три пъти дневно под формата на железен сулфат от началото до ден 56. Те са проследявани до ден 56. Първичната крайна точка на ефикасност е процентът на участниците, достигнали увеличение на Н</w:t>
      </w:r>
      <w:r w:rsidRPr="00D216FF">
        <w:rPr>
          <w:rFonts w:eastAsia="Times New Roman" w:cs="Arial"/>
          <w:color w:val="000000"/>
          <w:lang w:val="en-US"/>
        </w:rPr>
        <w:t>b</w:t>
      </w:r>
      <w:r w:rsidRPr="00D216FF">
        <w:rPr>
          <w:rFonts w:eastAsia="Times New Roman" w:cs="Arial"/>
          <w:color w:val="000000"/>
          <w:lang w:eastAsia="bg-BG"/>
        </w:rPr>
        <w:t xml:space="preserve"> от </w:t>
      </w:r>
      <w:r w:rsidRPr="00D216FF">
        <w:rPr>
          <w:rFonts w:eastAsia="Times New Roman" w:cs="Arial"/>
          <w:color w:val="000000"/>
          <w:lang w:val="ru-RU"/>
        </w:rPr>
        <w:t>≥</w:t>
      </w:r>
      <w:r w:rsidRPr="00D216FF">
        <w:rPr>
          <w:rFonts w:eastAsia="Times New Roman" w:cs="Arial"/>
          <w:color w:val="000000"/>
          <w:lang w:eastAsia="bg-BG"/>
        </w:rPr>
        <w:t xml:space="preserve"> 1,0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 xml:space="preserve">по всяко време между началото и края на проучването или времето на интервенция. Това е постигнато от 60,54% от участниците, получаващи Феринжект, спрямо 34,7% от участниците в групата с перорален прием на желязо (р&lt;0,001). Средната промяна в хемоглобина до ден 56/края на проучването е 1,0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 xml:space="preserve">в </w:t>
      </w:r>
      <w:r w:rsidRPr="00D216FF">
        <w:rPr>
          <w:rFonts w:eastAsia="Times New Roman" w:cs="Arial"/>
          <w:color w:val="000000"/>
          <w:lang w:eastAsia="bg-BG"/>
        </w:rPr>
        <w:lastRenderedPageBreak/>
        <w:t xml:space="preserve">групата, получавала Феринжект, и 0,7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в групата с перорален прием на желязо. (р=0,034, 95% ДИ: 0,0; 0,7).</w:t>
      </w:r>
    </w:p>
    <w:p w14:paraId="486F4DE8" w14:textId="77777777" w:rsidR="00D216FF" w:rsidRPr="00D216FF" w:rsidRDefault="00D216FF" w:rsidP="00D216FF">
      <w:pPr>
        <w:spacing w:line="240" w:lineRule="auto"/>
        <w:rPr>
          <w:rFonts w:eastAsia="Times New Roman" w:cs="Arial"/>
          <w:i/>
          <w:iCs/>
          <w:color w:val="000000"/>
          <w:u w:val="single"/>
          <w:lang w:eastAsia="bg-BG"/>
        </w:rPr>
      </w:pPr>
    </w:p>
    <w:p w14:paraId="1B5D3FA0" w14:textId="625DED8E"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u w:val="single"/>
          <w:lang w:eastAsia="bg-BG"/>
        </w:rPr>
        <w:t>Гастроентерология</w:t>
      </w:r>
    </w:p>
    <w:p w14:paraId="73BE30AA" w14:textId="77777777" w:rsidR="00D216FF" w:rsidRPr="00D216FF" w:rsidRDefault="00D216FF" w:rsidP="00D216FF">
      <w:pPr>
        <w:spacing w:line="240" w:lineRule="auto"/>
        <w:rPr>
          <w:rFonts w:eastAsia="Times New Roman" w:cs="Arial"/>
          <w:i/>
          <w:iCs/>
          <w:color w:val="000000"/>
          <w:lang w:eastAsia="bg-BG"/>
        </w:rPr>
      </w:pPr>
    </w:p>
    <w:p w14:paraId="635E9B8A" w14:textId="738FEE84"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Възпалително заболяване на червата</w:t>
      </w:r>
    </w:p>
    <w:p w14:paraId="3F81E2BC"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Проучване </w:t>
      </w:r>
      <w:r w:rsidRPr="00D216FF">
        <w:rPr>
          <w:rFonts w:eastAsia="Times New Roman" w:cs="Arial"/>
          <w:color w:val="000000"/>
          <w:lang w:val="en-US"/>
        </w:rPr>
        <w:t>VIT</w:t>
      </w:r>
      <w:r w:rsidRPr="00D216FF">
        <w:rPr>
          <w:rFonts w:eastAsia="Times New Roman" w:cs="Arial"/>
          <w:color w:val="000000"/>
          <w:lang w:val="ru-RU"/>
        </w:rPr>
        <w:t>-</w:t>
      </w:r>
      <w:r w:rsidRPr="00D216FF">
        <w:rPr>
          <w:rFonts w:eastAsia="Times New Roman" w:cs="Arial"/>
          <w:color w:val="000000"/>
          <w:lang w:val="en-US"/>
        </w:rPr>
        <w:t>IV</w:t>
      </w:r>
      <w:r w:rsidRPr="00D216FF">
        <w:rPr>
          <w:rFonts w:eastAsia="Times New Roman" w:cs="Arial"/>
          <w:color w:val="000000"/>
          <w:lang w:val="ru-RU"/>
        </w:rPr>
        <w:t>-</w:t>
      </w:r>
      <w:r w:rsidRPr="00D216FF">
        <w:rPr>
          <w:rFonts w:eastAsia="Times New Roman" w:cs="Arial"/>
          <w:color w:val="000000"/>
          <w:lang w:val="en-US"/>
        </w:rPr>
        <w:t>CL</w:t>
      </w:r>
      <w:r w:rsidRPr="00D216FF">
        <w:rPr>
          <w:rFonts w:eastAsia="Times New Roman" w:cs="Arial"/>
          <w:color w:val="000000"/>
          <w:lang w:val="ru-RU"/>
        </w:rPr>
        <w:t xml:space="preserve">-008 </w:t>
      </w:r>
      <w:r w:rsidRPr="00D216FF">
        <w:rPr>
          <w:rFonts w:eastAsia="Times New Roman" w:cs="Arial"/>
          <w:color w:val="000000"/>
          <w:lang w:eastAsia="bg-BG"/>
        </w:rPr>
        <w:t xml:space="preserve">е рандомизирано, отворено проучване, сравняващо ефикасността на Феринжект с перорален прием на железен сулфат за намаляване на желязодефицитната анемия при участници с възпалително заболяване на червата (ВЗЧ). Участниците получават Феринжект </w:t>
      </w:r>
      <w:r w:rsidRPr="00D216FF">
        <w:rPr>
          <w:rFonts w:eastAsia="Times New Roman" w:cs="Arial"/>
          <w:color w:val="000000"/>
          <w:lang w:val="ru-RU"/>
        </w:rPr>
        <w:t>(</w:t>
      </w:r>
      <w:r w:rsidRPr="00D216FF">
        <w:rPr>
          <w:rFonts w:eastAsia="Times New Roman" w:cs="Arial"/>
          <w:color w:val="000000"/>
          <w:lang w:val="en-US"/>
        </w:rPr>
        <w:t>n</w:t>
      </w:r>
      <w:r w:rsidRPr="00D216FF">
        <w:rPr>
          <w:rFonts w:eastAsia="Times New Roman" w:cs="Arial"/>
          <w:color w:val="000000"/>
          <w:lang w:val="ru-RU"/>
        </w:rPr>
        <w:t>=</w:t>
      </w:r>
      <w:r w:rsidRPr="00D216FF">
        <w:rPr>
          <w:rFonts w:eastAsia="Times New Roman" w:cs="Arial"/>
          <w:color w:val="000000"/>
          <w:lang w:val="en-US"/>
        </w:rPr>
        <w:t>l</w:t>
      </w:r>
      <w:r w:rsidRPr="00D216FF">
        <w:rPr>
          <w:rFonts w:eastAsia="Times New Roman" w:cs="Arial"/>
          <w:color w:val="000000"/>
          <w:lang w:eastAsia="bg-BG"/>
        </w:rPr>
        <w:t xml:space="preserve">11) в единични дози до 1 000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веднъж седмично до достигане на индивидуално изчислената доза (съгласно формулата на </w:t>
      </w:r>
      <w:proofErr w:type="spellStart"/>
      <w:r w:rsidRPr="00D216FF">
        <w:rPr>
          <w:rFonts w:eastAsia="Times New Roman" w:cs="Arial"/>
          <w:color w:val="000000"/>
          <w:lang w:val="en-US"/>
        </w:rPr>
        <w:t>Ganzoni</w:t>
      </w:r>
      <w:proofErr w:type="spellEnd"/>
      <w:r w:rsidRPr="00D216FF">
        <w:rPr>
          <w:rFonts w:eastAsia="Times New Roman" w:cs="Arial"/>
          <w:color w:val="000000"/>
          <w:lang w:val="ru-RU"/>
        </w:rPr>
        <w:t xml:space="preserve">) </w:t>
      </w:r>
      <w:r w:rsidRPr="00D216FF">
        <w:rPr>
          <w:rFonts w:eastAsia="Times New Roman" w:cs="Arial"/>
          <w:color w:val="000000"/>
          <w:lang w:eastAsia="bg-BG"/>
        </w:rPr>
        <w:t xml:space="preserve">(средна кумулативна доза желязо: 1 490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или 100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два пъти дневно като железен сулфат (</w:t>
      </w:r>
      <w:r w:rsidRPr="00D216FF">
        <w:rPr>
          <w:rFonts w:eastAsia="Times New Roman" w:cs="Arial"/>
          <w:color w:val="000000"/>
          <w:lang w:val="en-US"/>
        </w:rPr>
        <w:t>n</w:t>
      </w:r>
      <w:r w:rsidRPr="00D216FF">
        <w:rPr>
          <w:rFonts w:eastAsia="Times New Roman" w:cs="Arial"/>
          <w:color w:val="000000"/>
          <w:lang w:eastAsia="bg-BG"/>
        </w:rPr>
        <w:t xml:space="preserve">=49) в продължение на 12 седмици. Участниците, получаващи Феринжект, показават средно увеличение на НЬ от изходното ниво до седмица 12 от 3,83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 xml:space="preserve">което не е по-малко от 12-седмична терапия с двукратна дневна доза от железен сулфат (3,75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р=0,8016).</w:t>
      </w:r>
    </w:p>
    <w:p w14:paraId="74E42BD2"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Проучване </w:t>
      </w:r>
      <w:r w:rsidRPr="00D216FF">
        <w:rPr>
          <w:rFonts w:eastAsia="Times New Roman" w:cs="Arial"/>
          <w:color w:val="000000"/>
          <w:lang w:val="en-US"/>
        </w:rPr>
        <w:t>FER</w:t>
      </w:r>
      <w:r w:rsidRPr="00D216FF">
        <w:rPr>
          <w:rFonts w:eastAsia="Times New Roman" w:cs="Arial"/>
          <w:color w:val="000000"/>
          <w:lang w:val="ru-RU"/>
        </w:rPr>
        <w:t>-</w:t>
      </w:r>
      <w:r w:rsidRPr="00D216FF">
        <w:rPr>
          <w:rFonts w:eastAsia="Times New Roman" w:cs="Arial"/>
          <w:color w:val="000000"/>
          <w:lang w:val="en-US"/>
        </w:rPr>
        <w:t>IBD</w:t>
      </w:r>
      <w:r w:rsidRPr="00D216FF">
        <w:rPr>
          <w:rFonts w:eastAsia="Times New Roman" w:cs="Arial"/>
          <w:color w:val="000000"/>
          <w:lang w:val="ru-RU"/>
        </w:rPr>
        <w:t>-07-</w:t>
      </w:r>
      <w:r w:rsidRPr="00D216FF">
        <w:rPr>
          <w:rFonts w:eastAsia="Times New Roman" w:cs="Arial"/>
          <w:color w:val="000000"/>
          <w:lang w:val="en-US"/>
        </w:rPr>
        <w:t>COR</w:t>
      </w:r>
      <w:r w:rsidRPr="00D216FF">
        <w:rPr>
          <w:rFonts w:eastAsia="Times New Roman" w:cs="Arial"/>
          <w:color w:val="000000"/>
          <w:lang w:val="ru-RU"/>
        </w:rPr>
        <w:t xml:space="preserve"> </w:t>
      </w:r>
      <w:r w:rsidRPr="00D216FF">
        <w:rPr>
          <w:rFonts w:eastAsia="Times New Roman" w:cs="Arial"/>
          <w:color w:val="000000"/>
          <w:lang w:eastAsia="bg-BG"/>
        </w:rPr>
        <w:t xml:space="preserve">е рандомизирано, отворено проучване, сравняващо ефикасността на Феринжект и захарозен комплекс на желязото при участници с ремитентна или лека форма на възпалително заболяване на червата. Дозите на участниците, получаващи Феринжект, са определени съгласно опростена дозираща решетка чрез използване на изходното ниво на НЬ и телесното тегло (вж. точка 4.2) в единични дози до 1 000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докато дозите на участниците, получаващи захарозен комплекс на желязото, са изчислени индивидуално чрез формулата на </w:t>
      </w:r>
      <w:proofErr w:type="spellStart"/>
      <w:r w:rsidRPr="00D216FF">
        <w:rPr>
          <w:rFonts w:eastAsia="Times New Roman" w:cs="Arial"/>
          <w:color w:val="000000"/>
          <w:lang w:val="en-US"/>
        </w:rPr>
        <w:t>Ganzoni</w:t>
      </w:r>
      <w:proofErr w:type="spellEnd"/>
      <w:r w:rsidRPr="00D216FF">
        <w:rPr>
          <w:rFonts w:eastAsia="Times New Roman" w:cs="Arial"/>
          <w:color w:val="000000"/>
          <w:lang w:val="ru-RU"/>
        </w:rPr>
        <w:t xml:space="preserve">, </w:t>
      </w:r>
      <w:r w:rsidRPr="00D216FF">
        <w:rPr>
          <w:rFonts w:eastAsia="Times New Roman" w:cs="Arial"/>
          <w:color w:val="000000"/>
          <w:lang w:eastAsia="bg-BG"/>
        </w:rPr>
        <w:t xml:space="preserve">от 200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до достигане на кумулативната доза. Участниците са проследявани в продължение на 12 седмици. 65,8% от участниците, получаващи Феринжект (п=240; средна кумулативна доза желязо: 1414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спрямо 53,6%, получили захарозен комплекс на желязото (</w:t>
      </w:r>
      <w:r w:rsidRPr="00D216FF">
        <w:rPr>
          <w:rFonts w:eastAsia="Times New Roman" w:cs="Arial"/>
          <w:color w:val="000000"/>
          <w:lang w:val="en-US"/>
        </w:rPr>
        <w:t>n</w:t>
      </w:r>
      <w:r w:rsidRPr="00D216FF">
        <w:rPr>
          <w:rFonts w:eastAsia="Times New Roman" w:cs="Arial"/>
          <w:color w:val="000000"/>
          <w:lang w:eastAsia="bg-BG"/>
        </w:rPr>
        <w:t xml:space="preserve">=235; средна кумулативна доза 1 207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р=0,004), са повлияни в седмица 12 (определено като увеличение на НЬ </w:t>
      </w:r>
      <w:r w:rsidRPr="00D216FF">
        <w:rPr>
          <w:rFonts w:eastAsia="Times New Roman" w:cs="Arial"/>
          <w:color w:val="000000"/>
          <w:lang w:val="ru-RU"/>
        </w:rPr>
        <w:t>≥</w:t>
      </w:r>
      <w:r w:rsidRPr="00D216FF">
        <w:rPr>
          <w:rFonts w:eastAsia="Times New Roman" w:cs="Arial"/>
          <w:color w:val="000000"/>
          <w:lang w:eastAsia="bg-BG"/>
        </w:rPr>
        <w:t xml:space="preserve">2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 xml:space="preserve">83,8% от лекуваните с Феринжект участници достигат увеличение на НЬ </w:t>
      </w:r>
      <w:r w:rsidRPr="00D216FF">
        <w:rPr>
          <w:rFonts w:eastAsia="Times New Roman" w:cs="Arial"/>
          <w:color w:val="000000"/>
          <w:lang w:val="ru-RU"/>
        </w:rPr>
        <w:t>≥</w:t>
      </w:r>
      <w:r w:rsidRPr="00D216FF">
        <w:rPr>
          <w:rFonts w:eastAsia="Times New Roman" w:cs="Arial"/>
          <w:color w:val="000000"/>
          <w:lang w:eastAsia="bg-BG"/>
        </w:rPr>
        <w:t xml:space="preserve">2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или НЬ е в нормалните граници през седмица 12 (р=0,019) спрямо 75,9% от лекуваните със захарозен комплекс на желязото.</w:t>
      </w:r>
    </w:p>
    <w:p w14:paraId="6A213941" w14:textId="77777777" w:rsidR="00D216FF" w:rsidRPr="00D216FF" w:rsidRDefault="00D216FF" w:rsidP="00D216FF">
      <w:pPr>
        <w:spacing w:line="240" w:lineRule="auto"/>
        <w:rPr>
          <w:rFonts w:eastAsia="Times New Roman" w:cs="Arial"/>
          <w:i/>
          <w:iCs/>
          <w:color w:val="000000"/>
          <w:u w:val="single"/>
          <w:lang w:eastAsia="bg-BG"/>
        </w:rPr>
      </w:pPr>
    </w:p>
    <w:p w14:paraId="70721C36" w14:textId="1BF3917D"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u w:val="single"/>
          <w:lang w:eastAsia="bg-BG"/>
        </w:rPr>
        <w:t>Женско здраве</w:t>
      </w:r>
    </w:p>
    <w:p w14:paraId="34992E3F" w14:textId="77777777" w:rsidR="00D216FF" w:rsidRPr="00D216FF" w:rsidRDefault="00D216FF" w:rsidP="00D216FF">
      <w:pPr>
        <w:spacing w:line="240" w:lineRule="auto"/>
        <w:rPr>
          <w:rFonts w:eastAsia="Times New Roman" w:cs="Arial"/>
          <w:i/>
          <w:iCs/>
          <w:color w:val="000000"/>
          <w:lang w:eastAsia="bg-BG"/>
        </w:rPr>
      </w:pPr>
    </w:p>
    <w:p w14:paraId="64B12672" w14:textId="179E7272"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След раждане</w:t>
      </w:r>
    </w:p>
    <w:p w14:paraId="5D74F805" w14:textId="77777777" w:rsidR="00D216FF" w:rsidRPr="00D216FF" w:rsidRDefault="00D216FF" w:rsidP="00D216FF">
      <w:pPr>
        <w:rPr>
          <w:rFonts w:eastAsia="Times New Roman" w:cs="Arial"/>
          <w:sz w:val="24"/>
          <w:szCs w:val="24"/>
        </w:rPr>
      </w:pPr>
      <w:r w:rsidRPr="00D216FF">
        <w:rPr>
          <w:rFonts w:eastAsia="Times New Roman" w:cs="Arial"/>
          <w:color w:val="000000"/>
          <w:lang w:eastAsia="bg-BG"/>
        </w:rPr>
        <w:t xml:space="preserve">Проучване </w:t>
      </w:r>
      <w:r w:rsidRPr="00D216FF">
        <w:rPr>
          <w:rFonts w:eastAsia="Times New Roman" w:cs="Arial"/>
          <w:color w:val="000000"/>
          <w:lang w:val="en-US"/>
        </w:rPr>
        <w:t>VIT</w:t>
      </w:r>
      <w:r w:rsidRPr="00D216FF">
        <w:rPr>
          <w:rFonts w:eastAsia="Times New Roman" w:cs="Arial"/>
          <w:color w:val="000000"/>
          <w:lang w:val="ru-RU"/>
        </w:rPr>
        <w:t>-</w:t>
      </w:r>
      <w:r w:rsidRPr="00D216FF">
        <w:rPr>
          <w:rFonts w:eastAsia="Times New Roman" w:cs="Arial"/>
          <w:color w:val="000000"/>
          <w:lang w:val="en-US"/>
        </w:rPr>
        <w:t>IV</w:t>
      </w:r>
      <w:r w:rsidRPr="00D216FF">
        <w:rPr>
          <w:rFonts w:eastAsia="Times New Roman" w:cs="Arial"/>
          <w:color w:val="000000"/>
          <w:lang w:val="ru-RU"/>
        </w:rPr>
        <w:t>-</w:t>
      </w:r>
      <w:r w:rsidRPr="00D216FF">
        <w:rPr>
          <w:rFonts w:eastAsia="Times New Roman" w:cs="Arial"/>
          <w:color w:val="000000"/>
          <w:lang w:val="en-US"/>
        </w:rPr>
        <w:t>CL</w:t>
      </w:r>
      <w:r w:rsidRPr="00D216FF">
        <w:rPr>
          <w:rFonts w:eastAsia="Times New Roman" w:cs="Arial"/>
          <w:color w:val="000000"/>
          <w:lang w:val="ru-RU"/>
        </w:rPr>
        <w:t xml:space="preserve">-009 </w:t>
      </w:r>
      <w:r w:rsidRPr="00D216FF">
        <w:rPr>
          <w:rFonts w:eastAsia="Times New Roman" w:cs="Arial"/>
          <w:color w:val="000000"/>
          <w:lang w:eastAsia="bg-BG"/>
        </w:rPr>
        <w:t>е рандомизирано, отворено проучване за не по-малка</w:t>
      </w:r>
      <w:r w:rsidRPr="00D216FF">
        <w:rPr>
          <w:rFonts w:eastAsia="Times New Roman" w:cs="Arial"/>
          <w:color w:val="000000"/>
          <w:lang w:val="ru-RU"/>
        </w:rPr>
        <w:t xml:space="preserve"> </w:t>
      </w:r>
      <w:r w:rsidRPr="00D216FF">
        <w:rPr>
          <w:rFonts w:eastAsia="Times New Roman" w:cs="Arial"/>
          <w:color w:val="000000"/>
          <w:lang w:eastAsia="bg-BG"/>
        </w:rPr>
        <w:t>ефикасност, сравняващо ефикасността на Феринжект (</w:t>
      </w:r>
      <w:r w:rsidRPr="00D216FF">
        <w:rPr>
          <w:rFonts w:eastAsia="Times New Roman" w:cs="Arial"/>
          <w:color w:val="000000"/>
          <w:lang w:val="en-US"/>
        </w:rPr>
        <w:t>n</w:t>
      </w:r>
      <w:r w:rsidRPr="00D216FF">
        <w:rPr>
          <w:rFonts w:eastAsia="Times New Roman" w:cs="Arial"/>
          <w:color w:val="000000"/>
          <w:lang w:eastAsia="bg-BG"/>
        </w:rPr>
        <w:t>=227) с тази на железен сулфат (</w:t>
      </w:r>
      <w:r w:rsidRPr="00D216FF">
        <w:rPr>
          <w:rFonts w:eastAsia="Times New Roman" w:cs="Arial"/>
          <w:color w:val="000000"/>
          <w:lang w:val="en-US"/>
        </w:rPr>
        <w:t>n</w:t>
      </w:r>
      <w:r w:rsidRPr="00D216FF">
        <w:rPr>
          <w:rFonts w:eastAsia="Times New Roman" w:cs="Arial"/>
          <w:color w:val="000000"/>
          <w:lang w:val="ru-RU"/>
        </w:rPr>
        <w:t xml:space="preserve">=117) </w:t>
      </w:r>
      <w:r w:rsidRPr="00D216FF">
        <w:rPr>
          <w:rFonts w:eastAsia="Times New Roman" w:cs="Arial"/>
          <w:color w:val="000000"/>
          <w:lang w:eastAsia="bg-BG"/>
        </w:rPr>
        <w:t xml:space="preserve">при жени страдащи от следродилна анемия. Участниците получават или Феринжект в единични дози до 1 000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до достигане на индивидуално изчислената кумулативна доза желязо (съгласно формулата на </w:t>
      </w:r>
      <w:proofErr w:type="spellStart"/>
      <w:r w:rsidRPr="00D216FF">
        <w:rPr>
          <w:rFonts w:eastAsia="Times New Roman" w:cs="Arial"/>
          <w:color w:val="000000"/>
          <w:lang w:val="en-US"/>
        </w:rPr>
        <w:t>Ganzoni</w:t>
      </w:r>
      <w:proofErr w:type="spellEnd"/>
      <w:r w:rsidRPr="00D216FF">
        <w:rPr>
          <w:rFonts w:eastAsia="Times New Roman" w:cs="Arial"/>
          <w:color w:val="000000"/>
          <w:lang w:val="ru-RU"/>
        </w:rPr>
        <w:t xml:space="preserve">), </w:t>
      </w:r>
      <w:r w:rsidRPr="00D216FF">
        <w:rPr>
          <w:rFonts w:eastAsia="Times New Roman" w:cs="Arial"/>
          <w:color w:val="000000"/>
          <w:lang w:eastAsia="bg-BG"/>
        </w:rPr>
        <w:t xml:space="preserve">или 100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желязо като перорален железен сулфат два пъти</w:t>
      </w:r>
      <w:r w:rsidRPr="00D216FF">
        <w:rPr>
          <w:rFonts w:eastAsia="Times New Roman" w:cs="Arial"/>
          <w:sz w:val="24"/>
          <w:szCs w:val="24"/>
          <w:lang w:val="ru-RU"/>
        </w:rPr>
        <w:t xml:space="preserve"> </w:t>
      </w:r>
      <w:r w:rsidRPr="00D216FF">
        <w:rPr>
          <w:rFonts w:eastAsia="Times New Roman" w:cs="Arial"/>
          <w:color w:val="000000"/>
          <w:lang w:eastAsia="bg-BG"/>
        </w:rPr>
        <w:t xml:space="preserve">дневно в продължение на 12 седмици. Участниците са проследявани в продължение на 12 седмици. Средната промяна в НЬ от началото до седмица 12 е 3,37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в групата, получаваща Феринжект (</w:t>
      </w:r>
      <w:r w:rsidRPr="00D216FF">
        <w:rPr>
          <w:rFonts w:eastAsia="Times New Roman" w:cs="Arial"/>
          <w:color w:val="000000"/>
          <w:lang w:val="en-US"/>
        </w:rPr>
        <w:t>n</w:t>
      </w:r>
      <w:r w:rsidRPr="00D216FF">
        <w:rPr>
          <w:rFonts w:eastAsia="Times New Roman" w:cs="Arial"/>
          <w:color w:val="000000"/>
          <w:lang w:eastAsia="bg-BG"/>
        </w:rPr>
        <w:t xml:space="preserve">=179; средна кумулативна доза желязо: 1 347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в сравнение с 3,29 </w:t>
      </w:r>
      <w:r w:rsidRPr="00D216FF">
        <w:rPr>
          <w:rFonts w:eastAsia="Times New Roman" w:cs="Arial"/>
          <w:color w:val="000000"/>
          <w:lang w:val="en-US"/>
        </w:rPr>
        <w:t>g</w:t>
      </w:r>
      <w:r w:rsidRPr="00D216FF">
        <w:rPr>
          <w:rFonts w:eastAsia="Times New Roman" w:cs="Arial"/>
          <w:color w:val="000000"/>
          <w:lang w:val="ru-RU"/>
        </w:rPr>
        <w:t>/</w:t>
      </w:r>
      <w:r w:rsidRPr="00D216FF">
        <w:rPr>
          <w:rFonts w:eastAsia="Times New Roman" w:cs="Arial"/>
          <w:color w:val="000000"/>
          <w:lang w:val="en-US"/>
        </w:rPr>
        <w:t>dl</w:t>
      </w:r>
      <w:r w:rsidRPr="00D216FF">
        <w:rPr>
          <w:rFonts w:eastAsia="Times New Roman" w:cs="Arial"/>
          <w:color w:val="000000"/>
          <w:lang w:val="ru-RU"/>
        </w:rPr>
        <w:t xml:space="preserve"> </w:t>
      </w:r>
      <w:r w:rsidRPr="00D216FF">
        <w:rPr>
          <w:rFonts w:eastAsia="Times New Roman" w:cs="Arial"/>
          <w:color w:val="000000"/>
          <w:lang w:eastAsia="bg-BG"/>
        </w:rPr>
        <w:t>в групата, получаваща железен сулфат (п=89), което показва, че леченията са с еднаква ефикасност.</w:t>
      </w:r>
    </w:p>
    <w:p w14:paraId="44820CA5" w14:textId="77777777" w:rsidR="00D216FF" w:rsidRPr="00D216FF" w:rsidRDefault="00D216FF" w:rsidP="00D216FF">
      <w:pPr>
        <w:spacing w:line="240" w:lineRule="auto"/>
        <w:rPr>
          <w:rFonts w:eastAsia="Times New Roman" w:cs="Arial"/>
          <w:i/>
          <w:iCs/>
          <w:color w:val="000000"/>
          <w:lang w:eastAsia="bg-BG"/>
        </w:rPr>
      </w:pPr>
    </w:p>
    <w:p w14:paraId="6B5BB0C1" w14:textId="6B700BD0" w:rsidR="00D216FF" w:rsidRPr="00D216FF" w:rsidRDefault="00D216FF" w:rsidP="00D216FF">
      <w:pPr>
        <w:spacing w:line="240" w:lineRule="auto"/>
        <w:rPr>
          <w:rFonts w:eastAsia="Times New Roman" w:cs="Arial"/>
          <w:sz w:val="24"/>
          <w:szCs w:val="24"/>
        </w:rPr>
      </w:pPr>
      <w:r w:rsidRPr="00D216FF">
        <w:rPr>
          <w:rFonts w:eastAsia="Times New Roman" w:cs="Arial"/>
          <w:i/>
          <w:iCs/>
          <w:color w:val="000000"/>
          <w:lang w:eastAsia="bg-BG"/>
        </w:rPr>
        <w:t>Бременност</w:t>
      </w:r>
    </w:p>
    <w:p w14:paraId="3798CD41"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Интравенозни медикаменти, съдържащи желязо, не трябва да се използват по време на бременност, освен ако няма ясна необходимост за това. Лечението с Феринжект трябва да бъде ограничено до второто и третото тримесечие, ако бъде преценено, че ползите надвишават потенциалния риск за майката и фетуса, вижте точка 4.6.</w:t>
      </w:r>
    </w:p>
    <w:p w14:paraId="4CCCE4BD" w14:textId="77777777" w:rsidR="00D216FF" w:rsidRPr="00D216FF" w:rsidRDefault="00D216FF" w:rsidP="00D216FF">
      <w:pPr>
        <w:spacing w:line="240" w:lineRule="auto"/>
        <w:rPr>
          <w:rFonts w:eastAsia="Times New Roman" w:cs="Arial"/>
          <w:color w:val="000000"/>
          <w:lang w:eastAsia="bg-BG"/>
        </w:rPr>
      </w:pPr>
    </w:p>
    <w:p w14:paraId="7C071B3D" w14:textId="42F1AED4"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Налице са ограничени данни за безопасността при бременни жени от проучване </w:t>
      </w:r>
      <w:r w:rsidRPr="00D216FF">
        <w:rPr>
          <w:rFonts w:eastAsia="Times New Roman" w:cs="Arial"/>
          <w:color w:val="000000"/>
          <w:lang w:val="en-US"/>
        </w:rPr>
        <w:t>FER</w:t>
      </w:r>
      <w:r w:rsidRPr="00D216FF">
        <w:rPr>
          <w:rFonts w:eastAsia="Times New Roman" w:cs="Arial"/>
          <w:color w:val="000000"/>
          <w:lang w:val="ru-RU"/>
        </w:rPr>
        <w:t>-</w:t>
      </w:r>
      <w:r w:rsidRPr="00D216FF">
        <w:rPr>
          <w:rFonts w:eastAsia="Times New Roman" w:cs="Arial"/>
          <w:color w:val="000000"/>
          <w:lang w:val="en-US"/>
        </w:rPr>
        <w:t>ASAP</w:t>
      </w:r>
      <w:r w:rsidRPr="00D216FF">
        <w:rPr>
          <w:rFonts w:eastAsia="Times New Roman" w:cs="Arial"/>
          <w:color w:val="000000"/>
          <w:lang w:val="ru-RU"/>
        </w:rPr>
        <w:t xml:space="preserve">-2009-01, </w:t>
      </w:r>
      <w:r w:rsidRPr="00D216FF">
        <w:rPr>
          <w:rFonts w:eastAsia="Times New Roman" w:cs="Arial"/>
          <w:color w:val="000000"/>
          <w:lang w:eastAsia="bg-BG"/>
        </w:rPr>
        <w:t>рандомизирано, открито проучване, сравняващо Феринжект (</w:t>
      </w:r>
      <w:r w:rsidRPr="00D216FF">
        <w:rPr>
          <w:rFonts w:eastAsia="Times New Roman" w:cs="Arial"/>
          <w:color w:val="000000"/>
          <w:lang w:val="en-US"/>
        </w:rPr>
        <w:t>n</w:t>
      </w:r>
      <w:r w:rsidRPr="00D216FF">
        <w:rPr>
          <w:rFonts w:eastAsia="Times New Roman" w:cs="Arial"/>
          <w:color w:val="000000"/>
          <w:lang w:eastAsia="bg-BG"/>
        </w:rPr>
        <w:t xml:space="preserve">=121) с перорален железен сулфат </w:t>
      </w:r>
      <w:r w:rsidRPr="00D216FF">
        <w:rPr>
          <w:rFonts w:eastAsia="Times New Roman" w:cs="Arial"/>
          <w:color w:val="000000"/>
          <w:lang w:val="ru-RU"/>
        </w:rPr>
        <w:t>(</w:t>
      </w:r>
      <w:r w:rsidRPr="00D216FF">
        <w:rPr>
          <w:rFonts w:eastAsia="Times New Roman" w:cs="Arial"/>
          <w:color w:val="000000"/>
          <w:lang w:val="en-US"/>
        </w:rPr>
        <w:t>n</w:t>
      </w:r>
      <w:r w:rsidRPr="00D216FF">
        <w:rPr>
          <w:rFonts w:eastAsia="Times New Roman" w:cs="Arial"/>
          <w:color w:val="000000"/>
          <w:lang w:val="ru-RU"/>
        </w:rPr>
        <w:t>=</w:t>
      </w:r>
      <w:r w:rsidRPr="00D216FF">
        <w:rPr>
          <w:rFonts w:eastAsia="Times New Roman" w:cs="Arial"/>
          <w:color w:val="000000"/>
          <w:lang w:val="en-US"/>
        </w:rPr>
        <w:t>l</w:t>
      </w:r>
      <w:r w:rsidRPr="00D216FF">
        <w:rPr>
          <w:rFonts w:eastAsia="Times New Roman" w:cs="Arial"/>
          <w:color w:val="000000"/>
          <w:lang w:val="ru-RU"/>
        </w:rPr>
        <w:t xml:space="preserve"> </w:t>
      </w:r>
      <w:r w:rsidRPr="00D216FF">
        <w:rPr>
          <w:rFonts w:eastAsia="Times New Roman" w:cs="Arial"/>
          <w:color w:val="000000"/>
          <w:lang w:eastAsia="bg-BG"/>
        </w:rPr>
        <w:t xml:space="preserve">15) при бременни жени във второто и третото тримесечие с анемия с ДЖ в лечебен период от 12 седмици. Участничките са приемали Феринжект в кумулативни дози от 1000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или 1500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(средна кумулативна доза: 1029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желязо) на базата на Н</w:t>
      </w:r>
      <w:r w:rsidRPr="00D216FF">
        <w:rPr>
          <w:rFonts w:eastAsia="Times New Roman" w:cs="Arial"/>
          <w:color w:val="000000"/>
          <w:lang w:val="en-US"/>
        </w:rPr>
        <w:t>b</w:t>
      </w:r>
      <w:r w:rsidRPr="00D216FF">
        <w:rPr>
          <w:rFonts w:eastAsia="Times New Roman" w:cs="Arial"/>
          <w:color w:val="000000"/>
          <w:lang w:eastAsia="bg-BG"/>
        </w:rPr>
        <w:t xml:space="preserve"> и телесното тегло при скрининга или 100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като перорален прием на желязо два пъти дневно в продължение на 12 седмици. Честотата на свързани слечението нежелани събития е била подобна при жените, лекувани с Феринжект, и тези, лекувани с перорален прием на желязо (11,4% в групата с Феринжект; 15,3% в групата с перорален прием на желязо). Най-често съобщаваните свързани с лечението нежелани събития са били гадене, болки в горната част на корема и главоболие. Резултатите по </w:t>
      </w:r>
      <w:r w:rsidRPr="00D216FF">
        <w:rPr>
          <w:rFonts w:eastAsia="Times New Roman" w:cs="Arial"/>
          <w:color w:val="000000"/>
          <w:lang w:val="en-US"/>
        </w:rPr>
        <w:t>Apgar</w:t>
      </w:r>
      <w:r w:rsidRPr="00D216FF">
        <w:rPr>
          <w:rFonts w:eastAsia="Times New Roman" w:cs="Arial"/>
          <w:color w:val="000000"/>
          <w:lang w:val="ru-RU"/>
        </w:rPr>
        <w:t xml:space="preserve"> </w:t>
      </w:r>
      <w:r w:rsidRPr="00D216FF">
        <w:rPr>
          <w:rFonts w:eastAsia="Times New Roman" w:cs="Arial"/>
          <w:color w:val="000000"/>
          <w:lang w:eastAsia="bg-BG"/>
        </w:rPr>
        <w:t>за новородените, както и параметрите на желязо при новородените, са били подобни между двете лечебни групи.</w:t>
      </w:r>
    </w:p>
    <w:p w14:paraId="793D6251" w14:textId="77777777" w:rsidR="00D216FF" w:rsidRPr="00D216FF" w:rsidRDefault="00D216FF" w:rsidP="00D216FF">
      <w:pPr>
        <w:spacing w:line="240" w:lineRule="auto"/>
        <w:rPr>
          <w:rFonts w:eastAsia="Times New Roman" w:cs="Arial"/>
          <w:b/>
          <w:bCs/>
          <w:color w:val="000000"/>
          <w:lang w:eastAsia="bg-BG"/>
        </w:rPr>
      </w:pPr>
    </w:p>
    <w:p w14:paraId="37ACF131" w14:textId="21BA0ACF" w:rsidR="00D216FF" w:rsidRPr="00D216FF" w:rsidRDefault="00D216FF" w:rsidP="00D216FF">
      <w:pPr>
        <w:spacing w:line="240" w:lineRule="auto"/>
        <w:rPr>
          <w:rFonts w:eastAsia="Times New Roman" w:cs="Arial"/>
          <w:sz w:val="24"/>
          <w:szCs w:val="24"/>
        </w:rPr>
      </w:pPr>
      <w:r w:rsidRPr="00D216FF">
        <w:rPr>
          <w:rFonts w:eastAsia="Times New Roman" w:cs="Arial"/>
          <w:b/>
          <w:bCs/>
          <w:color w:val="000000"/>
          <w:lang w:eastAsia="bg-BG"/>
        </w:rPr>
        <w:t>Наблюдение на феритни след заместваща терапия</w:t>
      </w:r>
    </w:p>
    <w:p w14:paraId="1B9DF4AA" w14:textId="7B4FDBE2" w:rsid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Има ограничени данни от проучването </w:t>
      </w:r>
      <w:r w:rsidRPr="00D216FF">
        <w:rPr>
          <w:rFonts w:eastAsia="Times New Roman" w:cs="Arial"/>
          <w:color w:val="000000"/>
          <w:lang w:val="en-US"/>
        </w:rPr>
        <w:t>VIT</w:t>
      </w:r>
      <w:r w:rsidRPr="00D216FF">
        <w:rPr>
          <w:rFonts w:eastAsia="Times New Roman" w:cs="Arial"/>
          <w:color w:val="000000"/>
          <w:lang w:val="ru-RU"/>
        </w:rPr>
        <w:t>-</w:t>
      </w:r>
      <w:r w:rsidRPr="00D216FF">
        <w:rPr>
          <w:rFonts w:eastAsia="Times New Roman" w:cs="Arial"/>
          <w:color w:val="000000"/>
          <w:lang w:val="en-US"/>
        </w:rPr>
        <w:t>IV</w:t>
      </w:r>
      <w:r w:rsidRPr="00D216FF">
        <w:rPr>
          <w:rFonts w:eastAsia="Times New Roman" w:cs="Arial"/>
          <w:color w:val="000000"/>
          <w:lang w:val="ru-RU"/>
        </w:rPr>
        <w:t>-</w:t>
      </w:r>
      <w:r w:rsidRPr="00D216FF">
        <w:rPr>
          <w:rFonts w:eastAsia="Times New Roman" w:cs="Arial"/>
          <w:color w:val="000000"/>
          <w:lang w:val="en-US"/>
        </w:rPr>
        <w:t>CL</w:t>
      </w:r>
      <w:r w:rsidRPr="00D216FF">
        <w:rPr>
          <w:rFonts w:eastAsia="Times New Roman" w:cs="Arial"/>
          <w:color w:val="000000"/>
          <w:lang w:val="ru-RU"/>
        </w:rPr>
        <w:t xml:space="preserve">-008, </w:t>
      </w:r>
      <w:r w:rsidRPr="00D216FF">
        <w:rPr>
          <w:rFonts w:eastAsia="Times New Roman" w:cs="Arial"/>
          <w:color w:val="000000"/>
          <w:lang w:eastAsia="bg-BG"/>
        </w:rPr>
        <w:t>които показват, че нивата на феритин намаляват бързо 2-4 седмици след заместването и по-бавно впоследствие. Средните нива на феритин не спадат до нивата за обсъждане на повторно лечение по време на 12-седмичното проследяване по проучването. Следователно наличните данни не показват ясно оптимално време за повторно тестване на феритин, въпреки че оценяването на феритиновите нива по-рано от 4 седмици след заместваща терапия изглежда преждевременно. Поради това е препоръчително по-нататъшното повторно оценяване на феритина да се извършва от лекаря въз основа на състоянието на конкретния пациент.</w:t>
      </w:r>
    </w:p>
    <w:p w14:paraId="41B36510" w14:textId="77777777" w:rsidR="00D216FF" w:rsidRPr="00D216FF" w:rsidRDefault="00D216FF" w:rsidP="00D216FF">
      <w:pPr>
        <w:spacing w:line="240" w:lineRule="auto"/>
        <w:rPr>
          <w:rFonts w:eastAsia="Times New Roman" w:cs="Arial"/>
          <w:sz w:val="24"/>
          <w:szCs w:val="24"/>
        </w:rPr>
      </w:pPr>
    </w:p>
    <w:p w14:paraId="26535098" w14:textId="1A38E950" w:rsidR="00395555" w:rsidRDefault="002C50EE" w:rsidP="008A6AF2">
      <w:pPr>
        <w:pStyle w:val="Heading2"/>
      </w:pPr>
      <w:r>
        <w:t>5.2. Фармакокинетични свойства</w:t>
      </w:r>
    </w:p>
    <w:p w14:paraId="145B5504" w14:textId="0ED941B7" w:rsidR="00D216FF" w:rsidRDefault="00D216FF" w:rsidP="00D216FF"/>
    <w:p w14:paraId="3F9F2D52"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u w:val="single"/>
          <w:lang w:eastAsia="bg-BG"/>
        </w:rPr>
        <w:t>Разпределение</w:t>
      </w:r>
    </w:p>
    <w:p w14:paraId="589A8638"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С позитронно-емисионна томография е доказано, че </w:t>
      </w:r>
      <w:r w:rsidRPr="00D216FF">
        <w:rPr>
          <w:rFonts w:eastAsia="Times New Roman" w:cs="Arial"/>
          <w:color w:val="000000"/>
          <w:vertAlign w:val="superscript"/>
          <w:lang w:val="ru-RU"/>
        </w:rPr>
        <w:t>59</w:t>
      </w:r>
      <w:r w:rsidRPr="00D216FF">
        <w:rPr>
          <w:rFonts w:eastAsia="Times New Roman" w:cs="Arial"/>
          <w:color w:val="000000"/>
          <w:lang w:val="en-US"/>
        </w:rPr>
        <w:t>Fe</w:t>
      </w:r>
      <w:r w:rsidRPr="00D216FF">
        <w:rPr>
          <w:rFonts w:eastAsia="Times New Roman" w:cs="Arial"/>
          <w:color w:val="000000"/>
          <w:lang w:val="ru-RU"/>
        </w:rPr>
        <w:t xml:space="preserve"> </w:t>
      </w:r>
      <w:r w:rsidRPr="00D216FF">
        <w:rPr>
          <w:rFonts w:eastAsia="Times New Roman" w:cs="Arial"/>
          <w:color w:val="000000"/>
          <w:lang w:eastAsia="bg-BG"/>
        </w:rPr>
        <w:t xml:space="preserve">и </w:t>
      </w:r>
      <w:r w:rsidRPr="00D216FF">
        <w:rPr>
          <w:rFonts w:eastAsia="Times New Roman" w:cs="Arial"/>
          <w:color w:val="000000"/>
          <w:vertAlign w:val="superscript"/>
          <w:lang w:val="ru-RU"/>
        </w:rPr>
        <w:t>52</w:t>
      </w:r>
      <w:r w:rsidRPr="00D216FF">
        <w:rPr>
          <w:rFonts w:eastAsia="Times New Roman" w:cs="Arial"/>
          <w:color w:val="000000"/>
          <w:lang w:val="en-US"/>
        </w:rPr>
        <w:t>Fe</w:t>
      </w:r>
      <w:r w:rsidRPr="00D216FF">
        <w:rPr>
          <w:rFonts w:eastAsia="Times New Roman" w:cs="Arial"/>
          <w:color w:val="000000"/>
          <w:lang w:val="ru-RU"/>
        </w:rPr>
        <w:t xml:space="preserve"> </w:t>
      </w:r>
      <w:r w:rsidRPr="00D216FF">
        <w:rPr>
          <w:rFonts w:eastAsia="Times New Roman" w:cs="Arial"/>
          <w:color w:val="000000"/>
          <w:lang w:eastAsia="bg-BG"/>
        </w:rPr>
        <w:t>от Феринжект се елиминират бързо от кръвта, преминават в костния мозък и се отлагат в черния дроб и сл</w:t>
      </w:r>
      <w:r w:rsidRPr="00D216FF">
        <w:rPr>
          <w:rFonts w:eastAsia="Times New Roman" w:cs="Arial"/>
          <w:color w:val="000000"/>
          <w:lang w:val="en-US"/>
        </w:rPr>
        <w:t>e</w:t>
      </w:r>
      <w:r w:rsidRPr="00D216FF">
        <w:rPr>
          <w:rFonts w:eastAsia="Times New Roman" w:cs="Arial"/>
          <w:color w:val="000000"/>
          <w:lang w:eastAsia="bg-BG"/>
        </w:rPr>
        <w:t>зката.</w:t>
      </w:r>
    </w:p>
    <w:p w14:paraId="6C6E4B82" w14:textId="77777777" w:rsidR="00D216FF" w:rsidRPr="00D216FF" w:rsidRDefault="00D216FF" w:rsidP="00D216FF">
      <w:pPr>
        <w:spacing w:line="240" w:lineRule="auto"/>
        <w:rPr>
          <w:rFonts w:eastAsia="Times New Roman" w:cs="Arial"/>
          <w:color w:val="000000"/>
          <w:lang w:eastAsia="bg-BG"/>
        </w:rPr>
      </w:pPr>
    </w:p>
    <w:p w14:paraId="3B1BED9B" w14:textId="6E3117E3"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 xml:space="preserve">След приложение на единична доза от Феринжект от 100 до 1000 </w:t>
      </w:r>
      <w:r w:rsidRPr="00D216FF">
        <w:rPr>
          <w:rFonts w:eastAsia="Times New Roman" w:cs="Arial"/>
          <w:color w:val="000000"/>
          <w:lang w:val="en-US"/>
        </w:rPr>
        <w:t>mg</w:t>
      </w:r>
      <w:r w:rsidRPr="00D216FF">
        <w:rPr>
          <w:rFonts w:eastAsia="Times New Roman" w:cs="Arial"/>
          <w:color w:val="000000"/>
          <w:lang w:val="ru-RU"/>
        </w:rPr>
        <w:t xml:space="preserve"> </w:t>
      </w:r>
      <w:r w:rsidRPr="00D216FF">
        <w:rPr>
          <w:rFonts w:eastAsia="Times New Roman" w:cs="Arial"/>
          <w:color w:val="000000"/>
          <w:lang w:eastAsia="bg-BG"/>
        </w:rPr>
        <w:t xml:space="preserve">желязо при участници с железен дефицит се постигат максимални общи серумни нива на желязото от 37 </w:t>
      </w:r>
      <w:proofErr w:type="spellStart"/>
      <w:r w:rsidRPr="00D216FF">
        <w:rPr>
          <w:rFonts w:eastAsia="Times New Roman" w:cs="Arial"/>
          <w:color w:val="000000"/>
          <w:lang w:val="en-US"/>
        </w:rPr>
        <w:t>μg</w:t>
      </w:r>
      <w:proofErr w:type="spellEnd"/>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 xml:space="preserve">до 333 </w:t>
      </w:r>
      <w:proofErr w:type="spellStart"/>
      <w:r w:rsidRPr="00D216FF">
        <w:rPr>
          <w:rFonts w:eastAsia="Times New Roman" w:cs="Arial"/>
          <w:color w:val="000000"/>
          <w:lang w:val="en-US"/>
        </w:rPr>
        <w:t>μg</w:t>
      </w:r>
      <w:proofErr w:type="spellEnd"/>
      <w:r w:rsidRPr="00D216FF">
        <w:rPr>
          <w:rFonts w:eastAsia="Times New Roman" w:cs="Arial"/>
          <w:color w:val="000000"/>
          <w:lang w:val="ru-RU"/>
        </w:rPr>
        <w:t>/</w:t>
      </w:r>
      <w:r w:rsidRPr="00D216FF">
        <w:rPr>
          <w:rFonts w:eastAsia="Times New Roman" w:cs="Arial"/>
          <w:color w:val="000000"/>
          <w:lang w:val="en-US"/>
        </w:rPr>
        <w:t>ml</w:t>
      </w:r>
      <w:r w:rsidRPr="00D216FF">
        <w:rPr>
          <w:rFonts w:eastAsia="Times New Roman" w:cs="Arial"/>
          <w:color w:val="000000"/>
          <w:lang w:val="ru-RU"/>
        </w:rPr>
        <w:t xml:space="preserve"> </w:t>
      </w:r>
      <w:r w:rsidRPr="00D216FF">
        <w:rPr>
          <w:rFonts w:eastAsia="Times New Roman" w:cs="Arial"/>
          <w:color w:val="000000"/>
          <w:lang w:eastAsia="bg-BG"/>
        </w:rPr>
        <w:t>след 15 минути до 1,21 часа съответно. Обемът на централния компартимент съответства добре на обема на плазмата (приблизително 3 литра).</w:t>
      </w:r>
    </w:p>
    <w:p w14:paraId="21770615" w14:textId="77777777" w:rsidR="00D216FF" w:rsidRPr="00D216FF" w:rsidRDefault="00D216FF" w:rsidP="00D216FF">
      <w:pPr>
        <w:spacing w:line="240" w:lineRule="auto"/>
        <w:rPr>
          <w:rFonts w:eastAsia="Times New Roman" w:cs="Arial"/>
          <w:color w:val="000000"/>
          <w:u w:val="single"/>
          <w:lang w:eastAsia="bg-BG"/>
        </w:rPr>
      </w:pPr>
    </w:p>
    <w:p w14:paraId="3977364A" w14:textId="6BA4845E" w:rsidR="00D216FF" w:rsidRPr="00D216FF" w:rsidRDefault="00D216FF" w:rsidP="00D216FF">
      <w:pPr>
        <w:spacing w:line="240" w:lineRule="auto"/>
        <w:rPr>
          <w:rFonts w:eastAsia="Times New Roman" w:cs="Arial"/>
          <w:sz w:val="24"/>
          <w:szCs w:val="24"/>
        </w:rPr>
      </w:pPr>
      <w:r w:rsidRPr="00D216FF">
        <w:rPr>
          <w:rFonts w:eastAsia="Times New Roman" w:cs="Arial"/>
          <w:color w:val="000000"/>
          <w:u w:val="single"/>
          <w:lang w:eastAsia="bg-BG"/>
        </w:rPr>
        <w:t>Елиминиране</w:t>
      </w:r>
    </w:p>
    <w:p w14:paraId="2D6A8CB3" w14:textId="77777777" w:rsidR="00D216FF" w:rsidRPr="00D216FF" w:rsidRDefault="00D216FF" w:rsidP="00D216FF">
      <w:pPr>
        <w:spacing w:line="240" w:lineRule="auto"/>
        <w:rPr>
          <w:rFonts w:eastAsia="Times New Roman" w:cs="Arial"/>
          <w:sz w:val="24"/>
          <w:szCs w:val="24"/>
        </w:rPr>
      </w:pPr>
      <w:r w:rsidRPr="00D216FF">
        <w:rPr>
          <w:rFonts w:eastAsia="Times New Roman" w:cs="Arial"/>
          <w:color w:val="000000"/>
          <w:lang w:eastAsia="bg-BG"/>
        </w:rPr>
        <w:t>Инжектираното или инфузирано желязо се очиства бързо от плазмата като терминалният полуживот варира от 7 до 12 часа, средното резидентно време (СРВ) - от 11 до 18 часа. Елиминирането на желязото през бъбреците е пренебрежимо.</w:t>
      </w:r>
    </w:p>
    <w:p w14:paraId="3FBAB2FE" w14:textId="77777777" w:rsidR="00D216FF" w:rsidRPr="00D216FF" w:rsidRDefault="00D216FF" w:rsidP="00D216FF"/>
    <w:p w14:paraId="028E658A" w14:textId="72631F0C" w:rsidR="00395555" w:rsidRDefault="002C50EE" w:rsidP="008A6AF2">
      <w:pPr>
        <w:pStyle w:val="Heading2"/>
      </w:pPr>
      <w:r>
        <w:t>5.3. Предклинични данни за безопасност</w:t>
      </w:r>
    </w:p>
    <w:p w14:paraId="5FAAF257" w14:textId="3C1FCB7F" w:rsidR="00D216FF" w:rsidRDefault="00D216FF" w:rsidP="00D216FF"/>
    <w:p w14:paraId="7EA59EC2" w14:textId="77777777" w:rsidR="00D216FF" w:rsidRPr="00D216FF" w:rsidRDefault="00D216FF" w:rsidP="00D216FF">
      <w:pPr>
        <w:rPr>
          <w:sz w:val="24"/>
          <w:szCs w:val="24"/>
        </w:rPr>
      </w:pPr>
      <w:r w:rsidRPr="00D216FF">
        <w:rPr>
          <w:lang w:eastAsia="bg-BG"/>
        </w:rPr>
        <w:t>Неклиничните данни не показват особен риск за хора на базата на конвенционалните фармакологични изпитвания за безопасност, токсичност при многократно прилагане и генотоксичност. Предклиничните проучвания при животни показват, че желязото, освободено</w:t>
      </w:r>
      <w:r w:rsidRPr="00D216FF">
        <w:rPr>
          <w:lang w:val="ru-RU" w:eastAsia="bg-BG"/>
        </w:rPr>
        <w:t xml:space="preserve"> </w:t>
      </w:r>
      <w:r w:rsidRPr="00D216FF">
        <w:rPr>
          <w:lang w:eastAsia="bg-BG"/>
        </w:rPr>
        <w:t xml:space="preserve">от Феринжект, преминава плацентарната бариера и се екскретира в кърмата </w:t>
      </w:r>
      <w:r w:rsidRPr="00D216FF">
        <w:rPr>
          <w:lang w:eastAsia="bg-BG"/>
        </w:rPr>
        <w:lastRenderedPageBreak/>
        <w:t xml:space="preserve">в ограничени, контролирани количества. При проучванията за репродуктивна токсичност, използващи зайци без дефицит на желязо, Феринжект е свързан с леки патологични промени в скелета на фетуса. При проучвания на ефектите върху фертилитета при плъхове не са наблюдавани ефекти върху фертилитета както на мъжките, така на женските животни. Не са провеждани никакви дългосрочни проучвания при животни за оценка на канцерогенния потенциал на Феринжект. Не се наблюдават никакви данни за алергичен или имунотоксичен потенциал. Един контролиран </w:t>
      </w:r>
      <w:r w:rsidRPr="00D216FF">
        <w:rPr>
          <w:i/>
          <w:iCs/>
          <w:lang w:val="en-US"/>
        </w:rPr>
        <w:t>in</w:t>
      </w:r>
      <w:r w:rsidRPr="00D216FF">
        <w:rPr>
          <w:i/>
          <w:iCs/>
          <w:lang w:val="ru-RU"/>
        </w:rPr>
        <w:t>-</w:t>
      </w:r>
      <w:r w:rsidRPr="00D216FF">
        <w:rPr>
          <w:i/>
          <w:iCs/>
          <w:lang w:val="en-US"/>
        </w:rPr>
        <w:t>vivo</w:t>
      </w:r>
      <w:r w:rsidRPr="00D216FF">
        <w:rPr>
          <w:lang w:val="ru-RU"/>
        </w:rPr>
        <w:t xml:space="preserve"> </w:t>
      </w:r>
      <w:r w:rsidRPr="00D216FF">
        <w:rPr>
          <w:lang w:eastAsia="bg-BG"/>
        </w:rPr>
        <w:t>тест не показва никаква кръстосана реактивност на Феринжект с антидекстранови антитела. След интравенозно приложение не се наблюдават никакво местно дразнене или непоносимост.</w:t>
      </w:r>
    </w:p>
    <w:p w14:paraId="2684A29A" w14:textId="32C87E60" w:rsidR="00D216FF" w:rsidRPr="00D216FF" w:rsidRDefault="00D216FF" w:rsidP="00D216FF"/>
    <w:p w14:paraId="6A7820AB" w14:textId="6F81716E" w:rsidR="008A6AF2" w:rsidRDefault="002C50EE" w:rsidP="00395555">
      <w:pPr>
        <w:pStyle w:val="Heading1"/>
      </w:pPr>
      <w:r>
        <w:t>7. ПРИТЕЖАТЕЛ НА РАЗРЕШЕНИЕТО ЗА УПОТРЕБА</w:t>
      </w:r>
    </w:p>
    <w:p w14:paraId="53E98C02" w14:textId="41AD1D17" w:rsidR="00D216FF" w:rsidRDefault="00D216FF" w:rsidP="00D216FF"/>
    <w:p w14:paraId="3F65D0C5" w14:textId="77777777" w:rsidR="00D216FF" w:rsidRPr="00D216FF" w:rsidRDefault="00D216FF" w:rsidP="00D216FF">
      <w:pPr>
        <w:rPr>
          <w:sz w:val="24"/>
          <w:szCs w:val="24"/>
          <w:lang w:val="en-US"/>
        </w:rPr>
      </w:pPr>
      <w:proofErr w:type="spellStart"/>
      <w:r w:rsidRPr="00D216FF">
        <w:rPr>
          <w:lang w:val="en-US"/>
        </w:rPr>
        <w:t>Vifor</w:t>
      </w:r>
      <w:proofErr w:type="spellEnd"/>
      <w:r w:rsidRPr="00D216FF">
        <w:rPr>
          <w:lang w:val="en-US"/>
        </w:rPr>
        <w:t xml:space="preserve"> France</w:t>
      </w:r>
    </w:p>
    <w:p w14:paraId="4006E165" w14:textId="77777777" w:rsidR="00D216FF" w:rsidRPr="00D216FF" w:rsidRDefault="00D216FF" w:rsidP="00D216FF">
      <w:pPr>
        <w:rPr>
          <w:sz w:val="24"/>
          <w:szCs w:val="24"/>
          <w:lang w:val="en-US"/>
        </w:rPr>
      </w:pPr>
      <w:r w:rsidRPr="00D216FF">
        <w:rPr>
          <w:lang w:eastAsia="bg-BG"/>
        </w:rPr>
        <w:t xml:space="preserve">100-101 </w:t>
      </w:r>
      <w:proofErr w:type="spellStart"/>
      <w:r w:rsidRPr="00D216FF">
        <w:rPr>
          <w:lang w:val="en-US"/>
        </w:rPr>
        <w:t>Terrasse</w:t>
      </w:r>
      <w:proofErr w:type="spellEnd"/>
      <w:r w:rsidRPr="00D216FF">
        <w:rPr>
          <w:lang w:val="en-US"/>
        </w:rPr>
        <w:t xml:space="preserve"> </w:t>
      </w:r>
      <w:proofErr w:type="spellStart"/>
      <w:r w:rsidRPr="00D216FF">
        <w:rPr>
          <w:lang w:val="en-US"/>
        </w:rPr>
        <w:t>Boieldieu</w:t>
      </w:r>
      <w:proofErr w:type="spellEnd"/>
    </w:p>
    <w:p w14:paraId="6301B2A3" w14:textId="77777777" w:rsidR="00D216FF" w:rsidRPr="00D216FF" w:rsidRDefault="00D216FF" w:rsidP="00D216FF">
      <w:pPr>
        <w:rPr>
          <w:sz w:val="24"/>
          <w:szCs w:val="24"/>
          <w:lang w:val="en-US"/>
        </w:rPr>
      </w:pPr>
      <w:r w:rsidRPr="00D216FF">
        <w:rPr>
          <w:lang w:val="en-US"/>
        </w:rPr>
        <w:t>Tour Franklin La Defense 8</w:t>
      </w:r>
    </w:p>
    <w:p w14:paraId="532EF3FA" w14:textId="77777777" w:rsidR="00D216FF" w:rsidRPr="00D216FF" w:rsidRDefault="00D216FF" w:rsidP="00D216FF">
      <w:pPr>
        <w:rPr>
          <w:sz w:val="24"/>
          <w:szCs w:val="24"/>
          <w:lang w:val="en-US"/>
        </w:rPr>
      </w:pPr>
      <w:r w:rsidRPr="00D216FF">
        <w:rPr>
          <w:lang w:val="en-US"/>
        </w:rPr>
        <w:t xml:space="preserve">92042 Paris La Defense </w:t>
      </w:r>
      <w:proofErr w:type="spellStart"/>
      <w:r w:rsidRPr="00D216FF">
        <w:rPr>
          <w:lang w:val="en-US"/>
        </w:rPr>
        <w:t>Cedex</w:t>
      </w:r>
      <w:proofErr w:type="spellEnd"/>
    </w:p>
    <w:p w14:paraId="4B5292B7" w14:textId="77777777" w:rsidR="00D216FF" w:rsidRPr="00D216FF" w:rsidRDefault="00D216FF" w:rsidP="00D216FF">
      <w:pPr>
        <w:rPr>
          <w:sz w:val="24"/>
          <w:szCs w:val="24"/>
          <w:lang w:val="en-US"/>
        </w:rPr>
      </w:pPr>
      <w:r w:rsidRPr="00D216FF">
        <w:rPr>
          <w:lang w:eastAsia="bg-BG"/>
        </w:rPr>
        <w:t>Франция</w:t>
      </w:r>
    </w:p>
    <w:p w14:paraId="39D3489A" w14:textId="77777777" w:rsidR="00D216FF" w:rsidRPr="00D216FF" w:rsidRDefault="00D216FF" w:rsidP="00D216FF">
      <w:pPr>
        <w:rPr>
          <w:sz w:val="24"/>
          <w:szCs w:val="24"/>
          <w:lang w:val="en-US"/>
        </w:rPr>
      </w:pPr>
      <w:r w:rsidRPr="00D216FF">
        <w:rPr>
          <w:lang w:eastAsia="bg-BG"/>
        </w:rPr>
        <w:t xml:space="preserve">Тел. </w:t>
      </w:r>
      <w:r w:rsidRPr="00D216FF">
        <w:rPr>
          <w:lang w:val="en-US"/>
        </w:rPr>
        <w:t>+33 (0)1 41 06 58 90</w:t>
      </w:r>
    </w:p>
    <w:p w14:paraId="2941D891" w14:textId="799518C7" w:rsidR="00D216FF" w:rsidRPr="00D216FF" w:rsidRDefault="00D216FF" w:rsidP="00D216FF">
      <w:pPr>
        <w:rPr>
          <w:lang w:val="ru-RU"/>
        </w:rPr>
      </w:pPr>
      <w:r w:rsidRPr="00D216FF">
        <w:rPr>
          <w:lang w:eastAsia="bg-BG"/>
        </w:rPr>
        <w:t>Факс</w:t>
      </w:r>
      <w:r w:rsidRPr="00D216FF">
        <w:rPr>
          <w:lang w:val="ru-RU"/>
        </w:rPr>
        <w:t>+33 (0)1 41 06 58 99</w:t>
      </w:r>
    </w:p>
    <w:p w14:paraId="04840D59" w14:textId="67E48C84" w:rsidR="002C50EE" w:rsidRDefault="002C50EE" w:rsidP="00395555">
      <w:pPr>
        <w:pStyle w:val="Heading1"/>
      </w:pPr>
      <w:r>
        <w:t>8. НОМЕР НА РАЗРЕШЕНИЕТО ЗА УПОТРЕБА</w:t>
      </w:r>
    </w:p>
    <w:p w14:paraId="45EF9877" w14:textId="13B8F862" w:rsidR="00D216FF" w:rsidRDefault="00D216FF" w:rsidP="00D216FF"/>
    <w:p w14:paraId="3A1D7156" w14:textId="2E8030B5" w:rsidR="00D216FF" w:rsidRPr="00D216FF" w:rsidRDefault="00D216FF" w:rsidP="00D216FF">
      <w:r>
        <w:t>20100482</w:t>
      </w:r>
    </w:p>
    <w:p w14:paraId="2CCB5832" w14:textId="06D95B96" w:rsidR="007C605B" w:rsidRDefault="002C50EE" w:rsidP="007C605B">
      <w:pPr>
        <w:pStyle w:val="Heading1"/>
      </w:pPr>
      <w:r>
        <w:t>9. ДАТА НА ПЪРВО РАЗРЕШАВАНЕ/ПОДНОВЯВАНЕ НА РАЗРЕШЕНИЕТО ЗА УПОТРЕБА</w:t>
      </w:r>
    </w:p>
    <w:p w14:paraId="5B9B3613" w14:textId="6C7653A9" w:rsidR="00D216FF" w:rsidRDefault="00D216FF" w:rsidP="00D216FF"/>
    <w:p w14:paraId="1E1D19E8" w14:textId="77777777" w:rsidR="00D216FF" w:rsidRPr="00D216FF" w:rsidRDefault="00D216FF" w:rsidP="00D216FF">
      <w:pPr>
        <w:rPr>
          <w:sz w:val="24"/>
          <w:szCs w:val="24"/>
        </w:rPr>
      </w:pPr>
      <w:r w:rsidRPr="00D216FF">
        <w:rPr>
          <w:lang w:eastAsia="bg-BG"/>
        </w:rPr>
        <w:t>Дата на първо разрешаване: 22 юли 2010</w:t>
      </w:r>
    </w:p>
    <w:p w14:paraId="127475A8" w14:textId="5D778A22" w:rsidR="00D216FF" w:rsidRPr="00D216FF" w:rsidRDefault="00D216FF" w:rsidP="00D216FF">
      <w:r w:rsidRPr="00D216FF">
        <w:rPr>
          <w:lang w:eastAsia="bg-BG"/>
        </w:rPr>
        <w:t>Дата на последно подновяване: 24 септември 2014</w:t>
      </w:r>
    </w:p>
    <w:p w14:paraId="0E9D0119" w14:textId="0245C6D7" w:rsidR="002C50EE" w:rsidRDefault="002C50EE" w:rsidP="002C50EE">
      <w:pPr>
        <w:pStyle w:val="Heading1"/>
      </w:pPr>
      <w:r>
        <w:t>10. ДАТА НА АКТУАЛИЗИРАНЕ НА ТЕКСТА</w:t>
      </w:r>
    </w:p>
    <w:bookmarkEnd w:id="0"/>
    <w:p w14:paraId="43FB38A2" w14:textId="293B8485" w:rsidR="007C605B" w:rsidRPr="003E3126" w:rsidRDefault="00D216FF" w:rsidP="00D216FF">
      <w:r>
        <w:t>Октомври 2020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557154"/>
    <w:multiLevelType w:val="multilevel"/>
    <w:tmpl w:val="BA7A9446"/>
    <w:lvl w:ilvl="0">
      <w:start w:val="1"/>
      <w:numFmt w:val="decimal"/>
      <w:lvlText w:val="%1"/>
      <w:lvlJc w:val="left"/>
      <w:pPr>
        <w:ind w:left="720" w:hanging="360"/>
      </w:pPr>
      <w:rPr>
        <w:rFonts w:ascii="Arial" w:hAnsi="Arial" w:cs="Arial" w:hint="default"/>
        <w:color w:val="auto"/>
        <w:sz w:val="24"/>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710C7"/>
    <w:multiLevelType w:val="hybridMultilevel"/>
    <w:tmpl w:val="0BBA419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33CA1"/>
    <w:multiLevelType w:val="hybridMultilevel"/>
    <w:tmpl w:val="AD2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2B61"/>
    <w:multiLevelType w:val="hybridMultilevel"/>
    <w:tmpl w:val="D9F0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724D7"/>
    <w:multiLevelType w:val="hybridMultilevel"/>
    <w:tmpl w:val="F766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50968"/>
    <w:multiLevelType w:val="hybridMultilevel"/>
    <w:tmpl w:val="927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F6E36"/>
    <w:multiLevelType w:val="hybridMultilevel"/>
    <w:tmpl w:val="D91A45B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2"/>
  </w:num>
  <w:num w:numId="12">
    <w:abstractNumId w:val="13"/>
  </w:num>
  <w:num w:numId="13">
    <w:abstractNumId w:val="19"/>
  </w:num>
  <w:num w:numId="14">
    <w:abstractNumId w:val="11"/>
  </w:num>
  <w:num w:numId="15">
    <w:abstractNumId w:val="31"/>
  </w:num>
  <w:num w:numId="16">
    <w:abstractNumId w:val="9"/>
  </w:num>
  <w:num w:numId="17">
    <w:abstractNumId w:val="26"/>
  </w:num>
  <w:num w:numId="18">
    <w:abstractNumId w:val="7"/>
  </w:num>
  <w:num w:numId="19">
    <w:abstractNumId w:val="28"/>
  </w:num>
  <w:num w:numId="20">
    <w:abstractNumId w:val="25"/>
  </w:num>
  <w:num w:numId="21">
    <w:abstractNumId w:val="17"/>
  </w:num>
  <w:num w:numId="22">
    <w:abstractNumId w:val="27"/>
  </w:num>
  <w:num w:numId="23">
    <w:abstractNumId w:val="18"/>
  </w:num>
  <w:num w:numId="24">
    <w:abstractNumId w:val="8"/>
  </w:num>
  <w:num w:numId="25">
    <w:abstractNumId w:val="24"/>
  </w:num>
  <w:num w:numId="26">
    <w:abstractNumId w:val="23"/>
  </w:num>
  <w:num w:numId="27">
    <w:abstractNumId w:val="36"/>
  </w:num>
  <w:num w:numId="28">
    <w:abstractNumId w:val="6"/>
  </w:num>
  <w:num w:numId="29">
    <w:abstractNumId w:val="22"/>
  </w:num>
  <w:num w:numId="30">
    <w:abstractNumId w:val="37"/>
  </w:num>
  <w:num w:numId="31">
    <w:abstractNumId w:val="5"/>
  </w:num>
  <w:num w:numId="32">
    <w:abstractNumId w:val="20"/>
  </w:num>
  <w:num w:numId="33">
    <w:abstractNumId w:val="35"/>
  </w:num>
  <w:num w:numId="34">
    <w:abstractNumId w:val="33"/>
  </w:num>
  <w:num w:numId="35">
    <w:abstractNumId w:val="34"/>
  </w:num>
  <w:num w:numId="36">
    <w:abstractNumId w:val="21"/>
  </w:num>
  <w:num w:numId="37">
    <w:abstractNumId w:val="3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576EC"/>
    <w:rsid w:val="00C809A7"/>
    <w:rsid w:val="00C83063"/>
    <w:rsid w:val="00C87E90"/>
    <w:rsid w:val="00CA1B57"/>
    <w:rsid w:val="00D2077E"/>
    <w:rsid w:val="00D216FF"/>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4311</Words>
  <Characters>24573</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2021-11-18T17:13:00Z</dcterms:created>
  <dcterms:modified xsi:type="dcterms:W3CDTF">2021-11-18T17:13:00Z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