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E0504" w14:textId="77777777" w:rsidR="00EF2976" w:rsidRDefault="00EF2976" w:rsidP="002C50EE">
      <w:pPr>
        <w:pStyle w:val="Heading1"/>
        <w:jc w:val="center"/>
      </w:pPr>
      <w:bookmarkStart w:id="0" w:name="_Hlk63124480"/>
    </w:p>
    <w:p w14:paraId="007A328C" w14:textId="74DCEC31" w:rsidR="002C50EE" w:rsidRDefault="002C50EE" w:rsidP="002C50EE">
      <w:pPr>
        <w:pStyle w:val="Heading1"/>
        <w:jc w:val="center"/>
      </w:pPr>
      <w:r>
        <w:t>КРАТКА ХАРАКТЕРИСТИКА НА ПРОДУКТА</w:t>
      </w:r>
    </w:p>
    <w:p w14:paraId="4F735328" w14:textId="63F355F9" w:rsidR="00DF4C8E" w:rsidRDefault="00DD466D" w:rsidP="00F44498">
      <w:pPr>
        <w:pStyle w:val="Heading1"/>
      </w:pPr>
      <w:r>
        <w:t>1.ИМЕ НА ЛЕКАРСТВЕНИЯ ПРОДУКТ</w:t>
      </w:r>
    </w:p>
    <w:p w14:paraId="09362467" w14:textId="7D1F28F4" w:rsidR="00EF2976" w:rsidRDefault="00EF2976" w:rsidP="00EF2976"/>
    <w:p w14:paraId="344B0C11" w14:textId="77777777" w:rsidR="00EF2976" w:rsidRPr="00EF2976" w:rsidRDefault="00EF2976" w:rsidP="00EF2976">
      <w:pPr>
        <w:rPr>
          <w:sz w:val="24"/>
          <w:szCs w:val="24"/>
          <w:lang w:val="ru-RU"/>
        </w:rPr>
      </w:pPr>
      <w:r w:rsidRPr="00EF2976">
        <w:rPr>
          <w:lang w:eastAsia="bg-BG"/>
        </w:rPr>
        <w:t xml:space="preserve">Фибрига 1 </w:t>
      </w:r>
      <w:r w:rsidRPr="00EF2976">
        <w:rPr>
          <w:lang w:val="en-US"/>
        </w:rPr>
        <w:t>g</w:t>
      </w:r>
      <w:r w:rsidRPr="00EF2976">
        <w:rPr>
          <w:lang w:val="ru-RU"/>
        </w:rPr>
        <w:t xml:space="preserve"> </w:t>
      </w:r>
      <w:r w:rsidRPr="00EF2976">
        <w:rPr>
          <w:lang w:eastAsia="bg-BG"/>
        </w:rPr>
        <w:t>Прах и разтворител за инжекционен/инфузионен разтвор</w:t>
      </w:r>
    </w:p>
    <w:p w14:paraId="2F7318EB" w14:textId="5A9B06EA" w:rsidR="00EF2976" w:rsidRPr="00EF2976" w:rsidRDefault="00EF2976" w:rsidP="00EF2976">
      <w:pPr>
        <w:rPr>
          <w:sz w:val="24"/>
          <w:szCs w:val="24"/>
          <w:lang w:val="en-US"/>
        </w:rPr>
      </w:pPr>
      <w:proofErr w:type="spellStart"/>
      <w:r w:rsidRPr="00EF2976">
        <w:rPr>
          <w:lang w:val="en-US"/>
        </w:rPr>
        <w:t>Fibryga</w:t>
      </w:r>
      <w:proofErr w:type="spellEnd"/>
      <w:r w:rsidRPr="00EF2976">
        <w:rPr>
          <w:lang w:val="en-US"/>
        </w:rPr>
        <w:t xml:space="preserve"> </w:t>
      </w:r>
      <w:r w:rsidRPr="00EF2976">
        <w:rPr>
          <w:lang w:eastAsia="bg-BG"/>
        </w:rPr>
        <w:t xml:space="preserve">1 </w:t>
      </w:r>
      <w:r w:rsidRPr="00EF2976">
        <w:rPr>
          <w:lang w:val="en-US"/>
        </w:rPr>
        <w:t>g Powder and solvent for solution for injection/infusion</w:t>
      </w:r>
    </w:p>
    <w:p w14:paraId="2BF7ACB1" w14:textId="08652DC1" w:rsidR="00DF4C8E" w:rsidRDefault="00DD466D" w:rsidP="00F44498">
      <w:pPr>
        <w:pStyle w:val="Heading1"/>
      </w:pPr>
      <w:r>
        <w:t>2. КАЧЕСТВЕН И КОЛИЧЕСТВЕН СЪСТАВ</w:t>
      </w:r>
    </w:p>
    <w:p w14:paraId="2C990A6C" w14:textId="0631ABC0" w:rsidR="00EF2976" w:rsidRDefault="00EF2976" w:rsidP="00EF2976"/>
    <w:p w14:paraId="6F825D47"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Активно вещество: Човешки фибриноген</w:t>
      </w:r>
    </w:p>
    <w:p w14:paraId="77416832"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Всяка бутилка Фибрига съдържа </w:t>
      </w:r>
      <w:r w:rsidRPr="00EF2976">
        <w:rPr>
          <w:rFonts w:eastAsia="Times New Roman" w:cs="Arial"/>
          <w:color w:val="000000"/>
          <w:szCs w:val="20"/>
          <w:lang w:val="en-US"/>
        </w:rPr>
        <w:t>I</w:t>
      </w:r>
      <w:r w:rsidRPr="00EF2976">
        <w:rPr>
          <w:rFonts w:eastAsia="Times New Roman" w:cs="Arial"/>
          <w:color w:val="000000"/>
          <w:szCs w:val="20"/>
          <w:lang w:val="ru-RU"/>
        </w:rPr>
        <w:t xml:space="preserve"> </w:t>
      </w:r>
      <w:r w:rsidRPr="00EF2976">
        <w:rPr>
          <w:rFonts w:eastAsia="Times New Roman" w:cs="Arial"/>
          <w:color w:val="000000"/>
          <w:szCs w:val="20"/>
          <w:lang w:val="en-US"/>
        </w:rPr>
        <w:t>g</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човешки фибриноген. След разтваряне с 50 </w:t>
      </w:r>
      <w:r w:rsidRPr="00EF2976">
        <w:rPr>
          <w:rFonts w:eastAsia="Times New Roman" w:cs="Arial"/>
          <w:color w:val="000000"/>
          <w:szCs w:val="20"/>
          <w:lang w:val="en-US"/>
        </w:rPr>
        <w:t>ml</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вода за инжекции Фибрига съдържа приблизително 20 </w:t>
      </w:r>
      <w:r w:rsidRPr="00EF2976">
        <w:rPr>
          <w:rFonts w:eastAsia="Times New Roman" w:cs="Arial"/>
          <w:color w:val="000000"/>
          <w:szCs w:val="20"/>
          <w:lang w:val="en-US"/>
        </w:rPr>
        <w:t>mg</w:t>
      </w:r>
      <w:r w:rsidRPr="00EF2976">
        <w:rPr>
          <w:rFonts w:eastAsia="Times New Roman" w:cs="Arial"/>
          <w:color w:val="000000"/>
          <w:szCs w:val="20"/>
          <w:lang w:val="ru-RU"/>
        </w:rPr>
        <w:t>/</w:t>
      </w:r>
      <w:r w:rsidRPr="00EF2976">
        <w:rPr>
          <w:rFonts w:eastAsia="Times New Roman" w:cs="Arial"/>
          <w:color w:val="000000"/>
          <w:szCs w:val="20"/>
          <w:lang w:val="en-US"/>
        </w:rPr>
        <w:t>ml</w:t>
      </w:r>
      <w:r w:rsidRPr="00EF2976">
        <w:rPr>
          <w:rFonts w:eastAsia="Times New Roman" w:cs="Arial"/>
          <w:color w:val="000000"/>
          <w:szCs w:val="20"/>
          <w:lang w:val="ru-RU"/>
        </w:rPr>
        <w:t xml:space="preserve"> </w:t>
      </w:r>
      <w:r w:rsidRPr="00EF2976">
        <w:rPr>
          <w:rFonts w:eastAsia="Times New Roman" w:cs="Arial"/>
          <w:color w:val="000000"/>
          <w:szCs w:val="20"/>
          <w:lang w:eastAsia="bg-BG"/>
        </w:rPr>
        <w:t>човешки фибриноген.</w:t>
      </w:r>
    </w:p>
    <w:p w14:paraId="23474CAA"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Съдържанието на съсирващ се протеин е определено съгласно Европейската фармакопея за човешки фибриноген.</w:t>
      </w:r>
    </w:p>
    <w:p w14:paraId="0154CB09"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Произведен от човешка донорска плазма.</w:t>
      </w:r>
    </w:p>
    <w:p w14:paraId="2CFDD15E"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Помощни вещества с известно действие: натрий до 132 </w:t>
      </w:r>
      <w:r w:rsidRPr="00EF2976">
        <w:rPr>
          <w:rFonts w:eastAsia="Times New Roman" w:cs="Arial"/>
          <w:color w:val="000000"/>
          <w:szCs w:val="20"/>
          <w:lang w:val="en-US"/>
        </w:rPr>
        <w:t>mg</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(5.8 </w:t>
      </w:r>
      <w:proofErr w:type="spellStart"/>
      <w:r w:rsidRPr="00EF2976">
        <w:rPr>
          <w:rFonts w:eastAsia="Times New Roman" w:cs="Arial"/>
          <w:color w:val="000000"/>
          <w:szCs w:val="20"/>
          <w:lang w:val="en-US"/>
        </w:rPr>
        <w:t>mmol</w:t>
      </w:r>
      <w:proofErr w:type="spellEnd"/>
      <w:r w:rsidRPr="00EF2976">
        <w:rPr>
          <w:rFonts w:eastAsia="Times New Roman" w:cs="Arial"/>
          <w:color w:val="000000"/>
          <w:szCs w:val="20"/>
          <w:lang w:val="ru-RU"/>
        </w:rPr>
        <w:t xml:space="preserve">) </w:t>
      </w:r>
      <w:r w:rsidRPr="00EF2976">
        <w:rPr>
          <w:rFonts w:eastAsia="Times New Roman" w:cs="Arial"/>
          <w:color w:val="000000"/>
          <w:szCs w:val="20"/>
          <w:lang w:eastAsia="bg-BG"/>
        </w:rPr>
        <w:t>на бутилка.</w:t>
      </w:r>
    </w:p>
    <w:p w14:paraId="3A96A869" w14:textId="77777777" w:rsidR="00EF2976" w:rsidRPr="00EF2976" w:rsidRDefault="00EF2976" w:rsidP="00EF2976"/>
    <w:p w14:paraId="614984C4" w14:textId="50FB89E6" w:rsidR="008A6AF2" w:rsidRDefault="00DD466D" w:rsidP="002C50EE">
      <w:pPr>
        <w:pStyle w:val="Heading1"/>
      </w:pPr>
      <w:r>
        <w:t>3. ЛЕКАРСТВЕНА ФОРМА</w:t>
      </w:r>
    </w:p>
    <w:p w14:paraId="5CE61CB0" w14:textId="02E76781" w:rsidR="00EF2976" w:rsidRDefault="00EF2976" w:rsidP="00EF2976"/>
    <w:p w14:paraId="0616EF36" w14:textId="77777777" w:rsidR="00EF2976" w:rsidRPr="00EF2976" w:rsidRDefault="00EF2976" w:rsidP="00EF2976">
      <w:pPr>
        <w:rPr>
          <w:sz w:val="24"/>
          <w:szCs w:val="24"/>
        </w:rPr>
      </w:pPr>
      <w:r w:rsidRPr="00EF2976">
        <w:rPr>
          <w:lang w:eastAsia="bg-BG"/>
        </w:rPr>
        <w:t>Прах и разтворител за инжекционен/инфузионен разтвор</w:t>
      </w:r>
    </w:p>
    <w:p w14:paraId="38E3A4FD" w14:textId="77777777" w:rsidR="00EF2976" w:rsidRPr="00EF2976" w:rsidRDefault="00EF2976" w:rsidP="00EF2976">
      <w:pPr>
        <w:rPr>
          <w:sz w:val="24"/>
          <w:szCs w:val="24"/>
        </w:rPr>
      </w:pPr>
      <w:r w:rsidRPr="00EF2976">
        <w:rPr>
          <w:lang w:eastAsia="bg-BG"/>
        </w:rPr>
        <w:t>Прахът е бял до бледожълт и хигроскопичен, а също и с вид на ронливо твърдо вещество.</w:t>
      </w:r>
    </w:p>
    <w:p w14:paraId="103D5B7D" w14:textId="77777777" w:rsidR="00EF2976" w:rsidRPr="00EF2976" w:rsidRDefault="00EF2976" w:rsidP="00EF2976">
      <w:pPr>
        <w:rPr>
          <w:sz w:val="24"/>
          <w:szCs w:val="24"/>
        </w:rPr>
      </w:pPr>
      <w:r w:rsidRPr="00EF2976">
        <w:rPr>
          <w:lang w:eastAsia="bg-BG"/>
        </w:rPr>
        <w:t>Разтворителят е бистра и безцветна течност.</w:t>
      </w:r>
    </w:p>
    <w:p w14:paraId="027A71FF" w14:textId="77777777" w:rsidR="00EF2976" w:rsidRPr="00EF2976" w:rsidRDefault="00EF2976" w:rsidP="00EF2976"/>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1CEB8FF2" w:rsidR="00DF4C8E" w:rsidRDefault="00DF4C8E" w:rsidP="00DF4C8E">
      <w:pPr>
        <w:rPr>
          <w:rFonts w:cs="Arial"/>
          <w:sz w:val="24"/>
        </w:rPr>
      </w:pPr>
    </w:p>
    <w:p w14:paraId="14829ACE" w14:textId="77777777" w:rsidR="00EF2976" w:rsidRPr="00EF2976" w:rsidRDefault="00EF2976" w:rsidP="00EF2976">
      <w:pPr>
        <w:rPr>
          <w:sz w:val="24"/>
          <w:szCs w:val="24"/>
        </w:rPr>
      </w:pPr>
      <w:r w:rsidRPr="00EF2976">
        <w:rPr>
          <w:lang w:eastAsia="bg-BG"/>
        </w:rPr>
        <w:t>Лечение на епизоди на кръвоизлив и периоперативна профилактика при пациенти е вродена хипо- или афибриногенемия с тенденция към кървене.</w:t>
      </w:r>
    </w:p>
    <w:p w14:paraId="13FDFFF9" w14:textId="724C0F49" w:rsidR="00EF2976" w:rsidRDefault="00EF2976" w:rsidP="00EF2976">
      <w:pPr>
        <w:rPr>
          <w:lang w:eastAsia="bg-BG"/>
        </w:rPr>
      </w:pPr>
      <w:r w:rsidRPr="00EF2976">
        <w:rPr>
          <w:lang w:eastAsia="bg-BG"/>
        </w:rPr>
        <w:t>Като допълваща терапия за лечение на неовладян тежък кръвоизлив при пациенти с придобита хипофибриногенемия в хода на хирургическа интервенция.</w:t>
      </w:r>
    </w:p>
    <w:p w14:paraId="6AF36B5D" w14:textId="77777777" w:rsidR="00EF2976" w:rsidRPr="00DF4C8E" w:rsidRDefault="00EF2976" w:rsidP="00EF2976">
      <w:pPr>
        <w:rPr>
          <w:rFonts w:cs="Arial"/>
          <w:sz w:val="24"/>
        </w:rPr>
      </w:pPr>
    </w:p>
    <w:p w14:paraId="778B4979" w14:textId="606AE4FD" w:rsidR="00DF4C8E" w:rsidRDefault="002C50EE" w:rsidP="00F44498">
      <w:pPr>
        <w:pStyle w:val="Heading2"/>
      </w:pPr>
      <w:r>
        <w:t>4.2. Дозировка и начин на приложение</w:t>
      </w:r>
    </w:p>
    <w:p w14:paraId="7FDFA289" w14:textId="416B5FCD" w:rsidR="00EF2976" w:rsidRDefault="00EF2976" w:rsidP="00EF2976"/>
    <w:p w14:paraId="529E409C"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Лечението трябва да започне под наблюдението на лекар с опит в лечението на коагулационни нарушения.</w:t>
      </w:r>
    </w:p>
    <w:p w14:paraId="3E90F06C" w14:textId="77777777" w:rsidR="00EF2976" w:rsidRPr="00EF2976" w:rsidRDefault="00EF2976" w:rsidP="00EF2976">
      <w:pPr>
        <w:spacing w:line="240" w:lineRule="auto"/>
        <w:rPr>
          <w:rFonts w:eastAsia="Times New Roman" w:cs="Arial"/>
          <w:b/>
          <w:bCs/>
          <w:color w:val="000000"/>
          <w:szCs w:val="20"/>
          <w:lang w:eastAsia="bg-BG"/>
        </w:rPr>
      </w:pPr>
      <w:bookmarkStart w:id="1" w:name="bookmark0"/>
    </w:p>
    <w:p w14:paraId="1C218381" w14:textId="6956B5FF" w:rsidR="00EF2976" w:rsidRPr="00EF2976" w:rsidRDefault="00EF2976" w:rsidP="00EF2976">
      <w:pPr>
        <w:pStyle w:val="Heading3"/>
        <w:rPr>
          <w:rFonts w:eastAsia="Times New Roman"/>
          <w:b/>
          <w:sz w:val="28"/>
        </w:rPr>
      </w:pPr>
      <w:r w:rsidRPr="00EF2976">
        <w:rPr>
          <w:rFonts w:eastAsia="Times New Roman"/>
          <w:b/>
          <w:lang w:eastAsia="bg-BG"/>
        </w:rPr>
        <w:lastRenderedPageBreak/>
        <w:t>Дозировка</w:t>
      </w:r>
      <w:bookmarkEnd w:id="1"/>
    </w:p>
    <w:p w14:paraId="4CBEB5BE"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Дозировката и продължителността на заместващата терапия зависят от тежестта</w:t>
      </w:r>
      <w:r w:rsidRPr="00EF2976">
        <w:rPr>
          <w:rFonts w:eastAsia="Times New Roman" w:cs="Arial"/>
          <w:color w:val="000000"/>
          <w:szCs w:val="20"/>
          <w:lang w:val="ru-RU"/>
        </w:rPr>
        <w:t xml:space="preserve"> </w:t>
      </w:r>
      <w:r w:rsidRPr="00EF2976">
        <w:rPr>
          <w:rFonts w:eastAsia="Times New Roman" w:cs="Arial"/>
          <w:color w:val="000000"/>
          <w:szCs w:val="20"/>
          <w:lang w:eastAsia="bg-BG"/>
        </w:rPr>
        <w:t>на нарушението, местоположението и степента на кръвоизлива и клиничното състояние на пациента</w:t>
      </w:r>
    </w:p>
    <w:p w14:paraId="3F838BE7" w14:textId="77777777" w:rsidR="00EF2976" w:rsidRPr="00EF2976" w:rsidRDefault="00EF2976" w:rsidP="00EF2976">
      <w:pPr>
        <w:rPr>
          <w:rFonts w:eastAsia="Times New Roman" w:cs="Arial"/>
          <w:sz w:val="28"/>
          <w:szCs w:val="24"/>
        </w:rPr>
      </w:pPr>
      <w:r w:rsidRPr="00EF2976">
        <w:rPr>
          <w:rFonts w:eastAsia="Times New Roman" w:cs="Arial"/>
          <w:color w:val="000000"/>
          <w:szCs w:val="20"/>
          <w:lang w:eastAsia="bg-BG"/>
        </w:rPr>
        <w:t>Трябва да се определи нивото (функционално) на фибриногена, за да се изчисли индивидуалнта доза, както и да се определят количеството и честотата на приложение за всеки</w:t>
      </w:r>
      <w:r w:rsidRPr="00EF2976">
        <w:rPr>
          <w:rFonts w:eastAsia="Times New Roman" w:cs="Arial"/>
          <w:color w:val="000000"/>
          <w:szCs w:val="20"/>
          <w:lang w:val="ru-RU" w:eastAsia="bg-BG"/>
        </w:rPr>
        <w:t xml:space="preserve"> </w:t>
      </w:r>
      <w:r w:rsidRPr="00EF2976">
        <w:rPr>
          <w:rFonts w:eastAsia="Times New Roman" w:cs="Arial"/>
          <w:color w:val="000000"/>
          <w:szCs w:val="20"/>
          <w:lang w:eastAsia="bg-BG"/>
        </w:rPr>
        <w:t>отделен пациент чрез редовно измерване на плазменото ниво на фибриногена и непрекъснато проследяване на клиничното състояние на пациента и използваните други заместващи терапии.</w:t>
      </w:r>
    </w:p>
    <w:p w14:paraId="05A30AB8" w14:textId="77777777" w:rsidR="00EF2976" w:rsidRPr="00EF2976" w:rsidRDefault="00EF2976" w:rsidP="00EF2976">
      <w:pPr>
        <w:spacing w:line="240" w:lineRule="auto"/>
        <w:rPr>
          <w:rFonts w:eastAsia="Times New Roman" w:cs="Arial"/>
          <w:color w:val="000000"/>
          <w:szCs w:val="20"/>
          <w:lang w:eastAsia="bg-BG"/>
        </w:rPr>
      </w:pPr>
    </w:p>
    <w:p w14:paraId="349AE6E0" w14:textId="6381CD04"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В случай на голяма хирургическа интервенция прецизното проследяване на заместващата терапия с коагулационни тестове е крайно необходимо.</w:t>
      </w:r>
    </w:p>
    <w:p w14:paraId="3597DD91" w14:textId="5ADED669"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u w:val="single"/>
          <w:lang w:eastAsia="bg-BG"/>
        </w:rPr>
        <w:t>1.Профилактика при пациенти с хипо- или афибриногенемия и известна тенденция към кървене.</w:t>
      </w:r>
    </w:p>
    <w:p w14:paraId="1E1BD460"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За превенция на прекомерно кървене по време на хирургически процедури се препоръчва профилактично лечение, за да се повишат нивата на фибриногена до 1 </w:t>
      </w:r>
      <w:r w:rsidRPr="00EF2976">
        <w:rPr>
          <w:rFonts w:eastAsia="Times New Roman" w:cs="Arial"/>
          <w:color w:val="000000"/>
          <w:szCs w:val="20"/>
          <w:lang w:val="en-US"/>
        </w:rPr>
        <w:t>g</w:t>
      </w:r>
      <w:r w:rsidRPr="00EF2976">
        <w:rPr>
          <w:rFonts w:eastAsia="Times New Roman" w:cs="Arial"/>
          <w:color w:val="000000"/>
          <w:szCs w:val="20"/>
          <w:lang w:val="ru-RU"/>
        </w:rPr>
        <w:t>/</w:t>
      </w:r>
      <w:r w:rsidRPr="00EF2976">
        <w:rPr>
          <w:rFonts w:eastAsia="Times New Roman" w:cs="Arial"/>
          <w:color w:val="000000"/>
          <w:szCs w:val="20"/>
          <w:lang w:val="en-US"/>
        </w:rPr>
        <w:t>l</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и това ниво да се задържи, докато се осигури хемостаза, и над 0,5 </w:t>
      </w:r>
      <w:r w:rsidRPr="00EF2976">
        <w:rPr>
          <w:rFonts w:eastAsia="Times New Roman" w:cs="Arial"/>
          <w:color w:val="000000"/>
          <w:szCs w:val="20"/>
          <w:lang w:val="en-US"/>
        </w:rPr>
        <w:t>g</w:t>
      </w:r>
      <w:r w:rsidRPr="00EF2976">
        <w:rPr>
          <w:rFonts w:eastAsia="Times New Roman" w:cs="Arial"/>
          <w:color w:val="000000"/>
          <w:szCs w:val="20"/>
          <w:lang w:val="ru-RU"/>
        </w:rPr>
        <w:t>/</w:t>
      </w:r>
      <w:r w:rsidRPr="00EF2976">
        <w:rPr>
          <w:rFonts w:eastAsia="Times New Roman" w:cs="Arial"/>
          <w:color w:val="000000"/>
          <w:szCs w:val="20"/>
          <w:lang w:val="en-US"/>
        </w:rPr>
        <w:t>l</w:t>
      </w:r>
      <w:r w:rsidRPr="00EF2976">
        <w:rPr>
          <w:rFonts w:eastAsia="Times New Roman" w:cs="Arial"/>
          <w:color w:val="000000"/>
          <w:szCs w:val="20"/>
          <w:lang w:val="ru-RU"/>
        </w:rPr>
        <w:t xml:space="preserve"> </w:t>
      </w:r>
      <w:r w:rsidRPr="00EF2976">
        <w:rPr>
          <w:rFonts w:eastAsia="Times New Roman" w:cs="Arial"/>
          <w:color w:val="000000"/>
          <w:szCs w:val="20"/>
          <w:lang w:eastAsia="bg-BG"/>
        </w:rPr>
        <w:t>до пълното заздравяване на раната.</w:t>
      </w:r>
    </w:p>
    <w:p w14:paraId="2CAF3267"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В случай на хирургическа процедура или лечение на епизод на кръвоизлив дозата трябва да се изчисли, както следва:</w:t>
      </w:r>
    </w:p>
    <w:p w14:paraId="4F470307" w14:textId="269564E8" w:rsidR="00EF2976" w:rsidRDefault="00EF2976" w:rsidP="00EF2976"/>
    <w:p w14:paraId="4C4CDDD0" w14:textId="2D62126E" w:rsidR="00EF2976" w:rsidRPr="00EF2976" w:rsidRDefault="00EF2976" w:rsidP="00EF2976">
      <w:pPr>
        <w:rPr>
          <w:rFonts w:eastAsiaTheme="minorEastAsia" w:cs="Arial"/>
          <w:szCs w:val="20"/>
        </w:rPr>
      </w:pPr>
      <m:oMathPara>
        <m:oMath>
          <m:r>
            <m:rPr>
              <m:sty m:val="p"/>
            </m:rPr>
            <w:rPr>
              <w:rFonts w:ascii="Cambria Math" w:hAnsi="Cambria Math" w:cs="Arial"/>
              <w:szCs w:val="20"/>
            </w:rPr>
            <m:t xml:space="preserve">Доза </m:t>
          </m:r>
          <m:r>
            <m:rPr>
              <m:sty m:val="p"/>
            </m:rPr>
            <w:rPr>
              <w:rFonts w:ascii="Cambria Math" w:hAnsi="Cambria Math" w:cs="Arial"/>
              <w:szCs w:val="20"/>
              <w:lang w:val="en-US"/>
            </w:rPr>
            <m:t xml:space="preserve">(mg/kg </m:t>
          </m:r>
          <m:r>
            <m:rPr>
              <m:sty m:val="p"/>
            </m:rPr>
            <w:rPr>
              <w:rFonts w:ascii="Cambria Math" w:hAnsi="Cambria Math" w:cs="Arial"/>
              <w:szCs w:val="20"/>
            </w:rPr>
            <m:t>телесно тегло) =</m:t>
          </m:r>
          <m:f>
            <m:fPr>
              <m:ctrlPr>
                <w:rPr>
                  <w:rFonts w:ascii="Cambria Math" w:hAnsi="Cambria Math" w:cs="Arial"/>
                  <w:szCs w:val="20"/>
                </w:rPr>
              </m:ctrlPr>
            </m:fPr>
            <m:num>
              <m:r>
                <m:rPr>
                  <m:sty m:val="p"/>
                </m:rPr>
                <w:rPr>
                  <w:rFonts w:ascii="Cambria Math" w:hAnsi="Cambria Math" w:cs="Arial"/>
                  <w:szCs w:val="20"/>
                  <w:u w:val="single"/>
                </w:rPr>
                <m:t xml:space="preserve">[Таргетно ниво </m:t>
              </m:r>
              <m:r>
                <m:rPr>
                  <m:sty m:val="p"/>
                </m:rPr>
                <w:rPr>
                  <w:rFonts w:ascii="Cambria Math" w:hAnsi="Cambria Math" w:cs="Arial"/>
                  <w:szCs w:val="20"/>
                  <w:u w:val="single"/>
                  <w:lang w:val="en-US"/>
                </w:rPr>
                <m:t xml:space="preserve">(g/l) </m:t>
              </m:r>
              <m:r>
                <m:rPr>
                  <m:sty m:val="p"/>
                </m:rPr>
                <w:rPr>
                  <w:rFonts w:ascii="Cambria Math" w:hAnsi="Cambria Math" w:cs="Arial"/>
                  <w:szCs w:val="20"/>
                  <w:u w:val="single"/>
                </w:rPr>
                <m:t xml:space="preserve">- измерено ниво </m:t>
              </m:r>
              <m:r>
                <m:rPr>
                  <m:sty m:val="p"/>
                </m:rPr>
                <w:rPr>
                  <w:rFonts w:ascii="Cambria Math" w:hAnsi="Cambria Math" w:cs="Arial"/>
                  <w:szCs w:val="20"/>
                  <w:u w:val="single"/>
                  <w:lang w:val="en-US"/>
                </w:rPr>
                <m:t>(g/l)]</m:t>
              </m:r>
            </m:num>
            <m:den>
              <m:r>
                <m:rPr>
                  <m:sty m:val="p"/>
                </m:rPr>
                <w:rPr>
                  <w:rFonts w:ascii="Cambria Math" w:hAnsi="Cambria Math" w:cs="Arial"/>
                  <w:szCs w:val="20"/>
                </w:rPr>
                <m:t xml:space="preserve">0,018 </m:t>
              </m:r>
              <m:r>
                <m:rPr>
                  <m:sty m:val="p"/>
                </m:rPr>
                <w:rPr>
                  <w:rFonts w:ascii="Cambria Math" w:hAnsi="Cambria Math" w:cs="Arial"/>
                  <w:szCs w:val="20"/>
                  <w:lang w:val="en-US"/>
                </w:rPr>
                <m:t xml:space="preserve">(g/1 </m:t>
              </m:r>
              <m:r>
                <m:rPr>
                  <m:sty m:val="p"/>
                </m:rPr>
                <w:rPr>
                  <w:rFonts w:ascii="Cambria Math" w:hAnsi="Cambria Math" w:cs="Arial"/>
                  <w:szCs w:val="20"/>
                </w:rPr>
                <m:t xml:space="preserve">на </m:t>
              </m:r>
              <m:r>
                <m:rPr>
                  <m:sty m:val="p"/>
                </m:rPr>
                <w:rPr>
                  <w:rFonts w:ascii="Cambria Math" w:hAnsi="Cambria Math" w:cs="Arial"/>
                  <w:szCs w:val="20"/>
                  <w:lang w:val="en-US"/>
                </w:rPr>
                <m:t xml:space="preserve">mg/kg </m:t>
              </m:r>
              <m:r>
                <m:rPr>
                  <m:sty m:val="p"/>
                </m:rPr>
                <w:rPr>
                  <w:rFonts w:ascii="Cambria Math" w:hAnsi="Cambria Math" w:cs="Arial"/>
                  <w:szCs w:val="20"/>
                </w:rPr>
                <m:t>телесно тегло)</m:t>
              </m:r>
            </m:den>
          </m:f>
        </m:oMath>
      </m:oMathPara>
    </w:p>
    <w:p w14:paraId="2669CBDF" w14:textId="43BEEF8C" w:rsidR="00EF2976" w:rsidRDefault="00EF2976" w:rsidP="00EF2976">
      <w:pPr>
        <w:rPr>
          <w:rFonts w:eastAsiaTheme="minorEastAsia" w:cs="Arial"/>
          <w:szCs w:val="20"/>
        </w:rPr>
      </w:pPr>
    </w:p>
    <w:p w14:paraId="7E024535"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Последващата дозировка (дози и честота на инжекциите) трябва да се адаптира на базата на клиничния статус на пациента и резултатите от лабораторните изследвания.</w:t>
      </w:r>
    </w:p>
    <w:p w14:paraId="38260E72"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Биологичният полуживот на фибриноген е 3-4 дни. Следователно, при липса на изразходване, обикновено не се налага повторно лечение с човешки фибриноген. Дори да възникне натрупване в случай на повторно приложение при профилактична употреба, дозата и честотата трябва да се определят според терапевтичните цели на лекаря за даден пациент.</w:t>
      </w:r>
    </w:p>
    <w:p w14:paraId="6B4C4E75" w14:textId="77777777" w:rsidR="00EF2976" w:rsidRPr="00EF2976" w:rsidRDefault="00EF2976" w:rsidP="00EF2976">
      <w:pPr>
        <w:spacing w:line="240" w:lineRule="auto"/>
        <w:rPr>
          <w:rFonts w:eastAsia="Times New Roman" w:cs="Arial"/>
          <w:i/>
          <w:iCs/>
          <w:color w:val="000000"/>
          <w:szCs w:val="20"/>
          <w:lang w:eastAsia="bg-BG"/>
        </w:rPr>
      </w:pPr>
    </w:p>
    <w:p w14:paraId="2704FF8F" w14:textId="213E3A39" w:rsidR="00EF2976" w:rsidRPr="00EF2976" w:rsidRDefault="00EF2976" w:rsidP="00EF2976">
      <w:pPr>
        <w:spacing w:line="240" w:lineRule="auto"/>
        <w:rPr>
          <w:rFonts w:eastAsia="Times New Roman" w:cs="Arial"/>
          <w:sz w:val="28"/>
          <w:szCs w:val="24"/>
        </w:rPr>
      </w:pPr>
      <w:r w:rsidRPr="00EF2976">
        <w:rPr>
          <w:rFonts w:eastAsia="Times New Roman" w:cs="Arial"/>
          <w:i/>
          <w:iCs/>
          <w:color w:val="000000"/>
          <w:szCs w:val="20"/>
          <w:lang w:eastAsia="bg-BG"/>
        </w:rPr>
        <w:t>Педиатрична популация</w:t>
      </w:r>
    </w:p>
    <w:p w14:paraId="0EF896EB" w14:textId="6C6527AA" w:rsidR="00EF2976" w:rsidRDefault="00EF2976" w:rsidP="00EF2976">
      <w:pPr>
        <w:rPr>
          <w:rFonts w:eastAsia="Times New Roman" w:cs="Arial"/>
          <w:color w:val="000000"/>
          <w:szCs w:val="20"/>
          <w:lang w:eastAsia="bg-BG"/>
        </w:rPr>
      </w:pPr>
      <w:r w:rsidRPr="00EF2976">
        <w:rPr>
          <w:rFonts w:eastAsia="Times New Roman" w:cs="Arial"/>
          <w:color w:val="000000"/>
          <w:szCs w:val="20"/>
          <w:lang w:eastAsia="bg-BG"/>
        </w:rPr>
        <w:t>В случай на хирургична процедура или лечение на епизод на кръвоизлив дозата при юноши трябва да се изчисли по формулата за възрастни, описана по-горе, а дозата при деца на възраст &lt;12 години трябва да се изчисли, както следва:</w:t>
      </w:r>
    </w:p>
    <w:p w14:paraId="7FCA7E2C" w14:textId="2E49E5D7" w:rsidR="00EF2976" w:rsidRDefault="00EF2976" w:rsidP="00EF2976">
      <w:pPr>
        <w:rPr>
          <w:rFonts w:eastAsia="Times New Roman" w:cs="Arial"/>
          <w:color w:val="000000"/>
          <w:szCs w:val="20"/>
          <w:lang w:eastAsia="bg-BG"/>
        </w:rPr>
      </w:pPr>
    </w:p>
    <w:p w14:paraId="64034677" w14:textId="2EFCC0CC" w:rsidR="00EF2976" w:rsidRPr="00EF2976" w:rsidRDefault="00EF2976" w:rsidP="00EF2976">
      <w:pPr>
        <w:rPr>
          <w:rFonts w:eastAsiaTheme="minorEastAsia" w:cs="Arial"/>
          <w:szCs w:val="20"/>
        </w:rPr>
      </w:pPr>
      <m:oMathPara>
        <m:oMath>
          <m:r>
            <m:rPr>
              <m:sty m:val="p"/>
            </m:rPr>
            <w:rPr>
              <w:rFonts w:ascii="Cambria Math" w:hAnsi="Cambria Math" w:cs="Arial"/>
              <w:szCs w:val="20"/>
            </w:rPr>
            <m:t xml:space="preserve">Доза </m:t>
          </m:r>
          <m:r>
            <m:rPr>
              <m:sty m:val="p"/>
            </m:rPr>
            <w:rPr>
              <w:rFonts w:ascii="Cambria Math" w:hAnsi="Cambria Math" w:cs="Arial"/>
              <w:szCs w:val="20"/>
              <w:lang w:val="en-US"/>
            </w:rPr>
            <m:t xml:space="preserve">(mg/kg </m:t>
          </m:r>
          <m:r>
            <m:rPr>
              <m:sty m:val="p"/>
            </m:rPr>
            <w:rPr>
              <w:rFonts w:ascii="Cambria Math" w:hAnsi="Cambria Math" w:cs="Arial"/>
              <w:szCs w:val="20"/>
            </w:rPr>
            <m:t>телесно тегло)=</m:t>
          </m:r>
          <m:f>
            <m:fPr>
              <m:ctrlPr>
                <w:rPr>
                  <w:rFonts w:ascii="Cambria Math" w:hAnsi="Cambria Math" w:cs="Arial"/>
                  <w:szCs w:val="20"/>
                </w:rPr>
              </m:ctrlPr>
            </m:fPr>
            <m:num>
              <m:r>
                <m:rPr>
                  <m:sty m:val="p"/>
                </m:rPr>
                <w:rPr>
                  <w:rFonts w:ascii="Cambria Math" w:hAnsi="Cambria Math" w:cs="Arial"/>
                  <w:szCs w:val="20"/>
                  <w:u w:val="single"/>
                </w:rPr>
                <m:t xml:space="preserve">[Таргетно ниво </m:t>
              </m:r>
              <m:r>
                <m:rPr>
                  <m:sty m:val="p"/>
                </m:rPr>
                <w:rPr>
                  <w:rFonts w:ascii="Cambria Math" w:hAnsi="Cambria Math" w:cs="Arial"/>
                  <w:szCs w:val="20"/>
                  <w:u w:val="single"/>
                  <w:lang w:val="en-US"/>
                </w:rPr>
                <m:t xml:space="preserve">(g/l) </m:t>
              </m:r>
              <m:r>
                <m:rPr>
                  <m:sty m:val="p"/>
                </m:rPr>
                <w:rPr>
                  <w:rFonts w:ascii="Cambria Math" w:hAnsi="Cambria Math" w:cs="Arial"/>
                  <w:szCs w:val="20"/>
                  <w:u w:val="single"/>
                </w:rPr>
                <m:t xml:space="preserve">- измерено ниво </m:t>
              </m:r>
              <m:r>
                <m:rPr>
                  <m:sty m:val="p"/>
                </m:rPr>
                <w:rPr>
                  <w:rFonts w:ascii="Cambria Math" w:hAnsi="Cambria Math" w:cs="Arial"/>
                  <w:szCs w:val="20"/>
                  <w:u w:val="single"/>
                  <w:lang w:val="en-US"/>
                </w:rPr>
                <m:t>(g/l)]</m:t>
              </m:r>
            </m:num>
            <m:den>
              <m:r>
                <m:rPr>
                  <m:sty m:val="p"/>
                </m:rPr>
                <w:rPr>
                  <w:rFonts w:ascii="Cambria Math" w:hAnsi="Cambria Math" w:cs="Arial"/>
                  <w:szCs w:val="20"/>
                </w:rPr>
                <m:t xml:space="preserve">0,014 </m:t>
              </m:r>
              <m:r>
                <m:rPr>
                  <m:sty m:val="p"/>
                </m:rPr>
                <w:rPr>
                  <w:rFonts w:ascii="Cambria Math" w:hAnsi="Cambria Math" w:cs="Arial"/>
                  <w:szCs w:val="20"/>
                  <w:lang w:val="en-US"/>
                </w:rPr>
                <m:t xml:space="preserve">(g/l </m:t>
              </m:r>
              <m:r>
                <m:rPr>
                  <m:sty m:val="p"/>
                </m:rPr>
                <w:rPr>
                  <w:rFonts w:ascii="Cambria Math" w:hAnsi="Cambria Math" w:cs="Arial"/>
                  <w:szCs w:val="20"/>
                </w:rPr>
                <m:t xml:space="preserve">на </m:t>
              </m:r>
              <m:r>
                <m:rPr>
                  <m:sty m:val="p"/>
                </m:rPr>
                <w:rPr>
                  <w:rFonts w:ascii="Cambria Math" w:hAnsi="Cambria Math" w:cs="Arial"/>
                  <w:szCs w:val="20"/>
                  <w:lang w:val="en-US"/>
                </w:rPr>
                <m:t xml:space="preserve">mg/kg </m:t>
              </m:r>
              <m:r>
                <m:rPr>
                  <m:sty m:val="p"/>
                </m:rPr>
                <w:rPr>
                  <w:rFonts w:ascii="Cambria Math" w:hAnsi="Cambria Math" w:cs="Arial"/>
                  <w:szCs w:val="20"/>
                </w:rPr>
                <m:t>телесно тегло)</m:t>
              </m:r>
            </m:den>
          </m:f>
        </m:oMath>
      </m:oMathPara>
    </w:p>
    <w:p w14:paraId="317D2F3F" w14:textId="2A8A5543" w:rsidR="00EF2976" w:rsidRDefault="00EF2976" w:rsidP="00EF2976">
      <w:pPr>
        <w:rPr>
          <w:rFonts w:eastAsiaTheme="minorEastAsia" w:cs="Arial"/>
          <w:szCs w:val="20"/>
        </w:rPr>
      </w:pPr>
    </w:p>
    <w:p w14:paraId="4A3957AD"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Последващата дозировка трябва да се адаптира на базата на клиничния статус на пациента и резултатите от лабораторните изследвания.</w:t>
      </w:r>
    </w:p>
    <w:p w14:paraId="14E56A4E" w14:textId="77777777" w:rsidR="00EF2976" w:rsidRPr="00EF2976" w:rsidRDefault="00EF2976" w:rsidP="00EF2976">
      <w:pPr>
        <w:spacing w:line="240" w:lineRule="auto"/>
        <w:rPr>
          <w:rFonts w:eastAsia="Times New Roman" w:cs="Arial"/>
          <w:sz w:val="28"/>
          <w:szCs w:val="24"/>
        </w:rPr>
      </w:pPr>
      <w:r w:rsidRPr="00EF2976">
        <w:rPr>
          <w:rFonts w:eastAsia="Times New Roman" w:cs="Arial"/>
          <w:b/>
          <w:bCs/>
          <w:color w:val="000000"/>
          <w:szCs w:val="20"/>
          <w:lang w:eastAsia="bg-BG"/>
        </w:rPr>
        <w:t>Пациенти в старческа възраст</w:t>
      </w:r>
    </w:p>
    <w:p w14:paraId="402BFFBD"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Клиничните проучвания на Фибрига не включват пациенти на възраст 65 и повече години, за да се предостави убедително доказателство относно това дали те се повлияват по различен начин в сравнение с по-млади пациенти.</w:t>
      </w:r>
    </w:p>
    <w:p w14:paraId="72FEC17C" w14:textId="4EA14E1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u w:val="single"/>
          <w:lang w:eastAsia="bg-BG"/>
        </w:rPr>
        <w:t>2.Лечение на кръвоизливи</w:t>
      </w:r>
    </w:p>
    <w:p w14:paraId="3251AB5B" w14:textId="77777777" w:rsidR="00EF2976" w:rsidRPr="00EF2976" w:rsidRDefault="00EF2976" w:rsidP="00EF2976">
      <w:pPr>
        <w:spacing w:line="240" w:lineRule="auto"/>
        <w:rPr>
          <w:rFonts w:eastAsia="Times New Roman" w:cs="Arial"/>
          <w:sz w:val="28"/>
          <w:szCs w:val="24"/>
        </w:rPr>
      </w:pPr>
      <w:r w:rsidRPr="00EF2976">
        <w:rPr>
          <w:rFonts w:eastAsia="Times New Roman" w:cs="Arial"/>
          <w:b/>
          <w:bCs/>
          <w:color w:val="000000"/>
          <w:szCs w:val="20"/>
          <w:lang w:eastAsia="bg-BG"/>
        </w:rPr>
        <w:t>Кръвоизливи при пациенти с вродена хипо- или афибриногенемия</w:t>
      </w:r>
    </w:p>
    <w:p w14:paraId="17F5A8DC" w14:textId="1D3D9635" w:rsidR="00EF2976" w:rsidRPr="00EF2976" w:rsidRDefault="00EF2976" w:rsidP="00EF2976">
      <w:pPr>
        <w:rPr>
          <w:rFonts w:eastAsia="Times New Roman" w:cs="Arial"/>
          <w:color w:val="000000"/>
          <w:szCs w:val="20"/>
          <w:lang w:eastAsia="bg-BG"/>
        </w:rPr>
      </w:pPr>
      <w:r w:rsidRPr="00EF2976">
        <w:rPr>
          <w:rFonts w:eastAsia="Times New Roman" w:cs="Arial"/>
          <w:color w:val="000000"/>
          <w:szCs w:val="20"/>
          <w:lang w:eastAsia="bg-BG"/>
        </w:rPr>
        <w:lastRenderedPageBreak/>
        <w:t xml:space="preserve">Епизоди на кръвоизлив трябва да се лекуват съответно по формулите за възрастни/юноши и деца по-горе, за да се постигне препоръчителното целево плазмено ниво на фибриногена 1 </w:t>
      </w:r>
      <w:r w:rsidRPr="00EF2976">
        <w:rPr>
          <w:rFonts w:eastAsia="Times New Roman" w:cs="Arial"/>
          <w:color w:val="000000"/>
          <w:szCs w:val="20"/>
          <w:lang w:val="en-US"/>
        </w:rPr>
        <w:t>g</w:t>
      </w:r>
      <w:r w:rsidRPr="00EF2976">
        <w:rPr>
          <w:rFonts w:eastAsia="Times New Roman" w:cs="Arial"/>
          <w:color w:val="000000"/>
          <w:szCs w:val="20"/>
          <w:lang w:val="ru-RU"/>
        </w:rPr>
        <w:t>/</w:t>
      </w:r>
      <w:r w:rsidRPr="00EF2976">
        <w:rPr>
          <w:rFonts w:eastAsia="Times New Roman" w:cs="Arial"/>
          <w:color w:val="000000"/>
          <w:szCs w:val="20"/>
          <w:lang w:val="en-US"/>
        </w:rPr>
        <w:t>l</w:t>
      </w:r>
      <w:r w:rsidRPr="00EF2976">
        <w:rPr>
          <w:rFonts w:eastAsia="Times New Roman" w:cs="Arial"/>
          <w:color w:val="000000"/>
          <w:szCs w:val="20"/>
          <w:lang w:val="ru-RU"/>
        </w:rPr>
        <w:t xml:space="preserve">. </w:t>
      </w:r>
      <w:r w:rsidRPr="00EF2976">
        <w:rPr>
          <w:rFonts w:eastAsia="Times New Roman" w:cs="Arial"/>
          <w:color w:val="000000"/>
          <w:szCs w:val="20"/>
          <w:lang w:eastAsia="bg-BG"/>
        </w:rPr>
        <w:t>Това ниво трябва да се задържи, докато се осигури хемостаза.</w:t>
      </w:r>
    </w:p>
    <w:p w14:paraId="5EB83E87" w14:textId="49A2666A" w:rsidR="00EF2976" w:rsidRDefault="00EF2976" w:rsidP="00EF2976">
      <w:pPr>
        <w:rPr>
          <w:rFonts w:cs="Arial"/>
          <w:sz w:val="32"/>
        </w:rPr>
      </w:pPr>
    </w:p>
    <w:p w14:paraId="6DFEB0BF" w14:textId="77777777" w:rsidR="00EF2976" w:rsidRPr="00EF2976" w:rsidRDefault="00EF2976" w:rsidP="00EF2976">
      <w:pPr>
        <w:spacing w:line="240" w:lineRule="auto"/>
        <w:rPr>
          <w:rFonts w:eastAsia="Times New Roman" w:cs="Arial"/>
          <w:sz w:val="28"/>
          <w:szCs w:val="24"/>
        </w:rPr>
      </w:pPr>
      <w:r w:rsidRPr="00EF2976">
        <w:rPr>
          <w:rFonts w:eastAsia="Times New Roman" w:cs="Arial"/>
          <w:b/>
          <w:bCs/>
          <w:color w:val="000000"/>
          <w:szCs w:val="20"/>
          <w:lang w:eastAsia="bg-BG"/>
        </w:rPr>
        <w:t>Кръвоизливи при пациенти с придобит фибриногепен дефицит</w:t>
      </w:r>
    </w:p>
    <w:p w14:paraId="5ECF754A"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Възрастни</w:t>
      </w:r>
    </w:p>
    <w:p w14:paraId="57D372EB"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Обикновено първоначално се прилагат 1-2 </w:t>
      </w:r>
      <w:r w:rsidRPr="00EF2976">
        <w:rPr>
          <w:rFonts w:eastAsia="Times New Roman" w:cs="Arial"/>
          <w:color w:val="000000"/>
          <w:szCs w:val="20"/>
          <w:lang w:val="en-US"/>
        </w:rPr>
        <w:t>g</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с последващи инфузии, както е необходимо. В случай на тежка хеморагия, напр. голяма хирургия, може да се изискват по-големи количества (4-8 </w:t>
      </w:r>
      <w:r w:rsidRPr="00EF2976">
        <w:rPr>
          <w:rFonts w:eastAsia="Times New Roman" w:cs="Arial"/>
          <w:color w:val="000000"/>
          <w:szCs w:val="20"/>
          <w:lang w:val="en-US"/>
        </w:rPr>
        <w:t>g</w:t>
      </w:r>
      <w:r w:rsidRPr="00EF2976">
        <w:rPr>
          <w:rFonts w:eastAsia="Times New Roman" w:cs="Arial"/>
          <w:color w:val="000000"/>
          <w:szCs w:val="20"/>
          <w:lang w:val="ru-RU"/>
        </w:rPr>
        <w:t xml:space="preserve">) </w:t>
      </w:r>
      <w:r w:rsidRPr="00EF2976">
        <w:rPr>
          <w:rFonts w:eastAsia="Times New Roman" w:cs="Arial"/>
          <w:color w:val="000000"/>
          <w:szCs w:val="20"/>
          <w:lang w:eastAsia="bg-BG"/>
        </w:rPr>
        <w:t>фибриноген.</w:t>
      </w:r>
    </w:p>
    <w:p w14:paraId="65EC95CF" w14:textId="77777777" w:rsidR="00EF2976" w:rsidRPr="00EF2976" w:rsidRDefault="00EF2976" w:rsidP="00EF2976">
      <w:pPr>
        <w:spacing w:line="240" w:lineRule="auto"/>
        <w:rPr>
          <w:rFonts w:eastAsia="Times New Roman" w:cs="Arial"/>
          <w:sz w:val="28"/>
          <w:szCs w:val="24"/>
        </w:rPr>
      </w:pPr>
      <w:r w:rsidRPr="00EF2976">
        <w:rPr>
          <w:rFonts w:eastAsia="Times New Roman" w:cs="Arial"/>
          <w:i/>
          <w:iCs/>
          <w:color w:val="000000"/>
          <w:szCs w:val="20"/>
          <w:lang w:eastAsia="bg-BG"/>
        </w:rPr>
        <w:t>Педиатрична популация</w:t>
      </w:r>
    </w:p>
    <w:p w14:paraId="403C0A61"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Дозата трябва да се определи според телесното тегло и клиничната необходимост, но обикновено е 20-30 </w:t>
      </w:r>
      <w:r w:rsidRPr="00EF2976">
        <w:rPr>
          <w:rFonts w:eastAsia="Times New Roman" w:cs="Arial"/>
          <w:color w:val="000000"/>
          <w:szCs w:val="20"/>
          <w:lang w:val="en-US"/>
        </w:rPr>
        <w:t>mg</w:t>
      </w:r>
      <w:r w:rsidRPr="00EF2976">
        <w:rPr>
          <w:rFonts w:eastAsia="Times New Roman" w:cs="Arial"/>
          <w:color w:val="000000"/>
          <w:szCs w:val="20"/>
          <w:lang w:val="ru-RU"/>
        </w:rPr>
        <w:t>/</w:t>
      </w:r>
      <w:r w:rsidRPr="00EF2976">
        <w:rPr>
          <w:rFonts w:eastAsia="Times New Roman" w:cs="Arial"/>
          <w:color w:val="000000"/>
          <w:szCs w:val="20"/>
          <w:lang w:val="en-US"/>
        </w:rPr>
        <w:t>kg</w:t>
      </w:r>
      <w:r w:rsidRPr="00EF2976">
        <w:rPr>
          <w:rFonts w:eastAsia="Times New Roman" w:cs="Arial"/>
          <w:color w:val="000000"/>
          <w:szCs w:val="20"/>
          <w:lang w:val="ru-RU"/>
        </w:rPr>
        <w:t>.</w:t>
      </w:r>
    </w:p>
    <w:p w14:paraId="3020ED0F" w14:textId="77777777" w:rsidR="00EF2976" w:rsidRPr="00EF2976" w:rsidRDefault="00EF2976" w:rsidP="00EF2976">
      <w:pPr>
        <w:spacing w:line="240" w:lineRule="auto"/>
        <w:rPr>
          <w:rFonts w:eastAsia="Times New Roman" w:cs="Arial"/>
          <w:b/>
          <w:bCs/>
          <w:color w:val="000000"/>
          <w:szCs w:val="20"/>
          <w:lang w:eastAsia="bg-BG"/>
        </w:rPr>
      </w:pPr>
      <w:bookmarkStart w:id="2" w:name="bookmark2"/>
    </w:p>
    <w:p w14:paraId="5A66FF75" w14:textId="4F5FFAAF" w:rsidR="00EF2976" w:rsidRPr="00EF2976" w:rsidRDefault="00EF2976" w:rsidP="00EF2976">
      <w:pPr>
        <w:spacing w:line="240" w:lineRule="auto"/>
        <w:rPr>
          <w:rFonts w:eastAsia="Times New Roman" w:cs="Arial"/>
          <w:sz w:val="28"/>
          <w:szCs w:val="24"/>
        </w:rPr>
      </w:pPr>
      <w:r w:rsidRPr="00EF2976">
        <w:rPr>
          <w:rFonts w:eastAsia="Times New Roman" w:cs="Arial"/>
          <w:b/>
          <w:bCs/>
          <w:color w:val="000000"/>
          <w:szCs w:val="20"/>
          <w:lang w:eastAsia="bg-BG"/>
        </w:rPr>
        <w:t>Начин на приложение</w:t>
      </w:r>
      <w:bookmarkEnd w:id="2"/>
    </w:p>
    <w:p w14:paraId="3C630BA3"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Интравенозна инфузия или инжекция</w:t>
      </w:r>
    </w:p>
    <w:p w14:paraId="763FD5CF" w14:textId="600990C2" w:rsidR="00EF2976" w:rsidRDefault="00EF2976" w:rsidP="00EF2976">
      <w:pPr>
        <w:rPr>
          <w:rFonts w:eastAsia="Times New Roman" w:cs="Arial"/>
          <w:color w:val="000000"/>
          <w:szCs w:val="20"/>
          <w:lang w:eastAsia="bg-BG"/>
        </w:rPr>
      </w:pPr>
      <w:r w:rsidRPr="00EF2976">
        <w:rPr>
          <w:rFonts w:eastAsia="Times New Roman" w:cs="Arial"/>
          <w:color w:val="000000"/>
          <w:szCs w:val="20"/>
          <w:lang w:eastAsia="bg-BG"/>
        </w:rPr>
        <w:t xml:space="preserve">Фибрига трябва да се прилага бавно интравенозно при препоръчителна максимална скорост 5 </w:t>
      </w:r>
      <w:r w:rsidRPr="00EF2976">
        <w:rPr>
          <w:rFonts w:eastAsia="Times New Roman" w:cs="Arial"/>
          <w:color w:val="000000"/>
          <w:szCs w:val="20"/>
          <w:lang w:val="en-US"/>
        </w:rPr>
        <w:t>ml</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в минута за пациенти с вродена хипо- или афибриногенемия и при препоръчителна максимална скорост 10 </w:t>
      </w:r>
      <w:r w:rsidRPr="00EF2976">
        <w:rPr>
          <w:rFonts w:eastAsia="Times New Roman" w:cs="Arial"/>
          <w:color w:val="000000"/>
          <w:szCs w:val="20"/>
          <w:lang w:val="en-US"/>
        </w:rPr>
        <w:t>ml</w:t>
      </w:r>
      <w:r w:rsidRPr="00EF2976">
        <w:rPr>
          <w:rFonts w:eastAsia="Times New Roman" w:cs="Arial"/>
          <w:color w:val="000000"/>
          <w:szCs w:val="20"/>
          <w:lang w:val="ru-RU"/>
        </w:rPr>
        <w:t xml:space="preserve"> </w:t>
      </w:r>
      <w:r w:rsidRPr="00EF2976">
        <w:rPr>
          <w:rFonts w:eastAsia="Times New Roman" w:cs="Arial"/>
          <w:color w:val="000000"/>
          <w:szCs w:val="20"/>
          <w:lang w:eastAsia="bg-BG"/>
        </w:rPr>
        <w:t>в минута за пациенти с придобит фибриногенен дефицит.</w:t>
      </w:r>
    </w:p>
    <w:p w14:paraId="6A034155" w14:textId="19EE586F" w:rsidR="00EF2976" w:rsidRDefault="00EF2976" w:rsidP="00EF2976">
      <w:pPr>
        <w:rPr>
          <w:rFonts w:eastAsia="Times New Roman" w:cs="Arial"/>
          <w:color w:val="000000"/>
          <w:szCs w:val="20"/>
          <w:lang w:eastAsia="bg-BG"/>
        </w:rPr>
      </w:pPr>
    </w:p>
    <w:p w14:paraId="152C1FF3" w14:textId="47097148" w:rsidR="00EF2976" w:rsidRDefault="00EF2976" w:rsidP="00EF2976">
      <w:pPr>
        <w:rPr>
          <w:rFonts w:eastAsia="Times New Roman" w:cs="Arial"/>
          <w:color w:val="000000"/>
          <w:lang w:eastAsia="bg-BG"/>
        </w:rPr>
      </w:pPr>
      <w:r>
        <w:t>За указания относно разтварянето на лекарствения продукт преди приложение вижте точка 6.6.</w:t>
      </w:r>
    </w:p>
    <w:p w14:paraId="504BBF02" w14:textId="77777777" w:rsidR="00EF2976" w:rsidRPr="00EF2976" w:rsidRDefault="00EF2976" w:rsidP="00EF2976">
      <w:pPr>
        <w:rPr>
          <w:rFonts w:eastAsia="Times New Roman" w:cs="Arial"/>
          <w:color w:val="000000"/>
          <w:lang w:eastAsia="bg-BG"/>
        </w:rPr>
      </w:pPr>
    </w:p>
    <w:p w14:paraId="6A85390E" w14:textId="6C137822" w:rsidR="00DF4C8E" w:rsidRDefault="002C50EE" w:rsidP="00F44498">
      <w:pPr>
        <w:pStyle w:val="Heading2"/>
      </w:pPr>
      <w:r>
        <w:t>4.3. Противопоказания</w:t>
      </w:r>
    </w:p>
    <w:p w14:paraId="1A705FFB" w14:textId="599F21A4" w:rsidR="00EF2976" w:rsidRDefault="00EF2976" w:rsidP="00EF2976"/>
    <w:p w14:paraId="48DA7E7F" w14:textId="048A63E2" w:rsidR="00EF2976" w:rsidRDefault="00EF2976" w:rsidP="00EF2976">
      <w:r>
        <w:t>Свръхчувствителност към активното вещество или към някое от помощните вещества, изброени в точка 6.1.</w:t>
      </w:r>
    </w:p>
    <w:p w14:paraId="4C26959D" w14:textId="77777777" w:rsidR="00EF2976" w:rsidRPr="00EF2976" w:rsidRDefault="00EF2976" w:rsidP="00EF2976"/>
    <w:p w14:paraId="115C9528" w14:textId="60CD6F3B" w:rsidR="00DF4C8E" w:rsidRDefault="002C50EE" w:rsidP="00F44498">
      <w:pPr>
        <w:pStyle w:val="Heading2"/>
      </w:pPr>
      <w:r>
        <w:t>4.4. Специални предупреждения и предпазни мерки при употреба</w:t>
      </w:r>
    </w:p>
    <w:p w14:paraId="44311D00" w14:textId="2B32586D" w:rsidR="00EF2976" w:rsidRDefault="00EF2976" w:rsidP="00EF2976"/>
    <w:p w14:paraId="19140D69" w14:textId="77777777" w:rsidR="00EF2976" w:rsidRPr="00EF2976" w:rsidRDefault="00EF2976" w:rsidP="00EF2976">
      <w:pPr>
        <w:spacing w:line="240" w:lineRule="auto"/>
        <w:rPr>
          <w:rFonts w:eastAsia="Times New Roman" w:cs="Arial"/>
          <w:sz w:val="28"/>
          <w:szCs w:val="24"/>
        </w:rPr>
      </w:pPr>
      <w:r w:rsidRPr="00EF2976">
        <w:rPr>
          <w:rFonts w:eastAsia="Times New Roman" w:cs="Arial"/>
          <w:i/>
          <w:iCs/>
          <w:color w:val="000000"/>
          <w:szCs w:val="20"/>
          <w:lang w:eastAsia="bg-BG"/>
        </w:rPr>
        <w:t>Проследимост</w:t>
      </w:r>
    </w:p>
    <w:p w14:paraId="3153453E"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65C50DED" w14:textId="77777777" w:rsidR="00EF2976" w:rsidRPr="00EF2976" w:rsidRDefault="00EF2976" w:rsidP="00EF2976">
      <w:pPr>
        <w:spacing w:line="240" w:lineRule="auto"/>
        <w:rPr>
          <w:rFonts w:eastAsia="Times New Roman" w:cs="Arial"/>
          <w:i/>
          <w:iCs/>
          <w:color w:val="000000"/>
          <w:szCs w:val="20"/>
          <w:lang w:eastAsia="bg-BG"/>
        </w:rPr>
      </w:pPr>
    </w:p>
    <w:p w14:paraId="62943C07" w14:textId="5DC83C7A" w:rsidR="00EF2976" w:rsidRPr="00EF2976" w:rsidRDefault="00EF2976" w:rsidP="00EF2976">
      <w:pPr>
        <w:spacing w:line="240" w:lineRule="auto"/>
        <w:rPr>
          <w:rFonts w:eastAsia="Times New Roman" w:cs="Arial"/>
          <w:sz w:val="28"/>
          <w:szCs w:val="24"/>
        </w:rPr>
      </w:pPr>
      <w:r w:rsidRPr="00EF2976">
        <w:rPr>
          <w:rFonts w:eastAsia="Times New Roman" w:cs="Arial"/>
          <w:i/>
          <w:iCs/>
          <w:color w:val="000000"/>
          <w:szCs w:val="20"/>
          <w:lang w:eastAsia="bg-BG"/>
        </w:rPr>
        <w:t>Тромбоемболизъм</w:t>
      </w:r>
    </w:p>
    <w:p w14:paraId="6BCFD6F2"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Има риск от тромбоза, когато пациенти с вроден или придобит дефицит са лекувани с фибриноген, особено при висока доза или многократно прилагане на дозата. Пациенти, на които се прилага фибриноген, трябва да се наблюдават внимателно за признаци или симптоми на тромбоза.</w:t>
      </w:r>
    </w:p>
    <w:p w14:paraId="437E31B5" w14:textId="77777777" w:rsidR="00EF2976" w:rsidRPr="00EF2976" w:rsidRDefault="00EF2976" w:rsidP="00EF2976">
      <w:pPr>
        <w:spacing w:line="240" w:lineRule="auto"/>
        <w:rPr>
          <w:rFonts w:eastAsia="Times New Roman" w:cs="Arial"/>
          <w:color w:val="000000"/>
          <w:szCs w:val="20"/>
          <w:lang w:eastAsia="bg-BG"/>
        </w:rPr>
      </w:pPr>
    </w:p>
    <w:p w14:paraId="1F75EC2A" w14:textId="53B435BB"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При пациенти с анамнеза за исхемична болест на сърцето или инфаркт на миокарда, при пациенти с чернодробно заболяване, при пациенти в пери- или постоперативния период, при новородени или при пациенти с риск от тромбоемболични събития или дисеминирана интравазална коагулация потенциалната полза от лечението с човешки плазмен фибриноген трябва да се претегли спрямо риска от тромбоемболични усложнения. Трябва също да се подхожда внимателно и да се извършва непрекъснато проследяване.</w:t>
      </w:r>
    </w:p>
    <w:p w14:paraId="09F1D09E"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Придобитата хипофибриногенемия се свързва с ниски плазмени концентрации на всички коагулационни фактори (не само фибриноген) и инхибитори и следователно трябва да се </w:t>
      </w:r>
      <w:r w:rsidRPr="00EF2976">
        <w:rPr>
          <w:rFonts w:eastAsia="Times New Roman" w:cs="Arial"/>
          <w:color w:val="000000"/>
          <w:szCs w:val="20"/>
          <w:lang w:eastAsia="bg-BG"/>
        </w:rPr>
        <w:lastRenderedPageBreak/>
        <w:t>обмисли лечение с кръвни продукти, съдържащи коагулационни фактори. Необходимо е внимателно проследяване на коагулационната система.</w:t>
      </w:r>
    </w:p>
    <w:p w14:paraId="1DF1F1A1" w14:textId="77777777" w:rsidR="00EF2976" w:rsidRPr="00EF2976" w:rsidRDefault="00EF2976" w:rsidP="00EF2976">
      <w:pPr>
        <w:spacing w:line="240" w:lineRule="auto"/>
        <w:rPr>
          <w:rFonts w:eastAsia="Times New Roman" w:cs="Arial"/>
          <w:i/>
          <w:iCs/>
          <w:color w:val="000000"/>
          <w:szCs w:val="20"/>
          <w:lang w:eastAsia="bg-BG"/>
        </w:rPr>
      </w:pPr>
    </w:p>
    <w:p w14:paraId="1CDCEA35" w14:textId="5B45C05F" w:rsidR="00EF2976" w:rsidRPr="00EF2976" w:rsidRDefault="00EF2976" w:rsidP="00EF2976">
      <w:pPr>
        <w:spacing w:line="240" w:lineRule="auto"/>
        <w:rPr>
          <w:rFonts w:eastAsia="Times New Roman" w:cs="Arial"/>
          <w:sz w:val="28"/>
          <w:szCs w:val="24"/>
        </w:rPr>
      </w:pPr>
      <w:r w:rsidRPr="00EF2976">
        <w:rPr>
          <w:rFonts w:eastAsia="Times New Roman" w:cs="Arial"/>
          <w:i/>
          <w:iCs/>
          <w:color w:val="000000"/>
          <w:szCs w:val="20"/>
          <w:lang w:eastAsia="bg-BG"/>
        </w:rPr>
        <w:t>Алергични или анафилактичен тип реакции</w:t>
      </w:r>
    </w:p>
    <w:p w14:paraId="457715C1" w14:textId="65CF5D4A" w:rsidR="00EF2976" w:rsidRPr="00EF2976" w:rsidRDefault="00EF2976" w:rsidP="00EF2976">
      <w:pPr>
        <w:rPr>
          <w:rFonts w:eastAsia="Times New Roman" w:cs="Arial"/>
          <w:color w:val="000000"/>
          <w:szCs w:val="20"/>
          <w:lang w:eastAsia="bg-BG"/>
        </w:rPr>
      </w:pPr>
      <w:r w:rsidRPr="00EF2976">
        <w:rPr>
          <w:rFonts w:eastAsia="Times New Roman" w:cs="Arial"/>
          <w:color w:val="000000"/>
          <w:szCs w:val="20"/>
          <w:lang w:eastAsia="bg-BG"/>
        </w:rPr>
        <w:t>Ако възникнат алергични или анафилактичен тип реакции, инжекцията/инфузията трявба да се спре незабавно. В случай на анафилактичен шок, трябва да се приложи стандартно противошоково лечение.</w:t>
      </w:r>
    </w:p>
    <w:p w14:paraId="5F3ADBBD" w14:textId="700CC52A" w:rsidR="00EF2976" w:rsidRPr="00EF2976" w:rsidRDefault="00EF2976" w:rsidP="00EF2976">
      <w:pPr>
        <w:rPr>
          <w:rFonts w:eastAsia="Times New Roman" w:cs="Arial"/>
          <w:color w:val="000000"/>
          <w:szCs w:val="20"/>
          <w:lang w:eastAsia="bg-BG"/>
        </w:rPr>
      </w:pPr>
    </w:p>
    <w:p w14:paraId="5C7CBFBF" w14:textId="77777777" w:rsidR="00EF2976" w:rsidRPr="00EF2976" w:rsidRDefault="00EF2976" w:rsidP="00EF2976">
      <w:pPr>
        <w:spacing w:line="240" w:lineRule="auto"/>
        <w:rPr>
          <w:rFonts w:eastAsia="Times New Roman" w:cs="Arial"/>
          <w:sz w:val="28"/>
          <w:szCs w:val="24"/>
        </w:rPr>
      </w:pPr>
      <w:r w:rsidRPr="00EF2976">
        <w:rPr>
          <w:rFonts w:eastAsia="Times New Roman" w:cs="Arial"/>
          <w:i/>
          <w:iCs/>
          <w:color w:val="000000"/>
          <w:szCs w:val="20"/>
          <w:lang w:eastAsia="bg-BG"/>
        </w:rPr>
        <w:t>Съдържание на натрий</w:t>
      </w:r>
    </w:p>
    <w:p w14:paraId="38D4D87B"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Този лекарствен продукт съдържа до 132 </w:t>
      </w:r>
      <w:r w:rsidRPr="00EF2976">
        <w:rPr>
          <w:rFonts w:eastAsia="Times New Roman" w:cs="Arial"/>
          <w:color w:val="000000"/>
          <w:szCs w:val="20"/>
          <w:lang w:val="en-US"/>
        </w:rPr>
        <w:t>mg</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натрий на бутилка, които са еквивалентни на 6,6% от препоръчителния максимален дневен прием от 2 </w:t>
      </w:r>
      <w:r w:rsidRPr="00EF2976">
        <w:rPr>
          <w:rFonts w:eastAsia="Times New Roman" w:cs="Arial"/>
          <w:color w:val="000000"/>
          <w:szCs w:val="20"/>
          <w:lang w:val="en-US"/>
        </w:rPr>
        <w:t>g</w:t>
      </w:r>
      <w:r w:rsidRPr="00EF2976">
        <w:rPr>
          <w:rFonts w:eastAsia="Times New Roman" w:cs="Arial"/>
          <w:color w:val="000000"/>
          <w:szCs w:val="20"/>
          <w:lang w:val="ru-RU"/>
        </w:rPr>
        <w:t xml:space="preserve"> </w:t>
      </w:r>
      <w:r w:rsidRPr="00EF2976">
        <w:rPr>
          <w:rFonts w:eastAsia="Times New Roman" w:cs="Arial"/>
          <w:color w:val="000000"/>
          <w:szCs w:val="20"/>
          <w:lang w:eastAsia="bg-BG"/>
        </w:rPr>
        <w:t>натрий за възрастен. Това трябва да се има предвид при пациенти на диета с контролиран прием на натрий.</w:t>
      </w:r>
    </w:p>
    <w:p w14:paraId="7C89EB25" w14:textId="77777777" w:rsidR="00EF2976" w:rsidRPr="00EF2976" w:rsidRDefault="00EF2976" w:rsidP="00EF2976">
      <w:pPr>
        <w:spacing w:line="240" w:lineRule="auto"/>
        <w:rPr>
          <w:rFonts w:eastAsia="Times New Roman" w:cs="Arial"/>
          <w:i/>
          <w:iCs/>
          <w:color w:val="000000"/>
          <w:szCs w:val="20"/>
          <w:lang w:eastAsia="bg-BG"/>
        </w:rPr>
      </w:pPr>
    </w:p>
    <w:p w14:paraId="5881B535" w14:textId="2FC03A50" w:rsidR="00EF2976" w:rsidRPr="00EF2976" w:rsidRDefault="00EF2976" w:rsidP="00EF2976">
      <w:pPr>
        <w:spacing w:line="240" w:lineRule="auto"/>
        <w:rPr>
          <w:rFonts w:eastAsia="Times New Roman" w:cs="Arial"/>
          <w:sz w:val="28"/>
          <w:szCs w:val="24"/>
        </w:rPr>
      </w:pPr>
      <w:r w:rsidRPr="00EF2976">
        <w:rPr>
          <w:rFonts w:eastAsia="Times New Roman" w:cs="Arial"/>
          <w:i/>
          <w:iCs/>
          <w:color w:val="000000"/>
          <w:szCs w:val="20"/>
          <w:lang w:eastAsia="bg-BG"/>
        </w:rPr>
        <w:t>Вирусна безопасност</w:t>
      </w:r>
    </w:p>
    <w:p w14:paraId="031199E2"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Стандартните мерки за превенция на инфекции в резултат на употребата на лекарствени продукти, получени от човешка кръв или плазма, включват подбор на донори, скрининг на всяка отделна единица дарена кръв и сборната плазма за специфични маркери на инфекция и включването на ефективни стъпки в процеса на производството за инактивирането/отстраняването на вируси. Независимо от това, когато се прилагат лекарствени продукти, получени от човешка кръв или плазма, възможността за пренасяне на инфекциозни агенти не може да се изключи напълно. Това се отнася и за неизвестни или нововъзникнали вируси и други патогени.</w:t>
      </w:r>
    </w:p>
    <w:p w14:paraId="55492E98"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Мерките, които се вземат, се считат за ефективни за обвити вируси, като </w:t>
      </w:r>
      <w:r w:rsidRPr="00EF2976">
        <w:rPr>
          <w:rFonts w:eastAsia="Times New Roman" w:cs="Arial"/>
          <w:color w:val="000000"/>
          <w:szCs w:val="20"/>
          <w:lang w:val="en-US"/>
        </w:rPr>
        <w:t>HIV</w:t>
      </w:r>
      <w:r w:rsidRPr="00EF2976">
        <w:rPr>
          <w:rFonts w:eastAsia="Times New Roman" w:cs="Arial"/>
          <w:color w:val="000000"/>
          <w:szCs w:val="20"/>
          <w:lang w:val="ru-RU"/>
        </w:rPr>
        <w:t xml:space="preserve">, </w:t>
      </w:r>
      <w:r w:rsidRPr="00EF2976">
        <w:rPr>
          <w:rFonts w:eastAsia="Times New Roman" w:cs="Arial"/>
          <w:color w:val="000000"/>
          <w:szCs w:val="20"/>
          <w:lang w:val="en-US"/>
        </w:rPr>
        <w:t>HBV</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и </w:t>
      </w:r>
      <w:r w:rsidRPr="00EF2976">
        <w:rPr>
          <w:rFonts w:eastAsia="Times New Roman" w:cs="Arial"/>
          <w:color w:val="000000"/>
          <w:szCs w:val="20"/>
          <w:lang w:val="en-US"/>
        </w:rPr>
        <w:t>HCV</w:t>
      </w:r>
      <w:r w:rsidRPr="00EF2976">
        <w:rPr>
          <w:rFonts w:eastAsia="Times New Roman" w:cs="Arial"/>
          <w:color w:val="000000"/>
          <w:szCs w:val="20"/>
          <w:lang w:val="ru-RU"/>
        </w:rPr>
        <w:t xml:space="preserve">, </w:t>
      </w:r>
      <w:r w:rsidRPr="00EF2976">
        <w:rPr>
          <w:rFonts w:eastAsia="Times New Roman" w:cs="Arial"/>
          <w:color w:val="000000"/>
          <w:szCs w:val="20"/>
          <w:lang w:eastAsia="bg-BG"/>
        </w:rPr>
        <w:t xml:space="preserve">както и за необвития вирус </w:t>
      </w:r>
      <w:r w:rsidRPr="00EF2976">
        <w:rPr>
          <w:rFonts w:eastAsia="Times New Roman" w:cs="Arial"/>
          <w:color w:val="000000"/>
          <w:szCs w:val="20"/>
          <w:lang w:val="en-US"/>
        </w:rPr>
        <w:t>HAV</w:t>
      </w:r>
      <w:r w:rsidRPr="00EF2976">
        <w:rPr>
          <w:rFonts w:eastAsia="Times New Roman" w:cs="Arial"/>
          <w:color w:val="000000"/>
          <w:szCs w:val="20"/>
          <w:lang w:val="ru-RU"/>
        </w:rPr>
        <w:t xml:space="preserve">. </w:t>
      </w:r>
      <w:r w:rsidRPr="00EF2976">
        <w:rPr>
          <w:rFonts w:eastAsia="Times New Roman" w:cs="Arial"/>
          <w:color w:val="000000"/>
          <w:szCs w:val="20"/>
          <w:lang w:eastAsia="bg-BG"/>
        </w:rPr>
        <w:t>Мерките, които се вземат, може да са с ограничена ефективност срещу необвити вируси като парвовирус В19. Инфекцията с парвовирус В19 може да е сериозна при бременни жени (фетална инфекция) и при индивиди с имунен дефицит или увеличена еритропоеза (напр, хемолитична анемия).</w:t>
      </w:r>
    </w:p>
    <w:p w14:paraId="738D5F99"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Трябва да се обмисли подходяща ваксинация (за хепатит А или В) при пациенти с редовно/многократно приложение на продукти, получени от човешка плазма.</w:t>
      </w:r>
    </w:p>
    <w:p w14:paraId="22A85DF8" w14:textId="77777777" w:rsidR="00EF2976" w:rsidRPr="00EF2976" w:rsidRDefault="00EF2976" w:rsidP="00EF2976">
      <w:pPr>
        <w:spacing w:line="240" w:lineRule="auto"/>
        <w:rPr>
          <w:rFonts w:eastAsia="Times New Roman" w:cs="Arial"/>
          <w:i/>
          <w:iCs/>
          <w:color w:val="000000"/>
          <w:szCs w:val="20"/>
          <w:lang w:eastAsia="bg-BG"/>
        </w:rPr>
      </w:pPr>
    </w:p>
    <w:p w14:paraId="11997462" w14:textId="520EF3B6" w:rsidR="00EF2976" w:rsidRPr="00EF2976" w:rsidRDefault="00EF2976" w:rsidP="00EF2976">
      <w:pPr>
        <w:spacing w:line="240" w:lineRule="auto"/>
        <w:rPr>
          <w:rFonts w:eastAsia="Times New Roman" w:cs="Arial"/>
          <w:sz w:val="28"/>
          <w:szCs w:val="24"/>
        </w:rPr>
      </w:pPr>
      <w:r w:rsidRPr="00EF2976">
        <w:rPr>
          <w:rFonts w:eastAsia="Times New Roman" w:cs="Arial"/>
          <w:i/>
          <w:iCs/>
          <w:color w:val="000000"/>
          <w:szCs w:val="20"/>
          <w:lang w:eastAsia="bg-BG"/>
        </w:rPr>
        <w:t>Имуногенност</w:t>
      </w:r>
    </w:p>
    <w:p w14:paraId="34F4BE7D" w14:textId="79B93941" w:rsidR="00EF2976" w:rsidRDefault="00EF2976" w:rsidP="00EF2976">
      <w:pPr>
        <w:rPr>
          <w:rFonts w:eastAsia="Times New Roman" w:cs="Arial"/>
          <w:color w:val="000000"/>
          <w:szCs w:val="20"/>
          <w:lang w:eastAsia="bg-BG"/>
        </w:rPr>
      </w:pPr>
      <w:r w:rsidRPr="00EF2976">
        <w:rPr>
          <w:rFonts w:eastAsia="Times New Roman" w:cs="Arial"/>
          <w:color w:val="000000"/>
          <w:szCs w:val="20"/>
          <w:lang w:eastAsia="bg-BG"/>
        </w:rPr>
        <w:t>В случая на заместваща терапия с коагулационни фактори при други вродени дефицити са наблюдавани реакции с производство на антитела, но понастоящем няма данни от приложение на концентрат на фибриноген.</w:t>
      </w:r>
    </w:p>
    <w:p w14:paraId="56E8A1AE" w14:textId="5B03B976" w:rsidR="00EF2976" w:rsidRPr="00EF2976" w:rsidRDefault="00EF2976" w:rsidP="00EF2976">
      <w:pPr>
        <w:rPr>
          <w:rFonts w:cs="Arial"/>
          <w:sz w:val="24"/>
        </w:rPr>
      </w:pPr>
    </w:p>
    <w:p w14:paraId="070777EC" w14:textId="57310CB7" w:rsidR="00DF4C8E" w:rsidRDefault="002C50EE" w:rsidP="00F44498">
      <w:pPr>
        <w:pStyle w:val="Heading2"/>
      </w:pPr>
      <w:r>
        <w:t>4.5. Взаимодействие с други лекарствени продукти и други форми на взаимодействие</w:t>
      </w:r>
    </w:p>
    <w:p w14:paraId="0FC1A625" w14:textId="38EEC726" w:rsidR="00EF2976" w:rsidRDefault="00EF2976" w:rsidP="00EF2976"/>
    <w:p w14:paraId="4E911138" w14:textId="07A452DE" w:rsidR="00EF2976" w:rsidRPr="00EF2976" w:rsidRDefault="00EF2976" w:rsidP="00EF2976">
      <w:pPr>
        <w:rPr>
          <w:sz w:val="24"/>
          <w:szCs w:val="24"/>
        </w:rPr>
      </w:pPr>
      <w:r w:rsidRPr="00EF2976">
        <w:rPr>
          <w:lang w:eastAsia="bg-BG"/>
        </w:rPr>
        <w:t>Няма известни взаимодействия на продукти, съдържащи човешки фибриноге</w:t>
      </w:r>
      <w:r>
        <w:rPr>
          <w:lang w:eastAsia="bg-BG"/>
        </w:rPr>
        <w:t>н, с други лекарствени продукти.</w:t>
      </w:r>
    </w:p>
    <w:p w14:paraId="32CD1A85" w14:textId="017F41E1" w:rsidR="00EF2976" w:rsidRPr="00EF2976" w:rsidRDefault="00EF2976" w:rsidP="00EF2976"/>
    <w:p w14:paraId="29D2BD58" w14:textId="460BCF89" w:rsidR="00DF4C8E" w:rsidRDefault="002C50EE" w:rsidP="00F44498">
      <w:pPr>
        <w:pStyle w:val="Heading2"/>
      </w:pPr>
      <w:r>
        <w:t>4.6. Фертилитет, бременност и кърмене</w:t>
      </w:r>
    </w:p>
    <w:p w14:paraId="4E25A026" w14:textId="0A0EF4E3" w:rsidR="00EF2976" w:rsidRDefault="00EF2976" w:rsidP="00EF2976"/>
    <w:p w14:paraId="1F03445A" w14:textId="77777777" w:rsidR="00EF2976" w:rsidRPr="00EF2976" w:rsidRDefault="00EF2976" w:rsidP="00EF2976">
      <w:pPr>
        <w:pStyle w:val="Heading3"/>
        <w:rPr>
          <w:rFonts w:eastAsia="Times New Roman"/>
          <w:sz w:val="28"/>
          <w:u w:val="single"/>
        </w:rPr>
      </w:pPr>
      <w:r w:rsidRPr="00EF2976">
        <w:rPr>
          <w:rFonts w:eastAsia="Times New Roman"/>
          <w:u w:val="single"/>
          <w:lang w:eastAsia="bg-BG"/>
        </w:rPr>
        <w:t>Бременност</w:t>
      </w:r>
    </w:p>
    <w:p w14:paraId="5B61E764"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 xml:space="preserve">Безопасността на Фибрига при употреба по време на бременност при хора не е установена в контролирани клинични проучвания. Клиничният опит с фибриногенни продукти при лечението на акушерски усложнения предполага, че не се очакват вредни ефекти в хода на бременността или върху здравето на фетуса или новороденото. Не са </w:t>
      </w:r>
      <w:r w:rsidRPr="00EF2976">
        <w:rPr>
          <w:rFonts w:eastAsia="Times New Roman" w:cs="Arial"/>
          <w:color w:val="000000"/>
          <w:szCs w:val="20"/>
          <w:lang w:eastAsia="bg-BG"/>
        </w:rPr>
        <w:lastRenderedPageBreak/>
        <w:t>провеждани проучвания при животни с Фибрига по отношение на репродуктивната токсичност (вж. точка 5.3). Тъй като активното вещество е с човешки произход, то се катаболизира по същия начин като собствените протеини на пациента. Не се очаква тези физиологични съставки на човешката кръв да индуцират нежелани реакции върху репродуктивната функция или фетуса.</w:t>
      </w:r>
    </w:p>
    <w:p w14:paraId="55F6D818"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Ползата от Фибрига по време на бременност трябва да бъде оценена, като се има предвид, че има клиничен опит с фибриногенни концентрати, но липсват данни от контролиран</w:t>
      </w:r>
      <w:r w:rsidRPr="00EF2976">
        <w:rPr>
          <w:rFonts w:eastAsia="Times New Roman" w:cs="Arial"/>
          <w:color w:val="000000"/>
          <w:szCs w:val="20"/>
          <w:u w:val="single"/>
          <w:lang w:eastAsia="bg-BG"/>
        </w:rPr>
        <w:t>и клин</w:t>
      </w:r>
      <w:r w:rsidRPr="00EF2976">
        <w:rPr>
          <w:rFonts w:eastAsia="Times New Roman" w:cs="Arial"/>
          <w:color w:val="000000"/>
          <w:szCs w:val="20"/>
          <w:lang w:eastAsia="bg-BG"/>
        </w:rPr>
        <w:t>ични проучвания.</w:t>
      </w:r>
    </w:p>
    <w:p w14:paraId="45A49E96" w14:textId="77777777" w:rsidR="00EF2976" w:rsidRPr="00EF2976" w:rsidRDefault="00EF2976" w:rsidP="00EF2976">
      <w:pPr>
        <w:spacing w:line="240" w:lineRule="auto"/>
        <w:rPr>
          <w:rFonts w:eastAsia="Times New Roman" w:cs="Arial"/>
          <w:color w:val="000000"/>
          <w:szCs w:val="20"/>
          <w:u w:val="single"/>
          <w:lang w:eastAsia="bg-BG"/>
        </w:rPr>
      </w:pPr>
    </w:p>
    <w:p w14:paraId="79CCF8B7" w14:textId="7691778F" w:rsidR="00EF2976" w:rsidRPr="00EF2976" w:rsidRDefault="00EF2976" w:rsidP="00EF2976">
      <w:pPr>
        <w:pStyle w:val="Heading3"/>
        <w:rPr>
          <w:rFonts w:eastAsia="Times New Roman"/>
          <w:sz w:val="28"/>
          <w:u w:val="single"/>
        </w:rPr>
      </w:pPr>
      <w:r w:rsidRPr="00EF2976">
        <w:rPr>
          <w:rFonts w:eastAsia="Times New Roman"/>
          <w:u w:val="single"/>
          <w:lang w:eastAsia="bg-BG"/>
        </w:rPr>
        <w:t>Кърмене</w:t>
      </w:r>
    </w:p>
    <w:p w14:paraId="7AD55904" w14:textId="5764C139" w:rsidR="00EF2976" w:rsidRPr="00EF2976" w:rsidRDefault="00EF2976" w:rsidP="00EF2976">
      <w:pPr>
        <w:rPr>
          <w:rFonts w:eastAsia="Times New Roman" w:cs="Arial"/>
          <w:color w:val="000000"/>
          <w:szCs w:val="20"/>
          <w:lang w:eastAsia="bg-BG"/>
        </w:rPr>
      </w:pPr>
      <w:r w:rsidRPr="00EF2976">
        <w:rPr>
          <w:rFonts w:eastAsia="Times New Roman" w:cs="Arial"/>
          <w:color w:val="000000"/>
          <w:szCs w:val="20"/>
          <w:lang w:eastAsia="bg-BG"/>
        </w:rPr>
        <w:t>Не е известно дали Фибрига се екскретира в кърмата. Въпреки това, поради естеството на веществото, не се очакват ефекти върху кърменото новородено / бебе.</w:t>
      </w:r>
    </w:p>
    <w:p w14:paraId="4F5594A7" w14:textId="2134A88E" w:rsidR="00EF2976" w:rsidRPr="00EF2976" w:rsidRDefault="00EF2976" w:rsidP="00EF2976">
      <w:pPr>
        <w:rPr>
          <w:rFonts w:eastAsia="Times New Roman" w:cs="Arial"/>
          <w:color w:val="000000"/>
          <w:szCs w:val="20"/>
          <w:lang w:eastAsia="bg-BG"/>
        </w:rPr>
      </w:pPr>
    </w:p>
    <w:p w14:paraId="2A079483"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Поради това трябва да се вземе решение дали терапията с Фибрига е подходяща по време на кърмене, като се отчита ползата от кърменето за детето и ползата от терапията за жената.</w:t>
      </w:r>
    </w:p>
    <w:p w14:paraId="22EDBADA" w14:textId="77777777" w:rsidR="00EF2976" w:rsidRPr="00EF2976" w:rsidRDefault="00EF2976" w:rsidP="00EF2976">
      <w:pPr>
        <w:spacing w:line="240" w:lineRule="auto"/>
        <w:rPr>
          <w:rFonts w:eastAsia="Times New Roman" w:cs="Arial"/>
          <w:b/>
          <w:bCs/>
          <w:i/>
          <w:iCs/>
          <w:color w:val="000000"/>
          <w:szCs w:val="20"/>
          <w:lang w:eastAsia="bg-BG"/>
        </w:rPr>
      </w:pPr>
    </w:p>
    <w:p w14:paraId="7FD94040" w14:textId="51541D1D" w:rsidR="00EF2976" w:rsidRPr="00EF2976" w:rsidRDefault="00EF2976" w:rsidP="00EF2976">
      <w:pPr>
        <w:pStyle w:val="Heading3"/>
        <w:rPr>
          <w:rFonts w:eastAsia="Times New Roman"/>
          <w:sz w:val="28"/>
          <w:u w:val="single"/>
        </w:rPr>
      </w:pPr>
      <w:r w:rsidRPr="00EF2976">
        <w:rPr>
          <w:rFonts w:eastAsia="Times New Roman"/>
          <w:u w:val="single"/>
          <w:lang w:eastAsia="bg-BG"/>
        </w:rPr>
        <w:t>Фертилитет</w:t>
      </w:r>
    </w:p>
    <w:p w14:paraId="7C3319E9" w14:textId="15260474" w:rsidR="00EF2976" w:rsidRPr="00EF2976" w:rsidRDefault="00EF2976" w:rsidP="00EF2976">
      <w:pPr>
        <w:rPr>
          <w:rFonts w:eastAsia="Times New Roman" w:cs="Arial"/>
          <w:color w:val="000000"/>
          <w:szCs w:val="20"/>
          <w:lang w:eastAsia="bg-BG"/>
        </w:rPr>
      </w:pPr>
      <w:r w:rsidRPr="00EF2976">
        <w:rPr>
          <w:rFonts w:eastAsia="Times New Roman" w:cs="Arial"/>
          <w:color w:val="000000"/>
          <w:szCs w:val="20"/>
          <w:lang w:eastAsia="bg-BG"/>
        </w:rPr>
        <w:t>Липсват данни относно фертилитета.</w:t>
      </w:r>
    </w:p>
    <w:p w14:paraId="6E85A603" w14:textId="77777777" w:rsidR="00EF2976" w:rsidRPr="00EF2976" w:rsidRDefault="00EF2976" w:rsidP="00EF2976"/>
    <w:p w14:paraId="4DF5A2E7" w14:textId="1EC9BBEE" w:rsidR="00DF4C8E" w:rsidRDefault="002C50EE" w:rsidP="00F44498">
      <w:pPr>
        <w:pStyle w:val="Heading2"/>
      </w:pPr>
      <w:r>
        <w:t>4.7. Ефекти върху способността за шофиране и работа с машини</w:t>
      </w:r>
    </w:p>
    <w:p w14:paraId="3C3B61C4" w14:textId="4D2280E8" w:rsidR="00EF2976" w:rsidRDefault="00EF2976" w:rsidP="00EF2976"/>
    <w:p w14:paraId="3FB822EB" w14:textId="2F560CDF" w:rsidR="00EF2976" w:rsidRDefault="00EF2976" w:rsidP="00EF2976">
      <w:r>
        <w:t>Фибрига не повлиява способността за шофиране и работа с машини.</w:t>
      </w:r>
    </w:p>
    <w:p w14:paraId="1338A32D" w14:textId="77777777" w:rsidR="00EF2976" w:rsidRPr="00EF2976" w:rsidRDefault="00EF2976" w:rsidP="00EF2976"/>
    <w:p w14:paraId="28229498" w14:textId="7ED8B8DB" w:rsidR="00DF4C8E" w:rsidRDefault="002C50EE" w:rsidP="00F44498">
      <w:pPr>
        <w:pStyle w:val="Heading2"/>
      </w:pPr>
      <w:r>
        <w:t>4.8. Нежелани лекарствени реакции</w:t>
      </w:r>
    </w:p>
    <w:p w14:paraId="5B389CA6" w14:textId="25DE6625" w:rsidR="00EF2976" w:rsidRDefault="00EF2976" w:rsidP="00EF2976"/>
    <w:p w14:paraId="2172A296"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u w:val="single"/>
          <w:lang w:eastAsia="bg-BG"/>
        </w:rPr>
        <w:t>Резюме на профила на безопасност</w:t>
      </w:r>
    </w:p>
    <w:p w14:paraId="45D42903" w14:textId="77777777"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Няма ясни данни относно честотата на нежеланите реакции от клинични проучвания с този продукт.</w:t>
      </w:r>
    </w:p>
    <w:p w14:paraId="17BC59B6" w14:textId="77777777" w:rsidR="00EF2976" w:rsidRPr="00EF2976" w:rsidRDefault="00EF2976" w:rsidP="00EF2976">
      <w:pPr>
        <w:spacing w:line="240" w:lineRule="auto"/>
        <w:rPr>
          <w:rFonts w:eastAsia="Times New Roman" w:cs="Arial"/>
          <w:color w:val="000000"/>
          <w:szCs w:val="20"/>
          <w:lang w:eastAsia="bg-BG"/>
        </w:rPr>
      </w:pPr>
    </w:p>
    <w:p w14:paraId="77362DBB" w14:textId="39694D04" w:rsidR="00EF2976" w:rsidRPr="00EF2976" w:rsidRDefault="00EF2976" w:rsidP="00EF2976">
      <w:pPr>
        <w:spacing w:line="240" w:lineRule="auto"/>
        <w:rPr>
          <w:rFonts w:eastAsia="Times New Roman" w:cs="Arial"/>
          <w:sz w:val="28"/>
          <w:szCs w:val="24"/>
        </w:rPr>
      </w:pPr>
      <w:r w:rsidRPr="00EF2976">
        <w:rPr>
          <w:rFonts w:eastAsia="Times New Roman" w:cs="Arial"/>
          <w:color w:val="000000"/>
          <w:szCs w:val="20"/>
          <w:lang w:eastAsia="bg-BG"/>
        </w:rPr>
        <w:t>При клинични проучвания има съобщения за следните нежелани реакции: пирексия, лекарствена ерупция, флебит и тромбоза.</w:t>
      </w:r>
    </w:p>
    <w:p w14:paraId="03775DE1" w14:textId="77777777" w:rsidR="00EF2976" w:rsidRPr="00EF2976" w:rsidRDefault="00EF2976" w:rsidP="00EF2976">
      <w:pPr>
        <w:rPr>
          <w:rFonts w:eastAsia="Times New Roman" w:cs="Arial"/>
          <w:color w:val="000000"/>
          <w:szCs w:val="20"/>
          <w:lang w:eastAsia="bg-BG"/>
        </w:rPr>
      </w:pPr>
    </w:p>
    <w:p w14:paraId="60016B1D" w14:textId="6320AFA0" w:rsidR="00EF2976" w:rsidRDefault="00EF2976" w:rsidP="00EF2976">
      <w:pPr>
        <w:rPr>
          <w:rFonts w:eastAsia="Times New Roman" w:cs="Arial"/>
          <w:color w:val="000000"/>
          <w:szCs w:val="20"/>
          <w:lang w:eastAsia="bg-BG"/>
        </w:rPr>
      </w:pPr>
      <w:r w:rsidRPr="00EF2976">
        <w:rPr>
          <w:rFonts w:eastAsia="Times New Roman" w:cs="Arial"/>
          <w:color w:val="000000"/>
          <w:szCs w:val="20"/>
          <w:lang w:eastAsia="bg-BG"/>
        </w:rPr>
        <w:t>Следващите нежелани реакции са съобщени за Фибрига и други фибриногенни концентрати:</w:t>
      </w:r>
    </w:p>
    <w:tbl>
      <w:tblPr>
        <w:tblStyle w:val="TableGrid"/>
        <w:tblW w:w="0" w:type="auto"/>
        <w:tblLook w:val="04A0" w:firstRow="1" w:lastRow="0" w:firstColumn="1" w:lastColumn="0" w:noHBand="0" w:noVBand="1"/>
      </w:tblPr>
      <w:tblGrid>
        <w:gridCol w:w="3116"/>
        <w:gridCol w:w="3117"/>
        <w:gridCol w:w="3117"/>
      </w:tblGrid>
      <w:tr w:rsidR="00EF2976" w14:paraId="4F8E7E29" w14:textId="77777777" w:rsidTr="00EF2976">
        <w:tc>
          <w:tcPr>
            <w:tcW w:w="3116" w:type="dxa"/>
          </w:tcPr>
          <w:p w14:paraId="2DE0CEAF" w14:textId="11CD43F6" w:rsidR="00EF2976" w:rsidRPr="00EF2976" w:rsidRDefault="00EF2976" w:rsidP="00EF2976">
            <w:pPr>
              <w:rPr>
                <w:rFonts w:cs="Arial"/>
              </w:rPr>
            </w:pPr>
            <w:r w:rsidRPr="00EF2976">
              <w:rPr>
                <w:szCs w:val="20"/>
              </w:rPr>
              <w:t xml:space="preserve">Стандартен системо- органен клас по </w:t>
            </w:r>
            <w:proofErr w:type="spellStart"/>
            <w:r w:rsidRPr="00EF2976">
              <w:rPr>
                <w:szCs w:val="20"/>
                <w:lang w:val="en-US"/>
              </w:rPr>
              <w:t>MedDRA</w:t>
            </w:r>
            <w:proofErr w:type="spellEnd"/>
          </w:p>
        </w:tc>
        <w:tc>
          <w:tcPr>
            <w:tcW w:w="3117" w:type="dxa"/>
          </w:tcPr>
          <w:p w14:paraId="2465E751" w14:textId="0AB4EF7D" w:rsidR="00EF2976" w:rsidRPr="00EF2976" w:rsidRDefault="00EF2976" w:rsidP="00EF2976">
            <w:pPr>
              <w:rPr>
                <w:rFonts w:cs="Arial"/>
              </w:rPr>
            </w:pPr>
            <w:r w:rsidRPr="00EF2976">
              <w:rPr>
                <w:szCs w:val="20"/>
              </w:rPr>
              <w:t>Нежелани лекарствени реакции</w:t>
            </w:r>
          </w:p>
        </w:tc>
        <w:tc>
          <w:tcPr>
            <w:tcW w:w="3117" w:type="dxa"/>
          </w:tcPr>
          <w:p w14:paraId="7467DCCC" w14:textId="5A544DF3" w:rsidR="00EF2976" w:rsidRPr="00EF2976" w:rsidRDefault="00EF2976" w:rsidP="00EF2976">
            <w:pPr>
              <w:rPr>
                <w:rFonts w:cs="Arial"/>
              </w:rPr>
            </w:pPr>
            <w:r w:rsidRPr="00EF2976">
              <w:rPr>
                <w:szCs w:val="20"/>
              </w:rPr>
              <w:t>Честота*</w:t>
            </w:r>
          </w:p>
        </w:tc>
      </w:tr>
      <w:tr w:rsidR="00EF2976" w14:paraId="50863F8D" w14:textId="77777777" w:rsidTr="00EF2976">
        <w:tc>
          <w:tcPr>
            <w:tcW w:w="3116" w:type="dxa"/>
          </w:tcPr>
          <w:p w14:paraId="288AD512" w14:textId="6F3F3E50" w:rsidR="00EF2976" w:rsidRPr="00EF2976" w:rsidRDefault="00EF2976" w:rsidP="00EF2976">
            <w:pPr>
              <w:rPr>
                <w:rFonts w:cs="Arial"/>
              </w:rPr>
            </w:pPr>
            <w:r w:rsidRPr="00EF2976">
              <w:rPr>
                <w:szCs w:val="20"/>
              </w:rPr>
              <w:t>Нарушения на имунната система</w:t>
            </w:r>
          </w:p>
        </w:tc>
        <w:tc>
          <w:tcPr>
            <w:tcW w:w="3117" w:type="dxa"/>
          </w:tcPr>
          <w:p w14:paraId="711CD5C6" w14:textId="68467780" w:rsidR="00EF2976" w:rsidRPr="00EF2976" w:rsidRDefault="00EF2976" w:rsidP="00EF2976">
            <w:pPr>
              <w:rPr>
                <w:rFonts w:cs="Arial"/>
              </w:rPr>
            </w:pPr>
            <w:r w:rsidRPr="00EF2976">
              <w:rPr>
                <w:szCs w:val="20"/>
              </w:rPr>
              <w:t>Алергични или анафилактичен тип реакции Кожни реакции</w:t>
            </w:r>
          </w:p>
        </w:tc>
        <w:tc>
          <w:tcPr>
            <w:tcW w:w="3117" w:type="dxa"/>
          </w:tcPr>
          <w:p w14:paraId="7A41FCA5" w14:textId="72634DD4" w:rsidR="00EF2976" w:rsidRPr="00EF2976" w:rsidRDefault="00EF2976" w:rsidP="00EF2976">
            <w:pPr>
              <w:rPr>
                <w:rFonts w:cs="Arial"/>
              </w:rPr>
            </w:pPr>
            <w:r w:rsidRPr="00EF2976">
              <w:rPr>
                <w:szCs w:val="20"/>
              </w:rPr>
              <w:t>С неизвестна честота</w:t>
            </w:r>
          </w:p>
        </w:tc>
      </w:tr>
      <w:tr w:rsidR="00EF2976" w14:paraId="6F4EBDA2" w14:textId="77777777" w:rsidTr="00EF2976">
        <w:tc>
          <w:tcPr>
            <w:tcW w:w="3116" w:type="dxa"/>
          </w:tcPr>
          <w:p w14:paraId="4940D692" w14:textId="66ADA02B" w:rsidR="00EF2976" w:rsidRPr="00EF2976" w:rsidRDefault="00EF2976" w:rsidP="00EF2976">
            <w:pPr>
              <w:rPr>
                <w:rFonts w:cs="Arial"/>
              </w:rPr>
            </w:pPr>
            <w:r w:rsidRPr="00EF2976">
              <w:rPr>
                <w:szCs w:val="20"/>
              </w:rPr>
              <w:t>Съдови нарушения:</w:t>
            </w:r>
          </w:p>
        </w:tc>
        <w:tc>
          <w:tcPr>
            <w:tcW w:w="3117" w:type="dxa"/>
          </w:tcPr>
          <w:p w14:paraId="57746A6A" w14:textId="2DE69007" w:rsidR="00EF2976" w:rsidRPr="00EF2976" w:rsidRDefault="00EF2976" w:rsidP="00EF2976">
            <w:pPr>
              <w:rPr>
                <w:rFonts w:cs="Arial"/>
              </w:rPr>
            </w:pPr>
            <w:r w:rsidRPr="00EF2976">
              <w:rPr>
                <w:szCs w:val="20"/>
              </w:rPr>
              <w:t>Тромбоемболични епизоди (включително инфаркт на миокарда и белодробен емболизъм) (вж. точка 4.4) Тромбофлебит</w:t>
            </w:r>
          </w:p>
        </w:tc>
        <w:tc>
          <w:tcPr>
            <w:tcW w:w="3117" w:type="dxa"/>
          </w:tcPr>
          <w:p w14:paraId="28235A5F" w14:textId="0130206F" w:rsidR="00EF2976" w:rsidRPr="00EF2976" w:rsidRDefault="00EF2976" w:rsidP="00EF2976">
            <w:pPr>
              <w:rPr>
                <w:rFonts w:cs="Arial"/>
              </w:rPr>
            </w:pPr>
            <w:r w:rsidRPr="00EF2976">
              <w:rPr>
                <w:szCs w:val="20"/>
              </w:rPr>
              <w:t>С неизвестна честота</w:t>
            </w:r>
          </w:p>
        </w:tc>
      </w:tr>
      <w:tr w:rsidR="00EF2976" w14:paraId="14F0324D" w14:textId="77777777" w:rsidTr="00EF2976">
        <w:tc>
          <w:tcPr>
            <w:tcW w:w="3116" w:type="dxa"/>
          </w:tcPr>
          <w:p w14:paraId="3ACDE8DD" w14:textId="2E58E52B" w:rsidR="00EF2976" w:rsidRPr="00EF2976" w:rsidRDefault="00EF2976" w:rsidP="00EF2976">
            <w:pPr>
              <w:rPr>
                <w:rFonts w:cs="Arial"/>
              </w:rPr>
            </w:pPr>
            <w:r w:rsidRPr="00EF2976">
              <w:rPr>
                <w:szCs w:val="20"/>
              </w:rPr>
              <w:t>Общи нарушения и ефекти на мястото на приложение:</w:t>
            </w:r>
          </w:p>
        </w:tc>
        <w:tc>
          <w:tcPr>
            <w:tcW w:w="3117" w:type="dxa"/>
          </w:tcPr>
          <w:p w14:paraId="086B2740" w14:textId="235C67DC" w:rsidR="00EF2976" w:rsidRPr="00EF2976" w:rsidRDefault="00EF2976" w:rsidP="00EF2976">
            <w:pPr>
              <w:rPr>
                <w:rFonts w:cs="Arial"/>
              </w:rPr>
            </w:pPr>
            <w:r w:rsidRPr="00EF2976">
              <w:rPr>
                <w:szCs w:val="20"/>
              </w:rPr>
              <w:t>Повишаване на телесната температура (пирексия)</w:t>
            </w:r>
          </w:p>
        </w:tc>
        <w:tc>
          <w:tcPr>
            <w:tcW w:w="3117" w:type="dxa"/>
          </w:tcPr>
          <w:p w14:paraId="11CD883C" w14:textId="2B091B9B" w:rsidR="00EF2976" w:rsidRPr="00EF2976" w:rsidRDefault="00EF2976" w:rsidP="00EF2976">
            <w:pPr>
              <w:rPr>
                <w:rFonts w:cs="Arial"/>
              </w:rPr>
            </w:pPr>
            <w:r w:rsidRPr="00EF2976">
              <w:rPr>
                <w:szCs w:val="20"/>
              </w:rPr>
              <w:t>С неизвестна честота</w:t>
            </w:r>
          </w:p>
        </w:tc>
      </w:tr>
    </w:tbl>
    <w:p w14:paraId="4006E940"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lastRenderedPageBreak/>
        <w:t>* Честота неизвестна, тъй като не може да бъде изчислена от наличните данни. Леката пирексия и кожната реакция са единични прояви по време на клинични проучвания. Алергични или анафилактични реакции, тромбоемболични епизоди (включително миокарден инфаркт и белодробна емболия) и тромбофлебит са ефекти от класа.</w:t>
      </w:r>
    </w:p>
    <w:p w14:paraId="4D9247A2" w14:textId="77777777" w:rsidR="00504E2B" w:rsidRPr="00504E2B" w:rsidRDefault="00504E2B" w:rsidP="00504E2B">
      <w:pPr>
        <w:spacing w:line="240" w:lineRule="auto"/>
        <w:rPr>
          <w:rFonts w:eastAsia="Times New Roman" w:cs="Arial"/>
          <w:color w:val="000000"/>
          <w:szCs w:val="20"/>
          <w:lang w:eastAsia="bg-BG"/>
        </w:rPr>
      </w:pPr>
    </w:p>
    <w:p w14:paraId="642F08E6" w14:textId="0C55AB1E"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За безопасността по отношение на преносими агенти вижте точка 4.4.</w:t>
      </w:r>
    </w:p>
    <w:p w14:paraId="056EF264" w14:textId="77777777" w:rsidR="00504E2B" w:rsidRPr="00504E2B" w:rsidRDefault="00504E2B" w:rsidP="00504E2B">
      <w:pPr>
        <w:spacing w:line="240" w:lineRule="auto"/>
        <w:rPr>
          <w:rFonts w:eastAsia="Times New Roman" w:cs="Arial"/>
          <w:color w:val="000000"/>
          <w:szCs w:val="20"/>
          <w:u w:val="single"/>
          <w:lang w:eastAsia="bg-BG"/>
        </w:rPr>
      </w:pPr>
    </w:p>
    <w:p w14:paraId="7B7558C9" w14:textId="29D25761"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u w:val="single"/>
          <w:lang w:eastAsia="bg-BG"/>
        </w:rPr>
        <w:t>Педиатрична популация</w:t>
      </w:r>
    </w:p>
    <w:p w14:paraId="5FDC132D"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 xml:space="preserve">Двадесет и шест пациенти, на възраст от 1 до &lt;18 години, са включени в анализа за безопасност при вроден фибриногенен дефицит, от които 12 юноши на възраст от 12 до &lt;18 години, 8 деца на възраст от 6 до &lt;12 години и </w:t>
      </w:r>
      <w:r w:rsidRPr="00504E2B">
        <w:rPr>
          <w:rFonts w:eastAsia="Times New Roman" w:cs="Arial"/>
          <w:i/>
          <w:iCs/>
          <w:color w:val="000000"/>
          <w:szCs w:val="20"/>
          <w:lang w:eastAsia="bg-BG"/>
        </w:rPr>
        <w:t>6 деца на</w:t>
      </w:r>
      <w:r w:rsidRPr="00504E2B">
        <w:rPr>
          <w:rFonts w:eastAsia="Times New Roman" w:cs="Arial"/>
          <w:color w:val="000000"/>
          <w:szCs w:val="20"/>
          <w:lang w:eastAsia="bg-BG"/>
        </w:rPr>
        <w:t xml:space="preserve"> възраст от 1 до &lt;6 години.</w:t>
      </w:r>
    </w:p>
    <w:p w14:paraId="18D87E71"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Общият профил на безопасност не се различава между възрастни, юноши и деца</w:t>
      </w:r>
    </w:p>
    <w:p w14:paraId="44776767"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Няма данни за употребата на Фибрига при педиатрични пациенти с придобит фибриногенен дефицит.</w:t>
      </w:r>
    </w:p>
    <w:p w14:paraId="3FF80B32" w14:textId="77777777" w:rsidR="00504E2B" w:rsidRPr="00504E2B" w:rsidRDefault="00504E2B" w:rsidP="00504E2B">
      <w:pPr>
        <w:spacing w:line="240" w:lineRule="auto"/>
        <w:rPr>
          <w:rFonts w:eastAsia="Times New Roman" w:cs="Arial"/>
          <w:i/>
          <w:iCs/>
          <w:color w:val="000000"/>
          <w:szCs w:val="20"/>
          <w:u w:val="single"/>
          <w:lang w:eastAsia="bg-BG"/>
        </w:rPr>
      </w:pPr>
    </w:p>
    <w:p w14:paraId="33C6B6A8" w14:textId="695A1582" w:rsidR="00504E2B" w:rsidRPr="00504E2B" w:rsidRDefault="00504E2B" w:rsidP="00504E2B">
      <w:pPr>
        <w:spacing w:line="240" w:lineRule="auto"/>
        <w:rPr>
          <w:rFonts w:eastAsia="Times New Roman" w:cs="Arial"/>
          <w:sz w:val="28"/>
          <w:szCs w:val="24"/>
        </w:rPr>
      </w:pPr>
      <w:r w:rsidRPr="00504E2B">
        <w:rPr>
          <w:rFonts w:eastAsia="Times New Roman" w:cs="Arial"/>
          <w:i/>
          <w:iCs/>
          <w:color w:val="000000"/>
          <w:szCs w:val="20"/>
          <w:u w:val="single"/>
          <w:lang w:eastAsia="bg-BG"/>
        </w:rPr>
        <w:t>Съобщаване на подозирани нежелани реакции</w:t>
      </w:r>
    </w:p>
    <w:p w14:paraId="47F05410"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337BB4DE" w14:textId="77777777" w:rsidR="00504E2B" w:rsidRPr="00504E2B" w:rsidRDefault="00504E2B" w:rsidP="00504E2B">
      <w:pPr>
        <w:spacing w:line="240" w:lineRule="auto"/>
        <w:rPr>
          <w:rFonts w:eastAsia="Times New Roman" w:cs="Arial"/>
          <w:color w:val="000000"/>
          <w:szCs w:val="20"/>
          <w:lang w:eastAsia="bg-BG"/>
        </w:rPr>
      </w:pPr>
    </w:p>
    <w:p w14:paraId="69D5B4E3" w14:textId="7FC13E30"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Изпълнителна агенция по лекарствата</w:t>
      </w:r>
    </w:p>
    <w:p w14:paraId="468968D1"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ул. „Дамян Груев” № 8</w:t>
      </w:r>
    </w:p>
    <w:p w14:paraId="2086F989"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1303 София</w:t>
      </w:r>
    </w:p>
    <w:p w14:paraId="751FCDEA"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Тел.:+359 2 8903417</w:t>
      </w:r>
    </w:p>
    <w:p w14:paraId="602B7F58" w14:textId="77777777" w:rsidR="00504E2B" w:rsidRPr="00504E2B" w:rsidRDefault="00504E2B" w:rsidP="00504E2B">
      <w:pPr>
        <w:spacing w:line="240" w:lineRule="auto"/>
        <w:rPr>
          <w:rFonts w:ascii="Times New Roman" w:eastAsia="Times New Roman" w:hAnsi="Times New Roman" w:cs="Times New Roman"/>
          <w:sz w:val="24"/>
          <w:szCs w:val="24"/>
        </w:rPr>
      </w:pPr>
      <w:r w:rsidRPr="00504E2B">
        <w:rPr>
          <w:rFonts w:ascii="Times New Roman" w:eastAsia="Times New Roman" w:hAnsi="Times New Roman" w:cs="Times New Roman"/>
          <w:color w:val="000000"/>
          <w:sz w:val="20"/>
          <w:szCs w:val="20"/>
          <w:lang w:eastAsia="bg-BG"/>
        </w:rPr>
        <w:t xml:space="preserve">уебсайт: </w:t>
      </w:r>
      <w:r w:rsidRPr="00504E2B">
        <w:rPr>
          <w:rFonts w:ascii="Times New Roman" w:eastAsia="Times New Roman" w:hAnsi="Times New Roman" w:cs="Times New Roman"/>
          <w:sz w:val="24"/>
          <w:szCs w:val="24"/>
        </w:rPr>
        <w:fldChar w:fldCharType="begin"/>
      </w:r>
      <w:r w:rsidRPr="00504E2B">
        <w:rPr>
          <w:rFonts w:ascii="Times New Roman" w:eastAsia="Times New Roman" w:hAnsi="Times New Roman" w:cs="Times New Roman"/>
          <w:sz w:val="24"/>
          <w:szCs w:val="24"/>
        </w:rPr>
        <w:instrText xml:space="preserve"> HYPERLINK "http://www.bda.bg" </w:instrText>
      </w:r>
      <w:r w:rsidRPr="00504E2B">
        <w:rPr>
          <w:rFonts w:ascii="Times New Roman" w:eastAsia="Times New Roman" w:hAnsi="Times New Roman" w:cs="Times New Roman"/>
          <w:sz w:val="24"/>
          <w:szCs w:val="24"/>
        </w:rPr>
      </w:r>
      <w:r w:rsidRPr="00504E2B">
        <w:rPr>
          <w:rFonts w:ascii="Times New Roman" w:eastAsia="Times New Roman" w:hAnsi="Times New Roman" w:cs="Times New Roman"/>
          <w:sz w:val="24"/>
          <w:szCs w:val="24"/>
        </w:rPr>
        <w:fldChar w:fldCharType="separate"/>
      </w:r>
      <w:r w:rsidRPr="00504E2B">
        <w:rPr>
          <w:rFonts w:ascii="Times New Roman" w:eastAsia="Times New Roman" w:hAnsi="Times New Roman" w:cs="Times New Roman"/>
          <w:color w:val="000000"/>
          <w:sz w:val="20"/>
          <w:szCs w:val="20"/>
          <w:u w:val="single"/>
          <w:lang w:val="en-US"/>
        </w:rPr>
        <w:t>www</w:t>
      </w:r>
      <w:r w:rsidRPr="00504E2B">
        <w:rPr>
          <w:rFonts w:ascii="Times New Roman" w:eastAsia="Times New Roman" w:hAnsi="Times New Roman" w:cs="Times New Roman"/>
          <w:color w:val="000000"/>
          <w:sz w:val="20"/>
          <w:szCs w:val="20"/>
          <w:u w:val="single"/>
          <w:lang w:val="ru-RU"/>
        </w:rPr>
        <w:t>.</w:t>
      </w:r>
      <w:proofErr w:type="spellStart"/>
      <w:r w:rsidRPr="00504E2B">
        <w:rPr>
          <w:rFonts w:ascii="Times New Roman" w:eastAsia="Times New Roman" w:hAnsi="Times New Roman" w:cs="Times New Roman"/>
          <w:color w:val="000000"/>
          <w:sz w:val="20"/>
          <w:szCs w:val="20"/>
          <w:u w:val="single"/>
          <w:lang w:val="en-US"/>
        </w:rPr>
        <w:t>bda</w:t>
      </w:r>
      <w:proofErr w:type="spellEnd"/>
      <w:r w:rsidRPr="00504E2B">
        <w:rPr>
          <w:rFonts w:ascii="Times New Roman" w:eastAsia="Times New Roman" w:hAnsi="Times New Roman" w:cs="Times New Roman"/>
          <w:color w:val="000000"/>
          <w:sz w:val="20"/>
          <w:szCs w:val="20"/>
          <w:u w:val="single"/>
          <w:lang w:val="ru-RU"/>
        </w:rPr>
        <w:t>.</w:t>
      </w:r>
      <w:proofErr w:type="spellStart"/>
      <w:r w:rsidRPr="00504E2B">
        <w:rPr>
          <w:rFonts w:ascii="Times New Roman" w:eastAsia="Times New Roman" w:hAnsi="Times New Roman" w:cs="Times New Roman"/>
          <w:color w:val="000000"/>
          <w:sz w:val="20"/>
          <w:szCs w:val="20"/>
          <w:u w:val="single"/>
          <w:lang w:val="en-US"/>
        </w:rPr>
        <w:t>bg</w:t>
      </w:r>
      <w:proofErr w:type="spellEnd"/>
      <w:r w:rsidRPr="00504E2B">
        <w:rPr>
          <w:rFonts w:ascii="Times New Roman" w:eastAsia="Times New Roman" w:hAnsi="Times New Roman" w:cs="Times New Roman"/>
          <w:sz w:val="24"/>
          <w:szCs w:val="24"/>
        </w:rPr>
        <w:fldChar w:fldCharType="end"/>
      </w:r>
    </w:p>
    <w:p w14:paraId="77FE89BA" w14:textId="77777777" w:rsidR="00EF2976" w:rsidRPr="00EF2976" w:rsidRDefault="00EF2976" w:rsidP="00EF2976">
      <w:pPr>
        <w:rPr>
          <w:rFonts w:cs="Arial"/>
          <w:sz w:val="24"/>
        </w:rPr>
      </w:pPr>
    </w:p>
    <w:p w14:paraId="07687653" w14:textId="6DB36B08" w:rsidR="00DF4C8E" w:rsidRDefault="002C50EE" w:rsidP="00F44498">
      <w:pPr>
        <w:pStyle w:val="Heading2"/>
      </w:pPr>
      <w:r>
        <w:t>4.9. Предозиране</w:t>
      </w:r>
    </w:p>
    <w:p w14:paraId="171DF75D" w14:textId="73A75C29" w:rsidR="00504E2B" w:rsidRDefault="00504E2B" w:rsidP="00504E2B"/>
    <w:p w14:paraId="78864B7A" w14:textId="77777777" w:rsidR="00504E2B" w:rsidRPr="00504E2B" w:rsidRDefault="00504E2B" w:rsidP="00504E2B">
      <w:pPr>
        <w:rPr>
          <w:sz w:val="24"/>
          <w:szCs w:val="24"/>
        </w:rPr>
      </w:pPr>
      <w:r w:rsidRPr="00504E2B">
        <w:rPr>
          <w:lang w:eastAsia="bg-BG"/>
        </w:rPr>
        <w:t>За да се предотврати предозиране е показано редовно проследяване на плазменото ниво на фибриногена по време на терапия (вж. 4.2).</w:t>
      </w:r>
    </w:p>
    <w:p w14:paraId="78AB46ED" w14:textId="77777777" w:rsidR="00504E2B" w:rsidRDefault="00504E2B" w:rsidP="00504E2B">
      <w:pPr>
        <w:rPr>
          <w:lang w:eastAsia="bg-BG"/>
        </w:rPr>
      </w:pPr>
    </w:p>
    <w:p w14:paraId="768785A1" w14:textId="548B222F" w:rsidR="00504E2B" w:rsidRPr="00504E2B" w:rsidRDefault="00504E2B" w:rsidP="00504E2B">
      <w:r w:rsidRPr="00504E2B">
        <w:rPr>
          <w:lang w:eastAsia="bg-BG"/>
        </w:rPr>
        <w:t>В случай на предозиране рискът от развитие на тромбоемболични усложнения е повишен.</w:t>
      </w:r>
    </w:p>
    <w:p w14:paraId="02081B24" w14:textId="1F46E296" w:rsidR="00395555" w:rsidRPr="00395555" w:rsidRDefault="002C50EE" w:rsidP="008A6AF2">
      <w:pPr>
        <w:pStyle w:val="Heading1"/>
      </w:pPr>
      <w:r>
        <w:t>5. ФАРМАКОЛОГИЧНИ СВОЙСТВА</w:t>
      </w:r>
    </w:p>
    <w:p w14:paraId="4D47A490" w14:textId="5DCCFAD7" w:rsidR="00DF4C8E" w:rsidRDefault="002C50EE" w:rsidP="00F44498">
      <w:pPr>
        <w:pStyle w:val="Heading2"/>
      </w:pPr>
      <w:r>
        <w:t>5.1. Фармакодинамични свойства</w:t>
      </w:r>
    </w:p>
    <w:p w14:paraId="1BBFF6FB" w14:textId="2E72ABBD" w:rsidR="00504E2B" w:rsidRDefault="00504E2B" w:rsidP="00504E2B"/>
    <w:p w14:paraId="1BCF83A0" w14:textId="77777777" w:rsidR="00504E2B" w:rsidRPr="00504E2B" w:rsidRDefault="00504E2B" w:rsidP="00504E2B">
      <w:pPr>
        <w:spacing w:line="240" w:lineRule="auto"/>
        <w:rPr>
          <w:rFonts w:eastAsia="Times New Roman" w:cs="Arial"/>
          <w:sz w:val="28"/>
          <w:szCs w:val="24"/>
        </w:rPr>
      </w:pPr>
      <w:r w:rsidRPr="00504E2B">
        <w:rPr>
          <w:rFonts w:eastAsia="Times New Roman" w:cs="Arial"/>
          <w:b/>
          <w:bCs/>
          <w:color w:val="000000"/>
          <w:szCs w:val="20"/>
          <w:lang w:eastAsia="bg-BG"/>
        </w:rPr>
        <w:t xml:space="preserve">Фармакотерапевтична група: </w:t>
      </w:r>
      <w:r w:rsidRPr="00504E2B">
        <w:rPr>
          <w:rFonts w:eastAsia="Times New Roman" w:cs="Arial"/>
          <w:color w:val="000000"/>
          <w:szCs w:val="20"/>
          <w:lang w:eastAsia="bg-BG"/>
        </w:rPr>
        <w:t>антихеморагични средства, фибриноген, АТС код: В02ВВ01</w:t>
      </w:r>
    </w:p>
    <w:p w14:paraId="59F5C29F" w14:textId="77777777" w:rsidR="00504E2B" w:rsidRPr="00504E2B" w:rsidRDefault="00504E2B" w:rsidP="00504E2B">
      <w:pPr>
        <w:spacing w:line="240" w:lineRule="auto"/>
        <w:rPr>
          <w:rFonts w:eastAsia="Times New Roman" w:cs="Arial"/>
          <w:color w:val="000000"/>
          <w:szCs w:val="20"/>
          <w:lang w:eastAsia="bg-BG"/>
        </w:rPr>
      </w:pPr>
    </w:p>
    <w:p w14:paraId="3B483A1D" w14:textId="25B202B6" w:rsidR="00504E2B" w:rsidRPr="00504E2B" w:rsidRDefault="00504E2B" w:rsidP="00504E2B">
      <w:pPr>
        <w:spacing w:line="240" w:lineRule="auto"/>
        <w:rPr>
          <w:rFonts w:eastAsia="Times New Roman" w:cs="Arial"/>
          <w:color w:val="000000"/>
          <w:szCs w:val="20"/>
          <w:lang w:eastAsia="bg-BG"/>
        </w:rPr>
      </w:pPr>
      <w:r w:rsidRPr="00504E2B">
        <w:rPr>
          <w:rFonts w:eastAsia="Times New Roman" w:cs="Arial"/>
          <w:color w:val="000000"/>
          <w:szCs w:val="20"/>
          <w:lang w:eastAsia="bg-BG"/>
        </w:rPr>
        <w:t xml:space="preserve">Човешкият фибриноген (коагулационен фактор I), в присъствието на тромбин, активиран коагулационен фактор ХIII </w:t>
      </w:r>
      <w:r w:rsidRPr="00504E2B">
        <w:rPr>
          <w:rFonts w:eastAsia="Times New Roman" w:cs="Arial"/>
          <w:color w:val="000000"/>
          <w:szCs w:val="20"/>
          <w:lang w:val="ru-RU"/>
        </w:rPr>
        <w:t>(</w:t>
      </w:r>
      <w:proofErr w:type="spellStart"/>
      <w:r w:rsidRPr="00504E2B">
        <w:rPr>
          <w:rFonts w:eastAsia="Times New Roman" w:cs="Arial"/>
          <w:color w:val="000000"/>
          <w:szCs w:val="20"/>
          <w:lang w:val="en-US"/>
        </w:rPr>
        <w:t>FXIIIa</w:t>
      </w:r>
      <w:proofErr w:type="spellEnd"/>
      <w:r w:rsidRPr="00504E2B">
        <w:rPr>
          <w:rFonts w:eastAsia="Times New Roman" w:cs="Arial"/>
          <w:color w:val="000000"/>
          <w:szCs w:val="20"/>
          <w:lang w:val="ru-RU"/>
        </w:rPr>
        <w:t xml:space="preserve">) </w:t>
      </w:r>
      <w:r w:rsidRPr="00504E2B">
        <w:rPr>
          <w:rFonts w:eastAsia="Times New Roman" w:cs="Arial"/>
          <w:color w:val="000000"/>
          <w:szCs w:val="20"/>
          <w:lang w:eastAsia="bg-BG"/>
        </w:rPr>
        <w:t xml:space="preserve">и калциеви йони, се превръща в стабилен и еластичен триизмерен фибринов </w:t>
      </w:r>
    </w:p>
    <w:p w14:paraId="02F94FEB" w14:textId="443834A3"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хемостатичен съсирек.</w:t>
      </w:r>
    </w:p>
    <w:p w14:paraId="2402D4E4" w14:textId="77777777" w:rsidR="00504E2B" w:rsidRPr="00504E2B" w:rsidRDefault="00504E2B" w:rsidP="00504E2B">
      <w:pPr>
        <w:spacing w:line="240" w:lineRule="auto"/>
        <w:rPr>
          <w:rFonts w:eastAsia="Times New Roman" w:cs="Arial"/>
          <w:color w:val="000000"/>
          <w:szCs w:val="20"/>
          <w:lang w:eastAsia="bg-BG"/>
        </w:rPr>
      </w:pPr>
    </w:p>
    <w:p w14:paraId="317BA617" w14:textId="5CEA4FC3"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lastRenderedPageBreak/>
        <w:t>Приложението на човешки фибриноген осигурява повишаване на плазменото ниво на фибриногена и може временно да коригира коагулационния дефект при пациенти с фибриногенен дефицит.</w:t>
      </w:r>
    </w:p>
    <w:p w14:paraId="7C9B304B" w14:textId="77777777" w:rsidR="00504E2B" w:rsidRPr="00504E2B" w:rsidRDefault="00504E2B" w:rsidP="00504E2B">
      <w:pPr>
        <w:spacing w:line="240" w:lineRule="auto"/>
        <w:rPr>
          <w:rFonts w:eastAsia="Times New Roman" w:cs="Arial"/>
          <w:color w:val="000000"/>
          <w:szCs w:val="20"/>
          <w:lang w:eastAsia="bg-BG"/>
        </w:rPr>
      </w:pPr>
    </w:p>
    <w:p w14:paraId="6F9F9147" w14:textId="1BADFBA2"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t xml:space="preserve">В едно открито, проспективно, рандомизирано, контролирано, с две рамена, кръстосано фармакокинетично проучване фаза 2 с приложение на единична доза при 22-ма пациенти с вроден фибриногенен дефицит (афибриногенемия) (вж. точка 5.2) е оценена също и максималната плътност на съсирека </w:t>
      </w:r>
      <w:r w:rsidRPr="00504E2B">
        <w:rPr>
          <w:rFonts w:eastAsia="Times New Roman" w:cs="Arial"/>
          <w:color w:val="000000"/>
          <w:szCs w:val="20"/>
          <w:lang w:val="ru-RU"/>
        </w:rPr>
        <w:t>(</w:t>
      </w:r>
      <w:r w:rsidRPr="00504E2B">
        <w:rPr>
          <w:rFonts w:eastAsia="Times New Roman" w:cs="Arial"/>
          <w:color w:val="000000"/>
          <w:szCs w:val="20"/>
          <w:lang w:val="en-US"/>
        </w:rPr>
        <w:t>maximum</w:t>
      </w:r>
      <w:r w:rsidRPr="00504E2B">
        <w:rPr>
          <w:rFonts w:eastAsia="Times New Roman" w:cs="Arial"/>
          <w:color w:val="000000"/>
          <w:szCs w:val="20"/>
          <w:lang w:val="ru-RU"/>
        </w:rPr>
        <w:t xml:space="preserve"> </w:t>
      </w:r>
      <w:r w:rsidRPr="00504E2B">
        <w:rPr>
          <w:rFonts w:eastAsia="Times New Roman" w:cs="Arial"/>
          <w:color w:val="000000"/>
          <w:szCs w:val="20"/>
          <w:lang w:val="en-US"/>
        </w:rPr>
        <w:t>clot</w:t>
      </w:r>
      <w:r w:rsidRPr="00504E2B">
        <w:rPr>
          <w:rFonts w:eastAsia="Times New Roman" w:cs="Arial"/>
          <w:color w:val="000000"/>
          <w:szCs w:val="20"/>
          <w:lang w:val="ru-RU"/>
        </w:rPr>
        <w:t xml:space="preserve"> </w:t>
      </w:r>
      <w:r w:rsidRPr="00504E2B">
        <w:rPr>
          <w:rFonts w:eastAsia="Times New Roman" w:cs="Arial"/>
          <w:color w:val="000000"/>
          <w:szCs w:val="20"/>
          <w:lang w:val="en-US"/>
        </w:rPr>
        <w:t>firmness</w:t>
      </w:r>
      <w:r w:rsidRPr="00504E2B">
        <w:rPr>
          <w:rFonts w:eastAsia="Times New Roman" w:cs="Arial"/>
          <w:color w:val="000000"/>
          <w:szCs w:val="20"/>
          <w:lang w:val="ru-RU"/>
        </w:rPr>
        <w:t xml:space="preserve">, </w:t>
      </w:r>
      <w:r w:rsidRPr="00504E2B">
        <w:rPr>
          <w:rFonts w:eastAsia="Times New Roman" w:cs="Arial"/>
          <w:color w:val="000000"/>
          <w:szCs w:val="20"/>
          <w:lang w:val="en-US"/>
        </w:rPr>
        <w:t>MCF</w:t>
      </w:r>
      <w:r w:rsidRPr="00504E2B">
        <w:rPr>
          <w:rFonts w:eastAsia="Times New Roman" w:cs="Arial"/>
          <w:color w:val="000000"/>
          <w:szCs w:val="20"/>
          <w:lang w:val="ru-RU"/>
        </w:rPr>
        <w:t xml:space="preserve">) </w:t>
      </w:r>
      <w:r w:rsidRPr="00504E2B">
        <w:rPr>
          <w:rFonts w:eastAsia="Times New Roman" w:cs="Arial"/>
          <w:color w:val="000000"/>
          <w:szCs w:val="20"/>
          <w:lang w:eastAsia="bg-BG"/>
        </w:rPr>
        <w:t xml:space="preserve">като сурогатен маркер за хемостатична ефикасност </w:t>
      </w:r>
      <w:r w:rsidRPr="00504E2B">
        <w:rPr>
          <w:rFonts w:eastAsia="Times New Roman" w:cs="Arial"/>
          <w:color w:val="000000"/>
          <w:szCs w:val="20"/>
          <w:lang w:val="ru-RU"/>
        </w:rPr>
        <w:t>(</w:t>
      </w:r>
      <w:r w:rsidRPr="00504E2B">
        <w:rPr>
          <w:rFonts w:eastAsia="Times New Roman" w:cs="Arial"/>
          <w:color w:val="000000"/>
          <w:szCs w:val="20"/>
          <w:lang w:val="en-US"/>
        </w:rPr>
        <w:t>FORMA</w:t>
      </w:r>
      <w:r w:rsidRPr="00504E2B">
        <w:rPr>
          <w:rFonts w:eastAsia="Times New Roman" w:cs="Arial"/>
          <w:color w:val="000000"/>
          <w:szCs w:val="20"/>
          <w:lang w:val="ru-RU"/>
        </w:rPr>
        <w:t xml:space="preserve">-01), </w:t>
      </w:r>
      <w:r w:rsidRPr="00504E2B">
        <w:rPr>
          <w:rFonts w:eastAsia="Times New Roman" w:cs="Arial"/>
          <w:color w:val="000000"/>
          <w:szCs w:val="20"/>
          <w:lang w:val="en-US"/>
        </w:rPr>
        <w:t>MCF</w:t>
      </w:r>
      <w:r w:rsidRPr="00504E2B">
        <w:rPr>
          <w:rFonts w:eastAsia="Times New Roman" w:cs="Arial"/>
          <w:color w:val="000000"/>
          <w:szCs w:val="20"/>
          <w:lang w:val="ru-RU"/>
        </w:rPr>
        <w:t xml:space="preserve"> </w:t>
      </w:r>
      <w:r w:rsidRPr="00504E2B">
        <w:rPr>
          <w:rFonts w:eastAsia="Times New Roman" w:cs="Arial"/>
          <w:color w:val="000000"/>
          <w:szCs w:val="20"/>
          <w:lang w:eastAsia="bg-BG"/>
        </w:rPr>
        <w:t xml:space="preserve">е определена чрез тестване с тромбоеластомерия </w:t>
      </w:r>
      <w:r w:rsidRPr="00504E2B">
        <w:rPr>
          <w:rFonts w:eastAsia="Times New Roman" w:cs="Arial"/>
          <w:color w:val="000000"/>
          <w:szCs w:val="20"/>
          <w:lang w:val="ru-RU"/>
        </w:rPr>
        <w:t>(</w:t>
      </w:r>
      <w:r w:rsidRPr="00504E2B">
        <w:rPr>
          <w:rFonts w:eastAsia="Times New Roman" w:cs="Arial"/>
          <w:color w:val="000000"/>
          <w:szCs w:val="20"/>
          <w:lang w:val="en-US"/>
        </w:rPr>
        <w:t>ROTEM</w:t>
      </w:r>
      <w:r w:rsidRPr="00504E2B">
        <w:rPr>
          <w:rFonts w:eastAsia="Times New Roman" w:cs="Arial"/>
          <w:color w:val="000000"/>
          <w:szCs w:val="20"/>
          <w:lang w:val="ru-RU"/>
        </w:rPr>
        <w:t xml:space="preserve">). </w:t>
      </w:r>
      <w:r w:rsidRPr="00504E2B">
        <w:rPr>
          <w:rFonts w:eastAsia="Times New Roman" w:cs="Arial"/>
          <w:color w:val="000000"/>
          <w:szCs w:val="20"/>
          <w:lang w:eastAsia="bg-BG"/>
        </w:rPr>
        <w:t xml:space="preserve">При всеки пациент </w:t>
      </w:r>
      <w:r w:rsidRPr="00504E2B">
        <w:rPr>
          <w:rFonts w:eastAsia="Times New Roman" w:cs="Arial"/>
          <w:color w:val="000000"/>
          <w:szCs w:val="20"/>
          <w:lang w:val="en-US"/>
        </w:rPr>
        <w:t>MCF</w:t>
      </w:r>
      <w:r w:rsidRPr="00504E2B">
        <w:rPr>
          <w:rFonts w:eastAsia="Times New Roman" w:cs="Arial"/>
          <w:color w:val="000000"/>
          <w:szCs w:val="20"/>
          <w:lang w:val="ru-RU"/>
        </w:rPr>
        <w:t xml:space="preserve"> </w:t>
      </w:r>
      <w:r w:rsidRPr="00504E2B">
        <w:rPr>
          <w:rFonts w:eastAsia="Times New Roman" w:cs="Arial"/>
          <w:color w:val="000000"/>
          <w:szCs w:val="20"/>
          <w:lang w:eastAsia="bg-BG"/>
        </w:rPr>
        <w:t xml:space="preserve">е определена преди (изходно ниво) и един час след приложението на единична доза Фибрига. Стойностите на </w:t>
      </w:r>
      <w:r w:rsidRPr="00504E2B">
        <w:rPr>
          <w:rFonts w:eastAsia="Times New Roman" w:cs="Arial"/>
          <w:color w:val="000000"/>
          <w:szCs w:val="20"/>
          <w:lang w:val="en-US"/>
        </w:rPr>
        <w:t>MCF</w:t>
      </w:r>
      <w:r w:rsidRPr="00504E2B">
        <w:rPr>
          <w:rFonts w:eastAsia="Times New Roman" w:cs="Arial"/>
          <w:color w:val="000000"/>
          <w:szCs w:val="20"/>
          <w:lang w:val="ru-RU"/>
        </w:rPr>
        <w:t xml:space="preserve"> </w:t>
      </w:r>
      <w:r w:rsidRPr="00504E2B">
        <w:rPr>
          <w:rFonts w:eastAsia="Times New Roman" w:cs="Arial"/>
          <w:color w:val="000000"/>
          <w:szCs w:val="20"/>
          <w:lang w:eastAsia="bg-BG"/>
        </w:rPr>
        <w:t>са значително по-високи след приложение на Фибрига в сравнение с изходното ниво (вж. таблицата по-долу).</w:t>
      </w:r>
    </w:p>
    <w:p w14:paraId="426B7BBC" w14:textId="77777777" w:rsidR="00504E2B" w:rsidRPr="00504E2B" w:rsidRDefault="00504E2B" w:rsidP="00504E2B">
      <w:pPr>
        <w:rPr>
          <w:rFonts w:eastAsia="Times New Roman" w:cs="Arial"/>
          <w:b/>
          <w:bCs/>
          <w:color w:val="000000"/>
          <w:szCs w:val="20"/>
          <w:lang w:eastAsia="bg-BG"/>
        </w:rPr>
      </w:pPr>
    </w:p>
    <w:p w14:paraId="0033401D" w14:textId="391EB697" w:rsidR="00504E2B" w:rsidRPr="00504E2B" w:rsidRDefault="00504E2B" w:rsidP="00504E2B">
      <w:pPr>
        <w:rPr>
          <w:rFonts w:eastAsia="Times New Roman" w:cs="Arial"/>
          <w:b/>
          <w:bCs/>
          <w:color w:val="000000"/>
          <w:szCs w:val="20"/>
          <w:lang w:eastAsia="bg-BG"/>
        </w:rPr>
      </w:pPr>
      <w:r w:rsidRPr="00504E2B">
        <w:rPr>
          <w:rFonts w:eastAsia="Times New Roman" w:cs="Arial"/>
          <w:b/>
          <w:bCs/>
          <w:color w:val="000000"/>
          <w:szCs w:val="20"/>
          <w:lang w:eastAsia="bg-BG"/>
        </w:rPr>
        <w:t xml:space="preserve">Таблица 1: Максимална плътност на съсирека </w:t>
      </w:r>
      <w:r w:rsidRPr="00504E2B">
        <w:rPr>
          <w:rFonts w:eastAsia="Times New Roman" w:cs="Arial"/>
          <w:b/>
          <w:bCs/>
          <w:color w:val="000000"/>
          <w:szCs w:val="20"/>
          <w:lang w:val="ru-RU"/>
        </w:rPr>
        <w:t>(</w:t>
      </w:r>
      <w:r w:rsidRPr="00504E2B">
        <w:rPr>
          <w:rFonts w:eastAsia="Times New Roman" w:cs="Arial"/>
          <w:b/>
          <w:bCs/>
          <w:color w:val="000000"/>
          <w:szCs w:val="20"/>
          <w:lang w:val="en-US"/>
        </w:rPr>
        <w:t>MCF</w:t>
      </w:r>
      <w:r w:rsidRPr="00504E2B">
        <w:rPr>
          <w:rFonts w:eastAsia="Times New Roman" w:cs="Arial"/>
          <w:b/>
          <w:bCs/>
          <w:color w:val="000000"/>
          <w:szCs w:val="20"/>
          <w:lang w:val="ru-RU"/>
        </w:rPr>
        <w:t>) [</w:t>
      </w:r>
      <w:r w:rsidRPr="00504E2B">
        <w:rPr>
          <w:rFonts w:eastAsia="Times New Roman" w:cs="Arial"/>
          <w:b/>
          <w:bCs/>
          <w:color w:val="000000"/>
          <w:szCs w:val="20"/>
          <w:lang w:val="en-US"/>
        </w:rPr>
        <w:t>mm</w:t>
      </w:r>
      <w:r w:rsidRPr="00504E2B">
        <w:rPr>
          <w:rFonts w:eastAsia="Times New Roman" w:cs="Arial"/>
          <w:b/>
          <w:bCs/>
          <w:color w:val="000000"/>
          <w:szCs w:val="20"/>
          <w:lang w:val="ru-RU"/>
        </w:rPr>
        <w:t>] (</w:t>
      </w:r>
      <w:r w:rsidRPr="00504E2B">
        <w:rPr>
          <w:rFonts w:eastAsia="Times New Roman" w:cs="Arial"/>
          <w:b/>
          <w:bCs/>
          <w:color w:val="000000"/>
          <w:szCs w:val="20"/>
          <w:lang w:val="en-US"/>
        </w:rPr>
        <w:t>ITT</w:t>
      </w:r>
      <w:r w:rsidRPr="00504E2B">
        <w:rPr>
          <w:rFonts w:eastAsia="Times New Roman" w:cs="Arial"/>
          <w:b/>
          <w:bCs/>
          <w:color w:val="000000"/>
          <w:szCs w:val="20"/>
          <w:lang w:val="ru-RU"/>
        </w:rPr>
        <w:t xml:space="preserve"> </w:t>
      </w:r>
      <w:r w:rsidRPr="00504E2B">
        <w:rPr>
          <w:rFonts w:eastAsia="Times New Roman" w:cs="Arial"/>
          <w:b/>
          <w:bCs/>
          <w:color w:val="000000"/>
          <w:szCs w:val="20"/>
          <w:lang w:eastAsia="bg-BG"/>
        </w:rPr>
        <w:t>популация) n=22</w:t>
      </w:r>
    </w:p>
    <w:tbl>
      <w:tblPr>
        <w:tblStyle w:val="TableGrid"/>
        <w:tblW w:w="0" w:type="auto"/>
        <w:tblLook w:val="04A0" w:firstRow="1" w:lastRow="0" w:firstColumn="1" w:lastColumn="0" w:noHBand="0" w:noVBand="1"/>
      </w:tblPr>
      <w:tblGrid>
        <w:gridCol w:w="3116"/>
        <w:gridCol w:w="3117"/>
        <w:gridCol w:w="3117"/>
      </w:tblGrid>
      <w:tr w:rsidR="00504E2B" w14:paraId="4A73E959" w14:textId="77777777" w:rsidTr="00504E2B">
        <w:tc>
          <w:tcPr>
            <w:tcW w:w="3116" w:type="dxa"/>
          </w:tcPr>
          <w:p w14:paraId="4D41283C" w14:textId="053CC800" w:rsidR="00504E2B" w:rsidRPr="00504E2B" w:rsidRDefault="00504E2B" w:rsidP="00504E2B">
            <w:r w:rsidRPr="00504E2B">
              <w:rPr>
                <w:b/>
                <w:bCs/>
                <w:szCs w:val="17"/>
              </w:rPr>
              <w:t>Времева точка</w:t>
            </w:r>
          </w:p>
        </w:tc>
        <w:tc>
          <w:tcPr>
            <w:tcW w:w="3117" w:type="dxa"/>
          </w:tcPr>
          <w:p w14:paraId="57B16FBF" w14:textId="07D167B1" w:rsidR="00504E2B" w:rsidRPr="00504E2B" w:rsidRDefault="00504E2B" w:rsidP="00504E2B">
            <w:r w:rsidRPr="00504E2B">
              <w:rPr>
                <w:b/>
                <w:bCs/>
                <w:szCs w:val="17"/>
              </w:rPr>
              <w:t xml:space="preserve">Средна стойност ± </w:t>
            </w:r>
            <w:r w:rsidRPr="00504E2B">
              <w:rPr>
                <w:b/>
                <w:bCs/>
                <w:szCs w:val="17"/>
                <w:lang w:val="en-US"/>
              </w:rPr>
              <w:t>SD</w:t>
            </w:r>
          </w:p>
        </w:tc>
        <w:tc>
          <w:tcPr>
            <w:tcW w:w="3117" w:type="dxa"/>
          </w:tcPr>
          <w:p w14:paraId="4D18C615" w14:textId="0783B3EA" w:rsidR="00504E2B" w:rsidRPr="00504E2B" w:rsidRDefault="00504E2B" w:rsidP="00504E2B">
            <w:r w:rsidRPr="00504E2B">
              <w:rPr>
                <w:b/>
                <w:bCs/>
                <w:szCs w:val="17"/>
              </w:rPr>
              <w:t>Медиана (диапазон)</w:t>
            </w:r>
          </w:p>
        </w:tc>
      </w:tr>
      <w:tr w:rsidR="00504E2B" w14:paraId="4BF6305F" w14:textId="77777777" w:rsidTr="00504E2B">
        <w:tc>
          <w:tcPr>
            <w:tcW w:w="3116" w:type="dxa"/>
          </w:tcPr>
          <w:p w14:paraId="5BCBCD61" w14:textId="6299DDD7" w:rsidR="00504E2B" w:rsidRPr="00504E2B" w:rsidRDefault="00504E2B" w:rsidP="00504E2B">
            <w:r w:rsidRPr="00504E2B">
              <w:rPr>
                <w:szCs w:val="17"/>
              </w:rPr>
              <w:t>Преди инфузията</w:t>
            </w:r>
          </w:p>
        </w:tc>
        <w:tc>
          <w:tcPr>
            <w:tcW w:w="3117" w:type="dxa"/>
          </w:tcPr>
          <w:p w14:paraId="3492D81B" w14:textId="43E06609" w:rsidR="00504E2B" w:rsidRPr="00504E2B" w:rsidRDefault="00504E2B" w:rsidP="00504E2B">
            <w:r w:rsidRPr="00504E2B">
              <w:rPr>
                <w:szCs w:val="17"/>
              </w:rPr>
              <w:t>0±0</w:t>
            </w:r>
          </w:p>
        </w:tc>
        <w:tc>
          <w:tcPr>
            <w:tcW w:w="3117" w:type="dxa"/>
          </w:tcPr>
          <w:p w14:paraId="007963CC" w14:textId="12B73473" w:rsidR="00504E2B" w:rsidRPr="00504E2B" w:rsidRDefault="00504E2B" w:rsidP="00504E2B">
            <w:r w:rsidRPr="00504E2B">
              <w:rPr>
                <w:szCs w:val="17"/>
              </w:rPr>
              <w:t>0 (0-0)</w:t>
            </w:r>
          </w:p>
        </w:tc>
      </w:tr>
      <w:tr w:rsidR="00504E2B" w14:paraId="54284748" w14:textId="77777777" w:rsidTr="00504E2B">
        <w:tc>
          <w:tcPr>
            <w:tcW w:w="3116" w:type="dxa"/>
          </w:tcPr>
          <w:p w14:paraId="3EAA8D3F" w14:textId="1963D6B4" w:rsidR="00504E2B" w:rsidRPr="00504E2B" w:rsidRDefault="00504E2B" w:rsidP="00504E2B">
            <w:r w:rsidRPr="00504E2B">
              <w:rPr>
                <w:szCs w:val="17"/>
              </w:rPr>
              <w:t>1 час след инфузията</w:t>
            </w:r>
          </w:p>
        </w:tc>
        <w:tc>
          <w:tcPr>
            <w:tcW w:w="3117" w:type="dxa"/>
          </w:tcPr>
          <w:p w14:paraId="2FF97BEF" w14:textId="26307057" w:rsidR="00504E2B" w:rsidRPr="00504E2B" w:rsidRDefault="00504E2B" w:rsidP="00504E2B">
            <w:r w:rsidRPr="00504E2B">
              <w:rPr>
                <w:szCs w:val="17"/>
              </w:rPr>
              <w:t>9,7 ±3,0</w:t>
            </w:r>
          </w:p>
        </w:tc>
        <w:tc>
          <w:tcPr>
            <w:tcW w:w="3117" w:type="dxa"/>
          </w:tcPr>
          <w:p w14:paraId="111455B2" w14:textId="2B526EE2" w:rsidR="00504E2B" w:rsidRPr="00504E2B" w:rsidRDefault="00504E2B" w:rsidP="00504E2B">
            <w:r w:rsidRPr="00504E2B">
              <w:rPr>
                <w:szCs w:val="17"/>
              </w:rPr>
              <w:t>10,0 (4,0-16,0)</w:t>
            </w:r>
          </w:p>
        </w:tc>
      </w:tr>
      <w:tr w:rsidR="00504E2B" w14:paraId="3D6BF559" w14:textId="77777777" w:rsidTr="00504E2B">
        <w:tc>
          <w:tcPr>
            <w:tcW w:w="3116" w:type="dxa"/>
          </w:tcPr>
          <w:p w14:paraId="28438926" w14:textId="14748D33" w:rsidR="00504E2B" w:rsidRPr="00504E2B" w:rsidRDefault="00504E2B" w:rsidP="00504E2B">
            <w:r w:rsidRPr="00504E2B">
              <w:rPr>
                <w:szCs w:val="17"/>
              </w:rPr>
              <w:t>Средна промяна (първичен анализ)*</w:t>
            </w:r>
          </w:p>
        </w:tc>
        <w:tc>
          <w:tcPr>
            <w:tcW w:w="3117" w:type="dxa"/>
          </w:tcPr>
          <w:p w14:paraId="41F1312D" w14:textId="5659A0BD" w:rsidR="00504E2B" w:rsidRPr="00504E2B" w:rsidRDefault="00504E2B" w:rsidP="00504E2B">
            <w:r w:rsidRPr="00504E2B">
              <w:rPr>
                <w:szCs w:val="17"/>
              </w:rPr>
              <w:t>9,7 ±3,0</w:t>
            </w:r>
          </w:p>
        </w:tc>
        <w:tc>
          <w:tcPr>
            <w:tcW w:w="3117" w:type="dxa"/>
          </w:tcPr>
          <w:p w14:paraId="5CF851EE" w14:textId="477849E0" w:rsidR="00504E2B" w:rsidRPr="00504E2B" w:rsidRDefault="00504E2B" w:rsidP="00504E2B">
            <w:r w:rsidRPr="00504E2B">
              <w:rPr>
                <w:szCs w:val="17"/>
              </w:rPr>
              <w:t>10,0 (4,0-16,0)</w:t>
            </w:r>
          </w:p>
        </w:tc>
      </w:tr>
    </w:tbl>
    <w:p w14:paraId="78E1FE7A" w14:textId="5AB9533E" w:rsidR="00504E2B" w:rsidRPr="00504E2B" w:rsidRDefault="00504E2B" w:rsidP="00504E2B">
      <w:pPr>
        <w:spacing w:line="240" w:lineRule="auto"/>
        <w:rPr>
          <w:rFonts w:eastAsia="Times New Roman" w:cs="Arial"/>
        </w:rPr>
      </w:pPr>
      <w:r w:rsidRPr="00504E2B">
        <w:rPr>
          <w:rFonts w:eastAsia="Times New Roman" w:cs="Arial"/>
          <w:color w:val="000000"/>
          <w:lang w:val="en-US"/>
        </w:rPr>
        <w:t>MCF</w:t>
      </w:r>
      <w:r w:rsidRPr="00504E2B">
        <w:rPr>
          <w:rFonts w:eastAsia="Times New Roman" w:cs="Arial"/>
          <w:color w:val="000000"/>
          <w:lang w:val="ru-RU"/>
        </w:rPr>
        <w:t xml:space="preserve"> </w:t>
      </w:r>
      <w:r w:rsidRPr="00504E2B">
        <w:rPr>
          <w:rFonts w:eastAsia="Times New Roman" w:cs="Arial"/>
          <w:color w:val="000000"/>
          <w:lang w:eastAsia="bg-BG"/>
        </w:rPr>
        <w:t xml:space="preserve">= максимална плътност на съсирека; </w:t>
      </w:r>
      <w:r w:rsidRPr="00504E2B">
        <w:rPr>
          <w:rFonts w:eastAsia="Times New Roman" w:cs="Arial"/>
          <w:color w:val="000000"/>
          <w:lang w:val="en-US"/>
        </w:rPr>
        <w:t>ITT</w:t>
      </w:r>
      <w:r w:rsidRPr="00504E2B">
        <w:rPr>
          <w:rFonts w:eastAsia="Times New Roman" w:cs="Arial"/>
          <w:color w:val="000000"/>
          <w:lang w:val="ru-RU"/>
        </w:rPr>
        <w:t xml:space="preserve"> </w:t>
      </w:r>
      <w:r w:rsidRPr="00504E2B">
        <w:rPr>
          <w:rFonts w:eastAsia="Times New Roman" w:cs="Arial"/>
          <w:color w:val="000000"/>
          <w:lang w:eastAsia="bg-BG"/>
        </w:rPr>
        <w:t xml:space="preserve">= </w:t>
      </w:r>
      <w:r w:rsidRPr="00504E2B">
        <w:rPr>
          <w:rFonts w:eastAsia="Times New Roman" w:cs="Arial"/>
          <w:color w:val="000000"/>
          <w:lang w:val="en-US"/>
        </w:rPr>
        <w:t>intention</w:t>
      </w:r>
      <w:r w:rsidRPr="00504E2B">
        <w:rPr>
          <w:rFonts w:eastAsia="Times New Roman" w:cs="Arial"/>
          <w:color w:val="000000"/>
          <w:lang w:val="ru-RU"/>
        </w:rPr>
        <w:t>-</w:t>
      </w:r>
      <w:r w:rsidRPr="00504E2B">
        <w:rPr>
          <w:rFonts w:eastAsia="Times New Roman" w:cs="Arial"/>
          <w:color w:val="000000"/>
          <w:lang w:val="en-US"/>
        </w:rPr>
        <w:t>to</w:t>
      </w:r>
      <w:r w:rsidRPr="00504E2B">
        <w:rPr>
          <w:rFonts w:eastAsia="Times New Roman" w:cs="Arial"/>
          <w:color w:val="000000"/>
          <w:lang w:val="ru-RU"/>
        </w:rPr>
        <w:t>-</w:t>
      </w:r>
      <w:r w:rsidRPr="00504E2B">
        <w:rPr>
          <w:rFonts w:eastAsia="Times New Roman" w:cs="Arial"/>
          <w:color w:val="000000"/>
          <w:lang w:val="en-US"/>
        </w:rPr>
        <w:t>treat</w:t>
      </w:r>
      <w:r w:rsidRPr="00504E2B">
        <w:rPr>
          <w:rFonts w:eastAsia="Times New Roman" w:cs="Arial"/>
          <w:color w:val="000000"/>
          <w:lang w:val="ru-RU"/>
        </w:rPr>
        <w:t xml:space="preserve"> </w:t>
      </w:r>
      <w:r w:rsidRPr="00504E2B">
        <w:rPr>
          <w:rFonts w:eastAsia="Times New Roman" w:cs="Arial"/>
          <w:color w:val="000000"/>
          <w:lang w:eastAsia="bg-BG"/>
        </w:rPr>
        <w:t>(с намерение за лечение).</w:t>
      </w:r>
    </w:p>
    <w:p w14:paraId="10EC7B45"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*р &lt;0,0001 (95%доверителен интервал 8,37; 10,99)</w:t>
      </w:r>
    </w:p>
    <w:p w14:paraId="6A4F9AB7" w14:textId="478703E3" w:rsidR="00504E2B" w:rsidRPr="00504E2B" w:rsidRDefault="00504E2B" w:rsidP="00504E2B">
      <w:pPr>
        <w:rPr>
          <w:rFonts w:cs="Arial"/>
        </w:rPr>
      </w:pPr>
    </w:p>
    <w:p w14:paraId="084F0021"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 xml:space="preserve">Проведено е проспективно, открито, неконтролирано, многоцентрово проучване фаза 3 </w:t>
      </w:r>
      <w:r w:rsidRPr="00504E2B">
        <w:rPr>
          <w:rFonts w:eastAsia="Times New Roman" w:cs="Arial"/>
          <w:color w:val="000000"/>
          <w:lang w:val="ru-RU"/>
        </w:rPr>
        <w:t>(</w:t>
      </w:r>
      <w:r w:rsidRPr="00504E2B">
        <w:rPr>
          <w:rFonts w:eastAsia="Times New Roman" w:cs="Arial"/>
          <w:color w:val="000000"/>
          <w:lang w:val="en-US"/>
        </w:rPr>
        <w:t>FORMA</w:t>
      </w:r>
      <w:r w:rsidRPr="00504E2B">
        <w:rPr>
          <w:rFonts w:eastAsia="Times New Roman" w:cs="Arial"/>
          <w:color w:val="000000"/>
          <w:lang w:val="ru-RU"/>
        </w:rPr>
        <w:t xml:space="preserve">-02) </w:t>
      </w:r>
      <w:r w:rsidRPr="00504E2B">
        <w:rPr>
          <w:rFonts w:eastAsia="Times New Roman" w:cs="Arial"/>
          <w:color w:val="000000"/>
          <w:lang w:eastAsia="bg-BG"/>
        </w:rPr>
        <w:t xml:space="preserve">при 25 пациенти с вроден фибриногенен дефицит (афибриногенемия и хипофибриногенемия) на възраст от 12 до 54 години (6 юноши и 19 възрастни). Това включва лечението на 89 епизода на кръвоизлив и 12 хирургически процедури. Има значима промяна от изходното ниво в </w:t>
      </w:r>
      <w:r w:rsidRPr="00504E2B">
        <w:rPr>
          <w:rFonts w:eastAsia="Times New Roman" w:cs="Arial"/>
          <w:color w:val="000000"/>
          <w:lang w:val="en-US"/>
        </w:rPr>
        <w:t>MCF</w:t>
      </w:r>
      <w:r w:rsidRPr="00504E2B">
        <w:rPr>
          <w:rFonts w:eastAsia="Times New Roman" w:cs="Arial"/>
          <w:color w:val="000000"/>
          <w:lang w:val="ru-RU"/>
        </w:rPr>
        <w:t xml:space="preserve">, </w:t>
      </w:r>
      <w:r w:rsidRPr="00504E2B">
        <w:rPr>
          <w:rFonts w:eastAsia="Times New Roman" w:cs="Arial"/>
          <w:color w:val="000000"/>
          <w:lang w:eastAsia="bg-BG"/>
        </w:rPr>
        <w:t xml:space="preserve">както е измерено чрез </w:t>
      </w:r>
      <w:r w:rsidRPr="00504E2B">
        <w:rPr>
          <w:rFonts w:eastAsia="Times New Roman" w:cs="Arial"/>
          <w:color w:val="000000"/>
          <w:lang w:val="en-US"/>
        </w:rPr>
        <w:t>ROTEM</w:t>
      </w:r>
      <w:r w:rsidRPr="00504E2B">
        <w:rPr>
          <w:rFonts w:eastAsia="Times New Roman" w:cs="Arial"/>
          <w:color w:val="000000"/>
          <w:lang w:val="ru-RU"/>
        </w:rPr>
        <w:t xml:space="preserve"> </w:t>
      </w:r>
      <w:r w:rsidRPr="00504E2B">
        <w:rPr>
          <w:rFonts w:eastAsia="Times New Roman" w:cs="Arial"/>
          <w:color w:val="000000"/>
          <w:lang w:eastAsia="bg-BG"/>
        </w:rPr>
        <w:t xml:space="preserve">и плазмените нива на фибриногена. Медианата на дозата на Фибрига на една инфузия при лечението на епизоди на кръвоизлив е 57,5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а медианата на общата доза е 59,4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Медианата на общата доза на Фибрига на една хирургическа процедура е 85,8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Общата хемостатична ефикасност е оценена като успешна (оценка за добра или отлична ефикасност) при 98,9% от лекуваните епизоди на кръвоизлив и при 100% от хирургическите процедури от независима комисия за оценка на резултатите с използване на обективна точкова система за оценка.</w:t>
      </w:r>
    </w:p>
    <w:p w14:paraId="44DE74D6" w14:textId="77777777" w:rsidR="00504E2B" w:rsidRPr="00504E2B" w:rsidRDefault="00504E2B" w:rsidP="00504E2B">
      <w:pPr>
        <w:spacing w:line="240" w:lineRule="auto"/>
        <w:rPr>
          <w:rFonts w:eastAsia="Times New Roman" w:cs="Arial"/>
          <w:color w:val="000000"/>
          <w:lang w:eastAsia="bg-BG"/>
        </w:rPr>
      </w:pPr>
    </w:p>
    <w:p w14:paraId="59C4B905" w14:textId="040B6997" w:rsidR="00504E2B" w:rsidRPr="00504E2B" w:rsidRDefault="00504E2B" w:rsidP="00504E2B">
      <w:pPr>
        <w:spacing w:line="240" w:lineRule="auto"/>
        <w:rPr>
          <w:rFonts w:eastAsia="Times New Roman" w:cs="Arial"/>
        </w:rPr>
      </w:pPr>
      <w:r w:rsidRPr="00504E2B">
        <w:rPr>
          <w:rFonts w:eastAsia="Times New Roman" w:cs="Arial"/>
          <w:color w:val="000000"/>
          <w:lang w:eastAsia="bg-BG"/>
        </w:rPr>
        <w:t xml:space="preserve">Друго проспективно, открито, неконтролирано, многоцентрово проучване фаза 3 </w:t>
      </w:r>
      <w:r w:rsidRPr="00504E2B">
        <w:rPr>
          <w:rFonts w:eastAsia="Times New Roman" w:cs="Arial"/>
          <w:color w:val="000000"/>
          <w:lang w:val="ru-RU"/>
        </w:rPr>
        <w:t>(</w:t>
      </w:r>
      <w:r w:rsidRPr="00504E2B">
        <w:rPr>
          <w:rFonts w:eastAsia="Times New Roman" w:cs="Arial"/>
          <w:color w:val="000000"/>
          <w:lang w:val="en-US"/>
        </w:rPr>
        <w:t>FORMA</w:t>
      </w:r>
      <w:r w:rsidRPr="00504E2B">
        <w:rPr>
          <w:rFonts w:eastAsia="Times New Roman" w:cs="Arial"/>
          <w:color w:val="000000"/>
          <w:lang w:val="ru-RU"/>
        </w:rPr>
        <w:t xml:space="preserve">-04) </w:t>
      </w:r>
      <w:r w:rsidRPr="00504E2B">
        <w:rPr>
          <w:rFonts w:eastAsia="Times New Roman" w:cs="Arial"/>
          <w:color w:val="000000"/>
          <w:lang w:eastAsia="bg-BG"/>
        </w:rPr>
        <w:t xml:space="preserve">е проведено при 14 деца с вроден фибриногенен дефицит (афибриногенемия и хипофибриногенемия) на възраст от 1 до 10 години (6 на възраст &lt;6 години и 8 на възраст между 6 и &lt;12 години). Това включва лечението на 10 епизода на кръвоизлив и 3 хирургически процедури, както и изследване на фармакокинетиката на единична доза. Има значима промяна от изходното ниво в </w:t>
      </w:r>
      <w:r w:rsidRPr="00504E2B">
        <w:rPr>
          <w:rFonts w:eastAsia="Times New Roman" w:cs="Arial"/>
          <w:color w:val="000000"/>
          <w:lang w:val="en-US"/>
        </w:rPr>
        <w:t>MCF</w:t>
      </w:r>
      <w:r w:rsidRPr="00504E2B">
        <w:rPr>
          <w:rFonts w:eastAsia="Times New Roman" w:cs="Arial"/>
          <w:color w:val="000000"/>
          <w:lang w:val="ru-RU"/>
        </w:rPr>
        <w:t xml:space="preserve">, </w:t>
      </w:r>
      <w:r w:rsidRPr="00504E2B">
        <w:rPr>
          <w:rFonts w:eastAsia="Times New Roman" w:cs="Arial"/>
          <w:color w:val="000000"/>
          <w:lang w:eastAsia="bg-BG"/>
        </w:rPr>
        <w:t xml:space="preserve">както е измерено чрез </w:t>
      </w:r>
      <w:r w:rsidRPr="00504E2B">
        <w:rPr>
          <w:rFonts w:eastAsia="Times New Roman" w:cs="Arial"/>
          <w:color w:val="000000"/>
          <w:lang w:val="en-US"/>
        </w:rPr>
        <w:t>ROTEM</w:t>
      </w:r>
      <w:r w:rsidRPr="00504E2B">
        <w:rPr>
          <w:rFonts w:eastAsia="Times New Roman" w:cs="Arial"/>
          <w:color w:val="000000"/>
          <w:lang w:val="ru-RU"/>
        </w:rPr>
        <w:t xml:space="preserve"> </w:t>
      </w:r>
      <w:r w:rsidRPr="00504E2B">
        <w:rPr>
          <w:rFonts w:eastAsia="Times New Roman" w:cs="Arial"/>
          <w:color w:val="000000"/>
          <w:lang w:eastAsia="bg-BG"/>
        </w:rPr>
        <w:t xml:space="preserve">и плазмените нива на фибриногена. Медианата на дозата на Фибрига на една инфузия при лечението на епизоди на кръвоизлив е 70,2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а медианата на общата доза е 73,9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Медианата на общата доза на Фибрига на една хирургическа процедура е 108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Общата хемостатична ефикасност е оценена като успешна (оценка за добра или отлична ефикасност) при 100% от лекуваните епизоди на кръвоизлив и хирургически процедури от независима комисия за оценка на резултатите с използване на обективна точкова система за оценка.</w:t>
      </w:r>
    </w:p>
    <w:p w14:paraId="3C9D9289" w14:textId="77777777" w:rsidR="00504E2B" w:rsidRPr="00504E2B" w:rsidRDefault="00504E2B" w:rsidP="00504E2B">
      <w:pPr>
        <w:rPr>
          <w:rFonts w:eastAsia="Times New Roman" w:cs="Arial"/>
          <w:color w:val="000000"/>
          <w:lang w:eastAsia="bg-BG"/>
        </w:rPr>
      </w:pPr>
    </w:p>
    <w:p w14:paraId="5B4F7173" w14:textId="5CD398E6" w:rsidR="00504E2B" w:rsidRPr="00504E2B" w:rsidRDefault="00504E2B" w:rsidP="00504E2B">
      <w:pPr>
        <w:rPr>
          <w:rFonts w:eastAsia="Times New Roman" w:cs="Arial"/>
          <w:color w:val="000000"/>
          <w:lang w:eastAsia="bg-BG"/>
        </w:rPr>
      </w:pPr>
      <w:r w:rsidRPr="00504E2B">
        <w:rPr>
          <w:rFonts w:eastAsia="Times New Roman" w:cs="Arial"/>
          <w:color w:val="000000"/>
          <w:lang w:eastAsia="bg-BG"/>
        </w:rPr>
        <w:t xml:space="preserve">В проспективното, рандомизирано, контролирано проучване </w:t>
      </w:r>
      <w:r w:rsidRPr="00504E2B">
        <w:rPr>
          <w:rFonts w:eastAsia="Times New Roman" w:cs="Arial"/>
          <w:color w:val="000000"/>
          <w:lang w:val="en-US"/>
        </w:rPr>
        <w:t>FORMA</w:t>
      </w:r>
      <w:r w:rsidRPr="00504E2B">
        <w:rPr>
          <w:rFonts w:eastAsia="Times New Roman" w:cs="Arial"/>
          <w:color w:val="000000"/>
          <w:lang w:val="ru-RU"/>
        </w:rPr>
        <w:t xml:space="preserve">-05 </w:t>
      </w:r>
      <w:r w:rsidRPr="00504E2B">
        <w:rPr>
          <w:rFonts w:eastAsia="Times New Roman" w:cs="Arial"/>
          <w:color w:val="000000"/>
          <w:lang w:eastAsia="bg-BG"/>
        </w:rPr>
        <w:t xml:space="preserve">са изследвани хемостатичната ефикасност и безопасност на Фибрига чрез сравнение с криопреципитат като източник на фибриногенна добавка при пациенти, развиващи придобит фибриногенен дефицит по време на циторедуктивна хирургия за перитонеална псевдомиксома при екстензивно абдоминално злокачествено заболяване. В проучването са включени 43 възрастни пациенти в групата за анализ по протокол </w:t>
      </w:r>
      <w:r w:rsidRPr="00504E2B">
        <w:rPr>
          <w:rFonts w:eastAsia="Times New Roman" w:cs="Arial"/>
          <w:color w:val="000000"/>
          <w:lang w:val="ru-RU"/>
        </w:rPr>
        <w:t>(</w:t>
      </w:r>
      <w:r w:rsidRPr="00504E2B">
        <w:rPr>
          <w:rFonts w:eastAsia="Times New Roman" w:cs="Arial"/>
          <w:color w:val="000000"/>
          <w:lang w:val="en-US"/>
        </w:rPr>
        <w:t>Per</w:t>
      </w:r>
      <w:r w:rsidRPr="00504E2B">
        <w:rPr>
          <w:rFonts w:eastAsia="Times New Roman" w:cs="Arial"/>
          <w:color w:val="000000"/>
          <w:lang w:val="ru-RU"/>
        </w:rPr>
        <w:t xml:space="preserve"> </w:t>
      </w:r>
      <w:r w:rsidRPr="00504E2B">
        <w:rPr>
          <w:rFonts w:eastAsia="Times New Roman" w:cs="Arial"/>
          <w:color w:val="000000"/>
          <w:lang w:val="en-US"/>
        </w:rPr>
        <w:t>Protocol</w:t>
      </w:r>
      <w:r w:rsidRPr="00504E2B">
        <w:rPr>
          <w:rFonts w:eastAsia="Times New Roman" w:cs="Arial"/>
          <w:color w:val="000000"/>
          <w:lang w:val="ru-RU"/>
        </w:rPr>
        <w:t xml:space="preserve">, </w:t>
      </w:r>
      <w:r w:rsidRPr="00504E2B">
        <w:rPr>
          <w:rFonts w:eastAsia="Times New Roman" w:cs="Arial"/>
          <w:color w:val="000000"/>
          <w:lang w:eastAsia="bg-BG"/>
        </w:rPr>
        <w:t xml:space="preserve">РР), 21 пациенти, лекувани с Фибрига, и 22 пациенти, лекувани с криопреципитат. Добавянето на фибриноген по време на операция е извършвано превантивно (т.е. 60-90 минути след началото на операцията, когато е наблюдавана свръхзагуба на кръв, но преди кръвозагубата да достигне 2 литра) при дози 4 </w:t>
      </w:r>
      <w:r w:rsidRPr="00504E2B">
        <w:rPr>
          <w:rFonts w:eastAsia="Times New Roman" w:cs="Arial"/>
          <w:color w:val="000000"/>
          <w:lang w:val="en-US"/>
        </w:rPr>
        <w:t>g</w:t>
      </w:r>
      <w:r w:rsidRPr="00504E2B">
        <w:rPr>
          <w:rFonts w:eastAsia="Times New Roman" w:cs="Arial"/>
          <w:color w:val="000000"/>
          <w:lang w:val="ru-RU"/>
        </w:rPr>
        <w:t xml:space="preserve"> </w:t>
      </w:r>
      <w:r w:rsidRPr="00504E2B">
        <w:rPr>
          <w:rFonts w:eastAsia="Times New Roman" w:cs="Arial"/>
          <w:color w:val="000000"/>
          <w:lang w:eastAsia="bg-BG"/>
        </w:rPr>
        <w:t xml:space="preserve">Фибрига или 2 пула по 5 единици криопеципитат, повторени при необходимост. По време на 7,8 ± 1,7-часова операция са използвани съответно 6,5 ± 3 </w:t>
      </w:r>
      <w:r w:rsidRPr="00504E2B">
        <w:rPr>
          <w:rFonts w:eastAsia="Times New Roman" w:cs="Arial"/>
          <w:color w:val="000000"/>
          <w:lang w:val="en-US"/>
        </w:rPr>
        <w:t>g</w:t>
      </w:r>
      <w:r w:rsidRPr="00504E2B">
        <w:rPr>
          <w:rFonts w:eastAsia="Times New Roman" w:cs="Arial"/>
          <w:color w:val="000000"/>
          <w:lang w:val="ru-RU"/>
        </w:rPr>
        <w:t xml:space="preserve"> </w:t>
      </w:r>
      <w:r w:rsidRPr="00504E2B">
        <w:rPr>
          <w:rFonts w:eastAsia="Times New Roman" w:cs="Arial"/>
          <w:color w:val="000000"/>
          <w:lang w:eastAsia="bg-BG"/>
        </w:rPr>
        <w:t xml:space="preserve">Фибрига (89± 39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т.т.) и 4,1 ±2,2 пула по 5 единици криопреципитат. По време на операция са приложени еритроцити </w:t>
      </w:r>
      <w:r w:rsidRPr="00504E2B">
        <w:rPr>
          <w:rFonts w:eastAsia="Times New Roman" w:cs="Arial"/>
          <w:color w:val="000000"/>
          <w:lang w:val="ru-RU"/>
        </w:rPr>
        <w:t>(</w:t>
      </w:r>
      <w:r w:rsidRPr="00504E2B">
        <w:rPr>
          <w:rFonts w:eastAsia="Times New Roman" w:cs="Arial"/>
          <w:color w:val="000000"/>
          <w:lang w:val="en-US"/>
        </w:rPr>
        <w:t>RBC</w:t>
      </w:r>
      <w:r w:rsidRPr="00504E2B">
        <w:rPr>
          <w:rFonts w:eastAsia="Times New Roman" w:cs="Arial"/>
          <w:color w:val="000000"/>
          <w:lang w:val="ru-RU"/>
        </w:rPr>
        <w:t xml:space="preserve">) </w:t>
      </w:r>
      <w:r w:rsidRPr="00504E2B">
        <w:rPr>
          <w:rFonts w:eastAsia="Times New Roman" w:cs="Arial"/>
          <w:color w:val="000000"/>
          <w:lang w:eastAsia="bg-BG"/>
        </w:rPr>
        <w:t xml:space="preserve">с медиана 1 единица и 0,5 единици, при пациенти, лекувани съответно с Фибрига и криопреципитат, с медиана на </w:t>
      </w:r>
      <w:r w:rsidRPr="00504E2B">
        <w:rPr>
          <w:rFonts w:eastAsia="Times New Roman" w:cs="Arial"/>
          <w:color w:val="000000"/>
          <w:lang w:val="en-US"/>
        </w:rPr>
        <w:t>RBC</w:t>
      </w:r>
      <w:r w:rsidRPr="00504E2B">
        <w:rPr>
          <w:rFonts w:eastAsia="Times New Roman" w:cs="Arial"/>
          <w:color w:val="000000"/>
          <w:lang w:val="ru-RU"/>
        </w:rPr>
        <w:t xml:space="preserve"> </w:t>
      </w:r>
      <w:r w:rsidRPr="00504E2B">
        <w:rPr>
          <w:rFonts w:eastAsia="Times New Roman" w:cs="Arial"/>
          <w:color w:val="000000"/>
          <w:lang w:eastAsia="bg-BG"/>
        </w:rPr>
        <w:t>0 единици през първите 24 часа след операцията и в двете групи (вж. таблицата по-долу). По време на проучването не са преливани прясно замразена плазма или тромбоцитни концетрати. Хемостатичната терапия, базирана на фибриногенна добавка, е оценена като успешна при 100% от хирургическите интервенции и в двете групи от независима комисия за оценка на резултатите с използване на обективна точкова система за оценка.</w:t>
      </w:r>
    </w:p>
    <w:p w14:paraId="0A2C3400" w14:textId="6B95D4BA" w:rsidR="00504E2B" w:rsidRDefault="00504E2B" w:rsidP="00504E2B"/>
    <w:p w14:paraId="6E0EDAEE" w14:textId="643EF79E" w:rsidR="00504E2B" w:rsidRDefault="00504E2B" w:rsidP="00504E2B">
      <w:pPr>
        <w:rPr>
          <w:b/>
          <w:bCs/>
          <w:sz w:val="20"/>
          <w:szCs w:val="20"/>
        </w:rPr>
      </w:pPr>
      <w:r>
        <w:rPr>
          <w:b/>
          <w:bCs/>
          <w:sz w:val="20"/>
          <w:szCs w:val="20"/>
        </w:rPr>
        <w:t xml:space="preserve">Таблица 2: </w:t>
      </w:r>
      <w:r>
        <w:rPr>
          <w:b/>
          <w:bCs/>
          <w:sz w:val="20"/>
          <w:szCs w:val="20"/>
          <w:lang w:val="en-US"/>
        </w:rPr>
        <w:t>RBC</w:t>
      </w:r>
      <w:r w:rsidRPr="00504E2B">
        <w:rPr>
          <w:b/>
          <w:bCs/>
          <w:sz w:val="20"/>
          <w:szCs w:val="20"/>
          <w:lang w:val="ru-RU"/>
        </w:rPr>
        <w:t xml:space="preserve">* </w:t>
      </w:r>
      <w:r>
        <w:rPr>
          <w:b/>
          <w:bCs/>
          <w:sz w:val="20"/>
          <w:szCs w:val="20"/>
        </w:rPr>
        <w:t>трансфузия [единици] по време на операция и през първите 24 часа след операция (РР популация)</w:t>
      </w:r>
    </w:p>
    <w:tbl>
      <w:tblPr>
        <w:tblStyle w:val="TableGrid"/>
        <w:tblW w:w="0" w:type="auto"/>
        <w:tblLook w:val="04A0" w:firstRow="1" w:lastRow="0" w:firstColumn="1" w:lastColumn="0" w:noHBand="0" w:noVBand="1"/>
      </w:tblPr>
      <w:tblGrid>
        <w:gridCol w:w="3116"/>
        <w:gridCol w:w="3117"/>
        <w:gridCol w:w="3117"/>
      </w:tblGrid>
      <w:tr w:rsidR="00504E2B" w14:paraId="1A53C259" w14:textId="77777777" w:rsidTr="00504E2B">
        <w:tc>
          <w:tcPr>
            <w:tcW w:w="3116" w:type="dxa"/>
          </w:tcPr>
          <w:p w14:paraId="41B3E7DC" w14:textId="0FC0892D" w:rsidR="00504E2B" w:rsidRPr="00504E2B" w:rsidRDefault="00504E2B" w:rsidP="00504E2B">
            <w:r w:rsidRPr="00504E2B">
              <w:rPr>
                <w:b/>
                <w:bCs/>
                <w:szCs w:val="17"/>
              </w:rPr>
              <w:t>Времева рамка</w:t>
            </w:r>
          </w:p>
        </w:tc>
        <w:tc>
          <w:tcPr>
            <w:tcW w:w="3117" w:type="dxa"/>
          </w:tcPr>
          <w:p w14:paraId="2DD2AB61" w14:textId="685B31E0" w:rsidR="00504E2B" w:rsidRPr="00504E2B" w:rsidRDefault="00504E2B" w:rsidP="00504E2B">
            <w:r w:rsidRPr="00504E2B">
              <w:rPr>
                <w:b/>
                <w:bCs/>
                <w:szCs w:val="17"/>
              </w:rPr>
              <w:t xml:space="preserve">Група на лечение с </w:t>
            </w:r>
            <w:r w:rsidRPr="00504E2B">
              <w:rPr>
                <w:b/>
                <w:bCs/>
                <w:szCs w:val="17"/>
                <w:lang w:val="en-US"/>
              </w:rPr>
              <w:t>FIBRYGA</w:t>
            </w:r>
            <w:r w:rsidRPr="00504E2B">
              <w:rPr>
                <w:b/>
                <w:bCs/>
                <w:szCs w:val="17"/>
                <w:lang w:val="ru-RU"/>
              </w:rPr>
              <w:t xml:space="preserve"> </w:t>
            </w:r>
            <w:r w:rsidRPr="00504E2B">
              <w:rPr>
                <w:b/>
                <w:bCs/>
                <w:szCs w:val="17"/>
              </w:rPr>
              <w:t>(</w:t>
            </w:r>
            <w:r w:rsidRPr="00504E2B">
              <w:rPr>
                <w:b/>
                <w:bCs/>
                <w:szCs w:val="17"/>
                <w:lang w:val="en-US"/>
              </w:rPr>
              <w:t>n</w:t>
            </w:r>
            <w:r w:rsidRPr="00504E2B">
              <w:rPr>
                <w:b/>
                <w:bCs/>
                <w:szCs w:val="17"/>
              </w:rPr>
              <w:t>=21) Медиана (диапазон)</w:t>
            </w:r>
          </w:p>
        </w:tc>
        <w:tc>
          <w:tcPr>
            <w:tcW w:w="3117" w:type="dxa"/>
          </w:tcPr>
          <w:p w14:paraId="06057485" w14:textId="0D9556DD" w:rsidR="00504E2B" w:rsidRPr="00504E2B" w:rsidRDefault="00504E2B" w:rsidP="00504E2B">
            <w:r w:rsidRPr="00504E2B">
              <w:rPr>
                <w:b/>
                <w:bCs/>
                <w:szCs w:val="17"/>
              </w:rPr>
              <w:t>Група на лечение с криопреципитат (</w:t>
            </w:r>
            <w:r w:rsidRPr="00504E2B">
              <w:rPr>
                <w:b/>
                <w:bCs/>
                <w:szCs w:val="17"/>
                <w:lang w:val="en-US"/>
              </w:rPr>
              <w:t>n</w:t>
            </w:r>
            <w:r w:rsidRPr="00504E2B">
              <w:rPr>
                <w:b/>
                <w:bCs/>
                <w:szCs w:val="17"/>
              </w:rPr>
              <w:t>=22) Медиана (диапазон)</w:t>
            </w:r>
          </w:p>
        </w:tc>
      </w:tr>
      <w:tr w:rsidR="00504E2B" w14:paraId="4946C374" w14:textId="77777777" w:rsidTr="00504E2B">
        <w:tc>
          <w:tcPr>
            <w:tcW w:w="3116" w:type="dxa"/>
          </w:tcPr>
          <w:p w14:paraId="1A53945F" w14:textId="353212C2" w:rsidR="00504E2B" w:rsidRPr="00504E2B" w:rsidRDefault="00504E2B" w:rsidP="00504E2B">
            <w:r w:rsidRPr="00504E2B">
              <w:rPr>
                <w:szCs w:val="17"/>
              </w:rPr>
              <w:t>По време на операция</w:t>
            </w:r>
          </w:p>
        </w:tc>
        <w:tc>
          <w:tcPr>
            <w:tcW w:w="3117" w:type="dxa"/>
          </w:tcPr>
          <w:p w14:paraId="136FB14B" w14:textId="5D067856" w:rsidR="00504E2B" w:rsidRPr="00504E2B" w:rsidRDefault="00504E2B" w:rsidP="00504E2B">
            <w:r w:rsidRPr="00504E2B">
              <w:rPr>
                <w:szCs w:val="17"/>
              </w:rPr>
              <w:t>1 (0-4)</w:t>
            </w:r>
          </w:p>
        </w:tc>
        <w:tc>
          <w:tcPr>
            <w:tcW w:w="3117" w:type="dxa"/>
          </w:tcPr>
          <w:p w14:paraId="3EF1473D" w14:textId="5C436F9B" w:rsidR="00504E2B" w:rsidRPr="00504E2B" w:rsidRDefault="00504E2B" w:rsidP="00504E2B">
            <w:r w:rsidRPr="00504E2B">
              <w:rPr>
                <w:szCs w:val="17"/>
              </w:rPr>
              <w:t>0,5 (0-5)</w:t>
            </w:r>
          </w:p>
        </w:tc>
      </w:tr>
      <w:tr w:rsidR="00504E2B" w14:paraId="237F2665" w14:textId="77777777" w:rsidTr="00504E2B">
        <w:tc>
          <w:tcPr>
            <w:tcW w:w="3116" w:type="dxa"/>
          </w:tcPr>
          <w:p w14:paraId="3AC5203E" w14:textId="221D6A86" w:rsidR="00504E2B" w:rsidRPr="00504E2B" w:rsidRDefault="00504E2B" w:rsidP="00504E2B">
            <w:r w:rsidRPr="00504E2B">
              <w:rPr>
                <w:szCs w:val="17"/>
              </w:rPr>
              <w:t>През първите 24 след операция</w:t>
            </w:r>
          </w:p>
        </w:tc>
        <w:tc>
          <w:tcPr>
            <w:tcW w:w="3117" w:type="dxa"/>
          </w:tcPr>
          <w:p w14:paraId="3772C1F7" w14:textId="5D8C48A8" w:rsidR="00504E2B" w:rsidRPr="00504E2B" w:rsidRDefault="00504E2B" w:rsidP="00504E2B">
            <w:r w:rsidRPr="00504E2B">
              <w:rPr>
                <w:szCs w:val="17"/>
              </w:rPr>
              <w:t>0 (0-2)</w:t>
            </w:r>
          </w:p>
        </w:tc>
        <w:tc>
          <w:tcPr>
            <w:tcW w:w="3117" w:type="dxa"/>
          </w:tcPr>
          <w:p w14:paraId="4887F998" w14:textId="69CC34CA" w:rsidR="00504E2B" w:rsidRPr="00504E2B" w:rsidRDefault="00504E2B" w:rsidP="00504E2B">
            <w:r w:rsidRPr="00504E2B">
              <w:rPr>
                <w:szCs w:val="17"/>
              </w:rPr>
              <w:t>0(0-2)</w:t>
            </w:r>
          </w:p>
        </w:tc>
      </w:tr>
    </w:tbl>
    <w:p w14:paraId="1D48A419" w14:textId="78832898" w:rsidR="00504E2B" w:rsidRPr="00504E2B" w:rsidRDefault="00504E2B" w:rsidP="00504E2B">
      <w:pPr>
        <w:spacing w:line="240" w:lineRule="auto"/>
        <w:rPr>
          <w:rFonts w:eastAsia="Times New Roman" w:cs="Arial"/>
        </w:rPr>
      </w:pPr>
      <w:r w:rsidRPr="00504E2B">
        <w:rPr>
          <w:rFonts w:eastAsia="Times New Roman" w:cs="Arial"/>
          <w:color w:val="000000"/>
          <w:lang w:val="en-US"/>
        </w:rPr>
        <w:t xml:space="preserve">RBC = red blood cell concentrates </w:t>
      </w:r>
      <w:r w:rsidRPr="00504E2B">
        <w:rPr>
          <w:rFonts w:eastAsia="Times New Roman" w:cs="Arial"/>
          <w:color w:val="000000"/>
          <w:lang w:eastAsia="bg-BG"/>
        </w:rPr>
        <w:t>(еритроцити концентрати)</w:t>
      </w:r>
      <w:proofErr w:type="gramStart"/>
      <w:r w:rsidRPr="00504E2B">
        <w:rPr>
          <w:rFonts w:eastAsia="Times New Roman" w:cs="Arial"/>
          <w:color w:val="000000"/>
          <w:lang w:eastAsia="bg-BG"/>
        </w:rPr>
        <w:t>;</w:t>
      </w:r>
      <w:proofErr w:type="gramEnd"/>
      <w:r w:rsidRPr="00504E2B">
        <w:rPr>
          <w:rFonts w:eastAsia="Times New Roman" w:cs="Arial"/>
          <w:color w:val="000000"/>
          <w:lang w:eastAsia="bg-BG"/>
        </w:rPr>
        <w:t xml:space="preserve"> </w:t>
      </w:r>
      <w:r w:rsidRPr="00504E2B">
        <w:rPr>
          <w:rFonts w:eastAsia="Times New Roman" w:cs="Arial"/>
          <w:color w:val="000000"/>
          <w:lang w:val="en-US"/>
        </w:rPr>
        <w:t xml:space="preserve">PP = per protocol </w:t>
      </w:r>
      <w:r w:rsidRPr="00504E2B">
        <w:rPr>
          <w:rFonts w:eastAsia="Times New Roman" w:cs="Arial"/>
          <w:color w:val="000000"/>
          <w:lang w:eastAsia="bg-BG"/>
        </w:rPr>
        <w:t>(по протокол).</w:t>
      </w:r>
    </w:p>
    <w:p w14:paraId="06CC1433"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*няма трансфузия на други алогенни кръвни продукти, като прясио замразена плазма или тромбоцитни концентрати.</w:t>
      </w:r>
    </w:p>
    <w:p w14:paraId="781F7852" w14:textId="77777777" w:rsidR="00504E2B" w:rsidRPr="00504E2B" w:rsidRDefault="00504E2B" w:rsidP="00504E2B">
      <w:pPr>
        <w:spacing w:line="240" w:lineRule="auto"/>
        <w:rPr>
          <w:rFonts w:eastAsia="Times New Roman" w:cs="Arial"/>
          <w:color w:val="000000"/>
          <w:u w:val="single"/>
          <w:lang w:eastAsia="bg-BG"/>
        </w:rPr>
      </w:pPr>
    </w:p>
    <w:p w14:paraId="5E2F9615" w14:textId="39F49C5D" w:rsidR="00504E2B" w:rsidRPr="00504E2B" w:rsidRDefault="00504E2B" w:rsidP="00504E2B">
      <w:pPr>
        <w:spacing w:line="240" w:lineRule="auto"/>
        <w:rPr>
          <w:rFonts w:eastAsia="Times New Roman" w:cs="Arial"/>
        </w:rPr>
      </w:pPr>
      <w:r w:rsidRPr="00504E2B">
        <w:rPr>
          <w:rFonts w:eastAsia="Times New Roman" w:cs="Arial"/>
          <w:color w:val="000000"/>
          <w:u w:val="single"/>
          <w:lang w:eastAsia="bg-BG"/>
        </w:rPr>
        <w:t>Педиатрична популация</w:t>
      </w:r>
    </w:p>
    <w:p w14:paraId="5EAE5305" w14:textId="1E1CA8FE" w:rsidR="00504E2B" w:rsidRDefault="00504E2B" w:rsidP="00504E2B">
      <w:pPr>
        <w:rPr>
          <w:rFonts w:eastAsia="Times New Roman" w:cs="Arial"/>
          <w:color w:val="000000"/>
          <w:lang w:eastAsia="bg-BG"/>
        </w:rPr>
      </w:pPr>
      <w:r w:rsidRPr="00504E2B">
        <w:rPr>
          <w:rFonts w:eastAsia="Times New Roman" w:cs="Arial"/>
          <w:color w:val="000000"/>
          <w:lang w:eastAsia="bg-BG"/>
        </w:rPr>
        <w:t xml:space="preserve">При вроден фибриногенен дефицит, Фибрига е приложен в две клинични проучвания </w:t>
      </w:r>
      <w:r w:rsidRPr="00504E2B">
        <w:rPr>
          <w:rFonts w:eastAsia="Times New Roman" w:cs="Arial"/>
          <w:color w:val="000000"/>
          <w:lang w:val="ru-RU"/>
        </w:rPr>
        <w:t>(</w:t>
      </w:r>
      <w:r w:rsidRPr="00504E2B">
        <w:rPr>
          <w:rFonts w:eastAsia="Times New Roman" w:cs="Arial"/>
          <w:color w:val="000000"/>
          <w:lang w:val="en-US"/>
        </w:rPr>
        <w:t>FORMA</w:t>
      </w:r>
      <w:r w:rsidRPr="00504E2B">
        <w:rPr>
          <w:rFonts w:eastAsia="Times New Roman" w:cs="Arial"/>
          <w:color w:val="000000"/>
          <w:lang w:val="ru-RU"/>
        </w:rPr>
        <w:t xml:space="preserve">- </w:t>
      </w:r>
      <w:r w:rsidRPr="00504E2B">
        <w:rPr>
          <w:rFonts w:eastAsia="Times New Roman" w:cs="Arial"/>
          <w:color w:val="000000"/>
          <w:lang w:eastAsia="bg-BG"/>
        </w:rPr>
        <w:t xml:space="preserve">02 и </w:t>
      </w:r>
      <w:r w:rsidRPr="00504E2B">
        <w:rPr>
          <w:rFonts w:eastAsia="Times New Roman" w:cs="Arial"/>
          <w:color w:val="000000"/>
          <w:lang w:val="en-US"/>
        </w:rPr>
        <w:t>FORMA</w:t>
      </w:r>
      <w:r w:rsidRPr="00504E2B">
        <w:rPr>
          <w:rFonts w:eastAsia="Times New Roman" w:cs="Arial"/>
          <w:color w:val="000000"/>
          <w:lang w:val="ru-RU"/>
        </w:rPr>
        <w:t xml:space="preserve">-04) </w:t>
      </w:r>
      <w:r w:rsidRPr="00504E2B">
        <w:rPr>
          <w:rFonts w:eastAsia="Times New Roman" w:cs="Arial"/>
          <w:color w:val="000000"/>
          <w:lang w:eastAsia="bg-BG"/>
        </w:rPr>
        <w:t>при 20 пациенти на възраст от 1 до &lt;18 години, от които 6 юноши на възраст от 12 до &lt;18 години, 8 деца на възраст от 6 до &lt;12 години и 6 деца на възраст от 1 до &lt;6 години. Хемостатичната ефикасност е оценена като успешна от независима комисия за оценка на резултатите при всички лекувани епизоди на кръвоизлив (10 епизода на кръвоизлив при юноши, 5 при деца на възраст от 6 до &lt;12 години и 5 при деца на възраст от 1 до &lt;6 години) и профилактиката също е оценена като успешна при 4-те хирургически процедури, извършени при тези пациенти (1 при юноши и 3 при деца на възраст от 1 до &lt;6 години).</w:t>
      </w:r>
    </w:p>
    <w:p w14:paraId="4C8BD198" w14:textId="77777777" w:rsidR="00504E2B" w:rsidRPr="00504E2B" w:rsidRDefault="00504E2B" w:rsidP="00504E2B">
      <w:pPr>
        <w:rPr>
          <w:rFonts w:cs="Arial"/>
        </w:rPr>
      </w:pPr>
    </w:p>
    <w:p w14:paraId="79643DB7" w14:textId="12BB4D77" w:rsidR="00DF4C8E" w:rsidRDefault="002C50EE" w:rsidP="00F44498">
      <w:pPr>
        <w:pStyle w:val="Heading2"/>
      </w:pPr>
      <w:r>
        <w:t>5.2. Фармакокинетични свойства</w:t>
      </w:r>
    </w:p>
    <w:p w14:paraId="36977CD6" w14:textId="6C9CF6D4" w:rsidR="00504E2B" w:rsidRDefault="00504E2B" w:rsidP="00504E2B"/>
    <w:p w14:paraId="2EA8A767" w14:textId="77777777" w:rsidR="00504E2B" w:rsidRPr="00504E2B" w:rsidRDefault="00504E2B" w:rsidP="00504E2B">
      <w:pPr>
        <w:spacing w:line="240" w:lineRule="auto"/>
        <w:rPr>
          <w:rFonts w:eastAsia="Times New Roman" w:cs="Arial"/>
          <w:sz w:val="28"/>
          <w:szCs w:val="24"/>
        </w:rPr>
      </w:pPr>
      <w:r w:rsidRPr="00504E2B">
        <w:rPr>
          <w:rFonts w:eastAsia="Times New Roman" w:cs="Arial"/>
          <w:color w:val="000000"/>
          <w:szCs w:val="20"/>
          <w:lang w:eastAsia="bg-BG"/>
        </w:rPr>
        <w:lastRenderedPageBreak/>
        <w:t xml:space="preserve">Човешкият фибриноген е естествена съставка на човешката плазма и действа като ендогенен фибриноген. В плазмата биологичният полуживот на фибриногена е 3-4 дни. Фибрига се прилага интравенозно и веднага е наличен с плазмена концентрация, съответстваща на приложената доза. В едно открито, проспективно, рандомизирано, контролирано, кръстосано проучване фаза 2 с две рамена при 22-ма пациенти с вроден фибриногенен дефицит (афибриногенемия), на възраст от 12 до 53 години (6 юноши, 16 възрастни) са сравнени фармакокинетичните свойства на Фибрига при приложение на единична доза с тези на друг наличен на пазара фибриногенен концентрат при същите пациенти </w:t>
      </w:r>
      <w:r w:rsidRPr="00504E2B">
        <w:rPr>
          <w:rFonts w:eastAsia="Times New Roman" w:cs="Arial"/>
          <w:color w:val="000000"/>
          <w:szCs w:val="20"/>
          <w:lang w:val="ru-RU"/>
        </w:rPr>
        <w:t>(</w:t>
      </w:r>
      <w:r w:rsidRPr="00504E2B">
        <w:rPr>
          <w:rFonts w:eastAsia="Times New Roman" w:cs="Arial"/>
          <w:color w:val="000000"/>
          <w:szCs w:val="20"/>
          <w:lang w:val="en-US"/>
        </w:rPr>
        <w:t>FORMA</w:t>
      </w:r>
      <w:r w:rsidRPr="00504E2B">
        <w:rPr>
          <w:rFonts w:eastAsia="Times New Roman" w:cs="Arial"/>
          <w:color w:val="000000"/>
          <w:szCs w:val="20"/>
          <w:lang w:val="ru-RU"/>
        </w:rPr>
        <w:t xml:space="preserve">-01). </w:t>
      </w:r>
      <w:r w:rsidRPr="00504E2B">
        <w:rPr>
          <w:rFonts w:eastAsia="Times New Roman" w:cs="Arial"/>
          <w:color w:val="000000"/>
          <w:szCs w:val="20"/>
          <w:lang w:eastAsia="bg-BG"/>
        </w:rPr>
        <w:t xml:space="preserve">Всеки пациент е получил единична интравенозна доза 70 </w:t>
      </w:r>
      <w:r w:rsidRPr="00504E2B">
        <w:rPr>
          <w:rFonts w:eastAsia="Times New Roman" w:cs="Arial"/>
          <w:color w:val="000000"/>
          <w:szCs w:val="20"/>
          <w:lang w:val="en-US"/>
        </w:rPr>
        <w:t>mg</w:t>
      </w:r>
      <w:r w:rsidRPr="00504E2B">
        <w:rPr>
          <w:rFonts w:eastAsia="Times New Roman" w:cs="Arial"/>
          <w:color w:val="000000"/>
          <w:szCs w:val="20"/>
          <w:lang w:val="ru-RU"/>
        </w:rPr>
        <w:t>/</w:t>
      </w:r>
      <w:r w:rsidRPr="00504E2B">
        <w:rPr>
          <w:rFonts w:eastAsia="Times New Roman" w:cs="Arial"/>
          <w:color w:val="000000"/>
          <w:szCs w:val="20"/>
          <w:lang w:val="en-US"/>
        </w:rPr>
        <w:t>kg</w:t>
      </w:r>
      <w:r w:rsidRPr="00504E2B">
        <w:rPr>
          <w:rFonts w:eastAsia="Times New Roman" w:cs="Arial"/>
          <w:color w:val="000000"/>
          <w:szCs w:val="20"/>
          <w:lang w:val="ru-RU"/>
        </w:rPr>
        <w:t xml:space="preserve"> </w:t>
      </w:r>
      <w:r w:rsidRPr="00504E2B">
        <w:rPr>
          <w:rFonts w:eastAsia="Times New Roman" w:cs="Arial"/>
          <w:color w:val="000000"/>
          <w:szCs w:val="20"/>
          <w:lang w:eastAsia="bg-BG"/>
        </w:rPr>
        <w:t>от Фибрига и компараторния продукт. Изтеглени са кръвни проби, за да се определи активността на фибриногена на изходно ниво и до 14 дни след инфузията. Фармакокинетичните параметри на Фибрига при анализа по протокол (РР) (</w:t>
      </w:r>
      <w:r w:rsidRPr="00504E2B">
        <w:rPr>
          <w:rFonts w:eastAsia="Times New Roman" w:cs="Arial"/>
          <w:color w:val="000000"/>
          <w:szCs w:val="20"/>
          <w:lang w:val="en-US"/>
        </w:rPr>
        <w:t>n</w:t>
      </w:r>
      <w:r w:rsidRPr="00504E2B">
        <w:rPr>
          <w:rFonts w:eastAsia="Times New Roman" w:cs="Arial"/>
          <w:color w:val="000000"/>
          <w:szCs w:val="20"/>
          <w:lang w:eastAsia="bg-BG"/>
        </w:rPr>
        <w:t>=21) са обобщени в таблицата по-долу.</w:t>
      </w:r>
    </w:p>
    <w:p w14:paraId="587C3782" w14:textId="77777777" w:rsidR="00504E2B" w:rsidRPr="00504E2B" w:rsidRDefault="00504E2B" w:rsidP="00504E2B">
      <w:pPr>
        <w:spacing w:line="240" w:lineRule="auto"/>
        <w:rPr>
          <w:rFonts w:eastAsia="Times New Roman" w:cs="Arial"/>
          <w:b/>
          <w:bCs/>
          <w:color w:val="000000"/>
          <w:szCs w:val="20"/>
          <w:lang w:eastAsia="bg-BG"/>
        </w:rPr>
      </w:pPr>
    </w:p>
    <w:p w14:paraId="172AD9A9" w14:textId="2AF48C56" w:rsidR="00504E2B" w:rsidRDefault="00504E2B" w:rsidP="00504E2B">
      <w:pPr>
        <w:spacing w:line="240" w:lineRule="auto"/>
        <w:rPr>
          <w:rFonts w:eastAsia="Times New Roman" w:cs="Arial"/>
          <w:b/>
          <w:bCs/>
          <w:color w:val="000000"/>
          <w:szCs w:val="20"/>
          <w:lang w:eastAsia="bg-BG"/>
        </w:rPr>
      </w:pPr>
      <w:r w:rsidRPr="00504E2B">
        <w:rPr>
          <w:rFonts w:eastAsia="Times New Roman" w:cs="Arial"/>
          <w:b/>
          <w:bCs/>
          <w:color w:val="000000"/>
          <w:szCs w:val="20"/>
          <w:lang w:eastAsia="bg-BG"/>
        </w:rPr>
        <w:t>Таблица 3: Фармакокинетични параметри (</w:t>
      </w:r>
      <w:r w:rsidRPr="00504E2B">
        <w:rPr>
          <w:rFonts w:eastAsia="Times New Roman" w:cs="Arial"/>
          <w:b/>
          <w:bCs/>
          <w:color w:val="000000"/>
          <w:szCs w:val="20"/>
          <w:lang w:val="en-US"/>
        </w:rPr>
        <w:t>n</w:t>
      </w:r>
      <w:r w:rsidRPr="00504E2B">
        <w:rPr>
          <w:rFonts w:eastAsia="Times New Roman" w:cs="Arial"/>
          <w:b/>
          <w:bCs/>
          <w:color w:val="000000"/>
          <w:szCs w:val="20"/>
          <w:lang w:eastAsia="bg-BG"/>
        </w:rPr>
        <w:t>=21) за активността на фибриногена (РР попуплация*)</w:t>
      </w:r>
    </w:p>
    <w:tbl>
      <w:tblPr>
        <w:tblStyle w:val="TableGrid"/>
        <w:tblW w:w="0" w:type="auto"/>
        <w:tblLook w:val="04A0" w:firstRow="1" w:lastRow="0" w:firstColumn="1" w:lastColumn="0" w:noHBand="0" w:noVBand="1"/>
      </w:tblPr>
      <w:tblGrid>
        <w:gridCol w:w="3116"/>
        <w:gridCol w:w="3117"/>
        <w:gridCol w:w="3117"/>
      </w:tblGrid>
      <w:tr w:rsidR="00504E2B" w14:paraId="2BD34769" w14:textId="77777777" w:rsidTr="00504E2B">
        <w:tc>
          <w:tcPr>
            <w:tcW w:w="3116" w:type="dxa"/>
          </w:tcPr>
          <w:p w14:paraId="192723FC" w14:textId="7C7CB017" w:rsidR="00504E2B" w:rsidRPr="00504E2B" w:rsidRDefault="00504E2B" w:rsidP="00504E2B">
            <w:pPr>
              <w:spacing w:line="240" w:lineRule="auto"/>
              <w:rPr>
                <w:rFonts w:eastAsia="Times New Roman" w:cs="Arial"/>
              </w:rPr>
            </w:pPr>
            <w:r w:rsidRPr="00504E2B">
              <w:rPr>
                <w:b/>
                <w:bCs/>
              </w:rPr>
              <w:t>Параметър</w:t>
            </w:r>
          </w:p>
        </w:tc>
        <w:tc>
          <w:tcPr>
            <w:tcW w:w="3117" w:type="dxa"/>
          </w:tcPr>
          <w:p w14:paraId="0D9C42B5" w14:textId="567C5213" w:rsidR="00504E2B" w:rsidRPr="00504E2B" w:rsidRDefault="00504E2B" w:rsidP="00504E2B">
            <w:pPr>
              <w:spacing w:line="240" w:lineRule="auto"/>
              <w:rPr>
                <w:rFonts w:eastAsia="Times New Roman" w:cs="Arial"/>
              </w:rPr>
            </w:pPr>
            <w:r w:rsidRPr="00504E2B">
              <w:rPr>
                <w:b/>
                <w:bCs/>
              </w:rPr>
              <w:t xml:space="preserve">Средна стойност ± </w:t>
            </w:r>
            <w:r w:rsidRPr="00504E2B">
              <w:rPr>
                <w:b/>
                <w:bCs/>
                <w:lang w:val="en-US"/>
              </w:rPr>
              <w:t>SD</w:t>
            </w:r>
          </w:p>
        </w:tc>
        <w:tc>
          <w:tcPr>
            <w:tcW w:w="3117" w:type="dxa"/>
          </w:tcPr>
          <w:p w14:paraId="3EB7CA28" w14:textId="7A657625" w:rsidR="00504E2B" w:rsidRPr="00504E2B" w:rsidRDefault="00504E2B" w:rsidP="00504E2B">
            <w:pPr>
              <w:spacing w:line="240" w:lineRule="auto"/>
              <w:rPr>
                <w:rFonts w:eastAsia="Times New Roman" w:cs="Arial"/>
              </w:rPr>
            </w:pPr>
            <w:r w:rsidRPr="00504E2B">
              <w:rPr>
                <w:b/>
                <w:bCs/>
              </w:rPr>
              <w:t>Диапазон</w:t>
            </w:r>
          </w:p>
        </w:tc>
      </w:tr>
      <w:tr w:rsidR="00504E2B" w14:paraId="48F59176" w14:textId="77777777" w:rsidTr="00504E2B">
        <w:tc>
          <w:tcPr>
            <w:tcW w:w="3116" w:type="dxa"/>
          </w:tcPr>
          <w:p w14:paraId="636749AE" w14:textId="21726214" w:rsidR="00504E2B" w:rsidRPr="00504E2B" w:rsidRDefault="00504E2B" w:rsidP="00504E2B">
            <w:pPr>
              <w:spacing w:line="240" w:lineRule="auto"/>
              <w:rPr>
                <w:rFonts w:eastAsia="Times New Roman" w:cs="Arial"/>
              </w:rPr>
            </w:pPr>
            <w:r w:rsidRPr="00504E2B">
              <w:t xml:space="preserve">Полуживот </w:t>
            </w:r>
            <w:r w:rsidRPr="00504E2B">
              <w:rPr>
                <w:lang w:val="en-US"/>
              </w:rPr>
              <w:t>[h]</w:t>
            </w:r>
          </w:p>
        </w:tc>
        <w:tc>
          <w:tcPr>
            <w:tcW w:w="3117" w:type="dxa"/>
          </w:tcPr>
          <w:p w14:paraId="0C827D71" w14:textId="3C295DD3" w:rsidR="00504E2B" w:rsidRPr="00504E2B" w:rsidRDefault="00504E2B" w:rsidP="00504E2B">
            <w:pPr>
              <w:spacing w:line="240" w:lineRule="auto"/>
              <w:rPr>
                <w:rFonts w:eastAsia="Times New Roman" w:cs="Arial"/>
              </w:rPr>
            </w:pPr>
            <w:r w:rsidRPr="00504E2B">
              <w:t>75,9 ±23,8</w:t>
            </w:r>
          </w:p>
        </w:tc>
        <w:tc>
          <w:tcPr>
            <w:tcW w:w="3117" w:type="dxa"/>
          </w:tcPr>
          <w:p w14:paraId="05131ABE" w14:textId="1A014936" w:rsidR="00504E2B" w:rsidRPr="00504E2B" w:rsidRDefault="00504E2B" w:rsidP="00504E2B">
            <w:pPr>
              <w:spacing w:line="240" w:lineRule="auto"/>
              <w:rPr>
                <w:rFonts w:eastAsia="Times New Roman" w:cs="Arial"/>
              </w:rPr>
            </w:pPr>
            <w:r w:rsidRPr="00504E2B">
              <w:t>40,0-157,0</w:t>
            </w:r>
          </w:p>
        </w:tc>
      </w:tr>
      <w:tr w:rsidR="00504E2B" w14:paraId="124DD2FF" w14:textId="77777777" w:rsidTr="00504E2B">
        <w:tc>
          <w:tcPr>
            <w:tcW w:w="3116" w:type="dxa"/>
          </w:tcPr>
          <w:p w14:paraId="0FDA3CAE" w14:textId="3E626320" w:rsidR="00504E2B" w:rsidRPr="00504E2B" w:rsidRDefault="00504E2B" w:rsidP="00504E2B">
            <w:pPr>
              <w:spacing w:line="240" w:lineRule="auto"/>
              <w:rPr>
                <w:rFonts w:eastAsia="Times New Roman" w:cs="Arial"/>
              </w:rPr>
            </w:pPr>
            <w:proofErr w:type="spellStart"/>
            <w:r w:rsidRPr="00504E2B">
              <w:rPr>
                <w:lang w:val="en-US"/>
              </w:rPr>
              <w:t>Cmax</w:t>
            </w:r>
            <w:proofErr w:type="spellEnd"/>
            <w:r w:rsidRPr="00504E2B">
              <w:rPr>
                <w:lang w:val="en-US"/>
              </w:rPr>
              <w:t xml:space="preserve"> [mg/dl]</w:t>
            </w:r>
          </w:p>
        </w:tc>
        <w:tc>
          <w:tcPr>
            <w:tcW w:w="3117" w:type="dxa"/>
          </w:tcPr>
          <w:p w14:paraId="42568666" w14:textId="5F81998A" w:rsidR="00504E2B" w:rsidRPr="00504E2B" w:rsidRDefault="00504E2B" w:rsidP="00504E2B">
            <w:pPr>
              <w:spacing w:line="240" w:lineRule="auto"/>
              <w:rPr>
                <w:rFonts w:eastAsia="Times New Roman" w:cs="Arial"/>
              </w:rPr>
            </w:pPr>
            <w:r w:rsidRPr="00504E2B">
              <w:t>139,0 ±36,9</w:t>
            </w:r>
          </w:p>
        </w:tc>
        <w:tc>
          <w:tcPr>
            <w:tcW w:w="3117" w:type="dxa"/>
          </w:tcPr>
          <w:p w14:paraId="0C6ED0D2" w14:textId="09EC37F3" w:rsidR="00504E2B" w:rsidRPr="00504E2B" w:rsidRDefault="00504E2B" w:rsidP="00504E2B">
            <w:pPr>
              <w:spacing w:line="240" w:lineRule="auto"/>
              <w:rPr>
                <w:rFonts w:eastAsia="Times New Roman" w:cs="Arial"/>
              </w:rPr>
            </w:pPr>
            <w:r w:rsidRPr="00504E2B">
              <w:t>83,0-216,0</w:t>
            </w:r>
          </w:p>
        </w:tc>
      </w:tr>
      <w:tr w:rsidR="00504E2B" w14:paraId="199B421B" w14:textId="77777777" w:rsidTr="00504E2B">
        <w:tc>
          <w:tcPr>
            <w:tcW w:w="3116" w:type="dxa"/>
          </w:tcPr>
          <w:p w14:paraId="4EA437C9" w14:textId="462B1F92" w:rsidR="00504E2B" w:rsidRPr="00504E2B" w:rsidRDefault="00504E2B" w:rsidP="00504E2B">
            <w:pPr>
              <w:spacing w:line="240" w:lineRule="auto"/>
              <w:rPr>
                <w:rFonts w:eastAsia="Times New Roman" w:cs="Arial"/>
              </w:rPr>
            </w:pPr>
            <w:proofErr w:type="spellStart"/>
            <w:r w:rsidRPr="00504E2B">
              <w:rPr>
                <w:lang w:val="en-US"/>
              </w:rPr>
              <w:t>AUCnorm</w:t>
            </w:r>
            <w:proofErr w:type="spellEnd"/>
            <w:r w:rsidRPr="00504E2B">
              <w:t xml:space="preserve"> при доза 70 </w:t>
            </w:r>
            <w:r w:rsidRPr="00504E2B">
              <w:rPr>
                <w:lang w:val="en-US"/>
              </w:rPr>
              <w:t>mg</w:t>
            </w:r>
            <w:r w:rsidRPr="00504E2B">
              <w:t>/</w:t>
            </w:r>
            <w:r w:rsidRPr="00504E2B">
              <w:rPr>
                <w:lang w:val="en-US"/>
              </w:rPr>
              <w:t>kg</w:t>
            </w:r>
            <w:r w:rsidRPr="00504E2B">
              <w:t xml:space="preserve"> [</w:t>
            </w:r>
            <w:r w:rsidRPr="00504E2B">
              <w:rPr>
                <w:lang w:val="en-US"/>
              </w:rPr>
              <w:t>mg</w:t>
            </w:r>
            <w:r w:rsidRPr="00504E2B">
              <w:t>*</w:t>
            </w:r>
            <w:r w:rsidRPr="00504E2B">
              <w:rPr>
                <w:lang w:val="en-US"/>
              </w:rPr>
              <w:t>h</w:t>
            </w:r>
            <w:r w:rsidRPr="00504E2B">
              <w:t>/</w:t>
            </w:r>
            <w:r w:rsidRPr="00504E2B">
              <w:rPr>
                <w:lang w:val="en-US"/>
              </w:rPr>
              <w:t>ml</w:t>
            </w:r>
            <w:r w:rsidRPr="00504E2B">
              <w:t>]</w:t>
            </w:r>
          </w:p>
        </w:tc>
        <w:tc>
          <w:tcPr>
            <w:tcW w:w="3117" w:type="dxa"/>
          </w:tcPr>
          <w:p w14:paraId="0CFCE7E0" w14:textId="7F670A03" w:rsidR="00504E2B" w:rsidRPr="00504E2B" w:rsidRDefault="00504E2B" w:rsidP="00504E2B">
            <w:pPr>
              <w:spacing w:line="240" w:lineRule="auto"/>
              <w:rPr>
                <w:rFonts w:eastAsia="Times New Roman" w:cs="Arial"/>
              </w:rPr>
            </w:pPr>
            <w:r w:rsidRPr="00504E2B">
              <w:t>113,7 ±31,5</w:t>
            </w:r>
          </w:p>
        </w:tc>
        <w:tc>
          <w:tcPr>
            <w:tcW w:w="3117" w:type="dxa"/>
          </w:tcPr>
          <w:p w14:paraId="5D582549" w14:textId="2EF81D76" w:rsidR="00504E2B" w:rsidRPr="00504E2B" w:rsidRDefault="00504E2B" w:rsidP="00504E2B">
            <w:pPr>
              <w:spacing w:line="240" w:lineRule="auto"/>
              <w:rPr>
                <w:rFonts w:eastAsia="Times New Roman" w:cs="Arial"/>
              </w:rPr>
            </w:pPr>
            <w:r w:rsidRPr="00504E2B">
              <w:t>59,7-175,5</w:t>
            </w:r>
          </w:p>
        </w:tc>
      </w:tr>
      <w:tr w:rsidR="00504E2B" w14:paraId="0B005FE4" w14:textId="77777777" w:rsidTr="00504E2B">
        <w:tc>
          <w:tcPr>
            <w:tcW w:w="3116" w:type="dxa"/>
          </w:tcPr>
          <w:p w14:paraId="7443BE74" w14:textId="7F8F01D1" w:rsidR="00504E2B" w:rsidRPr="00504E2B" w:rsidRDefault="00504E2B" w:rsidP="00504E2B">
            <w:pPr>
              <w:spacing w:line="240" w:lineRule="auto"/>
              <w:rPr>
                <w:rFonts w:eastAsia="Times New Roman" w:cs="Arial"/>
              </w:rPr>
            </w:pPr>
            <w:r w:rsidRPr="00504E2B">
              <w:t xml:space="preserve">Клирънс </w:t>
            </w:r>
            <w:r w:rsidRPr="00504E2B">
              <w:rPr>
                <w:lang w:val="en-US"/>
              </w:rPr>
              <w:t>[ml/h/</w:t>
            </w:r>
            <w:proofErr w:type="spellStart"/>
            <w:r w:rsidRPr="00504E2B">
              <w:rPr>
                <w:lang w:val="en-US"/>
              </w:rPr>
              <w:t>kgl</w:t>
            </w:r>
            <w:proofErr w:type="spellEnd"/>
          </w:p>
        </w:tc>
        <w:tc>
          <w:tcPr>
            <w:tcW w:w="3117" w:type="dxa"/>
          </w:tcPr>
          <w:p w14:paraId="65EE4E44" w14:textId="2C45B9D8" w:rsidR="00504E2B" w:rsidRPr="00504E2B" w:rsidRDefault="00504E2B" w:rsidP="00504E2B">
            <w:pPr>
              <w:spacing w:line="240" w:lineRule="auto"/>
              <w:rPr>
                <w:rFonts w:eastAsia="Times New Roman" w:cs="Arial"/>
              </w:rPr>
            </w:pPr>
            <w:r w:rsidRPr="00504E2B">
              <w:t>0,67 ± 0,2</w:t>
            </w:r>
          </w:p>
        </w:tc>
        <w:tc>
          <w:tcPr>
            <w:tcW w:w="3117" w:type="dxa"/>
          </w:tcPr>
          <w:p w14:paraId="023D76BA" w14:textId="09F76452" w:rsidR="00504E2B" w:rsidRPr="00504E2B" w:rsidRDefault="00504E2B" w:rsidP="00504E2B">
            <w:pPr>
              <w:spacing w:line="240" w:lineRule="auto"/>
              <w:rPr>
                <w:rFonts w:eastAsia="Times New Roman" w:cs="Arial"/>
              </w:rPr>
            </w:pPr>
            <w:r w:rsidRPr="00504E2B">
              <w:t>0,4-1,2</w:t>
            </w:r>
          </w:p>
        </w:tc>
      </w:tr>
      <w:tr w:rsidR="00504E2B" w14:paraId="53745136" w14:textId="77777777" w:rsidTr="00504E2B">
        <w:tc>
          <w:tcPr>
            <w:tcW w:w="3116" w:type="dxa"/>
          </w:tcPr>
          <w:p w14:paraId="286B68A7" w14:textId="72D050E3" w:rsidR="00504E2B" w:rsidRPr="00504E2B" w:rsidRDefault="00504E2B" w:rsidP="00504E2B">
            <w:pPr>
              <w:spacing w:line="240" w:lineRule="auto"/>
              <w:rPr>
                <w:rFonts w:eastAsia="Times New Roman" w:cs="Arial"/>
              </w:rPr>
            </w:pPr>
            <w:r w:rsidRPr="00504E2B">
              <w:t xml:space="preserve">Средно време на престой </w:t>
            </w:r>
            <w:r w:rsidRPr="00504E2B">
              <w:rPr>
                <w:lang w:val="ru-RU"/>
              </w:rPr>
              <w:t>[</w:t>
            </w:r>
            <w:r w:rsidRPr="00504E2B">
              <w:rPr>
                <w:lang w:val="en-US"/>
              </w:rPr>
              <w:t>h</w:t>
            </w:r>
            <w:r w:rsidRPr="00504E2B">
              <w:rPr>
                <w:lang w:val="ru-RU"/>
              </w:rPr>
              <w:t>]</w:t>
            </w:r>
          </w:p>
        </w:tc>
        <w:tc>
          <w:tcPr>
            <w:tcW w:w="3117" w:type="dxa"/>
          </w:tcPr>
          <w:p w14:paraId="3B9A8954" w14:textId="3CBC1006" w:rsidR="00504E2B" w:rsidRPr="00504E2B" w:rsidRDefault="00504E2B" w:rsidP="00504E2B">
            <w:pPr>
              <w:spacing w:line="240" w:lineRule="auto"/>
              <w:rPr>
                <w:rFonts w:eastAsia="Times New Roman" w:cs="Arial"/>
              </w:rPr>
            </w:pPr>
            <w:r w:rsidRPr="00504E2B">
              <w:t>106,3 ±30,9</w:t>
            </w:r>
          </w:p>
        </w:tc>
        <w:tc>
          <w:tcPr>
            <w:tcW w:w="3117" w:type="dxa"/>
          </w:tcPr>
          <w:p w14:paraId="32932EBA" w14:textId="15BF7DE4" w:rsidR="00504E2B" w:rsidRPr="00504E2B" w:rsidRDefault="00504E2B" w:rsidP="00504E2B">
            <w:pPr>
              <w:spacing w:line="240" w:lineRule="auto"/>
              <w:rPr>
                <w:rFonts w:eastAsia="Times New Roman" w:cs="Arial"/>
              </w:rPr>
            </w:pPr>
            <w:r w:rsidRPr="00504E2B">
              <w:t>58,7-205,5</w:t>
            </w:r>
          </w:p>
        </w:tc>
      </w:tr>
      <w:tr w:rsidR="00504E2B" w14:paraId="25A378B8" w14:textId="77777777" w:rsidTr="00504E2B">
        <w:tc>
          <w:tcPr>
            <w:tcW w:w="3116" w:type="dxa"/>
          </w:tcPr>
          <w:p w14:paraId="305C74F0" w14:textId="6E4D40C8" w:rsidR="00504E2B" w:rsidRPr="00504E2B" w:rsidRDefault="00504E2B" w:rsidP="00504E2B">
            <w:pPr>
              <w:spacing w:line="240" w:lineRule="auto"/>
              <w:rPr>
                <w:rFonts w:eastAsia="Times New Roman" w:cs="Arial"/>
              </w:rPr>
            </w:pPr>
            <w:r w:rsidRPr="00504E2B">
              <w:t xml:space="preserve">Обем на разпределение в стационарно състояние </w:t>
            </w:r>
            <w:r w:rsidRPr="00504E2B">
              <w:rPr>
                <w:lang w:val="ru-RU"/>
              </w:rPr>
              <w:t>[</w:t>
            </w:r>
            <w:r w:rsidRPr="00504E2B">
              <w:rPr>
                <w:lang w:val="en-US"/>
              </w:rPr>
              <w:t>ml</w:t>
            </w:r>
            <w:r w:rsidRPr="00504E2B">
              <w:rPr>
                <w:lang w:val="ru-RU"/>
              </w:rPr>
              <w:t>/</w:t>
            </w:r>
            <w:r w:rsidRPr="00504E2B">
              <w:rPr>
                <w:lang w:val="en-US"/>
              </w:rPr>
              <w:t>kg</w:t>
            </w:r>
            <w:r w:rsidRPr="00504E2B">
              <w:rPr>
                <w:lang w:val="ru-RU"/>
              </w:rPr>
              <w:t>]</w:t>
            </w:r>
          </w:p>
        </w:tc>
        <w:tc>
          <w:tcPr>
            <w:tcW w:w="3117" w:type="dxa"/>
          </w:tcPr>
          <w:p w14:paraId="65FED960" w14:textId="24BB3843" w:rsidR="00504E2B" w:rsidRPr="00504E2B" w:rsidRDefault="00504E2B" w:rsidP="00504E2B">
            <w:pPr>
              <w:spacing w:line="240" w:lineRule="auto"/>
              <w:rPr>
                <w:rFonts w:eastAsia="Times New Roman" w:cs="Arial"/>
              </w:rPr>
            </w:pPr>
            <w:r w:rsidRPr="00504E2B">
              <w:t>70,2 ± 29,9</w:t>
            </w:r>
          </w:p>
        </w:tc>
        <w:tc>
          <w:tcPr>
            <w:tcW w:w="3117" w:type="dxa"/>
          </w:tcPr>
          <w:p w14:paraId="7CE62EEF" w14:textId="3D6A22B4" w:rsidR="00504E2B" w:rsidRPr="00504E2B" w:rsidRDefault="00504E2B" w:rsidP="00504E2B">
            <w:pPr>
              <w:spacing w:line="240" w:lineRule="auto"/>
              <w:rPr>
                <w:rFonts w:eastAsia="Times New Roman" w:cs="Arial"/>
              </w:rPr>
            </w:pPr>
            <w:r w:rsidRPr="00504E2B">
              <w:rPr>
                <w:rFonts w:cs="Arial"/>
                <w:b/>
                <w:bCs/>
                <w:lang w:val="en-US"/>
              </w:rPr>
              <w:t>36,9-149,1</w:t>
            </w:r>
          </w:p>
        </w:tc>
      </w:tr>
    </w:tbl>
    <w:p w14:paraId="2116CF4F"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*Един пациет е изключен от РР популацията, защото е получил &lt;90% от планираната доза</w:t>
      </w:r>
      <w:r w:rsidRPr="00504E2B">
        <w:rPr>
          <w:rFonts w:eastAsia="Times New Roman" w:cs="Arial"/>
          <w:color w:val="000000"/>
          <w:lang w:val="ru-RU"/>
        </w:rPr>
        <w:t xml:space="preserve"> </w:t>
      </w:r>
      <w:proofErr w:type="spellStart"/>
      <w:r w:rsidRPr="00504E2B">
        <w:rPr>
          <w:rFonts w:eastAsia="Times New Roman" w:cs="Arial"/>
          <w:color w:val="000000"/>
          <w:lang w:val="en-US"/>
        </w:rPr>
        <w:t>na</w:t>
      </w:r>
      <w:proofErr w:type="spellEnd"/>
      <w:r w:rsidRPr="00504E2B">
        <w:rPr>
          <w:rFonts w:eastAsia="Times New Roman" w:cs="Arial"/>
          <w:color w:val="000000"/>
          <w:lang w:val="ru-RU"/>
        </w:rPr>
        <w:t xml:space="preserve"> </w:t>
      </w:r>
      <w:r w:rsidRPr="00504E2B">
        <w:rPr>
          <w:rFonts w:eastAsia="Times New Roman" w:cs="Arial"/>
          <w:color w:val="000000"/>
          <w:lang w:val="en-US"/>
        </w:rPr>
        <w:t>FIBRYGA</w:t>
      </w:r>
      <w:r w:rsidRPr="00504E2B">
        <w:rPr>
          <w:rFonts w:eastAsia="Times New Roman" w:cs="Arial"/>
          <w:color w:val="000000"/>
          <w:lang w:val="ru-RU"/>
        </w:rPr>
        <w:t xml:space="preserve"> </w:t>
      </w:r>
      <w:r w:rsidRPr="00504E2B">
        <w:rPr>
          <w:rFonts w:eastAsia="Times New Roman" w:cs="Arial"/>
          <w:color w:val="000000"/>
          <w:lang w:eastAsia="bg-BG"/>
        </w:rPr>
        <w:t>и компараторния продукт</w:t>
      </w:r>
    </w:p>
    <w:p w14:paraId="031BBC34"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С</w:t>
      </w:r>
      <w:r w:rsidRPr="00504E2B">
        <w:rPr>
          <w:rFonts w:eastAsia="Times New Roman" w:cs="Arial"/>
          <w:color w:val="000000"/>
          <w:lang w:val="en-US"/>
        </w:rPr>
        <w:t>max</w:t>
      </w:r>
      <w:r w:rsidRPr="00504E2B">
        <w:rPr>
          <w:rFonts w:eastAsia="Times New Roman" w:cs="Arial"/>
          <w:color w:val="000000"/>
          <w:lang w:eastAsia="bg-BG"/>
        </w:rPr>
        <w:t xml:space="preserve"> = максимална плазмена концентрация; </w:t>
      </w:r>
      <w:proofErr w:type="spellStart"/>
      <w:r w:rsidRPr="00504E2B">
        <w:rPr>
          <w:rFonts w:eastAsia="Times New Roman" w:cs="Arial"/>
          <w:color w:val="000000"/>
          <w:lang w:val="en-US"/>
        </w:rPr>
        <w:t>AUCnorm</w:t>
      </w:r>
      <w:proofErr w:type="spellEnd"/>
      <w:r w:rsidRPr="00504E2B">
        <w:rPr>
          <w:rFonts w:eastAsia="Times New Roman" w:cs="Arial"/>
          <w:color w:val="000000"/>
          <w:lang w:val="ru-RU"/>
        </w:rPr>
        <w:t xml:space="preserve"> </w:t>
      </w:r>
      <w:r w:rsidRPr="00504E2B">
        <w:rPr>
          <w:rFonts w:eastAsia="Times New Roman" w:cs="Arial"/>
          <w:color w:val="000000"/>
          <w:lang w:eastAsia="bg-BG"/>
        </w:rPr>
        <w:t>= площ под кривата, нормализирана спрямо приложената доза;</w:t>
      </w:r>
      <w:r w:rsidRPr="00504E2B">
        <w:rPr>
          <w:rFonts w:eastAsia="Times New Roman" w:cs="Arial"/>
          <w:color w:val="000000"/>
          <w:lang w:val="ru-RU"/>
        </w:rPr>
        <w:t xml:space="preserve"> </w:t>
      </w:r>
      <w:r w:rsidRPr="00504E2B">
        <w:rPr>
          <w:rFonts w:eastAsia="Times New Roman" w:cs="Arial"/>
          <w:color w:val="000000"/>
          <w:lang w:val="en-US"/>
        </w:rPr>
        <w:t>SD</w:t>
      </w:r>
      <w:r w:rsidRPr="00504E2B">
        <w:rPr>
          <w:rFonts w:eastAsia="Times New Roman" w:cs="Arial"/>
          <w:color w:val="000000"/>
          <w:lang w:val="ru-RU"/>
        </w:rPr>
        <w:t xml:space="preserve"> </w:t>
      </w:r>
      <w:r w:rsidRPr="00504E2B">
        <w:rPr>
          <w:rFonts w:eastAsia="Times New Roman" w:cs="Arial"/>
          <w:color w:val="000000"/>
          <w:lang w:eastAsia="bg-BG"/>
        </w:rPr>
        <w:t>= стандартно отклонение</w:t>
      </w:r>
    </w:p>
    <w:p w14:paraId="02B88A1A" w14:textId="5A0FDAB3" w:rsidR="00504E2B" w:rsidRPr="00504E2B" w:rsidRDefault="00504E2B" w:rsidP="00504E2B">
      <w:pPr>
        <w:spacing w:line="240" w:lineRule="auto"/>
        <w:rPr>
          <w:rFonts w:eastAsia="Times New Roman" w:cs="Arial"/>
        </w:rPr>
      </w:pPr>
    </w:p>
    <w:p w14:paraId="7A3886A4"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 xml:space="preserve">Инкрементното възстановяване </w:t>
      </w:r>
      <w:r w:rsidRPr="00504E2B">
        <w:rPr>
          <w:rFonts w:eastAsia="Times New Roman" w:cs="Arial"/>
          <w:color w:val="000000"/>
          <w:lang w:val="en-US"/>
        </w:rPr>
        <w:t>in</w:t>
      </w:r>
      <w:r w:rsidRPr="00504E2B">
        <w:rPr>
          <w:rFonts w:eastAsia="Times New Roman" w:cs="Arial"/>
          <w:color w:val="000000"/>
          <w:lang w:val="ru-RU"/>
        </w:rPr>
        <w:t xml:space="preserve"> </w:t>
      </w:r>
      <w:r w:rsidRPr="00504E2B">
        <w:rPr>
          <w:rFonts w:eastAsia="Times New Roman" w:cs="Arial"/>
          <w:color w:val="000000"/>
          <w:lang w:val="en-US"/>
        </w:rPr>
        <w:t>vivo</w:t>
      </w:r>
      <w:r w:rsidRPr="00504E2B">
        <w:rPr>
          <w:rFonts w:eastAsia="Times New Roman" w:cs="Arial"/>
          <w:color w:val="000000"/>
          <w:lang w:val="ru-RU"/>
        </w:rPr>
        <w:t xml:space="preserve"> (</w:t>
      </w:r>
      <w:r w:rsidRPr="00504E2B">
        <w:rPr>
          <w:rFonts w:eastAsia="Times New Roman" w:cs="Arial"/>
          <w:color w:val="000000"/>
          <w:lang w:val="en-US"/>
        </w:rPr>
        <w:t>incremental</w:t>
      </w:r>
      <w:r w:rsidRPr="00504E2B">
        <w:rPr>
          <w:rFonts w:eastAsia="Times New Roman" w:cs="Arial"/>
          <w:color w:val="000000"/>
          <w:lang w:val="ru-RU"/>
        </w:rPr>
        <w:t xml:space="preserve"> </w:t>
      </w:r>
      <w:r w:rsidRPr="00504E2B">
        <w:rPr>
          <w:rFonts w:eastAsia="Times New Roman" w:cs="Arial"/>
          <w:color w:val="000000"/>
          <w:lang w:val="en-US"/>
        </w:rPr>
        <w:t>in</w:t>
      </w:r>
      <w:r w:rsidRPr="00504E2B">
        <w:rPr>
          <w:rFonts w:eastAsia="Times New Roman" w:cs="Arial"/>
          <w:color w:val="000000"/>
          <w:lang w:val="ru-RU"/>
        </w:rPr>
        <w:t xml:space="preserve"> </w:t>
      </w:r>
      <w:r w:rsidRPr="00504E2B">
        <w:rPr>
          <w:rFonts w:eastAsia="Times New Roman" w:cs="Arial"/>
          <w:color w:val="000000"/>
          <w:lang w:val="en-US"/>
        </w:rPr>
        <w:t>vivo</w:t>
      </w:r>
      <w:r w:rsidRPr="00504E2B">
        <w:rPr>
          <w:rFonts w:eastAsia="Times New Roman" w:cs="Arial"/>
          <w:color w:val="000000"/>
          <w:lang w:val="ru-RU"/>
        </w:rPr>
        <w:t xml:space="preserve"> </w:t>
      </w:r>
      <w:r w:rsidRPr="00504E2B">
        <w:rPr>
          <w:rFonts w:eastAsia="Times New Roman" w:cs="Arial"/>
          <w:color w:val="000000"/>
          <w:lang w:val="en-US"/>
        </w:rPr>
        <w:t>recovery</w:t>
      </w:r>
      <w:r w:rsidRPr="00504E2B">
        <w:rPr>
          <w:rFonts w:eastAsia="Times New Roman" w:cs="Arial"/>
          <w:color w:val="000000"/>
          <w:lang w:val="ru-RU"/>
        </w:rPr>
        <w:t xml:space="preserve">, </w:t>
      </w:r>
      <w:r w:rsidRPr="00504E2B">
        <w:rPr>
          <w:rFonts w:eastAsia="Times New Roman" w:cs="Arial"/>
          <w:color w:val="000000"/>
          <w:lang w:val="en-US"/>
        </w:rPr>
        <w:t>IVR</w:t>
      </w:r>
      <w:r w:rsidRPr="00504E2B">
        <w:rPr>
          <w:rFonts w:eastAsia="Times New Roman" w:cs="Arial"/>
          <w:color w:val="000000"/>
          <w:lang w:val="ru-RU"/>
        </w:rPr>
        <w:t xml:space="preserve">) </w:t>
      </w:r>
      <w:r w:rsidRPr="00504E2B">
        <w:rPr>
          <w:rFonts w:eastAsia="Times New Roman" w:cs="Arial"/>
          <w:color w:val="000000"/>
          <w:lang w:eastAsia="bg-BG"/>
        </w:rPr>
        <w:t xml:space="preserve">е определено от нивата, получени до 4 часа след инфузия. Медианата на </w:t>
      </w:r>
      <w:r w:rsidRPr="00504E2B">
        <w:rPr>
          <w:rFonts w:eastAsia="Times New Roman" w:cs="Arial"/>
          <w:color w:val="000000"/>
          <w:lang w:val="en-US"/>
        </w:rPr>
        <w:t>IVR</w:t>
      </w:r>
      <w:r w:rsidRPr="00504E2B">
        <w:rPr>
          <w:rFonts w:eastAsia="Times New Roman" w:cs="Arial"/>
          <w:color w:val="000000"/>
          <w:lang w:val="ru-RU"/>
        </w:rPr>
        <w:t xml:space="preserve"> </w:t>
      </w:r>
      <w:r w:rsidRPr="00504E2B">
        <w:rPr>
          <w:rFonts w:eastAsia="Times New Roman" w:cs="Arial"/>
          <w:color w:val="000000"/>
          <w:lang w:eastAsia="bg-BG"/>
        </w:rPr>
        <w:t xml:space="preserve">е увеличение с 1,8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dl</w:t>
      </w:r>
      <w:r w:rsidRPr="00504E2B">
        <w:rPr>
          <w:rFonts w:eastAsia="Times New Roman" w:cs="Arial"/>
          <w:color w:val="000000"/>
          <w:lang w:val="ru-RU"/>
        </w:rPr>
        <w:t xml:space="preserve"> </w:t>
      </w:r>
      <w:r w:rsidRPr="00504E2B">
        <w:rPr>
          <w:rFonts w:eastAsia="Times New Roman" w:cs="Arial"/>
          <w:color w:val="000000"/>
          <w:lang w:eastAsia="bg-BG"/>
        </w:rPr>
        <w:t xml:space="preserve">(диапазон 1,08- 2,62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dl</w:t>
      </w:r>
      <w:r w:rsidRPr="00504E2B">
        <w:rPr>
          <w:rFonts w:eastAsia="Times New Roman" w:cs="Arial"/>
          <w:color w:val="000000"/>
          <w:lang w:val="ru-RU"/>
        </w:rPr>
        <w:t xml:space="preserve">) </w:t>
      </w:r>
      <w:r w:rsidRPr="00504E2B">
        <w:rPr>
          <w:rFonts w:eastAsia="Times New Roman" w:cs="Arial"/>
          <w:color w:val="000000"/>
          <w:lang w:eastAsia="bg-BG"/>
        </w:rPr>
        <w:t xml:space="preserve">на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Медианата на </w:t>
      </w:r>
      <w:r w:rsidRPr="00504E2B">
        <w:rPr>
          <w:rFonts w:eastAsia="Times New Roman" w:cs="Arial"/>
          <w:color w:val="000000"/>
          <w:lang w:val="en-US"/>
        </w:rPr>
        <w:t>IVR</w:t>
      </w:r>
      <w:r w:rsidRPr="00504E2B">
        <w:rPr>
          <w:rFonts w:eastAsia="Times New Roman" w:cs="Arial"/>
          <w:color w:val="000000"/>
          <w:lang w:val="ru-RU"/>
        </w:rPr>
        <w:t xml:space="preserve"> </w:t>
      </w:r>
      <w:r w:rsidRPr="00504E2B">
        <w:rPr>
          <w:rFonts w:eastAsia="Times New Roman" w:cs="Arial"/>
          <w:color w:val="000000"/>
          <w:lang w:eastAsia="bg-BG"/>
        </w:rPr>
        <w:t xml:space="preserve">показва, че доза 70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повишава плазмената концентрация на фибриногена на пациента с приблизително 125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dl</w:t>
      </w:r>
      <w:r w:rsidRPr="00504E2B">
        <w:rPr>
          <w:rFonts w:eastAsia="Times New Roman" w:cs="Arial"/>
          <w:color w:val="000000"/>
          <w:lang w:val="ru-RU"/>
        </w:rPr>
        <w:t>.</w:t>
      </w:r>
    </w:p>
    <w:p w14:paraId="0A709748" w14:textId="77777777" w:rsidR="00504E2B" w:rsidRPr="00504E2B" w:rsidRDefault="00504E2B" w:rsidP="00504E2B">
      <w:pPr>
        <w:spacing w:line="240" w:lineRule="auto"/>
        <w:rPr>
          <w:rFonts w:eastAsia="Times New Roman" w:cs="Arial"/>
          <w:color w:val="000000"/>
          <w:u w:val="single"/>
          <w:lang w:eastAsia="bg-BG"/>
        </w:rPr>
      </w:pPr>
    </w:p>
    <w:p w14:paraId="65924945" w14:textId="55F74721" w:rsidR="00504E2B" w:rsidRPr="00504E2B" w:rsidRDefault="00504E2B" w:rsidP="00504E2B">
      <w:pPr>
        <w:spacing w:line="240" w:lineRule="auto"/>
        <w:rPr>
          <w:rFonts w:eastAsia="Times New Roman" w:cs="Arial"/>
        </w:rPr>
      </w:pPr>
      <w:r w:rsidRPr="00504E2B">
        <w:rPr>
          <w:rFonts w:eastAsia="Times New Roman" w:cs="Arial"/>
          <w:color w:val="000000"/>
          <w:u w:val="single"/>
          <w:lang w:eastAsia="bg-BG"/>
        </w:rPr>
        <w:t>Фармакокинетика при специфични популации</w:t>
      </w:r>
    </w:p>
    <w:p w14:paraId="3811DA79"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Не е наблюдавана статистически значима разлика в активността на фибриногена между мъжете и жените, участващи в проучването.</w:t>
      </w:r>
      <w:r w:rsidRPr="00504E2B">
        <w:rPr>
          <w:rFonts w:eastAsia="Times New Roman" w:cs="Arial"/>
          <w:color w:val="000000"/>
          <w:lang w:val="ru-RU"/>
        </w:rPr>
        <w:t xml:space="preserve"> </w:t>
      </w:r>
    </w:p>
    <w:p w14:paraId="6967F8AB" w14:textId="77777777" w:rsidR="00504E2B" w:rsidRPr="00504E2B" w:rsidRDefault="00504E2B" w:rsidP="00504E2B">
      <w:pPr>
        <w:spacing w:line="240" w:lineRule="auto"/>
        <w:rPr>
          <w:rFonts w:eastAsia="Times New Roman" w:cs="Arial"/>
          <w:color w:val="000000"/>
          <w:u w:val="single"/>
          <w:lang w:eastAsia="bg-BG"/>
        </w:rPr>
      </w:pPr>
    </w:p>
    <w:p w14:paraId="1FF717D8" w14:textId="1C6853EA" w:rsidR="00504E2B" w:rsidRPr="00504E2B" w:rsidRDefault="00504E2B" w:rsidP="00504E2B">
      <w:pPr>
        <w:spacing w:line="240" w:lineRule="auto"/>
        <w:rPr>
          <w:rFonts w:eastAsia="Times New Roman" w:cs="Arial"/>
        </w:rPr>
      </w:pPr>
      <w:r w:rsidRPr="00504E2B">
        <w:rPr>
          <w:rFonts w:eastAsia="Times New Roman" w:cs="Arial"/>
          <w:color w:val="000000"/>
          <w:u w:val="single"/>
          <w:lang w:eastAsia="bg-BG"/>
        </w:rPr>
        <w:t>Педиатрична популация</w:t>
      </w:r>
    </w:p>
    <w:p w14:paraId="655A82AC"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 xml:space="preserve">Фармакокинетични данни при юноши на възраст от 12 до по-малко от 18 години са получени в проучването </w:t>
      </w:r>
      <w:r w:rsidRPr="00504E2B">
        <w:rPr>
          <w:rFonts w:eastAsia="Times New Roman" w:cs="Arial"/>
          <w:color w:val="000000"/>
          <w:lang w:val="en-US"/>
        </w:rPr>
        <w:t>FORMA</w:t>
      </w:r>
      <w:r w:rsidRPr="00504E2B">
        <w:rPr>
          <w:rFonts w:eastAsia="Times New Roman" w:cs="Arial"/>
          <w:color w:val="000000"/>
          <w:lang w:val="ru-RU"/>
        </w:rPr>
        <w:t xml:space="preserve">-02. </w:t>
      </w:r>
      <w:r w:rsidRPr="00504E2B">
        <w:rPr>
          <w:rFonts w:eastAsia="Times New Roman" w:cs="Arial"/>
          <w:color w:val="000000"/>
          <w:lang w:eastAsia="bg-BG"/>
        </w:rPr>
        <w:t>При РР анализа е наблюдавана малка разлика между полуживота при юноши (</w:t>
      </w:r>
      <w:r w:rsidRPr="00504E2B">
        <w:rPr>
          <w:rFonts w:eastAsia="Times New Roman" w:cs="Arial"/>
          <w:color w:val="000000"/>
          <w:lang w:val="en-US"/>
        </w:rPr>
        <w:t>n</w:t>
      </w:r>
      <w:r w:rsidRPr="00504E2B">
        <w:rPr>
          <w:rFonts w:eastAsia="Times New Roman" w:cs="Arial"/>
          <w:color w:val="000000"/>
          <w:lang w:eastAsia="bg-BG"/>
        </w:rPr>
        <w:t>=5) и при възрастни (</w:t>
      </w:r>
      <w:r w:rsidRPr="00504E2B">
        <w:rPr>
          <w:rFonts w:eastAsia="Times New Roman" w:cs="Arial"/>
          <w:color w:val="000000"/>
          <w:lang w:val="en-US"/>
        </w:rPr>
        <w:t>n</w:t>
      </w:r>
      <w:r w:rsidRPr="00504E2B">
        <w:rPr>
          <w:rFonts w:eastAsia="Times New Roman" w:cs="Arial"/>
          <w:color w:val="000000"/>
          <w:lang w:eastAsia="bg-BG"/>
        </w:rPr>
        <w:t xml:space="preserve">=16), със стойности съответно 72,8 ± 16,5 часа в сравнение със 76,9± 26,1 часа. Клирънсът е почти идентичен и при двете възрастови групи, т.е. съответно 0,68 ±0,18 </w:t>
      </w:r>
      <w:r w:rsidRPr="00504E2B">
        <w:rPr>
          <w:rFonts w:eastAsia="Times New Roman" w:cs="Arial"/>
          <w:color w:val="000000"/>
          <w:lang w:val="en-US"/>
        </w:rPr>
        <w:t>ml</w:t>
      </w:r>
      <w:r w:rsidRPr="00504E2B">
        <w:rPr>
          <w:rFonts w:eastAsia="Times New Roman" w:cs="Arial"/>
          <w:color w:val="000000"/>
          <w:lang w:val="ru-RU"/>
        </w:rPr>
        <w:t>/</w:t>
      </w:r>
      <w:r w:rsidRPr="00504E2B">
        <w:rPr>
          <w:rFonts w:eastAsia="Times New Roman" w:cs="Arial"/>
          <w:color w:val="000000"/>
          <w:lang w:val="en-US"/>
        </w:rPr>
        <w:t>h</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и 0,66 ± 0,21 </w:t>
      </w:r>
      <w:r w:rsidRPr="00504E2B">
        <w:rPr>
          <w:rFonts w:eastAsia="Times New Roman" w:cs="Arial"/>
          <w:color w:val="000000"/>
          <w:lang w:val="en-US"/>
        </w:rPr>
        <w:t>ml</w:t>
      </w:r>
      <w:r w:rsidRPr="00504E2B">
        <w:rPr>
          <w:rFonts w:eastAsia="Times New Roman" w:cs="Arial"/>
          <w:color w:val="000000"/>
          <w:lang w:val="ru-RU"/>
        </w:rPr>
        <w:t>/</w:t>
      </w:r>
      <w:r w:rsidRPr="00504E2B">
        <w:rPr>
          <w:rFonts w:eastAsia="Times New Roman" w:cs="Arial"/>
          <w:color w:val="000000"/>
          <w:lang w:val="en-US"/>
        </w:rPr>
        <w:t>h</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w:t>
      </w:r>
    </w:p>
    <w:p w14:paraId="5C53EC14" w14:textId="77777777" w:rsidR="00504E2B" w:rsidRPr="00504E2B" w:rsidRDefault="00504E2B" w:rsidP="00504E2B">
      <w:pPr>
        <w:spacing w:line="240" w:lineRule="auto"/>
        <w:rPr>
          <w:rFonts w:eastAsia="Times New Roman" w:cs="Arial"/>
        </w:rPr>
      </w:pPr>
      <w:r w:rsidRPr="00504E2B">
        <w:rPr>
          <w:rFonts w:eastAsia="Times New Roman" w:cs="Arial"/>
          <w:color w:val="000000"/>
          <w:lang w:eastAsia="bg-BG"/>
        </w:rPr>
        <w:t xml:space="preserve">Фармакокинетичните свойства на Фибрига са изследвани допълнително в проучването </w:t>
      </w:r>
      <w:r w:rsidRPr="00504E2B">
        <w:rPr>
          <w:rFonts w:eastAsia="Times New Roman" w:cs="Arial"/>
          <w:color w:val="000000"/>
          <w:lang w:val="en-US"/>
        </w:rPr>
        <w:t>FORMA</w:t>
      </w:r>
      <w:r w:rsidRPr="00504E2B">
        <w:rPr>
          <w:rFonts w:eastAsia="Times New Roman" w:cs="Arial"/>
          <w:color w:val="000000"/>
          <w:lang w:val="ru-RU"/>
        </w:rPr>
        <w:t xml:space="preserve">-04 </w:t>
      </w:r>
      <w:r w:rsidRPr="00504E2B">
        <w:rPr>
          <w:rFonts w:eastAsia="Times New Roman" w:cs="Arial"/>
          <w:color w:val="000000"/>
          <w:lang w:eastAsia="bg-BG"/>
        </w:rPr>
        <w:t xml:space="preserve">при 13 деца на възраст по-малко от 12 години с вроден фибриногенен </w:t>
      </w:r>
      <w:r w:rsidRPr="00504E2B">
        <w:rPr>
          <w:rFonts w:eastAsia="Times New Roman" w:cs="Arial"/>
          <w:color w:val="000000"/>
          <w:lang w:eastAsia="bg-BG"/>
        </w:rPr>
        <w:lastRenderedPageBreak/>
        <w:t xml:space="preserve">дефицит (афибриногенемия). Всеки пациент е получил единична интравенозна доза Фибрига 70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 xml:space="preserve">. </w:t>
      </w:r>
      <w:r w:rsidRPr="00504E2B">
        <w:rPr>
          <w:rFonts w:eastAsia="Times New Roman" w:cs="Arial"/>
          <w:color w:val="000000"/>
          <w:lang w:eastAsia="bg-BG"/>
        </w:rPr>
        <w:t xml:space="preserve">Фармакокинетичните параметри на Фибрига са обобщени в таблицата по-долу. Медианата на инкрементното </w:t>
      </w:r>
      <w:r w:rsidRPr="00504E2B">
        <w:rPr>
          <w:rFonts w:eastAsia="Times New Roman" w:cs="Arial"/>
          <w:color w:val="000000"/>
          <w:lang w:val="en-US"/>
        </w:rPr>
        <w:t>IVR</w:t>
      </w:r>
      <w:r w:rsidRPr="00504E2B">
        <w:rPr>
          <w:rFonts w:eastAsia="Times New Roman" w:cs="Arial"/>
          <w:color w:val="000000"/>
          <w:lang w:val="ru-RU"/>
        </w:rPr>
        <w:t xml:space="preserve"> </w:t>
      </w:r>
      <w:r w:rsidRPr="00504E2B">
        <w:rPr>
          <w:rFonts w:eastAsia="Times New Roman" w:cs="Arial"/>
          <w:color w:val="000000"/>
          <w:lang w:eastAsia="bg-BG"/>
        </w:rPr>
        <w:t xml:space="preserve">е увеличение с 1,4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dl</w:t>
      </w:r>
      <w:r w:rsidRPr="00504E2B">
        <w:rPr>
          <w:rFonts w:eastAsia="Times New Roman" w:cs="Arial"/>
          <w:color w:val="000000"/>
          <w:lang w:val="ru-RU"/>
        </w:rPr>
        <w:t xml:space="preserve"> </w:t>
      </w:r>
      <w:r w:rsidRPr="00504E2B">
        <w:rPr>
          <w:rFonts w:eastAsia="Times New Roman" w:cs="Arial"/>
          <w:color w:val="000000"/>
          <w:lang w:eastAsia="bg-BG"/>
        </w:rPr>
        <w:t xml:space="preserve">(диапазон, 1,3-2,1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dl</w:t>
      </w:r>
      <w:r w:rsidRPr="00504E2B">
        <w:rPr>
          <w:rFonts w:eastAsia="Times New Roman" w:cs="Arial"/>
          <w:color w:val="000000"/>
          <w:lang w:val="ru-RU"/>
        </w:rPr>
        <w:t xml:space="preserve">) </w:t>
      </w:r>
      <w:r w:rsidRPr="00504E2B">
        <w:rPr>
          <w:rFonts w:eastAsia="Times New Roman" w:cs="Arial"/>
          <w:color w:val="000000"/>
          <w:lang w:eastAsia="bg-BG"/>
        </w:rPr>
        <w:t xml:space="preserve">на </w:t>
      </w:r>
      <w:r w:rsidRPr="00504E2B">
        <w:rPr>
          <w:rFonts w:eastAsia="Times New Roman" w:cs="Arial"/>
          <w:color w:val="000000"/>
          <w:lang w:val="en-US"/>
        </w:rPr>
        <w:t>mg</w:t>
      </w:r>
      <w:r w:rsidRPr="00504E2B">
        <w:rPr>
          <w:rFonts w:eastAsia="Times New Roman" w:cs="Arial"/>
          <w:color w:val="000000"/>
          <w:lang w:val="ru-RU"/>
        </w:rPr>
        <w:t>/</w:t>
      </w:r>
      <w:r w:rsidRPr="00504E2B">
        <w:rPr>
          <w:rFonts w:eastAsia="Times New Roman" w:cs="Arial"/>
          <w:color w:val="000000"/>
          <w:lang w:val="en-US"/>
        </w:rPr>
        <w:t>kg</w:t>
      </w:r>
      <w:r w:rsidRPr="00504E2B">
        <w:rPr>
          <w:rFonts w:eastAsia="Times New Roman" w:cs="Arial"/>
          <w:color w:val="000000"/>
          <w:lang w:val="ru-RU"/>
        </w:rPr>
        <w:t>.</w:t>
      </w:r>
    </w:p>
    <w:p w14:paraId="3F33C9FE" w14:textId="77777777" w:rsidR="00504E2B" w:rsidRPr="00504E2B" w:rsidRDefault="00504E2B" w:rsidP="00504E2B">
      <w:pPr>
        <w:spacing w:line="240" w:lineRule="auto"/>
        <w:rPr>
          <w:rFonts w:eastAsia="Times New Roman" w:cs="Arial"/>
          <w:b/>
          <w:bCs/>
          <w:color w:val="000000"/>
          <w:lang w:eastAsia="bg-BG"/>
        </w:rPr>
      </w:pPr>
    </w:p>
    <w:p w14:paraId="2D45EDA2" w14:textId="581E83E5" w:rsidR="00504E2B" w:rsidRPr="00504E2B" w:rsidRDefault="00504E2B" w:rsidP="00504E2B">
      <w:pPr>
        <w:spacing w:line="240" w:lineRule="auto"/>
        <w:rPr>
          <w:rFonts w:eastAsia="Times New Roman" w:cs="Arial"/>
        </w:rPr>
      </w:pPr>
      <w:r w:rsidRPr="00504E2B">
        <w:rPr>
          <w:rFonts w:eastAsia="Times New Roman" w:cs="Arial"/>
          <w:b/>
          <w:bCs/>
          <w:color w:val="000000"/>
          <w:lang w:eastAsia="bg-BG"/>
        </w:rPr>
        <w:t>Таблица 4: Фармакокинетични параметри (</w:t>
      </w:r>
      <w:r w:rsidRPr="00504E2B">
        <w:rPr>
          <w:rFonts w:eastAsia="Times New Roman" w:cs="Arial"/>
          <w:b/>
          <w:bCs/>
          <w:color w:val="000000"/>
          <w:lang w:val="en-US" w:eastAsia="bg-BG"/>
        </w:rPr>
        <w:t>n</w:t>
      </w:r>
      <w:r w:rsidRPr="00504E2B">
        <w:rPr>
          <w:rFonts w:eastAsia="Times New Roman" w:cs="Arial"/>
          <w:b/>
          <w:bCs/>
          <w:color w:val="000000"/>
          <w:lang w:val="ru-RU" w:eastAsia="bg-BG"/>
        </w:rPr>
        <w:t>=</w:t>
      </w:r>
      <w:r w:rsidRPr="00504E2B">
        <w:rPr>
          <w:rFonts w:eastAsia="Times New Roman" w:cs="Arial"/>
          <w:b/>
          <w:bCs/>
          <w:color w:val="000000"/>
          <w:lang w:eastAsia="bg-BG"/>
        </w:rPr>
        <w:t>13) за активността на фибриногена</w:t>
      </w:r>
    </w:p>
    <w:tbl>
      <w:tblPr>
        <w:tblStyle w:val="TableGrid"/>
        <w:tblW w:w="0" w:type="auto"/>
        <w:tblLook w:val="04A0" w:firstRow="1" w:lastRow="0" w:firstColumn="1" w:lastColumn="0" w:noHBand="0" w:noVBand="1"/>
      </w:tblPr>
      <w:tblGrid>
        <w:gridCol w:w="3116"/>
        <w:gridCol w:w="3117"/>
        <w:gridCol w:w="3117"/>
      </w:tblGrid>
      <w:tr w:rsidR="00504E2B" w14:paraId="22E7C800" w14:textId="77777777" w:rsidTr="00504E2B">
        <w:tc>
          <w:tcPr>
            <w:tcW w:w="3116" w:type="dxa"/>
          </w:tcPr>
          <w:p w14:paraId="3164E724" w14:textId="626D2FC1" w:rsidR="00504E2B" w:rsidRPr="00504E2B" w:rsidRDefault="00504E2B" w:rsidP="00504E2B">
            <w:r w:rsidRPr="00504E2B">
              <w:rPr>
                <w:b/>
                <w:bCs/>
              </w:rPr>
              <w:t>Параметър</w:t>
            </w:r>
          </w:p>
        </w:tc>
        <w:tc>
          <w:tcPr>
            <w:tcW w:w="3117" w:type="dxa"/>
          </w:tcPr>
          <w:p w14:paraId="07042C3E" w14:textId="11CDD955" w:rsidR="00504E2B" w:rsidRPr="00504E2B" w:rsidRDefault="00504E2B" w:rsidP="00504E2B">
            <w:r w:rsidRPr="00504E2B">
              <w:rPr>
                <w:b/>
                <w:bCs/>
              </w:rPr>
              <w:t xml:space="preserve">Средна стойност ± </w:t>
            </w:r>
            <w:r w:rsidRPr="00504E2B">
              <w:rPr>
                <w:b/>
                <w:bCs/>
                <w:lang w:val="en-US"/>
              </w:rPr>
              <w:t>SD</w:t>
            </w:r>
          </w:p>
        </w:tc>
        <w:tc>
          <w:tcPr>
            <w:tcW w:w="3117" w:type="dxa"/>
          </w:tcPr>
          <w:p w14:paraId="46220A09" w14:textId="211750AC" w:rsidR="00504E2B" w:rsidRPr="00504E2B" w:rsidRDefault="00504E2B" w:rsidP="00504E2B">
            <w:r w:rsidRPr="00504E2B">
              <w:rPr>
                <w:b/>
                <w:bCs/>
              </w:rPr>
              <w:t>Диапазон</w:t>
            </w:r>
          </w:p>
        </w:tc>
      </w:tr>
      <w:tr w:rsidR="00504E2B" w14:paraId="2FE454FC" w14:textId="77777777" w:rsidTr="00504E2B">
        <w:tc>
          <w:tcPr>
            <w:tcW w:w="3116" w:type="dxa"/>
          </w:tcPr>
          <w:p w14:paraId="30F05B7A" w14:textId="167E9235" w:rsidR="00504E2B" w:rsidRPr="00504E2B" w:rsidRDefault="00504E2B" w:rsidP="00504E2B">
            <w:r w:rsidRPr="00504E2B">
              <w:t xml:space="preserve">Полуживот </w:t>
            </w:r>
            <w:r w:rsidRPr="00504E2B">
              <w:rPr>
                <w:lang w:val="en-US"/>
              </w:rPr>
              <w:t>[h]*</w:t>
            </w:r>
          </w:p>
        </w:tc>
        <w:tc>
          <w:tcPr>
            <w:tcW w:w="3117" w:type="dxa"/>
          </w:tcPr>
          <w:p w14:paraId="0FF228FF" w14:textId="10BBA5D1" w:rsidR="00504E2B" w:rsidRPr="00504E2B" w:rsidRDefault="00504E2B" w:rsidP="00504E2B">
            <w:r w:rsidRPr="00504E2B">
              <w:t>63,3 ± 12,0</w:t>
            </w:r>
          </w:p>
        </w:tc>
        <w:tc>
          <w:tcPr>
            <w:tcW w:w="3117" w:type="dxa"/>
          </w:tcPr>
          <w:p w14:paraId="581B71A9" w14:textId="09D4FD00" w:rsidR="00504E2B" w:rsidRPr="00504E2B" w:rsidRDefault="00504E2B" w:rsidP="00504E2B">
            <w:r w:rsidRPr="00504E2B">
              <w:t>45,6-91,6</w:t>
            </w:r>
          </w:p>
        </w:tc>
      </w:tr>
      <w:tr w:rsidR="00504E2B" w14:paraId="50E2546A" w14:textId="77777777" w:rsidTr="00504E2B">
        <w:tc>
          <w:tcPr>
            <w:tcW w:w="3116" w:type="dxa"/>
          </w:tcPr>
          <w:p w14:paraId="659D134C" w14:textId="4AFA93B5" w:rsidR="00504E2B" w:rsidRPr="00504E2B" w:rsidRDefault="00504E2B" w:rsidP="00504E2B">
            <w:proofErr w:type="spellStart"/>
            <w:r w:rsidRPr="00504E2B">
              <w:rPr>
                <w:lang w:val="en-US"/>
              </w:rPr>
              <w:t>Cmax</w:t>
            </w:r>
            <w:proofErr w:type="spellEnd"/>
            <w:r w:rsidRPr="00504E2B">
              <w:rPr>
                <w:lang w:val="en-US"/>
              </w:rPr>
              <w:t xml:space="preserve"> [mg/dl]</w:t>
            </w:r>
          </w:p>
        </w:tc>
        <w:tc>
          <w:tcPr>
            <w:tcW w:w="3117" w:type="dxa"/>
          </w:tcPr>
          <w:p w14:paraId="55FA3CF3" w14:textId="0A017520" w:rsidR="00504E2B" w:rsidRPr="00504E2B" w:rsidRDefault="00504E2B" w:rsidP="00504E2B">
            <w:r w:rsidRPr="00504E2B">
              <w:t>107,2 ± 16,8</w:t>
            </w:r>
          </w:p>
        </w:tc>
        <w:tc>
          <w:tcPr>
            <w:tcW w:w="3117" w:type="dxa"/>
          </w:tcPr>
          <w:p w14:paraId="7C011728" w14:textId="74F71574" w:rsidR="00504E2B" w:rsidRPr="00504E2B" w:rsidRDefault="00504E2B" w:rsidP="00504E2B">
            <w:r w:rsidRPr="00504E2B">
              <w:t>93,0-154,0</w:t>
            </w:r>
          </w:p>
        </w:tc>
      </w:tr>
      <w:tr w:rsidR="00504E2B" w14:paraId="1A1E7A10" w14:textId="77777777" w:rsidTr="00504E2B">
        <w:tc>
          <w:tcPr>
            <w:tcW w:w="3116" w:type="dxa"/>
          </w:tcPr>
          <w:p w14:paraId="15CD3C27" w14:textId="45FEF242" w:rsidR="00504E2B" w:rsidRPr="00504E2B" w:rsidRDefault="00504E2B" w:rsidP="00504E2B">
            <w:proofErr w:type="spellStart"/>
            <w:r w:rsidRPr="00504E2B">
              <w:rPr>
                <w:lang w:val="en-US"/>
              </w:rPr>
              <w:t>AUCnorm</w:t>
            </w:r>
            <w:proofErr w:type="spellEnd"/>
            <w:r w:rsidRPr="00504E2B">
              <w:t xml:space="preserve"> при доза 70 </w:t>
            </w:r>
            <w:r w:rsidRPr="00504E2B">
              <w:rPr>
                <w:lang w:val="en-US"/>
              </w:rPr>
              <w:t>mg</w:t>
            </w:r>
            <w:r w:rsidRPr="00504E2B">
              <w:t>/</w:t>
            </w:r>
            <w:r w:rsidRPr="00504E2B">
              <w:rPr>
                <w:lang w:val="en-US"/>
              </w:rPr>
              <w:t>kg</w:t>
            </w:r>
            <w:r w:rsidRPr="00504E2B">
              <w:t xml:space="preserve"> [</w:t>
            </w:r>
            <w:r w:rsidRPr="00504E2B">
              <w:rPr>
                <w:lang w:val="en-US"/>
              </w:rPr>
              <w:t>mg</w:t>
            </w:r>
            <w:r w:rsidRPr="00504E2B">
              <w:t>*</w:t>
            </w:r>
            <w:r w:rsidRPr="00504E2B">
              <w:rPr>
                <w:lang w:val="en-US"/>
              </w:rPr>
              <w:t>h</w:t>
            </w:r>
            <w:r w:rsidRPr="00504E2B">
              <w:t>/</w:t>
            </w:r>
            <w:r w:rsidRPr="00504E2B">
              <w:rPr>
                <w:lang w:val="en-US"/>
              </w:rPr>
              <w:t>ml</w:t>
            </w:r>
            <w:r w:rsidRPr="00504E2B">
              <w:t>]*</w:t>
            </w:r>
          </w:p>
        </w:tc>
        <w:tc>
          <w:tcPr>
            <w:tcW w:w="3117" w:type="dxa"/>
          </w:tcPr>
          <w:p w14:paraId="7D896F3E" w14:textId="60A0B633" w:rsidR="00504E2B" w:rsidRPr="00504E2B" w:rsidRDefault="00504E2B" w:rsidP="00504E2B">
            <w:r w:rsidRPr="00504E2B">
              <w:t>92,0 ± 20,0</w:t>
            </w:r>
          </w:p>
        </w:tc>
        <w:tc>
          <w:tcPr>
            <w:tcW w:w="3117" w:type="dxa"/>
          </w:tcPr>
          <w:p w14:paraId="1C7D9DE1" w14:textId="107AB5C5" w:rsidR="00504E2B" w:rsidRPr="00504E2B" w:rsidRDefault="00504E2B" w:rsidP="00504E2B">
            <w:r w:rsidRPr="00504E2B">
              <w:t>69,7-134,2</w:t>
            </w:r>
          </w:p>
        </w:tc>
      </w:tr>
      <w:tr w:rsidR="00504E2B" w14:paraId="0354EF63" w14:textId="77777777" w:rsidTr="00504E2B">
        <w:tc>
          <w:tcPr>
            <w:tcW w:w="3116" w:type="dxa"/>
          </w:tcPr>
          <w:p w14:paraId="1E3D6991" w14:textId="4E9C07FA" w:rsidR="00504E2B" w:rsidRPr="00504E2B" w:rsidRDefault="00504E2B" w:rsidP="00504E2B">
            <w:r w:rsidRPr="00504E2B">
              <w:t xml:space="preserve">Клирънс </w:t>
            </w:r>
            <w:r w:rsidRPr="00504E2B">
              <w:rPr>
                <w:lang w:val="en-US"/>
              </w:rPr>
              <w:t>[ml/h/kg] *</w:t>
            </w:r>
          </w:p>
        </w:tc>
        <w:tc>
          <w:tcPr>
            <w:tcW w:w="3117" w:type="dxa"/>
          </w:tcPr>
          <w:p w14:paraId="3507AA88" w14:textId="52EAF19D" w:rsidR="00504E2B" w:rsidRPr="00504E2B" w:rsidRDefault="00504E2B" w:rsidP="00504E2B">
            <w:r w:rsidRPr="00504E2B">
              <w:t>0,8 ± 0,2</w:t>
            </w:r>
          </w:p>
        </w:tc>
        <w:tc>
          <w:tcPr>
            <w:tcW w:w="3117" w:type="dxa"/>
          </w:tcPr>
          <w:p w14:paraId="0225E87F" w14:textId="1A43EE2D" w:rsidR="00504E2B" w:rsidRPr="00504E2B" w:rsidRDefault="00504E2B" w:rsidP="00504E2B">
            <w:r w:rsidRPr="00504E2B">
              <w:t>0,5-1,0</w:t>
            </w:r>
          </w:p>
        </w:tc>
      </w:tr>
      <w:tr w:rsidR="00504E2B" w14:paraId="413F12D3" w14:textId="77777777" w:rsidTr="00504E2B">
        <w:tc>
          <w:tcPr>
            <w:tcW w:w="3116" w:type="dxa"/>
          </w:tcPr>
          <w:p w14:paraId="6C7052A0" w14:textId="3B14FB88" w:rsidR="00504E2B" w:rsidRPr="00504E2B" w:rsidRDefault="00504E2B" w:rsidP="00504E2B">
            <w:r w:rsidRPr="00504E2B">
              <w:t xml:space="preserve">Средно време на престой </w:t>
            </w:r>
            <w:r w:rsidRPr="00504E2B">
              <w:rPr>
                <w:lang w:val="ru-RU"/>
              </w:rPr>
              <w:t>[</w:t>
            </w:r>
            <w:r w:rsidRPr="00504E2B">
              <w:rPr>
                <w:lang w:val="en-US"/>
              </w:rPr>
              <w:t>h</w:t>
            </w:r>
            <w:r w:rsidRPr="00504E2B">
              <w:rPr>
                <w:lang w:val="ru-RU"/>
              </w:rPr>
              <w:t xml:space="preserve">] </w:t>
            </w:r>
            <w:r w:rsidRPr="00504E2B">
              <w:t>*</w:t>
            </w:r>
          </w:p>
        </w:tc>
        <w:tc>
          <w:tcPr>
            <w:tcW w:w="3117" w:type="dxa"/>
          </w:tcPr>
          <w:p w14:paraId="2C1EB4AA" w14:textId="2F025950" w:rsidR="00504E2B" w:rsidRPr="00504E2B" w:rsidRDefault="00504E2B" w:rsidP="00504E2B">
            <w:r w:rsidRPr="00504E2B">
              <w:t>88,0 х 16,8</w:t>
            </w:r>
          </w:p>
        </w:tc>
        <w:tc>
          <w:tcPr>
            <w:tcW w:w="3117" w:type="dxa"/>
          </w:tcPr>
          <w:p w14:paraId="3105A95D" w14:textId="082921CA" w:rsidR="00504E2B" w:rsidRPr="00504E2B" w:rsidRDefault="00504E2B" w:rsidP="00504E2B">
            <w:r w:rsidRPr="00504E2B">
              <w:t>63,6-126,7</w:t>
            </w:r>
          </w:p>
        </w:tc>
      </w:tr>
      <w:tr w:rsidR="00504E2B" w14:paraId="5993A16D" w14:textId="77777777" w:rsidTr="00504E2B">
        <w:tc>
          <w:tcPr>
            <w:tcW w:w="3116" w:type="dxa"/>
          </w:tcPr>
          <w:p w14:paraId="2BC211C7" w14:textId="2D02000D" w:rsidR="00504E2B" w:rsidRPr="00504E2B" w:rsidRDefault="00504E2B" w:rsidP="00504E2B">
            <w:r w:rsidRPr="00504E2B">
              <w:t xml:space="preserve">Обем на резпределение в стационарносъстояние </w:t>
            </w:r>
            <w:r w:rsidRPr="00504E2B">
              <w:rPr>
                <w:lang w:val="ru-RU"/>
              </w:rPr>
              <w:t>[</w:t>
            </w:r>
            <w:r w:rsidRPr="00504E2B">
              <w:rPr>
                <w:lang w:val="en-US"/>
              </w:rPr>
              <w:t>ml</w:t>
            </w:r>
            <w:r w:rsidRPr="00504E2B">
              <w:rPr>
                <w:lang w:val="ru-RU"/>
              </w:rPr>
              <w:t>/</w:t>
            </w:r>
            <w:r w:rsidRPr="00504E2B">
              <w:rPr>
                <w:lang w:val="en-US"/>
              </w:rPr>
              <w:t>kg</w:t>
            </w:r>
            <w:r w:rsidRPr="00504E2B">
              <w:rPr>
                <w:lang w:val="ru-RU"/>
              </w:rPr>
              <w:t>]*</w:t>
            </w:r>
          </w:p>
        </w:tc>
        <w:tc>
          <w:tcPr>
            <w:tcW w:w="3117" w:type="dxa"/>
          </w:tcPr>
          <w:p w14:paraId="4F30D310" w14:textId="40C8B901" w:rsidR="00504E2B" w:rsidRPr="00504E2B" w:rsidRDefault="00504E2B" w:rsidP="00504E2B">
            <w:r w:rsidRPr="00504E2B">
              <w:t>67,6 ±7,1</w:t>
            </w:r>
          </w:p>
        </w:tc>
        <w:tc>
          <w:tcPr>
            <w:tcW w:w="3117" w:type="dxa"/>
          </w:tcPr>
          <w:p w14:paraId="1F1DE980" w14:textId="6F6E43BC" w:rsidR="00504E2B" w:rsidRPr="00504E2B" w:rsidRDefault="00504E2B" w:rsidP="00504E2B">
            <w:r w:rsidRPr="00504E2B">
              <w:t>52,8-76,8</w:t>
            </w:r>
          </w:p>
        </w:tc>
      </w:tr>
    </w:tbl>
    <w:p w14:paraId="6FB049E0" w14:textId="77777777" w:rsidR="00504E2B" w:rsidRPr="00504E2B" w:rsidRDefault="00504E2B" w:rsidP="00504E2B">
      <w:pPr>
        <w:rPr>
          <w:sz w:val="24"/>
          <w:szCs w:val="24"/>
        </w:rPr>
      </w:pPr>
      <w:r w:rsidRPr="00504E2B">
        <w:rPr>
          <w:lang w:eastAsia="bg-BG"/>
        </w:rPr>
        <w:t>*Изчислено при 10 от 13 пациенти поради недостатъчен брой определими стойности при 3-ма пациенти</w:t>
      </w:r>
    </w:p>
    <w:p w14:paraId="5A54A5E5" w14:textId="77777777" w:rsidR="00504E2B" w:rsidRDefault="00504E2B" w:rsidP="00504E2B">
      <w:pPr>
        <w:rPr>
          <w:lang w:val="ru-RU"/>
        </w:rPr>
      </w:pPr>
    </w:p>
    <w:p w14:paraId="5CB62218" w14:textId="282219A4" w:rsidR="00504E2B" w:rsidRDefault="00504E2B" w:rsidP="00504E2B">
      <w:pPr>
        <w:rPr>
          <w:lang w:eastAsia="bg-BG"/>
        </w:rPr>
      </w:pPr>
      <w:r>
        <w:rPr>
          <w:lang w:val="en-US"/>
        </w:rPr>
        <w:t>I</w:t>
      </w:r>
      <w:r w:rsidRPr="00504E2B">
        <w:rPr>
          <w:lang w:val="en-US"/>
        </w:rPr>
        <w:t>VR</w:t>
      </w:r>
      <w:r w:rsidRPr="00504E2B">
        <w:rPr>
          <w:lang w:val="ru-RU"/>
        </w:rPr>
        <w:t xml:space="preserve"> </w:t>
      </w:r>
      <w:r w:rsidRPr="00504E2B">
        <w:rPr>
          <w:lang w:eastAsia="bg-BG"/>
        </w:rPr>
        <w:t xml:space="preserve">= възстановяване </w:t>
      </w:r>
      <w:r w:rsidRPr="00504E2B">
        <w:rPr>
          <w:lang w:val="en-US"/>
        </w:rPr>
        <w:t>in</w:t>
      </w:r>
      <w:r w:rsidRPr="00504E2B">
        <w:rPr>
          <w:lang w:val="ru-RU"/>
        </w:rPr>
        <w:t xml:space="preserve"> </w:t>
      </w:r>
      <w:r w:rsidRPr="00504E2B">
        <w:rPr>
          <w:lang w:val="en-US"/>
        </w:rPr>
        <w:t>vivo</w:t>
      </w:r>
      <w:r w:rsidRPr="00504E2B">
        <w:rPr>
          <w:lang w:val="ru-RU"/>
        </w:rPr>
        <w:t xml:space="preserve">; </w:t>
      </w:r>
      <w:proofErr w:type="spellStart"/>
      <w:r w:rsidRPr="00504E2B">
        <w:rPr>
          <w:lang w:val="en-US"/>
        </w:rPr>
        <w:t>Cmax</w:t>
      </w:r>
      <w:proofErr w:type="spellEnd"/>
      <w:r w:rsidRPr="00504E2B">
        <w:rPr>
          <w:lang w:val="ru-RU"/>
        </w:rPr>
        <w:t xml:space="preserve"> </w:t>
      </w:r>
      <w:r w:rsidRPr="00504E2B">
        <w:rPr>
          <w:lang w:eastAsia="bg-BG"/>
        </w:rPr>
        <w:t xml:space="preserve">= максимална плазмена концентрация; </w:t>
      </w:r>
      <w:proofErr w:type="spellStart"/>
      <w:r w:rsidRPr="00504E2B">
        <w:rPr>
          <w:lang w:val="en-US"/>
        </w:rPr>
        <w:t>AUCnorm</w:t>
      </w:r>
      <w:proofErr w:type="spellEnd"/>
      <w:r w:rsidRPr="00504E2B">
        <w:rPr>
          <w:lang w:val="ru-RU"/>
        </w:rPr>
        <w:t xml:space="preserve"> </w:t>
      </w:r>
      <w:r w:rsidRPr="00504E2B">
        <w:rPr>
          <w:lang w:eastAsia="bg-BG"/>
        </w:rPr>
        <w:t xml:space="preserve">= площ под кривата, нормализирана спрямо приложената доза; </w:t>
      </w:r>
      <w:r w:rsidRPr="00504E2B">
        <w:rPr>
          <w:lang w:val="en-US"/>
        </w:rPr>
        <w:t>SD</w:t>
      </w:r>
      <w:r w:rsidRPr="00504E2B">
        <w:rPr>
          <w:lang w:val="ru-RU"/>
        </w:rPr>
        <w:t xml:space="preserve"> </w:t>
      </w:r>
      <w:r w:rsidRPr="00504E2B">
        <w:rPr>
          <w:lang w:eastAsia="bg-BG"/>
        </w:rPr>
        <w:t>= стандартно отклонение</w:t>
      </w:r>
    </w:p>
    <w:p w14:paraId="3F3E5E01" w14:textId="77777777" w:rsidR="00504E2B" w:rsidRPr="00504E2B" w:rsidRDefault="00504E2B" w:rsidP="00504E2B"/>
    <w:p w14:paraId="028E658A" w14:textId="56A91365" w:rsidR="00395555" w:rsidRDefault="002C50EE" w:rsidP="008A6AF2">
      <w:pPr>
        <w:pStyle w:val="Heading2"/>
      </w:pPr>
      <w:r>
        <w:t>5.3. Предклинични данни за безопасност</w:t>
      </w:r>
    </w:p>
    <w:p w14:paraId="2F59EB06" w14:textId="279A1D26" w:rsidR="00504E2B" w:rsidRDefault="00504E2B" w:rsidP="00504E2B"/>
    <w:p w14:paraId="5E5CF7B8" w14:textId="6E663C12" w:rsidR="00504E2B" w:rsidRPr="00504E2B" w:rsidRDefault="00504E2B" w:rsidP="00504E2B">
      <w:r>
        <w:t xml:space="preserve">Безопасността на Фибрига е доказана в няколко неклинични фармакологични проучвания за безопасност (сърдечно-съдови ефекти, тромбоемболичен потенциал) и токсичност (остра токсичност, локална поносимост). Неклиничните данни не показват особен риска за хората на базата на тези проучвания. При теста за венозна стаза (тест на </w:t>
      </w:r>
      <w:proofErr w:type="spellStart"/>
      <w:r>
        <w:rPr>
          <w:lang w:val="en-US"/>
        </w:rPr>
        <w:t>Wessler</w:t>
      </w:r>
      <w:proofErr w:type="spellEnd"/>
      <w:r w:rsidRPr="00504E2B">
        <w:rPr>
          <w:lang w:val="ru-RU"/>
        </w:rPr>
        <w:t xml:space="preserve">) </w:t>
      </w:r>
      <w:r>
        <w:t xml:space="preserve">е доказано, че Фибрига не е тромбогенен при дози до 400 </w:t>
      </w:r>
      <w:r>
        <w:rPr>
          <w:lang w:val="en-US"/>
        </w:rPr>
        <w:t>mg</w:t>
      </w:r>
      <w:r w:rsidRPr="00504E2B">
        <w:rPr>
          <w:lang w:val="ru-RU"/>
        </w:rPr>
        <w:t>/</w:t>
      </w:r>
      <w:r>
        <w:rPr>
          <w:lang w:val="en-US"/>
        </w:rPr>
        <w:t>kg</w:t>
      </w:r>
      <w:r w:rsidRPr="00504E2B">
        <w:rPr>
          <w:lang w:val="ru-RU"/>
        </w:rPr>
        <w:t xml:space="preserve"> </w:t>
      </w:r>
      <w:r>
        <w:t>телесно тегло.</w:t>
      </w:r>
    </w:p>
    <w:p w14:paraId="6A7820AB" w14:textId="631B6783" w:rsidR="008A6AF2" w:rsidRDefault="002C50EE" w:rsidP="00395555">
      <w:pPr>
        <w:pStyle w:val="Heading1"/>
      </w:pPr>
      <w:r>
        <w:t>7. ПРИТЕЖАТЕЛ НА РАЗРЕШЕНИЕТО ЗА УПОТРЕБА</w:t>
      </w:r>
    </w:p>
    <w:p w14:paraId="2D5EF8DD" w14:textId="2F7DFBD2" w:rsidR="00504E2B" w:rsidRDefault="00504E2B" w:rsidP="00504E2B"/>
    <w:p w14:paraId="39780EC2" w14:textId="77777777" w:rsidR="00504E2B" w:rsidRPr="00504E2B" w:rsidRDefault="00504E2B" w:rsidP="00504E2B">
      <w:pPr>
        <w:rPr>
          <w:sz w:val="24"/>
          <w:szCs w:val="24"/>
          <w:lang w:val="en-US"/>
        </w:rPr>
      </w:pPr>
      <w:proofErr w:type="spellStart"/>
      <w:r w:rsidRPr="00504E2B">
        <w:rPr>
          <w:lang w:val="en-US"/>
        </w:rPr>
        <w:t>Octapharma</w:t>
      </w:r>
      <w:proofErr w:type="spellEnd"/>
      <w:r w:rsidRPr="00504E2B">
        <w:rPr>
          <w:lang w:val="en-US"/>
        </w:rPr>
        <w:t xml:space="preserve"> (IP) SPRL</w:t>
      </w:r>
    </w:p>
    <w:p w14:paraId="4DDAEE89" w14:textId="77777777" w:rsidR="00504E2B" w:rsidRPr="00504E2B" w:rsidRDefault="00504E2B" w:rsidP="00504E2B">
      <w:pPr>
        <w:rPr>
          <w:sz w:val="24"/>
          <w:szCs w:val="24"/>
          <w:lang w:val="en-US"/>
        </w:rPr>
      </w:pPr>
      <w:proofErr w:type="spellStart"/>
      <w:r w:rsidRPr="00504E2B">
        <w:rPr>
          <w:lang w:val="en-US"/>
        </w:rPr>
        <w:t>Allee</w:t>
      </w:r>
      <w:proofErr w:type="spellEnd"/>
      <w:r w:rsidRPr="00504E2B">
        <w:rPr>
          <w:lang w:val="en-US"/>
        </w:rPr>
        <w:t xml:space="preserve"> de la </w:t>
      </w:r>
      <w:proofErr w:type="spellStart"/>
      <w:r w:rsidRPr="00504E2B">
        <w:rPr>
          <w:lang w:val="en-US"/>
        </w:rPr>
        <w:t>Recherche</w:t>
      </w:r>
      <w:proofErr w:type="spellEnd"/>
      <w:r w:rsidRPr="00504E2B">
        <w:rPr>
          <w:lang w:val="en-US"/>
        </w:rPr>
        <w:t xml:space="preserve"> 65</w:t>
      </w:r>
    </w:p>
    <w:p w14:paraId="62FDD13D" w14:textId="77777777" w:rsidR="00504E2B" w:rsidRPr="00504E2B" w:rsidRDefault="00504E2B" w:rsidP="00504E2B">
      <w:pPr>
        <w:rPr>
          <w:sz w:val="24"/>
          <w:szCs w:val="24"/>
          <w:lang w:val="ru-RU"/>
        </w:rPr>
      </w:pPr>
      <w:r w:rsidRPr="00504E2B">
        <w:rPr>
          <w:lang w:val="ru-RU"/>
        </w:rPr>
        <w:t xml:space="preserve">1070 </w:t>
      </w:r>
      <w:r w:rsidRPr="00504E2B">
        <w:rPr>
          <w:lang w:val="en-US"/>
        </w:rPr>
        <w:t>Anderlecht</w:t>
      </w:r>
    </w:p>
    <w:p w14:paraId="0F327059" w14:textId="3E50F856" w:rsidR="00504E2B" w:rsidRPr="00504E2B" w:rsidRDefault="00504E2B" w:rsidP="00504E2B">
      <w:r w:rsidRPr="00504E2B">
        <w:rPr>
          <w:lang w:eastAsia="bg-BG"/>
        </w:rPr>
        <w:t>Белгия</w:t>
      </w:r>
    </w:p>
    <w:p w14:paraId="04840D59" w14:textId="4353D9A7" w:rsidR="002C50EE" w:rsidRDefault="002C50EE" w:rsidP="00395555">
      <w:pPr>
        <w:pStyle w:val="Heading1"/>
      </w:pPr>
      <w:r>
        <w:t>8. НОМЕР НА РАЗРЕШЕНИЕТО ЗА УПОТРЕБА</w:t>
      </w:r>
    </w:p>
    <w:p w14:paraId="02D1B06A" w14:textId="416996B1" w:rsidR="00504E2B" w:rsidRDefault="00504E2B" w:rsidP="00504E2B"/>
    <w:p w14:paraId="0AC6E963" w14:textId="5DB7B05A" w:rsidR="00504E2B" w:rsidRPr="00504E2B" w:rsidRDefault="00504E2B" w:rsidP="00504E2B">
      <w:r>
        <w:t>Регистрационен номер: 20200231</w:t>
      </w:r>
    </w:p>
    <w:p w14:paraId="2CCB5832" w14:textId="6AF559B7" w:rsidR="007C605B" w:rsidRDefault="002C50EE" w:rsidP="007C605B">
      <w:pPr>
        <w:pStyle w:val="Heading1"/>
      </w:pPr>
      <w:r>
        <w:t>9. ДАТА НА ПЪРВО РАЗРЕШАВАНЕ/ПОДНОВЯВАНЕ НА РАЗРЕШЕНИЕТО ЗА УПОТРЕБА</w:t>
      </w:r>
    </w:p>
    <w:p w14:paraId="617FA655" w14:textId="791CF799" w:rsidR="00504E2B" w:rsidRDefault="00504E2B" w:rsidP="00504E2B"/>
    <w:p w14:paraId="675397EC" w14:textId="7576168E" w:rsidR="00504E2B" w:rsidRPr="00504E2B" w:rsidRDefault="00504E2B" w:rsidP="00504E2B">
      <w:r>
        <w:lastRenderedPageBreak/>
        <w:t>Дата на първо разрешаване: 01 декември 2020 г.</w:t>
      </w:r>
    </w:p>
    <w:p w14:paraId="0E9D0119" w14:textId="0245C6D7" w:rsidR="002C50EE" w:rsidRDefault="002C50EE" w:rsidP="002C50EE">
      <w:pPr>
        <w:pStyle w:val="Heading1"/>
      </w:pPr>
      <w:r>
        <w:t>10. ДАТА НА АКТУАЛИЗИРАНЕ НА ТЕКСТА</w:t>
      </w:r>
    </w:p>
    <w:bookmarkEnd w:id="0"/>
    <w:p w14:paraId="43FB38A2" w14:textId="69F2971B" w:rsidR="007C605B" w:rsidRPr="002B0A88" w:rsidRDefault="00504E2B" w:rsidP="00504E2B">
      <w:pPr>
        <w:rPr>
          <w:sz w:val="24"/>
          <w:szCs w:val="24"/>
        </w:rPr>
      </w:pPr>
      <w:r>
        <w:t>11/2021</w:t>
      </w:r>
      <w:bookmarkStart w:id="3" w:name="_GoBack"/>
      <w:bookmarkEnd w:id="3"/>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29"/>
  </w:num>
  <w:num w:numId="12">
    <w:abstractNumId w:val="13"/>
  </w:num>
  <w:num w:numId="13">
    <w:abstractNumId w:val="19"/>
  </w:num>
  <w:num w:numId="14">
    <w:abstractNumId w:val="11"/>
  </w:num>
  <w:num w:numId="15">
    <w:abstractNumId w:val="28"/>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2"/>
  </w:num>
  <w:num w:numId="31">
    <w:abstractNumId w:val="5"/>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0A88"/>
    <w:rsid w:val="002B3C38"/>
    <w:rsid w:val="002B4DBB"/>
    <w:rsid w:val="002C50EE"/>
    <w:rsid w:val="00340A0A"/>
    <w:rsid w:val="003765DC"/>
    <w:rsid w:val="00395555"/>
    <w:rsid w:val="003E3126"/>
    <w:rsid w:val="004D4D6B"/>
    <w:rsid w:val="00504E2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B6364"/>
    <w:rsid w:val="00EF2976"/>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29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3451</Words>
  <Characters>19674</Characters>
  <Application>Microsoft Office Word</Application>
  <DocSecurity>0</DocSecurity>
  <Lines>163</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2023-02-15T13:44:00Z</dcterms:created>
  <dcterms:modified xsi:type="dcterms:W3CDTF">2023-02-15T13:44:00Z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