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09CEB67B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5A3B4435" w14:textId="77777777" w:rsidR="0091385D" w:rsidRPr="0091385D" w:rsidRDefault="0091385D" w:rsidP="0091385D"/>
    <w:p w14:paraId="3320F4BE" w14:textId="2EB48694" w:rsidR="00C40420" w:rsidRDefault="00DD466D" w:rsidP="004A448E">
      <w:pPr>
        <w:pStyle w:val="Heading1"/>
      </w:pPr>
      <w:r>
        <w:t>1.ИМЕ НА ЛЕКАРСТВЕНИЯ ПРОДУКТ</w:t>
      </w:r>
    </w:p>
    <w:p w14:paraId="58C39142" w14:textId="63F33799" w:rsidR="000112D6" w:rsidRPr="000112D6" w:rsidRDefault="000112D6" w:rsidP="000112D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112D6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ab/>
      </w:r>
    </w:p>
    <w:p w14:paraId="61A885DD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val="en-US" w:eastAsia="bg-BG"/>
        </w:rPr>
      </w:pPr>
      <w:r w:rsidRPr="000112D6">
        <w:rPr>
          <w:rFonts w:eastAsia="Times New Roman" w:cs="Arial"/>
          <w:color w:val="000000"/>
          <w:lang w:eastAsia="bg-BG"/>
        </w:rPr>
        <w:t xml:space="preserve">ФИНАКОН 5 </w:t>
      </w:r>
      <w:r w:rsidRPr="000112D6">
        <w:rPr>
          <w:rFonts w:eastAsia="Times New Roman" w:cs="Arial"/>
          <w:color w:val="000000"/>
          <w:lang w:val="en-US"/>
        </w:rPr>
        <w:t xml:space="preserve">mg </w:t>
      </w:r>
      <w:r w:rsidRPr="000112D6">
        <w:rPr>
          <w:rFonts w:eastAsia="Times New Roman" w:cs="Arial"/>
          <w:color w:val="000000"/>
          <w:lang w:eastAsia="bg-BG"/>
        </w:rPr>
        <w:t>филмирани таблетки</w:t>
      </w:r>
    </w:p>
    <w:p w14:paraId="73D1D99C" w14:textId="192456EA" w:rsidR="0091385D" w:rsidRPr="000112D6" w:rsidRDefault="000112D6" w:rsidP="000112D6">
      <w:pPr>
        <w:rPr>
          <w:rFonts w:cs="Arial"/>
        </w:rPr>
      </w:pPr>
      <w:r w:rsidRPr="000112D6">
        <w:rPr>
          <w:rFonts w:eastAsia="Times New Roman" w:cs="Arial"/>
          <w:color w:val="000000"/>
          <w:lang w:val="en-US"/>
        </w:rPr>
        <w:t xml:space="preserve">FINACON </w:t>
      </w:r>
      <w:r w:rsidRPr="000112D6">
        <w:rPr>
          <w:rFonts w:eastAsia="Times New Roman" w:cs="Arial"/>
          <w:color w:val="000000"/>
          <w:lang w:eastAsia="bg-BG"/>
        </w:rPr>
        <w:t xml:space="preserve">5 </w:t>
      </w:r>
      <w:r w:rsidRPr="000112D6">
        <w:rPr>
          <w:rFonts w:eastAsia="Times New Roman" w:cs="Arial"/>
          <w:color w:val="000000"/>
          <w:lang w:val="en-US"/>
        </w:rPr>
        <w:t>mg film-coated tablets</w:t>
      </w:r>
    </w:p>
    <w:p w14:paraId="1E8447D1" w14:textId="77777777" w:rsidR="0091385D" w:rsidRPr="0091385D" w:rsidRDefault="0091385D" w:rsidP="0091385D"/>
    <w:p w14:paraId="6920A680" w14:textId="53C3EFCC" w:rsidR="00C40420" w:rsidRDefault="00DD466D" w:rsidP="004A448E">
      <w:pPr>
        <w:pStyle w:val="Heading1"/>
      </w:pPr>
      <w:r>
        <w:t>2. КАЧЕСТВЕН И КОЛИЧЕСТВЕН СЪСТАВ</w:t>
      </w:r>
    </w:p>
    <w:p w14:paraId="1ED33AE8" w14:textId="288788EF" w:rsidR="0091385D" w:rsidRDefault="0091385D" w:rsidP="0091385D"/>
    <w:p w14:paraId="0109734E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 xml:space="preserve">Всяка филмирана таблетка съдържа 5 </w:t>
      </w:r>
      <w:r w:rsidRPr="000112D6">
        <w:rPr>
          <w:rFonts w:eastAsia="Times New Roman" w:cs="Arial"/>
          <w:color w:val="000000"/>
          <w:lang w:val="en-US"/>
        </w:rPr>
        <w:t xml:space="preserve">mg </w:t>
      </w:r>
      <w:r w:rsidRPr="000112D6">
        <w:rPr>
          <w:rFonts w:eastAsia="Times New Roman" w:cs="Arial"/>
          <w:color w:val="000000"/>
          <w:lang w:eastAsia="bg-BG"/>
        </w:rPr>
        <w:t xml:space="preserve">финастерид </w:t>
      </w:r>
      <w:r w:rsidRPr="000112D6">
        <w:rPr>
          <w:rFonts w:eastAsia="Times New Roman" w:cs="Arial"/>
          <w:i/>
          <w:iCs/>
          <w:color w:val="000000"/>
          <w:lang w:val="en-US"/>
        </w:rPr>
        <w:t>(finasteride).</w:t>
      </w:r>
    </w:p>
    <w:p w14:paraId="47B85350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29920FF" w14:textId="67DA95F9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u w:val="single"/>
          <w:lang w:eastAsia="bg-BG"/>
        </w:rPr>
        <w:t>Помощно вещество с известно действие:</w:t>
      </w:r>
      <w:r w:rsidRPr="000112D6">
        <w:rPr>
          <w:rFonts w:eastAsia="Times New Roman" w:cs="Arial"/>
          <w:color w:val="000000"/>
          <w:lang w:eastAsia="bg-BG"/>
        </w:rPr>
        <w:t xml:space="preserve"> лактоза монохидрат (97,500 </w:t>
      </w:r>
      <w:r w:rsidRPr="000112D6">
        <w:rPr>
          <w:rFonts w:eastAsia="Times New Roman" w:cs="Arial"/>
          <w:color w:val="000000"/>
          <w:lang w:val="en-US"/>
        </w:rPr>
        <w:t>mg)</w:t>
      </w:r>
    </w:p>
    <w:p w14:paraId="729D0A91" w14:textId="2793B02E" w:rsidR="0091385D" w:rsidRPr="000112D6" w:rsidRDefault="000112D6" w:rsidP="000112D6">
      <w:pPr>
        <w:rPr>
          <w:rFonts w:cs="Arial"/>
        </w:rPr>
      </w:pPr>
      <w:r w:rsidRPr="000112D6">
        <w:rPr>
          <w:rFonts w:eastAsia="Times New Roman" w:cs="Arial"/>
          <w:color w:val="000000"/>
          <w:lang w:eastAsia="bg-BG"/>
        </w:rPr>
        <w:t>За пълния списък на помощните вещества вижте точка 6.1.</w:t>
      </w:r>
    </w:p>
    <w:p w14:paraId="03110A50" w14:textId="77777777" w:rsidR="0091385D" w:rsidRPr="0091385D" w:rsidRDefault="0091385D" w:rsidP="0091385D"/>
    <w:p w14:paraId="614984C4" w14:textId="3FC552C3" w:rsidR="008A6AF2" w:rsidRDefault="00DD466D" w:rsidP="002C50EE">
      <w:pPr>
        <w:pStyle w:val="Heading1"/>
      </w:pPr>
      <w:r>
        <w:t>3. ЛЕКАРСТВЕНА ФОРМА</w:t>
      </w:r>
    </w:p>
    <w:p w14:paraId="1004E96C" w14:textId="277B91E7" w:rsidR="0091385D" w:rsidRDefault="0091385D" w:rsidP="0091385D"/>
    <w:p w14:paraId="73EDDBC2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Филмирана таблетка.</w:t>
      </w:r>
    </w:p>
    <w:p w14:paraId="157D5E62" w14:textId="77777777" w:rsidR="000112D6" w:rsidRPr="000112D6" w:rsidRDefault="000112D6" w:rsidP="000112D6">
      <w:pPr>
        <w:rPr>
          <w:rFonts w:eastAsia="Times New Roman" w:cs="Arial"/>
          <w:color w:val="000000"/>
          <w:lang w:eastAsia="bg-BG"/>
        </w:rPr>
      </w:pPr>
    </w:p>
    <w:p w14:paraId="4A991133" w14:textId="3D8E41C1" w:rsidR="0091385D" w:rsidRPr="000112D6" w:rsidRDefault="000112D6" w:rsidP="000112D6">
      <w:pPr>
        <w:rPr>
          <w:rFonts w:cs="Arial"/>
        </w:rPr>
      </w:pPr>
      <w:r w:rsidRPr="000112D6">
        <w:rPr>
          <w:rFonts w:eastAsia="Times New Roman" w:cs="Arial"/>
          <w:color w:val="000000"/>
          <w:lang w:eastAsia="bg-BG"/>
        </w:rPr>
        <w:t>Синя, кръгла, двойноизпъкнала, със скосени ръбове, филмирана таблетка, с надпис "Е" от едната страна и "61" от другата.</w:t>
      </w:r>
    </w:p>
    <w:p w14:paraId="4129ADBB" w14:textId="77777777" w:rsidR="0091385D" w:rsidRPr="0091385D" w:rsidRDefault="0091385D" w:rsidP="0091385D"/>
    <w:p w14:paraId="490FC2C4" w14:textId="76FABE77" w:rsidR="002C50EE" w:rsidRDefault="002C50EE" w:rsidP="002C50EE">
      <w:pPr>
        <w:pStyle w:val="Heading1"/>
      </w:pPr>
      <w:r>
        <w:t>4. КЛИНИЧНИ ДАННИ</w:t>
      </w:r>
    </w:p>
    <w:p w14:paraId="0C69CBC7" w14:textId="77777777" w:rsidR="0091385D" w:rsidRPr="0091385D" w:rsidRDefault="0091385D" w:rsidP="0091385D"/>
    <w:p w14:paraId="0C8E6903" w14:textId="51BB3E2D" w:rsidR="008134C8" w:rsidRDefault="002C50EE" w:rsidP="004A448E">
      <w:pPr>
        <w:pStyle w:val="Heading2"/>
      </w:pPr>
      <w:r>
        <w:t>4.1. Терапевтични показания</w:t>
      </w:r>
    </w:p>
    <w:p w14:paraId="174D169F" w14:textId="0369962D" w:rsidR="0091385D" w:rsidRDefault="0091385D" w:rsidP="0091385D"/>
    <w:p w14:paraId="146237F5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Финакон е показан за лечение и контрол на доброкачествена хиперплазия на простатата (ДХП), за да:</w:t>
      </w:r>
    </w:p>
    <w:p w14:paraId="3418AA18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70976F1" w14:textId="0736320E" w:rsidR="000112D6" w:rsidRPr="000112D6" w:rsidRDefault="000112D6" w:rsidP="000112D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причини регресия на уголемената простата, да подобри уринарния поток и симптомите, свързани с ДХП;</w:t>
      </w:r>
    </w:p>
    <w:p w14:paraId="6124B339" w14:textId="0B072021" w:rsidR="000112D6" w:rsidRPr="000112D6" w:rsidRDefault="000112D6" w:rsidP="000112D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намали честотата на остра ретенция на урината и необходимостта от оперативно лечение, включваща трансуретрална резекция на простатата (ТУР) и простатектомия.</w:t>
      </w:r>
    </w:p>
    <w:p w14:paraId="50FBC53F" w14:textId="77777777" w:rsidR="000112D6" w:rsidRPr="000112D6" w:rsidRDefault="000112D6" w:rsidP="000112D6">
      <w:pPr>
        <w:rPr>
          <w:rFonts w:eastAsia="Times New Roman" w:cs="Arial"/>
          <w:color w:val="000000"/>
          <w:lang w:eastAsia="bg-BG"/>
        </w:rPr>
      </w:pPr>
    </w:p>
    <w:p w14:paraId="189A2720" w14:textId="31422114" w:rsidR="000112D6" w:rsidRPr="000112D6" w:rsidRDefault="000112D6" w:rsidP="000112D6">
      <w:pPr>
        <w:rPr>
          <w:rFonts w:cs="Arial"/>
        </w:rPr>
      </w:pPr>
      <w:r w:rsidRPr="000112D6">
        <w:rPr>
          <w:rFonts w:eastAsia="Times New Roman" w:cs="Arial"/>
          <w:color w:val="000000"/>
          <w:lang w:eastAsia="bg-BG"/>
        </w:rPr>
        <w:t xml:space="preserve">Финакон трябва да се прилага на пациенти с увеличена простата (обем на простата над приблизително 40 </w:t>
      </w:r>
      <w:r w:rsidRPr="000112D6">
        <w:rPr>
          <w:rFonts w:eastAsia="Times New Roman" w:cs="Arial"/>
          <w:color w:val="000000"/>
          <w:lang w:val="en-US"/>
        </w:rPr>
        <w:t>ml).</w:t>
      </w:r>
    </w:p>
    <w:p w14:paraId="6DFA4B9D" w14:textId="77777777" w:rsidR="0091385D" w:rsidRPr="0091385D" w:rsidRDefault="0091385D" w:rsidP="0091385D"/>
    <w:p w14:paraId="30BE2C7B" w14:textId="3633C1E4" w:rsidR="008134C8" w:rsidRDefault="002C50EE" w:rsidP="004A448E">
      <w:pPr>
        <w:pStyle w:val="Heading2"/>
      </w:pPr>
      <w:r>
        <w:t>4.2. Дозировка и начин на приложение</w:t>
      </w:r>
    </w:p>
    <w:p w14:paraId="7AA22B68" w14:textId="3A681DFB" w:rsidR="0091385D" w:rsidRDefault="0091385D" w:rsidP="0091385D"/>
    <w:p w14:paraId="1FB0326A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Само за перорално приложение.</w:t>
      </w:r>
    </w:p>
    <w:p w14:paraId="4AA28255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58ADBA2" w14:textId="4C113170" w:rsidR="000112D6" w:rsidRPr="007F57BE" w:rsidRDefault="000112D6" w:rsidP="007F57BE">
      <w:pPr>
        <w:pStyle w:val="Heading3"/>
        <w:rPr>
          <w:rFonts w:eastAsia="Times New Roman"/>
          <w:u w:val="single"/>
          <w:lang w:eastAsia="bg-BG"/>
        </w:rPr>
      </w:pPr>
      <w:r w:rsidRPr="007F57BE">
        <w:rPr>
          <w:rFonts w:eastAsia="Times New Roman"/>
          <w:u w:val="single"/>
          <w:lang w:eastAsia="bg-BG"/>
        </w:rPr>
        <w:lastRenderedPageBreak/>
        <w:t>Дозировка</w:t>
      </w:r>
    </w:p>
    <w:p w14:paraId="343ABA7E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B18A87F" w14:textId="7BB6F0A4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 xml:space="preserve">Препоръчителната доза е една таблетка от 5 </w:t>
      </w:r>
      <w:r w:rsidRPr="000112D6">
        <w:rPr>
          <w:rFonts w:eastAsia="Times New Roman" w:cs="Arial"/>
          <w:color w:val="000000"/>
          <w:lang w:val="en-US"/>
        </w:rPr>
        <w:t xml:space="preserve">mg </w:t>
      </w:r>
      <w:r w:rsidRPr="000112D6">
        <w:rPr>
          <w:rFonts w:eastAsia="Times New Roman" w:cs="Arial"/>
          <w:color w:val="000000"/>
          <w:lang w:eastAsia="bg-BG"/>
        </w:rPr>
        <w:t xml:space="preserve">дневно със или без храна. Таблетката трябва да се поглъща цяла и не трябва да се разделя или разтрошава (виж точка 6.6). Въпреки че подобрение в състоянието може да се наблюдава скоро след започване на лечението, се препоръчва то да продължи </w:t>
      </w:r>
      <w:r w:rsidRPr="000112D6">
        <w:rPr>
          <w:rFonts w:eastAsia="Times New Roman" w:cs="Arial"/>
          <w:i/>
          <w:iCs/>
          <w:color w:val="000000"/>
          <w:lang w:eastAsia="bg-BG"/>
        </w:rPr>
        <w:t>най-малко 6</w:t>
      </w:r>
      <w:r w:rsidRPr="000112D6">
        <w:rPr>
          <w:rFonts w:eastAsia="Times New Roman" w:cs="Arial"/>
          <w:color w:val="000000"/>
          <w:lang w:eastAsia="bg-BG"/>
        </w:rPr>
        <w:t xml:space="preserve"> месеца, за да се определи обективно дали е постигнат благоприятен резултат от лечението.</w:t>
      </w:r>
    </w:p>
    <w:p w14:paraId="1E108B26" w14:textId="77777777" w:rsidR="000112D6" w:rsidRPr="000112D6" w:rsidRDefault="000112D6" w:rsidP="000112D6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C04F762" w14:textId="550AE56E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i/>
          <w:iCs/>
          <w:color w:val="000000"/>
          <w:lang w:eastAsia="bg-BG"/>
        </w:rPr>
        <w:t>Дозировка при пациенти в старческа възраст</w:t>
      </w:r>
    </w:p>
    <w:p w14:paraId="475300EC" w14:textId="22C90333" w:rsidR="0091385D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Не е необходимо адаптиране на дозата, въпреки че фармакокинетичните изпитвания са показали, че скоростта на елиминиране на финастерид е леко забавена при пациенти над 70-годишна възраст.</w:t>
      </w:r>
    </w:p>
    <w:p w14:paraId="6ACAF645" w14:textId="148C882F" w:rsidR="0091385D" w:rsidRDefault="0091385D" w:rsidP="0091385D"/>
    <w:p w14:paraId="5BB01D03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i/>
          <w:iCs/>
          <w:color w:val="000000"/>
          <w:lang w:eastAsia="bg-BG"/>
        </w:rPr>
        <w:t>Дозировка при чернодробна недостатъчност</w:t>
      </w:r>
    </w:p>
    <w:p w14:paraId="0E55D9D4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Влиянието на чернодробната недостатъчност върху фармакокинетиката на финастерид не е проучено (вижте точка 4.4).</w:t>
      </w:r>
    </w:p>
    <w:p w14:paraId="3AE67731" w14:textId="77777777" w:rsidR="000112D6" w:rsidRPr="000112D6" w:rsidRDefault="000112D6" w:rsidP="000112D6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E925669" w14:textId="53A6A3CB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i/>
          <w:iCs/>
          <w:color w:val="000000"/>
          <w:lang w:eastAsia="bg-BG"/>
        </w:rPr>
        <w:t>Дозировка при бъбречна недостатъчност</w:t>
      </w:r>
    </w:p>
    <w:p w14:paraId="6E511F94" w14:textId="1F09BD0F" w:rsidR="000112D6" w:rsidRPr="000112D6" w:rsidRDefault="000112D6" w:rsidP="000112D6">
      <w:pPr>
        <w:rPr>
          <w:rFonts w:cs="Arial"/>
          <w:b/>
        </w:rPr>
      </w:pPr>
      <w:r w:rsidRPr="000112D6">
        <w:rPr>
          <w:rFonts w:eastAsia="Times New Roman" w:cs="Arial"/>
          <w:color w:val="000000"/>
          <w:lang w:eastAsia="bg-BG"/>
        </w:rPr>
        <w:t xml:space="preserve">При пациенти с различни степени на бъбречна недостатъчност (с креатининов клирънс под 9 </w:t>
      </w:r>
      <w:r w:rsidRPr="000112D6">
        <w:rPr>
          <w:rFonts w:eastAsia="Times New Roman" w:cs="Arial"/>
          <w:color w:val="000000"/>
          <w:lang w:val="en-US"/>
        </w:rPr>
        <w:t xml:space="preserve">ml/min) </w:t>
      </w:r>
      <w:r w:rsidRPr="000112D6">
        <w:rPr>
          <w:rFonts w:eastAsia="Times New Roman" w:cs="Arial"/>
          <w:color w:val="000000"/>
          <w:lang w:eastAsia="bg-BG"/>
        </w:rPr>
        <w:t>не е необходимо адаптиране на дозата, тъй като по време на фармакокинетични изпитвания не е било установено, че бъбречната недостатъчност повлиява елиминирането на финастерид. Финастерид не е проучван при пациенти на хемодиализа.</w:t>
      </w:r>
    </w:p>
    <w:p w14:paraId="51A072D3" w14:textId="77777777" w:rsidR="000112D6" w:rsidRPr="0091385D" w:rsidRDefault="000112D6" w:rsidP="0091385D"/>
    <w:p w14:paraId="28C984E8" w14:textId="0756AE28" w:rsidR="008134C8" w:rsidRDefault="002C50EE" w:rsidP="004A448E">
      <w:pPr>
        <w:pStyle w:val="Heading2"/>
      </w:pPr>
      <w:r>
        <w:t>4.3. Противопоказания</w:t>
      </w:r>
    </w:p>
    <w:p w14:paraId="2363D607" w14:textId="48168570" w:rsidR="0091385D" w:rsidRDefault="0091385D" w:rsidP="0091385D"/>
    <w:p w14:paraId="4ECA77A0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Свръхчувствителност към финастерид или някои от помощните вещества.</w:t>
      </w:r>
    </w:p>
    <w:p w14:paraId="485C1841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Финастерид е противопоказан при жени и деца (вижте точки 4.4, 4.6 и 6.6).</w:t>
      </w:r>
    </w:p>
    <w:p w14:paraId="2309EAB0" w14:textId="101B5B5F" w:rsidR="0091385D" w:rsidRPr="000112D6" w:rsidRDefault="000112D6" w:rsidP="000112D6">
      <w:pPr>
        <w:rPr>
          <w:rFonts w:cs="Arial"/>
        </w:rPr>
      </w:pPr>
      <w:r w:rsidRPr="000112D6">
        <w:rPr>
          <w:rFonts w:eastAsia="Times New Roman" w:cs="Arial"/>
          <w:color w:val="000000"/>
          <w:lang w:eastAsia="bg-BG"/>
        </w:rPr>
        <w:t>Бременност - употреба при жени, които са бременни или могат потенциално да бъдат бременни (вижте точка „Бременност, кърмене и фертилитет, Експозиция на финастерид - риск за плода от мъжки пол”)</w:t>
      </w:r>
    </w:p>
    <w:p w14:paraId="31B39DC6" w14:textId="77777777" w:rsidR="0091385D" w:rsidRPr="0091385D" w:rsidRDefault="0091385D" w:rsidP="0091385D"/>
    <w:p w14:paraId="212F509C" w14:textId="52B87D4F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0AAC2B60" w14:textId="0A08B607" w:rsidR="0091385D" w:rsidRDefault="0091385D" w:rsidP="0091385D"/>
    <w:p w14:paraId="3F68BF26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i/>
          <w:iCs/>
          <w:color w:val="000000"/>
          <w:u w:val="single"/>
          <w:lang w:eastAsia="bg-BG"/>
        </w:rPr>
        <w:t>Обши</w:t>
      </w:r>
    </w:p>
    <w:p w14:paraId="3079FC5B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•</w:t>
      </w:r>
      <w:r w:rsidRPr="000112D6">
        <w:rPr>
          <w:rFonts w:eastAsia="Times New Roman" w:cs="Arial"/>
          <w:color w:val="000000"/>
          <w:lang w:eastAsia="bg-BG"/>
        </w:rPr>
        <w:tab/>
        <w:t>Пациенти с голям обем остатъчна урина и/или силно намален уринарен поток трябва да бъдат наблюдавани внимателно за обструктивна уропатия.</w:t>
      </w:r>
    </w:p>
    <w:p w14:paraId="52D309F2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•</w:t>
      </w:r>
      <w:r w:rsidRPr="000112D6">
        <w:rPr>
          <w:rFonts w:eastAsia="Times New Roman" w:cs="Arial"/>
          <w:color w:val="000000"/>
          <w:lang w:eastAsia="bg-BG"/>
        </w:rPr>
        <w:tab/>
        <w:t>Пациенти на лечение с финастерид трябва по преценка да бъдат консултирани с уролог.</w:t>
      </w:r>
    </w:p>
    <w:p w14:paraId="05316F6B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•</w:t>
      </w:r>
      <w:r w:rsidRPr="000112D6">
        <w:rPr>
          <w:rFonts w:eastAsia="Times New Roman" w:cs="Arial"/>
          <w:color w:val="000000"/>
          <w:lang w:eastAsia="bg-BG"/>
        </w:rPr>
        <w:tab/>
        <w:t>Преди започване на лечението с финастерид трябва да се изключи обструкция</w:t>
      </w:r>
    </w:p>
    <w:p w14:paraId="548C21EE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вследствие на трилобуларно нарастване на простатата.</w:t>
      </w:r>
    </w:p>
    <w:p w14:paraId="1EFE7AEF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•</w:t>
      </w:r>
      <w:r w:rsidRPr="000112D6">
        <w:rPr>
          <w:rFonts w:eastAsia="Times New Roman" w:cs="Arial"/>
          <w:color w:val="000000"/>
          <w:lang w:eastAsia="bg-BG"/>
        </w:rPr>
        <w:tab/>
        <w:t>Няма опит при пациенти с чернодробна недостатъчност. Тъй като Финастерид се метаболизира в черния дроб (вижте точка 5.2), при пациенти с увредена чернодробна функция е необходимо повишено внимание, тъй като плазмените нива на финастерид може да са увеличени при такива пациенти.</w:t>
      </w:r>
    </w:p>
    <w:p w14:paraId="23BEE3A4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•</w:t>
      </w:r>
      <w:r w:rsidRPr="000112D6">
        <w:rPr>
          <w:rFonts w:eastAsia="Times New Roman" w:cs="Arial"/>
          <w:color w:val="000000"/>
          <w:lang w:eastAsia="bg-BG"/>
        </w:rPr>
        <w:tab/>
        <w:t xml:space="preserve">Този лекарствен продукт съдържа лактоза монохидрат. Пациенти с редки наследствени проблеми на галактозна непоносимост, </w:t>
      </w:r>
      <w:r w:rsidRPr="000112D6">
        <w:rPr>
          <w:rFonts w:eastAsia="Times New Roman" w:cs="Arial"/>
          <w:color w:val="000000"/>
          <w:lang w:val="en-US"/>
        </w:rPr>
        <w:t>Lapp</w:t>
      </w:r>
      <w:r w:rsidRPr="000112D6">
        <w:rPr>
          <w:rFonts w:eastAsia="Times New Roman" w:cs="Arial"/>
          <w:color w:val="000000"/>
          <w:lang w:eastAsia="bg-BG"/>
        </w:rPr>
        <w:t>-лактазен дефицит или глюкозо-галактозна малабсорбция не трябва да приемат това лекарство.</w:t>
      </w:r>
    </w:p>
    <w:p w14:paraId="6D2FC29F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lastRenderedPageBreak/>
        <w:t>•</w:t>
      </w:r>
      <w:r w:rsidRPr="000112D6">
        <w:rPr>
          <w:rFonts w:eastAsia="Times New Roman" w:cs="Arial"/>
          <w:color w:val="000000"/>
          <w:lang w:eastAsia="bg-BG"/>
        </w:rPr>
        <w:tab/>
        <w:t>С цел избягване на обструктивните усложнения, е необходимо пациентите с голям остатъчен обем на урината и/или силно намален уринарен поток да бъдат внимателно наблюдавани. При необходимост може да се пристъпи към хирургична интервенция.</w:t>
      </w:r>
    </w:p>
    <w:p w14:paraId="7AA38DC5" w14:textId="77777777" w:rsidR="000112D6" w:rsidRPr="000112D6" w:rsidRDefault="000112D6" w:rsidP="000112D6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5C4A48DE" w14:textId="5FC0986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i/>
          <w:iCs/>
          <w:color w:val="000000"/>
          <w:u w:val="single"/>
          <w:lang w:eastAsia="bg-BG"/>
        </w:rPr>
        <w:t xml:space="preserve">Ефекти върху откриването на специфичен простатен антиген </w:t>
      </w:r>
      <w:r w:rsidRPr="000112D6">
        <w:rPr>
          <w:rFonts w:eastAsia="Times New Roman" w:cs="Arial"/>
          <w:i/>
          <w:iCs/>
          <w:color w:val="000000"/>
          <w:u w:val="single"/>
          <w:lang w:val="en-US"/>
        </w:rPr>
        <w:t xml:space="preserve">(PSA) </w:t>
      </w:r>
      <w:r w:rsidRPr="000112D6">
        <w:rPr>
          <w:rFonts w:eastAsia="Times New Roman" w:cs="Arial"/>
          <w:i/>
          <w:iCs/>
          <w:color w:val="000000"/>
          <w:u w:val="single"/>
          <w:lang w:eastAsia="bg-BG"/>
        </w:rPr>
        <w:t>и карцином на простатата:</w:t>
      </w:r>
    </w:p>
    <w:p w14:paraId="28DA5746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 xml:space="preserve">Все още не е установена клинична полза от лечението с финастерид при пациенти с карцином на простатата. Пациенти с ДХП и високи серумни нива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 xml:space="preserve">са проследени в контролирани клинични изпитвания чрез серийно изследване на серумното ниво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>и серийни биопсии на простатата. В тези изпитвания за ДХП, финастерид не е променил степента на откриване на простатния карцином и общата честота на простатния карцином не се е различавала значително при пациенти, лекувани с финастерид в сравнение с тези на плацебо.</w:t>
      </w:r>
    </w:p>
    <w:p w14:paraId="014F7177" w14:textId="77777777" w:rsidR="000112D6" w:rsidRPr="000112D6" w:rsidRDefault="000112D6" w:rsidP="000112D6">
      <w:pPr>
        <w:rPr>
          <w:rFonts w:eastAsia="Times New Roman" w:cs="Arial"/>
          <w:color w:val="000000"/>
          <w:lang w:eastAsia="bg-BG"/>
        </w:rPr>
      </w:pPr>
    </w:p>
    <w:p w14:paraId="605069DA" w14:textId="77777777" w:rsidR="000112D6" w:rsidRPr="000112D6" w:rsidRDefault="000112D6" w:rsidP="000112D6">
      <w:pPr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 xml:space="preserve">Преди започване на терапия с финастерид, както и периодично по време на лечението трябва да се извършва ректално туширане, а при необходимост и определяне на специфичния простатен антиген </w:t>
      </w:r>
      <w:r w:rsidRPr="000112D6">
        <w:rPr>
          <w:rFonts w:eastAsia="Times New Roman" w:cs="Arial"/>
          <w:color w:val="000000"/>
          <w:lang w:val="en-US"/>
        </w:rPr>
        <w:t xml:space="preserve">(PSA) </w:t>
      </w:r>
      <w:r w:rsidRPr="000112D6">
        <w:rPr>
          <w:rFonts w:eastAsia="Times New Roman" w:cs="Arial"/>
          <w:color w:val="000000"/>
          <w:lang w:eastAsia="bg-BG"/>
        </w:rPr>
        <w:t xml:space="preserve">с цел изключване на карцином на простатата. Серумният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 xml:space="preserve">също така се използва за откриване на простатния карцином. Най-общо, базално ниво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>&gt;</w:t>
      </w:r>
      <w:r w:rsidRPr="000112D6">
        <w:rPr>
          <w:rFonts w:eastAsia="Times New Roman" w:cs="Arial"/>
          <w:color w:val="000000"/>
          <w:lang w:val="en-US"/>
        </w:rPr>
        <w:t xml:space="preserve"> 10 ng/ml (</w:t>
      </w:r>
      <w:proofErr w:type="spellStart"/>
      <w:r w:rsidRPr="000112D6">
        <w:rPr>
          <w:rFonts w:eastAsia="Times New Roman" w:cs="Arial"/>
          <w:color w:val="000000"/>
          <w:lang w:val="en-US"/>
        </w:rPr>
        <w:t>Hybritech</w:t>
      </w:r>
      <w:proofErr w:type="spellEnd"/>
      <w:r w:rsidRPr="000112D6">
        <w:rPr>
          <w:rFonts w:eastAsia="Times New Roman" w:cs="Arial"/>
          <w:color w:val="000000"/>
          <w:lang w:val="en-US"/>
        </w:rPr>
        <w:t xml:space="preserve">) </w:t>
      </w:r>
      <w:r w:rsidRPr="000112D6">
        <w:rPr>
          <w:rFonts w:eastAsia="Times New Roman" w:cs="Arial"/>
          <w:color w:val="000000"/>
          <w:lang w:eastAsia="bg-BG"/>
        </w:rPr>
        <w:t xml:space="preserve">дава повод за продължаване на изследванията и преценка на необходимостта от извършване на биопсия; при нива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 xml:space="preserve">между 4 и 10 </w:t>
      </w:r>
      <w:r w:rsidRPr="000112D6">
        <w:rPr>
          <w:rFonts w:eastAsia="Times New Roman" w:cs="Arial"/>
          <w:color w:val="000000"/>
          <w:lang w:val="en-US"/>
        </w:rPr>
        <w:t xml:space="preserve">ng/ml </w:t>
      </w:r>
      <w:r w:rsidRPr="000112D6">
        <w:rPr>
          <w:rFonts w:eastAsia="Times New Roman" w:cs="Arial"/>
          <w:color w:val="000000"/>
          <w:lang w:eastAsia="bg-BG"/>
        </w:rPr>
        <w:t xml:space="preserve">е препоръчително изследванията да продължат. Има значително съвпадане в нивата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 xml:space="preserve">сред мъжете със и без простатен  карцином. Следователно при мъже с ДХП, нормалните нива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>не изключват наличието на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0112D6">
        <w:rPr>
          <w:rFonts w:eastAsia="Times New Roman" w:cs="Arial"/>
          <w:color w:val="000000"/>
          <w:lang w:eastAsia="bg-BG"/>
        </w:rPr>
        <w:t xml:space="preserve">простатен карцином, независимо от лечението с финастерид. Базални нива на </w:t>
      </w:r>
      <w:r w:rsidRPr="000112D6">
        <w:rPr>
          <w:rFonts w:eastAsia="Times New Roman" w:cs="Arial"/>
          <w:color w:val="000000"/>
          <w:lang w:val="en-US"/>
        </w:rPr>
        <w:t>PSA</w:t>
      </w:r>
      <w:r w:rsidRPr="000112D6">
        <w:rPr>
          <w:rFonts w:eastAsia="Times New Roman" w:cs="Arial"/>
          <w:color w:val="000000"/>
          <w:lang w:eastAsia="bg-BG"/>
        </w:rPr>
        <w:t xml:space="preserve"> </w:t>
      </w:r>
      <w:r w:rsidRPr="000112D6">
        <w:rPr>
          <w:rFonts w:eastAsia="Times New Roman" w:cs="Arial"/>
          <w:color w:val="000000"/>
          <w:lang w:val="en-US"/>
        </w:rPr>
        <w:t>&lt;</w:t>
      </w:r>
      <w:r w:rsidRPr="000112D6">
        <w:rPr>
          <w:rFonts w:eastAsia="Times New Roman" w:cs="Arial"/>
          <w:color w:val="000000"/>
          <w:lang w:eastAsia="bg-BG"/>
        </w:rPr>
        <w:t xml:space="preserve"> 4</w:t>
      </w:r>
      <w:r w:rsidRPr="000112D6">
        <w:rPr>
          <w:rFonts w:eastAsia="Times New Roman" w:cs="Arial"/>
          <w:color w:val="000000"/>
          <w:lang w:val="en-US"/>
        </w:rPr>
        <w:t xml:space="preserve"> ng/ml </w:t>
      </w:r>
      <w:r w:rsidRPr="000112D6">
        <w:rPr>
          <w:rFonts w:eastAsia="Times New Roman" w:cs="Arial"/>
          <w:color w:val="000000"/>
          <w:lang w:eastAsia="bg-BG"/>
        </w:rPr>
        <w:t>не изключват наличие на простатен карцином.</w:t>
      </w:r>
    </w:p>
    <w:p w14:paraId="2D56D9F2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7F9AB29" w14:textId="4C8BE180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 xml:space="preserve">Финастерид предизвиква понижаване на серумните концентрации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 xml:space="preserve">с приблизитело 50 % при пациенти с ДХП, дори и при наличие на карцином на простатата. Това понижение на серумните нива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 xml:space="preserve">при пациенти с ДХП, лекувани с финастерид, трябва да се има предвид при интерпретиране на </w:t>
      </w:r>
      <w:r w:rsidRPr="000112D6">
        <w:rPr>
          <w:rFonts w:eastAsia="Times New Roman" w:cs="Arial"/>
          <w:color w:val="000000"/>
          <w:lang w:val="en-US"/>
        </w:rPr>
        <w:t>PSA</w:t>
      </w:r>
      <w:r w:rsidRPr="000112D6">
        <w:rPr>
          <w:rFonts w:eastAsia="Times New Roman" w:cs="Arial"/>
          <w:color w:val="000000"/>
          <w:lang w:eastAsia="bg-BG"/>
        </w:rPr>
        <w:t xml:space="preserve">-данните, както и да не се изключва вероятността за наличие на простатен карцином. Понижението е предвидимо в рамките на цялостното вариране на стойностите на </w:t>
      </w:r>
      <w:r w:rsidRPr="000112D6">
        <w:rPr>
          <w:rFonts w:eastAsia="Times New Roman" w:cs="Arial"/>
          <w:color w:val="000000"/>
          <w:lang w:val="en-US"/>
        </w:rPr>
        <w:t xml:space="preserve">PSA, </w:t>
      </w:r>
      <w:r w:rsidRPr="000112D6">
        <w:rPr>
          <w:rFonts w:eastAsia="Times New Roman" w:cs="Arial"/>
          <w:color w:val="000000"/>
          <w:lang w:eastAsia="bg-BG"/>
        </w:rPr>
        <w:t xml:space="preserve">въпреки че може да се различава при отделните пациенти. Пациенти, лекувани с финастерид в продължение на 6 месеца и повече, стойностите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 xml:space="preserve">следва да се удвояват, за да се сравняват с нормалните граници при нелекувани мъже. Това преизчисляване на нивата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 xml:space="preserve">запазва чувствителността и специфичността на анализа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>и поддържа възможностите му за откриване на простатния карцином.</w:t>
      </w:r>
    </w:p>
    <w:p w14:paraId="6333791D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0280B01" w14:textId="77F3E8B6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 xml:space="preserve">Всяко продължително повишаване на нивата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>при пациенти, лекувани с финастерид, трябва да бъде внимателно оценено, включително да се има предвид и неповлияване от лечението с финастерид.</w:t>
      </w:r>
    </w:p>
    <w:p w14:paraId="2AB8C633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B3AE74C" w14:textId="48BA360F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 xml:space="preserve">Процентът свободен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 xml:space="preserve">(съотношението свободен към общ </w:t>
      </w:r>
      <w:r w:rsidRPr="000112D6">
        <w:rPr>
          <w:rFonts w:eastAsia="Times New Roman" w:cs="Arial"/>
          <w:color w:val="000000"/>
          <w:lang w:val="en-US"/>
        </w:rPr>
        <w:t xml:space="preserve">PSA) </w:t>
      </w:r>
      <w:r w:rsidRPr="000112D6">
        <w:rPr>
          <w:rFonts w:eastAsia="Times New Roman" w:cs="Arial"/>
          <w:color w:val="000000"/>
          <w:lang w:eastAsia="bg-BG"/>
        </w:rPr>
        <w:t>не намалява значимо от финастерид и остава постоянен дори под влиянието на финастерид.</w:t>
      </w:r>
    </w:p>
    <w:p w14:paraId="2B206838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DC848D1" w14:textId="0D9869D2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 xml:space="preserve">Когато процентът на свободния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 xml:space="preserve">се използва за </w:t>
      </w:r>
      <w:r w:rsidRPr="000112D6">
        <w:rPr>
          <w:rFonts w:eastAsia="Times New Roman" w:cs="Arial"/>
          <w:i/>
          <w:iCs/>
          <w:color w:val="000000"/>
          <w:lang w:eastAsia="bg-BG"/>
        </w:rPr>
        <w:t>помощ в</w:t>
      </w:r>
      <w:r w:rsidRPr="000112D6">
        <w:rPr>
          <w:rFonts w:eastAsia="Times New Roman" w:cs="Arial"/>
          <w:color w:val="000000"/>
          <w:lang w:eastAsia="bg-BG"/>
        </w:rPr>
        <w:t xml:space="preserve"> диагностициране на карцином на простатата, не е необходима корекция.</w:t>
      </w:r>
    </w:p>
    <w:p w14:paraId="7828228A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79E5DA8" w14:textId="154AF866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 xml:space="preserve">Жени, които са бременни или е вероятно да забременеят, не трябва да докосват счупени или натрошени таблетки финастерид, поради възможността от абсорбция на финастерид </w:t>
      </w:r>
      <w:r w:rsidRPr="000112D6">
        <w:rPr>
          <w:rFonts w:eastAsia="Times New Roman" w:cs="Arial"/>
          <w:i/>
          <w:iCs/>
          <w:color w:val="000000"/>
          <w:lang w:eastAsia="bg-BG"/>
        </w:rPr>
        <w:lastRenderedPageBreak/>
        <w:t xml:space="preserve">с </w:t>
      </w:r>
      <w:r w:rsidRPr="000112D6">
        <w:rPr>
          <w:rFonts w:eastAsia="Times New Roman" w:cs="Arial"/>
          <w:color w:val="000000"/>
          <w:lang w:eastAsia="bg-BG"/>
        </w:rPr>
        <w:t>последващ риск за плода от мъжки пол. Финастерид таблетки имат филмово покритие, което предпазва от контакт с активната съставка, при условие че не са счупени или натрошени (вижте точки 4.6. и 6.6).</w:t>
      </w:r>
    </w:p>
    <w:p w14:paraId="4B5C6D49" w14:textId="77777777" w:rsidR="000112D6" w:rsidRPr="000112D6" w:rsidRDefault="000112D6" w:rsidP="000112D6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317BC6CE" w14:textId="36C1FEE5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i/>
          <w:iCs/>
          <w:color w:val="000000"/>
          <w:u w:val="single"/>
          <w:lang w:eastAsia="bg-BG"/>
        </w:rPr>
        <w:t>Взаимодействие с лекарства/лабораторни изследвания</w:t>
      </w:r>
    </w:p>
    <w:p w14:paraId="71DCBDC7" w14:textId="77777777" w:rsidR="000112D6" w:rsidRPr="000112D6" w:rsidRDefault="000112D6" w:rsidP="000112D6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4869F54" w14:textId="6BFA069E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i/>
          <w:iCs/>
          <w:color w:val="000000"/>
          <w:lang w:eastAsia="bg-BG"/>
        </w:rPr>
        <w:t xml:space="preserve">Ефект върху нивата на </w:t>
      </w:r>
      <w:r w:rsidRPr="000112D6">
        <w:rPr>
          <w:rFonts w:eastAsia="Times New Roman" w:cs="Arial"/>
          <w:i/>
          <w:iCs/>
          <w:color w:val="000000"/>
          <w:lang w:val="en-US"/>
        </w:rPr>
        <w:t>PSA</w:t>
      </w:r>
    </w:p>
    <w:p w14:paraId="6B9B5931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 xml:space="preserve">Серумната концентрация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 xml:space="preserve">показва корелация с възрастта на пациентите и с обема на простатата, а обемът на простатата е в корелация с възрастта на пациентите. Когато се интрепретират лабораторните изследвания на </w:t>
      </w:r>
      <w:r w:rsidRPr="000112D6">
        <w:rPr>
          <w:rFonts w:eastAsia="Times New Roman" w:cs="Arial"/>
          <w:color w:val="000000"/>
          <w:lang w:val="en-US"/>
        </w:rPr>
        <w:t xml:space="preserve">PSA, </w:t>
      </w:r>
      <w:r w:rsidRPr="000112D6">
        <w:rPr>
          <w:rFonts w:eastAsia="Times New Roman" w:cs="Arial"/>
          <w:color w:val="000000"/>
          <w:lang w:eastAsia="bg-BG"/>
        </w:rPr>
        <w:t xml:space="preserve">трябва да се има предвид фактът, че нивата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 xml:space="preserve">се понижават при пациенти, лекувани с финастерид. При повечето пациенти се наблюдава бързо понижаване на </w:t>
      </w:r>
      <w:r w:rsidRPr="000112D6">
        <w:rPr>
          <w:rFonts w:eastAsia="Times New Roman" w:cs="Arial"/>
          <w:color w:val="000000"/>
          <w:lang w:val="en-US"/>
        </w:rPr>
        <w:t>PSA</w:t>
      </w:r>
      <w:r w:rsidRPr="000112D6">
        <w:rPr>
          <w:rFonts w:eastAsia="Times New Roman" w:cs="Arial"/>
          <w:color w:val="000000"/>
          <w:lang w:eastAsia="bg-BG"/>
        </w:rPr>
        <w:t xml:space="preserve">-нивата през първите месеци на лечението, след което те се стабилизират до нови базални стойности. Постерапевтичните базални нива достигат половината от предтерапевтичната им стойност. Следователно, при пациенти с типични симптоми, лекувани с финастерид в продължение на шест месеца и повече, стойностите на </w:t>
      </w:r>
      <w:r w:rsidRPr="000112D6">
        <w:rPr>
          <w:rFonts w:eastAsia="Times New Roman" w:cs="Arial"/>
          <w:color w:val="000000"/>
          <w:lang w:val="en-US"/>
        </w:rPr>
        <w:t xml:space="preserve">PSA </w:t>
      </w:r>
      <w:r w:rsidRPr="000112D6">
        <w:rPr>
          <w:rFonts w:eastAsia="Times New Roman" w:cs="Arial"/>
          <w:color w:val="000000"/>
          <w:lang w:eastAsia="bg-BG"/>
        </w:rPr>
        <w:t xml:space="preserve">трябва да се удвоят, за да бъдат сравними с нормалните граници при нелекувани мъже. За клинично тълкуване вижте точка 4.4 „Специални предупреждения и предпазни мерки при употреба, Ефекти върху откриването на специфичен простатен антиген </w:t>
      </w:r>
      <w:r w:rsidRPr="000112D6">
        <w:rPr>
          <w:rFonts w:eastAsia="Times New Roman" w:cs="Arial"/>
          <w:color w:val="000000"/>
          <w:lang w:val="en-US"/>
        </w:rPr>
        <w:t xml:space="preserve">(PSA) </w:t>
      </w:r>
      <w:r w:rsidRPr="000112D6">
        <w:rPr>
          <w:rFonts w:eastAsia="Times New Roman" w:cs="Arial"/>
          <w:color w:val="000000"/>
          <w:lang w:eastAsia="bg-BG"/>
        </w:rPr>
        <w:t>и карцином на простатата”).</w:t>
      </w:r>
    </w:p>
    <w:p w14:paraId="3413859F" w14:textId="77777777" w:rsidR="000112D6" w:rsidRPr="000112D6" w:rsidRDefault="000112D6" w:rsidP="000112D6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41B99A6C" w14:textId="33D9580C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i/>
          <w:iCs/>
          <w:color w:val="000000"/>
          <w:u w:val="single"/>
          <w:lang w:eastAsia="bg-BG"/>
        </w:rPr>
        <w:t>Рак на гърдата при мъже</w:t>
      </w:r>
    </w:p>
    <w:p w14:paraId="0865F130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 xml:space="preserve">По време на клинични изпитвания и в постмаркетинговия период се съобщава за рак на гърдата при мъже, премащи финастерид 5 </w:t>
      </w:r>
      <w:r w:rsidRPr="000112D6">
        <w:rPr>
          <w:rFonts w:eastAsia="Times New Roman" w:cs="Arial"/>
          <w:color w:val="000000"/>
          <w:lang w:val="en-US"/>
        </w:rPr>
        <w:t xml:space="preserve">mg. </w:t>
      </w:r>
      <w:r w:rsidRPr="000112D6">
        <w:rPr>
          <w:rFonts w:eastAsia="Times New Roman" w:cs="Arial"/>
          <w:color w:val="000000"/>
          <w:lang w:eastAsia="bg-BG"/>
        </w:rPr>
        <w:t xml:space="preserve">Лекарите трябва да инструктират своите пациенти незабавно да съобщават за всякакви промени в областта на гърдите като бучки, болка </w:t>
      </w:r>
      <w:r w:rsidRPr="000112D6">
        <w:rPr>
          <w:rFonts w:eastAsia="Times New Roman" w:cs="Arial"/>
          <w:i/>
          <w:iCs/>
          <w:color w:val="000000"/>
          <w:lang w:eastAsia="bg-BG"/>
        </w:rPr>
        <w:t>гннекомастия или отделяне на</w:t>
      </w:r>
      <w:r w:rsidRPr="000112D6">
        <w:rPr>
          <w:rFonts w:eastAsia="Times New Roman" w:cs="Arial"/>
          <w:color w:val="000000"/>
          <w:lang w:eastAsia="bg-BG"/>
        </w:rPr>
        <w:t xml:space="preserve"> секрет от зърната.</w:t>
      </w:r>
    </w:p>
    <w:p w14:paraId="32CDEA40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9E26AA5" w14:textId="3C69682A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Педиатрична популация</w:t>
      </w:r>
    </w:p>
    <w:p w14:paraId="0E221C3A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Финастерид не е показан за приложение при деца.</w:t>
      </w:r>
    </w:p>
    <w:p w14:paraId="0B3BEE35" w14:textId="4DA1A035" w:rsidR="0091385D" w:rsidRPr="000112D6" w:rsidRDefault="000112D6" w:rsidP="000112D6">
      <w:pPr>
        <w:rPr>
          <w:rFonts w:cs="Arial"/>
        </w:rPr>
      </w:pPr>
      <w:r w:rsidRPr="000112D6">
        <w:rPr>
          <w:rFonts w:eastAsia="Times New Roman" w:cs="Arial"/>
          <w:color w:val="000000"/>
          <w:lang w:eastAsia="bg-BG"/>
        </w:rPr>
        <w:t>Безопасността и ефикасността при деца не са установени.</w:t>
      </w:r>
    </w:p>
    <w:p w14:paraId="24E3E82F" w14:textId="4FB57D62" w:rsidR="0091385D" w:rsidRDefault="0091385D" w:rsidP="0091385D"/>
    <w:p w14:paraId="644125AA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i/>
          <w:iCs/>
          <w:color w:val="000000"/>
          <w:u w:val="single"/>
          <w:lang w:eastAsia="bg-BG"/>
        </w:rPr>
        <w:t>Лактоза</w:t>
      </w:r>
    </w:p>
    <w:p w14:paraId="0097F717" w14:textId="324EC892" w:rsidR="000112D6" w:rsidRPr="000112D6" w:rsidRDefault="000112D6" w:rsidP="000112D6">
      <w:pPr>
        <w:rPr>
          <w:rFonts w:cs="Arial"/>
        </w:rPr>
      </w:pPr>
      <w:r w:rsidRPr="000112D6">
        <w:rPr>
          <w:rFonts w:eastAsia="Times New Roman" w:cs="Arial"/>
          <w:color w:val="000000"/>
          <w:lang w:eastAsia="bg-BG"/>
        </w:rPr>
        <w:t>Таблетките съдържат лактоза монохидрат. Пациентите с някои от следните генетични дефекти не трябва да премат това лекарство: непоносимост към галактоза, общ лактазен дефицит или глюкозо-галактозна малабсорбция.</w:t>
      </w:r>
    </w:p>
    <w:p w14:paraId="477BF9D2" w14:textId="77777777" w:rsidR="000112D6" w:rsidRPr="0091385D" w:rsidRDefault="000112D6" w:rsidP="0091385D"/>
    <w:p w14:paraId="619DED1E" w14:textId="564F257F" w:rsidR="004F498A" w:rsidRDefault="002C50EE" w:rsidP="004A448E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355E4B7C" w14:textId="7D829F6C" w:rsidR="0091385D" w:rsidRDefault="0091385D" w:rsidP="0091385D"/>
    <w:p w14:paraId="5A820418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Не са идентифицирани клинично значими лекарствени взаимодействия. Изглежда финастерид не засяга свързаната с цитохром Р450 ензимна система за метаболизиране на лекарства.</w:t>
      </w:r>
    </w:p>
    <w:p w14:paraId="33460F2E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8E3EEA6" w14:textId="2164CE2B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Въпреки че рискът финастерид да повлияе фармакокинетиката на други лекарства е оценен като нисък, има вероятност инхибитори и индуктори на цитохром Р450 ЗА4 да повлияват плазмената концентрация на финастерид. Въпреки това, въз основа на установените граници на безопасност, всяко увеличение дължащо се на едновременна употреба на такиви инхибитори, е малко вероятно да бъде от клинично значение.</w:t>
      </w:r>
    </w:p>
    <w:p w14:paraId="6ECF4A5D" w14:textId="77777777" w:rsidR="000112D6" w:rsidRDefault="000112D6" w:rsidP="000112D6">
      <w:pPr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172AE819" w14:textId="2761D258" w:rsidR="0091385D" w:rsidRPr="000112D6" w:rsidRDefault="000112D6" w:rsidP="000112D6">
      <w:pPr>
        <w:rPr>
          <w:rFonts w:cs="Arial"/>
        </w:rPr>
      </w:pPr>
      <w:r w:rsidRPr="000112D6">
        <w:rPr>
          <w:rFonts w:eastAsia="Times New Roman" w:cs="Arial"/>
          <w:color w:val="000000"/>
          <w:lang w:eastAsia="bg-BG"/>
        </w:rPr>
        <w:lastRenderedPageBreak/>
        <w:t>Следните лекарствени продукти са проучени при мъже и не са установени клинично значими взаимодействия: пропранолол, дигоксин, глибенкламид, варфарин, теофилин, феназон и антипирин и не са били открити значителни взаимодействия.</w:t>
      </w:r>
    </w:p>
    <w:p w14:paraId="5B2761C5" w14:textId="77777777" w:rsidR="0091385D" w:rsidRPr="0091385D" w:rsidRDefault="0091385D" w:rsidP="0091385D"/>
    <w:p w14:paraId="394A7584" w14:textId="10DEA5B3" w:rsidR="004F498A" w:rsidRDefault="002C50EE" w:rsidP="004A448E">
      <w:pPr>
        <w:pStyle w:val="Heading2"/>
      </w:pPr>
      <w:r>
        <w:t>4.6. Фертилитет, бременност и кърмене</w:t>
      </w:r>
    </w:p>
    <w:p w14:paraId="4887836B" w14:textId="11C96CFA" w:rsidR="0091385D" w:rsidRDefault="0091385D" w:rsidP="0091385D">
      <w:bookmarkStart w:id="1" w:name="_GoBack"/>
      <w:bookmarkEnd w:id="1"/>
    </w:p>
    <w:p w14:paraId="302F6260" w14:textId="77777777" w:rsidR="000112D6" w:rsidRPr="007F57BE" w:rsidRDefault="000112D6" w:rsidP="007F57BE">
      <w:pPr>
        <w:pStyle w:val="Heading3"/>
        <w:rPr>
          <w:rFonts w:eastAsia="Times New Roman"/>
          <w:u w:val="single"/>
          <w:lang w:eastAsia="bg-BG"/>
        </w:rPr>
      </w:pPr>
      <w:r w:rsidRPr="007F57BE">
        <w:rPr>
          <w:rFonts w:eastAsia="Times New Roman"/>
          <w:u w:val="single"/>
          <w:lang w:eastAsia="bg-BG"/>
        </w:rPr>
        <w:t>Бременност</w:t>
      </w:r>
    </w:p>
    <w:p w14:paraId="24DDC003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Финастерид е противопоказан за приложение при жени (вижте точка 4.3 „Противопоказания”).</w:t>
      </w:r>
    </w:p>
    <w:p w14:paraId="7A2F202E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A1C0356" w14:textId="31AAA2AA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Поради способността на тип II 5α-редуктазните инхибитори да инхибират превръщането на тестостерон в дихидротестостерон, тези лекарства, включително финастерид, могат да причинят аномалии на външните гениталии на плод от мъжки пол, ако се прилагат на бременна жена.</w:t>
      </w:r>
    </w:p>
    <w:p w14:paraId="007444A7" w14:textId="77777777" w:rsidR="000112D6" w:rsidRPr="000112D6" w:rsidRDefault="000112D6" w:rsidP="000112D6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FB8E8B0" w14:textId="7CF28F66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i/>
          <w:iCs/>
          <w:color w:val="000000"/>
          <w:lang w:eastAsia="bg-BG"/>
        </w:rPr>
        <w:t>Експозиция на Финастерид - риск за плода от мъжки пол</w:t>
      </w:r>
    </w:p>
    <w:p w14:paraId="03C377BD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Жени, които са или могат потенциално да бъдат бременни, не трябва да докосват счупени или натрошени таблетки финастерид, поради възможността от абсорбция на финастерид и последващ потенциален риск за плода от мъжки пол (вижте точка 4.6 „Фертилитет, бременност и кърмене”).</w:t>
      </w:r>
    </w:p>
    <w:p w14:paraId="7FA3CA51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CD5524B" w14:textId="077A733E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Таблетките финастерид са филмирани, което ще предотврати контакта с активната съставка при нормално боравене, при условие, че таблетките не са били счупени или натрошени.</w:t>
      </w:r>
    </w:p>
    <w:p w14:paraId="081BD460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EC2EFC6" w14:textId="499584FE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 xml:space="preserve">Малки количества финастерид се откриват в семенната течност на мъже, получаващи финастерид в доза 5 </w:t>
      </w:r>
      <w:r w:rsidRPr="000112D6">
        <w:rPr>
          <w:rFonts w:eastAsia="Times New Roman" w:cs="Arial"/>
          <w:color w:val="000000"/>
          <w:lang w:val="en-US"/>
        </w:rPr>
        <w:t>mg</w:t>
      </w:r>
      <w:r w:rsidRPr="000112D6">
        <w:rPr>
          <w:rFonts w:eastAsia="Times New Roman" w:cs="Arial"/>
          <w:color w:val="000000"/>
          <w:lang w:eastAsia="bg-BG"/>
        </w:rPr>
        <w:t>/дневно. Не е известно дали плодът от мъжки пол може да е сериозно засегнат, ако майката е имала контакт със семенната течност на пациент, лекуван с финастерид. Когато сексуалната партньорка на пациента е бременна или е възможно да забременее, на пациента се препоръчва да намали до минимум контакта й с неговата семенна течност.</w:t>
      </w:r>
    </w:p>
    <w:p w14:paraId="0F9294DC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7754164" w14:textId="2EAF2105" w:rsidR="000112D6" w:rsidRPr="007F57BE" w:rsidRDefault="000112D6" w:rsidP="007F57BE">
      <w:pPr>
        <w:pStyle w:val="Heading3"/>
        <w:rPr>
          <w:rFonts w:eastAsia="Times New Roman"/>
          <w:u w:val="single"/>
          <w:lang w:eastAsia="bg-BG"/>
        </w:rPr>
      </w:pPr>
      <w:r w:rsidRPr="007F57BE">
        <w:rPr>
          <w:rFonts w:eastAsia="Times New Roman"/>
          <w:u w:val="single"/>
          <w:lang w:eastAsia="bg-BG"/>
        </w:rPr>
        <w:t>Кърмене</w:t>
      </w:r>
    </w:p>
    <w:p w14:paraId="776662C5" w14:textId="285A7797" w:rsidR="0091385D" w:rsidRPr="000112D6" w:rsidRDefault="000112D6" w:rsidP="000112D6">
      <w:pPr>
        <w:rPr>
          <w:rFonts w:cs="Arial"/>
        </w:rPr>
      </w:pPr>
      <w:r w:rsidRPr="000112D6">
        <w:rPr>
          <w:rFonts w:eastAsia="Times New Roman" w:cs="Arial"/>
          <w:color w:val="000000"/>
          <w:lang w:eastAsia="bg-BG"/>
        </w:rPr>
        <w:t>Финакон е противопоказан за приложение при жени. Не е известно дали Финастерид се екскретира в кърмата.</w:t>
      </w:r>
    </w:p>
    <w:p w14:paraId="3E8789C3" w14:textId="77777777" w:rsidR="0091385D" w:rsidRPr="0091385D" w:rsidRDefault="0091385D" w:rsidP="0091385D"/>
    <w:p w14:paraId="064DF1DE" w14:textId="70BCC16C" w:rsidR="00CF77F7" w:rsidRDefault="002C50EE" w:rsidP="004A448E">
      <w:pPr>
        <w:pStyle w:val="Heading2"/>
      </w:pPr>
      <w:r>
        <w:t>4.7. Ефекти върху способността за шофиране и работа с машини</w:t>
      </w:r>
    </w:p>
    <w:p w14:paraId="1455464C" w14:textId="2676810A" w:rsidR="0091385D" w:rsidRDefault="0091385D" w:rsidP="0091385D"/>
    <w:p w14:paraId="2B4135A6" w14:textId="3478A7F7" w:rsidR="0091385D" w:rsidRPr="000112D6" w:rsidRDefault="000112D6" w:rsidP="0091385D">
      <w:r>
        <w:t>Няма налични данни показващи, че финастерид би имал някакво влияние върху способността за шофиране или работа с машини.</w:t>
      </w:r>
    </w:p>
    <w:p w14:paraId="35801A15" w14:textId="77777777" w:rsidR="0091385D" w:rsidRPr="0091385D" w:rsidRDefault="0091385D" w:rsidP="0091385D"/>
    <w:p w14:paraId="37A3FD9F" w14:textId="0E7561E3" w:rsidR="00CF77F7" w:rsidRDefault="002C50EE" w:rsidP="004A448E">
      <w:pPr>
        <w:pStyle w:val="Heading2"/>
      </w:pPr>
      <w:r>
        <w:t>4.8. Нежелани лекарствени реакции</w:t>
      </w:r>
    </w:p>
    <w:p w14:paraId="4838F52A" w14:textId="4C2232D6" w:rsidR="0091385D" w:rsidRDefault="0091385D" w:rsidP="0091385D"/>
    <w:p w14:paraId="6D528255" w14:textId="77777777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Най-честите нежелани реакции са импотентност и понижено либидо. Тези реакции обикновено настъпват в началото на терапията и при по-голямата част от пациентите имат преходен характер при продължително лечение.</w:t>
      </w:r>
    </w:p>
    <w:p w14:paraId="3E2DB12F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15EDF68" w14:textId="5C72E0FA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lastRenderedPageBreak/>
        <w:t>Нежеланите реакции, докладвани по време на клинични изпитвания и /или след пускането на продукта на пазара, са описани в таблицата по-долу.</w:t>
      </w:r>
    </w:p>
    <w:p w14:paraId="0224EBCE" w14:textId="77777777" w:rsidR="000112D6" w:rsidRPr="000112D6" w:rsidRDefault="000112D6" w:rsidP="000112D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FAD5B3D" w14:textId="79F33428" w:rsidR="000112D6" w:rsidRPr="000112D6" w:rsidRDefault="000112D6" w:rsidP="000112D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0112D6">
        <w:rPr>
          <w:rFonts w:eastAsia="Times New Roman" w:cs="Arial"/>
          <w:color w:val="000000"/>
          <w:lang w:eastAsia="bg-BG"/>
        </w:rPr>
        <w:t>Честотата на нежеланите реакции е определена както следва: много чести (≥1/10), чести (≥1/100 до &lt;1/10), нечести (≥1/1 000 до &lt;1/100), редки (≥1/10 000 до &lt;1/1 000), много редки (&lt;1/10 000), с неизвестна честота (от наличните данни не може да бъде направена оценка).</w:t>
      </w:r>
    </w:p>
    <w:p w14:paraId="35BB6B42" w14:textId="77777777" w:rsidR="000112D6" w:rsidRPr="000112D6" w:rsidRDefault="000112D6" w:rsidP="000112D6">
      <w:pPr>
        <w:rPr>
          <w:rFonts w:eastAsia="Times New Roman" w:cs="Arial"/>
          <w:color w:val="000000"/>
          <w:lang w:eastAsia="bg-BG"/>
        </w:rPr>
      </w:pPr>
    </w:p>
    <w:p w14:paraId="570508C4" w14:textId="5D76E852" w:rsidR="0091385D" w:rsidRPr="000112D6" w:rsidRDefault="000112D6" w:rsidP="000112D6">
      <w:pPr>
        <w:rPr>
          <w:rFonts w:cs="Arial"/>
        </w:rPr>
      </w:pPr>
      <w:r w:rsidRPr="000112D6">
        <w:rPr>
          <w:rFonts w:eastAsia="Times New Roman" w:cs="Arial"/>
          <w:color w:val="000000"/>
          <w:lang w:eastAsia="bg-BG"/>
        </w:rPr>
        <w:t>Честотата на нежеланите реакции, съобщени в постмаркетинговия период не може да бъде класифицирана, тъй като те са получени от спонтанни съобщения.</w:t>
      </w:r>
    </w:p>
    <w:p w14:paraId="43E3C48F" w14:textId="5B3B96C9" w:rsidR="0091385D" w:rsidRDefault="0091385D" w:rsidP="0091385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0"/>
        <w:gridCol w:w="4750"/>
      </w:tblGrid>
      <w:tr w:rsidR="007F57BE" w14:paraId="33358651" w14:textId="77777777" w:rsidTr="007F57BE">
        <w:tc>
          <w:tcPr>
            <w:tcW w:w="4750" w:type="dxa"/>
          </w:tcPr>
          <w:p w14:paraId="41608BCA" w14:textId="5128456A" w:rsidR="007F57BE" w:rsidRDefault="007F57BE" w:rsidP="007F57BE">
            <w:r>
              <w:rPr>
                <w:b/>
                <w:bCs/>
              </w:rPr>
              <w:t>Снстемо-органен клас</w:t>
            </w:r>
          </w:p>
        </w:tc>
        <w:tc>
          <w:tcPr>
            <w:tcW w:w="4750" w:type="dxa"/>
          </w:tcPr>
          <w:p w14:paraId="2FDFAE7C" w14:textId="10FBC269" w:rsidR="007F57BE" w:rsidRDefault="007F57BE" w:rsidP="007F57BE">
            <w:r>
              <w:rPr>
                <w:b/>
                <w:bCs/>
              </w:rPr>
              <w:t>Честота: нежелана лекарствена реакция</w:t>
            </w:r>
          </w:p>
        </w:tc>
      </w:tr>
      <w:tr w:rsidR="007F57BE" w14:paraId="0883F94F" w14:textId="77777777" w:rsidTr="007F57BE">
        <w:tc>
          <w:tcPr>
            <w:tcW w:w="4750" w:type="dxa"/>
          </w:tcPr>
          <w:p w14:paraId="276E9EE7" w14:textId="255DF3E3" w:rsidR="007F57BE" w:rsidRDefault="007F57BE" w:rsidP="007F57BE">
            <w:r>
              <w:t>Изследвания</w:t>
            </w:r>
          </w:p>
        </w:tc>
        <w:tc>
          <w:tcPr>
            <w:tcW w:w="4750" w:type="dxa"/>
          </w:tcPr>
          <w:p w14:paraId="59D2D6B6" w14:textId="206218B8" w:rsidR="007F57BE" w:rsidRDefault="007F57BE" w:rsidP="007F57BE">
            <w:r>
              <w:rPr>
                <w:i/>
                <w:iCs/>
              </w:rPr>
              <w:t>Чести:</w:t>
            </w:r>
            <w:r>
              <w:t xml:space="preserve"> намален обем на еякулата</w:t>
            </w:r>
          </w:p>
        </w:tc>
      </w:tr>
      <w:tr w:rsidR="007F57BE" w14:paraId="26E55366" w14:textId="77777777" w:rsidTr="007F57BE">
        <w:tc>
          <w:tcPr>
            <w:tcW w:w="4750" w:type="dxa"/>
          </w:tcPr>
          <w:p w14:paraId="4A000279" w14:textId="6E5B08BB" w:rsidR="007F57BE" w:rsidRDefault="007F57BE" w:rsidP="007F57BE">
            <w:r>
              <w:t>Сърдечни нарушения</w:t>
            </w:r>
          </w:p>
        </w:tc>
        <w:tc>
          <w:tcPr>
            <w:tcW w:w="4750" w:type="dxa"/>
          </w:tcPr>
          <w:p w14:paraId="7D6BAD53" w14:textId="356AEF7C" w:rsidR="007F57BE" w:rsidRDefault="007F57BE" w:rsidP="007F57BE">
            <w:r>
              <w:rPr>
                <w:i/>
                <w:iCs/>
              </w:rPr>
              <w:t>С неизвестна честота:</w:t>
            </w:r>
            <w:r>
              <w:t xml:space="preserve"> сърцебиене</w:t>
            </w:r>
          </w:p>
        </w:tc>
      </w:tr>
      <w:tr w:rsidR="007F57BE" w14:paraId="1C302771" w14:textId="77777777" w:rsidTr="007F57BE">
        <w:tc>
          <w:tcPr>
            <w:tcW w:w="4750" w:type="dxa"/>
          </w:tcPr>
          <w:p w14:paraId="46BD287A" w14:textId="62724422" w:rsidR="007F57BE" w:rsidRDefault="007F57BE" w:rsidP="007F57BE">
            <w:r>
              <w:t>Нарушения на кожата и подкожната тъкан</w:t>
            </w:r>
          </w:p>
        </w:tc>
        <w:tc>
          <w:tcPr>
            <w:tcW w:w="4750" w:type="dxa"/>
          </w:tcPr>
          <w:p w14:paraId="54ACAF42" w14:textId="77777777" w:rsidR="007F57BE" w:rsidRDefault="007F57BE" w:rsidP="007F57BE">
            <w:r>
              <w:rPr>
                <w:i/>
                <w:iCs/>
              </w:rPr>
              <w:t>Нечести:</w:t>
            </w:r>
            <w:r>
              <w:t xml:space="preserve"> обрив</w:t>
            </w:r>
          </w:p>
          <w:p w14:paraId="61C6A18A" w14:textId="7FCC47D2" w:rsidR="007F57BE" w:rsidRDefault="007F57BE" w:rsidP="007F57BE">
            <w:r>
              <w:rPr>
                <w:i/>
                <w:iCs/>
              </w:rPr>
              <w:t>С неизвестна честота:</w:t>
            </w:r>
            <w:r>
              <w:t xml:space="preserve"> сърбеж, уртикария</w:t>
            </w:r>
          </w:p>
        </w:tc>
      </w:tr>
      <w:tr w:rsidR="007F57BE" w14:paraId="195AF9D0" w14:textId="77777777" w:rsidTr="007F57BE">
        <w:tc>
          <w:tcPr>
            <w:tcW w:w="4750" w:type="dxa"/>
          </w:tcPr>
          <w:p w14:paraId="7E65DAA3" w14:textId="415A4A93" w:rsidR="007F57BE" w:rsidRDefault="007F57BE" w:rsidP="007F57BE">
            <w:r>
              <w:t>Нарушения на имунната система</w:t>
            </w:r>
          </w:p>
        </w:tc>
        <w:tc>
          <w:tcPr>
            <w:tcW w:w="4750" w:type="dxa"/>
          </w:tcPr>
          <w:p w14:paraId="24818F16" w14:textId="3FEBC770" w:rsidR="007F57BE" w:rsidRDefault="007F57BE" w:rsidP="007F57BE">
            <w:r>
              <w:rPr>
                <w:i/>
                <w:iCs/>
              </w:rPr>
              <w:t>С неизвестна честота:</w:t>
            </w:r>
            <w:r>
              <w:t xml:space="preserve"> реакции на свръхчувствителност, включително подуване на устните и лицето</w:t>
            </w:r>
          </w:p>
        </w:tc>
      </w:tr>
      <w:tr w:rsidR="007F57BE" w14:paraId="1E806BD1" w14:textId="77777777" w:rsidTr="007F57BE">
        <w:tc>
          <w:tcPr>
            <w:tcW w:w="4750" w:type="dxa"/>
          </w:tcPr>
          <w:p w14:paraId="522E6A97" w14:textId="534EEBF4" w:rsidR="007F57BE" w:rsidRDefault="007F57BE" w:rsidP="007F57BE">
            <w:r>
              <w:t>Хепатобилиарни нарушения</w:t>
            </w:r>
          </w:p>
        </w:tc>
        <w:tc>
          <w:tcPr>
            <w:tcW w:w="4750" w:type="dxa"/>
          </w:tcPr>
          <w:p w14:paraId="59BC0E60" w14:textId="15BEC86F" w:rsidR="007F57BE" w:rsidRDefault="007F57BE" w:rsidP="007F57BE">
            <w:r>
              <w:rPr>
                <w:i/>
                <w:iCs/>
              </w:rPr>
              <w:t>С неизвестна честота:</w:t>
            </w:r>
            <w:r>
              <w:t xml:space="preserve"> повишени чернодробни ензими</w:t>
            </w:r>
          </w:p>
        </w:tc>
      </w:tr>
      <w:tr w:rsidR="007F57BE" w14:paraId="40FFC51A" w14:textId="77777777" w:rsidTr="007F57BE">
        <w:tc>
          <w:tcPr>
            <w:tcW w:w="4750" w:type="dxa"/>
          </w:tcPr>
          <w:p w14:paraId="3FB4FCD4" w14:textId="531C072A" w:rsidR="007F57BE" w:rsidRDefault="007F57BE" w:rsidP="007F57BE">
            <w:r>
              <w:t>Нарушения на възпроизводителната система и гърдата</w:t>
            </w:r>
          </w:p>
        </w:tc>
        <w:tc>
          <w:tcPr>
            <w:tcW w:w="4750" w:type="dxa"/>
          </w:tcPr>
          <w:p w14:paraId="754BC2FA" w14:textId="77777777" w:rsidR="007F57BE" w:rsidRDefault="007F57BE" w:rsidP="007F57BE">
            <w:r>
              <w:rPr>
                <w:i/>
                <w:iCs/>
              </w:rPr>
              <w:t>Чести:</w:t>
            </w:r>
            <w:r>
              <w:t xml:space="preserve"> импотентност</w:t>
            </w:r>
          </w:p>
          <w:p w14:paraId="7683E029" w14:textId="77777777" w:rsidR="007F57BE" w:rsidRDefault="007F57BE" w:rsidP="007F57BE">
            <w:r>
              <w:rPr>
                <w:i/>
                <w:iCs/>
              </w:rPr>
              <w:t>Нечести:</w:t>
            </w:r>
            <w:r>
              <w:t xml:space="preserve"> нарушение на еякулацията, болезненост на гърдите, уголемяване на гърдите</w:t>
            </w:r>
          </w:p>
          <w:p w14:paraId="1D542AEF" w14:textId="3C3B821A" w:rsidR="007F57BE" w:rsidRDefault="007F57BE" w:rsidP="007F57BE">
            <w:r>
              <w:rPr>
                <w:i/>
                <w:iCs/>
              </w:rPr>
              <w:t>С неизвестна честота:</w:t>
            </w:r>
            <w:r>
              <w:t xml:space="preserve"> болка в тестисите, еректилна дисфункция, която е продължила след прекратяване на лечението; мъжки стерилитет и/или лошо качество на спермата.</w:t>
            </w:r>
          </w:p>
        </w:tc>
      </w:tr>
      <w:tr w:rsidR="007F57BE" w14:paraId="46CA3FDC" w14:textId="77777777" w:rsidTr="007F57BE">
        <w:tc>
          <w:tcPr>
            <w:tcW w:w="4750" w:type="dxa"/>
          </w:tcPr>
          <w:p w14:paraId="2F394BB7" w14:textId="51FAE700" w:rsidR="007F57BE" w:rsidRDefault="007F57BE" w:rsidP="007F57BE">
            <w:r>
              <w:t>Психични нарушения</w:t>
            </w:r>
          </w:p>
        </w:tc>
        <w:tc>
          <w:tcPr>
            <w:tcW w:w="4750" w:type="dxa"/>
          </w:tcPr>
          <w:p w14:paraId="217CD6C0" w14:textId="77777777" w:rsidR="007F57BE" w:rsidRDefault="007F57BE" w:rsidP="007F57BE">
            <w:r>
              <w:rPr>
                <w:i/>
                <w:iCs/>
              </w:rPr>
              <w:t>Чести:</w:t>
            </w:r>
            <w:r>
              <w:t xml:space="preserve"> намалено либидо</w:t>
            </w:r>
          </w:p>
          <w:p w14:paraId="441A7A15" w14:textId="4D473EDE" w:rsidR="007F57BE" w:rsidRDefault="007F57BE" w:rsidP="007F57BE">
            <w:r>
              <w:rPr>
                <w:i/>
                <w:iCs/>
              </w:rPr>
              <w:t>С неизвестна честота:</w:t>
            </w:r>
            <w:r>
              <w:t xml:space="preserve"> намалено либидо, което е продължило след прекратяване на лечението, депресия</w:t>
            </w:r>
          </w:p>
        </w:tc>
      </w:tr>
    </w:tbl>
    <w:p w14:paraId="181471FE" w14:textId="6365D000" w:rsidR="007F57BE" w:rsidRDefault="007F57BE" w:rsidP="0091385D"/>
    <w:p w14:paraId="3A05D386" w14:textId="7777777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В допълнение, при клинични изпитвания и след пускане на продукта на пазара е докладвано следното: рак на гърдата при мъже (вижте точка 4.4 ’’Специални предупреждения и предпазни мерки при употреба”).</w:t>
      </w:r>
    </w:p>
    <w:p w14:paraId="49488499" w14:textId="77777777" w:rsidR="007F57BE" w:rsidRPr="007F57BE" w:rsidRDefault="007F57BE" w:rsidP="007F57BE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C907FDE" w14:textId="1B7A98E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i/>
          <w:iCs/>
          <w:color w:val="000000"/>
          <w:lang w:eastAsia="bg-BG"/>
        </w:rPr>
        <w:t>Лекарствена терапия на простатни симптоми (ЛГПС</w:t>
      </w:r>
      <w:r w:rsidRPr="007F57BE">
        <w:rPr>
          <w:rFonts w:eastAsia="Times New Roman" w:cs="Arial"/>
          <w:i/>
          <w:iCs/>
          <w:color w:val="000000"/>
          <w:lang w:val="en-US"/>
        </w:rPr>
        <w:t>/MTOPS)</w:t>
      </w:r>
    </w:p>
    <w:p w14:paraId="53E968B7" w14:textId="5F1FC96D" w:rsidR="007F57BE" w:rsidRDefault="007F57BE" w:rsidP="007F57BE">
      <w:pPr>
        <w:rPr>
          <w:rFonts w:eastAsia="Times New Roman" w:cs="Arial"/>
          <w:color w:val="000000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 xml:space="preserve">Клиничното изпитване </w:t>
      </w:r>
      <w:r w:rsidRPr="007F57BE">
        <w:rPr>
          <w:rFonts w:eastAsia="Times New Roman" w:cs="Arial"/>
          <w:i/>
          <w:iCs/>
          <w:color w:val="000000"/>
          <w:lang w:val="en-US"/>
        </w:rPr>
        <w:t>MTOPS</w:t>
      </w:r>
      <w:r w:rsidRPr="007F57BE">
        <w:rPr>
          <w:rFonts w:eastAsia="Times New Roman" w:cs="Arial"/>
          <w:color w:val="000000"/>
          <w:lang w:val="en-US"/>
        </w:rPr>
        <w:t xml:space="preserve"> </w:t>
      </w:r>
      <w:r w:rsidRPr="007F57BE">
        <w:rPr>
          <w:rFonts w:eastAsia="Times New Roman" w:cs="Arial"/>
          <w:color w:val="000000"/>
          <w:lang w:eastAsia="bg-BG"/>
        </w:rPr>
        <w:t xml:space="preserve">сравнява финастерид 5 </w:t>
      </w:r>
      <w:r w:rsidRPr="007F57BE">
        <w:rPr>
          <w:rFonts w:eastAsia="Times New Roman" w:cs="Arial"/>
          <w:color w:val="000000"/>
          <w:lang w:val="en-US"/>
        </w:rPr>
        <w:t>mg</w:t>
      </w:r>
      <w:r w:rsidRPr="007F57BE">
        <w:rPr>
          <w:rFonts w:eastAsia="Times New Roman" w:cs="Arial"/>
          <w:color w:val="000000"/>
          <w:lang w:eastAsia="bg-BG"/>
        </w:rPr>
        <w:t>/дневно (</w:t>
      </w:r>
      <w:r w:rsidRPr="007F57BE">
        <w:rPr>
          <w:rFonts w:eastAsia="Times New Roman" w:cs="Arial"/>
          <w:color w:val="000000"/>
          <w:lang w:val="en-US"/>
        </w:rPr>
        <w:t>n</w:t>
      </w:r>
      <w:r w:rsidRPr="007F57BE">
        <w:rPr>
          <w:rFonts w:eastAsia="Times New Roman" w:cs="Arial"/>
          <w:color w:val="000000"/>
          <w:lang w:eastAsia="bg-BG"/>
        </w:rPr>
        <w:t xml:space="preserve">=768), доксазозин 4 или 8 </w:t>
      </w:r>
      <w:proofErr w:type="spellStart"/>
      <w:r w:rsidRPr="007F57BE">
        <w:rPr>
          <w:rFonts w:eastAsia="Times New Roman" w:cs="Arial"/>
          <w:color w:val="000000"/>
          <w:lang w:val="en-US"/>
        </w:rPr>
        <w:t>tng</w:t>
      </w:r>
      <w:proofErr w:type="spellEnd"/>
      <w:r w:rsidRPr="007F57BE">
        <w:rPr>
          <w:rFonts w:eastAsia="Times New Roman" w:cs="Arial"/>
          <w:color w:val="000000"/>
          <w:lang w:eastAsia="bg-BG"/>
        </w:rPr>
        <w:t>/дневно (</w:t>
      </w:r>
      <w:r w:rsidRPr="007F57BE">
        <w:rPr>
          <w:rFonts w:eastAsia="Times New Roman" w:cs="Arial"/>
          <w:color w:val="000000"/>
          <w:lang w:val="en-US"/>
        </w:rPr>
        <w:t>n</w:t>
      </w:r>
      <w:r w:rsidRPr="007F57BE">
        <w:rPr>
          <w:rFonts w:eastAsia="Times New Roman" w:cs="Arial"/>
          <w:color w:val="000000"/>
          <w:lang w:eastAsia="bg-BG"/>
        </w:rPr>
        <w:t xml:space="preserve">=756), комбинация от финастерид 5 </w:t>
      </w:r>
      <w:r w:rsidRPr="007F57BE">
        <w:rPr>
          <w:rFonts w:eastAsia="Times New Roman" w:cs="Arial"/>
          <w:color w:val="000000"/>
          <w:lang w:val="en-US"/>
        </w:rPr>
        <w:t>mg</w:t>
      </w:r>
      <w:r w:rsidRPr="007F57BE">
        <w:rPr>
          <w:rFonts w:eastAsia="Times New Roman" w:cs="Arial"/>
          <w:color w:val="000000"/>
          <w:lang w:eastAsia="bg-BG"/>
        </w:rPr>
        <w:t xml:space="preserve">/дневно и доксазозин 4 или 8 </w:t>
      </w:r>
      <w:r w:rsidRPr="007F57BE">
        <w:rPr>
          <w:rFonts w:eastAsia="Times New Roman" w:cs="Arial"/>
          <w:color w:val="000000"/>
          <w:lang w:val="en-US"/>
        </w:rPr>
        <w:t>mg/</w:t>
      </w:r>
      <w:r w:rsidRPr="007F57BE">
        <w:rPr>
          <w:rFonts w:eastAsia="Times New Roman" w:cs="Arial"/>
          <w:color w:val="000000"/>
          <w:lang w:eastAsia="bg-BG"/>
        </w:rPr>
        <w:t>дневно (</w:t>
      </w:r>
      <w:r w:rsidRPr="007F57BE">
        <w:rPr>
          <w:rFonts w:eastAsia="Times New Roman" w:cs="Arial"/>
          <w:color w:val="000000"/>
          <w:lang w:val="en-US"/>
        </w:rPr>
        <w:t>n</w:t>
      </w:r>
      <w:r w:rsidRPr="007F57BE">
        <w:rPr>
          <w:rFonts w:eastAsia="Times New Roman" w:cs="Arial"/>
          <w:color w:val="000000"/>
          <w:lang w:eastAsia="bg-BG"/>
        </w:rPr>
        <w:t>=786) и плацебо (</w:t>
      </w:r>
      <w:r w:rsidRPr="007F57BE">
        <w:rPr>
          <w:rFonts w:eastAsia="Times New Roman" w:cs="Arial"/>
          <w:color w:val="000000"/>
          <w:lang w:val="en-US"/>
        </w:rPr>
        <w:t>n</w:t>
      </w:r>
      <w:r w:rsidRPr="007F57BE">
        <w:rPr>
          <w:rFonts w:eastAsia="Times New Roman" w:cs="Arial"/>
          <w:color w:val="000000"/>
          <w:lang w:eastAsia="bg-BG"/>
        </w:rPr>
        <w:t>=737). В това изпитване, профилът на безопасност и поносимост на комбинираната терапия като цяло е бил в съответствие с профилите на отделните ѝ компоненти. Честотата на нарушенията в еякулацията при пациенти, получаващи комбинирана терапия е подобна на общата честота на тази нежелана реакция за двете монотерапии</w:t>
      </w:r>
      <w:r>
        <w:rPr>
          <w:rFonts w:eastAsia="Times New Roman" w:cs="Arial"/>
          <w:color w:val="000000"/>
          <w:lang w:eastAsia="bg-BG"/>
        </w:rPr>
        <w:t>.</w:t>
      </w:r>
    </w:p>
    <w:p w14:paraId="617F39FB" w14:textId="68E034C9" w:rsidR="007F57BE" w:rsidRDefault="007F57BE" w:rsidP="007F57BE">
      <w:pPr>
        <w:rPr>
          <w:rFonts w:eastAsia="Times New Roman" w:cs="Arial"/>
          <w:color w:val="000000"/>
          <w:lang w:eastAsia="bg-BG"/>
        </w:rPr>
      </w:pPr>
    </w:p>
    <w:p w14:paraId="3C3EEC18" w14:textId="77777777" w:rsidR="007F57BE" w:rsidRPr="007F57BE" w:rsidRDefault="007F57BE" w:rsidP="007F57BE">
      <w:pPr>
        <w:spacing w:line="240" w:lineRule="auto"/>
        <w:rPr>
          <w:rFonts w:eastAsia="Times New Roman" w:cs="Arial"/>
          <w:lang w:eastAsia="bg-BG"/>
        </w:rPr>
      </w:pPr>
      <w:r w:rsidRPr="007F57BE">
        <w:rPr>
          <w:rFonts w:eastAsia="Times New Roman" w:cs="Arial"/>
          <w:i/>
          <w:iCs/>
          <w:color w:val="000000"/>
          <w:lang w:eastAsia="bg-BG"/>
        </w:rPr>
        <w:lastRenderedPageBreak/>
        <w:t>Други дългосрочни данни</w:t>
      </w:r>
    </w:p>
    <w:p w14:paraId="54F43BE5" w14:textId="77777777" w:rsidR="007F57BE" w:rsidRPr="007F57BE" w:rsidRDefault="007F57BE" w:rsidP="007F57BE">
      <w:pPr>
        <w:spacing w:line="240" w:lineRule="auto"/>
        <w:rPr>
          <w:rFonts w:eastAsia="Times New Roman" w:cs="Arial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 xml:space="preserve">В 7-годишно, плацебо контролирано изпитване, включващо 18 882 здрави мъже, от които 9 060 са имали данни от тьнкоиглена простатна биопсия за анализ, простатен карцином е установен при 803 (18,4%) от мъжете, получавали финастерид 5 </w:t>
      </w:r>
      <w:r w:rsidRPr="007F57BE">
        <w:rPr>
          <w:rFonts w:eastAsia="Times New Roman" w:cs="Arial"/>
          <w:color w:val="000000"/>
          <w:lang w:val="en-US"/>
        </w:rPr>
        <w:t xml:space="preserve">mg, </w:t>
      </w:r>
      <w:r w:rsidRPr="007F57BE">
        <w:rPr>
          <w:rFonts w:eastAsia="Times New Roman" w:cs="Arial"/>
          <w:color w:val="000000"/>
          <w:lang w:eastAsia="bg-BG"/>
        </w:rPr>
        <w:t xml:space="preserve">и при 1 147 (24,4%) от мъжете, получавали плацебо. В групата с финастерид 5 </w:t>
      </w:r>
      <w:r w:rsidRPr="007F57BE">
        <w:rPr>
          <w:rFonts w:eastAsia="Times New Roman" w:cs="Arial"/>
          <w:color w:val="000000"/>
          <w:lang w:val="en-US"/>
        </w:rPr>
        <w:t xml:space="preserve">mg, </w:t>
      </w:r>
      <w:r w:rsidRPr="007F57BE">
        <w:rPr>
          <w:rFonts w:eastAsia="Times New Roman" w:cs="Arial"/>
          <w:color w:val="000000"/>
          <w:lang w:eastAsia="bg-BG"/>
        </w:rPr>
        <w:t xml:space="preserve">280 (6,4%) от мъжете са имали простатен карцином с </w:t>
      </w:r>
      <w:r w:rsidRPr="007F57BE">
        <w:rPr>
          <w:rFonts w:eastAsia="Times New Roman" w:cs="Arial"/>
          <w:color w:val="000000"/>
          <w:lang w:val="en-US"/>
        </w:rPr>
        <w:t xml:space="preserve">Gleason </w:t>
      </w:r>
      <w:r w:rsidRPr="007F57BE">
        <w:rPr>
          <w:rFonts w:eastAsia="Times New Roman" w:cs="Arial"/>
          <w:color w:val="000000"/>
          <w:lang w:eastAsia="bg-BG"/>
        </w:rPr>
        <w:t xml:space="preserve">скор 7-10, установен при тьнкоиглена простатна биопсия, спрямо 237 (5,1%) от мъжете в плацебо групата. Допълнителните анализи предполагат, че увеличеният дял на нискодиференциран карцином на простатата може да бъде обяснен с ефекта на финастерид 5 </w:t>
      </w:r>
      <w:r w:rsidRPr="007F57BE">
        <w:rPr>
          <w:rFonts w:eastAsia="Times New Roman" w:cs="Arial"/>
          <w:color w:val="000000"/>
          <w:lang w:val="en-US"/>
        </w:rPr>
        <w:t xml:space="preserve">mg </w:t>
      </w:r>
      <w:r w:rsidRPr="007F57BE">
        <w:rPr>
          <w:rFonts w:eastAsia="Times New Roman" w:cs="Arial"/>
          <w:color w:val="000000"/>
          <w:lang w:eastAsia="bg-BG"/>
        </w:rPr>
        <w:t xml:space="preserve">върху обема на жлезата, и свързаните с това различни условия при вземането на материал за хистологично изследване и диагностициране на тумора. От общия брой случаи на простатен карцином, диагностицирани в това изпитване, 98% са класифицирани като интракапсуларни (клиничен стадий Т1 или Т2) по диагноза. Клиничната значимост на </w:t>
      </w:r>
      <w:r w:rsidRPr="007F57BE">
        <w:rPr>
          <w:rFonts w:eastAsia="Times New Roman" w:cs="Arial"/>
          <w:color w:val="000000"/>
          <w:lang w:val="en-US"/>
        </w:rPr>
        <w:t xml:space="preserve">Gleason </w:t>
      </w:r>
      <w:r w:rsidRPr="007F57BE">
        <w:rPr>
          <w:rFonts w:eastAsia="Times New Roman" w:cs="Arial"/>
          <w:color w:val="000000"/>
          <w:lang w:eastAsia="bg-BG"/>
        </w:rPr>
        <w:t>скор 7-10 данните е неизвестна.</w:t>
      </w:r>
    </w:p>
    <w:p w14:paraId="3DE048C0" w14:textId="77777777" w:rsidR="007F57BE" w:rsidRPr="007F57BE" w:rsidRDefault="007F57BE" w:rsidP="007F57BE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38AA9E9A" w14:textId="559485DD" w:rsidR="007F57BE" w:rsidRPr="007F57BE" w:rsidRDefault="007F57BE" w:rsidP="007F57BE">
      <w:pPr>
        <w:spacing w:line="240" w:lineRule="auto"/>
        <w:rPr>
          <w:rFonts w:eastAsia="Times New Roman" w:cs="Arial"/>
          <w:lang w:eastAsia="bg-BG"/>
        </w:rPr>
      </w:pPr>
      <w:r w:rsidRPr="007F57BE">
        <w:rPr>
          <w:rFonts w:eastAsia="Times New Roman" w:cs="Arial"/>
          <w:i/>
          <w:iCs/>
          <w:color w:val="000000"/>
          <w:lang w:eastAsia="bg-BG"/>
        </w:rPr>
        <w:t>Лабораторни изследвания:</w:t>
      </w:r>
      <w:r w:rsidRPr="007F57BE">
        <w:rPr>
          <w:rFonts w:eastAsia="Times New Roman" w:cs="Arial"/>
          <w:color w:val="000000"/>
          <w:lang w:eastAsia="bg-BG"/>
        </w:rPr>
        <w:t xml:space="preserve"> Когато се интерпретират резултатите от лабораторните изследвения, трябва да се има предвид факта, че нивата на </w:t>
      </w:r>
      <w:r w:rsidRPr="007F57BE">
        <w:rPr>
          <w:rFonts w:eastAsia="Times New Roman" w:cs="Arial"/>
          <w:color w:val="000000"/>
          <w:lang w:val="en-US"/>
        </w:rPr>
        <w:t xml:space="preserve">PSA </w:t>
      </w:r>
      <w:r w:rsidRPr="007F57BE">
        <w:rPr>
          <w:rFonts w:eastAsia="Times New Roman" w:cs="Arial"/>
          <w:color w:val="000000"/>
          <w:lang w:eastAsia="bg-BG"/>
        </w:rPr>
        <w:t>са намалени при пациенти, лекувани с финастерид (вижте точка 4.4 ’’Специални предупреждения и предпазни мерки при употреба”).</w:t>
      </w:r>
    </w:p>
    <w:p w14:paraId="0FA8B0D5" w14:textId="77777777" w:rsidR="007F57BE" w:rsidRPr="007F57BE" w:rsidRDefault="007F57BE" w:rsidP="007F57BE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2" w:name="bookmark0"/>
    </w:p>
    <w:p w14:paraId="04934EB1" w14:textId="1A4CCEDD" w:rsidR="007F57BE" w:rsidRPr="007F57BE" w:rsidRDefault="007F57BE" w:rsidP="007F57BE">
      <w:pPr>
        <w:spacing w:line="240" w:lineRule="auto"/>
        <w:rPr>
          <w:rFonts w:eastAsia="Times New Roman" w:cs="Arial"/>
          <w:lang w:eastAsia="bg-BG"/>
        </w:rPr>
      </w:pPr>
      <w:r w:rsidRPr="007F57BE">
        <w:rPr>
          <w:rFonts w:eastAsia="Times New Roman" w:cs="Arial"/>
          <w:b/>
          <w:bCs/>
          <w:color w:val="000000"/>
          <w:lang w:eastAsia="bg-BG"/>
        </w:rPr>
        <w:t>Съобщаване на подозирани нежелани реакции</w:t>
      </w:r>
      <w:bookmarkEnd w:id="2"/>
    </w:p>
    <w:p w14:paraId="223EA07D" w14:textId="77777777" w:rsidR="007F57BE" w:rsidRPr="007F57BE" w:rsidRDefault="007F57BE" w:rsidP="007F57BE">
      <w:pPr>
        <w:spacing w:line="240" w:lineRule="auto"/>
        <w:rPr>
          <w:rFonts w:eastAsia="Times New Roman" w:cs="Arial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чрез:</w:t>
      </w:r>
    </w:p>
    <w:p w14:paraId="579F9A20" w14:textId="77777777" w:rsidR="007F57BE" w:rsidRPr="007F57BE" w:rsidRDefault="007F57BE" w:rsidP="007F57BE">
      <w:pPr>
        <w:spacing w:line="240" w:lineRule="auto"/>
        <w:rPr>
          <w:rFonts w:eastAsia="Times New Roman" w:cs="Arial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Изпълнителна агенция по лекарствата</w:t>
      </w:r>
    </w:p>
    <w:p w14:paraId="20E898BD" w14:textId="77777777" w:rsidR="007F57BE" w:rsidRPr="007F57BE" w:rsidRDefault="007F57BE" w:rsidP="007F57BE">
      <w:pPr>
        <w:spacing w:line="240" w:lineRule="auto"/>
        <w:rPr>
          <w:rFonts w:eastAsia="Times New Roman" w:cs="Arial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ул. „Дамян Груев” № 8</w:t>
      </w:r>
    </w:p>
    <w:p w14:paraId="16385FB5" w14:textId="77777777" w:rsidR="007F57BE" w:rsidRPr="007F57BE" w:rsidRDefault="007F57BE" w:rsidP="007F57BE">
      <w:pPr>
        <w:spacing w:line="240" w:lineRule="auto"/>
        <w:rPr>
          <w:rFonts w:eastAsia="Times New Roman" w:cs="Arial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1303 София</w:t>
      </w:r>
    </w:p>
    <w:p w14:paraId="7C5604B8" w14:textId="0BBC5C74" w:rsidR="007F57BE" w:rsidRPr="007F57BE" w:rsidRDefault="007F57BE" w:rsidP="007F57BE">
      <w:pPr>
        <w:rPr>
          <w:rFonts w:cs="Arial"/>
        </w:rPr>
      </w:pPr>
      <w:r w:rsidRPr="007F57BE">
        <w:rPr>
          <w:rFonts w:eastAsia="Times New Roman" w:cs="Arial"/>
          <w:color w:val="000000"/>
          <w:lang w:eastAsia="bg-BG"/>
        </w:rPr>
        <w:t xml:space="preserve">тел.:+359 2 8903417 уебсайт: </w:t>
      </w:r>
      <w:hyperlink r:id="rId5" w:history="1">
        <w:r w:rsidRPr="007F57BE">
          <w:rPr>
            <w:rFonts w:eastAsia="Times New Roman" w:cs="Arial"/>
            <w:color w:val="000000"/>
            <w:u w:val="single"/>
            <w:lang w:val="en-US"/>
          </w:rPr>
          <w:t>www.bda.bg</w:t>
        </w:r>
      </w:hyperlink>
    </w:p>
    <w:p w14:paraId="5CD8EC42" w14:textId="77068AAF" w:rsidR="007F57BE" w:rsidRPr="0091385D" w:rsidRDefault="007F57BE" w:rsidP="0091385D"/>
    <w:p w14:paraId="0A023CE0" w14:textId="13F87CFD" w:rsidR="00CF77F7" w:rsidRDefault="002C50EE" w:rsidP="004A448E">
      <w:pPr>
        <w:pStyle w:val="Heading2"/>
      </w:pPr>
      <w:r>
        <w:t>4.9. Предозиране</w:t>
      </w:r>
    </w:p>
    <w:p w14:paraId="3EDFC3FC" w14:textId="296E7EBA" w:rsidR="0091385D" w:rsidRDefault="0091385D" w:rsidP="0091385D"/>
    <w:p w14:paraId="0F0079CB" w14:textId="0A8E5B72" w:rsidR="0091385D" w:rsidRDefault="007F57BE" w:rsidP="0091385D">
      <w:r>
        <w:t xml:space="preserve">Пациентите са получавали единични дози финастерид до 400 </w:t>
      </w:r>
      <w:r>
        <w:rPr>
          <w:lang w:val="en-US"/>
        </w:rPr>
        <w:t xml:space="preserve">mg </w:t>
      </w:r>
      <w:r>
        <w:t xml:space="preserve">и многократни дози до 80 </w:t>
      </w:r>
      <w:r>
        <w:rPr>
          <w:lang w:val="en-US"/>
        </w:rPr>
        <w:t>mg</w:t>
      </w:r>
      <w:r>
        <w:t>/дневно без появата на нежелани реакции. Няма специфично препоръчително лечение на предозирането с финастерид.</w:t>
      </w:r>
    </w:p>
    <w:p w14:paraId="48FF1584" w14:textId="77777777" w:rsidR="0091385D" w:rsidRPr="0091385D" w:rsidRDefault="0091385D" w:rsidP="0091385D"/>
    <w:p w14:paraId="02081B24" w14:textId="7CE94171" w:rsidR="00395555" w:rsidRDefault="002C50EE" w:rsidP="008A6AF2">
      <w:pPr>
        <w:pStyle w:val="Heading1"/>
      </w:pPr>
      <w:r>
        <w:t>5. ФАРМАКОЛОГИЧНИ СВОЙСТВА</w:t>
      </w:r>
    </w:p>
    <w:p w14:paraId="1B8079C0" w14:textId="77777777" w:rsidR="0091385D" w:rsidRPr="0091385D" w:rsidRDefault="0091385D" w:rsidP="0091385D"/>
    <w:p w14:paraId="32B6DE66" w14:textId="2ACB6B3B" w:rsidR="00CF77F7" w:rsidRDefault="002C50EE" w:rsidP="004A448E">
      <w:pPr>
        <w:pStyle w:val="Heading2"/>
      </w:pPr>
      <w:r>
        <w:t>5.1. Фармакодинамични свойства</w:t>
      </w:r>
    </w:p>
    <w:p w14:paraId="58DD7DEA" w14:textId="44345EC9" w:rsidR="0091385D" w:rsidRDefault="0091385D" w:rsidP="0091385D"/>
    <w:p w14:paraId="08448E16" w14:textId="7777777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 xml:space="preserve">Фармакотерапевтична група: Инхибитори на тестостерон-5α редуктазата АТС код: </w:t>
      </w:r>
      <w:r w:rsidRPr="007F57BE">
        <w:rPr>
          <w:rFonts w:eastAsia="Times New Roman" w:cs="Arial"/>
          <w:color w:val="000000"/>
          <w:lang w:val="en-US"/>
        </w:rPr>
        <w:t>G04CB01</w:t>
      </w:r>
    </w:p>
    <w:p w14:paraId="32538AC2" w14:textId="77777777" w:rsidR="007F57BE" w:rsidRPr="007F57BE" w:rsidRDefault="007F57BE" w:rsidP="007F57B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90B98B1" w14:textId="58683F5C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 xml:space="preserve">Финастерид е синтетичен 4-азастероид, специфичен конкурентен инхибитор на интрацелуларния ензим тип И-5а-редуктаза. Ензимът превръща тестостерона в по-мощния андроген дихидротестостерон (ДХТ). Простатата, както и хиперпластичната простатна тъкан са зависими от превръщането на тестостерона в ДХТ за тяхната нормална функция и рас геж. При доброкачествената простатна хиперплазия (ДПХ), </w:t>
      </w:r>
      <w:r w:rsidRPr="007F57BE">
        <w:rPr>
          <w:rFonts w:eastAsia="Times New Roman" w:cs="Arial"/>
          <w:color w:val="000000"/>
          <w:lang w:eastAsia="bg-BG"/>
        </w:rPr>
        <w:lastRenderedPageBreak/>
        <w:t>уголемяването на простатната жлеза зависи от превръщането на тестостерон в ДХТ в простатата. Финастерид е високо е</w:t>
      </w:r>
      <w:r w:rsidRPr="007F57BE">
        <w:rPr>
          <w:rFonts w:eastAsia="Times New Roman" w:cs="Arial"/>
          <w:color w:val="000000"/>
          <w:u w:val="single"/>
          <w:lang w:eastAsia="bg-BG"/>
        </w:rPr>
        <w:t>фективен</w:t>
      </w:r>
      <w:r w:rsidRPr="007F57BE">
        <w:rPr>
          <w:rFonts w:eastAsia="Times New Roman" w:cs="Arial"/>
          <w:color w:val="000000"/>
          <w:lang w:eastAsia="bg-BG"/>
        </w:rPr>
        <w:t xml:space="preserve"> в редуцирането на циркулиращата и интрапростатна ДХТ. Финастерид няма афинитет към андрогенните рецептори.</w:t>
      </w:r>
    </w:p>
    <w:p w14:paraId="2EB1070D" w14:textId="77777777" w:rsidR="007F57BE" w:rsidRPr="007F57BE" w:rsidRDefault="007F57BE" w:rsidP="007F57B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88FE592" w14:textId="000C94C2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Клинични изпитвания са показали бързо понижение на серумните нива на ДХТ със 70%, което води до намаление на обема на простатата. След 3 месеца настъпва намаление на обема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7F57BE">
        <w:rPr>
          <w:rFonts w:eastAsia="Times New Roman" w:cs="Arial"/>
          <w:color w:val="000000"/>
          <w:lang w:eastAsia="bg-BG"/>
        </w:rPr>
        <w:t>приблизително 20% и продължава да намалява и достига приблизително 27% след 3 години. Подчертана редукция настъпва в периуретралната зона, непосредствено заобикаляща уретрата. Уродинамичните измервания също потвърждават значително намаление на налягането на детрузора като резултат от намалената обструкция.</w:t>
      </w:r>
    </w:p>
    <w:p w14:paraId="71700056" w14:textId="77777777" w:rsidR="007F57BE" w:rsidRPr="007F57BE" w:rsidRDefault="007F57BE" w:rsidP="007F57B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366CA17" w14:textId="0DCC4B43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След няколко седмици са наблюдавани значително подобрение в максималната скорост на уринарния поток и симптомите, в сравнение с началото на лечението. Различията спрямо плацебо са документирани съответно на 4 и 7 месец.</w:t>
      </w:r>
    </w:p>
    <w:p w14:paraId="63BABC07" w14:textId="77777777" w:rsidR="007F57BE" w:rsidRPr="007F57BE" w:rsidRDefault="007F57BE" w:rsidP="007F57B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96382BC" w14:textId="1A1CF39E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Всички показатели за ефикасност са останали постоянни по време на 3-годишния период на наблюдение.</w:t>
      </w:r>
    </w:p>
    <w:p w14:paraId="459C595C" w14:textId="77777777" w:rsidR="007F57BE" w:rsidRPr="007F57BE" w:rsidRDefault="007F57BE" w:rsidP="007F57B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99B50D9" w14:textId="44031729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Ефекти от четиригодишна терапия с финастерид върху честотата на остра ретенция на урината, необходимост от оперативно лечение, скала на симптомите и обем на простатата:</w:t>
      </w:r>
    </w:p>
    <w:p w14:paraId="0AB45A91" w14:textId="77777777" w:rsidR="007F57BE" w:rsidRPr="007F57BE" w:rsidRDefault="007F57BE" w:rsidP="007F57B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679538C" w14:textId="10398BC9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 xml:space="preserve">По време на клинични изпитвания при пациенти с умерени до тежки симптоми на ДПХ, увеличена простата при ректален преглед и малък обем на остатъчната урина, финастерид намалява честотата на острата ретенция на урината от 7/100 до 3/100 случая за периода от четири години и необходимостта от операция (ТУР или простатектомия) от 10/100 до 5/100. Тези ефекти са свързани с подобрение от 2 точки в скалата на симптомите </w:t>
      </w:r>
      <w:r w:rsidRPr="007F57BE">
        <w:rPr>
          <w:rFonts w:eastAsia="Times New Roman" w:cs="Arial"/>
          <w:i/>
          <w:iCs/>
          <w:color w:val="000000"/>
          <w:lang w:val="en-US"/>
        </w:rPr>
        <w:t xml:space="preserve">QUASJ-AUA </w:t>
      </w:r>
      <w:r w:rsidRPr="007F57BE">
        <w:rPr>
          <w:rFonts w:eastAsia="Times New Roman" w:cs="Arial"/>
          <w:i/>
          <w:iCs/>
          <w:color w:val="000000"/>
          <w:lang w:eastAsia="bg-BG"/>
        </w:rPr>
        <w:t xml:space="preserve">(в </w:t>
      </w:r>
      <w:r w:rsidRPr="007F57BE">
        <w:rPr>
          <w:rFonts w:eastAsia="Times New Roman" w:cs="Arial"/>
          <w:color w:val="000000"/>
          <w:lang w:eastAsia="bg-BG"/>
        </w:rPr>
        <w:t>диапазона 0-34), продължителна регресия на обема на жлезата с приблизително 20% и постоянно повишаване скоростта на уринарния поток.</w:t>
      </w:r>
    </w:p>
    <w:p w14:paraId="58E2CF5A" w14:textId="77777777" w:rsidR="007F57BE" w:rsidRPr="007F57BE" w:rsidRDefault="007F57BE" w:rsidP="007F57BE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3786FCF9" w14:textId="3B9EDF21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b/>
          <w:bCs/>
          <w:color w:val="000000"/>
          <w:lang w:eastAsia="bg-BG"/>
        </w:rPr>
        <w:t>Лекарствена терапия на простатни симптоми (ЛТПС</w:t>
      </w:r>
      <w:r w:rsidRPr="007F57BE">
        <w:rPr>
          <w:rFonts w:eastAsia="Times New Roman" w:cs="Arial"/>
          <w:b/>
          <w:bCs/>
          <w:color w:val="000000"/>
          <w:lang w:val="en-US"/>
        </w:rPr>
        <w:t>/MTOPS))</w:t>
      </w:r>
    </w:p>
    <w:p w14:paraId="50A3B180" w14:textId="7777777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 xml:space="preserve">Клиничното изпитване "Лекарствена терапия на простатни симптоми" представлява 4 до 6 годишно проучване на 3 047 мъже със симптоматична ДПХ, които са </w:t>
      </w:r>
      <w:r w:rsidRPr="007F57BE">
        <w:rPr>
          <w:rFonts w:eastAsia="Times New Roman" w:cs="Arial"/>
          <w:i/>
          <w:iCs/>
          <w:color w:val="000000"/>
          <w:lang w:eastAsia="bg-BG"/>
        </w:rPr>
        <w:t xml:space="preserve">рандомизирани да </w:t>
      </w:r>
      <w:r w:rsidRPr="007F57BE">
        <w:rPr>
          <w:rFonts w:eastAsia="Times New Roman" w:cs="Arial"/>
          <w:color w:val="000000"/>
          <w:lang w:eastAsia="bg-BG"/>
        </w:rPr>
        <w:t xml:space="preserve">получават финастерид 5 </w:t>
      </w:r>
      <w:r w:rsidRPr="007F57BE">
        <w:rPr>
          <w:rFonts w:eastAsia="Times New Roman" w:cs="Arial"/>
          <w:color w:val="000000"/>
          <w:lang w:val="en-US"/>
        </w:rPr>
        <w:t>mg</w:t>
      </w:r>
      <w:r w:rsidRPr="007F57BE">
        <w:rPr>
          <w:rFonts w:eastAsia="Times New Roman" w:cs="Arial"/>
          <w:color w:val="000000"/>
          <w:lang w:eastAsia="bg-BG"/>
        </w:rPr>
        <w:t xml:space="preserve">/дневно, доксазозин 4 или 8 </w:t>
      </w:r>
      <w:r w:rsidRPr="007F57BE">
        <w:rPr>
          <w:rFonts w:eastAsia="Times New Roman" w:cs="Arial"/>
          <w:color w:val="000000"/>
          <w:lang w:val="en-US"/>
        </w:rPr>
        <w:t>mg</w:t>
      </w:r>
      <w:r w:rsidRPr="007F57BE">
        <w:rPr>
          <w:rFonts w:eastAsia="Times New Roman" w:cs="Arial"/>
          <w:color w:val="000000"/>
          <w:lang w:eastAsia="bg-BG"/>
        </w:rPr>
        <w:t xml:space="preserve">/дневно*, комбинация от финастерид 5 </w:t>
      </w:r>
      <w:r w:rsidRPr="007F57BE">
        <w:rPr>
          <w:rFonts w:eastAsia="Times New Roman" w:cs="Arial"/>
          <w:color w:val="000000"/>
          <w:lang w:val="en-US"/>
        </w:rPr>
        <w:t>mg</w:t>
      </w:r>
      <w:r w:rsidRPr="007F57BE">
        <w:rPr>
          <w:rFonts w:eastAsia="Times New Roman" w:cs="Arial"/>
          <w:color w:val="000000"/>
          <w:lang w:eastAsia="bg-BG"/>
        </w:rPr>
        <w:t xml:space="preserve">/дневно и доксазозин 4 или 8 </w:t>
      </w:r>
      <w:r w:rsidRPr="007F57BE">
        <w:rPr>
          <w:rFonts w:eastAsia="Times New Roman" w:cs="Arial"/>
          <w:color w:val="000000"/>
          <w:lang w:val="en-US"/>
        </w:rPr>
        <w:t>mg</w:t>
      </w:r>
      <w:r w:rsidRPr="007F57BE">
        <w:rPr>
          <w:rFonts w:eastAsia="Times New Roman" w:cs="Arial"/>
          <w:color w:val="000000"/>
          <w:lang w:eastAsia="bg-BG"/>
        </w:rPr>
        <w:t xml:space="preserve">/дневно* или плацебо. Първичната крайна точка е определяне на времето до клинична прогресия на ДПХ, определена като </w:t>
      </w:r>
      <w:r w:rsidRPr="007F57BE">
        <w:rPr>
          <w:rFonts w:eastAsia="Times New Roman" w:cs="Arial"/>
          <w:i/>
          <w:iCs/>
          <w:color w:val="000000"/>
          <w:lang w:eastAsia="bg-BG"/>
        </w:rPr>
        <w:t xml:space="preserve">повишаване над </w:t>
      </w:r>
      <w:r w:rsidRPr="007F57BE">
        <w:rPr>
          <w:rFonts w:eastAsia="Times New Roman" w:cs="Arial"/>
          <w:color w:val="000000"/>
          <w:lang w:eastAsia="bg-BG"/>
        </w:rPr>
        <w:t xml:space="preserve">изходните стойности с ≥4 точки по скалата на симптомите, остра ретенция на урина, ДПХ- свързана бъбречна недостатъчност, рецидивиращи инфекции на пикочните пътища или уросепсис, или инконтиненция. Сравнено с плацебо, лечението с </w:t>
      </w:r>
      <w:r w:rsidRPr="007F57BE">
        <w:rPr>
          <w:rFonts w:eastAsia="Times New Roman" w:cs="Arial"/>
          <w:i/>
          <w:iCs/>
          <w:color w:val="000000"/>
          <w:lang w:eastAsia="bg-BG"/>
        </w:rPr>
        <w:t>финастерид,</w:t>
      </w:r>
      <w:r w:rsidRPr="007F57BE">
        <w:rPr>
          <w:rFonts w:eastAsia="Times New Roman" w:cs="Arial"/>
          <w:color w:val="000000"/>
          <w:lang w:eastAsia="bg-BG"/>
        </w:rPr>
        <w:t xml:space="preserve"> доксазозин или комбинирана терапия води до значимо намаляване на риска от клинична прогресия на ДПХ съответно с 34 (р=0,002), 39 (р&lt;0,001) и 67% (р&lt;0,001).</w:t>
      </w:r>
    </w:p>
    <w:p w14:paraId="0BEAA06F" w14:textId="77777777" w:rsidR="007F57BE" w:rsidRPr="007F57BE" w:rsidRDefault="007F57BE" w:rsidP="007F57B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2DD5B8F" w14:textId="52290D28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 xml:space="preserve">По-голямата част от събитията (274 от 351), които показват прогресия на ДПХ са били потвърдени с повишение с ≥4 точки по скалата на симптомите; рискът от прогресия по скалата е бил </w:t>
      </w:r>
      <w:r w:rsidRPr="007F57BE">
        <w:rPr>
          <w:rFonts w:eastAsia="Times New Roman" w:cs="Arial"/>
          <w:i/>
          <w:iCs/>
          <w:color w:val="000000"/>
          <w:lang w:eastAsia="bg-BG"/>
        </w:rPr>
        <w:t xml:space="preserve">намален с 30 (95% </w:t>
      </w:r>
      <w:r w:rsidRPr="007F57BE">
        <w:rPr>
          <w:rFonts w:eastAsia="Times New Roman" w:cs="Arial"/>
          <w:i/>
          <w:iCs/>
          <w:color w:val="000000"/>
          <w:lang w:val="en-US"/>
        </w:rPr>
        <w:t xml:space="preserve">CI </w:t>
      </w:r>
      <w:r w:rsidRPr="007F57BE">
        <w:rPr>
          <w:rFonts w:eastAsia="Times New Roman" w:cs="Arial"/>
          <w:i/>
          <w:iCs/>
          <w:color w:val="000000"/>
          <w:lang w:eastAsia="bg-BG"/>
        </w:rPr>
        <w:t>6 до 48%),</w:t>
      </w:r>
      <w:r w:rsidRPr="007F57BE">
        <w:rPr>
          <w:rFonts w:eastAsia="Times New Roman" w:cs="Arial"/>
          <w:color w:val="000000"/>
          <w:lang w:eastAsia="bg-BG"/>
        </w:rPr>
        <w:t xml:space="preserve"> 46 </w:t>
      </w:r>
      <w:r w:rsidRPr="007F57BE">
        <w:rPr>
          <w:rFonts w:eastAsia="Times New Roman" w:cs="Arial"/>
          <w:i/>
          <w:iCs/>
          <w:color w:val="000000"/>
          <w:lang w:eastAsia="bg-BG"/>
        </w:rPr>
        <w:t>(95%</w:t>
      </w:r>
      <w:r w:rsidRPr="007F57BE">
        <w:rPr>
          <w:rFonts w:eastAsia="Times New Roman" w:cs="Arial"/>
          <w:color w:val="000000"/>
          <w:lang w:eastAsia="bg-BG"/>
        </w:rPr>
        <w:t xml:space="preserve"> </w:t>
      </w:r>
      <w:r w:rsidRPr="007F57BE">
        <w:rPr>
          <w:rFonts w:eastAsia="Times New Roman" w:cs="Arial"/>
          <w:color w:val="000000"/>
          <w:lang w:val="en-US"/>
        </w:rPr>
        <w:t xml:space="preserve">CI </w:t>
      </w:r>
      <w:r w:rsidRPr="007F57BE">
        <w:rPr>
          <w:rFonts w:eastAsia="Times New Roman" w:cs="Arial"/>
          <w:color w:val="000000"/>
          <w:lang w:eastAsia="bg-BG"/>
        </w:rPr>
        <w:t xml:space="preserve">25 до 60%) и 64% (95% </w:t>
      </w:r>
      <w:r w:rsidRPr="007F57BE">
        <w:rPr>
          <w:rFonts w:eastAsia="Times New Roman" w:cs="Arial"/>
          <w:color w:val="000000"/>
          <w:lang w:val="en-US"/>
        </w:rPr>
        <w:t xml:space="preserve">CI </w:t>
      </w:r>
      <w:r w:rsidRPr="007F57BE">
        <w:rPr>
          <w:rFonts w:eastAsia="Times New Roman" w:cs="Arial"/>
          <w:color w:val="000000"/>
          <w:lang w:eastAsia="bg-BG"/>
        </w:rPr>
        <w:t xml:space="preserve">48 до 75%) в групите съответно с финастерид, доксазозин и комбинирано лечение, сравнено с плацебо. При 41 от 351 случая на прогресия на ДПХ е била отчетена остра ретенция на урина. Рискът от развитие на остра ретенция е бил намален с 67 (р=0,011), 31 (р=0,296) и 79% (р=0,001) в групите с финастерид, доксазозин и комбинираната група в сравнение с </w:t>
      </w:r>
      <w:r w:rsidRPr="007F57BE">
        <w:rPr>
          <w:rFonts w:eastAsia="Times New Roman" w:cs="Arial"/>
          <w:color w:val="000000"/>
          <w:lang w:eastAsia="bg-BG"/>
        </w:rPr>
        <w:lastRenderedPageBreak/>
        <w:t>плацебо. Значителни разлики спрямо плацебо са били установени само в групите с финастерид и комбинирана терапия.</w:t>
      </w:r>
    </w:p>
    <w:p w14:paraId="447DF77D" w14:textId="77777777" w:rsidR="007F57BE" w:rsidRPr="007F57BE" w:rsidRDefault="007F57BE" w:rsidP="007F57B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10E518A" w14:textId="43198130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 xml:space="preserve">* Дозите са титрирани от 1 </w:t>
      </w:r>
      <w:r w:rsidRPr="007F57BE">
        <w:rPr>
          <w:rFonts w:eastAsia="Times New Roman" w:cs="Arial"/>
          <w:color w:val="000000"/>
          <w:lang w:val="en-US"/>
        </w:rPr>
        <w:t xml:space="preserve">mg </w:t>
      </w:r>
      <w:r w:rsidRPr="007F57BE">
        <w:rPr>
          <w:rFonts w:eastAsia="Times New Roman" w:cs="Arial"/>
          <w:color w:val="000000"/>
          <w:lang w:eastAsia="bg-BG"/>
        </w:rPr>
        <w:t xml:space="preserve">до 4 или 8 </w:t>
      </w:r>
      <w:r w:rsidRPr="007F57BE">
        <w:rPr>
          <w:rFonts w:eastAsia="Times New Roman" w:cs="Arial"/>
          <w:color w:val="000000"/>
          <w:lang w:val="en-US"/>
        </w:rPr>
        <w:t xml:space="preserve">mg </w:t>
      </w:r>
      <w:r w:rsidRPr="007F57BE">
        <w:rPr>
          <w:rFonts w:eastAsia="Times New Roman" w:cs="Arial"/>
          <w:color w:val="000000"/>
          <w:lang w:eastAsia="bg-BG"/>
        </w:rPr>
        <w:t>в зависимост от поносимостта за 3-седмичен период.</w:t>
      </w:r>
    </w:p>
    <w:p w14:paraId="0844CAE9" w14:textId="77777777" w:rsidR="007F57BE" w:rsidRPr="007F57BE" w:rsidRDefault="007F57BE" w:rsidP="007F57BE">
      <w:pPr>
        <w:rPr>
          <w:rFonts w:eastAsia="Times New Roman" w:cs="Arial"/>
          <w:color w:val="000000"/>
          <w:lang w:eastAsia="bg-BG"/>
        </w:rPr>
      </w:pPr>
    </w:p>
    <w:p w14:paraId="28252AA0" w14:textId="70C9C984" w:rsidR="0091385D" w:rsidRPr="007F57BE" w:rsidRDefault="007F57BE" w:rsidP="007F57BE">
      <w:pPr>
        <w:rPr>
          <w:rFonts w:cs="Arial"/>
        </w:rPr>
      </w:pPr>
      <w:r w:rsidRPr="007F57BE">
        <w:rPr>
          <w:rFonts w:eastAsia="Times New Roman" w:cs="Arial"/>
          <w:color w:val="000000"/>
          <w:lang w:eastAsia="bg-BG"/>
        </w:rPr>
        <w:t>В това изпитване профилът на безопасност и поносимост на комбинираната терапия е бил в голяма степен подобен на профила на всяко едно от лекарствата, приемани отделно. Все пак нежелани реакции от страна на "нервната система" и "уро-гениталната система", според системо-органната класификация са били наблюдавани по-често, когато двете лекарства са използвани в комбинация (вижте точка 4.8).</w:t>
      </w:r>
    </w:p>
    <w:p w14:paraId="36152471" w14:textId="77777777" w:rsidR="0091385D" w:rsidRPr="0091385D" w:rsidRDefault="0091385D" w:rsidP="0091385D"/>
    <w:p w14:paraId="35F84B81" w14:textId="6423E5BB" w:rsidR="00CF77F7" w:rsidRDefault="002C50EE" w:rsidP="004A448E">
      <w:pPr>
        <w:pStyle w:val="Heading2"/>
      </w:pPr>
      <w:r>
        <w:t>5.2. Фармакокинетични свойства</w:t>
      </w:r>
    </w:p>
    <w:p w14:paraId="5031193D" w14:textId="06A21EFE" w:rsidR="0091385D" w:rsidRDefault="0091385D" w:rsidP="0091385D"/>
    <w:p w14:paraId="15359542" w14:textId="77777777" w:rsidR="007F57BE" w:rsidRPr="007F57BE" w:rsidRDefault="007F57BE" w:rsidP="007F57BE">
      <w:pPr>
        <w:pStyle w:val="Heading3"/>
        <w:rPr>
          <w:rFonts w:eastAsia="Times New Roman"/>
          <w:u w:val="single"/>
          <w:lang w:eastAsia="bg-BG"/>
        </w:rPr>
      </w:pPr>
      <w:r w:rsidRPr="007F57BE">
        <w:rPr>
          <w:rFonts w:eastAsia="Times New Roman"/>
          <w:u w:val="single"/>
          <w:lang w:eastAsia="bg-BG"/>
        </w:rPr>
        <w:t>Абсорбция</w:t>
      </w:r>
    </w:p>
    <w:p w14:paraId="43ABC21E" w14:textId="7777777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Пероралната бионаличност на финастерид е приблизително 80%. Пиковите плазмени концентрации се достигат приблизително 2 часа след приемането, а абсорбцията приключва след 6-8 часа.</w:t>
      </w:r>
    </w:p>
    <w:p w14:paraId="49CD08BD" w14:textId="77777777" w:rsidR="007F57BE" w:rsidRDefault="007F57BE" w:rsidP="007F57BE">
      <w:pPr>
        <w:spacing w:line="240" w:lineRule="auto"/>
        <w:rPr>
          <w:rFonts w:ascii="Times New Roman" w:eastAsia="Times New Roman" w:hAnsi="Times New Roman" w:cs="Times New Roman"/>
          <w:color w:val="000000"/>
          <w:u w:val="single"/>
          <w:lang w:eastAsia="bg-BG"/>
        </w:rPr>
      </w:pPr>
    </w:p>
    <w:p w14:paraId="2F42DB21" w14:textId="4218BB0F" w:rsidR="007F57BE" w:rsidRPr="007F57BE" w:rsidRDefault="007F57BE" w:rsidP="007F57BE">
      <w:pPr>
        <w:pStyle w:val="Heading3"/>
        <w:rPr>
          <w:rFonts w:eastAsia="Times New Roman"/>
          <w:u w:val="single"/>
          <w:lang w:eastAsia="bg-BG"/>
        </w:rPr>
      </w:pPr>
      <w:r w:rsidRPr="007F57BE">
        <w:rPr>
          <w:rFonts w:eastAsia="Times New Roman"/>
          <w:u w:val="single"/>
          <w:lang w:eastAsia="bg-BG"/>
        </w:rPr>
        <w:t>Разпределение</w:t>
      </w:r>
    </w:p>
    <w:p w14:paraId="32DD5FD9" w14:textId="7777777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Свързването с плазмените протеини е приблизително 93%.</w:t>
      </w:r>
    </w:p>
    <w:p w14:paraId="71B2E005" w14:textId="7777777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 xml:space="preserve">Плазменият клирънс и обемът на разпределение са приблизително 165 </w:t>
      </w:r>
      <w:r w:rsidRPr="007F57BE">
        <w:rPr>
          <w:rFonts w:eastAsia="Times New Roman" w:cs="Arial"/>
          <w:color w:val="000000"/>
          <w:lang w:val="en-US"/>
        </w:rPr>
        <w:t xml:space="preserve">ml/min </w:t>
      </w:r>
      <w:r w:rsidRPr="007F57BE">
        <w:rPr>
          <w:rFonts w:eastAsia="Times New Roman" w:cs="Arial"/>
          <w:color w:val="000000"/>
          <w:lang w:eastAsia="bg-BG"/>
        </w:rPr>
        <w:t xml:space="preserve">(70-279 </w:t>
      </w:r>
      <w:r w:rsidRPr="007F57BE">
        <w:rPr>
          <w:rFonts w:eastAsia="Times New Roman" w:cs="Arial"/>
          <w:color w:val="000000"/>
          <w:lang w:val="en-US"/>
        </w:rPr>
        <w:t xml:space="preserve">ml/min) </w:t>
      </w:r>
      <w:r w:rsidRPr="007F57BE">
        <w:rPr>
          <w:rFonts w:eastAsia="Times New Roman" w:cs="Arial"/>
          <w:color w:val="000000"/>
          <w:lang w:eastAsia="bg-BG"/>
        </w:rPr>
        <w:t xml:space="preserve">и съответно 76 </w:t>
      </w:r>
      <w:r w:rsidRPr="007F57BE">
        <w:rPr>
          <w:rFonts w:eastAsia="Times New Roman" w:cs="Arial"/>
          <w:color w:val="000000"/>
          <w:lang w:val="en-US"/>
        </w:rPr>
        <w:t>l</w:t>
      </w:r>
      <w:r w:rsidRPr="007F57BE">
        <w:rPr>
          <w:rFonts w:eastAsia="Times New Roman" w:cs="Arial"/>
          <w:color w:val="000000"/>
          <w:lang w:eastAsia="bg-BG"/>
        </w:rPr>
        <w:t xml:space="preserve"> (44-96 </w:t>
      </w:r>
      <w:r w:rsidRPr="007F57BE">
        <w:rPr>
          <w:rFonts w:eastAsia="Times New Roman" w:cs="Arial"/>
          <w:color w:val="000000"/>
          <w:lang w:val="en-US"/>
        </w:rPr>
        <w:t>l</w:t>
      </w:r>
      <w:r w:rsidRPr="007F57BE">
        <w:rPr>
          <w:rFonts w:eastAsia="Times New Roman" w:cs="Arial"/>
          <w:color w:val="000000"/>
          <w:lang w:eastAsia="bg-BG"/>
        </w:rPr>
        <w:t xml:space="preserve">). При повторно приложение се наблюдава натрупване на малки количества финастерид. След дневна доза от 5 </w:t>
      </w:r>
      <w:r w:rsidRPr="007F57BE">
        <w:rPr>
          <w:rFonts w:eastAsia="Times New Roman" w:cs="Arial"/>
          <w:color w:val="000000"/>
          <w:lang w:val="en-US"/>
        </w:rPr>
        <w:t xml:space="preserve">mg </w:t>
      </w:r>
      <w:r w:rsidRPr="007F57BE">
        <w:rPr>
          <w:rFonts w:eastAsia="Times New Roman" w:cs="Arial"/>
          <w:color w:val="000000"/>
          <w:lang w:eastAsia="bg-BG"/>
        </w:rPr>
        <w:t xml:space="preserve">най-ниската стационарна концентрация на финастерид е изчислена на 8-10 </w:t>
      </w:r>
      <w:r w:rsidRPr="007F57BE">
        <w:rPr>
          <w:rFonts w:eastAsia="Times New Roman" w:cs="Arial"/>
          <w:color w:val="000000"/>
          <w:lang w:val="en-US"/>
        </w:rPr>
        <w:t xml:space="preserve">ng/ml </w:t>
      </w:r>
      <w:r w:rsidRPr="007F57BE">
        <w:rPr>
          <w:rFonts w:eastAsia="Times New Roman" w:cs="Arial"/>
          <w:color w:val="000000"/>
          <w:lang w:eastAsia="bg-BG"/>
        </w:rPr>
        <w:t>и остава стабилна във времето.</w:t>
      </w:r>
    </w:p>
    <w:p w14:paraId="5DCB2C51" w14:textId="77777777" w:rsidR="007F57BE" w:rsidRDefault="007F57BE" w:rsidP="007F57BE">
      <w:pPr>
        <w:spacing w:line="240" w:lineRule="auto"/>
        <w:rPr>
          <w:rFonts w:ascii="Times New Roman" w:eastAsia="Times New Roman" w:hAnsi="Times New Roman" w:cs="Times New Roman"/>
          <w:color w:val="000000"/>
          <w:u w:val="single"/>
          <w:lang w:eastAsia="bg-BG"/>
        </w:rPr>
      </w:pPr>
    </w:p>
    <w:p w14:paraId="76491800" w14:textId="59D50FC7" w:rsidR="007F57BE" w:rsidRPr="007F57BE" w:rsidRDefault="007F57BE" w:rsidP="007F57BE">
      <w:pPr>
        <w:pStyle w:val="Heading3"/>
        <w:rPr>
          <w:rFonts w:eastAsia="Times New Roman"/>
          <w:u w:val="single"/>
          <w:lang w:eastAsia="bg-BG"/>
        </w:rPr>
      </w:pPr>
      <w:r w:rsidRPr="007F57BE">
        <w:rPr>
          <w:rFonts w:eastAsia="Times New Roman"/>
          <w:u w:val="single"/>
          <w:lang w:eastAsia="bg-BG"/>
        </w:rPr>
        <w:t>Биотрансформация</w:t>
      </w:r>
    </w:p>
    <w:p w14:paraId="6D2A9F53" w14:textId="7777777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Финастерид се метаболизира в черния дроб. Финастерид не повлиява в значима степен ензимната система цитохром Р450. Идентифицирани са два метаболита със слаби 5α-редуктаза инхибиращи ефекти.</w:t>
      </w:r>
    </w:p>
    <w:p w14:paraId="2512E554" w14:textId="77777777" w:rsidR="007F57BE" w:rsidRDefault="007F57BE" w:rsidP="007F57BE">
      <w:pPr>
        <w:spacing w:line="240" w:lineRule="auto"/>
        <w:rPr>
          <w:rFonts w:ascii="Times New Roman" w:eastAsia="Times New Roman" w:hAnsi="Times New Roman" w:cs="Times New Roman"/>
          <w:color w:val="000000"/>
          <w:u w:val="single"/>
          <w:lang w:eastAsia="bg-BG"/>
        </w:rPr>
      </w:pPr>
    </w:p>
    <w:p w14:paraId="172F1F94" w14:textId="56701643" w:rsidR="007F57BE" w:rsidRPr="007F57BE" w:rsidRDefault="007F57BE" w:rsidP="007F57BE">
      <w:pPr>
        <w:pStyle w:val="Heading3"/>
        <w:rPr>
          <w:rFonts w:eastAsia="Times New Roman"/>
          <w:u w:val="single"/>
          <w:lang w:eastAsia="bg-BG"/>
        </w:rPr>
      </w:pPr>
      <w:r w:rsidRPr="007F57BE">
        <w:rPr>
          <w:rFonts w:eastAsia="Times New Roman"/>
          <w:u w:val="single"/>
          <w:lang w:eastAsia="bg-BG"/>
        </w:rPr>
        <w:t>Елиминиране</w:t>
      </w:r>
    </w:p>
    <w:p w14:paraId="148BA3FC" w14:textId="05DB1DF4" w:rsidR="0091385D" w:rsidRPr="007F57BE" w:rsidRDefault="007F57BE" w:rsidP="007F57BE">
      <w:pPr>
        <w:rPr>
          <w:rFonts w:cs="Arial"/>
        </w:rPr>
      </w:pPr>
      <w:r w:rsidRPr="007F57BE">
        <w:rPr>
          <w:rFonts w:eastAsia="Times New Roman" w:cs="Arial"/>
          <w:color w:val="000000"/>
          <w:lang w:eastAsia="bg-BG"/>
        </w:rPr>
        <w:t xml:space="preserve">Плазменият полуживот достига средно </w:t>
      </w:r>
      <w:r w:rsidRPr="007F57BE">
        <w:rPr>
          <w:rFonts w:eastAsia="Times New Roman" w:cs="Arial"/>
          <w:i/>
          <w:iCs/>
          <w:color w:val="000000"/>
          <w:lang w:eastAsia="bg-BG"/>
        </w:rPr>
        <w:t>6 часа (4-12</w:t>
      </w:r>
      <w:r w:rsidRPr="007F57BE">
        <w:rPr>
          <w:rFonts w:eastAsia="Times New Roman" w:cs="Arial"/>
          <w:color w:val="000000"/>
          <w:lang w:eastAsia="bg-BG"/>
        </w:rPr>
        <w:t xml:space="preserve"> часа) (при мъже на възраст над 70 години: 8 часа, с граници 6-15 часа). След прилагането на радиоактивно маркиран финастерид приблизително 39% (32-46%) от дозата се екскретира с урината под формата на метаболити. На практика в урината не се открива непроменен финастерид. Приблизително 57% (51-64%) от общата доза се екскретира с фецеса.</w:t>
      </w:r>
    </w:p>
    <w:p w14:paraId="4EE1BB0B" w14:textId="60F48AF3" w:rsidR="0091385D" w:rsidRDefault="0091385D" w:rsidP="0091385D"/>
    <w:p w14:paraId="203AD58A" w14:textId="7777777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Установено е, че финастерид преминава кръвно-мозъчната бариера. Малки количества финастерид се намират в семенната течност на лекувани пациенти. В две проучвания на здрави доброволци (</w:t>
      </w:r>
      <w:r w:rsidRPr="007F57BE">
        <w:rPr>
          <w:rFonts w:eastAsia="Times New Roman" w:cs="Arial"/>
          <w:color w:val="000000"/>
          <w:lang w:val="en-US"/>
        </w:rPr>
        <w:t>n</w:t>
      </w:r>
      <w:r w:rsidRPr="007F57BE">
        <w:rPr>
          <w:rFonts w:eastAsia="Times New Roman" w:cs="Arial"/>
          <w:color w:val="000000"/>
          <w:lang w:eastAsia="bg-BG"/>
        </w:rPr>
        <w:t xml:space="preserve">=69), получаващи финастерид в доза 5 </w:t>
      </w:r>
      <w:r w:rsidRPr="007F57BE">
        <w:rPr>
          <w:rFonts w:eastAsia="Times New Roman" w:cs="Arial"/>
          <w:color w:val="000000"/>
          <w:lang w:val="en-US"/>
        </w:rPr>
        <w:t>mg</w:t>
      </w:r>
      <w:r w:rsidRPr="007F57BE">
        <w:rPr>
          <w:rFonts w:eastAsia="Times New Roman" w:cs="Arial"/>
          <w:color w:val="000000"/>
          <w:lang w:eastAsia="bg-BG"/>
        </w:rPr>
        <w:t xml:space="preserve">/дневно за 6-24 седмици, концентрацията на финастерид в семенната течност варира на практика от неоткриваеми количества (&lt;0,1 </w:t>
      </w:r>
      <w:r w:rsidRPr="007F57BE">
        <w:rPr>
          <w:rFonts w:eastAsia="Times New Roman" w:cs="Arial"/>
          <w:color w:val="000000"/>
          <w:lang w:val="en-US"/>
        </w:rPr>
        <w:t xml:space="preserve">ng/ml) </w:t>
      </w:r>
      <w:r w:rsidRPr="007F57BE">
        <w:rPr>
          <w:rFonts w:eastAsia="Times New Roman" w:cs="Arial"/>
          <w:color w:val="000000"/>
          <w:lang w:eastAsia="bg-BG"/>
        </w:rPr>
        <w:t xml:space="preserve">до 10,54 </w:t>
      </w:r>
      <w:r w:rsidRPr="007F57BE">
        <w:rPr>
          <w:rFonts w:eastAsia="Times New Roman" w:cs="Arial"/>
          <w:color w:val="000000"/>
          <w:lang w:val="en-US"/>
        </w:rPr>
        <w:t xml:space="preserve">ng/ml. </w:t>
      </w:r>
      <w:r w:rsidRPr="007F57BE">
        <w:rPr>
          <w:rFonts w:eastAsia="Times New Roman" w:cs="Arial"/>
          <w:color w:val="000000"/>
          <w:lang w:eastAsia="bg-BG"/>
        </w:rPr>
        <w:t xml:space="preserve">В едно по-ранно проучване използващо по-слабо чувствителен метод за анализ, концентрациите на финастерид в семенната течност на 16 индивида получаващи финастерид 5 </w:t>
      </w:r>
      <w:r w:rsidRPr="007F57BE">
        <w:rPr>
          <w:rFonts w:eastAsia="Times New Roman" w:cs="Arial"/>
          <w:color w:val="000000"/>
          <w:lang w:val="en-US"/>
        </w:rPr>
        <w:t xml:space="preserve">mg </w:t>
      </w:r>
      <w:r w:rsidRPr="007F57BE">
        <w:rPr>
          <w:rFonts w:eastAsia="Times New Roman" w:cs="Arial"/>
          <w:color w:val="000000"/>
          <w:lang w:eastAsia="bg-BG"/>
        </w:rPr>
        <w:t xml:space="preserve">дневно варира от неоткриваеми количества (&lt;1,0 </w:t>
      </w:r>
      <w:r w:rsidRPr="007F57BE">
        <w:rPr>
          <w:rFonts w:eastAsia="Times New Roman" w:cs="Arial"/>
          <w:color w:val="000000"/>
          <w:lang w:val="en-US"/>
        </w:rPr>
        <w:t xml:space="preserve">ng/ml) </w:t>
      </w:r>
      <w:r w:rsidRPr="007F57BE">
        <w:rPr>
          <w:rFonts w:eastAsia="Times New Roman" w:cs="Arial"/>
          <w:color w:val="000000"/>
          <w:lang w:eastAsia="bg-BG"/>
        </w:rPr>
        <w:t xml:space="preserve">до 21 </w:t>
      </w:r>
      <w:r w:rsidRPr="007F57BE">
        <w:rPr>
          <w:rFonts w:eastAsia="Times New Roman" w:cs="Arial"/>
          <w:color w:val="000000"/>
          <w:lang w:val="en-US"/>
        </w:rPr>
        <w:t xml:space="preserve">ng/ml. </w:t>
      </w:r>
      <w:r w:rsidRPr="007F57BE">
        <w:rPr>
          <w:rFonts w:eastAsia="Times New Roman" w:cs="Arial"/>
          <w:color w:val="000000"/>
          <w:lang w:eastAsia="bg-BG"/>
        </w:rPr>
        <w:t xml:space="preserve">Следователно, базирайки се на обем на еякулата 5 </w:t>
      </w:r>
      <w:r w:rsidRPr="007F57BE">
        <w:rPr>
          <w:rFonts w:eastAsia="Times New Roman" w:cs="Arial"/>
          <w:color w:val="000000"/>
          <w:lang w:val="en-US"/>
        </w:rPr>
        <w:t xml:space="preserve">ml, </w:t>
      </w:r>
      <w:r w:rsidRPr="007F57BE">
        <w:rPr>
          <w:rFonts w:eastAsia="Times New Roman" w:cs="Arial"/>
          <w:color w:val="000000"/>
          <w:lang w:eastAsia="bg-BG"/>
        </w:rPr>
        <w:t xml:space="preserve">количеството на финастерид в спермата беше изчислено на 50- до 100-кратно по-малко от дозата на </w:t>
      </w:r>
      <w:r w:rsidRPr="007F57BE">
        <w:rPr>
          <w:rFonts w:eastAsia="Times New Roman" w:cs="Arial"/>
          <w:color w:val="000000"/>
          <w:lang w:eastAsia="bg-BG"/>
        </w:rPr>
        <w:lastRenderedPageBreak/>
        <w:t>финастерид (5 μ</w:t>
      </w:r>
      <w:r w:rsidRPr="007F57BE">
        <w:rPr>
          <w:rFonts w:eastAsia="Times New Roman" w:cs="Arial"/>
          <w:color w:val="000000"/>
          <w:lang w:val="en-US"/>
        </w:rPr>
        <w:t xml:space="preserve">g), </w:t>
      </w:r>
      <w:r w:rsidRPr="007F57BE">
        <w:rPr>
          <w:rFonts w:eastAsia="Times New Roman" w:cs="Arial"/>
          <w:color w:val="000000"/>
          <w:lang w:eastAsia="bg-BG"/>
        </w:rPr>
        <w:t>която няма ефект върху нивата на циркулиращия ДХТ (дихидротестостерон) при мъже (вижте също точка 5.3).</w:t>
      </w:r>
    </w:p>
    <w:p w14:paraId="789ECD67" w14:textId="77777777" w:rsidR="007F57BE" w:rsidRPr="007F57BE" w:rsidRDefault="007F57BE" w:rsidP="007F57BE">
      <w:pPr>
        <w:rPr>
          <w:rFonts w:eastAsia="Times New Roman" w:cs="Arial"/>
          <w:color w:val="000000"/>
          <w:lang w:eastAsia="bg-BG"/>
        </w:rPr>
      </w:pPr>
    </w:p>
    <w:p w14:paraId="20837867" w14:textId="17A0385C" w:rsidR="007F57BE" w:rsidRPr="007F57BE" w:rsidRDefault="007F57BE" w:rsidP="007F57BE">
      <w:pPr>
        <w:rPr>
          <w:rFonts w:cs="Arial"/>
        </w:rPr>
      </w:pPr>
      <w:r w:rsidRPr="007F57BE">
        <w:rPr>
          <w:rFonts w:eastAsia="Times New Roman" w:cs="Arial"/>
          <w:color w:val="000000"/>
          <w:lang w:eastAsia="bg-BG"/>
        </w:rPr>
        <w:t xml:space="preserve">При пациенти с хронично бъбречно увреждане, чиито </w:t>
      </w:r>
      <w:r w:rsidRPr="007F57BE">
        <w:rPr>
          <w:rFonts w:eastAsia="Times New Roman" w:cs="Arial"/>
          <w:i/>
          <w:iCs/>
          <w:color w:val="000000"/>
          <w:lang w:eastAsia="bg-BG"/>
        </w:rPr>
        <w:t>креатининов</w:t>
      </w:r>
      <w:r w:rsidRPr="007F57BE">
        <w:rPr>
          <w:rFonts w:eastAsia="Times New Roman" w:cs="Arial"/>
          <w:color w:val="000000"/>
          <w:lang w:eastAsia="bg-BG"/>
        </w:rPr>
        <w:t xml:space="preserve"> клирънс е между 9-55 </w:t>
      </w:r>
      <w:r w:rsidRPr="007F57BE">
        <w:rPr>
          <w:rFonts w:eastAsia="Times New Roman" w:cs="Arial"/>
          <w:color w:val="000000"/>
          <w:lang w:val="en-US"/>
        </w:rPr>
        <w:t xml:space="preserve">ml/min, </w:t>
      </w:r>
      <w:r w:rsidRPr="007F57BE">
        <w:rPr>
          <w:rFonts w:eastAsia="Times New Roman" w:cs="Arial"/>
          <w:color w:val="000000"/>
          <w:lang w:eastAsia="bg-BG"/>
        </w:rPr>
        <w:t xml:space="preserve">разпределението на единичната доза </w:t>
      </w:r>
      <w:r w:rsidRPr="007F57BE">
        <w:rPr>
          <w:rFonts w:eastAsia="Times New Roman" w:cs="Arial"/>
          <w:color w:val="000000"/>
          <w:vertAlign w:val="superscript"/>
          <w:lang w:eastAsia="bg-BG"/>
        </w:rPr>
        <w:t>14</w:t>
      </w:r>
      <w:r w:rsidRPr="007F57BE">
        <w:rPr>
          <w:rFonts w:eastAsia="Times New Roman" w:cs="Arial"/>
          <w:color w:val="000000"/>
          <w:lang w:eastAsia="bg-BG"/>
        </w:rPr>
        <w:t>С-финастерид не се различава от това при здравите доброволци (виж точка 4.2). Свързването на плазмените протеини също не се различава при пациенти с бъбречно увреждане. Част от метаболитите, които нормално се екскретират през бъбреците се установяват във фецеса. Затова изглежда, че фекалната екскреция се повишава пропорционално с понижаването на екскрецията на метаболитите с урината. Адаптиране на дозата при пациенти с бъбречно увреждане, които не са на хемодиализа, не е необходимо.</w:t>
      </w:r>
    </w:p>
    <w:p w14:paraId="40E2CDC0" w14:textId="77777777" w:rsidR="007F57BE" w:rsidRPr="0091385D" w:rsidRDefault="007F57BE" w:rsidP="0091385D"/>
    <w:p w14:paraId="648E39DA" w14:textId="44D16CBD" w:rsidR="00CF77F7" w:rsidRDefault="002C50EE" w:rsidP="004A448E">
      <w:pPr>
        <w:pStyle w:val="Heading2"/>
      </w:pPr>
      <w:r>
        <w:t>5.3. Предклинични данни за безопасност</w:t>
      </w:r>
    </w:p>
    <w:p w14:paraId="31455D09" w14:textId="4D0EFBF5" w:rsidR="0091385D" w:rsidRDefault="0091385D" w:rsidP="0091385D"/>
    <w:p w14:paraId="56B860D2" w14:textId="7777777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b/>
          <w:bCs/>
          <w:color w:val="000000"/>
          <w:lang w:eastAsia="bg-BG"/>
        </w:rPr>
        <w:t xml:space="preserve">Неклиничннте данни не са </w:t>
      </w:r>
      <w:r w:rsidRPr="007F57BE">
        <w:rPr>
          <w:rFonts w:eastAsia="Times New Roman" w:cs="Arial"/>
          <w:color w:val="000000"/>
          <w:lang w:eastAsia="bg-BG"/>
        </w:rPr>
        <w:t>показали особен риск за хората на база на конвенционалните фармакологични изпитвания за токсичност при многократно прилагане, генотоксичност и канцерогенен потенциал.</w:t>
      </w:r>
    </w:p>
    <w:p w14:paraId="0CB7C4AA" w14:textId="77777777" w:rsidR="007F57BE" w:rsidRPr="007F57BE" w:rsidRDefault="007F57BE" w:rsidP="007F57BE">
      <w:pPr>
        <w:rPr>
          <w:rFonts w:eastAsia="Times New Roman" w:cs="Arial"/>
          <w:color w:val="000000"/>
          <w:lang w:eastAsia="bg-BG"/>
        </w:rPr>
      </w:pPr>
    </w:p>
    <w:p w14:paraId="758AE39E" w14:textId="77777777" w:rsidR="007F57BE" w:rsidRPr="007F57BE" w:rsidRDefault="007F57BE" w:rsidP="007F57BE">
      <w:pPr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Изпитванията за репродуктивна токсичност при мъжки плъхове са показали намалено тегло на простатата и семенните везикули, намалена секреция от добавъчните полови жлези и понижен индекс на фертилитет (предизвикан от основния фармакологичен ефект на финастерид). Клиничното значение на тези данни е неизяснено.</w:t>
      </w:r>
    </w:p>
    <w:p w14:paraId="0E4E9844" w14:textId="77777777" w:rsidR="007F57BE" w:rsidRDefault="007F57BE" w:rsidP="007F57BE">
      <w:pPr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52E4D01A" w14:textId="18E7C3C8" w:rsidR="0091385D" w:rsidRPr="007F57BE" w:rsidRDefault="007F57BE" w:rsidP="007F57BE">
      <w:pPr>
        <w:rPr>
          <w:rFonts w:cs="Arial"/>
        </w:rPr>
      </w:pPr>
      <w:r w:rsidRPr="007F57BE">
        <w:rPr>
          <w:rFonts w:eastAsia="Times New Roman" w:cs="Arial"/>
          <w:color w:val="000000"/>
          <w:lang w:eastAsia="bg-BG"/>
        </w:rPr>
        <w:t xml:space="preserve">Както при другите 5α-редуктазни инхибитори, при приложение на финастерид по време на гестационния период е била наблюдавана феминизация на мъжките ембриони при плъховете. Интравенозното приложение на финастерид на бременни </w:t>
      </w:r>
      <w:r w:rsidRPr="007F57BE">
        <w:rPr>
          <w:rFonts w:eastAsia="Times New Roman" w:cs="Arial"/>
          <w:i/>
          <w:iCs/>
          <w:color w:val="000000"/>
          <w:lang w:val="en-US"/>
        </w:rPr>
        <w:t>Rhesus</w:t>
      </w:r>
      <w:r w:rsidRPr="007F57BE">
        <w:rPr>
          <w:rFonts w:eastAsia="Times New Roman" w:cs="Arial"/>
          <w:color w:val="000000"/>
          <w:lang w:val="en-US"/>
        </w:rPr>
        <w:t xml:space="preserve"> </w:t>
      </w:r>
      <w:r w:rsidRPr="007F57BE">
        <w:rPr>
          <w:rFonts w:eastAsia="Times New Roman" w:cs="Arial"/>
          <w:color w:val="000000"/>
          <w:lang w:eastAsia="bg-BG"/>
        </w:rPr>
        <w:t xml:space="preserve">маймуни в дози до 800 </w:t>
      </w:r>
      <w:r w:rsidRPr="007F57BE">
        <w:rPr>
          <w:rFonts w:eastAsia="Times New Roman" w:cs="Arial"/>
          <w:color w:val="000000"/>
          <w:lang w:val="en-US"/>
        </w:rPr>
        <w:t xml:space="preserve">ng </w:t>
      </w:r>
      <w:r w:rsidRPr="007F57BE">
        <w:rPr>
          <w:rFonts w:eastAsia="Times New Roman" w:cs="Arial"/>
          <w:color w:val="000000"/>
          <w:lang w:eastAsia="bg-BG"/>
        </w:rPr>
        <w:t xml:space="preserve">дневно по време на целия период на ембрионалното и феталното развитие не е довело до аномалии в плодовете от мъжки пол. Тази доза е около 60-120 пъти по-висока от изчисленото количество в спермата на мъж, който приема 5 </w:t>
      </w:r>
      <w:r w:rsidRPr="007F57BE">
        <w:rPr>
          <w:rFonts w:eastAsia="Times New Roman" w:cs="Arial"/>
          <w:color w:val="000000"/>
          <w:lang w:val="en-US"/>
        </w:rPr>
        <w:t xml:space="preserve">mg </w:t>
      </w:r>
      <w:r w:rsidRPr="007F57BE">
        <w:rPr>
          <w:rFonts w:eastAsia="Times New Roman" w:cs="Arial"/>
          <w:color w:val="000000"/>
          <w:lang w:eastAsia="bg-BG"/>
        </w:rPr>
        <w:t xml:space="preserve">финастерид и чрез когото жена би могла да има контакт посредством семенна течност. В потвърждение на значението на </w:t>
      </w:r>
      <w:r w:rsidRPr="007F57BE">
        <w:rPr>
          <w:rFonts w:eastAsia="Times New Roman" w:cs="Arial"/>
          <w:i/>
          <w:iCs/>
          <w:color w:val="000000"/>
          <w:lang w:val="en-US"/>
        </w:rPr>
        <w:t>Rhesus</w:t>
      </w:r>
      <w:r w:rsidRPr="007F57BE">
        <w:rPr>
          <w:rFonts w:eastAsia="Times New Roman" w:cs="Arial"/>
          <w:color w:val="000000"/>
          <w:lang w:val="en-US"/>
        </w:rPr>
        <w:t xml:space="preserve"> </w:t>
      </w:r>
      <w:r w:rsidRPr="007F57BE">
        <w:rPr>
          <w:rFonts w:eastAsia="Times New Roman" w:cs="Arial"/>
          <w:color w:val="000000"/>
          <w:lang w:eastAsia="bg-BG"/>
        </w:rPr>
        <w:t xml:space="preserve">модела за феталното развитие при хора, пероралното приложение на финастерид </w:t>
      </w:r>
      <w:r w:rsidRPr="007F57BE">
        <w:rPr>
          <w:rFonts w:eastAsia="Times New Roman" w:cs="Arial"/>
          <w:i/>
          <w:iCs/>
          <w:color w:val="000000"/>
          <w:lang w:eastAsia="bg-BG"/>
        </w:rPr>
        <w:t>2</w:t>
      </w:r>
      <w:r w:rsidRPr="007F57BE">
        <w:rPr>
          <w:rFonts w:eastAsia="Times New Roman" w:cs="Arial"/>
          <w:color w:val="000000"/>
          <w:lang w:eastAsia="bg-BG"/>
        </w:rPr>
        <w:t xml:space="preserve"> </w:t>
      </w:r>
      <w:r w:rsidRPr="007F57BE">
        <w:rPr>
          <w:rFonts w:eastAsia="Times New Roman" w:cs="Arial"/>
          <w:color w:val="000000"/>
          <w:lang w:val="en-US"/>
        </w:rPr>
        <w:t xml:space="preserve">mg/kg </w:t>
      </w:r>
      <w:r w:rsidRPr="007F57BE">
        <w:rPr>
          <w:rFonts w:eastAsia="Times New Roman" w:cs="Arial"/>
          <w:color w:val="000000"/>
          <w:lang w:eastAsia="bg-BG"/>
        </w:rPr>
        <w:t xml:space="preserve">дневно (системната експозиция </w:t>
      </w:r>
      <w:r w:rsidRPr="007F57BE">
        <w:rPr>
          <w:rFonts w:eastAsia="Times New Roman" w:cs="Arial"/>
          <w:color w:val="000000"/>
          <w:lang w:val="en-US"/>
        </w:rPr>
        <w:t xml:space="preserve">(AUC) </w:t>
      </w:r>
      <w:r w:rsidRPr="007F57BE">
        <w:rPr>
          <w:rFonts w:eastAsia="Times New Roman" w:cs="Arial"/>
          <w:color w:val="000000"/>
          <w:lang w:eastAsia="bg-BG"/>
        </w:rPr>
        <w:t xml:space="preserve">за маймуните е била малко по-висока (3 пъти) отколкото при мъже, които приемат 5 </w:t>
      </w:r>
      <w:r w:rsidRPr="007F57BE">
        <w:rPr>
          <w:rFonts w:eastAsia="Times New Roman" w:cs="Arial"/>
          <w:color w:val="000000"/>
          <w:lang w:val="en-US"/>
        </w:rPr>
        <w:t xml:space="preserve">mg </w:t>
      </w:r>
      <w:r w:rsidRPr="007F57BE">
        <w:rPr>
          <w:rFonts w:eastAsia="Times New Roman" w:cs="Arial"/>
          <w:color w:val="000000"/>
          <w:lang w:eastAsia="bg-BG"/>
        </w:rPr>
        <w:t>финастерид, или приблизително 1-2 милиона пъти изчисленото количество финастерид в семенната течност) на бременни маймуни довежда до аномалии на външните полови органи при фетусите от мъжки пол. При каквито и да е дози не са наблюдавани други аномалии при мъжки фетуси, пито свързани с финастерид аномалии при женски фетуси.</w:t>
      </w:r>
    </w:p>
    <w:p w14:paraId="20E967BE" w14:textId="77777777" w:rsidR="0091385D" w:rsidRPr="0091385D" w:rsidRDefault="0091385D" w:rsidP="0091385D"/>
    <w:p w14:paraId="6A7820AB" w14:textId="353DB6D2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1B9B651E" w14:textId="3382E6AC" w:rsidR="0091385D" w:rsidRDefault="0091385D" w:rsidP="0091385D"/>
    <w:p w14:paraId="310DE2E1" w14:textId="7777777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ФАРМАКОНС АД</w:t>
      </w:r>
    </w:p>
    <w:p w14:paraId="7CC595EB" w14:textId="7777777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бул. „Пейо К. Яворов” № 44 ет.1</w:t>
      </w:r>
    </w:p>
    <w:p w14:paraId="431563D0" w14:textId="7777777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София 1164</w:t>
      </w:r>
    </w:p>
    <w:p w14:paraId="3FD825DB" w14:textId="26A2FDC1" w:rsidR="0091385D" w:rsidRPr="007F57BE" w:rsidRDefault="007F57BE" w:rsidP="007F57BE">
      <w:pPr>
        <w:rPr>
          <w:rFonts w:cs="Arial"/>
        </w:rPr>
      </w:pPr>
      <w:r w:rsidRPr="007F57BE">
        <w:rPr>
          <w:rFonts w:eastAsia="Times New Roman" w:cs="Arial"/>
          <w:color w:val="000000"/>
          <w:lang w:eastAsia="bg-BG"/>
        </w:rPr>
        <w:t>България</w:t>
      </w:r>
    </w:p>
    <w:p w14:paraId="129C7566" w14:textId="77777777" w:rsidR="0091385D" w:rsidRPr="0091385D" w:rsidRDefault="0091385D" w:rsidP="0091385D"/>
    <w:p w14:paraId="7BA1BA64" w14:textId="17509450" w:rsidR="00CF77F7" w:rsidRDefault="002C50EE" w:rsidP="004A448E">
      <w:pPr>
        <w:pStyle w:val="Heading1"/>
      </w:pPr>
      <w:r>
        <w:lastRenderedPageBreak/>
        <w:t>8. НОМЕР НА РАЗРЕШЕНИЕТО ЗА УПОТРЕБА</w:t>
      </w:r>
    </w:p>
    <w:p w14:paraId="095674C4" w14:textId="54CA436A" w:rsidR="0091385D" w:rsidRDefault="0091385D" w:rsidP="0091385D"/>
    <w:p w14:paraId="6E892CE5" w14:textId="6491011D" w:rsidR="0091385D" w:rsidRPr="007F57BE" w:rsidRDefault="007F57BE" w:rsidP="0091385D">
      <w:pPr>
        <w:rPr>
          <w:rFonts w:cs="Arial"/>
        </w:rPr>
      </w:pPr>
      <w:proofErr w:type="spellStart"/>
      <w:r w:rsidRPr="007F57BE">
        <w:rPr>
          <w:rFonts w:cs="Arial"/>
          <w:lang w:val="en-US"/>
        </w:rPr>
        <w:t>Pe</w:t>
      </w:r>
      <w:proofErr w:type="spellEnd"/>
      <w:r w:rsidRPr="007F57BE">
        <w:rPr>
          <w:rFonts w:cs="Arial"/>
        </w:rPr>
        <w:t>г</w:t>
      </w:r>
      <w:r w:rsidRPr="007F57BE">
        <w:rPr>
          <w:rFonts w:cs="Arial"/>
          <w:lang w:val="en-US"/>
        </w:rPr>
        <w:t xml:space="preserve">. </w:t>
      </w:r>
      <w:r w:rsidRPr="007F57BE">
        <w:rPr>
          <w:rFonts w:cs="Arial"/>
        </w:rPr>
        <w:t>№: 20170084</w:t>
      </w:r>
    </w:p>
    <w:p w14:paraId="62EF7F8B" w14:textId="77777777" w:rsidR="0091385D" w:rsidRPr="0091385D" w:rsidRDefault="0091385D" w:rsidP="0091385D"/>
    <w:p w14:paraId="2CCB5832" w14:textId="18FCD95B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372B3414" w14:textId="0F79A9B4" w:rsidR="0091385D" w:rsidRDefault="0091385D" w:rsidP="0091385D"/>
    <w:p w14:paraId="66340E26" w14:textId="77777777" w:rsidR="007F57BE" w:rsidRPr="007F57BE" w:rsidRDefault="007F57BE" w:rsidP="007F57BE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7F57BE">
        <w:rPr>
          <w:rFonts w:eastAsia="Times New Roman" w:cs="Arial"/>
          <w:color w:val="000000"/>
          <w:lang w:eastAsia="bg-BG"/>
        </w:rPr>
        <w:t>Дата на първо разрешаване: 15 февруари 2017 г.</w:t>
      </w:r>
    </w:p>
    <w:p w14:paraId="4F8875D6" w14:textId="77777777" w:rsidR="007F57BE" w:rsidRPr="007F57BE" w:rsidRDefault="007F57BE" w:rsidP="007F57BE">
      <w:pPr>
        <w:rPr>
          <w:rFonts w:eastAsia="Times New Roman" w:cs="Arial"/>
          <w:color w:val="000000"/>
          <w:lang w:eastAsia="bg-BG"/>
        </w:rPr>
      </w:pPr>
    </w:p>
    <w:p w14:paraId="497007FA" w14:textId="52D8502B" w:rsidR="0091385D" w:rsidRPr="007F57BE" w:rsidRDefault="007F57BE" w:rsidP="007F57BE">
      <w:pPr>
        <w:rPr>
          <w:rFonts w:cs="Arial"/>
        </w:rPr>
      </w:pPr>
      <w:r w:rsidRPr="007F57BE">
        <w:rPr>
          <w:rFonts w:eastAsia="Times New Roman" w:cs="Arial"/>
          <w:color w:val="000000"/>
          <w:lang w:eastAsia="bg-BG"/>
        </w:rPr>
        <w:t>Дата на последно подновяване:</w:t>
      </w:r>
    </w:p>
    <w:p w14:paraId="0A56E09D" w14:textId="77777777" w:rsidR="0091385D" w:rsidRPr="0091385D" w:rsidRDefault="0091385D" w:rsidP="0091385D"/>
    <w:p w14:paraId="0E9D0119" w14:textId="1FEC128A" w:rsidR="002C50EE" w:rsidRDefault="002C50EE" w:rsidP="002C50EE">
      <w:pPr>
        <w:pStyle w:val="Heading1"/>
      </w:pPr>
      <w:r>
        <w:t>10. ДАТА НА АКТУАЛИЗИРАНЕ НА ТЕКСТА</w:t>
      </w:r>
    </w:p>
    <w:p w14:paraId="3E8FFCC4" w14:textId="34E0D3BB" w:rsidR="0091385D" w:rsidRDefault="0091385D" w:rsidP="0091385D"/>
    <w:p w14:paraId="30276F52" w14:textId="40E1CEB3" w:rsidR="0091385D" w:rsidRPr="007F57BE" w:rsidRDefault="007F57BE" w:rsidP="0091385D">
      <w:pPr>
        <w:rPr>
          <w:rFonts w:cs="Arial"/>
        </w:rPr>
      </w:pPr>
      <w:r w:rsidRPr="007F57BE">
        <w:rPr>
          <w:rFonts w:cs="Arial"/>
        </w:rPr>
        <w:t>08/2021</w:t>
      </w:r>
    </w:p>
    <w:p w14:paraId="6B00148E" w14:textId="77777777" w:rsidR="0091385D" w:rsidRPr="0091385D" w:rsidRDefault="0091385D" w:rsidP="0091385D"/>
    <w:bookmarkEnd w:id="0"/>
    <w:p w14:paraId="43FB38A2" w14:textId="5500C507" w:rsidR="007C605B" w:rsidRPr="003E3126" w:rsidRDefault="007C605B" w:rsidP="00CF77F7"/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5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2A1F1D"/>
    <w:multiLevelType w:val="hybridMultilevel"/>
    <w:tmpl w:val="1B3647AA"/>
    <w:lvl w:ilvl="0" w:tplc="9348A8C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7"/>
  </w:num>
  <w:num w:numId="2">
    <w:abstractNumId w:val="0"/>
  </w:num>
  <w:num w:numId="3">
    <w:abstractNumId w:val="12"/>
  </w:num>
  <w:num w:numId="4">
    <w:abstractNumId w:val="3"/>
  </w:num>
  <w:num w:numId="5">
    <w:abstractNumId w:val="1"/>
  </w:num>
  <w:num w:numId="6">
    <w:abstractNumId w:val="15"/>
  </w:num>
  <w:num w:numId="7">
    <w:abstractNumId w:val="10"/>
  </w:num>
  <w:num w:numId="8">
    <w:abstractNumId w:val="14"/>
  </w:num>
  <w:num w:numId="9">
    <w:abstractNumId w:val="2"/>
  </w:num>
  <w:num w:numId="10">
    <w:abstractNumId w:val="4"/>
  </w:num>
  <w:num w:numId="11">
    <w:abstractNumId w:val="30"/>
  </w:num>
  <w:num w:numId="12">
    <w:abstractNumId w:val="13"/>
  </w:num>
  <w:num w:numId="13">
    <w:abstractNumId w:val="18"/>
  </w:num>
  <w:num w:numId="14">
    <w:abstractNumId w:val="11"/>
  </w:num>
  <w:num w:numId="15">
    <w:abstractNumId w:val="29"/>
  </w:num>
  <w:num w:numId="16">
    <w:abstractNumId w:val="9"/>
  </w:num>
  <w:num w:numId="17">
    <w:abstractNumId w:val="24"/>
  </w:num>
  <w:num w:numId="18">
    <w:abstractNumId w:val="7"/>
  </w:num>
  <w:num w:numId="19">
    <w:abstractNumId w:val="26"/>
  </w:num>
  <w:num w:numId="20">
    <w:abstractNumId w:val="23"/>
  </w:num>
  <w:num w:numId="21">
    <w:abstractNumId w:val="16"/>
  </w:num>
  <w:num w:numId="22">
    <w:abstractNumId w:val="25"/>
  </w:num>
  <w:num w:numId="23">
    <w:abstractNumId w:val="17"/>
  </w:num>
  <w:num w:numId="24">
    <w:abstractNumId w:val="8"/>
  </w:num>
  <w:num w:numId="25">
    <w:abstractNumId w:val="22"/>
  </w:num>
  <w:num w:numId="26">
    <w:abstractNumId w:val="21"/>
  </w:num>
  <w:num w:numId="27">
    <w:abstractNumId w:val="31"/>
  </w:num>
  <w:num w:numId="28">
    <w:abstractNumId w:val="6"/>
  </w:num>
  <w:num w:numId="29">
    <w:abstractNumId w:val="20"/>
  </w:num>
  <w:num w:numId="30">
    <w:abstractNumId w:val="34"/>
  </w:num>
  <w:num w:numId="31">
    <w:abstractNumId w:val="5"/>
  </w:num>
  <w:num w:numId="32">
    <w:abstractNumId w:val="33"/>
  </w:num>
  <w:num w:numId="33">
    <w:abstractNumId w:val="28"/>
  </w:num>
  <w:num w:numId="34">
    <w:abstractNumId w:val="32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0112D6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26E5F"/>
    <w:rsid w:val="00466F30"/>
    <w:rsid w:val="004A448E"/>
    <w:rsid w:val="004D4D6B"/>
    <w:rsid w:val="004F1CE7"/>
    <w:rsid w:val="004F498A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7C605B"/>
    <w:rsid w:val="007F57BE"/>
    <w:rsid w:val="008134C8"/>
    <w:rsid w:val="00814073"/>
    <w:rsid w:val="00826F0D"/>
    <w:rsid w:val="00893B92"/>
    <w:rsid w:val="008A6AF2"/>
    <w:rsid w:val="008C70A2"/>
    <w:rsid w:val="0091385D"/>
    <w:rsid w:val="009773E4"/>
    <w:rsid w:val="009B171C"/>
    <w:rsid w:val="009F1313"/>
    <w:rsid w:val="00A20351"/>
    <w:rsid w:val="00A65A81"/>
    <w:rsid w:val="00AA23EC"/>
    <w:rsid w:val="00AC63CE"/>
    <w:rsid w:val="00AE2107"/>
    <w:rsid w:val="00B275A8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3690</Words>
  <Characters>21039</Characters>
  <Application>Microsoft Office Word</Application>
  <DocSecurity>0</DocSecurity>
  <Lines>175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Потребител на Windows</cp:lastModifiedBy>
  <cp:revision>2</cp:revision>
  <dcterms:created xsi:type="dcterms:W3CDTF">2022-07-27T18:05:00Z</dcterms:created>
  <dcterms:modified xsi:type="dcterms:W3CDTF">2022-07-27T18:05:00Z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