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B48E40E" w:rsidR="00C40420" w:rsidRDefault="00DD466D" w:rsidP="004A448E">
      <w:pPr>
        <w:pStyle w:val="Heading1"/>
      </w:pPr>
      <w:r>
        <w:t>1.ИМЕ НА ЛЕКАРСТВЕНИЯ ПРОДУКТ</w:t>
      </w:r>
    </w:p>
    <w:p w14:paraId="6661D742" w14:textId="528BE7A7" w:rsidR="006F413A" w:rsidRDefault="006F413A" w:rsidP="006F413A"/>
    <w:p w14:paraId="53DF0BCF" w14:textId="77777777" w:rsidR="006F413A" w:rsidRPr="006F413A" w:rsidRDefault="006F413A" w:rsidP="006F413A">
      <w:pPr>
        <w:rPr>
          <w:sz w:val="24"/>
          <w:szCs w:val="24"/>
        </w:rPr>
      </w:pPr>
      <w:r w:rsidRPr="006F413A">
        <w:rPr>
          <w:lang w:eastAsia="bg-BG"/>
        </w:rPr>
        <w:t xml:space="preserve">Финлепсин 200 </w:t>
      </w:r>
      <w:r w:rsidRPr="006F413A">
        <w:rPr>
          <w:lang w:val="en-US"/>
        </w:rPr>
        <w:t>mg</w:t>
      </w:r>
      <w:r w:rsidRPr="006F413A">
        <w:t xml:space="preserve"> </w:t>
      </w:r>
      <w:r w:rsidRPr="006F413A">
        <w:rPr>
          <w:lang w:eastAsia="bg-BG"/>
        </w:rPr>
        <w:t>таблетки</w:t>
      </w:r>
    </w:p>
    <w:p w14:paraId="5C42C1FD" w14:textId="2ED4D8DF" w:rsidR="006F413A" w:rsidRPr="006F413A" w:rsidRDefault="006F413A" w:rsidP="006F413A">
      <w:proofErr w:type="spellStart"/>
      <w:r w:rsidRPr="006F413A">
        <w:rPr>
          <w:lang w:val="en-US"/>
        </w:rPr>
        <w:t>Finlepsin</w:t>
      </w:r>
      <w:proofErr w:type="spellEnd"/>
      <w:r w:rsidRPr="006F413A">
        <w:t xml:space="preserve"> </w:t>
      </w:r>
      <w:r w:rsidRPr="006F413A">
        <w:rPr>
          <w:lang w:eastAsia="bg-BG"/>
        </w:rPr>
        <w:t xml:space="preserve">200 </w:t>
      </w:r>
      <w:r w:rsidRPr="006F413A">
        <w:rPr>
          <w:lang w:val="en-US"/>
        </w:rPr>
        <w:t>mg</w:t>
      </w:r>
      <w:r w:rsidRPr="006F413A">
        <w:t xml:space="preserve"> </w:t>
      </w:r>
      <w:r w:rsidRPr="006F413A">
        <w:rPr>
          <w:lang w:val="en-US"/>
        </w:rPr>
        <w:t>tablets</w:t>
      </w:r>
    </w:p>
    <w:p w14:paraId="6920A680" w14:textId="3690A03B" w:rsidR="00C40420" w:rsidRDefault="00DD466D" w:rsidP="004A448E">
      <w:pPr>
        <w:pStyle w:val="Heading1"/>
      </w:pPr>
      <w:r>
        <w:t>2. КАЧЕСТВЕН И КОЛИЧЕСТВЕН СЪСТАВ</w:t>
      </w:r>
    </w:p>
    <w:p w14:paraId="655FBA45" w14:textId="2479C3CE" w:rsidR="006F413A" w:rsidRDefault="006F413A" w:rsidP="006F413A"/>
    <w:p w14:paraId="6E598E66" w14:textId="0EE0FAF1" w:rsidR="006F413A" w:rsidRPr="006F413A" w:rsidRDefault="006F413A" w:rsidP="006F413A">
      <w:r>
        <w:t xml:space="preserve">Всяка таблетка съдържа 200 </w:t>
      </w:r>
      <w:r>
        <w:rPr>
          <w:lang w:val="en-US"/>
        </w:rPr>
        <w:t>mg</w:t>
      </w:r>
      <w:r w:rsidRPr="006F413A">
        <w:t xml:space="preserve"> </w:t>
      </w:r>
      <w:r>
        <w:t xml:space="preserve">карбамазепин </w:t>
      </w:r>
      <w:r w:rsidRPr="006F413A">
        <w:rPr>
          <w:i/>
          <w:iCs/>
        </w:rPr>
        <w:t>(</w:t>
      </w:r>
      <w:r>
        <w:rPr>
          <w:i/>
          <w:iCs/>
          <w:lang w:val="en-US"/>
        </w:rPr>
        <w:t>carbamazepine</w:t>
      </w:r>
      <w:r w:rsidRPr="006F413A">
        <w:rPr>
          <w:i/>
          <w:iCs/>
        </w:rPr>
        <w:t>).</w:t>
      </w:r>
    </w:p>
    <w:p w14:paraId="614984C4" w14:textId="68079CF5" w:rsidR="008A6AF2" w:rsidRDefault="00DD466D" w:rsidP="002C50EE">
      <w:pPr>
        <w:pStyle w:val="Heading1"/>
      </w:pPr>
      <w:r>
        <w:t>3. ЛЕКАРСТВЕНА ФОРМА</w:t>
      </w:r>
    </w:p>
    <w:p w14:paraId="071D3FB2" w14:textId="0821373B" w:rsidR="006F413A" w:rsidRDefault="006F413A" w:rsidP="006F413A"/>
    <w:p w14:paraId="11CC8EE5" w14:textId="77777777" w:rsidR="006F413A" w:rsidRPr="006F413A" w:rsidRDefault="006F413A" w:rsidP="006F413A">
      <w:pPr>
        <w:rPr>
          <w:sz w:val="24"/>
          <w:szCs w:val="24"/>
        </w:rPr>
      </w:pPr>
      <w:r w:rsidRPr="006F413A">
        <w:rPr>
          <w:lang w:eastAsia="bg-BG"/>
        </w:rPr>
        <w:t>Таблетка</w:t>
      </w:r>
    </w:p>
    <w:p w14:paraId="7D50824F" w14:textId="2E3F9857" w:rsidR="006F413A" w:rsidRDefault="006F413A" w:rsidP="006F413A">
      <w:pPr>
        <w:rPr>
          <w:lang w:eastAsia="bg-BG"/>
        </w:rPr>
      </w:pPr>
      <w:r w:rsidRPr="006F413A">
        <w:rPr>
          <w:lang w:eastAsia="bg-BG"/>
        </w:rPr>
        <w:t>Таблетката може да бъде разделена на две равни дози.</w:t>
      </w:r>
    </w:p>
    <w:p w14:paraId="58C41A18" w14:textId="77777777" w:rsidR="006F413A" w:rsidRPr="006F413A" w:rsidRDefault="006F413A" w:rsidP="006F413A"/>
    <w:p w14:paraId="490FC2C4" w14:textId="32682B15" w:rsidR="002C50EE" w:rsidRDefault="002C50EE" w:rsidP="002C50EE">
      <w:pPr>
        <w:pStyle w:val="Heading1"/>
      </w:pPr>
      <w:r>
        <w:t>4. КЛИНИЧНИ ДАННИ</w:t>
      </w:r>
    </w:p>
    <w:p w14:paraId="0C8E6903" w14:textId="6516915F" w:rsidR="008134C8" w:rsidRDefault="002C50EE" w:rsidP="004A448E">
      <w:pPr>
        <w:pStyle w:val="Heading2"/>
      </w:pPr>
      <w:r>
        <w:t>4.1. Терапевтични показания</w:t>
      </w:r>
    </w:p>
    <w:p w14:paraId="2DD3CDB1" w14:textId="3186D385" w:rsidR="006F413A" w:rsidRDefault="006F413A" w:rsidP="006F413A"/>
    <w:p w14:paraId="707F2832" w14:textId="77777777" w:rsidR="006F413A" w:rsidRPr="006F413A" w:rsidRDefault="006F413A" w:rsidP="006F413A">
      <w:pPr>
        <w:pStyle w:val="ListParagraph"/>
        <w:numPr>
          <w:ilvl w:val="0"/>
          <w:numId w:val="35"/>
        </w:numPr>
        <w:rPr>
          <w:lang w:eastAsia="bg-BG"/>
        </w:rPr>
      </w:pPr>
      <w:r w:rsidRPr="006F413A">
        <w:rPr>
          <w:lang w:eastAsia="bg-BG"/>
        </w:rPr>
        <w:t>Епилепсии: парциални пристъпи с комплексна симптоматика (психомоторни пристъпи); парциални пристъпи с елементарна симптоматика (прости фокални пристъпи); генерализирани тонично-клонични припадъци (гранд мал); вторично генерализирани тонично-клонични припадъци, генерализирани тонично-клонични припадъци по време на сън; смесени форми на епилепсия.</w:t>
      </w:r>
    </w:p>
    <w:p w14:paraId="5935F07C" w14:textId="77777777" w:rsidR="006F413A" w:rsidRPr="006F413A" w:rsidRDefault="006F413A" w:rsidP="006F413A">
      <w:pPr>
        <w:pStyle w:val="ListParagraph"/>
        <w:numPr>
          <w:ilvl w:val="0"/>
          <w:numId w:val="35"/>
        </w:numPr>
        <w:rPr>
          <w:lang w:eastAsia="bg-BG"/>
        </w:rPr>
      </w:pPr>
      <w:r w:rsidRPr="006F413A">
        <w:rPr>
          <w:lang w:eastAsia="bg-BG"/>
        </w:rPr>
        <w:t>Предотвратяване на пристъпи при алкохолна абстиненция в стационарни условия</w:t>
      </w:r>
    </w:p>
    <w:p w14:paraId="0557BBAA" w14:textId="77777777" w:rsidR="006F413A" w:rsidRPr="006F413A" w:rsidRDefault="006F413A" w:rsidP="006F413A">
      <w:pPr>
        <w:pStyle w:val="ListParagraph"/>
        <w:numPr>
          <w:ilvl w:val="0"/>
          <w:numId w:val="35"/>
        </w:numPr>
        <w:rPr>
          <w:lang w:eastAsia="bg-BG"/>
        </w:rPr>
      </w:pPr>
      <w:r w:rsidRPr="006F413A">
        <w:rPr>
          <w:lang w:eastAsia="bg-BG"/>
        </w:rPr>
        <w:t>Тригеминална невралгия</w:t>
      </w:r>
    </w:p>
    <w:p w14:paraId="11C70A7B" w14:textId="77777777" w:rsidR="006F413A" w:rsidRPr="006F413A" w:rsidRDefault="006F413A" w:rsidP="006F413A">
      <w:pPr>
        <w:pStyle w:val="ListParagraph"/>
        <w:numPr>
          <w:ilvl w:val="0"/>
          <w:numId w:val="35"/>
        </w:numPr>
        <w:rPr>
          <w:lang w:eastAsia="bg-BG"/>
        </w:rPr>
      </w:pPr>
      <w:r w:rsidRPr="006F413A">
        <w:rPr>
          <w:lang w:eastAsia="bg-BG"/>
        </w:rPr>
        <w:t>Идиопатична глософарингеална невралгия</w:t>
      </w:r>
    </w:p>
    <w:p w14:paraId="1BE9BA1F" w14:textId="77777777" w:rsidR="006F413A" w:rsidRPr="006F413A" w:rsidRDefault="006F413A" w:rsidP="006F413A">
      <w:pPr>
        <w:pStyle w:val="ListParagraph"/>
        <w:numPr>
          <w:ilvl w:val="0"/>
          <w:numId w:val="35"/>
        </w:numPr>
        <w:rPr>
          <w:lang w:eastAsia="bg-BG"/>
        </w:rPr>
      </w:pPr>
      <w:r w:rsidRPr="006F413A">
        <w:rPr>
          <w:lang w:eastAsia="bg-BG"/>
        </w:rPr>
        <w:t>Болкови състояния при диабетна невропатия</w:t>
      </w:r>
    </w:p>
    <w:p w14:paraId="44ED68B7" w14:textId="2CA94333" w:rsidR="006F413A" w:rsidRPr="006F413A" w:rsidRDefault="006F413A" w:rsidP="006F413A">
      <w:pPr>
        <w:pStyle w:val="ListParagraph"/>
        <w:numPr>
          <w:ilvl w:val="0"/>
          <w:numId w:val="35"/>
        </w:numPr>
        <w:rPr>
          <w:lang w:eastAsia="bg-BG"/>
        </w:rPr>
      </w:pPr>
      <w:r w:rsidRPr="006F413A">
        <w:rPr>
          <w:lang w:eastAsia="bg-BG"/>
        </w:rPr>
        <w:t>Неепилептични пристъпи при мултиплена склероза като например тригеминална невралгия,</w:t>
      </w:r>
      <w:r w:rsidRPr="006F413A">
        <w:rPr>
          <w:lang w:val="ru-RU" w:eastAsia="bg-BG"/>
        </w:rPr>
        <w:t xml:space="preserve"> </w:t>
      </w:r>
      <w:r w:rsidRPr="006F413A">
        <w:rPr>
          <w:lang w:eastAsia="bg-BG"/>
        </w:rPr>
        <w:t>тонични спазми, пароксизмална дизартрия и атаксия, пароксизмална парестезия и болкови пристъпи.</w:t>
      </w:r>
    </w:p>
    <w:p w14:paraId="62D71D4E" w14:textId="77777777" w:rsidR="006F413A" w:rsidRPr="006F413A" w:rsidRDefault="006F413A" w:rsidP="006F413A">
      <w:pPr>
        <w:pStyle w:val="ListParagraph"/>
        <w:numPr>
          <w:ilvl w:val="0"/>
          <w:numId w:val="35"/>
        </w:numPr>
        <w:rPr>
          <w:lang w:eastAsia="bg-BG"/>
        </w:rPr>
      </w:pPr>
      <w:r w:rsidRPr="006F413A">
        <w:rPr>
          <w:lang w:eastAsia="bg-BG"/>
        </w:rPr>
        <w:t>Остра мания и поддържащо лечение при биполярни афективни разстройства за превенция или редукция на рецидивите.</w:t>
      </w:r>
    </w:p>
    <w:p w14:paraId="1C6D7574" w14:textId="77777777" w:rsidR="006F413A" w:rsidRPr="006F413A" w:rsidRDefault="006F413A" w:rsidP="006F413A"/>
    <w:p w14:paraId="30BE2C7B" w14:textId="7483BC7D" w:rsidR="008134C8" w:rsidRDefault="002C50EE" w:rsidP="004A448E">
      <w:pPr>
        <w:pStyle w:val="Heading2"/>
      </w:pPr>
      <w:r>
        <w:t>4.2. Дозировка и начин на приложение</w:t>
      </w:r>
    </w:p>
    <w:p w14:paraId="7CE2F3C1" w14:textId="29AE2621" w:rsidR="006F413A" w:rsidRDefault="006F413A" w:rsidP="006F413A"/>
    <w:p w14:paraId="4FE48C79" w14:textId="77777777" w:rsidR="006F413A" w:rsidRPr="006F413A" w:rsidRDefault="006F413A" w:rsidP="006F413A">
      <w:pPr>
        <w:pStyle w:val="Heading3"/>
        <w:rPr>
          <w:rFonts w:eastAsia="Times New Roman"/>
          <w:sz w:val="28"/>
          <w:u w:val="single"/>
        </w:rPr>
      </w:pPr>
      <w:r w:rsidRPr="006F413A">
        <w:rPr>
          <w:rFonts w:eastAsia="Times New Roman"/>
          <w:u w:val="single"/>
          <w:lang w:eastAsia="bg-BG"/>
        </w:rPr>
        <w:t>Дозировка</w:t>
      </w:r>
    </w:p>
    <w:p w14:paraId="0DEDD268"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Лечението започва постепенно с ниска начална доза, като според вида и тежестта на заболяването тя се определя индивидуално, след това дозата се повишава бавно до поддържаща терапевтична доза.</w:t>
      </w:r>
    </w:p>
    <w:p w14:paraId="6C17440F" w14:textId="77777777" w:rsidR="006F413A" w:rsidRPr="006F413A" w:rsidRDefault="006F413A" w:rsidP="006F413A">
      <w:pPr>
        <w:spacing w:line="240" w:lineRule="auto"/>
        <w:rPr>
          <w:rFonts w:eastAsia="Times New Roman" w:cs="Arial"/>
          <w:color w:val="000000"/>
          <w:szCs w:val="20"/>
          <w:lang w:eastAsia="bg-BG"/>
        </w:rPr>
      </w:pPr>
    </w:p>
    <w:p w14:paraId="77AD8817" w14:textId="539ADD8C" w:rsidR="006F413A" w:rsidRPr="006F413A" w:rsidRDefault="006F413A" w:rsidP="006F413A">
      <w:pPr>
        <w:spacing w:line="240" w:lineRule="auto"/>
        <w:rPr>
          <w:rFonts w:eastAsia="Times New Roman" w:cs="Arial"/>
          <w:color w:val="000000"/>
          <w:szCs w:val="20"/>
          <w:lang w:val="ru-RU"/>
        </w:rPr>
      </w:pPr>
      <w:r w:rsidRPr="006F413A">
        <w:rPr>
          <w:rFonts w:eastAsia="Times New Roman" w:cs="Arial"/>
          <w:color w:val="000000"/>
          <w:szCs w:val="20"/>
          <w:lang w:eastAsia="bg-BG"/>
        </w:rPr>
        <w:lastRenderedPageBreak/>
        <w:t>Оптималната доза, особено при комбинирана терапия се определяне след изследване на</w:t>
      </w:r>
      <w:r w:rsidRPr="006F413A">
        <w:rPr>
          <w:rFonts w:eastAsia="Times New Roman" w:cs="Arial"/>
          <w:color w:val="000000"/>
          <w:szCs w:val="20"/>
          <w:u w:val="single"/>
          <w:lang w:eastAsia="bg-BG"/>
        </w:rPr>
        <w:t xml:space="preserve"> </w:t>
      </w:r>
      <w:r w:rsidRPr="006F413A">
        <w:rPr>
          <w:rFonts w:eastAsia="Times New Roman" w:cs="Arial"/>
          <w:color w:val="000000"/>
          <w:szCs w:val="20"/>
          <w:lang w:eastAsia="bg-BG"/>
        </w:rPr>
        <w:t>плазменото ниво. В практиката е установено, че терапевтичното плазмено ниво на</w:t>
      </w:r>
      <w:r w:rsidRPr="006F413A">
        <w:rPr>
          <w:rFonts w:eastAsia="Times New Roman" w:cs="Arial"/>
          <w:color w:val="000000"/>
          <w:szCs w:val="20"/>
          <w:lang w:val="ru-RU"/>
        </w:rPr>
        <w:t xml:space="preserve"> </w:t>
      </w:r>
      <w:r w:rsidRPr="006F413A">
        <w:rPr>
          <w:rFonts w:eastAsia="Times New Roman" w:cs="Arial"/>
          <w:color w:val="000000"/>
          <w:szCs w:val="20"/>
          <w:lang w:eastAsia="bg-BG"/>
        </w:rPr>
        <w:t>карбамазепин е в рамките 4-12 μ</w:t>
      </w:r>
      <w:r w:rsidRPr="006F413A">
        <w:rPr>
          <w:rFonts w:eastAsia="Times New Roman" w:cs="Arial"/>
          <w:color w:val="000000"/>
          <w:szCs w:val="20"/>
          <w:lang w:val="en-US"/>
        </w:rPr>
        <w:t>g</w:t>
      </w:r>
      <w:r w:rsidRPr="006F413A">
        <w:rPr>
          <w:rFonts w:eastAsia="Times New Roman" w:cs="Arial"/>
          <w:color w:val="000000"/>
          <w:szCs w:val="20"/>
          <w:lang w:val="ru-RU"/>
        </w:rPr>
        <w:t>/</w:t>
      </w:r>
      <w:r w:rsidRPr="006F413A">
        <w:rPr>
          <w:rFonts w:eastAsia="Times New Roman" w:cs="Arial"/>
          <w:color w:val="000000"/>
          <w:szCs w:val="20"/>
          <w:lang w:val="en-US"/>
        </w:rPr>
        <w:t>ml</w:t>
      </w:r>
      <w:r w:rsidRPr="006F413A">
        <w:rPr>
          <w:rFonts w:eastAsia="Times New Roman" w:cs="Arial"/>
          <w:color w:val="000000"/>
          <w:szCs w:val="20"/>
          <w:lang w:val="ru-RU"/>
        </w:rPr>
        <w:t xml:space="preserve"> </w:t>
      </w:r>
      <w:r w:rsidRPr="006F413A">
        <w:rPr>
          <w:rFonts w:eastAsia="Times New Roman" w:cs="Arial"/>
          <w:color w:val="000000"/>
          <w:szCs w:val="20"/>
          <w:lang w:eastAsia="bg-BG"/>
        </w:rPr>
        <w:t>(20-50 μ</w:t>
      </w:r>
      <w:proofErr w:type="spellStart"/>
      <w:r w:rsidRPr="006F413A">
        <w:rPr>
          <w:rFonts w:eastAsia="Times New Roman" w:cs="Arial"/>
          <w:color w:val="000000"/>
          <w:szCs w:val="20"/>
          <w:lang w:val="en-US"/>
        </w:rPr>
        <w:t>mol</w:t>
      </w:r>
      <w:proofErr w:type="spellEnd"/>
      <w:r w:rsidRPr="006F413A">
        <w:rPr>
          <w:rFonts w:eastAsia="Times New Roman" w:cs="Arial"/>
          <w:color w:val="000000"/>
          <w:szCs w:val="20"/>
          <w:lang w:val="ru-RU"/>
        </w:rPr>
        <w:t>/</w:t>
      </w:r>
      <w:r w:rsidRPr="006F413A">
        <w:rPr>
          <w:rFonts w:eastAsia="Times New Roman" w:cs="Arial"/>
          <w:color w:val="000000"/>
          <w:szCs w:val="20"/>
          <w:lang w:val="en-US"/>
        </w:rPr>
        <w:t>l</w:t>
      </w:r>
      <w:r w:rsidRPr="006F413A">
        <w:rPr>
          <w:rFonts w:eastAsia="Times New Roman" w:cs="Arial"/>
          <w:color w:val="000000"/>
          <w:szCs w:val="20"/>
          <w:lang w:val="ru-RU"/>
        </w:rPr>
        <w:t>).</w:t>
      </w:r>
    </w:p>
    <w:p w14:paraId="7732257D" w14:textId="59D52040" w:rsidR="006F413A" w:rsidRPr="006F413A" w:rsidRDefault="006F413A" w:rsidP="006F413A">
      <w:pPr>
        <w:spacing w:line="240" w:lineRule="auto"/>
        <w:rPr>
          <w:rFonts w:eastAsia="Times New Roman" w:cs="Arial"/>
          <w:color w:val="000000"/>
          <w:szCs w:val="20"/>
          <w:lang w:val="ru-RU"/>
        </w:rPr>
      </w:pPr>
    </w:p>
    <w:p w14:paraId="76F71B1D"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Лечението с карбамазепин се започва с доза от 400 до 1 200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дневно, разделени на 3-4 отделни приема.</w:t>
      </w:r>
    </w:p>
    <w:p w14:paraId="00D80DF7"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Не трябва да се надвишава обща дневна доза от 1 200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Не трябва да се надвишава максимална дневна доза от 1 600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тъй като при високи дози се увеличава вероятността от проява на нежелани реакции.</w:t>
      </w:r>
    </w:p>
    <w:p w14:paraId="5CF91C7E" w14:textId="77777777" w:rsidR="006F413A" w:rsidRPr="006F413A" w:rsidRDefault="006F413A" w:rsidP="006F413A">
      <w:pPr>
        <w:spacing w:line="240" w:lineRule="auto"/>
        <w:rPr>
          <w:rFonts w:eastAsia="Times New Roman" w:cs="Arial"/>
          <w:color w:val="000000"/>
          <w:szCs w:val="20"/>
          <w:lang w:eastAsia="bg-BG"/>
        </w:rPr>
      </w:pPr>
    </w:p>
    <w:p w14:paraId="7B9C7BE4" w14:textId="0116A65E"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В отделни случаи необходимата доза може значително да се различава от посочената начална и поддържаща доза (напр. поради ускоряване на метаболизма чрез автоиндукция на чернодробните ензими или поради лекарствени взаимодействия при комбинирано лечение).</w:t>
      </w:r>
    </w:p>
    <w:p w14:paraId="37382CAC" w14:textId="77777777" w:rsidR="006F413A" w:rsidRPr="006F413A" w:rsidRDefault="006F413A" w:rsidP="006F413A">
      <w:pPr>
        <w:spacing w:line="240" w:lineRule="auto"/>
        <w:rPr>
          <w:rFonts w:eastAsia="Times New Roman" w:cs="Arial"/>
          <w:color w:val="000000"/>
          <w:szCs w:val="20"/>
          <w:lang w:eastAsia="bg-BG"/>
        </w:rPr>
      </w:pPr>
    </w:p>
    <w:p w14:paraId="3D49DEC1" w14:textId="18FCD9B1"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При преминаване към лечение с карбамазепин, дозата на антиконвулсанта, чийто прием се прекратява, трябва да се намали постепенно. Ако е възможно, лечението с карбамазепин трябва да се провежда като монотерапия и задължително да се контролира от лекар специалист.</w:t>
      </w:r>
    </w:p>
    <w:p w14:paraId="368149E6" w14:textId="77777777" w:rsidR="006F413A" w:rsidRPr="006F413A" w:rsidRDefault="006F413A" w:rsidP="006F413A">
      <w:pPr>
        <w:spacing w:line="240" w:lineRule="auto"/>
        <w:rPr>
          <w:rFonts w:eastAsia="Times New Roman" w:cs="Arial"/>
          <w:color w:val="000000"/>
          <w:szCs w:val="20"/>
          <w:lang w:eastAsia="bg-BG"/>
        </w:rPr>
      </w:pPr>
    </w:p>
    <w:p w14:paraId="55F359F8" w14:textId="296C302F"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При липса на специално назначение важат следните препоръки за дозиране.</w:t>
      </w:r>
    </w:p>
    <w:p w14:paraId="41E5D6BF" w14:textId="77777777" w:rsidR="006F413A" w:rsidRPr="006F413A" w:rsidRDefault="006F413A" w:rsidP="006F413A">
      <w:pPr>
        <w:spacing w:line="240" w:lineRule="auto"/>
        <w:rPr>
          <w:rFonts w:eastAsia="Times New Roman" w:cs="Arial"/>
          <w:i/>
          <w:iCs/>
          <w:color w:val="000000"/>
          <w:szCs w:val="20"/>
          <w:lang w:eastAsia="bg-BG"/>
        </w:rPr>
      </w:pPr>
    </w:p>
    <w:p w14:paraId="73CF6059" w14:textId="6C317F19"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Антиконвуясивна терапия</w:t>
      </w:r>
    </w:p>
    <w:p w14:paraId="75B02DB1"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Обикновено при възрастни началната доза от 200-400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(1-2 таблетки) дневно трябва се повишава бавно до поддържаща доза от 800-1 200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Поддържащата доза при деца дневно възлиза средно на 10-20 </w:t>
      </w:r>
      <w:r w:rsidRPr="006F413A">
        <w:rPr>
          <w:rFonts w:eastAsia="Times New Roman" w:cs="Arial"/>
          <w:color w:val="000000"/>
          <w:szCs w:val="20"/>
          <w:lang w:val="en-US"/>
        </w:rPr>
        <w:t>mg</w:t>
      </w:r>
      <w:r w:rsidRPr="006F413A">
        <w:rPr>
          <w:rFonts w:eastAsia="Times New Roman" w:cs="Arial"/>
          <w:color w:val="000000"/>
          <w:szCs w:val="20"/>
          <w:lang w:val="ru-RU"/>
        </w:rPr>
        <w:t>/</w:t>
      </w:r>
      <w:r w:rsidRPr="006F413A">
        <w:rPr>
          <w:rFonts w:eastAsia="Times New Roman" w:cs="Arial"/>
          <w:color w:val="000000"/>
          <w:szCs w:val="20"/>
          <w:lang w:val="en-US"/>
        </w:rPr>
        <w:t>kg</w:t>
      </w:r>
      <w:r w:rsidRPr="006F413A">
        <w:rPr>
          <w:rFonts w:eastAsia="Times New Roman" w:cs="Arial"/>
          <w:color w:val="000000"/>
          <w:szCs w:val="20"/>
          <w:lang w:val="ru-RU"/>
        </w:rPr>
        <w:t xml:space="preserve"> </w:t>
      </w:r>
      <w:r w:rsidRPr="006F413A">
        <w:rPr>
          <w:rFonts w:eastAsia="Times New Roman" w:cs="Arial"/>
          <w:color w:val="000000"/>
          <w:szCs w:val="20"/>
          <w:lang w:eastAsia="bg-BG"/>
        </w:rPr>
        <w:t>телесно тегло.</w:t>
      </w:r>
    </w:p>
    <w:p w14:paraId="1540A61E" w14:textId="77777777" w:rsidR="006F413A" w:rsidRPr="006F413A" w:rsidRDefault="006F413A" w:rsidP="006F413A">
      <w:pPr>
        <w:spacing w:line="240" w:lineRule="auto"/>
        <w:rPr>
          <w:rFonts w:eastAsia="Times New Roman" w:cs="Arial"/>
          <w:b/>
          <w:bCs/>
          <w:color w:val="000000"/>
          <w:szCs w:val="20"/>
          <w:lang w:eastAsia="bg-BG"/>
        </w:rPr>
      </w:pPr>
    </w:p>
    <w:p w14:paraId="60430A32" w14:textId="1277DB1F" w:rsidR="006F413A" w:rsidRDefault="006F413A" w:rsidP="006F413A">
      <w:pPr>
        <w:spacing w:line="240" w:lineRule="auto"/>
        <w:rPr>
          <w:rFonts w:eastAsia="Times New Roman" w:cs="Arial"/>
          <w:b/>
          <w:bCs/>
          <w:color w:val="000000"/>
          <w:szCs w:val="20"/>
          <w:lang w:eastAsia="bg-BG"/>
        </w:rPr>
      </w:pPr>
      <w:r w:rsidRPr="006F413A">
        <w:rPr>
          <w:rFonts w:eastAsia="Times New Roman" w:cs="Arial"/>
          <w:b/>
          <w:bCs/>
          <w:color w:val="000000"/>
          <w:szCs w:val="20"/>
          <w:lang w:eastAsia="bg-BG"/>
        </w:rPr>
        <w:t>Препоръчва се следната схема за дозиране:</w:t>
      </w:r>
    </w:p>
    <w:tbl>
      <w:tblPr>
        <w:tblStyle w:val="TableGrid"/>
        <w:tblW w:w="0" w:type="auto"/>
        <w:tblLook w:val="04A0" w:firstRow="1" w:lastRow="0" w:firstColumn="1" w:lastColumn="0" w:noHBand="0" w:noVBand="1"/>
      </w:tblPr>
      <w:tblGrid>
        <w:gridCol w:w="3125"/>
        <w:gridCol w:w="3105"/>
        <w:gridCol w:w="3120"/>
      </w:tblGrid>
      <w:tr w:rsidR="006F413A" w14:paraId="7ABD7451" w14:textId="77777777" w:rsidTr="006F413A">
        <w:tc>
          <w:tcPr>
            <w:tcW w:w="3192" w:type="dxa"/>
          </w:tcPr>
          <w:p w14:paraId="4C972C8D" w14:textId="6125E494" w:rsidR="006F413A" w:rsidRPr="006F413A" w:rsidRDefault="006F413A" w:rsidP="006F413A">
            <w:pPr>
              <w:spacing w:line="240" w:lineRule="auto"/>
              <w:rPr>
                <w:rFonts w:ascii="Times New Roman" w:eastAsia="Times New Roman" w:hAnsi="Times New Roman" w:cs="Times New Roman"/>
                <w:szCs w:val="24"/>
              </w:rPr>
            </w:pPr>
            <w:r w:rsidRPr="006F413A">
              <w:rPr>
                <w:b/>
                <w:bCs/>
                <w:szCs w:val="20"/>
              </w:rPr>
              <w:t>Пациенти разпределени по възраст</w:t>
            </w:r>
          </w:p>
        </w:tc>
        <w:tc>
          <w:tcPr>
            <w:tcW w:w="3192" w:type="dxa"/>
          </w:tcPr>
          <w:p w14:paraId="5E9504D9" w14:textId="05BEDCE2" w:rsidR="006F413A" w:rsidRPr="006F413A" w:rsidRDefault="006F413A" w:rsidP="006F413A">
            <w:pPr>
              <w:spacing w:line="240" w:lineRule="auto"/>
              <w:rPr>
                <w:rFonts w:ascii="Times New Roman" w:eastAsia="Times New Roman" w:hAnsi="Times New Roman" w:cs="Times New Roman"/>
                <w:szCs w:val="24"/>
              </w:rPr>
            </w:pPr>
            <w:r w:rsidRPr="006F413A">
              <w:rPr>
                <w:b/>
                <w:bCs/>
                <w:szCs w:val="20"/>
              </w:rPr>
              <w:t>Начална дневна доза</w:t>
            </w:r>
          </w:p>
        </w:tc>
        <w:tc>
          <w:tcPr>
            <w:tcW w:w="3192" w:type="dxa"/>
          </w:tcPr>
          <w:p w14:paraId="15E7DAB1" w14:textId="062C78C9" w:rsidR="006F413A" w:rsidRPr="006F413A" w:rsidRDefault="006F413A" w:rsidP="006F413A">
            <w:pPr>
              <w:spacing w:line="240" w:lineRule="auto"/>
              <w:rPr>
                <w:rFonts w:ascii="Times New Roman" w:eastAsia="Times New Roman" w:hAnsi="Times New Roman" w:cs="Times New Roman"/>
                <w:szCs w:val="24"/>
              </w:rPr>
            </w:pPr>
            <w:r w:rsidRPr="006F413A">
              <w:rPr>
                <w:b/>
                <w:bCs/>
                <w:szCs w:val="20"/>
              </w:rPr>
              <w:t>Поддържаща дневна доза</w:t>
            </w:r>
          </w:p>
        </w:tc>
      </w:tr>
      <w:tr w:rsidR="006F413A" w14:paraId="03564562" w14:textId="77777777" w:rsidTr="006F413A">
        <w:tc>
          <w:tcPr>
            <w:tcW w:w="3192" w:type="dxa"/>
          </w:tcPr>
          <w:p w14:paraId="51243439" w14:textId="732270B6" w:rsidR="006F413A" w:rsidRPr="006F413A" w:rsidRDefault="006F413A" w:rsidP="006F413A">
            <w:pPr>
              <w:spacing w:line="240" w:lineRule="auto"/>
              <w:rPr>
                <w:rFonts w:ascii="Times New Roman" w:eastAsia="Times New Roman" w:hAnsi="Times New Roman" w:cs="Times New Roman"/>
                <w:szCs w:val="24"/>
              </w:rPr>
            </w:pPr>
            <w:r w:rsidRPr="006F413A">
              <w:rPr>
                <w:szCs w:val="20"/>
              </w:rPr>
              <w:t>Възрастни</w:t>
            </w:r>
          </w:p>
        </w:tc>
        <w:tc>
          <w:tcPr>
            <w:tcW w:w="3192" w:type="dxa"/>
          </w:tcPr>
          <w:p w14:paraId="74F43EA7" w14:textId="0B4AF114"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1 х 200 </w:t>
            </w:r>
            <w:r w:rsidRPr="006F413A">
              <w:rPr>
                <w:szCs w:val="20"/>
                <w:lang w:val="en-US"/>
              </w:rPr>
              <w:t>mg</w:t>
            </w:r>
          </w:p>
        </w:tc>
        <w:tc>
          <w:tcPr>
            <w:tcW w:w="3192" w:type="dxa"/>
          </w:tcPr>
          <w:p w14:paraId="5914859A" w14:textId="550F4296"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3 х 200-400 </w:t>
            </w:r>
            <w:r w:rsidRPr="006F413A">
              <w:rPr>
                <w:szCs w:val="20"/>
                <w:lang w:val="en-US"/>
              </w:rPr>
              <w:t>mg</w:t>
            </w:r>
          </w:p>
        </w:tc>
      </w:tr>
      <w:tr w:rsidR="006F413A" w14:paraId="69EA7844" w14:textId="77777777" w:rsidTr="006F413A">
        <w:tc>
          <w:tcPr>
            <w:tcW w:w="3192" w:type="dxa"/>
          </w:tcPr>
          <w:p w14:paraId="1FB06B50" w14:textId="457A68C8" w:rsidR="006F413A" w:rsidRPr="006F413A" w:rsidRDefault="006F413A" w:rsidP="006F413A">
            <w:pPr>
              <w:spacing w:line="240" w:lineRule="auto"/>
              <w:rPr>
                <w:rFonts w:ascii="Times New Roman" w:eastAsia="Times New Roman" w:hAnsi="Times New Roman" w:cs="Times New Roman"/>
                <w:szCs w:val="24"/>
              </w:rPr>
            </w:pPr>
            <w:r w:rsidRPr="006F413A">
              <w:rPr>
                <w:szCs w:val="20"/>
                <w:u w:val="single"/>
              </w:rPr>
              <w:t>Деца*</w:t>
            </w:r>
          </w:p>
        </w:tc>
        <w:tc>
          <w:tcPr>
            <w:tcW w:w="3192" w:type="dxa"/>
          </w:tcPr>
          <w:p w14:paraId="4E11A411" w14:textId="041296E7" w:rsidR="006F413A" w:rsidRPr="006F413A" w:rsidRDefault="006F413A" w:rsidP="006F413A">
            <w:pPr>
              <w:spacing w:line="240" w:lineRule="auto"/>
              <w:rPr>
                <w:rFonts w:ascii="Times New Roman" w:eastAsia="Times New Roman" w:hAnsi="Times New Roman" w:cs="Times New Roman"/>
                <w:szCs w:val="24"/>
              </w:rPr>
            </w:pPr>
            <w:r w:rsidRPr="006F413A">
              <w:rPr>
                <w:szCs w:val="20"/>
              </w:rPr>
              <w:t>вижте указанието</w:t>
            </w:r>
          </w:p>
        </w:tc>
        <w:tc>
          <w:tcPr>
            <w:tcW w:w="3192" w:type="dxa"/>
          </w:tcPr>
          <w:p w14:paraId="15D00F5F" w14:textId="77777777" w:rsidR="006F413A" w:rsidRPr="006F413A" w:rsidRDefault="006F413A" w:rsidP="006F413A">
            <w:pPr>
              <w:spacing w:line="240" w:lineRule="auto"/>
              <w:rPr>
                <w:rFonts w:ascii="Times New Roman" w:eastAsia="Times New Roman" w:hAnsi="Times New Roman" w:cs="Times New Roman"/>
                <w:szCs w:val="24"/>
              </w:rPr>
            </w:pPr>
          </w:p>
        </w:tc>
      </w:tr>
      <w:tr w:rsidR="006F413A" w14:paraId="5711D70B" w14:textId="77777777" w:rsidTr="006F413A">
        <w:tc>
          <w:tcPr>
            <w:tcW w:w="3192" w:type="dxa"/>
          </w:tcPr>
          <w:p w14:paraId="6314B0DA" w14:textId="5833D204" w:rsidR="006F413A" w:rsidRPr="006F413A" w:rsidRDefault="006F413A" w:rsidP="006F413A">
            <w:pPr>
              <w:spacing w:line="240" w:lineRule="auto"/>
              <w:rPr>
                <w:rFonts w:ascii="Times New Roman" w:eastAsia="Times New Roman" w:hAnsi="Times New Roman" w:cs="Times New Roman"/>
                <w:szCs w:val="24"/>
              </w:rPr>
            </w:pPr>
            <w:r w:rsidRPr="006F413A">
              <w:rPr>
                <w:szCs w:val="20"/>
              </w:rPr>
              <w:t>От 1 до 5 години</w:t>
            </w:r>
          </w:p>
        </w:tc>
        <w:tc>
          <w:tcPr>
            <w:tcW w:w="3192" w:type="dxa"/>
          </w:tcPr>
          <w:p w14:paraId="2BD18778" w14:textId="570CC2D6"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1-2 х 100 </w:t>
            </w:r>
            <w:r w:rsidRPr="006F413A">
              <w:rPr>
                <w:szCs w:val="20"/>
                <w:lang w:val="en-US"/>
              </w:rPr>
              <w:t>mg</w:t>
            </w:r>
          </w:p>
        </w:tc>
        <w:tc>
          <w:tcPr>
            <w:tcW w:w="3192" w:type="dxa"/>
          </w:tcPr>
          <w:p w14:paraId="2046CC21" w14:textId="1F9B6E5A"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1-2 х 200 </w:t>
            </w:r>
            <w:r w:rsidRPr="006F413A">
              <w:rPr>
                <w:szCs w:val="20"/>
                <w:lang w:val="en-US"/>
              </w:rPr>
              <w:t>mg</w:t>
            </w:r>
          </w:p>
        </w:tc>
      </w:tr>
      <w:tr w:rsidR="006F413A" w14:paraId="61FC6C1F" w14:textId="77777777" w:rsidTr="006F413A">
        <w:tc>
          <w:tcPr>
            <w:tcW w:w="3192" w:type="dxa"/>
          </w:tcPr>
          <w:p w14:paraId="62739EA8" w14:textId="28E527AC" w:rsidR="006F413A" w:rsidRPr="006F413A" w:rsidRDefault="006F413A" w:rsidP="006F413A">
            <w:pPr>
              <w:spacing w:line="240" w:lineRule="auto"/>
              <w:rPr>
                <w:rFonts w:ascii="Times New Roman" w:eastAsia="Times New Roman" w:hAnsi="Times New Roman" w:cs="Times New Roman"/>
                <w:szCs w:val="24"/>
              </w:rPr>
            </w:pPr>
            <w:r w:rsidRPr="006F413A">
              <w:rPr>
                <w:szCs w:val="20"/>
              </w:rPr>
              <w:t>От 6 до 10 години</w:t>
            </w:r>
          </w:p>
        </w:tc>
        <w:tc>
          <w:tcPr>
            <w:tcW w:w="3192" w:type="dxa"/>
          </w:tcPr>
          <w:p w14:paraId="089A6ED2" w14:textId="7A2FB511"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2 х 100 </w:t>
            </w:r>
            <w:r w:rsidRPr="006F413A">
              <w:rPr>
                <w:szCs w:val="20"/>
                <w:lang w:val="en-US"/>
              </w:rPr>
              <w:t>mg</w:t>
            </w:r>
          </w:p>
        </w:tc>
        <w:tc>
          <w:tcPr>
            <w:tcW w:w="3192" w:type="dxa"/>
          </w:tcPr>
          <w:p w14:paraId="279A3553" w14:textId="1342473D"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3 х 200 </w:t>
            </w:r>
            <w:r w:rsidRPr="006F413A">
              <w:rPr>
                <w:szCs w:val="20"/>
                <w:lang w:val="en-US"/>
              </w:rPr>
              <w:t>mg</w:t>
            </w:r>
          </w:p>
        </w:tc>
      </w:tr>
      <w:tr w:rsidR="006F413A" w14:paraId="3F535E0A" w14:textId="77777777" w:rsidTr="006F413A">
        <w:tc>
          <w:tcPr>
            <w:tcW w:w="3192" w:type="dxa"/>
          </w:tcPr>
          <w:p w14:paraId="2BCCB93B" w14:textId="70B39E96" w:rsidR="006F413A" w:rsidRPr="006F413A" w:rsidRDefault="006F413A" w:rsidP="006F413A">
            <w:pPr>
              <w:spacing w:line="240" w:lineRule="auto"/>
              <w:rPr>
                <w:rFonts w:ascii="Times New Roman" w:eastAsia="Times New Roman" w:hAnsi="Times New Roman" w:cs="Times New Roman"/>
                <w:szCs w:val="24"/>
              </w:rPr>
            </w:pPr>
            <w:r w:rsidRPr="006F413A">
              <w:rPr>
                <w:szCs w:val="20"/>
              </w:rPr>
              <w:t>От 11 до 15 години</w:t>
            </w:r>
          </w:p>
        </w:tc>
        <w:tc>
          <w:tcPr>
            <w:tcW w:w="3192" w:type="dxa"/>
          </w:tcPr>
          <w:p w14:paraId="67EAC959" w14:textId="35D7DFDF"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2-3 х 100 </w:t>
            </w:r>
            <w:r w:rsidRPr="006F413A">
              <w:rPr>
                <w:szCs w:val="20"/>
                <w:lang w:val="en-US"/>
              </w:rPr>
              <w:t>mg</w:t>
            </w:r>
          </w:p>
        </w:tc>
        <w:tc>
          <w:tcPr>
            <w:tcW w:w="3192" w:type="dxa"/>
          </w:tcPr>
          <w:p w14:paraId="353B4F06" w14:textId="35B43FC2" w:rsidR="006F413A" w:rsidRPr="006F413A" w:rsidRDefault="006F413A" w:rsidP="006F413A">
            <w:pPr>
              <w:spacing w:line="240" w:lineRule="auto"/>
              <w:rPr>
                <w:rFonts w:ascii="Times New Roman" w:eastAsia="Times New Roman" w:hAnsi="Times New Roman" w:cs="Times New Roman"/>
                <w:szCs w:val="24"/>
              </w:rPr>
            </w:pPr>
            <w:r w:rsidRPr="006F413A">
              <w:rPr>
                <w:szCs w:val="20"/>
              </w:rPr>
              <w:t xml:space="preserve">3-5 х 200 </w:t>
            </w:r>
            <w:r w:rsidRPr="006F413A">
              <w:rPr>
                <w:szCs w:val="20"/>
                <w:lang w:val="en-US"/>
              </w:rPr>
              <w:t>mg</w:t>
            </w:r>
          </w:p>
        </w:tc>
      </w:tr>
    </w:tbl>
    <w:p w14:paraId="114BD5A0" w14:textId="77777777"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 Указание:</w:t>
      </w:r>
      <w:r w:rsidRPr="006F413A">
        <w:rPr>
          <w:rFonts w:eastAsia="Times New Roman" w:cs="Arial"/>
          <w:color w:val="000000"/>
          <w:szCs w:val="20"/>
          <w:lang w:eastAsia="bg-BG"/>
        </w:rPr>
        <w:t xml:space="preserve"> При деца на възраст под 4 години се започва с дневна доза 20-60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(≈5 </w:t>
      </w:r>
      <w:r w:rsidRPr="006F413A">
        <w:rPr>
          <w:rFonts w:eastAsia="Times New Roman" w:cs="Arial"/>
          <w:color w:val="000000"/>
          <w:szCs w:val="20"/>
          <w:lang w:val="en-US"/>
        </w:rPr>
        <w:t>mg</w:t>
      </w:r>
      <w:r w:rsidRPr="006F413A">
        <w:rPr>
          <w:rFonts w:eastAsia="Times New Roman" w:cs="Arial"/>
          <w:color w:val="000000"/>
          <w:szCs w:val="20"/>
          <w:lang w:val="ru-RU"/>
        </w:rPr>
        <w:t>/</w:t>
      </w:r>
      <w:r w:rsidRPr="006F413A">
        <w:rPr>
          <w:rFonts w:eastAsia="Times New Roman" w:cs="Arial"/>
          <w:color w:val="000000"/>
          <w:szCs w:val="20"/>
          <w:lang w:val="en-US"/>
        </w:rPr>
        <w:t>kg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До достигане на оптималната доза, дневната доза може да се увеличава на всеки два дни с 20-60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При деца на възраст над 4 години може да се започне с дневна доза от 100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До достигане на оптималната доза, дневната доза може да се повишава на всеки два дни със 100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Не трябва обаче да се надвишава по-горе указаното дозиране до 10-20 </w:t>
      </w:r>
      <w:r w:rsidRPr="006F413A">
        <w:rPr>
          <w:rFonts w:eastAsia="Times New Roman" w:cs="Arial"/>
          <w:color w:val="000000"/>
          <w:szCs w:val="20"/>
          <w:lang w:val="en-US"/>
        </w:rPr>
        <w:t>mg</w:t>
      </w:r>
      <w:r w:rsidRPr="006F413A">
        <w:rPr>
          <w:rFonts w:eastAsia="Times New Roman" w:cs="Arial"/>
          <w:color w:val="000000"/>
          <w:szCs w:val="20"/>
          <w:lang w:val="ru-RU"/>
        </w:rPr>
        <w:t>/</w:t>
      </w:r>
      <w:r w:rsidRPr="006F413A">
        <w:rPr>
          <w:rFonts w:eastAsia="Times New Roman" w:cs="Arial"/>
          <w:color w:val="000000"/>
          <w:szCs w:val="20"/>
          <w:lang w:val="en-US"/>
        </w:rPr>
        <w:t>kg</w:t>
      </w:r>
      <w:r w:rsidRPr="006F413A">
        <w:rPr>
          <w:rFonts w:eastAsia="Times New Roman" w:cs="Arial"/>
          <w:color w:val="000000"/>
          <w:szCs w:val="20"/>
          <w:lang w:val="ru-RU"/>
        </w:rPr>
        <w:t>.</w:t>
      </w:r>
    </w:p>
    <w:p w14:paraId="6E1794AA" w14:textId="77777777" w:rsidR="006F413A" w:rsidRPr="006F413A" w:rsidRDefault="006F413A" w:rsidP="006F413A">
      <w:pPr>
        <w:spacing w:line="240" w:lineRule="auto"/>
        <w:rPr>
          <w:rFonts w:eastAsia="Times New Roman" w:cs="Arial"/>
          <w:i/>
          <w:iCs/>
          <w:color w:val="000000"/>
          <w:szCs w:val="20"/>
          <w:lang w:eastAsia="bg-BG"/>
        </w:rPr>
      </w:pPr>
    </w:p>
    <w:p w14:paraId="254F0E4E" w14:textId="5B5885F3"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Предпазване от пристъпи по време на стационарно лечение на алкохолизъм</w:t>
      </w:r>
    </w:p>
    <w:p w14:paraId="64E47C22"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Средната дневна доза е 600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разделена на 3 отделни приема. При тежки случаи в първите дни дозата може да се увеличи до 1 200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(3 пъти дневно по 2 таблетки).</w:t>
      </w:r>
    </w:p>
    <w:p w14:paraId="2C7B0E3A"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Не се препоръчва комбиниране на карбамазепин със седативно-хипнотични лекарствени продукти при делириум тременс. При нужда обаче в съответствие с клиничните изисквания, карбамазепин може да се комбинира с други субстанции използвани при лечение на алкохолизъм.</w:t>
      </w:r>
    </w:p>
    <w:p w14:paraId="07DD93CD"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Трябва да се извършва редовен контрол на плазмените нива.</w:t>
      </w:r>
    </w:p>
    <w:p w14:paraId="5A7BD2F2" w14:textId="19AF3259" w:rsidR="006F413A" w:rsidRPr="006F413A" w:rsidRDefault="006F413A" w:rsidP="006F413A">
      <w:pPr>
        <w:spacing w:line="240" w:lineRule="auto"/>
        <w:rPr>
          <w:rFonts w:eastAsia="Times New Roman" w:cs="Arial"/>
          <w:color w:val="000000"/>
          <w:szCs w:val="20"/>
          <w:lang w:eastAsia="bg-BG"/>
        </w:rPr>
      </w:pPr>
      <w:r w:rsidRPr="006F413A">
        <w:rPr>
          <w:rFonts w:eastAsia="Times New Roman" w:cs="Arial"/>
          <w:color w:val="000000"/>
          <w:szCs w:val="20"/>
          <w:lang w:eastAsia="bg-BG"/>
        </w:rPr>
        <w:lastRenderedPageBreak/>
        <w:t>Поради нежеланите реакции, засягащи централната и вегетативната нервни системи (виж описаните при “Нежелани лекарствени реакции“ състояния на отнемане) се препоръчва стриктен клиничен мониторинг.</w:t>
      </w:r>
    </w:p>
    <w:p w14:paraId="712B4C15" w14:textId="2512B3F9" w:rsidR="006F413A" w:rsidRPr="006F413A" w:rsidRDefault="006F413A" w:rsidP="006F413A">
      <w:pPr>
        <w:spacing w:line="240" w:lineRule="auto"/>
        <w:rPr>
          <w:rFonts w:eastAsia="Times New Roman" w:cs="Arial"/>
          <w:color w:val="000000"/>
          <w:szCs w:val="20"/>
          <w:lang w:eastAsia="bg-BG"/>
        </w:rPr>
      </w:pPr>
    </w:p>
    <w:p w14:paraId="2F247263" w14:textId="77777777"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Тригеминална невралгия, идиопатична глософарингеална невралгия</w:t>
      </w:r>
    </w:p>
    <w:p w14:paraId="244502A7"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Началната доза е 200-400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дневно разпределена в 1-2 отделни приема и се повишава до спиране на болките средно до 400-800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разпределен в 2-4 отделни приема. Впоследствие при част от пациентите е възможно дозата да се редуцира до една по-ниска, ио все още елиминираща болковите пристъпи поддържаща доза от 400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дневно, разпределена в 2-4 отделни приема.</w:t>
      </w:r>
    </w:p>
    <w:p w14:paraId="06838D79"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При по-възрастни и чувствителни пациенти е достатъчна начална доза от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дневно (2 пъти по 1/2 таблетка).</w:t>
      </w:r>
    </w:p>
    <w:p w14:paraId="168F030E" w14:textId="77777777" w:rsidR="006F413A" w:rsidRPr="006F413A" w:rsidRDefault="006F413A" w:rsidP="006F413A">
      <w:pPr>
        <w:spacing w:line="240" w:lineRule="auto"/>
        <w:rPr>
          <w:rFonts w:eastAsia="Times New Roman" w:cs="Arial"/>
          <w:i/>
          <w:iCs/>
          <w:color w:val="000000"/>
          <w:szCs w:val="20"/>
          <w:lang w:eastAsia="bg-BG"/>
        </w:rPr>
      </w:pPr>
    </w:p>
    <w:p w14:paraId="7FD71566" w14:textId="5F95F2C3"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Болкови състояния при диабетна невропатия</w:t>
      </w:r>
    </w:p>
    <w:p w14:paraId="795CDDF7"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Средната дневна доза е 600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разпределена в 3 отделни приема. По изключение може да се приемат 1 200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разпределени в 3 отделни приема.</w:t>
      </w:r>
    </w:p>
    <w:p w14:paraId="02ED2AF7" w14:textId="77777777" w:rsidR="006F413A" w:rsidRPr="006F413A" w:rsidRDefault="006F413A" w:rsidP="006F413A">
      <w:pPr>
        <w:spacing w:line="240" w:lineRule="auto"/>
        <w:rPr>
          <w:rFonts w:eastAsia="Times New Roman" w:cs="Arial"/>
          <w:i/>
          <w:iCs/>
          <w:color w:val="000000"/>
          <w:szCs w:val="20"/>
          <w:lang w:eastAsia="bg-BG"/>
        </w:rPr>
      </w:pPr>
    </w:p>
    <w:p w14:paraId="7ABC4CEE" w14:textId="6E8F1A34"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Неепилептични пристъпи при мултиплена склероза</w:t>
      </w:r>
    </w:p>
    <w:p w14:paraId="24E03E93"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Средната дневна доза е 400-800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(2-4 пъти по 1 таблетка).</w:t>
      </w:r>
    </w:p>
    <w:p w14:paraId="250C93CE" w14:textId="77777777" w:rsidR="006F413A" w:rsidRPr="006F413A" w:rsidRDefault="006F413A" w:rsidP="006F413A">
      <w:pPr>
        <w:spacing w:line="240" w:lineRule="auto"/>
        <w:rPr>
          <w:rFonts w:eastAsia="Times New Roman" w:cs="Arial"/>
          <w:i/>
          <w:iCs/>
          <w:color w:val="000000"/>
          <w:szCs w:val="20"/>
          <w:lang w:eastAsia="bg-BG"/>
        </w:rPr>
      </w:pPr>
    </w:p>
    <w:p w14:paraId="49CD4779" w14:textId="4E4415FE"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Указание:</w:t>
      </w:r>
      <w:r w:rsidRPr="006F413A">
        <w:rPr>
          <w:rFonts w:eastAsia="Times New Roman" w:cs="Arial"/>
          <w:color w:val="000000"/>
          <w:szCs w:val="20"/>
          <w:lang w:eastAsia="bg-BG"/>
        </w:rPr>
        <w:t xml:space="preserve"> При пациенти с тежки сърдечно-съдови заболявалия, със заболявания на черния дроб и бъбреците, както и при по-възрастни пациенти е показана по-ниска дозировка.</w:t>
      </w:r>
    </w:p>
    <w:p w14:paraId="633BBE07"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Таблетките са с делителна черта и може да се приемат по време на или след хранене с достатъчно количество течност (напр. 1 чаша вода).</w:t>
      </w:r>
    </w:p>
    <w:p w14:paraId="1DEDFE5E" w14:textId="77777777" w:rsidR="006F413A" w:rsidRPr="006F413A" w:rsidRDefault="006F413A" w:rsidP="006F413A">
      <w:pPr>
        <w:spacing w:line="240" w:lineRule="auto"/>
        <w:rPr>
          <w:rFonts w:eastAsia="Times New Roman" w:cs="Arial"/>
          <w:color w:val="000000"/>
          <w:szCs w:val="20"/>
          <w:lang w:eastAsia="bg-BG"/>
        </w:rPr>
      </w:pPr>
    </w:p>
    <w:p w14:paraId="05F600EB" w14:textId="4F8E3758"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В някои случаи разделянето на дневната доза на 4-5 отделни приема се оказва изключително ефективно.</w:t>
      </w:r>
    </w:p>
    <w:p w14:paraId="17AC7EEE" w14:textId="77777777" w:rsidR="006F413A" w:rsidRPr="006F413A" w:rsidRDefault="006F413A" w:rsidP="006F413A">
      <w:pPr>
        <w:spacing w:line="240" w:lineRule="auto"/>
        <w:rPr>
          <w:rFonts w:eastAsia="Times New Roman" w:cs="Arial"/>
          <w:color w:val="000000"/>
          <w:szCs w:val="20"/>
          <w:lang w:eastAsia="bg-BG"/>
        </w:rPr>
      </w:pPr>
    </w:p>
    <w:p w14:paraId="498DD9D6" w14:textId="5CED5396"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Продължителността на употреба се съобразява според вида на заболяването и индивидуалната реакция на пациента. Пациентът не трябва да прекъсва лечението самоволно без лекарско разрешение.</w:t>
      </w:r>
    </w:p>
    <w:p w14:paraId="5386295A" w14:textId="77777777" w:rsidR="006F413A" w:rsidRPr="006F413A" w:rsidRDefault="006F413A" w:rsidP="006F413A">
      <w:pPr>
        <w:spacing w:line="240" w:lineRule="auto"/>
        <w:rPr>
          <w:rFonts w:eastAsia="Times New Roman" w:cs="Arial"/>
          <w:color w:val="000000"/>
          <w:szCs w:val="20"/>
          <w:lang w:eastAsia="bg-BG"/>
        </w:rPr>
      </w:pPr>
    </w:p>
    <w:p w14:paraId="61EAD5DC" w14:textId="3152E0C8"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Антиепилептичната терапия е продължителна терапия. За определяне на дозата, продължителността и прекратяването на лечението с карбамазепин за всеки конкретен случай може да решава само лекар специалист. Намаляване на дозата или спиране на медикаментозното лечение трябва да се предприеме най-рано след две-, тригодишно отсъствие на пристъпи.</w:t>
      </w:r>
    </w:p>
    <w:p w14:paraId="38B27582" w14:textId="77777777" w:rsidR="006F413A" w:rsidRPr="006F413A" w:rsidRDefault="006F413A" w:rsidP="006F413A">
      <w:pPr>
        <w:spacing w:line="240" w:lineRule="auto"/>
        <w:rPr>
          <w:rFonts w:eastAsia="Times New Roman" w:cs="Arial"/>
          <w:color w:val="000000"/>
          <w:szCs w:val="20"/>
          <w:lang w:eastAsia="bg-BG"/>
        </w:rPr>
      </w:pPr>
    </w:p>
    <w:p w14:paraId="4083CADD" w14:textId="3674C4E6" w:rsidR="006F413A" w:rsidRPr="006F413A" w:rsidRDefault="006F413A" w:rsidP="006F413A">
      <w:pPr>
        <w:spacing w:line="240" w:lineRule="auto"/>
        <w:rPr>
          <w:rFonts w:eastAsia="Times New Roman" w:cs="Arial"/>
          <w:color w:val="000000"/>
          <w:szCs w:val="20"/>
          <w:lang w:eastAsia="bg-BG"/>
        </w:rPr>
      </w:pPr>
      <w:r w:rsidRPr="006F413A">
        <w:rPr>
          <w:rFonts w:eastAsia="Times New Roman" w:cs="Arial"/>
          <w:color w:val="000000"/>
          <w:szCs w:val="20"/>
          <w:lang w:eastAsia="bg-BG"/>
        </w:rPr>
        <w:t xml:space="preserve">Спиране на медикаментозното лечение трябва да става с постепенно намаляване на дозата в рамките на 1-2 години. При деца за корекция на дозата трябва да се има предвид увеличаването на телесното тегло. Не </w:t>
      </w:r>
    </w:p>
    <w:p w14:paraId="091B4113" w14:textId="4CA712A9"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трябва да се допуска влошаване на ЕЕГ-показателите.</w:t>
      </w:r>
    </w:p>
    <w:p w14:paraId="795B1655" w14:textId="77777777" w:rsidR="006F413A" w:rsidRPr="006F413A" w:rsidRDefault="006F413A" w:rsidP="006F413A">
      <w:pPr>
        <w:spacing w:line="240" w:lineRule="auto"/>
        <w:rPr>
          <w:rFonts w:eastAsia="Times New Roman" w:cs="Arial"/>
          <w:color w:val="000000"/>
          <w:szCs w:val="20"/>
          <w:lang w:eastAsia="bg-BG"/>
        </w:rPr>
      </w:pPr>
    </w:p>
    <w:p w14:paraId="759C3BCF" w14:textId="1B0A689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При лечение на невралгии е доказано, че терапията трябва да се провежда в продължение на няколко седмици с поддържаща доза, премахваща напълно болката. При внимателно намаляване на дозата трябва да се наблюдава дали междувременно няма да се стигне до внезапно възстановяване на същите симптоми. При възстановяване на болковите атаки пациентите трябва да се върнат към първоначалната поддържаща доза</w:t>
      </w:r>
    </w:p>
    <w:p w14:paraId="74D5E45F" w14:textId="77777777" w:rsidR="006F413A" w:rsidRPr="006F413A" w:rsidRDefault="006F413A" w:rsidP="006F413A">
      <w:pPr>
        <w:spacing w:line="240" w:lineRule="auto"/>
        <w:rPr>
          <w:rFonts w:eastAsia="Times New Roman" w:cs="Arial"/>
          <w:color w:val="000000"/>
          <w:szCs w:val="20"/>
          <w:lang w:eastAsia="bg-BG"/>
        </w:rPr>
      </w:pPr>
    </w:p>
    <w:p w14:paraId="05AF601A" w14:textId="34066823"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lastRenderedPageBreak/>
        <w:t xml:space="preserve">За продължителността на лечение на болкови състояния при диабетна невропатия и на неепилептични пристъпи при мултиплена склероза важи същото, както при невралгиите. При лечение на </w:t>
      </w:r>
      <w:r w:rsidRPr="006F413A">
        <w:rPr>
          <w:rFonts w:eastAsia="Times New Roman" w:cs="Arial"/>
          <w:i/>
          <w:iCs/>
          <w:color w:val="000000"/>
          <w:szCs w:val="20"/>
          <w:lang w:eastAsia="bg-BG"/>
        </w:rPr>
        <w:t>алкохолизъм</w:t>
      </w:r>
      <w:r w:rsidRPr="006F413A">
        <w:rPr>
          <w:rFonts w:eastAsia="Times New Roman" w:cs="Arial"/>
          <w:color w:val="000000"/>
          <w:szCs w:val="20"/>
          <w:lang w:eastAsia="bg-BG"/>
        </w:rPr>
        <w:t xml:space="preserve"> приемът на карбамазепин трябва да се прекрати с постепенно намаляване на дозата в рамките на 7-10 дни.</w:t>
      </w:r>
    </w:p>
    <w:p w14:paraId="294B087F" w14:textId="2A66276C" w:rsidR="006F413A" w:rsidRPr="006F413A" w:rsidRDefault="006F413A" w:rsidP="006F413A">
      <w:pPr>
        <w:spacing w:line="240" w:lineRule="auto"/>
        <w:rPr>
          <w:rFonts w:eastAsia="Times New Roman" w:cs="Arial"/>
          <w:sz w:val="28"/>
          <w:szCs w:val="24"/>
        </w:rPr>
      </w:pPr>
    </w:p>
    <w:p w14:paraId="39294C4A" w14:textId="77777777"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Остра мания и профилактика на биполярни афективни разстройства</w:t>
      </w:r>
    </w:p>
    <w:p w14:paraId="00607F50"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Дозов диапазон: около 400-1 600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 xml:space="preserve">дневно, обичайната доза е 400-600 </w:t>
      </w:r>
      <w:r w:rsidRPr="006F413A">
        <w:rPr>
          <w:rFonts w:eastAsia="Times New Roman" w:cs="Arial"/>
          <w:color w:val="000000"/>
          <w:szCs w:val="20"/>
          <w:lang w:val="en-US"/>
        </w:rPr>
        <w:t>mg</w:t>
      </w:r>
      <w:r w:rsidRPr="006F413A">
        <w:rPr>
          <w:rFonts w:eastAsia="Times New Roman" w:cs="Arial"/>
          <w:color w:val="000000"/>
          <w:szCs w:val="20"/>
          <w:lang w:val="ru-RU"/>
        </w:rPr>
        <w:t xml:space="preserve"> </w:t>
      </w:r>
      <w:r w:rsidRPr="006F413A">
        <w:rPr>
          <w:rFonts w:eastAsia="Times New Roman" w:cs="Arial"/>
          <w:color w:val="000000"/>
          <w:szCs w:val="20"/>
          <w:lang w:eastAsia="bg-BG"/>
        </w:rPr>
        <w:t>дневно разпределена в 2-3 отделни приема. При лечение на остра мания, дозата трябва да се увеличи по-бързо, докато при профилактика на биполярни разстройства се препоръчват по-малки увеличения на дозата, за да се осигури оптимална поносимост.</w:t>
      </w:r>
    </w:p>
    <w:p w14:paraId="76E28DEA" w14:textId="77777777" w:rsidR="006F413A" w:rsidRPr="006F413A" w:rsidRDefault="006F413A" w:rsidP="006F413A">
      <w:pPr>
        <w:spacing w:line="240" w:lineRule="auto"/>
        <w:rPr>
          <w:rFonts w:eastAsia="Times New Roman" w:cs="Arial"/>
          <w:b/>
          <w:bCs/>
          <w:color w:val="000000"/>
          <w:szCs w:val="20"/>
          <w:lang w:eastAsia="bg-BG"/>
        </w:rPr>
      </w:pPr>
      <w:bookmarkStart w:id="1" w:name="bookmark0"/>
    </w:p>
    <w:p w14:paraId="1100DE08" w14:textId="4A248A83" w:rsidR="006F413A" w:rsidRPr="006F413A" w:rsidRDefault="006F413A" w:rsidP="006F413A">
      <w:pPr>
        <w:spacing w:line="240" w:lineRule="auto"/>
        <w:rPr>
          <w:rFonts w:eastAsia="Times New Roman" w:cs="Arial"/>
          <w:sz w:val="28"/>
          <w:szCs w:val="24"/>
        </w:rPr>
      </w:pPr>
      <w:r w:rsidRPr="006F413A">
        <w:rPr>
          <w:rFonts w:eastAsia="Times New Roman" w:cs="Arial"/>
          <w:b/>
          <w:bCs/>
          <w:color w:val="000000"/>
          <w:szCs w:val="20"/>
          <w:lang w:eastAsia="bg-BG"/>
        </w:rPr>
        <w:t>Специални популации</w:t>
      </w:r>
      <w:bookmarkEnd w:id="1"/>
    </w:p>
    <w:p w14:paraId="695294B3"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При пациенти със сърдечно-съдово заболяване, значително увреждане на чернодробната или бъбречна функция или пациенти в старческа възраст може да е достатъчна по-ниска доза.</w:t>
      </w:r>
    </w:p>
    <w:p w14:paraId="6C1EBEF2" w14:textId="77777777" w:rsidR="006F413A" w:rsidRPr="006F413A" w:rsidRDefault="006F413A" w:rsidP="006F413A">
      <w:pPr>
        <w:spacing w:line="240" w:lineRule="auto"/>
        <w:rPr>
          <w:rFonts w:eastAsia="Times New Roman" w:cs="Arial"/>
          <w:b/>
          <w:bCs/>
          <w:color w:val="000000"/>
          <w:szCs w:val="20"/>
          <w:lang w:eastAsia="bg-BG"/>
        </w:rPr>
      </w:pPr>
      <w:bookmarkStart w:id="2" w:name="bookmark2"/>
    </w:p>
    <w:p w14:paraId="201F7D4A" w14:textId="6C6B5167" w:rsidR="006F413A" w:rsidRPr="006F413A" w:rsidRDefault="006F413A" w:rsidP="006F413A">
      <w:pPr>
        <w:spacing w:line="240" w:lineRule="auto"/>
        <w:rPr>
          <w:rFonts w:eastAsia="Times New Roman" w:cs="Arial"/>
          <w:sz w:val="28"/>
          <w:szCs w:val="24"/>
        </w:rPr>
      </w:pPr>
      <w:r w:rsidRPr="006F413A">
        <w:rPr>
          <w:rFonts w:eastAsia="Times New Roman" w:cs="Arial"/>
          <w:b/>
          <w:bCs/>
          <w:color w:val="000000"/>
          <w:szCs w:val="20"/>
          <w:lang w:eastAsia="bg-BG"/>
        </w:rPr>
        <w:t>Педиатрична популация</w:t>
      </w:r>
      <w:bookmarkEnd w:id="2"/>
    </w:p>
    <w:p w14:paraId="731638E7"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Максималната дневна доза за деца под 3-годишна възраст е 200 </w:t>
      </w:r>
      <w:r w:rsidRPr="006F413A">
        <w:rPr>
          <w:rFonts w:eastAsia="Times New Roman" w:cs="Arial"/>
          <w:color w:val="000000"/>
          <w:szCs w:val="20"/>
          <w:lang w:val="en-US"/>
        </w:rPr>
        <w:t>mg</w:t>
      </w:r>
      <w:r w:rsidRPr="006F413A">
        <w:rPr>
          <w:rFonts w:eastAsia="Times New Roman" w:cs="Arial"/>
          <w:color w:val="000000"/>
          <w:szCs w:val="20"/>
          <w:lang w:val="ru-RU"/>
        </w:rPr>
        <w:t>.</w:t>
      </w:r>
    </w:p>
    <w:p w14:paraId="3691D886"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Преди вземане на решение за започване на лечение с този продукт, пациенти с произход от Китай и Тайланд трябва да бъдат скринирани за </w:t>
      </w:r>
      <w:r w:rsidRPr="006F413A">
        <w:rPr>
          <w:rFonts w:eastAsia="Times New Roman" w:cs="Arial"/>
          <w:color w:val="000000"/>
          <w:szCs w:val="20"/>
          <w:lang w:val="en-US"/>
        </w:rPr>
        <w:t>HLA</w:t>
      </w:r>
      <w:r w:rsidRPr="006F413A">
        <w:rPr>
          <w:rFonts w:eastAsia="Times New Roman" w:cs="Arial"/>
          <w:color w:val="000000"/>
          <w:szCs w:val="20"/>
          <w:lang w:val="ru-RU"/>
        </w:rPr>
        <w:t>-</w:t>
      </w:r>
      <w:r w:rsidRPr="006F413A">
        <w:rPr>
          <w:rFonts w:eastAsia="Times New Roman" w:cs="Arial"/>
          <w:color w:val="000000"/>
          <w:szCs w:val="20"/>
          <w:lang w:val="en-US"/>
        </w:rPr>
        <w:t>B</w:t>
      </w:r>
      <w:r w:rsidRPr="006F413A">
        <w:rPr>
          <w:rFonts w:eastAsia="Times New Roman" w:cs="Arial"/>
          <w:color w:val="000000"/>
          <w:szCs w:val="20"/>
          <w:lang w:val="ru-RU"/>
        </w:rPr>
        <w:t xml:space="preserve">*1502, </w:t>
      </w:r>
      <w:r w:rsidRPr="006F413A">
        <w:rPr>
          <w:rFonts w:eastAsia="Times New Roman" w:cs="Arial"/>
          <w:color w:val="000000"/>
          <w:szCs w:val="20"/>
          <w:lang w:eastAsia="bg-BG"/>
        </w:rPr>
        <w:t xml:space="preserve">тъй като този алел предопределя риск от тежък, свързан с карбамазепин синдром на </w:t>
      </w:r>
      <w:r w:rsidRPr="006F413A">
        <w:rPr>
          <w:rFonts w:eastAsia="Times New Roman" w:cs="Arial"/>
          <w:color w:val="000000"/>
          <w:szCs w:val="20"/>
          <w:lang w:val="en-US"/>
        </w:rPr>
        <w:t>Stevens</w:t>
      </w:r>
      <w:r w:rsidRPr="006F413A">
        <w:rPr>
          <w:rFonts w:eastAsia="Times New Roman" w:cs="Arial"/>
          <w:color w:val="000000"/>
          <w:szCs w:val="20"/>
          <w:lang w:val="ru-RU"/>
        </w:rPr>
        <w:t>-</w:t>
      </w:r>
      <w:r w:rsidRPr="006F413A">
        <w:rPr>
          <w:rFonts w:eastAsia="Times New Roman" w:cs="Arial"/>
          <w:color w:val="000000"/>
          <w:szCs w:val="20"/>
          <w:lang w:val="en-US"/>
        </w:rPr>
        <w:t>Johnson</w:t>
      </w:r>
      <w:r w:rsidRPr="006F413A">
        <w:rPr>
          <w:rFonts w:eastAsia="Times New Roman" w:cs="Arial"/>
          <w:color w:val="000000"/>
          <w:szCs w:val="20"/>
          <w:lang w:val="ru-RU"/>
        </w:rPr>
        <w:t xml:space="preserve"> </w:t>
      </w:r>
      <w:r w:rsidRPr="006F413A">
        <w:rPr>
          <w:rFonts w:eastAsia="Times New Roman" w:cs="Arial"/>
          <w:color w:val="000000"/>
          <w:szCs w:val="20"/>
          <w:lang w:eastAsia="bg-BG"/>
        </w:rPr>
        <w:t>(вж. информацията от генетичните изследвания и кожните реакции в точка 4.4).</w:t>
      </w:r>
    </w:p>
    <w:p w14:paraId="23A93BF5" w14:textId="77777777" w:rsidR="006F413A" w:rsidRPr="006F413A" w:rsidRDefault="006F413A" w:rsidP="006F413A">
      <w:pPr>
        <w:spacing w:line="240" w:lineRule="auto"/>
        <w:rPr>
          <w:rFonts w:eastAsia="Times New Roman" w:cs="Arial"/>
          <w:color w:val="000000"/>
          <w:szCs w:val="20"/>
          <w:u w:val="single"/>
          <w:lang w:eastAsia="bg-BG"/>
        </w:rPr>
      </w:pPr>
    </w:p>
    <w:p w14:paraId="142C6805" w14:textId="729044B8" w:rsidR="006F413A" w:rsidRPr="006F413A" w:rsidRDefault="006F413A" w:rsidP="006F413A">
      <w:pPr>
        <w:pStyle w:val="Heading3"/>
        <w:rPr>
          <w:rFonts w:eastAsia="Times New Roman"/>
          <w:sz w:val="28"/>
          <w:u w:val="single"/>
        </w:rPr>
      </w:pPr>
      <w:r w:rsidRPr="006F413A">
        <w:rPr>
          <w:rFonts w:eastAsia="Times New Roman"/>
          <w:u w:val="single"/>
          <w:lang w:eastAsia="bg-BG"/>
        </w:rPr>
        <w:t>Начин на приложение</w:t>
      </w:r>
    </w:p>
    <w:p w14:paraId="2C031ECC" w14:textId="069F4B68"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Перорално приложение</w:t>
      </w:r>
    </w:p>
    <w:p w14:paraId="1D320489" w14:textId="22E4B7B7" w:rsidR="006F413A" w:rsidRPr="006F413A" w:rsidRDefault="006F413A" w:rsidP="006F413A"/>
    <w:p w14:paraId="28C984E8" w14:textId="5CC3BC1E" w:rsidR="008134C8" w:rsidRDefault="002C50EE" w:rsidP="004A448E">
      <w:pPr>
        <w:pStyle w:val="Heading2"/>
      </w:pPr>
      <w:r>
        <w:t>4.3. Противопоказания</w:t>
      </w:r>
    </w:p>
    <w:p w14:paraId="20900B4C" w14:textId="2615C8C9" w:rsidR="006F413A" w:rsidRDefault="006F413A" w:rsidP="006F413A"/>
    <w:p w14:paraId="3F6FC06E"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Карбамазепин не трябва да се приема при:</w:t>
      </w:r>
    </w:p>
    <w:p w14:paraId="08619A89" w14:textId="77777777"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Установена свръхчувствителност към карбамазепин или структурно подобни продукти (трициклични антидепресанти) или към някое от помощните вещества, изброени в точка 6.1.</w:t>
      </w:r>
    </w:p>
    <w:p w14:paraId="1F0167CF" w14:textId="77777777"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Атриовентрикуларен блок</w:t>
      </w:r>
    </w:p>
    <w:p w14:paraId="584B77F9" w14:textId="77777777"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Анамнеза за увреждания на костния мозък</w:t>
      </w:r>
    </w:p>
    <w:p w14:paraId="442E15F1" w14:textId="77777777"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 xml:space="preserve">Анамнеза за чернодробна порфирия (напр. остра интермитентна порфирия, </w:t>
      </w:r>
      <w:r w:rsidRPr="006F413A">
        <w:rPr>
          <w:rFonts w:eastAsia="Times New Roman" w:cs="Arial"/>
          <w:i/>
          <w:iCs/>
          <w:color w:val="000000"/>
          <w:szCs w:val="20"/>
          <w:lang w:val="en-US"/>
        </w:rPr>
        <w:t>porphyria</w:t>
      </w:r>
      <w:r w:rsidRPr="006F413A">
        <w:rPr>
          <w:rFonts w:eastAsia="Times New Roman" w:cs="Arial"/>
          <w:i/>
          <w:iCs/>
          <w:color w:val="000000"/>
          <w:szCs w:val="20"/>
        </w:rPr>
        <w:t xml:space="preserve"> </w:t>
      </w:r>
      <w:r w:rsidRPr="006F413A">
        <w:rPr>
          <w:rFonts w:eastAsia="Times New Roman" w:cs="Arial"/>
          <w:i/>
          <w:iCs/>
          <w:color w:val="000000"/>
          <w:szCs w:val="20"/>
          <w:lang w:val="en-US"/>
        </w:rPr>
        <w:t>variegate</w:t>
      </w:r>
      <w:r w:rsidRPr="006F413A">
        <w:rPr>
          <w:rFonts w:eastAsia="Times New Roman" w:cs="Arial"/>
          <w:color w:val="000000"/>
          <w:szCs w:val="20"/>
        </w:rPr>
        <w:t xml:space="preserve"> </w:t>
      </w:r>
      <w:r w:rsidRPr="006F413A">
        <w:rPr>
          <w:rFonts w:eastAsia="Times New Roman" w:cs="Arial"/>
          <w:color w:val="000000"/>
          <w:szCs w:val="20"/>
          <w:lang w:eastAsia="bg-BG"/>
        </w:rPr>
        <w:t xml:space="preserve">и </w:t>
      </w:r>
      <w:r w:rsidRPr="006F413A">
        <w:rPr>
          <w:rFonts w:eastAsia="Times New Roman" w:cs="Arial"/>
          <w:i/>
          <w:iCs/>
          <w:color w:val="000000"/>
          <w:szCs w:val="20"/>
          <w:lang w:val="en-US"/>
        </w:rPr>
        <w:t>porphyria</w:t>
      </w:r>
      <w:r w:rsidRPr="006F413A">
        <w:rPr>
          <w:rFonts w:eastAsia="Times New Roman" w:cs="Arial"/>
          <w:i/>
          <w:iCs/>
          <w:color w:val="000000"/>
          <w:szCs w:val="20"/>
        </w:rPr>
        <w:t xml:space="preserve"> </w:t>
      </w:r>
      <w:proofErr w:type="spellStart"/>
      <w:r w:rsidRPr="006F413A">
        <w:rPr>
          <w:rFonts w:eastAsia="Times New Roman" w:cs="Arial"/>
          <w:i/>
          <w:iCs/>
          <w:color w:val="000000"/>
          <w:szCs w:val="20"/>
          <w:lang w:val="en-US"/>
        </w:rPr>
        <w:t>cutanea</w:t>
      </w:r>
      <w:proofErr w:type="spellEnd"/>
      <w:r w:rsidRPr="006F413A">
        <w:rPr>
          <w:rFonts w:eastAsia="Times New Roman" w:cs="Arial"/>
          <w:i/>
          <w:iCs/>
          <w:color w:val="000000"/>
          <w:szCs w:val="20"/>
        </w:rPr>
        <w:t xml:space="preserve"> </w:t>
      </w:r>
      <w:proofErr w:type="spellStart"/>
      <w:r w:rsidRPr="006F413A">
        <w:rPr>
          <w:rFonts w:eastAsia="Times New Roman" w:cs="Arial"/>
          <w:i/>
          <w:iCs/>
          <w:color w:val="000000"/>
          <w:szCs w:val="20"/>
          <w:lang w:val="en-US"/>
        </w:rPr>
        <w:t>tarda</w:t>
      </w:r>
      <w:proofErr w:type="spellEnd"/>
      <w:r w:rsidRPr="006F413A">
        <w:rPr>
          <w:rFonts w:eastAsia="Times New Roman" w:cs="Arial"/>
          <w:i/>
          <w:iCs/>
          <w:color w:val="000000"/>
          <w:szCs w:val="20"/>
        </w:rPr>
        <w:t>)</w:t>
      </w:r>
    </w:p>
    <w:p w14:paraId="53560D0E" w14:textId="77777777"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Карбамазепин не трябва да се приема едновременно с литий (вижте точка 4.5 „Взаимодействия с други лекарствени продукти и други форми на взаимодействия”).</w:t>
      </w:r>
    </w:p>
    <w:p w14:paraId="69BC3633" w14:textId="6E627CAE" w:rsidR="006F413A" w:rsidRPr="006F413A" w:rsidRDefault="006F413A" w:rsidP="006F413A">
      <w:pPr>
        <w:pStyle w:val="ListParagraph"/>
        <w:numPr>
          <w:ilvl w:val="0"/>
          <w:numId w:val="36"/>
        </w:numPr>
        <w:spacing w:line="240" w:lineRule="auto"/>
        <w:rPr>
          <w:rFonts w:eastAsia="Times New Roman" w:cs="Arial"/>
          <w:color w:val="000000"/>
          <w:szCs w:val="20"/>
          <w:lang w:eastAsia="bg-BG"/>
        </w:rPr>
      </w:pPr>
      <w:r w:rsidRPr="006F413A">
        <w:rPr>
          <w:rFonts w:eastAsia="Times New Roman" w:cs="Arial"/>
          <w:color w:val="000000"/>
          <w:szCs w:val="20"/>
          <w:lang w:eastAsia="bg-BG"/>
        </w:rPr>
        <w:t>Карбамазепин не трябва да се приема в комбинация с инхибитори на моноаминооксидазата (МАО-инхибитори); преди приложение на карбамазепин, приложението на МАО инхибитори трябва да се прекрати за период от най-малко две седмици или по-дълго ако клиничната ситуация го позволява.</w:t>
      </w:r>
    </w:p>
    <w:p w14:paraId="747838FC"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Карбамазепин може да предизвика или да влоши вече съществуващи абсанси и миоклонични пристъпи. Поради това той не трябва да се прилага при пациенти, които имат оплаквания от тези пристъпни форми.</w:t>
      </w:r>
    </w:p>
    <w:p w14:paraId="2808E6E5" w14:textId="77777777" w:rsidR="006F413A" w:rsidRPr="006F413A" w:rsidRDefault="006F413A" w:rsidP="006F413A">
      <w:pPr>
        <w:spacing w:line="240" w:lineRule="auto"/>
        <w:rPr>
          <w:rFonts w:eastAsia="Times New Roman" w:cs="Arial"/>
          <w:i/>
          <w:iCs/>
          <w:color w:val="000000"/>
          <w:szCs w:val="20"/>
          <w:lang w:eastAsia="bg-BG"/>
        </w:rPr>
      </w:pPr>
    </w:p>
    <w:p w14:paraId="432F226B" w14:textId="02483AEA"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Забележка:</w:t>
      </w:r>
      <w:r w:rsidRPr="006F413A">
        <w:rPr>
          <w:rFonts w:eastAsia="Times New Roman" w:cs="Arial"/>
          <w:color w:val="000000"/>
          <w:szCs w:val="20"/>
          <w:lang w:eastAsia="bg-BG"/>
        </w:rPr>
        <w:t xml:space="preserve"> При деца под 6 години карбамазепин може да се прилага само след строга преценка на съотношението полза/риск.</w:t>
      </w:r>
    </w:p>
    <w:p w14:paraId="2CC48630" w14:textId="77777777" w:rsidR="006F413A" w:rsidRPr="006F413A" w:rsidRDefault="006F413A" w:rsidP="006F413A"/>
    <w:p w14:paraId="212F509C" w14:textId="4A9888CC" w:rsidR="004F498A" w:rsidRDefault="002C50EE" w:rsidP="004A448E">
      <w:pPr>
        <w:pStyle w:val="Heading2"/>
      </w:pPr>
      <w:r>
        <w:t>4.4. Специални предупреждения и предпазни мерки при употреба</w:t>
      </w:r>
    </w:p>
    <w:p w14:paraId="58C4D991" w14:textId="12DB7941" w:rsidR="006F413A" w:rsidRDefault="006F413A" w:rsidP="006F413A"/>
    <w:p w14:paraId="557B7A16" w14:textId="77777777"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Карбамазепин трябва да се приема само след строга преценка на съотношението полза/риск и с особено внимание при следните обстоятелства:</w:t>
      </w:r>
    </w:p>
    <w:p w14:paraId="7D07786D" w14:textId="77777777" w:rsidR="006F413A" w:rsidRPr="006F413A" w:rsidRDefault="006F413A" w:rsidP="006F413A">
      <w:pPr>
        <w:numPr>
          <w:ilvl w:val="0"/>
          <w:numId w:val="2"/>
        </w:numPr>
        <w:spacing w:line="240" w:lineRule="auto"/>
        <w:rPr>
          <w:rFonts w:ascii="Times New Roman" w:eastAsia="Times New Roman" w:hAnsi="Times New Roman" w:cs="Times New Roman"/>
          <w:color w:val="000000"/>
          <w:sz w:val="20"/>
          <w:szCs w:val="20"/>
          <w:lang w:eastAsia="bg-BG"/>
        </w:rPr>
      </w:pPr>
      <w:r w:rsidRPr="006F413A">
        <w:rPr>
          <w:rFonts w:ascii="Times New Roman" w:eastAsia="Times New Roman" w:hAnsi="Times New Roman" w:cs="Times New Roman"/>
          <w:color w:val="000000"/>
          <w:sz w:val="20"/>
          <w:szCs w:val="20"/>
          <w:lang w:eastAsia="bg-BG"/>
        </w:rPr>
        <w:t>пациенти с налични или анамнестични данни за хематологични заболявания (пр</w:t>
      </w:r>
      <w:r w:rsidRPr="006F413A">
        <w:rPr>
          <w:rFonts w:ascii="Times New Roman" w:eastAsia="Times New Roman" w:hAnsi="Times New Roman" w:cs="Times New Roman"/>
          <w:color w:val="000000"/>
          <w:sz w:val="20"/>
          <w:szCs w:val="20"/>
          <w:u w:val="single"/>
          <w:lang w:eastAsia="bg-BG"/>
        </w:rPr>
        <w:t xml:space="preserve">омени в </w:t>
      </w:r>
      <w:r w:rsidRPr="006F413A">
        <w:rPr>
          <w:rFonts w:ascii="Times New Roman" w:eastAsia="Times New Roman" w:hAnsi="Times New Roman" w:cs="Times New Roman"/>
          <w:color w:val="000000"/>
          <w:sz w:val="20"/>
          <w:szCs w:val="20"/>
          <w:lang w:eastAsia="bg-BG"/>
        </w:rPr>
        <w:t>кръвните показатели), хематологични промени при други лекарства.</w:t>
      </w:r>
    </w:p>
    <w:p w14:paraId="22A3F705" w14:textId="77777777" w:rsidR="006F413A" w:rsidRPr="006F413A" w:rsidRDefault="006F413A" w:rsidP="006F413A">
      <w:pPr>
        <w:numPr>
          <w:ilvl w:val="0"/>
          <w:numId w:val="2"/>
        </w:numPr>
        <w:spacing w:line="240" w:lineRule="auto"/>
        <w:rPr>
          <w:rFonts w:ascii="Times New Roman" w:eastAsia="Times New Roman" w:hAnsi="Times New Roman" w:cs="Times New Roman"/>
          <w:color w:val="000000"/>
          <w:sz w:val="20"/>
          <w:szCs w:val="20"/>
          <w:lang w:eastAsia="bg-BG"/>
        </w:rPr>
      </w:pPr>
      <w:r w:rsidRPr="006F413A">
        <w:rPr>
          <w:rFonts w:ascii="Times New Roman" w:eastAsia="Times New Roman" w:hAnsi="Times New Roman" w:cs="Times New Roman"/>
          <w:color w:val="000000"/>
          <w:sz w:val="20"/>
          <w:szCs w:val="20"/>
          <w:lang w:eastAsia="bg-BG"/>
        </w:rPr>
        <w:t>нарушения в натриевата обмяна</w:t>
      </w:r>
    </w:p>
    <w:p w14:paraId="07483364" w14:textId="77777777" w:rsidR="006F413A" w:rsidRPr="006F413A" w:rsidRDefault="006F413A" w:rsidP="006F413A">
      <w:pPr>
        <w:numPr>
          <w:ilvl w:val="0"/>
          <w:numId w:val="2"/>
        </w:numPr>
        <w:spacing w:line="240" w:lineRule="auto"/>
        <w:rPr>
          <w:rFonts w:ascii="Times New Roman" w:eastAsia="Times New Roman" w:hAnsi="Times New Roman" w:cs="Times New Roman"/>
          <w:color w:val="000000"/>
          <w:sz w:val="20"/>
          <w:szCs w:val="20"/>
          <w:lang w:eastAsia="bg-BG"/>
        </w:rPr>
      </w:pPr>
      <w:r w:rsidRPr="006F413A">
        <w:rPr>
          <w:rFonts w:ascii="Times New Roman" w:eastAsia="Times New Roman" w:hAnsi="Times New Roman" w:cs="Times New Roman"/>
          <w:color w:val="000000"/>
          <w:sz w:val="20"/>
          <w:szCs w:val="20"/>
          <w:lang w:eastAsia="bg-BG"/>
        </w:rPr>
        <w:t>пациенти с увреждания на функцията на сърцето, черния дроб и бъбреците (вж. точка 4.2 и</w:t>
      </w:r>
    </w:p>
    <w:p w14:paraId="77E83C1F" w14:textId="77777777"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4.8)</w:t>
      </w:r>
    </w:p>
    <w:p w14:paraId="32E95B1E" w14:textId="77777777"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w:t>
      </w:r>
      <w:r w:rsidRPr="006F413A">
        <w:rPr>
          <w:rFonts w:ascii="Times New Roman" w:eastAsia="Times New Roman" w:hAnsi="Times New Roman" w:cs="Times New Roman"/>
          <w:color w:val="000000"/>
          <w:sz w:val="20"/>
          <w:szCs w:val="20"/>
          <w:lang w:eastAsia="bg-BG"/>
        </w:rPr>
        <w:tab/>
        <w:t>пациенти, страдащи от миотонична дистрофия, тъй като тя често е съпътствана от сърдечни нарушения при тази група пациенти</w:t>
      </w:r>
    </w:p>
    <w:p w14:paraId="3D596F4E" w14:textId="77777777"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w:t>
      </w:r>
      <w:r w:rsidRPr="006F413A">
        <w:rPr>
          <w:rFonts w:ascii="Times New Roman" w:eastAsia="Times New Roman" w:hAnsi="Times New Roman" w:cs="Times New Roman"/>
          <w:color w:val="000000"/>
          <w:sz w:val="20"/>
          <w:szCs w:val="20"/>
          <w:lang w:eastAsia="bg-BG"/>
        </w:rPr>
        <w:tab/>
        <w:t>по време на бременност.</w:t>
      </w:r>
    </w:p>
    <w:p w14:paraId="5D91FF83" w14:textId="77777777" w:rsidR="006F413A" w:rsidRDefault="006F413A" w:rsidP="006F413A">
      <w:pPr>
        <w:spacing w:line="240" w:lineRule="auto"/>
        <w:rPr>
          <w:rFonts w:ascii="Times New Roman" w:eastAsia="Times New Roman" w:hAnsi="Times New Roman" w:cs="Times New Roman"/>
          <w:color w:val="000000"/>
          <w:sz w:val="20"/>
          <w:szCs w:val="20"/>
          <w:lang w:eastAsia="bg-BG"/>
        </w:rPr>
      </w:pPr>
    </w:p>
    <w:p w14:paraId="2B0FE246" w14:textId="1DBC583E"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Употребата на карбамазепин е придружавана от агранулоцитоза и апластична анемия; все пак поради много ниската честота на тези състояния е трудно да се определи реалният риск за карбамазепин. Общият риск за популацията, която не е получавала карбамазепин е бил изчислен на 4,7 души на милион за година за агранулоцитоза и 2,0 души на милион за година за апластична анемия.</w:t>
      </w:r>
    </w:p>
    <w:p w14:paraId="4EFB3AFD" w14:textId="77777777" w:rsidR="006F413A" w:rsidRDefault="006F413A" w:rsidP="006F413A">
      <w:pPr>
        <w:spacing w:line="240" w:lineRule="auto"/>
        <w:rPr>
          <w:rFonts w:ascii="Times New Roman" w:eastAsia="Times New Roman" w:hAnsi="Times New Roman" w:cs="Times New Roman"/>
          <w:color w:val="000000"/>
          <w:sz w:val="20"/>
          <w:szCs w:val="20"/>
          <w:lang w:eastAsia="bg-BG"/>
        </w:rPr>
      </w:pPr>
    </w:p>
    <w:p w14:paraId="1B68503A" w14:textId="45043F3F"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Рядко до често при употребата на карбамазепин се наблюдава намаление на броя на тромбоцитите или левкоцитите. Независимо от това, преди началото на терапията и периодично след това трябва да се провежда изследване на пълна кръвна картина, включително брой на тромбоцитите и ако е възможно на ретикулоцитите.</w:t>
      </w:r>
    </w:p>
    <w:p w14:paraId="4C7C589E" w14:textId="77777777" w:rsidR="006F413A" w:rsidRDefault="006F413A" w:rsidP="006F413A">
      <w:pPr>
        <w:spacing w:line="240" w:lineRule="auto"/>
        <w:rPr>
          <w:rFonts w:ascii="Times New Roman" w:eastAsia="Times New Roman" w:hAnsi="Times New Roman" w:cs="Times New Roman"/>
          <w:color w:val="000000"/>
          <w:sz w:val="20"/>
          <w:szCs w:val="20"/>
          <w:lang w:eastAsia="bg-BG"/>
        </w:rPr>
      </w:pPr>
    </w:p>
    <w:p w14:paraId="0BDA8EC6" w14:textId="647DE30D" w:rsidR="006F413A" w:rsidRPr="006F413A" w:rsidRDefault="006F413A" w:rsidP="006F413A">
      <w:pPr>
        <w:spacing w:line="240" w:lineRule="auto"/>
        <w:rPr>
          <w:rFonts w:ascii="Times New Roman" w:eastAsia="Times New Roman" w:hAnsi="Times New Roman" w:cs="Times New Roman"/>
          <w:sz w:val="24"/>
          <w:szCs w:val="24"/>
        </w:rPr>
      </w:pPr>
      <w:r w:rsidRPr="006F413A">
        <w:rPr>
          <w:rFonts w:ascii="Times New Roman" w:eastAsia="Times New Roman" w:hAnsi="Times New Roman" w:cs="Times New Roman"/>
          <w:color w:val="000000"/>
          <w:sz w:val="20"/>
          <w:szCs w:val="20"/>
          <w:lang w:eastAsia="bg-BG"/>
        </w:rPr>
        <w:t>Ако броят на левкоцитите или тромбоцитите е трайно нисък или се понижава в хода на лечението, пациентът и пълната кръвна картина трябва да бъдат внимателно контролирани (вж. точка 4.8). Все пак, лечението с карбамазепин трябва да бъде прекратено, ако пациентът развие тежка левкопения прогресираща или съпътствана от клинични прояви като треска или възпалено гърло. Освен това приложението на карбамазепин трябва да бъде прекратено при появата на каквото и да е доказателство за значима миелосупресия.</w:t>
      </w:r>
    </w:p>
    <w:p w14:paraId="65012436" w14:textId="77777777" w:rsidR="006F413A" w:rsidRDefault="006F413A" w:rsidP="006F413A">
      <w:pPr>
        <w:spacing w:line="240" w:lineRule="auto"/>
        <w:rPr>
          <w:rFonts w:ascii="Times New Roman" w:eastAsia="Times New Roman" w:hAnsi="Times New Roman" w:cs="Times New Roman"/>
          <w:i/>
          <w:iCs/>
          <w:color w:val="000000"/>
          <w:sz w:val="20"/>
          <w:szCs w:val="20"/>
          <w:lang w:eastAsia="bg-BG"/>
        </w:rPr>
      </w:pPr>
    </w:p>
    <w:p w14:paraId="5AA40344" w14:textId="596078A4" w:rsidR="006F413A" w:rsidRPr="006F413A" w:rsidRDefault="006F413A" w:rsidP="006F413A">
      <w:pPr>
        <w:rPr>
          <w:i/>
          <w:sz w:val="24"/>
          <w:szCs w:val="24"/>
        </w:rPr>
      </w:pPr>
      <w:r w:rsidRPr="006F413A">
        <w:rPr>
          <w:i/>
          <w:lang w:eastAsia="bg-BG"/>
        </w:rPr>
        <w:t>Инструкция за провеждане на лабораторни тестове</w:t>
      </w:r>
    </w:p>
    <w:p w14:paraId="611E3087" w14:textId="662AFA3F" w:rsidR="006F413A" w:rsidRPr="006F413A" w:rsidRDefault="006F413A" w:rsidP="006F413A">
      <w:pPr>
        <w:pStyle w:val="ListParagraph"/>
        <w:numPr>
          <w:ilvl w:val="0"/>
          <w:numId w:val="38"/>
        </w:numPr>
        <w:rPr>
          <w:lang w:eastAsia="bg-BG"/>
        </w:rPr>
      </w:pPr>
      <w:r w:rsidRPr="006F413A">
        <w:rPr>
          <w:lang w:eastAsia="bg-BG"/>
        </w:rPr>
        <w:t>Кратковременни контроли (в рамките на 1 седмица) се изискват при:</w:t>
      </w:r>
    </w:p>
    <w:p w14:paraId="5E38894D" w14:textId="77777777" w:rsidR="006F413A" w:rsidRPr="006F413A" w:rsidRDefault="006F413A" w:rsidP="006F413A">
      <w:pPr>
        <w:pStyle w:val="ListParagraph"/>
        <w:numPr>
          <w:ilvl w:val="0"/>
          <w:numId w:val="39"/>
        </w:numPr>
        <w:rPr>
          <w:lang w:eastAsia="bg-BG"/>
        </w:rPr>
      </w:pPr>
      <w:r w:rsidRPr="006F413A">
        <w:rPr>
          <w:lang w:eastAsia="bg-BG"/>
        </w:rPr>
        <w:t>температура, инфекция</w:t>
      </w:r>
    </w:p>
    <w:p w14:paraId="39F83C25" w14:textId="77777777" w:rsidR="006F413A" w:rsidRPr="006F413A" w:rsidRDefault="006F413A" w:rsidP="006F413A">
      <w:pPr>
        <w:pStyle w:val="ListParagraph"/>
        <w:numPr>
          <w:ilvl w:val="0"/>
          <w:numId w:val="39"/>
        </w:numPr>
        <w:rPr>
          <w:lang w:eastAsia="bg-BG"/>
        </w:rPr>
      </w:pPr>
      <w:r w:rsidRPr="006F413A">
        <w:rPr>
          <w:lang w:eastAsia="bg-BG"/>
        </w:rPr>
        <w:t>кожен обрив</w:t>
      </w:r>
    </w:p>
    <w:p w14:paraId="032823DF" w14:textId="77777777" w:rsidR="006F413A" w:rsidRPr="006F413A" w:rsidRDefault="006F413A" w:rsidP="006F413A">
      <w:pPr>
        <w:pStyle w:val="ListParagraph"/>
        <w:numPr>
          <w:ilvl w:val="0"/>
          <w:numId w:val="39"/>
        </w:numPr>
        <w:rPr>
          <w:lang w:eastAsia="bg-BG"/>
        </w:rPr>
      </w:pPr>
      <w:r w:rsidRPr="006F413A">
        <w:rPr>
          <w:lang w:eastAsia="bg-BG"/>
        </w:rPr>
        <w:t>умора</w:t>
      </w:r>
    </w:p>
    <w:p w14:paraId="35F4DFFA" w14:textId="77777777" w:rsidR="006F413A" w:rsidRPr="006F413A" w:rsidRDefault="006F413A" w:rsidP="006F413A">
      <w:pPr>
        <w:pStyle w:val="ListParagraph"/>
        <w:numPr>
          <w:ilvl w:val="0"/>
          <w:numId w:val="39"/>
        </w:numPr>
        <w:rPr>
          <w:lang w:eastAsia="bg-BG"/>
        </w:rPr>
      </w:pPr>
      <w:r w:rsidRPr="006F413A">
        <w:rPr>
          <w:lang w:eastAsia="bg-BG"/>
        </w:rPr>
        <w:t>зачервено гърло, язви в устата</w:t>
      </w:r>
    </w:p>
    <w:p w14:paraId="0E415BFB" w14:textId="77777777" w:rsidR="006F413A" w:rsidRPr="006F413A" w:rsidRDefault="006F413A" w:rsidP="006F413A">
      <w:pPr>
        <w:pStyle w:val="ListParagraph"/>
        <w:numPr>
          <w:ilvl w:val="0"/>
          <w:numId w:val="39"/>
        </w:numPr>
        <w:rPr>
          <w:lang w:eastAsia="bg-BG"/>
        </w:rPr>
      </w:pPr>
      <w:r w:rsidRPr="006F413A">
        <w:rPr>
          <w:lang w:eastAsia="bg-BG"/>
        </w:rPr>
        <w:t>бързо образуване на петехии</w:t>
      </w:r>
    </w:p>
    <w:p w14:paraId="7C7274B6" w14:textId="77777777" w:rsidR="006F413A" w:rsidRPr="006F413A" w:rsidRDefault="006F413A" w:rsidP="006F413A">
      <w:pPr>
        <w:pStyle w:val="ListParagraph"/>
        <w:numPr>
          <w:ilvl w:val="0"/>
          <w:numId w:val="39"/>
        </w:numPr>
        <w:rPr>
          <w:lang w:eastAsia="bg-BG"/>
        </w:rPr>
      </w:pPr>
      <w:r w:rsidRPr="006F413A">
        <w:rPr>
          <w:lang w:eastAsia="bg-BG"/>
        </w:rPr>
        <w:t>повишаване на трансаминазите</w:t>
      </w:r>
    </w:p>
    <w:p w14:paraId="4DF463BA" w14:textId="77777777" w:rsidR="006F413A" w:rsidRPr="006F413A" w:rsidRDefault="006F413A" w:rsidP="006F413A">
      <w:pPr>
        <w:pStyle w:val="ListParagraph"/>
        <w:numPr>
          <w:ilvl w:val="0"/>
          <w:numId w:val="39"/>
        </w:numPr>
        <w:rPr>
          <w:lang w:eastAsia="bg-BG"/>
        </w:rPr>
      </w:pPr>
      <w:r w:rsidRPr="006F413A">
        <w:rPr>
          <w:lang w:eastAsia="bg-BG"/>
        </w:rPr>
        <w:t>намаляване на левкоцитите под 3 х 10</w:t>
      </w:r>
      <w:r w:rsidRPr="006F413A">
        <w:rPr>
          <w:vertAlign w:val="superscript"/>
          <w:lang w:eastAsia="bg-BG"/>
        </w:rPr>
        <w:t>9</w:t>
      </w:r>
      <w:r w:rsidRPr="006F413A">
        <w:rPr>
          <w:lang w:eastAsia="bg-BG"/>
        </w:rPr>
        <w:t>/1 или на гранулоцитите под 1,5 х 10</w:t>
      </w:r>
      <w:r w:rsidRPr="006F413A">
        <w:rPr>
          <w:vertAlign w:val="superscript"/>
          <w:lang w:eastAsia="bg-BG"/>
        </w:rPr>
        <w:t>9</w:t>
      </w:r>
      <w:r w:rsidRPr="006F413A">
        <w:rPr>
          <w:lang w:eastAsia="bg-BG"/>
        </w:rPr>
        <w:t>/</w:t>
      </w:r>
      <w:r w:rsidRPr="006F413A">
        <w:rPr>
          <w:lang w:val="en-US"/>
        </w:rPr>
        <w:t>l</w:t>
      </w:r>
    </w:p>
    <w:p w14:paraId="33A2A8EB" w14:textId="77777777" w:rsidR="006F413A" w:rsidRPr="006F413A" w:rsidRDefault="006F413A" w:rsidP="006F413A">
      <w:pPr>
        <w:pStyle w:val="ListParagraph"/>
        <w:numPr>
          <w:ilvl w:val="0"/>
          <w:numId w:val="39"/>
        </w:numPr>
        <w:rPr>
          <w:lang w:eastAsia="bg-BG"/>
        </w:rPr>
      </w:pPr>
      <w:r w:rsidRPr="006F413A">
        <w:rPr>
          <w:lang w:eastAsia="bg-BG"/>
        </w:rPr>
        <w:t>намаляване на тромбоцитите под 125 х 10</w:t>
      </w:r>
      <w:r w:rsidRPr="006F413A">
        <w:rPr>
          <w:vertAlign w:val="superscript"/>
          <w:lang w:eastAsia="bg-BG"/>
        </w:rPr>
        <w:t>9</w:t>
      </w:r>
      <w:r w:rsidRPr="006F413A">
        <w:rPr>
          <w:lang w:eastAsia="bg-BG"/>
        </w:rPr>
        <w:t>/</w:t>
      </w:r>
      <w:r w:rsidRPr="006F413A">
        <w:rPr>
          <w:lang w:val="en-US"/>
        </w:rPr>
        <w:t>l</w:t>
      </w:r>
    </w:p>
    <w:p w14:paraId="02370AC1" w14:textId="77777777" w:rsidR="006F413A" w:rsidRPr="006F413A" w:rsidRDefault="006F413A" w:rsidP="006F413A">
      <w:pPr>
        <w:pStyle w:val="ListParagraph"/>
        <w:numPr>
          <w:ilvl w:val="0"/>
          <w:numId w:val="39"/>
        </w:numPr>
        <w:rPr>
          <w:lang w:eastAsia="bg-BG"/>
        </w:rPr>
      </w:pPr>
      <w:r w:rsidRPr="006F413A">
        <w:rPr>
          <w:lang w:eastAsia="bg-BG"/>
        </w:rPr>
        <w:t>намаляване на ретикулоцитите под 0,3%=20 х 10</w:t>
      </w:r>
      <w:r w:rsidRPr="006F413A">
        <w:rPr>
          <w:vertAlign w:val="superscript"/>
          <w:lang w:eastAsia="bg-BG"/>
        </w:rPr>
        <w:t>9</w:t>
      </w:r>
    </w:p>
    <w:p w14:paraId="14A43740" w14:textId="77D71663" w:rsidR="006F413A" w:rsidRPr="006F413A" w:rsidRDefault="006F413A" w:rsidP="006F413A">
      <w:pPr>
        <w:pStyle w:val="ListParagraph"/>
        <w:numPr>
          <w:ilvl w:val="0"/>
          <w:numId w:val="39"/>
        </w:numPr>
        <w:rPr>
          <w:lang w:eastAsia="bg-BG"/>
        </w:rPr>
      </w:pPr>
      <w:r w:rsidRPr="006F413A">
        <w:rPr>
          <w:lang w:eastAsia="bg-BG"/>
        </w:rPr>
        <w:t>увеличаване на серумното желязо над 150 μ</w:t>
      </w:r>
      <w:r w:rsidRPr="006F413A">
        <w:rPr>
          <w:lang w:val="en-US"/>
        </w:rPr>
        <w:t>g</w:t>
      </w:r>
      <w:r w:rsidRPr="006F413A">
        <w:rPr>
          <w:vertAlign w:val="superscript"/>
          <w:lang w:val="ru-RU"/>
        </w:rPr>
        <w:t>%</w:t>
      </w:r>
    </w:p>
    <w:p w14:paraId="1182CDF4" w14:textId="77777777" w:rsidR="006F413A" w:rsidRPr="006F413A" w:rsidRDefault="006F413A" w:rsidP="006F413A">
      <w:pPr>
        <w:rPr>
          <w:lang w:eastAsia="bg-BG"/>
        </w:rPr>
      </w:pPr>
    </w:p>
    <w:p w14:paraId="7AE86160" w14:textId="5BDD2394" w:rsidR="006F413A" w:rsidRPr="006F413A" w:rsidRDefault="006F413A" w:rsidP="006F413A">
      <w:pPr>
        <w:pStyle w:val="ListParagraph"/>
        <w:numPr>
          <w:ilvl w:val="0"/>
          <w:numId w:val="38"/>
        </w:numPr>
        <w:rPr>
          <w:lang w:eastAsia="bg-BG"/>
        </w:rPr>
      </w:pPr>
      <w:r w:rsidRPr="006F413A">
        <w:rPr>
          <w:lang w:eastAsia="bg-BG"/>
        </w:rPr>
        <w:t>Спиране приема на карбамазепин се налага в случаите на:</w:t>
      </w:r>
    </w:p>
    <w:p w14:paraId="3FEC8986" w14:textId="77777777" w:rsidR="006F413A" w:rsidRPr="006F413A" w:rsidRDefault="006F413A" w:rsidP="006F413A">
      <w:pPr>
        <w:pStyle w:val="ListParagraph"/>
        <w:numPr>
          <w:ilvl w:val="0"/>
          <w:numId w:val="40"/>
        </w:numPr>
        <w:rPr>
          <w:rFonts w:cs="Arial"/>
          <w:lang w:eastAsia="bg-BG"/>
        </w:rPr>
      </w:pPr>
      <w:r w:rsidRPr="006F413A">
        <w:rPr>
          <w:rFonts w:cs="Arial"/>
          <w:lang w:eastAsia="bg-BG"/>
        </w:rPr>
        <w:t>кръвоизливи от петехии или пурпура</w:t>
      </w:r>
    </w:p>
    <w:p w14:paraId="7064B803" w14:textId="77777777" w:rsidR="006F413A" w:rsidRPr="006F413A" w:rsidRDefault="006F413A" w:rsidP="006F413A">
      <w:pPr>
        <w:pStyle w:val="ListParagraph"/>
        <w:numPr>
          <w:ilvl w:val="0"/>
          <w:numId w:val="40"/>
        </w:numPr>
        <w:rPr>
          <w:rFonts w:cs="Arial"/>
          <w:lang w:eastAsia="bg-BG"/>
        </w:rPr>
      </w:pPr>
      <w:r w:rsidRPr="006F413A">
        <w:rPr>
          <w:rFonts w:cs="Arial"/>
          <w:lang w:eastAsia="bg-BG"/>
        </w:rPr>
        <w:t>намаляване на еритроцитите под 4 х 10</w:t>
      </w:r>
      <w:r w:rsidRPr="006F413A">
        <w:rPr>
          <w:rFonts w:cs="Arial"/>
          <w:vertAlign w:val="superscript"/>
          <w:lang w:eastAsia="bg-BG"/>
        </w:rPr>
        <w:t>12</w:t>
      </w:r>
      <w:r w:rsidRPr="006F413A">
        <w:rPr>
          <w:rFonts w:cs="Arial"/>
          <w:lang w:eastAsia="bg-BG"/>
        </w:rPr>
        <w:t>/1</w:t>
      </w:r>
    </w:p>
    <w:p w14:paraId="62F43F3A" w14:textId="77777777" w:rsidR="006F413A" w:rsidRPr="006F413A" w:rsidRDefault="006F413A" w:rsidP="006F413A">
      <w:pPr>
        <w:pStyle w:val="ListParagraph"/>
        <w:numPr>
          <w:ilvl w:val="0"/>
          <w:numId w:val="40"/>
        </w:numPr>
        <w:rPr>
          <w:rFonts w:cs="Arial"/>
          <w:lang w:eastAsia="bg-BG"/>
        </w:rPr>
      </w:pPr>
      <w:r w:rsidRPr="006F413A">
        <w:rPr>
          <w:rFonts w:cs="Arial"/>
          <w:lang w:eastAsia="bg-BG"/>
        </w:rPr>
        <w:t>намаляване на хематокрита под 32%</w:t>
      </w:r>
    </w:p>
    <w:p w14:paraId="4F2A82E3" w14:textId="77777777" w:rsidR="006F413A" w:rsidRPr="006F413A" w:rsidRDefault="006F413A" w:rsidP="006F413A">
      <w:pPr>
        <w:pStyle w:val="ListParagraph"/>
        <w:numPr>
          <w:ilvl w:val="0"/>
          <w:numId w:val="40"/>
        </w:numPr>
        <w:rPr>
          <w:rFonts w:cs="Arial"/>
          <w:lang w:eastAsia="bg-BG"/>
        </w:rPr>
      </w:pPr>
      <w:r w:rsidRPr="006F413A">
        <w:rPr>
          <w:rFonts w:cs="Arial"/>
          <w:lang w:eastAsia="bg-BG"/>
        </w:rPr>
        <w:t xml:space="preserve">намаляване на хемоглобина под 110 </w:t>
      </w:r>
      <w:r w:rsidRPr="006F413A">
        <w:rPr>
          <w:rFonts w:cs="Arial"/>
          <w:lang w:val="en-US"/>
        </w:rPr>
        <w:t>g</w:t>
      </w:r>
      <w:r w:rsidRPr="006F413A">
        <w:rPr>
          <w:rFonts w:cs="Arial"/>
          <w:lang w:val="ru-RU"/>
        </w:rPr>
        <w:t>/1</w:t>
      </w:r>
    </w:p>
    <w:p w14:paraId="2CEC311B" w14:textId="77777777" w:rsidR="006F413A" w:rsidRPr="006F413A" w:rsidRDefault="006F413A" w:rsidP="006F413A">
      <w:pPr>
        <w:pStyle w:val="ListParagraph"/>
        <w:numPr>
          <w:ilvl w:val="0"/>
          <w:numId w:val="40"/>
        </w:numPr>
        <w:rPr>
          <w:rFonts w:ascii="Times New Roman" w:eastAsia="Times New Roman" w:hAnsi="Times New Roman" w:cs="Times New Roman"/>
          <w:color w:val="000000"/>
          <w:sz w:val="20"/>
          <w:szCs w:val="20"/>
          <w:lang w:eastAsia="bg-BG"/>
        </w:rPr>
      </w:pPr>
      <w:r w:rsidRPr="006F413A">
        <w:rPr>
          <w:rFonts w:eastAsia="Times New Roman" w:cs="Arial"/>
          <w:color w:val="000000"/>
          <w:lang w:eastAsia="bg-BG"/>
        </w:rPr>
        <w:lastRenderedPageBreak/>
        <w:t>намаляне на левкоцитите под 2 х 10</w:t>
      </w:r>
      <w:r w:rsidRPr="006F413A">
        <w:rPr>
          <w:rFonts w:eastAsia="Times New Roman" w:cs="Arial"/>
          <w:color w:val="000000"/>
          <w:vertAlign w:val="superscript"/>
          <w:lang w:eastAsia="bg-BG"/>
        </w:rPr>
        <w:t>9</w:t>
      </w:r>
      <w:r w:rsidRPr="006F413A">
        <w:rPr>
          <w:rFonts w:eastAsia="Times New Roman" w:cs="Arial"/>
          <w:color w:val="000000"/>
          <w:lang w:eastAsia="bg-BG"/>
        </w:rPr>
        <w:t>/</w:t>
      </w:r>
      <w:r w:rsidRPr="006F413A">
        <w:rPr>
          <w:rFonts w:eastAsia="Times New Roman" w:cs="Arial"/>
          <w:color w:val="000000"/>
          <w:lang w:val="en-US"/>
        </w:rPr>
        <w:t>l</w:t>
      </w:r>
      <w:r w:rsidRPr="006F413A">
        <w:rPr>
          <w:rFonts w:eastAsia="Times New Roman" w:cs="Arial"/>
          <w:color w:val="000000"/>
          <w:lang w:eastAsia="bg-BG"/>
        </w:rPr>
        <w:t xml:space="preserve"> и на гранулоцитите респ. под 1 х 10</w:t>
      </w:r>
      <w:r w:rsidRPr="006F413A">
        <w:rPr>
          <w:rFonts w:eastAsia="Times New Roman" w:cs="Arial"/>
          <w:color w:val="000000"/>
          <w:vertAlign w:val="superscript"/>
          <w:lang w:eastAsia="bg-BG"/>
        </w:rPr>
        <w:t>9</w:t>
      </w:r>
      <w:r w:rsidRPr="006F413A">
        <w:rPr>
          <w:rFonts w:eastAsia="Times New Roman" w:cs="Arial"/>
          <w:color w:val="000000"/>
          <w:lang w:eastAsia="bg-BG"/>
        </w:rPr>
        <w:t>/1 и на тромбоцитите респ. под 80 х 10</w:t>
      </w:r>
      <w:r w:rsidRPr="006F413A">
        <w:rPr>
          <w:rFonts w:eastAsia="Times New Roman" w:cs="Arial"/>
          <w:color w:val="000000"/>
          <w:vertAlign w:val="superscript"/>
          <w:lang w:eastAsia="bg-BG"/>
        </w:rPr>
        <w:t>9</w:t>
      </w:r>
      <w:r w:rsidRPr="006F413A">
        <w:rPr>
          <w:rFonts w:eastAsia="Times New Roman" w:cs="Arial"/>
          <w:color w:val="000000"/>
          <w:lang w:eastAsia="bg-BG"/>
        </w:rPr>
        <w:t>/</w:t>
      </w:r>
      <w:r w:rsidRPr="006F413A">
        <w:rPr>
          <w:rFonts w:eastAsia="Times New Roman" w:cs="Arial"/>
          <w:color w:val="000000"/>
          <w:lang w:val="en-US"/>
        </w:rPr>
        <w:t>l</w:t>
      </w:r>
    </w:p>
    <w:p w14:paraId="0E718CB7" w14:textId="77777777" w:rsidR="006F413A" w:rsidRDefault="006F413A" w:rsidP="006F413A">
      <w:pPr>
        <w:spacing w:line="240" w:lineRule="auto"/>
        <w:rPr>
          <w:rFonts w:ascii="Times New Roman" w:eastAsia="Times New Roman" w:hAnsi="Times New Roman" w:cs="Times New Roman"/>
          <w:color w:val="000000"/>
          <w:sz w:val="20"/>
          <w:szCs w:val="20"/>
          <w:lang w:eastAsia="bg-BG"/>
        </w:rPr>
      </w:pPr>
    </w:p>
    <w:p w14:paraId="7C24AF33" w14:textId="6223B206"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Пациентите и техните роднини трябва да бъдат предупредени за ранни токсични прояви и симптоми, които са показателни за потенциален хематологичен проблем, както и симптоми на кожни или чернодробни реакции. При поява на реакции като фебрилитет, възпалено гърло, обрив, язви в устата, лесно поява на синини, петехии или хеморагична пурпура, пациентът трябва незабавно да се консултира с лекуващия го лекар.</w:t>
      </w:r>
    </w:p>
    <w:p w14:paraId="0C3AFF2E" w14:textId="77777777" w:rsidR="006F413A" w:rsidRPr="006F413A" w:rsidRDefault="006F413A" w:rsidP="006F413A">
      <w:pPr>
        <w:rPr>
          <w:rFonts w:eastAsia="Times New Roman" w:cs="Arial"/>
          <w:i/>
          <w:iCs/>
          <w:color w:val="000000"/>
          <w:szCs w:val="20"/>
          <w:lang w:eastAsia="bg-BG"/>
        </w:rPr>
      </w:pPr>
    </w:p>
    <w:p w14:paraId="08C76378" w14:textId="07EAAF9B" w:rsidR="006F413A" w:rsidRPr="006F413A" w:rsidRDefault="006F413A" w:rsidP="006F413A">
      <w:pPr>
        <w:rPr>
          <w:rFonts w:eastAsia="Times New Roman" w:cs="Arial"/>
          <w:i/>
          <w:iCs/>
          <w:color w:val="000000"/>
          <w:lang w:eastAsia="bg-BG"/>
        </w:rPr>
      </w:pPr>
      <w:r w:rsidRPr="006F413A">
        <w:rPr>
          <w:rFonts w:eastAsia="Times New Roman" w:cs="Arial"/>
          <w:i/>
          <w:iCs/>
          <w:color w:val="000000"/>
          <w:lang w:eastAsia="bg-BG"/>
        </w:rPr>
        <w:t>Кожни реакции</w:t>
      </w:r>
    </w:p>
    <w:p w14:paraId="069A155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По време на лечение с карбамазепин са съобщени сериозни и понякога фатални кожни реакции, включващи токсична епидермална некролиза (ТЕН) и синдром на </w:t>
      </w:r>
      <w:r w:rsidRPr="006F413A">
        <w:rPr>
          <w:rFonts w:eastAsia="Times New Roman" w:cs="Arial"/>
          <w:color w:val="000000"/>
          <w:lang w:val="en-US"/>
        </w:rPr>
        <w:t>Stevens</w:t>
      </w:r>
      <w:r w:rsidRPr="006F413A">
        <w:rPr>
          <w:rFonts w:eastAsia="Times New Roman" w:cs="Arial"/>
          <w:color w:val="000000"/>
          <w:lang w:val="ru-RU"/>
        </w:rPr>
        <w:t>-</w:t>
      </w:r>
      <w:r w:rsidRPr="006F413A">
        <w:rPr>
          <w:rFonts w:eastAsia="Times New Roman" w:cs="Arial"/>
          <w:color w:val="000000"/>
          <w:lang w:val="en-US"/>
        </w:rPr>
        <w:t>Johnson</w:t>
      </w:r>
      <w:r w:rsidRPr="006F413A">
        <w:rPr>
          <w:rFonts w:eastAsia="Times New Roman" w:cs="Arial"/>
          <w:color w:val="000000"/>
          <w:lang w:val="ru-RU"/>
        </w:rPr>
        <w:t xml:space="preserve">. </w:t>
      </w:r>
      <w:r w:rsidRPr="006F413A">
        <w:rPr>
          <w:rFonts w:eastAsia="Times New Roman" w:cs="Arial"/>
          <w:color w:val="000000"/>
          <w:lang w:eastAsia="bg-BG"/>
        </w:rPr>
        <w:t xml:space="preserve">Тези реакции се появяват при 1-6 на 100 000 нови потребители в страни, в които населението е предимно от бялата раса, но е изчислено, че рискът за някои азиатски страни е приблизително 10 пъти по-висок. Увеличават се доказателствата за ролята на различните </w:t>
      </w:r>
      <w:r w:rsidRPr="006F413A">
        <w:rPr>
          <w:rFonts w:eastAsia="Times New Roman" w:cs="Arial"/>
          <w:color w:val="000000"/>
          <w:lang w:val="en-US"/>
        </w:rPr>
        <w:t>HLA</w:t>
      </w:r>
      <w:r w:rsidRPr="006F413A">
        <w:rPr>
          <w:rFonts w:eastAsia="Times New Roman" w:cs="Arial"/>
          <w:color w:val="000000"/>
          <w:lang w:val="ru-RU"/>
        </w:rPr>
        <w:t xml:space="preserve"> </w:t>
      </w:r>
      <w:r w:rsidRPr="006F413A">
        <w:rPr>
          <w:rFonts w:eastAsia="Times New Roman" w:cs="Arial"/>
          <w:color w:val="000000"/>
          <w:lang w:eastAsia="bg-BG"/>
        </w:rPr>
        <w:t>алели в предразположените пациенти за имуномедиирани нежелани лекарствени реакции (вж. точка 4.2).</w:t>
      </w:r>
    </w:p>
    <w:p w14:paraId="5563F3EF" w14:textId="77777777" w:rsidR="006F413A" w:rsidRPr="006F413A" w:rsidRDefault="006F413A" w:rsidP="006F413A">
      <w:pPr>
        <w:spacing w:line="240" w:lineRule="auto"/>
        <w:rPr>
          <w:rFonts w:eastAsia="Times New Roman" w:cs="Arial"/>
          <w:color w:val="000000"/>
          <w:lang w:eastAsia="bg-BG"/>
        </w:rPr>
      </w:pPr>
    </w:p>
    <w:p w14:paraId="60316559" w14:textId="540816EA"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На пациентите трябва да бъде препоръчано да наблюдават за поява на признаци и симптоми на кожни реакции. Най-високият риск за развитие на </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или </w:t>
      </w:r>
      <w:r w:rsidRPr="006F413A">
        <w:rPr>
          <w:rFonts w:eastAsia="Times New Roman" w:cs="Arial"/>
          <w:color w:val="000000"/>
          <w:lang w:val="en-US"/>
        </w:rPr>
        <w:t>TEN</w:t>
      </w:r>
      <w:r w:rsidRPr="006F413A">
        <w:rPr>
          <w:rFonts w:eastAsia="Times New Roman" w:cs="Arial"/>
          <w:color w:val="000000"/>
          <w:lang w:val="ru-RU"/>
        </w:rPr>
        <w:t xml:space="preserve"> </w:t>
      </w:r>
      <w:r w:rsidRPr="006F413A">
        <w:rPr>
          <w:rFonts w:eastAsia="Times New Roman" w:cs="Arial"/>
          <w:color w:val="000000"/>
          <w:lang w:eastAsia="bg-BG"/>
        </w:rPr>
        <w:t xml:space="preserve">е през първите няколко месеца от лечението. При наличие на признаци или симптоми на </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или </w:t>
      </w:r>
      <w:r w:rsidRPr="006F413A">
        <w:rPr>
          <w:rFonts w:eastAsia="Times New Roman" w:cs="Arial"/>
          <w:color w:val="000000"/>
          <w:lang w:val="en-US"/>
        </w:rPr>
        <w:t>TEN</w:t>
      </w:r>
      <w:r w:rsidRPr="006F413A">
        <w:rPr>
          <w:rFonts w:eastAsia="Times New Roman" w:cs="Arial"/>
          <w:color w:val="000000"/>
          <w:lang w:val="ru-RU"/>
        </w:rPr>
        <w:t xml:space="preserve"> </w:t>
      </w:r>
      <w:r w:rsidRPr="006F413A">
        <w:rPr>
          <w:rFonts w:eastAsia="Times New Roman" w:cs="Arial"/>
          <w:color w:val="000000"/>
          <w:lang w:eastAsia="bg-BG"/>
        </w:rPr>
        <w:t xml:space="preserve">(като прогресиращ кожен обрив често с мехури или лигавични лезии), лечението с карбамазепин трябва да бъде прекратено. Пациентите с тежки кожни реакции може да се нуждаят от хоспитализация, тъй като тези състояния може да са животозастрашаващи и дори фатални. Най-добри резултати от лечението на </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или </w:t>
      </w:r>
      <w:r w:rsidRPr="006F413A">
        <w:rPr>
          <w:rFonts w:eastAsia="Times New Roman" w:cs="Arial"/>
          <w:color w:val="000000"/>
          <w:lang w:val="en-US"/>
        </w:rPr>
        <w:t>TEN</w:t>
      </w:r>
      <w:r w:rsidRPr="006F413A">
        <w:rPr>
          <w:rFonts w:eastAsia="Times New Roman" w:cs="Arial"/>
          <w:color w:val="000000"/>
          <w:lang w:val="ru-RU"/>
        </w:rPr>
        <w:t xml:space="preserve"> </w:t>
      </w:r>
      <w:r w:rsidRPr="006F413A">
        <w:rPr>
          <w:rFonts w:eastAsia="Times New Roman" w:cs="Arial"/>
          <w:color w:val="000000"/>
          <w:lang w:eastAsia="bg-BG"/>
        </w:rPr>
        <w:t xml:space="preserve">са получени при ранна диагноза и незабавно спиране на всички лекарства суспектни като причинители. Ранното спиране на терапията се свързва с по-добра прогноза. Ако пациентът развие </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или </w:t>
      </w:r>
      <w:r w:rsidRPr="006F413A">
        <w:rPr>
          <w:rFonts w:eastAsia="Times New Roman" w:cs="Arial"/>
          <w:color w:val="000000"/>
          <w:lang w:val="en-US"/>
        </w:rPr>
        <w:t>TEN</w:t>
      </w:r>
      <w:r w:rsidRPr="006F413A">
        <w:rPr>
          <w:rFonts w:eastAsia="Times New Roman" w:cs="Arial"/>
          <w:color w:val="000000"/>
          <w:lang w:val="ru-RU"/>
        </w:rPr>
        <w:t xml:space="preserve"> </w:t>
      </w:r>
      <w:r w:rsidRPr="006F413A">
        <w:rPr>
          <w:rFonts w:eastAsia="Times New Roman" w:cs="Arial"/>
          <w:color w:val="000000"/>
          <w:lang w:eastAsia="bg-BG"/>
        </w:rPr>
        <w:t>при употребата на карбамазепин, лечението с карбамазепин не трябва да се продължава (подновява) при никакви обстоятелства.</w:t>
      </w:r>
    </w:p>
    <w:p w14:paraId="5BCACC12" w14:textId="77777777" w:rsidR="006F413A" w:rsidRPr="006F413A" w:rsidRDefault="006F413A" w:rsidP="006F413A">
      <w:pPr>
        <w:spacing w:line="240" w:lineRule="auto"/>
        <w:rPr>
          <w:rFonts w:eastAsia="Times New Roman" w:cs="Arial"/>
          <w:i/>
          <w:iCs/>
          <w:color w:val="000000"/>
          <w:lang w:eastAsia="bg-BG"/>
        </w:rPr>
      </w:pPr>
    </w:p>
    <w:p w14:paraId="6209F0C1" w14:textId="6FBCF9F1" w:rsidR="006F413A" w:rsidRPr="006F413A" w:rsidRDefault="006F413A" w:rsidP="006F413A">
      <w:pPr>
        <w:spacing w:line="240" w:lineRule="auto"/>
        <w:rPr>
          <w:rFonts w:eastAsia="Times New Roman" w:cs="Arial"/>
        </w:rPr>
      </w:pPr>
      <w:r w:rsidRPr="006F413A">
        <w:rPr>
          <w:rFonts w:eastAsia="Times New Roman" w:cs="Arial"/>
          <w:i/>
          <w:iCs/>
          <w:color w:val="000000"/>
          <w:lang w:eastAsia="bg-BG"/>
        </w:rPr>
        <w:t>Н</w:t>
      </w:r>
      <w:r w:rsidRPr="006F413A">
        <w:rPr>
          <w:rFonts w:eastAsia="Times New Roman" w:cs="Arial"/>
          <w:i/>
          <w:iCs/>
          <w:color w:val="000000"/>
          <w:lang w:val="en-US"/>
        </w:rPr>
        <w:t>L</w:t>
      </w:r>
      <w:r w:rsidRPr="006F413A">
        <w:rPr>
          <w:rFonts w:eastAsia="Times New Roman" w:cs="Arial"/>
          <w:i/>
          <w:iCs/>
          <w:color w:val="000000"/>
          <w:lang w:eastAsia="bg-BG"/>
        </w:rPr>
        <w:t>А-В*1502 алел при лица от Китай, Тайланд и други азиатски популации</w:t>
      </w:r>
    </w:p>
    <w:p w14:paraId="32660BC2" w14:textId="77777777" w:rsidR="006F413A" w:rsidRPr="006F413A" w:rsidRDefault="006F413A" w:rsidP="006F413A">
      <w:pPr>
        <w:spacing w:line="240" w:lineRule="auto"/>
        <w:rPr>
          <w:rFonts w:eastAsia="Times New Roman" w:cs="Arial"/>
        </w:rPr>
      </w:pP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w:t>
      </w:r>
      <w:r w:rsidRPr="006F413A">
        <w:rPr>
          <w:rFonts w:eastAsia="Times New Roman" w:cs="Arial"/>
          <w:color w:val="000000"/>
          <w:lang w:eastAsia="bg-BG"/>
        </w:rPr>
        <w:t xml:space="preserve">1502 при лица с произход от Китай и Тайланд е показал връзка с риска от развитие на тежки кожни реакции, известни като синдром на </w:t>
      </w:r>
      <w:r w:rsidRPr="006F413A">
        <w:rPr>
          <w:rFonts w:eastAsia="Times New Roman" w:cs="Arial"/>
          <w:color w:val="000000"/>
          <w:lang w:val="en-US"/>
        </w:rPr>
        <w:t>Stevens</w:t>
      </w:r>
      <w:r w:rsidRPr="006F413A">
        <w:rPr>
          <w:rFonts w:eastAsia="Times New Roman" w:cs="Arial"/>
          <w:color w:val="000000"/>
          <w:lang w:val="ru-RU"/>
        </w:rPr>
        <w:t>-</w:t>
      </w:r>
      <w:r w:rsidRPr="006F413A">
        <w:rPr>
          <w:rFonts w:eastAsia="Times New Roman" w:cs="Arial"/>
          <w:color w:val="000000"/>
          <w:lang w:val="en-US"/>
        </w:rPr>
        <w:t>Johnson</w:t>
      </w:r>
      <w:r w:rsidRPr="006F413A">
        <w:rPr>
          <w:rFonts w:eastAsia="Times New Roman" w:cs="Arial"/>
          <w:color w:val="000000"/>
          <w:lang w:val="ru-RU"/>
        </w:rPr>
        <w:t xml:space="preserve">, </w:t>
      </w:r>
      <w:r w:rsidRPr="006F413A">
        <w:rPr>
          <w:rFonts w:eastAsia="Times New Roman" w:cs="Arial"/>
          <w:color w:val="000000"/>
          <w:lang w:eastAsia="bg-BG"/>
        </w:rPr>
        <w:t xml:space="preserve">по време на лечението с карбамазепин. Честотата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 xml:space="preserve">*1502 </w:t>
      </w:r>
      <w:r w:rsidRPr="006F413A">
        <w:rPr>
          <w:rFonts w:eastAsia="Times New Roman" w:cs="Arial"/>
          <w:color w:val="000000"/>
          <w:lang w:eastAsia="bg-BG"/>
        </w:rPr>
        <w:t xml:space="preserve">носителите е около 10% в популациите в Китай и Тайланд. Когато е възможно тези пациенти трябва да се скринират за този алел преди започване на лечение с карбамазепин (вж. точка 4.2). Ако тези изследвания са положителни, карбамазепин не бива да се приема, освен в случаите когато липсва друга терапевтична възможност. Изследвани пациенти, които са показали отрицателни тестове за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w:t>
      </w:r>
      <w:r w:rsidRPr="006F413A">
        <w:rPr>
          <w:rFonts w:eastAsia="Times New Roman" w:cs="Arial"/>
          <w:color w:val="000000"/>
          <w:lang w:eastAsia="bg-BG"/>
        </w:rPr>
        <w:t xml:space="preserve">1502, имат нисък риск за синдром на </w:t>
      </w:r>
      <w:r w:rsidRPr="006F413A">
        <w:rPr>
          <w:rFonts w:eastAsia="Times New Roman" w:cs="Arial"/>
          <w:color w:val="000000"/>
          <w:lang w:val="en-US"/>
        </w:rPr>
        <w:t>Stevens</w:t>
      </w:r>
      <w:r w:rsidRPr="006F413A">
        <w:rPr>
          <w:rFonts w:eastAsia="Times New Roman" w:cs="Arial"/>
          <w:color w:val="000000"/>
          <w:lang w:val="ru-RU"/>
        </w:rPr>
        <w:t>-</w:t>
      </w:r>
      <w:r w:rsidRPr="006F413A">
        <w:rPr>
          <w:rFonts w:eastAsia="Times New Roman" w:cs="Arial"/>
          <w:color w:val="000000"/>
          <w:lang w:val="en-US"/>
        </w:rPr>
        <w:t>Johnson</w:t>
      </w:r>
      <w:r w:rsidRPr="006F413A">
        <w:rPr>
          <w:rFonts w:eastAsia="Times New Roman" w:cs="Arial"/>
          <w:color w:val="000000"/>
          <w:lang w:val="ru-RU"/>
        </w:rPr>
        <w:t xml:space="preserve">, </w:t>
      </w:r>
      <w:r w:rsidRPr="006F413A">
        <w:rPr>
          <w:rFonts w:eastAsia="Times New Roman" w:cs="Arial"/>
          <w:color w:val="000000"/>
          <w:lang w:eastAsia="bg-BG"/>
        </w:rPr>
        <w:t>въпреки че реакциите може да се появят макар и много рядко.</w:t>
      </w:r>
    </w:p>
    <w:p w14:paraId="492E0E58" w14:textId="77777777" w:rsidR="006F413A" w:rsidRPr="006F413A" w:rsidRDefault="006F413A" w:rsidP="006F413A">
      <w:pPr>
        <w:spacing w:line="240" w:lineRule="auto"/>
        <w:rPr>
          <w:rFonts w:eastAsia="Times New Roman" w:cs="Arial"/>
          <w:color w:val="000000"/>
          <w:lang w:eastAsia="bg-BG"/>
        </w:rPr>
      </w:pPr>
    </w:p>
    <w:p w14:paraId="0FDDDDAF" w14:textId="3FCD7C80" w:rsidR="006F413A" w:rsidRPr="006F413A" w:rsidRDefault="006F413A" w:rsidP="006F413A">
      <w:pPr>
        <w:spacing w:line="240" w:lineRule="auto"/>
        <w:rPr>
          <w:rFonts w:eastAsia="Times New Roman" w:cs="Arial"/>
        </w:rPr>
      </w:pPr>
      <w:r w:rsidRPr="006F413A">
        <w:rPr>
          <w:rFonts w:eastAsia="Times New Roman" w:cs="Arial"/>
          <w:color w:val="000000"/>
          <w:lang w:eastAsia="bg-BG"/>
        </w:rPr>
        <w:t>Съществуват данни, които предполагат повишен риск от сериозни, свързани с карбамазепин ТЕН</w:t>
      </w:r>
      <w:r w:rsidRPr="006F413A">
        <w:rPr>
          <w:rFonts w:eastAsia="Times New Roman" w:cs="Arial"/>
          <w:color w:val="000000"/>
          <w:lang w:val="ru-RU"/>
        </w:rPr>
        <w:t>/</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в други популации от Азия. Поради превалиране на този алел в други азиатски популации (напр. повече от 15% във Филипините и Малайзия), може да се обмисли генетично изследване на рисковите популации за наличие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*1502.</w:t>
      </w:r>
    </w:p>
    <w:p w14:paraId="39EEA8EE" w14:textId="77777777" w:rsidR="006F413A" w:rsidRPr="006F413A" w:rsidRDefault="006F413A" w:rsidP="006F413A">
      <w:pPr>
        <w:spacing w:line="240" w:lineRule="auto"/>
        <w:rPr>
          <w:rFonts w:eastAsia="Times New Roman" w:cs="Arial"/>
          <w:color w:val="000000"/>
          <w:lang w:eastAsia="bg-BG"/>
        </w:rPr>
      </w:pPr>
    </w:p>
    <w:p w14:paraId="4D8E2BA2" w14:textId="06E929A1"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Честотата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 xml:space="preserve">* </w:t>
      </w:r>
      <w:r w:rsidRPr="006F413A">
        <w:rPr>
          <w:rFonts w:eastAsia="Times New Roman" w:cs="Arial"/>
          <w:color w:val="000000"/>
          <w:lang w:eastAsia="bg-BG"/>
        </w:rPr>
        <w:t>1502 алела е незначителна в Европа, Африка, Испания и Апония и Корея (&lt;1%).</w:t>
      </w:r>
    </w:p>
    <w:p w14:paraId="353E9D35" w14:textId="77777777" w:rsidR="006F413A" w:rsidRPr="006F413A" w:rsidRDefault="006F413A" w:rsidP="006F413A">
      <w:pPr>
        <w:spacing w:line="240" w:lineRule="auto"/>
        <w:rPr>
          <w:rFonts w:eastAsia="Times New Roman" w:cs="Arial"/>
          <w:i/>
          <w:iCs/>
          <w:color w:val="000000"/>
          <w:lang w:val="en-US"/>
        </w:rPr>
      </w:pPr>
    </w:p>
    <w:p w14:paraId="622CD45E" w14:textId="13D38915" w:rsidR="006F413A" w:rsidRPr="006F413A" w:rsidRDefault="006F413A" w:rsidP="006F413A">
      <w:pPr>
        <w:spacing w:line="240" w:lineRule="auto"/>
        <w:rPr>
          <w:rFonts w:eastAsia="Times New Roman" w:cs="Arial"/>
        </w:rPr>
      </w:pPr>
      <w:r w:rsidRPr="006F413A">
        <w:rPr>
          <w:rFonts w:eastAsia="Times New Roman" w:cs="Arial"/>
          <w:i/>
          <w:iCs/>
          <w:color w:val="000000"/>
          <w:lang w:val="en-US"/>
        </w:rPr>
        <w:t>HLA</w:t>
      </w:r>
      <w:r w:rsidRPr="006F413A">
        <w:rPr>
          <w:rFonts w:eastAsia="Times New Roman" w:cs="Arial"/>
          <w:i/>
          <w:iCs/>
          <w:color w:val="000000"/>
          <w:lang w:val="ru-RU"/>
        </w:rPr>
        <w:t>-</w:t>
      </w:r>
      <w:r w:rsidRPr="006F413A">
        <w:rPr>
          <w:rFonts w:eastAsia="Times New Roman" w:cs="Arial"/>
          <w:i/>
          <w:iCs/>
          <w:color w:val="000000"/>
          <w:lang w:val="en-US"/>
        </w:rPr>
        <w:t>B</w:t>
      </w:r>
      <w:r w:rsidRPr="006F413A">
        <w:rPr>
          <w:rFonts w:eastAsia="Times New Roman" w:cs="Arial"/>
          <w:i/>
          <w:iCs/>
          <w:color w:val="000000"/>
          <w:lang w:val="ru-RU"/>
        </w:rPr>
        <w:t xml:space="preserve">*3101 </w:t>
      </w:r>
      <w:r w:rsidRPr="006F413A">
        <w:rPr>
          <w:rFonts w:eastAsia="Times New Roman" w:cs="Arial"/>
          <w:i/>
          <w:iCs/>
          <w:color w:val="000000"/>
          <w:lang w:eastAsia="bg-BG"/>
        </w:rPr>
        <w:t>алел - европейско поколение и Японска популации</w:t>
      </w:r>
    </w:p>
    <w:p w14:paraId="6CDC174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lastRenderedPageBreak/>
        <w:t xml:space="preserve">Съществуват данни, които предполагат че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eastAsia="bg-BG"/>
        </w:rPr>
        <w:t xml:space="preserve">*3101 е асоцииран с повишен риск от поява на свързани с карбамазепин кожни нежелани лекарствени реакции, включващи </w:t>
      </w:r>
      <w:r w:rsidRPr="006F413A">
        <w:rPr>
          <w:rFonts w:eastAsia="Times New Roman" w:cs="Arial"/>
          <w:color w:val="000000"/>
          <w:lang w:val="en-US"/>
        </w:rPr>
        <w:t>SJS</w:t>
      </w:r>
      <w:r w:rsidRPr="006F413A">
        <w:rPr>
          <w:rFonts w:eastAsia="Times New Roman" w:cs="Arial"/>
          <w:color w:val="000000"/>
          <w:lang w:val="ru-RU"/>
        </w:rPr>
        <w:t xml:space="preserve">, </w:t>
      </w:r>
      <w:r w:rsidRPr="006F413A">
        <w:rPr>
          <w:rFonts w:eastAsia="Times New Roman" w:cs="Arial"/>
          <w:color w:val="000000"/>
          <w:lang w:eastAsia="bg-BG"/>
        </w:rPr>
        <w:t xml:space="preserve">ТЕН, лекарствен обрив с еозинофилия </w:t>
      </w:r>
      <w:r w:rsidRPr="006F413A">
        <w:rPr>
          <w:rFonts w:eastAsia="Times New Roman" w:cs="Arial"/>
          <w:color w:val="000000"/>
          <w:lang w:val="ru-RU"/>
        </w:rPr>
        <w:t>(</w:t>
      </w:r>
      <w:r w:rsidRPr="006F413A">
        <w:rPr>
          <w:rFonts w:eastAsia="Times New Roman" w:cs="Arial"/>
          <w:color w:val="000000"/>
          <w:lang w:val="en-US"/>
        </w:rPr>
        <w:t>Drug</w:t>
      </w:r>
      <w:r w:rsidRPr="006F413A">
        <w:rPr>
          <w:rFonts w:eastAsia="Times New Roman" w:cs="Arial"/>
          <w:color w:val="000000"/>
          <w:lang w:val="ru-RU"/>
        </w:rPr>
        <w:t xml:space="preserve"> </w:t>
      </w:r>
      <w:r w:rsidRPr="006F413A">
        <w:rPr>
          <w:rFonts w:eastAsia="Times New Roman" w:cs="Arial"/>
          <w:color w:val="000000"/>
          <w:lang w:val="en-US"/>
        </w:rPr>
        <w:t>rash</w:t>
      </w:r>
      <w:r w:rsidRPr="006F413A">
        <w:rPr>
          <w:rFonts w:eastAsia="Times New Roman" w:cs="Arial"/>
          <w:color w:val="000000"/>
          <w:lang w:val="ru-RU"/>
        </w:rPr>
        <w:t xml:space="preserve"> </w:t>
      </w:r>
      <w:r w:rsidRPr="006F413A">
        <w:rPr>
          <w:rFonts w:eastAsia="Times New Roman" w:cs="Arial"/>
          <w:color w:val="000000"/>
          <w:lang w:val="en-US"/>
        </w:rPr>
        <w:t>with</w:t>
      </w:r>
      <w:r w:rsidRPr="006F413A">
        <w:rPr>
          <w:rFonts w:eastAsia="Times New Roman" w:cs="Arial"/>
          <w:color w:val="000000"/>
          <w:lang w:val="ru-RU"/>
        </w:rPr>
        <w:t xml:space="preserve"> </w:t>
      </w:r>
      <w:r w:rsidRPr="006F413A">
        <w:rPr>
          <w:rFonts w:eastAsia="Times New Roman" w:cs="Arial"/>
          <w:color w:val="000000"/>
          <w:lang w:val="en-US"/>
        </w:rPr>
        <w:t>eosinophilia</w:t>
      </w:r>
      <w:r w:rsidRPr="006F413A">
        <w:rPr>
          <w:rFonts w:eastAsia="Times New Roman" w:cs="Arial"/>
          <w:color w:val="000000"/>
          <w:lang w:val="ru-RU"/>
        </w:rPr>
        <w:t xml:space="preserve"> (</w:t>
      </w:r>
      <w:r w:rsidRPr="006F413A">
        <w:rPr>
          <w:rFonts w:eastAsia="Times New Roman" w:cs="Arial"/>
          <w:color w:val="000000"/>
          <w:lang w:val="en-US"/>
        </w:rPr>
        <w:t>DRESS</w:t>
      </w:r>
      <w:r w:rsidRPr="006F413A">
        <w:rPr>
          <w:rFonts w:eastAsia="Times New Roman" w:cs="Arial"/>
          <w:color w:val="000000"/>
          <w:lang w:val="ru-RU"/>
        </w:rPr>
        <w:t xml:space="preserve">)) </w:t>
      </w:r>
      <w:r w:rsidRPr="006F413A">
        <w:rPr>
          <w:rFonts w:eastAsia="Times New Roman" w:cs="Arial"/>
          <w:color w:val="000000"/>
          <w:lang w:eastAsia="bg-BG"/>
        </w:rPr>
        <w:t xml:space="preserve">или по-малко тежка остра генерализирана екзантематозна пустулоза </w:t>
      </w:r>
      <w:r w:rsidRPr="006F413A">
        <w:rPr>
          <w:rFonts w:eastAsia="Times New Roman" w:cs="Arial"/>
          <w:color w:val="000000"/>
          <w:lang w:val="ru-RU"/>
        </w:rPr>
        <w:t>(</w:t>
      </w:r>
      <w:r w:rsidRPr="006F413A">
        <w:rPr>
          <w:rFonts w:eastAsia="Times New Roman" w:cs="Arial"/>
          <w:color w:val="000000"/>
          <w:lang w:val="en-US"/>
        </w:rPr>
        <w:t>AGEP</w:t>
      </w:r>
      <w:r w:rsidRPr="006F413A">
        <w:rPr>
          <w:rFonts w:eastAsia="Times New Roman" w:cs="Arial"/>
          <w:color w:val="000000"/>
          <w:lang w:val="ru-RU"/>
        </w:rPr>
        <w:t xml:space="preserve">) </w:t>
      </w:r>
      <w:r w:rsidRPr="006F413A">
        <w:rPr>
          <w:rFonts w:eastAsia="Times New Roman" w:cs="Arial"/>
          <w:color w:val="000000"/>
          <w:lang w:eastAsia="bg-BG"/>
        </w:rPr>
        <w:t>и макулопапулозен обрив (вж. точка 4.8) при хора от европейско поколение и японци.</w:t>
      </w:r>
    </w:p>
    <w:p w14:paraId="53662750" w14:textId="77777777" w:rsidR="006F413A" w:rsidRPr="006F413A" w:rsidRDefault="006F413A" w:rsidP="006F413A">
      <w:pPr>
        <w:spacing w:line="240" w:lineRule="auto"/>
        <w:rPr>
          <w:rFonts w:eastAsia="Times New Roman" w:cs="Arial"/>
          <w:color w:val="000000"/>
          <w:lang w:eastAsia="bg-BG"/>
        </w:rPr>
      </w:pPr>
    </w:p>
    <w:p w14:paraId="5275E5AB" w14:textId="3898A7B2"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Честотата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*3</w:t>
      </w:r>
      <w:r w:rsidRPr="006F413A">
        <w:rPr>
          <w:rFonts w:eastAsia="Times New Roman" w:cs="Arial"/>
          <w:color w:val="000000"/>
          <w:lang w:eastAsia="bg-BG"/>
        </w:rPr>
        <w:t xml:space="preserve">101 алела варира широко между отделните етнически популации.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*3</w:t>
      </w:r>
      <w:r w:rsidRPr="006F413A">
        <w:rPr>
          <w:rFonts w:eastAsia="Times New Roman" w:cs="Arial"/>
          <w:color w:val="000000"/>
          <w:lang w:eastAsia="bg-BG"/>
        </w:rPr>
        <w:t>101 алела има честота от 2 до 5% в европейската популация и около 10% в японската популация.</w:t>
      </w:r>
    </w:p>
    <w:p w14:paraId="3090A863" w14:textId="77777777" w:rsidR="006F413A" w:rsidRPr="006F413A" w:rsidRDefault="006F413A" w:rsidP="006F413A">
      <w:pPr>
        <w:spacing w:line="240" w:lineRule="auto"/>
        <w:rPr>
          <w:rFonts w:eastAsia="Times New Roman" w:cs="Arial"/>
          <w:color w:val="000000"/>
          <w:lang w:eastAsia="bg-BG"/>
        </w:rPr>
      </w:pPr>
    </w:p>
    <w:p w14:paraId="0FF8BA19" w14:textId="22746708" w:rsidR="006F413A" w:rsidRPr="006F413A" w:rsidRDefault="006F413A" w:rsidP="006F413A">
      <w:pPr>
        <w:spacing w:line="240" w:lineRule="auto"/>
        <w:rPr>
          <w:rFonts w:eastAsia="Times New Roman" w:cs="Arial"/>
          <w:color w:val="000000"/>
          <w:lang w:val="ru-RU" w:eastAsia="bg-BG"/>
        </w:rPr>
      </w:pPr>
      <w:r w:rsidRPr="006F413A">
        <w:rPr>
          <w:rFonts w:eastAsia="Times New Roman" w:cs="Arial"/>
          <w:color w:val="000000"/>
          <w:lang w:eastAsia="bg-BG"/>
        </w:rPr>
        <w:t xml:space="preserve">Наличието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*3</w:t>
      </w:r>
      <w:r w:rsidRPr="006F413A">
        <w:rPr>
          <w:rFonts w:eastAsia="Times New Roman" w:cs="Arial"/>
          <w:color w:val="000000"/>
          <w:lang w:eastAsia="bg-BG"/>
        </w:rPr>
        <w:t>101 алела може да повиши риска от свързани с карбамазепин кожни реакции (предимно не много тежки) с 5,0% в общата популация до 26,0% сред индивиди е европейски произход, докато неговото отсъствие може да намали риска от 5,0% на 3,8%</w:t>
      </w:r>
      <w:r w:rsidRPr="006F413A">
        <w:rPr>
          <w:rFonts w:eastAsia="Times New Roman" w:cs="Arial"/>
          <w:color w:val="000000"/>
          <w:lang w:val="ru-RU" w:eastAsia="bg-BG"/>
        </w:rPr>
        <w:t>.</w:t>
      </w:r>
    </w:p>
    <w:p w14:paraId="66A15F8B" w14:textId="57DB35D4" w:rsidR="006F413A" w:rsidRPr="006F413A" w:rsidRDefault="006F413A" w:rsidP="006F413A">
      <w:pPr>
        <w:spacing w:line="240" w:lineRule="auto"/>
        <w:rPr>
          <w:rFonts w:eastAsia="Times New Roman" w:cs="Arial"/>
          <w:color w:val="000000"/>
          <w:lang w:val="ru-RU" w:eastAsia="bg-BG"/>
        </w:rPr>
      </w:pPr>
    </w:p>
    <w:p w14:paraId="4D00A5B4"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Данните, които подкрепят препоръката за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val="ru-RU"/>
        </w:rPr>
        <w:t xml:space="preserve">*3101 </w:t>
      </w:r>
      <w:r w:rsidRPr="006F413A">
        <w:rPr>
          <w:rFonts w:eastAsia="Times New Roman" w:cs="Arial"/>
          <w:color w:val="000000"/>
          <w:lang w:eastAsia="bg-BG"/>
        </w:rPr>
        <w:t>скрининг преди започване на лечение с карбамазепин са недостатъчни.</w:t>
      </w:r>
    </w:p>
    <w:p w14:paraId="0CD93C80" w14:textId="77777777" w:rsidR="006F413A" w:rsidRPr="006F413A" w:rsidRDefault="006F413A" w:rsidP="006F413A">
      <w:pPr>
        <w:spacing w:line="240" w:lineRule="auto"/>
        <w:rPr>
          <w:rFonts w:eastAsia="Times New Roman" w:cs="Arial"/>
          <w:i/>
          <w:iCs/>
          <w:color w:val="000000"/>
          <w:lang w:eastAsia="bg-BG"/>
        </w:rPr>
      </w:pPr>
    </w:p>
    <w:p w14:paraId="2CE1BC70" w14:textId="5E4B611B" w:rsidR="006F413A" w:rsidRPr="006F413A" w:rsidRDefault="006F413A" w:rsidP="006F413A">
      <w:pPr>
        <w:spacing w:line="240" w:lineRule="auto"/>
        <w:rPr>
          <w:rFonts w:eastAsia="Times New Roman" w:cs="Arial"/>
        </w:rPr>
      </w:pPr>
      <w:r w:rsidRPr="006F413A">
        <w:rPr>
          <w:rFonts w:eastAsia="Times New Roman" w:cs="Arial"/>
          <w:i/>
          <w:iCs/>
          <w:color w:val="000000"/>
          <w:lang w:eastAsia="bg-BG"/>
        </w:rPr>
        <w:t>При</w:t>
      </w:r>
      <w:r w:rsidRPr="006F413A">
        <w:rPr>
          <w:rFonts w:eastAsia="Times New Roman" w:cs="Arial"/>
          <w:color w:val="000000"/>
          <w:lang w:eastAsia="bg-BG"/>
        </w:rPr>
        <w:t xml:space="preserve"> пациенти от европейско поколение или японски произход е известно че при наличие на </w:t>
      </w:r>
      <w:r w:rsidRPr="006F413A">
        <w:rPr>
          <w:rFonts w:eastAsia="Times New Roman" w:cs="Arial"/>
          <w:color w:val="000000"/>
          <w:lang w:val="en-US"/>
        </w:rPr>
        <w:t>HLA</w:t>
      </w:r>
      <w:r w:rsidRPr="006F413A">
        <w:rPr>
          <w:rFonts w:eastAsia="Times New Roman" w:cs="Arial"/>
          <w:color w:val="000000"/>
          <w:lang w:val="ru-RU"/>
        </w:rPr>
        <w:t>-</w:t>
      </w:r>
      <w:r w:rsidRPr="006F413A">
        <w:rPr>
          <w:rFonts w:eastAsia="Times New Roman" w:cs="Arial"/>
          <w:color w:val="000000"/>
          <w:lang w:val="en-US"/>
        </w:rPr>
        <w:t>B</w:t>
      </w:r>
      <w:r w:rsidRPr="006F413A">
        <w:rPr>
          <w:rFonts w:eastAsia="Times New Roman" w:cs="Arial"/>
          <w:color w:val="000000"/>
          <w:lang w:eastAsia="bg-BG"/>
        </w:rPr>
        <w:t>*3101 алела, употребата на карбамазепин може да се обсъди относно нова дали ползата надвишава риска.</w:t>
      </w:r>
    </w:p>
    <w:p w14:paraId="6FA4037C" w14:textId="77777777" w:rsidR="006F413A" w:rsidRPr="006F413A" w:rsidRDefault="006F413A" w:rsidP="006F413A">
      <w:pPr>
        <w:spacing w:line="240" w:lineRule="auto"/>
        <w:rPr>
          <w:rFonts w:eastAsia="Times New Roman" w:cs="Arial"/>
          <w:color w:val="000000"/>
          <w:lang w:eastAsia="bg-BG"/>
        </w:rPr>
      </w:pPr>
    </w:p>
    <w:p w14:paraId="6B06EA8E" w14:textId="04F2BF5D" w:rsidR="006F413A" w:rsidRPr="006F413A" w:rsidRDefault="006F413A" w:rsidP="006F413A">
      <w:pPr>
        <w:spacing w:line="240" w:lineRule="auto"/>
        <w:rPr>
          <w:rFonts w:eastAsia="Times New Roman" w:cs="Arial"/>
        </w:rPr>
      </w:pPr>
      <w:r w:rsidRPr="006F413A">
        <w:rPr>
          <w:rFonts w:eastAsia="Times New Roman" w:cs="Arial"/>
          <w:color w:val="000000"/>
          <w:lang w:eastAsia="bg-BG"/>
        </w:rPr>
        <w:t>Леките кожни реакции, напр. изолиран макулозен или макулопапулозен екзантем са най-често преходни и не са опасни, те обикновено изчезват в рамките на няколко дни или седмици, или в хода на продължаващото лечение, или след понижаване на дозата; все пак пациентите трябва да бъдат под непосредствено наблюдение, като влошаване на обрива или поява на съпътстващи симптоми са индикация за незабавно спиране употребата на карбамазепин.</w:t>
      </w:r>
    </w:p>
    <w:p w14:paraId="210CA09A" w14:textId="77777777" w:rsidR="006F413A" w:rsidRPr="006F413A" w:rsidRDefault="006F413A" w:rsidP="006F413A">
      <w:pPr>
        <w:spacing w:line="240" w:lineRule="auto"/>
        <w:rPr>
          <w:rFonts w:eastAsia="Times New Roman" w:cs="Arial"/>
          <w:color w:val="000000"/>
          <w:lang w:eastAsia="bg-BG"/>
        </w:rPr>
      </w:pPr>
    </w:p>
    <w:p w14:paraId="03612993" w14:textId="0226AECD"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може да отключи реакции на свръхчувствителност, включително мултиорганна свръхчувствителност, която да засегне кожата, черния дроб, хемопоезата и лимфната система или други органи поотделно, или едновременно в контекста на системна реакция (вж. точка 4.8). Пациентите, които получат реакции на свръхчувствителност към карбамазепин, трябва да бъдат информирани, че приблизително 25 до 30% от тези пациенти може да получат реакция на свръхчувствителност към окскарбазепин.</w:t>
      </w:r>
    </w:p>
    <w:p w14:paraId="418493BD"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Възможно е да се проявят реакции на кръстосана реактивност между карбамазепин и фенитоин.</w:t>
      </w:r>
    </w:p>
    <w:p w14:paraId="6EA9C0A3" w14:textId="77777777" w:rsidR="006F413A" w:rsidRPr="006F413A" w:rsidRDefault="006F413A" w:rsidP="006F413A">
      <w:pPr>
        <w:spacing w:line="240" w:lineRule="auto"/>
        <w:rPr>
          <w:rFonts w:eastAsia="Times New Roman" w:cs="Arial"/>
          <w:color w:val="000000"/>
          <w:lang w:eastAsia="bg-BG"/>
        </w:rPr>
      </w:pPr>
    </w:p>
    <w:p w14:paraId="1624A15D" w14:textId="7C79FB4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Като цяло при съмнение за развитие на признаци и симптоми на реакции на свръхчувствителност, приложението на карбамазепин трябва да бъде прекратено веднага.</w:t>
      </w:r>
    </w:p>
    <w:p w14:paraId="312F2250" w14:textId="77777777" w:rsidR="006F413A" w:rsidRPr="006F413A" w:rsidRDefault="006F413A" w:rsidP="006F413A">
      <w:pPr>
        <w:spacing w:line="240" w:lineRule="auto"/>
        <w:rPr>
          <w:rFonts w:eastAsia="Times New Roman" w:cs="Arial"/>
          <w:color w:val="000000"/>
          <w:lang w:eastAsia="bg-BG"/>
        </w:rPr>
      </w:pPr>
    </w:p>
    <w:p w14:paraId="77D4E2B0" w14:textId="3D09848E" w:rsidR="006F413A" w:rsidRPr="006F413A" w:rsidRDefault="006F413A" w:rsidP="006F413A">
      <w:pPr>
        <w:spacing w:line="240" w:lineRule="auto"/>
        <w:rPr>
          <w:rFonts w:eastAsia="Times New Roman" w:cs="Arial"/>
          <w:color w:val="000000"/>
          <w:lang w:eastAsia="bg-BG"/>
        </w:rPr>
      </w:pPr>
      <w:r w:rsidRPr="006F413A">
        <w:rPr>
          <w:rFonts w:eastAsia="Times New Roman" w:cs="Arial"/>
          <w:color w:val="000000"/>
          <w:lang w:eastAsia="bg-BG"/>
        </w:rPr>
        <w:t xml:space="preserve">Трябва да се обърне внимание на пациентите, че при симптоми на чернодробно увреждане като вялост, </w:t>
      </w:r>
    </w:p>
    <w:p w14:paraId="164F2F40" w14:textId="01501226" w:rsidR="006F413A" w:rsidRPr="006F413A" w:rsidRDefault="006F413A" w:rsidP="006F413A">
      <w:pPr>
        <w:spacing w:line="240" w:lineRule="auto"/>
        <w:rPr>
          <w:rFonts w:eastAsia="Times New Roman" w:cs="Arial"/>
        </w:rPr>
      </w:pPr>
      <w:r w:rsidRPr="006F413A">
        <w:rPr>
          <w:rFonts w:eastAsia="Times New Roman" w:cs="Arial"/>
          <w:color w:val="000000"/>
          <w:lang w:eastAsia="bg-BG"/>
        </w:rPr>
        <w:t>загуба на апетит, гадене, пожълтяване на кожата, уголемяване на черния дроб, трябва незабавно да се потърси лекарска помощ.</w:t>
      </w:r>
    </w:p>
    <w:p w14:paraId="6B3FFDA6" w14:textId="77777777" w:rsidR="006F413A" w:rsidRPr="006F413A" w:rsidRDefault="006F413A" w:rsidP="006F413A">
      <w:pPr>
        <w:spacing w:line="240" w:lineRule="auto"/>
        <w:rPr>
          <w:rFonts w:eastAsia="Times New Roman" w:cs="Arial"/>
          <w:color w:val="000000"/>
          <w:lang w:eastAsia="bg-BG"/>
        </w:rPr>
      </w:pPr>
    </w:p>
    <w:p w14:paraId="76D46225" w14:textId="78443206" w:rsidR="006F413A" w:rsidRPr="006F413A" w:rsidRDefault="006F413A" w:rsidP="006F413A">
      <w:pPr>
        <w:spacing w:line="240" w:lineRule="auto"/>
        <w:rPr>
          <w:rFonts w:eastAsia="Times New Roman" w:cs="Arial"/>
        </w:rPr>
      </w:pPr>
      <w:r w:rsidRPr="006F413A">
        <w:rPr>
          <w:rFonts w:eastAsia="Times New Roman" w:cs="Arial"/>
          <w:color w:val="000000"/>
          <w:lang w:eastAsia="bg-BG"/>
        </w:rPr>
        <w:t>По време на лечението с карбамазепин, пациентите трябва да избягват прекомерно излагане на слънчева светлина, поради опасност от възникване на фоточувствителност.</w:t>
      </w:r>
    </w:p>
    <w:p w14:paraId="49973B19" w14:textId="77777777" w:rsidR="006F413A" w:rsidRPr="006F413A" w:rsidRDefault="006F413A" w:rsidP="006F413A">
      <w:pPr>
        <w:spacing w:line="240" w:lineRule="auto"/>
        <w:rPr>
          <w:rFonts w:eastAsia="Times New Roman" w:cs="Arial"/>
          <w:color w:val="000000"/>
          <w:lang w:eastAsia="bg-BG"/>
        </w:rPr>
      </w:pPr>
    </w:p>
    <w:p w14:paraId="4CC6129D" w14:textId="10F2B1AF" w:rsidR="006F413A" w:rsidRPr="006F413A" w:rsidRDefault="006F413A" w:rsidP="006F413A">
      <w:pPr>
        <w:spacing w:line="240" w:lineRule="auto"/>
        <w:rPr>
          <w:rFonts w:eastAsia="Times New Roman" w:cs="Arial"/>
        </w:rPr>
      </w:pPr>
      <w:r w:rsidRPr="006F413A">
        <w:rPr>
          <w:rFonts w:eastAsia="Times New Roman" w:cs="Arial"/>
          <w:color w:val="000000"/>
          <w:lang w:eastAsia="bg-BG"/>
        </w:rPr>
        <w:lastRenderedPageBreak/>
        <w:t xml:space="preserve">Карбамазепин трябва да се използва предпазливо при пациенти със смесени припадъци, които </w:t>
      </w:r>
      <w:r w:rsidRPr="006F413A">
        <w:rPr>
          <w:rFonts w:eastAsia="Times New Roman" w:cs="Arial"/>
          <w:i/>
          <w:iCs/>
          <w:color w:val="000000"/>
          <w:lang w:eastAsia="bg-BG"/>
        </w:rPr>
        <w:t>включват</w:t>
      </w:r>
      <w:r w:rsidRPr="006F413A">
        <w:rPr>
          <w:rFonts w:eastAsia="Times New Roman" w:cs="Arial"/>
          <w:color w:val="000000"/>
          <w:lang w:eastAsia="bg-BG"/>
        </w:rPr>
        <w:t xml:space="preserve"> абсанси, типични или атипични. Във всички тези състояния карбамазепин може да влоши гърчовата симптоматика. При влошаване на състоянието, употребата на карбамазепин трябва да бъде прекратена.</w:t>
      </w:r>
    </w:p>
    <w:p w14:paraId="5BF9848C" w14:textId="77777777" w:rsidR="006F413A" w:rsidRPr="006F413A" w:rsidRDefault="006F413A" w:rsidP="006F413A">
      <w:pPr>
        <w:spacing w:line="240" w:lineRule="auto"/>
        <w:rPr>
          <w:rFonts w:eastAsia="Times New Roman" w:cs="Arial"/>
          <w:color w:val="000000"/>
          <w:lang w:eastAsia="bg-BG"/>
        </w:rPr>
      </w:pPr>
    </w:p>
    <w:p w14:paraId="65C4DD89" w14:textId="49C31495"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При преминаване от форма за перорално приложение към супозитории е възможно повишаване честота на гърчовете.</w:t>
      </w:r>
    </w:p>
    <w:p w14:paraId="6A11B57A" w14:textId="77777777" w:rsidR="006F413A" w:rsidRPr="006F413A" w:rsidRDefault="006F413A" w:rsidP="006F413A">
      <w:pPr>
        <w:spacing w:line="240" w:lineRule="auto"/>
        <w:rPr>
          <w:rFonts w:eastAsia="Times New Roman" w:cs="Arial"/>
          <w:color w:val="000000"/>
          <w:lang w:eastAsia="bg-BG"/>
        </w:rPr>
      </w:pPr>
    </w:p>
    <w:p w14:paraId="7AA5C5AD" w14:textId="77777777" w:rsidR="006F413A" w:rsidRPr="006F413A" w:rsidRDefault="006F413A" w:rsidP="006F413A">
      <w:pPr>
        <w:spacing w:line="240" w:lineRule="auto"/>
        <w:rPr>
          <w:rFonts w:eastAsia="Times New Roman" w:cs="Arial"/>
          <w:color w:val="000000"/>
          <w:lang w:eastAsia="bg-BG"/>
        </w:rPr>
      </w:pPr>
      <w:r w:rsidRPr="006F413A">
        <w:rPr>
          <w:rFonts w:eastAsia="Times New Roman" w:cs="Arial"/>
          <w:color w:val="000000"/>
          <w:lang w:eastAsia="bg-BG"/>
        </w:rPr>
        <w:t xml:space="preserve">Преди започване на лечението и периодично в хода на терапията трябва да се извършва изследване на чернодробните показатели, особено при пациенти с анамнеза за чернодробно заболяване и такива в старческа възраст. При влошаване на чернодробната функция или остро чернодробно заболяване, </w:t>
      </w:r>
    </w:p>
    <w:p w14:paraId="4C73BC11" w14:textId="446BE7BB" w:rsidR="006F413A" w:rsidRPr="006F413A" w:rsidRDefault="006F413A" w:rsidP="006F413A">
      <w:pPr>
        <w:spacing w:line="240" w:lineRule="auto"/>
        <w:rPr>
          <w:rFonts w:eastAsia="Times New Roman" w:cs="Arial"/>
        </w:rPr>
      </w:pPr>
      <w:r w:rsidRPr="006F413A">
        <w:rPr>
          <w:rFonts w:eastAsia="Times New Roman" w:cs="Arial"/>
          <w:color w:val="000000"/>
          <w:lang w:eastAsia="bg-BG"/>
        </w:rPr>
        <w:t>употребата на карбамазепин трябва да бъде незабавно прекратена.</w:t>
      </w:r>
    </w:p>
    <w:p w14:paraId="65BACFEB" w14:textId="77777777" w:rsidR="006F413A" w:rsidRPr="006F413A" w:rsidRDefault="006F413A" w:rsidP="006F413A">
      <w:pPr>
        <w:spacing w:line="240" w:lineRule="auto"/>
        <w:rPr>
          <w:rFonts w:eastAsia="Times New Roman" w:cs="Arial"/>
          <w:color w:val="000000"/>
          <w:lang w:eastAsia="bg-BG"/>
        </w:rPr>
      </w:pPr>
    </w:p>
    <w:p w14:paraId="0F02B637" w14:textId="449D6865"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Препоръчва се определянето нивото на урея в кръвта първоначално и след това периодично изследване на урината.</w:t>
      </w:r>
    </w:p>
    <w:p w14:paraId="5BD82309" w14:textId="77777777" w:rsidR="006F413A" w:rsidRPr="006F413A" w:rsidRDefault="006F413A" w:rsidP="006F413A">
      <w:pPr>
        <w:spacing w:line="240" w:lineRule="auto"/>
        <w:rPr>
          <w:rFonts w:eastAsia="Times New Roman" w:cs="Arial"/>
          <w:color w:val="000000"/>
          <w:lang w:eastAsia="bg-BG"/>
        </w:rPr>
      </w:pPr>
    </w:p>
    <w:p w14:paraId="76150DE1" w14:textId="4AC7536C"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е показал лека антихолинергична активност; пациенти с повишено вътреочно</w:t>
      </w:r>
      <w:r w:rsidRPr="006F413A">
        <w:rPr>
          <w:rFonts w:eastAsia="Times New Roman" w:cs="Arial"/>
          <w:color w:val="000000"/>
          <w:u w:val="single"/>
          <w:lang w:eastAsia="bg-BG"/>
        </w:rPr>
        <w:t xml:space="preserve"> </w:t>
      </w:r>
      <w:r w:rsidRPr="006F413A">
        <w:rPr>
          <w:rFonts w:eastAsia="Times New Roman" w:cs="Arial"/>
          <w:color w:val="000000"/>
          <w:lang w:eastAsia="bg-BG"/>
        </w:rPr>
        <w:t>налягане трябва да бъдат предупредени относно възможна опасност.</w:t>
      </w:r>
    </w:p>
    <w:p w14:paraId="576159D1" w14:textId="77777777" w:rsidR="006F413A" w:rsidRPr="006F413A" w:rsidRDefault="006F413A" w:rsidP="006F413A">
      <w:pPr>
        <w:spacing w:line="240" w:lineRule="auto"/>
        <w:rPr>
          <w:rFonts w:eastAsia="Times New Roman" w:cs="Arial"/>
          <w:color w:val="000000"/>
          <w:lang w:eastAsia="bg-BG"/>
        </w:rPr>
      </w:pPr>
    </w:p>
    <w:p w14:paraId="4730516A" w14:textId="77777777" w:rsidR="006F413A" w:rsidRPr="006F413A" w:rsidRDefault="006F413A" w:rsidP="006F413A">
      <w:pPr>
        <w:rPr>
          <w:rFonts w:eastAsia="Times New Roman" w:cs="Arial"/>
        </w:rPr>
      </w:pPr>
      <w:r w:rsidRPr="006F413A">
        <w:rPr>
          <w:rFonts w:eastAsia="Times New Roman" w:cs="Arial"/>
          <w:color w:val="000000"/>
          <w:lang w:eastAsia="bg-BG"/>
        </w:rPr>
        <w:t>При пациенти лекувани с антиепилептични лекарства (АЕЛ) по различни показания са съобщавани суицидна идеация и поведение. Мета анализ на рандомизирани, плацебо контролирани проучвания</w:t>
      </w:r>
      <w:r w:rsidRPr="006F413A">
        <w:rPr>
          <w:rFonts w:eastAsia="Times New Roman" w:cs="Arial"/>
          <w:color w:val="000000"/>
          <w:lang w:val="ru-RU" w:eastAsia="bg-BG"/>
        </w:rPr>
        <w:t xml:space="preserve"> </w:t>
      </w:r>
      <w:r w:rsidRPr="006F413A">
        <w:rPr>
          <w:rFonts w:eastAsia="Times New Roman" w:cs="Arial"/>
          <w:color w:val="000000"/>
          <w:lang w:eastAsia="bg-BG"/>
        </w:rPr>
        <w:t>на АЕЛ също показва малък, но повишен риск от суицидна идеация и поведение. Механизмът на този риск не е ясен и наличните данни не изключват възможността за повишен риск при карбамазепин. Затова пациентите трябва да бъдат проследявани за признаци на суицидна идеация и поведение и трябва да се предприеме съответното лечение. Пациентите (и хората, които се грижат за тях) трябва да бъдат посъветвани да потърсят лекарска помощ, в случай че се появят признаци на суицидна идеация и поведение.</w:t>
      </w:r>
    </w:p>
    <w:p w14:paraId="2C963A30" w14:textId="77777777" w:rsidR="006F413A" w:rsidRPr="006F413A" w:rsidRDefault="006F413A" w:rsidP="006F413A">
      <w:pPr>
        <w:spacing w:line="240" w:lineRule="auto"/>
        <w:rPr>
          <w:rFonts w:eastAsia="Times New Roman" w:cs="Arial"/>
          <w:color w:val="000000"/>
          <w:lang w:eastAsia="bg-BG"/>
        </w:rPr>
      </w:pPr>
    </w:p>
    <w:p w14:paraId="23B0351D" w14:textId="6004A0B5" w:rsidR="006F413A" w:rsidRPr="006F413A" w:rsidRDefault="006F413A" w:rsidP="006F413A">
      <w:pPr>
        <w:spacing w:line="240" w:lineRule="auto"/>
        <w:rPr>
          <w:rFonts w:eastAsia="Times New Roman" w:cs="Arial"/>
        </w:rPr>
      </w:pPr>
      <w:r w:rsidRPr="006F413A">
        <w:rPr>
          <w:rFonts w:eastAsia="Times New Roman" w:cs="Arial"/>
          <w:color w:val="000000"/>
          <w:lang w:eastAsia="bg-BG"/>
        </w:rPr>
        <w:t>Трябва да се има предвид вероятността от активиране на латентна психоза, а при пациенти в старческа възраст - състояние на обърканост или ажитация.</w:t>
      </w:r>
    </w:p>
    <w:p w14:paraId="1AA1CBA9" w14:textId="77777777" w:rsidR="006F413A" w:rsidRPr="006F413A" w:rsidRDefault="006F413A" w:rsidP="006F413A">
      <w:pPr>
        <w:spacing w:line="240" w:lineRule="auto"/>
        <w:rPr>
          <w:rFonts w:eastAsia="Times New Roman" w:cs="Arial"/>
          <w:color w:val="000000"/>
          <w:lang w:eastAsia="bg-BG"/>
        </w:rPr>
      </w:pPr>
    </w:p>
    <w:p w14:paraId="39F258B3" w14:textId="1A4315A3" w:rsidR="006F413A" w:rsidRPr="006F413A" w:rsidRDefault="006F413A" w:rsidP="006F413A">
      <w:pPr>
        <w:spacing w:line="240" w:lineRule="auto"/>
        <w:rPr>
          <w:rFonts w:eastAsia="Times New Roman" w:cs="Arial"/>
        </w:rPr>
      </w:pPr>
      <w:r w:rsidRPr="006F413A">
        <w:rPr>
          <w:rFonts w:eastAsia="Times New Roman" w:cs="Arial"/>
          <w:color w:val="000000"/>
          <w:lang w:eastAsia="bg-BG"/>
        </w:rPr>
        <w:t>Вследствие на чернодробна ензимна индукция, карбамазепин може да доведе до непълен терапевтичен ефект на естроген и/или прогестаген-съдържащи лекарствени продукти. Това може да е причина за неефективна контрацепция, рецидив на симптомите или пробивно кървене или зацапване.</w:t>
      </w:r>
    </w:p>
    <w:p w14:paraId="2141A99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Пациентите, които приемат карбамазепин и се нуждаят от перорална контрацепция, трябва до използват продукти, съдържащи по-малко от 50 микрограма естроген или да потърсят алтернативни нехормонални методи за контрацепция.</w:t>
      </w:r>
    </w:p>
    <w:p w14:paraId="6D79514D" w14:textId="77777777" w:rsidR="006F413A" w:rsidRPr="006F413A" w:rsidRDefault="006F413A" w:rsidP="006F413A">
      <w:pPr>
        <w:spacing w:line="240" w:lineRule="auto"/>
        <w:rPr>
          <w:rFonts w:eastAsia="Times New Roman" w:cs="Arial"/>
          <w:color w:val="000000"/>
          <w:lang w:eastAsia="bg-BG"/>
        </w:rPr>
      </w:pPr>
    </w:p>
    <w:p w14:paraId="6F13C22C" w14:textId="4C0EC3C6" w:rsidR="006F413A" w:rsidRPr="006F413A" w:rsidRDefault="006F413A" w:rsidP="006F413A">
      <w:pPr>
        <w:spacing w:line="240" w:lineRule="auto"/>
        <w:rPr>
          <w:rFonts w:eastAsia="Times New Roman" w:cs="Arial"/>
        </w:rPr>
      </w:pPr>
      <w:r w:rsidRPr="006F413A">
        <w:rPr>
          <w:rFonts w:eastAsia="Times New Roman" w:cs="Arial"/>
          <w:color w:val="000000"/>
          <w:lang w:eastAsia="bg-BG"/>
        </w:rPr>
        <w:t>Въпреки че корелацията между дозировка и плазмените нива на карбамазепин и между плазмените нива и клинична ефикасност или поносимост са твърде недостатъчни, мониторирането на плазмените нива може да е от полза при следните ситуации: драматично повишаване честотата на гърчовете/верификация на комплаянса на пациента; по време на бременност; при лечение на деца или юноши; при съмнение за нарушения на абсорбцията; при съмнение за токсичност когато се използва повече от едно лекарство (вж. точка 4.5).</w:t>
      </w:r>
    </w:p>
    <w:p w14:paraId="0B818B5B" w14:textId="77777777" w:rsidR="006F413A" w:rsidRPr="006F413A" w:rsidRDefault="006F413A" w:rsidP="006F413A">
      <w:pPr>
        <w:spacing w:line="240" w:lineRule="auto"/>
        <w:rPr>
          <w:rFonts w:eastAsia="Times New Roman" w:cs="Arial"/>
          <w:color w:val="000000"/>
          <w:lang w:eastAsia="bg-BG"/>
        </w:rPr>
      </w:pPr>
    </w:p>
    <w:p w14:paraId="640CF44A" w14:textId="6230F706" w:rsidR="006F413A" w:rsidRPr="006F413A" w:rsidRDefault="006F413A" w:rsidP="006F413A">
      <w:pPr>
        <w:spacing w:line="240" w:lineRule="auto"/>
        <w:rPr>
          <w:rFonts w:eastAsia="Times New Roman" w:cs="Arial"/>
        </w:rPr>
      </w:pPr>
      <w:r w:rsidRPr="006F413A">
        <w:rPr>
          <w:rFonts w:eastAsia="Times New Roman" w:cs="Arial"/>
          <w:color w:val="000000"/>
          <w:lang w:eastAsia="bg-BG"/>
        </w:rPr>
        <w:lastRenderedPageBreak/>
        <w:t>Внезапното спиране на употребата на кармазепин може да повиши честотата на припадъците. Ако лечението с карбамазепин трябва да бъде спряно рязко, преминаването към друг лекарствен продукт трябва да се извърши при наличие на подходящо лекарство (като диазепам прилаган интравенозно, ректално или фенитоин интравенозно).</w:t>
      </w:r>
    </w:p>
    <w:p w14:paraId="515F7073" w14:textId="27EBD6E7" w:rsidR="006F413A" w:rsidRPr="006F413A" w:rsidRDefault="006F413A" w:rsidP="006F413A">
      <w:pPr>
        <w:rPr>
          <w:rFonts w:cs="Arial"/>
          <w:sz w:val="24"/>
        </w:rPr>
      </w:pPr>
    </w:p>
    <w:p w14:paraId="619DED1E" w14:textId="091E0A8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0857DD4" w14:textId="7C392A18" w:rsidR="006F413A" w:rsidRDefault="006F413A" w:rsidP="006F413A"/>
    <w:p w14:paraId="2BD4E6B1"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Употребата на </w:t>
      </w:r>
      <w:r w:rsidRPr="006F413A">
        <w:rPr>
          <w:rFonts w:eastAsia="Times New Roman" w:cs="Arial"/>
          <w:color w:val="000000"/>
          <w:lang w:val="en-US"/>
        </w:rPr>
        <w:t>MAO</w:t>
      </w:r>
      <w:r w:rsidRPr="006F413A">
        <w:rPr>
          <w:rFonts w:eastAsia="Times New Roman" w:cs="Arial"/>
          <w:color w:val="000000"/>
          <w:lang w:eastAsia="bg-BG"/>
        </w:rPr>
        <w:t>-инхибитори трябва да се прекрати най-късно 2 седмици преди началото на лечението с карбамазепин.</w:t>
      </w:r>
    </w:p>
    <w:p w14:paraId="428AF6EF" w14:textId="77777777" w:rsidR="006F413A" w:rsidRPr="006F413A" w:rsidRDefault="006F413A" w:rsidP="006F413A">
      <w:pPr>
        <w:spacing w:line="240" w:lineRule="auto"/>
        <w:rPr>
          <w:rFonts w:eastAsia="Times New Roman" w:cs="Arial"/>
          <w:b/>
          <w:bCs/>
          <w:color w:val="000000"/>
          <w:lang w:eastAsia="bg-BG"/>
        </w:rPr>
      </w:pPr>
    </w:p>
    <w:p w14:paraId="17336323" w14:textId="77777777" w:rsidR="006F413A" w:rsidRPr="006F413A" w:rsidRDefault="006F413A" w:rsidP="006F413A">
      <w:pPr>
        <w:spacing w:line="240" w:lineRule="auto"/>
        <w:rPr>
          <w:rFonts w:eastAsia="Times New Roman" w:cs="Arial"/>
          <w:color w:val="000000"/>
          <w:lang w:eastAsia="bg-BG"/>
        </w:rPr>
      </w:pPr>
      <w:r w:rsidRPr="006F413A">
        <w:rPr>
          <w:rFonts w:eastAsia="Times New Roman" w:cs="Arial"/>
          <w:b/>
          <w:bCs/>
          <w:color w:val="000000"/>
          <w:lang w:eastAsia="bg-BG"/>
        </w:rPr>
        <w:t xml:space="preserve">Повлияване на плазмените концентрации на други лекарствени продукти от карбамазепин </w:t>
      </w:r>
      <w:r w:rsidRPr="006F413A">
        <w:rPr>
          <w:rFonts w:eastAsia="Times New Roman" w:cs="Arial"/>
          <w:color w:val="000000"/>
          <w:lang w:eastAsia="bg-BG"/>
        </w:rPr>
        <w:t xml:space="preserve">Цитохром </w:t>
      </w:r>
    </w:p>
    <w:p w14:paraId="21A2CE26" w14:textId="2071C7FC"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Р450 ЗА4 </w:t>
      </w:r>
      <w:r w:rsidRPr="006F413A">
        <w:rPr>
          <w:rFonts w:eastAsia="Times New Roman" w:cs="Arial"/>
          <w:color w:val="000000"/>
          <w:lang w:val="ru-RU"/>
        </w:rPr>
        <w:t>(</w:t>
      </w:r>
      <w:r w:rsidRPr="006F413A">
        <w:rPr>
          <w:rFonts w:eastAsia="Times New Roman" w:cs="Arial"/>
          <w:color w:val="000000"/>
          <w:lang w:val="en-US"/>
        </w:rPr>
        <w:t>CYP</w:t>
      </w:r>
      <w:r w:rsidRPr="006F413A">
        <w:rPr>
          <w:rFonts w:eastAsia="Times New Roman" w:cs="Arial"/>
          <w:color w:val="000000"/>
          <w:lang w:val="ru-RU"/>
        </w:rPr>
        <w:t xml:space="preserve"> </w:t>
      </w:r>
      <w:r w:rsidRPr="006F413A">
        <w:rPr>
          <w:rFonts w:eastAsia="Times New Roman" w:cs="Arial"/>
          <w:color w:val="000000"/>
          <w:lang w:eastAsia="bg-BG"/>
        </w:rPr>
        <w:t xml:space="preserve">ЗА4) е основният ензим, който катализира образуването на карбамазепин 10,11 -епоксид. Едновременно приложение на инхибитори на </w:t>
      </w:r>
      <w:r w:rsidRPr="006F413A">
        <w:rPr>
          <w:rFonts w:eastAsia="Times New Roman" w:cs="Arial"/>
          <w:color w:val="000000"/>
          <w:lang w:val="en-US"/>
        </w:rPr>
        <w:t>CYP</w:t>
      </w:r>
      <w:r w:rsidRPr="006F413A">
        <w:rPr>
          <w:rFonts w:eastAsia="Times New Roman" w:cs="Arial"/>
          <w:color w:val="000000"/>
          <w:lang w:eastAsia="bg-BG"/>
        </w:rPr>
        <w:t xml:space="preserve">3А4 може да доведе до повишаване на плазмените концентрации, което би могло да индуцира нежелани реакции. Едновременно приложение на индуктори на </w:t>
      </w:r>
      <w:r w:rsidRPr="006F413A">
        <w:rPr>
          <w:rFonts w:eastAsia="Times New Roman" w:cs="Arial"/>
          <w:color w:val="000000"/>
          <w:lang w:val="en-US"/>
        </w:rPr>
        <w:t>CYP</w:t>
      </w:r>
      <w:r w:rsidRPr="006F413A">
        <w:rPr>
          <w:rFonts w:eastAsia="Times New Roman" w:cs="Arial"/>
          <w:color w:val="000000"/>
          <w:lang w:val="ru-RU"/>
        </w:rPr>
        <w:t xml:space="preserve"> </w:t>
      </w:r>
      <w:r w:rsidRPr="006F413A">
        <w:rPr>
          <w:rFonts w:eastAsia="Times New Roman" w:cs="Arial"/>
          <w:color w:val="000000"/>
          <w:lang w:eastAsia="bg-BG"/>
        </w:rPr>
        <w:t>ЗА4 може да повиши скоростта на метаболизма на карбамазепин, като по този начин да доведе до потенциално понижение на серумните нива на карбамазепин и евентуално на терапевтичния му ефект.</w:t>
      </w:r>
    </w:p>
    <w:p w14:paraId="7DCB43F8"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Подобно на това, спиране употребата на индуктор на </w:t>
      </w:r>
      <w:r w:rsidRPr="006F413A">
        <w:rPr>
          <w:rFonts w:eastAsia="Times New Roman" w:cs="Arial"/>
          <w:color w:val="000000"/>
          <w:lang w:val="en-US"/>
        </w:rPr>
        <w:t>CYP</w:t>
      </w:r>
      <w:r w:rsidRPr="006F413A">
        <w:rPr>
          <w:rFonts w:eastAsia="Times New Roman" w:cs="Arial"/>
          <w:color w:val="000000"/>
          <w:lang w:val="ru-RU"/>
        </w:rPr>
        <w:t>3</w:t>
      </w:r>
      <w:r w:rsidRPr="006F413A">
        <w:rPr>
          <w:rFonts w:eastAsia="Times New Roman" w:cs="Arial"/>
          <w:color w:val="000000"/>
          <w:lang w:eastAsia="bg-BG"/>
        </w:rPr>
        <w:t>А4 може да понижи скоростта на метаболизъм на карбамазепин, което е причина за повишаване на плазмените нива на карбамазепин.</w:t>
      </w:r>
    </w:p>
    <w:p w14:paraId="1262C205" w14:textId="77777777" w:rsidR="006F413A" w:rsidRPr="006F413A" w:rsidRDefault="006F413A" w:rsidP="006F413A">
      <w:pPr>
        <w:spacing w:line="240" w:lineRule="auto"/>
        <w:rPr>
          <w:rFonts w:eastAsia="Times New Roman" w:cs="Arial"/>
          <w:color w:val="000000"/>
          <w:lang w:eastAsia="bg-BG"/>
        </w:rPr>
      </w:pPr>
    </w:p>
    <w:p w14:paraId="79FB7BD3" w14:textId="394475AA"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Карбамазепин е мощен индуктор на </w:t>
      </w:r>
      <w:r w:rsidRPr="006F413A">
        <w:rPr>
          <w:rFonts w:eastAsia="Times New Roman" w:cs="Arial"/>
          <w:color w:val="000000"/>
          <w:lang w:val="en-US"/>
        </w:rPr>
        <w:t>CYP</w:t>
      </w:r>
      <w:r w:rsidRPr="006F413A">
        <w:rPr>
          <w:rFonts w:eastAsia="Times New Roman" w:cs="Arial"/>
          <w:color w:val="000000"/>
          <w:lang w:val="ru-RU"/>
        </w:rPr>
        <w:t>3</w:t>
      </w:r>
      <w:r w:rsidRPr="006F413A">
        <w:rPr>
          <w:rFonts w:eastAsia="Times New Roman" w:cs="Arial"/>
          <w:color w:val="000000"/>
          <w:lang w:val="en-US"/>
        </w:rPr>
        <w:t>A</w:t>
      </w:r>
      <w:r w:rsidRPr="006F413A">
        <w:rPr>
          <w:rFonts w:eastAsia="Times New Roman" w:cs="Arial"/>
          <w:color w:val="000000"/>
          <w:lang w:val="ru-RU"/>
        </w:rPr>
        <w:t xml:space="preserve">4 </w:t>
      </w:r>
      <w:r w:rsidRPr="006F413A">
        <w:rPr>
          <w:rFonts w:eastAsia="Times New Roman" w:cs="Arial"/>
          <w:color w:val="000000"/>
          <w:lang w:eastAsia="bg-BG"/>
        </w:rPr>
        <w:t>и други фаза I и II ензимни системи в черния дроб, поради което е възможно да понижи плазмените концентрации на съпътстващо прила</w:t>
      </w:r>
      <w:r w:rsidRPr="006F413A">
        <w:rPr>
          <w:rFonts w:eastAsia="Times New Roman" w:cs="Arial"/>
          <w:color w:val="000000"/>
          <w:u w:val="single"/>
          <w:lang w:eastAsia="bg-BG"/>
        </w:rPr>
        <w:t xml:space="preserve">ганите </w:t>
      </w:r>
      <w:r w:rsidRPr="006F413A">
        <w:rPr>
          <w:rFonts w:eastAsia="Times New Roman" w:cs="Arial"/>
          <w:color w:val="000000"/>
          <w:lang w:eastAsia="bg-BG"/>
        </w:rPr>
        <w:t xml:space="preserve">лекарствени продукти, предимно на такива, които се метаболизират от </w:t>
      </w:r>
      <w:r w:rsidRPr="006F413A">
        <w:rPr>
          <w:rFonts w:eastAsia="Times New Roman" w:cs="Arial"/>
          <w:color w:val="000000"/>
          <w:lang w:val="en-US"/>
        </w:rPr>
        <w:t>CYP</w:t>
      </w:r>
      <w:r w:rsidRPr="006F413A">
        <w:rPr>
          <w:rFonts w:eastAsia="Times New Roman" w:cs="Arial"/>
          <w:color w:val="000000"/>
          <w:lang w:val="ru-RU"/>
        </w:rPr>
        <w:t>3</w:t>
      </w:r>
      <w:r w:rsidRPr="006F413A">
        <w:rPr>
          <w:rFonts w:eastAsia="Times New Roman" w:cs="Arial"/>
          <w:color w:val="000000"/>
          <w:lang w:val="en-US"/>
        </w:rPr>
        <w:t>A</w:t>
      </w:r>
      <w:r w:rsidRPr="006F413A">
        <w:rPr>
          <w:rFonts w:eastAsia="Times New Roman" w:cs="Arial"/>
          <w:color w:val="000000"/>
          <w:lang w:val="ru-RU"/>
        </w:rPr>
        <w:t>4</w:t>
      </w:r>
      <w:r w:rsidRPr="006F413A">
        <w:rPr>
          <w:rFonts w:eastAsia="Times New Roman" w:cs="Arial"/>
          <w:color w:val="000000"/>
          <w:lang w:eastAsia="bg-BG"/>
        </w:rPr>
        <w:t xml:space="preserve"> чрез индукция на метаболизма им.</w:t>
      </w:r>
    </w:p>
    <w:p w14:paraId="6C16944E" w14:textId="77777777" w:rsidR="006F413A" w:rsidRPr="006F413A" w:rsidRDefault="006F413A" w:rsidP="006F413A">
      <w:pPr>
        <w:spacing w:line="240" w:lineRule="auto"/>
        <w:rPr>
          <w:rFonts w:eastAsia="Times New Roman" w:cs="Arial"/>
          <w:b/>
          <w:bCs/>
          <w:color w:val="000000"/>
          <w:lang w:eastAsia="bg-BG"/>
        </w:rPr>
      </w:pPr>
    </w:p>
    <w:p w14:paraId="3FCA3BDF" w14:textId="4811C099" w:rsidR="006F413A" w:rsidRPr="006F413A" w:rsidRDefault="006F413A" w:rsidP="006F413A">
      <w:pPr>
        <w:spacing w:line="240" w:lineRule="auto"/>
        <w:rPr>
          <w:rFonts w:eastAsia="Times New Roman" w:cs="Arial"/>
        </w:rPr>
      </w:pPr>
      <w:r w:rsidRPr="006F413A">
        <w:rPr>
          <w:rFonts w:eastAsia="Times New Roman" w:cs="Arial"/>
          <w:b/>
          <w:bCs/>
          <w:color w:val="000000"/>
          <w:lang w:eastAsia="bg-BG"/>
        </w:rPr>
        <w:t>Повишаване на плазмената концентрация на карбамазепин от други лекарствени продукти</w:t>
      </w:r>
    </w:p>
    <w:p w14:paraId="5CA8D8E4"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Тъй като повишените плазмени нива на карбамазепин може да доведат до нежелани лекарствени реакции (като замаяност, сънливост, атаксия, диплопия), дозировката на карбамазепин трябва да се адаптира в зависимост от плазмените нива, ако се използва едновременно с вещества, които са описани по-долу:</w:t>
      </w:r>
    </w:p>
    <w:p w14:paraId="549585F5"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Аналгетици, противовъзпалителни средства: декстропропоксифен, ибупрофен</w:t>
      </w:r>
    </w:p>
    <w:p w14:paraId="0740EDC3"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Андрогени: даназол</w:t>
      </w:r>
    </w:p>
    <w:p w14:paraId="60EDF893"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Антибиотици: макролидни антибиотици (напр. еритромицин, тролеандромицин, йозамицин, кларитромицин)</w:t>
      </w:r>
    </w:p>
    <w:p w14:paraId="24661C16"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Антидепресанти: вероятно дезипрамин, фллуоксетин, флувоксамин, нефазодон, пароксетин, тразодон, вилоксазин</w:t>
      </w:r>
    </w:p>
    <w:p w14:paraId="7C50350E"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Антиепилептици: стирипентол, вигабатрин</w:t>
      </w:r>
    </w:p>
    <w:p w14:paraId="2C105BB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Антимунгални: азоли (напр. итраконазол, кетоконазол, флуконазол, вориконазол)</w:t>
      </w:r>
    </w:p>
    <w:p w14:paraId="0A9B3840"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Антихистамини: лоратадин, терфенадин</w:t>
      </w:r>
    </w:p>
    <w:p w14:paraId="7FC9AEA3"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Антипсихотици: оланзапин</w:t>
      </w:r>
    </w:p>
    <w:p w14:paraId="773D96AD"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Антитуберкулозни: изониазид</w:t>
      </w:r>
    </w:p>
    <w:p w14:paraId="10CA679B"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Антивирусни: протеазни инхибитори за лечение на </w:t>
      </w:r>
      <w:r w:rsidRPr="006F413A">
        <w:rPr>
          <w:rFonts w:eastAsia="Times New Roman" w:cs="Arial"/>
          <w:color w:val="000000"/>
          <w:lang w:val="en-US"/>
        </w:rPr>
        <w:t>HIV</w:t>
      </w:r>
      <w:r w:rsidRPr="006F413A">
        <w:rPr>
          <w:rFonts w:eastAsia="Times New Roman" w:cs="Arial"/>
          <w:color w:val="000000"/>
          <w:lang w:val="ru-RU"/>
        </w:rPr>
        <w:t xml:space="preserve"> </w:t>
      </w:r>
      <w:r w:rsidRPr="006F413A">
        <w:rPr>
          <w:rFonts w:eastAsia="Times New Roman" w:cs="Arial"/>
          <w:color w:val="000000"/>
          <w:lang w:eastAsia="bg-BG"/>
        </w:rPr>
        <w:t>(напр. ритонавир)</w:t>
      </w:r>
    </w:p>
    <w:p w14:paraId="3FF5696B"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Карбоанхидразни инхибитори: ацетазоламид</w:t>
      </w:r>
    </w:p>
    <w:p w14:paraId="44DA0BFB"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Сърдечно-съдови лекарствени продукти: дилтиазем, верапамил</w:t>
      </w:r>
    </w:p>
    <w:p w14:paraId="7C0A7B6A"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Лекарства за стомашно-чревни проблеми: вероятно циметидин, омепразол</w:t>
      </w:r>
    </w:p>
    <w:p w14:paraId="392D8C8A"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lastRenderedPageBreak/>
        <w:t>Миорелаксанти: оксибутирин, дантролен</w:t>
      </w:r>
    </w:p>
    <w:p w14:paraId="23756DDD"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Инхибитори на тромбоцитната агрегация: тиклопидин</w:t>
      </w:r>
    </w:p>
    <w:p w14:paraId="6B04880E"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Други взаимодействия: сок от грейпфрут, никотинамид (при възрастни, само във високи дози).</w:t>
      </w:r>
    </w:p>
    <w:p w14:paraId="68F59353" w14:textId="77777777" w:rsidR="006F413A" w:rsidRPr="006F413A" w:rsidRDefault="006F413A" w:rsidP="006F413A">
      <w:pPr>
        <w:spacing w:line="240" w:lineRule="auto"/>
        <w:rPr>
          <w:rFonts w:eastAsia="Times New Roman" w:cs="Arial"/>
          <w:b/>
          <w:bCs/>
          <w:color w:val="000000"/>
          <w:lang w:eastAsia="bg-BG"/>
        </w:rPr>
      </w:pPr>
    </w:p>
    <w:p w14:paraId="27E479F2" w14:textId="2BDD6EEF" w:rsidR="006F413A" w:rsidRPr="006F413A" w:rsidRDefault="006F413A" w:rsidP="006F413A">
      <w:pPr>
        <w:spacing w:line="240" w:lineRule="auto"/>
        <w:rPr>
          <w:rFonts w:eastAsia="Times New Roman" w:cs="Arial"/>
        </w:rPr>
      </w:pPr>
      <w:r w:rsidRPr="006F413A">
        <w:rPr>
          <w:rFonts w:eastAsia="Times New Roman" w:cs="Arial"/>
          <w:b/>
          <w:bCs/>
          <w:color w:val="000000"/>
          <w:lang w:eastAsia="bg-BG"/>
        </w:rPr>
        <w:t>Повишаване на плазмената концентрация на активния метаболит на карбамазепин-10,11- епоксид от други лекарствени продукти</w:t>
      </w:r>
    </w:p>
    <w:p w14:paraId="0327124F"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Тъй като повишените плазмени нива на карбамазепин може да доведат до нежелани реакции (като замаяност, сънливост, атаксия, диплопия), дозата на карбамазепин трябва да се адаптира в зависимост от плазмените нива, ако се използва едновременно с вещества, които са описани по-долу:</w:t>
      </w:r>
    </w:p>
    <w:p w14:paraId="0CF60891"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Локсапин, кветиапин, примидон, прогабид, валпроева киселина, валноктамид и валпромид.</w:t>
      </w:r>
    </w:p>
    <w:p w14:paraId="5C2746BC" w14:textId="77777777" w:rsidR="006F413A" w:rsidRPr="006F413A" w:rsidRDefault="006F413A" w:rsidP="006F413A">
      <w:pPr>
        <w:spacing w:line="240" w:lineRule="auto"/>
        <w:rPr>
          <w:rFonts w:eastAsia="Times New Roman" w:cs="Arial"/>
          <w:b/>
          <w:bCs/>
          <w:color w:val="000000"/>
          <w:lang w:eastAsia="bg-BG"/>
        </w:rPr>
      </w:pPr>
    </w:p>
    <w:p w14:paraId="55B34811" w14:textId="165BD5D7" w:rsidR="006F413A" w:rsidRPr="006F413A" w:rsidRDefault="006F413A" w:rsidP="006F413A">
      <w:pPr>
        <w:spacing w:line="240" w:lineRule="auto"/>
        <w:rPr>
          <w:rFonts w:eastAsia="Times New Roman" w:cs="Arial"/>
        </w:rPr>
      </w:pPr>
      <w:r w:rsidRPr="006F413A">
        <w:rPr>
          <w:rFonts w:eastAsia="Times New Roman" w:cs="Arial"/>
          <w:b/>
          <w:bCs/>
          <w:color w:val="000000"/>
          <w:lang w:eastAsia="bg-BG"/>
        </w:rPr>
        <w:t>Намаляване на плазмената концентрация на карбамазепин от други лекарствени продукти</w:t>
      </w:r>
    </w:p>
    <w:p w14:paraId="59E09725"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Дозата на карбамазепин трябва да се адаптира при едновременна употреба с вещества, които са описани по-долу:</w:t>
      </w:r>
    </w:p>
    <w:p w14:paraId="1813555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Антиепилептици: фелбамат, метсуксимид, окскарбазепин, фенобарбитон, фенсуксимид, фенитоин и фосфенитоин, примидон и въпреки че данните са отчасти противоречиви, възможно е също и с клоназепам</w:t>
      </w:r>
    </w:p>
    <w:p w14:paraId="38BD977D"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Антинеопластични: цисплатин, доксорубицин</w:t>
      </w:r>
    </w:p>
    <w:p w14:paraId="5C6968AE"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Антитуберкулозни: рифампицин</w:t>
      </w:r>
    </w:p>
    <w:p w14:paraId="52E1C5FC"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Бронходилататори и други антиастматични лекарства: теофилин, аминофилин</w:t>
      </w:r>
    </w:p>
    <w:p w14:paraId="3A75282B"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Лекарства за кожно приложение: изотретиноин</w:t>
      </w:r>
    </w:p>
    <w:p w14:paraId="3B92C85F"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Други: растителни продукти съдържащи жълт кантарион </w:t>
      </w:r>
      <w:r w:rsidRPr="006F413A">
        <w:rPr>
          <w:rFonts w:eastAsia="Times New Roman" w:cs="Arial"/>
          <w:i/>
          <w:iCs/>
          <w:color w:val="000000"/>
          <w:lang w:val="ru-RU"/>
        </w:rPr>
        <w:t>(</w:t>
      </w:r>
      <w:proofErr w:type="spellStart"/>
      <w:r w:rsidRPr="006F413A">
        <w:rPr>
          <w:rFonts w:eastAsia="Times New Roman" w:cs="Arial"/>
          <w:i/>
          <w:iCs/>
          <w:color w:val="000000"/>
          <w:lang w:val="en-US"/>
        </w:rPr>
        <w:t>Hypericumperforatum</w:t>
      </w:r>
      <w:proofErr w:type="spellEnd"/>
      <w:r w:rsidRPr="006F413A">
        <w:rPr>
          <w:rFonts w:eastAsia="Times New Roman" w:cs="Arial"/>
          <w:i/>
          <w:iCs/>
          <w:color w:val="000000"/>
          <w:lang w:val="ru-RU"/>
        </w:rPr>
        <w:t>).</w:t>
      </w:r>
    </w:p>
    <w:p w14:paraId="1C557AFC" w14:textId="77777777" w:rsidR="006F413A" w:rsidRPr="006F413A" w:rsidRDefault="006F413A" w:rsidP="006F413A">
      <w:pPr>
        <w:spacing w:line="240" w:lineRule="auto"/>
        <w:rPr>
          <w:rFonts w:eastAsia="Times New Roman" w:cs="Arial"/>
          <w:b/>
          <w:bCs/>
          <w:color w:val="000000"/>
          <w:lang w:eastAsia="bg-BG"/>
        </w:rPr>
      </w:pPr>
      <w:bookmarkStart w:id="3" w:name="bookmark4"/>
    </w:p>
    <w:p w14:paraId="091DBAAF" w14:textId="3021D0D6" w:rsidR="006F413A" w:rsidRPr="006F413A" w:rsidRDefault="006F413A" w:rsidP="006F413A">
      <w:pPr>
        <w:spacing w:line="240" w:lineRule="auto"/>
        <w:rPr>
          <w:rFonts w:eastAsia="Times New Roman" w:cs="Arial"/>
        </w:rPr>
      </w:pPr>
      <w:r w:rsidRPr="006F413A">
        <w:rPr>
          <w:rFonts w:eastAsia="Times New Roman" w:cs="Arial"/>
          <w:b/>
          <w:bCs/>
          <w:color w:val="000000"/>
          <w:lang w:eastAsia="bg-BG"/>
        </w:rPr>
        <w:t>Влияние на карбамазепин върху плазмените нива на други едновременно приемани лекарствени продукти</w:t>
      </w:r>
      <w:bookmarkEnd w:id="3"/>
    </w:p>
    <w:p w14:paraId="548F7AB4"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може да намали плазмените нива, да намали и дори потисне действието на определени лекарствени продукти. Дозата на следните лекарствени продукти трябва да се адаптира към клиничните изисквания:</w:t>
      </w:r>
    </w:p>
    <w:p w14:paraId="1F632EE6"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Аналгетици, противовъзпалителни лекарства: метадон, парацетамол, феназон (антипирин), трамадол</w:t>
      </w:r>
    </w:p>
    <w:p w14:paraId="3810D321" w14:textId="69D18BE3" w:rsidR="006F413A" w:rsidRPr="006F413A" w:rsidRDefault="006F413A" w:rsidP="006F413A">
      <w:pPr>
        <w:rPr>
          <w:rFonts w:eastAsia="Times New Roman" w:cs="Arial"/>
          <w:color w:val="000000"/>
          <w:lang w:eastAsia="bg-BG"/>
        </w:rPr>
      </w:pPr>
      <w:r w:rsidRPr="006F413A">
        <w:rPr>
          <w:rFonts w:eastAsia="Times New Roman" w:cs="Arial"/>
          <w:color w:val="000000"/>
          <w:lang w:eastAsia="bg-BG"/>
        </w:rPr>
        <w:t>Антибиотици: доксициклин</w:t>
      </w:r>
    </w:p>
    <w:p w14:paraId="7117DC76"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Антикоагуланти: перорални антикоагуланти (напр. варфарин, фенпрокумон, дикумарол, аценокумарол)</w:t>
      </w:r>
    </w:p>
    <w:p w14:paraId="3B7199DF"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Антидепресанти: бупропион, циталопрам, нефазодон, тразодон, три циклични антидепресанти (напр. имипрамин, амитриптилин, нертриптилин, кломипрамин)</w:t>
      </w:r>
    </w:p>
    <w:p w14:paraId="1028D55C"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Употребата на карбамазепин не се препоръчва в комбинация с инхибитори на моноамино оксидазата </w:t>
      </w:r>
      <w:r w:rsidRPr="006F413A">
        <w:rPr>
          <w:rFonts w:eastAsia="Times New Roman" w:cs="Arial"/>
          <w:color w:val="000000"/>
          <w:lang w:val="ru-RU"/>
        </w:rPr>
        <w:t>(</w:t>
      </w:r>
      <w:r w:rsidRPr="006F413A">
        <w:rPr>
          <w:rFonts w:eastAsia="Times New Roman" w:cs="Arial"/>
          <w:color w:val="000000"/>
          <w:lang w:val="en-US"/>
        </w:rPr>
        <w:t>MAO</w:t>
      </w:r>
      <w:r w:rsidRPr="006F413A">
        <w:rPr>
          <w:rFonts w:eastAsia="Times New Roman" w:cs="Arial"/>
          <w:color w:val="000000"/>
          <w:lang w:eastAsia="bg-BG"/>
        </w:rPr>
        <w:t xml:space="preserve">-инхибитори); преди приложение на карбамазепин, употребата на </w:t>
      </w:r>
      <w:r w:rsidRPr="006F413A">
        <w:rPr>
          <w:rFonts w:eastAsia="Times New Roman" w:cs="Arial"/>
          <w:color w:val="000000"/>
          <w:lang w:val="en-US"/>
        </w:rPr>
        <w:t>MAO</w:t>
      </w:r>
      <w:r w:rsidRPr="006F413A">
        <w:rPr>
          <w:rFonts w:eastAsia="Times New Roman" w:cs="Arial"/>
          <w:color w:val="000000"/>
          <w:lang w:eastAsia="bg-BG"/>
        </w:rPr>
        <w:t>-инхибитори трябва да бъде прекратена за период от най-малко две седмици или повече, ако клиничната ситуация го позволява (вж. точка 43).</w:t>
      </w:r>
    </w:p>
    <w:p w14:paraId="098DD9A1"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Антиепилептици: клобазам, клоназепам, етосуксимид, фелбамат, ламотригин, окскарбазепин, примидон, тиагабин, топирамат, валпроева киселина, зонистамид.</w:t>
      </w:r>
    </w:p>
    <w:p w14:paraId="21E2B99A"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Има съобщения, че плазмените нива на фенитоин са се повишили или понижили от карбамазепин, но съобщенията за повишаване на плазмените нива на мефенитоин са редки.</w:t>
      </w:r>
    </w:p>
    <w:p w14:paraId="11F700B2"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Противогъбични: итраконазол</w:t>
      </w:r>
    </w:p>
    <w:p w14:paraId="4BE26589"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Антихелминтни: празиквантел</w:t>
      </w:r>
    </w:p>
    <w:p w14:paraId="475E0D70"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Антинеопластични: иматиниб</w:t>
      </w:r>
    </w:p>
    <w:p w14:paraId="7E366544"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lastRenderedPageBreak/>
        <w:t>Антипсихотици: клозапин, халоперидол, бромперидол, оланзапин, кветиапин, рисперидон, зипразидон</w:t>
      </w:r>
    </w:p>
    <w:p w14:paraId="07D7CAE8"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Антивирусни: протеазни инхибитори за лечение на </w:t>
      </w:r>
      <w:r w:rsidRPr="006F413A">
        <w:rPr>
          <w:rFonts w:eastAsia="Times New Roman" w:cs="Arial"/>
          <w:color w:val="000000"/>
          <w:lang w:val="en-US"/>
        </w:rPr>
        <w:t>HI</w:t>
      </w:r>
      <w:r w:rsidRPr="006F413A">
        <w:rPr>
          <w:rFonts w:eastAsia="Times New Roman" w:cs="Arial"/>
          <w:color w:val="000000"/>
          <w:lang w:eastAsia="bg-BG"/>
        </w:rPr>
        <w:t>V (напр. индинавир, ритонавир, саквинавир) Анксиолитици: алпразолам, мидазолам Бронходилататори или антиастматици: теофилин</w:t>
      </w:r>
    </w:p>
    <w:p w14:paraId="7C8FDAA7"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Контрацептиви: продукти, съдържащи естрогени и/или прогестагени (да се обсъдят алтернативни методи за контрацепция)</w:t>
      </w:r>
    </w:p>
    <w:p w14:paraId="35C43799"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Сърдечно-съдови лекарства: блокери на калциевите канали (от дихидропиридиновата група), напр. фелодипин, дигоксин</w:t>
      </w:r>
    </w:p>
    <w:p w14:paraId="4395B708"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Кортикостероиди: преднизолон, дексаметазон</w:t>
      </w:r>
    </w:p>
    <w:p w14:paraId="619B8E90"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Имуносупресори: циклоспорин, еверолимус</w:t>
      </w:r>
    </w:p>
    <w:p w14:paraId="27B9104B"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Тироидни агенти: левотироксин</w:t>
      </w:r>
    </w:p>
    <w:p w14:paraId="0DA37D90" w14:textId="77777777" w:rsidR="006F413A" w:rsidRPr="006F413A" w:rsidRDefault="006F413A" w:rsidP="006F413A">
      <w:pPr>
        <w:spacing w:line="240" w:lineRule="auto"/>
        <w:rPr>
          <w:rFonts w:eastAsia="Times New Roman" w:cs="Arial"/>
          <w:b/>
          <w:bCs/>
          <w:color w:val="000000"/>
          <w:lang w:eastAsia="bg-BG"/>
        </w:rPr>
      </w:pPr>
    </w:p>
    <w:p w14:paraId="01B2C8E5" w14:textId="6EDF754A" w:rsidR="006F413A" w:rsidRPr="006F413A" w:rsidRDefault="006F413A" w:rsidP="006F413A">
      <w:pPr>
        <w:spacing w:line="240" w:lineRule="auto"/>
        <w:rPr>
          <w:rFonts w:eastAsia="Times New Roman" w:cs="Arial"/>
        </w:rPr>
      </w:pPr>
      <w:r w:rsidRPr="006F413A">
        <w:rPr>
          <w:rFonts w:eastAsia="Times New Roman" w:cs="Arial"/>
          <w:b/>
          <w:bCs/>
          <w:color w:val="000000"/>
          <w:lang w:eastAsia="bg-BG"/>
        </w:rPr>
        <w:t>Комбинации, които трябва да прилагат със специално внимание</w:t>
      </w:r>
    </w:p>
    <w:p w14:paraId="42D19CC8"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Съобщава се, че едновременната употреба на карбамазепин и леветирацетам може да увеличи карбамазепин-индуцираната токсичност.</w:t>
      </w:r>
    </w:p>
    <w:p w14:paraId="3B9DA6B9" w14:textId="77777777" w:rsidR="006F413A" w:rsidRPr="006F413A" w:rsidRDefault="006F413A" w:rsidP="006F413A">
      <w:pPr>
        <w:spacing w:line="240" w:lineRule="auto"/>
        <w:rPr>
          <w:rFonts w:eastAsia="Times New Roman" w:cs="Arial"/>
          <w:color w:val="000000"/>
          <w:lang w:eastAsia="bg-BG"/>
        </w:rPr>
      </w:pPr>
    </w:p>
    <w:p w14:paraId="7E788935" w14:textId="5414C385" w:rsidR="006F413A" w:rsidRPr="006F413A" w:rsidRDefault="006F413A" w:rsidP="006F413A">
      <w:pPr>
        <w:spacing w:line="240" w:lineRule="auto"/>
        <w:rPr>
          <w:rFonts w:eastAsia="Times New Roman" w:cs="Arial"/>
        </w:rPr>
      </w:pPr>
      <w:r w:rsidRPr="006F413A">
        <w:rPr>
          <w:rFonts w:eastAsia="Times New Roman" w:cs="Arial"/>
          <w:color w:val="000000"/>
          <w:lang w:eastAsia="bg-BG"/>
        </w:rPr>
        <w:t>Едновременната употреба на карбамазепин и изониазид може да повиши хепатотоксичността на изониазид.</w:t>
      </w:r>
    </w:p>
    <w:p w14:paraId="0BB6D23E" w14:textId="77777777" w:rsidR="006F413A" w:rsidRPr="006F413A" w:rsidRDefault="006F413A" w:rsidP="006F413A">
      <w:pPr>
        <w:spacing w:line="240" w:lineRule="auto"/>
        <w:rPr>
          <w:rFonts w:eastAsia="Times New Roman" w:cs="Arial"/>
          <w:color w:val="000000"/>
          <w:lang w:eastAsia="bg-BG"/>
        </w:rPr>
      </w:pPr>
    </w:p>
    <w:p w14:paraId="7134C451" w14:textId="2A11E625" w:rsidR="006F413A" w:rsidRPr="006F413A" w:rsidRDefault="006F413A" w:rsidP="006F413A">
      <w:pPr>
        <w:spacing w:line="240" w:lineRule="auto"/>
        <w:rPr>
          <w:rFonts w:eastAsia="Times New Roman" w:cs="Arial"/>
        </w:rPr>
      </w:pPr>
      <w:r w:rsidRPr="006F413A">
        <w:rPr>
          <w:rFonts w:eastAsia="Times New Roman" w:cs="Arial"/>
          <w:color w:val="000000"/>
          <w:lang w:eastAsia="bg-BG"/>
        </w:rPr>
        <w:t>Едновременен прием карбамазепин и литий и може да се усили невротоксичното действие и на двете субстанции. Затова е необходим строг контрол на нивото в кръвта и на двете лекарствени средства. Трябва да се внимава за следните симптоми за невротоксични нежелани лекарствени реакции: нестабилност в походката, атаксия, хоризонтален нистагъм, оживени сухожилни и надкостни рефлекси, мускулни фасцикулации.</w:t>
      </w:r>
    </w:p>
    <w:p w14:paraId="2E7FE2C1" w14:textId="77777777" w:rsidR="006F413A" w:rsidRPr="006F413A" w:rsidRDefault="006F413A" w:rsidP="006F413A">
      <w:pPr>
        <w:spacing w:line="240" w:lineRule="auto"/>
        <w:rPr>
          <w:rFonts w:eastAsia="Times New Roman" w:cs="Arial"/>
          <w:color w:val="000000"/>
          <w:lang w:eastAsia="bg-BG"/>
        </w:rPr>
      </w:pPr>
    </w:p>
    <w:p w14:paraId="105C4041" w14:textId="34B21296" w:rsidR="006F413A" w:rsidRPr="006F413A" w:rsidRDefault="006F413A" w:rsidP="006F413A">
      <w:pPr>
        <w:spacing w:line="240" w:lineRule="auto"/>
        <w:rPr>
          <w:rFonts w:eastAsia="Times New Roman" w:cs="Arial"/>
        </w:rPr>
      </w:pPr>
      <w:r w:rsidRPr="006F413A">
        <w:rPr>
          <w:rFonts w:eastAsia="Times New Roman" w:cs="Arial"/>
          <w:color w:val="000000"/>
          <w:lang w:eastAsia="bg-BG"/>
        </w:rPr>
        <w:t>Едновременен прием на карбамазепин и невролептици или метоклопрамид може да благоприятства проявата на неврологични нежелани лекарствени реакции.</w:t>
      </w:r>
    </w:p>
    <w:p w14:paraId="3E19B596"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Едновременен прием на карбамазепин с някои диуретици (хидрохлортиазид и фуроземид) може да доведе до симптоматична хипонатриемия.</w:t>
      </w:r>
    </w:p>
    <w:p w14:paraId="0D814EA0" w14:textId="77777777" w:rsidR="006F413A" w:rsidRPr="006F413A" w:rsidRDefault="006F413A" w:rsidP="006F413A">
      <w:pPr>
        <w:spacing w:line="240" w:lineRule="auto"/>
        <w:rPr>
          <w:rFonts w:eastAsia="Times New Roman" w:cs="Arial"/>
          <w:color w:val="000000"/>
          <w:lang w:eastAsia="bg-BG"/>
        </w:rPr>
      </w:pPr>
    </w:p>
    <w:p w14:paraId="7B580944" w14:textId="7FAC3BDB" w:rsidR="006F413A" w:rsidRPr="006F413A" w:rsidRDefault="006F413A" w:rsidP="006F413A">
      <w:pPr>
        <w:spacing w:line="240" w:lineRule="auto"/>
        <w:rPr>
          <w:rFonts w:eastAsia="Times New Roman" w:cs="Arial"/>
        </w:rPr>
      </w:pPr>
      <w:r w:rsidRPr="006F413A">
        <w:rPr>
          <w:rFonts w:eastAsia="Times New Roman" w:cs="Arial"/>
          <w:color w:val="000000"/>
          <w:lang w:eastAsia="bg-BG"/>
        </w:rPr>
        <w:t xml:space="preserve">Карбамазепин може да намали ефективността на недеполяризиращи мускулни релаксанти (напр. панкурониум), което може да доведе до по-бързо преодоляване на невромускулния </w:t>
      </w:r>
      <w:r w:rsidRPr="006F413A">
        <w:rPr>
          <w:rFonts w:eastAsia="Times New Roman" w:cs="Arial"/>
          <w:color w:val="000000"/>
          <w:u w:val="single"/>
          <w:lang w:eastAsia="bg-BG"/>
        </w:rPr>
        <w:t>блок.</w:t>
      </w:r>
    </w:p>
    <w:p w14:paraId="7C58288F" w14:textId="7B2ACCEB" w:rsidR="006F413A" w:rsidRPr="006F413A" w:rsidRDefault="006F413A" w:rsidP="006F413A">
      <w:pPr>
        <w:rPr>
          <w:rFonts w:eastAsia="Times New Roman" w:cs="Arial"/>
          <w:color w:val="000000"/>
          <w:lang w:eastAsia="bg-BG"/>
        </w:rPr>
      </w:pPr>
      <w:r w:rsidRPr="006F413A">
        <w:rPr>
          <w:rFonts w:eastAsia="Times New Roman" w:cs="Arial"/>
          <w:color w:val="000000"/>
          <w:lang w:eastAsia="bg-BG"/>
        </w:rPr>
        <w:t>Пациенти, които се лекуват с миорелаксанти, трябва да бъдат поставени под строги лекарски контрол и при необходимост да се повиши съответно дозата.</w:t>
      </w:r>
    </w:p>
    <w:p w14:paraId="3404462A" w14:textId="2304773A" w:rsidR="006F413A" w:rsidRPr="006F413A" w:rsidRDefault="006F413A" w:rsidP="006F413A">
      <w:pPr>
        <w:rPr>
          <w:rFonts w:eastAsia="Times New Roman" w:cs="Arial"/>
          <w:color w:val="000000"/>
          <w:lang w:eastAsia="bg-BG"/>
        </w:rPr>
      </w:pPr>
    </w:p>
    <w:p w14:paraId="6FB58938"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Както и другите психоактивни вещества, карбамазепин може да намали поносимостта на пациентите към алкохола. Затова по време на лечение пациентите трябва да се въздържат от употреба на алкохол.</w:t>
      </w:r>
    </w:p>
    <w:p w14:paraId="4C3C942E" w14:textId="77777777" w:rsidR="006F413A" w:rsidRPr="006F413A" w:rsidRDefault="006F413A" w:rsidP="006F413A">
      <w:pPr>
        <w:spacing w:line="240" w:lineRule="auto"/>
        <w:rPr>
          <w:rFonts w:eastAsia="Times New Roman" w:cs="Arial"/>
          <w:color w:val="000000"/>
          <w:lang w:eastAsia="bg-BG"/>
        </w:rPr>
      </w:pPr>
    </w:p>
    <w:p w14:paraId="225E2042" w14:textId="29C6D741"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може да повиши активността на определени чернодробни ензими и с това да намали плазменото ниво на другите лекарства. Поради това действието на някои други едновременно приемани лекарствени продукти, които се разграждат по същия начин както карбамазепин, може да се отслаби или дори да се усили.</w:t>
      </w:r>
    </w:p>
    <w:p w14:paraId="3A996510" w14:textId="77777777" w:rsidR="006F413A" w:rsidRPr="006F413A" w:rsidRDefault="006F413A" w:rsidP="006F413A">
      <w:pPr>
        <w:spacing w:line="240" w:lineRule="auto"/>
        <w:rPr>
          <w:rFonts w:eastAsia="Times New Roman" w:cs="Arial"/>
          <w:color w:val="000000"/>
          <w:lang w:eastAsia="bg-BG"/>
        </w:rPr>
      </w:pPr>
    </w:p>
    <w:p w14:paraId="10084D2F" w14:textId="461BFBD8"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При прием на противозачатъчна таблетка може вследствие на отслабване действието на хормоналните контрацептиви внезапно да се появят междинни кръвотечения. В такива случаи се препоръчва да се прилагат някои алтернативни нехормонални контрацептивни методи.</w:t>
      </w:r>
    </w:p>
    <w:p w14:paraId="62A9321F" w14:textId="77777777" w:rsidR="006F413A" w:rsidRPr="006F413A" w:rsidRDefault="006F413A" w:rsidP="006F413A">
      <w:pPr>
        <w:spacing w:line="240" w:lineRule="auto"/>
        <w:rPr>
          <w:rFonts w:eastAsia="Times New Roman" w:cs="Arial"/>
          <w:color w:val="000000"/>
          <w:lang w:eastAsia="bg-BG"/>
        </w:rPr>
      </w:pPr>
    </w:p>
    <w:p w14:paraId="2985C94F" w14:textId="4B0D920F"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може да намали или увеличи плазмената концентрация на фенитоин, което в изключителни случаи може да предизвика състояние на обърканост, достигащо понякога до кома.</w:t>
      </w:r>
    </w:p>
    <w:p w14:paraId="3C5ACA54" w14:textId="77777777" w:rsidR="006F413A" w:rsidRPr="006F413A" w:rsidRDefault="006F413A" w:rsidP="006F413A">
      <w:pPr>
        <w:spacing w:line="240" w:lineRule="auto"/>
        <w:rPr>
          <w:rFonts w:eastAsia="Times New Roman" w:cs="Arial"/>
          <w:color w:val="000000"/>
          <w:lang w:eastAsia="bg-BG"/>
        </w:rPr>
      </w:pPr>
    </w:p>
    <w:p w14:paraId="0C88AF3F" w14:textId="0FF4C5F4"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може да понижи плазмените нива на бупропион и да повиши това на неговият метаболит худроксибупропион, което намалява клиничната ефикасност и сигурност на бупропион. Карбамазепин може да понижи плазмените нива на тразодон, но засилва антидепресивният му ефект.</w:t>
      </w:r>
    </w:p>
    <w:p w14:paraId="72B7CBAA" w14:textId="77777777" w:rsidR="006F413A" w:rsidRPr="006F413A" w:rsidRDefault="006F413A" w:rsidP="006F413A">
      <w:pPr>
        <w:spacing w:line="240" w:lineRule="auto"/>
        <w:rPr>
          <w:rFonts w:eastAsia="Times New Roman" w:cs="Arial"/>
        </w:rPr>
      </w:pPr>
      <w:r w:rsidRPr="006F413A">
        <w:rPr>
          <w:rFonts w:eastAsia="Times New Roman" w:cs="Arial"/>
          <w:color w:val="000000"/>
          <w:lang w:eastAsia="bg-BG"/>
        </w:rPr>
        <w:t>Възможно е карбамазепин да увеличи скоростта на метаболизирането на зотепин.</w:t>
      </w:r>
    </w:p>
    <w:p w14:paraId="5843772C" w14:textId="77777777" w:rsidR="006F413A" w:rsidRPr="006F413A" w:rsidRDefault="006F413A" w:rsidP="006F413A">
      <w:pPr>
        <w:spacing w:line="240" w:lineRule="auto"/>
        <w:rPr>
          <w:rFonts w:eastAsia="Times New Roman" w:cs="Arial"/>
          <w:color w:val="000000"/>
          <w:lang w:eastAsia="bg-BG"/>
        </w:rPr>
      </w:pPr>
    </w:p>
    <w:p w14:paraId="100D396A" w14:textId="0210C433" w:rsidR="006F413A" w:rsidRPr="006F413A" w:rsidRDefault="006F413A" w:rsidP="006F413A">
      <w:pPr>
        <w:spacing w:line="240" w:lineRule="auto"/>
        <w:rPr>
          <w:rFonts w:eastAsia="Times New Roman" w:cs="Arial"/>
        </w:rPr>
      </w:pPr>
      <w:r w:rsidRPr="006F413A">
        <w:rPr>
          <w:rFonts w:eastAsia="Times New Roman" w:cs="Arial"/>
          <w:color w:val="000000"/>
          <w:lang w:eastAsia="bg-BG"/>
        </w:rPr>
        <w:t>От друга страна плазменото ниво на фармакологично активния метаболит карбамазепин-10,11- епоксид може да се повиши от валпроева киселина и от примидон.</w:t>
      </w:r>
    </w:p>
    <w:p w14:paraId="3A82500F" w14:textId="77777777" w:rsidR="006F413A" w:rsidRPr="006F413A" w:rsidRDefault="006F413A" w:rsidP="006F413A">
      <w:pPr>
        <w:spacing w:line="240" w:lineRule="auto"/>
        <w:rPr>
          <w:rFonts w:eastAsia="Times New Roman" w:cs="Arial"/>
          <w:color w:val="000000"/>
          <w:lang w:eastAsia="bg-BG"/>
        </w:rPr>
      </w:pPr>
    </w:p>
    <w:p w14:paraId="66604656" w14:textId="2F3FB7FE"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При едновременен прием с фелбамат може плазменото ниво на карбамазепин да бъде понижено и плазменото ниво на карбамазепин- 10,11-епоксид да бъде повишено. Едновременен прием може да доведе и до понижаване нивата на фелбамат.</w:t>
      </w:r>
    </w:p>
    <w:p w14:paraId="01351E5F" w14:textId="77777777" w:rsidR="006F413A" w:rsidRPr="006F413A" w:rsidRDefault="006F413A" w:rsidP="006F413A">
      <w:pPr>
        <w:spacing w:line="240" w:lineRule="auto"/>
        <w:rPr>
          <w:rFonts w:eastAsia="Times New Roman" w:cs="Arial"/>
          <w:color w:val="000000"/>
          <w:lang w:eastAsia="bg-BG"/>
        </w:rPr>
      </w:pPr>
    </w:p>
    <w:p w14:paraId="16773F3D" w14:textId="34461F8C" w:rsidR="006F413A" w:rsidRPr="006F413A" w:rsidRDefault="006F413A" w:rsidP="006F413A">
      <w:pPr>
        <w:spacing w:line="240" w:lineRule="auto"/>
        <w:rPr>
          <w:rFonts w:eastAsia="Times New Roman" w:cs="Arial"/>
        </w:rPr>
      </w:pPr>
      <w:r w:rsidRPr="006F413A">
        <w:rPr>
          <w:rFonts w:eastAsia="Times New Roman" w:cs="Arial"/>
          <w:color w:val="000000"/>
          <w:lang w:eastAsia="bg-BG"/>
        </w:rPr>
        <w:t>Поради вероятността от взаимно повлияване, особено при временен прием на повече антиконвулсанти се препоръчва да се контролира плазменото ниво на карбамазепин и съответно да се промени дозировката.</w:t>
      </w:r>
    </w:p>
    <w:p w14:paraId="7319AEF7" w14:textId="77777777" w:rsidR="006F413A" w:rsidRPr="006F413A" w:rsidRDefault="006F413A" w:rsidP="006F413A">
      <w:pPr>
        <w:spacing w:line="240" w:lineRule="auto"/>
        <w:rPr>
          <w:rFonts w:eastAsia="Times New Roman" w:cs="Arial"/>
          <w:color w:val="000000"/>
          <w:lang w:eastAsia="bg-BG"/>
        </w:rPr>
      </w:pPr>
    </w:p>
    <w:p w14:paraId="77C1D382" w14:textId="729C5945" w:rsidR="006F413A" w:rsidRPr="006F413A" w:rsidRDefault="006F413A" w:rsidP="006F413A">
      <w:pPr>
        <w:spacing w:line="240" w:lineRule="auto"/>
        <w:rPr>
          <w:rFonts w:eastAsia="Times New Roman" w:cs="Arial"/>
        </w:rPr>
      </w:pPr>
      <w:r w:rsidRPr="006F413A">
        <w:rPr>
          <w:rFonts w:eastAsia="Times New Roman" w:cs="Arial"/>
          <w:color w:val="000000"/>
          <w:lang w:eastAsia="bg-BG"/>
        </w:rPr>
        <w:t>При едновременен прием на изотретиноин (лекарствен продукт за лечение на акне) и карбамазепин, трябва да се контролира плазменото ниво на карбамазепин, тъй като има съобщения за неочаквани промени в бионаличността на карбамазепин и неговите метаболити.</w:t>
      </w:r>
    </w:p>
    <w:p w14:paraId="0B908410" w14:textId="77777777" w:rsidR="006F413A" w:rsidRPr="006F413A" w:rsidRDefault="006F413A" w:rsidP="006F413A">
      <w:pPr>
        <w:spacing w:line="240" w:lineRule="auto"/>
        <w:rPr>
          <w:rFonts w:eastAsia="Times New Roman" w:cs="Arial"/>
          <w:color w:val="000000"/>
          <w:lang w:eastAsia="bg-BG"/>
        </w:rPr>
      </w:pPr>
    </w:p>
    <w:p w14:paraId="61DC25F3" w14:textId="3B5A2028" w:rsidR="006F413A" w:rsidRPr="006F413A" w:rsidRDefault="006F413A" w:rsidP="006F413A">
      <w:pPr>
        <w:spacing w:line="240" w:lineRule="auto"/>
        <w:rPr>
          <w:rFonts w:eastAsia="Times New Roman" w:cs="Arial"/>
        </w:rPr>
      </w:pPr>
      <w:r w:rsidRPr="006F413A">
        <w:rPr>
          <w:rFonts w:eastAsia="Times New Roman" w:cs="Arial"/>
          <w:color w:val="000000"/>
          <w:lang w:eastAsia="bg-BG"/>
        </w:rPr>
        <w:t>Карбамазепин вероятно засилва елиминирането на хормоните на щитовидната жлеза, което повишава нуждата от тях при пациенти с понижена функция на жлезата. Затова при тези пациенти трябва да се провежда заместителна терапия, а в началото и края на лечението с карбамазепин да се определят хормоните на щитовидната жлеза и съответно да се предприеме корекция на дозата на съответните хормонални продукти.</w:t>
      </w:r>
    </w:p>
    <w:p w14:paraId="6FEAB968" w14:textId="77777777" w:rsidR="006F413A" w:rsidRPr="006F413A" w:rsidRDefault="006F413A" w:rsidP="006F413A">
      <w:pPr>
        <w:spacing w:line="240" w:lineRule="auto"/>
        <w:rPr>
          <w:rFonts w:eastAsia="Times New Roman" w:cs="Arial"/>
          <w:color w:val="000000"/>
          <w:lang w:eastAsia="bg-BG"/>
        </w:rPr>
      </w:pPr>
    </w:p>
    <w:p w14:paraId="55A8C1B4" w14:textId="42271202" w:rsidR="006F413A" w:rsidRPr="006F413A" w:rsidRDefault="006F413A" w:rsidP="006F413A">
      <w:pPr>
        <w:spacing w:line="240" w:lineRule="auto"/>
        <w:rPr>
          <w:rFonts w:eastAsia="Times New Roman" w:cs="Arial"/>
        </w:rPr>
      </w:pPr>
      <w:r w:rsidRPr="006F413A">
        <w:rPr>
          <w:rFonts w:eastAsia="Times New Roman" w:cs="Arial"/>
          <w:color w:val="000000"/>
          <w:lang w:eastAsia="bg-BG"/>
        </w:rPr>
        <w:t>Едновременният прием на антидепресанти от типа на инхибиторите на метаболизма на серотонина (напр. флуоксетин) може да доведе до токсичен серотонинов синдром.</w:t>
      </w:r>
    </w:p>
    <w:p w14:paraId="7D5EA7DC" w14:textId="77777777" w:rsidR="006F413A" w:rsidRPr="006F413A" w:rsidRDefault="006F413A" w:rsidP="006F413A"/>
    <w:p w14:paraId="394A7584" w14:textId="05FCBE35" w:rsidR="004F498A" w:rsidRDefault="002C50EE" w:rsidP="004A448E">
      <w:pPr>
        <w:pStyle w:val="Heading2"/>
      </w:pPr>
      <w:r>
        <w:t>4.6. Фертилитет, бременност и кърмене</w:t>
      </w:r>
    </w:p>
    <w:p w14:paraId="4C19A8A2" w14:textId="0F671D3B" w:rsidR="006F413A" w:rsidRDefault="006F413A" w:rsidP="006F413A"/>
    <w:p w14:paraId="4ACE146A" w14:textId="77777777" w:rsidR="006F413A" w:rsidRPr="006F413A" w:rsidRDefault="006F413A" w:rsidP="006F413A">
      <w:pPr>
        <w:pStyle w:val="Heading3"/>
        <w:rPr>
          <w:rFonts w:eastAsia="Times New Roman"/>
          <w:sz w:val="28"/>
          <w:u w:val="single"/>
        </w:rPr>
      </w:pPr>
      <w:r w:rsidRPr="006F413A">
        <w:rPr>
          <w:rFonts w:eastAsia="Times New Roman"/>
          <w:u w:val="single"/>
          <w:lang w:eastAsia="bg-BG"/>
        </w:rPr>
        <w:t>Бременност</w:t>
      </w:r>
    </w:p>
    <w:p w14:paraId="01D913C3" w14:textId="0512875C" w:rsidR="006F413A" w:rsidRPr="006F413A" w:rsidRDefault="006F413A" w:rsidP="006F413A">
      <w:pPr>
        <w:rPr>
          <w:rFonts w:eastAsia="Times New Roman" w:cs="Arial"/>
          <w:color w:val="000000"/>
          <w:szCs w:val="20"/>
          <w:lang w:eastAsia="bg-BG"/>
        </w:rPr>
      </w:pPr>
      <w:r w:rsidRPr="006F413A">
        <w:rPr>
          <w:rFonts w:eastAsia="Times New Roman" w:cs="Arial"/>
          <w:color w:val="000000"/>
          <w:szCs w:val="20"/>
          <w:lang w:eastAsia="bg-BG"/>
        </w:rPr>
        <w:t>Карбамазепин може да се предписва по време на бременност и кърмене само след строга преценка на съотношението полза/риск.</w:t>
      </w:r>
    </w:p>
    <w:p w14:paraId="32DF9935" w14:textId="4705565A" w:rsidR="006F413A" w:rsidRPr="006F413A" w:rsidRDefault="006F413A" w:rsidP="006F413A">
      <w:pPr>
        <w:rPr>
          <w:rFonts w:eastAsia="Times New Roman" w:cs="Arial"/>
          <w:color w:val="000000"/>
          <w:szCs w:val="20"/>
          <w:lang w:eastAsia="bg-BG"/>
        </w:rPr>
      </w:pPr>
    </w:p>
    <w:p w14:paraId="6AF1E329"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При приложение на карбамазепин при животни са получени доказателства за ембрионална смърт, забавяне на растежа и дефекти (вж. точка 5.3).</w:t>
      </w:r>
    </w:p>
    <w:p w14:paraId="3CE6929E" w14:textId="77777777" w:rsidR="006F413A" w:rsidRPr="006F413A" w:rsidRDefault="006F413A" w:rsidP="006F413A">
      <w:pPr>
        <w:spacing w:line="240" w:lineRule="auto"/>
        <w:rPr>
          <w:rFonts w:eastAsia="Times New Roman" w:cs="Arial"/>
          <w:color w:val="000000"/>
          <w:szCs w:val="20"/>
          <w:lang w:eastAsia="bg-BG"/>
        </w:rPr>
      </w:pPr>
    </w:p>
    <w:p w14:paraId="5CA47D99" w14:textId="2F5DCF4D"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 xml:space="preserve">Известно е, че поколението на майки с нелекувана епилепсия е предразположено към нарушения в развитието, включително малформации. Получени са съобщения относно вероятността карбамазепин, както и всички основни антиепилептични лекарства да повиши риска, макар че липсват категорични доказателства от контролирани проучвания с монотерапия с карбамазепин. Все пак, във връзка с приложението на карбамазепин има </w:t>
      </w:r>
      <w:r w:rsidRPr="006F413A">
        <w:rPr>
          <w:rFonts w:eastAsia="Times New Roman" w:cs="Arial"/>
          <w:color w:val="000000"/>
          <w:szCs w:val="20"/>
          <w:lang w:eastAsia="bg-BG"/>
        </w:rPr>
        <w:lastRenderedPageBreak/>
        <w:t xml:space="preserve">получени съобщения за нарушения на развитието и малформации, включващи </w:t>
      </w:r>
      <w:proofErr w:type="spellStart"/>
      <w:r w:rsidRPr="006F413A">
        <w:rPr>
          <w:rFonts w:eastAsia="Times New Roman" w:cs="Arial"/>
          <w:i/>
          <w:iCs/>
          <w:color w:val="000000"/>
          <w:szCs w:val="20"/>
          <w:lang w:val="en-US"/>
        </w:rPr>
        <w:t>spina</w:t>
      </w:r>
      <w:proofErr w:type="spellEnd"/>
      <w:r w:rsidRPr="006F413A">
        <w:rPr>
          <w:rFonts w:eastAsia="Times New Roman" w:cs="Arial"/>
          <w:i/>
          <w:iCs/>
          <w:color w:val="000000"/>
          <w:szCs w:val="20"/>
          <w:lang w:val="ru-RU"/>
        </w:rPr>
        <w:t xml:space="preserve"> </w:t>
      </w:r>
      <w:r w:rsidRPr="006F413A">
        <w:rPr>
          <w:rFonts w:eastAsia="Times New Roman" w:cs="Arial"/>
          <w:i/>
          <w:iCs/>
          <w:color w:val="000000"/>
          <w:szCs w:val="20"/>
          <w:lang w:val="en-US"/>
        </w:rPr>
        <w:t>bifida</w:t>
      </w:r>
      <w:r w:rsidRPr="006F413A">
        <w:rPr>
          <w:rFonts w:eastAsia="Times New Roman" w:cs="Arial"/>
          <w:i/>
          <w:iCs/>
          <w:color w:val="000000"/>
          <w:szCs w:val="20"/>
          <w:lang w:val="ru-RU"/>
        </w:rPr>
        <w:t>,</w:t>
      </w:r>
      <w:r w:rsidRPr="006F413A">
        <w:rPr>
          <w:rFonts w:eastAsia="Times New Roman" w:cs="Arial"/>
          <w:color w:val="000000"/>
          <w:szCs w:val="20"/>
          <w:lang w:val="ru-RU"/>
        </w:rPr>
        <w:t xml:space="preserve"> </w:t>
      </w:r>
      <w:r w:rsidRPr="006F413A">
        <w:rPr>
          <w:rFonts w:eastAsia="Times New Roman" w:cs="Arial"/>
          <w:color w:val="000000"/>
          <w:szCs w:val="20"/>
          <w:lang w:eastAsia="bg-BG"/>
        </w:rPr>
        <w:t>както и други вродени аномалии като краниофациални дефекти, сърдечно-съдови малформации, хипоспадия и аномалии ангажиращи различни системи на организма.</w:t>
      </w:r>
    </w:p>
    <w:p w14:paraId="5A015C4F" w14:textId="77777777" w:rsidR="006F413A" w:rsidRPr="006F413A" w:rsidRDefault="006F413A" w:rsidP="006F413A">
      <w:pPr>
        <w:spacing w:line="240" w:lineRule="auto"/>
        <w:rPr>
          <w:rFonts w:eastAsia="Times New Roman" w:cs="Arial"/>
          <w:color w:val="000000"/>
          <w:szCs w:val="20"/>
          <w:lang w:eastAsia="bg-BG"/>
        </w:rPr>
      </w:pPr>
    </w:p>
    <w:p w14:paraId="2D735164" w14:textId="74938279"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Да се имат предвид следните съображения:</w:t>
      </w:r>
    </w:p>
    <w:p w14:paraId="383C9E98" w14:textId="77777777" w:rsidR="006F413A" w:rsidRPr="006F413A" w:rsidRDefault="006F413A" w:rsidP="006F413A">
      <w:pPr>
        <w:pStyle w:val="ListParagraph"/>
        <w:numPr>
          <w:ilvl w:val="0"/>
          <w:numId w:val="41"/>
        </w:numPr>
        <w:spacing w:line="240" w:lineRule="auto"/>
        <w:rPr>
          <w:rFonts w:eastAsia="Times New Roman" w:cs="Arial"/>
          <w:sz w:val="28"/>
          <w:szCs w:val="24"/>
        </w:rPr>
      </w:pPr>
      <w:r w:rsidRPr="006F413A">
        <w:rPr>
          <w:rFonts w:eastAsia="Times New Roman" w:cs="Arial"/>
          <w:color w:val="000000"/>
          <w:szCs w:val="20"/>
          <w:lang w:eastAsia="bg-BG"/>
        </w:rPr>
        <w:t>Бременните жени с епилепсия трябва да бъдат лекувани с повишена предпазливост</w:t>
      </w:r>
    </w:p>
    <w:p w14:paraId="5B6F66ED" w14:textId="777EE359" w:rsidR="006F413A" w:rsidRPr="006F413A" w:rsidRDefault="006F413A" w:rsidP="006F413A">
      <w:pPr>
        <w:pStyle w:val="ListParagraph"/>
        <w:numPr>
          <w:ilvl w:val="0"/>
          <w:numId w:val="41"/>
        </w:numPr>
        <w:spacing w:line="240" w:lineRule="auto"/>
        <w:rPr>
          <w:rFonts w:eastAsia="Times New Roman" w:cs="Arial"/>
          <w:sz w:val="28"/>
          <w:szCs w:val="24"/>
        </w:rPr>
      </w:pPr>
      <w:r w:rsidRPr="006F413A">
        <w:rPr>
          <w:rFonts w:eastAsia="Times New Roman" w:cs="Arial"/>
          <w:color w:val="000000"/>
          <w:szCs w:val="20"/>
          <w:lang w:eastAsia="bg-BG"/>
        </w:rPr>
        <w:t>При възникване на бременност при жена, която е на лечение с карбамазепин или ако по</w:t>
      </w:r>
      <w:r w:rsidRPr="006F413A">
        <w:rPr>
          <w:rFonts w:eastAsia="Times New Roman" w:cs="Arial"/>
          <w:color w:val="000000"/>
          <w:szCs w:val="20"/>
          <w:lang w:val="ru-RU" w:eastAsia="bg-BG"/>
        </w:rPr>
        <w:t xml:space="preserve"> </w:t>
      </w:r>
      <w:r w:rsidRPr="006F413A">
        <w:rPr>
          <w:rFonts w:eastAsia="Times New Roman" w:cs="Arial"/>
          <w:color w:val="000000"/>
          <w:szCs w:val="20"/>
          <w:lang w:eastAsia="bg-BG"/>
        </w:rPr>
        <w:t>време на бременност се появи проблем налагащ лечение с карбамазепин, потенциалните ефекти на лечението трябва да бъдат внимателно преценени спрямо възможните рискове, особено през първите три месеца от бременността.</w:t>
      </w:r>
    </w:p>
    <w:p w14:paraId="5BCC753A" w14:textId="2CC83788" w:rsidR="006F413A" w:rsidRPr="006F413A" w:rsidRDefault="006F413A" w:rsidP="006F413A">
      <w:pPr>
        <w:pStyle w:val="ListParagraph"/>
        <w:numPr>
          <w:ilvl w:val="0"/>
          <w:numId w:val="42"/>
        </w:numPr>
        <w:spacing w:line="240" w:lineRule="auto"/>
        <w:rPr>
          <w:rFonts w:eastAsia="Times New Roman" w:cs="Arial"/>
          <w:sz w:val="28"/>
          <w:szCs w:val="24"/>
        </w:rPr>
      </w:pPr>
      <w:r w:rsidRPr="006F413A">
        <w:rPr>
          <w:rFonts w:eastAsia="Times New Roman" w:cs="Arial"/>
          <w:color w:val="000000"/>
          <w:szCs w:val="20"/>
          <w:lang w:eastAsia="bg-BG"/>
        </w:rPr>
        <w:t>При жени с детероден потенциал карбамазепин трябва когато това е възможно да се изписва като монотерапия, тъй като честотата на вродените аномалии в поколението на жени лекувани с комбинация от антиепилептици е по-висок отколкото при такива, които са получавали отделните лекарства като монотерапия.</w:t>
      </w:r>
    </w:p>
    <w:p w14:paraId="64869F57" w14:textId="77777777" w:rsidR="006F413A" w:rsidRPr="006F413A" w:rsidRDefault="006F413A" w:rsidP="006F413A">
      <w:pPr>
        <w:pStyle w:val="ListParagraph"/>
        <w:numPr>
          <w:ilvl w:val="0"/>
          <w:numId w:val="42"/>
        </w:numPr>
        <w:spacing w:line="240" w:lineRule="auto"/>
        <w:rPr>
          <w:rFonts w:eastAsia="Times New Roman" w:cs="Arial"/>
          <w:sz w:val="28"/>
          <w:szCs w:val="24"/>
        </w:rPr>
      </w:pPr>
      <w:r w:rsidRPr="006F413A">
        <w:rPr>
          <w:rFonts w:eastAsia="Times New Roman" w:cs="Arial"/>
          <w:color w:val="000000"/>
          <w:szCs w:val="20"/>
          <w:lang w:eastAsia="bg-BG"/>
        </w:rPr>
        <w:t>Препоръчва се прилагане на минималните ефективни дози и мониториране на плазмените нива.</w:t>
      </w:r>
    </w:p>
    <w:p w14:paraId="2E7CFB1E" w14:textId="77777777" w:rsidR="006F413A" w:rsidRPr="006F413A" w:rsidRDefault="006F413A" w:rsidP="006F413A">
      <w:pPr>
        <w:pStyle w:val="ListParagraph"/>
        <w:numPr>
          <w:ilvl w:val="0"/>
          <w:numId w:val="42"/>
        </w:numPr>
        <w:spacing w:line="240" w:lineRule="auto"/>
        <w:rPr>
          <w:rFonts w:eastAsia="Times New Roman" w:cs="Arial"/>
          <w:sz w:val="28"/>
          <w:szCs w:val="24"/>
        </w:rPr>
      </w:pPr>
      <w:r w:rsidRPr="006F413A">
        <w:rPr>
          <w:rFonts w:eastAsia="Times New Roman" w:cs="Arial"/>
          <w:color w:val="000000"/>
          <w:szCs w:val="20"/>
          <w:lang w:eastAsia="bg-BG"/>
        </w:rPr>
        <w:t>Пациентите трябва да бъдат съветвани относно възможността от повишен риск от малформации и да им бъде предоставена възможност за антенатален скрининг.</w:t>
      </w:r>
    </w:p>
    <w:p w14:paraId="7D8E4F63" w14:textId="759A2829" w:rsidR="006F413A" w:rsidRPr="006F413A" w:rsidRDefault="006F413A" w:rsidP="006F413A">
      <w:pPr>
        <w:pStyle w:val="ListParagraph"/>
        <w:numPr>
          <w:ilvl w:val="0"/>
          <w:numId w:val="42"/>
        </w:numPr>
        <w:spacing w:line="240" w:lineRule="auto"/>
        <w:rPr>
          <w:rFonts w:eastAsia="Times New Roman" w:cs="Arial"/>
          <w:sz w:val="28"/>
          <w:szCs w:val="24"/>
        </w:rPr>
      </w:pPr>
      <w:r w:rsidRPr="006F413A">
        <w:rPr>
          <w:rFonts w:eastAsia="Times New Roman" w:cs="Arial"/>
          <w:color w:val="000000"/>
          <w:szCs w:val="20"/>
          <w:lang w:eastAsia="bg-BG"/>
        </w:rPr>
        <w:t>Ефективната антиепилептична терапия не трябва да бъде прекъсвана по време на</w:t>
      </w:r>
      <w:r w:rsidRPr="006F413A">
        <w:rPr>
          <w:rFonts w:eastAsia="Times New Roman" w:cs="Arial"/>
          <w:color w:val="000000"/>
          <w:szCs w:val="20"/>
          <w:lang w:val="ru-RU" w:eastAsia="bg-BG"/>
        </w:rPr>
        <w:t xml:space="preserve"> </w:t>
      </w:r>
      <w:r w:rsidRPr="006F413A">
        <w:rPr>
          <w:rFonts w:eastAsia="Times New Roman" w:cs="Arial"/>
          <w:color w:val="000000"/>
          <w:szCs w:val="20"/>
          <w:lang w:eastAsia="bg-BG"/>
        </w:rPr>
        <w:t>бременност, тъй като влошаването на заболяването е пагубно за майката и фетусите.</w:t>
      </w:r>
    </w:p>
    <w:p w14:paraId="6E16E1B7" w14:textId="77777777" w:rsidR="006F413A" w:rsidRPr="006F413A" w:rsidRDefault="006F413A" w:rsidP="006F413A">
      <w:pPr>
        <w:spacing w:line="240" w:lineRule="auto"/>
        <w:rPr>
          <w:rFonts w:eastAsia="Times New Roman" w:cs="Arial"/>
          <w:color w:val="000000"/>
          <w:szCs w:val="20"/>
          <w:lang w:eastAsia="bg-BG"/>
        </w:rPr>
      </w:pPr>
    </w:p>
    <w:p w14:paraId="57888A97" w14:textId="013F2263"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На жени във фертилна възраст, преди започване на лечение трябва добре да се обясни необходимостта от планиране на бремеността и от стриктен контрол по време на бременността.</w:t>
      </w:r>
    </w:p>
    <w:p w14:paraId="2C39A5FD"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В случай на съществуваща или настъпила бременност, особено между 20-ия и 40-ия ден, трябва да се използват възможно най-ниски дози за контролиране на пристъпите.</w:t>
      </w:r>
    </w:p>
    <w:p w14:paraId="29B315BA" w14:textId="77777777" w:rsidR="006F413A" w:rsidRPr="006F413A" w:rsidRDefault="006F413A" w:rsidP="006F413A">
      <w:pPr>
        <w:spacing w:line="240" w:lineRule="auto"/>
        <w:rPr>
          <w:rFonts w:eastAsia="Times New Roman" w:cs="Arial"/>
          <w:color w:val="000000"/>
          <w:szCs w:val="20"/>
          <w:lang w:eastAsia="bg-BG"/>
        </w:rPr>
      </w:pPr>
    </w:p>
    <w:p w14:paraId="3AA19A4D" w14:textId="7EDE1AB2"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Тъй като при много високи плазмени концентрации не е изключен рискът от вродени малформации, дневната доза трябва да се разпредели на повече отделни приеми през целия ден.</w:t>
      </w:r>
    </w:p>
    <w:p w14:paraId="21581864" w14:textId="77777777" w:rsidR="006F413A" w:rsidRPr="006F413A" w:rsidRDefault="006F413A" w:rsidP="006F413A">
      <w:pPr>
        <w:spacing w:line="240" w:lineRule="auto"/>
        <w:rPr>
          <w:rFonts w:eastAsia="Times New Roman" w:cs="Arial"/>
          <w:color w:val="000000"/>
          <w:szCs w:val="20"/>
          <w:lang w:eastAsia="bg-BG"/>
        </w:rPr>
      </w:pPr>
    </w:p>
    <w:p w14:paraId="64A94912" w14:textId="56554C2C"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По време на бременността се препоръчва постоянен контрол на плазменото ниво и поддържането му в ниски терапевтични граници (3 до 7 μ</w:t>
      </w:r>
      <w:r w:rsidRPr="006F413A">
        <w:rPr>
          <w:rFonts w:eastAsia="Times New Roman" w:cs="Arial"/>
          <w:color w:val="000000"/>
          <w:szCs w:val="20"/>
          <w:lang w:val="en-US"/>
        </w:rPr>
        <w:t>g</w:t>
      </w:r>
      <w:r w:rsidRPr="006F413A">
        <w:rPr>
          <w:rFonts w:eastAsia="Times New Roman" w:cs="Arial"/>
          <w:color w:val="000000"/>
          <w:szCs w:val="20"/>
          <w:lang w:val="ru-RU"/>
        </w:rPr>
        <w:t>/</w:t>
      </w:r>
      <w:r w:rsidRPr="006F413A">
        <w:rPr>
          <w:rFonts w:eastAsia="Times New Roman" w:cs="Arial"/>
          <w:color w:val="000000"/>
          <w:szCs w:val="20"/>
          <w:lang w:val="en-US"/>
        </w:rPr>
        <w:t>ml</w:t>
      </w:r>
      <w:r w:rsidRPr="006F413A">
        <w:rPr>
          <w:rFonts w:eastAsia="Times New Roman" w:cs="Arial"/>
          <w:color w:val="000000"/>
          <w:szCs w:val="20"/>
          <w:lang w:val="ru-RU"/>
        </w:rPr>
        <w:t xml:space="preserve"> </w:t>
      </w:r>
      <w:r w:rsidRPr="006F413A">
        <w:rPr>
          <w:rFonts w:eastAsia="Times New Roman" w:cs="Arial"/>
          <w:color w:val="000000"/>
          <w:szCs w:val="20"/>
          <w:lang w:eastAsia="bg-BG"/>
        </w:rPr>
        <w:t>или 18-30 μ</w:t>
      </w:r>
      <w:proofErr w:type="spellStart"/>
      <w:r w:rsidRPr="006F413A">
        <w:rPr>
          <w:rFonts w:eastAsia="Times New Roman" w:cs="Arial"/>
          <w:color w:val="000000"/>
          <w:szCs w:val="20"/>
          <w:lang w:val="en-US"/>
        </w:rPr>
        <w:t>mol</w:t>
      </w:r>
      <w:proofErr w:type="spellEnd"/>
      <w:r w:rsidRPr="006F413A">
        <w:rPr>
          <w:rFonts w:eastAsia="Times New Roman" w:cs="Arial"/>
          <w:color w:val="000000"/>
          <w:szCs w:val="20"/>
          <w:lang w:val="ru-RU"/>
        </w:rPr>
        <w:t>/1).</w:t>
      </w:r>
    </w:p>
    <w:p w14:paraId="4D653438"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Комбинацията с други антиконвулсанти по време на бременност по възможност трябва да се избягва, тъй като рискът от малформация се увеличава.</w:t>
      </w:r>
    </w:p>
    <w:p w14:paraId="32618120" w14:textId="77777777" w:rsidR="006F413A" w:rsidRPr="006F413A" w:rsidRDefault="006F413A" w:rsidP="006F413A">
      <w:pPr>
        <w:spacing w:line="240" w:lineRule="auto"/>
        <w:rPr>
          <w:rFonts w:eastAsia="Times New Roman" w:cs="Arial"/>
          <w:i/>
          <w:iCs/>
          <w:color w:val="000000"/>
          <w:szCs w:val="20"/>
          <w:lang w:eastAsia="bg-BG"/>
        </w:rPr>
      </w:pPr>
    </w:p>
    <w:p w14:paraId="3E912BC6" w14:textId="4BAC7717"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Мониторинг и превенция</w:t>
      </w:r>
    </w:p>
    <w:p w14:paraId="62492631"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Дефицитът на фолиева киселина вследствие на ензимна индукция причинена от карбамазепин, може да има роля в появата на фетални аномалии. Поради това прием на фолиева киселина преди и по време на бременността може да има благоприятен ефект.</w:t>
      </w:r>
    </w:p>
    <w:p w14:paraId="2B4B08C8"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Поради ензиминдуциращите свойства на карбамазепин се препоръчва прием на фолиева киселина преди и по време на бремеността.</w:t>
      </w:r>
    </w:p>
    <w:p w14:paraId="32CE9B34" w14:textId="59E4D314" w:rsidR="006F413A" w:rsidRPr="006F413A" w:rsidRDefault="006F413A" w:rsidP="006F413A">
      <w:pPr>
        <w:rPr>
          <w:rFonts w:eastAsia="Times New Roman" w:cs="Arial"/>
          <w:color w:val="000000"/>
          <w:szCs w:val="20"/>
          <w:lang w:val="ru-RU"/>
        </w:rPr>
      </w:pPr>
      <w:r w:rsidRPr="006F413A">
        <w:rPr>
          <w:rFonts w:eastAsia="Times New Roman" w:cs="Arial"/>
          <w:color w:val="000000"/>
          <w:szCs w:val="20"/>
          <w:lang w:eastAsia="bg-BG"/>
        </w:rPr>
        <w:t xml:space="preserve">За да се избегнат проблеми с кръвосъсирването в последните седмици на бременността, респективно след раждането, при новороденото се препоръчва профилактичен прием на витамин </w:t>
      </w:r>
      <w:r w:rsidRPr="006F413A">
        <w:rPr>
          <w:rFonts w:eastAsia="Times New Roman" w:cs="Arial"/>
          <w:color w:val="000000"/>
          <w:szCs w:val="20"/>
          <w:lang w:val="en-US"/>
        </w:rPr>
        <w:t>K</w:t>
      </w:r>
      <w:r w:rsidRPr="006F413A">
        <w:rPr>
          <w:rFonts w:eastAsia="Times New Roman" w:cs="Arial"/>
          <w:color w:val="000000"/>
          <w:szCs w:val="20"/>
          <w:vertAlign w:val="subscript"/>
          <w:lang w:val="ru-RU"/>
        </w:rPr>
        <w:t>1</w:t>
      </w:r>
      <w:r w:rsidRPr="006F413A">
        <w:rPr>
          <w:rFonts w:eastAsia="Times New Roman" w:cs="Arial"/>
          <w:color w:val="000000"/>
          <w:szCs w:val="20"/>
          <w:lang w:val="ru-RU"/>
        </w:rPr>
        <w:t>.</w:t>
      </w:r>
    </w:p>
    <w:p w14:paraId="3A8288F2" w14:textId="3CCC8E38" w:rsidR="006F413A" w:rsidRPr="006F413A" w:rsidRDefault="006F413A" w:rsidP="006F413A">
      <w:pPr>
        <w:rPr>
          <w:rFonts w:eastAsia="Times New Roman" w:cs="Arial"/>
          <w:color w:val="000000"/>
          <w:szCs w:val="20"/>
          <w:lang w:val="ru-RU"/>
        </w:rPr>
      </w:pPr>
    </w:p>
    <w:p w14:paraId="0635B293" w14:textId="77777777" w:rsidR="006F413A" w:rsidRPr="006F413A" w:rsidRDefault="006F413A" w:rsidP="006F413A">
      <w:pPr>
        <w:spacing w:line="240" w:lineRule="auto"/>
        <w:rPr>
          <w:rFonts w:eastAsia="Times New Roman" w:cs="Arial"/>
          <w:sz w:val="28"/>
          <w:szCs w:val="24"/>
        </w:rPr>
      </w:pPr>
      <w:r w:rsidRPr="006F413A">
        <w:rPr>
          <w:rFonts w:eastAsia="Times New Roman" w:cs="Arial"/>
          <w:i/>
          <w:iCs/>
          <w:color w:val="000000"/>
          <w:szCs w:val="20"/>
          <w:lang w:eastAsia="bg-BG"/>
        </w:rPr>
        <w:t>При новородени</w:t>
      </w:r>
    </w:p>
    <w:p w14:paraId="5510701E"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lastRenderedPageBreak/>
        <w:t>Има няколко съобщени случая на конвулсии и/или дихателна недостатъчност при новородени, както и случаи на повръщане, диария и/или намаляване на храненето във връзка с употребата на карбамазепин и други антиепилептици. Тези реакции може да са сигнал за синдром на отнемане при новороденото.</w:t>
      </w:r>
    </w:p>
    <w:p w14:paraId="34B46260" w14:textId="77777777" w:rsidR="006F413A" w:rsidRPr="006F413A" w:rsidRDefault="006F413A" w:rsidP="006F413A">
      <w:pPr>
        <w:spacing w:line="240" w:lineRule="auto"/>
        <w:rPr>
          <w:rFonts w:eastAsia="Times New Roman" w:cs="Arial"/>
          <w:color w:val="000000"/>
          <w:szCs w:val="20"/>
          <w:u w:val="single"/>
          <w:lang w:eastAsia="bg-BG"/>
        </w:rPr>
      </w:pPr>
    </w:p>
    <w:p w14:paraId="72AA2101" w14:textId="2D230CF2" w:rsidR="006F413A" w:rsidRPr="006F413A" w:rsidRDefault="006F413A" w:rsidP="006F413A">
      <w:pPr>
        <w:pStyle w:val="Heading3"/>
        <w:rPr>
          <w:rFonts w:eastAsia="Times New Roman"/>
          <w:sz w:val="28"/>
          <w:u w:val="single"/>
        </w:rPr>
      </w:pPr>
      <w:r w:rsidRPr="006F413A">
        <w:rPr>
          <w:rFonts w:eastAsia="Times New Roman"/>
          <w:u w:val="single"/>
          <w:lang w:eastAsia="bg-BG"/>
        </w:rPr>
        <w:t>Кърмене</w:t>
      </w:r>
    </w:p>
    <w:p w14:paraId="03C1066C" w14:textId="77777777" w:rsidR="006F413A" w:rsidRPr="006F413A" w:rsidRDefault="006F413A" w:rsidP="006F413A">
      <w:pPr>
        <w:spacing w:line="240" w:lineRule="auto"/>
        <w:rPr>
          <w:rFonts w:eastAsia="Times New Roman" w:cs="Arial"/>
          <w:sz w:val="28"/>
          <w:szCs w:val="24"/>
        </w:rPr>
      </w:pPr>
      <w:r w:rsidRPr="006F413A">
        <w:rPr>
          <w:rFonts w:eastAsia="Times New Roman" w:cs="Arial"/>
          <w:color w:val="000000"/>
          <w:szCs w:val="20"/>
          <w:lang w:eastAsia="bg-BG"/>
        </w:rPr>
        <w:t>Карбамазепин и физиологично активните му метаболити преминават в майчиното мляко (около 25- 60% от плазмените концентрации). Ползите от кърменето трябва да бъдат преценени спрямо риска от далечни нежелани реакции при кърмачето. Майките, които приемат карбамазепин могат да кърмят бебето при условие, че детето бъде наблюдавано за възможни нежелани реакции (напр. прекомерна сънливост, алергични кожни реакции).</w:t>
      </w:r>
    </w:p>
    <w:p w14:paraId="1F2015CF" w14:textId="1269D693" w:rsidR="006F413A" w:rsidRDefault="006F413A" w:rsidP="006F413A">
      <w:pPr>
        <w:spacing w:line="240" w:lineRule="auto"/>
        <w:rPr>
          <w:rFonts w:eastAsia="Times New Roman" w:cs="Arial"/>
          <w:color w:val="000000"/>
          <w:szCs w:val="20"/>
          <w:lang w:eastAsia="bg-BG"/>
        </w:rPr>
      </w:pPr>
      <w:r w:rsidRPr="006F413A">
        <w:rPr>
          <w:rFonts w:eastAsia="Times New Roman" w:cs="Arial"/>
          <w:color w:val="000000"/>
          <w:szCs w:val="20"/>
          <w:lang w:eastAsia="bg-BG"/>
        </w:rPr>
        <w:t>Кърменето трябва да се спре само в случай че се установи ненормално повишаване на телесното тегло или седиране при кърмачето.</w:t>
      </w:r>
    </w:p>
    <w:p w14:paraId="0159895E" w14:textId="77777777" w:rsidR="006F413A" w:rsidRPr="006F413A" w:rsidRDefault="006F413A" w:rsidP="006F413A">
      <w:pPr>
        <w:spacing w:line="240" w:lineRule="auto"/>
        <w:rPr>
          <w:rFonts w:eastAsia="Times New Roman" w:cs="Arial"/>
          <w:sz w:val="28"/>
          <w:szCs w:val="24"/>
        </w:rPr>
      </w:pPr>
    </w:p>
    <w:p w14:paraId="2CF15EFF" w14:textId="63B239F8" w:rsidR="006F413A" w:rsidRPr="006F413A" w:rsidRDefault="006F413A" w:rsidP="006F413A">
      <w:pPr>
        <w:pStyle w:val="Heading3"/>
        <w:rPr>
          <w:rFonts w:eastAsia="Times New Roman"/>
          <w:u w:val="single"/>
          <w:lang w:eastAsia="bg-BG"/>
        </w:rPr>
      </w:pPr>
      <w:r w:rsidRPr="006F413A">
        <w:rPr>
          <w:rFonts w:eastAsia="Times New Roman"/>
          <w:u w:val="single"/>
          <w:lang w:eastAsia="bg-BG"/>
        </w:rPr>
        <w:t>Фертилитет</w:t>
      </w:r>
    </w:p>
    <w:p w14:paraId="0E78E02D" w14:textId="4766DB40" w:rsidR="006F413A" w:rsidRDefault="006F413A" w:rsidP="006F413A">
      <w:pPr>
        <w:rPr>
          <w:rFonts w:ascii="Times New Roman" w:eastAsia="Times New Roman" w:hAnsi="Times New Roman" w:cs="Times New Roman"/>
          <w:color w:val="000000"/>
          <w:sz w:val="20"/>
          <w:szCs w:val="20"/>
          <w:lang w:eastAsia="bg-BG"/>
        </w:rPr>
      </w:pPr>
      <w:r w:rsidRPr="006F413A">
        <w:rPr>
          <w:rFonts w:eastAsia="Times New Roman" w:cs="Arial"/>
          <w:color w:val="000000"/>
          <w:szCs w:val="20"/>
          <w:lang w:eastAsia="bg-BG"/>
        </w:rPr>
        <w:t>Има получени редки съобщения за увреден фертилитет при мъже и/ или абнормна сперматогенеза.</w:t>
      </w:r>
    </w:p>
    <w:p w14:paraId="4FF5FF44" w14:textId="77777777" w:rsidR="006F413A" w:rsidRPr="006F413A" w:rsidRDefault="006F413A" w:rsidP="006F413A">
      <w:pPr>
        <w:rPr>
          <w:lang w:val="ru-RU"/>
        </w:rPr>
      </w:pPr>
    </w:p>
    <w:p w14:paraId="064DF1DE" w14:textId="46645811" w:rsidR="00CF77F7" w:rsidRDefault="002C50EE" w:rsidP="004A448E">
      <w:pPr>
        <w:pStyle w:val="Heading2"/>
      </w:pPr>
      <w:r>
        <w:t>4.7. Ефекти върху способността за шофиране и работа с машини</w:t>
      </w:r>
    </w:p>
    <w:p w14:paraId="129366C9" w14:textId="3BDAE1FF" w:rsidR="00F64CB3" w:rsidRDefault="00F64CB3" w:rsidP="00F64CB3"/>
    <w:p w14:paraId="5EAA11C0" w14:textId="77777777" w:rsidR="00F64CB3" w:rsidRPr="00F64CB3" w:rsidRDefault="00F64CB3" w:rsidP="00F64CB3">
      <w:pPr>
        <w:rPr>
          <w:sz w:val="24"/>
          <w:szCs w:val="24"/>
        </w:rPr>
      </w:pPr>
      <w:r w:rsidRPr="00F64CB3">
        <w:rPr>
          <w:lang w:eastAsia="bg-BG"/>
        </w:rPr>
        <w:t>Карбамазепин има значителен ефект върху реакциите на пациента, особено в началото на лечението. Реактивността на пациента може да е нарушена още повече когато се използват високи дози или комбинация от карбамазепин с други лекарства, които повлияват нервната система или алкохолни напитки. Пациентите трябва да бъдат предупредени за потенциалната опасност при шофирани и/ или работа с машини.</w:t>
      </w:r>
    </w:p>
    <w:p w14:paraId="19E51438" w14:textId="77777777" w:rsidR="00F64CB3" w:rsidRDefault="00F64CB3" w:rsidP="00F64CB3">
      <w:pPr>
        <w:rPr>
          <w:lang w:eastAsia="bg-BG"/>
        </w:rPr>
      </w:pPr>
    </w:p>
    <w:p w14:paraId="3D77EDA2" w14:textId="3CE4357F" w:rsidR="00F64CB3" w:rsidRPr="00F64CB3" w:rsidRDefault="00F64CB3" w:rsidP="00F64CB3">
      <w:pPr>
        <w:rPr>
          <w:sz w:val="24"/>
          <w:szCs w:val="24"/>
        </w:rPr>
      </w:pPr>
      <w:r w:rsidRPr="00F64CB3">
        <w:rPr>
          <w:lang w:eastAsia="bg-BG"/>
        </w:rPr>
        <w:t>С появата на нежелани лекарствени реакции свързани с централната нервна система като напр, световъртеж, замаяност, умора, в началото на лечението при високи дози и/или в комбинация с други лекарства повлияващи централната нервна система, карбамазепин може дори при съобразена с предписанията употреба до такава степен да промени реактивоспособността, независимо от повлияването на основното заболяване, че да наруши способността за активно участие в уличното движение или за обслужване на машини или за работа без сигурна опора. Това важи в особена степен при едновременен прием с алкохол.</w:t>
      </w:r>
    </w:p>
    <w:p w14:paraId="571CB739" w14:textId="77777777" w:rsidR="00F64CB3" w:rsidRPr="00F64CB3" w:rsidRDefault="00F64CB3" w:rsidP="00F64CB3"/>
    <w:p w14:paraId="37A3FD9F" w14:textId="04455BF9" w:rsidR="00CF77F7" w:rsidRDefault="002C50EE" w:rsidP="004A448E">
      <w:pPr>
        <w:pStyle w:val="Heading2"/>
      </w:pPr>
      <w:r>
        <w:t>4.8. Нежелани лекарствени реакции</w:t>
      </w:r>
    </w:p>
    <w:p w14:paraId="73E618B3" w14:textId="5D4E8289" w:rsidR="00F64CB3" w:rsidRDefault="00F64CB3" w:rsidP="00F64CB3"/>
    <w:p w14:paraId="2A9D9CD9"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Следната конвенция е използвана за класифициране на честотата на нежеланите лекарствени реакции: много чести ≥1/10), чести (≥1/100 &lt;1/10), нечести (≥1/1 000 &lt;1/100), редки (≥1/10 000 &lt;1/1 000), много редки (&lt;1/10 000), с неизвестна честота (оценка на честотата не може да бъде направена от наличните данни).</w:t>
      </w:r>
    </w:p>
    <w:p w14:paraId="17BE2877" w14:textId="77777777" w:rsidR="00F64CB3" w:rsidRPr="00F64CB3" w:rsidRDefault="00F64CB3" w:rsidP="00F64CB3">
      <w:pPr>
        <w:spacing w:line="240" w:lineRule="auto"/>
        <w:rPr>
          <w:rFonts w:eastAsia="Times New Roman" w:cs="Arial"/>
          <w:color w:val="000000"/>
          <w:lang w:eastAsia="bg-BG"/>
        </w:rPr>
      </w:pPr>
    </w:p>
    <w:p w14:paraId="7B96F4CA" w14:textId="12E935B5"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Нежелани реакции възникват много по-рядко, ако карбамазепин се употребява самостоятелно (като монотерапия), отколкото когато се комбинира </w:t>
      </w:r>
      <w:r w:rsidRPr="00F64CB3">
        <w:rPr>
          <w:rFonts w:eastAsia="Times New Roman" w:cs="Arial"/>
          <w:i/>
          <w:iCs/>
          <w:color w:val="000000"/>
          <w:lang w:eastAsia="bg-BG"/>
        </w:rPr>
        <w:t>с</w:t>
      </w:r>
      <w:r w:rsidRPr="00F64CB3">
        <w:rPr>
          <w:rFonts w:eastAsia="Times New Roman" w:cs="Arial"/>
          <w:color w:val="000000"/>
          <w:lang w:eastAsia="bg-BG"/>
        </w:rPr>
        <w:t xml:space="preserve"> други антиепилептици (комбинирана терапия).</w:t>
      </w:r>
    </w:p>
    <w:p w14:paraId="5C4AACAD" w14:textId="77777777" w:rsidR="00F64CB3" w:rsidRPr="00F64CB3" w:rsidRDefault="00F64CB3" w:rsidP="00F64CB3">
      <w:pPr>
        <w:spacing w:line="240" w:lineRule="auto"/>
        <w:rPr>
          <w:rFonts w:eastAsia="Times New Roman" w:cs="Arial"/>
          <w:color w:val="000000"/>
          <w:lang w:eastAsia="bg-BG"/>
        </w:rPr>
      </w:pPr>
    </w:p>
    <w:p w14:paraId="6939DFEB" w14:textId="75230A2F" w:rsidR="00F64CB3" w:rsidRPr="00F64CB3" w:rsidRDefault="00F64CB3" w:rsidP="00F64CB3">
      <w:pPr>
        <w:spacing w:line="240" w:lineRule="auto"/>
        <w:rPr>
          <w:rFonts w:eastAsia="Times New Roman" w:cs="Arial"/>
        </w:rPr>
      </w:pPr>
      <w:r w:rsidRPr="00F64CB3">
        <w:rPr>
          <w:rFonts w:eastAsia="Times New Roman" w:cs="Arial"/>
          <w:color w:val="000000"/>
          <w:lang w:eastAsia="bg-BG"/>
        </w:rPr>
        <w:lastRenderedPageBreak/>
        <w:t>Много от нежеланите реакции са дозозависими, особено в началото на лечението. Те изчезват спонтанно след 8-14 дни или след временно намаляване на дозата.</w:t>
      </w:r>
    </w:p>
    <w:p w14:paraId="6C5021FF" w14:textId="746AFE41" w:rsidR="00F64CB3" w:rsidRPr="00F64CB3" w:rsidRDefault="00F64CB3" w:rsidP="00F64CB3">
      <w:pPr>
        <w:spacing w:line="240" w:lineRule="auto"/>
        <w:rPr>
          <w:rFonts w:eastAsia="Times New Roman" w:cs="Arial"/>
        </w:rPr>
      </w:pPr>
      <w:r w:rsidRPr="00F64CB3">
        <w:rPr>
          <w:rFonts w:eastAsia="Times New Roman" w:cs="Arial"/>
          <w:color w:val="000000"/>
          <w:lang w:eastAsia="bg-BG"/>
        </w:rPr>
        <w:t>Поради това лечението с карбамазепин трябва започне с ниски начални дози, които да се увеличават постепенно до достигане на оптималната доза.</w:t>
      </w:r>
    </w:p>
    <w:p w14:paraId="1CA0A601" w14:textId="77777777" w:rsidR="00F64CB3" w:rsidRPr="00F64CB3" w:rsidRDefault="00F64CB3" w:rsidP="00F64CB3">
      <w:pPr>
        <w:spacing w:line="240" w:lineRule="auto"/>
        <w:rPr>
          <w:rFonts w:eastAsia="Times New Roman" w:cs="Arial"/>
          <w:color w:val="000000"/>
          <w:lang w:eastAsia="bg-BG"/>
        </w:rPr>
      </w:pPr>
    </w:p>
    <w:p w14:paraId="5935157E" w14:textId="658AE5D9" w:rsidR="00F64CB3" w:rsidRPr="00F64CB3" w:rsidRDefault="00F64CB3" w:rsidP="00F64CB3">
      <w:pPr>
        <w:spacing w:line="240" w:lineRule="auto"/>
        <w:rPr>
          <w:rFonts w:eastAsia="Times New Roman" w:cs="Arial"/>
        </w:rPr>
      </w:pPr>
      <w:r w:rsidRPr="00F64CB3">
        <w:rPr>
          <w:rFonts w:eastAsia="Times New Roman" w:cs="Arial"/>
          <w:color w:val="000000"/>
          <w:lang w:eastAsia="bg-BG"/>
        </w:rPr>
        <w:t>Нежелани лекарствени реакции групирани по системо-органни класове:</w:t>
      </w:r>
    </w:p>
    <w:p w14:paraId="366F43DA" w14:textId="77777777" w:rsidR="00F64CB3" w:rsidRPr="00F64CB3" w:rsidRDefault="00F64CB3" w:rsidP="00F64CB3">
      <w:pPr>
        <w:rPr>
          <w:rFonts w:eastAsia="Times New Roman" w:cs="Arial"/>
          <w:i/>
          <w:iCs/>
          <w:color w:val="000000"/>
          <w:lang w:eastAsia="bg-BG"/>
        </w:rPr>
      </w:pPr>
    </w:p>
    <w:p w14:paraId="27F2B72F" w14:textId="5A0D249E" w:rsidR="00F64CB3" w:rsidRPr="00F64CB3" w:rsidRDefault="00F64CB3" w:rsidP="00F64CB3">
      <w:pPr>
        <w:rPr>
          <w:rFonts w:eastAsia="Times New Roman" w:cs="Arial"/>
          <w:i/>
          <w:iCs/>
          <w:color w:val="000000"/>
          <w:lang w:eastAsia="bg-BG"/>
        </w:rPr>
      </w:pPr>
      <w:r w:rsidRPr="00F64CB3">
        <w:rPr>
          <w:rFonts w:eastAsia="Times New Roman" w:cs="Arial"/>
          <w:i/>
          <w:iCs/>
          <w:color w:val="000000"/>
          <w:lang w:eastAsia="bg-BG"/>
        </w:rPr>
        <w:t>Нарушения на кръвта и лимфната система</w:t>
      </w:r>
    </w:p>
    <w:p w14:paraId="5B909CE8"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чести: Левкопения</w:t>
      </w:r>
    </w:p>
    <w:p w14:paraId="55E05A9A" w14:textId="11B7F58D"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Тромбоцитопения, еозинофилия,</w:t>
      </w:r>
    </w:p>
    <w:p w14:paraId="1B00BC7C" w14:textId="17779E4B"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Левкоцитоза, лимфаденопатия, дефицит на фолиевата киселина</w:t>
      </w:r>
    </w:p>
    <w:p w14:paraId="064BA22A"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Много редки: Агранулоцитоза, апластична анемия, панцитопения, аплазия на еритроцитната популация, мегалобластна анемия, остра интермитентна пофирия, </w:t>
      </w:r>
      <w:r w:rsidRPr="00F64CB3">
        <w:rPr>
          <w:rFonts w:eastAsia="Times New Roman" w:cs="Arial"/>
          <w:i/>
          <w:iCs/>
          <w:color w:val="000000"/>
          <w:lang w:val="en-US"/>
        </w:rPr>
        <w:t>porphyria</w:t>
      </w:r>
      <w:r w:rsidRPr="00F64CB3">
        <w:rPr>
          <w:rFonts w:eastAsia="Times New Roman" w:cs="Arial"/>
          <w:i/>
          <w:iCs/>
          <w:color w:val="000000"/>
        </w:rPr>
        <w:t xml:space="preserve"> </w:t>
      </w:r>
      <w:proofErr w:type="spellStart"/>
      <w:r w:rsidRPr="00F64CB3">
        <w:rPr>
          <w:rFonts w:eastAsia="Times New Roman" w:cs="Arial"/>
          <w:i/>
          <w:iCs/>
          <w:color w:val="000000"/>
          <w:lang w:val="en-US"/>
        </w:rPr>
        <w:t>variegata</w:t>
      </w:r>
      <w:proofErr w:type="spellEnd"/>
      <w:r w:rsidRPr="00F64CB3">
        <w:rPr>
          <w:rFonts w:eastAsia="Times New Roman" w:cs="Arial"/>
          <w:i/>
          <w:iCs/>
          <w:color w:val="000000"/>
        </w:rPr>
        <w:t xml:space="preserve">, </w:t>
      </w:r>
      <w:r w:rsidRPr="00F64CB3">
        <w:rPr>
          <w:rFonts w:eastAsia="Times New Roman" w:cs="Arial"/>
          <w:i/>
          <w:iCs/>
          <w:color w:val="000000"/>
          <w:lang w:val="en-US"/>
        </w:rPr>
        <w:t>porphyria</w:t>
      </w:r>
      <w:r w:rsidRPr="00F64CB3">
        <w:rPr>
          <w:rFonts w:eastAsia="Times New Roman" w:cs="Arial"/>
          <w:i/>
          <w:iCs/>
          <w:color w:val="000000"/>
        </w:rPr>
        <w:t xml:space="preserve"> </w:t>
      </w:r>
      <w:proofErr w:type="spellStart"/>
      <w:r w:rsidRPr="00F64CB3">
        <w:rPr>
          <w:rFonts w:eastAsia="Times New Roman" w:cs="Arial"/>
          <w:i/>
          <w:iCs/>
          <w:color w:val="000000"/>
          <w:lang w:val="en-US"/>
        </w:rPr>
        <w:t>cutanea</w:t>
      </w:r>
      <w:proofErr w:type="spellEnd"/>
      <w:r w:rsidRPr="00F64CB3">
        <w:rPr>
          <w:rFonts w:eastAsia="Times New Roman" w:cs="Arial"/>
          <w:i/>
          <w:iCs/>
          <w:color w:val="000000"/>
        </w:rPr>
        <w:t xml:space="preserve"> </w:t>
      </w:r>
      <w:proofErr w:type="spellStart"/>
      <w:r w:rsidRPr="00F64CB3">
        <w:rPr>
          <w:rFonts w:eastAsia="Times New Roman" w:cs="Arial"/>
          <w:i/>
          <w:iCs/>
          <w:color w:val="000000"/>
          <w:lang w:val="en-US"/>
        </w:rPr>
        <w:t>tarda</w:t>
      </w:r>
      <w:proofErr w:type="spellEnd"/>
      <w:r w:rsidRPr="00F64CB3">
        <w:rPr>
          <w:rFonts w:eastAsia="Times New Roman" w:cs="Arial"/>
          <w:i/>
          <w:iCs/>
          <w:color w:val="000000"/>
        </w:rPr>
        <w:t>,</w:t>
      </w:r>
      <w:r w:rsidRPr="00F64CB3">
        <w:rPr>
          <w:rFonts w:eastAsia="Times New Roman" w:cs="Arial"/>
          <w:color w:val="000000"/>
        </w:rPr>
        <w:t xml:space="preserve"> </w:t>
      </w:r>
      <w:r w:rsidRPr="00F64CB3">
        <w:rPr>
          <w:rFonts w:eastAsia="Times New Roman" w:cs="Arial"/>
          <w:color w:val="000000"/>
          <w:lang w:eastAsia="bg-BG"/>
        </w:rPr>
        <w:t>ретикулоцитоза и вероятно хемолитична анемия.</w:t>
      </w:r>
    </w:p>
    <w:p w14:paraId="2A821EE8" w14:textId="77777777" w:rsidR="00F64CB3" w:rsidRPr="00F64CB3" w:rsidRDefault="00F64CB3" w:rsidP="00F64CB3">
      <w:pPr>
        <w:spacing w:line="240" w:lineRule="auto"/>
        <w:rPr>
          <w:rFonts w:eastAsia="Times New Roman" w:cs="Arial"/>
          <w:color w:val="000000"/>
          <w:lang w:eastAsia="bg-BG"/>
        </w:rPr>
      </w:pPr>
    </w:p>
    <w:p w14:paraId="1E98D2D1" w14:textId="55AB5FAC" w:rsidR="00F64CB3" w:rsidRPr="00F64CB3" w:rsidRDefault="00F64CB3" w:rsidP="00F64CB3">
      <w:pPr>
        <w:spacing w:line="240" w:lineRule="auto"/>
        <w:rPr>
          <w:rFonts w:eastAsia="Times New Roman" w:cs="Arial"/>
        </w:rPr>
      </w:pPr>
      <w:r w:rsidRPr="00F64CB3">
        <w:rPr>
          <w:rFonts w:eastAsia="Times New Roman" w:cs="Arial"/>
          <w:color w:val="000000"/>
          <w:lang w:eastAsia="bg-BG"/>
        </w:rPr>
        <w:t>По литературни данни от тях най-често се среща доброкачествената левкопения, в около 10% от случаите преходна, в 2% продължителна. Обикновено тя се появява в първите 4 месеца от началото на лечението.</w:t>
      </w:r>
    </w:p>
    <w:p w14:paraId="5B80F4B4" w14:textId="77777777" w:rsidR="00F64CB3" w:rsidRPr="00F64CB3" w:rsidRDefault="00F64CB3" w:rsidP="00F64CB3">
      <w:pPr>
        <w:spacing w:line="240" w:lineRule="auto"/>
        <w:rPr>
          <w:rFonts w:eastAsia="Times New Roman" w:cs="Arial"/>
          <w:color w:val="000000"/>
          <w:lang w:eastAsia="bg-BG"/>
        </w:rPr>
      </w:pPr>
    </w:p>
    <w:p w14:paraId="67DC602F" w14:textId="5CE86BEB" w:rsidR="00F64CB3" w:rsidRPr="00F64CB3" w:rsidRDefault="00F64CB3" w:rsidP="00F64CB3">
      <w:pPr>
        <w:spacing w:line="240" w:lineRule="auto"/>
        <w:rPr>
          <w:rFonts w:eastAsia="Times New Roman" w:cs="Arial"/>
        </w:rPr>
      </w:pPr>
      <w:r w:rsidRPr="00F64CB3">
        <w:rPr>
          <w:rFonts w:eastAsia="Times New Roman" w:cs="Arial"/>
          <w:color w:val="000000"/>
          <w:lang w:eastAsia="bg-BG"/>
        </w:rPr>
        <w:t>В много редки случаи се съобщава за сравнително животозастращаващи увреждания на кръвните клетки като агранулоцитоза, апластична анемия, заедно с други форми на анемия (хемолитична, мегалобластна), ретикулоцитоза, лимфаденопатия и спленомегалия.</w:t>
      </w:r>
    </w:p>
    <w:p w14:paraId="00A50487" w14:textId="77777777" w:rsidR="00F64CB3" w:rsidRPr="00F64CB3" w:rsidRDefault="00F64CB3" w:rsidP="00F64CB3">
      <w:pPr>
        <w:spacing w:line="240" w:lineRule="auto"/>
        <w:rPr>
          <w:rFonts w:eastAsia="Times New Roman" w:cs="Arial"/>
          <w:i/>
          <w:iCs/>
          <w:color w:val="000000"/>
          <w:lang w:eastAsia="bg-BG"/>
        </w:rPr>
      </w:pPr>
    </w:p>
    <w:p w14:paraId="0C62D720" w14:textId="75C0CDD3"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имунната система:</w:t>
      </w:r>
    </w:p>
    <w:p w14:paraId="46E39741" w14:textId="75407C68"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Късна мултиорганна свръхчувствителност с треска, кожни обриви, васкулит,</w:t>
      </w:r>
    </w:p>
    <w:p w14:paraId="242E6E09"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лимфаденопатия, нарушения на мимкриращ лимфом, артралгия, левкопения, еозинофилия, сехато-спленомегалия и променени чернодробни функционални показатели, наблюдавани в различни комбинации. Може да бъдат засегнати и други органи (напр. черен дроб, бели дробове, бъбреци, панкреас, миокард, дебело черво)</w:t>
      </w:r>
    </w:p>
    <w:p w14:paraId="24400572"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Асептичен менингит с миоклонус и периферна еозинофилия, анафилактична реакция, ангиоедем.</w:t>
      </w:r>
    </w:p>
    <w:p w14:paraId="28CDAF0A" w14:textId="77777777" w:rsidR="00F64CB3" w:rsidRPr="00F64CB3" w:rsidRDefault="00F64CB3" w:rsidP="00F64CB3">
      <w:pPr>
        <w:spacing w:line="240" w:lineRule="auto"/>
        <w:rPr>
          <w:rFonts w:eastAsia="Times New Roman" w:cs="Arial"/>
          <w:i/>
          <w:iCs/>
          <w:color w:val="000000"/>
          <w:lang w:eastAsia="bg-BG"/>
        </w:rPr>
      </w:pPr>
    </w:p>
    <w:p w14:paraId="471DA667" w14:textId="5745B8C1"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Нарушение на ендокринната система</w:t>
      </w:r>
    </w:p>
    <w:p w14:paraId="57859BE7" w14:textId="5EC5D0DE"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Оток, задържане на течности, повишаване на телесното тегло, хипонатриемия и</w:t>
      </w:r>
    </w:p>
    <w:p w14:paraId="3BBAC8A1"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понижен плазмен осмолалитет, поради антидиуретичния ефект на карбамазепин, водещ в редки случаи до водна интоксикация придружавана от летаргия, повръщане, главоболие, психична обърканост, неврологични нарушения.</w:t>
      </w:r>
    </w:p>
    <w:p w14:paraId="07AFAEEB"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Много редки: Повишаване нивата на пролактин със или без клинични симптоми като галакторея, гинекомастия, променени функционални тестове на щитовидната жлеза: намалено ниво на </w:t>
      </w:r>
      <w:r w:rsidRPr="00F64CB3">
        <w:rPr>
          <w:rFonts w:eastAsia="Times New Roman" w:cs="Arial"/>
          <w:color w:val="000000"/>
          <w:lang w:val="en-US"/>
        </w:rPr>
        <w:t>L</w:t>
      </w:r>
      <w:r w:rsidRPr="00F64CB3">
        <w:rPr>
          <w:rFonts w:eastAsia="Times New Roman" w:cs="Arial"/>
          <w:color w:val="000000"/>
          <w:lang w:eastAsia="bg-BG"/>
        </w:rPr>
        <w:t xml:space="preserve">-тироксин </w:t>
      </w:r>
      <w:r w:rsidRPr="00F64CB3">
        <w:rPr>
          <w:rFonts w:eastAsia="Times New Roman" w:cs="Arial"/>
          <w:color w:val="000000"/>
          <w:lang w:val="ru-RU"/>
        </w:rPr>
        <w:t>(</w:t>
      </w:r>
      <w:r w:rsidRPr="00F64CB3">
        <w:rPr>
          <w:rFonts w:eastAsia="Times New Roman" w:cs="Arial"/>
          <w:color w:val="000000"/>
          <w:lang w:val="en-US"/>
        </w:rPr>
        <w:t>FT</w:t>
      </w:r>
      <w:r w:rsidRPr="00F64CB3">
        <w:rPr>
          <w:rFonts w:eastAsia="Times New Roman" w:cs="Arial"/>
          <w:color w:val="000000"/>
          <w:lang w:val="ru-RU"/>
        </w:rPr>
        <w:t xml:space="preserve">4, </w:t>
      </w:r>
      <w:r w:rsidRPr="00F64CB3">
        <w:rPr>
          <w:rFonts w:eastAsia="Times New Roman" w:cs="Arial"/>
          <w:color w:val="000000"/>
          <w:lang w:eastAsia="bg-BG"/>
        </w:rPr>
        <w:t xml:space="preserve">Т4, ТЗ) и повишение на </w:t>
      </w:r>
      <w:r w:rsidRPr="00F64CB3">
        <w:rPr>
          <w:rFonts w:eastAsia="Times New Roman" w:cs="Arial"/>
          <w:color w:val="000000"/>
          <w:lang w:val="en-US"/>
        </w:rPr>
        <w:t>TSH</w:t>
      </w:r>
      <w:r w:rsidRPr="00F64CB3">
        <w:rPr>
          <w:rFonts w:eastAsia="Times New Roman" w:cs="Arial"/>
          <w:color w:val="000000"/>
          <w:lang w:val="ru-RU"/>
        </w:rPr>
        <w:t xml:space="preserve">, </w:t>
      </w:r>
      <w:r w:rsidRPr="00F64CB3">
        <w:rPr>
          <w:rFonts w:eastAsia="Times New Roman" w:cs="Arial"/>
          <w:color w:val="000000"/>
          <w:lang w:eastAsia="bg-BG"/>
        </w:rPr>
        <w:t xml:space="preserve">обикновено без клинични прояви, нарушение на костния метаболизъм (понижение на плазмения калций и кръвния хидроксихолекалциферол, което води до остеомалация/остеопороза, повишени нива на холестерол, включително </w:t>
      </w:r>
      <w:r w:rsidRPr="00F64CB3">
        <w:rPr>
          <w:rFonts w:eastAsia="Times New Roman" w:cs="Arial"/>
          <w:color w:val="000000"/>
          <w:lang w:val="en-US"/>
        </w:rPr>
        <w:t>HDL</w:t>
      </w:r>
      <w:r w:rsidRPr="00F64CB3">
        <w:rPr>
          <w:rFonts w:eastAsia="Times New Roman" w:cs="Arial"/>
          <w:color w:val="000000"/>
          <w:lang w:eastAsia="bg-BG"/>
        </w:rPr>
        <w:t>-холестерол и триглицериди.</w:t>
      </w:r>
    </w:p>
    <w:p w14:paraId="4EBD828A" w14:textId="77777777" w:rsidR="00F64CB3" w:rsidRPr="00F64CB3" w:rsidRDefault="00F64CB3" w:rsidP="00F64CB3">
      <w:pPr>
        <w:spacing w:line="240" w:lineRule="auto"/>
        <w:rPr>
          <w:rFonts w:eastAsia="Times New Roman" w:cs="Arial"/>
          <w:i/>
          <w:iCs/>
          <w:color w:val="000000"/>
          <w:lang w:eastAsia="bg-BG"/>
        </w:rPr>
      </w:pPr>
    </w:p>
    <w:p w14:paraId="79D62C75" w14:textId="5BBBCD3D"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Психични нарушения:</w:t>
      </w:r>
    </w:p>
    <w:p w14:paraId="28748276" w14:textId="414DFAE6"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Халюцинации (зрителни или слухови), депресия, безпокойство, агресивно</w:t>
      </w:r>
    </w:p>
    <w:p w14:paraId="18BDA962"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поведение, ажитация, обърканост</w:t>
      </w:r>
    </w:p>
    <w:p w14:paraId="3F17D723"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Активиране на психоза</w:t>
      </w:r>
    </w:p>
    <w:p w14:paraId="6B209332" w14:textId="77777777" w:rsidR="00F64CB3" w:rsidRPr="00F64CB3" w:rsidRDefault="00F64CB3" w:rsidP="00F64CB3">
      <w:pPr>
        <w:spacing w:line="240" w:lineRule="auto"/>
        <w:rPr>
          <w:rFonts w:eastAsia="Times New Roman" w:cs="Arial"/>
          <w:i/>
          <w:iCs/>
          <w:color w:val="000000"/>
          <w:lang w:eastAsia="bg-BG"/>
        </w:rPr>
      </w:pPr>
    </w:p>
    <w:p w14:paraId="10A53EF2" w14:textId="25DB5A36"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lastRenderedPageBreak/>
        <w:t>Нарушения на нервната система:</w:t>
      </w:r>
    </w:p>
    <w:p w14:paraId="2E6C8C9A"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чести: Замаяност, атаксия, сънливост, отпадналост</w:t>
      </w:r>
    </w:p>
    <w:p w14:paraId="155ABCC0" w14:textId="73EB90FF"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Главоболие</w:t>
      </w:r>
    </w:p>
    <w:p w14:paraId="5507CC31" w14:textId="4BAF9ED9" w:rsidR="00F64CB3" w:rsidRPr="00F64CB3" w:rsidRDefault="00F64CB3" w:rsidP="00F64CB3">
      <w:pPr>
        <w:spacing w:line="240" w:lineRule="auto"/>
        <w:rPr>
          <w:rFonts w:eastAsia="Times New Roman" w:cs="Arial"/>
        </w:rPr>
      </w:pPr>
      <w:r w:rsidRPr="00F64CB3">
        <w:rPr>
          <w:rFonts w:eastAsia="Times New Roman" w:cs="Arial"/>
          <w:color w:val="000000"/>
          <w:lang w:eastAsia="bg-BG"/>
        </w:rPr>
        <w:t>Нечести: Неволеви движения (напр. тремор, астерикс, дистония, тикове), нистагъм</w:t>
      </w:r>
    </w:p>
    <w:p w14:paraId="273167B7" w14:textId="6220A382"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Орофациална дискинезия, затруднено мислене, говорни нарушения (напр.</w:t>
      </w:r>
    </w:p>
    <w:p w14:paraId="2D64B13F"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дизартрия или заваляне на речта), хореоатетоза, периферна невропатия, парестезия, паретични симптоми</w:t>
      </w:r>
    </w:p>
    <w:p w14:paraId="0AF08898"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Нарушения на вкуса, невролептичен малигнен синдром</w:t>
      </w:r>
    </w:p>
    <w:p w14:paraId="67403919" w14:textId="77777777" w:rsidR="00F64CB3" w:rsidRPr="00F64CB3" w:rsidRDefault="00F64CB3" w:rsidP="00F64CB3">
      <w:pPr>
        <w:spacing w:line="240" w:lineRule="auto"/>
        <w:rPr>
          <w:rFonts w:eastAsia="Times New Roman" w:cs="Arial"/>
          <w:i/>
          <w:iCs/>
          <w:color w:val="000000"/>
          <w:lang w:eastAsia="bg-BG"/>
        </w:rPr>
      </w:pPr>
    </w:p>
    <w:p w14:paraId="48B4E65E" w14:textId="65221303"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очите</w:t>
      </w:r>
    </w:p>
    <w:p w14:paraId="5EF671FF" w14:textId="550D40A7"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Диплопия, нарушения на акомодацията (като замъглено зрение)</w:t>
      </w:r>
    </w:p>
    <w:p w14:paraId="2F803947" w14:textId="57751E6B" w:rsidR="00F64CB3" w:rsidRPr="00F64CB3" w:rsidRDefault="00F64CB3" w:rsidP="00F64CB3">
      <w:pPr>
        <w:spacing w:line="240" w:lineRule="auto"/>
        <w:rPr>
          <w:rFonts w:eastAsia="Times New Roman" w:cs="Arial"/>
          <w:color w:val="000000"/>
          <w:lang w:eastAsia="bg-BG"/>
        </w:rPr>
      </w:pPr>
      <w:r w:rsidRPr="00F64CB3">
        <w:rPr>
          <w:rFonts w:eastAsia="Times New Roman" w:cs="Arial"/>
          <w:color w:val="000000"/>
          <w:lang w:eastAsia="bg-BG"/>
        </w:rPr>
        <w:t>Редки: Окуломоторни нарушения</w:t>
      </w:r>
    </w:p>
    <w:p w14:paraId="2F22FA8D"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Зрителни нарушения (замъгляване на лещата), конюнктивит, повишение на вътреочното налягане. Токсични ефекти по отношение на ретината са наблюдавани при двама пациенти, които са били на продължителна терапия с карбамазепин. Състоянияето им са е подобрило след прекратяване на лечението с карбамазепин,</w:t>
      </w:r>
    </w:p>
    <w:p w14:paraId="22405FF1" w14:textId="77777777" w:rsidR="00F64CB3" w:rsidRPr="00F64CB3" w:rsidRDefault="00F64CB3" w:rsidP="00F64CB3">
      <w:pPr>
        <w:spacing w:line="240" w:lineRule="auto"/>
        <w:rPr>
          <w:rFonts w:eastAsia="Times New Roman" w:cs="Arial"/>
          <w:i/>
          <w:iCs/>
          <w:color w:val="000000"/>
          <w:lang w:eastAsia="bg-BG"/>
        </w:rPr>
      </w:pPr>
    </w:p>
    <w:p w14:paraId="6BF2B6CE" w14:textId="3F14F679"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ухото и лабиринта</w:t>
      </w:r>
    </w:p>
    <w:p w14:paraId="595BF6E5" w14:textId="77777777"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Много</w:t>
      </w:r>
      <w:r w:rsidRPr="00F64CB3">
        <w:rPr>
          <w:rFonts w:eastAsia="Times New Roman" w:cs="Arial"/>
          <w:color w:val="000000"/>
          <w:lang w:eastAsia="bg-BG"/>
        </w:rPr>
        <w:t xml:space="preserve"> редки: Нарушения на слуха, напр. тинитус, хиперакузис, хипоакузис, промяна в перцепцията за хоризонтално положение</w:t>
      </w:r>
    </w:p>
    <w:p w14:paraId="0A689515" w14:textId="77777777" w:rsidR="00F64CB3" w:rsidRPr="00F64CB3" w:rsidRDefault="00F64CB3" w:rsidP="00F64CB3">
      <w:pPr>
        <w:spacing w:line="240" w:lineRule="auto"/>
        <w:rPr>
          <w:rFonts w:eastAsia="Times New Roman" w:cs="Arial"/>
          <w:i/>
          <w:iCs/>
          <w:color w:val="000000"/>
          <w:lang w:eastAsia="bg-BG"/>
        </w:rPr>
      </w:pPr>
    </w:p>
    <w:p w14:paraId="381B84FC" w14:textId="1AAD6E2E"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Сърдечни нарушения</w:t>
      </w:r>
    </w:p>
    <w:p w14:paraId="12C99091" w14:textId="3ABA0CA8"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Проводни нарушения, хипертония или хипотония</w:t>
      </w:r>
    </w:p>
    <w:p w14:paraId="59BBB60F"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Много редки: Брадикардия, аритмии, </w:t>
      </w:r>
      <w:r w:rsidRPr="00F64CB3">
        <w:rPr>
          <w:rFonts w:eastAsia="Times New Roman" w:cs="Arial"/>
          <w:color w:val="000000"/>
          <w:lang w:val="en-US"/>
        </w:rPr>
        <w:t>AV</w:t>
      </w:r>
      <w:r w:rsidRPr="00F64CB3">
        <w:rPr>
          <w:rFonts w:eastAsia="Times New Roman" w:cs="Arial"/>
          <w:color w:val="000000"/>
          <w:lang w:eastAsia="bg-BG"/>
        </w:rPr>
        <w:t>-блок със синкоп, колапс, конгестивна сърдечна недостатъчност, влошаване на исхемичната болест на сърцето, тромбофлебит, тромбоемболия (напр. белодробна емболия)</w:t>
      </w:r>
    </w:p>
    <w:p w14:paraId="21F2E2D6" w14:textId="77777777" w:rsidR="00F64CB3" w:rsidRPr="00F64CB3" w:rsidRDefault="00F64CB3" w:rsidP="00F64CB3">
      <w:pPr>
        <w:spacing w:line="240" w:lineRule="auto"/>
        <w:rPr>
          <w:rFonts w:eastAsia="Times New Roman" w:cs="Arial"/>
          <w:i/>
          <w:iCs/>
          <w:color w:val="000000"/>
          <w:lang w:eastAsia="bg-BG"/>
        </w:rPr>
      </w:pPr>
    </w:p>
    <w:p w14:paraId="11443DCF" w14:textId="70B319D5"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Респираторни, гръдни имедиастинални нарушения</w:t>
      </w:r>
    </w:p>
    <w:p w14:paraId="0203F84F" w14:textId="5A4A5531"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Белодробна хипертония, характеризираща се напр. с повишена температура, диспнея, пневмонит или пневмония. При поява на реакции на свръхчувствителност, лечението трябва да бъде прекратено веднага.</w:t>
      </w:r>
    </w:p>
    <w:p w14:paraId="3A0C8C03" w14:textId="77777777" w:rsidR="00F64CB3" w:rsidRPr="00F64CB3" w:rsidRDefault="00F64CB3" w:rsidP="00F64CB3">
      <w:pPr>
        <w:spacing w:line="240" w:lineRule="auto"/>
        <w:rPr>
          <w:rFonts w:eastAsia="Times New Roman" w:cs="Arial"/>
          <w:i/>
          <w:iCs/>
          <w:color w:val="000000"/>
          <w:lang w:eastAsia="bg-BG"/>
        </w:rPr>
      </w:pPr>
    </w:p>
    <w:p w14:paraId="6D599476" w14:textId="7DF4F94A"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Стомашно-чревни нарушения</w:t>
      </w:r>
    </w:p>
    <w:p w14:paraId="20A161B1"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чести: Гадене, повръщане</w:t>
      </w:r>
    </w:p>
    <w:p w14:paraId="6A2D8037" w14:textId="4EF209AF"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Загуба на апетит, сухота в устата</w:t>
      </w:r>
    </w:p>
    <w:p w14:paraId="6E9CB1AB" w14:textId="7DAAD537" w:rsidR="00F64CB3" w:rsidRPr="00F64CB3" w:rsidRDefault="00F64CB3" w:rsidP="00F64CB3">
      <w:pPr>
        <w:spacing w:line="240" w:lineRule="auto"/>
        <w:rPr>
          <w:rFonts w:eastAsia="Times New Roman" w:cs="Arial"/>
        </w:rPr>
      </w:pPr>
      <w:r w:rsidRPr="00F64CB3">
        <w:rPr>
          <w:rFonts w:eastAsia="Times New Roman" w:cs="Arial"/>
          <w:color w:val="000000"/>
          <w:lang w:eastAsia="bg-BG"/>
        </w:rPr>
        <w:t>Нечести: Диария или констипация</w:t>
      </w:r>
    </w:p>
    <w:p w14:paraId="0C58D859" w14:textId="36107F0F"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Абдоминална болка</w:t>
      </w:r>
    </w:p>
    <w:p w14:paraId="47707F1C"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Глосит, стоматит, панкреатит</w:t>
      </w:r>
    </w:p>
    <w:p w14:paraId="31441E00" w14:textId="77777777" w:rsidR="00F64CB3" w:rsidRPr="00F64CB3" w:rsidRDefault="00F64CB3" w:rsidP="00F64CB3">
      <w:pPr>
        <w:spacing w:line="240" w:lineRule="auto"/>
        <w:rPr>
          <w:rFonts w:eastAsia="Times New Roman" w:cs="Arial"/>
          <w:i/>
          <w:iCs/>
          <w:color w:val="000000"/>
          <w:lang w:eastAsia="bg-BG"/>
        </w:rPr>
      </w:pPr>
    </w:p>
    <w:p w14:paraId="41C93887" w14:textId="0E6419F2"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Хепатобилиарни нарушения</w:t>
      </w:r>
    </w:p>
    <w:p w14:paraId="5F8A6756"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чести: Повишение на гама</w:t>
      </w:r>
      <w:r w:rsidRPr="00F64CB3">
        <w:rPr>
          <w:rFonts w:eastAsia="Times New Roman" w:cs="Arial"/>
          <w:color w:val="000000"/>
          <w:lang w:val="ru-RU"/>
        </w:rPr>
        <w:t>-</w:t>
      </w:r>
      <w:r w:rsidRPr="00F64CB3">
        <w:rPr>
          <w:rFonts w:eastAsia="Times New Roman" w:cs="Arial"/>
          <w:color w:val="000000"/>
          <w:lang w:val="en-US"/>
        </w:rPr>
        <w:t>GT</w:t>
      </w:r>
      <w:r w:rsidRPr="00F64CB3">
        <w:rPr>
          <w:rFonts w:eastAsia="Times New Roman" w:cs="Arial"/>
          <w:color w:val="000000"/>
          <w:lang w:val="ru-RU"/>
        </w:rPr>
        <w:t xml:space="preserve"> </w:t>
      </w:r>
      <w:r w:rsidRPr="00F64CB3">
        <w:rPr>
          <w:rFonts w:eastAsia="Times New Roman" w:cs="Arial"/>
          <w:color w:val="000000"/>
          <w:lang w:eastAsia="bg-BG"/>
        </w:rPr>
        <w:t>(поради индукция на чернодробните ензими), обикновено без клинично значение</w:t>
      </w:r>
    </w:p>
    <w:p w14:paraId="5BAB3558" w14:textId="24EFD391" w:rsidR="00F64CB3" w:rsidRPr="00F64CB3" w:rsidRDefault="00F64CB3" w:rsidP="00F64CB3">
      <w:pPr>
        <w:spacing w:line="240" w:lineRule="auto"/>
        <w:rPr>
          <w:rFonts w:eastAsia="Times New Roman" w:cs="Arial"/>
        </w:rPr>
      </w:pPr>
      <w:r w:rsidRPr="00F64CB3">
        <w:rPr>
          <w:rFonts w:eastAsia="Times New Roman" w:cs="Arial"/>
          <w:color w:val="000000"/>
          <w:lang w:eastAsia="bg-BG"/>
        </w:rPr>
        <w:t>Чести: Повишена алкална фосфатаза</w:t>
      </w:r>
    </w:p>
    <w:p w14:paraId="522A4869" w14:textId="7D9E5F84" w:rsidR="00F64CB3" w:rsidRPr="00F64CB3" w:rsidRDefault="00F64CB3" w:rsidP="00F64CB3">
      <w:pPr>
        <w:spacing w:line="240" w:lineRule="auto"/>
        <w:rPr>
          <w:rFonts w:eastAsia="Times New Roman" w:cs="Arial"/>
        </w:rPr>
      </w:pPr>
      <w:r w:rsidRPr="00F64CB3">
        <w:rPr>
          <w:rFonts w:eastAsia="Times New Roman" w:cs="Arial"/>
          <w:color w:val="000000"/>
          <w:lang w:eastAsia="bg-BG"/>
        </w:rPr>
        <w:t>Нечести: Повишени трансаминази</w:t>
      </w:r>
    </w:p>
    <w:p w14:paraId="3B28BD03"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w:t>
      </w:r>
      <w:r w:rsidRPr="00F64CB3">
        <w:rPr>
          <w:rFonts w:eastAsia="Times New Roman" w:cs="Arial"/>
          <w:color w:val="000000"/>
          <w:lang w:eastAsia="bg-BG"/>
        </w:rPr>
        <w:tab/>
        <w:t>Хепатит или холестаза, паренхимен (хепатоцелуларен) или смесен тип, жълтеница</w:t>
      </w:r>
    </w:p>
    <w:p w14:paraId="24E7DFE7"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Грануломатозен хепатит, чернодробна недостатъчност</w:t>
      </w:r>
    </w:p>
    <w:p w14:paraId="2EA74FB2" w14:textId="77777777" w:rsidR="00F64CB3" w:rsidRPr="00F64CB3" w:rsidRDefault="00F64CB3" w:rsidP="00F64CB3">
      <w:pPr>
        <w:spacing w:line="240" w:lineRule="auto"/>
        <w:rPr>
          <w:rFonts w:eastAsia="Times New Roman" w:cs="Arial"/>
          <w:i/>
          <w:iCs/>
          <w:color w:val="000000"/>
          <w:lang w:eastAsia="bg-BG"/>
        </w:rPr>
      </w:pPr>
    </w:p>
    <w:p w14:paraId="6E856327" w14:textId="1D3FAB9C"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кожата и подкожните тъкани</w:t>
      </w:r>
    </w:p>
    <w:p w14:paraId="0E39BEE4"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чести: Алергичен дерматит, уртикария, която може да е тежка</w:t>
      </w:r>
    </w:p>
    <w:p w14:paraId="585CDDB6" w14:textId="2910C56F" w:rsidR="00F64CB3" w:rsidRPr="00F64CB3" w:rsidRDefault="00F64CB3" w:rsidP="00F64CB3">
      <w:pPr>
        <w:spacing w:line="240" w:lineRule="auto"/>
        <w:rPr>
          <w:rFonts w:eastAsia="Times New Roman" w:cs="Arial"/>
        </w:rPr>
      </w:pPr>
      <w:r w:rsidRPr="00F64CB3">
        <w:rPr>
          <w:rFonts w:eastAsia="Times New Roman" w:cs="Arial"/>
          <w:color w:val="000000"/>
          <w:lang w:eastAsia="bg-BG"/>
        </w:rPr>
        <w:t>Нечести: Ексфолиативен дерматит и еритродерма</w:t>
      </w:r>
    </w:p>
    <w:p w14:paraId="7DB26163" w14:textId="7736507E"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Лупус еритематодес Подобен синдром, пруритус</w:t>
      </w:r>
    </w:p>
    <w:p w14:paraId="3F4EFDBD"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lastRenderedPageBreak/>
        <w:t xml:space="preserve">Много редки: Тежки кожни нежелани реакции: има съобщения за синдром на </w:t>
      </w:r>
      <w:r w:rsidRPr="00F64CB3">
        <w:rPr>
          <w:rFonts w:eastAsia="Times New Roman" w:cs="Arial"/>
          <w:color w:val="000000"/>
          <w:lang w:val="en-US"/>
        </w:rPr>
        <w:t>Stevens</w:t>
      </w:r>
      <w:r w:rsidRPr="00F64CB3">
        <w:rPr>
          <w:rFonts w:eastAsia="Times New Roman" w:cs="Arial"/>
          <w:color w:val="000000"/>
          <w:lang w:val="ru-RU"/>
        </w:rPr>
        <w:t>-</w:t>
      </w:r>
      <w:r w:rsidRPr="00F64CB3">
        <w:rPr>
          <w:rFonts w:eastAsia="Times New Roman" w:cs="Arial"/>
          <w:color w:val="000000"/>
          <w:lang w:val="en-US"/>
        </w:rPr>
        <w:t>Johnson</w:t>
      </w:r>
      <w:r w:rsidRPr="00F64CB3">
        <w:rPr>
          <w:rFonts w:eastAsia="Times New Roman" w:cs="Arial"/>
          <w:color w:val="000000"/>
          <w:lang w:val="ru-RU"/>
        </w:rPr>
        <w:t xml:space="preserve"> (</w:t>
      </w:r>
      <w:r w:rsidRPr="00F64CB3">
        <w:rPr>
          <w:rFonts w:eastAsia="Times New Roman" w:cs="Arial"/>
          <w:color w:val="000000"/>
          <w:lang w:val="en-US"/>
        </w:rPr>
        <w:t>SJS</w:t>
      </w:r>
      <w:r w:rsidRPr="00F64CB3">
        <w:rPr>
          <w:rFonts w:eastAsia="Times New Roman" w:cs="Arial"/>
          <w:color w:val="000000"/>
          <w:lang w:val="ru-RU"/>
        </w:rPr>
        <w:t xml:space="preserve">) </w:t>
      </w:r>
      <w:r w:rsidRPr="00F64CB3">
        <w:rPr>
          <w:rFonts w:eastAsia="Times New Roman" w:cs="Arial"/>
          <w:color w:val="000000"/>
          <w:lang w:eastAsia="bg-BG"/>
        </w:rPr>
        <w:t xml:space="preserve">и токсична епидермална некролиза </w:t>
      </w:r>
      <w:r w:rsidRPr="00F64CB3">
        <w:rPr>
          <w:rFonts w:eastAsia="Times New Roman" w:cs="Arial"/>
          <w:color w:val="000000"/>
          <w:lang w:val="ru-RU"/>
        </w:rPr>
        <w:t>(</w:t>
      </w:r>
      <w:r w:rsidRPr="00F64CB3">
        <w:rPr>
          <w:rFonts w:eastAsia="Times New Roman" w:cs="Arial"/>
          <w:color w:val="000000"/>
          <w:lang w:val="en-US"/>
        </w:rPr>
        <w:t>TEN</w:t>
      </w:r>
      <w:r w:rsidRPr="00F64CB3">
        <w:rPr>
          <w:rFonts w:eastAsia="Times New Roman" w:cs="Arial"/>
          <w:color w:val="000000"/>
          <w:lang w:val="ru-RU"/>
        </w:rPr>
        <w:t xml:space="preserve">) </w:t>
      </w:r>
      <w:r w:rsidRPr="00F64CB3">
        <w:rPr>
          <w:rFonts w:eastAsia="Times New Roman" w:cs="Arial"/>
          <w:color w:val="000000"/>
          <w:lang w:eastAsia="bg-BG"/>
        </w:rPr>
        <w:t>(вж. точка 4.4), фоточувствителност, еритема мултиформе и нодоза, промени в пигментацията на кожата, пурпура, акне, хиперхидроза, косопад, хирзутизъм</w:t>
      </w:r>
    </w:p>
    <w:p w14:paraId="6E045C0D" w14:textId="77777777" w:rsidR="00F64CB3" w:rsidRPr="00F64CB3" w:rsidRDefault="00F64CB3" w:rsidP="00F64CB3">
      <w:pPr>
        <w:spacing w:line="240" w:lineRule="auto"/>
        <w:rPr>
          <w:rFonts w:eastAsia="Times New Roman" w:cs="Arial"/>
          <w:color w:val="000000"/>
          <w:lang w:eastAsia="bg-BG"/>
        </w:rPr>
      </w:pPr>
    </w:p>
    <w:p w14:paraId="54690F5B" w14:textId="63A93934"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Установено е по-убедително доказателство относно връзката между генетичните маркери и появата на кожни НЛР като </w:t>
      </w:r>
      <w:r w:rsidRPr="00F64CB3">
        <w:rPr>
          <w:rFonts w:eastAsia="Times New Roman" w:cs="Arial"/>
          <w:color w:val="000000"/>
          <w:lang w:val="en-US"/>
        </w:rPr>
        <w:t>SJS</w:t>
      </w:r>
      <w:r w:rsidRPr="00F64CB3">
        <w:rPr>
          <w:rFonts w:eastAsia="Times New Roman" w:cs="Arial"/>
          <w:color w:val="000000"/>
          <w:lang w:val="ru-RU"/>
        </w:rPr>
        <w:t xml:space="preserve">, </w:t>
      </w:r>
      <w:r w:rsidRPr="00F64CB3">
        <w:rPr>
          <w:rFonts w:eastAsia="Times New Roman" w:cs="Arial"/>
          <w:color w:val="000000"/>
          <w:lang w:eastAsia="bg-BG"/>
        </w:rPr>
        <w:t xml:space="preserve">ТЕН, </w:t>
      </w:r>
      <w:r w:rsidRPr="00F64CB3">
        <w:rPr>
          <w:rFonts w:eastAsia="Times New Roman" w:cs="Arial"/>
          <w:color w:val="000000"/>
          <w:lang w:val="en-US"/>
        </w:rPr>
        <w:t>DRESS</w:t>
      </w:r>
      <w:r w:rsidRPr="00F64CB3">
        <w:rPr>
          <w:rFonts w:eastAsia="Times New Roman" w:cs="Arial"/>
          <w:color w:val="000000"/>
          <w:lang w:val="ru-RU"/>
        </w:rPr>
        <w:t xml:space="preserve">, </w:t>
      </w:r>
      <w:r w:rsidRPr="00F64CB3">
        <w:rPr>
          <w:rFonts w:eastAsia="Times New Roman" w:cs="Arial"/>
          <w:color w:val="000000"/>
          <w:lang w:val="en-US"/>
        </w:rPr>
        <w:t>AGEP</w:t>
      </w:r>
      <w:r w:rsidRPr="00F64CB3">
        <w:rPr>
          <w:rFonts w:eastAsia="Times New Roman" w:cs="Arial"/>
          <w:color w:val="000000"/>
          <w:lang w:val="ru-RU"/>
        </w:rPr>
        <w:t xml:space="preserve"> </w:t>
      </w:r>
      <w:r w:rsidRPr="00F64CB3">
        <w:rPr>
          <w:rFonts w:eastAsia="Times New Roman" w:cs="Arial"/>
          <w:color w:val="000000"/>
          <w:lang w:eastAsia="bg-BG"/>
        </w:rPr>
        <w:t xml:space="preserve">и макулопапулозен обрив. При пациенти с японски и европейски произход тези реакции са съобщени във връзка с употребата на карбамазепин и наличието на </w:t>
      </w:r>
      <w:r w:rsidRPr="00F64CB3">
        <w:rPr>
          <w:rFonts w:eastAsia="Times New Roman" w:cs="Arial"/>
          <w:color w:val="000000"/>
          <w:lang w:val="en-US"/>
        </w:rPr>
        <w:t>HLA</w:t>
      </w:r>
      <w:r w:rsidRPr="00F64CB3">
        <w:rPr>
          <w:rFonts w:eastAsia="Times New Roman" w:cs="Arial"/>
          <w:color w:val="000000"/>
          <w:lang w:val="ru-RU"/>
        </w:rPr>
        <w:t>-</w:t>
      </w:r>
      <w:r w:rsidRPr="00F64CB3">
        <w:rPr>
          <w:rFonts w:eastAsia="Times New Roman" w:cs="Arial"/>
          <w:color w:val="000000"/>
          <w:lang w:val="en-US"/>
        </w:rPr>
        <w:t>B</w:t>
      </w:r>
      <w:r w:rsidRPr="00F64CB3">
        <w:rPr>
          <w:rFonts w:eastAsia="Times New Roman" w:cs="Arial"/>
          <w:color w:val="000000"/>
          <w:lang w:val="ru-RU"/>
        </w:rPr>
        <w:t xml:space="preserve">*3101 </w:t>
      </w:r>
      <w:r w:rsidRPr="00F64CB3">
        <w:rPr>
          <w:rFonts w:eastAsia="Times New Roman" w:cs="Arial"/>
          <w:color w:val="000000"/>
          <w:lang w:eastAsia="bg-BG"/>
        </w:rPr>
        <w:t xml:space="preserve">алел. Установено е, че друг маркер, </w:t>
      </w:r>
      <w:r w:rsidRPr="00F64CB3">
        <w:rPr>
          <w:rFonts w:eastAsia="Times New Roman" w:cs="Arial"/>
          <w:color w:val="000000"/>
          <w:lang w:val="en-US"/>
        </w:rPr>
        <w:t>HLA</w:t>
      </w:r>
      <w:r w:rsidRPr="00F64CB3">
        <w:rPr>
          <w:rFonts w:eastAsia="Times New Roman" w:cs="Arial"/>
          <w:color w:val="000000"/>
          <w:lang w:val="ru-RU"/>
        </w:rPr>
        <w:t>-</w:t>
      </w:r>
      <w:r w:rsidRPr="00F64CB3">
        <w:rPr>
          <w:rFonts w:eastAsia="Times New Roman" w:cs="Arial"/>
          <w:color w:val="000000"/>
          <w:lang w:val="en-US"/>
        </w:rPr>
        <w:t>B</w:t>
      </w:r>
      <w:r w:rsidRPr="00F64CB3">
        <w:rPr>
          <w:rFonts w:eastAsia="Times New Roman" w:cs="Arial"/>
          <w:color w:val="000000"/>
          <w:lang w:val="ru-RU"/>
        </w:rPr>
        <w:t xml:space="preserve">*1502 </w:t>
      </w:r>
      <w:r w:rsidRPr="00F64CB3">
        <w:rPr>
          <w:rFonts w:eastAsia="Times New Roman" w:cs="Arial"/>
          <w:color w:val="000000"/>
          <w:lang w:eastAsia="bg-BG"/>
        </w:rPr>
        <w:t>е</w:t>
      </w:r>
      <w:r w:rsidRPr="00F64CB3">
        <w:rPr>
          <w:rFonts w:eastAsia="Times New Roman" w:cs="Arial"/>
          <w:color w:val="000000"/>
          <w:u w:val="single"/>
          <w:lang w:eastAsia="bg-BG"/>
        </w:rPr>
        <w:t xml:space="preserve"> </w:t>
      </w:r>
      <w:r w:rsidRPr="00F64CB3">
        <w:rPr>
          <w:rFonts w:eastAsia="Times New Roman" w:cs="Arial"/>
          <w:color w:val="000000"/>
          <w:lang w:eastAsia="bg-BG"/>
        </w:rPr>
        <w:t xml:space="preserve">категорично свързан със </w:t>
      </w:r>
      <w:r w:rsidRPr="00F64CB3">
        <w:rPr>
          <w:rFonts w:eastAsia="Times New Roman" w:cs="Arial"/>
          <w:color w:val="000000"/>
          <w:lang w:val="en-US"/>
        </w:rPr>
        <w:t>SJS</w:t>
      </w:r>
      <w:r w:rsidRPr="00F64CB3">
        <w:rPr>
          <w:rFonts w:eastAsia="Times New Roman" w:cs="Arial"/>
          <w:color w:val="000000"/>
          <w:lang w:val="ru-RU"/>
        </w:rPr>
        <w:t xml:space="preserve"> </w:t>
      </w:r>
      <w:r w:rsidRPr="00F64CB3">
        <w:rPr>
          <w:rFonts w:eastAsia="Times New Roman" w:cs="Arial"/>
          <w:color w:val="000000"/>
          <w:lang w:eastAsia="bg-BG"/>
        </w:rPr>
        <w:t>и ТЕН при индивиди от Китай, Тайланд и някои други с азиатски</w:t>
      </w:r>
    </w:p>
    <w:p w14:paraId="5D7EEBC6"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произход (вж. точка 4.2 и 4.4).</w:t>
      </w:r>
    </w:p>
    <w:p w14:paraId="6189E262" w14:textId="77777777" w:rsidR="00F64CB3" w:rsidRPr="00F64CB3" w:rsidRDefault="00F64CB3" w:rsidP="00F64CB3">
      <w:pPr>
        <w:spacing w:line="240" w:lineRule="auto"/>
        <w:rPr>
          <w:rFonts w:eastAsia="Times New Roman" w:cs="Arial"/>
          <w:i/>
          <w:iCs/>
          <w:color w:val="000000"/>
          <w:lang w:eastAsia="bg-BG"/>
        </w:rPr>
      </w:pPr>
    </w:p>
    <w:p w14:paraId="7E33D6B5" w14:textId="384C4899"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мускулно-скелетната система и съединителната тъкан</w:t>
      </w:r>
    </w:p>
    <w:p w14:paraId="61B147FD" w14:textId="58904C7D" w:rsidR="00F64CB3" w:rsidRPr="00F64CB3" w:rsidRDefault="00F64CB3" w:rsidP="00F64CB3">
      <w:pPr>
        <w:spacing w:line="240" w:lineRule="auto"/>
        <w:rPr>
          <w:rFonts w:eastAsia="Times New Roman" w:cs="Arial"/>
        </w:rPr>
      </w:pPr>
      <w:r w:rsidRPr="00F64CB3">
        <w:rPr>
          <w:rFonts w:eastAsia="Times New Roman" w:cs="Arial"/>
          <w:color w:val="000000"/>
          <w:lang w:eastAsia="bg-BG"/>
        </w:rPr>
        <w:t>Редки: Мускулна слабост</w:t>
      </w:r>
    </w:p>
    <w:p w14:paraId="6923AD9E"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Артралгия, мускулни болки или спазми</w:t>
      </w:r>
    </w:p>
    <w:p w14:paraId="18C87824"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Има съобщения за намалена костна плътност остеопения, остеропороза и фрактури при пациенти на продължително лечение с карбамазепин. Не е установен механизма по който карбамазепин повлиява костния метаболизъм.</w:t>
      </w:r>
    </w:p>
    <w:p w14:paraId="5DC3162E" w14:textId="77777777" w:rsidR="00F64CB3" w:rsidRPr="00F64CB3" w:rsidRDefault="00F64CB3" w:rsidP="00F64CB3">
      <w:pPr>
        <w:spacing w:line="240" w:lineRule="auto"/>
        <w:rPr>
          <w:rFonts w:eastAsia="Times New Roman" w:cs="Arial"/>
          <w:i/>
          <w:iCs/>
          <w:color w:val="000000"/>
          <w:lang w:eastAsia="bg-BG"/>
        </w:rPr>
      </w:pPr>
    </w:p>
    <w:p w14:paraId="5DB5CC93" w14:textId="795C1CA0"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бъбреците и пикочните пътища</w:t>
      </w:r>
    </w:p>
    <w:p w14:paraId="227618E4"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Интерстициален нефрит, бъбречна недостатъчност, бъбречна дисфункция (напр. албуминурия, хематурия, олигурия и повишение на уреята в кръвта/азотемия), полакиурия, ретенция на урината</w:t>
      </w:r>
    </w:p>
    <w:p w14:paraId="526093D1" w14:textId="77777777" w:rsidR="00F64CB3" w:rsidRPr="00F64CB3" w:rsidRDefault="00F64CB3" w:rsidP="00F64CB3">
      <w:pPr>
        <w:spacing w:line="240" w:lineRule="auto"/>
        <w:rPr>
          <w:rFonts w:eastAsia="Times New Roman" w:cs="Arial"/>
          <w:i/>
          <w:iCs/>
          <w:color w:val="000000"/>
          <w:lang w:eastAsia="bg-BG"/>
        </w:rPr>
      </w:pPr>
    </w:p>
    <w:p w14:paraId="27A5B57A" w14:textId="555C561E" w:rsidR="00F64CB3" w:rsidRPr="00F64CB3" w:rsidRDefault="00F64CB3" w:rsidP="00F64CB3">
      <w:pPr>
        <w:spacing w:line="240" w:lineRule="auto"/>
        <w:rPr>
          <w:rFonts w:eastAsia="Times New Roman" w:cs="Arial"/>
        </w:rPr>
      </w:pPr>
      <w:r w:rsidRPr="00F64CB3">
        <w:rPr>
          <w:rFonts w:eastAsia="Times New Roman" w:cs="Arial"/>
          <w:i/>
          <w:iCs/>
          <w:color w:val="000000"/>
          <w:lang w:eastAsia="bg-BG"/>
        </w:rPr>
        <w:t>Нарушения на възпроизводителната система и гърдата</w:t>
      </w:r>
    </w:p>
    <w:p w14:paraId="1B2FCA36"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Много редки: Абнормна сперматогенеза (с намален брой сперматозоиди и/или подвижност), нарушение на мъжкия фертилитет, сексуални нарушения/импотентност.</w:t>
      </w:r>
    </w:p>
    <w:p w14:paraId="493A1C4B" w14:textId="77777777" w:rsidR="00F64CB3" w:rsidRPr="00F64CB3" w:rsidRDefault="00F64CB3" w:rsidP="00F64CB3">
      <w:pPr>
        <w:spacing w:line="240" w:lineRule="auto"/>
        <w:rPr>
          <w:rFonts w:eastAsia="Times New Roman" w:cs="Arial"/>
          <w:color w:val="000000"/>
          <w:u w:val="single"/>
          <w:lang w:eastAsia="bg-BG"/>
        </w:rPr>
      </w:pPr>
    </w:p>
    <w:p w14:paraId="136D38A3" w14:textId="241B5FE2" w:rsidR="00F64CB3" w:rsidRPr="00F64CB3" w:rsidRDefault="00F64CB3" w:rsidP="00F64CB3">
      <w:pPr>
        <w:spacing w:line="240" w:lineRule="auto"/>
        <w:rPr>
          <w:rFonts w:eastAsia="Times New Roman" w:cs="Arial"/>
        </w:rPr>
      </w:pPr>
      <w:r w:rsidRPr="00F64CB3">
        <w:rPr>
          <w:rFonts w:eastAsia="Times New Roman" w:cs="Arial"/>
          <w:color w:val="000000"/>
          <w:u w:val="single"/>
          <w:lang w:eastAsia="bg-BG"/>
        </w:rPr>
        <w:t>Съобщаване на подозирани нежелани реакции</w:t>
      </w:r>
    </w:p>
    <w:p w14:paraId="60226F79"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8,1303 София, тел.: +359 2 8903417, уебсайт: </w:t>
      </w:r>
      <w:r w:rsidRPr="00F64CB3">
        <w:rPr>
          <w:rFonts w:eastAsia="Times New Roman" w:cs="Arial"/>
        </w:rPr>
        <w:fldChar w:fldCharType="begin"/>
      </w:r>
      <w:r w:rsidRPr="00F64CB3">
        <w:rPr>
          <w:rFonts w:eastAsia="Times New Roman" w:cs="Arial"/>
        </w:rPr>
        <w:instrText xml:space="preserve"> HYPERLINK "http://www.bda.bg" </w:instrText>
      </w:r>
      <w:r w:rsidRPr="00F64CB3">
        <w:rPr>
          <w:rFonts w:eastAsia="Times New Roman" w:cs="Arial"/>
        </w:rPr>
      </w:r>
      <w:r w:rsidRPr="00F64CB3">
        <w:rPr>
          <w:rFonts w:eastAsia="Times New Roman" w:cs="Arial"/>
        </w:rPr>
        <w:fldChar w:fldCharType="separate"/>
      </w:r>
      <w:r w:rsidRPr="00F64CB3">
        <w:rPr>
          <w:rFonts w:eastAsia="Times New Roman" w:cs="Arial"/>
          <w:color w:val="000000"/>
          <w:lang w:val="en-US"/>
        </w:rPr>
        <w:t>www.bda.bg</w:t>
      </w:r>
      <w:r w:rsidRPr="00F64CB3">
        <w:rPr>
          <w:rFonts w:eastAsia="Times New Roman" w:cs="Arial"/>
        </w:rPr>
        <w:fldChar w:fldCharType="end"/>
      </w:r>
      <w:r w:rsidRPr="00F64CB3">
        <w:rPr>
          <w:rFonts w:eastAsia="Times New Roman" w:cs="Arial"/>
          <w:color w:val="000000"/>
          <w:lang w:val="en-US"/>
        </w:rPr>
        <w:t>.</w:t>
      </w:r>
    </w:p>
    <w:p w14:paraId="6D539649" w14:textId="3AB94ECE" w:rsidR="00F64CB3" w:rsidRPr="00F64CB3" w:rsidRDefault="00F64CB3" w:rsidP="00F64CB3"/>
    <w:p w14:paraId="0A023CE0" w14:textId="332BD082" w:rsidR="00CF77F7" w:rsidRDefault="002C50EE" w:rsidP="004A448E">
      <w:pPr>
        <w:pStyle w:val="Heading2"/>
      </w:pPr>
      <w:r>
        <w:t>4.9. Предозиране</w:t>
      </w:r>
    </w:p>
    <w:p w14:paraId="32EADDB9" w14:textId="7748DB85" w:rsidR="00F64CB3" w:rsidRDefault="00F64CB3" w:rsidP="00F64CB3"/>
    <w:p w14:paraId="7093A2FF" w14:textId="77777777"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В случай на интоксикация трябва да се има предвид вероятността от интоксикация с няколко различни вещества, вероятно приети със суицидни намерения.</w:t>
      </w:r>
    </w:p>
    <w:p w14:paraId="31759380" w14:textId="77777777" w:rsidR="00F64CB3" w:rsidRPr="00F64CB3" w:rsidRDefault="00F64CB3" w:rsidP="00F64CB3">
      <w:pPr>
        <w:spacing w:line="240" w:lineRule="auto"/>
        <w:rPr>
          <w:rFonts w:eastAsia="Times New Roman" w:cs="Arial"/>
          <w:color w:val="000000"/>
          <w:sz w:val="20"/>
          <w:szCs w:val="20"/>
          <w:lang w:eastAsia="bg-BG"/>
        </w:rPr>
      </w:pPr>
    </w:p>
    <w:p w14:paraId="6AE1029A" w14:textId="6E118704"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 xml:space="preserve">За интоксикации с карбамазепин се съобщава само при много високи дози (4-20 </w:t>
      </w:r>
      <w:r w:rsidRPr="00F64CB3">
        <w:rPr>
          <w:rFonts w:eastAsia="Times New Roman" w:cs="Arial"/>
          <w:color w:val="000000"/>
          <w:sz w:val="20"/>
          <w:szCs w:val="20"/>
          <w:lang w:val="en-US"/>
        </w:rPr>
        <w:t>g</w:t>
      </w:r>
      <w:r w:rsidRPr="00F64CB3">
        <w:rPr>
          <w:rFonts w:eastAsia="Times New Roman" w:cs="Arial"/>
          <w:color w:val="000000"/>
          <w:sz w:val="20"/>
          <w:szCs w:val="20"/>
          <w:lang w:val="ru-RU"/>
        </w:rPr>
        <w:t xml:space="preserve">), </w:t>
      </w:r>
      <w:r w:rsidRPr="00F64CB3">
        <w:rPr>
          <w:rFonts w:eastAsia="Times New Roman" w:cs="Arial"/>
          <w:color w:val="000000"/>
          <w:sz w:val="20"/>
          <w:szCs w:val="20"/>
          <w:lang w:eastAsia="bg-BG"/>
        </w:rPr>
        <w:t>при което плазменото му ниво е винаги над 20 μ</w:t>
      </w:r>
      <w:r w:rsidRPr="00F64CB3">
        <w:rPr>
          <w:rFonts w:eastAsia="Times New Roman" w:cs="Arial"/>
          <w:color w:val="000000"/>
          <w:sz w:val="20"/>
          <w:szCs w:val="20"/>
          <w:lang w:val="en-US"/>
        </w:rPr>
        <w:t>g</w:t>
      </w:r>
      <w:r w:rsidRPr="00F64CB3">
        <w:rPr>
          <w:rFonts w:eastAsia="Times New Roman" w:cs="Arial"/>
          <w:color w:val="000000"/>
          <w:sz w:val="20"/>
          <w:szCs w:val="20"/>
          <w:lang w:val="ru-RU"/>
        </w:rPr>
        <w:t>/</w:t>
      </w:r>
      <w:r w:rsidRPr="00F64CB3">
        <w:rPr>
          <w:rFonts w:eastAsia="Times New Roman" w:cs="Arial"/>
          <w:color w:val="000000"/>
          <w:sz w:val="20"/>
          <w:szCs w:val="20"/>
          <w:lang w:val="en-US"/>
        </w:rPr>
        <w:t>ml</w:t>
      </w:r>
      <w:r w:rsidRPr="00F64CB3">
        <w:rPr>
          <w:rFonts w:eastAsia="Times New Roman" w:cs="Arial"/>
          <w:color w:val="000000"/>
          <w:sz w:val="20"/>
          <w:szCs w:val="20"/>
          <w:lang w:val="ru-RU"/>
        </w:rPr>
        <w:t xml:space="preserve">. </w:t>
      </w:r>
      <w:r w:rsidRPr="00F64CB3">
        <w:rPr>
          <w:rFonts w:eastAsia="Times New Roman" w:cs="Arial"/>
          <w:color w:val="000000"/>
          <w:sz w:val="20"/>
          <w:szCs w:val="20"/>
          <w:lang w:eastAsia="bg-BG"/>
        </w:rPr>
        <w:t>Плазмени концентрации около 38 μ</w:t>
      </w:r>
      <w:r w:rsidRPr="00F64CB3">
        <w:rPr>
          <w:rFonts w:eastAsia="Times New Roman" w:cs="Arial"/>
          <w:color w:val="000000"/>
          <w:sz w:val="20"/>
          <w:szCs w:val="20"/>
          <w:lang w:val="en-US"/>
        </w:rPr>
        <w:t>g</w:t>
      </w:r>
      <w:r w:rsidRPr="00F64CB3">
        <w:rPr>
          <w:rFonts w:eastAsia="Times New Roman" w:cs="Arial"/>
          <w:color w:val="000000"/>
          <w:sz w:val="20"/>
          <w:szCs w:val="20"/>
          <w:lang w:val="ru-RU"/>
        </w:rPr>
        <w:t>/</w:t>
      </w:r>
      <w:r w:rsidRPr="00F64CB3">
        <w:rPr>
          <w:rFonts w:eastAsia="Times New Roman" w:cs="Arial"/>
          <w:color w:val="000000"/>
          <w:sz w:val="20"/>
          <w:szCs w:val="20"/>
          <w:lang w:val="en-US"/>
        </w:rPr>
        <w:t>ml</w:t>
      </w:r>
      <w:r w:rsidRPr="00F64CB3">
        <w:rPr>
          <w:rFonts w:eastAsia="Times New Roman" w:cs="Arial"/>
          <w:color w:val="000000"/>
          <w:sz w:val="20"/>
          <w:szCs w:val="20"/>
          <w:lang w:val="ru-RU"/>
        </w:rPr>
        <w:t xml:space="preserve"> </w:t>
      </w:r>
      <w:r w:rsidRPr="00F64CB3">
        <w:rPr>
          <w:rFonts w:eastAsia="Times New Roman" w:cs="Arial"/>
          <w:color w:val="000000"/>
          <w:sz w:val="20"/>
          <w:szCs w:val="20"/>
          <w:lang w:eastAsia="bg-BG"/>
        </w:rPr>
        <w:t>не са се оказали летални за пациента.</w:t>
      </w:r>
    </w:p>
    <w:p w14:paraId="0223E390" w14:textId="77777777" w:rsidR="00F64CB3" w:rsidRPr="00F64CB3" w:rsidRDefault="00F64CB3" w:rsidP="00F64CB3">
      <w:pPr>
        <w:spacing w:line="240" w:lineRule="auto"/>
        <w:rPr>
          <w:rFonts w:eastAsia="Times New Roman" w:cs="Arial"/>
          <w:color w:val="000000"/>
          <w:sz w:val="20"/>
          <w:szCs w:val="20"/>
          <w:lang w:eastAsia="bg-BG"/>
        </w:rPr>
      </w:pPr>
    </w:p>
    <w:p w14:paraId="552DB26C" w14:textId="06A85079"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В литературата са описани случаи с летален изход при предозиране с карбамазепин (приет със суицидни намерения и случайно).</w:t>
      </w:r>
    </w:p>
    <w:p w14:paraId="18574CC4" w14:textId="77777777" w:rsidR="00F64CB3" w:rsidRPr="00F64CB3" w:rsidRDefault="00F64CB3" w:rsidP="00F64CB3">
      <w:pPr>
        <w:spacing w:line="240" w:lineRule="auto"/>
        <w:rPr>
          <w:rFonts w:eastAsia="Times New Roman" w:cs="Arial"/>
          <w:b/>
          <w:bCs/>
          <w:color w:val="000000"/>
          <w:sz w:val="20"/>
          <w:szCs w:val="20"/>
          <w:lang w:eastAsia="bg-BG"/>
        </w:rPr>
      </w:pPr>
    </w:p>
    <w:p w14:paraId="5522C967" w14:textId="35DDC83B" w:rsidR="00F64CB3" w:rsidRPr="00F64CB3" w:rsidRDefault="00F64CB3" w:rsidP="00F64CB3">
      <w:pPr>
        <w:pStyle w:val="Heading3"/>
        <w:rPr>
          <w:rFonts w:eastAsia="Times New Roman"/>
          <w:b/>
        </w:rPr>
      </w:pPr>
      <w:r w:rsidRPr="00F64CB3">
        <w:rPr>
          <w:rFonts w:eastAsia="Times New Roman"/>
          <w:b/>
          <w:lang w:eastAsia="bg-BG"/>
        </w:rPr>
        <w:lastRenderedPageBreak/>
        <w:t>Признаци и симптоми</w:t>
      </w:r>
    </w:p>
    <w:p w14:paraId="32954B09" w14:textId="77777777"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Описаните признаци и симптоми на предозиране включват централна нервна система, сърдечно</w:t>
      </w:r>
      <w:r w:rsidRPr="00F64CB3">
        <w:rPr>
          <w:rFonts w:eastAsia="Times New Roman" w:cs="Arial"/>
          <w:color w:val="000000"/>
          <w:sz w:val="20"/>
          <w:szCs w:val="20"/>
          <w:lang w:eastAsia="bg-BG"/>
        </w:rPr>
        <w:softHyphen/>
        <w:t>съдова и дихателна системи.</w:t>
      </w:r>
    </w:p>
    <w:p w14:paraId="7C0FB763" w14:textId="77777777" w:rsidR="00F64CB3" w:rsidRPr="00F64CB3" w:rsidRDefault="00F64CB3" w:rsidP="00F64CB3">
      <w:pPr>
        <w:spacing w:line="240" w:lineRule="auto"/>
        <w:rPr>
          <w:rFonts w:eastAsia="Times New Roman" w:cs="Arial"/>
          <w:color w:val="000000"/>
          <w:sz w:val="20"/>
          <w:szCs w:val="20"/>
          <w:lang w:eastAsia="bg-BG"/>
        </w:rPr>
      </w:pPr>
    </w:p>
    <w:p w14:paraId="246C7136" w14:textId="6828B0B3"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Централна нервна система: потискане на ЦНС, дезориентация, сомнолентност, ажитация,, халюцинации, кома; замъглено виждане, неясна реч, дизартрия, нистагьм, атаксия, дискинезия, начална хиперрефлексия, по-късна хипорефлексия; конвулсии, психомоторни нарушения, миоклонус, хипотермия, мидриаза.</w:t>
      </w:r>
    </w:p>
    <w:p w14:paraId="6F3FEF65" w14:textId="77777777"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Дихателна система:</w:t>
      </w:r>
      <w:r w:rsidRPr="00F64CB3">
        <w:rPr>
          <w:rFonts w:eastAsia="Times New Roman" w:cs="Arial"/>
          <w:color w:val="000000"/>
          <w:sz w:val="20"/>
          <w:szCs w:val="20"/>
          <w:lang w:eastAsia="bg-BG"/>
        </w:rPr>
        <w:t xml:space="preserve"> потискане на дишането, белодробен оток</w:t>
      </w:r>
    </w:p>
    <w:p w14:paraId="02CFDA2D" w14:textId="77777777"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Сърдечно-съдова система:</w:t>
      </w:r>
      <w:r w:rsidRPr="00F64CB3">
        <w:rPr>
          <w:rFonts w:eastAsia="Times New Roman" w:cs="Arial"/>
          <w:color w:val="000000"/>
          <w:sz w:val="20"/>
          <w:szCs w:val="20"/>
          <w:lang w:eastAsia="bg-BG"/>
        </w:rPr>
        <w:t xml:space="preserve"> тахикардия, хипотония и понякога хипертония, проводни нарушения с разширяване на </w:t>
      </w:r>
      <w:r w:rsidRPr="00F64CB3">
        <w:rPr>
          <w:rFonts w:eastAsia="Times New Roman" w:cs="Arial"/>
          <w:color w:val="000000"/>
          <w:sz w:val="20"/>
          <w:szCs w:val="20"/>
          <w:lang w:val="en-US"/>
        </w:rPr>
        <w:t>QRS</w:t>
      </w:r>
      <w:r w:rsidRPr="00F64CB3">
        <w:rPr>
          <w:rFonts w:eastAsia="Times New Roman" w:cs="Arial"/>
          <w:color w:val="000000"/>
          <w:sz w:val="20"/>
          <w:szCs w:val="20"/>
          <w:lang w:eastAsia="bg-BG"/>
        </w:rPr>
        <w:t>-комплекса, синкоп със сърдечен арест</w:t>
      </w:r>
    </w:p>
    <w:p w14:paraId="7AF193C9" w14:textId="77777777"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Гастроинтестинална система:</w:t>
      </w:r>
      <w:r w:rsidRPr="00F64CB3">
        <w:rPr>
          <w:rFonts w:eastAsia="Times New Roman" w:cs="Arial"/>
          <w:color w:val="000000"/>
          <w:sz w:val="20"/>
          <w:szCs w:val="20"/>
          <w:lang w:eastAsia="bg-BG"/>
        </w:rPr>
        <w:t xml:space="preserve"> повръщане, забавена евакуация на стомашно съдържимо, забавена перисталтика</w:t>
      </w:r>
    </w:p>
    <w:p w14:paraId="411A6AF0" w14:textId="01FB548B" w:rsidR="00F64CB3" w:rsidRPr="00F64CB3" w:rsidRDefault="00F64CB3" w:rsidP="00F64CB3">
      <w:pPr>
        <w:rPr>
          <w:rFonts w:eastAsia="Times New Roman" w:cs="Arial"/>
          <w:color w:val="000000"/>
          <w:sz w:val="20"/>
          <w:szCs w:val="20"/>
          <w:lang w:eastAsia="bg-BG"/>
        </w:rPr>
      </w:pPr>
      <w:r w:rsidRPr="00F64CB3">
        <w:rPr>
          <w:rFonts w:eastAsia="Times New Roman" w:cs="Arial"/>
          <w:i/>
          <w:iCs/>
          <w:color w:val="000000"/>
          <w:sz w:val="20"/>
          <w:szCs w:val="20"/>
          <w:lang w:eastAsia="bg-BG"/>
        </w:rPr>
        <w:t>Бъбречна функция:</w:t>
      </w:r>
      <w:r w:rsidRPr="00F64CB3">
        <w:rPr>
          <w:rFonts w:eastAsia="Times New Roman" w:cs="Arial"/>
          <w:color w:val="000000"/>
          <w:sz w:val="20"/>
          <w:szCs w:val="20"/>
          <w:lang w:eastAsia="bg-BG"/>
        </w:rPr>
        <w:t xml:space="preserve"> ретенция на урина, олигурия или анурия, задържане на течност, водна интоксикация вследствие на подобния на АДХ ефект на карбамазепин</w:t>
      </w:r>
    </w:p>
    <w:p w14:paraId="37CED91F" w14:textId="77777777"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Лабораторни находки:</w:t>
      </w:r>
      <w:r w:rsidRPr="00F64CB3">
        <w:rPr>
          <w:rFonts w:eastAsia="Times New Roman" w:cs="Arial"/>
          <w:color w:val="000000"/>
          <w:sz w:val="20"/>
          <w:szCs w:val="20"/>
          <w:lang w:eastAsia="bg-BG"/>
        </w:rPr>
        <w:t xml:space="preserve"> хипонатриемия, вероятна метаболитна ацидоза, хипергликемия, повишена мускулна креатинин фосфокиназа, левкоцитоза, левкопения, неутропения, глюкозурия или ацетонурия.</w:t>
      </w:r>
    </w:p>
    <w:p w14:paraId="4FF4C5BE" w14:textId="77777777" w:rsidR="00F64CB3" w:rsidRPr="00F64CB3" w:rsidRDefault="00F64CB3" w:rsidP="00F64CB3">
      <w:pPr>
        <w:spacing w:line="240" w:lineRule="auto"/>
        <w:rPr>
          <w:rFonts w:eastAsia="Times New Roman" w:cs="Arial"/>
          <w:b/>
          <w:bCs/>
          <w:color w:val="000000"/>
          <w:sz w:val="20"/>
          <w:szCs w:val="20"/>
          <w:lang w:eastAsia="bg-BG"/>
        </w:rPr>
      </w:pPr>
    </w:p>
    <w:p w14:paraId="156C5381" w14:textId="108EC3A8" w:rsidR="00F64CB3" w:rsidRPr="00F64CB3" w:rsidRDefault="00F64CB3" w:rsidP="00F64CB3">
      <w:pPr>
        <w:pStyle w:val="Heading3"/>
        <w:rPr>
          <w:rFonts w:eastAsia="Times New Roman"/>
          <w:b/>
        </w:rPr>
      </w:pPr>
      <w:r w:rsidRPr="00F64CB3">
        <w:rPr>
          <w:rFonts w:eastAsia="Times New Roman"/>
          <w:b/>
          <w:lang w:eastAsia="bg-BG"/>
        </w:rPr>
        <w:t>Лечение</w:t>
      </w:r>
    </w:p>
    <w:p w14:paraId="77CC3C26" w14:textId="77777777"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Няма специфичен антидот.</w:t>
      </w:r>
    </w:p>
    <w:p w14:paraId="14B4332C" w14:textId="77777777" w:rsidR="00F64CB3" w:rsidRPr="00F64CB3" w:rsidRDefault="00F64CB3" w:rsidP="00F64CB3">
      <w:pPr>
        <w:spacing w:line="240" w:lineRule="auto"/>
        <w:rPr>
          <w:rFonts w:eastAsia="Times New Roman" w:cs="Arial"/>
          <w:color w:val="000000"/>
          <w:sz w:val="20"/>
          <w:szCs w:val="20"/>
          <w:lang w:eastAsia="bg-BG"/>
        </w:rPr>
      </w:pPr>
    </w:p>
    <w:p w14:paraId="712C7829" w14:textId="7C52EF53"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Първоначално лечението е в зависимост от клиничното състояние на пациента; необходима е хоспитализация. За потвърждаване на интоксикация с карбамазепин и установяване степента на предозирането е необходимо измерване на плазменото ниво. Възстановяването от интоксикацията трябва да се осъществи в клинични условия: необходим е контрол на функцията на сърцето и плазмената концентрация и съответно, ако е необходима корекция на електролитния дисбаланс. Евакуация на стомашното съдържимо, стомашна промивка и приложение на активен въглен. Забавеното изпразване на стомаха може да доведе до забавена абсорбция, водещо до релапс по време на периода на възстановяване след интоксикацията. Необходими са поддържаща терапия в отделение по реанимация с мониториране на сърдечната функция и внимателна корекция на електролитния дисбаланс.</w:t>
      </w:r>
    </w:p>
    <w:p w14:paraId="299625D0" w14:textId="77777777" w:rsidR="00F64CB3" w:rsidRPr="00F64CB3" w:rsidRDefault="00F64CB3" w:rsidP="00F64CB3">
      <w:pPr>
        <w:spacing w:line="240" w:lineRule="auto"/>
        <w:rPr>
          <w:rFonts w:eastAsia="Times New Roman" w:cs="Arial"/>
          <w:color w:val="000000"/>
          <w:sz w:val="20"/>
          <w:szCs w:val="20"/>
          <w:lang w:eastAsia="bg-BG"/>
        </w:rPr>
      </w:pPr>
    </w:p>
    <w:p w14:paraId="520AAE8F" w14:textId="601BE7BD"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При епилептични пристъпи трябва да се приемат подходящи антиконвулсанти. Не се препоръчва прием на барбитурати особено при деца, поради описаното в литературата индуциране на респираторна депресия.</w:t>
      </w:r>
    </w:p>
    <w:p w14:paraId="7ED792EA" w14:textId="77777777"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Засилената диуреза, както и хемодиализата и перитонеалната диализа в това отношение са малко ефективни, поради високата степен на свързване на карбамазепин с протеините.</w:t>
      </w:r>
    </w:p>
    <w:p w14:paraId="1B0F817E" w14:textId="77777777" w:rsidR="00F64CB3" w:rsidRPr="00F64CB3" w:rsidRDefault="00F64CB3" w:rsidP="00F64CB3">
      <w:pPr>
        <w:spacing w:line="240" w:lineRule="auto"/>
        <w:rPr>
          <w:rFonts w:eastAsia="Times New Roman" w:cs="Arial"/>
          <w:b/>
          <w:bCs/>
          <w:color w:val="000000"/>
          <w:sz w:val="20"/>
          <w:szCs w:val="20"/>
          <w:lang w:eastAsia="bg-BG"/>
        </w:rPr>
      </w:pPr>
    </w:p>
    <w:p w14:paraId="2F2C1B96" w14:textId="0035627A" w:rsidR="00F64CB3" w:rsidRPr="00F64CB3" w:rsidRDefault="00F64CB3" w:rsidP="00F64CB3">
      <w:pPr>
        <w:spacing w:line="240" w:lineRule="auto"/>
        <w:rPr>
          <w:rFonts w:eastAsia="Times New Roman" w:cs="Arial"/>
          <w:sz w:val="24"/>
          <w:szCs w:val="24"/>
        </w:rPr>
      </w:pPr>
      <w:r w:rsidRPr="00F64CB3">
        <w:rPr>
          <w:rFonts w:eastAsia="Times New Roman" w:cs="Arial"/>
          <w:b/>
          <w:bCs/>
          <w:color w:val="000000"/>
          <w:sz w:val="20"/>
          <w:szCs w:val="20"/>
          <w:lang w:eastAsia="bg-BG"/>
        </w:rPr>
        <w:t>Специални препоръки</w:t>
      </w:r>
    </w:p>
    <w:p w14:paraId="4A2B17A4" w14:textId="77777777"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Хипотония:</w:t>
      </w:r>
      <w:r w:rsidRPr="00F64CB3">
        <w:rPr>
          <w:rFonts w:eastAsia="Times New Roman" w:cs="Arial"/>
          <w:color w:val="000000"/>
          <w:sz w:val="20"/>
          <w:szCs w:val="20"/>
          <w:lang w:eastAsia="bg-BG"/>
        </w:rPr>
        <w:t xml:space="preserve"> Прилагане на допамин или добутамин интравенозно.</w:t>
      </w:r>
    </w:p>
    <w:p w14:paraId="4E6EC626" w14:textId="77777777" w:rsidR="00F64CB3" w:rsidRPr="00F64CB3" w:rsidRDefault="00F64CB3" w:rsidP="00F64CB3">
      <w:pPr>
        <w:spacing w:line="240" w:lineRule="auto"/>
        <w:rPr>
          <w:rFonts w:eastAsia="Times New Roman" w:cs="Arial"/>
          <w:i/>
          <w:iCs/>
          <w:color w:val="000000"/>
          <w:sz w:val="20"/>
          <w:szCs w:val="20"/>
          <w:lang w:eastAsia="bg-BG"/>
        </w:rPr>
      </w:pPr>
    </w:p>
    <w:p w14:paraId="7236D9B9" w14:textId="6D5E1C40"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Нарушен сърдечен ритъм:</w:t>
      </w:r>
      <w:r w:rsidRPr="00F64CB3">
        <w:rPr>
          <w:rFonts w:eastAsia="Times New Roman" w:cs="Arial"/>
          <w:color w:val="000000"/>
          <w:sz w:val="20"/>
          <w:szCs w:val="20"/>
          <w:lang w:eastAsia="bg-BG"/>
        </w:rPr>
        <w:t xml:space="preserve"> Да се лекува индивидуално.</w:t>
      </w:r>
    </w:p>
    <w:p w14:paraId="4A8E6AE3" w14:textId="77777777" w:rsidR="00F64CB3" w:rsidRPr="00F64CB3" w:rsidRDefault="00F64CB3" w:rsidP="00F64CB3">
      <w:pPr>
        <w:spacing w:line="240" w:lineRule="auto"/>
        <w:rPr>
          <w:rFonts w:eastAsia="Times New Roman" w:cs="Arial"/>
          <w:i/>
          <w:iCs/>
          <w:color w:val="000000"/>
          <w:sz w:val="20"/>
          <w:szCs w:val="20"/>
          <w:lang w:eastAsia="bg-BG"/>
        </w:rPr>
      </w:pPr>
    </w:p>
    <w:p w14:paraId="3D4B84AB" w14:textId="0AB4863C"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Конвулсии:</w:t>
      </w:r>
      <w:r w:rsidRPr="00F64CB3">
        <w:rPr>
          <w:rFonts w:eastAsia="Times New Roman" w:cs="Arial"/>
          <w:color w:val="000000"/>
          <w:sz w:val="20"/>
          <w:szCs w:val="20"/>
          <w:lang w:eastAsia="bg-BG"/>
        </w:rPr>
        <w:t xml:space="preserve"> Приложение на бензодиазепин (напр. диазепам) или друг антиконвулсант, напр. фенобарбитон (предпазливо поради повишена респираторна депресия) или паралдехид.</w:t>
      </w:r>
    </w:p>
    <w:p w14:paraId="33D025E3" w14:textId="77777777" w:rsidR="00F64CB3" w:rsidRPr="00F64CB3" w:rsidRDefault="00F64CB3" w:rsidP="00F64CB3">
      <w:pPr>
        <w:spacing w:line="240" w:lineRule="auto"/>
        <w:rPr>
          <w:rFonts w:eastAsia="Times New Roman" w:cs="Arial"/>
          <w:i/>
          <w:iCs/>
          <w:color w:val="000000"/>
          <w:sz w:val="20"/>
          <w:szCs w:val="20"/>
          <w:lang w:eastAsia="bg-BG"/>
        </w:rPr>
      </w:pPr>
    </w:p>
    <w:p w14:paraId="152D74B5" w14:textId="54A75E0E" w:rsidR="00F64CB3" w:rsidRPr="00F64CB3" w:rsidRDefault="00F64CB3" w:rsidP="00F64CB3">
      <w:pPr>
        <w:spacing w:line="240" w:lineRule="auto"/>
        <w:rPr>
          <w:rFonts w:eastAsia="Times New Roman" w:cs="Arial"/>
          <w:sz w:val="24"/>
          <w:szCs w:val="24"/>
        </w:rPr>
      </w:pPr>
      <w:r w:rsidRPr="00F64CB3">
        <w:rPr>
          <w:rFonts w:eastAsia="Times New Roman" w:cs="Arial"/>
          <w:i/>
          <w:iCs/>
          <w:color w:val="000000"/>
          <w:sz w:val="20"/>
          <w:szCs w:val="20"/>
          <w:lang w:eastAsia="bg-BG"/>
        </w:rPr>
        <w:t>Хипонатриемия (водна интоксикация):</w:t>
      </w:r>
      <w:r w:rsidRPr="00F64CB3">
        <w:rPr>
          <w:rFonts w:eastAsia="Times New Roman" w:cs="Arial"/>
          <w:color w:val="000000"/>
          <w:sz w:val="20"/>
          <w:szCs w:val="20"/>
          <w:lang w:eastAsia="bg-BG"/>
        </w:rPr>
        <w:t xml:space="preserve"> ограничаване приема на течности и бавно и предпазливо вливане на 0,9% инфузионен разтвор на натриев хлорид. Тези мерки може да са полезни при предотвратяване на мозъчна увреда.</w:t>
      </w:r>
    </w:p>
    <w:p w14:paraId="6607A70A" w14:textId="77777777" w:rsidR="00F64CB3" w:rsidRPr="00F64CB3" w:rsidRDefault="00F64CB3" w:rsidP="00F64CB3">
      <w:pPr>
        <w:spacing w:line="240" w:lineRule="auto"/>
        <w:rPr>
          <w:rFonts w:eastAsia="Times New Roman" w:cs="Arial"/>
          <w:color w:val="000000"/>
          <w:sz w:val="20"/>
          <w:szCs w:val="20"/>
          <w:lang w:eastAsia="bg-BG"/>
        </w:rPr>
      </w:pPr>
    </w:p>
    <w:p w14:paraId="0BE2FC67" w14:textId="534A5765"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t>Препоръчва се провеждане на хемоперфузия с активен въглен. Има съобщения, че форсирана диуреза, хемодиализа и перитонеална диализа може да са от полза.</w:t>
      </w:r>
    </w:p>
    <w:p w14:paraId="6E118E05" w14:textId="77777777" w:rsidR="00F64CB3" w:rsidRPr="00F64CB3" w:rsidRDefault="00F64CB3" w:rsidP="00F64CB3">
      <w:pPr>
        <w:spacing w:line="240" w:lineRule="auto"/>
        <w:rPr>
          <w:rFonts w:eastAsia="Times New Roman" w:cs="Arial"/>
          <w:color w:val="000000"/>
          <w:sz w:val="20"/>
          <w:szCs w:val="20"/>
          <w:lang w:eastAsia="bg-BG"/>
        </w:rPr>
      </w:pPr>
    </w:p>
    <w:p w14:paraId="21E70A7A" w14:textId="60B55858" w:rsidR="00F64CB3" w:rsidRPr="00F64CB3" w:rsidRDefault="00F64CB3" w:rsidP="00F64CB3">
      <w:pPr>
        <w:spacing w:line="240" w:lineRule="auto"/>
        <w:rPr>
          <w:rFonts w:eastAsia="Times New Roman" w:cs="Arial"/>
          <w:sz w:val="24"/>
          <w:szCs w:val="24"/>
        </w:rPr>
      </w:pPr>
      <w:r w:rsidRPr="00F64CB3">
        <w:rPr>
          <w:rFonts w:eastAsia="Times New Roman" w:cs="Arial"/>
          <w:color w:val="000000"/>
          <w:sz w:val="20"/>
          <w:szCs w:val="20"/>
          <w:lang w:eastAsia="bg-BG"/>
        </w:rPr>
        <w:lastRenderedPageBreak/>
        <w:t>Трябва да се очаква релапс и влошаване на симптоматиката на 2-ия и 3-тия ден след предозирането, поради забавена абсорбция.</w:t>
      </w:r>
    </w:p>
    <w:p w14:paraId="02081B24" w14:textId="1F46E296" w:rsidR="00395555" w:rsidRPr="00395555" w:rsidRDefault="002C50EE" w:rsidP="008A6AF2">
      <w:pPr>
        <w:pStyle w:val="Heading1"/>
      </w:pPr>
      <w:r>
        <w:t>5. ФАРМАКОЛОГИЧНИ СВОЙСТВА</w:t>
      </w:r>
    </w:p>
    <w:p w14:paraId="32B6DE66" w14:textId="280B154A" w:rsidR="00CF77F7" w:rsidRDefault="002C50EE" w:rsidP="004A448E">
      <w:pPr>
        <w:pStyle w:val="Heading2"/>
      </w:pPr>
      <w:r>
        <w:t>5.1. Фармакодинамични свойства</w:t>
      </w:r>
    </w:p>
    <w:p w14:paraId="4C3C923F" w14:textId="4AC356F9" w:rsidR="00F64CB3" w:rsidRDefault="00F64CB3" w:rsidP="00F64CB3"/>
    <w:p w14:paraId="785B8D82" w14:textId="77777777" w:rsidR="00F64CB3" w:rsidRPr="00F64CB3" w:rsidRDefault="00F64CB3" w:rsidP="00F64CB3">
      <w:pPr>
        <w:rPr>
          <w:sz w:val="24"/>
          <w:szCs w:val="24"/>
        </w:rPr>
      </w:pPr>
      <w:r w:rsidRPr="00F64CB3">
        <w:rPr>
          <w:lang w:eastAsia="bg-BG"/>
        </w:rPr>
        <w:t xml:space="preserve">Фармакотерапевтична група: Антиепилептичен лекарствен продукт, АТС код: </w:t>
      </w:r>
      <w:r w:rsidRPr="00F64CB3">
        <w:rPr>
          <w:lang w:val="en-US"/>
        </w:rPr>
        <w:t>N</w:t>
      </w:r>
      <w:r w:rsidRPr="00F64CB3">
        <w:rPr>
          <w:lang w:val="ru-RU"/>
        </w:rPr>
        <w:t>03</w:t>
      </w:r>
      <w:r w:rsidRPr="00F64CB3">
        <w:rPr>
          <w:lang w:val="en-US"/>
        </w:rPr>
        <w:t>AF</w:t>
      </w:r>
      <w:r w:rsidRPr="00F64CB3">
        <w:rPr>
          <w:lang w:val="ru-RU"/>
        </w:rPr>
        <w:t>01</w:t>
      </w:r>
    </w:p>
    <w:p w14:paraId="31218CD2" w14:textId="77777777" w:rsidR="00F64CB3" w:rsidRDefault="00F64CB3" w:rsidP="00F64CB3">
      <w:pPr>
        <w:rPr>
          <w:lang w:eastAsia="bg-BG"/>
        </w:rPr>
      </w:pPr>
    </w:p>
    <w:p w14:paraId="2BD0E893" w14:textId="77777777" w:rsidR="00F64CB3" w:rsidRPr="00F64CB3" w:rsidRDefault="00F64CB3" w:rsidP="00F64CB3">
      <w:pPr>
        <w:rPr>
          <w:sz w:val="24"/>
          <w:szCs w:val="24"/>
        </w:rPr>
      </w:pPr>
      <w:r w:rsidRPr="00F64CB3">
        <w:rPr>
          <w:lang w:eastAsia="bg-BG"/>
        </w:rPr>
        <w:t>Карбамазепин е производно на иминостилбен. Карбамазепин показва близка химическа идентичност с трицикличните антидепресанти и фармакологична с фенитоин. Точният електрофизиологичен и биологичен механизъм на действие не е известен. Терапевтичният ефект се</w:t>
      </w:r>
      <w:r w:rsidRPr="00F64CB3">
        <w:rPr>
          <w:lang w:val="ru-RU" w:eastAsia="bg-BG"/>
        </w:rPr>
        <w:t xml:space="preserve"> </w:t>
      </w:r>
      <w:r w:rsidRPr="00F64CB3">
        <w:rPr>
          <w:lang w:eastAsia="bg-BG"/>
        </w:rPr>
        <w:t>основава на инхибирането на синапеното провеждане на възбудимостта, чрез което се постига намаляване на честотата на конвулсиите. Във високи концентрации карбамазепин предизвиква понижаване на посттетаничното усилване.</w:t>
      </w:r>
    </w:p>
    <w:p w14:paraId="3BC7FE9B" w14:textId="77777777" w:rsidR="00F64CB3" w:rsidRDefault="00F64CB3" w:rsidP="00F64CB3">
      <w:pPr>
        <w:rPr>
          <w:lang w:eastAsia="bg-BG"/>
        </w:rPr>
      </w:pPr>
    </w:p>
    <w:p w14:paraId="0877135E" w14:textId="27C7EC7B" w:rsidR="00F64CB3" w:rsidRPr="00F64CB3" w:rsidRDefault="00F64CB3" w:rsidP="00F64CB3">
      <w:pPr>
        <w:rPr>
          <w:sz w:val="24"/>
          <w:szCs w:val="24"/>
        </w:rPr>
      </w:pPr>
      <w:r w:rsidRPr="00F64CB3">
        <w:rPr>
          <w:lang w:eastAsia="bg-BG"/>
        </w:rPr>
        <w:t>Облекчаването на болката при тригеминалната невралгия се осъществява вероятно благодарение на възпрепятстване на синапената възбудна проводимост в спиналните тригеминални ядра.</w:t>
      </w:r>
    </w:p>
    <w:p w14:paraId="42EC715D" w14:textId="027F4493" w:rsidR="00F64CB3" w:rsidRDefault="00F64CB3" w:rsidP="00F64CB3">
      <w:pPr>
        <w:rPr>
          <w:lang w:eastAsia="bg-BG"/>
        </w:rPr>
      </w:pPr>
      <w:r w:rsidRPr="00F64CB3">
        <w:rPr>
          <w:lang w:eastAsia="bg-BG"/>
        </w:rPr>
        <w:t>Карбамазепин се характеризира с антиконвулсивно и психотропно действие.</w:t>
      </w:r>
    </w:p>
    <w:p w14:paraId="67765AB8" w14:textId="77777777" w:rsidR="00F64CB3" w:rsidRPr="00F64CB3" w:rsidRDefault="00F64CB3" w:rsidP="00F64CB3">
      <w:pPr>
        <w:rPr>
          <w:lang w:val="ru-RU"/>
        </w:rPr>
      </w:pPr>
    </w:p>
    <w:p w14:paraId="35F84B81" w14:textId="42834234" w:rsidR="00CF77F7" w:rsidRDefault="002C50EE" w:rsidP="004A448E">
      <w:pPr>
        <w:pStyle w:val="Heading2"/>
      </w:pPr>
      <w:r>
        <w:t>5.2. Фармакокинетични свойства</w:t>
      </w:r>
    </w:p>
    <w:p w14:paraId="408F8AF3" w14:textId="5DD25FBF" w:rsidR="00F64CB3" w:rsidRDefault="00F64CB3" w:rsidP="00F64CB3"/>
    <w:p w14:paraId="15966B14" w14:textId="77777777" w:rsidR="00F64CB3" w:rsidRPr="00F64CB3" w:rsidRDefault="00F64CB3" w:rsidP="00F64CB3">
      <w:pPr>
        <w:spacing w:line="240" w:lineRule="auto"/>
        <w:rPr>
          <w:rFonts w:eastAsia="Times New Roman" w:cs="Arial"/>
        </w:rPr>
      </w:pPr>
      <w:r w:rsidRPr="00F64CB3">
        <w:rPr>
          <w:rFonts w:eastAsia="Times New Roman" w:cs="Arial"/>
          <w:color w:val="000000"/>
          <w:u w:val="single"/>
          <w:lang w:eastAsia="bg-BG"/>
        </w:rPr>
        <w:t>Резорбция. плазмено ниво</w:t>
      </w:r>
    </w:p>
    <w:p w14:paraId="4696A55F"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Карбамазепин (в зависимост от лекарствената форма) се резорбира почти напълно, но скоростта на абсорбция е сравнително ниска.</w:t>
      </w:r>
    </w:p>
    <w:p w14:paraId="23BEFDF1" w14:textId="77777777" w:rsidR="00F64CB3" w:rsidRPr="00F64CB3" w:rsidRDefault="00F64CB3" w:rsidP="00F64CB3">
      <w:pPr>
        <w:spacing w:line="240" w:lineRule="auto"/>
        <w:rPr>
          <w:rFonts w:eastAsia="Times New Roman" w:cs="Arial"/>
          <w:color w:val="000000"/>
          <w:lang w:eastAsia="bg-BG"/>
        </w:rPr>
      </w:pPr>
    </w:p>
    <w:p w14:paraId="1C5315D0" w14:textId="2CA3D213" w:rsidR="00F64CB3" w:rsidRPr="00F64CB3" w:rsidRDefault="00F64CB3" w:rsidP="00F64CB3">
      <w:pPr>
        <w:spacing w:line="240" w:lineRule="auto"/>
        <w:rPr>
          <w:rFonts w:eastAsia="Times New Roman" w:cs="Arial"/>
        </w:rPr>
      </w:pPr>
      <w:r w:rsidRPr="00F64CB3">
        <w:rPr>
          <w:rFonts w:eastAsia="Times New Roman" w:cs="Arial"/>
          <w:color w:val="000000"/>
          <w:lang w:eastAsia="bg-BG"/>
        </w:rPr>
        <w:t>Времето, през което се резорбира половината от приетото количество карбамазепин е средно 8,5 часа и показва големи интра- и интериндивидуални разлики (около 1,72-12 часа).</w:t>
      </w:r>
    </w:p>
    <w:p w14:paraId="3A78A068"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При еднократен прием максималните плазмени концентрации се достигат при възрастни след 4- 16 часа (много рядко до 35 часа), а при деца след около 4-6 часа. Плазменото ниво не зависи линейно от дозата и при високи дозировки показва плато на насищане.</w:t>
      </w:r>
    </w:p>
    <w:p w14:paraId="1389E24F" w14:textId="77777777" w:rsidR="00F64CB3" w:rsidRPr="00F64CB3" w:rsidRDefault="00F64CB3" w:rsidP="00F64CB3">
      <w:pPr>
        <w:spacing w:line="240" w:lineRule="auto"/>
        <w:rPr>
          <w:rFonts w:eastAsia="Times New Roman" w:cs="Arial"/>
          <w:color w:val="000000"/>
          <w:lang w:eastAsia="bg-BG"/>
        </w:rPr>
      </w:pPr>
    </w:p>
    <w:p w14:paraId="40AE9970" w14:textId="7120D4A0" w:rsidR="00F64CB3" w:rsidRPr="00F64CB3" w:rsidRDefault="00F64CB3" w:rsidP="00F64CB3">
      <w:pPr>
        <w:spacing w:line="240" w:lineRule="auto"/>
        <w:rPr>
          <w:rFonts w:eastAsia="Times New Roman" w:cs="Arial"/>
        </w:rPr>
      </w:pPr>
      <w:r w:rsidRPr="00F64CB3">
        <w:rPr>
          <w:rFonts w:eastAsia="Times New Roman" w:cs="Arial"/>
          <w:color w:val="000000"/>
          <w:lang w:eastAsia="bg-BG"/>
        </w:rPr>
        <w:t>Плазменото ниво при прием на таблетки с удължено освобождаване е по-ниско, отколкото при прием на обикновени таблетки.</w:t>
      </w:r>
    </w:p>
    <w:p w14:paraId="57C16D97" w14:textId="77777777" w:rsidR="00F64CB3" w:rsidRPr="00F64CB3" w:rsidRDefault="00F64CB3" w:rsidP="00F64CB3">
      <w:pPr>
        <w:spacing w:line="240" w:lineRule="auto"/>
        <w:rPr>
          <w:rFonts w:eastAsia="Times New Roman" w:cs="Arial"/>
          <w:color w:val="000000"/>
          <w:lang w:eastAsia="bg-BG"/>
        </w:rPr>
      </w:pPr>
    </w:p>
    <w:p w14:paraId="0541277F" w14:textId="2BBB9EA2"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Стационарно състояние се достига след 2-8 дни. Не съществува тясна корелация между дозата на карбамазепин и плазмената концентрация в </w:t>
      </w:r>
      <w:r w:rsidRPr="00F64CB3">
        <w:rPr>
          <w:rFonts w:eastAsia="Times New Roman" w:cs="Arial"/>
          <w:color w:val="000000"/>
          <w:lang w:val="en-US"/>
        </w:rPr>
        <w:t>Steady</w:t>
      </w:r>
      <w:r w:rsidRPr="00F64CB3">
        <w:rPr>
          <w:rFonts w:eastAsia="Times New Roman" w:cs="Arial"/>
          <w:color w:val="000000"/>
          <w:lang w:val="ru-RU"/>
        </w:rPr>
        <w:t>-</w:t>
      </w:r>
      <w:r w:rsidRPr="00F64CB3">
        <w:rPr>
          <w:rFonts w:eastAsia="Times New Roman" w:cs="Arial"/>
          <w:color w:val="000000"/>
          <w:lang w:val="en-US"/>
        </w:rPr>
        <w:t>state</w:t>
      </w:r>
      <w:r w:rsidRPr="00F64CB3">
        <w:rPr>
          <w:rFonts w:eastAsia="Times New Roman" w:cs="Arial"/>
          <w:color w:val="000000"/>
          <w:lang w:val="ru-RU"/>
        </w:rPr>
        <w:t xml:space="preserve">. </w:t>
      </w:r>
      <w:r w:rsidRPr="00F64CB3">
        <w:rPr>
          <w:rFonts w:eastAsia="Times New Roman" w:cs="Arial"/>
          <w:color w:val="000000"/>
          <w:lang w:eastAsia="bg-BG"/>
        </w:rPr>
        <w:t>Плазмените нива на карбамазепин и неговия метаболит карбамазепин-10,11-епоксид показват по-малки флуктуации в дозовия интервал между 8-ия и 12-ия час при таблетките с удължено освобождаване.</w:t>
      </w:r>
    </w:p>
    <w:p w14:paraId="42226979" w14:textId="77777777" w:rsidR="00F64CB3" w:rsidRPr="00F64CB3" w:rsidRDefault="00F64CB3" w:rsidP="00F64CB3">
      <w:pPr>
        <w:spacing w:line="240" w:lineRule="auto"/>
        <w:rPr>
          <w:rFonts w:eastAsia="Times New Roman" w:cs="Arial"/>
          <w:color w:val="000000"/>
          <w:lang w:eastAsia="bg-BG"/>
        </w:rPr>
      </w:pPr>
    </w:p>
    <w:p w14:paraId="2F94E364" w14:textId="3296114C" w:rsidR="00F64CB3" w:rsidRPr="00F64CB3" w:rsidRDefault="00F64CB3" w:rsidP="00F64CB3">
      <w:pPr>
        <w:spacing w:line="240" w:lineRule="auto"/>
        <w:rPr>
          <w:rFonts w:eastAsia="Times New Roman" w:cs="Arial"/>
        </w:rPr>
      </w:pPr>
      <w:r w:rsidRPr="00F64CB3">
        <w:rPr>
          <w:rFonts w:eastAsia="Times New Roman" w:cs="Arial"/>
          <w:color w:val="000000"/>
          <w:lang w:eastAsia="bg-BG"/>
        </w:rPr>
        <w:t>По литературни данни относно терапевтичните и токсичните плазмени концентрации, предотвратяване на пристъпите се постига при плазмени нива 4-12 μ</w:t>
      </w:r>
      <w:r w:rsidRPr="00F64CB3">
        <w:rPr>
          <w:rFonts w:eastAsia="Times New Roman" w:cs="Arial"/>
          <w:color w:val="000000"/>
          <w:lang w:val="en-US"/>
        </w:rPr>
        <w:t>g</w:t>
      </w:r>
      <w:r w:rsidRPr="00F64CB3">
        <w:rPr>
          <w:rFonts w:eastAsia="Times New Roman" w:cs="Arial"/>
          <w:color w:val="000000"/>
          <w:lang w:val="ru-RU"/>
        </w:rPr>
        <w:t>/</w:t>
      </w:r>
      <w:r w:rsidRPr="00F64CB3">
        <w:rPr>
          <w:rFonts w:eastAsia="Times New Roman" w:cs="Arial"/>
          <w:color w:val="000000"/>
          <w:lang w:val="en-US"/>
        </w:rPr>
        <w:t>ml</w:t>
      </w:r>
      <w:r w:rsidRPr="00F64CB3">
        <w:rPr>
          <w:rFonts w:eastAsia="Times New Roman" w:cs="Arial"/>
          <w:color w:val="000000"/>
          <w:lang w:val="ru-RU"/>
        </w:rPr>
        <w:t xml:space="preserve">. </w:t>
      </w:r>
      <w:r w:rsidRPr="00F64CB3">
        <w:rPr>
          <w:rFonts w:eastAsia="Times New Roman" w:cs="Arial"/>
          <w:color w:val="000000"/>
          <w:lang w:eastAsia="bg-BG"/>
        </w:rPr>
        <w:t>Плазмени концентрации над 20 μ</w:t>
      </w:r>
      <w:r w:rsidRPr="00F64CB3">
        <w:rPr>
          <w:rFonts w:eastAsia="Times New Roman" w:cs="Arial"/>
          <w:color w:val="000000"/>
          <w:lang w:val="en-US"/>
        </w:rPr>
        <w:t>g</w:t>
      </w:r>
      <w:r w:rsidRPr="00F64CB3">
        <w:rPr>
          <w:rFonts w:eastAsia="Times New Roman" w:cs="Arial"/>
          <w:color w:val="000000"/>
          <w:lang w:val="ru-RU"/>
        </w:rPr>
        <w:t>/</w:t>
      </w:r>
      <w:r w:rsidRPr="00F64CB3">
        <w:rPr>
          <w:rFonts w:eastAsia="Times New Roman" w:cs="Arial"/>
          <w:color w:val="000000"/>
          <w:lang w:val="en-US"/>
        </w:rPr>
        <w:t>ml</w:t>
      </w:r>
      <w:r w:rsidRPr="00F64CB3">
        <w:rPr>
          <w:rFonts w:eastAsia="Times New Roman" w:cs="Arial"/>
          <w:color w:val="000000"/>
          <w:lang w:val="ru-RU"/>
        </w:rPr>
        <w:t xml:space="preserve"> </w:t>
      </w:r>
      <w:r w:rsidRPr="00F64CB3">
        <w:rPr>
          <w:rFonts w:eastAsia="Times New Roman" w:cs="Arial"/>
          <w:color w:val="000000"/>
          <w:lang w:eastAsia="bg-BG"/>
        </w:rPr>
        <w:t>водят до влошаване на картината на заболяването.</w:t>
      </w:r>
    </w:p>
    <w:p w14:paraId="3CAAA797" w14:textId="77777777" w:rsidR="00F64CB3" w:rsidRPr="00F64CB3" w:rsidRDefault="00F64CB3" w:rsidP="00F64CB3">
      <w:pPr>
        <w:spacing w:line="240" w:lineRule="auto"/>
        <w:rPr>
          <w:rFonts w:eastAsia="Times New Roman" w:cs="Arial"/>
          <w:color w:val="000000"/>
          <w:lang w:eastAsia="bg-BG"/>
        </w:rPr>
      </w:pPr>
    </w:p>
    <w:p w14:paraId="7DE44C44" w14:textId="3D353122" w:rsidR="00F64CB3" w:rsidRPr="00F64CB3" w:rsidRDefault="00F64CB3" w:rsidP="00F64CB3">
      <w:pPr>
        <w:spacing w:line="240" w:lineRule="auto"/>
        <w:rPr>
          <w:rFonts w:eastAsia="Times New Roman" w:cs="Arial"/>
        </w:rPr>
      </w:pPr>
      <w:r w:rsidRPr="00F64CB3">
        <w:rPr>
          <w:rFonts w:eastAsia="Times New Roman" w:cs="Arial"/>
          <w:color w:val="000000"/>
          <w:lang w:eastAsia="bg-BG"/>
        </w:rPr>
        <w:lastRenderedPageBreak/>
        <w:t>При плазмени концентрации 5-18 μ</w:t>
      </w:r>
      <w:r w:rsidRPr="00F64CB3">
        <w:rPr>
          <w:rFonts w:eastAsia="Times New Roman" w:cs="Arial"/>
          <w:color w:val="000000"/>
          <w:lang w:val="en-US"/>
        </w:rPr>
        <w:t>g</w:t>
      </w:r>
      <w:r w:rsidRPr="00F64CB3">
        <w:rPr>
          <w:rFonts w:eastAsia="Times New Roman" w:cs="Arial"/>
          <w:color w:val="000000"/>
          <w:lang w:val="ru-RU"/>
        </w:rPr>
        <w:t>/</w:t>
      </w:r>
      <w:r w:rsidRPr="00F64CB3">
        <w:rPr>
          <w:rFonts w:eastAsia="Times New Roman" w:cs="Arial"/>
          <w:color w:val="000000"/>
          <w:lang w:val="en-US"/>
        </w:rPr>
        <w:t>ml</w:t>
      </w:r>
      <w:r w:rsidRPr="00F64CB3">
        <w:rPr>
          <w:rFonts w:eastAsia="Times New Roman" w:cs="Arial"/>
          <w:color w:val="000000"/>
          <w:lang w:val="ru-RU"/>
        </w:rPr>
        <w:t xml:space="preserve"> </w:t>
      </w:r>
      <w:r w:rsidRPr="00F64CB3">
        <w:rPr>
          <w:rFonts w:eastAsia="Times New Roman" w:cs="Arial"/>
          <w:color w:val="000000"/>
          <w:lang w:eastAsia="bg-BG"/>
        </w:rPr>
        <w:t>се постига контрол на болката при тригеминална невралгия.</w:t>
      </w:r>
    </w:p>
    <w:p w14:paraId="3A4EBDD8"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Начало на проявата на нежелани лекарствени реакции се наблюдава при плазмени нива над 8- 9 μ</w:t>
      </w:r>
      <w:r w:rsidRPr="00F64CB3">
        <w:rPr>
          <w:rFonts w:eastAsia="Times New Roman" w:cs="Arial"/>
          <w:color w:val="000000"/>
          <w:lang w:val="en-US"/>
        </w:rPr>
        <w:t>g</w:t>
      </w:r>
      <w:r w:rsidRPr="00F64CB3">
        <w:rPr>
          <w:rFonts w:eastAsia="Times New Roman" w:cs="Arial"/>
          <w:color w:val="000000"/>
          <w:lang w:val="ru-RU"/>
        </w:rPr>
        <w:t>/</w:t>
      </w:r>
      <w:r w:rsidRPr="00F64CB3">
        <w:rPr>
          <w:rFonts w:eastAsia="Times New Roman" w:cs="Arial"/>
          <w:color w:val="000000"/>
          <w:lang w:val="en-US"/>
        </w:rPr>
        <w:t>ml</w:t>
      </w:r>
      <w:r w:rsidRPr="00F64CB3">
        <w:rPr>
          <w:rFonts w:eastAsia="Times New Roman" w:cs="Arial"/>
          <w:color w:val="000000"/>
          <w:lang w:val="ru-RU"/>
        </w:rPr>
        <w:t>.</w:t>
      </w:r>
    </w:p>
    <w:p w14:paraId="70F68BC9" w14:textId="77777777" w:rsidR="00F64CB3" w:rsidRPr="00F64CB3" w:rsidRDefault="00F64CB3" w:rsidP="00F64CB3">
      <w:pPr>
        <w:spacing w:line="240" w:lineRule="auto"/>
        <w:rPr>
          <w:rFonts w:eastAsia="Times New Roman" w:cs="Arial"/>
          <w:color w:val="000000"/>
          <w:u w:val="single"/>
          <w:lang w:eastAsia="bg-BG"/>
        </w:rPr>
      </w:pPr>
    </w:p>
    <w:p w14:paraId="79D5EC18" w14:textId="79EC1535" w:rsidR="00F64CB3" w:rsidRPr="00F64CB3" w:rsidRDefault="00F64CB3" w:rsidP="00F64CB3">
      <w:pPr>
        <w:pStyle w:val="Heading3"/>
        <w:rPr>
          <w:rFonts w:eastAsia="Times New Roman"/>
          <w:u w:val="single"/>
        </w:rPr>
      </w:pPr>
      <w:r w:rsidRPr="00F64CB3">
        <w:rPr>
          <w:rFonts w:eastAsia="Times New Roman"/>
          <w:u w:val="single"/>
          <w:lang w:eastAsia="bg-BG"/>
        </w:rPr>
        <w:t>Свързване с плазмените протеини</w:t>
      </w:r>
    </w:p>
    <w:p w14:paraId="1ECF52C0"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Свързването с плазмените протеини е 70-80%. При концентрации до 50 μ</w:t>
      </w:r>
      <w:r w:rsidRPr="00F64CB3">
        <w:rPr>
          <w:rFonts w:eastAsia="Times New Roman" w:cs="Arial"/>
          <w:color w:val="000000"/>
          <w:lang w:val="en-US"/>
        </w:rPr>
        <w:t>g</w:t>
      </w:r>
      <w:r w:rsidRPr="00F64CB3">
        <w:rPr>
          <w:rFonts w:eastAsia="Times New Roman" w:cs="Arial"/>
          <w:color w:val="000000"/>
          <w:lang w:val="ru-RU"/>
        </w:rPr>
        <w:t>/</w:t>
      </w:r>
      <w:r w:rsidRPr="00F64CB3">
        <w:rPr>
          <w:rFonts w:eastAsia="Times New Roman" w:cs="Arial"/>
          <w:color w:val="000000"/>
          <w:lang w:val="en-US"/>
        </w:rPr>
        <w:t>ml</w:t>
      </w:r>
      <w:r w:rsidRPr="00F64CB3">
        <w:rPr>
          <w:rFonts w:eastAsia="Times New Roman" w:cs="Arial"/>
          <w:color w:val="000000"/>
          <w:lang w:val="ru-RU"/>
        </w:rPr>
        <w:t xml:space="preserve"> </w:t>
      </w:r>
      <w:r w:rsidRPr="00F64CB3">
        <w:rPr>
          <w:rFonts w:eastAsia="Times New Roman" w:cs="Arial"/>
          <w:color w:val="000000"/>
          <w:lang w:eastAsia="bg-BG"/>
        </w:rPr>
        <w:t>частта на несвързания карбамазепин е постоянна. Фармакологично активният метаболит карбамазепин- 10,11-епоксид е 48-53% свързан с плазмените протеини. Трябва да се вземат под внимание и фармакокинетичните взаимодействия (виж т. Лекарствени взаимодействия).</w:t>
      </w:r>
    </w:p>
    <w:p w14:paraId="4963DB49" w14:textId="77777777" w:rsidR="00F64CB3" w:rsidRPr="00F64CB3" w:rsidRDefault="00F64CB3" w:rsidP="00F64CB3">
      <w:pPr>
        <w:spacing w:line="240" w:lineRule="auto"/>
        <w:rPr>
          <w:rFonts w:eastAsia="Times New Roman" w:cs="Arial"/>
          <w:color w:val="000000"/>
          <w:u w:val="single"/>
          <w:lang w:eastAsia="bg-BG"/>
        </w:rPr>
      </w:pPr>
    </w:p>
    <w:p w14:paraId="12A6574F" w14:textId="3D5D8FD6" w:rsidR="00F64CB3" w:rsidRPr="00F64CB3" w:rsidRDefault="00F64CB3" w:rsidP="00F64CB3">
      <w:pPr>
        <w:pStyle w:val="Heading3"/>
        <w:rPr>
          <w:rFonts w:eastAsia="Times New Roman"/>
          <w:u w:val="single"/>
        </w:rPr>
      </w:pPr>
      <w:r w:rsidRPr="00F64CB3">
        <w:rPr>
          <w:rFonts w:eastAsia="Times New Roman"/>
          <w:u w:val="single"/>
          <w:lang w:eastAsia="bg-BG"/>
        </w:rPr>
        <w:t>Разпределение</w:t>
      </w:r>
    </w:p>
    <w:p w14:paraId="12703716"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При хора обемите на разпределение са в границите 0,8 </w:t>
      </w:r>
      <w:r w:rsidRPr="00F64CB3">
        <w:rPr>
          <w:rFonts w:eastAsia="Times New Roman" w:cs="Arial"/>
          <w:color w:val="000000"/>
          <w:lang w:val="en-US"/>
        </w:rPr>
        <w:t>l</w:t>
      </w:r>
      <w:r w:rsidRPr="00F64CB3">
        <w:rPr>
          <w:rFonts w:eastAsia="Times New Roman" w:cs="Arial"/>
          <w:color w:val="000000"/>
          <w:lang w:val="ru-RU"/>
        </w:rPr>
        <w:t>/</w:t>
      </w:r>
      <w:r w:rsidRPr="00F64CB3">
        <w:rPr>
          <w:rFonts w:eastAsia="Times New Roman" w:cs="Arial"/>
          <w:color w:val="000000"/>
          <w:lang w:val="en-US"/>
        </w:rPr>
        <w:t>kg</w:t>
      </w:r>
      <w:r w:rsidRPr="00F64CB3">
        <w:rPr>
          <w:rFonts w:eastAsia="Times New Roman" w:cs="Arial"/>
          <w:color w:val="000000"/>
          <w:lang w:val="ru-RU"/>
        </w:rPr>
        <w:t>-</w:t>
      </w:r>
      <w:r w:rsidRPr="00F64CB3">
        <w:rPr>
          <w:rFonts w:eastAsia="Times New Roman" w:cs="Arial"/>
          <w:color w:val="000000"/>
          <w:lang w:val="en-US"/>
        </w:rPr>
        <w:t>l</w:t>
      </w:r>
      <w:r w:rsidRPr="00F64CB3">
        <w:rPr>
          <w:rFonts w:eastAsia="Times New Roman" w:cs="Arial"/>
          <w:color w:val="000000"/>
          <w:lang w:val="ru-RU"/>
        </w:rPr>
        <w:t xml:space="preserve"> </w:t>
      </w:r>
      <w:r w:rsidRPr="00F64CB3">
        <w:rPr>
          <w:rFonts w:eastAsia="Times New Roman" w:cs="Arial"/>
          <w:color w:val="000000"/>
          <w:lang w:eastAsia="bg-BG"/>
        </w:rPr>
        <w:t xml:space="preserve">,9 </w:t>
      </w:r>
      <w:r w:rsidRPr="00F64CB3">
        <w:rPr>
          <w:rFonts w:eastAsia="Times New Roman" w:cs="Arial"/>
          <w:color w:val="000000"/>
          <w:lang w:val="en-US"/>
        </w:rPr>
        <w:t>l</w:t>
      </w:r>
      <w:r w:rsidRPr="00F64CB3">
        <w:rPr>
          <w:rFonts w:eastAsia="Times New Roman" w:cs="Arial"/>
          <w:color w:val="000000"/>
          <w:lang w:val="ru-RU"/>
        </w:rPr>
        <w:t>/</w:t>
      </w:r>
      <w:r w:rsidRPr="00F64CB3">
        <w:rPr>
          <w:rFonts w:eastAsia="Times New Roman" w:cs="Arial"/>
          <w:color w:val="000000"/>
          <w:lang w:val="en-US"/>
        </w:rPr>
        <w:t>kg</w:t>
      </w:r>
      <w:r w:rsidRPr="00F64CB3">
        <w:rPr>
          <w:rFonts w:eastAsia="Times New Roman" w:cs="Arial"/>
          <w:color w:val="000000"/>
          <w:lang w:val="ru-RU"/>
        </w:rPr>
        <w:t xml:space="preserve">. </w:t>
      </w:r>
      <w:r w:rsidRPr="00F64CB3">
        <w:rPr>
          <w:rFonts w:eastAsia="Times New Roman" w:cs="Arial"/>
          <w:color w:val="000000"/>
          <w:lang w:eastAsia="bg-BG"/>
        </w:rPr>
        <w:t>Концентрацията на карбамазепин в ликвора е 33% от съответната плазмена концентрация. Концентрацията на карбамазепин в слюнката съответства на свободната основна субстанция и е в добра корелация с плазменото ниво (около 20-30%). За оценка на плазменото ниво по време на терапият да се използва фактор на преизчисление 4.</w:t>
      </w:r>
    </w:p>
    <w:p w14:paraId="6AB00990" w14:textId="16E0517E" w:rsidR="00F64CB3" w:rsidRPr="00F64CB3" w:rsidRDefault="00F64CB3" w:rsidP="00F64CB3">
      <w:pPr>
        <w:rPr>
          <w:rFonts w:eastAsia="Times New Roman" w:cs="Arial"/>
          <w:color w:val="000000"/>
          <w:lang w:eastAsia="bg-BG"/>
        </w:rPr>
      </w:pPr>
      <w:r w:rsidRPr="00F64CB3">
        <w:rPr>
          <w:rFonts w:eastAsia="Times New Roman" w:cs="Arial"/>
          <w:color w:val="000000"/>
          <w:lang w:eastAsia="bg-BG"/>
        </w:rPr>
        <w:t>Карбамазепин преминава през плацентата, прониква в зародиша и майчиното мляко (концентрация около 58% от тази в плазмата). При кърмачета това може да доведе до концентрации в серума съответстващи на тези в майчиното мляко.</w:t>
      </w:r>
    </w:p>
    <w:p w14:paraId="36A31DAC" w14:textId="2AB63397" w:rsidR="00F64CB3" w:rsidRPr="00F64CB3" w:rsidRDefault="00F64CB3" w:rsidP="00F64CB3">
      <w:pPr>
        <w:rPr>
          <w:rFonts w:eastAsia="Times New Roman" w:cs="Arial"/>
          <w:color w:val="000000"/>
          <w:lang w:eastAsia="bg-BG"/>
        </w:rPr>
      </w:pPr>
    </w:p>
    <w:p w14:paraId="227446CA" w14:textId="77777777" w:rsidR="00F64CB3" w:rsidRPr="00F64CB3" w:rsidRDefault="00F64CB3" w:rsidP="00F64CB3">
      <w:pPr>
        <w:pStyle w:val="Heading3"/>
        <w:rPr>
          <w:rFonts w:eastAsia="Times New Roman"/>
          <w:u w:val="single"/>
        </w:rPr>
      </w:pPr>
      <w:r w:rsidRPr="00F64CB3">
        <w:rPr>
          <w:rFonts w:eastAsia="Times New Roman"/>
          <w:u w:val="single"/>
          <w:lang w:eastAsia="bg-BG"/>
        </w:rPr>
        <w:t>Биотрансформация</w:t>
      </w:r>
    </w:p>
    <w:p w14:paraId="61CC85CD"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В черния дроб карбамазепин се окислява, дезаминира, хидроксилира и непосредствено след това се естерифицира с глюкуронова киселина. В урината на хора досега са идентифицирани 7 метаболита. В това число голяма част се пада на фармакологично неактивния метаболит транс-10,11- дихидрокси-10,11-дихидро-карбамазепин. Метаболитьт карбамазепин-10,11-епоксид се намира в концентрации 0,1-2%; той притежава антиконвулсивно действие.</w:t>
      </w:r>
    </w:p>
    <w:p w14:paraId="5EE23B8C" w14:textId="77777777" w:rsidR="00F64CB3" w:rsidRPr="00F64CB3" w:rsidRDefault="00F64CB3" w:rsidP="00F64CB3">
      <w:pPr>
        <w:spacing w:line="240" w:lineRule="auto"/>
        <w:rPr>
          <w:rFonts w:eastAsia="Times New Roman" w:cs="Arial"/>
          <w:color w:val="000000"/>
          <w:u w:val="single"/>
          <w:lang w:eastAsia="bg-BG"/>
        </w:rPr>
      </w:pPr>
    </w:p>
    <w:p w14:paraId="7E36022E" w14:textId="322C0C57" w:rsidR="00F64CB3" w:rsidRPr="00F64CB3" w:rsidRDefault="00F64CB3" w:rsidP="00F64CB3">
      <w:pPr>
        <w:pStyle w:val="Heading3"/>
        <w:rPr>
          <w:rFonts w:eastAsia="Times New Roman"/>
          <w:u w:val="single"/>
        </w:rPr>
      </w:pPr>
      <w:r w:rsidRPr="00F64CB3">
        <w:rPr>
          <w:rFonts w:eastAsia="Times New Roman"/>
          <w:u w:val="single"/>
          <w:lang w:eastAsia="bg-BG"/>
        </w:rPr>
        <w:t>Елиминационен полуживот</w:t>
      </w:r>
    </w:p>
    <w:p w14:paraId="78FE9073"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След еднократен прием на карбамазепин, времето на полуживот е около 36 часа (в интервала 18- 65 час).</w:t>
      </w:r>
    </w:p>
    <w:p w14:paraId="58F881CA"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Вследствие на ензимна индукция, времето на полуживот при продължителна терапия намалява с 50% за 10-20 часа. Времето на полуживот е по-кратко при комбинирана терапия с други антиконвулсанти (средно 6-10 часа) отколкото при монотерапия (11-13 часа), при деца е по-кратко отколкото при възрастни, а </w:t>
      </w:r>
      <w:r w:rsidRPr="00F64CB3">
        <w:rPr>
          <w:rFonts w:eastAsia="Times New Roman" w:cs="Arial"/>
          <w:i/>
          <w:iCs/>
          <w:color w:val="000000"/>
          <w:lang w:eastAsia="bg-BG"/>
        </w:rPr>
        <w:t>при новородени е по-дълго</w:t>
      </w:r>
      <w:r w:rsidRPr="00F64CB3">
        <w:rPr>
          <w:rFonts w:eastAsia="Times New Roman" w:cs="Arial"/>
          <w:color w:val="000000"/>
          <w:lang w:eastAsia="bg-BG"/>
        </w:rPr>
        <w:t xml:space="preserve"> отколкото при кърмачета.</w:t>
      </w:r>
    </w:p>
    <w:p w14:paraId="08100512" w14:textId="77777777" w:rsidR="00F64CB3" w:rsidRPr="00F64CB3" w:rsidRDefault="00F64CB3" w:rsidP="00F64CB3">
      <w:pPr>
        <w:spacing w:line="240" w:lineRule="auto"/>
        <w:rPr>
          <w:rFonts w:eastAsia="Times New Roman" w:cs="Arial"/>
          <w:color w:val="000000"/>
          <w:u w:val="single"/>
          <w:lang w:eastAsia="bg-BG"/>
        </w:rPr>
      </w:pPr>
    </w:p>
    <w:p w14:paraId="5097FF85" w14:textId="281350D0" w:rsidR="00F64CB3" w:rsidRPr="00F64CB3" w:rsidRDefault="00F64CB3" w:rsidP="00F64CB3">
      <w:pPr>
        <w:pStyle w:val="Heading3"/>
        <w:rPr>
          <w:rFonts w:eastAsia="Times New Roman"/>
          <w:u w:val="single"/>
        </w:rPr>
      </w:pPr>
      <w:r w:rsidRPr="00F64CB3">
        <w:rPr>
          <w:rFonts w:eastAsia="Times New Roman"/>
          <w:u w:val="single"/>
          <w:lang w:eastAsia="bg-BG"/>
        </w:rPr>
        <w:t>Елиминиране</w:t>
      </w:r>
    </w:p>
    <w:p w14:paraId="723262B0" w14:textId="77777777" w:rsidR="00F64CB3" w:rsidRPr="00F64CB3" w:rsidRDefault="00F64CB3" w:rsidP="00F64CB3">
      <w:pPr>
        <w:spacing w:line="240" w:lineRule="auto"/>
        <w:rPr>
          <w:rFonts w:eastAsia="Times New Roman" w:cs="Arial"/>
        </w:rPr>
      </w:pPr>
      <w:r w:rsidRPr="00F64CB3">
        <w:rPr>
          <w:rFonts w:eastAsia="Times New Roman" w:cs="Arial"/>
          <w:color w:val="000000"/>
          <w:lang w:eastAsia="bg-BG"/>
        </w:rPr>
        <w:t xml:space="preserve">Плазменият клирънс при здрави хора е около 19,8±2,7 </w:t>
      </w:r>
      <w:r w:rsidRPr="00F64CB3">
        <w:rPr>
          <w:rFonts w:eastAsia="Times New Roman" w:cs="Arial"/>
          <w:color w:val="000000"/>
          <w:lang w:val="en-US"/>
        </w:rPr>
        <w:t>ml</w:t>
      </w:r>
      <w:r w:rsidRPr="00F64CB3">
        <w:rPr>
          <w:rFonts w:eastAsia="Times New Roman" w:cs="Arial"/>
          <w:color w:val="000000"/>
          <w:lang w:val="ru-RU"/>
        </w:rPr>
        <w:t>/</w:t>
      </w:r>
      <w:r w:rsidRPr="00F64CB3">
        <w:rPr>
          <w:rFonts w:eastAsia="Times New Roman" w:cs="Arial"/>
          <w:color w:val="000000"/>
          <w:lang w:val="en-US"/>
        </w:rPr>
        <w:t>h</w:t>
      </w:r>
      <w:r w:rsidRPr="00F64CB3">
        <w:rPr>
          <w:rFonts w:eastAsia="Times New Roman" w:cs="Arial"/>
          <w:color w:val="000000"/>
          <w:lang w:val="ru-RU"/>
        </w:rPr>
        <w:t>/</w:t>
      </w:r>
      <w:r w:rsidRPr="00F64CB3">
        <w:rPr>
          <w:rFonts w:eastAsia="Times New Roman" w:cs="Arial"/>
          <w:color w:val="000000"/>
          <w:lang w:val="en-US"/>
        </w:rPr>
        <w:t>kg</w:t>
      </w:r>
      <w:r w:rsidRPr="00F64CB3">
        <w:rPr>
          <w:rFonts w:eastAsia="Times New Roman" w:cs="Arial"/>
          <w:color w:val="000000"/>
          <w:lang w:val="ru-RU"/>
        </w:rPr>
        <w:t xml:space="preserve">, </w:t>
      </w:r>
      <w:r w:rsidRPr="00F64CB3">
        <w:rPr>
          <w:rFonts w:eastAsia="Times New Roman" w:cs="Arial"/>
          <w:color w:val="000000"/>
          <w:lang w:eastAsia="bg-BG"/>
        </w:rPr>
        <w:t xml:space="preserve">при пациенти на монотерапия е около 54,6±6,7 </w:t>
      </w:r>
      <w:r w:rsidRPr="00F64CB3">
        <w:rPr>
          <w:rFonts w:eastAsia="Times New Roman" w:cs="Arial"/>
          <w:color w:val="000000"/>
          <w:lang w:val="en-US"/>
        </w:rPr>
        <w:t>ml</w:t>
      </w:r>
      <w:r w:rsidRPr="00F64CB3">
        <w:rPr>
          <w:rFonts w:eastAsia="Times New Roman" w:cs="Arial"/>
          <w:color w:val="000000"/>
          <w:lang w:val="ru-RU"/>
        </w:rPr>
        <w:t>/</w:t>
      </w:r>
      <w:r w:rsidRPr="00F64CB3">
        <w:rPr>
          <w:rFonts w:eastAsia="Times New Roman" w:cs="Arial"/>
          <w:color w:val="000000"/>
          <w:lang w:val="en-US"/>
        </w:rPr>
        <w:t>h</w:t>
      </w:r>
      <w:r w:rsidRPr="00F64CB3">
        <w:rPr>
          <w:rFonts w:eastAsia="Times New Roman" w:cs="Arial"/>
          <w:color w:val="000000"/>
          <w:lang w:val="ru-RU"/>
        </w:rPr>
        <w:t>/</w:t>
      </w:r>
      <w:r w:rsidRPr="00F64CB3">
        <w:rPr>
          <w:rFonts w:eastAsia="Times New Roman" w:cs="Arial"/>
          <w:color w:val="000000"/>
          <w:lang w:val="en-US"/>
        </w:rPr>
        <w:t>kg</w:t>
      </w:r>
      <w:r w:rsidRPr="00F64CB3">
        <w:rPr>
          <w:rFonts w:eastAsia="Times New Roman" w:cs="Arial"/>
          <w:color w:val="000000"/>
          <w:lang w:val="ru-RU"/>
        </w:rPr>
        <w:t xml:space="preserve">, </w:t>
      </w:r>
      <w:r w:rsidRPr="00F64CB3">
        <w:rPr>
          <w:rFonts w:eastAsia="Times New Roman" w:cs="Arial"/>
          <w:color w:val="000000"/>
          <w:lang w:eastAsia="bg-BG"/>
        </w:rPr>
        <w:t xml:space="preserve">а при пациенти на комбинирана терапия е около 113,3±33,4 </w:t>
      </w:r>
      <w:r w:rsidRPr="00F64CB3">
        <w:rPr>
          <w:rFonts w:eastAsia="Times New Roman" w:cs="Arial"/>
          <w:color w:val="000000"/>
          <w:lang w:val="en-US"/>
        </w:rPr>
        <w:t>ml</w:t>
      </w:r>
      <w:r w:rsidRPr="00F64CB3">
        <w:rPr>
          <w:rFonts w:eastAsia="Times New Roman" w:cs="Arial"/>
          <w:color w:val="000000"/>
          <w:lang w:val="ru-RU"/>
        </w:rPr>
        <w:t>/</w:t>
      </w:r>
      <w:r w:rsidRPr="00F64CB3">
        <w:rPr>
          <w:rFonts w:eastAsia="Times New Roman" w:cs="Arial"/>
          <w:color w:val="000000"/>
          <w:lang w:val="en-US"/>
        </w:rPr>
        <w:t>h</w:t>
      </w:r>
      <w:r w:rsidRPr="00F64CB3">
        <w:rPr>
          <w:rFonts w:eastAsia="Times New Roman" w:cs="Arial"/>
          <w:color w:val="000000"/>
          <w:lang w:val="ru-RU"/>
        </w:rPr>
        <w:t>/</w:t>
      </w:r>
      <w:r w:rsidRPr="00F64CB3">
        <w:rPr>
          <w:rFonts w:eastAsia="Times New Roman" w:cs="Arial"/>
          <w:color w:val="000000"/>
          <w:lang w:val="en-US"/>
        </w:rPr>
        <w:t>kg</w:t>
      </w:r>
      <w:r w:rsidRPr="00F64CB3">
        <w:rPr>
          <w:rFonts w:eastAsia="Times New Roman" w:cs="Arial"/>
          <w:color w:val="000000"/>
          <w:lang w:val="ru-RU"/>
        </w:rPr>
        <w:t xml:space="preserve">. </w:t>
      </w:r>
      <w:r w:rsidRPr="00F64CB3">
        <w:rPr>
          <w:rFonts w:eastAsia="Times New Roman" w:cs="Arial"/>
          <w:color w:val="000000"/>
          <w:lang w:eastAsia="bg-BG"/>
        </w:rPr>
        <w:t>След еднократен перорален прием, 72% от дозата се излъчва през бъбреците под формата на метаболити. Останалите 28% се елиминират с екскрементите, което става частично в непроменена форма. Само 2-3% от съдържащата се в урината субстанция е като непроменен карбамазепин.</w:t>
      </w:r>
    </w:p>
    <w:p w14:paraId="1D253995" w14:textId="77777777" w:rsidR="00F64CB3" w:rsidRPr="00F64CB3" w:rsidRDefault="00F64CB3" w:rsidP="00F64CB3">
      <w:pPr>
        <w:spacing w:line="240" w:lineRule="auto"/>
        <w:rPr>
          <w:rFonts w:eastAsia="Times New Roman" w:cs="Arial"/>
          <w:color w:val="000000"/>
          <w:u w:val="single"/>
          <w:lang w:eastAsia="bg-BG"/>
        </w:rPr>
      </w:pPr>
    </w:p>
    <w:p w14:paraId="1200DDD2" w14:textId="699F3E48" w:rsidR="00F64CB3" w:rsidRPr="00F64CB3" w:rsidRDefault="00F64CB3" w:rsidP="00F64CB3">
      <w:pPr>
        <w:pStyle w:val="Heading3"/>
        <w:rPr>
          <w:rFonts w:eastAsia="Times New Roman"/>
          <w:u w:val="single"/>
        </w:rPr>
      </w:pPr>
      <w:r w:rsidRPr="00F64CB3">
        <w:rPr>
          <w:rFonts w:eastAsia="Times New Roman"/>
          <w:u w:val="single"/>
          <w:lang w:eastAsia="bg-BG"/>
        </w:rPr>
        <w:lastRenderedPageBreak/>
        <w:t>Бионаличност/биоеквивалентност</w:t>
      </w:r>
    </w:p>
    <w:p w14:paraId="464A79B6" w14:textId="092ED055" w:rsidR="00F64CB3" w:rsidRDefault="00F64CB3" w:rsidP="00F64CB3">
      <w:pPr>
        <w:spacing w:line="240" w:lineRule="auto"/>
        <w:rPr>
          <w:rFonts w:eastAsia="Times New Roman" w:cs="Arial"/>
          <w:color w:val="000000"/>
          <w:lang w:eastAsia="bg-BG"/>
        </w:rPr>
      </w:pPr>
      <w:r w:rsidRPr="00F64CB3">
        <w:rPr>
          <w:rFonts w:eastAsia="Times New Roman" w:cs="Arial"/>
          <w:color w:val="000000"/>
          <w:lang w:eastAsia="bg-BG"/>
        </w:rPr>
        <w:t>Проведеното сравнително изследване за бионаличност в сравнение с референтен продукт при 22 пациенти (на възраст между 20 и 30 години) след прием на еднократни дози е показало следните резултати:</w:t>
      </w:r>
    </w:p>
    <w:tbl>
      <w:tblPr>
        <w:tblStyle w:val="TableGrid"/>
        <w:tblW w:w="0" w:type="auto"/>
        <w:tblLook w:val="04A0" w:firstRow="1" w:lastRow="0" w:firstColumn="1" w:lastColumn="0" w:noHBand="0" w:noVBand="1"/>
      </w:tblPr>
      <w:tblGrid>
        <w:gridCol w:w="3969"/>
        <w:gridCol w:w="2904"/>
        <w:gridCol w:w="2477"/>
      </w:tblGrid>
      <w:tr w:rsidR="00F64CB3" w14:paraId="47C03264" w14:textId="77777777" w:rsidTr="00F64CB3">
        <w:tc>
          <w:tcPr>
            <w:tcW w:w="4077" w:type="dxa"/>
          </w:tcPr>
          <w:p w14:paraId="5A23E1B6" w14:textId="77777777" w:rsidR="00F64CB3" w:rsidRPr="00F64CB3" w:rsidRDefault="00F64CB3" w:rsidP="00F64CB3">
            <w:pPr>
              <w:spacing w:line="240" w:lineRule="auto"/>
              <w:rPr>
                <w:rFonts w:eastAsia="Times New Roman" w:cs="Arial"/>
              </w:rPr>
            </w:pPr>
          </w:p>
        </w:tc>
        <w:tc>
          <w:tcPr>
            <w:tcW w:w="2977" w:type="dxa"/>
            <w:vAlign w:val="bottom"/>
          </w:tcPr>
          <w:p w14:paraId="2D96DA1C" w14:textId="2682457F" w:rsidR="00F64CB3" w:rsidRPr="00F64CB3" w:rsidRDefault="00F64CB3" w:rsidP="00F64CB3">
            <w:pPr>
              <w:spacing w:line="240" w:lineRule="auto"/>
              <w:rPr>
                <w:rFonts w:eastAsia="Times New Roman" w:cs="Arial"/>
              </w:rPr>
            </w:pPr>
            <w:r w:rsidRPr="00F64CB3">
              <w:rPr>
                <w:b/>
                <w:bCs/>
                <w:szCs w:val="20"/>
              </w:rPr>
              <w:t>Изследван продукт</w:t>
            </w:r>
          </w:p>
        </w:tc>
        <w:tc>
          <w:tcPr>
            <w:tcW w:w="2522" w:type="dxa"/>
            <w:vAlign w:val="bottom"/>
          </w:tcPr>
          <w:p w14:paraId="0F3A3998" w14:textId="6EB0EB68" w:rsidR="00F64CB3" w:rsidRPr="00F64CB3" w:rsidRDefault="00F64CB3" w:rsidP="00F64CB3">
            <w:pPr>
              <w:spacing w:line="240" w:lineRule="auto"/>
              <w:rPr>
                <w:rFonts w:eastAsia="Times New Roman" w:cs="Arial"/>
                <w:b/>
              </w:rPr>
            </w:pPr>
            <w:r w:rsidRPr="00F64CB3">
              <w:rPr>
                <w:b/>
                <w:bCs/>
                <w:szCs w:val="20"/>
              </w:rPr>
              <w:t>Референтен продукт</w:t>
            </w:r>
          </w:p>
        </w:tc>
      </w:tr>
      <w:tr w:rsidR="00F64CB3" w14:paraId="754A264D" w14:textId="77777777" w:rsidTr="00F64CB3">
        <w:tc>
          <w:tcPr>
            <w:tcW w:w="4077" w:type="dxa"/>
          </w:tcPr>
          <w:p w14:paraId="335A0CAE" w14:textId="1443DF8F" w:rsidR="00F64CB3" w:rsidRPr="00F64CB3" w:rsidRDefault="00F64CB3" w:rsidP="00F64CB3">
            <w:pPr>
              <w:spacing w:line="240" w:lineRule="auto"/>
              <w:rPr>
                <w:rFonts w:eastAsia="Times New Roman" w:cs="Arial"/>
              </w:rPr>
            </w:pPr>
            <w:r w:rsidRPr="00F64CB3">
              <w:rPr>
                <w:szCs w:val="20"/>
              </w:rPr>
              <w:t>Максимална плазмена концентрация С</w:t>
            </w:r>
            <w:r w:rsidRPr="00F64CB3">
              <w:rPr>
                <w:szCs w:val="20"/>
                <w:lang w:val="en-US"/>
              </w:rPr>
              <w:t>max</w:t>
            </w:r>
            <w:r w:rsidRPr="00F64CB3">
              <w:rPr>
                <w:szCs w:val="20"/>
                <w:lang w:val="ru-RU"/>
              </w:rPr>
              <w:t xml:space="preserve"> </w:t>
            </w:r>
            <w:r w:rsidRPr="00F64CB3">
              <w:rPr>
                <w:szCs w:val="20"/>
              </w:rPr>
              <w:t>в μ</w:t>
            </w:r>
            <w:r w:rsidRPr="00F64CB3">
              <w:rPr>
                <w:szCs w:val="20"/>
                <w:lang w:val="en-US"/>
              </w:rPr>
              <w:t>g</w:t>
            </w:r>
            <w:r w:rsidRPr="00F64CB3">
              <w:rPr>
                <w:szCs w:val="20"/>
                <w:lang w:val="ru-RU"/>
              </w:rPr>
              <w:t>/</w:t>
            </w:r>
            <w:r w:rsidRPr="00F64CB3">
              <w:rPr>
                <w:szCs w:val="20"/>
                <w:lang w:val="en-US"/>
              </w:rPr>
              <w:t>ml</w:t>
            </w:r>
          </w:p>
        </w:tc>
        <w:tc>
          <w:tcPr>
            <w:tcW w:w="2977" w:type="dxa"/>
          </w:tcPr>
          <w:p w14:paraId="20A54DB3" w14:textId="0AE41E49" w:rsidR="00F64CB3" w:rsidRPr="00F64CB3" w:rsidRDefault="00F64CB3" w:rsidP="00F64CB3">
            <w:pPr>
              <w:spacing w:line="240" w:lineRule="auto"/>
              <w:rPr>
                <w:rFonts w:eastAsia="Times New Roman" w:cs="Arial"/>
              </w:rPr>
            </w:pPr>
            <w:r w:rsidRPr="00F64CB3">
              <w:rPr>
                <w:szCs w:val="20"/>
              </w:rPr>
              <w:t>2,6 ± 0,4</w:t>
            </w:r>
          </w:p>
        </w:tc>
        <w:tc>
          <w:tcPr>
            <w:tcW w:w="2522" w:type="dxa"/>
          </w:tcPr>
          <w:p w14:paraId="00A28161" w14:textId="6C6A85DF" w:rsidR="00F64CB3" w:rsidRPr="00F64CB3" w:rsidRDefault="00F64CB3" w:rsidP="00F64CB3">
            <w:pPr>
              <w:spacing w:line="240" w:lineRule="auto"/>
              <w:rPr>
                <w:rFonts w:eastAsia="Times New Roman" w:cs="Arial"/>
              </w:rPr>
            </w:pPr>
            <w:r w:rsidRPr="00F64CB3">
              <w:rPr>
                <w:szCs w:val="20"/>
              </w:rPr>
              <w:t>2,3 ± 0,3</w:t>
            </w:r>
          </w:p>
        </w:tc>
      </w:tr>
      <w:tr w:rsidR="00F64CB3" w14:paraId="1C74F742" w14:textId="77777777" w:rsidTr="00F64CB3">
        <w:tc>
          <w:tcPr>
            <w:tcW w:w="4077" w:type="dxa"/>
          </w:tcPr>
          <w:p w14:paraId="38AC3D6D" w14:textId="4D9EB46C" w:rsidR="00F64CB3" w:rsidRPr="00F64CB3" w:rsidRDefault="00F64CB3" w:rsidP="00F64CB3">
            <w:pPr>
              <w:spacing w:line="240" w:lineRule="auto"/>
              <w:rPr>
                <w:rFonts w:eastAsia="Times New Roman" w:cs="Arial"/>
              </w:rPr>
            </w:pPr>
            <w:r w:rsidRPr="00F64CB3">
              <w:rPr>
                <w:szCs w:val="20"/>
              </w:rPr>
              <w:t xml:space="preserve">Време за достигане на макс.плазмена концентрация (шах в </w:t>
            </w:r>
            <w:r w:rsidRPr="00F64CB3">
              <w:rPr>
                <w:szCs w:val="20"/>
                <w:lang w:val="en-US"/>
              </w:rPr>
              <w:t>h</w:t>
            </w:r>
          </w:p>
        </w:tc>
        <w:tc>
          <w:tcPr>
            <w:tcW w:w="2977" w:type="dxa"/>
          </w:tcPr>
          <w:p w14:paraId="42BD61BA" w14:textId="5C7C692D" w:rsidR="00F64CB3" w:rsidRPr="00F64CB3" w:rsidRDefault="00F64CB3" w:rsidP="00F64CB3">
            <w:pPr>
              <w:spacing w:line="240" w:lineRule="auto"/>
              <w:rPr>
                <w:rFonts w:eastAsia="Times New Roman" w:cs="Arial"/>
              </w:rPr>
            </w:pPr>
            <w:r w:rsidRPr="00F64CB3">
              <w:rPr>
                <w:szCs w:val="20"/>
              </w:rPr>
              <w:t>10,4 ± 5,9</w:t>
            </w:r>
          </w:p>
        </w:tc>
        <w:tc>
          <w:tcPr>
            <w:tcW w:w="2522" w:type="dxa"/>
          </w:tcPr>
          <w:p w14:paraId="765B0252" w14:textId="2BDBCA4D" w:rsidR="00F64CB3" w:rsidRPr="00F64CB3" w:rsidRDefault="00F64CB3" w:rsidP="00F64CB3">
            <w:pPr>
              <w:spacing w:line="240" w:lineRule="auto"/>
              <w:rPr>
                <w:rFonts w:eastAsia="Times New Roman" w:cs="Arial"/>
              </w:rPr>
            </w:pPr>
            <w:r w:rsidRPr="00F64CB3">
              <w:rPr>
                <w:szCs w:val="20"/>
              </w:rPr>
              <w:t>8,5 ± 5,7</w:t>
            </w:r>
          </w:p>
        </w:tc>
      </w:tr>
      <w:tr w:rsidR="00F64CB3" w14:paraId="5BB50E8A" w14:textId="77777777" w:rsidTr="00F64CB3">
        <w:tc>
          <w:tcPr>
            <w:tcW w:w="4077" w:type="dxa"/>
            <w:vAlign w:val="bottom"/>
          </w:tcPr>
          <w:p w14:paraId="4E3E4F01" w14:textId="29ECB57B" w:rsidR="00F64CB3" w:rsidRPr="00F64CB3" w:rsidRDefault="00F64CB3" w:rsidP="00F64CB3">
            <w:pPr>
              <w:spacing w:line="240" w:lineRule="auto"/>
              <w:rPr>
                <w:rFonts w:eastAsia="Times New Roman" w:cs="Arial"/>
              </w:rPr>
            </w:pPr>
            <w:r w:rsidRPr="00F64CB3">
              <w:rPr>
                <w:szCs w:val="20"/>
              </w:rPr>
              <w:t xml:space="preserve">Площ под кривата концентрация-време </w:t>
            </w:r>
            <w:r w:rsidRPr="00F64CB3">
              <w:rPr>
                <w:szCs w:val="20"/>
                <w:lang w:val="en-US"/>
              </w:rPr>
              <w:t>AUC</w:t>
            </w:r>
            <w:r w:rsidRPr="00F64CB3">
              <w:rPr>
                <w:szCs w:val="20"/>
                <w:lang w:val="ru-RU"/>
              </w:rPr>
              <w:t xml:space="preserve"> </w:t>
            </w:r>
            <w:r w:rsidRPr="00F64CB3">
              <w:rPr>
                <w:szCs w:val="20"/>
              </w:rPr>
              <w:t>в μ</w:t>
            </w:r>
            <w:r w:rsidRPr="00F64CB3">
              <w:rPr>
                <w:szCs w:val="20"/>
                <w:lang w:val="en-US"/>
              </w:rPr>
              <w:t>g</w:t>
            </w:r>
            <w:r w:rsidRPr="00F64CB3">
              <w:rPr>
                <w:szCs w:val="20"/>
                <w:lang w:val="ru-RU"/>
              </w:rPr>
              <w:t>/</w:t>
            </w:r>
            <w:r w:rsidRPr="00F64CB3">
              <w:rPr>
                <w:szCs w:val="20"/>
                <w:lang w:val="en-US"/>
              </w:rPr>
              <w:t>ml</w:t>
            </w:r>
            <w:r w:rsidRPr="00F64CB3">
              <w:rPr>
                <w:szCs w:val="20"/>
                <w:lang w:val="ru-RU"/>
              </w:rPr>
              <w:t>*</w:t>
            </w:r>
            <w:r w:rsidRPr="00F64CB3">
              <w:rPr>
                <w:szCs w:val="20"/>
                <w:lang w:val="en-US"/>
              </w:rPr>
              <w:t>h</w:t>
            </w:r>
          </w:p>
        </w:tc>
        <w:tc>
          <w:tcPr>
            <w:tcW w:w="2977" w:type="dxa"/>
            <w:vAlign w:val="bottom"/>
          </w:tcPr>
          <w:p w14:paraId="4769C3C3" w14:textId="78FAEA6D" w:rsidR="00F64CB3" w:rsidRPr="00F64CB3" w:rsidRDefault="00F64CB3" w:rsidP="00F64CB3">
            <w:pPr>
              <w:spacing w:line="240" w:lineRule="auto"/>
              <w:rPr>
                <w:rFonts w:eastAsia="Times New Roman" w:cs="Arial"/>
              </w:rPr>
            </w:pPr>
            <w:r w:rsidRPr="00F64CB3">
              <w:rPr>
                <w:szCs w:val="20"/>
              </w:rPr>
              <w:t>156,7 ± 34,4</w:t>
            </w:r>
          </w:p>
        </w:tc>
        <w:tc>
          <w:tcPr>
            <w:tcW w:w="2522" w:type="dxa"/>
            <w:vAlign w:val="bottom"/>
          </w:tcPr>
          <w:p w14:paraId="3F87E6FB" w14:textId="4D004105" w:rsidR="00F64CB3" w:rsidRPr="00F64CB3" w:rsidRDefault="00F64CB3" w:rsidP="00F64CB3">
            <w:pPr>
              <w:spacing w:line="240" w:lineRule="auto"/>
              <w:rPr>
                <w:rFonts w:eastAsia="Times New Roman" w:cs="Arial"/>
              </w:rPr>
            </w:pPr>
            <w:r w:rsidRPr="00F64CB3">
              <w:rPr>
                <w:szCs w:val="20"/>
              </w:rPr>
              <w:t>148,8 ± 30,3</w:t>
            </w:r>
          </w:p>
        </w:tc>
      </w:tr>
    </w:tbl>
    <w:p w14:paraId="3FDF2018" w14:textId="219E4C36" w:rsidR="00F64CB3" w:rsidRPr="00F64CB3" w:rsidRDefault="00F64CB3" w:rsidP="00F64CB3">
      <w:pPr>
        <w:rPr>
          <w:sz w:val="24"/>
          <w:szCs w:val="24"/>
        </w:rPr>
      </w:pPr>
      <w:r w:rsidRPr="00F64CB3">
        <w:rPr>
          <w:lang w:eastAsia="bg-BG"/>
        </w:rPr>
        <w:t>Данните са дадени като средни стойности и като ширина на вариране.</w:t>
      </w:r>
    </w:p>
    <w:p w14:paraId="7FF4CC13" w14:textId="77777777" w:rsidR="00F64CB3" w:rsidRDefault="00F64CB3" w:rsidP="00F64CB3">
      <w:pPr>
        <w:rPr>
          <w:lang w:eastAsia="bg-BG"/>
        </w:rPr>
      </w:pPr>
    </w:p>
    <w:p w14:paraId="6DDF110F" w14:textId="50DE6C7D" w:rsidR="00F64CB3" w:rsidRPr="00F64CB3" w:rsidRDefault="00F64CB3" w:rsidP="00F64CB3">
      <w:pPr>
        <w:rPr>
          <w:sz w:val="24"/>
          <w:szCs w:val="24"/>
        </w:rPr>
      </w:pPr>
      <w:r w:rsidRPr="00F64CB3">
        <w:rPr>
          <w:lang w:eastAsia="bg-BG"/>
        </w:rPr>
        <w:t>Диаграма концентрация-време на средните стойности на плазменото ниво в сравнение с референтен лекарствен продукт:</w:t>
      </w:r>
    </w:p>
    <w:p w14:paraId="2AE5F51C" w14:textId="19C9C967" w:rsidR="00F64CB3" w:rsidRDefault="00F64CB3" w:rsidP="00F64CB3">
      <w:r>
        <w:rPr>
          <w:noProof/>
          <w:lang w:val="en-US"/>
        </w:rPr>
        <w:drawing>
          <wp:inline distT="0" distB="0" distL="0" distR="0" wp14:anchorId="294170B0" wp14:editId="7DC56BE9">
            <wp:extent cx="3303917" cy="2333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20954" cy="2345246"/>
                    </a:xfrm>
                    <a:prstGeom prst="rect">
                      <a:avLst/>
                    </a:prstGeom>
                  </pic:spPr>
                </pic:pic>
              </a:graphicData>
            </a:graphic>
          </wp:inline>
        </w:drawing>
      </w:r>
    </w:p>
    <w:p w14:paraId="6D403348" w14:textId="54EEB786" w:rsidR="00F64CB3" w:rsidRDefault="00F64CB3" w:rsidP="00F64CB3"/>
    <w:p w14:paraId="65036A31" w14:textId="4F0DC3D3" w:rsidR="00F64CB3" w:rsidRDefault="00F64CB3" w:rsidP="00F64CB3"/>
    <w:p w14:paraId="6D49C13B" w14:textId="77777777" w:rsidR="00F64CB3" w:rsidRPr="00F64CB3" w:rsidRDefault="00F64CB3" w:rsidP="00F64CB3">
      <w:pPr>
        <w:spacing w:line="240" w:lineRule="auto"/>
        <w:rPr>
          <w:rFonts w:eastAsia="Times New Roman" w:cs="Arial"/>
          <w:sz w:val="28"/>
          <w:szCs w:val="24"/>
        </w:rPr>
      </w:pPr>
      <w:r w:rsidRPr="00F64CB3">
        <w:rPr>
          <w:rFonts w:eastAsia="Times New Roman" w:cs="Arial"/>
          <w:i/>
          <w:iCs/>
          <w:color w:val="000000"/>
          <w:szCs w:val="20"/>
          <w:lang w:eastAsia="bg-BG"/>
        </w:rPr>
        <w:t>Остра токсичност</w:t>
      </w:r>
    </w:p>
    <w:p w14:paraId="4186EDD1" w14:textId="77777777"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Вж, точка 4.9 Предозиране.</w:t>
      </w:r>
    </w:p>
    <w:p w14:paraId="3353B5D4" w14:textId="77777777" w:rsidR="00F64CB3" w:rsidRPr="00F64CB3" w:rsidRDefault="00F64CB3" w:rsidP="00F64CB3">
      <w:pPr>
        <w:spacing w:line="240" w:lineRule="auto"/>
        <w:rPr>
          <w:rFonts w:eastAsia="Times New Roman" w:cs="Arial"/>
          <w:color w:val="000000"/>
          <w:szCs w:val="20"/>
          <w:u w:val="single"/>
          <w:lang w:eastAsia="bg-BG"/>
        </w:rPr>
      </w:pPr>
    </w:p>
    <w:p w14:paraId="705E4EA7" w14:textId="2AB66BD6"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u w:val="single"/>
          <w:lang w:eastAsia="bg-BG"/>
        </w:rPr>
        <w:t>Хронична токсичност</w:t>
      </w:r>
    </w:p>
    <w:p w14:paraId="6CFC53CD" w14:textId="77777777"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 xml:space="preserve">След перорален прием на 50,100 и 200 </w:t>
      </w:r>
      <w:r w:rsidRPr="00F64CB3">
        <w:rPr>
          <w:rFonts w:eastAsia="Times New Roman" w:cs="Arial"/>
          <w:color w:val="000000"/>
          <w:szCs w:val="20"/>
          <w:lang w:val="en-US"/>
        </w:rPr>
        <w:t>mg</w:t>
      </w:r>
      <w:r w:rsidRPr="00F64CB3">
        <w:rPr>
          <w:rFonts w:eastAsia="Times New Roman" w:cs="Arial"/>
          <w:color w:val="000000"/>
          <w:szCs w:val="20"/>
          <w:lang w:val="ru-RU"/>
        </w:rPr>
        <w:t xml:space="preserve"> </w:t>
      </w:r>
      <w:r w:rsidRPr="00F64CB3">
        <w:rPr>
          <w:rFonts w:eastAsia="Times New Roman" w:cs="Arial"/>
          <w:color w:val="000000"/>
          <w:szCs w:val="20"/>
          <w:lang w:eastAsia="bg-BG"/>
        </w:rPr>
        <w:t>карбамазепин</w:t>
      </w:r>
      <w:r w:rsidRPr="00F64CB3">
        <w:rPr>
          <w:rFonts w:eastAsia="Times New Roman" w:cs="Arial"/>
          <w:color w:val="000000"/>
          <w:szCs w:val="20"/>
          <w:lang w:val="ru-RU"/>
        </w:rPr>
        <w:t>/</w:t>
      </w:r>
      <w:r w:rsidRPr="00F64CB3">
        <w:rPr>
          <w:rFonts w:eastAsia="Times New Roman" w:cs="Arial"/>
          <w:color w:val="000000"/>
          <w:szCs w:val="20"/>
          <w:lang w:val="en-US"/>
        </w:rPr>
        <w:t>kg</w:t>
      </w:r>
      <w:r w:rsidRPr="00F64CB3">
        <w:rPr>
          <w:rFonts w:eastAsia="Times New Roman" w:cs="Arial"/>
          <w:color w:val="000000"/>
          <w:szCs w:val="20"/>
          <w:lang w:val="ru-RU"/>
        </w:rPr>
        <w:t xml:space="preserve"> </w:t>
      </w:r>
      <w:r w:rsidRPr="00F64CB3">
        <w:rPr>
          <w:rFonts w:eastAsia="Times New Roman" w:cs="Arial"/>
          <w:color w:val="000000"/>
          <w:szCs w:val="20"/>
          <w:lang w:eastAsia="bg-BG"/>
        </w:rPr>
        <w:t>телесно тегло дневно при плъхове в продължение на 24 седмици, не са установени дегенеративни промени в органите.</w:t>
      </w:r>
    </w:p>
    <w:p w14:paraId="2727D87C" w14:textId="77777777"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 xml:space="preserve">При перорално приложение на 100 </w:t>
      </w:r>
      <w:r w:rsidRPr="00F64CB3">
        <w:rPr>
          <w:rFonts w:eastAsia="Times New Roman" w:cs="Arial"/>
          <w:color w:val="000000"/>
          <w:szCs w:val="20"/>
          <w:lang w:val="en-US"/>
        </w:rPr>
        <w:t>mg</w:t>
      </w:r>
      <w:r w:rsidRPr="00F64CB3">
        <w:rPr>
          <w:rFonts w:eastAsia="Times New Roman" w:cs="Arial"/>
          <w:color w:val="000000"/>
          <w:szCs w:val="20"/>
          <w:lang w:val="ru-RU"/>
        </w:rPr>
        <w:t xml:space="preserve"> </w:t>
      </w:r>
      <w:r w:rsidRPr="00F64CB3">
        <w:rPr>
          <w:rFonts w:eastAsia="Times New Roman" w:cs="Arial"/>
          <w:color w:val="000000"/>
          <w:szCs w:val="20"/>
          <w:lang w:eastAsia="bg-BG"/>
        </w:rPr>
        <w:t>карбамазепин</w:t>
      </w:r>
      <w:r w:rsidRPr="00F64CB3">
        <w:rPr>
          <w:rFonts w:eastAsia="Times New Roman" w:cs="Arial"/>
          <w:color w:val="000000"/>
          <w:szCs w:val="20"/>
          <w:lang w:val="ru-RU"/>
        </w:rPr>
        <w:t>/</w:t>
      </w:r>
      <w:r w:rsidRPr="00F64CB3">
        <w:rPr>
          <w:rFonts w:eastAsia="Times New Roman" w:cs="Arial"/>
          <w:color w:val="000000"/>
          <w:szCs w:val="20"/>
          <w:lang w:val="en-US"/>
        </w:rPr>
        <w:t>kg</w:t>
      </w:r>
      <w:r w:rsidRPr="00F64CB3">
        <w:rPr>
          <w:rFonts w:eastAsia="Times New Roman" w:cs="Arial"/>
          <w:color w:val="000000"/>
          <w:szCs w:val="20"/>
          <w:lang w:val="ru-RU"/>
        </w:rPr>
        <w:t xml:space="preserve"> </w:t>
      </w:r>
      <w:r w:rsidRPr="00F64CB3">
        <w:rPr>
          <w:rFonts w:eastAsia="Times New Roman" w:cs="Arial"/>
          <w:color w:val="000000"/>
          <w:szCs w:val="20"/>
          <w:lang w:eastAsia="bg-BG"/>
        </w:rPr>
        <w:t>телесно тегло дневно при кучета в продължение на 52 седмици, няма признаци за токсичност на препарата.</w:t>
      </w:r>
    </w:p>
    <w:p w14:paraId="3B290926" w14:textId="77777777" w:rsidR="00F64CB3" w:rsidRPr="00F64CB3" w:rsidRDefault="00F64CB3" w:rsidP="00F64CB3">
      <w:pPr>
        <w:spacing w:line="240" w:lineRule="auto"/>
        <w:rPr>
          <w:rFonts w:eastAsia="Times New Roman" w:cs="Arial"/>
          <w:color w:val="000000"/>
          <w:szCs w:val="20"/>
          <w:u w:val="single"/>
          <w:lang w:eastAsia="bg-BG"/>
        </w:rPr>
      </w:pPr>
    </w:p>
    <w:p w14:paraId="3EA8CE03" w14:textId="2D734BA0"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u w:val="single"/>
          <w:lang w:eastAsia="bg-BG"/>
        </w:rPr>
        <w:t>Токсичност върху репродуктивната система</w:t>
      </w:r>
    </w:p>
    <w:p w14:paraId="6CF40F12" w14:textId="77777777"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Анализът на всички тератологични резултати от изследвания проведени от 1963 г. досега не дават неопровержими доказателства за тератогенно действие на карабамазепин при опитни животни.</w:t>
      </w:r>
    </w:p>
    <w:p w14:paraId="27559C22" w14:textId="77777777" w:rsidR="00F64CB3" w:rsidRPr="00F64CB3" w:rsidRDefault="00F64CB3" w:rsidP="00F64CB3">
      <w:pPr>
        <w:spacing w:line="240" w:lineRule="auto"/>
        <w:rPr>
          <w:rFonts w:eastAsia="Times New Roman" w:cs="Arial"/>
          <w:color w:val="000000"/>
          <w:szCs w:val="20"/>
          <w:lang w:eastAsia="bg-BG"/>
        </w:rPr>
      </w:pPr>
    </w:p>
    <w:p w14:paraId="69F31867" w14:textId="3050D058"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lastRenderedPageBreak/>
        <w:t>По-нови изследвания потвърждават, че карбамазепин за разлика от някои други антиконвулсанти, не проявява тератогенни свойства при мишки, при вид, който особено чувствително реагира на карбамазепин. При животни едва при дози, които са токсични за майката и зародиша са установени редки случаи на уродство (напр. цепка на небцето).</w:t>
      </w:r>
    </w:p>
    <w:p w14:paraId="118FF604" w14:textId="77777777" w:rsidR="00F64CB3" w:rsidRPr="00F64CB3" w:rsidRDefault="00F64CB3" w:rsidP="00F64CB3">
      <w:pPr>
        <w:spacing w:line="240" w:lineRule="auto"/>
        <w:rPr>
          <w:rFonts w:eastAsia="Times New Roman" w:cs="Arial"/>
          <w:color w:val="000000"/>
          <w:szCs w:val="20"/>
          <w:lang w:eastAsia="bg-BG"/>
        </w:rPr>
      </w:pPr>
    </w:p>
    <w:p w14:paraId="2DFC12CB" w14:textId="1A5387DD"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В статии, в които се разглежда влиянието върху репродуктивната способност при плъхове е доказано, че карбамазепин в много високи дози не повлиява фертилния индекс, както и показателите при имплантация и резорбция. Също не се намалява и броя на жизнеспособните новородени.</w:t>
      </w:r>
    </w:p>
    <w:p w14:paraId="04F33E23" w14:textId="77777777" w:rsidR="00F64CB3" w:rsidRPr="00F64CB3" w:rsidRDefault="00F64CB3" w:rsidP="00F64CB3">
      <w:pPr>
        <w:spacing w:line="240" w:lineRule="auto"/>
        <w:rPr>
          <w:rFonts w:eastAsia="Times New Roman" w:cs="Arial"/>
          <w:color w:val="000000"/>
          <w:szCs w:val="20"/>
          <w:lang w:eastAsia="bg-BG"/>
        </w:rPr>
      </w:pPr>
    </w:p>
    <w:p w14:paraId="3A69B463" w14:textId="5ADDAAED"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 xml:space="preserve">Опитът при хора е придобит по време на първия триместър на бременността при повече от 500 случая, Както и при останалите антиконвулсанти е установено, че карбамазепин предизвиква малформации от различно естество. До момента не е напълно изяснена зависимостта на тези реакции от карбамазепин. Предполага се, че може да е намесено основното заболяване и/или генетични фактори. Различните епидемиологични проучвания са показали около 1% риск </w:t>
      </w:r>
      <w:r w:rsidRPr="00F64CB3">
        <w:rPr>
          <w:rFonts w:eastAsia="Times New Roman" w:cs="Arial"/>
          <w:i/>
          <w:iCs/>
          <w:color w:val="000000"/>
          <w:szCs w:val="20"/>
          <w:lang w:val="en-US"/>
        </w:rPr>
        <w:t>an</w:t>
      </w:r>
      <w:r w:rsidRPr="00F64CB3">
        <w:rPr>
          <w:rFonts w:eastAsia="Times New Roman" w:cs="Arial"/>
          <w:i/>
          <w:iCs/>
          <w:color w:val="000000"/>
          <w:szCs w:val="20"/>
          <w:lang w:val="ru-RU"/>
        </w:rPr>
        <w:t xml:space="preserve"> </w:t>
      </w:r>
      <w:proofErr w:type="spellStart"/>
      <w:r w:rsidRPr="00F64CB3">
        <w:rPr>
          <w:rFonts w:eastAsia="Times New Roman" w:cs="Arial"/>
          <w:i/>
          <w:iCs/>
          <w:color w:val="000000"/>
          <w:szCs w:val="20"/>
          <w:lang w:val="en-US"/>
        </w:rPr>
        <w:t>spina</w:t>
      </w:r>
      <w:proofErr w:type="spellEnd"/>
      <w:r w:rsidRPr="00F64CB3">
        <w:rPr>
          <w:rFonts w:eastAsia="Times New Roman" w:cs="Arial"/>
          <w:i/>
          <w:iCs/>
          <w:color w:val="000000"/>
          <w:szCs w:val="20"/>
          <w:lang w:val="ru-RU"/>
        </w:rPr>
        <w:t xml:space="preserve"> </w:t>
      </w:r>
      <w:r w:rsidRPr="00F64CB3">
        <w:rPr>
          <w:rFonts w:eastAsia="Times New Roman" w:cs="Arial"/>
          <w:i/>
          <w:iCs/>
          <w:color w:val="000000"/>
          <w:szCs w:val="20"/>
          <w:lang w:val="en-US"/>
        </w:rPr>
        <w:t>bifida</w:t>
      </w:r>
      <w:r w:rsidRPr="00F64CB3">
        <w:rPr>
          <w:rFonts w:eastAsia="Times New Roman" w:cs="Arial"/>
          <w:i/>
          <w:iCs/>
          <w:color w:val="000000"/>
          <w:szCs w:val="20"/>
          <w:lang w:val="ru-RU"/>
        </w:rPr>
        <w:t>.</w:t>
      </w:r>
    </w:p>
    <w:p w14:paraId="5435823F" w14:textId="77777777" w:rsidR="00F64CB3" w:rsidRPr="00F64CB3" w:rsidRDefault="00F64CB3" w:rsidP="00F64CB3">
      <w:pPr>
        <w:spacing w:line="240" w:lineRule="auto"/>
        <w:rPr>
          <w:rFonts w:eastAsia="Times New Roman" w:cs="Arial"/>
          <w:color w:val="000000"/>
          <w:szCs w:val="20"/>
          <w:u w:val="single"/>
          <w:lang w:eastAsia="bg-BG"/>
        </w:rPr>
      </w:pPr>
    </w:p>
    <w:p w14:paraId="043A0E1D" w14:textId="02A377BF"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u w:val="single"/>
          <w:lang w:eastAsia="bg-BG"/>
        </w:rPr>
        <w:t>Канцерогенен потенциал</w:t>
      </w:r>
    </w:p>
    <w:p w14:paraId="423C2156" w14:textId="77777777"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lang w:eastAsia="bg-BG"/>
        </w:rPr>
        <w:t>При плъхове, на които в продължение на 2 години е даван карбамазепин, към края на нормалната продължителност на живота им зачестяват случаите на хепатоцелуларни тумори у женските и тумори на тестисите у мъжките животни. Няма обаче доказателства за това че тези наблюдения имат значение при човека при терапевтично приложение на продукта.</w:t>
      </w:r>
    </w:p>
    <w:p w14:paraId="61DE1258" w14:textId="77777777" w:rsidR="00F64CB3" w:rsidRPr="00F64CB3" w:rsidRDefault="00F64CB3" w:rsidP="00F64CB3">
      <w:pPr>
        <w:spacing w:line="240" w:lineRule="auto"/>
        <w:rPr>
          <w:rFonts w:eastAsia="Times New Roman" w:cs="Arial"/>
          <w:color w:val="000000"/>
          <w:szCs w:val="20"/>
          <w:u w:val="single"/>
          <w:lang w:eastAsia="bg-BG"/>
        </w:rPr>
      </w:pPr>
    </w:p>
    <w:p w14:paraId="17D7BFEE" w14:textId="23D29D02" w:rsidR="00F64CB3" w:rsidRPr="00F64CB3" w:rsidRDefault="00F64CB3" w:rsidP="00F64CB3">
      <w:pPr>
        <w:spacing w:line="240" w:lineRule="auto"/>
        <w:rPr>
          <w:rFonts w:eastAsia="Times New Roman" w:cs="Arial"/>
          <w:sz w:val="28"/>
          <w:szCs w:val="24"/>
        </w:rPr>
      </w:pPr>
      <w:r w:rsidRPr="00F64CB3">
        <w:rPr>
          <w:rFonts w:eastAsia="Times New Roman" w:cs="Arial"/>
          <w:color w:val="000000"/>
          <w:szCs w:val="20"/>
          <w:u w:val="single"/>
          <w:lang w:eastAsia="bg-BG"/>
        </w:rPr>
        <w:t>Мутагенен потенциал</w:t>
      </w:r>
    </w:p>
    <w:p w14:paraId="4AEABF37" w14:textId="77777777" w:rsidR="00F64CB3" w:rsidRPr="00F64CB3" w:rsidRDefault="00F64CB3" w:rsidP="00F64CB3">
      <w:pPr>
        <w:spacing w:line="240" w:lineRule="auto"/>
        <w:rPr>
          <w:rFonts w:eastAsia="Times New Roman" w:cs="Arial"/>
          <w:sz w:val="28"/>
          <w:szCs w:val="24"/>
        </w:rPr>
      </w:pPr>
      <w:r w:rsidRPr="00F64CB3">
        <w:rPr>
          <w:rFonts w:eastAsia="Times New Roman" w:cs="Arial"/>
          <w:i/>
          <w:iCs/>
          <w:color w:val="000000"/>
          <w:szCs w:val="20"/>
          <w:lang w:val="en-US"/>
        </w:rPr>
        <w:t>In</w:t>
      </w:r>
      <w:r w:rsidRPr="00F64CB3">
        <w:rPr>
          <w:rFonts w:eastAsia="Times New Roman" w:cs="Arial"/>
          <w:i/>
          <w:iCs/>
          <w:color w:val="000000"/>
          <w:szCs w:val="20"/>
          <w:lang w:val="ru-RU"/>
        </w:rPr>
        <w:t xml:space="preserve"> </w:t>
      </w:r>
      <w:r w:rsidRPr="00F64CB3">
        <w:rPr>
          <w:rFonts w:eastAsia="Times New Roman" w:cs="Arial"/>
          <w:i/>
          <w:iCs/>
          <w:color w:val="000000"/>
          <w:szCs w:val="20"/>
          <w:lang w:val="en-US"/>
        </w:rPr>
        <w:t>vitro</w:t>
      </w:r>
      <w:r w:rsidRPr="00F64CB3">
        <w:rPr>
          <w:rFonts w:eastAsia="Times New Roman" w:cs="Arial"/>
          <w:color w:val="000000"/>
          <w:szCs w:val="20"/>
          <w:lang w:val="ru-RU"/>
        </w:rPr>
        <w:t xml:space="preserve"> </w:t>
      </w:r>
      <w:r w:rsidRPr="00F64CB3">
        <w:rPr>
          <w:rFonts w:eastAsia="Times New Roman" w:cs="Arial"/>
          <w:color w:val="000000"/>
          <w:szCs w:val="20"/>
          <w:lang w:eastAsia="bg-BG"/>
        </w:rPr>
        <w:t xml:space="preserve">и </w:t>
      </w:r>
      <w:r w:rsidRPr="00F64CB3">
        <w:rPr>
          <w:rFonts w:eastAsia="Times New Roman" w:cs="Arial"/>
          <w:i/>
          <w:iCs/>
          <w:color w:val="000000"/>
          <w:szCs w:val="20"/>
          <w:lang w:val="en-US"/>
        </w:rPr>
        <w:t>in</w:t>
      </w:r>
      <w:r w:rsidRPr="00F64CB3">
        <w:rPr>
          <w:rFonts w:eastAsia="Times New Roman" w:cs="Arial"/>
          <w:i/>
          <w:iCs/>
          <w:color w:val="000000"/>
          <w:szCs w:val="20"/>
          <w:lang w:val="ru-RU"/>
        </w:rPr>
        <w:t xml:space="preserve"> </w:t>
      </w:r>
      <w:r w:rsidRPr="00F64CB3">
        <w:rPr>
          <w:rFonts w:eastAsia="Times New Roman" w:cs="Arial"/>
          <w:i/>
          <w:iCs/>
          <w:color w:val="000000"/>
          <w:szCs w:val="20"/>
          <w:lang w:val="en-US"/>
        </w:rPr>
        <w:t>vivo</w:t>
      </w:r>
      <w:r w:rsidRPr="00F64CB3">
        <w:rPr>
          <w:rFonts w:eastAsia="Times New Roman" w:cs="Arial"/>
          <w:color w:val="000000"/>
          <w:szCs w:val="20"/>
          <w:lang w:val="ru-RU"/>
        </w:rPr>
        <w:t xml:space="preserve"> </w:t>
      </w:r>
      <w:r w:rsidRPr="00F64CB3">
        <w:rPr>
          <w:rFonts w:eastAsia="Times New Roman" w:cs="Arial"/>
          <w:color w:val="000000"/>
          <w:szCs w:val="20"/>
          <w:lang w:eastAsia="bg-BG"/>
        </w:rPr>
        <w:t>изследванията при животни не дават никакви доказателства за наличие на мутагенен потенциал на карбамазепин.</w:t>
      </w:r>
    </w:p>
    <w:p w14:paraId="5E1E5050" w14:textId="77777777" w:rsidR="00F64CB3" w:rsidRPr="00F64CB3" w:rsidRDefault="00F64CB3" w:rsidP="00F64CB3"/>
    <w:p w14:paraId="648E39DA" w14:textId="036A62B0" w:rsidR="00CF77F7" w:rsidRPr="00CF77F7" w:rsidRDefault="002C50EE" w:rsidP="004A448E">
      <w:pPr>
        <w:pStyle w:val="Heading2"/>
      </w:pPr>
      <w:r>
        <w:t>5.3. Предклинични данни за безопасност</w:t>
      </w:r>
    </w:p>
    <w:p w14:paraId="6A7820AB" w14:textId="4EEE425A" w:rsidR="008A6AF2" w:rsidRDefault="002C50EE" w:rsidP="00395555">
      <w:pPr>
        <w:pStyle w:val="Heading1"/>
      </w:pPr>
      <w:r>
        <w:t>7. ПРИТЕЖАТЕЛ НА РАЗРЕШЕНИЕТО ЗА УПОТРЕБА</w:t>
      </w:r>
    </w:p>
    <w:p w14:paraId="2574612C" w14:textId="7CC08CBA" w:rsidR="00F64CB3" w:rsidRDefault="00F64CB3" w:rsidP="00F64CB3"/>
    <w:p w14:paraId="13F4FBA8" w14:textId="77777777" w:rsidR="00F64CB3" w:rsidRPr="00F64CB3" w:rsidRDefault="00F64CB3" w:rsidP="00F64CB3">
      <w:pPr>
        <w:rPr>
          <w:sz w:val="24"/>
          <w:szCs w:val="24"/>
          <w:lang w:val="en-US"/>
        </w:rPr>
      </w:pPr>
      <w:proofErr w:type="spellStart"/>
      <w:r w:rsidRPr="00F64CB3">
        <w:rPr>
          <w:lang w:val="en-US"/>
        </w:rPr>
        <w:t>Zentiva</w:t>
      </w:r>
      <w:proofErr w:type="spellEnd"/>
      <w:r w:rsidRPr="00F64CB3">
        <w:rPr>
          <w:lang w:val="en-US"/>
        </w:rPr>
        <w:t xml:space="preserve"> </w:t>
      </w:r>
      <w:proofErr w:type="spellStart"/>
      <w:r w:rsidRPr="00F64CB3">
        <w:rPr>
          <w:lang w:val="en-US"/>
        </w:rPr>
        <w:t>k.s</w:t>
      </w:r>
      <w:proofErr w:type="spellEnd"/>
      <w:r w:rsidRPr="00F64CB3">
        <w:rPr>
          <w:lang w:val="en-US"/>
        </w:rPr>
        <w:t>.</w:t>
      </w:r>
    </w:p>
    <w:p w14:paraId="3867289C" w14:textId="77777777" w:rsidR="00F64CB3" w:rsidRPr="00F64CB3" w:rsidRDefault="00F64CB3" w:rsidP="00F64CB3">
      <w:pPr>
        <w:rPr>
          <w:sz w:val="24"/>
          <w:szCs w:val="24"/>
          <w:lang w:val="en-US"/>
        </w:rPr>
      </w:pPr>
      <w:r w:rsidRPr="00F64CB3">
        <w:rPr>
          <w:lang w:val="en-US"/>
        </w:rPr>
        <w:t xml:space="preserve">U </w:t>
      </w:r>
      <w:proofErr w:type="spellStart"/>
      <w:r w:rsidRPr="00F64CB3">
        <w:rPr>
          <w:lang w:val="en-US"/>
        </w:rPr>
        <w:t>kabelovny</w:t>
      </w:r>
      <w:proofErr w:type="spellEnd"/>
      <w:r w:rsidRPr="00F64CB3">
        <w:rPr>
          <w:lang w:val="en-US"/>
        </w:rPr>
        <w:t xml:space="preserve"> </w:t>
      </w:r>
      <w:r w:rsidRPr="00F64CB3">
        <w:rPr>
          <w:lang w:eastAsia="bg-BG"/>
        </w:rPr>
        <w:t>130,</w:t>
      </w:r>
    </w:p>
    <w:p w14:paraId="688DB492" w14:textId="77777777" w:rsidR="00F64CB3" w:rsidRPr="00F64CB3" w:rsidRDefault="00F64CB3" w:rsidP="00F64CB3">
      <w:pPr>
        <w:rPr>
          <w:sz w:val="24"/>
          <w:szCs w:val="24"/>
          <w:lang w:val="ru-RU"/>
        </w:rPr>
      </w:pPr>
      <w:proofErr w:type="spellStart"/>
      <w:r w:rsidRPr="00F64CB3">
        <w:rPr>
          <w:lang w:val="en-US"/>
        </w:rPr>
        <w:t>Dolni</w:t>
      </w:r>
      <w:proofErr w:type="spellEnd"/>
      <w:r w:rsidRPr="00F64CB3">
        <w:rPr>
          <w:lang w:val="ru-RU"/>
        </w:rPr>
        <w:t xml:space="preserve"> </w:t>
      </w:r>
      <w:proofErr w:type="spellStart"/>
      <w:r w:rsidRPr="00F64CB3">
        <w:rPr>
          <w:lang w:val="en-US"/>
        </w:rPr>
        <w:t>Mfecholupy</w:t>
      </w:r>
      <w:proofErr w:type="spellEnd"/>
    </w:p>
    <w:p w14:paraId="1F554552" w14:textId="77777777" w:rsidR="00F64CB3" w:rsidRPr="00F64CB3" w:rsidRDefault="00F64CB3" w:rsidP="00F64CB3">
      <w:pPr>
        <w:rPr>
          <w:sz w:val="24"/>
          <w:szCs w:val="24"/>
          <w:lang w:val="ru-RU"/>
        </w:rPr>
      </w:pPr>
      <w:r w:rsidRPr="00F64CB3">
        <w:rPr>
          <w:lang w:val="ru-RU"/>
        </w:rPr>
        <w:t xml:space="preserve">102 37, </w:t>
      </w:r>
      <w:r w:rsidRPr="00F64CB3">
        <w:rPr>
          <w:lang w:val="en-US"/>
        </w:rPr>
        <w:t>Prague</w:t>
      </w:r>
      <w:r w:rsidRPr="00F64CB3">
        <w:rPr>
          <w:lang w:val="ru-RU"/>
        </w:rPr>
        <w:t xml:space="preserve"> 10</w:t>
      </w:r>
    </w:p>
    <w:p w14:paraId="01E3C12C" w14:textId="25510D11" w:rsidR="00F64CB3" w:rsidRPr="00F64CB3" w:rsidRDefault="00F64CB3" w:rsidP="00F64CB3">
      <w:r w:rsidRPr="00F64CB3">
        <w:rPr>
          <w:lang w:eastAsia="bg-BG"/>
        </w:rPr>
        <w:t>Чешка република</w:t>
      </w:r>
    </w:p>
    <w:p w14:paraId="7BA1BA64" w14:textId="316F1A72" w:rsidR="00CF77F7" w:rsidRDefault="002C50EE" w:rsidP="004A448E">
      <w:pPr>
        <w:pStyle w:val="Heading1"/>
      </w:pPr>
      <w:r>
        <w:t>8. НОМЕР НА РАЗРЕШЕНИЕТО ЗА УПОТРЕБА</w:t>
      </w:r>
    </w:p>
    <w:p w14:paraId="14B0DA50" w14:textId="0810518B" w:rsidR="00F64CB3" w:rsidRPr="00F64CB3" w:rsidRDefault="00F64CB3" w:rsidP="00F64CB3">
      <w:r>
        <w:rPr>
          <w:lang w:val="en-US"/>
        </w:rPr>
        <w:t>Per</w:t>
      </w:r>
      <w:r w:rsidRPr="00F64CB3">
        <w:rPr>
          <w:lang w:val="ru-RU"/>
        </w:rPr>
        <w:t xml:space="preserve">. </w:t>
      </w:r>
      <w:r>
        <w:t>№20011164</w:t>
      </w:r>
    </w:p>
    <w:p w14:paraId="2CCB5832" w14:textId="7514E59C" w:rsidR="007C605B" w:rsidRDefault="002C50EE" w:rsidP="007C605B">
      <w:pPr>
        <w:pStyle w:val="Heading1"/>
      </w:pPr>
      <w:r>
        <w:t>9. ДАТА НА ПЪРВО РАЗРЕШАВАНЕ/ПОДНОВЯВАНЕ НА РАЗРЕШЕНИЕТО ЗА УПОТРЕБА</w:t>
      </w:r>
    </w:p>
    <w:p w14:paraId="4933464D" w14:textId="77777777" w:rsidR="00F64CB3" w:rsidRPr="00F64CB3" w:rsidRDefault="00F64CB3" w:rsidP="00F64CB3">
      <w:pPr>
        <w:rPr>
          <w:sz w:val="24"/>
          <w:szCs w:val="24"/>
        </w:rPr>
      </w:pPr>
      <w:r w:rsidRPr="00F64CB3">
        <w:rPr>
          <w:lang w:eastAsia="bg-BG"/>
        </w:rPr>
        <w:t>Дата на първо разрешаване: 04.02.1972 г.</w:t>
      </w:r>
    </w:p>
    <w:p w14:paraId="3DB980A4" w14:textId="3AD95B80" w:rsidR="00F64CB3" w:rsidRPr="00F64CB3" w:rsidRDefault="00F64CB3" w:rsidP="00F64CB3">
      <w:pPr>
        <w:rPr>
          <w:sz w:val="24"/>
          <w:szCs w:val="24"/>
        </w:rPr>
      </w:pPr>
      <w:r w:rsidRPr="00F64CB3">
        <w:rPr>
          <w:lang w:eastAsia="bg-BG"/>
        </w:rPr>
        <w:t>Дата на последно подновяване: 05.09.2007 г.</w:t>
      </w:r>
    </w:p>
    <w:p w14:paraId="0E9D0119" w14:textId="0245C6D7" w:rsidR="002C50EE" w:rsidRDefault="002C50EE" w:rsidP="002C50EE">
      <w:pPr>
        <w:pStyle w:val="Heading1"/>
      </w:pPr>
      <w:r>
        <w:lastRenderedPageBreak/>
        <w:t>10. ДАТА НА АКТУАЛИЗИРАНЕ НА ТЕКСТА</w:t>
      </w:r>
    </w:p>
    <w:bookmarkEnd w:id="0"/>
    <w:p w14:paraId="43FB38A2" w14:textId="6171E105" w:rsidR="007C605B" w:rsidRPr="003E3126" w:rsidRDefault="00F64CB3" w:rsidP="00F64CB3">
      <w:r>
        <w:t>26.08.2021 г.</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4F68CF"/>
    <w:multiLevelType w:val="hybridMultilevel"/>
    <w:tmpl w:val="368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5B44E8F"/>
    <w:multiLevelType w:val="hybridMultilevel"/>
    <w:tmpl w:val="F134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66550"/>
    <w:multiLevelType w:val="hybridMultilevel"/>
    <w:tmpl w:val="7B56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E3B92"/>
    <w:multiLevelType w:val="hybridMultilevel"/>
    <w:tmpl w:val="28A0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F7670"/>
    <w:multiLevelType w:val="hybridMultilevel"/>
    <w:tmpl w:val="06D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8B2671"/>
    <w:multiLevelType w:val="hybridMultilevel"/>
    <w:tmpl w:val="018A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D13DF"/>
    <w:multiLevelType w:val="hybridMultilevel"/>
    <w:tmpl w:val="E7B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7"/>
  </w:num>
  <w:num w:numId="4">
    <w:abstractNumId w:val="4"/>
  </w:num>
  <w:num w:numId="5">
    <w:abstractNumId w:val="1"/>
  </w:num>
  <w:num w:numId="6">
    <w:abstractNumId w:val="20"/>
  </w:num>
  <w:num w:numId="7">
    <w:abstractNumId w:val="15"/>
  </w:num>
  <w:num w:numId="8">
    <w:abstractNumId w:val="19"/>
  </w:num>
  <w:num w:numId="9">
    <w:abstractNumId w:val="3"/>
  </w:num>
  <w:num w:numId="10">
    <w:abstractNumId w:val="5"/>
  </w:num>
  <w:num w:numId="11">
    <w:abstractNumId w:val="35"/>
  </w:num>
  <w:num w:numId="12">
    <w:abstractNumId w:val="18"/>
  </w:num>
  <w:num w:numId="13">
    <w:abstractNumId w:val="23"/>
  </w:num>
  <w:num w:numId="14">
    <w:abstractNumId w:val="16"/>
  </w:num>
  <w:num w:numId="15">
    <w:abstractNumId w:val="34"/>
  </w:num>
  <w:num w:numId="16">
    <w:abstractNumId w:val="14"/>
  </w:num>
  <w:num w:numId="17">
    <w:abstractNumId w:val="28"/>
  </w:num>
  <w:num w:numId="18">
    <w:abstractNumId w:val="11"/>
  </w:num>
  <w:num w:numId="19">
    <w:abstractNumId w:val="30"/>
  </w:num>
  <w:num w:numId="20">
    <w:abstractNumId w:val="27"/>
  </w:num>
  <w:num w:numId="21">
    <w:abstractNumId w:val="21"/>
  </w:num>
  <w:num w:numId="22">
    <w:abstractNumId w:val="29"/>
  </w:num>
  <w:num w:numId="23">
    <w:abstractNumId w:val="22"/>
  </w:num>
  <w:num w:numId="24">
    <w:abstractNumId w:val="13"/>
  </w:num>
  <w:num w:numId="25">
    <w:abstractNumId w:val="26"/>
  </w:num>
  <w:num w:numId="26">
    <w:abstractNumId w:val="25"/>
  </w:num>
  <w:num w:numId="27">
    <w:abstractNumId w:val="37"/>
  </w:num>
  <w:num w:numId="28">
    <w:abstractNumId w:val="8"/>
  </w:num>
  <w:num w:numId="29">
    <w:abstractNumId w:val="24"/>
  </w:num>
  <w:num w:numId="30">
    <w:abstractNumId w:val="41"/>
  </w:num>
  <w:num w:numId="31">
    <w:abstractNumId w:val="7"/>
  </w:num>
  <w:num w:numId="32">
    <w:abstractNumId w:val="40"/>
  </w:num>
  <w:num w:numId="33">
    <w:abstractNumId w:val="33"/>
  </w:num>
  <w:num w:numId="34">
    <w:abstractNumId w:val="38"/>
  </w:num>
  <w:num w:numId="35">
    <w:abstractNumId w:val="36"/>
  </w:num>
  <w:num w:numId="36">
    <w:abstractNumId w:val="39"/>
  </w:num>
  <w:num w:numId="37">
    <w:abstractNumId w:val="2"/>
  </w:num>
  <w:num w:numId="38">
    <w:abstractNumId w:val="12"/>
  </w:num>
  <w:num w:numId="39">
    <w:abstractNumId w:val="31"/>
  </w:num>
  <w:num w:numId="40">
    <w:abstractNumId w:val="6"/>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84715"/>
    <w:rsid w:val="00593A00"/>
    <w:rsid w:val="005A66D9"/>
    <w:rsid w:val="00605BCA"/>
    <w:rsid w:val="006158A1"/>
    <w:rsid w:val="00617B1F"/>
    <w:rsid w:val="00672487"/>
    <w:rsid w:val="00672600"/>
    <w:rsid w:val="00681D4A"/>
    <w:rsid w:val="00685882"/>
    <w:rsid w:val="006F413A"/>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64CB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8195</Words>
  <Characters>46715</Characters>
  <Application>Microsoft Office Word</Application>
  <DocSecurity>0</DocSecurity>
  <Lines>389</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2022-02-27T18:19:00Z</dcterms:created>
  <dcterms:modified xsi:type="dcterms:W3CDTF">2022-02-27T18:19:00Z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