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F735328" w14:textId="6048CD70" w:rsidR="00DF4C8E" w:rsidRDefault="00DD466D" w:rsidP="00F44498">
      <w:pPr>
        <w:pStyle w:val="Heading1"/>
      </w:pPr>
      <w:r>
        <w:t>1.ИМЕ НА ЛЕКАРСТВЕНИЯ ПРОДУКТ</w:t>
      </w:r>
    </w:p>
    <w:p w14:paraId="63FE2A36" w14:textId="28A6425E" w:rsidR="005D0842" w:rsidRDefault="005D0842" w:rsidP="005D0842"/>
    <w:p w14:paraId="7EE8609F" w14:textId="77777777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</w:rPr>
      </w:pPr>
      <w:r w:rsidRPr="005D0842">
        <w:rPr>
          <w:lang w:eastAsia="bg-BG"/>
        </w:rPr>
        <w:t>Флавамед</w:t>
      </w:r>
      <w:r w:rsidRPr="005D0842">
        <w:rPr>
          <w:vertAlign w:val="superscript"/>
          <w:lang w:eastAsia="bg-BG"/>
        </w:rPr>
        <w:t>®</w:t>
      </w:r>
      <w:r w:rsidRPr="005D0842">
        <w:rPr>
          <w:lang w:eastAsia="bg-BG"/>
        </w:rPr>
        <w:t xml:space="preserve"> ефервесцентни таблетки</w:t>
      </w:r>
    </w:p>
    <w:p w14:paraId="33CFAE45" w14:textId="6DF5EF26" w:rsidR="005D0842" w:rsidRPr="005D0842" w:rsidRDefault="005D0842" w:rsidP="005D0842">
      <w:r w:rsidRPr="005D0842">
        <w:t xml:space="preserve">60 </w:t>
      </w:r>
      <w:r w:rsidRPr="005D0842">
        <w:rPr>
          <w:lang w:val="en-US"/>
        </w:rPr>
        <w:t>mg</w:t>
      </w:r>
      <w:r w:rsidRPr="005D0842">
        <w:t xml:space="preserve"> </w:t>
      </w:r>
      <w:r w:rsidRPr="005D0842">
        <w:rPr>
          <w:lang w:eastAsia="bg-BG"/>
        </w:rPr>
        <w:t>ефервесцентни таблетки</w:t>
      </w:r>
    </w:p>
    <w:p w14:paraId="15873676" w14:textId="77777777" w:rsidR="005D0842" w:rsidRDefault="005D0842" w:rsidP="005D0842"/>
    <w:p w14:paraId="415D664E" w14:textId="364F2690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0842">
        <w:rPr>
          <w:lang w:val="en-US"/>
        </w:rPr>
        <w:t>Flavamed</w:t>
      </w:r>
      <w:proofErr w:type="spellEnd"/>
      <w:r w:rsidRPr="005D0842">
        <w:rPr>
          <w:vertAlign w:val="superscript"/>
        </w:rPr>
        <w:t>®</w:t>
      </w:r>
      <w:r w:rsidRPr="005D0842">
        <w:t xml:space="preserve"> </w:t>
      </w:r>
      <w:r w:rsidRPr="005D0842">
        <w:rPr>
          <w:lang w:val="en-US"/>
        </w:rPr>
        <w:t>Effervescent</w:t>
      </w:r>
      <w:r w:rsidRPr="005D0842">
        <w:t xml:space="preserve"> </w:t>
      </w:r>
      <w:r w:rsidRPr="005D0842">
        <w:rPr>
          <w:lang w:val="en-US"/>
        </w:rPr>
        <w:t>Tablets</w:t>
      </w:r>
    </w:p>
    <w:p w14:paraId="372AA4FD" w14:textId="0EAEB62C" w:rsidR="005D0842" w:rsidRPr="005D0842" w:rsidRDefault="005D0842" w:rsidP="005D0842">
      <w:r w:rsidRPr="005D0842">
        <w:t xml:space="preserve">60 </w:t>
      </w:r>
      <w:r w:rsidRPr="005D0842">
        <w:rPr>
          <w:lang w:val="en-US"/>
        </w:rPr>
        <w:t>mg</w:t>
      </w:r>
      <w:r w:rsidRPr="005D0842">
        <w:t xml:space="preserve"> </w:t>
      </w:r>
      <w:r w:rsidRPr="005D0842">
        <w:rPr>
          <w:lang w:val="en-US"/>
        </w:rPr>
        <w:t>effervescent</w:t>
      </w:r>
      <w:r w:rsidRPr="005D0842">
        <w:t xml:space="preserve"> </w:t>
      </w:r>
      <w:r w:rsidRPr="005D0842">
        <w:rPr>
          <w:lang w:val="en-US"/>
        </w:rPr>
        <w:t>tablets</w:t>
      </w:r>
    </w:p>
    <w:p w14:paraId="0D4CE771" w14:textId="77777777" w:rsidR="005D0842" w:rsidRPr="005D0842" w:rsidRDefault="005D0842" w:rsidP="005D0842"/>
    <w:p w14:paraId="2BF7ACB1" w14:textId="7F40FFAA" w:rsidR="00DF4C8E" w:rsidRDefault="00DD466D" w:rsidP="00F44498">
      <w:pPr>
        <w:pStyle w:val="Heading1"/>
      </w:pPr>
      <w:r>
        <w:t>2. КАЧЕСТВЕН И КОЛИЧЕСТВЕН СЪСТАВ</w:t>
      </w:r>
    </w:p>
    <w:p w14:paraId="7B9D22CD" w14:textId="564D1107" w:rsidR="005D0842" w:rsidRDefault="005D0842" w:rsidP="005D0842"/>
    <w:p w14:paraId="28C3B3F9" w14:textId="77777777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</w:rPr>
      </w:pPr>
      <w:r w:rsidRPr="005D0842">
        <w:rPr>
          <w:lang w:eastAsia="bg-BG"/>
        </w:rPr>
        <w:t xml:space="preserve">Една ефервесцентна таблетка съдържа 60 </w:t>
      </w:r>
      <w:r w:rsidRPr="005D0842">
        <w:rPr>
          <w:lang w:val="en-US"/>
        </w:rPr>
        <w:t>mg</w:t>
      </w:r>
      <w:r w:rsidRPr="005D0842">
        <w:rPr>
          <w:lang w:val="ru-RU"/>
        </w:rPr>
        <w:t xml:space="preserve"> </w:t>
      </w:r>
      <w:r w:rsidRPr="005D0842">
        <w:rPr>
          <w:lang w:eastAsia="bg-BG"/>
        </w:rPr>
        <w:t>амброксолов хидрохлорид.</w:t>
      </w:r>
    </w:p>
    <w:p w14:paraId="65930B70" w14:textId="5057316F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</w:rPr>
      </w:pPr>
      <w:r w:rsidRPr="005D0842">
        <w:rPr>
          <w:lang w:eastAsia="bg-BG"/>
        </w:rPr>
        <w:t xml:space="preserve">Помощни вещества: 110,00 </w:t>
      </w:r>
      <w:r w:rsidRPr="005D0842">
        <w:rPr>
          <w:lang w:val="en-US"/>
        </w:rPr>
        <w:t>mg</w:t>
      </w:r>
      <w:r w:rsidRPr="005D0842">
        <w:rPr>
          <w:lang w:val="ru-RU"/>
        </w:rPr>
        <w:t xml:space="preserve"> </w:t>
      </w:r>
      <w:r w:rsidRPr="005D0842">
        <w:rPr>
          <w:lang w:eastAsia="bg-BG"/>
        </w:rPr>
        <w:t xml:space="preserve">лактоза, безводна, 5,5 </w:t>
      </w:r>
      <w:proofErr w:type="spellStart"/>
      <w:r w:rsidRPr="005D0842">
        <w:rPr>
          <w:lang w:val="en-US"/>
        </w:rPr>
        <w:t>mmol</w:t>
      </w:r>
      <w:proofErr w:type="spellEnd"/>
      <w:r w:rsidRPr="005D0842">
        <w:rPr>
          <w:lang w:val="ru-RU"/>
        </w:rPr>
        <w:t xml:space="preserve"> </w:t>
      </w:r>
      <w:r w:rsidRPr="005D0842">
        <w:rPr>
          <w:lang w:eastAsia="bg-BG"/>
        </w:rPr>
        <w:t xml:space="preserve">(126,5 </w:t>
      </w:r>
      <w:r w:rsidRPr="005D0842">
        <w:rPr>
          <w:lang w:val="en-US"/>
        </w:rPr>
        <w:t>mg</w:t>
      </w:r>
      <w:r w:rsidRPr="005D0842">
        <w:rPr>
          <w:lang w:val="ru-RU"/>
        </w:rPr>
        <w:t xml:space="preserve">) </w:t>
      </w:r>
      <w:r w:rsidRPr="005D0842">
        <w:rPr>
          <w:lang w:eastAsia="bg-BG"/>
        </w:rPr>
        <w:t xml:space="preserve">натрий и 29 </w:t>
      </w:r>
      <w:r w:rsidRPr="005D0842">
        <w:rPr>
          <w:lang w:val="en-US"/>
        </w:rPr>
        <w:t>mg</w:t>
      </w:r>
      <w:r w:rsidRPr="005D0842">
        <w:rPr>
          <w:lang w:val="ru-RU"/>
        </w:rPr>
        <w:t xml:space="preserve"> </w:t>
      </w:r>
      <w:r w:rsidRPr="005D0842">
        <w:rPr>
          <w:lang w:eastAsia="bg-BG"/>
        </w:rPr>
        <w:t>сорбитол на таблетка (виж точка 4.4 и 6.1).</w:t>
      </w:r>
    </w:p>
    <w:p w14:paraId="614984C4" w14:textId="3C105959" w:rsidR="008A6AF2" w:rsidRDefault="00DD466D" w:rsidP="002C50EE">
      <w:pPr>
        <w:pStyle w:val="Heading1"/>
      </w:pPr>
      <w:r>
        <w:t>3. ЛЕКАРСТВЕНА ФОРМА</w:t>
      </w:r>
    </w:p>
    <w:p w14:paraId="5A4085FE" w14:textId="7861593B" w:rsidR="005D0842" w:rsidRDefault="005D0842" w:rsidP="005D0842"/>
    <w:p w14:paraId="71A40C8B" w14:textId="77777777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</w:rPr>
      </w:pPr>
      <w:r w:rsidRPr="005D0842">
        <w:rPr>
          <w:lang w:eastAsia="bg-BG"/>
        </w:rPr>
        <w:t>Ефервесцентна таблетка</w:t>
      </w:r>
    </w:p>
    <w:p w14:paraId="3D82260F" w14:textId="77777777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</w:rPr>
      </w:pPr>
      <w:r w:rsidRPr="005D0842">
        <w:rPr>
          <w:lang w:eastAsia="bg-BG"/>
        </w:rPr>
        <w:t>Кръгли, бели таблетки с делителна черта от едната страна.</w:t>
      </w:r>
    </w:p>
    <w:p w14:paraId="49A92538" w14:textId="613EF431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</w:rPr>
      </w:pPr>
      <w:r w:rsidRPr="005D0842">
        <w:rPr>
          <w:lang w:eastAsia="bg-BG"/>
        </w:rPr>
        <w:t>Таблетката може да бъде разделена на две равни половини.</w:t>
      </w:r>
    </w:p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754A29C8" w14:textId="34304510" w:rsidR="00C0049F" w:rsidRDefault="002C50EE" w:rsidP="009F1313">
      <w:pPr>
        <w:pStyle w:val="Heading2"/>
      </w:pPr>
      <w:r>
        <w:t>4.1. Терапевтични показания</w:t>
      </w:r>
    </w:p>
    <w:p w14:paraId="3B129A43" w14:textId="472AEFA4" w:rsidR="00DF4C8E" w:rsidRDefault="00DF4C8E" w:rsidP="00DF4C8E">
      <w:pPr>
        <w:rPr>
          <w:rFonts w:cs="Arial"/>
          <w:sz w:val="24"/>
        </w:rPr>
      </w:pPr>
    </w:p>
    <w:p w14:paraId="5538395F" w14:textId="3A1B6996" w:rsidR="005D0842" w:rsidRDefault="005D0842" w:rsidP="005D0842">
      <w:pPr>
        <w:rPr>
          <w:lang w:eastAsia="bg-BG"/>
        </w:rPr>
      </w:pPr>
      <w:r w:rsidRPr="005D0842">
        <w:rPr>
          <w:lang w:eastAsia="bg-BG"/>
        </w:rPr>
        <w:t>Муколитична терапия на влажна кашлица при остри и хронични бронхопулмонални заболявания.</w:t>
      </w:r>
    </w:p>
    <w:p w14:paraId="48AE6BB2" w14:textId="77777777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</w:rPr>
      </w:pPr>
    </w:p>
    <w:p w14:paraId="778B4979" w14:textId="66665B16" w:rsidR="00DF4C8E" w:rsidRDefault="002C50EE" w:rsidP="00F44498">
      <w:pPr>
        <w:pStyle w:val="Heading2"/>
      </w:pPr>
      <w:r>
        <w:t>4.2. Дозировка и начин на приложение</w:t>
      </w:r>
    </w:p>
    <w:p w14:paraId="7FC14982" w14:textId="352DFD5C" w:rsidR="005D0842" w:rsidRDefault="005D0842" w:rsidP="005D0842"/>
    <w:p w14:paraId="586CA42F" w14:textId="77777777" w:rsidR="005D0842" w:rsidRPr="005D0842" w:rsidRDefault="005D0842" w:rsidP="005D0842">
      <w:pPr>
        <w:spacing w:line="240" w:lineRule="auto"/>
        <w:rPr>
          <w:rFonts w:eastAsia="Times New Roman" w:cs="Arial"/>
        </w:rPr>
      </w:pPr>
      <w:r w:rsidRPr="005D0842">
        <w:rPr>
          <w:rFonts w:eastAsia="Times New Roman" w:cs="Arial"/>
          <w:color w:val="000000"/>
          <w:lang w:eastAsia="bg-BG"/>
        </w:rPr>
        <w:t>Освен ако не е предписано друго, се препоръчва следната дозировка за Флавамед</w:t>
      </w:r>
      <w:r w:rsidRPr="005D0842">
        <w:rPr>
          <w:rFonts w:eastAsia="Times New Roman" w:cs="Arial"/>
          <w:color w:val="000000"/>
          <w:vertAlign w:val="superscript"/>
          <w:lang w:eastAsia="bg-BG"/>
        </w:rPr>
        <w:t>®</w:t>
      </w:r>
      <w:r w:rsidRPr="005D0842">
        <w:rPr>
          <w:rFonts w:eastAsia="Times New Roman" w:cs="Arial"/>
          <w:color w:val="000000"/>
          <w:lang w:eastAsia="bg-BG"/>
        </w:rPr>
        <w:t xml:space="preserve"> ефервесцентни таблетки:</w:t>
      </w:r>
    </w:p>
    <w:p w14:paraId="470AD09F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AE37504" w14:textId="3FB96956" w:rsidR="005D0842" w:rsidRPr="005D0842" w:rsidRDefault="005D0842" w:rsidP="005D0842">
      <w:pPr>
        <w:spacing w:line="240" w:lineRule="auto"/>
        <w:rPr>
          <w:rFonts w:eastAsia="Times New Roman" w:cs="Arial"/>
        </w:rPr>
      </w:pPr>
      <w:r w:rsidRPr="005D0842">
        <w:rPr>
          <w:rFonts w:eastAsia="Times New Roman" w:cs="Arial"/>
          <w:color w:val="000000"/>
          <w:u w:val="single"/>
          <w:lang w:eastAsia="bg-BG"/>
        </w:rPr>
        <w:t>Възрастни и юноши над 12 години:</w:t>
      </w:r>
    </w:p>
    <w:p w14:paraId="630D0167" w14:textId="77777777" w:rsidR="005D0842" w:rsidRPr="005D0842" w:rsidRDefault="005D0842" w:rsidP="005D0842">
      <w:pPr>
        <w:spacing w:line="240" w:lineRule="auto"/>
        <w:rPr>
          <w:rFonts w:eastAsia="Times New Roman" w:cs="Arial"/>
        </w:rPr>
      </w:pPr>
      <w:r w:rsidRPr="005D0842">
        <w:rPr>
          <w:rFonts w:eastAsia="Times New Roman" w:cs="Arial"/>
          <w:color w:val="000000"/>
          <w:lang w:eastAsia="bg-BG"/>
        </w:rPr>
        <w:t xml:space="preserve">По принцип се приема по 1/2 таблетка Флавамед® ефервесцентни таблетки 3 пъти дневно през първите 2-3 дни (еквивалентно на 30 </w:t>
      </w:r>
      <w:r w:rsidRPr="005D0842">
        <w:rPr>
          <w:rFonts w:eastAsia="Times New Roman" w:cs="Arial"/>
          <w:color w:val="000000"/>
          <w:lang w:val="en-US"/>
        </w:rPr>
        <w:t>mg</w:t>
      </w:r>
      <w:r w:rsidRPr="005D0842">
        <w:rPr>
          <w:rFonts w:eastAsia="Times New Roman" w:cs="Arial"/>
          <w:color w:val="000000"/>
          <w:lang w:val="ru-RU"/>
        </w:rPr>
        <w:t xml:space="preserve"> </w:t>
      </w:r>
      <w:r w:rsidRPr="005D0842">
        <w:rPr>
          <w:rFonts w:eastAsia="Times New Roman" w:cs="Arial"/>
          <w:color w:val="000000"/>
          <w:lang w:eastAsia="bg-BG"/>
        </w:rPr>
        <w:t xml:space="preserve">амброксолов хидрохлорид 3 пъти дневно); след това се приема по 1/2 таблетка Флавамед® ефервесцентни таблетки два пъти дневно (еквивалентно на 30 </w:t>
      </w:r>
      <w:r w:rsidRPr="005D0842">
        <w:rPr>
          <w:rFonts w:eastAsia="Times New Roman" w:cs="Arial"/>
          <w:color w:val="000000"/>
          <w:lang w:val="en-US"/>
        </w:rPr>
        <w:t>mg</w:t>
      </w:r>
      <w:r w:rsidRPr="005D0842">
        <w:rPr>
          <w:rFonts w:eastAsia="Times New Roman" w:cs="Arial"/>
          <w:color w:val="000000"/>
          <w:lang w:val="ru-RU"/>
        </w:rPr>
        <w:t xml:space="preserve"> </w:t>
      </w:r>
      <w:r w:rsidRPr="005D0842">
        <w:rPr>
          <w:rFonts w:eastAsia="Times New Roman" w:cs="Arial"/>
          <w:color w:val="000000"/>
          <w:lang w:eastAsia="bg-BG"/>
        </w:rPr>
        <w:t>амброксолов хидрохлорид 2 пъти дневно)</w:t>
      </w:r>
    </w:p>
    <w:p w14:paraId="545443C9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4FBBC4A" w14:textId="71BBFFE1" w:rsidR="005D0842" w:rsidRPr="005D0842" w:rsidRDefault="005D0842" w:rsidP="005D0842">
      <w:pPr>
        <w:spacing w:line="240" w:lineRule="auto"/>
        <w:rPr>
          <w:rFonts w:eastAsia="Times New Roman" w:cs="Arial"/>
        </w:rPr>
      </w:pPr>
      <w:r w:rsidRPr="005D0842">
        <w:rPr>
          <w:rFonts w:eastAsia="Times New Roman" w:cs="Arial"/>
          <w:color w:val="000000"/>
          <w:u w:val="single"/>
          <w:lang w:eastAsia="bg-BG"/>
        </w:rPr>
        <w:t>Забележка:</w:t>
      </w:r>
    </w:p>
    <w:p w14:paraId="48731DA0" w14:textId="77777777" w:rsidR="005D0842" w:rsidRPr="005D0842" w:rsidRDefault="005D0842" w:rsidP="005D0842">
      <w:pPr>
        <w:spacing w:line="240" w:lineRule="auto"/>
        <w:rPr>
          <w:rFonts w:eastAsia="Times New Roman" w:cs="Arial"/>
        </w:rPr>
      </w:pPr>
      <w:r w:rsidRPr="005D0842">
        <w:rPr>
          <w:rFonts w:eastAsia="Times New Roman" w:cs="Arial"/>
          <w:color w:val="000000"/>
          <w:lang w:eastAsia="bg-BG"/>
        </w:rPr>
        <w:t xml:space="preserve">Дозата може да се увеличи до 60 </w:t>
      </w:r>
      <w:r w:rsidRPr="005D0842">
        <w:rPr>
          <w:rFonts w:eastAsia="Times New Roman" w:cs="Arial"/>
          <w:color w:val="000000"/>
          <w:lang w:val="en-US"/>
        </w:rPr>
        <w:t>mg</w:t>
      </w:r>
      <w:r w:rsidRPr="005D0842">
        <w:rPr>
          <w:rFonts w:eastAsia="Times New Roman" w:cs="Arial"/>
          <w:color w:val="000000"/>
          <w:lang w:val="ru-RU"/>
        </w:rPr>
        <w:t xml:space="preserve"> </w:t>
      </w:r>
      <w:r w:rsidRPr="005D0842">
        <w:rPr>
          <w:rFonts w:eastAsia="Times New Roman" w:cs="Arial"/>
          <w:color w:val="000000"/>
          <w:lang w:eastAsia="bg-BG"/>
        </w:rPr>
        <w:t xml:space="preserve">амброксолов хидрохлорид два пъти дневно (еквивалентно на 120 </w:t>
      </w:r>
      <w:r w:rsidRPr="005D0842">
        <w:rPr>
          <w:rFonts w:eastAsia="Times New Roman" w:cs="Arial"/>
          <w:color w:val="000000"/>
          <w:lang w:val="en-US"/>
        </w:rPr>
        <w:t>mg</w:t>
      </w:r>
      <w:r w:rsidRPr="005D0842">
        <w:rPr>
          <w:rFonts w:eastAsia="Times New Roman" w:cs="Arial"/>
          <w:color w:val="000000"/>
          <w:lang w:val="ru-RU"/>
        </w:rPr>
        <w:t xml:space="preserve"> </w:t>
      </w:r>
      <w:r w:rsidRPr="005D0842">
        <w:rPr>
          <w:rFonts w:eastAsia="Times New Roman" w:cs="Arial"/>
          <w:color w:val="000000"/>
          <w:lang w:eastAsia="bg-BG"/>
        </w:rPr>
        <w:t>амброксолов хидрохлорид на ден) ако е необходимо.</w:t>
      </w:r>
    </w:p>
    <w:p w14:paraId="315DACD4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3446C8E" w14:textId="1EBC1AD2" w:rsidR="005D0842" w:rsidRPr="005D0842" w:rsidRDefault="005D0842" w:rsidP="005D0842">
      <w:pPr>
        <w:pStyle w:val="Heading3"/>
        <w:rPr>
          <w:rFonts w:eastAsia="Times New Roman"/>
          <w:u w:val="single"/>
        </w:rPr>
      </w:pPr>
      <w:r w:rsidRPr="005D0842">
        <w:rPr>
          <w:rFonts w:eastAsia="Times New Roman"/>
          <w:u w:val="single"/>
          <w:lang w:eastAsia="bg-BG"/>
        </w:rPr>
        <w:lastRenderedPageBreak/>
        <w:t>Начин на приложение</w:t>
      </w:r>
    </w:p>
    <w:p w14:paraId="73052680" w14:textId="77777777" w:rsidR="005D0842" w:rsidRPr="005D0842" w:rsidRDefault="005D0842" w:rsidP="005D0842">
      <w:pPr>
        <w:spacing w:line="240" w:lineRule="auto"/>
        <w:rPr>
          <w:rFonts w:eastAsia="Times New Roman" w:cs="Arial"/>
        </w:rPr>
      </w:pPr>
      <w:r w:rsidRPr="005D0842">
        <w:rPr>
          <w:rFonts w:eastAsia="Times New Roman" w:cs="Arial"/>
          <w:color w:val="000000"/>
          <w:lang w:eastAsia="bg-BG"/>
        </w:rPr>
        <w:t>Флавамед</w:t>
      </w:r>
      <w:r w:rsidRPr="005D0842">
        <w:rPr>
          <w:rFonts w:eastAsia="Times New Roman" w:cs="Arial"/>
          <w:color w:val="000000"/>
          <w:vertAlign w:val="superscript"/>
          <w:lang w:eastAsia="bg-BG"/>
        </w:rPr>
        <w:t>®</w:t>
      </w:r>
      <w:r w:rsidRPr="005D0842">
        <w:rPr>
          <w:rFonts w:eastAsia="Times New Roman" w:cs="Arial"/>
          <w:color w:val="000000"/>
          <w:lang w:eastAsia="bg-BG"/>
        </w:rPr>
        <w:t xml:space="preserve"> ефервесцентни таблетки е за перорално приложение.</w:t>
      </w:r>
    </w:p>
    <w:p w14:paraId="27A2EF12" w14:textId="77777777" w:rsidR="005D0842" w:rsidRPr="005D0842" w:rsidRDefault="005D0842" w:rsidP="005D0842">
      <w:pPr>
        <w:spacing w:line="240" w:lineRule="auto"/>
        <w:rPr>
          <w:rFonts w:eastAsia="Times New Roman" w:cs="Arial"/>
        </w:rPr>
      </w:pPr>
      <w:r w:rsidRPr="005D0842">
        <w:rPr>
          <w:rFonts w:eastAsia="Times New Roman" w:cs="Arial"/>
          <w:color w:val="000000"/>
          <w:lang w:eastAsia="bg-BG"/>
        </w:rPr>
        <w:t>Ефервесцентните таблетки се разтварят в чаша с вода и разтворът се приема след хранене.</w:t>
      </w:r>
    </w:p>
    <w:p w14:paraId="30BA459B" w14:textId="77777777" w:rsidR="005D0842" w:rsidRPr="005D0842" w:rsidRDefault="005D0842" w:rsidP="005D0842">
      <w:pPr>
        <w:spacing w:line="240" w:lineRule="auto"/>
        <w:rPr>
          <w:rFonts w:eastAsia="Times New Roman" w:cs="Arial"/>
        </w:rPr>
      </w:pPr>
      <w:r w:rsidRPr="005D0842">
        <w:rPr>
          <w:rFonts w:eastAsia="Times New Roman" w:cs="Arial"/>
          <w:color w:val="000000"/>
          <w:lang w:eastAsia="bg-BG"/>
        </w:rPr>
        <w:t>Флавамед</w:t>
      </w:r>
      <w:r w:rsidRPr="005D0842">
        <w:rPr>
          <w:rFonts w:eastAsia="Times New Roman" w:cs="Arial"/>
          <w:color w:val="000000"/>
          <w:vertAlign w:val="superscript"/>
          <w:lang w:eastAsia="bg-BG"/>
        </w:rPr>
        <w:t>®</w:t>
      </w:r>
      <w:r w:rsidRPr="005D0842">
        <w:rPr>
          <w:rFonts w:eastAsia="Times New Roman" w:cs="Arial"/>
          <w:color w:val="000000"/>
          <w:lang w:eastAsia="bg-BG"/>
        </w:rPr>
        <w:t xml:space="preserve"> ефервесцентни таблетки се прилага след хранене с помощта на мерителната лъжичка.</w:t>
      </w:r>
    </w:p>
    <w:p w14:paraId="750D0A65" w14:textId="77777777" w:rsidR="005D0842" w:rsidRPr="005D0842" w:rsidRDefault="005D0842" w:rsidP="005D0842">
      <w:pPr>
        <w:spacing w:line="240" w:lineRule="auto"/>
        <w:rPr>
          <w:rFonts w:eastAsia="Times New Roman" w:cs="Arial"/>
        </w:rPr>
      </w:pPr>
      <w:r w:rsidRPr="005D0842">
        <w:rPr>
          <w:rFonts w:eastAsia="Times New Roman" w:cs="Arial"/>
          <w:color w:val="000000"/>
          <w:lang w:eastAsia="bg-BG"/>
        </w:rPr>
        <w:t>Флавамед</w:t>
      </w:r>
      <w:r w:rsidRPr="005D0842">
        <w:rPr>
          <w:rFonts w:eastAsia="Times New Roman" w:cs="Arial"/>
          <w:color w:val="000000"/>
          <w:vertAlign w:val="superscript"/>
          <w:lang w:eastAsia="bg-BG"/>
        </w:rPr>
        <w:t>®</w:t>
      </w:r>
      <w:r w:rsidRPr="005D0842">
        <w:rPr>
          <w:rFonts w:eastAsia="Times New Roman" w:cs="Arial"/>
          <w:color w:val="000000"/>
          <w:lang w:eastAsia="bg-BG"/>
        </w:rPr>
        <w:t xml:space="preserve"> ефервесцентни таблетки не трябва да се приема повече от 4-5 дни без консултация с лекар.</w:t>
      </w:r>
    </w:p>
    <w:p w14:paraId="405D7316" w14:textId="04F24F70" w:rsidR="005D0842" w:rsidRPr="005D0842" w:rsidRDefault="005D0842" w:rsidP="005D0842">
      <w:pPr>
        <w:rPr>
          <w:rFonts w:eastAsia="Times New Roman" w:cs="Arial"/>
          <w:color w:val="000000"/>
          <w:lang w:eastAsia="bg-BG"/>
        </w:rPr>
      </w:pPr>
      <w:r w:rsidRPr="005D0842">
        <w:rPr>
          <w:rFonts w:eastAsia="Times New Roman" w:cs="Arial"/>
          <w:color w:val="000000"/>
          <w:lang w:eastAsia="bg-BG"/>
        </w:rPr>
        <w:t>За дозировка при бъбречни и чернодробни увреждания, вижте точка 4.4</w:t>
      </w:r>
    </w:p>
    <w:p w14:paraId="5EDE2FD6" w14:textId="0CDE0EC5" w:rsidR="005D0842" w:rsidRPr="005D0842" w:rsidRDefault="005D0842" w:rsidP="005D0842">
      <w:pPr>
        <w:rPr>
          <w:rFonts w:eastAsia="Times New Roman" w:cs="Arial"/>
          <w:color w:val="000000"/>
          <w:lang w:eastAsia="bg-BG"/>
        </w:rPr>
      </w:pPr>
    </w:p>
    <w:p w14:paraId="011A05A4" w14:textId="77777777" w:rsidR="005D0842" w:rsidRPr="005D0842" w:rsidRDefault="005D0842" w:rsidP="005D0842">
      <w:pPr>
        <w:spacing w:line="240" w:lineRule="auto"/>
        <w:rPr>
          <w:rFonts w:eastAsia="Times New Roman" w:cs="Arial"/>
        </w:rPr>
      </w:pPr>
      <w:r w:rsidRPr="005D0842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Педиатрична популация</w:t>
      </w:r>
    </w:p>
    <w:p w14:paraId="5E5714D5" w14:textId="77777777" w:rsidR="005D0842" w:rsidRPr="005D0842" w:rsidRDefault="005D0842" w:rsidP="005D0842">
      <w:pPr>
        <w:spacing w:line="240" w:lineRule="auto"/>
        <w:rPr>
          <w:rFonts w:eastAsia="Times New Roman" w:cs="Arial"/>
        </w:rPr>
      </w:pPr>
      <w:r w:rsidRPr="005D0842">
        <w:rPr>
          <w:rFonts w:eastAsia="Times New Roman" w:cs="Arial"/>
          <w:color w:val="000000"/>
          <w:lang w:eastAsia="bg-BG"/>
        </w:rPr>
        <w:t>Безопасността и ефикасността на Флавамед</w:t>
      </w:r>
      <w:r w:rsidRPr="005D0842">
        <w:rPr>
          <w:rFonts w:eastAsia="Times New Roman" w:cs="Arial"/>
          <w:color w:val="000000"/>
          <w:vertAlign w:val="superscript"/>
          <w:lang w:eastAsia="bg-BG"/>
        </w:rPr>
        <w:t>®</w:t>
      </w:r>
      <w:r w:rsidRPr="005D0842">
        <w:rPr>
          <w:rFonts w:eastAsia="Times New Roman" w:cs="Arial"/>
          <w:color w:val="000000"/>
          <w:lang w:eastAsia="bg-BG"/>
        </w:rPr>
        <w:t xml:space="preserve"> ефервесцентни таблетки при деца под 12 годишна възраст все още не е установена.</w:t>
      </w:r>
    </w:p>
    <w:p w14:paraId="281BF75F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C70852" w14:textId="67970808" w:rsidR="005D0842" w:rsidRPr="005D0842" w:rsidRDefault="005D0842" w:rsidP="005D0842">
      <w:pPr>
        <w:spacing w:line="240" w:lineRule="auto"/>
        <w:rPr>
          <w:rFonts w:eastAsia="Times New Roman" w:cs="Arial"/>
        </w:rPr>
      </w:pPr>
      <w:r w:rsidRPr="005D0842">
        <w:rPr>
          <w:rFonts w:eastAsia="Times New Roman" w:cs="Arial"/>
          <w:color w:val="000000"/>
          <w:lang w:eastAsia="bg-BG"/>
        </w:rPr>
        <w:t>Флавамед</w:t>
      </w:r>
      <w:r w:rsidRPr="005D0842">
        <w:rPr>
          <w:rFonts w:eastAsia="Times New Roman" w:cs="Arial"/>
          <w:color w:val="000000"/>
          <w:vertAlign w:val="superscript"/>
          <w:lang w:eastAsia="bg-BG"/>
        </w:rPr>
        <w:t>®</w:t>
      </w:r>
      <w:r w:rsidRPr="005D0842">
        <w:rPr>
          <w:rFonts w:eastAsia="Times New Roman" w:cs="Arial"/>
          <w:color w:val="000000"/>
          <w:lang w:eastAsia="bg-BG"/>
        </w:rPr>
        <w:t xml:space="preserve"> ефервесцентни таблетки е противопоказан при деца под 12 години (вижте точка 4.3).</w:t>
      </w:r>
    </w:p>
    <w:p w14:paraId="3DE94FDE" w14:textId="77777777" w:rsidR="005D0842" w:rsidRPr="005D0842" w:rsidRDefault="005D0842" w:rsidP="005D0842"/>
    <w:p w14:paraId="6A85390E" w14:textId="7DB8AA0A" w:rsidR="00DF4C8E" w:rsidRDefault="002C50EE" w:rsidP="00F44498">
      <w:pPr>
        <w:pStyle w:val="Heading2"/>
        <w:rPr>
          <w:lang w:val="en-US"/>
        </w:rPr>
      </w:pPr>
      <w:r>
        <w:t>4.3. Противопоказания</w:t>
      </w:r>
      <w:r w:rsidR="005D0842">
        <w:rPr>
          <w:lang w:val="en-US"/>
        </w:rPr>
        <w:t>.</w:t>
      </w:r>
    </w:p>
    <w:p w14:paraId="306034B9" w14:textId="75D3770B" w:rsidR="005D0842" w:rsidRDefault="005D0842" w:rsidP="005D0842">
      <w:pPr>
        <w:rPr>
          <w:lang w:val="en-US"/>
        </w:rPr>
      </w:pPr>
    </w:p>
    <w:p w14:paraId="050BC21F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Флавамед</w:t>
      </w:r>
      <w:r w:rsidRPr="005D0842">
        <w:rPr>
          <w:rFonts w:eastAsia="Times New Roman" w:cs="Arial"/>
          <w:color w:val="000000"/>
          <w:szCs w:val="20"/>
          <w:vertAlign w:val="superscript"/>
          <w:lang w:eastAsia="bg-BG"/>
        </w:rPr>
        <w:t>®</w:t>
      </w:r>
      <w:r w:rsidRPr="005D0842">
        <w:rPr>
          <w:rFonts w:eastAsia="Times New Roman" w:cs="Arial"/>
          <w:color w:val="000000"/>
          <w:szCs w:val="20"/>
          <w:lang w:eastAsia="bg-BG"/>
        </w:rPr>
        <w:t xml:space="preserve"> ефервесцентни таблетки не тряба да се приема при свръхчувствителност към активното вещество или към някое от помощните вещества.</w:t>
      </w:r>
    </w:p>
    <w:p w14:paraId="307ADB57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F22E3D3" w14:textId="688AD0D8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Поради високото съдържание на активно вещество и факта, че безопасността и ефикасността на Флавамед</w:t>
      </w:r>
      <w:r w:rsidRPr="005D0842">
        <w:rPr>
          <w:rFonts w:eastAsia="Times New Roman" w:cs="Arial"/>
          <w:color w:val="000000"/>
          <w:szCs w:val="20"/>
          <w:vertAlign w:val="superscript"/>
          <w:lang w:eastAsia="bg-BG"/>
        </w:rPr>
        <w:t xml:space="preserve">® </w:t>
      </w:r>
      <w:r w:rsidRPr="005D0842">
        <w:rPr>
          <w:rFonts w:eastAsia="Times New Roman" w:cs="Arial"/>
          <w:color w:val="000000"/>
          <w:szCs w:val="20"/>
          <w:lang w:eastAsia="bg-BG"/>
        </w:rPr>
        <w:t>ефервесцентни таблетки при деца под 12 годишна възраст все още не е установена, Флавамед</w:t>
      </w:r>
      <w:r w:rsidRPr="005D0842">
        <w:rPr>
          <w:rFonts w:eastAsia="Times New Roman" w:cs="Arial"/>
          <w:color w:val="000000"/>
          <w:szCs w:val="20"/>
          <w:vertAlign w:val="superscript"/>
          <w:lang w:eastAsia="bg-BG"/>
        </w:rPr>
        <w:t>®</w:t>
      </w:r>
      <w:r w:rsidRPr="005D0842">
        <w:rPr>
          <w:rFonts w:eastAsia="Times New Roman" w:cs="Arial"/>
          <w:color w:val="000000"/>
          <w:szCs w:val="20"/>
          <w:lang w:eastAsia="bg-BG"/>
        </w:rPr>
        <w:t xml:space="preserve"> ефервесцентни таблетки е противопоказан при деца под 12 годишна възраст.</w:t>
      </w:r>
    </w:p>
    <w:p w14:paraId="4C8AD908" w14:textId="77777777" w:rsidR="005D0842" w:rsidRPr="005D0842" w:rsidRDefault="005D0842" w:rsidP="005D0842"/>
    <w:p w14:paraId="115C9528" w14:textId="62931623" w:rsidR="00DF4C8E" w:rsidRDefault="002C50EE" w:rsidP="00F44498">
      <w:pPr>
        <w:pStyle w:val="Heading2"/>
      </w:pPr>
      <w:r>
        <w:t>4.4. Специални предупреждения и предпазни мерки при употреба</w:t>
      </w:r>
    </w:p>
    <w:p w14:paraId="3FC52949" w14:textId="09CDB6EE" w:rsidR="005D0842" w:rsidRDefault="005D0842" w:rsidP="005D0842"/>
    <w:p w14:paraId="646BB046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Много рядко са съобщавани прояви на тежки кожни реакции, като синдром на Стивънс-Джонсън и синдром на Лайел, по време на приложение на амброксол. Ето защо при поява на нови промени по кожата и лигавиците, трябва веднага да се направи консултиция с лекар и приложението на амброксол да се преустанови.</w:t>
      </w:r>
    </w:p>
    <w:p w14:paraId="06DB875B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2565416" w14:textId="5D61AA9F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Поради риск от натрупване на секретите, Флавамед</w:t>
      </w:r>
      <w:r w:rsidRPr="005D0842">
        <w:rPr>
          <w:rFonts w:eastAsia="Times New Roman" w:cs="Arial"/>
          <w:color w:val="000000"/>
          <w:szCs w:val="20"/>
          <w:vertAlign w:val="superscript"/>
          <w:lang w:eastAsia="bg-BG"/>
        </w:rPr>
        <w:t>®</w:t>
      </w:r>
      <w:r w:rsidRPr="005D0842">
        <w:rPr>
          <w:rFonts w:eastAsia="Times New Roman" w:cs="Arial"/>
          <w:color w:val="000000"/>
          <w:szCs w:val="20"/>
          <w:lang w:eastAsia="bg-BG"/>
        </w:rPr>
        <w:t xml:space="preserve"> ефервесцентни таблетки трябва да се прилага с внимание при нарушена бронхомоторна функция и при голямо количество секрети (напр. при редкия синдром на неподвижните реснички).</w:t>
      </w:r>
    </w:p>
    <w:p w14:paraId="0C9AFE22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4E48917" w14:textId="2EE46F9F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Флавамед</w:t>
      </w:r>
      <w:r w:rsidRPr="005D0842">
        <w:rPr>
          <w:rFonts w:eastAsia="Times New Roman" w:cs="Arial"/>
          <w:color w:val="000000"/>
          <w:szCs w:val="20"/>
          <w:vertAlign w:val="superscript"/>
          <w:lang w:eastAsia="bg-BG"/>
        </w:rPr>
        <w:t>®</w:t>
      </w:r>
      <w:r w:rsidRPr="005D0842">
        <w:rPr>
          <w:rFonts w:eastAsia="Times New Roman" w:cs="Arial"/>
          <w:color w:val="000000"/>
          <w:szCs w:val="20"/>
          <w:lang w:eastAsia="bg-BG"/>
        </w:rPr>
        <w:t xml:space="preserve"> ефервесцентни таблетки трябва да се прилага с особено внимание (т.е. през по-дълги интервали между дозите или в намалени дози) при нарушена бъбречна функция или при тежко чернодробно заболяване.</w:t>
      </w:r>
    </w:p>
    <w:p w14:paraId="68CC1165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E6BFA92" w14:textId="311409E3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При тежка бъбречна недостатъчност може да се очаква натрупване на метаболитите на амброксол, образувани в черния дроб.</w:t>
      </w:r>
    </w:p>
    <w:p w14:paraId="3DA1FF3F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F7863E5" w14:textId="77C437EA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Тъй като муколитиците могат да увредят стомашната мукозна бариера, амброксол трябва да се прилага с внимание при пациенти с анамнеза за пептична язвена болест.</w:t>
      </w:r>
    </w:p>
    <w:p w14:paraId="389D0C27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lastRenderedPageBreak/>
        <w:t>Този лекарствен продукт съдържа лактоза и сорбитол. Пациенти с рядка наследствена непоносимост към галактоза, дефицит на лактаза или глюкозо-галактозна малабсорбция или непоносимост към фруктоза не трябва да приемат този лекарствен продукт.</w:t>
      </w:r>
    </w:p>
    <w:p w14:paraId="01CE31EF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BE80457" w14:textId="0AC9FBD1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 xml:space="preserve">Този лекарствен продукт съдържа 5,5 </w:t>
      </w:r>
      <w:proofErr w:type="spellStart"/>
      <w:r w:rsidRPr="005D0842">
        <w:rPr>
          <w:rFonts w:eastAsia="Times New Roman" w:cs="Arial"/>
          <w:color w:val="000000"/>
          <w:szCs w:val="20"/>
          <w:lang w:val="en-US"/>
        </w:rPr>
        <w:t>mmol</w:t>
      </w:r>
      <w:proofErr w:type="spellEnd"/>
      <w:r w:rsidRPr="005D0842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5D0842">
        <w:rPr>
          <w:rFonts w:eastAsia="Times New Roman" w:cs="Arial"/>
          <w:color w:val="000000"/>
          <w:szCs w:val="20"/>
          <w:lang w:eastAsia="bg-BG"/>
        </w:rPr>
        <w:t xml:space="preserve">(126,5 </w:t>
      </w:r>
      <w:r w:rsidRPr="005D0842">
        <w:rPr>
          <w:rFonts w:eastAsia="Times New Roman" w:cs="Arial"/>
          <w:color w:val="000000"/>
          <w:szCs w:val="20"/>
          <w:lang w:val="en-US"/>
        </w:rPr>
        <w:t>mg</w:t>
      </w:r>
      <w:r w:rsidRPr="005D0842">
        <w:rPr>
          <w:rFonts w:eastAsia="Times New Roman" w:cs="Arial"/>
          <w:color w:val="000000"/>
          <w:szCs w:val="20"/>
          <w:lang w:val="ru-RU"/>
        </w:rPr>
        <w:t xml:space="preserve">) </w:t>
      </w:r>
      <w:r w:rsidRPr="005D0842">
        <w:rPr>
          <w:rFonts w:eastAsia="Times New Roman" w:cs="Arial"/>
          <w:color w:val="000000"/>
          <w:szCs w:val="20"/>
          <w:lang w:eastAsia="bg-BG"/>
        </w:rPr>
        <w:t>натрий на ефервесцентна таблетка. Да се има предвид при пациенти, които са на диета с ограничен прием на натрий.</w:t>
      </w:r>
    </w:p>
    <w:p w14:paraId="6231165B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EFB6516" w14:textId="5E5E495B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Необходимо е внимание при пациенти с непоносимост към хистамин. При тези пациенти трябва да се избягва продължителна терапия, тъй като амброксол повлиява метаболизма на хистамин и може да доведе до симптоми на непоносимост (напр. главоболие, течащ нос, сърбеж).</w:t>
      </w:r>
    </w:p>
    <w:p w14:paraId="33EF8108" w14:textId="77777777" w:rsidR="005D0842" w:rsidRPr="005D0842" w:rsidRDefault="005D0842" w:rsidP="005D0842"/>
    <w:p w14:paraId="070777EC" w14:textId="1A633EAD" w:rsidR="00DF4C8E" w:rsidRDefault="002C50EE" w:rsidP="00F4449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6C683E26" w14:textId="762526B2" w:rsidR="005D0842" w:rsidRDefault="005D0842" w:rsidP="005D0842"/>
    <w:p w14:paraId="18CA6745" w14:textId="77777777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</w:rPr>
      </w:pPr>
      <w:r w:rsidRPr="005D0842">
        <w:rPr>
          <w:lang w:eastAsia="bg-BG"/>
        </w:rPr>
        <w:t>Комбинираното приложение на Флавамед</w:t>
      </w:r>
      <w:r w:rsidRPr="005D0842">
        <w:rPr>
          <w:vertAlign w:val="superscript"/>
          <w:lang w:eastAsia="bg-BG"/>
        </w:rPr>
        <w:t>®</w:t>
      </w:r>
      <w:r w:rsidRPr="005D0842">
        <w:rPr>
          <w:lang w:eastAsia="bg-BG"/>
        </w:rPr>
        <w:t xml:space="preserve"> ефервесцентни таблетки с антитусиви може да доведе до опасно натрупване на секрети поради подтискане на кашличния рефлекс. Ето защо показанията за това комбинирано лечение трябва да се преценят много внимателно.</w:t>
      </w:r>
    </w:p>
    <w:p w14:paraId="0A4A7447" w14:textId="77777777" w:rsidR="005D0842" w:rsidRPr="005D0842" w:rsidRDefault="005D0842" w:rsidP="005D0842"/>
    <w:p w14:paraId="29D2BD58" w14:textId="27E89204" w:rsidR="00DF4C8E" w:rsidRDefault="002C50EE" w:rsidP="00F44498">
      <w:pPr>
        <w:pStyle w:val="Heading2"/>
      </w:pPr>
      <w:r>
        <w:t>4.6. Фертилитет, бременност и кърмене</w:t>
      </w:r>
    </w:p>
    <w:p w14:paraId="20367607" w14:textId="645AA476" w:rsidR="005D0842" w:rsidRDefault="005D0842" w:rsidP="005D0842"/>
    <w:p w14:paraId="7582F59A" w14:textId="77777777" w:rsidR="005D0842" w:rsidRPr="005D0842" w:rsidRDefault="005D0842" w:rsidP="005D0842">
      <w:pPr>
        <w:pStyle w:val="Heading3"/>
        <w:rPr>
          <w:rFonts w:eastAsia="Times New Roman"/>
          <w:sz w:val="28"/>
          <w:u w:val="single"/>
        </w:rPr>
      </w:pPr>
      <w:r w:rsidRPr="005D0842">
        <w:rPr>
          <w:rFonts w:eastAsia="Times New Roman"/>
          <w:u w:val="single"/>
          <w:lang w:eastAsia="bg-BG"/>
        </w:rPr>
        <w:t>Бременност</w:t>
      </w:r>
    </w:p>
    <w:p w14:paraId="3C151AD8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Няма достатъчно данни за приложението на амброксол при бременни жени. Това се отнася най-вече за периода до 28-та гестационна седмица. Амброксол не показва тератогенен ефект при опити с животни (вижте точка 5.3). Флавамед® ефервесцентни таблетки може да се прилага по време на бременност само след внимателна преценка на съотношението полза/риск, особено през първия триместър.</w:t>
      </w:r>
    </w:p>
    <w:p w14:paraId="6BD91CF7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10B39ABA" w14:textId="1A5C8EA5" w:rsidR="005D0842" w:rsidRPr="005D0842" w:rsidRDefault="005D0842" w:rsidP="005D0842">
      <w:pPr>
        <w:pStyle w:val="Heading3"/>
        <w:rPr>
          <w:rFonts w:eastAsia="Times New Roman"/>
          <w:sz w:val="28"/>
          <w:u w:val="single"/>
        </w:rPr>
      </w:pPr>
      <w:r w:rsidRPr="005D0842">
        <w:rPr>
          <w:rFonts w:eastAsia="Times New Roman"/>
          <w:u w:val="single"/>
          <w:lang w:eastAsia="bg-BG"/>
        </w:rPr>
        <w:t>Кърмене</w:t>
      </w:r>
    </w:p>
    <w:p w14:paraId="04642C5F" w14:textId="0511270A" w:rsidR="005D0842" w:rsidRDefault="005D0842" w:rsidP="005D0842">
      <w:pPr>
        <w:rPr>
          <w:rFonts w:eastAsia="Times New Roman" w:cs="Arial"/>
          <w:color w:val="000000"/>
          <w:szCs w:val="20"/>
          <w:lang w:eastAsia="bg-BG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Амброксол преминава в майчиното мляко при животни. Тъй като до момента няма достатъчно опит при хора, в периода на кърмене Флавамед® ефервесцентни таблетки трябва да се използва само след внимателна преценка на съотношението полза/риск.</w:t>
      </w:r>
    </w:p>
    <w:p w14:paraId="7E134FDE" w14:textId="77777777" w:rsidR="005D0842" w:rsidRPr="005D0842" w:rsidRDefault="005D0842" w:rsidP="005D0842">
      <w:pPr>
        <w:rPr>
          <w:rFonts w:cs="Arial"/>
          <w:sz w:val="24"/>
        </w:rPr>
      </w:pPr>
    </w:p>
    <w:p w14:paraId="4DF5A2E7" w14:textId="35F099B5" w:rsidR="00DF4C8E" w:rsidRDefault="002C50EE" w:rsidP="00F44498">
      <w:pPr>
        <w:pStyle w:val="Heading2"/>
      </w:pPr>
      <w:r>
        <w:t>4.7. Ефекти върху способността за шофиране и работа с машини</w:t>
      </w:r>
    </w:p>
    <w:p w14:paraId="6A4587C6" w14:textId="45EC026A" w:rsidR="005D0842" w:rsidRDefault="005D0842" w:rsidP="005D0842"/>
    <w:p w14:paraId="116AD42D" w14:textId="77777777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</w:rPr>
      </w:pPr>
      <w:r w:rsidRPr="005D0842">
        <w:rPr>
          <w:lang w:eastAsia="bg-BG"/>
        </w:rPr>
        <w:t>Флавамед® ефервесцентни таблетки не оказва или има незначителен ефект върху способността за шофиране и работа с машини.</w:t>
      </w:r>
    </w:p>
    <w:p w14:paraId="0A2585A3" w14:textId="77777777" w:rsidR="005D0842" w:rsidRPr="005D0842" w:rsidRDefault="005D0842" w:rsidP="005D0842"/>
    <w:p w14:paraId="28229498" w14:textId="4A5A845C" w:rsidR="00DF4C8E" w:rsidRDefault="002C50EE" w:rsidP="00F44498">
      <w:pPr>
        <w:pStyle w:val="Heading2"/>
      </w:pPr>
      <w:r>
        <w:t>4.8. Нежелани лекарствени реакции</w:t>
      </w:r>
    </w:p>
    <w:p w14:paraId="0D94983D" w14:textId="18A11555" w:rsidR="005D0842" w:rsidRDefault="005D0842" w:rsidP="005D0842"/>
    <w:p w14:paraId="51C80DF2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При оценка на нежеланите реакции като основа се взема следната честота:</w:t>
      </w:r>
    </w:p>
    <w:p w14:paraId="071FE58D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2CBE13F" w14:textId="2412FA7A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Много чести: ≥1/10</w:t>
      </w:r>
    </w:p>
    <w:p w14:paraId="628CE9AD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Чести: ≥1/100 до &lt;1/10</w:t>
      </w:r>
    </w:p>
    <w:p w14:paraId="52ED901A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Нечести: : ≥1/1 000 до &lt;1/100</w:t>
      </w:r>
    </w:p>
    <w:p w14:paraId="7EBE28C2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lastRenderedPageBreak/>
        <w:t>Редки: : ≥1/10 000 до &lt; 1/1 000</w:t>
      </w:r>
    </w:p>
    <w:p w14:paraId="602E8938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Много редки: &lt;1/10 000, неизвестни (не може да се определят от наличните данни).</w:t>
      </w:r>
    </w:p>
    <w:p w14:paraId="253602B7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453152A" w14:textId="10A1AB51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u w:val="single"/>
          <w:lang w:eastAsia="bg-BG"/>
        </w:rPr>
        <w:t>Стомашно-чревни нарушения</w:t>
      </w:r>
    </w:p>
    <w:p w14:paraId="325FD4B6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Нечести: гадене, стомашна болка, повръщане.</w:t>
      </w:r>
    </w:p>
    <w:p w14:paraId="4C7A732F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217005B0" w14:textId="75FED691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u w:val="single"/>
          <w:lang w:eastAsia="bg-BG"/>
        </w:rPr>
        <w:t>Нарушения на кожата и подкожната тъкан</w:t>
      </w:r>
    </w:p>
    <w:p w14:paraId="6196F3EC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Много редки: тежки кожни реакции, като синдром на Стивънс-Джонсън и епидермална некроза (вижте точка 4.4).</w:t>
      </w:r>
    </w:p>
    <w:p w14:paraId="3A875CC5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7188D68" w14:textId="10B9949F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u w:val="single"/>
          <w:lang w:eastAsia="bg-BG"/>
        </w:rPr>
        <w:t>Общи нарушения и ефекти на мястото на приложение</w:t>
      </w:r>
    </w:p>
    <w:p w14:paraId="03F5C579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Нечести: реакции на свръхчувствителност (кожен обрив, лицев оток, респираторен дистрес, сърбеж), висока температура.</w:t>
      </w:r>
    </w:p>
    <w:p w14:paraId="76BC280E" w14:textId="6DB613C8" w:rsidR="005D0842" w:rsidRPr="005D0842" w:rsidRDefault="005D0842" w:rsidP="005D0842">
      <w:pPr>
        <w:rPr>
          <w:rFonts w:eastAsia="Times New Roman" w:cs="Arial"/>
          <w:color w:val="000000"/>
          <w:szCs w:val="20"/>
          <w:lang w:eastAsia="bg-BG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Много редки: анафилактични реакции, прерастващи в шок.</w:t>
      </w:r>
    </w:p>
    <w:p w14:paraId="7D21DD62" w14:textId="77777777" w:rsidR="005D0842" w:rsidRPr="005D0842" w:rsidRDefault="005D0842" w:rsidP="005D0842"/>
    <w:p w14:paraId="07687653" w14:textId="550522B4" w:rsidR="00DF4C8E" w:rsidRDefault="002C50EE" w:rsidP="00F44498">
      <w:pPr>
        <w:pStyle w:val="Heading2"/>
      </w:pPr>
      <w:r>
        <w:t>4.9. Предозиране</w:t>
      </w:r>
    </w:p>
    <w:p w14:paraId="41114851" w14:textId="4F102364" w:rsidR="005D0842" w:rsidRDefault="005D0842" w:rsidP="005D0842"/>
    <w:p w14:paraId="681F7296" w14:textId="050F3D2C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u w:val="single"/>
          <w:lang w:eastAsia="bg-BG"/>
        </w:rPr>
        <w:t>а)Симптоми на предозиране</w:t>
      </w:r>
    </w:p>
    <w:p w14:paraId="392A969C" w14:textId="40A83658" w:rsidR="005D0842" w:rsidRPr="005D0842" w:rsidRDefault="005D0842" w:rsidP="005D0842">
      <w:pPr>
        <w:rPr>
          <w:rFonts w:eastAsia="Times New Roman" w:cs="Arial"/>
          <w:color w:val="000000"/>
          <w:szCs w:val="20"/>
          <w:lang w:eastAsia="bg-BG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След предозиране с амброксол не са наблюдавани тежки симптоми на интоксикация. Докладвани са кратко безпокойство, диария.</w:t>
      </w:r>
    </w:p>
    <w:p w14:paraId="1039B406" w14:textId="10BC0CCB" w:rsidR="005D0842" w:rsidRPr="005D0842" w:rsidRDefault="005D0842" w:rsidP="005D0842">
      <w:pPr>
        <w:rPr>
          <w:rFonts w:eastAsia="Times New Roman" w:cs="Arial"/>
          <w:color w:val="000000"/>
          <w:szCs w:val="20"/>
          <w:lang w:eastAsia="bg-BG"/>
        </w:rPr>
      </w:pPr>
    </w:p>
    <w:p w14:paraId="6171273F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 xml:space="preserve">Амброксол се понася добре след парентерално приложение в доза до 15 </w:t>
      </w:r>
      <w:r w:rsidRPr="005D0842">
        <w:rPr>
          <w:rFonts w:eastAsia="Times New Roman" w:cs="Arial"/>
          <w:color w:val="000000"/>
          <w:szCs w:val="20"/>
          <w:lang w:val="en-US"/>
        </w:rPr>
        <w:t>mg</w:t>
      </w:r>
      <w:r w:rsidRPr="005D0842">
        <w:rPr>
          <w:rFonts w:eastAsia="Times New Roman" w:cs="Arial"/>
          <w:color w:val="000000"/>
          <w:szCs w:val="20"/>
          <w:lang w:val="ru-RU"/>
        </w:rPr>
        <w:t>/</w:t>
      </w:r>
      <w:r w:rsidRPr="005D0842">
        <w:rPr>
          <w:rFonts w:eastAsia="Times New Roman" w:cs="Arial"/>
          <w:color w:val="000000"/>
          <w:szCs w:val="20"/>
          <w:lang w:val="en-US"/>
        </w:rPr>
        <w:t>kg</w:t>
      </w:r>
      <w:r w:rsidRPr="005D0842">
        <w:rPr>
          <w:rFonts w:eastAsia="Times New Roman" w:cs="Arial"/>
          <w:color w:val="000000"/>
          <w:szCs w:val="20"/>
          <w:lang w:eastAsia="bg-BG"/>
        </w:rPr>
        <w:t xml:space="preserve">/ден и при перорално приложение в доза до 25 </w:t>
      </w:r>
      <w:r w:rsidRPr="005D0842">
        <w:rPr>
          <w:rFonts w:eastAsia="Times New Roman" w:cs="Arial"/>
          <w:color w:val="000000"/>
          <w:szCs w:val="20"/>
          <w:lang w:val="en-US"/>
        </w:rPr>
        <w:t>mg</w:t>
      </w:r>
      <w:r w:rsidRPr="005D0842">
        <w:rPr>
          <w:rFonts w:eastAsia="Times New Roman" w:cs="Arial"/>
          <w:color w:val="000000"/>
          <w:szCs w:val="20"/>
          <w:lang w:val="ru-RU"/>
        </w:rPr>
        <w:t>/</w:t>
      </w:r>
      <w:r w:rsidRPr="005D0842">
        <w:rPr>
          <w:rFonts w:eastAsia="Times New Roman" w:cs="Arial"/>
          <w:color w:val="000000"/>
          <w:szCs w:val="20"/>
          <w:lang w:val="en-US"/>
        </w:rPr>
        <w:t>kg</w:t>
      </w:r>
      <w:r w:rsidRPr="005D0842">
        <w:rPr>
          <w:rFonts w:eastAsia="Times New Roman" w:cs="Arial"/>
          <w:color w:val="000000"/>
          <w:szCs w:val="20"/>
          <w:lang w:eastAsia="bg-BG"/>
        </w:rPr>
        <w:t>/ден.</w:t>
      </w:r>
    </w:p>
    <w:p w14:paraId="24DF5809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CFB8277" w14:textId="434E109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По аналогия с предклинични проучвания, след много голямо предозиране са наблюдавани повишена саливация, гадене, повръщане и спадане на артериалното налягане.</w:t>
      </w:r>
    </w:p>
    <w:p w14:paraId="1D7241AB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7C8DC41" w14:textId="1EF0F84C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u w:val="single"/>
          <w:lang w:eastAsia="bg-BG"/>
        </w:rPr>
        <w:t>б)Терапевтични мерки след предозиране</w:t>
      </w:r>
    </w:p>
    <w:p w14:paraId="1FB69F54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Спешни мерки, като обемозаместителна терапия и стомашна промивка по принцип не са показани и трябва да се предприемат само след много голямо предозиране. Препоръчително е симптоматично лечение.</w:t>
      </w:r>
    </w:p>
    <w:p w14:paraId="19438D95" w14:textId="77777777" w:rsidR="005D0842" w:rsidRPr="005D0842" w:rsidRDefault="005D0842" w:rsidP="005D0842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4D47A490" w14:textId="54347852" w:rsidR="00DF4C8E" w:rsidRDefault="002C50EE" w:rsidP="00F44498">
      <w:pPr>
        <w:pStyle w:val="Heading2"/>
      </w:pPr>
      <w:r>
        <w:t>5.1. Фармакодинамични свойства</w:t>
      </w:r>
    </w:p>
    <w:p w14:paraId="7BF8B688" w14:textId="0F7F69F5" w:rsidR="005D0842" w:rsidRDefault="005D0842" w:rsidP="005D0842"/>
    <w:p w14:paraId="5052F5C1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Фармакотерапевтична група: муколитици</w:t>
      </w:r>
    </w:p>
    <w:p w14:paraId="19AACB00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 xml:space="preserve">АТС код: </w:t>
      </w:r>
      <w:r w:rsidRPr="005D0842">
        <w:rPr>
          <w:rFonts w:eastAsia="Times New Roman" w:cs="Arial"/>
          <w:color w:val="000000"/>
          <w:szCs w:val="20"/>
          <w:lang w:val="en-US"/>
        </w:rPr>
        <w:t>R</w:t>
      </w:r>
      <w:r w:rsidRPr="005D0842">
        <w:rPr>
          <w:rFonts w:eastAsia="Times New Roman" w:cs="Arial"/>
          <w:color w:val="000000"/>
          <w:szCs w:val="20"/>
          <w:lang w:val="ru-RU"/>
        </w:rPr>
        <w:t>05</w:t>
      </w:r>
      <w:r w:rsidRPr="005D0842">
        <w:rPr>
          <w:rFonts w:eastAsia="Times New Roman" w:cs="Arial"/>
          <w:color w:val="000000"/>
          <w:szCs w:val="20"/>
          <w:lang w:val="en-US"/>
        </w:rPr>
        <w:t>CB</w:t>
      </w:r>
      <w:r w:rsidRPr="005D0842">
        <w:rPr>
          <w:rFonts w:eastAsia="Times New Roman" w:cs="Arial"/>
          <w:color w:val="000000"/>
          <w:szCs w:val="20"/>
          <w:lang w:val="ru-RU"/>
        </w:rPr>
        <w:t>06</w:t>
      </w:r>
    </w:p>
    <w:p w14:paraId="04BF1CD6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83A8954" w14:textId="0BA64559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 xml:space="preserve">Амброксол, субституиран бензиламин, е метаболит на бромхексин. Различава се от бромхексин по отсъствието на метилова група и въведената хидроксилна група на </w:t>
      </w:r>
      <w:r w:rsidRPr="005D0842">
        <w:rPr>
          <w:rFonts w:eastAsia="Times New Roman" w:cs="Arial"/>
          <w:color w:val="000000"/>
          <w:szCs w:val="20"/>
          <w:lang w:val="en-US"/>
        </w:rPr>
        <w:t>para</w:t>
      </w:r>
      <w:r w:rsidRPr="005D0842">
        <w:rPr>
          <w:rFonts w:eastAsia="Times New Roman" w:cs="Arial"/>
          <w:color w:val="000000"/>
          <w:szCs w:val="20"/>
          <w:lang w:val="ru-RU"/>
        </w:rPr>
        <w:t>-</w:t>
      </w:r>
      <w:r w:rsidRPr="005D0842">
        <w:rPr>
          <w:rFonts w:eastAsia="Times New Roman" w:cs="Arial"/>
          <w:color w:val="000000"/>
          <w:szCs w:val="20"/>
          <w:lang w:val="en-US"/>
        </w:rPr>
        <w:t>trans</w:t>
      </w:r>
      <w:r w:rsidRPr="005D0842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5D0842">
        <w:rPr>
          <w:rFonts w:eastAsia="Times New Roman" w:cs="Arial"/>
          <w:color w:val="000000"/>
          <w:szCs w:val="20"/>
          <w:lang w:eastAsia="bg-BG"/>
        </w:rPr>
        <w:t>позицията в циклохексиловия пръстен. Въпреки че механизмът му на действие предстои да бъде напълно изяснен, секретолитичните и секретомоторните ефекти са доказани в множество проучвания.</w:t>
      </w:r>
    </w:p>
    <w:p w14:paraId="53899773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8B33C8D" w14:textId="32C1E561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 xml:space="preserve">Действието при перорално приложение започва приблизително след 30 </w:t>
      </w:r>
      <w:r w:rsidRPr="005D0842">
        <w:rPr>
          <w:rFonts w:eastAsia="Times New Roman" w:cs="Arial"/>
          <w:color w:val="000000"/>
          <w:szCs w:val="20"/>
          <w:lang w:val="en-US"/>
        </w:rPr>
        <w:t>min</w:t>
      </w:r>
      <w:r w:rsidRPr="005D0842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5D0842">
        <w:rPr>
          <w:rFonts w:eastAsia="Times New Roman" w:cs="Arial"/>
          <w:color w:val="000000"/>
          <w:szCs w:val="20"/>
          <w:lang w:eastAsia="bg-BG"/>
        </w:rPr>
        <w:t>и продължава 6-12 часа, в зависимост от приложената еднократна доза.</w:t>
      </w:r>
    </w:p>
    <w:p w14:paraId="407931A8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5001AA1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5F26A950" w14:textId="0472D91F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В предклинични проучвания той увеличава пропорцията на серозната бронхиална секреция. Счита се, че придвижването на мукуса се улеснява, като се намалява вискозитета му и се активира цилиарния епител.</w:t>
      </w:r>
    </w:p>
    <w:p w14:paraId="1D9C8527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93A55D3" w14:textId="300A7E50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Амброксол индуцира активиране на системата на сърфактанта, като действа директно на тип 2 пневмоцитите на алвеолите и на Клара клетките в крайните отдели на дихателната система.</w:t>
      </w:r>
    </w:p>
    <w:p w14:paraId="3BCA29E8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DFB71D7" w14:textId="18ACE49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 xml:space="preserve">Той улеснява образуването и транспортирането на повърхностно-активното вещество в алвеоларната и бронхиална област на бял дроб на фетус и на възрастни. Тези ефекти са демонстрирани в клетъчни култури и </w:t>
      </w:r>
      <w:r w:rsidRPr="005D0842">
        <w:rPr>
          <w:rFonts w:eastAsia="Times New Roman" w:cs="Arial"/>
          <w:i/>
          <w:iCs/>
          <w:color w:val="000000"/>
          <w:szCs w:val="20"/>
          <w:lang w:val="en-US"/>
        </w:rPr>
        <w:t>in</w:t>
      </w:r>
      <w:r w:rsidRPr="005D0842">
        <w:rPr>
          <w:rFonts w:eastAsia="Times New Roman" w:cs="Arial"/>
          <w:i/>
          <w:iCs/>
          <w:color w:val="000000"/>
          <w:szCs w:val="20"/>
          <w:lang w:val="ru-RU"/>
        </w:rPr>
        <w:t xml:space="preserve"> </w:t>
      </w:r>
      <w:r w:rsidRPr="005D0842">
        <w:rPr>
          <w:rFonts w:eastAsia="Times New Roman" w:cs="Arial"/>
          <w:i/>
          <w:iCs/>
          <w:color w:val="000000"/>
          <w:szCs w:val="20"/>
          <w:lang w:val="en-US"/>
        </w:rPr>
        <w:t>vivo</w:t>
      </w:r>
      <w:r w:rsidRPr="005D0842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5D0842">
        <w:rPr>
          <w:rFonts w:eastAsia="Times New Roman" w:cs="Arial"/>
          <w:color w:val="000000"/>
          <w:szCs w:val="20"/>
          <w:lang w:eastAsia="bg-BG"/>
        </w:rPr>
        <w:t>при различни видове.</w:t>
      </w:r>
    </w:p>
    <w:p w14:paraId="5386A851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24B3E6A" w14:textId="55B673D5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Благоприятен ефект върху честотата на екзацербациите или върху белодробната функция все още не е еднозначно установен при пациенти с ХОББ.</w:t>
      </w:r>
    </w:p>
    <w:p w14:paraId="26109ADF" w14:textId="77777777" w:rsidR="005D0842" w:rsidRPr="005D0842" w:rsidRDefault="005D0842" w:rsidP="005D0842"/>
    <w:p w14:paraId="79643DB7" w14:textId="13C3C6A3" w:rsidR="00DF4C8E" w:rsidRDefault="002C50EE" w:rsidP="00F44498">
      <w:pPr>
        <w:pStyle w:val="Heading2"/>
      </w:pPr>
      <w:r>
        <w:t>5.2. Фармакокинетични свойства</w:t>
      </w:r>
    </w:p>
    <w:p w14:paraId="58A81D86" w14:textId="4481945E" w:rsidR="005D0842" w:rsidRDefault="005D0842" w:rsidP="005D0842"/>
    <w:p w14:paraId="169DE765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Амброксол се резорбира практически напълно след перорално приложение. Т</w:t>
      </w:r>
      <w:r w:rsidRPr="005D0842">
        <w:rPr>
          <w:rFonts w:eastAsia="Times New Roman" w:cs="Arial"/>
          <w:color w:val="000000"/>
          <w:szCs w:val="20"/>
          <w:vertAlign w:val="subscript"/>
          <w:lang w:val="en-US"/>
        </w:rPr>
        <w:t>max</w:t>
      </w:r>
      <w:r w:rsidRPr="005D0842">
        <w:rPr>
          <w:rFonts w:eastAsia="Times New Roman" w:cs="Arial"/>
          <w:color w:val="000000"/>
          <w:szCs w:val="20"/>
          <w:lang w:eastAsia="bg-BG"/>
        </w:rPr>
        <w:t xml:space="preserve"> след перорално приложение е 1-3 часа. Абсолютната бионаличност на амброксол след перорално приложение е намалена с около 1/3 в резултат от </w:t>
      </w:r>
      <w:r w:rsidRPr="005D0842">
        <w:rPr>
          <w:rFonts w:eastAsia="Times New Roman" w:cs="Arial"/>
          <w:color w:val="000000"/>
          <w:szCs w:val="20"/>
          <w:lang w:val="en-US"/>
        </w:rPr>
        <w:t>first</w:t>
      </w:r>
      <w:r w:rsidRPr="005D0842">
        <w:rPr>
          <w:rFonts w:eastAsia="Times New Roman" w:cs="Arial"/>
          <w:color w:val="000000"/>
          <w:szCs w:val="20"/>
        </w:rPr>
        <w:t>-</w:t>
      </w:r>
      <w:r w:rsidRPr="005D0842">
        <w:rPr>
          <w:rFonts w:eastAsia="Times New Roman" w:cs="Arial"/>
          <w:color w:val="000000"/>
          <w:szCs w:val="20"/>
          <w:lang w:val="en-US"/>
        </w:rPr>
        <w:t>pass</w:t>
      </w:r>
      <w:r w:rsidRPr="005D0842">
        <w:rPr>
          <w:rFonts w:eastAsia="Times New Roman" w:cs="Arial"/>
          <w:color w:val="000000"/>
          <w:szCs w:val="20"/>
        </w:rPr>
        <w:t xml:space="preserve"> </w:t>
      </w:r>
      <w:r w:rsidRPr="005D0842">
        <w:rPr>
          <w:rFonts w:eastAsia="Times New Roman" w:cs="Arial"/>
          <w:color w:val="000000"/>
          <w:szCs w:val="20"/>
          <w:lang w:eastAsia="bg-BG"/>
        </w:rPr>
        <w:t xml:space="preserve">ефект, с образуване на метаболити, които се екскретират чрез бъбреците (напр. </w:t>
      </w:r>
      <w:proofErr w:type="spellStart"/>
      <w:proofErr w:type="gramStart"/>
      <w:r w:rsidRPr="005D0842">
        <w:rPr>
          <w:rFonts w:eastAsia="Times New Roman" w:cs="Arial"/>
          <w:color w:val="000000"/>
          <w:szCs w:val="20"/>
          <w:lang w:val="en-US"/>
        </w:rPr>
        <w:t>dibromo</w:t>
      </w:r>
      <w:proofErr w:type="spellEnd"/>
      <w:r w:rsidRPr="005D0842">
        <w:rPr>
          <w:rFonts w:eastAsia="Times New Roman" w:cs="Arial"/>
          <w:color w:val="000000"/>
          <w:szCs w:val="20"/>
        </w:rPr>
        <w:t>-</w:t>
      </w:r>
      <w:proofErr w:type="spellStart"/>
      <w:r w:rsidRPr="005D0842">
        <w:rPr>
          <w:rFonts w:eastAsia="Times New Roman" w:cs="Arial"/>
          <w:color w:val="000000"/>
          <w:szCs w:val="20"/>
          <w:lang w:val="en-US"/>
        </w:rPr>
        <w:t>anthranilic</w:t>
      </w:r>
      <w:proofErr w:type="spellEnd"/>
      <w:proofErr w:type="gramEnd"/>
      <w:r w:rsidRPr="005D0842">
        <w:rPr>
          <w:rFonts w:eastAsia="Times New Roman" w:cs="Arial"/>
          <w:color w:val="000000"/>
          <w:szCs w:val="20"/>
        </w:rPr>
        <w:t xml:space="preserve"> </w:t>
      </w:r>
      <w:r w:rsidRPr="005D0842">
        <w:rPr>
          <w:rFonts w:eastAsia="Times New Roman" w:cs="Arial"/>
          <w:color w:val="000000"/>
          <w:szCs w:val="20"/>
          <w:lang w:val="en-US"/>
        </w:rPr>
        <w:t>acid</w:t>
      </w:r>
      <w:r w:rsidRPr="005D0842">
        <w:rPr>
          <w:rFonts w:eastAsia="Times New Roman" w:cs="Arial"/>
          <w:color w:val="000000"/>
          <w:szCs w:val="20"/>
        </w:rPr>
        <w:t xml:space="preserve">, </w:t>
      </w:r>
      <w:r w:rsidRPr="005D0842">
        <w:rPr>
          <w:rFonts w:eastAsia="Times New Roman" w:cs="Arial"/>
          <w:color w:val="000000"/>
          <w:szCs w:val="20"/>
          <w:lang w:eastAsia="bg-BG"/>
        </w:rPr>
        <w:t>глюкорониди). Свързването с плазмените протеини е около 85% (80-90 %). Крайното време на полуживот в плазмата е 7-12 часа. Сумарното време на полуживот в плазмата на амброксол и метаболитите му е около 22 часа.</w:t>
      </w:r>
    </w:p>
    <w:p w14:paraId="5DC4915F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42C2C8E3" w14:textId="45A172F9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Амброксол преминава през плацентарната бариера и в цереброспиналната течност и в майчиното мляко.</w:t>
      </w:r>
    </w:p>
    <w:p w14:paraId="3A25A933" w14:textId="5909DE53" w:rsidR="005D0842" w:rsidRPr="005D0842" w:rsidRDefault="005D0842" w:rsidP="005D0842">
      <w:pPr>
        <w:rPr>
          <w:rFonts w:cs="Arial"/>
          <w:sz w:val="24"/>
        </w:rPr>
      </w:pPr>
    </w:p>
    <w:p w14:paraId="64C1AC20" w14:textId="77777777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Екскрецията е 90% през бъбреците, под формата на метаболити, образувани в черния дроб. По-малко от 10% от бъбречната екскреция е непроменен амброксол.</w:t>
      </w:r>
    </w:p>
    <w:p w14:paraId="5B236B42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4F5334B" w14:textId="74402048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Значима елиминация на амброксол чрез диализа или форсирана диуреза не се очаква, в резултат от високата степен на свързване с плазмените протеини и големия обем на разпределение, както и от слабото преразпределение от тъканите към кръвта.</w:t>
      </w:r>
    </w:p>
    <w:p w14:paraId="5C1CD1AA" w14:textId="77777777" w:rsidR="005D0842" w:rsidRPr="005D0842" w:rsidRDefault="005D0842" w:rsidP="005D0842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DBDC51F" w14:textId="78D69B9D" w:rsidR="005D0842" w:rsidRPr="005D0842" w:rsidRDefault="005D0842" w:rsidP="005D0842">
      <w:pPr>
        <w:spacing w:line="240" w:lineRule="auto"/>
        <w:rPr>
          <w:rFonts w:eastAsia="Times New Roman" w:cs="Arial"/>
          <w:sz w:val="28"/>
          <w:szCs w:val="24"/>
        </w:rPr>
      </w:pPr>
      <w:r w:rsidRPr="005D0842">
        <w:rPr>
          <w:rFonts w:eastAsia="Times New Roman" w:cs="Arial"/>
          <w:color w:val="000000"/>
          <w:szCs w:val="20"/>
          <w:lang w:eastAsia="bg-BG"/>
        </w:rPr>
        <w:t>Клирънсът на амброксол намалява с 20-40 % при тежки чернодробни заболявания. При тежка бъбречна недостатъчност може да се очаква натрупване на метаболити на амброксол.</w:t>
      </w:r>
    </w:p>
    <w:p w14:paraId="4A274BCD" w14:textId="6093D5BB" w:rsidR="005D0842" w:rsidRPr="005D0842" w:rsidRDefault="005D0842" w:rsidP="005D0842"/>
    <w:p w14:paraId="028E658A" w14:textId="455ABF48" w:rsidR="00395555" w:rsidRDefault="002C50EE" w:rsidP="008A6AF2">
      <w:pPr>
        <w:pStyle w:val="Heading2"/>
      </w:pPr>
      <w:r>
        <w:t>5.3. Предклинични данни за безопасност</w:t>
      </w:r>
    </w:p>
    <w:p w14:paraId="4568FADB" w14:textId="227B541B" w:rsidR="005D0842" w:rsidRDefault="005D0842" w:rsidP="005D0842"/>
    <w:p w14:paraId="5E3002BC" w14:textId="77777777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</w:rPr>
      </w:pPr>
      <w:r w:rsidRPr="005D0842">
        <w:rPr>
          <w:lang w:eastAsia="bg-BG"/>
        </w:rPr>
        <w:t>Въз основа на стандартни проучвания за фармакология на безопасността, изследвания за остра и хронична токсичност, генотоксичност и канцерогенен потенциал, предклиничните данни не показват особен риск за хора.</w:t>
      </w:r>
    </w:p>
    <w:p w14:paraId="6D4B01BD" w14:textId="77777777" w:rsidR="005D0842" w:rsidRDefault="005D0842" w:rsidP="005D0842">
      <w:pPr>
        <w:rPr>
          <w:lang w:eastAsia="bg-BG"/>
        </w:rPr>
      </w:pPr>
    </w:p>
    <w:p w14:paraId="72E5C514" w14:textId="22568C24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</w:rPr>
      </w:pPr>
      <w:r w:rsidRPr="005D0842">
        <w:rPr>
          <w:lang w:eastAsia="bg-BG"/>
        </w:rPr>
        <w:t xml:space="preserve">Проучвания за репродуктивна токсичност при плъхове и зайци не дават данни за тератогенен потенциал в дози съответно до 3 </w:t>
      </w:r>
      <w:r w:rsidRPr="005D0842">
        <w:rPr>
          <w:lang w:val="en-US"/>
        </w:rPr>
        <w:t>g</w:t>
      </w:r>
      <w:r w:rsidRPr="005D0842">
        <w:rPr>
          <w:lang w:val="ru-RU"/>
        </w:rPr>
        <w:t>/</w:t>
      </w:r>
      <w:r w:rsidRPr="005D0842">
        <w:rPr>
          <w:lang w:val="en-US"/>
        </w:rPr>
        <w:t>kg</w:t>
      </w:r>
      <w:r w:rsidRPr="005D0842">
        <w:rPr>
          <w:lang w:val="ru-RU"/>
        </w:rPr>
        <w:t xml:space="preserve"> </w:t>
      </w:r>
      <w:r w:rsidRPr="005D0842">
        <w:rPr>
          <w:lang w:eastAsia="bg-BG"/>
        </w:rPr>
        <w:t xml:space="preserve">телесно тегло и 200 </w:t>
      </w:r>
      <w:r w:rsidRPr="005D0842">
        <w:rPr>
          <w:lang w:val="en-US"/>
        </w:rPr>
        <w:t>mg</w:t>
      </w:r>
      <w:r w:rsidRPr="005D0842">
        <w:rPr>
          <w:lang w:val="ru-RU"/>
        </w:rPr>
        <w:t>/</w:t>
      </w:r>
      <w:r w:rsidRPr="005D0842">
        <w:rPr>
          <w:lang w:val="en-US"/>
        </w:rPr>
        <w:t>kg</w:t>
      </w:r>
      <w:r w:rsidRPr="005D0842">
        <w:rPr>
          <w:lang w:val="ru-RU"/>
        </w:rPr>
        <w:t xml:space="preserve"> </w:t>
      </w:r>
      <w:r w:rsidRPr="005D0842">
        <w:rPr>
          <w:lang w:eastAsia="bg-BG"/>
        </w:rPr>
        <w:t xml:space="preserve">телесно </w:t>
      </w:r>
      <w:r w:rsidRPr="005D0842">
        <w:rPr>
          <w:lang w:eastAsia="bg-BG"/>
        </w:rPr>
        <w:lastRenderedPageBreak/>
        <w:t xml:space="preserve">тегло. Пери- и постнаталното развитие на плъхове се нарушава само при дози над 500 </w:t>
      </w:r>
      <w:r w:rsidRPr="005D0842">
        <w:rPr>
          <w:lang w:val="en-US"/>
        </w:rPr>
        <w:t>mg</w:t>
      </w:r>
      <w:r w:rsidRPr="005D0842">
        <w:rPr>
          <w:lang w:val="ru-RU"/>
        </w:rPr>
        <w:t>/</w:t>
      </w:r>
      <w:r w:rsidRPr="005D0842">
        <w:rPr>
          <w:lang w:val="en-US"/>
        </w:rPr>
        <w:t>kg</w:t>
      </w:r>
      <w:r w:rsidRPr="005D0842">
        <w:rPr>
          <w:lang w:val="ru-RU"/>
        </w:rPr>
        <w:t xml:space="preserve">. </w:t>
      </w:r>
      <w:r w:rsidRPr="005D0842">
        <w:rPr>
          <w:lang w:eastAsia="bg-BG"/>
        </w:rPr>
        <w:t xml:space="preserve">Фертилитетът не е повлиян при плъхове при прилагане на дози до 1,5 </w:t>
      </w:r>
      <w:r w:rsidRPr="005D0842">
        <w:rPr>
          <w:lang w:val="en-US"/>
        </w:rPr>
        <w:t>g</w:t>
      </w:r>
      <w:r w:rsidRPr="005D0842">
        <w:rPr>
          <w:lang w:val="ru-RU"/>
        </w:rPr>
        <w:t>/</w:t>
      </w:r>
      <w:r w:rsidRPr="005D0842">
        <w:rPr>
          <w:lang w:val="en-US"/>
        </w:rPr>
        <w:t>kg</w:t>
      </w:r>
      <w:r w:rsidRPr="005D0842">
        <w:rPr>
          <w:lang w:val="ru-RU"/>
        </w:rPr>
        <w:t>.</w:t>
      </w:r>
    </w:p>
    <w:p w14:paraId="70565C3C" w14:textId="08963347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</w:rPr>
      </w:pPr>
      <w:r w:rsidRPr="005D0842">
        <w:rPr>
          <w:lang w:eastAsia="bg-BG"/>
        </w:rPr>
        <w:t>Амброксол преминава плацентарната бариера и се екскретира в майчиното мляко при животни.</w:t>
      </w:r>
    </w:p>
    <w:p w14:paraId="6A7820AB" w14:textId="0539D5E1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6CEDD3A" w14:textId="1909AE4C" w:rsidR="005D0842" w:rsidRDefault="005D0842" w:rsidP="005D0842"/>
    <w:p w14:paraId="6B8D3DB1" w14:textId="77777777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0842">
        <w:rPr>
          <w:lang w:val="en-US"/>
        </w:rPr>
        <w:t>BERLIN-CHEMIE AG (MENARINI GROUP)</w:t>
      </w:r>
    </w:p>
    <w:p w14:paraId="24849D86" w14:textId="77777777" w:rsidR="005D0842" w:rsidRPr="005D0842" w:rsidRDefault="005D0842" w:rsidP="005D084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D0842">
        <w:rPr>
          <w:lang w:val="en-US"/>
        </w:rPr>
        <w:t>Glienicker</w:t>
      </w:r>
      <w:proofErr w:type="spellEnd"/>
      <w:r w:rsidRPr="005D0842">
        <w:rPr>
          <w:lang w:val="ru-RU"/>
        </w:rPr>
        <w:t xml:space="preserve"> </w:t>
      </w:r>
      <w:proofErr w:type="spellStart"/>
      <w:r w:rsidRPr="005D0842">
        <w:rPr>
          <w:lang w:val="en-US"/>
        </w:rPr>
        <w:t>Weg</w:t>
      </w:r>
      <w:proofErr w:type="spellEnd"/>
      <w:r w:rsidRPr="005D0842">
        <w:rPr>
          <w:lang w:val="ru-RU"/>
        </w:rPr>
        <w:t xml:space="preserve"> </w:t>
      </w:r>
      <w:r w:rsidRPr="005D0842">
        <w:rPr>
          <w:lang w:eastAsia="bg-BG"/>
        </w:rPr>
        <w:t>125</w:t>
      </w:r>
    </w:p>
    <w:p w14:paraId="2370643D" w14:textId="0E9BD8A7" w:rsidR="005D0842" w:rsidRPr="005D0842" w:rsidRDefault="005D0842" w:rsidP="005D0842">
      <w:r w:rsidRPr="005D0842">
        <w:rPr>
          <w:lang w:val="en-US"/>
        </w:rPr>
        <w:t>D</w:t>
      </w:r>
      <w:r w:rsidRPr="005D0842">
        <w:rPr>
          <w:lang w:val="ru-RU"/>
        </w:rPr>
        <w:t xml:space="preserve">-12489 </w:t>
      </w:r>
      <w:r w:rsidRPr="005D0842">
        <w:rPr>
          <w:lang w:val="en-US"/>
        </w:rPr>
        <w:t>Berlin</w:t>
      </w:r>
      <w:r w:rsidRPr="005D0842">
        <w:rPr>
          <w:lang w:val="ru-RU"/>
        </w:rPr>
        <w:t xml:space="preserve">, </w:t>
      </w:r>
      <w:r w:rsidRPr="005D0842">
        <w:rPr>
          <w:lang w:eastAsia="bg-BG"/>
        </w:rPr>
        <w:t>Германия</w:t>
      </w:r>
    </w:p>
    <w:p w14:paraId="4E854941" w14:textId="6D473AEB" w:rsidR="005D0842" w:rsidRPr="005D0842" w:rsidRDefault="002C50EE" w:rsidP="005D0842">
      <w:pPr>
        <w:pStyle w:val="Heading1"/>
      </w:pPr>
      <w:r>
        <w:t>8. НОМЕР НА РАЗРЕШЕНИЕТО ЗА УПОТРЕБА</w:t>
      </w:r>
      <w:bookmarkStart w:id="1" w:name="_GoBack"/>
      <w:bookmarkEnd w:id="1"/>
    </w:p>
    <w:p w14:paraId="2CCB5832" w14:textId="2CFED1E7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23D1400B" w:rsidR="007C605B" w:rsidRPr="005D0842" w:rsidRDefault="005D0842" w:rsidP="005D0842">
      <w:pPr>
        <w:rPr>
          <w:rFonts w:ascii="Times New Roman" w:hAnsi="Times New Roman" w:cs="Times New Roman"/>
          <w:sz w:val="24"/>
          <w:szCs w:val="24"/>
        </w:rPr>
      </w:pPr>
      <w:r w:rsidRPr="005D0842">
        <w:rPr>
          <w:lang w:eastAsia="bg-BG"/>
        </w:rPr>
        <w:t>Март, 2010 г.</w:t>
      </w:r>
    </w:p>
    <w:sectPr w:rsidR="007C605B" w:rsidRPr="005D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46DE1"/>
    <w:multiLevelType w:val="hybridMultilevel"/>
    <w:tmpl w:val="559E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D4F54"/>
    <w:multiLevelType w:val="hybridMultilevel"/>
    <w:tmpl w:val="089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29"/>
  </w:num>
  <w:num w:numId="12">
    <w:abstractNumId w:val="13"/>
  </w:num>
  <w:num w:numId="13">
    <w:abstractNumId w:val="19"/>
  </w:num>
  <w:num w:numId="14">
    <w:abstractNumId w:val="11"/>
  </w:num>
  <w:num w:numId="15">
    <w:abstractNumId w:val="28"/>
  </w:num>
  <w:num w:numId="16">
    <w:abstractNumId w:val="9"/>
  </w:num>
  <w:num w:numId="17">
    <w:abstractNumId w:val="24"/>
  </w:num>
  <w:num w:numId="18">
    <w:abstractNumId w:val="7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8"/>
  </w:num>
  <w:num w:numId="25">
    <w:abstractNumId w:val="22"/>
  </w:num>
  <w:num w:numId="26">
    <w:abstractNumId w:val="21"/>
  </w:num>
  <w:num w:numId="27">
    <w:abstractNumId w:val="31"/>
  </w:num>
  <w:num w:numId="28">
    <w:abstractNumId w:val="6"/>
  </w:num>
  <w:num w:numId="29">
    <w:abstractNumId w:val="20"/>
  </w:num>
  <w:num w:numId="30">
    <w:abstractNumId w:val="32"/>
  </w:num>
  <w:num w:numId="31">
    <w:abstractNumId w:val="5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0A88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93A00"/>
    <w:rsid w:val="005A66D9"/>
    <w:rsid w:val="005D0842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DF4C8E"/>
    <w:rsid w:val="00EB6364"/>
    <w:rsid w:val="00F37B64"/>
    <w:rsid w:val="00F44498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SATHealth-Guest</cp:lastModifiedBy>
  <cp:revision>2</cp:revision>
  <dcterms:created xsi:type="dcterms:W3CDTF">2023-02-15T13:57:00Z</dcterms:created>
  <dcterms:modified xsi:type="dcterms:W3CDTF">2023-02-15T13:57:00Z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