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1180FE37" w:rsidR="00AA23EC" w:rsidRDefault="00DD466D" w:rsidP="00DD466D">
      <w:pPr>
        <w:pStyle w:val="Heading1"/>
      </w:pPr>
      <w:r>
        <w:t>1.ИМЕ НА ЛЕКАРСТВЕНИЯ ПРОДУКТ</w:t>
      </w:r>
    </w:p>
    <w:p w14:paraId="1CA5489E" w14:textId="0BDF9790" w:rsidR="00703D91" w:rsidRDefault="00703D91" w:rsidP="00703D91"/>
    <w:p w14:paraId="0C8C4352" w14:textId="77777777" w:rsidR="00703D91" w:rsidRPr="00703D91" w:rsidRDefault="00703D91" w:rsidP="00703D91">
      <w:pPr>
        <w:rPr>
          <w:sz w:val="24"/>
          <w:szCs w:val="24"/>
        </w:rPr>
      </w:pPr>
      <w:r w:rsidRPr="00703D91">
        <w:rPr>
          <w:lang w:eastAsia="bg-BG"/>
        </w:rPr>
        <w:t xml:space="preserve">Фортекал 20 </w:t>
      </w:r>
      <w:r w:rsidRPr="00703D91">
        <w:rPr>
          <w:lang w:val="en-US"/>
        </w:rPr>
        <w:t>mg</w:t>
      </w:r>
      <w:r w:rsidRPr="00703D91">
        <w:rPr>
          <w:lang w:val="ru-RU"/>
        </w:rPr>
        <w:t xml:space="preserve"> </w:t>
      </w:r>
      <w:r w:rsidRPr="00703D91">
        <w:rPr>
          <w:lang w:eastAsia="bg-BG"/>
        </w:rPr>
        <w:t>таблетки</w:t>
      </w:r>
    </w:p>
    <w:p w14:paraId="1BC631B4" w14:textId="7BFF47F9" w:rsidR="00703D91" w:rsidRPr="00703D91" w:rsidRDefault="00703D91" w:rsidP="00703D91">
      <w:proofErr w:type="spellStart"/>
      <w:r w:rsidRPr="00703D91">
        <w:rPr>
          <w:lang w:val="en-US"/>
        </w:rPr>
        <w:t>Fortecal</w:t>
      </w:r>
      <w:proofErr w:type="spellEnd"/>
      <w:r w:rsidRPr="00703D91">
        <w:rPr>
          <w:lang w:val="ru-RU"/>
        </w:rPr>
        <w:t xml:space="preserve"> </w:t>
      </w:r>
      <w:r w:rsidRPr="00703D91">
        <w:rPr>
          <w:lang w:eastAsia="bg-BG"/>
        </w:rPr>
        <w:t xml:space="preserve">20 </w:t>
      </w:r>
      <w:r w:rsidRPr="00703D91">
        <w:rPr>
          <w:lang w:val="en-US"/>
        </w:rPr>
        <w:t>mg</w:t>
      </w:r>
      <w:r w:rsidRPr="00703D91">
        <w:rPr>
          <w:lang w:val="ru-RU"/>
        </w:rPr>
        <w:t xml:space="preserve"> </w:t>
      </w:r>
      <w:r w:rsidRPr="00703D91">
        <w:rPr>
          <w:lang w:val="en-US"/>
        </w:rPr>
        <w:t>tablets</w:t>
      </w:r>
    </w:p>
    <w:p w14:paraId="0A368469" w14:textId="0B791B97" w:rsidR="00C0049F" w:rsidRDefault="00DD466D" w:rsidP="009F1313">
      <w:pPr>
        <w:pStyle w:val="Heading1"/>
      </w:pPr>
      <w:r>
        <w:t>2. КАЧЕСТВЕН И КОЛИЧЕСТВЕН СЪСТАВ</w:t>
      </w:r>
    </w:p>
    <w:p w14:paraId="40241459" w14:textId="432D5F6B" w:rsidR="00703D91" w:rsidRDefault="00703D91" w:rsidP="00703D91"/>
    <w:p w14:paraId="3EB2517B" w14:textId="33E91C47" w:rsidR="00703D91" w:rsidRPr="00703D91" w:rsidRDefault="00703D91" w:rsidP="00703D91">
      <w:r>
        <w:t xml:space="preserve">Всяка таблетка съдържа 20 </w:t>
      </w:r>
      <w:r>
        <w:rPr>
          <w:lang w:val="en-US"/>
        </w:rPr>
        <w:t>mg</w:t>
      </w:r>
      <w:r w:rsidRPr="00703D91">
        <w:t xml:space="preserve"> </w:t>
      </w:r>
      <w:r>
        <w:t xml:space="preserve">биластин </w:t>
      </w:r>
      <w:r w:rsidRPr="00703D91">
        <w:t>(</w:t>
      </w:r>
      <w:proofErr w:type="spellStart"/>
      <w:r>
        <w:rPr>
          <w:lang w:val="en-US"/>
        </w:rPr>
        <w:t>bilastine</w:t>
      </w:r>
      <w:proofErr w:type="spellEnd"/>
      <w:r w:rsidRPr="00703D91">
        <w:t>).</w:t>
      </w:r>
    </w:p>
    <w:p w14:paraId="614984C4" w14:textId="10EEAF08" w:rsidR="008A6AF2" w:rsidRDefault="00DD466D" w:rsidP="002C50EE">
      <w:pPr>
        <w:pStyle w:val="Heading1"/>
      </w:pPr>
      <w:r>
        <w:t>3. ЛЕКАРСТВЕНА ФОРМА</w:t>
      </w:r>
    </w:p>
    <w:p w14:paraId="2FBD7FB7" w14:textId="13D95B59" w:rsidR="00703D91" w:rsidRDefault="00703D91" w:rsidP="00703D91"/>
    <w:p w14:paraId="7B9FD4F6" w14:textId="77777777" w:rsidR="00703D91" w:rsidRPr="00703D91" w:rsidRDefault="00703D91" w:rsidP="00703D91">
      <w:pPr>
        <w:rPr>
          <w:sz w:val="24"/>
          <w:szCs w:val="24"/>
        </w:rPr>
      </w:pPr>
      <w:r w:rsidRPr="00703D91">
        <w:rPr>
          <w:lang w:eastAsia="bg-BG"/>
        </w:rPr>
        <w:t>Таблетка.</w:t>
      </w:r>
    </w:p>
    <w:p w14:paraId="3DB9CD1D" w14:textId="77777777" w:rsidR="00703D91" w:rsidRPr="00703D91" w:rsidRDefault="00703D91" w:rsidP="00703D91">
      <w:pPr>
        <w:rPr>
          <w:sz w:val="24"/>
          <w:szCs w:val="24"/>
        </w:rPr>
      </w:pPr>
      <w:r w:rsidRPr="00703D91">
        <w:rPr>
          <w:lang w:eastAsia="bg-BG"/>
        </w:rPr>
        <w:t xml:space="preserve">Овални, двойноизпъкнали бели таблетки с делителна черта (дължина 10 </w:t>
      </w:r>
      <w:r w:rsidRPr="00703D91">
        <w:rPr>
          <w:lang w:val="en-US"/>
        </w:rPr>
        <w:t>mm</w:t>
      </w:r>
      <w:r w:rsidRPr="00703D91">
        <w:rPr>
          <w:lang w:val="ru-RU"/>
        </w:rPr>
        <w:t xml:space="preserve">, </w:t>
      </w:r>
      <w:r w:rsidRPr="00703D91">
        <w:rPr>
          <w:lang w:eastAsia="bg-BG"/>
        </w:rPr>
        <w:t xml:space="preserve">ширина 5 </w:t>
      </w:r>
      <w:r w:rsidRPr="00703D91">
        <w:rPr>
          <w:lang w:val="en-US"/>
        </w:rPr>
        <w:t>mm</w:t>
      </w:r>
      <w:r w:rsidRPr="00703D91">
        <w:rPr>
          <w:lang w:val="ru-RU"/>
        </w:rPr>
        <w:t>).</w:t>
      </w:r>
    </w:p>
    <w:p w14:paraId="1BFEB32B" w14:textId="77777777" w:rsidR="00703D91" w:rsidRPr="00703D91" w:rsidRDefault="00703D91" w:rsidP="00703D91">
      <w:pPr>
        <w:rPr>
          <w:sz w:val="24"/>
          <w:szCs w:val="24"/>
        </w:rPr>
      </w:pPr>
      <w:r w:rsidRPr="00703D91">
        <w:rPr>
          <w:lang w:eastAsia="bg-BG"/>
        </w:rPr>
        <w:t>Делителната черта е само за улесняване на счупването с цел по-лесно поглъщане, а не за разделяне на равни дози.</w:t>
      </w:r>
    </w:p>
    <w:p w14:paraId="14922895" w14:textId="77777777" w:rsidR="00703D91" w:rsidRPr="00703D91" w:rsidRDefault="00703D91" w:rsidP="00703D91"/>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52C461A" w:rsidR="00395555" w:rsidRDefault="00395555" w:rsidP="00395555"/>
    <w:p w14:paraId="222F638E" w14:textId="77777777" w:rsidR="00703D91" w:rsidRPr="00703D91" w:rsidRDefault="00703D91" w:rsidP="00703D91">
      <w:pPr>
        <w:rPr>
          <w:sz w:val="24"/>
          <w:szCs w:val="24"/>
        </w:rPr>
      </w:pPr>
      <w:r w:rsidRPr="00703D91">
        <w:rPr>
          <w:lang w:eastAsia="bg-BG"/>
        </w:rPr>
        <w:t>Симптоматично лечение на алергичен риноконюнктивит (сезонен и целогодишен) и уртикария.</w:t>
      </w:r>
    </w:p>
    <w:p w14:paraId="0F0B0805" w14:textId="77777777" w:rsidR="00703D91" w:rsidRPr="00703D91" w:rsidRDefault="00703D91" w:rsidP="00703D91">
      <w:pPr>
        <w:rPr>
          <w:sz w:val="24"/>
          <w:szCs w:val="24"/>
        </w:rPr>
      </w:pPr>
      <w:r w:rsidRPr="00703D91">
        <w:rPr>
          <w:lang w:eastAsia="bg-BG"/>
        </w:rPr>
        <w:t>Фортекал е показан при възрастни и юноши (на възраст 12 години и повече).</w:t>
      </w:r>
    </w:p>
    <w:p w14:paraId="5E89FFE0" w14:textId="77777777" w:rsidR="00703D91" w:rsidRPr="00395555" w:rsidRDefault="00703D91" w:rsidP="00395555"/>
    <w:p w14:paraId="7C0CA5EB" w14:textId="353F5B98" w:rsidR="00C0049F" w:rsidRDefault="002C50EE" w:rsidP="009F1313">
      <w:pPr>
        <w:pStyle w:val="Heading2"/>
      </w:pPr>
      <w:r>
        <w:t>4.2. Дозировка и начин на приложение</w:t>
      </w:r>
    </w:p>
    <w:p w14:paraId="5AA99D66" w14:textId="38084153" w:rsidR="00703D91" w:rsidRDefault="00703D91" w:rsidP="00703D91"/>
    <w:p w14:paraId="6292698B" w14:textId="77777777" w:rsidR="00703D91" w:rsidRPr="00703D91" w:rsidRDefault="00703D91" w:rsidP="00703D91">
      <w:pPr>
        <w:pStyle w:val="Heading3"/>
        <w:rPr>
          <w:rFonts w:eastAsia="Times New Roman"/>
          <w:u w:val="single"/>
        </w:rPr>
      </w:pPr>
      <w:r w:rsidRPr="00703D91">
        <w:rPr>
          <w:rFonts w:eastAsia="Times New Roman"/>
          <w:u w:val="single"/>
          <w:lang w:eastAsia="bg-BG"/>
        </w:rPr>
        <w:t>Дозировка</w:t>
      </w:r>
    </w:p>
    <w:p w14:paraId="68CABD11" w14:textId="77777777" w:rsidR="00703D91" w:rsidRPr="00703D91" w:rsidRDefault="00703D91" w:rsidP="00703D91">
      <w:pPr>
        <w:spacing w:line="240" w:lineRule="auto"/>
        <w:rPr>
          <w:rFonts w:eastAsia="Times New Roman" w:cs="Arial"/>
          <w:i/>
          <w:iCs/>
          <w:color w:val="000000"/>
          <w:lang w:eastAsia="bg-BG"/>
        </w:rPr>
      </w:pPr>
    </w:p>
    <w:p w14:paraId="25E7EB50" w14:textId="2E7565AF"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Възрастни и юноши (на възраст 12 години и повече)</w:t>
      </w:r>
    </w:p>
    <w:p w14:paraId="0C56C777" w14:textId="77777777" w:rsidR="00703D91" w:rsidRPr="00703D91" w:rsidRDefault="00703D91" w:rsidP="00703D91">
      <w:pPr>
        <w:spacing w:line="240" w:lineRule="auto"/>
        <w:rPr>
          <w:rFonts w:eastAsia="Times New Roman" w:cs="Arial"/>
          <w:color w:val="000000"/>
          <w:lang w:eastAsia="bg-BG"/>
        </w:rPr>
      </w:pPr>
    </w:p>
    <w:p w14:paraId="4D3B3287" w14:textId="7C38064E"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биластин (1 таблетка) веднъж дневно за облекчаване на симптомите на алергичен риноконюнктивит (сезонен и целогодишен) и уртикария.</w:t>
      </w:r>
    </w:p>
    <w:p w14:paraId="730E5668"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Таблетката трябва да се приема един час преди или два часа след поемане на храна или плодов сок (вж. точка 4.5).</w:t>
      </w:r>
    </w:p>
    <w:p w14:paraId="362C7CD1" w14:textId="77777777" w:rsidR="00703D91" w:rsidRPr="00703D91" w:rsidRDefault="00703D91" w:rsidP="00703D91">
      <w:pPr>
        <w:spacing w:line="240" w:lineRule="auto"/>
        <w:rPr>
          <w:rFonts w:eastAsia="Times New Roman" w:cs="Arial"/>
          <w:color w:val="000000"/>
          <w:u w:val="single"/>
          <w:lang w:eastAsia="bg-BG"/>
        </w:rPr>
      </w:pPr>
    </w:p>
    <w:p w14:paraId="0815CD2B" w14:textId="44C434DB"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Продължителност на лечението:</w:t>
      </w:r>
    </w:p>
    <w:p w14:paraId="6B92DD13" w14:textId="77777777" w:rsidR="00703D91" w:rsidRPr="00703D91" w:rsidRDefault="00703D91" w:rsidP="00703D91">
      <w:pPr>
        <w:spacing w:line="240" w:lineRule="auto"/>
        <w:rPr>
          <w:rFonts w:eastAsia="Times New Roman" w:cs="Arial"/>
          <w:color w:val="000000"/>
          <w:lang w:eastAsia="bg-BG"/>
        </w:rPr>
      </w:pPr>
    </w:p>
    <w:p w14:paraId="476CA7FD" w14:textId="63BD2DCC"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При алергичен рино-конюнктивит лечението трябва да се ограничи до периода на експозиция на алергени. За сезонния алергичен ринит лечението може да бъде преустановено, след като симптомите се разсеят и да се възобнови при повторното им появяване. При многогодишни алергични ринити продължително лечение може да се предложи на пациентите по време на експозицията на алергена. При уртикария </w:t>
      </w:r>
      <w:r w:rsidRPr="00703D91">
        <w:rPr>
          <w:rFonts w:eastAsia="Times New Roman" w:cs="Arial"/>
          <w:color w:val="000000"/>
          <w:lang w:eastAsia="bg-BG"/>
        </w:rPr>
        <w:lastRenderedPageBreak/>
        <w:t>продължителността на лечението зависи от вида, продължителността и хода на оплакванията.</w:t>
      </w:r>
    </w:p>
    <w:p w14:paraId="2FBEDCE1" w14:textId="782ECDB5" w:rsidR="00703D91" w:rsidRPr="00703D91" w:rsidRDefault="00703D91" w:rsidP="00703D91">
      <w:pPr>
        <w:rPr>
          <w:rFonts w:cs="Arial"/>
        </w:rPr>
      </w:pPr>
    </w:p>
    <w:p w14:paraId="7F846D97" w14:textId="77777777"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Специални популации</w:t>
      </w:r>
    </w:p>
    <w:p w14:paraId="696982A6" w14:textId="77777777" w:rsidR="00703D91" w:rsidRPr="00703D91" w:rsidRDefault="00703D91" w:rsidP="00703D91">
      <w:pPr>
        <w:spacing w:line="240" w:lineRule="auto"/>
        <w:rPr>
          <w:rFonts w:eastAsia="Times New Roman" w:cs="Arial"/>
          <w:color w:val="000000"/>
          <w:u w:val="single"/>
          <w:lang w:eastAsia="bg-BG"/>
        </w:rPr>
      </w:pPr>
    </w:p>
    <w:p w14:paraId="166D2A2D" w14:textId="5C37F2C6"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Старческа възраст</w:t>
      </w:r>
    </w:p>
    <w:p w14:paraId="74F7BE9C"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Не е необходимо адаптиране на дозировката при пациенти в старческа възраст (вж. точка 5.1 и 5.2).</w:t>
      </w:r>
    </w:p>
    <w:p w14:paraId="6CCEFFCB" w14:textId="77777777" w:rsidR="00703D91" w:rsidRPr="00703D91" w:rsidRDefault="00703D91" w:rsidP="00703D91">
      <w:pPr>
        <w:spacing w:line="240" w:lineRule="auto"/>
        <w:rPr>
          <w:rFonts w:eastAsia="Times New Roman" w:cs="Arial"/>
          <w:color w:val="000000"/>
          <w:u w:val="single"/>
          <w:lang w:eastAsia="bg-BG"/>
        </w:rPr>
      </w:pPr>
    </w:p>
    <w:p w14:paraId="5F5864B3" w14:textId="78298B39"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Бъбречни нарушения</w:t>
      </w:r>
    </w:p>
    <w:p w14:paraId="5058C279" w14:textId="77777777" w:rsidR="00703D91" w:rsidRPr="00703D91" w:rsidRDefault="00703D91" w:rsidP="00703D91">
      <w:pPr>
        <w:spacing w:line="240" w:lineRule="auto"/>
        <w:rPr>
          <w:rFonts w:eastAsia="Times New Roman" w:cs="Arial"/>
          <w:color w:val="000000"/>
          <w:u w:val="single"/>
          <w:lang w:eastAsia="bg-BG"/>
        </w:rPr>
      </w:pPr>
    </w:p>
    <w:p w14:paraId="5D1C14F2" w14:textId="47923DC6"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Проучвания, проведени при възрастни в специални рискови групи (пациенти с бъбречно увреждане) показват, че не е необходимо да се коригира дозата на биластин при тях (вж. Точка 5.2).</w:t>
      </w:r>
    </w:p>
    <w:p w14:paraId="2DEF11FF" w14:textId="77777777" w:rsidR="00703D91" w:rsidRPr="00703D91" w:rsidRDefault="00703D91" w:rsidP="00703D91">
      <w:pPr>
        <w:spacing w:line="240" w:lineRule="auto"/>
        <w:rPr>
          <w:rFonts w:eastAsia="Times New Roman" w:cs="Arial"/>
          <w:color w:val="000000"/>
          <w:u w:val="single"/>
          <w:lang w:eastAsia="bg-BG"/>
        </w:rPr>
      </w:pPr>
    </w:p>
    <w:p w14:paraId="195C73AA" w14:textId="6F51BDE6"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Чернодробни нарушения</w:t>
      </w:r>
    </w:p>
    <w:p w14:paraId="0ACDFBE1"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Няма клиничен опит при възрастни пациенти с чернодробни нарушения. Въпреки това, тъй като биластин не се метаболизира и се елиминира непроменен в урината и фецеса, не се очаква чернодробното нарушение да увеличи системното въздействие над границите на безопасността при възрастни пациенти. Следователно, не е необходимо адаптиране на дозировката при възрастни пациенти с чернодробни нарушения (вж. точка 5.2).</w:t>
      </w:r>
    </w:p>
    <w:p w14:paraId="6A2D23B3" w14:textId="77777777" w:rsidR="00703D91" w:rsidRPr="00703D91" w:rsidRDefault="00703D91" w:rsidP="00703D91">
      <w:pPr>
        <w:spacing w:line="240" w:lineRule="auto"/>
        <w:rPr>
          <w:rFonts w:eastAsia="Times New Roman" w:cs="Arial"/>
          <w:i/>
          <w:iCs/>
          <w:color w:val="000000"/>
          <w:u w:val="single"/>
          <w:lang w:eastAsia="bg-BG"/>
        </w:rPr>
      </w:pPr>
    </w:p>
    <w:p w14:paraId="1B44A648" w14:textId="3A47A90D"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u w:val="single"/>
          <w:lang w:eastAsia="bg-BG"/>
        </w:rPr>
        <w:t>Педиатрична популация</w:t>
      </w:r>
    </w:p>
    <w:p w14:paraId="2A75412A" w14:textId="77777777" w:rsidR="00703D91" w:rsidRPr="00703D91" w:rsidRDefault="00703D91" w:rsidP="00703D91">
      <w:pPr>
        <w:spacing w:line="240" w:lineRule="auto"/>
        <w:rPr>
          <w:rFonts w:eastAsia="Times New Roman" w:cs="Arial"/>
          <w:color w:val="000000"/>
          <w:lang w:eastAsia="bg-BG"/>
        </w:rPr>
      </w:pPr>
    </w:p>
    <w:p w14:paraId="33ABCCD5" w14:textId="3E245027" w:rsidR="00703D91" w:rsidRPr="00703D91" w:rsidRDefault="00703D91" w:rsidP="00703D91">
      <w:pPr>
        <w:pStyle w:val="ListParagraph"/>
        <w:numPr>
          <w:ilvl w:val="0"/>
          <w:numId w:val="32"/>
        </w:numPr>
        <w:spacing w:line="240" w:lineRule="auto"/>
        <w:rPr>
          <w:rFonts w:eastAsia="Times New Roman" w:cs="Arial"/>
          <w:sz w:val="24"/>
          <w:szCs w:val="24"/>
        </w:rPr>
      </w:pPr>
      <w:r w:rsidRPr="00703D91">
        <w:rPr>
          <w:rFonts w:eastAsia="Times New Roman" w:cs="Arial"/>
          <w:color w:val="000000"/>
          <w:lang w:eastAsia="bg-BG"/>
        </w:rPr>
        <w:t xml:space="preserve">Деца на възраст от 6 до 11 години с телесно тегло най-малко 20 </w:t>
      </w:r>
      <w:r w:rsidRPr="00703D91">
        <w:rPr>
          <w:rFonts w:eastAsia="Times New Roman" w:cs="Arial"/>
          <w:color w:val="000000"/>
          <w:lang w:val="en-US"/>
        </w:rPr>
        <w:t>kg</w:t>
      </w:r>
    </w:p>
    <w:p w14:paraId="541B66E8" w14:textId="77777777" w:rsidR="00703D91" w:rsidRPr="00703D91" w:rsidRDefault="00703D91" w:rsidP="00703D91">
      <w:pPr>
        <w:spacing w:line="240" w:lineRule="auto"/>
        <w:rPr>
          <w:rFonts w:eastAsia="Times New Roman" w:cs="Arial"/>
          <w:color w:val="000000"/>
          <w:lang w:eastAsia="bg-BG"/>
        </w:rPr>
      </w:pPr>
    </w:p>
    <w:p w14:paraId="60DDD574" w14:textId="00C9ADC1"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Биластин 10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таблетки, диспергиращи се в устата и биластин 2,5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 </w:t>
      </w:r>
      <w:r w:rsidRPr="00703D91">
        <w:rPr>
          <w:rFonts w:eastAsia="Times New Roman" w:cs="Arial"/>
          <w:color w:val="000000"/>
          <w:lang w:val="en-US"/>
        </w:rPr>
        <w:t>ml</w:t>
      </w:r>
      <w:r w:rsidRPr="00703D91">
        <w:rPr>
          <w:rFonts w:eastAsia="Times New Roman" w:cs="Arial"/>
          <w:color w:val="000000"/>
          <w:lang w:val="ru-RU"/>
        </w:rPr>
        <w:t xml:space="preserve"> </w:t>
      </w:r>
      <w:r w:rsidRPr="00703D91">
        <w:rPr>
          <w:rFonts w:eastAsia="Times New Roman" w:cs="Arial"/>
          <w:color w:val="000000"/>
          <w:lang w:eastAsia="bg-BG"/>
        </w:rPr>
        <w:t>перорален разтвор са подходящи за приложение в тази популация.</w:t>
      </w:r>
    </w:p>
    <w:p w14:paraId="734D8A90" w14:textId="77777777" w:rsidR="00703D91" w:rsidRPr="00703D91" w:rsidRDefault="00703D91" w:rsidP="00703D91">
      <w:pPr>
        <w:spacing w:line="240" w:lineRule="auto"/>
        <w:rPr>
          <w:rFonts w:eastAsia="Times New Roman" w:cs="Arial"/>
          <w:color w:val="000000"/>
          <w:lang w:eastAsia="bg-BG"/>
        </w:rPr>
      </w:pPr>
    </w:p>
    <w:p w14:paraId="3952A752" w14:textId="7FA2D28E" w:rsidR="00703D91" w:rsidRPr="00703D91" w:rsidRDefault="00703D91" w:rsidP="00703D91">
      <w:pPr>
        <w:pStyle w:val="ListParagraph"/>
        <w:numPr>
          <w:ilvl w:val="0"/>
          <w:numId w:val="32"/>
        </w:numPr>
        <w:spacing w:line="240" w:lineRule="auto"/>
        <w:rPr>
          <w:rFonts w:eastAsia="Times New Roman" w:cs="Arial"/>
          <w:sz w:val="24"/>
          <w:szCs w:val="24"/>
        </w:rPr>
      </w:pPr>
      <w:r w:rsidRPr="00703D91">
        <w:rPr>
          <w:rFonts w:eastAsia="Times New Roman" w:cs="Arial"/>
          <w:color w:val="000000"/>
          <w:lang w:eastAsia="bg-BG"/>
        </w:rPr>
        <w:t>Деца под 6-годишна възраст и под 20 кг</w:t>
      </w:r>
    </w:p>
    <w:p w14:paraId="32E9C902"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Наличните понастоящем данни са описани в точка 4.4,4.8,5.1 и 5.2, но не може да се препоръча дозировка. Поради това, биластин не трябва да се използва в тази възрастова група. .</w:t>
      </w:r>
    </w:p>
    <w:p w14:paraId="4DD131DC"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Безопасността и ефикасността на билистин при деца с бъбречно и чернодробно увреждане не са установени.</w:t>
      </w:r>
    </w:p>
    <w:p w14:paraId="21622447" w14:textId="77777777" w:rsidR="00703D91" w:rsidRPr="00703D91" w:rsidRDefault="00703D91" w:rsidP="00703D91">
      <w:pPr>
        <w:spacing w:line="240" w:lineRule="auto"/>
        <w:rPr>
          <w:rFonts w:eastAsia="Times New Roman" w:cs="Arial"/>
          <w:color w:val="000000"/>
          <w:u w:val="single"/>
          <w:lang w:eastAsia="bg-BG"/>
        </w:rPr>
      </w:pPr>
    </w:p>
    <w:p w14:paraId="6D72A07B" w14:textId="5009C1F1" w:rsidR="00703D91" w:rsidRPr="00703D91" w:rsidRDefault="00703D91" w:rsidP="00703D91">
      <w:pPr>
        <w:pStyle w:val="Heading3"/>
        <w:rPr>
          <w:rFonts w:eastAsia="Times New Roman"/>
          <w:u w:val="single"/>
        </w:rPr>
      </w:pPr>
      <w:r w:rsidRPr="00703D91">
        <w:rPr>
          <w:rFonts w:eastAsia="Times New Roman"/>
          <w:u w:val="single"/>
          <w:lang w:eastAsia="bg-BG"/>
        </w:rPr>
        <w:t>Начин на приложение:</w:t>
      </w:r>
    </w:p>
    <w:p w14:paraId="71D01435" w14:textId="77777777" w:rsidR="00703D91" w:rsidRPr="00703D91" w:rsidRDefault="00703D91" w:rsidP="00703D91">
      <w:pPr>
        <w:spacing w:line="240" w:lineRule="auto"/>
        <w:rPr>
          <w:rFonts w:eastAsia="Times New Roman" w:cs="Arial"/>
          <w:color w:val="000000"/>
          <w:lang w:eastAsia="bg-BG"/>
        </w:rPr>
      </w:pPr>
    </w:p>
    <w:p w14:paraId="61838D89" w14:textId="4D167695"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Перорално приложение</w:t>
      </w:r>
    </w:p>
    <w:p w14:paraId="0ED9AE8B"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Таблетката трябва да се погълне с вода. Препоръчително е да приемате дневната доза в единичен прием.</w:t>
      </w:r>
    </w:p>
    <w:p w14:paraId="3696A2C6" w14:textId="77777777" w:rsidR="00703D91" w:rsidRPr="00703D91" w:rsidRDefault="00703D91" w:rsidP="00703D91"/>
    <w:p w14:paraId="62B13D0B" w14:textId="200F84DC" w:rsidR="00395555" w:rsidRDefault="002C50EE" w:rsidP="008A6AF2">
      <w:pPr>
        <w:pStyle w:val="Heading2"/>
      </w:pPr>
      <w:r>
        <w:t>4.3. Противопоказания</w:t>
      </w:r>
    </w:p>
    <w:p w14:paraId="0E68A180" w14:textId="5F085A1B" w:rsidR="00703D91" w:rsidRDefault="00703D91" w:rsidP="00703D91"/>
    <w:p w14:paraId="5E7596E6" w14:textId="028931A5" w:rsidR="00703D91" w:rsidRDefault="00703D91" w:rsidP="00703D91">
      <w:r>
        <w:t>Свръхчувствителност към активното вещество или към някое от помощните вещества, изброени в точка 6.1.</w:t>
      </w:r>
    </w:p>
    <w:p w14:paraId="64422B21" w14:textId="77777777" w:rsidR="00703D91" w:rsidRPr="00703D91" w:rsidRDefault="00703D91" w:rsidP="00703D91"/>
    <w:p w14:paraId="5A4AC413" w14:textId="1437119E" w:rsidR="00395555" w:rsidRDefault="002C50EE" w:rsidP="008A6AF2">
      <w:pPr>
        <w:pStyle w:val="Heading2"/>
      </w:pPr>
      <w:r>
        <w:lastRenderedPageBreak/>
        <w:t>4.4. Специални предупреждения и предпазни мерки при употреба</w:t>
      </w:r>
    </w:p>
    <w:p w14:paraId="1FAB9FDC" w14:textId="16207D03" w:rsidR="00703D91" w:rsidRDefault="00703D91" w:rsidP="00703D91"/>
    <w:p w14:paraId="36280DBB" w14:textId="77777777"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Педиатрична популация</w:t>
      </w:r>
    </w:p>
    <w:p w14:paraId="39A37FBF"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Ефикасността и безопасността на биластин при деца под 2-годишна възраст не са установени и има малък клиничен опит при деца на възраст от 2 до 5 години, поради което биластин не трябва да се използва при тези възрастови групи.</w:t>
      </w:r>
    </w:p>
    <w:p w14:paraId="77689781" w14:textId="5068A0CC" w:rsidR="00703D91" w:rsidRPr="00703D91" w:rsidRDefault="00703D91" w:rsidP="00703D91">
      <w:pPr>
        <w:rPr>
          <w:rFonts w:cs="Arial"/>
        </w:rPr>
      </w:pPr>
    </w:p>
    <w:p w14:paraId="7461DD2C"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При пациенти с умерено до тежко бъбречно нарушение приложение на биластин съвместно с инхибиторите на Р-гликопротеин като например кетоконазол, еритромицин, циклоспорин, ритонавир или дилтиазем, може да повиши плазмените нива на биластин и, следователно, да увеличи риска от нежелани ефекти на биластин. Ето защо, едновременното приложение на биластин и инхибитори на Р-гликопротеин трябва да се избягва при пациенти с умерени до тежки бъбречни нарушения.</w:t>
      </w:r>
    </w:p>
    <w:p w14:paraId="6F5A03EC" w14:textId="77777777" w:rsidR="00703D91" w:rsidRPr="00703D91" w:rsidRDefault="00703D91" w:rsidP="00703D91">
      <w:pPr>
        <w:spacing w:line="240" w:lineRule="auto"/>
        <w:rPr>
          <w:rFonts w:eastAsia="Times New Roman" w:cs="Arial"/>
          <w:color w:val="000000"/>
          <w:lang w:eastAsia="bg-BG"/>
        </w:rPr>
      </w:pPr>
    </w:p>
    <w:p w14:paraId="696ED067" w14:textId="5B3DDD2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Това лекарство съдържа по-малко от 1 </w:t>
      </w:r>
      <w:proofErr w:type="spellStart"/>
      <w:r w:rsidRPr="00703D91">
        <w:rPr>
          <w:rFonts w:eastAsia="Times New Roman" w:cs="Arial"/>
          <w:color w:val="000000"/>
          <w:lang w:val="en-US"/>
        </w:rPr>
        <w:t>mmol</w:t>
      </w:r>
      <w:proofErr w:type="spellEnd"/>
      <w:r w:rsidRPr="00703D91">
        <w:rPr>
          <w:rFonts w:eastAsia="Times New Roman" w:cs="Arial"/>
          <w:color w:val="000000"/>
          <w:lang w:val="ru-RU"/>
        </w:rPr>
        <w:t xml:space="preserve"> </w:t>
      </w:r>
      <w:r w:rsidRPr="00703D91">
        <w:rPr>
          <w:rFonts w:eastAsia="Times New Roman" w:cs="Arial"/>
          <w:color w:val="000000"/>
          <w:lang w:eastAsia="bg-BG"/>
        </w:rPr>
        <w:t xml:space="preserve">натрий (23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на филмирана таблетка, т.е. може да се каже, че практически не съдържа натрий.</w:t>
      </w:r>
    </w:p>
    <w:p w14:paraId="58ED86DA" w14:textId="77777777" w:rsidR="00703D91" w:rsidRPr="00703D91" w:rsidRDefault="00703D91" w:rsidP="00703D91"/>
    <w:p w14:paraId="1244F76A" w14:textId="522ADAB7" w:rsidR="00395555" w:rsidRDefault="002C50EE" w:rsidP="008A6AF2">
      <w:pPr>
        <w:pStyle w:val="Heading2"/>
      </w:pPr>
      <w:r>
        <w:t>4.5. Взаимодействие с други лекарствени продукти и други форми на взаимодействие</w:t>
      </w:r>
    </w:p>
    <w:p w14:paraId="51157000" w14:textId="3E76A1D1" w:rsidR="00703D91" w:rsidRDefault="00703D91" w:rsidP="00703D91"/>
    <w:p w14:paraId="5FEDB436"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Проучвания за взаимодействия са провеждани само при възрастни и са обобщени по- долу.</w:t>
      </w:r>
    </w:p>
    <w:p w14:paraId="7B09E2C5" w14:textId="77777777" w:rsidR="00703D91" w:rsidRPr="00703D91" w:rsidRDefault="00703D91" w:rsidP="00703D91">
      <w:pPr>
        <w:spacing w:line="240" w:lineRule="auto"/>
        <w:rPr>
          <w:rFonts w:eastAsia="Times New Roman" w:cs="Arial"/>
          <w:color w:val="000000"/>
          <w:u w:val="single"/>
          <w:lang w:eastAsia="bg-BG"/>
        </w:rPr>
      </w:pPr>
    </w:p>
    <w:p w14:paraId="3D276890" w14:textId="3FB0C1DC"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 храна:</w:t>
      </w:r>
      <w:r w:rsidRPr="00703D91">
        <w:rPr>
          <w:rFonts w:eastAsia="Times New Roman" w:cs="Arial"/>
          <w:color w:val="000000"/>
          <w:lang w:eastAsia="bg-BG"/>
        </w:rPr>
        <w:t xml:space="preserve"> Храната значимо намалява оралната бионаличност на биластин с 30%.</w:t>
      </w:r>
    </w:p>
    <w:p w14:paraId="4C61CC9F" w14:textId="77777777" w:rsidR="00703D91" w:rsidRPr="00703D91" w:rsidRDefault="00703D91" w:rsidP="00703D91">
      <w:pPr>
        <w:spacing w:line="240" w:lineRule="auto"/>
        <w:rPr>
          <w:rFonts w:eastAsia="Times New Roman" w:cs="Arial"/>
          <w:color w:val="000000"/>
          <w:u w:val="single"/>
          <w:lang w:eastAsia="bg-BG"/>
        </w:rPr>
      </w:pPr>
    </w:p>
    <w:p w14:paraId="2BE33A33" w14:textId="454D9534"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със сок от грейпфрут</w:t>
      </w:r>
      <w:r w:rsidRPr="00703D91">
        <w:rPr>
          <w:rFonts w:eastAsia="Times New Roman" w:cs="Arial"/>
          <w:color w:val="000000"/>
          <w:lang w:eastAsia="bg-BG"/>
        </w:rPr>
        <w:t xml:space="preserve">: Едновременният прием на биластин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и сок от грейпфрут понижава бионаличността на биластин с 30%. Този ефект може да се отнася също за други плодови сокове. Степента на снижаване на бионаличността може да варира според производители и плодове. Механизмът на това взаимодействие е инхибиране на ОАТР1А2, транспортна система за усвояване, за която биластин е субстрат (вижте точка 5.2). Лекарствени продукти, които са субстрати или инхибитори на </w:t>
      </w:r>
      <w:r w:rsidRPr="00703D91">
        <w:rPr>
          <w:rFonts w:eastAsia="Times New Roman" w:cs="Arial"/>
          <w:color w:val="000000"/>
          <w:lang w:val="en-US"/>
        </w:rPr>
        <w:t>OATP</w:t>
      </w:r>
      <w:r w:rsidRPr="00703D91">
        <w:rPr>
          <w:rFonts w:eastAsia="Times New Roman" w:cs="Arial"/>
          <w:color w:val="000000"/>
          <w:lang w:val="ru-RU"/>
        </w:rPr>
        <w:t>1</w:t>
      </w:r>
      <w:r w:rsidRPr="00703D91">
        <w:rPr>
          <w:rFonts w:eastAsia="Times New Roman" w:cs="Arial"/>
          <w:color w:val="000000"/>
          <w:lang w:val="en-US"/>
        </w:rPr>
        <w:t>A</w:t>
      </w:r>
      <w:r w:rsidRPr="00703D91">
        <w:rPr>
          <w:rFonts w:eastAsia="Times New Roman" w:cs="Arial"/>
          <w:color w:val="000000"/>
          <w:lang w:val="ru-RU"/>
        </w:rPr>
        <w:t xml:space="preserve">2, </w:t>
      </w:r>
      <w:r w:rsidRPr="00703D91">
        <w:rPr>
          <w:rFonts w:eastAsia="Times New Roman" w:cs="Arial"/>
          <w:color w:val="000000"/>
          <w:lang w:eastAsia="bg-BG"/>
        </w:rPr>
        <w:t>като ритонавир или рифампицин, може да имат потенциал да намаляват по подобен начин плазмената концентрация на биластин.</w:t>
      </w:r>
    </w:p>
    <w:p w14:paraId="1AC37C6F" w14:textId="77777777" w:rsidR="00703D91" w:rsidRPr="00703D91" w:rsidRDefault="00703D91" w:rsidP="00703D91">
      <w:pPr>
        <w:spacing w:line="240" w:lineRule="auto"/>
        <w:rPr>
          <w:rFonts w:eastAsia="Times New Roman" w:cs="Arial"/>
          <w:color w:val="000000"/>
          <w:u w:val="single"/>
          <w:lang w:eastAsia="bg-BG"/>
        </w:rPr>
      </w:pPr>
    </w:p>
    <w:p w14:paraId="473C80DB" w14:textId="141C3FAD"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 кетоконазол или еритромицин:</w:t>
      </w:r>
      <w:r w:rsidRPr="00703D91">
        <w:rPr>
          <w:rFonts w:eastAsia="Times New Roman" w:cs="Arial"/>
          <w:color w:val="000000"/>
          <w:lang w:eastAsia="bg-BG"/>
        </w:rPr>
        <w:t xml:space="preserve"> Едновременният прием на биластин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веднъж дневно и кетоконазол 400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веднъж дневно или еритромицин 500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три пъти дневно повишава </w:t>
      </w:r>
      <w:r w:rsidRPr="00703D91">
        <w:rPr>
          <w:rFonts w:eastAsia="Times New Roman" w:cs="Arial"/>
          <w:color w:val="000000"/>
          <w:lang w:val="en-US"/>
        </w:rPr>
        <w:t>AUC</w:t>
      </w:r>
      <w:r w:rsidRPr="00703D91">
        <w:rPr>
          <w:rFonts w:eastAsia="Times New Roman" w:cs="Arial"/>
          <w:color w:val="000000"/>
          <w:lang w:val="ru-RU"/>
        </w:rPr>
        <w:t xml:space="preserve"> </w:t>
      </w:r>
      <w:r w:rsidRPr="00703D91">
        <w:rPr>
          <w:rFonts w:eastAsia="Times New Roman" w:cs="Arial"/>
          <w:color w:val="000000"/>
          <w:lang w:eastAsia="bg-BG"/>
        </w:rPr>
        <w:t>на биластин 2 пъти, а С</w:t>
      </w:r>
      <w:r w:rsidRPr="00703D91">
        <w:rPr>
          <w:rFonts w:eastAsia="Times New Roman" w:cs="Arial"/>
          <w:color w:val="000000"/>
          <w:vertAlign w:val="subscript"/>
          <w:lang w:val="en-US"/>
        </w:rPr>
        <w:t>max</w:t>
      </w:r>
      <w:r w:rsidRPr="00703D91">
        <w:rPr>
          <w:rFonts w:eastAsia="Times New Roman" w:cs="Arial"/>
          <w:color w:val="000000"/>
          <w:lang w:eastAsia="bg-BG"/>
        </w:rPr>
        <w:t xml:space="preserve"> -2-3 пъти. Тези промени могат да бъдат обяснени с взаимодействието с чревните транспортни системи за отделяне, тъй като биластин е субстрат за Р-гликопротеин и не се метаболизира (вижте точка 5.2). Тези промени изглежда не повлияват профила на безопасност на биластин и, съответно, на кетоконазол или еритромицин. Други лекарствени продукти, които са субстрати или инхибитори Р- гликопротеин, като циклоспорин, също така може да имат потенциал да увеличават плазмената концентрация на биластин.</w:t>
      </w:r>
    </w:p>
    <w:p w14:paraId="29E9E21A" w14:textId="77777777" w:rsidR="00703D91" w:rsidRPr="00703D91" w:rsidRDefault="00703D91" w:rsidP="00703D91">
      <w:pPr>
        <w:spacing w:line="240" w:lineRule="auto"/>
        <w:rPr>
          <w:rFonts w:eastAsia="Times New Roman" w:cs="Arial"/>
          <w:color w:val="000000"/>
          <w:u w:val="single"/>
          <w:lang w:eastAsia="bg-BG"/>
        </w:rPr>
      </w:pPr>
    </w:p>
    <w:p w14:paraId="77283296" w14:textId="588964B9"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 дилтиазем</w:t>
      </w:r>
      <w:r w:rsidRPr="00703D91">
        <w:rPr>
          <w:rFonts w:eastAsia="Times New Roman" w:cs="Arial"/>
          <w:color w:val="000000"/>
          <w:lang w:eastAsia="bg-BG"/>
        </w:rPr>
        <w:t xml:space="preserve">: Едновременният прием на биластин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веднъж дневно и дилтиазем 60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веднъж дневно повишава С</w:t>
      </w:r>
      <w:r w:rsidRPr="00703D91">
        <w:rPr>
          <w:rFonts w:eastAsia="Times New Roman" w:cs="Arial"/>
          <w:color w:val="000000"/>
          <w:vertAlign w:val="subscript"/>
          <w:lang w:val="en-US"/>
        </w:rPr>
        <w:t>max</w:t>
      </w:r>
      <w:r w:rsidRPr="00703D91">
        <w:rPr>
          <w:rFonts w:eastAsia="Times New Roman" w:cs="Arial"/>
          <w:color w:val="000000"/>
          <w:lang w:eastAsia="bg-BG"/>
        </w:rPr>
        <w:t xml:space="preserve"> на биластин с 50%. Този ефект може да се обясни с взаимодействието с чревните транспортни системи за усвояване (вижте точка 5.2) и изглежда не повлиява профила на безопасност на биластин.</w:t>
      </w:r>
    </w:p>
    <w:p w14:paraId="1DDB8484" w14:textId="77777777" w:rsidR="00703D91" w:rsidRPr="00703D91" w:rsidRDefault="00703D91" w:rsidP="00703D91">
      <w:pPr>
        <w:spacing w:line="240" w:lineRule="auto"/>
        <w:rPr>
          <w:rFonts w:eastAsia="Times New Roman" w:cs="Arial"/>
          <w:color w:val="000000"/>
          <w:u w:val="single"/>
          <w:lang w:eastAsia="bg-BG"/>
        </w:rPr>
      </w:pPr>
    </w:p>
    <w:p w14:paraId="5C29AD4F" w14:textId="0C93D192"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 алкохол</w:t>
      </w:r>
      <w:r w:rsidRPr="00703D91">
        <w:rPr>
          <w:rFonts w:eastAsia="Times New Roman" w:cs="Arial"/>
          <w:color w:val="000000"/>
          <w:lang w:eastAsia="bg-BG"/>
        </w:rPr>
        <w:t xml:space="preserve">: Психомоторната дейност след едновременен прием на алкохол и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биластин веднъж дневно е подобна на наблюдаваната след прием на алкохол и плацебо.</w:t>
      </w:r>
    </w:p>
    <w:p w14:paraId="2D46CE3A" w14:textId="77777777" w:rsidR="00703D91" w:rsidRPr="00703D91" w:rsidRDefault="00703D91" w:rsidP="00703D91">
      <w:pPr>
        <w:spacing w:line="240" w:lineRule="auto"/>
        <w:rPr>
          <w:rFonts w:eastAsia="Times New Roman" w:cs="Arial"/>
          <w:color w:val="000000"/>
          <w:u w:val="single"/>
          <w:lang w:eastAsia="bg-BG"/>
        </w:rPr>
      </w:pPr>
    </w:p>
    <w:p w14:paraId="45EAA39D" w14:textId="5C5E6B4A"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Взаимодействие с лоразепам</w:t>
      </w:r>
      <w:r w:rsidRPr="00703D91">
        <w:rPr>
          <w:rFonts w:eastAsia="Times New Roman" w:cs="Arial"/>
          <w:color w:val="000000"/>
          <w:lang w:eastAsia="bg-BG"/>
        </w:rPr>
        <w:t xml:space="preserve">: Едновременният прием на биластин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веднъж дневно и лоразепам 3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веднъж дневно в продължение на 8 дни не усилва потискащия ефект на лоразепам върху ЦНС.</w:t>
      </w:r>
    </w:p>
    <w:p w14:paraId="46483D24" w14:textId="77777777" w:rsidR="00703D91" w:rsidRPr="00703D91" w:rsidRDefault="00703D91" w:rsidP="00703D91">
      <w:pPr>
        <w:spacing w:line="240" w:lineRule="auto"/>
        <w:rPr>
          <w:rFonts w:eastAsia="Times New Roman" w:cs="Arial"/>
          <w:i/>
          <w:iCs/>
          <w:color w:val="000000"/>
          <w:lang w:eastAsia="bg-BG"/>
        </w:rPr>
      </w:pPr>
    </w:p>
    <w:p w14:paraId="559397CC" w14:textId="09777175"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Педиатрична популация</w:t>
      </w:r>
    </w:p>
    <w:p w14:paraId="2C1D6035" w14:textId="77777777" w:rsidR="00703D91" w:rsidRPr="00703D91" w:rsidRDefault="00703D91" w:rsidP="00703D91">
      <w:pPr>
        <w:rPr>
          <w:rFonts w:eastAsia="Times New Roman" w:cs="Arial"/>
          <w:sz w:val="24"/>
          <w:szCs w:val="24"/>
        </w:rPr>
      </w:pPr>
      <w:r w:rsidRPr="00703D91">
        <w:rPr>
          <w:rFonts w:eastAsia="Times New Roman" w:cs="Arial"/>
          <w:color w:val="000000"/>
          <w:lang w:eastAsia="bg-BG"/>
        </w:rPr>
        <w:t>Проучвания за взаимодействия са проведени само при възрастни. Тъй като</w:t>
      </w:r>
      <w:r w:rsidRPr="00703D91">
        <w:rPr>
          <w:rFonts w:eastAsia="Times New Roman" w:cs="Arial"/>
          <w:color w:val="000000"/>
          <w:lang w:val="ru-RU"/>
        </w:rPr>
        <w:t xml:space="preserve"> </w:t>
      </w:r>
      <w:r w:rsidRPr="00703D91">
        <w:rPr>
          <w:rFonts w:eastAsia="Times New Roman" w:cs="Arial"/>
          <w:color w:val="000000"/>
          <w:lang w:eastAsia="bg-BG"/>
        </w:rPr>
        <w:t xml:space="preserve">няма клиничен опит по отношение на взаимодействието на биластин с други лекарствени продукти, храни или плодови сокове при деца, резултатите, получени при проучвания за взаимодействия при възрастни, трябва да се вземат предвид при предписването на билистин на деца. Няма клинични данни при деца, за да се посочи дали промените в </w:t>
      </w:r>
      <w:r w:rsidRPr="00703D91">
        <w:rPr>
          <w:rFonts w:eastAsia="Times New Roman" w:cs="Arial"/>
          <w:color w:val="000000"/>
          <w:lang w:val="en-US"/>
        </w:rPr>
        <w:t>AUC</w:t>
      </w:r>
      <w:r w:rsidRPr="00703D91">
        <w:rPr>
          <w:rFonts w:eastAsia="Times New Roman" w:cs="Arial"/>
          <w:color w:val="000000"/>
          <w:lang w:val="ru-RU"/>
        </w:rPr>
        <w:t xml:space="preserve"> </w:t>
      </w:r>
      <w:r w:rsidRPr="00703D91">
        <w:rPr>
          <w:rFonts w:eastAsia="Times New Roman" w:cs="Arial"/>
          <w:color w:val="000000"/>
          <w:lang w:eastAsia="bg-BG"/>
        </w:rPr>
        <w:t>или Стах, дължащи се на взаимодействията, засягат профила на безопасност на биластин.</w:t>
      </w:r>
    </w:p>
    <w:p w14:paraId="682AA564" w14:textId="10624078" w:rsidR="00703D91" w:rsidRPr="00703D91" w:rsidRDefault="00703D91" w:rsidP="00703D91"/>
    <w:p w14:paraId="6EADE4D6" w14:textId="0F05AFB0" w:rsidR="00395555" w:rsidRDefault="002C50EE" w:rsidP="008A6AF2">
      <w:pPr>
        <w:pStyle w:val="Heading2"/>
      </w:pPr>
      <w:r>
        <w:t>4.6. Фертилитет, бременност и кърмене</w:t>
      </w:r>
    </w:p>
    <w:p w14:paraId="6831A284" w14:textId="533488E7" w:rsidR="00703D91" w:rsidRDefault="00703D91" w:rsidP="00703D91"/>
    <w:p w14:paraId="3BFBD40E" w14:textId="77777777" w:rsidR="00703D91" w:rsidRPr="00703D91" w:rsidRDefault="00703D91" w:rsidP="00703D91">
      <w:pPr>
        <w:pStyle w:val="Heading3"/>
        <w:rPr>
          <w:rFonts w:eastAsia="Times New Roman"/>
          <w:u w:val="single"/>
          <w:lang w:eastAsia="bg-BG"/>
        </w:rPr>
      </w:pPr>
      <w:r w:rsidRPr="00703D91">
        <w:rPr>
          <w:rFonts w:eastAsia="Times New Roman"/>
          <w:u w:val="single"/>
          <w:lang w:eastAsia="bg-BG"/>
        </w:rPr>
        <w:t xml:space="preserve">Бременност: </w:t>
      </w:r>
    </w:p>
    <w:p w14:paraId="0BD69730" w14:textId="6BE7F055"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Липсват или има ограничени данни от употребата на биластин при бременни жени.</w:t>
      </w:r>
    </w:p>
    <w:p w14:paraId="4272D5DE"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Проучванията при животни не показват преки или непреки вредни ефекти по отношение на репродуктивна токсичност, раждане или постнатално развитие (вж. точка 5.3). Като предпазна мярка е за предпочитане да се избягва употребата на Фортекал по време на бременност.</w:t>
      </w:r>
    </w:p>
    <w:p w14:paraId="7047D35A" w14:textId="77777777" w:rsidR="00703D91" w:rsidRPr="00703D91" w:rsidRDefault="00703D91" w:rsidP="00703D91">
      <w:pPr>
        <w:spacing w:line="240" w:lineRule="auto"/>
        <w:rPr>
          <w:rFonts w:eastAsia="Times New Roman" w:cs="Arial"/>
          <w:color w:val="000000"/>
          <w:u w:val="single"/>
          <w:lang w:eastAsia="bg-BG"/>
        </w:rPr>
      </w:pPr>
    </w:p>
    <w:p w14:paraId="0EDA6882" w14:textId="77777777" w:rsidR="00703D91" w:rsidRPr="00703D91" w:rsidRDefault="00703D91" w:rsidP="00703D91">
      <w:pPr>
        <w:pStyle w:val="Heading3"/>
        <w:rPr>
          <w:rFonts w:eastAsia="Times New Roman"/>
          <w:u w:val="single"/>
          <w:lang w:eastAsia="bg-BG"/>
        </w:rPr>
      </w:pPr>
      <w:r w:rsidRPr="00703D91">
        <w:rPr>
          <w:rFonts w:eastAsia="Times New Roman"/>
          <w:u w:val="single"/>
          <w:lang w:eastAsia="bg-BG"/>
        </w:rPr>
        <w:t xml:space="preserve">Кърмене: </w:t>
      </w:r>
    </w:p>
    <w:p w14:paraId="4A837FC9" w14:textId="153AE11A"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Екскрецията на биластин в кърмата не е проучена при хора. Наличните фармакокинетични данни при животни показват екскреция на биластин в млякото (вж. точка 5.3). Трябва да се вземе решение дали да се продължи/преустанови кърменето или да се преустанови/да не се приложи терапията с Фортекал, като се вземат предвид ползата от кърменето за детето и ползата от терапията с биластин за майката.</w:t>
      </w:r>
    </w:p>
    <w:p w14:paraId="0390A1DB" w14:textId="77777777" w:rsidR="00703D91" w:rsidRPr="00703D91" w:rsidRDefault="00703D91" w:rsidP="00703D91">
      <w:pPr>
        <w:pStyle w:val="Heading3"/>
        <w:rPr>
          <w:rFonts w:eastAsia="Times New Roman"/>
          <w:u w:val="single"/>
          <w:lang w:eastAsia="bg-BG"/>
        </w:rPr>
      </w:pPr>
    </w:p>
    <w:p w14:paraId="7ACFE96C" w14:textId="77777777" w:rsidR="00703D91" w:rsidRPr="00703D91" w:rsidRDefault="00703D91" w:rsidP="00703D91">
      <w:pPr>
        <w:pStyle w:val="Heading3"/>
        <w:rPr>
          <w:rFonts w:eastAsia="Times New Roman"/>
          <w:u w:val="single"/>
          <w:lang w:eastAsia="bg-BG"/>
        </w:rPr>
      </w:pPr>
      <w:r w:rsidRPr="00703D91">
        <w:rPr>
          <w:rFonts w:eastAsia="Times New Roman"/>
          <w:u w:val="single"/>
          <w:lang w:eastAsia="bg-BG"/>
        </w:rPr>
        <w:t xml:space="preserve">Фертилитет: </w:t>
      </w:r>
    </w:p>
    <w:p w14:paraId="31CA2F91" w14:textId="0E840C13"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Липсват или има ограничени клинични данни. Проучване при плъхове не показва негативен ефект върху фертилитета (вж. точка 5.3).</w:t>
      </w:r>
    </w:p>
    <w:p w14:paraId="2174F5CA" w14:textId="77777777" w:rsidR="00703D91" w:rsidRPr="00703D91" w:rsidRDefault="00703D91" w:rsidP="00703D91"/>
    <w:p w14:paraId="5766770B" w14:textId="58560B2D" w:rsidR="00395555" w:rsidRDefault="002C50EE" w:rsidP="008A6AF2">
      <w:pPr>
        <w:pStyle w:val="Heading2"/>
      </w:pPr>
      <w:r>
        <w:t>4.7. Ефекти върху способността за шофиране и работа с машини</w:t>
      </w:r>
    </w:p>
    <w:p w14:paraId="77F7A2CC" w14:textId="722D6A10" w:rsidR="00703D91" w:rsidRDefault="00703D91" w:rsidP="00703D91"/>
    <w:p w14:paraId="534ACEB0" w14:textId="1690579B" w:rsidR="00703D91" w:rsidRDefault="00703D91" w:rsidP="00703D91">
      <w:r>
        <w:t xml:space="preserve">Проучване при възрастни за оценка на ефектите на биластин върху способността за шофиране показва, че лечение с 20 </w:t>
      </w:r>
      <w:r>
        <w:rPr>
          <w:lang w:val="en-US"/>
        </w:rPr>
        <w:t>mg</w:t>
      </w:r>
      <w:r w:rsidRPr="00703D91">
        <w:rPr>
          <w:lang w:val="ru-RU"/>
        </w:rPr>
        <w:t xml:space="preserve"> </w:t>
      </w:r>
      <w:r>
        <w:t>биластин не повлиява способността за шофиране. Въпреки това тъй като индивидуалният отговор към лекарствения продукт може да варира, пациентите трябва да бъдат посъветвани да не шофират или да работят с машини, докато не установят своя собствен отговор към биластин.</w:t>
      </w:r>
    </w:p>
    <w:p w14:paraId="3A7D98D2" w14:textId="77777777" w:rsidR="00703D91" w:rsidRPr="00703D91" w:rsidRDefault="00703D91" w:rsidP="00703D91"/>
    <w:p w14:paraId="4FE16E21" w14:textId="2E415D30" w:rsidR="00395555" w:rsidRDefault="002C50EE" w:rsidP="008A6AF2">
      <w:pPr>
        <w:pStyle w:val="Heading2"/>
      </w:pPr>
      <w:r>
        <w:lastRenderedPageBreak/>
        <w:t>4.8. Нежелани лекарствени реакции</w:t>
      </w:r>
    </w:p>
    <w:p w14:paraId="1CA0B3C3" w14:textId="5C1CF197" w:rsidR="00703D91" w:rsidRDefault="00703D91" w:rsidP="00703D91"/>
    <w:p w14:paraId="30FBB0EA"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Обобщение на профила на безопасност при възрастни пациенти и юноши</w:t>
      </w:r>
    </w:p>
    <w:p w14:paraId="42BEE02B"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Честотата на нежелани реакции при възрастни пациенти и юноши, страдащи от алергичен риноконюнктивит или хронична идиопатична уртикария, лекувани с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биластин, в клинични изпитвания, е сравнима с честотата при пациенти, получили плацебо (12,7% спрямо 12,8%).</w:t>
      </w:r>
    </w:p>
    <w:p w14:paraId="2FAA9F53"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Клинични проучвания фаза II и III, проведени по време на клиничната разработка включват 2525 възрастни пациенти и юноши, лекувани с различни дози биластин, от които 1697 получават биластин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В тези проучвания 1362 пациенти получават плацебо.</w:t>
      </w:r>
    </w:p>
    <w:p w14:paraId="3FAEF47D"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Нежеланите лекарствени реакции, които най-често се съобщават от пациенти, получаващи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биластин при показание алергичен риноконюнктивит или хронична идиопатична уртикария са главоболие, сънливост, виене на свят и умора. Тези нежелани реакции се появяват със сравнима честота при пациенти, получаващи плацебо.</w:t>
      </w:r>
    </w:p>
    <w:p w14:paraId="03C50268" w14:textId="77777777" w:rsidR="00703D91" w:rsidRPr="00703D91" w:rsidRDefault="00703D91" w:rsidP="00703D91">
      <w:pPr>
        <w:spacing w:line="240" w:lineRule="auto"/>
        <w:rPr>
          <w:rFonts w:eastAsia="Times New Roman" w:cs="Arial"/>
          <w:color w:val="000000"/>
          <w:u w:val="single"/>
          <w:lang w:eastAsia="bg-BG"/>
        </w:rPr>
      </w:pPr>
    </w:p>
    <w:p w14:paraId="35E6483C" w14:textId="3D9E7A42" w:rsidR="00703D91" w:rsidRPr="00703D91" w:rsidRDefault="00703D91" w:rsidP="00703D91">
      <w:pPr>
        <w:spacing w:line="240" w:lineRule="auto"/>
        <w:rPr>
          <w:rFonts w:eastAsia="Times New Roman" w:cs="Arial"/>
          <w:sz w:val="24"/>
          <w:szCs w:val="24"/>
        </w:rPr>
      </w:pPr>
      <w:r w:rsidRPr="00703D91">
        <w:rPr>
          <w:rFonts w:eastAsia="Times New Roman" w:cs="Arial"/>
          <w:color w:val="000000"/>
          <w:u w:val="single"/>
          <w:lang w:eastAsia="bg-BG"/>
        </w:rPr>
        <w:t xml:space="preserve">Обобщение на нежеланите реакции в табличен вид при възрастни пациенти и юноши </w:t>
      </w:r>
      <w:r w:rsidRPr="00703D91">
        <w:rPr>
          <w:rFonts w:eastAsia="Times New Roman" w:cs="Arial"/>
          <w:color w:val="000000"/>
          <w:lang w:eastAsia="bg-BG"/>
        </w:rPr>
        <w:t xml:space="preserve">Нежеланите лекарствени реакции, които е вероятно да са свързани с биластин и съобщавани при повече от 0,1% от пациенти, получаващи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 xml:space="preserve">биластин по време на клиничната разработка </w:t>
      </w:r>
      <w:r w:rsidRPr="00703D91">
        <w:rPr>
          <w:rFonts w:eastAsia="Times New Roman" w:cs="Arial"/>
          <w:color w:val="000000"/>
          <w:lang w:val="ru-RU"/>
        </w:rPr>
        <w:t>(</w:t>
      </w:r>
      <w:r w:rsidRPr="00703D91">
        <w:rPr>
          <w:rFonts w:eastAsia="Times New Roman" w:cs="Arial"/>
          <w:color w:val="000000"/>
          <w:lang w:val="en-US"/>
        </w:rPr>
        <w:t>N</w:t>
      </w:r>
      <w:r w:rsidRPr="00703D91">
        <w:rPr>
          <w:rFonts w:eastAsia="Times New Roman" w:cs="Arial"/>
          <w:color w:val="000000"/>
          <w:lang w:val="ru-RU"/>
        </w:rPr>
        <w:t xml:space="preserve"> </w:t>
      </w:r>
      <w:r w:rsidRPr="00703D91">
        <w:rPr>
          <w:rFonts w:eastAsia="Times New Roman" w:cs="Arial"/>
          <w:color w:val="000000"/>
          <w:lang w:eastAsia="bg-BG"/>
        </w:rPr>
        <w:t>= 1697), са представени в таблицата по-долу.</w:t>
      </w:r>
    </w:p>
    <w:p w14:paraId="5D6D1F12" w14:textId="37FA0DBF" w:rsidR="00703D91" w:rsidRPr="00703D91" w:rsidRDefault="00703D91" w:rsidP="00703D91">
      <w:pPr>
        <w:rPr>
          <w:rFonts w:eastAsia="Times New Roman" w:cs="Arial"/>
          <w:color w:val="000000"/>
          <w:lang w:eastAsia="bg-BG"/>
        </w:rPr>
      </w:pPr>
      <w:r w:rsidRPr="00703D91">
        <w:rPr>
          <w:rFonts w:eastAsia="Times New Roman" w:cs="Arial"/>
          <w:color w:val="000000"/>
          <w:lang w:eastAsia="bg-BG"/>
        </w:rPr>
        <w:t>Честотите се определят както следва:</w:t>
      </w:r>
    </w:p>
    <w:p w14:paraId="16E87E91" w14:textId="77777777" w:rsidR="00703D91" w:rsidRPr="00703D91" w:rsidRDefault="00703D91" w:rsidP="00703D91">
      <w:pPr>
        <w:spacing w:line="240" w:lineRule="auto"/>
        <w:rPr>
          <w:rFonts w:eastAsia="Times New Roman" w:cs="Arial"/>
          <w:color w:val="000000"/>
          <w:lang w:eastAsia="bg-BG"/>
        </w:rPr>
      </w:pPr>
    </w:p>
    <w:p w14:paraId="7781BB21" w14:textId="1660B410"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Много чести (≥1/10)</w:t>
      </w:r>
    </w:p>
    <w:p w14:paraId="46F4E071"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Чести (≥1/100 до &lt;1/10)</w:t>
      </w:r>
    </w:p>
    <w:p w14:paraId="3B5327D7"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Нечести (≥1/1 000до&lt;1/100)</w:t>
      </w:r>
    </w:p>
    <w:p w14:paraId="002C4651"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Редки (≥1/10 000 до &lt;1/1 000)</w:t>
      </w:r>
    </w:p>
    <w:p w14:paraId="3D92316C"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Много редки (&lt;1/10 000)</w:t>
      </w:r>
    </w:p>
    <w:p w14:paraId="0EEE3A8C" w14:textId="5EA8D1A4" w:rsidR="00703D91" w:rsidRDefault="00703D91" w:rsidP="00703D91">
      <w:pPr>
        <w:rPr>
          <w:rFonts w:eastAsia="Times New Roman" w:cs="Arial"/>
          <w:color w:val="000000"/>
          <w:lang w:eastAsia="bg-BG"/>
        </w:rPr>
      </w:pPr>
      <w:r w:rsidRPr="00703D91">
        <w:rPr>
          <w:rFonts w:eastAsia="Times New Roman" w:cs="Arial"/>
          <w:color w:val="000000"/>
          <w:lang w:eastAsia="bg-BG"/>
        </w:rPr>
        <w:t>С неизвестна честота (не може да бъде оценена, от наличните данни)</w:t>
      </w:r>
    </w:p>
    <w:p w14:paraId="10BEC782" w14:textId="33A9C857" w:rsidR="00703D91" w:rsidRDefault="00703D91" w:rsidP="00703D91">
      <w:pPr>
        <w:rPr>
          <w:rFonts w:eastAsia="Times New Roman" w:cs="Arial"/>
          <w:color w:val="000000"/>
          <w:lang w:eastAsia="bg-BG"/>
        </w:rPr>
      </w:pPr>
    </w:p>
    <w:p w14:paraId="13778634" w14:textId="72C96868" w:rsidR="00703D91" w:rsidRDefault="00703D91" w:rsidP="00703D91">
      <w:r>
        <w:t>Редки, много редки и реакции с неизвестна честота не са включени в таблицата.</w:t>
      </w:r>
    </w:p>
    <w:tbl>
      <w:tblPr>
        <w:tblStyle w:val="TableGrid"/>
        <w:tblW w:w="0" w:type="auto"/>
        <w:tblLook w:val="04A0" w:firstRow="1" w:lastRow="0" w:firstColumn="1" w:lastColumn="0" w:noHBand="0" w:noVBand="1"/>
      </w:tblPr>
      <w:tblGrid>
        <w:gridCol w:w="1688"/>
        <w:gridCol w:w="2509"/>
        <w:gridCol w:w="1722"/>
        <w:gridCol w:w="1726"/>
        <w:gridCol w:w="1705"/>
      </w:tblGrid>
      <w:tr w:rsidR="00703D91" w14:paraId="7842F889" w14:textId="77777777" w:rsidTr="00703D91">
        <w:tc>
          <w:tcPr>
            <w:tcW w:w="4260" w:type="dxa"/>
            <w:gridSpan w:val="2"/>
          </w:tcPr>
          <w:p w14:paraId="1873D27A" w14:textId="77777777" w:rsidR="00703D91" w:rsidRDefault="00703D91" w:rsidP="00703D91">
            <w:r>
              <w:t>Системо-органна класификация</w:t>
            </w:r>
          </w:p>
          <w:p w14:paraId="04D55336" w14:textId="2E5E4799" w:rsidR="00703D91" w:rsidRDefault="00703D91" w:rsidP="00703D91">
            <w:pPr>
              <w:rPr>
                <w:rFonts w:cs="Arial"/>
              </w:rPr>
            </w:pPr>
            <w:r>
              <w:t>Честота</w:t>
            </w:r>
            <w:r>
              <w:tab/>
              <w:t>Нежелана реакция</w:t>
            </w:r>
          </w:p>
        </w:tc>
        <w:tc>
          <w:tcPr>
            <w:tcW w:w="1776" w:type="dxa"/>
          </w:tcPr>
          <w:p w14:paraId="06E5FED6" w14:textId="71ED71AD" w:rsidR="00703D91" w:rsidRDefault="00703D91" w:rsidP="00703D91">
            <w:pPr>
              <w:rPr>
                <w:rFonts w:cs="Arial"/>
              </w:rPr>
            </w:pPr>
            <w:r>
              <w:t xml:space="preserve">Биластин 20 </w:t>
            </w:r>
            <w:r>
              <w:rPr>
                <w:lang w:val="en-US"/>
              </w:rPr>
              <w:t>mg N=1697</w:t>
            </w:r>
          </w:p>
        </w:tc>
        <w:tc>
          <w:tcPr>
            <w:tcW w:w="1776" w:type="dxa"/>
          </w:tcPr>
          <w:p w14:paraId="3D2EE36C" w14:textId="77777777" w:rsidR="00703D91" w:rsidRDefault="00703D91" w:rsidP="00703D91">
            <w:r>
              <w:t>Всички дози биластин</w:t>
            </w:r>
          </w:p>
          <w:p w14:paraId="406DFE68" w14:textId="4AD77D87" w:rsidR="00703D91" w:rsidRDefault="00703D91" w:rsidP="00703D91">
            <w:pPr>
              <w:rPr>
                <w:rFonts w:cs="Arial"/>
              </w:rPr>
            </w:pPr>
            <w:r>
              <w:rPr>
                <w:lang w:val="en-US"/>
              </w:rPr>
              <w:t>N=2525</w:t>
            </w:r>
          </w:p>
        </w:tc>
        <w:tc>
          <w:tcPr>
            <w:tcW w:w="1764" w:type="dxa"/>
          </w:tcPr>
          <w:p w14:paraId="47F76EF9" w14:textId="77777777" w:rsidR="00703D91" w:rsidRDefault="00703D91" w:rsidP="00703D91">
            <w:r>
              <w:t>Плацебо</w:t>
            </w:r>
          </w:p>
          <w:p w14:paraId="56C5AB21" w14:textId="7A691282" w:rsidR="00703D91" w:rsidRDefault="00703D91" w:rsidP="00703D91">
            <w:pPr>
              <w:rPr>
                <w:rFonts w:cs="Arial"/>
              </w:rPr>
            </w:pPr>
            <w:r>
              <w:rPr>
                <w:lang w:val="en-US"/>
              </w:rPr>
              <w:t>N=1362</w:t>
            </w:r>
          </w:p>
        </w:tc>
      </w:tr>
      <w:tr w:rsidR="00703D91" w14:paraId="3BC26A95" w14:textId="77777777" w:rsidTr="00703D91">
        <w:tc>
          <w:tcPr>
            <w:tcW w:w="9576" w:type="dxa"/>
            <w:gridSpan w:val="5"/>
          </w:tcPr>
          <w:p w14:paraId="0C412F5B" w14:textId="417E2ECE" w:rsidR="00703D91" w:rsidRPr="00703D91" w:rsidRDefault="00703D91" w:rsidP="00703D91">
            <w:pPr>
              <w:rPr>
                <w:sz w:val="24"/>
                <w:szCs w:val="24"/>
              </w:rPr>
            </w:pPr>
            <w:r w:rsidRPr="00703D91">
              <w:rPr>
                <w:lang w:eastAsia="bg-BG"/>
              </w:rPr>
              <w:t>Инфекции и инфестации</w:t>
            </w:r>
          </w:p>
        </w:tc>
      </w:tr>
      <w:tr w:rsidR="00703D91" w14:paraId="32E108A9" w14:textId="77777777" w:rsidTr="00703D91">
        <w:tc>
          <w:tcPr>
            <w:tcW w:w="1751" w:type="dxa"/>
            <w:vAlign w:val="bottom"/>
          </w:tcPr>
          <w:p w14:paraId="2C7FBCA2" w14:textId="014C676F" w:rsidR="00703D91" w:rsidRDefault="00703D91" w:rsidP="00703D91">
            <w:pPr>
              <w:rPr>
                <w:rFonts w:cs="Arial"/>
              </w:rPr>
            </w:pPr>
            <w:r>
              <w:t>Нечести</w:t>
            </w:r>
          </w:p>
        </w:tc>
        <w:tc>
          <w:tcPr>
            <w:tcW w:w="2509" w:type="dxa"/>
            <w:vAlign w:val="bottom"/>
          </w:tcPr>
          <w:p w14:paraId="3B7458E9" w14:textId="6B28B329" w:rsidR="00703D91" w:rsidRDefault="00703D91" w:rsidP="00703D91">
            <w:pPr>
              <w:rPr>
                <w:rFonts w:cs="Arial"/>
              </w:rPr>
            </w:pPr>
            <w:r>
              <w:t>Херпес на устните</w:t>
            </w:r>
          </w:p>
        </w:tc>
        <w:tc>
          <w:tcPr>
            <w:tcW w:w="1776" w:type="dxa"/>
            <w:vAlign w:val="bottom"/>
          </w:tcPr>
          <w:p w14:paraId="7983B61D" w14:textId="136E21B0" w:rsidR="00703D91" w:rsidRDefault="00703D91" w:rsidP="00703D91">
            <w:pPr>
              <w:rPr>
                <w:rFonts w:cs="Arial"/>
              </w:rPr>
            </w:pPr>
            <w:r>
              <w:t>2 (0,12%)</w:t>
            </w:r>
          </w:p>
        </w:tc>
        <w:tc>
          <w:tcPr>
            <w:tcW w:w="1776" w:type="dxa"/>
            <w:vAlign w:val="bottom"/>
          </w:tcPr>
          <w:p w14:paraId="4CEE5DB6" w14:textId="030F0A46" w:rsidR="00703D91" w:rsidRDefault="00703D91" w:rsidP="00703D91">
            <w:pPr>
              <w:rPr>
                <w:rFonts w:cs="Arial"/>
              </w:rPr>
            </w:pPr>
            <w:r>
              <w:t>2 (0,08%)</w:t>
            </w:r>
          </w:p>
        </w:tc>
        <w:tc>
          <w:tcPr>
            <w:tcW w:w="1764" w:type="dxa"/>
            <w:vAlign w:val="bottom"/>
          </w:tcPr>
          <w:p w14:paraId="6F8DED99" w14:textId="7309CEC8" w:rsidR="00703D91" w:rsidRDefault="00703D91" w:rsidP="00703D91">
            <w:pPr>
              <w:rPr>
                <w:rFonts w:cs="Arial"/>
              </w:rPr>
            </w:pPr>
            <w:r>
              <w:t>0 (0.0%)</w:t>
            </w:r>
          </w:p>
        </w:tc>
      </w:tr>
      <w:tr w:rsidR="00703D91" w14:paraId="376225F5" w14:textId="77777777" w:rsidTr="00703D91">
        <w:tc>
          <w:tcPr>
            <w:tcW w:w="9576" w:type="dxa"/>
            <w:gridSpan w:val="5"/>
          </w:tcPr>
          <w:p w14:paraId="4CD235AE" w14:textId="7D53662C" w:rsidR="00703D91" w:rsidRPr="00703D91" w:rsidRDefault="00703D91" w:rsidP="00703D91">
            <w:pPr>
              <w:rPr>
                <w:sz w:val="24"/>
                <w:szCs w:val="24"/>
              </w:rPr>
            </w:pPr>
            <w:r w:rsidRPr="00703D91">
              <w:rPr>
                <w:lang w:eastAsia="bg-BG"/>
              </w:rPr>
              <w:t>Нарушения на метаболизма и храненето</w:t>
            </w:r>
          </w:p>
        </w:tc>
      </w:tr>
      <w:tr w:rsidR="00703D91" w14:paraId="35D406D6" w14:textId="77777777" w:rsidTr="00703D91">
        <w:tc>
          <w:tcPr>
            <w:tcW w:w="1751" w:type="dxa"/>
            <w:vAlign w:val="center"/>
          </w:tcPr>
          <w:p w14:paraId="4B57085C" w14:textId="26CBD364" w:rsidR="00703D91" w:rsidRDefault="00703D91" w:rsidP="00703D91">
            <w:pPr>
              <w:rPr>
                <w:rFonts w:cs="Arial"/>
              </w:rPr>
            </w:pPr>
            <w:r>
              <w:t>Нечести</w:t>
            </w:r>
          </w:p>
        </w:tc>
        <w:tc>
          <w:tcPr>
            <w:tcW w:w="2509" w:type="dxa"/>
            <w:vAlign w:val="center"/>
          </w:tcPr>
          <w:p w14:paraId="64E8A1E3" w14:textId="747977C5" w:rsidR="00703D91" w:rsidRDefault="00703D91" w:rsidP="00703D91">
            <w:pPr>
              <w:rPr>
                <w:rFonts w:cs="Arial"/>
              </w:rPr>
            </w:pPr>
            <w:r>
              <w:t>Повишен апетит</w:t>
            </w:r>
          </w:p>
        </w:tc>
        <w:tc>
          <w:tcPr>
            <w:tcW w:w="1776" w:type="dxa"/>
            <w:vAlign w:val="center"/>
          </w:tcPr>
          <w:p w14:paraId="4B9773F4" w14:textId="72F4B59A" w:rsidR="00703D91" w:rsidRDefault="00703D91" w:rsidP="00703D91">
            <w:pPr>
              <w:rPr>
                <w:rFonts w:cs="Arial"/>
              </w:rPr>
            </w:pPr>
            <w:r>
              <w:t>10 (0,59%)</w:t>
            </w:r>
          </w:p>
        </w:tc>
        <w:tc>
          <w:tcPr>
            <w:tcW w:w="1776" w:type="dxa"/>
            <w:vAlign w:val="center"/>
          </w:tcPr>
          <w:p w14:paraId="0C484677" w14:textId="30E7CAA9" w:rsidR="00703D91" w:rsidRDefault="00703D91" w:rsidP="00703D91">
            <w:pPr>
              <w:rPr>
                <w:rFonts w:cs="Arial"/>
              </w:rPr>
            </w:pPr>
            <w:r>
              <w:t>11 (0,44%)</w:t>
            </w:r>
          </w:p>
        </w:tc>
        <w:tc>
          <w:tcPr>
            <w:tcW w:w="1764" w:type="dxa"/>
          </w:tcPr>
          <w:p w14:paraId="4BC3E925" w14:textId="475676A8" w:rsidR="00703D91" w:rsidRDefault="00703D91" w:rsidP="00703D91">
            <w:pPr>
              <w:rPr>
                <w:rFonts w:cs="Arial"/>
              </w:rPr>
            </w:pPr>
            <w:r>
              <w:t>7 (0.51%)</w:t>
            </w:r>
          </w:p>
        </w:tc>
      </w:tr>
      <w:tr w:rsidR="00703D91" w14:paraId="4F90022C" w14:textId="77777777" w:rsidTr="00703D91">
        <w:tc>
          <w:tcPr>
            <w:tcW w:w="9576" w:type="dxa"/>
            <w:gridSpan w:val="5"/>
          </w:tcPr>
          <w:p w14:paraId="2CC653F7" w14:textId="01D184E7" w:rsidR="00703D91" w:rsidRPr="00703D91" w:rsidRDefault="00703D91" w:rsidP="00703D91">
            <w:pPr>
              <w:rPr>
                <w:sz w:val="24"/>
                <w:szCs w:val="24"/>
              </w:rPr>
            </w:pPr>
            <w:r w:rsidRPr="00703D91">
              <w:rPr>
                <w:lang w:eastAsia="bg-BG"/>
              </w:rPr>
              <w:t>Психични нарушения</w:t>
            </w:r>
          </w:p>
        </w:tc>
      </w:tr>
      <w:tr w:rsidR="00703D91" w14:paraId="49DC158F" w14:textId="77777777" w:rsidTr="00703D91">
        <w:tc>
          <w:tcPr>
            <w:tcW w:w="1751" w:type="dxa"/>
            <w:vMerge w:val="restart"/>
          </w:tcPr>
          <w:p w14:paraId="62B02AD9" w14:textId="63791CF5" w:rsidR="00703D91" w:rsidRDefault="00703D91" w:rsidP="00703D91">
            <w:pPr>
              <w:rPr>
                <w:rFonts w:cs="Arial"/>
              </w:rPr>
            </w:pPr>
            <w:r>
              <w:t>Нечести</w:t>
            </w:r>
          </w:p>
        </w:tc>
        <w:tc>
          <w:tcPr>
            <w:tcW w:w="2509" w:type="dxa"/>
            <w:vAlign w:val="bottom"/>
          </w:tcPr>
          <w:p w14:paraId="1B68B102" w14:textId="3858D92B" w:rsidR="00703D91" w:rsidRDefault="00703D91" w:rsidP="00703D91">
            <w:pPr>
              <w:rPr>
                <w:rFonts w:cs="Arial"/>
              </w:rPr>
            </w:pPr>
            <w:r>
              <w:t>Тревожност</w:t>
            </w:r>
          </w:p>
        </w:tc>
        <w:tc>
          <w:tcPr>
            <w:tcW w:w="1776" w:type="dxa"/>
            <w:vAlign w:val="bottom"/>
          </w:tcPr>
          <w:p w14:paraId="1A5B5BF7" w14:textId="43900B41" w:rsidR="00703D91" w:rsidRDefault="00703D91" w:rsidP="00703D91">
            <w:pPr>
              <w:rPr>
                <w:rFonts w:cs="Arial"/>
              </w:rPr>
            </w:pPr>
            <w:r>
              <w:t>6 (0,35%)</w:t>
            </w:r>
          </w:p>
        </w:tc>
        <w:tc>
          <w:tcPr>
            <w:tcW w:w="1776" w:type="dxa"/>
            <w:vAlign w:val="bottom"/>
          </w:tcPr>
          <w:p w14:paraId="3DE3DC16" w14:textId="080CA524" w:rsidR="00703D91" w:rsidRDefault="00703D91" w:rsidP="00703D91">
            <w:pPr>
              <w:rPr>
                <w:rFonts w:cs="Arial"/>
              </w:rPr>
            </w:pPr>
            <w:r>
              <w:t>8 (0,32%)</w:t>
            </w:r>
          </w:p>
        </w:tc>
        <w:tc>
          <w:tcPr>
            <w:tcW w:w="1764" w:type="dxa"/>
            <w:vAlign w:val="bottom"/>
          </w:tcPr>
          <w:p w14:paraId="697F0B29" w14:textId="68281876" w:rsidR="00703D91" w:rsidRDefault="00703D91" w:rsidP="00703D91">
            <w:pPr>
              <w:rPr>
                <w:rFonts w:cs="Arial"/>
              </w:rPr>
            </w:pPr>
            <w:r>
              <w:t>0 (0.0%)</w:t>
            </w:r>
          </w:p>
        </w:tc>
      </w:tr>
      <w:tr w:rsidR="00703D91" w14:paraId="26EA40B9" w14:textId="77777777" w:rsidTr="00703D91">
        <w:tc>
          <w:tcPr>
            <w:tcW w:w="1751" w:type="dxa"/>
            <w:vMerge/>
          </w:tcPr>
          <w:p w14:paraId="1B33FDD8" w14:textId="77777777" w:rsidR="00703D91" w:rsidRDefault="00703D91" w:rsidP="00703D91">
            <w:pPr>
              <w:rPr>
                <w:rFonts w:cs="Arial"/>
              </w:rPr>
            </w:pPr>
          </w:p>
        </w:tc>
        <w:tc>
          <w:tcPr>
            <w:tcW w:w="2509" w:type="dxa"/>
            <w:vAlign w:val="bottom"/>
          </w:tcPr>
          <w:p w14:paraId="349E1AB7" w14:textId="653F6485" w:rsidR="00703D91" w:rsidRDefault="00703D91" w:rsidP="00703D91">
            <w:pPr>
              <w:rPr>
                <w:rFonts w:cs="Arial"/>
              </w:rPr>
            </w:pPr>
            <w:r>
              <w:t>Безсъние</w:t>
            </w:r>
          </w:p>
        </w:tc>
        <w:tc>
          <w:tcPr>
            <w:tcW w:w="1776" w:type="dxa"/>
            <w:vAlign w:val="bottom"/>
          </w:tcPr>
          <w:p w14:paraId="3073B0C1" w14:textId="4C00339C" w:rsidR="00703D91" w:rsidRDefault="00703D91" w:rsidP="00703D91">
            <w:pPr>
              <w:rPr>
                <w:rFonts w:cs="Arial"/>
              </w:rPr>
            </w:pPr>
            <w:r>
              <w:t>2 (0,12%)</w:t>
            </w:r>
          </w:p>
        </w:tc>
        <w:tc>
          <w:tcPr>
            <w:tcW w:w="1776" w:type="dxa"/>
            <w:vAlign w:val="bottom"/>
          </w:tcPr>
          <w:p w14:paraId="6150A085" w14:textId="3EC8B3B9" w:rsidR="00703D91" w:rsidRDefault="00703D91" w:rsidP="00703D91">
            <w:pPr>
              <w:rPr>
                <w:rFonts w:cs="Arial"/>
              </w:rPr>
            </w:pPr>
            <w:r>
              <w:t>4 (0,16%)</w:t>
            </w:r>
          </w:p>
        </w:tc>
        <w:tc>
          <w:tcPr>
            <w:tcW w:w="1764" w:type="dxa"/>
            <w:vAlign w:val="bottom"/>
          </w:tcPr>
          <w:p w14:paraId="6D2B084C" w14:textId="34A3A80F" w:rsidR="00703D91" w:rsidRDefault="00703D91" w:rsidP="00703D91">
            <w:pPr>
              <w:rPr>
                <w:rFonts w:cs="Arial"/>
              </w:rPr>
            </w:pPr>
            <w:r>
              <w:t>0 (0.0%)</w:t>
            </w:r>
          </w:p>
        </w:tc>
      </w:tr>
      <w:tr w:rsidR="00703D91" w14:paraId="19C49B9C" w14:textId="77777777" w:rsidTr="00703D91">
        <w:tc>
          <w:tcPr>
            <w:tcW w:w="9576" w:type="dxa"/>
            <w:gridSpan w:val="5"/>
          </w:tcPr>
          <w:p w14:paraId="76D30DC8" w14:textId="7CF30C42" w:rsidR="00703D91" w:rsidRPr="00703D91" w:rsidRDefault="00703D91" w:rsidP="00703D91">
            <w:pPr>
              <w:rPr>
                <w:sz w:val="24"/>
                <w:szCs w:val="24"/>
              </w:rPr>
            </w:pPr>
            <w:r w:rsidRPr="00703D91">
              <w:rPr>
                <w:lang w:eastAsia="bg-BG"/>
              </w:rPr>
              <w:t>Нарушения на нервната система</w:t>
            </w:r>
          </w:p>
        </w:tc>
      </w:tr>
      <w:tr w:rsidR="00703D91" w14:paraId="7D90BEBE" w14:textId="77777777" w:rsidTr="00703D91">
        <w:tc>
          <w:tcPr>
            <w:tcW w:w="1751" w:type="dxa"/>
            <w:vMerge w:val="restart"/>
            <w:vAlign w:val="center"/>
          </w:tcPr>
          <w:p w14:paraId="26925D28" w14:textId="4D5F109F" w:rsidR="00703D91" w:rsidRDefault="00703D91" w:rsidP="00703D91">
            <w:pPr>
              <w:rPr>
                <w:rFonts w:cs="Arial"/>
              </w:rPr>
            </w:pPr>
            <w:r>
              <w:t>Чести</w:t>
            </w:r>
          </w:p>
        </w:tc>
        <w:tc>
          <w:tcPr>
            <w:tcW w:w="2509" w:type="dxa"/>
            <w:vAlign w:val="center"/>
          </w:tcPr>
          <w:p w14:paraId="580C84D2" w14:textId="530D89E3" w:rsidR="00703D91" w:rsidRDefault="00703D91" w:rsidP="00703D91">
            <w:pPr>
              <w:rPr>
                <w:rFonts w:cs="Arial"/>
              </w:rPr>
            </w:pPr>
            <w:r>
              <w:t>Сънливост</w:t>
            </w:r>
          </w:p>
        </w:tc>
        <w:tc>
          <w:tcPr>
            <w:tcW w:w="1776" w:type="dxa"/>
            <w:vAlign w:val="center"/>
          </w:tcPr>
          <w:p w14:paraId="73505C74" w14:textId="496FB968" w:rsidR="00703D91" w:rsidRDefault="00703D91" w:rsidP="00703D91">
            <w:pPr>
              <w:rPr>
                <w:rFonts w:cs="Arial"/>
              </w:rPr>
            </w:pPr>
            <w:r>
              <w:t>52 (3,06%)</w:t>
            </w:r>
          </w:p>
        </w:tc>
        <w:tc>
          <w:tcPr>
            <w:tcW w:w="1776" w:type="dxa"/>
            <w:vAlign w:val="center"/>
          </w:tcPr>
          <w:p w14:paraId="6CF7CB1E" w14:textId="5E28B2DB" w:rsidR="00703D91" w:rsidRDefault="00703D91" w:rsidP="00703D91">
            <w:pPr>
              <w:rPr>
                <w:rFonts w:cs="Arial"/>
              </w:rPr>
            </w:pPr>
            <w:r>
              <w:t>82 (3,25%)</w:t>
            </w:r>
          </w:p>
        </w:tc>
        <w:tc>
          <w:tcPr>
            <w:tcW w:w="1764" w:type="dxa"/>
          </w:tcPr>
          <w:p w14:paraId="79383D33" w14:textId="5A6260DC" w:rsidR="00703D91" w:rsidRDefault="00703D91" w:rsidP="00703D91">
            <w:pPr>
              <w:rPr>
                <w:rFonts w:cs="Arial"/>
              </w:rPr>
            </w:pPr>
            <w:r>
              <w:t>39 (2.86%)</w:t>
            </w:r>
          </w:p>
        </w:tc>
      </w:tr>
      <w:tr w:rsidR="00703D91" w14:paraId="23170AE5" w14:textId="77777777" w:rsidTr="00703D91">
        <w:tc>
          <w:tcPr>
            <w:tcW w:w="1751" w:type="dxa"/>
            <w:vMerge/>
            <w:vAlign w:val="center"/>
          </w:tcPr>
          <w:p w14:paraId="34F26A8C" w14:textId="77777777" w:rsidR="00703D91" w:rsidRDefault="00703D91" w:rsidP="00703D91">
            <w:pPr>
              <w:rPr>
                <w:rFonts w:cs="Arial"/>
              </w:rPr>
            </w:pPr>
          </w:p>
        </w:tc>
        <w:tc>
          <w:tcPr>
            <w:tcW w:w="2509" w:type="dxa"/>
            <w:vAlign w:val="center"/>
          </w:tcPr>
          <w:p w14:paraId="52EE4983" w14:textId="0B2AC7F1" w:rsidR="00703D91" w:rsidRDefault="00703D91" w:rsidP="00703D91">
            <w:pPr>
              <w:rPr>
                <w:rFonts w:cs="Arial"/>
              </w:rPr>
            </w:pPr>
            <w:r>
              <w:t>Главоболие</w:t>
            </w:r>
          </w:p>
        </w:tc>
        <w:tc>
          <w:tcPr>
            <w:tcW w:w="1776" w:type="dxa"/>
            <w:vAlign w:val="center"/>
          </w:tcPr>
          <w:p w14:paraId="1A86F977" w14:textId="0345313C" w:rsidR="00703D91" w:rsidRDefault="00703D91" w:rsidP="00703D91">
            <w:pPr>
              <w:rPr>
                <w:rFonts w:cs="Arial"/>
              </w:rPr>
            </w:pPr>
            <w:r>
              <w:t>68 (4,01%)</w:t>
            </w:r>
          </w:p>
        </w:tc>
        <w:tc>
          <w:tcPr>
            <w:tcW w:w="1776" w:type="dxa"/>
            <w:vAlign w:val="center"/>
          </w:tcPr>
          <w:p w14:paraId="471CF9A9" w14:textId="107E859E" w:rsidR="00703D91" w:rsidRDefault="00703D91" w:rsidP="00703D91">
            <w:pPr>
              <w:rPr>
                <w:rFonts w:cs="Arial"/>
              </w:rPr>
            </w:pPr>
            <w:r>
              <w:t>90 (3,56%)</w:t>
            </w:r>
          </w:p>
        </w:tc>
        <w:tc>
          <w:tcPr>
            <w:tcW w:w="1764" w:type="dxa"/>
            <w:vAlign w:val="bottom"/>
          </w:tcPr>
          <w:p w14:paraId="3DA2A169" w14:textId="60D8C86E" w:rsidR="00703D91" w:rsidRDefault="00703D91" w:rsidP="00703D91">
            <w:pPr>
              <w:rPr>
                <w:rFonts w:cs="Arial"/>
              </w:rPr>
            </w:pPr>
            <w:r>
              <w:t>46 (3.38%)</w:t>
            </w:r>
          </w:p>
        </w:tc>
      </w:tr>
      <w:tr w:rsidR="00703D91" w14:paraId="18AB922D" w14:textId="77777777" w:rsidTr="00703D91">
        <w:tc>
          <w:tcPr>
            <w:tcW w:w="1751" w:type="dxa"/>
            <w:vAlign w:val="center"/>
          </w:tcPr>
          <w:p w14:paraId="4609AD30" w14:textId="778E001F" w:rsidR="00703D91" w:rsidRDefault="00703D91" w:rsidP="00703D91">
            <w:pPr>
              <w:rPr>
                <w:rFonts w:cs="Arial"/>
              </w:rPr>
            </w:pPr>
            <w:r>
              <w:t>Нечести</w:t>
            </w:r>
          </w:p>
        </w:tc>
        <w:tc>
          <w:tcPr>
            <w:tcW w:w="2509" w:type="dxa"/>
            <w:vAlign w:val="center"/>
          </w:tcPr>
          <w:p w14:paraId="7C45D48A" w14:textId="1DA78F23" w:rsidR="00703D91" w:rsidRDefault="00703D91" w:rsidP="00703D91">
            <w:pPr>
              <w:rPr>
                <w:rFonts w:cs="Arial"/>
              </w:rPr>
            </w:pPr>
            <w:r>
              <w:t>Виене на свят</w:t>
            </w:r>
          </w:p>
        </w:tc>
        <w:tc>
          <w:tcPr>
            <w:tcW w:w="1776" w:type="dxa"/>
            <w:vAlign w:val="center"/>
          </w:tcPr>
          <w:p w14:paraId="1DF7A4A0" w14:textId="402AFE84" w:rsidR="00703D91" w:rsidRDefault="00703D91" w:rsidP="00703D91">
            <w:pPr>
              <w:rPr>
                <w:rFonts w:cs="Arial"/>
              </w:rPr>
            </w:pPr>
            <w:r>
              <w:t>14 (0,83%)</w:t>
            </w:r>
          </w:p>
        </w:tc>
        <w:tc>
          <w:tcPr>
            <w:tcW w:w="1776" w:type="dxa"/>
            <w:vAlign w:val="center"/>
          </w:tcPr>
          <w:p w14:paraId="40735695" w14:textId="4C72EEC3" w:rsidR="00703D91" w:rsidRDefault="00703D91" w:rsidP="00703D91">
            <w:pPr>
              <w:rPr>
                <w:rFonts w:cs="Arial"/>
              </w:rPr>
            </w:pPr>
            <w:r>
              <w:t>23 (0,91%)</w:t>
            </w:r>
          </w:p>
        </w:tc>
        <w:tc>
          <w:tcPr>
            <w:tcW w:w="1764" w:type="dxa"/>
            <w:vAlign w:val="bottom"/>
          </w:tcPr>
          <w:p w14:paraId="23CD5E68" w14:textId="703E7C63" w:rsidR="00703D91" w:rsidRDefault="00703D91" w:rsidP="00703D91">
            <w:pPr>
              <w:rPr>
                <w:rFonts w:cs="Arial"/>
              </w:rPr>
            </w:pPr>
            <w:r>
              <w:t>8 (0.59%)</w:t>
            </w:r>
          </w:p>
        </w:tc>
      </w:tr>
      <w:tr w:rsidR="00703D91" w14:paraId="50064DAB" w14:textId="77777777" w:rsidTr="00703D91">
        <w:tc>
          <w:tcPr>
            <w:tcW w:w="9576" w:type="dxa"/>
            <w:gridSpan w:val="5"/>
          </w:tcPr>
          <w:p w14:paraId="44C83782" w14:textId="3368D7D8" w:rsidR="00703D91" w:rsidRPr="00703D91" w:rsidRDefault="00703D91" w:rsidP="00703D91">
            <w:pPr>
              <w:rPr>
                <w:sz w:val="24"/>
                <w:szCs w:val="24"/>
              </w:rPr>
            </w:pPr>
            <w:r w:rsidRPr="00703D91">
              <w:rPr>
                <w:lang w:eastAsia="bg-BG"/>
              </w:rPr>
              <w:t>Нарушения на ухото и лабиринта</w:t>
            </w:r>
          </w:p>
        </w:tc>
      </w:tr>
      <w:tr w:rsidR="00703D91" w14:paraId="5FBBA4F6" w14:textId="77777777" w:rsidTr="00703D91">
        <w:tc>
          <w:tcPr>
            <w:tcW w:w="1751" w:type="dxa"/>
            <w:vMerge w:val="restart"/>
          </w:tcPr>
          <w:p w14:paraId="1CDE71FD" w14:textId="3867CF51" w:rsidR="00703D91" w:rsidRDefault="00703D91" w:rsidP="00703D91">
            <w:pPr>
              <w:rPr>
                <w:rFonts w:cs="Arial"/>
              </w:rPr>
            </w:pPr>
            <w:r>
              <w:t>Нечести</w:t>
            </w:r>
          </w:p>
        </w:tc>
        <w:tc>
          <w:tcPr>
            <w:tcW w:w="2509" w:type="dxa"/>
            <w:vAlign w:val="bottom"/>
          </w:tcPr>
          <w:p w14:paraId="1CC7BAB9" w14:textId="018922B5" w:rsidR="00703D91" w:rsidRDefault="00703D91" w:rsidP="00703D91">
            <w:pPr>
              <w:rPr>
                <w:rFonts w:cs="Arial"/>
              </w:rPr>
            </w:pPr>
            <w:r>
              <w:t>Тинитус</w:t>
            </w:r>
          </w:p>
        </w:tc>
        <w:tc>
          <w:tcPr>
            <w:tcW w:w="1776" w:type="dxa"/>
            <w:vAlign w:val="bottom"/>
          </w:tcPr>
          <w:p w14:paraId="35530D72" w14:textId="050529C9" w:rsidR="00703D91" w:rsidRDefault="00703D91" w:rsidP="00703D91">
            <w:pPr>
              <w:rPr>
                <w:rFonts w:cs="Arial"/>
              </w:rPr>
            </w:pPr>
            <w:r>
              <w:t>2 (0,12%)</w:t>
            </w:r>
          </w:p>
        </w:tc>
        <w:tc>
          <w:tcPr>
            <w:tcW w:w="1776" w:type="dxa"/>
            <w:vAlign w:val="bottom"/>
          </w:tcPr>
          <w:p w14:paraId="4E3797C5" w14:textId="3220C80F" w:rsidR="00703D91" w:rsidRDefault="00703D91" w:rsidP="00703D91">
            <w:pPr>
              <w:rPr>
                <w:rFonts w:cs="Arial"/>
              </w:rPr>
            </w:pPr>
            <w:r>
              <w:t>2 (0,08%)</w:t>
            </w:r>
          </w:p>
        </w:tc>
        <w:tc>
          <w:tcPr>
            <w:tcW w:w="1764" w:type="dxa"/>
            <w:vAlign w:val="bottom"/>
          </w:tcPr>
          <w:p w14:paraId="45C633BD" w14:textId="2EA7A3BA" w:rsidR="00703D91" w:rsidRDefault="00703D91" w:rsidP="00703D91">
            <w:pPr>
              <w:rPr>
                <w:rFonts w:cs="Arial"/>
              </w:rPr>
            </w:pPr>
            <w:r>
              <w:t>0 (0.0%)</w:t>
            </w:r>
          </w:p>
        </w:tc>
      </w:tr>
      <w:tr w:rsidR="00703D91" w14:paraId="5F52C5B6" w14:textId="77777777" w:rsidTr="00703D91">
        <w:tc>
          <w:tcPr>
            <w:tcW w:w="1751" w:type="dxa"/>
            <w:vMerge/>
          </w:tcPr>
          <w:p w14:paraId="3CB46043" w14:textId="77777777" w:rsidR="00703D91" w:rsidRDefault="00703D91" w:rsidP="00703D91">
            <w:pPr>
              <w:rPr>
                <w:rFonts w:cs="Arial"/>
              </w:rPr>
            </w:pPr>
          </w:p>
        </w:tc>
        <w:tc>
          <w:tcPr>
            <w:tcW w:w="2509" w:type="dxa"/>
            <w:vAlign w:val="bottom"/>
          </w:tcPr>
          <w:p w14:paraId="6EDDBD95" w14:textId="7040DA91" w:rsidR="00703D91" w:rsidRDefault="00703D91" w:rsidP="00703D91">
            <w:pPr>
              <w:rPr>
                <w:rFonts w:cs="Arial"/>
              </w:rPr>
            </w:pPr>
            <w:r>
              <w:t>Вертиго</w:t>
            </w:r>
          </w:p>
        </w:tc>
        <w:tc>
          <w:tcPr>
            <w:tcW w:w="1776" w:type="dxa"/>
            <w:vAlign w:val="bottom"/>
          </w:tcPr>
          <w:p w14:paraId="4BBEF5C3" w14:textId="030DD385" w:rsidR="00703D91" w:rsidRDefault="00703D91" w:rsidP="00703D91">
            <w:pPr>
              <w:rPr>
                <w:rFonts w:cs="Arial"/>
              </w:rPr>
            </w:pPr>
            <w:r>
              <w:t>3 (0,18%)</w:t>
            </w:r>
          </w:p>
        </w:tc>
        <w:tc>
          <w:tcPr>
            <w:tcW w:w="1776" w:type="dxa"/>
            <w:vAlign w:val="bottom"/>
          </w:tcPr>
          <w:p w14:paraId="77E724C2" w14:textId="4478414D" w:rsidR="00703D91" w:rsidRDefault="00703D91" w:rsidP="00703D91">
            <w:pPr>
              <w:rPr>
                <w:rFonts w:cs="Arial"/>
              </w:rPr>
            </w:pPr>
            <w:r>
              <w:t>3 (0,12%)</w:t>
            </w:r>
          </w:p>
        </w:tc>
        <w:tc>
          <w:tcPr>
            <w:tcW w:w="1764" w:type="dxa"/>
            <w:vAlign w:val="bottom"/>
          </w:tcPr>
          <w:p w14:paraId="797A2E65" w14:textId="546DF25A" w:rsidR="00703D91" w:rsidRDefault="00703D91" w:rsidP="00703D91">
            <w:pPr>
              <w:rPr>
                <w:rFonts w:cs="Arial"/>
              </w:rPr>
            </w:pPr>
            <w:r>
              <w:t>0 (0.0%)</w:t>
            </w:r>
          </w:p>
        </w:tc>
      </w:tr>
      <w:tr w:rsidR="00703D91" w14:paraId="29C361FA" w14:textId="77777777" w:rsidTr="00703D91">
        <w:tc>
          <w:tcPr>
            <w:tcW w:w="9576" w:type="dxa"/>
            <w:gridSpan w:val="5"/>
          </w:tcPr>
          <w:p w14:paraId="255ADC55" w14:textId="33DFB3E7" w:rsidR="00703D91" w:rsidRPr="00703D91" w:rsidRDefault="00703D91" w:rsidP="00703D91">
            <w:pPr>
              <w:rPr>
                <w:sz w:val="24"/>
                <w:szCs w:val="24"/>
              </w:rPr>
            </w:pPr>
            <w:r w:rsidRPr="00703D91">
              <w:rPr>
                <w:lang w:eastAsia="bg-BG"/>
              </w:rPr>
              <w:t>Сърдечни нарушения</w:t>
            </w:r>
          </w:p>
        </w:tc>
      </w:tr>
      <w:tr w:rsidR="00703D91" w14:paraId="094C48B8" w14:textId="77777777" w:rsidTr="00703D91">
        <w:tc>
          <w:tcPr>
            <w:tcW w:w="1751" w:type="dxa"/>
            <w:vMerge w:val="restart"/>
          </w:tcPr>
          <w:p w14:paraId="47927708" w14:textId="0B14F104" w:rsidR="00703D91" w:rsidRDefault="00703D91" w:rsidP="00703D91">
            <w:pPr>
              <w:rPr>
                <w:rFonts w:cs="Arial"/>
              </w:rPr>
            </w:pPr>
            <w:r>
              <w:lastRenderedPageBreak/>
              <w:t>Нечести</w:t>
            </w:r>
          </w:p>
        </w:tc>
        <w:tc>
          <w:tcPr>
            <w:tcW w:w="2509" w:type="dxa"/>
            <w:vAlign w:val="center"/>
          </w:tcPr>
          <w:p w14:paraId="58ED451F" w14:textId="3D6EDE46" w:rsidR="00703D91" w:rsidRDefault="00703D91" w:rsidP="00703D91">
            <w:pPr>
              <w:rPr>
                <w:rFonts w:cs="Arial"/>
              </w:rPr>
            </w:pPr>
            <w:r>
              <w:t>Десен бедрен блок</w:t>
            </w:r>
          </w:p>
        </w:tc>
        <w:tc>
          <w:tcPr>
            <w:tcW w:w="1776" w:type="dxa"/>
            <w:vAlign w:val="center"/>
          </w:tcPr>
          <w:p w14:paraId="2181A096" w14:textId="615209A1" w:rsidR="00703D91" w:rsidRDefault="00703D91" w:rsidP="00703D91">
            <w:pPr>
              <w:rPr>
                <w:rFonts w:cs="Arial"/>
              </w:rPr>
            </w:pPr>
            <w:r>
              <w:t>4 (0,24%)</w:t>
            </w:r>
          </w:p>
        </w:tc>
        <w:tc>
          <w:tcPr>
            <w:tcW w:w="1776" w:type="dxa"/>
            <w:vAlign w:val="center"/>
          </w:tcPr>
          <w:p w14:paraId="04FA6AAB" w14:textId="23485C67" w:rsidR="00703D91" w:rsidRDefault="00703D91" w:rsidP="00703D91">
            <w:pPr>
              <w:rPr>
                <w:rFonts w:cs="Arial"/>
              </w:rPr>
            </w:pPr>
            <w:r>
              <w:t>5 (0,20%)</w:t>
            </w:r>
          </w:p>
        </w:tc>
        <w:tc>
          <w:tcPr>
            <w:tcW w:w="1764" w:type="dxa"/>
            <w:vAlign w:val="bottom"/>
          </w:tcPr>
          <w:p w14:paraId="15DAE33D" w14:textId="2A0D9903" w:rsidR="00703D91" w:rsidRDefault="00703D91" w:rsidP="00703D91">
            <w:pPr>
              <w:rPr>
                <w:rFonts w:cs="Arial"/>
              </w:rPr>
            </w:pPr>
            <w:r>
              <w:t>3 (0.22%)</w:t>
            </w:r>
          </w:p>
        </w:tc>
      </w:tr>
      <w:tr w:rsidR="00703D91" w14:paraId="5772D9F6" w14:textId="77777777" w:rsidTr="00703D91">
        <w:tc>
          <w:tcPr>
            <w:tcW w:w="1751" w:type="dxa"/>
            <w:vMerge/>
          </w:tcPr>
          <w:p w14:paraId="4E8E7F1A" w14:textId="77777777" w:rsidR="00703D91" w:rsidRDefault="00703D91" w:rsidP="00703D91">
            <w:pPr>
              <w:rPr>
                <w:rFonts w:cs="Arial"/>
              </w:rPr>
            </w:pPr>
          </w:p>
        </w:tc>
        <w:tc>
          <w:tcPr>
            <w:tcW w:w="2509" w:type="dxa"/>
            <w:vAlign w:val="center"/>
          </w:tcPr>
          <w:p w14:paraId="4BAEF47E" w14:textId="66B3C767" w:rsidR="00703D91" w:rsidRDefault="00703D91" w:rsidP="00703D91">
            <w:pPr>
              <w:rPr>
                <w:rFonts w:cs="Arial"/>
              </w:rPr>
            </w:pPr>
            <w:r>
              <w:t>Синусова аритмия</w:t>
            </w:r>
          </w:p>
        </w:tc>
        <w:tc>
          <w:tcPr>
            <w:tcW w:w="1776" w:type="dxa"/>
            <w:vAlign w:val="center"/>
          </w:tcPr>
          <w:p w14:paraId="11E65CC5" w14:textId="19F5A6EB" w:rsidR="00703D91" w:rsidRDefault="00703D91" w:rsidP="00703D91">
            <w:pPr>
              <w:rPr>
                <w:rFonts w:cs="Arial"/>
              </w:rPr>
            </w:pPr>
            <w:r>
              <w:t>5 (0,30%)</w:t>
            </w:r>
          </w:p>
        </w:tc>
        <w:tc>
          <w:tcPr>
            <w:tcW w:w="1776" w:type="dxa"/>
            <w:vAlign w:val="center"/>
          </w:tcPr>
          <w:p w14:paraId="4D81A09F" w14:textId="00113973" w:rsidR="00703D91" w:rsidRDefault="00703D91" w:rsidP="00703D91">
            <w:pPr>
              <w:rPr>
                <w:rFonts w:cs="Arial"/>
              </w:rPr>
            </w:pPr>
            <w:r>
              <w:t>5 (0,20%)</w:t>
            </w:r>
          </w:p>
        </w:tc>
        <w:tc>
          <w:tcPr>
            <w:tcW w:w="1764" w:type="dxa"/>
            <w:vAlign w:val="bottom"/>
          </w:tcPr>
          <w:p w14:paraId="00FBD04D" w14:textId="2FD5AD78" w:rsidR="00703D91" w:rsidRDefault="00703D91" w:rsidP="00703D91">
            <w:pPr>
              <w:rPr>
                <w:rFonts w:cs="Arial"/>
              </w:rPr>
            </w:pPr>
            <w:r>
              <w:t>1 (0.07%)</w:t>
            </w:r>
          </w:p>
        </w:tc>
      </w:tr>
      <w:tr w:rsidR="00703D91" w14:paraId="21ABE9EF" w14:textId="77777777" w:rsidTr="00703D91">
        <w:tc>
          <w:tcPr>
            <w:tcW w:w="1751" w:type="dxa"/>
            <w:vMerge/>
          </w:tcPr>
          <w:p w14:paraId="6C2090DA" w14:textId="77777777" w:rsidR="00703D91" w:rsidRDefault="00703D91" w:rsidP="00703D91">
            <w:pPr>
              <w:rPr>
                <w:rFonts w:cs="Arial"/>
              </w:rPr>
            </w:pPr>
          </w:p>
        </w:tc>
        <w:tc>
          <w:tcPr>
            <w:tcW w:w="2509" w:type="dxa"/>
            <w:vAlign w:val="bottom"/>
          </w:tcPr>
          <w:p w14:paraId="3861E25F" w14:textId="336CB361" w:rsidR="00703D91" w:rsidRDefault="00703D91" w:rsidP="00703D91">
            <w:pPr>
              <w:rPr>
                <w:rFonts w:cs="Arial"/>
              </w:rPr>
            </w:pPr>
            <w:r>
              <w:t xml:space="preserve">Удължен </w:t>
            </w:r>
            <w:r>
              <w:rPr>
                <w:lang w:val="en-US"/>
              </w:rPr>
              <w:t>QT</w:t>
            </w:r>
            <w:r w:rsidRPr="00703D91">
              <w:rPr>
                <w:lang w:val="ru-RU"/>
              </w:rPr>
              <w:t xml:space="preserve"> </w:t>
            </w:r>
            <w:r>
              <w:t>интервал в елекгрокардиограма</w:t>
            </w:r>
          </w:p>
        </w:tc>
        <w:tc>
          <w:tcPr>
            <w:tcW w:w="1776" w:type="dxa"/>
            <w:vAlign w:val="center"/>
          </w:tcPr>
          <w:p w14:paraId="1E363500" w14:textId="6C2A6F18" w:rsidR="00703D91" w:rsidRDefault="00703D91" w:rsidP="00703D91">
            <w:pPr>
              <w:rPr>
                <w:rFonts w:cs="Arial"/>
              </w:rPr>
            </w:pPr>
            <w:r>
              <w:t>9 (0,53%)</w:t>
            </w:r>
          </w:p>
        </w:tc>
        <w:tc>
          <w:tcPr>
            <w:tcW w:w="1776" w:type="dxa"/>
            <w:vAlign w:val="center"/>
          </w:tcPr>
          <w:p w14:paraId="209BF65A" w14:textId="32F4EA46" w:rsidR="00703D91" w:rsidRDefault="00703D91" w:rsidP="00703D91">
            <w:pPr>
              <w:rPr>
                <w:rFonts w:cs="Arial"/>
              </w:rPr>
            </w:pPr>
            <w:r>
              <w:t>10 (0,40%)</w:t>
            </w:r>
          </w:p>
        </w:tc>
        <w:tc>
          <w:tcPr>
            <w:tcW w:w="1764" w:type="dxa"/>
            <w:vAlign w:val="bottom"/>
          </w:tcPr>
          <w:p w14:paraId="1A469AC3" w14:textId="78CC5153" w:rsidR="00703D91" w:rsidRDefault="00703D91" w:rsidP="00703D91">
            <w:pPr>
              <w:rPr>
                <w:rFonts w:cs="Arial"/>
              </w:rPr>
            </w:pPr>
            <w:r>
              <w:t>5 (0.37%)</w:t>
            </w:r>
          </w:p>
        </w:tc>
      </w:tr>
      <w:tr w:rsidR="00703D91" w14:paraId="2BE2E619" w14:textId="77777777" w:rsidTr="00703D91">
        <w:tc>
          <w:tcPr>
            <w:tcW w:w="1751" w:type="dxa"/>
            <w:vMerge/>
          </w:tcPr>
          <w:p w14:paraId="5B3A270D" w14:textId="77777777" w:rsidR="00703D91" w:rsidRDefault="00703D91" w:rsidP="00703D91">
            <w:pPr>
              <w:rPr>
                <w:rFonts w:cs="Arial"/>
              </w:rPr>
            </w:pPr>
          </w:p>
        </w:tc>
        <w:tc>
          <w:tcPr>
            <w:tcW w:w="2509" w:type="dxa"/>
            <w:vAlign w:val="bottom"/>
          </w:tcPr>
          <w:p w14:paraId="60F90486" w14:textId="5158CB72" w:rsidR="00703D91" w:rsidRDefault="00703D91" w:rsidP="00703D91">
            <w:pPr>
              <w:rPr>
                <w:rFonts w:cs="Arial"/>
              </w:rPr>
            </w:pPr>
            <w:r>
              <w:t>Други отклонения в ЕКГ</w:t>
            </w:r>
          </w:p>
        </w:tc>
        <w:tc>
          <w:tcPr>
            <w:tcW w:w="1776" w:type="dxa"/>
            <w:vAlign w:val="bottom"/>
          </w:tcPr>
          <w:p w14:paraId="4C2F6A9C" w14:textId="5681BCA3" w:rsidR="00703D91" w:rsidRDefault="00703D91" w:rsidP="00703D91">
            <w:pPr>
              <w:rPr>
                <w:rFonts w:cs="Arial"/>
              </w:rPr>
            </w:pPr>
            <w:r>
              <w:t>7(0,41%)</w:t>
            </w:r>
          </w:p>
        </w:tc>
        <w:tc>
          <w:tcPr>
            <w:tcW w:w="1776" w:type="dxa"/>
            <w:vAlign w:val="bottom"/>
          </w:tcPr>
          <w:p w14:paraId="5219CC05" w14:textId="4A2EAC74" w:rsidR="00703D91" w:rsidRDefault="00703D91" w:rsidP="00703D91">
            <w:pPr>
              <w:rPr>
                <w:rFonts w:cs="Arial"/>
              </w:rPr>
            </w:pPr>
            <w:r>
              <w:t>11 (0,44%)</w:t>
            </w:r>
          </w:p>
        </w:tc>
        <w:tc>
          <w:tcPr>
            <w:tcW w:w="1764" w:type="dxa"/>
          </w:tcPr>
          <w:p w14:paraId="42B4C47E" w14:textId="7B9AC5EA" w:rsidR="00703D91" w:rsidRDefault="00703D91" w:rsidP="00703D91">
            <w:pPr>
              <w:rPr>
                <w:rFonts w:cs="Arial"/>
              </w:rPr>
            </w:pPr>
            <w:r>
              <w:t>2 (0.15%)</w:t>
            </w:r>
          </w:p>
        </w:tc>
      </w:tr>
      <w:tr w:rsidR="00703D91" w14:paraId="4F3814DA" w14:textId="77777777" w:rsidTr="00703D91">
        <w:tc>
          <w:tcPr>
            <w:tcW w:w="9576" w:type="dxa"/>
            <w:gridSpan w:val="5"/>
          </w:tcPr>
          <w:p w14:paraId="7568C41A" w14:textId="23B6F041" w:rsidR="00703D91" w:rsidRPr="00703D91" w:rsidRDefault="00703D91" w:rsidP="00703D91">
            <w:pPr>
              <w:rPr>
                <w:sz w:val="24"/>
                <w:szCs w:val="24"/>
              </w:rPr>
            </w:pPr>
            <w:r w:rsidRPr="00703D91">
              <w:rPr>
                <w:lang w:eastAsia="bg-BG"/>
              </w:rPr>
              <w:t>Респираторни, гръдни и медиастинални нарушения</w:t>
            </w:r>
          </w:p>
        </w:tc>
      </w:tr>
      <w:tr w:rsidR="00703D91" w14:paraId="1B98A27B" w14:textId="77777777" w:rsidTr="00703D91">
        <w:tc>
          <w:tcPr>
            <w:tcW w:w="1751" w:type="dxa"/>
            <w:vMerge w:val="restart"/>
          </w:tcPr>
          <w:p w14:paraId="3584CF54" w14:textId="3B1CC54E" w:rsidR="00703D91" w:rsidRDefault="00703D91" w:rsidP="00703D91">
            <w:pPr>
              <w:rPr>
                <w:rFonts w:cs="Arial"/>
              </w:rPr>
            </w:pPr>
            <w:r>
              <w:t>Нечести</w:t>
            </w:r>
          </w:p>
        </w:tc>
        <w:tc>
          <w:tcPr>
            <w:tcW w:w="2509" w:type="dxa"/>
            <w:vAlign w:val="bottom"/>
          </w:tcPr>
          <w:p w14:paraId="4312A514" w14:textId="59CA0DB0" w:rsidR="00703D91" w:rsidRDefault="00703D91" w:rsidP="00703D91">
            <w:pPr>
              <w:rPr>
                <w:rFonts w:cs="Arial"/>
              </w:rPr>
            </w:pPr>
            <w:r>
              <w:t>Дислнея</w:t>
            </w:r>
          </w:p>
        </w:tc>
        <w:tc>
          <w:tcPr>
            <w:tcW w:w="1776" w:type="dxa"/>
            <w:vAlign w:val="bottom"/>
          </w:tcPr>
          <w:p w14:paraId="3D53C8C2" w14:textId="377BF64D" w:rsidR="00703D91" w:rsidRDefault="00703D91" w:rsidP="00703D91">
            <w:pPr>
              <w:rPr>
                <w:rFonts w:cs="Arial"/>
              </w:rPr>
            </w:pPr>
            <w:r>
              <w:t>2(0,12%)</w:t>
            </w:r>
          </w:p>
        </w:tc>
        <w:tc>
          <w:tcPr>
            <w:tcW w:w="1776" w:type="dxa"/>
            <w:vAlign w:val="bottom"/>
          </w:tcPr>
          <w:p w14:paraId="524981CF" w14:textId="29A4A7E3" w:rsidR="00703D91" w:rsidRDefault="00703D91" w:rsidP="00703D91">
            <w:pPr>
              <w:rPr>
                <w:rFonts w:cs="Arial"/>
              </w:rPr>
            </w:pPr>
            <w:r>
              <w:t>2 (0,08%)</w:t>
            </w:r>
          </w:p>
        </w:tc>
        <w:tc>
          <w:tcPr>
            <w:tcW w:w="1764" w:type="dxa"/>
            <w:vAlign w:val="bottom"/>
          </w:tcPr>
          <w:p w14:paraId="6905B90A" w14:textId="2CC986FC" w:rsidR="00703D91" w:rsidRDefault="00703D91" w:rsidP="00703D91">
            <w:pPr>
              <w:rPr>
                <w:rFonts w:cs="Arial"/>
              </w:rPr>
            </w:pPr>
            <w:r>
              <w:t>0 (0.0%)</w:t>
            </w:r>
          </w:p>
        </w:tc>
      </w:tr>
      <w:tr w:rsidR="00703D91" w14:paraId="20FCAB4E" w14:textId="77777777" w:rsidTr="00703D91">
        <w:tc>
          <w:tcPr>
            <w:tcW w:w="1751" w:type="dxa"/>
            <w:vMerge/>
          </w:tcPr>
          <w:p w14:paraId="499E0719" w14:textId="77777777" w:rsidR="00703D91" w:rsidRDefault="00703D91" w:rsidP="00703D91">
            <w:pPr>
              <w:rPr>
                <w:rFonts w:cs="Arial"/>
              </w:rPr>
            </w:pPr>
          </w:p>
        </w:tc>
        <w:tc>
          <w:tcPr>
            <w:tcW w:w="2509" w:type="dxa"/>
            <w:vAlign w:val="bottom"/>
          </w:tcPr>
          <w:p w14:paraId="4E832FAF" w14:textId="4A4C2B04" w:rsidR="00703D91" w:rsidRDefault="00703D91" w:rsidP="00703D91">
            <w:pPr>
              <w:rPr>
                <w:rFonts w:cs="Arial"/>
              </w:rPr>
            </w:pPr>
            <w:r>
              <w:t>Дискомфорт в носа</w:t>
            </w:r>
          </w:p>
        </w:tc>
        <w:tc>
          <w:tcPr>
            <w:tcW w:w="1776" w:type="dxa"/>
            <w:vAlign w:val="bottom"/>
          </w:tcPr>
          <w:p w14:paraId="19C9321B" w14:textId="671B1E81" w:rsidR="00703D91" w:rsidRDefault="00703D91" w:rsidP="00703D91">
            <w:pPr>
              <w:rPr>
                <w:rFonts w:cs="Arial"/>
              </w:rPr>
            </w:pPr>
            <w:r>
              <w:t>2(0,12%)</w:t>
            </w:r>
          </w:p>
        </w:tc>
        <w:tc>
          <w:tcPr>
            <w:tcW w:w="1776" w:type="dxa"/>
            <w:vAlign w:val="bottom"/>
          </w:tcPr>
          <w:p w14:paraId="5693EE01" w14:textId="166E23D7" w:rsidR="00703D91" w:rsidRDefault="00703D91" w:rsidP="00703D91">
            <w:pPr>
              <w:rPr>
                <w:rFonts w:cs="Arial"/>
              </w:rPr>
            </w:pPr>
            <w:r>
              <w:t>2 (0,08%)</w:t>
            </w:r>
          </w:p>
        </w:tc>
        <w:tc>
          <w:tcPr>
            <w:tcW w:w="1764" w:type="dxa"/>
            <w:vAlign w:val="bottom"/>
          </w:tcPr>
          <w:p w14:paraId="041E7F0C" w14:textId="1A61B4F1" w:rsidR="00703D91" w:rsidRDefault="00703D91" w:rsidP="00703D91">
            <w:pPr>
              <w:rPr>
                <w:rFonts w:cs="Arial"/>
              </w:rPr>
            </w:pPr>
            <w:r>
              <w:t>0 (0.0%)</w:t>
            </w:r>
          </w:p>
        </w:tc>
      </w:tr>
      <w:tr w:rsidR="00703D91" w14:paraId="1E23A0AD" w14:textId="77777777" w:rsidTr="00703D91">
        <w:tc>
          <w:tcPr>
            <w:tcW w:w="1751" w:type="dxa"/>
            <w:vMerge/>
          </w:tcPr>
          <w:p w14:paraId="18448ECE" w14:textId="77777777" w:rsidR="00703D91" w:rsidRDefault="00703D91" w:rsidP="00703D91">
            <w:pPr>
              <w:rPr>
                <w:rFonts w:cs="Arial"/>
              </w:rPr>
            </w:pPr>
          </w:p>
        </w:tc>
        <w:tc>
          <w:tcPr>
            <w:tcW w:w="2509" w:type="dxa"/>
            <w:vAlign w:val="bottom"/>
          </w:tcPr>
          <w:p w14:paraId="1927228B" w14:textId="3167401E" w:rsidR="00703D91" w:rsidRDefault="00703D91" w:rsidP="00703D91">
            <w:pPr>
              <w:rPr>
                <w:rFonts w:cs="Arial"/>
              </w:rPr>
            </w:pPr>
            <w:r>
              <w:t>Сухота в носа</w:t>
            </w:r>
          </w:p>
        </w:tc>
        <w:tc>
          <w:tcPr>
            <w:tcW w:w="1776" w:type="dxa"/>
            <w:vAlign w:val="bottom"/>
          </w:tcPr>
          <w:p w14:paraId="0D6500B2" w14:textId="61138C13" w:rsidR="00703D91" w:rsidRDefault="00703D91" w:rsidP="00703D91">
            <w:pPr>
              <w:rPr>
                <w:rFonts w:cs="Arial"/>
              </w:rPr>
            </w:pPr>
            <w:r>
              <w:t>3(0,18%)</w:t>
            </w:r>
          </w:p>
        </w:tc>
        <w:tc>
          <w:tcPr>
            <w:tcW w:w="1776" w:type="dxa"/>
            <w:vAlign w:val="bottom"/>
          </w:tcPr>
          <w:p w14:paraId="76D86A1A" w14:textId="45F19230" w:rsidR="00703D91" w:rsidRDefault="00703D91" w:rsidP="00703D91">
            <w:pPr>
              <w:rPr>
                <w:rFonts w:cs="Arial"/>
              </w:rPr>
            </w:pPr>
            <w:r>
              <w:t>6 (0,24%)</w:t>
            </w:r>
          </w:p>
        </w:tc>
        <w:tc>
          <w:tcPr>
            <w:tcW w:w="1764" w:type="dxa"/>
          </w:tcPr>
          <w:p w14:paraId="676B658C" w14:textId="5F821ABF" w:rsidR="00703D91" w:rsidRDefault="00703D91" w:rsidP="00703D91">
            <w:pPr>
              <w:rPr>
                <w:rFonts w:cs="Arial"/>
              </w:rPr>
            </w:pPr>
            <w:r>
              <w:t>4 (0.29%)</w:t>
            </w:r>
          </w:p>
        </w:tc>
      </w:tr>
      <w:tr w:rsidR="00703D91" w14:paraId="2919BE55" w14:textId="77777777" w:rsidTr="00703D91">
        <w:tc>
          <w:tcPr>
            <w:tcW w:w="9576" w:type="dxa"/>
            <w:gridSpan w:val="5"/>
          </w:tcPr>
          <w:p w14:paraId="7CE64609" w14:textId="7B938156" w:rsidR="00703D91" w:rsidRPr="00703D91" w:rsidRDefault="00703D91" w:rsidP="00703D91">
            <w:pPr>
              <w:rPr>
                <w:sz w:val="24"/>
                <w:szCs w:val="24"/>
              </w:rPr>
            </w:pPr>
            <w:r w:rsidRPr="00703D91">
              <w:rPr>
                <w:lang w:eastAsia="bg-BG"/>
              </w:rPr>
              <w:t>Стомашно-чревни нарушения</w:t>
            </w:r>
          </w:p>
        </w:tc>
      </w:tr>
      <w:tr w:rsidR="00703D91" w14:paraId="4FC98333" w14:textId="77777777" w:rsidTr="00703D91">
        <w:tc>
          <w:tcPr>
            <w:tcW w:w="1751" w:type="dxa"/>
            <w:vMerge w:val="restart"/>
          </w:tcPr>
          <w:p w14:paraId="5BA78E7B" w14:textId="366E4891" w:rsidR="00703D91" w:rsidRDefault="00703D91" w:rsidP="00703D91">
            <w:pPr>
              <w:rPr>
                <w:rFonts w:cs="Arial"/>
              </w:rPr>
            </w:pPr>
            <w:r>
              <w:t>Нечести</w:t>
            </w:r>
          </w:p>
        </w:tc>
        <w:tc>
          <w:tcPr>
            <w:tcW w:w="2509" w:type="dxa"/>
            <w:vAlign w:val="bottom"/>
          </w:tcPr>
          <w:p w14:paraId="4611E916" w14:textId="3FE2AB0F" w:rsidR="00703D91" w:rsidRDefault="00703D91" w:rsidP="00703D91">
            <w:pPr>
              <w:rPr>
                <w:rFonts w:cs="Arial"/>
              </w:rPr>
            </w:pPr>
            <w:r>
              <w:t>Болки в горната част на корема</w:t>
            </w:r>
          </w:p>
        </w:tc>
        <w:tc>
          <w:tcPr>
            <w:tcW w:w="1776" w:type="dxa"/>
            <w:vAlign w:val="center"/>
          </w:tcPr>
          <w:p w14:paraId="3827DA1E" w14:textId="75C923C1" w:rsidR="00703D91" w:rsidRDefault="00703D91" w:rsidP="00703D91">
            <w:pPr>
              <w:rPr>
                <w:rFonts w:cs="Arial"/>
              </w:rPr>
            </w:pPr>
            <w:r>
              <w:t>11 (0,65%)</w:t>
            </w:r>
          </w:p>
        </w:tc>
        <w:tc>
          <w:tcPr>
            <w:tcW w:w="1776" w:type="dxa"/>
          </w:tcPr>
          <w:p w14:paraId="6BE784AA" w14:textId="406DA3FE" w:rsidR="00703D91" w:rsidRDefault="00703D91" w:rsidP="00703D91">
            <w:pPr>
              <w:rPr>
                <w:rFonts w:cs="Arial"/>
              </w:rPr>
            </w:pPr>
            <w:r>
              <w:t>14(0,55%)</w:t>
            </w:r>
          </w:p>
        </w:tc>
        <w:tc>
          <w:tcPr>
            <w:tcW w:w="1764" w:type="dxa"/>
          </w:tcPr>
          <w:p w14:paraId="49390AEF" w14:textId="77777777" w:rsidR="00703D91" w:rsidRDefault="00703D91" w:rsidP="00703D91">
            <w:r>
              <w:t>6</w:t>
            </w:r>
          </w:p>
          <w:p w14:paraId="2BD970CF" w14:textId="2C654D7D" w:rsidR="00703D91" w:rsidRDefault="00703D91" w:rsidP="00703D91">
            <w:pPr>
              <w:rPr>
                <w:rFonts w:cs="Arial"/>
              </w:rPr>
            </w:pPr>
            <w:r>
              <w:t>(0.44%)</w:t>
            </w:r>
          </w:p>
        </w:tc>
      </w:tr>
      <w:tr w:rsidR="00703D91" w14:paraId="2B560609" w14:textId="77777777" w:rsidTr="00703D91">
        <w:tc>
          <w:tcPr>
            <w:tcW w:w="1751" w:type="dxa"/>
            <w:vMerge/>
          </w:tcPr>
          <w:p w14:paraId="00BB18BE" w14:textId="77777777" w:rsidR="00703D91" w:rsidRDefault="00703D91" w:rsidP="00703D91">
            <w:pPr>
              <w:rPr>
                <w:rFonts w:cs="Arial"/>
              </w:rPr>
            </w:pPr>
          </w:p>
        </w:tc>
        <w:tc>
          <w:tcPr>
            <w:tcW w:w="2509" w:type="dxa"/>
          </w:tcPr>
          <w:p w14:paraId="24B0E301" w14:textId="708AF765" w:rsidR="00703D91" w:rsidRDefault="00703D91" w:rsidP="00703D91">
            <w:pPr>
              <w:rPr>
                <w:rFonts w:cs="Arial"/>
              </w:rPr>
            </w:pPr>
            <w:r>
              <w:t>Коремни болки</w:t>
            </w:r>
          </w:p>
        </w:tc>
        <w:tc>
          <w:tcPr>
            <w:tcW w:w="1776" w:type="dxa"/>
          </w:tcPr>
          <w:p w14:paraId="310156C3" w14:textId="1E41CD90" w:rsidR="00703D91" w:rsidRDefault="00703D91" w:rsidP="00703D91">
            <w:pPr>
              <w:rPr>
                <w:rFonts w:cs="Arial"/>
              </w:rPr>
            </w:pPr>
            <w:r>
              <w:t>5 (0,30%)</w:t>
            </w:r>
          </w:p>
        </w:tc>
        <w:tc>
          <w:tcPr>
            <w:tcW w:w="1776" w:type="dxa"/>
          </w:tcPr>
          <w:p w14:paraId="1B6A3B11" w14:textId="5D77C821" w:rsidR="00703D91" w:rsidRDefault="00703D91" w:rsidP="00703D91">
            <w:pPr>
              <w:rPr>
                <w:rFonts w:cs="Arial"/>
              </w:rPr>
            </w:pPr>
            <w:r>
              <w:t>5 (0,20%)</w:t>
            </w:r>
          </w:p>
        </w:tc>
        <w:tc>
          <w:tcPr>
            <w:tcW w:w="1764" w:type="dxa"/>
          </w:tcPr>
          <w:p w14:paraId="57458A61" w14:textId="77777777" w:rsidR="00703D91" w:rsidRDefault="00703D91" w:rsidP="00703D91">
            <w:r>
              <w:t>4</w:t>
            </w:r>
          </w:p>
          <w:p w14:paraId="5568AA31" w14:textId="21DA96C3" w:rsidR="00703D91" w:rsidRDefault="00703D91" w:rsidP="00703D91">
            <w:pPr>
              <w:rPr>
                <w:rFonts w:cs="Arial"/>
              </w:rPr>
            </w:pPr>
            <w:r>
              <w:t>(0.29%)</w:t>
            </w:r>
          </w:p>
        </w:tc>
      </w:tr>
      <w:tr w:rsidR="00703D91" w14:paraId="2DFD5A81" w14:textId="77777777" w:rsidTr="00703D91">
        <w:tc>
          <w:tcPr>
            <w:tcW w:w="1751" w:type="dxa"/>
            <w:vMerge/>
          </w:tcPr>
          <w:p w14:paraId="1E325C8A" w14:textId="77777777" w:rsidR="00703D91" w:rsidRDefault="00703D91" w:rsidP="00703D91">
            <w:pPr>
              <w:rPr>
                <w:rFonts w:cs="Arial"/>
              </w:rPr>
            </w:pPr>
          </w:p>
        </w:tc>
        <w:tc>
          <w:tcPr>
            <w:tcW w:w="2509" w:type="dxa"/>
          </w:tcPr>
          <w:p w14:paraId="0D14E8BC" w14:textId="59D6836A" w:rsidR="00703D91" w:rsidRDefault="00703D91" w:rsidP="00703D91">
            <w:pPr>
              <w:rPr>
                <w:rFonts w:cs="Arial"/>
              </w:rPr>
            </w:pPr>
            <w:r>
              <w:t>Гадене</w:t>
            </w:r>
          </w:p>
        </w:tc>
        <w:tc>
          <w:tcPr>
            <w:tcW w:w="1776" w:type="dxa"/>
          </w:tcPr>
          <w:p w14:paraId="76313C86" w14:textId="157C6BC7" w:rsidR="00703D91" w:rsidRDefault="00703D91" w:rsidP="00703D91">
            <w:pPr>
              <w:rPr>
                <w:rFonts w:cs="Arial"/>
              </w:rPr>
            </w:pPr>
            <w:r>
              <w:t>7(0,41%)</w:t>
            </w:r>
          </w:p>
        </w:tc>
        <w:tc>
          <w:tcPr>
            <w:tcW w:w="1776" w:type="dxa"/>
          </w:tcPr>
          <w:p w14:paraId="59EBE4C7" w14:textId="613F64D8" w:rsidR="00703D91" w:rsidRDefault="00703D91" w:rsidP="00703D91">
            <w:pPr>
              <w:rPr>
                <w:rFonts w:cs="Arial"/>
              </w:rPr>
            </w:pPr>
            <w:r>
              <w:t>10(0,40%)</w:t>
            </w:r>
          </w:p>
        </w:tc>
        <w:tc>
          <w:tcPr>
            <w:tcW w:w="1764" w:type="dxa"/>
          </w:tcPr>
          <w:p w14:paraId="49B48920" w14:textId="580C8B1C" w:rsidR="00703D91" w:rsidRDefault="00703D91" w:rsidP="00703D91">
            <w:pPr>
              <w:rPr>
                <w:rFonts w:cs="Arial"/>
              </w:rPr>
            </w:pPr>
            <w:r>
              <w:t>14 (1.03%)</w:t>
            </w:r>
          </w:p>
        </w:tc>
      </w:tr>
      <w:tr w:rsidR="00703D91" w14:paraId="4BA23CF8" w14:textId="77777777" w:rsidTr="00703D91">
        <w:tc>
          <w:tcPr>
            <w:tcW w:w="1751" w:type="dxa"/>
            <w:vMerge/>
          </w:tcPr>
          <w:p w14:paraId="6B85E472" w14:textId="77777777" w:rsidR="00703D91" w:rsidRDefault="00703D91" w:rsidP="00703D91">
            <w:pPr>
              <w:rPr>
                <w:rFonts w:cs="Arial"/>
              </w:rPr>
            </w:pPr>
          </w:p>
        </w:tc>
        <w:tc>
          <w:tcPr>
            <w:tcW w:w="2509" w:type="dxa"/>
          </w:tcPr>
          <w:p w14:paraId="0A99E49A" w14:textId="74418670" w:rsidR="00703D91" w:rsidRDefault="00703D91" w:rsidP="00703D91">
            <w:pPr>
              <w:rPr>
                <w:rFonts w:cs="Arial"/>
              </w:rPr>
            </w:pPr>
            <w:r>
              <w:t>Стомашен дискомфорт</w:t>
            </w:r>
          </w:p>
        </w:tc>
        <w:tc>
          <w:tcPr>
            <w:tcW w:w="1776" w:type="dxa"/>
          </w:tcPr>
          <w:p w14:paraId="4CE38CBC" w14:textId="10CF6BA7" w:rsidR="00703D91" w:rsidRDefault="00703D91" w:rsidP="00703D91">
            <w:pPr>
              <w:rPr>
                <w:rFonts w:cs="Arial"/>
              </w:rPr>
            </w:pPr>
            <w:r>
              <w:t>3 (0,18%)</w:t>
            </w:r>
          </w:p>
        </w:tc>
        <w:tc>
          <w:tcPr>
            <w:tcW w:w="1776" w:type="dxa"/>
          </w:tcPr>
          <w:p w14:paraId="509AE941" w14:textId="0061ADFA" w:rsidR="00703D91" w:rsidRDefault="00703D91" w:rsidP="00703D91">
            <w:pPr>
              <w:rPr>
                <w:rFonts w:cs="Arial"/>
              </w:rPr>
            </w:pPr>
            <w:r>
              <w:t>4(0,16%)</w:t>
            </w:r>
          </w:p>
        </w:tc>
        <w:tc>
          <w:tcPr>
            <w:tcW w:w="1764" w:type="dxa"/>
          </w:tcPr>
          <w:p w14:paraId="61F33E19" w14:textId="3E5C0E29" w:rsidR="00703D91" w:rsidRDefault="00703D91" w:rsidP="00703D91">
            <w:pPr>
              <w:rPr>
                <w:rFonts w:cs="Arial"/>
              </w:rPr>
            </w:pPr>
            <w:r>
              <w:t>0 (0.0%)</w:t>
            </w:r>
          </w:p>
        </w:tc>
      </w:tr>
      <w:tr w:rsidR="00703D91" w14:paraId="33E4CB4E" w14:textId="77777777" w:rsidTr="00703D91">
        <w:tc>
          <w:tcPr>
            <w:tcW w:w="1751" w:type="dxa"/>
            <w:vMerge/>
          </w:tcPr>
          <w:p w14:paraId="2A09C18C" w14:textId="77777777" w:rsidR="00703D91" w:rsidRDefault="00703D91" w:rsidP="00703D91">
            <w:pPr>
              <w:rPr>
                <w:rFonts w:cs="Arial"/>
              </w:rPr>
            </w:pPr>
          </w:p>
        </w:tc>
        <w:tc>
          <w:tcPr>
            <w:tcW w:w="2509" w:type="dxa"/>
          </w:tcPr>
          <w:p w14:paraId="5352EE53" w14:textId="6C981987" w:rsidR="00703D91" w:rsidRDefault="00703D91" w:rsidP="00703D91">
            <w:pPr>
              <w:rPr>
                <w:rFonts w:cs="Arial"/>
              </w:rPr>
            </w:pPr>
            <w:r>
              <w:t>Диария</w:t>
            </w:r>
          </w:p>
        </w:tc>
        <w:tc>
          <w:tcPr>
            <w:tcW w:w="1776" w:type="dxa"/>
          </w:tcPr>
          <w:p w14:paraId="2F8DD785" w14:textId="22184815" w:rsidR="00703D91" w:rsidRDefault="00703D91" w:rsidP="00703D91">
            <w:pPr>
              <w:rPr>
                <w:rFonts w:cs="Arial"/>
              </w:rPr>
            </w:pPr>
            <w:r>
              <w:t>4 (0,24%)</w:t>
            </w:r>
          </w:p>
        </w:tc>
        <w:tc>
          <w:tcPr>
            <w:tcW w:w="1776" w:type="dxa"/>
          </w:tcPr>
          <w:p w14:paraId="6F91DC56" w14:textId="189200CF" w:rsidR="00703D91" w:rsidRDefault="00703D91" w:rsidP="00703D91">
            <w:pPr>
              <w:rPr>
                <w:rFonts w:cs="Arial"/>
              </w:rPr>
            </w:pPr>
            <w:r>
              <w:t>6 (0,24%)</w:t>
            </w:r>
          </w:p>
        </w:tc>
        <w:tc>
          <w:tcPr>
            <w:tcW w:w="1764" w:type="dxa"/>
          </w:tcPr>
          <w:p w14:paraId="49BEB2F9" w14:textId="3435BB00" w:rsidR="00703D91" w:rsidRDefault="00703D91" w:rsidP="00703D91">
            <w:pPr>
              <w:rPr>
                <w:rFonts w:cs="Arial"/>
              </w:rPr>
            </w:pPr>
            <w:r>
              <w:t>3 (0.22%)</w:t>
            </w:r>
          </w:p>
        </w:tc>
      </w:tr>
      <w:tr w:rsidR="00703D91" w14:paraId="56B7C156" w14:textId="77777777" w:rsidTr="00703D91">
        <w:tc>
          <w:tcPr>
            <w:tcW w:w="1751" w:type="dxa"/>
            <w:vMerge/>
          </w:tcPr>
          <w:p w14:paraId="6B5848CC" w14:textId="77777777" w:rsidR="00703D91" w:rsidRDefault="00703D91" w:rsidP="00703D91">
            <w:pPr>
              <w:rPr>
                <w:rFonts w:cs="Arial"/>
              </w:rPr>
            </w:pPr>
          </w:p>
        </w:tc>
        <w:tc>
          <w:tcPr>
            <w:tcW w:w="2509" w:type="dxa"/>
          </w:tcPr>
          <w:p w14:paraId="34EDB5AB" w14:textId="0C53B284" w:rsidR="00703D91" w:rsidRDefault="00703D91" w:rsidP="00703D91">
            <w:pPr>
              <w:rPr>
                <w:rFonts w:cs="Arial"/>
              </w:rPr>
            </w:pPr>
            <w:r>
              <w:t>Сухота в устата</w:t>
            </w:r>
          </w:p>
        </w:tc>
        <w:tc>
          <w:tcPr>
            <w:tcW w:w="1776" w:type="dxa"/>
          </w:tcPr>
          <w:p w14:paraId="1E5F28D4" w14:textId="01F41852" w:rsidR="00703D91" w:rsidRDefault="00703D91" w:rsidP="00703D91">
            <w:pPr>
              <w:rPr>
                <w:rFonts w:cs="Arial"/>
              </w:rPr>
            </w:pPr>
            <w:r>
              <w:t>2(0,12%)</w:t>
            </w:r>
          </w:p>
        </w:tc>
        <w:tc>
          <w:tcPr>
            <w:tcW w:w="1776" w:type="dxa"/>
          </w:tcPr>
          <w:p w14:paraId="43AE2056" w14:textId="0C55B545" w:rsidR="00703D91" w:rsidRDefault="00703D91" w:rsidP="00703D91">
            <w:pPr>
              <w:rPr>
                <w:rFonts w:cs="Arial"/>
              </w:rPr>
            </w:pPr>
            <w:r>
              <w:t>6 (0,24%)</w:t>
            </w:r>
          </w:p>
        </w:tc>
        <w:tc>
          <w:tcPr>
            <w:tcW w:w="1764" w:type="dxa"/>
          </w:tcPr>
          <w:p w14:paraId="0A1B5C7C" w14:textId="4F17C360" w:rsidR="00703D91" w:rsidRDefault="00703D91" w:rsidP="00703D91">
            <w:pPr>
              <w:rPr>
                <w:rFonts w:cs="Arial"/>
              </w:rPr>
            </w:pPr>
            <w:r>
              <w:t>5 (0.37%)</w:t>
            </w:r>
          </w:p>
        </w:tc>
      </w:tr>
      <w:tr w:rsidR="00703D91" w14:paraId="2EEAE3BF" w14:textId="77777777" w:rsidTr="00703D91">
        <w:tc>
          <w:tcPr>
            <w:tcW w:w="1751" w:type="dxa"/>
            <w:vMerge/>
          </w:tcPr>
          <w:p w14:paraId="6280D43C" w14:textId="77777777" w:rsidR="00703D91" w:rsidRDefault="00703D91" w:rsidP="00703D91">
            <w:pPr>
              <w:rPr>
                <w:rFonts w:cs="Arial"/>
              </w:rPr>
            </w:pPr>
          </w:p>
        </w:tc>
        <w:tc>
          <w:tcPr>
            <w:tcW w:w="2509" w:type="dxa"/>
          </w:tcPr>
          <w:p w14:paraId="035AF364" w14:textId="5DAF2A42" w:rsidR="00703D91" w:rsidRDefault="00703D91" w:rsidP="00703D91">
            <w:pPr>
              <w:rPr>
                <w:rFonts w:cs="Arial"/>
              </w:rPr>
            </w:pPr>
            <w:r>
              <w:t>Диспепсия</w:t>
            </w:r>
          </w:p>
        </w:tc>
        <w:tc>
          <w:tcPr>
            <w:tcW w:w="1776" w:type="dxa"/>
          </w:tcPr>
          <w:p w14:paraId="533804E4" w14:textId="23F50237" w:rsidR="00703D91" w:rsidRDefault="00703D91" w:rsidP="00703D91">
            <w:pPr>
              <w:rPr>
                <w:rFonts w:cs="Arial"/>
              </w:rPr>
            </w:pPr>
            <w:r>
              <w:t>2 (0,12%)</w:t>
            </w:r>
          </w:p>
        </w:tc>
        <w:tc>
          <w:tcPr>
            <w:tcW w:w="1776" w:type="dxa"/>
          </w:tcPr>
          <w:p w14:paraId="27207632" w14:textId="0962C276" w:rsidR="00703D91" w:rsidRDefault="00703D91" w:rsidP="00703D91">
            <w:pPr>
              <w:rPr>
                <w:rFonts w:cs="Arial"/>
              </w:rPr>
            </w:pPr>
            <w:r>
              <w:t>4(0,16%)</w:t>
            </w:r>
          </w:p>
        </w:tc>
        <w:tc>
          <w:tcPr>
            <w:tcW w:w="1764" w:type="dxa"/>
          </w:tcPr>
          <w:p w14:paraId="23632E10" w14:textId="2CCAF179" w:rsidR="00703D91" w:rsidRDefault="00703D91" w:rsidP="00703D91">
            <w:pPr>
              <w:rPr>
                <w:rFonts w:cs="Arial"/>
              </w:rPr>
            </w:pPr>
            <w:r>
              <w:t>4 (0.29%)</w:t>
            </w:r>
          </w:p>
        </w:tc>
      </w:tr>
      <w:tr w:rsidR="00703D91" w14:paraId="73C050B6" w14:textId="77777777" w:rsidTr="00703D91">
        <w:tc>
          <w:tcPr>
            <w:tcW w:w="1751" w:type="dxa"/>
            <w:vMerge/>
          </w:tcPr>
          <w:p w14:paraId="042FD841" w14:textId="77777777" w:rsidR="00703D91" w:rsidRDefault="00703D91" w:rsidP="00703D91">
            <w:pPr>
              <w:rPr>
                <w:rFonts w:cs="Arial"/>
              </w:rPr>
            </w:pPr>
          </w:p>
        </w:tc>
        <w:tc>
          <w:tcPr>
            <w:tcW w:w="2509" w:type="dxa"/>
          </w:tcPr>
          <w:p w14:paraId="3A87DC21" w14:textId="009E892D" w:rsidR="00703D91" w:rsidRDefault="00703D91" w:rsidP="00703D91">
            <w:pPr>
              <w:rPr>
                <w:rFonts w:cs="Arial"/>
              </w:rPr>
            </w:pPr>
            <w:r>
              <w:t>Гастрит</w:t>
            </w:r>
          </w:p>
        </w:tc>
        <w:tc>
          <w:tcPr>
            <w:tcW w:w="1776" w:type="dxa"/>
          </w:tcPr>
          <w:p w14:paraId="09149F68" w14:textId="5D012B22" w:rsidR="00703D91" w:rsidRDefault="00703D91" w:rsidP="00703D91">
            <w:pPr>
              <w:rPr>
                <w:rFonts w:cs="Arial"/>
              </w:rPr>
            </w:pPr>
            <w:r>
              <w:t>4 (0,24%)</w:t>
            </w:r>
          </w:p>
        </w:tc>
        <w:tc>
          <w:tcPr>
            <w:tcW w:w="1776" w:type="dxa"/>
          </w:tcPr>
          <w:p w14:paraId="7733FBD8" w14:textId="10E0A281" w:rsidR="00703D91" w:rsidRDefault="00703D91" w:rsidP="00703D91">
            <w:pPr>
              <w:rPr>
                <w:rFonts w:cs="Arial"/>
              </w:rPr>
            </w:pPr>
            <w:r>
              <w:t>4 (0,16%)</w:t>
            </w:r>
          </w:p>
        </w:tc>
        <w:tc>
          <w:tcPr>
            <w:tcW w:w="1764" w:type="dxa"/>
          </w:tcPr>
          <w:p w14:paraId="20518DF9" w14:textId="14C6E411" w:rsidR="00703D91" w:rsidRDefault="00703D91" w:rsidP="00703D91">
            <w:pPr>
              <w:rPr>
                <w:rFonts w:cs="Arial"/>
              </w:rPr>
            </w:pPr>
            <w:r>
              <w:t>0 (0.0%)</w:t>
            </w:r>
          </w:p>
        </w:tc>
      </w:tr>
      <w:tr w:rsidR="00703D91" w14:paraId="1E7AD6E2" w14:textId="77777777" w:rsidTr="00703D91">
        <w:tc>
          <w:tcPr>
            <w:tcW w:w="9576" w:type="dxa"/>
            <w:gridSpan w:val="5"/>
          </w:tcPr>
          <w:p w14:paraId="7C9941B6" w14:textId="00682080" w:rsidR="00703D91" w:rsidRDefault="00703D91" w:rsidP="00703D91">
            <w:pPr>
              <w:rPr>
                <w:rFonts w:cs="Arial"/>
              </w:rPr>
            </w:pPr>
            <w:r>
              <w:t>Нарушения на кожата и подкожната тъкан</w:t>
            </w:r>
          </w:p>
        </w:tc>
      </w:tr>
      <w:tr w:rsidR="00703D91" w14:paraId="69174456" w14:textId="77777777" w:rsidTr="00703D91">
        <w:tc>
          <w:tcPr>
            <w:tcW w:w="1751" w:type="dxa"/>
          </w:tcPr>
          <w:p w14:paraId="69926800" w14:textId="3A413B7C" w:rsidR="00703D91" w:rsidRDefault="00703D91" w:rsidP="00703D91">
            <w:pPr>
              <w:rPr>
                <w:rFonts w:cs="Arial"/>
              </w:rPr>
            </w:pPr>
            <w:r>
              <w:t>Нечести</w:t>
            </w:r>
          </w:p>
        </w:tc>
        <w:tc>
          <w:tcPr>
            <w:tcW w:w="2509" w:type="dxa"/>
          </w:tcPr>
          <w:p w14:paraId="30ACC847" w14:textId="7393DE8F" w:rsidR="00703D91" w:rsidRDefault="00703D91" w:rsidP="00703D91">
            <w:pPr>
              <w:rPr>
                <w:rFonts w:cs="Arial"/>
              </w:rPr>
            </w:pPr>
            <w:r>
              <w:t>Сърбеж</w:t>
            </w:r>
          </w:p>
        </w:tc>
        <w:tc>
          <w:tcPr>
            <w:tcW w:w="1776" w:type="dxa"/>
          </w:tcPr>
          <w:p w14:paraId="6F8C246E" w14:textId="0ACDFDFA" w:rsidR="00703D91" w:rsidRDefault="00703D91" w:rsidP="00703D91">
            <w:pPr>
              <w:rPr>
                <w:rFonts w:cs="Arial"/>
              </w:rPr>
            </w:pPr>
            <w:r>
              <w:t>2 (0,12%)</w:t>
            </w:r>
          </w:p>
        </w:tc>
        <w:tc>
          <w:tcPr>
            <w:tcW w:w="1776" w:type="dxa"/>
          </w:tcPr>
          <w:p w14:paraId="6E5E8B97" w14:textId="1B951433" w:rsidR="00703D91" w:rsidRDefault="00703D91" w:rsidP="00703D91">
            <w:pPr>
              <w:rPr>
                <w:rFonts w:cs="Arial"/>
              </w:rPr>
            </w:pPr>
            <w:r>
              <w:t>4(0,16%)</w:t>
            </w:r>
          </w:p>
        </w:tc>
        <w:tc>
          <w:tcPr>
            <w:tcW w:w="1764" w:type="dxa"/>
          </w:tcPr>
          <w:p w14:paraId="3C1E14F8" w14:textId="41349ABB" w:rsidR="00703D91" w:rsidRDefault="00703D91" w:rsidP="00703D91">
            <w:pPr>
              <w:rPr>
                <w:rFonts w:cs="Arial"/>
              </w:rPr>
            </w:pPr>
            <w:r>
              <w:t>2 (0.15%)</w:t>
            </w:r>
          </w:p>
        </w:tc>
      </w:tr>
      <w:tr w:rsidR="00703D91" w14:paraId="18D5170B" w14:textId="77777777" w:rsidTr="00703D91">
        <w:tc>
          <w:tcPr>
            <w:tcW w:w="9576" w:type="dxa"/>
            <w:gridSpan w:val="5"/>
          </w:tcPr>
          <w:p w14:paraId="410285D5" w14:textId="50C07847" w:rsidR="00703D91" w:rsidRPr="00703D91" w:rsidRDefault="00703D91" w:rsidP="00703D91">
            <w:pPr>
              <w:rPr>
                <w:sz w:val="24"/>
                <w:szCs w:val="24"/>
              </w:rPr>
            </w:pPr>
            <w:r w:rsidRPr="00703D91">
              <w:rPr>
                <w:lang w:eastAsia="bg-BG"/>
              </w:rPr>
              <w:t>Общи нарушения и ефекти на мястото на приложение</w:t>
            </w:r>
          </w:p>
        </w:tc>
      </w:tr>
      <w:tr w:rsidR="00703D91" w14:paraId="2FABF56A" w14:textId="77777777" w:rsidTr="00703D91">
        <w:tc>
          <w:tcPr>
            <w:tcW w:w="1751" w:type="dxa"/>
            <w:vMerge w:val="restart"/>
          </w:tcPr>
          <w:p w14:paraId="41E1D298" w14:textId="45EB54B1" w:rsidR="00703D91" w:rsidRDefault="00703D91" w:rsidP="00703D91">
            <w:pPr>
              <w:rPr>
                <w:rFonts w:cs="Arial"/>
              </w:rPr>
            </w:pPr>
            <w:r>
              <w:t>Нечести</w:t>
            </w:r>
          </w:p>
        </w:tc>
        <w:tc>
          <w:tcPr>
            <w:tcW w:w="2509" w:type="dxa"/>
          </w:tcPr>
          <w:p w14:paraId="0F58E3A5" w14:textId="701CD29B" w:rsidR="00703D91" w:rsidRDefault="00703D91" w:rsidP="00703D91">
            <w:pPr>
              <w:rPr>
                <w:rFonts w:cs="Arial"/>
              </w:rPr>
            </w:pPr>
            <w:r>
              <w:t>Умора</w:t>
            </w:r>
          </w:p>
        </w:tc>
        <w:tc>
          <w:tcPr>
            <w:tcW w:w="1776" w:type="dxa"/>
          </w:tcPr>
          <w:p w14:paraId="6021DCEC" w14:textId="1CC86904" w:rsidR="00703D91" w:rsidRDefault="00703D91" w:rsidP="00703D91">
            <w:pPr>
              <w:rPr>
                <w:rFonts w:cs="Arial"/>
              </w:rPr>
            </w:pPr>
            <w:r>
              <w:t>14 (0,83%)</w:t>
            </w:r>
          </w:p>
        </w:tc>
        <w:tc>
          <w:tcPr>
            <w:tcW w:w="1776" w:type="dxa"/>
          </w:tcPr>
          <w:p w14:paraId="0E253B7B" w14:textId="4F7176B9" w:rsidR="00703D91" w:rsidRDefault="00703D91" w:rsidP="00703D91">
            <w:pPr>
              <w:rPr>
                <w:rFonts w:cs="Arial"/>
              </w:rPr>
            </w:pPr>
            <w:r>
              <w:t>19(0,75%)</w:t>
            </w:r>
          </w:p>
        </w:tc>
        <w:tc>
          <w:tcPr>
            <w:tcW w:w="1764" w:type="dxa"/>
          </w:tcPr>
          <w:p w14:paraId="456786D2" w14:textId="4EE480DB" w:rsidR="00703D91" w:rsidRDefault="00703D91" w:rsidP="00703D91">
            <w:pPr>
              <w:rPr>
                <w:rFonts w:cs="Arial"/>
              </w:rPr>
            </w:pPr>
            <w:r>
              <w:t>18 (1.32%)</w:t>
            </w:r>
          </w:p>
        </w:tc>
      </w:tr>
      <w:tr w:rsidR="00703D91" w14:paraId="36E5E587" w14:textId="77777777" w:rsidTr="00703D91">
        <w:tc>
          <w:tcPr>
            <w:tcW w:w="1751" w:type="dxa"/>
            <w:vMerge/>
          </w:tcPr>
          <w:p w14:paraId="72F2B627" w14:textId="77777777" w:rsidR="00703D91" w:rsidRDefault="00703D91" w:rsidP="00703D91">
            <w:pPr>
              <w:rPr>
                <w:rFonts w:cs="Arial"/>
              </w:rPr>
            </w:pPr>
          </w:p>
        </w:tc>
        <w:tc>
          <w:tcPr>
            <w:tcW w:w="2509" w:type="dxa"/>
          </w:tcPr>
          <w:p w14:paraId="6442DD6B" w14:textId="2F302FBF" w:rsidR="00703D91" w:rsidRDefault="00703D91" w:rsidP="00703D91">
            <w:pPr>
              <w:rPr>
                <w:rFonts w:cs="Arial"/>
              </w:rPr>
            </w:pPr>
            <w:r>
              <w:t>Жажда</w:t>
            </w:r>
          </w:p>
        </w:tc>
        <w:tc>
          <w:tcPr>
            <w:tcW w:w="1776" w:type="dxa"/>
          </w:tcPr>
          <w:p w14:paraId="74353765" w14:textId="66A47239" w:rsidR="00703D91" w:rsidRDefault="00703D91" w:rsidP="00703D91">
            <w:pPr>
              <w:rPr>
                <w:rFonts w:cs="Arial"/>
              </w:rPr>
            </w:pPr>
            <w:r>
              <w:t>3 (0,18%)</w:t>
            </w:r>
          </w:p>
        </w:tc>
        <w:tc>
          <w:tcPr>
            <w:tcW w:w="1776" w:type="dxa"/>
          </w:tcPr>
          <w:p w14:paraId="389B229D" w14:textId="4DBEEB9E" w:rsidR="00703D91" w:rsidRDefault="00703D91" w:rsidP="00703D91">
            <w:pPr>
              <w:rPr>
                <w:rFonts w:cs="Arial"/>
              </w:rPr>
            </w:pPr>
            <w:r>
              <w:t>4 (0,16%)</w:t>
            </w:r>
          </w:p>
        </w:tc>
        <w:tc>
          <w:tcPr>
            <w:tcW w:w="1764" w:type="dxa"/>
          </w:tcPr>
          <w:p w14:paraId="328BC3DE" w14:textId="3061F05B" w:rsidR="00703D91" w:rsidRDefault="00703D91" w:rsidP="00703D91">
            <w:pPr>
              <w:rPr>
                <w:rFonts w:cs="Arial"/>
              </w:rPr>
            </w:pPr>
            <w:r>
              <w:t>I (0.07%)</w:t>
            </w:r>
          </w:p>
        </w:tc>
      </w:tr>
      <w:tr w:rsidR="00703D91" w14:paraId="1D6AB08E" w14:textId="77777777" w:rsidTr="00703D91">
        <w:tc>
          <w:tcPr>
            <w:tcW w:w="1751" w:type="dxa"/>
            <w:vMerge/>
          </w:tcPr>
          <w:p w14:paraId="2CA349A1" w14:textId="77777777" w:rsidR="00703D91" w:rsidRDefault="00703D91" w:rsidP="00703D91">
            <w:pPr>
              <w:rPr>
                <w:rFonts w:cs="Arial"/>
              </w:rPr>
            </w:pPr>
          </w:p>
        </w:tc>
        <w:tc>
          <w:tcPr>
            <w:tcW w:w="2509" w:type="dxa"/>
          </w:tcPr>
          <w:p w14:paraId="0F4C7A4F" w14:textId="384E9260" w:rsidR="00703D91" w:rsidRDefault="00703D91" w:rsidP="00703D91">
            <w:pPr>
              <w:rPr>
                <w:rFonts w:cs="Arial"/>
              </w:rPr>
            </w:pPr>
            <w:r>
              <w:t>Подобрение на предшестващо състояние</w:t>
            </w:r>
          </w:p>
        </w:tc>
        <w:tc>
          <w:tcPr>
            <w:tcW w:w="1776" w:type="dxa"/>
          </w:tcPr>
          <w:p w14:paraId="03FCF3DB" w14:textId="39523302" w:rsidR="00703D91" w:rsidRDefault="00703D91" w:rsidP="00703D91">
            <w:pPr>
              <w:rPr>
                <w:rFonts w:cs="Arial"/>
              </w:rPr>
            </w:pPr>
            <w:r>
              <w:t>2 (0,12%)</w:t>
            </w:r>
          </w:p>
        </w:tc>
        <w:tc>
          <w:tcPr>
            <w:tcW w:w="1776" w:type="dxa"/>
          </w:tcPr>
          <w:p w14:paraId="1A23D328" w14:textId="217BAE2B" w:rsidR="00703D91" w:rsidRDefault="00703D91" w:rsidP="00703D91">
            <w:pPr>
              <w:rPr>
                <w:rFonts w:cs="Arial"/>
              </w:rPr>
            </w:pPr>
            <w:r>
              <w:t>2 (0,08%)</w:t>
            </w:r>
          </w:p>
        </w:tc>
        <w:tc>
          <w:tcPr>
            <w:tcW w:w="1764" w:type="dxa"/>
          </w:tcPr>
          <w:p w14:paraId="20D56451" w14:textId="77777777" w:rsidR="00703D91" w:rsidRDefault="00703D91" w:rsidP="00703D91">
            <w:r>
              <w:t>1</w:t>
            </w:r>
          </w:p>
          <w:p w14:paraId="6B685AA7" w14:textId="35762FD9" w:rsidR="00703D91" w:rsidRDefault="00703D91" w:rsidP="00703D91">
            <w:pPr>
              <w:rPr>
                <w:rFonts w:cs="Arial"/>
              </w:rPr>
            </w:pPr>
            <w:r>
              <w:t>(0.07%)</w:t>
            </w:r>
          </w:p>
        </w:tc>
      </w:tr>
      <w:tr w:rsidR="00703D91" w14:paraId="234FF4E1" w14:textId="77777777" w:rsidTr="00703D91">
        <w:tc>
          <w:tcPr>
            <w:tcW w:w="1751" w:type="dxa"/>
            <w:vMerge/>
          </w:tcPr>
          <w:p w14:paraId="2104030A" w14:textId="77777777" w:rsidR="00703D91" w:rsidRDefault="00703D91" w:rsidP="00703D91">
            <w:pPr>
              <w:rPr>
                <w:rFonts w:cs="Arial"/>
              </w:rPr>
            </w:pPr>
          </w:p>
        </w:tc>
        <w:tc>
          <w:tcPr>
            <w:tcW w:w="2509" w:type="dxa"/>
          </w:tcPr>
          <w:p w14:paraId="31F56D1A" w14:textId="1216690F" w:rsidR="00703D91" w:rsidRDefault="00703D91" w:rsidP="00703D91">
            <w:pPr>
              <w:rPr>
                <w:rFonts w:cs="Arial"/>
              </w:rPr>
            </w:pPr>
            <w:r>
              <w:t>Висока температура</w:t>
            </w:r>
          </w:p>
        </w:tc>
        <w:tc>
          <w:tcPr>
            <w:tcW w:w="1776" w:type="dxa"/>
          </w:tcPr>
          <w:p w14:paraId="2F674973" w14:textId="00C91408" w:rsidR="00703D91" w:rsidRDefault="00703D91" w:rsidP="00703D91">
            <w:pPr>
              <w:rPr>
                <w:rFonts w:cs="Arial"/>
              </w:rPr>
            </w:pPr>
            <w:r>
              <w:t>2 (0,12%)</w:t>
            </w:r>
          </w:p>
        </w:tc>
        <w:tc>
          <w:tcPr>
            <w:tcW w:w="1776" w:type="dxa"/>
          </w:tcPr>
          <w:p w14:paraId="287993CD" w14:textId="3D12377F" w:rsidR="00703D91" w:rsidRDefault="00703D91" w:rsidP="00703D91">
            <w:pPr>
              <w:rPr>
                <w:rFonts w:cs="Arial"/>
              </w:rPr>
            </w:pPr>
            <w:r>
              <w:t>3 (0,12%)</w:t>
            </w:r>
          </w:p>
        </w:tc>
        <w:tc>
          <w:tcPr>
            <w:tcW w:w="1764" w:type="dxa"/>
          </w:tcPr>
          <w:p w14:paraId="7EE7CCA4" w14:textId="77777777" w:rsidR="00703D91" w:rsidRDefault="00703D91" w:rsidP="00703D91">
            <w:r>
              <w:t>1</w:t>
            </w:r>
          </w:p>
          <w:p w14:paraId="5B27DCD6" w14:textId="1DA29C27" w:rsidR="00703D91" w:rsidRDefault="00703D91" w:rsidP="00703D91">
            <w:pPr>
              <w:rPr>
                <w:rFonts w:cs="Arial"/>
              </w:rPr>
            </w:pPr>
            <w:r>
              <w:t>(0.07%)</w:t>
            </w:r>
          </w:p>
        </w:tc>
      </w:tr>
      <w:tr w:rsidR="00703D91" w14:paraId="36E2A231" w14:textId="77777777" w:rsidTr="00703D91">
        <w:tc>
          <w:tcPr>
            <w:tcW w:w="1751" w:type="dxa"/>
            <w:vMerge/>
          </w:tcPr>
          <w:p w14:paraId="4D722E3C" w14:textId="77777777" w:rsidR="00703D91" w:rsidRDefault="00703D91" w:rsidP="00703D91">
            <w:pPr>
              <w:rPr>
                <w:rFonts w:cs="Arial"/>
              </w:rPr>
            </w:pPr>
          </w:p>
        </w:tc>
        <w:tc>
          <w:tcPr>
            <w:tcW w:w="2509" w:type="dxa"/>
          </w:tcPr>
          <w:p w14:paraId="30648D1D" w14:textId="024D3F4A" w:rsidR="00703D91" w:rsidRDefault="00703D91" w:rsidP="00703D91">
            <w:pPr>
              <w:rPr>
                <w:rFonts w:cs="Arial"/>
              </w:rPr>
            </w:pPr>
            <w:r>
              <w:t>Астения</w:t>
            </w:r>
          </w:p>
        </w:tc>
        <w:tc>
          <w:tcPr>
            <w:tcW w:w="1776" w:type="dxa"/>
          </w:tcPr>
          <w:p w14:paraId="1C8658CB" w14:textId="6881B96B" w:rsidR="00703D91" w:rsidRDefault="00703D91" w:rsidP="00703D91">
            <w:pPr>
              <w:rPr>
                <w:rFonts w:cs="Arial"/>
              </w:rPr>
            </w:pPr>
            <w:r>
              <w:t>3(0,18%)</w:t>
            </w:r>
          </w:p>
        </w:tc>
        <w:tc>
          <w:tcPr>
            <w:tcW w:w="1776" w:type="dxa"/>
          </w:tcPr>
          <w:p w14:paraId="6909339E" w14:textId="53B33F46" w:rsidR="00703D91" w:rsidRDefault="00703D91" w:rsidP="00703D91">
            <w:pPr>
              <w:rPr>
                <w:rFonts w:cs="Arial"/>
              </w:rPr>
            </w:pPr>
            <w:r>
              <w:t>4 (0,16%)</w:t>
            </w:r>
          </w:p>
        </w:tc>
        <w:tc>
          <w:tcPr>
            <w:tcW w:w="1764" w:type="dxa"/>
          </w:tcPr>
          <w:p w14:paraId="210E265E" w14:textId="1E8F4583" w:rsidR="00703D91" w:rsidRDefault="00703D91" w:rsidP="00703D91">
            <w:pPr>
              <w:rPr>
                <w:rFonts w:cs="Arial"/>
              </w:rPr>
            </w:pPr>
            <w:r>
              <w:t>5 (0.37%)</w:t>
            </w:r>
          </w:p>
        </w:tc>
      </w:tr>
      <w:tr w:rsidR="00703D91" w14:paraId="33B3ACA6" w14:textId="77777777" w:rsidTr="00703D91">
        <w:tc>
          <w:tcPr>
            <w:tcW w:w="9576" w:type="dxa"/>
            <w:gridSpan w:val="5"/>
          </w:tcPr>
          <w:p w14:paraId="238EADF1" w14:textId="0DFE39B1" w:rsidR="00703D91" w:rsidRPr="00703D91" w:rsidRDefault="00703D91" w:rsidP="00703D91">
            <w:pPr>
              <w:rPr>
                <w:sz w:val="24"/>
                <w:szCs w:val="24"/>
              </w:rPr>
            </w:pPr>
            <w:r w:rsidRPr="00703D91">
              <w:rPr>
                <w:lang w:eastAsia="bg-BG"/>
              </w:rPr>
              <w:t>Изследвания</w:t>
            </w:r>
          </w:p>
        </w:tc>
      </w:tr>
      <w:tr w:rsidR="00703D91" w14:paraId="6FFD9868" w14:textId="77777777" w:rsidTr="00703D91">
        <w:tc>
          <w:tcPr>
            <w:tcW w:w="1751" w:type="dxa"/>
            <w:vMerge w:val="restart"/>
          </w:tcPr>
          <w:p w14:paraId="0EF33BB1" w14:textId="3919D11E" w:rsidR="00703D91" w:rsidRDefault="00703D91" w:rsidP="00703D91">
            <w:pPr>
              <w:rPr>
                <w:rFonts w:cs="Arial"/>
              </w:rPr>
            </w:pPr>
            <w:r>
              <w:t>Нечести</w:t>
            </w:r>
          </w:p>
        </w:tc>
        <w:tc>
          <w:tcPr>
            <w:tcW w:w="2509" w:type="dxa"/>
          </w:tcPr>
          <w:p w14:paraId="2445B18C" w14:textId="2E7838ED" w:rsidR="00703D91" w:rsidRDefault="00703D91" w:rsidP="00703D91">
            <w:pPr>
              <w:rPr>
                <w:rFonts w:cs="Arial"/>
              </w:rPr>
            </w:pPr>
            <w:r>
              <w:t>Повишена гама- глутамилтрансфераза</w:t>
            </w:r>
          </w:p>
        </w:tc>
        <w:tc>
          <w:tcPr>
            <w:tcW w:w="1776" w:type="dxa"/>
          </w:tcPr>
          <w:p w14:paraId="20B8FCD6" w14:textId="552CAB72" w:rsidR="00703D91" w:rsidRDefault="00703D91" w:rsidP="00703D91">
            <w:pPr>
              <w:rPr>
                <w:rFonts w:cs="Arial"/>
              </w:rPr>
            </w:pPr>
            <w:r>
              <w:t>7(0,41%)</w:t>
            </w:r>
          </w:p>
        </w:tc>
        <w:tc>
          <w:tcPr>
            <w:tcW w:w="1776" w:type="dxa"/>
          </w:tcPr>
          <w:p w14:paraId="73C86153" w14:textId="2DBA1BF7" w:rsidR="00703D91" w:rsidRDefault="00703D91" w:rsidP="00703D91">
            <w:pPr>
              <w:rPr>
                <w:rFonts w:cs="Arial"/>
              </w:rPr>
            </w:pPr>
            <w:r>
              <w:t>8 (0,32%)</w:t>
            </w:r>
          </w:p>
        </w:tc>
        <w:tc>
          <w:tcPr>
            <w:tcW w:w="1764" w:type="dxa"/>
          </w:tcPr>
          <w:p w14:paraId="694AA735" w14:textId="57CFAD9E" w:rsidR="00703D91" w:rsidRDefault="00703D91" w:rsidP="00703D91">
            <w:pPr>
              <w:rPr>
                <w:rFonts w:cs="Arial"/>
              </w:rPr>
            </w:pPr>
            <w:r>
              <w:t>2 (0.15%)</w:t>
            </w:r>
          </w:p>
        </w:tc>
      </w:tr>
      <w:tr w:rsidR="00703D91" w14:paraId="3C6B279C" w14:textId="77777777" w:rsidTr="00703D91">
        <w:tc>
          <w:tcPr>
            <w:tcW w:w="1751" w:type="dxa"/>
            <w:vMerge/>
          </w:tcPr>
          <w:p w14:paraId="6ECCCD28" w14:textId="77777777" w:rsidR="00703D91" w:rsidRDefault="00703D91" w:rsidP="00703D91">
            <w:pPr>
              <w:rPr>
                <w:rFonts w:cs="Arial"/>
              </w:rPr>
            </w:pPr>
          </w:p>
        </w:tc>
        <w:tc>
          <w:tcPr>
            <w:tcW w:w="2509" w:type="dxa"/>
          </w:tcPr>
          <w:p w14:paraId="41E76FA4" w14:textId="55446CE6" w:rsidR="00703D91" w:rsidRDefault="00703D91" w:rsidP="00703D91">
            <w:pPr>
              <w:rPr>
                <w:rFonts w:cs="Arial"/>
              </w:rPr>
            </w:pPr>
            <w:r>
              <w:t>Повишена аланин- аминотрансфераза</w:t>
            </w:r>
          </w:p>
        </w:tc>
        <w:tc>
          <w:tcPr>
            <w:tcW w:w="1776" w:type="dxa"/>
          </w:tcPr>
          <w:p w14:paraId="66B2C702" w14:textId="3D129FFA" w:rsidR="00703D91" w:rsidRDefault="00703D91" w:rsidP="00703D91">
            <w:pPr>
              <w:rPr>
                <w:rFonts w:cs="Arial"/>
              </w:rPr>
            </w:pPr>
            <w:r>
              <w:t>5 (0,30%)</w:t>
            </w:r>
          </w:p>
        </w:tc>
        <w:tc>
          <w:tcPr>
            <w:tcW w:w="1776" w:type="dxa"/>
          </w:tcPr>
          <w:p w14:paraId="73898F29" w14:textId="0E900D4B" w:rsidR="00703D91" w:rsidRDefault="00703D91" w:rsidP="00703D91">
            <w:pPr>
              <w:rPr>
                <w:rFonts w:cs="Arial"/>
              </w:rPr>
            </w:pPr>
            <w:r>
              <w:t>5 (0,20%)</w:t>
            </w:r>
          </w:p>
        </w:tc>
        <w:tc>
          <w:tcPr>
            <w:tcW w:w="1764" w:type="dxa"/>
          </w:tcPr>
          <w:p w14:paraId="7F460643" w14:textId="475AB70F" w:rsidR="00703D91" w:rsidRDefault="00703D91" w:rsidP="00703D91">
            <w:pPr>
              <w:rPr>
                <w:rFonts w:cs="Arial"/>
              </w:rPr>
            </w:pPr>
            <w:r>
              <w:t>3 (0.22%)</w:t>
            </w:r>
          </w:p>
        </w:tc>
      </w:tr>
      <w:tr w:rsidR="00703D91" w14:paraId="62D16794" w14:textId="77777777" w:rsidTr="00703D91">
        <w:tc>
          <w:tcPr>
            <w:tcW w:w="1751" w:type="dxa"/>
            <w:vMerge/>
          </w:tcPr>
          <w:p w14:paraId="75DB5B78" w14:textId="77777777" w:rsidR="00703D91" w:rsidRDefault="00703D91" w:rsidP="00703D91">
            <w:pPr>
              <w:rPr>
                <w:rFonts w:cs="Arial"/>
              </w:rPr>
            </w:pPr>
          </w:p>
        </w:tc>
        <w:tc>
          <w:tcPr>
            <w:tcW w:w="2509" w:type="dxa"/>
          </w:tcPr>
          <w:p w14:paraId="7B50F597" w14:textId="7E2D98DB" w:rsidR="00703D91" w:rsidRDefault="00703D91" w:rsidP="00703D91">
            <w:pPr>
              <w:rPr>
                <w:rFonts w:cs="Arial"/>
              </w:rPr>
            </w:pPr>
            <w:r>
              <w:t>Повишена аспартат- аминотрансфераза</w:t>
            </w:r>
          </w:p>
        </w:tc>
        <w:tc>
          <w:tcPr>
            <w:tcW w:w="1776" w:type="dxa"/>
          </w:tcPr>
          <w:p w14:paraId="6BEA8A61" w14:textId="364E04AB" w:rsidR="00703D91" w:rsidRDefault="00703D91" w:rsidP="00703D91">
            <w:pPr>
              <w:rPr>
                <w:rFonts w:cs="Arial"/>
              </w:rPr>
            </w:pPr>
            <w:r>
              <w:t>3(0,18%)</w:t>
            </w:r>
          </w:p>
        </w:tc>
        <w:tc>
          <w:tcPr>
            <w:tcW w:w="1776" w:type="dxa"/>
          </w:tcPr>
          <w:p w14:paraId="1FCB9411" w14:textId="6A15D861" w:rsidR="00703D91" w:rsidRDefault="00703D91" w:rsidP="00703D91">
            <w:pPr>
              <w:rPr>
                <w:rFonts w:cs="Arial"/>
              </w:rPr>
            </w:pPr>
            <w:r>
              <w:t>3 (0,12%)</w:t>
            </w:r>
          </w:p>
        </w:tc>
        <w:tc>
          <w:tcPr>
            <w:tcW w:w="1764" w:type="dxa"/>
          </w:tcPr>
          <w:p w14:paraId="5FFC0825" w14:textId="631AED48" w:rsidR="00703D91" w:rsidRDefault="00703D91" w:rsidP="00703D91">
            <w:pPr>
              <w:rPr>
                <w:rFonts w:cs="Arial"/>
              </w:rPr>
            </w:pPr>
            <w:r>
              <w:t>3 (0.22%)</w:t>
            </w:r>
          </w:p>
        </w:tc>
      </w:tr>
      <w:tr w:rsidR="00703D91" w14:paraId="28E98A7E" w14:textId="77777777" w:rsidTr="00703D91">
        <w:tc>
          <w:tcPr>
            <w:tcW w:w="1751" w:type="dxa"/>
            <w:vMerge/>
          </w:tcPr>
          <w:p w14:paraId="167F8770" w14:textId="77777777" w:rsidR="00703D91" w:rsidRDefault="00703D91" w:rsidP="00703D91">
            <w:pPr>
              <w:rPr>
                <w:rFonts w:cs="Arial"/>
              </w:rPr>
            </w:pPr>
          </w:p>
        </w:tc>
        <w:tc>
          <w:tcPr>
            <w:tcW w:w="2509" w:type="dxa"/>
          </w:tcPr>
          <w:p w14:paraId="357B9207" w14:textId="1B0DE084" w:rsidR="00703D91" w:rsidRDefault="00703D91" w:rsidP="00703D91">
            <w:pPr>
              <w:rPr>
                <w:rFonts w:cs="Arial"/>
              </w:rPr>
            </w:pPr>
            <w:r>
              <w:t>Повишен креатинин в кръвта</w:t>
            </w:r>
          </w:p>
        </w:tc>
        <w:tc>
          <w:tcPr>
            <w:tcW w:w="1776" w:type="dxa"/>
          </w:tcPr>
          <w:p w14:paraId="609DF52D" w14:textId="7E6AD701" w:rsidR="00703D91" w:rsidRDefault="00703D91" w:rsidP="00703D91">
            <w:pPr>
              <w:rPr>
                <w:rFonts w:cs="Arial"/>
              </w:rPr>
            </w:pPr>
            <w:r>
              <w:t>2 (0,12%)</w:t>
            </w:r>
          </w:p>
        </w:tc>
        <w:tc>
          <w:tcPr>
            <w:tcW w:w="1776" w:type="dxa"/>
          </w:tcPr>
          <w:p w14:paraId="26D3A900" w14:textId="63C74443" w:rsidR="00703D91" w:rsidRDefault="00703D91" w:rsidP="00703D91">
            <w:pPr>
              <w:rPr>
                <w:rFonts w:cs="Arial"/>
              </w:rPr>
            </w:pPr>
            <w:r>
              <w:t>2 (0,08%)</w:t>
            </w:r>
          </w:p>
        </w:tc>
        <w:tc>
          <w:tcPr>
            <w:tcW w:w="1764" w:type="dxa"/>
          </w:tcPr>
          <w:p w14:paraId="21071CD3" w14:textId="6E92A4C4" w:rsidR="00703D91" w:rsidRDefault="00703D91" w:rsidP="00703D91">
            <w:pPr>
              <w:rPr>
                <w:rFonts w:cs="Arial"/>
              </w:rPr>
            </w:pPr>
            <w:r>
              <w:t>0 (0.0%)</w:t>
            </w:r>
          </w:p>
        </w:tc>
      </w:tr>
      <w:tr w:rsidR="00703D91" w14:paraId="08A002F5" w14:textId="77777777" w:rsidTr="00703D91">
        <w:tc>
          <w:tcPr>
            <w:tcW w:w="1751" w:type="dxa"/>
            <w:vMerge/>
          </w:tcPr>
          <w:p w14:paraId="2272D453" w14:textId="77777777" w:rsidR="00703D91" w:rsidRDefault="00703D91" w:rsidP="00703D91">
            <w:pPr>
              <w:rPr>
                <w:rFonts w:cs="Arial"/>
              </w:rPr>
            </w:pPr>
          </w:p>
        </w:tc>
        <w:tc>
          <w:tcPr>
            <w:tcW w:w="2509" w:type="dxa"/>
          </w:tcPr>
          <w:p w14:paraId="2A4831BF" w14:textId="0AC7D8A9" w:rsidR="00703D91" w:rsidRDefault="00703D91" w:rsidP="00703D91">
            <w:pPr>
              <w:rPr>
                <w:rFonts w:cs="Arial"/>
              </w:rPr>
            </w:pPr>
            <w:r>
              <w:t>Повишени триглицериди в кръвта</w:t>
            </w:r>
          </w:p>
        </w:tc>
        <w:tc>
          <w:tcPr>
            <w:tcW w:w="1776" w:type="dxa"/>
          </w:tcPr>
          <w:p w14:paraId="2EA92BB4" w14:textId="2FCF7CC6" w:rsidR="00703D91" w:rsidRDefault="00703D91" w:rsidP="00703D91">
            <w:pPr>
              <w:rPr>
                <w:rFonts w:cs="Arial"/>
              </w:rPr>
            </w:pPr>
            <w:r>
              <w:t>2(0,12%)</w:t>
            </w:r>
          </w:p>
        </w:tc>
        <w:tc>
          <w:tcPr>
            <w:tcW w:w="1776" w:type="dxa"/>
          </w:tcPr>
          <w:p w14:paraId="2AFE5E86" w14:textId="45F2864E" w:rsidR="00703D91" w:rsidRDefault="00703D91" w:rsidP="00703D91">
            <w:pPr>
              <w:rPr>
                <w:rFonts w:cs="Arial"/>
              </w:rPr>
            </w:pPr>
            <w:r>
              <w:t>2 (0,08%)</w:t>
            </w:r>
          </w:p>
        </w:tc>
        <w:tc>
          <w:tcPr>
            <w:tcW w:w="1764" w:type="dxa"/>
          </w:tcPr>
          <w:p w14:paraId="7B7D151D" w14:textId="04173807" w:rsidR="00703D91" w:rsidRDefault="00703D91" w:rsidP="00703D91">
            <w:pPr>
              <w:rPr>
                <w:rFonts w:cs="Arial"/>
              </w:rPr>
            </w:pPr>
            <w:r>
              <w:t>3 (0.22%)</w:t>
            </w:r>
          </w:p>
        </w:tc>
      </w:tr>
      <w:tr w:rsidR="00703D91" w14:paraId="13EA74EC" w14:textId="77777777" w:rsidTr="00703D91">
        <w:tc>
          <w:tcPr>
            <w:tcW w:w="1751" w:type="dxa"/>
            <w:vMerge/>
          </w:tcPr>
          <w:p w14:paraId="7D9E2992" w14:textId="77777777" w:rsidR="00703D91" w:rsidRDefault="00703D91" w:rsidP="00703D91">
            <w:pPr>
              <w:rPr>
                <w:rFonts w:cs="Arial"/>
              </w:rPr>
            </w:pPr>
          </w:p>
        </w:tc>
        <w:tc>
          <w:tcPr>
            <w:tcW w:w="2509" w:type="dxa"/>
          </w:tcPr>
          <w:p w14:paraId="37ADCB90" w14:textId="09CD2848" w:rsidR="00703D91" w:rsidRDefault="00703D91" w:rsidP="00703D91">
            <w:pPr>
              <w:rPr>
                <w:rFonts w:cs="Arial"/>
              </w:rPr>
            </w:pPr>
            <w:r>
              <w:t>Повишено тегло</w:t>
            </w:r>
          </w:p>
        </w:tc>
        <w:tc>
          <w:tcPr>
            <w:tcW w:w="1776" w:type="dxa"/>
          </w:tcPr>
          <w:p w14:paraId="2167212A" w14:textId="1E8F0D6D" w:rsidR="00703D91" w:rsidRDefault="00703D91" w:rsidP="00703D91">
            <w:pPr>
              <w:rPr>
                <w:rFonts w:cs="Arial"/>
              </w:rPr>
            </w:pPr>
            <w:r>
              <w:t>8 (0,47%)</w:t>
            </w:r>
          </w:p>
        </w:tc>
        <w:tc>
          <w:tcPr>
            <w:tcW w:w="1776" w:type="dxa"/>
          </w:tcPr>
          <w:p w14:paraId="0C701789" w14:textId="7102DC12" w:rsidR="00703D91" w:rsidRDefault="00703D91" w:rsidP="00703D91">
            <w:pPr>
              <w:rPr>
                <w:rFonts w:cs="Arial"/>
              </w:rPr>
            </w:pPr>
            <w:r>
              <w:t>12(0,48%)</w:t>
            </w:r>
          </w:p>
        </w:tc>
        <w:tc>
          <w:tcPr>
            <w:tcW w:w="1764" w:type="dxa"/>
          </w:tcPr>
          <w:p w14:paraId="43439CFD" w14:textId="15C197B3" w:rsidR="00703D91" w:rsidRDefault="00703D91" w:rsidP="00703D91">
            <w:pPr>
              <w:rPr>
                <w:rFonts w:cs="Arial"/>
              </w:rPr>
            </w:pPr>
            <w:r>
              <w:t>2 (0.15%)</w:t>
            </w:r>
          </w:p>
        </w:tc>
      </w:tr>
    </w:tbl>
    <w:p w14:paraId="65BE8D57" w14:textId="77777777" w:rsidR="00703D91" w:rsidRDefault="00703D91" w:rsidP="00703D91">
      <w:pPr>
        <w:spacing w:line="240" w:lineRule="auto"/>
        <w:rPr>
          <w:rFonts w:ascii="Times New Roman" w:eastAsia="Times New Roman" w:hAnsi="Times New Roman" w:cs="Times New Roman"/>
          <w:i/>
          <w:iCs/>
          <w:color w:val="000000"/>
          <w:lang w:eastAsia="bg-BG"/>
        </w:rPr>
      </w:pPr>
    </w:p>
    <w:p w14:paraId="6854FFFA" w14:textId="372840A2"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С неизвестна честота</w:t>
      </w:r>
      <w:r w:rsidRPr="00703D91">
        <w:rPr>
          <w:rFonts w:eastAsia="Times New Roman" w:cs="Arial"/>
          <w:color w:val="000000"/>
          <w:lang w:eastAsia="bg-BG"/>
        </w:rPr>
        <w:t xml:space="preserve"> (не може да бъде оценена от наличните данни): Палпитации тахикардия, реакции на свръхчувствителност (като анафилаксия, ангиоедем, диспнея, обрив, локализиран едем/локализиран оток и еритема) и повръщане са наблюдавани по</w:t>
      </w:r>
      <w:r w:rsidRPr="00703D91">
        <w:rPr>
          <w:rFonts w:eastAsia="Times New Roman" w:cs="Arial"/>
          <w:color w:val="000000"/>
          <w:u w:val="single"/>
          <w:lang w:eastAsia="bg-BG"/>
        </w:rPr>
        <w:t xml:space="preserve"> </w:t>
      </w:r>
      <w:r w:rsidRPr="00703D91">
        <w:rPr>
          <w:rFonts w:eastAsia="Times New Roman" w:cs="Arial"/>
          <w:color w:val="000000"/>
          <w:lang w:eastAsia="bg-BG"/>
        </w:rPr>
        <w:t>време на постмаркетинговия период.</w:t>
      </w:r>
    </w:p>
    <w:p w14:paraId="33B74F26" w14:textId="1E446616" w:rsidR="00703D91" w:rsidRPr="00703D91" w:rsidRDefault="00703D91" w:rsidP="00703D91">
      <w:pPr>
        <w:rPr>
          <w:rFonts w:cs="Arial"/>
        </w:rPr>
      </w:pPr>
    </w:p>
    <w:p w14:paraId="089A0508"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Описание на избрани нежелани реакции при възрастни пациенти и юноши Сънливост, главоболие, световъртеж и умора са наблюдавани или при пациенти, лекувани с билистан 20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или с плацебо. Съобщаваната честота е 3,06% спрямо 2,86% за сънливост; 4.01% срещу 3.38% за главоболие; 0,83% срещу 0,59% за замаяност и 0,83% спрямо 1,32% за умора.</w:t>
      </w:r>
    </w:p>
    <w:p w14:paraId="09E78D5A" w14:textId="77777777" w:rsidR="00703D91" w:rsidRPr="00703D91" w:rsidRDefault="00703D91" w:rsidP="00703D91">
      <w:pPr>
        <w:spacing w:line="240" w:lineRule="auto"/>
        <w:rPr>
          <w:rFonts w:eastAsia="Times New Roman" w:cs="Arial"/>
          <w:color w:val="000000"/>
          <w:lang w:eastAsia="bg-BG"/>
        </w:rPr>
      </w:pPr>
    </w:p>
    <w:p w14:paraId="17BFBE81" w14:textId="306E134F"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Информацията, събирана по време на постмаркетинговото наблюдение, потвърждава профила на безопасност, наблюдаван по време на клиничната разработка.</w:t>
      </w:r>
    </w:p>
    <w:p w14:paraId="19B42EA4" w14:textId="77777777" w:rsidR="00703D91" w:rsidRPr="00703D91" w:rsidRDefault="00703D91" w:rsidP="00703D91">
      <w:pPr>
        <w:spacing w:line="240" w:lineRule="auto"/>
        <w:rPr>
          <w:rFonts w:eastAsia="Times New Roman" w:cs="Arial"/>
          <w:i/>
          <w:iCs/>
          <w:color w:val="000000"/>
          <w:lang w:eastAsia="bg-BG"/>
        </w:rPr>
      </w:pPr>
    </w:p>
    <w:p w14:paraId="31FC0FFD" w14:textId="1A285E3E" w:rsidR="00703D91" w:rsidRPr="00703D91" w:rsidRDefault="00703D91" w:rsidP="00703D91">
      <w:pPr>
        <w:spacing w:line="240" w:lineRule="auto"/>
        <w:rPr>
          <w:rFonts w:eastAsia="Times New Roman" w:cs="Arial"/>
          <w:sz w:val="24"/>
          <w:szCs w:val="24"/>
        </w:rPr>
      </w:pPr>
      <w:r w:rsidRPr="00703D91">
        <w:rPr>
          <w:rFonts w:eastAsia="Times New Roman" w:cs="Arial"/>
          <w:i/>
          <w:iCs/>
          <w:color w:val="000000"/>
          <w:lang w:eastAsia="bg-BG"/>
        </w:rPr>
        <w:t>Обобщение на профила на безопастност в педиатричната популация</w:t>
      </w:r>
    </w:p>
    <w:p w14:paraId="2DFE2E6F"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По време на клиничната разработка честотата, тилът и сериозността на нежеланите реакции при юноши (12 години до 17 години) са същите, както тези, наблюдавани при възрастни. Информацията, събрана при тази популация (юноши) по време на постмаркетинговото наблюдение, потвърждава данните от клиничните проучвания.</w:t>
      </w:r>
    </w:p>
    <w:p w14:paraId="5066FDED" w14:textId="77777777" w:rsidR="00703D91" w:rsidRPr="00703D91" w:rsidRDefault="00703D91" w:rsidP="00703D91">
      <w:pPr>
        <w:spacing w:line="240" w:lineRule="auto"/>
        <w:rPr>
          <w:rFonts w:eastAsia="Times New Roman" w:cs="Arial"/>
          <w:color w:val="000000"/>
          <w:lang w:eastAsia="bg-BG"/>
        </w:rPr>
      </w:pPr>
    </w:p>
    <w:p w14:paraId="0B4823C8" w14:textId="6A90CF20"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Процентът на децата (на възраст от 2 до 11 години), които съобщават за нежелани реакции </w:t>
      </w:r>
      <w:r w:rsidRPr="00703D91">
        <w:rPr>
          <w:rFonts w:eastAsia="Times New Roman" w:cs="Arial"/>
          <w:color w:val="000000"/>
          <w:lang w:val="ru-RU"/>
        </w:rPr>
        <w:t>(</w:t>
      </w:r>
      <w:r w:rsidRPr="00703D91">
        <w:rPr>
          <w:rFonts w:eastAsia="Times New Roman" w:cs="Arial"/>
          <w:color w:val="000000"/>
          <w:lang w:val="en-US"/>
        </w:rPr>
        <w:t>HP</w:t>
      </w:r>
      <w:r w:rsidRPr="00703D91">
        <w:rPr>
          <w:rFonts w:eastAsia="Times New Roman" w:cs="Arial"/>
          <w:color w:val="000000"/>
          <w:lang w:val="ru-RU"/>
        </w:rPr>
        <w:t xml:space="preserve">) </w:t>
      </w:r>
      <w:r w:rsidRPr="00703D91">
        <w:rPr>
          <w:rFonts w:eastAsia="Times New Roman" w:cs="Arial"/>
          <w:color w:val="000000"/>
          <w:lang w:eastAsia="bg-BG"/>
        </w:rPr>
        <w:t xml:space="preserve">след лечение с биластин 10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на алергичен риноконюнкгивит или хронична идиопатична уртикария в 12-седмично контролирано клинично изпитване, е сравним с този на групата, приемаща плацебо (68,5% срещу 67,5%).</w:t>
      </w:r>
    </w:p>
    <w:p w14:paraId="69915FC2"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 xml:space="preserve">Свързаните </w:t>
      </w:r>
      <w:r w:rsidRPr="00703D91">
        <w:rPr>
          <w:rFonts w:eastAsia="Times New Roman" w:cs="Arial"/>
          <w:color w:val="000000"/>
          <w:lang w:val="en-US"/>
        </w:rPr>
        <w:t>HP</w:t>
      </w:r>
      <w:r w:rsidRPr="00703D91">
        <w:rPr>
          <w:rFonts w:eastAsia="Times New Roman" w:cs="Arial"/>
          <w:color w:val="000000"/>
          <w:lang w:val="ru-RU"/>
        </w:rPr>
        <w:t xml:space="preserve">, </w:t>
      </w:r>
      <w:r w:rsidRPr="00703D91">
        <w:rPr>
          <w:rFonts w:eastAsia="Times New Roman" w:cs="Arial"/>
          <w:color w:val="000000"/>
          <w:lang w:eastAsia="bg-BG"/>
        </w:rPr>
        <w:t>съобщавани най-често от 291 деца (на възраст от 2 до 11 години), получаващи биластин (под формата на диспергиращи се в устата таблетки) по време на клинични изпитвания (</w:t>
      </w:r>
      <w:r w:rsidRPr="00703D91">
        <w:rPr>
          <w:rFonts w:eastAsia="Times New Roman" w:cs="Arial"/>
          <w:color w:val="000000"/>
          <w:vertAlign w:val="superscript"/>
          <w:lang w:eastAsia="bg-BG"/>
        </w:rPr>
        <w:t>#</w:t>
      </w:r>
      <w:r w:rsidRPr="00703D91">
        <w:rPr>
          <w:rFonts w:eastAsia="Times New Roman" w:cs="Arial"/>
          <w:color w:val="000000"/>
          <w:lang w:eastAsia="bg-BG"/>
        </w:rPr>
        <w:t>260 деца, включени в проучване на клиничната безопасност и 31 деца, включени във фармакокинетичното проучване), са главоболие, алергичен конюнктивит, ринит и коремна болка. Тези свързани нежелани реакции се появяват със сравнима честота при 249 пациенти, получаващи плацебо.</w:t>
      </w:r>
    </w:p>
    <w:p w14:paraId="6AF8EC5E" w14:textId="77777777" w:rsidR="00703D91" w:rsidRPr="00703D91" w:rsidRDefault="00703D91" w:rsidP="00703D91">
      <w:pPr>
        <w:spacing w:line="240" w:lineRule="auto"/>
        <w:rPr>
          <w:rFonts w:eastAsia="Times New Roman" w:cs="Arial"/>
          <w:color w:val="000000"/>
          <w:lang w:eastAsia="bg-BG"/>
        </w:rPr>
      </w:pPr>
    </w:p>
    <w:p w14:paraId="091386D9" w14:textId="3B4541C5"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Таблично обобщение на нежеланите реакции при педиатричната популация</w:t>
      </w:r>
    </w:p>
    <w:p w14:paraId="4D28DF7D"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НС, които вероятно са свързани с биластин и се съобщават при повече от 0,1 % от децата (2-11 години), приемащи билистин по време на клиничното развитие са представени в таблицата по-долу.</w:t>
      </w:r>
    </w:p>
    <w:p w14:paraId="1DAE1AC2" w14:textId="77777777" w:rsidR="00703D91" w:rsidRPr="00703D91" w:rsidRDefault="00703D91" w:rsidP="00703D91">
      <w:pPr>
        <w:spacing w:line="240" w:lineRule="auto"/>
        <w:rPr>
          <w:rFonts w:eastAsia="Times New Roman" w:cs="Arial"/>
          <w:color w:val="000000"/>
          <w:lang w:eastAsia="bg-BG"/>
        </w:rPr>
      </w:pPr>
    </w:p>
    <w:p w14:paraId="3412A224" w14:textId="1C5901FD"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Честотите са посочени, както следва:</w:t>
      </w:r>
    </w:p>
    <w:p w14:paraId="49E30FDA"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Много чести (≥1/10)</w:t>
      </w:r>
    </w:p>
    <w:p w14:paraId="26E3F0B1"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Чести (≥1 / 100 до &lt;1/10)</w:t>
      </w:r>
    </w:p>
    <w:p w14:paraId="11958F9E"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Нечести (≥1 / 1,000 до &lt;1/100)</w:t>
      </w:r>
    </w:p>
    <w:p w14:paraId="31B367A8"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Редки (≥1 /10,000 до &lt;1 /1,000)</w:t>
      </w:r>
    </w:p>
    <w:p w14:paraId="4A9C67E8"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Много редки (&lt;1 / 10,000)</w:t>
      </w:r>
    </w:p>
    <w:p w14:paraId="6D4AFAE2"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Неизвестно (не може да бъде оценено от наличните данни)</w:t>
      </w:r>
    </w:p>
    <w:p w14:paraId="70879481" w14:textId="77777777" w:rsidR="00703D91" w:rsidRPr="00703D91" w:rsidRDefault="00703D91" w:rsidP="00703D91">
      <w:pPr>
        <w:spacing w:line="240" w:lineRule="auto"/>
        <w:rPr>
          <w:rFonts w:eastAsia="Times New Roman" w:cs="Arial"/>
          <w:sz w:val="24"/>
          <w:szCs w:val="24"/>
        </w:rPr>
      </w:pPr>
      <w:r w:rsidRPr="00703D91">
        <w:rPr>
          <w:rFonts w:eastAsia="Times New Roman" w:cs="Arial"/>
          <w:color w:val="000000"/>
          <w:lang w:eastAsia="bg-BG"/>
        </w:rPr>
        <w:t>Редки, много редки и реакции с неизвестна честота не са включени в таблицата.</w:t>
      </w:r>
    </w:p>
    <w:p w14:paraId="4466F5A8" w14:textId="2F850C7D" w:rsidR="00703D91" w:rsidRDefault="00703D91" w:rsidP="00703D91">
      <w:pPr>
        <w:rPr>
          <w:rFonts w:cs="Arial"/>
        </w:rPr>
      </w:pPr>
    </w:p>
    <w:tbl>
      <w:tblPr>
        <w:tblStyle w:val="TableGrid"/>
        <w:tblW w:w="0" w:type="auto"/>
        <w:tblLook w:val="04A0" w:firstRow="1" w:lastRow="0" w:firstColumn="1" w:lastColumn="0" w:noHBand="0" w:noVBand="1"/>
      </w:tblPr>
      <w:tblGrid>
        <w:gridCol w:w="2329"/>
        <w:gridCol w:w="2350"/>
        <w:gridCol w:w="2338"/>
        <w:gridCol w:w="2333"/>
      </w:tblGrid>
      <w:tr w:rsidR="00703D91" w14:paraId="67FAF96B" w14:textId="77777777" w:rsidTr="00703D91">
        <w:tc>
          <w:tcPr>
            <w:tcW w:w="4788" w:type="dxa"/>
            <w:gridSpan w:val="2"/>
          </w:tcPr>
          <w:p w14:paraId="36B98C29" w14:textId="77777777" w:rsidR="00703D91" w:rsidRPr="00703D91" w:rsidRDefault="00703D91" w:rsidP="00703D91">
            <w:pPr>
              <w:rPr>
                <w:b/>
              </w:rPr>
            </w:pPr>
            <w:r w:rsidRPr="00703D91">
              <w:rPr>
                <w:b/>
              </w:rPr>
              <w:t>Системо-органна класификация</w:t>
            </w:r>
          </w:p>
          <w:p w14:paraId="7912F359" w14:textId="0742CF93" w:rsidR="00703D91" w:rsidRPr="00703D91" w:rsidRDefault="00703D91" w:rsidP="00703D91">
            <w:pPr>
              <w:rPr>
                <w:rFonts w:cs="Arial"/>
                <w:b/>
              </w:rPr>
            </w:pPr>
            <w:r w:rsidRPr="00703D91">
              <w:rPr>
                <w:b/>
              </w:rPr>
              <w:t>Честота</w:t>
            </w:r>
            <w:r w:rsidRPr="00703D91">
              <w:rPr>
                <w:b/>
              </w:rPr>
              <w:tab/>
              <w:t>Нежелана реакция</w:t>
            </w:r>
          </w:p>
        </w:tc>
        <w:tc>
          <w:tcPr>
            <w:tcW w:w="2394" w:type="dxa"/>
          </w:tcPr>
          <w:p w14:paraId="670EA7A6" w14:textId="2921E33D" w:rsidR="00703D91" w:rsidRPr="00703D91" w:rsidRDefault="00703D91" w:rsidP="00703D91">
            <w:pPr>
              <w:rPr>
                <w:rFonts w:cs="Arial"/>
                <w:b/>
              </w:rPr>
            </w:pPr>
            <w:r w:rsidRPr="00703D91">
              <w:rPr>
                <w:b/>
              </w:rPr>
              <w:t xml:space="preserve">Биластин 10 </w:t>
            </w:r>
            <w:r w:rsidRPr="00703D91">
              <w:rPr>
                <w:b/>
                <w:lang w:val="en-US"/>
              </w:rPr>
              <w:t xml:space="preserve">mg </w:t>
            </w:r>
            <w:r w:rsidRPr="00703D91">
              <w:rPr>
                <w:b/>
              </w:rPr>
              <w:t>(</w:t>
            </w:r>
            <w:r w:rsidRPr="00703D91">
              <w:rPr>
                <w:b/>
                <w:lang w:val="en-US"/>
              </w:rPr>
              <w:t>n</w:t>
            </w:r>
            <w:r w:rsidRPr="00703D91">
              <w:rPr>
                <w:b/>
              </w:rPr>
              <w:t>=291)#</w:t>
            </w:r>
          </w:p>
        </w:tc>
        <w:tc>
          <w:tcPr>
            <w:tcW w:w="2394" w:type="dxa"/>
          </w:tcPr>
          <w:p w14:paraId="38427122" w14:textId="141774C7" w:rsidR="00703D91" w:rsidRPr="00703D91" w:rsidRDefault="00703D91" w:rsidP="00703D91">
            <w:pPr>
              <w:rPr>
                <w:rFonts w:cs="Arial"/>
                <w:b/>
              </w:rPr>
            </w:pPr>
            <w:r w:rsidRPr="00703D91">
              <w:rPr>
                <w:b/>
              </w:rPr>
              <w:t>Плацебо (п=249)</w:t>
            </w:r>
          </w:p>
        </w:tc>
      </w:tr>
      <w:tr w:rsidR="00703D91" w14:paraId="11B0F172" w14:textId="77777777" w:rsidTr="00703D91">
        <w:tc>
          <w:tcPr>
            <w:tcW w:w="9576" w:type="dxa"/>
            <w:gridSpan w:val="4"/>
          </w:tcPr>
          <w:p w14:paraId="192A955E" w14:textId="57D80690" w:rsidR="00703D91" w:rsidRPr="00703D91" w:rsidRDefault="00703D91" w:rsidP="00703D91">
            <w:pPr>
              <w:rPr>
                <w:sz w:val="24"/>
                <w:szCs w:val="24"/>
              </w:rPr>
            </w:pPr>
            <w:r w:rsidRPr="00703D91">
              <w:rPr>
                <w:lang w:eastAsia="bg-BG"/>
              </w:rPr>
              <w:t>Инфекции и инфестации</w:t>
            </w:r>
          </w:p>
        </w:tc>
      </w:tr>
      <w:tr w:rsidR="00703D91" w14:paraId="7F8C73C3" w14:textId="77777777" w:rsidTr="00703D91">
        <w:tc>
          <w:tcPr>
            <w:tcW w:w="2394" w:type="dxa"/>
          </w:tcPr>
          <w:p w14:paraId="4C2B6207" w14:textId="359A7DE2" w:rsidR="00703D91" w:rsidRDefault="00703D91" w:rsidP="00703D91">
            <w:pPr>
              <w:rPr>
                <w:rFonts w:cs="Arial"/>
              </w:rPr>
            </w:pPr>
            <w:r>
              <w:lastRenderedPageBreak/>
              <w:t>Чести</w:t>
            </w:r>
          </w:p>
        </w:tc>
        <w:tc>
          <w:tcPr>
            <w:tcW w:w="2394" w:type="dxa"/>
          </w:tcPr>
          <w:p w14:paraId="375C888D" w14:textId="02DC19C0" w:rsidR="00703D91" w:rsidRDefault="00703D91" w:rsidP="00703D91">
            <w:pPr>
              <w:rPr>
                <w:rFonts w:cs="Arial"/>
              </w:rPr>
            </w:pPr>
            <w:r>
              <w:t>Ринит</w:t>
            </w:r>
          </w:p>
        </w:tc>
        <w:tc>
          <w:tcPr>
            <w:tcW w:w="2394" w:type="dxa"/>
          </w:tcPr>
          <w:p w14:paraId="73EF532D" w14:textId="50D49BA3" w:rsidR="00703D91" w:rsidRDefault="00703D91" w:rsidP="00703D91">
            <w:pPr>
              <w:rPr>
                <w:rFonts w:cs="Arial"/>
              </w:rPr>
            </w:pPr>
            <w:r>
              <w:t>3 (1,0 %)</w:t>
            </w:r>
          </w:p>
        </w:tc>
        <w:tc>
          <w:tcPr>
            <w:tcW w:w="2394" w:type="dxa"/>
          </w:tcPr>
          <w:p w14:paraId="3F56C9E7" w14:textId="0763A199" w:rsidR="00703D91" w:rsidRDefault="00703D91" w:rsidP="00703D91">
            <w:pPr>
              <w:rPr>
                <w:rFonts w:cs="Arial"/>
              </w:rPr>
            </w:pPr>
            <w:r>
              <w:t>3(1,2%)</w:t>
            </w:r>
          </w:p>
        </w:tc>
      </w:tr>
      <w:tr w:rsidR="00703D91" w14:paraId="428F3050" w14:textId="77777777" w:rsidTr="00703D91">
        <w:tc>
          <w:tcPr>
            <w:tcW w:w="9576" w:type="dxa"/>
            <w:gridSpan w:val="4"/>
          </w:tcPr>
          <w:p w14:paraId="32A01695" w14:textId="7CFD8127" w:rsidR="00703D91" w:rsidRDefault="00703D91" w:rsidP="00703D91">
            <w:pPr>
              <w:rPr>
                <w:rFonts w:cs="Arial"/>
              </w:rPr>
            </w:pPr>
            <w:r>
              <w:t>Нарушения па нервната система</w:t>
            </w:r>
          </w:p>
        </w:tc>
      </w:tr>
      <w:tr w:rsidR="00703D91" w14:paraId="61F2B1E9" w14:textId="77777777" w:rsidTr="00703D91">
        <w:tc>
          <w:tcPr>
            <w:tcW w:w="2394" w:type="dxa"/>
          </w:tcPr>
          <w:p w14:paraId="0A3D5345" w14:textId="0BA43E70" w:rsidR="00703D91" w:rsidRDefault="00703D91" w:rsidP="00703D91">
            <w:pPr>
              <w:rPr>
                <w:rFonts w:cs="Arial"/>
              </w:rPr>
            </w:pPr>
            <w:r>
              <w:t>Чести</w:t>
            </w:r>
          </w:p>
        </w:tc>
        <w:tc>
          <w:tcPr>
            <w:tcW w:w="2394" w:type="dxa"/>
          </w:tcPr>
          <w:p w14:paraId="6DB02840" w14:textId="36FC1665" w:rsidR="00703D91" w:rsidRDefault="00703D91" w:rsidP="00703D91">
            <w:pPr>
              <w:rPr>
                <w:rFonts w:cs="Arial"/>
              </w:rPr>
            </w:pPr>
            <w:r>
              <w:t>Главоболие</w:t>
            </w:r>
          </w:p>
        </w:tc>
        <w:tc>
          <w:tcPr>
            <w:tcW w:w="2394" w:type="dxa"/>
          </w:tcPr>
          <w:p w14:paraId="1A050335" w14:textId="7FF3F402" w:rsidR="00703D91" w:rsidRDefault="00703D91" w:rsidP="00703D91">
            <w:pPr>
              <w:rPr>
                <w:rFonts w:cs="Arial"/>
              </w:rPr>
            </w:pPr>
            <w:r>
              <w:t>6 (2,1 %)</w:t>
            </w:r>
          </w:p>
        </w:tc>
        <w:tc>
          <w:tcPr>
            <w:tcW w:w="2394" w:type="dxa"/>
          </w:tcPr>
          <w:p w14:paraId="4D58C7B8" w14:textId="4CE4F054" w:rsidR="00703D91" w:rsidRDefault="00703D91" w:rsidP="00703D91">
            <w:pPr>
              <w:rPr>
                <w:rFonts w:cs="Arial"/>
              </w:rPr>
            </w:pPr>
            <w:r>
              <w:t>3 (1,2 %)</w:t>
            </w:r>
          </w:p>
        </w:tc>
      </w:tr>
      <w:tr w:rsidR="00703D91" w14:paraId="4B24665F" w14:textId="77777777" w:rsidTr="00703D91">
        <w:tc>
          <w:tcPr>
            <w:tcW w:w="2394" w:type="dxa"/>
            <w:vMerge w:val="restart"/>
          </w:tcPr>
          <w:p w14:paraId="36A03034" w14:textId="05E4AD3F" w:rsidR="00703D91" w:rsidRDefault="00703D91" w:rsidP="00703D91">
            <w:pPr>
              <w:rPr>
                <w:rFonts w:cs="Arial"/>
              </w:rPr>
            </w:pPr>
            <w:r>
              <w:t>Нечести</w:t>
            </w:r>
          </w:p>
        </w:tc>
        <w:tc>
          <w:tcPr>
            <w:tcW w:w="2394" w:type="dxa"/>
          </w:tcPr>
          <w:p w14:paraId="3A661EB2" w14:textId="30D6FE7D" w:rsidR="00703D91" w:rsidRDefault="00703D91" w:rsidP="00703D91">
            <w:pPr>
              <w:rPr>
                <w:rFonts w:cs="Arial"/>
              </w:rPr>
            </w:pPr>
            <w:r>
              <w:t>Замайване</w:t>
            </w:r>
          </w:p>
        </w:tc>
        <w:tc>
          <w:tcPr>
            <w:tcW w:w="2394" w:type="dxa"/>
          </w:tcPr>
          <w:p w14:paraId="7AB46A67" w14:textId="42EDC884" w:rsidR="00703D91" w:rsidRDefault="00703D91" w:rsidP="00703D91">
            <w:pPr>
              <w:rPr>
                <w:rFonts w:cs="Arial"/>
              </w:rPr>
            </w:pPr>
            <w:r>
              <w:t>1 (0,3 %)</w:t>
            </w:r>
          </w:p>
        </w:tc>
        <w:tc>
          <w:tcPr>
            <w:tcW w:w="2394" w:type="dxa"/>
          </w:tcPr>
          <w:p w14:paraId="7662E627" w14:textId="37325841" w:rsidR="00703D91" w:rsidRDefault="00703D91" w:rsidP="00703D91">
            <w:pPr>
              <w:rPr>
                <w:rFonts w:cs="Arial"/>
              </w:rPr>
            </w:pPr>
            <w:r>
              <w:t>0 (0,0 %)</w:t>
            </w:r>
          </w:p>
        </w:tc>
      </w:tr>
      <w:tr w:rsidR="00703D91" w14:paraId="63723631" w14:textId="77777777" w:rsidTr="00703D91">
        <w:tc>
          <w:tcPr>
            <w:tcW w:w="2394" w:type="dxa"/>
            <w:vMerge/>
          </w:tcPr>
          <w:p w14:paraId="4E781C42" w14:textId="77777777" w:rsidR="00703D91" w:rsidRDefault="00703D91" w:rsidP="00703D91">
            <w:pPr>
              <w:rPr>
                <w:rFonts w:cs="Arial"/>
              </w:rPr>
            </w:pPr>
          </w:p>
        </w:tc>
        <w:tc>
          <w:tcPr>
            <w:tcW w:w="2394" w:type="dxa"/>
          </w:tcPr>
          <w:p w14:paraId="70E0F055" w14:textId="21708976" w:rsidR="00703D91" w:rsidRDefault="00703D91" w:rsidP="00703D91">
            <w:pPr>
              <w:rPr>
                <w:rFonts w:cs="Arial"/>
              </w:rPr>
            </w:pPr>
            <w:r>
              <w:t>Загуба на съзнание</w:t>
            </w:r>
          </w:p>
        </w:tc>
        <w:tc>
          <w:tcPr>
            <w:tcW w:w="2394" w:type="dxa"/>
          </w:tcPr>
          <w:p w14:paraId="0070DD5A" w14:textId="75563128" w:rsidR="00703D91" w:rsidRDefault="00703D91" w:rsidP="00703D91">
            <w:pPr>
              <w:rPr>
                <w:rFonts w:cs="Arial"/>
              </w:rPr>
            </w:pPr>
            <w:r>
              <w:t>1 (0,3 %)</w:t>
            </w:r>
          </w:p>
        </w:tc>
        <w:tc>
          <w:tcPr>
            <w:tcW w:w="2394" w:type="dxa"/>
          </w:tcPr>
          <w:p w14:paraId="04E86B8A" w14:textId="06A8BBB4" w:rsidR="00703D91" w:rsidRDefault="00703D91" w:rsidP="00703D91">
            <w:pPr>
              <w:rPr>
                <w:rFonts w:cs="Arial"/>
              </w:rPr>
            </w:pPr>
            <w:r>
              <w:t>0 (0,0 %)</w:t>
            </w:r>
          </w:p>
        </w:tc>
      </w:tr>
      <w:tr w:rsidR="00703D91" w14:paraId="5E24F02C" w14:textId="77777777" w:rsidTr="00703D91">
        <w:tc>
          <w:tcPr>
            <w:tcW w:w="9576" w:type="dxa"/>
            <w:gridSpan w:val="4"/>
          </w:tcPr>
          <w:p w14:paraId="254834F9" w14:textId="5A88C12E" w:rsidR="00703D91" w:rsidRPr="00703D91" w:rsidRDefault="00703D91" w:rsidP="00703D91">
            <w:pPr>
              <w:rPr>
                <w:sz w:val="24"/>
                <w:szCs w:val="24"/>
              </w:rPr>
            </w:pPr>
            <w:r w:rsidRPr="00703D91">
              <w:rPr>
                <w:lang w:eastAsia="bg-BG"/>
              </w:rPr>
              <w:t>Нарушения на очите</w:t>
            </w:r>
          </w:p>
        </w:tc>
      </w:tr>
      <w:tr w:rsidR="00703D91" w14:paraId="0F3CF0FA" w14:textId="77777777" w:rsidTr="00703D91">
        <w:tc>
          <w:tcPr>
            <w:tcW w:w="2394" w:type="dxa"/>
          </w:tcPr>
          <w:p w14:paraId="4A1EBF45" w14:textId="758A400E" w:rsidR="00703D91" w:rsidRDefault="00703D91" w:rsidP="00703D91">
            <w:pPr>
              <w:rPr>
                <w:rFonts w:cs="Arial"/>
              </w:rPr>
            </w:pPr>
            <w:r>
              <w:t>Чести</w:t>
            </w:r>
          </w:p>
        </w:tc>
        <w:tc>
          <w:tcPr>
            <w:tcW w:w="2394" w:type="dxa"/>
          </w:tcPr>
          <w:p w14:paraId="189C9A80" w14:textId="53C85D69" w:rsidR="00703D91" w:rsidRDefault="00703D91" w:rsidP="00703D91">
            <w:pPr>
              <w:rPr>
                <w:rFonts w:cs="Arial"/>
              </w:rPr>
            </w:pPr>
            <w:r>
              <w:t>Алергичен конюнктивит</w:t>
            </w:r>
          </w:p>
        </w:tc>
        <w:tc>
          <w:tcPr>
            <w:tcW w:w="2394" w:type="dxa"/>
          </w:tcPr>
          <w:p w14:paraId="4ADFF192" w14:textId="48B45697" w:rsidR="00703D91" w:rsidRDefault="00703D91" w:rsidP="00703D91">
            <w:pPr>
              <w:rPr>
                <w:rFonts w:cs="Arial"/>
              </w:rPr>
            </w:pPr>
            <w:r>
              <w:t>4(1,4%)</w:t>
            </w:r>
          </w:p>
        </w:tc>
        <w:tc>
          <w:tcPr>
            <w:tcW w:w="2394" w:type="dxa"/>
          </w:tcPr>
          <w:p w14:paraId="0C435C69" w14:textId="6818C15B" w:rsidR="00703D91" w:rsidRDefault="00703D91" w:rsidP="00703D91">
            <w:pPr>
              <w:rPr>
                <w:rFonts w:cs="Arial"/>
              </w:rPr>
            </w:pPr>
            <w:r>
              <w:rPr>
                <w:lang w:val="en-US"/>
              </w:rPr>
              <w:t>5(2</w:t>
            </w:r>
            <w:proofErr w:type="gramStart"/>
            <w:r>
              <w:rPr>
                <w:lang w:val="en-US"/>
              </w:rPr>
              <w:t>,0</w:t>
            </w:r>
            <w:proofErr w:type="gramEnd"/>
            <w:r>
              <w:rPr>
                <w:lang w:val="en-US"/>
              </w:rPr>
              <w:t>%)</w:t>
            </w:r>
          </w:p>
        </w:tc>
      </w:tr>
      <w:tr w:rsidR="00703D91" w14:paraId="68E96768" w14:textId="77777777" w:rsidTr="00703D91">
        <w:tc>
          <w:tcPr>
            <w:tcW w:w="2394" w:type="dxa"/>
          </w:tcPr>
          <w:p w14:paraId="2FF56F94" w14:textId="2CA9781B" w:rsidR="00703D91" w:rsidRDefault="00703D91" w:rsidP="00703D91">
            <w:pPr>
              <w:rPr>
                <w:rFonts w:cs="Arial"/>
              </w:rPr>
            </w:pPr>
            <w:r>
              <w:t>Нечести</w:t>
            </w:r>
          </w:p>
        </w:tc>
        <w:tc>
          <w:tcPr>
            <w:tcW w:w="2394" w:type="dxa"/>
          </w:tcPr>
          <w:p w14:paraId="75C6428D" w14:textId="7C71631F" w:rsidR="00703D91" w:rsidRDefault="00703D91" w:rsidP="00703D91">
            <w:pPr>
              <w:rPr>
                <w:rFonts w:cs="Arial"/>
              </w:rPr>
            </w:pPr>
            <w:r>
              <w:t>Дразнене на очите</w:t>
            </w:r>
          </w:p>
        </w:tc>
        <w:tc>
          <w:tcPr>
            <w:tcW w:w="2394" w:type="dxa"/>
          </w:tcPr>
          <w:p w14:paraId="51F4077E" w14:textId="24F488C3" w:rsidR="00703D91" w:rsidRDefault="00703D91" w:rsidP="00703D91">
            <w:pPr>
              <w:rPr>
                <w:rFonts w:cs="Arial"/>
              </w:rPr>
            </w:pPr>
            <w:r>
              <w:t>1 (0,3 %)</w:t>
            </w:r>
          </w:p>
        </w:tc>
        <w:tc>
          <w:tcPr>
            <w:tcW w:w="2394" w:type="dxa"/>
          </w:tcPr>
          <w:p w14:paraId="19D058BF" w14:textId="542F54EA" w:rsidR="00703D91" w:rsidRDefault="00703D91" w:rsidP="00703D91">
            <w:pPr>
              <w:rPr>
                <w:rFonts w:cs="Arial"/>
              </w:rPr>
            </w:pPr>
            <w:r>
              <w:t>0 (0,0 %)</w:t>
            </w:r>
          </w:p>
        </w:tc>
      </w:tr>
      <w:tr w:rsidR="00703D91" w14:paraId="0FB822F6" w14:textId="77777777" w:rsidTr="00703D91">
        <w:tc>
          <w:tcPr>
            <w:tcW w:w="9576" w:type="dxa"/>
            <w:gridSpan w:val="4"/>
          </w:tcPr>
          <w:p w14:paraId="0369DFB7" w14:textId="64B26C40" w:rsidR="00703D91" w:rsidRPr="00703D91" w:rsidRDefault="00703D91" w:rsidP="00703D91">
            <w:pPr>
              <w:rPr>
                <w:sz w:val="24"/>
                <w:szCs w:val="24"/>
              </w:rPr>
            </w:pPr>
            <w:r w:rsidRPr="00703D91">
              <w:rPr>
                <w:lang w:eastAsia="bg-BG"/>
              </w:rPr>
              <w:t>Стомашно-чревни нарушения</w:t>
            </w:r>
          </w:p>
        </w:tc>
      </w:tr>
      <w:tr w:rsidR="00703D91" w14:paraId="1C063DD3" w14:textId="77777777" w:rsidTr="00703D91">
        <w:tc>
          <w:tcPr>
            <w:tcW w:w="2394" w:type="dxa"/>
          </w:tcPr>
          <w:p w14:paraId="2621E2AD" w14:textId="61A60D41" w:rsidR="00703D91" w:rsidRDefault="00703D91" w:rsidP="00703D91">
            <w:pPr>
              <w:rPr>
                <w:rFonts w:cs="Arial"/>
              </w:rPr>
            </w:pPr>
            <w:r>
              <w:t>Чести</w:t>
            </w:r>
          </w:p>
        </w:tc>
        <w:tc>
          <w:tcPr>
            <w:tcW w:w="2394" w:type="dxa"/>
          </w:tcPr>
          <w:p w14:paraId="7D01E03C" w14:textId="3A57729F" w:rsidR="00703D91" w:rsidRDefault="00703D91" w:rsidP="00703D91">
            <w:pPr>
              <w:rPr>
                <w:rFonts w:cs="Arial"/>
              </w:rPr>
            </w:pPr>
            <w:r>
              <w:t>Коремна болка/болка в горната част на корема</w:t>
            </w:r>
          </w:p>
        </w:tc>
        <w:tc>
          <w:tcPr>
            <w:tcW w:w="2394" w:type="dxa"/>
          </w:tcPr>
          <w:p w14:paraId="4C045263" w14:textId="47D508D7" w:rsidR="00703D91" w:rsidRDefault="00703D91" w:rsidP="00703D91">
            <w:pPr>
              <w:rPr>
                <w:rFonts w:cs="Arial"/>
              </w:rPr>
            </w:pPr>
            <w:r>
              <w:t>3(1,0%)</w:t>
            </w:r>
          </w:p>
        </w:tc>
        <w:tc>
          <w:tcPr>
            <w:tcW w:w="2394" w:type="dxa"/>
          </w:tcPr>
          <w:p w14:paraId="5CD96BB7" w14:textId="52C0FA18" w:rsidR="00703D91" w:rsidRDefault="00703D91" w:rsidP="00703D91">
            <w:pPr>
              <w:rPr>
                <w:rFonts w:cs="Arial"/>
              </w:rPr>
            </w:pPr>
            <w:r>
              <w:t>3(1,2%)</w:t>
            </w:r>
          </w:p>
        </w:tc>
      </w:tr>
      <w:tr w:rsidR="00703D91" w14:paraId="7CD03053" w14:textId="77777777" w:rsidTr="00703D91">
        <w:tc>
          <w:tcPr>
            <w:tcW w:w="2394" w:type="dxa"/>
            <w:vMerge w:val="restart"/>
          </w:tcPr>
          <w:p w14:paraId="367E822C" w14:textId="50474A54" w:rsidR="00703D91" w:rsidRDefault="00703D91" w:rsidP="00703D91">
            <w:pPr>
              <w:rPr>
                <w:rFonts w:cs="Arial"/>
              </w:rPr>
            </w:pPr>
            <w:r>
              <w:t>Нечести</w:t>
            </w:r>
          </w:p>
        </w:tc>
        <w:tc>
          <w:tcPr>
            <w:tcW w:w="2394" w:type="dxa"/>
          </w:tcPr>
          <w:p w14:paraId="2E54A681" w14:textId="59FB49A9" w:rsidR="00703D91" w:rsidRDefault="00703D91" w:rsidP="00703D91">
            <w:pPr>
              <w:rPr>
                <w:rFonts w:cs="Arial"/>
              </w:rPr>
            </w:pPr>
            <w:r>
              <w:t>Диария</w:t>
            </w:r>
          </w:p>
        </w:tc>
        <w:tc>
          <w:tcPr>
            <w:tcW w:w="2394" w:type="dxa"/>
          </w:tcPr>
          <w:p w14:paraId="00847883" w14:textId="1845CDBC" w:rsidR="00703D91" w:rsidRDefault="00703D91" w:rsidP="00703D91">
            <w:pPr>
              <w:rPr>
                <w:rFonts w:cs="Arial"/>
              </w:rPr>
            </w:pPr>
            <w:r>
              <w:t>2 (0,7 %)</w:t>
            </w:r>
          </w:p>
        </w:tc>
        <w:tc>
          <w:tcPr>
            <w:tcW w:w="2394" w:type="dxa"/>
          </w:tcPr>
          <w:p w14:paraId="750FDE4D" w14:textId="48F26A02" w:rsidR="00703D91" w:rsidRDefault="00703D91" w:rsidP="00703D91">
            <w:pPr>
              <w:rPr>
                <w:rFonts w:cs="Arial"/>
              </w:rPr>
            </w:pPr>
            <w:r>
              <w:t>0 (0,0 %)</w:t>
            </w:r>
          </w:p>
        </w:tc>
      </w:tr>
      <w:tr w:rsidR="00703D91" w14:paraId="108AD6E1" w14:textId="77777777" w:rsidTr="00703D91">
        <w:tc>
          <w:tcPr>
            <w:tcW w:w="2394" w:type="dxa"/>
            <w:vMerge/>
          </w:tcPr>
          <w:p w14:paraId="59DACB60" w14:textId="77777777" w:rsidR="00703D91" w:rsidRDefault="00703D91" w:rsidP="00703D91">
            <w:pPr>
              <w:rPr>
                <w:rFonts w:cs="Arial"/>
              </w:rPr>
            </w:pPr>
          </w:p>
        </w:tc>
        <w:tc>
          <w:tcPr>
            <w:tcW w:w="2394" w:type="dxa"/>
          </w:tcPr>
          <w:p w14:paraId="39B8F904" w14:textId="16D997DC" w:rsidR="00703D91" w:rsidRDefault="00703D91" w:rsidP="00703D91">
            <w:pPr>
              <w:rPr>
                <w:rFonts w:cs="Arial"/>
              </w:rPr>
            </w:pPr>
            <w:r>
              <w:t>Гадене</w:t>
            </w:r>
          </w:p>
        </w:tc>
        <w:tc>
          <w:tcPr>
            <w:tcW w:w="2394" w:type="dxa"/>
          </w:tcPr>
          <w:p w14:paraId="0835F1D0" w14:textId="34A39130" w:rsidR="00703D91" w:rsidRDefault="00703D91" w:rsidP="00703D91">
            <w:pPr>
              <w:rPr>
                <w:rFonts w:cs="Arial"/>
              </w:rPr>
            </w:pPr>
            <w:r>
              <w:t>1 (0,3 %)</w:t>
            </w:r>
          </w:p>
        </w:tc>
        <w:tc>
          <w:tcPr>
            <w:tcW w:w="2394" w:type="dxa"/>
          </w:tcPr>
          <w:p w14:paraId="188A667F" w14:textId="0205B61C" w:rsidR="00703D91" w:rsidRDefault="00703D91" w:rsidP="00703D91">
            <w:pPr>
              <w:rPr>
                <w:rFonts w:cs="Arial"/>
              </w:rPr>
            </w:pPr>
            <w:r>
              <w:t>0 (0,0 %)</w:t>
            </w:r>
          </w:p>
        </w:tc>
      </w:tr>
      <w:tr w:rsidR="00703D91" w14:paraId="0E5229CC" w14:textId="77777777" w:rsidTr="00703D91">
        <w:tc>
          <w:tcPr>
            <w:tcW w:w="2394" w:type="dxa"/>
            <w:vMerge/>
          </w:tcPr>
          <w:p w14:paraId="396226D1" w14:textId="77777777" w:rsidR="00703D91" w:rsidRDefault="00703D91" w:rsidP="00703D91">
            <w:pPr>
              <w:rPr>
                <w:rFonts w:cs="Arial"/>
              </w:rPr>
            </w:pPr>
          </w:p>
        </w:tc>
        <w:tc>
          <w:tcPr>
            <w:tcW w:w="2394" w:type="dxa"/>
          </w:tcPr>
          <w:p w14:paraId="0577F8CB" w14:textId="3027F137" w:rsidR="00703D91" w:rsidRDefault="00703D91" w:rsidP="00703D91">
            <w:pPr>
              <w:rPr>
                <w:rFonts w:cs="Arial"/>
              </w:rPr>
            </w:pPr>
            <w:r>
              <w:t>Подуване на устните</w:t>
            </w:r>
          </w:p>
        </w:tc>
        <w:tc>
          <w:tcPr>
            <w:tcW w:w="2394" w:type="dxa"/>
          </w:tcPr>
          <w:p w14:paraId="6690478E" w14:textId="075DA8CC" w:rsidR="00703D91" w:rsidRDefault="00703D91" w:rsidP="00703D91">
            <w:pPr>
              <w:rPr>
                <w:rFonts w:cs="Arial"/>
              </w:rPr>
            </w:pPr>
            <w:r>
              <w:t>1 (0,3 %)</w:t>
            </w:r>
          </w:p>
        </w:tc>
        <w:tc>
          <w:tcPr>
            <w:tcW w:w="2394" w:type="dxa"/>
          </w:tcPr>
          <w:p w14:paraId="4815FB30" w14:textId="2F214E1C" w:rsidR="00703D91" w:rsidRDefault="00703D91" w:rsidP="00703D91">
            <w:pPr>
              <w:rPr>
                <w:rFonts w:cs="Arial"/>
              </w:rPr>
            </w:pPr>
            <w:r>
              <w:t>0 (0,0 %)</w:t>
            </w:r>
          </w:p>
        </w:tc>
      </w:tr>
      <w:tr w:rsidR="00703D91" w14:paraId="6F605987" w14:textId="77777777" w:rsidTr="00703D91">
        <w:tc>
          <w:tcPr>
            <w:tcW w:w="9576" w:type="dxa"/>
            <w:gridSpan w:val="4"/>
          </w:tcPr>
          <w:p w14:paraId="490F69F3" w14:textId="11318BBB" w:rsidR="00703D91" w:rsidRPr="00703D91" w:rsidRDefault="00703D91" w:rsidP="00703D91">
            <w:pPr>
              <w:rPr>
                <w:sz w:val="24"/>
                <w:szCs w:val="24"/>
              </w:rPr>
            </w:pPr>
            <w:r w:rsidRPr="00703D91">
              <w:rPr>
                <w:lang w:eastAsia="bg-BG"/>
              </w:rPr>
              <w:t>Нарушения на кожата н подкожната тъкан</w:t>
            </w:r>
          </w:p>
        </w:tc>
      </w:tr>
      <w:tr w:rsidR="00703D91" w14:paraId="0AB591A6" w14:textId="77777777" w:rsidTr="00703D91">
        <w:tc>
          <w:tcPr>
            <w:tcW w:w="2394" w:type="dxa"/>
            <w:vMerge w:val="restart"/>
          </w:tcPr>
          <w:p w14:paraId="5E579078" w14:textId="16E30632" w:rsidR="00703D91" w:rsidRDefault="00703D91" w:rsidP="00703D91">
            <w:pPr>
              <w:rPr>
                <w:rFonts w:cs="Arial"/>
              </w:rPr>
            </w:pPr>
            <w:r>
              <w:t>Нечести</w:t>
            </w:r>
          </w:p>
        </w:tc>
        <w:tc>
          <w:tcPr>
            <w:tcW w:w="2394" w:type="dxa"/>
          </w:tcPr>
          <w:p w14:paraId="604E3252" w14:textId="1E71779F" w:rsidR="00703D91" w:rsidRDefault="00703D91" w:rsidP="00703D91">
            <w:pPr>
              <w:rPr>
                <w:rFonts w:cs="Arial"/>
              </w:rPr>
            </w:pPr>
            <w:r>
              <w:t>Екзема</w:t>
            </w:r>
          </w:p>
        </w:tc>
        <w:tc>
          <w:tcPr>
            <w:tcW w:w="2394" w:type="dxa"/>
          </w:tcPr>
          <w:p w14:paraId="32ED4EC1" w14:textId="0206BEDF" w:rsidR="00703D91" w:rsidRDefault="00703D91" w:rsidP="00703D91">
            <w:pPr>
              <w:rPr>
                <w:rFonts w:cs="Arial"/>
              </w:rPr>
            </w:pPr>
            <w:r>
              <w:t>1 (0,3 %)</w:t>
            </w:r>
          </w:p>
        </w:tc>
        <w:tc>
          <w:tcPr>
            <w:tcW w:w="2394" w:type="dxa"/>
          </w:tcPr>
          <w:p w14:paraId="54F30938" w14:textId="57D515A7" w:rsidR="00703D91" w:rsidRDefault="00703D91" w:rsidP="00703D91">
            <w:pPr>
              <w:rPr>
                <w:rFonts w:cs="Arial"/>
              </w:rPr>
            </w:pPr>
            <w:r>
              <w:t>0 (0,0 %)</w:t>
            </w:r>
          </w:p>
        </w:tc>
      </w:tr>
      <w:tr w:rsidR="00703D91" w14:paraId="1E54303E" w14:textId="77777777" w:rsidTr="00703D91">
        <w:tc>
          <w:tcPr>
            <w:tcW w:w="2394" w:type="dxa"/>
            <w:vMerge/>
          </w:tcPr>
          <w:p w14:paraId="72A13AC9" w14:textId="77777777" w:rsidR="00703D91" w:rsidRDefault="00703D91" w:rsidP="00703D91">
            <w:pPr>
              <w:rPr>
                <w:rFonts w:cs="Arial"/>
              </w:rPr>
            </w:pPr>
          </w:p>
        </w:tc>
        <w:tc>
          <w:tcPr>
            <w:tcW w:w="2394" w:type="dxa"/>
          </w:tcPr>
          <w:p w14:paraId="2E5914AD" w14:textId="24AC7AB1" w:rsidR="00703D91" w:rsidRDefault="00703D91" w:rsidP="00703D91">
            <w:pPr>
              <w:rPr>
                <w:rFonts w:cs="Arial"/>
              </w:rPr>
            </w:pPr>
            <w:r>
              <w:t>Уртикария</w:t>
            </w:r>
          </w:p>
        </w:tc>
        <w:tc>
          <w:tcPr>
            <w:tcW w:w="2394" w:type="dxa"/>
          </w:tcPr>
          <w:p w14:paraId="2A7AFACE" w14:textId="07EBACAC" w:rsidR="00703D91" w:rsidRDefault="00703D91" w:rsidP="00703D91">
            <w:pPr>
              <w:rPr>
                <w:rFonts w:cs="Arial"/>
              </w:rPr>
            </w:pPr>
            <w:r>
              <w:t>2 (0,7 %)</w:t>
            </w:r>
          </w:p>
        </w:tc>
        <w:tc>
          <w:tcPr>
            <w:tcW w:w="2394" w:type="dxa"/>
          </w:tcPr>
          <w:p w14:paraId="4AF46F07" w14:textId="774C0A30" w:rsidR="00703D91" w:rsidRDefault="00703D91" w:rsidP="00703D91">
            <w:pPr>
              <w:rPr>
                <w:rFonts w:cs="Arial"/>
              </w:rPr>
            </w:pPr>
            <w:r>
              <w:t>2 (0,8 %)</w:t>
            </w:r>
          </w:p>
        </w:tc>
      </w:tr>
      <w:tr w:rsidR="00703D91" w14:paraId="2D5935A6" w14:textId="77777777" w:rsidTr="00703D91">
        <w:tc>
          <w:tcPr>
            <w:tcW w:w="9576" w:type="dxa"/>
            <w:gridSpan w:val="4"/>
          </w:tcPr>
          <w:p w14:paraId="2AC6F2B1" w14:textId="7920D1DE" w:rsidR="00703D91" w:rsidRPr="00703D91" w:rsidRDefault="00703D91" w:rsidP="00703D91">
            <w:pPr>
              <w:rPr>
                <w:sz w:val="24"/>
                <w:szCs w:val="24"/>
              </w:rPr>
            </w:pPr>
            <w:r w:rsidRPr="00703D91">
              <w:rPr>
                <w:lang w:eastAsia="bg-BG"/>
              </w:rPr>
              <w:t>Общи нарушения и състояния на мястото на приложение</w:t>
            </w:r>
          </w:p>
        </w:tc>
      </w:tr>
      <w:tr w:rsidR="00703D91" w14:paraId="638C587A" w14:textId="77777777" w:rsidTr="00703D91">
        <w:tc>
          <w:tcPr>
            <w:tcW w:w="2394" w:type="dxa"/>
          </w:tcPr>
          <w:p w14:paraId="526BEC1F" w14:textId="67A68F01" w:rsidR="00703D91" w:rsidRDefault="00703D91" w:rsidP="00703D91">
            <w:pPr>
              <w:rPr>
                <w:rFonts w:cs="Arial"/>
              </w:rPr>
            </w:pPr>
            <w:r>
              <w:t>Нечести</w:t>
            </w:r>
          </w:p>
        </w:tc>
        <w:tc>
          <w:tcPr>
            <w:tcW w:w="2394" w:type="dxa"/>
          </w:tcPr>
          <w:p w14:paraId="114E360C" w14:textId="7BC916F1" w:rsidR="00703D91" w:rsidRDefault="00703D91" w:rsidP="00703D91">
            <w:pPr>
              <w:rPr>
                <w:rFonts w:cs="Arial"/>
              </w:rPr>
            </w:pPr>
            <w:r>
              <w:t>Умора</w:t>
            </w:r>
          </w:p>
        </w:tc>
        <w:tc>
          <w:tcPr>
            <w:tcW w:w="2394" w:type="dxa"/>
          </w:tcPr>
          <w:p w14:paraId="007C1ED0" w14:textId="6C8205DF" w:rsidR="00703D91" w:rsidRDefault="00703D91" w:rsidP="00703D91">
            <w:pPr>
              <w:rPr>
                <w:rFonts w:cs="Arial"/>
              </w:rPr>
            </w:pPr>
            <w:r>
              <w:t>2 (0,7 %)</w:t>
            </w:r>
          </w:p>
        </w:tc>
        <w:tc>
          <w:tcPr>
            <w:tcW w:w="2394" w:type="dxa"/>
          </w:tcPr>
          <w:p w14:paraId="34B6CABC" w14:textId="5328329F" w:rsidR="00703D91" w:rsidRDefault="00703D91" w:rsidP="00703D91">
            <w:pPr>
              <w:rPr>
                <w:rFonts w:cs="Arial"/>
              </w:rPr>
            </w:pPr>
            <w:r>
              <w:t>0 (0,0 %)</w:t>
            </w:r>
          </w:p>
        </w:tc>
      </w:tr>
    </w:tbl>
    <w:p w14:paraId="5018D465" w14:textId="77777777" w:rsidR="00703D91" w:rsidRPr="00703D91" w:rsidRDefault="00703D91" w:rsidP="00703D91">
      <w:pPr>
        <w:spacing w:line="240" w:lineRule="auto"/>
        <w:rPr>
          <w:rFonts w:eastAsia="Times New Roman" w:cs="Arial"/>
        </w:rPr>
      </w:pPr>
      <w:r w:rsidRPr="00703D91">
        <w:rPr>
          <w:rFonts w:eastAsia="Times New Roman" w:cs="Arial"/>
          <w:color w:val="000000"/>
          <w:lang w:eastAsia="bg-BG"/>
        </w:rPr>
        <w:t>*260 деца, включени в проучването за клиничната безопасност и 31 деца, включени във фармакокинетичното проучване</w:t>
      </w:r>
    </w:p>
    <w:p w14:paraId="4D3D5C20" w14:textId="77777777" w:rsidR="00703D91" w:rsidRPr="00703D91" w:rsidRDefault="00703D91" w:rsidP="00703D91">
      <w:pPr>
        <w:spacing w:line="240" w:lineRule="auto"/>
        <w:rPr>
          <w:rFonts w:eastAsia="Times New Roman" w:cs="Arial"/>
          <w:color w:val="000000"/>
          <w:lang w:eastAsia="bg-BG"/>
        </w:rPr>
      </w:pPr>
    </w:p>
    <w:p w14:paraId="63990865" w14:textId="0EA43978" w:rsidR="00703D91" w:rsidRPr="00703D91" w:rsidRDefault="00703D91" w:rsidP="00703D91">
      <w:pPr>
        <w:spacing w:line="240" w:lineRule="auto"/>
        <w:rPr>
          <w:rFonts w:eastAsia="Times New Roman" w:cs="Arial"/>
        </w:rPr>
      </w:pPr>
      <w:r w:rsidRPr="00703D91">
        <w:rPr>
          <w:rFonts w:eastAsia="Times New Roman" w:cs="Arial"/>
          <w:color w:val="000000"/>
          <w:lang w:eastAsia="bg-BG"/>
        </w:rPr>
        <w:t>Описание на избрани нежелани реакции в педиатричната популация</w:t>
      </w:r>
    </w:p>
    <w:p w14:paraId="00E40581" w14:textId="228976ED" w:rsidR="00703D91" w:rsidRPr="00703D91" w:rsidRDefault="00703D91" w:rsidP="00703D91">
      <w:pPr>
        <w:spacing w:line="240" w:lineRule="auto"/>
        <w:rPr>
          <w:rFonts w:eastAsia="Times New Roman" w:cs="Arial"/>
        </w:rPr>
      </w:pPr>
      <w:r w:rsidRPr="00703D91">
        <w:rPr>
          <w:rFonts w:eastAsia="Times New Roman" w:cs="Arial"/>
          <w:color w:val="000000"/>
          <w:lang w:eastAsia="bg-BG"/>
        </w:rPr>
        <w:t xml:space="preserve">Главоболие, коремна болка, алергичен конюнктивит и ринит са наблюдавани и при деца, лекувани с биластин 10 </w:t>
      </w:r>
      <w:r w:rsidRPr="00703D91">
        <w:rPr>
          <w:rFonts w:eastAsia="Times New Roman" w:cs="Arial"/>
          <w:color w:val="000000"/>
          <w:lang w:val="en-US"/>
        </w:rPr>
        <w:t>mg</w:t>
      </w:r>
      <w:r w:rsidRPr="00703D91">
        <w:rPr>
          <w:rFonts w:eastAsia="Times New Roman" w:cs="Arial"/>
          <w:color w:val="000000"/>
          <w:lang w:val="ru-RU"/>
        </w:rPr>
        <w:t xml:space="preserve">, </w:t>
      </w:r>
      <w:r w:rsidRPr="00703D91">
        <w:rPr>
          <w:rFonts w:eastAsia="Times New Roman" w:cs="Arial"/>
          <w:color w:val="000000"/>
          <w:lang w:eastAsia="bg-BG"/>
        </w:rPr>
        <w:t>и при деца, лекувани с плацебо. Съобщената честота е 2,1% срещу 1,2% за главоболие; 1,0% срещу 1,2% за коремна болка; 1,4% срещу 2,0% за алергичен конюнктивит и 1,0% срещу 1,2% за ринит.</w:t>
      </w:r>
    </w:p>
    <w:p w14:paraId="6687F68A" w14:textId="77777777" w:rsidR="00703D91" w:rsidRPr="00703D91" w:rsidRDefault="00703D91" w:rsidP="00703D91">
      <w:pPr>
        <w:spacing w:line="240" w:lineRule="auto"/>
        <w:rPr>
          <w:rFonts w:eastAsia="Times New Roman" w:cs="Arial"/>
          <w:color w:val="000000"/>
          <w:u w:val="single"/>
          <w:lang w:eastAsia="bg-BG"/>
        </w:rPr>
      </w:pPr>
    </w:p>
    <w:p w14:paraId="46B3CE2D" w14:textId="5CE20934" w:rsidR="00703D91" w:rsidRPr="00703D91" w:rsidRDefault="00703D91" w:rsidP="00703D91">
      <w:pPr>
        <w:spacing w:line="240" w:lineRule="auto"/>
        <w:rPr>
          <w:rFonts w:eastAsia="Times New Roman" w:cs="Arial"/>
        </w:rPr>
      </w:pPr>
      <w:r w:rsidRPr="00703D91">
        <w:rPr>
          <w:rFonts w:eastAsia="Times New Roman" w:cs="Arial"/>
          <w:color w:val="000000"/>
          <w:u w:val="single"/>
          <w:lang w:eastAsia="bg-BG"/>
        </w:rPr>
        <w:t>Съобщаване на подозирани нежелани реакции</w:t>
      </w:r>
    </w:p>
    <w:p w14:paraId="7AF9638B" w14:textId="77777777" w:rsidR="00703D91" w:rsidRPr="00703D91" w:rsidRDefault="00703D91" w:rsidP="00703D91">
      <w:pPr>
        <w:spacing w:line="240" w:lineRule="auto"/>
        <w:rPr>
          <w:rFonts w:eastAsia="Times New Roman" w:cs="Arial"/>
        </w:rPr>
      </w:pPr>
      <w:r w:rsidRPr="00703D9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4C6CD6F0" w14:textId="77777777" w:rsidR="00703D91" w:rsidRPr="00703D91" w:rsidRDefault="00703D91" w:rsidP="00703D91">
      <w:pPr>
        <w:spacing w:line="240" w:lineRule="auto"/>
        <w:rPr>
          <w:rFonts w:eastAsia="Times New Roman" w:cs="Arial"/>
        </w:rPr>
      </w:pPr>
      <w:r w:rsidRPr="00703D91">
        <w:rPr>
          <w:rFonts w:eastAsia="Times New Roman" w:cs="Arial"/>
          <w:color w:val="000000"/>
          <w:lang w:eastAsia="bg-BG"/>
        </w:rPr>
        <w:t>Изпълнителна агенция по лекарствата</w:t>
      </w:r>
    </w:p>
    <w:p w14:paraId="067E9061" w14:textId="77777777" w:rsidR="00703D91" w:rsidRPr="00703D91" w:rsidRDefault="00703D91" w:rsidP="00703D91">
      <w:pPr>
        <w:spacing w:line="240" w:lineRule="auto"/>
        <w:rPr>
          <w:rFonts w:eastAsia="Times New Roman" w:cs="Arial"/>
        </w:rPr>
      </w:pPr>
      <w:r w:rsidRPr="00703D91">
        <w:rPr>
          <w:rFonts w:eastAsia="Times New Roman" w:cs="Arial"/>
          <w:color w:val="000000"/>
          <w:lang w:eastAsia="bg-BG"/>
        </w:rPr>
        <w:t>ул. „Дамян Груев” № 8</w:t>
      </w:r>
    </w:p>
    <w:p w14:paraId="40758EE3" w14:textId="77777777" w:rsidR="00703D91" w:rsidRPr="00703D91" w:rsidRDefault="00703D91" w:rsidP="00703D91">
      <w:pPr>
        <w:spacing w:line="240" w:lineRule="auto"/>
        <w:rPr>
          <w:rFonts w:eastAsia="Times New Roman" w:cs="Arial"/>
        </w:rPr>
      </w:pPr>
      <w:r w:rsidRPr="00703D91">
        <w:rPr>
          <w:rFonts w:eastAsia="Times New Roman" w:cs="Arial"/>
          <w:color w:val="000000"/>
          <w:lang w:eastAsia="bg-BG"/>
        </w:rPr>
        <w:t>1303 София</w:t>
      </w:r>
    </w:p>
    <w:p w14:paraId="3ACB4539" w14:textId="51D9B51B" w:rsidR="00703D91" w:rsidRPr="00703D91" w:rsidRDefault="00703D91" w:rsidP="00703D91">
      <w:pPr>
        <w:spacing w:line="240" w:lineRule="auto"/>
        <w:rPr>
          <w:rFonts w:eastAsia="Times New Roman" w:cs="Arial"/>
          <w:color w:val="000000"/>
          <w:lang w:eastAsia="bg-BG"/>
        </w:rPr>
      </w:pPr>
      <w:r w:rsidRPr="00703D91">
        <w:rPr>
          <w:rFonts w:eastAsia="Times New Roman" w:cs="Arial"/>
          <w:color w:val="000000"/>
          <w:lang w:eastAsia="bg-BG"/>
        </w:rPr>
        <w:t>Тел.:+359 28903417</w:t>
      </w:r>
    </w:p>
    <w:p w14:paraId="1E3CDFB8" w14:textId="2805A141" w:rsidR="00703D91" w:rsidRDefault="00703D91" w:rsidP="00703D91">
      <w:pPr>
        <w:rPr>
          <w:rFonts w:eastAsia="Times New Roman" w:cs="Arial"/>
        </w:rPr>
      </w:pPr>
      <w:r w:rsidRPr="00703D91">
        <w:rPr>
          <w:rFonts w:eastAsia="Times New Roman" w:cs="Arial"/>
          <w:color w:val="000000"/>
          <w:lang w:eastAsia="bg-BG"/>
        </w:rPr>
        <w:t xml:space="preserve">уебсайт: </w:t>
      </w:r>
      <w:hyperlink r:id="rId5" w:history="1">
        <w:r w:rsidRPr="00703D91">
          <w:rPr>
            <w:rFonts w:eastAsia="Times New Roman" w:cs="Arial"/>
            <w:color w:val="000000"/>
            <w:lang w:val="en-US"/>
          </w:rPr>
          <w:t>www.bda.bg</w:t>
        </w:r>
      </w:hyperlink>
    </w:p>
    <w:p w14:paraId="7B080949" w14:textId="77777777" w:rsidR="00703D91" w:rsidRPr="00703D91" w:rsidRDefault="00703D91" w:rsidP="00703D91">
      <w:pPr>
        <w:rPr>
          <w:rFonts w:cs="Arial"/>
        </w:rPr>
      </w:pPr>
    </w:p>
    <w:p w14:paraId="4ED30546" w14:textId="10931D97" w:rsidR="007C605B" w:rsidRDefault="002C50EE" w:rsidP="009F1313">
      <w:pPr>
        <w:pStyle w:val="Heading2"/>
      </w:pPr>
      <w:r>
        <w:t>4.9. Предозиране</w:t>
      </w:r>
    </w:p>
    <w:p w14:paraId="76E2DDA1" w14:textId="785D5708" w:rsidR="00703D91" w:rsidRDefault="00703D91" w:rsidP="00703D91"/>
    <w:p w14:paraId="3BE23669" w14:textId="77777777" w:rsidR="00703D91" w:rsidRPr="00703D91" w:rsidRDefault="00703D91" w:rsidP="00703D91">
      <w:pPr>
        <w:rPr>
          <w:sz w:val="24"/>
          <w:szCs w:val="24"/>
        </w:rPr>
      </w:pPr>
      <w:r w:rsidRPr="00703D91">
        <w:rPr>
          <w:lang w:eastAsia="bg-BG"/>
        </w:rPr>
        <w:t xml:space="preserve">Информацията относно остро предозиране е ограничена до опита от клинични изпитвания, проведени по време на разработката на биластин. След приложение на </w:t>
      </w:r>
      <w:r w:rsidRPr="00703D91">
        <w:rPr>
          <w:lang w:eastAsia="bg-BG"/>
        </w:rPr>
        <w:lastRenderedPageBreak/>
        <w:t xml:space="preserve">биластин в дози 10 до 11 пъти по-високи от терапевтичната доза (220 </w:t>
      </w:r>
      <w:r w:rsidRPr="00703D91">
        <w:rPr>
          <w:lang w:val="en-US"/>
        </w:rPr>
        <w:t>mg</w:t>
      </w:r>
      <w:r w:rsidRPr="00703D91">
        <w:rPr>
          <w:lang w:val="ru-RU"/>
        </w:rPr>
        <w:t xml:space="preserve"> </w:t>
      </w:r>
      <w:r w:rsidRPr="00703D91">
        <w:rPr>
          <w:lang w:eastAsia="bg-BG"/>
        </w:rPr>
        <w:t xml:space="preserve">единична доза или 200 </w:t>
      </w:r>
      <w:r w:rsidRPr="00703D91">
        <w:rPr>
          <w:lang w:val="en-US"/>
        </w:rPr>
        <w:t>mg</w:t>
      </w:r>
      <w:r w:rsidRPr="00703D91">
        <w:rPr>
          <w:lang w:val="ru-RU"/>
        </w:rPr>
        <w:t xml:space="preserve"> </w:t>
      </w:r>
      <w:r w:rsidRPr="00703D91">
        <w:rPr>
          <w:lang w:eastAsia="bg-BG"/>
        </w:rPr>
        <w:t xml:space="preserve">дневно в продължение на 7 дни) на 26 възрастни здрави доброволци честотата на свързани с лечението възникнали нежелани реакции е два пъти по-висока отколкото при плацебо. Нежеланите реакции, които са съобщавани най-често, са виене на свят, главоболие и гадене. Не са докладвани сериозни нежелани реакции и значимо удължаване на </w:t>
      </w:r>
      <w:proofErr w:type="spellStart"/>
      <w:r w:rsidRPr="00703D91">
        <w:rPr>
          <w:lang w:val="en-US"/>
        </w:rPr>
        <w:t>QTc</w:t>
      </w:r>
      <w:proofErr w:type="spellEnd"/>
      <w:r w:rsidRPr="00703D91">
        <w:rPr>
          <w:lang w:val="ru-RU"/>
        </w:rPr>
        <w:t xml:space="preserve"> </w:t>
      </w:r>
      <w:r w:rsidRPr="00703D91">
        <w:rPr>
          <w:lang w:eastAsia="bg-BG"/>
        </w:rPr>
        <w:t>интервала. Информацията, събрана при постмаркетинговото наблюдение, съответства с тази, докладвана в клиничните проучвания.</w:t>
      </w:r>
    </w:p>
    <w:p w14:paraId="704E2572" w14:textId="77777777" w:rsidR="00703D91" w:rsidRPr="00703D91" w:rsidRDefault="00703D91" w:rsidP="00703D91">
      <w:pPr>
        <w:rPr>
          <w:sz w:val="24"/>
          <w:szCs w:val="24"/>
        </w:rPr>
      </w:pPr>
      <w:r w:rsidRPr="00703D91">
        <w:rPr>
          <w:lang w:eastAsia="bg-BG"/>
        </w:rPr>
        <w:t xml:space="preserve">Критичната оценка на ефекта на многократната доза на биластин (100 </w:t>
      </w:r>
      <w:r w:rsidRPr="00703D91">
        <w:rPr>
          <w:lang w:val="en-US"/>
        </w:rPr>
        <w:t>mg</w:t>
      </w:r>
      <w:r w:rsidRPr="00703D91">
        <w:rPr>
          <w:lang w:val="ru-RU"/>
        </w:rPr>
        <w:t xml:space="preserve"> </w:t>
      </w:r>
      <w:r w:rsidRPr="00703D91">
        <w:rPr>
          <w:lang w:eastAsia="bg-BG"/>
        </w:rPr>
        <w:t xml:space="preserve">х 4 дни) върху вентрикуларната реполяризация чрез “цялостно </w:t>
      </w:r>
      <w:r w:rsidRPr="00703D91">
        <w:rPr>
          <w:lang w:val="en-US"/>
        </w:rPr>
        <w:t>QT</w:t>
      </w:r>
      <w:r w:rsidRPr="00703D91">
        <w:rPr>
          <w:lang w:val="ru-RU"/>
        </w:rPr>
        <w:t>/</w:t>
      </w:r>
      <w:proofErr w:type="spellStart"/>
      <w:r w:rsidRPr="00703D91">
        <w:rPr>
          <w:lang w:val="en-US"/>
        </w:rPr>
        <w:t>QTc</w:t>
      </w:r>
      <w:proofErr w:type="spellEnd"/>
      <w:r w:rsidRPr="00703D91">
        <w:rPr>
          <w:lang w:val="ru-RU"/>
        </w:rPr>
        <w:t xml:space="preserve"> </w:t>
      </w:r>
      <w:r w:rsidRPr="00703D91">
        <w:rPr>
          <w:lang w:eastAsia="bg-BG"/>
        </w:rPr>
        <w:t xml:space="preserve">кросоувър проучване" с участие на 30 здрави възрастни доброволци не показва значимо удължаване на </w:t>
      </w:r>
      <w:proofErr w:type="spellStart"/>
      <w:r w:rsidRPr="00703D91">
        <w:rPr>
          <w:lang w:val="en-US"/>
        </w:rPr>
        <w:t>QTc</w:t>
      </w:r>
      <w:proofErr w:type="spellEnd"/>
      <w:r w:rsidRPr="00703D91">
        <w:rPr>
          <w:lang w:val="ru-RU"/>
        </w:rPr>
        <w:t>.</w:t>
      </w:r>
    </w:p>
    <w:p w14:paraId="00FF7550" w14:textId="77777777" w:rsidR="00703D91" w:rsidRPr="00703D91" w:rsidRDefault="00703D91" w:rsidP="00703D91">
      <w:pPr>
        <w:rPr>
          <w:sz w:val="24"/>
          <w:szCs w:val="24"/>
        </w:rPr>
      </w:pPr>
      <w:r w:rsidRPr="00703D91">
        <w:rPr>
          <w:lang w:eastAsia="bg-BG"/>
        </w:rPr>
        <w:t>Няма данни за предозиране при деца.В случай на предозиране се препоръчва симптоматично и подкрепящо лечение.</w:t>
      </w:r>
    </w:p>
    <w:p w14:paraId="63442AF1" w14:textId="77777777" w:rsidR="00703D91" w:rsidRPr="00703D91" w:rsidRDefault="00703D91" w:rsidP="00703D91">
      <w:pPr>
        <w:rPr>
          <w:sz w:val="24"/>
          <w:szCs w:val="24"/>
        </w:rPr>
      </w:pPr>
      <w:r w:rsidRPr="00703D91">
        <w:rPr>
          <w:lang w:eastAsia="bg-BG"/>
        </w:rPr>
        <w:t>Няма известен специфичен антидот за биластин.</w:t>
      </w:r>
    </w:p>
    <w:p w14:paraId="2FE0BD53" w14:textId="77777777" w:rsidR="00703D91" w:rsidRPr="00703D91" w:rsidRDefault="00703D91" w:rsidP="00703D91"/>
    <w:p w14:paraId="02081B24" w14:textId="1F46E296" w:rsidR="00395555" w:rsidRPr="00395555" w:rsidRDefault="002C50EE" w:rsidP="008A6AF2">
      <w:pPr>
        <w:pStyle w:val="Heading1"/>
      </w:pPr>
      <w:r>
        <w:t>5. ФАРМАКОЛОГИЧНИ СВОЙСТВА</w:t>
      </w:r>
    </w:p>
    <w:p w14:paraId="5350637D" w14:textId="49305830" w:rsidR="00395555" w:rsidRDefault="002C50EE" w:rsidP="008A6AF2">
      <w:pPr>
        <w:pStyle w:val="Heading2"/>
      </w:pPr>
      <w:r>
        <w:t>5.1. Фармакодинамични свойства</w:t>
      </w:r>
    </w:p>
    <w:p w14:paraId="5EB3F94F" w14:textId="39703DAA" w:rsidR="00703D91" w:rsidRDefault="00703D91" w:rsidP="00703D91"/>
    <w:p w14:paraId="7DF54C66"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Фармакотерапевтична група: Антихистамини за системно приложение, други антихистамини за системно приложение</w:t>
      </w:r>
    </w:p>
    <w:p w14:paraId="4680D7D8"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АТС код </w:t>
      </w:r>
      <w:r w:rsidRPr="005172F6">
        <w:rPr>
          <w:rFonts w:eastAsia="Times New Roman" w:cs="Arial"/>
          <w:color w:val="000000"/>
          <w:lang w:val="en-US"/>
        </w:rPr>
        <w:t>R</w:t>
      </w:r>
      <w:r w:rsidRPr="005172F6">
        <w:rPr>
          <w:rFonts w:eastAsia="Times New Roman" w:cs="Arial"/>
          <w:color w:val="000000"/>
          <w:lang w:val="ru-RU"/>
        </w:rPr>
        <w:t>06</w:t>
      </w:r>
      <w:r w:rsidRPr="005172F6">
        <w:rPr>
          <w:rFonts w:eastAsia="Times New Roman" w:cs="Arial"/>
          <w:color w:val="000000"/>
          <w:lang w:val="en-US"/>
        </w:rPr>
        <w:t>AX</w:t>
      </w:r>
      <w:r w:rsidRPr="005172F6">
        <w:rPr>
          <w:rFonts w:eastAsia="Times New Roman" w:cs="Arial"/>
          <w:color w:val="000000"/>
          <w:lang w:val="ru-RU"/>
        </w:rPr>
        <w:t>29</w:t>
      </w:r>
    </w:p>
    <w:p w14:paraId="21A9E28D" w14:textId="77777777" w:rsidR="00703D91" w:rsidRPr="005172F6" w:rsidRDefault="00703D91" w:rsidP="00703D91">
      <w:pPr>
        <w:spacing w:line="240" w:lineRule="auto"/>
        <w:rPr>
          <w:rFonts w:eastAsia="Times New Roman" w:cs="Arial"/>
          <w:color w:val="000000"/>
          <w:u w:val="single"/>
          <w:lang w:eastAsia="bg-BG"/>
        </w:rPr>
      </w:pPr>
    </w:p>
    <w:p w14:paraId="57E55DCC" w14:textId="1D0D48AD" w:rsidR="00703D91" w:rsidRPr="005172F6" w:rsidRDefault="00703D91" w:rsidP="00703D91">
      <w:pPr>
        <w:spacing w:line="240" w:lineRule="auto"/>
        <w:rPr>
          <w:rFonts w:eastAsia="Times New Roman" w:cs="Arial"/>
          <w:sz w:val="24"/>
          <w:szCs w:val="24"/>
        </w:rPr>
      </w:pPr>
      <w:r w:rsidRPr="005172F6">
        <w:rPr>
          <w:rFonts w:eastAsia="Times New Roman" w:cs="Arial"/>
          <w:color w:val="000000"/>
          <w:u w:val="single"/>
          <w:lang w:eastAsia="bg-BG"/>
        </w:rPr>
        <w:t>Механизъм на действие</w:t>
      </w:r>
    </w:p>
    <w:p w14:paraId="154C3D45"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Биластин е неседативен хистаминов антагонист с продължително действие и селективна периферна </w:t>
      </w:r>
      <w:r w:rsidRPr="005172F6">
        <w:rPr>
          <w:rFonts w:eastAsia="Times New Roman" w:cs="Arial"/>
          <w:color w:val="000000"/>
          <w:lang w:val="en-US"/>
        </w:rPr>
        <w:t>H</w:t>
      </w:r>
      <w:r w:rsidRPr="005172F6">
        <w:rPr>
          <w:rFonts w:eastAsia="Times New Roman" w:cs="Arial"/>
          <w:color w:val="000000"/>
          <w:vertAlign w:val="subscript"/>
          <w:lang w:val="ru-RU"/>
        </w:rPr>
        <w:t>1</w:t>
      </w:r>
      <w:r w:rsidRPr="005172F6">
        <w:rPr>
          <w:rFonts w:eastAsia="Times New Roman" w:cs="Arial"/>
          <w:color w:val="000000"/>
          <w:lang w:eastAsia="bg-BG"/>
        </w:rPr>
        <w:t>-рецепторна антагонистична активност без афинитет към мускаринови рецептори.</w:t>
      </w:r>
    </w:p>
    <w:p w14:paraId="28D73199"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Биластин потиска индуцираните от хистамина кожни реакции тип </w:t>
      </w:r>
      <w:r w:rsidRPr="005172F6">
        <w:rPr>
          <w:rFonts w:eastAsia="Times New Roman" w:cs="Arial"/>
          <w:color w:val="000000"/>
          <w:lang w:val="ru-RU"/>
        </w:rPr>
        <w:t>„</w:t>
      </w:r>
      <w:r w:rsidRPr="005172F6">
        <w:rPr>
          <w:rFonts w:eastAsia="Times New Roman" w:cs="Arial"/>
          <w:color w:val="000000"/>
          <w:lang w:val="en-US"/>
        </w:rPr>
        <w:t>wheal</w:t>
      </w:r>
      <w:r w:rsidRPr="005172F6">
        <w:rPr>
          <w:rFonts w:eastAsia="Times New Roman" w:cs="Arial"/>
          <w:color w:val="000000"/>
          <w:lang w:val="ru-RU"/>
        </w:rPr>
        <w:t xml:space="preserve"> </w:t>
      </w:r>
      <w:r w:rsidRPr="005172F6">
        <w:rPr>
          <w:rFonts w:eastAsia="Times New Roman" w:cs="Arial"/>
          <w:color w:val="000000"/>
          <w:lang w:val="en-US"/>
        </w:rPr>
        <w:t>and</w:t>
      </w:r>
      <w:r w:rsidRPr="005172F6">
        <w:rPr>
          <w:rFonts w:eastAsia="Times New Roman" w:cs="Arial"/>
          <w:color w:val="000000"/>
          <w:lang w:val="ru-RU"/>
        </w:rPr>
        <w:t xml:space="preserve"> </w:t>
      </w:r>
      <w:r w:rsidRPr="005172F6">
        <w:rPr>
          <w:rFonts w:eastAsia="Times New Roman" w:cs="Arial"/>
          <w:color w:val="000000"/>
          <w:lang w:val="en-US"/>
        </w:rPr>
        <w:t>flare</w:t>
      </w:r>
      <w:r w:rsidRPr="005172F6">
        <w:rPr>
          <w:rFonts w:eastAsia="Times New Roman" w:cs="Arial"/>
          <w:color w:val="000000"/>
          <w:lang w:val="ru-RU"/>
        </w:rPr>
        <w:t xml:space="preserve">” </w:t>
      </w:r>
      <w:r w:rsidRPr="005172F6">
        <w:rPr>
          <w:rFonts w:eastAsia="Times New Roman" w:cs="Arial"/>
          <w:color w:val="000000"/>
          <w:lang w:eastAsia="bg-BG"/>
        </w:rPr>
        <w:t>за 24 часа след приема на единични дози.</w:t>
      </w:r>
    </w:p>
    <w:p w14:paraId="4E7FEF54" w14:textId="77777777" w:rsidR="00703D91" w:rsidRPr="005172F6" w:rsidRDefault="00703D91" w:rsidP="00703D91">
      <w:pPr>
        <w:spacing w:line="240" w:lineRule="auto"/>
        <w:rPr>
          <w:rFonts w:eastAsia="Times New Roman" w:cs="Arial"/>
          <w:color w:val="000000"/>
          <w:u w:val="single"/>
          <w:lang w:eastAsia="bg-BG"/>
        </w:rPr>
      </w:pPr>
    </w:p>
    <w:p w14:paraId="62967087" w14:textId="3A0AE1A9" w:rsidR="00703D91" w:rsidRPr="005172F6" w:rsidRDefault="00703D91" w:rsidP="00703D91">
      <w:pPr>
        <w:spacing w:line="240" w:lineRule="auto"/>
        <w:rPr>
          <w:rFonts w:eastAsia="Times New Roman" w:cs="Arial"/>
          <w:sz w:val="24"/>
          <w:szCs w:val="24"/>
        </w:rPr>
      </w:pPr>
      <w:r w:rsidRPr="005172F6">
        <w:rPr>
          <w:rFonts w:eastAsia="Times New Roman" w:cs="Arial"/>
          <w:color w:val="000000"/>
          <w:u w:val="single"/>
          <w:lang w:eastAsia="bg-BG"/>
        </w:rPr>
        <w:t>Клинична ефикасност и безопасност</w:t>
      </w:r>
    </w:p>
    <w:p w14:paraId="4067E2DB"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В клинични проучвания на възрастни пациенти и пациенти в юношеска възраст с алергичен риноконюнктивит (сезонен и целогодишен) биластин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прилаган веднъж дневно в продължение на 14-28 дни, е ефективен при облекчаване на такива симптоми като кихане, течащ нос, сърбеж в носа, запушване на носа, сърбеж на очите, сълзене и зачервяване на очите. Биластин ефективно контролира симптомите в продължение на 24 часа.</w:t>
      </w:r>
    </w:p>
    <w:p w14:paraId="6C76B00A"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В две клинични проучвания на пациенти с хронична идиопатична уртикария, биластин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прилаган веднъж дневно в продължение на 28 дни, е ефективен за облекчаване на интензивността на сърбежа и броя и размера на мехурите, както и дискомфорта на пациентите, предизвикан от уртикарията. Пациентите подобряват своя сън и качеството на живот.</w:t>
      </w:r>
    </w:p>
    <w:p w14:paraId="204C7096"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Не се наблюдава клинично значимо удължаване на </w:t>
      </w:r>
      <w:proofErr w:type="spellStart"/>
      <w:r w:rsidRPr="005172F6">
        <w:rPr>
          <w:rFonts w:eastAsia="Times New Roman" w:cs="Arial"/>
          <w:color w:val="000000"/>
          <w:lang w:val="en-US"/>
        </w:rPr>
        <w:t>QTc</w:t>
      </w:r>
      <w:proofErr w:type="spellEnd"/>
      <w:r w:rsidRPr="005172F6">
        <w:rPr>
          <w:rFonts w:eastAsia="Times New Roman" w:cs="Arial"/>
          <w:color w:val="000000"/>
          <w:lang w:val="ru-RU"/>
        </w:rPr>
        <w:t xml:space="preserve"> </w:t>
      </w:r>
      <w:r w:rsidRPr="005172F6">
        <w:rPr>
          <w:rFonts w:eastAsia="Times New Roman" w:cs="Arial"/>
          <w:color w:val="000000"/>
          <w:lang w:eastAsia="bg-BG"/>
        </w:rPr>
        <w:t xml:space="preserve">интервала или друг сърдечносъдов ефект в клиничните проучвания с биластин, дори при дози от 200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дневно (10 пъти клиничната доза) в продължение на 7 дни при 9 лица, или дори когато се прилага заедно с инхибитори на Р- гликопротеин, такива като кетоконазол (24 лица) и еритромицин (24 лица). В допълнение е извършено цялостно </w:t>
      </w:r>
      <w:r w:rsidRPr="005172F6">
        <w:rPr>
          <w:rFonts w:eastAsia="Times New Roman" w:cs="Arial"/>
          <w:color w:val="000000"/>
          <w:lang w:val="en-US"/>
        </w:rPr>
        <w:t>QT</w:t>
      </w:r>
      <w:r w:rsidRPr="005172F6">
        <w:rPr>
          <w:rFonts w:eastAsia="Times New Roman" w:cs="Arial"/>
          <w:color w:val="000000"/>
          <w:lang w:val="ru-RU"/>
        </w:rPr>
        <w:t xml:space="preserve"> </w:t>
      </w:r>
      <w:r w:rsidRPr="005172F6">
        <w:rPr>
          <w:rFonts w:eastAsia="Times New Roman" w:cs="Arial"/>
          <w:color w:val="000000"/>
          <w:lang w:eastAsia="bg-BG"/>
        </w:rPr>
        <w:t>изследване, включващо 30 доброволци.</w:t>
      </w:r>
    </w:p>
    <w:p w14:paraId="2F87F532" w14:textId="7777777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В контролирани клинични проучвания при препоръчана доза от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веднъж дневно, профилът на безопасност по отношение на ЦНС на биластин е съизмерим с този на </w:t>
      </w:r>
      <w:r w:rsidRPr="005172F6">
        <w:rPr>
          <w:rFonts w:eastAsia="Times New Roman" w:cs="Arial"/>
          <w:color w:val="000000"/>
          <w:lang w:eastAsia="bg-BG"/>
        </w:rPr>
        <w:lastRenderedPageBreak/>
        <w:t xml:space="preserve">плацебо и появата на сънливост статистически не се различава от плацебо. Биластин в дози до 40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еднократно дневно не засяга психомоторното функциониране в клинични проучвания и не засяга способността за шофиране в стандартен шофьорски изпит. Пациенти в старческа възраст (≥ 65 години), включени във фаза II и III на изследванията, не показват разлика по отношение на ефикасността или безопасността спрямо по-млади пациенти. Пост-регистрационно проучване при 146 пациенти в старческа възраст не показва разлики в профила на безопасност по отношение на възрастта на популацията.</w:t>
      </w:r>
    </w:p>
    <w:p w14:paraId="2791586A" w14:textId="77777777" w:rsidR="00703D91" w:rsidRPr="005172F6" w:rsidRDefault="00703D91" w:rsidP="00703D91">
      <w:pPr>
        <w:spacing w:line="240" w:lineRule="auto"/>
        <w:rPr>
          <w:rFonts w:eastAsia="Times New Roman" w:cs="Arial"/>
          <w:i/>
          <w:iCs/>
          <w:color w:val="000000"/>
          <w:lang w:eastAsia="bg-BG"/>
        </w:rPr>
      </w:pPr>
    </w:p>
    <w:p w14:paraId="0DD65CAE" w14:textId="1A541AB5" w:rsidR="00703D91" w:rsidRPr="005172F6" w:rsidRDefault="00703D91" w:rsidP="00703D91">
      <w:pPr>
        <w:spacing w:line="240" w:lineRule="auto"/>
        <w:rPr>
          <w:rFonts w:eastAsia="Times New Roman" w:cs="Arial"/>
          <w:sz w:val="24"/>
          <w:szCs w:val="24"/>
        </w:rPr>
      </w:pPr>
      <w:r w:rsidRPr="005172F6">
        <w:rPr>
          <w:rFonts w:eastAsia="Times New Roman" w:cs="Arial"/>
          <w:i/>
          <w:iCs/>
          <w:color w:val="000000"/>
          <w:lang w:eastAsia="bg-BG"/>
        </w:rPr>
        <w:t>Педиатрична популация</w:t>
      </w:r>
    </w:p>
    <w:p w14:paraId="3B6F5B35" w14:textId="77777777" w:rsidR="00703D91" w:rsidRPr="005172F6" w:rsidRDefault="00703D91" w:rsidP="00703D91">
      <w:pPr>
        <w:spacing w:line="240" w:lineRule="auto"/>
        <w:rPr>
          <w:rFonts w:eastAsia="Times New Roman" w:cs="Arial"/>
          <w:color w:val="000000"/>
          <w:lang w:eastAsia="bg-BG"/>
        </w:rPr>
      </w:pPr>
    </w:p>
    <w:p w14:paraId="73AE26B2" w14:textId="0DF99900"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Юноши (12 години до 17 години) са включени в клиничната разработка. 128 юноши получават биластин по време на клиничните проучвания (81 при двойно слепи проучвания при алергичен риноконюнктивит). Други 116 юноши са разпределени на случаен принцип на активна контрола или плацебо. Не е наблюдавана разлика в ефикасността и безопасността между възрастните и юноши.</w:t>
      </w:r>
    </w:p>
    <w:p w14:paraId="4FC2BF68" w14:textId="77777777" w:rsidR="00703D91" w:rsidRPr="005172F6" w:rsidRDefault="00703D91" w:rsidP="00703D91">
      <w:pPr>
        <w:rPr>
          <w:rFonts w:eastAsia="Times New Roman" w:cs="Arial"/>
          <w:sz w:val="24"/>
          <w:szCs w:val="24"/>
        </w:rPr>
      </w:pPr>
      <w:r w:rsidRPr="005172F6">
        <w:rPr>
          <w:rFonts w:eastAsia="Times New Roman" w:cs="Arial"/>
          <w:color w:val="000000"/>
          <w:lang w:eastAsia="bg-BG"/>
        </w:rPr>
        <w:t>Според препоръките, доказаната ефикасност при възрастни и юноши може да</w:t>
      </w:r>
      <w:r w:rsidRPr="005172F6">
        <w:rPr>
          <w:rFonts w:eastAsia="Times New Roman" w:cs="Arial"/>
          <w:color w:val="000000"/>
          <w:lang w:val="ru-RU"/>
        </w:rPr>
        <w:t xml:space="preserve"> </w:t>
      </w:r>
      <w:r w:rsidRPr="005172F6">
        <w:rPr>
          <w:rFonts w:eastAsia="Times New Roman" w:cs="Arial"/>
          <w:color w:val="000000"/>
          <w:lang w:eastAsia="bg-BG"/>
        </w:rPr>
        <w:t>бъде екстраполирана към деца, като е доказано, че системната експозиция с 10</w:t>
      </w:r>
      <w:r w:rsidRPr="005172F6">
        <w:rPr>
          <w:rFonts w:eastAsia="Times New Roman" w:cs="Arial"/>
          <w:color w:val="000000"/>
          <w:lang w:val="en-US"/>
        </w:rPr>
        <w:t>mg</w:t>
      </w:r>
      <w:r w:rsidRPr="005172F6">
        <w:rPr>
          <w:rFonts w:eastAsia="Times New Roman" w:cs="Arial"/>
          <w:color w:val="000000"/>
          <w:lang w:eastAsia="bg-BG"/>
        </w:rPr>
        <w:t xml:space="preserve"> биластин при деца от 6 до 11 години е телесно тегло най-малко 20 </w:t>
      </w:r>
      <w:r w:rsidRPr="005172F6">
        <w:rPr>
          <w:rFonts w:eastAsia="Times New Roman" w:cs="Arial"/>
          <w:color w:val="000000"/>
          <w:lang w:val="en-US"/>
        </w:rPr>
        <w:t>kg</w:t>
      </w:r>
      <w:r w:rsidRPr="005172F6">
        <w:rPr>
          <w:rFonts w:eastAsia="Times New Roman" w:cs="Arial"/>
          <w:color w:val="000000"/>
          <w:lang w:val="ru-RU"/>
        </w:rPr>
        <w:t xml:space="preserve"> </w:t>
      </w:r>
      <w:r w:rsidRPr="005172F6">
        <w:rPr>
          <w:rFonts w:eastAsia="Times New Roman" w:cs="Arial"/>
          <w:color w:val="000000"/>
          <w:lang w:eastAsia="bg-BG"/>
        </w:rPr>
        <w:t>е еквивалентн</w:t>
      </w:r>
      <w:r w:rsidRPr="005172F6">
        <w:rPr>
          <w:rFonts w:eastAsia="Times New Roman" w:cs="Arial"/>
          <w:color w:val="000000"/>
          <w:lang w:val="en-US"/>
        </w:rPr>
        <w:t>a</w:t>
      </w:r>
      <w:r w:rsidRPr="005172F6">
        <w:rPr>
          <w:rFonts w:eastAsia="Times New Roman" w:cs="Arial"/>
          <w:color w:val="000000"/>
          <w:lang w:val="ru-RU"/>
        </w:rPr>
        <w:t xml:space="preserve"> </w:t>
      </w:r>
      <w:r w:rsidRPr="005172F6">
        <w:rPr>
          <w:rFonts w:eastAsia="Times New Roman" w:cs="Arial"/>
          <w:color w:val="000000"/>
        </w:rPr>
        <w:t xml:space="preserve">на </w:t>
      </w:r>
      <w:r w:rsidRPr="005172F6">
        <w:rPr>
          <w:rFonts w:eastAsia="Times New Roman" w:cs="Arial"/>
          <w:color w:val="000000"/>
          <w:lang w:eastAsia="bg-BG"/>
        </w:rPr>
        <w:t xml:space="preserve">експозицията при възрастни, приемащи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биластин (вж. точка 5.2). Екстраполацията от данни за възрастни и юноши се счита за подходяща за този продукт, тъй като патофизиологията на алергичния риноконюнктивит и уртикария е еднаква за всички възрастови групи.</w:t>
      </w:r>
    </w:p>
    <w:p w14:paraId="4E1AD691" w14:textId="77777777" w:rsidR="005172F6" w:rsidRPr="005172F6" w:rsidRDefault="005172F6" w:rsidP="00703D91">
      <w:pPr>
        <w:spacing w:line="240" w:lineRule="auto"/>
        <w:rPr>
          <w:rFonts w:eastAsia="Times New Roman" w:cs="Arial"/>
          <w:color w:val="000000"/>
          <w:lang w:eastAsia="bg-BG"/>
        </w:rPr>
      </w:pPr>
    </w:p>
    <w:p w14:paraId="7D35D5EA" w14:textId="0C951387" w:rsidR="00703D91" w:rsidRPr="005172F6" w:rsidRDefault="00703D91" w:rsidP="00703D91">
      <w:pPr>
        <w:spacing w:line="240" w:lineRule="auto"/>
        <w:rPr>
          <w:rFonts w:eastAsia="Times New Roman" w:cs="Arial"/>
          <w:sz w:val="24"/>
          <w:szCs w:val="24"/>
        </w:rPr>
      </w:pPr>
      <w:r w:rsidRPr="005172F6">
        <w:rPr>
          <w:rFonts w:eastAsia="Times New Roman" w:cs="Arial"/>
          <w:color w:val="000000"/>
          <w:lang w:eastAsia="bg-BG"/>
        </w:rPr>
        <w:t xml:space="preserve">В 12-седмично контролирано клинично проучване с деца на възраст от 2 до 11 години (общо 509 деца, 260 лекувани с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58 на възраст от 2 до &lt;6 години, 105 на възраст от 6 до &lt;9 години, 97 на възраст от 9 до &lt;12 години и 249 лекувани с плацебо: 58 на възраст от 2 до &lt;6 години, 95 на възраст от 6 до &lt;9 години и 96 на възраст от 9 до &lt;12 години) при препоръчителната педиатрична доза от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веднъж дневно профилът на безопасност на биластин (</w:t>
      </w:r>
      <w:r w:rsidRPr="005172F6">
        <w:rPr>
          <w:rFonts w:eastAsia="Times New Roman" w:cs="Arial"/>
          <w:color w:val="000000"/>
          <w:lang w:val="en-US"/>
        </w:rPr>
        <w:t>n</w:t>
      </w:r>
      <w:r w:rsidRPr="005172F6">
        <w:rPr>
          <w:rFonts w:eastAsia="Times New Roman" w:cs="Arial"/>
          <w:color w:val="000000"/>
          <w:lang w:eastAsia="bg-BG"/>
        </w:rPr>
        <w:t>=260) е сходен с този на плацебо (</w:t>
      </w:r>
      <w:r w:rsidRPr="005172F6">
        <w:rPr>
          <w:rFonts w:eastAsia="Times New Roman" w:cs="Arial"/>
          <w:color w:val="000000"/>
          <w:lang w:val="en-US"/>
        </w:rPr>
        <w:t>n</w:t>
      </w:r>
      <w:r w:rsidRPr="005172F6">
        <w:rPr>
          <w:rFonts w:eastAsia="Times New Roman" w:cs="Arial"/>
          <w:color w:val="000000"/>
          <w:lang w:val="ru-RU"/>
        </w:rPr>
        <w:t>=</w:t>
      </w:r>
      <w:r w:rsidRPr="005172F6">
        <w:rPr>
          <w:rFonts w:eastAsia="Times New Roman" w:cs="Arial"/>
          <w:color w:val="000000"/>
          <w:lang w:eastAsia="bg-BG"/>
        </w:rPr>
        <w:t xml:space="preserve">249), като нежелани лекарствени реакции се проявяват при 5,8% и 8,0% от пациентите, приемащи съответно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и плацебо. При това проучване и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и плацебо демонстрират леко намаляване на резултатите за сънливост и седация в педиатричния въпросник за съня </w:t>
      </w:r>
      <w:r w:rsidRPr="005172F6">
        <w:rPr>
          <w:rFonts w:eastAsia="Times New Roman" w:cs="Arial"/>
          <w:color w:val="000000"/>
          <w:lang w:val="ru-RU"/>
        </w:rPr>
        <w:t>(</w:t>
      </w:r>
      <w:proofErr w:type="spellStart"/>
      <w:r w:rsidRPr="005172F6">
        <w:rPr>
          <w:rFonts w:eastAsia="Times New Roman" w:cs="Arial"/>
          <w:color w:val="000000"/>
          <w:lang w:val="en-US"/>
        </w:rPr>
        <w:t>Paediatric</w:t>
      </w:r>
      <w:proofErr w:type="spellEnd"/>
      <w:r w:rsidRPr="005172F6">
        <w:rPr>
          <w:rFonts w:eastAsia="Times New Roman" w:cs="Arial"/>
          <w:color w:val="000000"/>
          <w:lang w:val="ru-RU"/>
        </w:rPr>
        <w:t xml:space="preserve"> </w:t>
      </w:r>
      <w:r w:rsidRPr="005172F6">
        <w:rPr>
          <w:rFonts w:eastAsia="Times New Roman" w:cs="Arial"/>
          <w:color w:val="000000"/>
          <w:lang w:val="en-US"/>
        </w:rPr>
        <w:t>Sleep</w:t>
      </w:r>
      <w:r w:rsidRPr="005172F6">
        <w:rPr>
          <w:rFonts w:eastAsia="Times New Roman" w:cs="Arial"/>
          <w:color w:val="000000"/>
          <w:lang w:val="ru-RU"/>
        </w:rPr>
        <w:t xml:space="preserve"> </w:t>
      </w:r>
      <w:r w:rsidRPr="005172F6">
        <w:rPr>
          <w:rFonts w:eastAsia="Times New Roman" w:cs="Arial"/>
          <w:color w:val="000000"/>
          <w:lang w:val="en-US"/>
        </w:rPr>
        <w:t>Questionnaire</w:t>
      </w:r>
      <w:r w:rsidRPr="005172F6">
        <w:rPr>
          <w:rFonts w:eastAsia="Times New Roman" w:cs="Arial"/>
          <w:color w:val="000000"/>
          <w:lang w:val="ru-RU"/>
        </w:rPr>
        <w:t xml:space="preserve">), </w:t>
      </w:r>
      <w:r w:rsidRPr="005172F6">
        <w:rPr>
          <w:rFonts w:eastAsia="Times New Roman" w:cs="Arial"/>
          <w:color w:val="000000"/>
          <w:lang w:eastAsia="bg-BG"/>
        </w:rPr>
        <w:t xml:space="preserve">като между лекуваните групи няма статистически значими разлики. При децата на възраст от 2 до 11 години няма наблюдавани значими разлики в </w:t>
      </w:r>
      <w:proofErr w:type="spellStart"/>
      <w:r w:rsidRPr="005172F6">
        <w:rPr>
          <w:rFonts w:eastAsia="Times New Roman" w:cs="Arial"/>
          <w:color w:val="000000"/>
          <w:lang w:val="en-US"/>
        </w:rPr>
        <w:t>QTc</w:t>
      </w:r>
      <w:proofErr w:type="spellEnd"/>
      <w:r w:rsidRPr="005172F6">
        <w:rPr>
          <w:rFonts w:eastAsia="Times New Roman" w:cs="Arial"/>
          <w:color w:val="000000"/>
          <w:lang w:val="ru-RU"/>
        </w:rPr>
        <w:t xml:space="preserve"> </w:t>
      </w:r>
      <w:r w:rsidRPr="005172F6">
        <w:rPr>
          <w:rFonts w:eastAsia="Times New Roman" w:cs="Arial"/>
          <w:color w:val="000000"/>
          <w:lang w:eastAsia="bg-BG"/>
        </w:rPr>
        <w:t xml:space="preserve">след лечението с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биластин дневно в сравнение с плацебо. Специални въпросници за качеството на живот за деца с алергичен риноконюнктивит или хронична уртикария демонстрират общо увеличение в резултатите за период от 12 седмици без статистически значима разлика между рамената на лечение с биластин и плацебо. Общата популация от 509 деца обхваща: 479 лица с алергичен риноконюнктивит и 30 лица с диагностицирана хронична уртикария. 260 деца са приемали биластин, 252 (96,9%) за алергичен риноконюнктивит и 8 (3,1%) за хронична уртикария. По аналогия, 249 деца са приемали плацебо, 227 (91,2%) за алергичен риноконюнктивит и 22 (8,8%) за хронична уртикария.</w:t>
      </w:r>
    </w:p>
    <w:p w14:paraId="4275C4AD" w14:textId="77777777" w:rsidR="005172F6" w:rsidRPr="005172F6" w:rsidRDefault="005172F6" w:rsidP="00703D91">
      <w:pPr>
        <w:spacing w:line="240" w:lineRule="auto"/>
        <w:rPr>
          <w:rFonts w:eastAsia="Times New Roman" w:cs="Arial"/>
          <w:color w:val="000000"/>
          <w:lang w:eastAsia="bg-BG"/>
        </w:rPr>
      </w:pPr>
    </w:p>
    <w:p w14:paraId="155C69BF" w14:textId="2A455FB7" w:rsidR="00703D91" w:rsidRPr="005172F6" w:rsidRDefault="00703D91" w:rsidP="00703D91">
      <w:pPr>
        <w:spacing w:line="240" w:lineRule="auto"/>
        <w:rPr>
          <w:rFonts w:eastAsia="Times New Roman" w:cs="Arial"/>
          <w:color w:val="000000"/>
          <w:lang w:eastAsia="bg-BG"/>
        </w:rPr>
      </w:pPr>
      <w:r w:rsidRPr="005172F6">
        <w:rPr>
          <w:rFonts w:eastAsia="Times New Roman" w:cs="Arial"/>
          <w:color w:val="000000"/>
          <w:lang w:eastAsia="bg-BG"/>
        </w:rPr>
        <w:t>Европейската агенция по лекарствата освобождава от задължението за представяне на резултатите от проучванията с биластин във всички подгрупи на педиатричната популация под 2-годишна възраст (вж. точка 4.2 за информация относно педиатричната употреба).</w:t>
      </w:r>
    </w:p>
    <w:p w14:paraId="21FA872A" w14:textId="67CB07F3" w:rsidR="00703D91" w:rsidRPr="00703D91" w:rsidRDefault="00703D91" w:rsidP="00703D91"/>
    <w:p w14:paraId="26535098" w14:textId="033759B9" w:rsidR="00395555" w:rsidRDefault="002C50EE" w:rsidP="008A6AF2">
      <w:pPr>
        <w:pStyle w:val="Heading2"/>
      </w:pPr>
      <w:r>
        <w:lastRenderedPageBreak/>
        <w:t>5.2. Фармакокинетични свойства</w:t>
      </w:r>
    </w:p>
    <w:p w14:paraId="7D79C7AC" w14:textId="43EE1DE7" w:rsidR="005172F6" w:rsidRDefault="005172F6" w:rsidP="005172F6"/>
    <w:p w14:paraId="3FF1B4F9" w14:textId="77777777" w:rsidR="005172F6" w:rsidRPr="005172F6" w:rsidRDefault="005172F6" w:rsidP="005172F6">
      <w:pPr>
        <w:pStyle w:val="Heading3"/>
        <w:rPr>
          <w:rFonts w:eastAsia="Times New Roman"/>
          <w:u w:val="single"/>
        </w:rPr>
      </w:pPr>
      <w:r w:rsidRPr="005172F6">
        <w:rPr>
          <w:rFonts w:eastAsia="Times New Roman"/>
          <w:u w:val="single"/>
          <w:lang w:eastAsia="bg-BG"/>
        </w:rPr>
        <w:t>Абсорбция</w:t>
      </w:r>
    </w:p>
    <w:p w14:paraId="36B87D70"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Биластин бързо се абсорбира след перорално приложение с време за достигане на максимална плазмена концентрация от около 1,3 часа. Не се наблюдава акумулация. Средното ниво на бионаличност на биластин при перорално приложение е 61%.</w:t>
      </w:r>
    </w:p>
    <w:p w14:paraId="4A63C4B8" w14:textId="77777777" w:rsidR="005172F6" w:rsidRPr="005172F6" w:rsidRDefault="005172F6" w:rsidP="005172F6">
      <w:pPr>
        <w:spacing w:line="240" w:lineRule="auto"/>
        <w:rPr>
          <w:rFonts w:eastAsia="Times New Roman" w:cs="Arial"/>
          <w:color w:val="000000"/>
          <w:u w:val="single"/>
          <w:lang w:eastAsia="bg-BG"/>
        </w:rPr>
      </w:pPr>
    </w:p>
    <w:p w14:paraId="5EB10861" w14:textId="0984E577" w:rsidR="005172F6" w:rsidRPr="005172F6" w:rsidRDefault="005172F6" w:rsidP="005172F6">
      <w:pPr>
        <w:pStyle w:val="Heading3"/>
        <w:rPr>
          <w:rFonts w:eastAsia="Times New Roman"/>
          <w:u w:val="single"/>
        </w:rPr>
      </w:pPr>
      <w:r w:rsidRPr="005172F6">
        <w:rPr>
          <w:rFonts w:eastAsia="Times New Roman"/>
          <w:u w:val="single"/>
          <w:lang w:eastAsia="bg-BG"/>
        </w:rPr>
        <w:t>Разпределение</w:t>
      </w:r>
    </w:p>
    <w:p w14:paraId="237E482C" w14:textId="77777777" w:rsidR="005172F6" w:rsidRPr="005172F6" w:rsidRDefault="005172F6" w:rsidP="005172F6">
      <w:pPr>
        <w:rPr>
          <w:rFonts w:eastAsia="Times New Roman" w:cs="Arial"/>
          <w:sz w:val="24"/>
          <w:szCs w:val="24"/>
        </w:rPr>
      </w:pPr>
      <w:r w:rsidRPr="005172F6">
        <w:rPr>
          <w:rFonts w:eastAsia="Times New Roman" w:cs="Arial"/>
          <w:i/>
          <w:iCs/>
          <w:color w:val="000000"/>
          <w:lang w:val="en-US"/>
        </w:rPr>
        <w:t>In</w:t>
      </w:r>
      <w:r w:rsidRPr="005172F6">
        <w:rPr>
          <w:rFonts w:eastAsia="Times New Roman" w:cs="Arial"/>
          <w:i/>
          <w:iCs/>
          <w:color w:val="000000"/>
          <w:lang w:val="ru-RU"/>
        </w:rPr>
        <w:t xml:space="preserve"> </w:t>
      </w:r>
      <w:r w:rsidRPr="005172F6">
        <w:rPr>
          <w:rFonts w:eastAsia="Times New Roman" w:cs="Arial"/>
          <w:i/>
          <w:iCs/>
          <w:color w:val="000000"/>
          <w:lang w:val="en-US"/>
        </w:rPr>
        <w:t>vitro</w:t>
      </w:r>
      <w:r w:rsidRPr="005172F6">
        <w:rPr>
          <w:rFonts w:eastAsia="Times New Roman" w:cs="Arial"/>
          <w:color w:val="000000"/>
          <w:lang w:val="ru-RU"/>
        </w:rPr>
        <w:t xml:space="preserve"> </w:t>
      </w:r>
      <w:r w:rsidRPr="005172F6">
        <w:rPr>
          <w:rFonts w:eastAsia="Times New Roman" w:cs="Arial"/>
          <w:color w:val="000000"/>
          <w:lang w:eastAsia="bg-BG"/>
        </w:rPr>
        <w:t xml:space="preserve">и </w:t>
      </w:r>
      <w:r w:rsidRPr="005172F6">
        <w:rPr>
          <w:rFonts w:eastAsia="Times New Roman" w:cs="Arial"/>
          <w:i/>
          <w:iCs/>
          <w:color w:val="000000"/>
          <w:lang w:val="en-US"/>
        </w:rPr>
        <w:t>in</w:t>
      </w:r>
      <w:r w:rsidRPr="005172F6">
        <w:rPr>
          <w:rFonts w:eastAsia="Times New Roman" w:cs="Arial"/>
          <w:i/>
          <w:iCs/>
          <w:color w:val="000000"/>
          <w:lang w:val="ru-RU"/>
        </w:rPr>
        <w:t xml:space="preserve"> </w:t>
      </w:r>
      <w:r w:rsidRPr="005172F6">
        <w:rPr>
          <w:rFonts w:eastAsia="Times New Roman" w:cs="Arial"/>
          <w:i/>
          <w:iCs/>
          <w:color w:val="000000"/>
          <w:lang w:val="en-US"/>
        </w:rPr>
        <w:t>vivo</w:t>
      </w:r>
      <w:r w:rsidRPr="005172F6">
        <w:rPr>
          <w:rFonts w:eastAsia="Times New Roman" w:cs="Arial"/>
          <w:color w:val="000000"/>
          <w:lang w:val="ru-RU"/>
        </w:rPr>
        <w:t xml:space="preserve"> </w:t>
      </w:r>
      <w:r w:rsidRPr="005172F6">
        <w:rPr>
          <w:rFonts w:eastAsia="Times New Roman" w:cs="Arial"/>
          <w:color w:val="000000"/>
          <w:lang w:eastAsia="bg-BG"/>
        </w:rPr>
        <w:t xml:space="preserve">проучвания показват, че биластин е субстрат на Р-гликопротеин (вж. точка 4.5 Взаимодействие с кетоконазол, еритромицин и дилтиазем) и ОАТР (вж. точка 4.5 Взаимодействие със сок от грейпфрут). Биластин не е субстрат на транспортна система </w:t>
      </w:r>
      <w:r w:rsidRPr="005172F6">
        <w:rPr>
          <w:rFonts w:eastAsia="Times New Roman" w:cs="Arial"/>
          <w:color w:val="000000"/>
          <w:lang w:val="en-US"/>
        </w:rPr>
        <w:t>BCRP</w:t>
      </w:r>
      <w:r w:rsidRPr="005172F6">
        <w:rPr>
          <w:rFonts w:eastAsia="Times New Roman" w:cs="Arial"/>
          <w:color w:val="000000"/>
          <w:lang w:val="ru-RU"/>
        </w:rPr>
        <w:t xml:space="preserve"> </w:t>
      </w:r>
      <w:r w:rsidRPr="005172F6">
        <w:rPr>
          <w:rFonts w:eastAsia="Times New Roman" w:cs="Arial"/>
          <w:color w:val="000000"/>
          <w:lang w:eastAsia="bg-BG"/>
        </w:rPr>
        <w:t xml:space="preserve">или на бъбречни транспортни системи ОСТ2, ОАТ1 и ОАТЗ. На базата на </w:t>
      </w:r>
      <w:r w:rsidRPr="005172F6">
        <w:rPr>
          <w:rFonts w:eastAsia="Times New Roman" w:cs="Arial"/>
          <w:i/>
          <w:iCs/>
          <w:color w:val="000000"/>
          <w:lang w:val="en-US"/>
        </w:rPr>
        <w:t>in</w:t>
      </w:r>
      <w:r w:rsidRPr="005172F6">
        <w:rPr>
          <w:rFonts w:eastAsia="Times New Roman" w:cs="Arial"/>
          <w:i/>
          <w:iCs/>
          <w:color w:val="000000"/>
          <w:lang w:val="ru-RU"/>
        </w:rPr>
        <w:t xml:space="preserve"> </w:t>
      </w:r>
      <w:r w:rsidRPr="005172F6">
        <w:rPr>
          <w:rFonts w:eastAsia="Times New Roman" w:cs="Arial"/>
          <w:i/>
          <w:iCs/>
          <w:color w:val="000000"/>
          <w:lang w:val="en-US"/>
        </w:rPr>
        <w:t>vitro</w:t>
      </w:r>
      <w:r w:rsidRPr="005172F6">
        <w:rPr>
          <w:rFonts w:eastAsia="Times New Roman" w:cs="Arial"/>
          <w:color w:val="000000"/>
          <w:lang w:val="ru-RU"/>
        </w:rPr>
        <w:t xml:space="preserve"> </w:t>
      </w:r>
      <w:r w:rsidRPr="005172F6">
        <w:rPr>
          <w:rFonts w:eastAsia="Times New Roman" w:cs="Arial"/>
          <w:color w:val="000000"/>
          <w:lang w:eastAsia="bg-BG"/>
        </w:rPr>
        <w:t xml:space="preserve">проучване биластин не се очаква да инхибира следните транспортни системи в системната циркулация: Р- гликопротеин, </w:t>
      </w:r>
      <w:r w:rsidRPr="005172F6">
        <w:rPr>
          <w:rFonts w:eastAsia="Times New Roman" w:cs="Arial"/>
          <w:color w:val="000000"/>
          <w:lang w:val="en-US"/>
        </w:rPr>
        <w:t>MRP</w:t>
      </w:r>
      <w:r w:rsidRPr="005172F6">
        <w:rPr>
          <w:rFonts w:eastAsia="Times New Roman" w:cs="Arial"/>
          <w:color w:val="000000"/>
          <w:lang w:val="ru-RU"/>
        </w:rPr>
        <w:t xml:space="preserve">2, </w:t>
      </w:r>
      <w:r w:rsidRPr="005172F6">
        <w:rPr>
          <w:rFonts w:eastAsia="Times New Roman" w:cs="Arial"/>
          <w:color w:val="000000"/>
          <w:lang w:val="en-US"/>
        </w:rPr>
        <w:t>BCRP</w:t>
      </w:r>
      <w:r w:rsidRPr="005172F6">
        <w:rPr>
          <w:rFonts w:eastAsia="Times New Roman" w:cs="Arial"/>
          <w:color w:val="000000"/>
          <w:lang w:val="ru-RU"/>
        </w:rPr>
        <w:t xml:space="preserve">, </w:t>
      </w:r>
      <w:r w:rsidRPr="005172F6">
        <w:rPr>
          <w:rFonts w:eastAsia="Times New Roman" w:cs="Arial"/>
          <w:color w:val="000000"/>
          <w:lang w:val="en-US"/>
        </w:rPr>
        <w:t>BSEP</w:t>
      </w:r>
      <w:r w:rsidRPr="005172F6">
        <w:rPr>
          <w:rFonts w:eastAsia="Times New Roman" w:cs="Arial"/>
          <w:color w:val="000000"/>
          <w:lang w:val="ru-RU"/>
        </w:rPr>
        <w:t xml:space="preserve">, </w:t>
      </w:r>
      <w:r w:rsidRPr="005172F6">
        <w:rPr>
          <w:rFonts w:eastAsia="Times New Roman" w:cs="Arial"/>
          <w:color w:val="000000"/>
          <w:lang w:eastAsia="bg-BG"/>
        </w:rPr>
        <w:t xml:space="preserve">ОАТР1В1, ОАТР1ВЗ, ОАТР2В1, ОАТ1, ОАТ3, ОСТ1 ОС12 и </w:t>
      </w:r>
      <w:r w:rsidRPr="005172F6">
        <w:rPr>
          <w:rFonts w:eastAsia="Times New Roman" w:cs="Arial"/>
          <w:color w:val="000000"/>
          <w:lang w:val="en-US"/>
        </w:rPr>
        <w:t>NTCP</w:t>
      </w:r>
      <w:r w:rsidRPr="005172F6">
        <w:rPr>
          <w:rFonts w:eastAsia="Times New Roman" w:cs="Arial"/>
          <w:color w:val="000000"/>
          <w:lang w:val="ru-RU"/>
        </w:rPr>
        <w:t xml:space="preserve">, </w:t>
      </w:r>
      <w:r w:rsidRPr="005172F6">
        <w:rPr>
          <w:rFonts w:eastAsia="Times New Roman" w:cs="Arial"/>
          <w:color w:val="000000"/>
          <w:lang w:eastAsia="bg-BG"/>
        </w:rPr>
        <w:t>тъй като се наблюдава само слабо инхибиране Р- гликопротеин, ОАТР2В1 и ОСТ1, с определена 1</w:t>
      </w:r>
      <w:r w:rsidRPr="005172F6">
        <w:rPr>
          <w:rFonts w:eastAsia="Times New Roman" w:cs="Arial"/>
          <w:color w:val="000000"/>
          <w:lang w:val="en-US"/>
        </w:rPr>
        <w:t>C</w:t>
      </w:r>
      <w:r w:rsidRPr="005172F6">
        <w:rPr>
          <w:rFonts w:eastAsia="Times New Roman" w:cs="Arial"/>
          <w:color w:val="000000"/>
          <w:vertAlign w:val="subscript"/>
          <w:lang w:val="ru-RU"/>
        </w:rPr>
        <w:t>50</w:t>
      </w:r>
      <w:r w:rsidRPr="005172F6">
        <w:rPr>
          <w:rFonts w:eastAsia="Times New Roman" w:cs="Arial"/>
          <w:color w:val="000000"/>
          <w:lang w:eastAsia="bg-BG"/>
        </w:rPr>
        <w:t>≥ 300 μМ, много по- висока от изчислената клинична плазмена Стах и поради това тези взаимодействия не са</w:t>
      </w:r>
      <w:r w:rsidRPr="005172F6">
        <w:rPr>
          <w:rFonts w:eastAsia="Times New Roman" w:cs="Arial"/>
          <w:color w:val="000000"/>
          <w:u w:val="single"/>
          <w:lang w:eastAsia="bg-BG"/>
        </w:rPr>
        <w:t xml:space="preserve"> </w:t>
      </w:r>
      <w:r w:rsidRPr="005172F6">
        <w:rPr>
          <w:rFonts w:eastAsia="Times New Roman" w:cs="Arial"/>
          <w:color w:val="000000"/>
          <w:lang w:eastAsia="bg-BG"/>
        </w:rPr>
        <w:t>клинично значими. Въпреки това, въз основа на тези резултати. инхибиране от биластин на други транспортни системи на чревната лигавица, напр. Р- гликопротеин, не може да се изключи.</w:t>
      </w:r>
    </w:p>
    <w:p w14:paraId="3EA395ED"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В терапевтични дози биластин се свързва с плазмените протеини в 84-90%.</w:t>
      </w:r>
    </w:p>
    <w:p w14:paraId="0F944292" w14:textId="77777777" w:rsidR="005172F6" w:rsidRPr="005172F6" w:rsidRDefault="005172F6" w:rsidP="005172F6">
      <w:pPr>
        <w:pStyle w:val="Heading3"/>
        <w:rPr>
          <w:rFonts w:eastAsia="Times New Roman"/>
          <w:u w:val="single"/>
          <w:lang w:eastAsia="bg-BG"/>
        </w:rPr>
      </w:pPr>
    </w:p>
    <w:p w14:paraId="24BB8C0D" w14:textId="2C854426" w:rsidR="005172F6" w:rsidRPr="005172F6" w:rsidRDefault="005172F6" w:rsidP="005172F6">
      <w:pPr>
        <w:pStyle w:val="Heading3"/>
        <w:rPr>
          <w:rFonts w:eastAsia="Times New Roman"/>
          <w:u w:val="single"/>
        </w:rPr>
      </w:pPr>
      <w:r w:rsidRPr="005172F6">
        <w:rPr>
          <w:rFonts w:eastAsia="Times New Roman"/>
          <w:u w:val="single"/>
          <w:lang w:eastAsia="bg-BG"/>
        </w:rPr>
        <w:t>Биотрансформация</w:t>
      </w:r>
    </w:p>
    <w:p w14:paraId="49F8983A"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 xml:space="preserve">Биластин не индуцира и не потиска активността на </w:t>
      </w:r>
      <w:r w:rsidRPr="005172F6">
        <w:rPr>
          <w:rFonts w:eastAsia="Times New Roman" w:cs="Arial"/>
          <w:color w:val="000000"/>
          <w:lang w:val="en-US"/>
        </w:rPr>
        <w:t>CYP</w:t>
      </w:r>
      <w:r w:rsidRPr="005172F6">
        <w:rPr>
          <w:rFonts w:eastAsia="Times New Roman" w:cs="Arial"/>
          <w:color w:val="000000"/>
          <w:lang w:val="ru-RU"/>
        </w:rPr>
        <w:t xml:space="preserve">450 </w:t>
      </w:r>
      <w:r w:rsidRPr="005172F6">
        <w:rPr>
          <w:rFonts w:eastAsia="Times New Roman" w:cs="Arial"/>
          <w:color w:val="000000"/>
          <w:lang w:eastAsia="bg-BG"/>
        </w:rPr>
        <w:t xml:space="preserve">изоензими в проучвания </w:t>
      </w:r>
      <w:r w:rsidRPr="005172F6">
        <w:rPr>
          <w:rFonts w:eastAsia="Times New Roman" w:cs="Arial"/>
          <w:i/>
          <w:iCs/>
          <w:color w:val="000000"/>
          <w:lang w:val="en-US"/>
        </w:rPr>
        <w:t>in</w:t>
      </w:r>
      <w:r w:rsidRPr="005172F6">
        <w:rPr>
          <w:rFonts w:eastAsia="Times New Roman" w:cs="Arial"/>
          <w:i/>
          <w:iCs/>
          <w:color w:val="000000"/>
          <w:lang w:val="ru-RU"/>
        </w:rPr>
        <w:t xml:space="preserve"> </w:t>
      </w:r>
      <w:r w:rsidRPr="005172F6">
        <w:rPr>
          <w:rFonts w:eastAsia="Times New Roman" w:cs="Arial"/>
          <w:i/>
          <w:iCs/>
          <w:color w:val="000000"/>
          <w:lang w:val="en-US"/>
        </w:rPr>
        <w:t>vitro</w:t>
      </w:r>
      <w:r w:rsidRPr="005172F6">
        <w:rPr>
          <w:rFonts w:eastAsia="Times New Roman" w:cs="Arial"/>
          <w:i/>
          <w:iCs/>
          <w:color w:val="000000"/>
          <w:lang w:val="ru-RU"/>
        </w:rPr>
        <w:t>.</w:t>
      </w:r>
    </w:p>
    <w:p w14:paraId="0CB23AC5" w14:textId="77777777" w:rsidR="005172F6" w:rsidRPr="005172F6" w:rsidRDefault="005172F6" w:rsidP="005172F6">
      <w:pPr>
        <w:spacing w:line="240" w:lineRule="auto"/>
        <w:rPr>
          <w:rFonts w:eastAsia="Times New Roman" w:cs="Arial"/>
          <w:color w:val="000000"/>
          <w:u w:val="single"/>
          <w:lang w:eastAsia="bg-BG"/>
        </w:rPr>
      </w:pPr>
    </w:p>
    <w:p w14:paraId="60F4CA2D" w14:textId="65085BAF" w:rsidR="005172F6" w:rsidRPr="005172F6" w:rsidRDefault="005172F6" w:rsidP="005172F6">
      <w:pPr>
        <w:pStyle w:val="Heading3"/>
        <w:rPr>
          <w:rFonts w:eastAsia="Times New Roman"/>
          <w:u w:val="single"/>
        </w:rPr>
      </w:pPr>
      <w:r w:rsidRPr="005172F6">
        <w:rPr>
          <w:rFonts w:eastAsia="Times New Roman"/>
          <w:u w:val="single"/>
          <w:lang w:eastAsia="bg-BG"/>
        </w:rPr>
        <w:t>Елиминиране</w:t>
      </w:r>
    </w:p>
    <w:p w14:paraId="29FD09C6"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 xml:space="preserve">В проучване при здрави възрастни доброволци с балансирана маса след приложение на единична доза от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vertAlign w:val="superscript"/>
          <w:lang w:eastAsia="bg-BG"/>
        </w:rPr>
        <w:t>14</w:t>
      </w:r>
      <w:r w:rsidRPr="005172F6">
        <w:rPr>
          <w:rFonts w:eastAsia="Times New Roman" w:cs="Arial"/>
          <w:color w:val="000000"/>
          <w:lang w:eastAsia="bg-BG"/>
        </w:rPr>
        <w:t>С-биластин, почти 95% от приложената доза се открива в урината (28,3%) и изпражненията (66,5%) като непроменен биластин, което потвърждава, че биластин не се метаболизира значимо при хората. Средният полуживот на елиминиране, изчислен при здрави доброволци, е 14,5 ч.</w:t>
      </w:r>
    </w:p>
    <w:p w14:paraId="30BD30DD" w14:textId="77777777" w:rsidR="005172F6" w:rsidRPr="005172F6" w:rsidRDefault="005172F6" w:rsidP="005172F6">
      <w:pPr>
        <w:spacing w:line="240" w:lineRule="auto"/>
        <w:rPr>
          <w:rFonts w:eastAsia="Times New Roman" w:cs="Arial"/>
          <w:color w:val="000000"/>
          <w:u w:val="single"/>
          <w:lang w:eastAsia="bg-BG"/>
        </w:rPr>
      </w:pPr>
    </w:p>
    <w:p w14:paraId="6B6CBA35" w14:textId="73A8E099" w:rsidR="005172F6" w:rsidRPr="005172F6" w:rsidRDefault="005172F6" w:rsidP="005172F6">
      <w:pPr>
        <w:pStyle w:val="Heading3"/>
        <w:rPr>
          <w:rFonts w:eastAsia="Times New Roman"/>
          <w:u w:val="single"/>
        </w:rPr>
      </w:pPr>
      <w:r w:rsidRPr="005172F6">
        <w:rPr>
          <w:rFonts w:eastAsia="Times New Roman"/>
          <w:u w:val="single"/>
          <w:lang w:eastAsia="bg-BG"/>
        </w:rPr>
        <w:t>Линейност</w:t>
      </w:r>
    </w:p>
    <w:p w14:paraId="453075D2"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 xml:space="preserve">Биластин показва линеен фармакокинетичен профил при проследяване на различни дози (5 до 220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с ниски индивидуални различия.</w:t>
      </w:r>
    </w:p>
    <w:p w14:paraId="7A002C1A" w14:textId="77777777" w:rsidR="005172F6" w:rsidRPr="005172F6" w:rsidRDefault="005172F6" w:rsidP="005172F6">
      <w:pPr>
        <w:spacing w:line="240" w:lineRule="auto"/>
        <w:rPr>
          <w:rFonts w:eastAsia="Times New Roman" w:cs="Arial"/>
          <w:color w:val="000000"/>
          <w:u w:val="single"/>
          <w:lang w:eastAsia="bg-BG"/>
        </w:rPr>
      </w:pPr>
    </w:p>
    <w:p w14:paraId="6F24C8C9" w14:textId="6AC09AD1" w:rsidR="005172F6" w:rsidRPr="005172F6" w:rsidRDefault="005172F6" w:rsidP="005172F6">
      <w:pPr>
        <w:spacing w:line="240" w:lineRule="auto"/>
        <w:rPr>
          <w:rFonts w:eastAsia="Times New Roman" w:cs="Arial"/>
          <w:sz w:val="24"/>
          <w:szCs w:val="24"/>
        </w:rPr>
      </w:pPr>
      <w:r w:rsidRPr="005172F6">
        <w:rPr>
          <w:rFonts w:eastAsia="Times New Roman" w:cs="Arial"/>
          <w:color w:val="000000"/>
          <w:u w:val="single"/>
          <w:lang w:eastAsia="bg-BG"/>
        </w:rPr>
        <w:t>Бъбречни нарушения</w:t>
      </w:r>
    </w:p>
    <w:p w14:paraId="7137BC81"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 xml:space="preserve">В изследване на лица с бъбречни нарушения, средната </w:t>
      </w:r>
      <w:r w:rsidRPr="005172F6">
        <w:rPr>
          <w:rFonts w:eastAsia="Times New Roman" w:cs="Arial"/>
          <w:color w:val="000000"/>
          <w:lang w:val="ru-RU"/>
        </w:rPr>
        <w:t>(</w:t>
      </w:r>
      <w:r w:rsidRPr="005172F6">
        <w:rPr>
          <w:rFonts w:eastAsia="Times New Roman" w:cs="Arial"/>
          <w:color w:val="000000"/>
          <w:lang w:val="en-US"/>
        </w:rPr>
        <w:t>SD</w:t>
      </w:r>
      <w:r w:rsidRPr="005172F6">
        <w:rPr>
          <w:rFonts w:eastAsia="Times New Roman" w:cs="Arial"/>
          <w:color w:val="000000"/>
          <w:lang w:val="ru-RU"/>
        </w:rPr>
        <w:t xml:space="preserve">) </w:t>
      </w:r>
      <w:r w:rsidRPr="005172F6">
        <w:rPr>
          <w:rFonts w:eastAsia="Times New Roman" w:cs="Arial"/>
          <w:color w:val="000000"/>
          <w:lang w:val="en-US"/>
        </w:rPr>
        <w:t>AUC</w:t>
      </w:r>
      <w:r w:rsidRPr="005172F6">
        <w:rPr>
          <w:rFonts w:eastAsia="Times New Roman" w:cs="Arial"/>
          <w:color w:val="000000"/>
          <w:vertAlign w:val="subscript"/>
          <w:lang w:val="ru-RU"/>
        </w:rPr>
        <w:t>0-</w:t>
      </w:r>
      <w:r w:rsidRPr="005172F6">
        <w:rPr>
          <w:rFonts w:eastAsia="Times New Roman" w:cs="Arial"/>
          <w:color w:val="000000"/>
          <w:vertAlign w:val="subscript"/>
          <w:lang w:eastAsia="bg-BG"/>
        </w:rPr>
        <w:t>∞</w:t>
      </w:r>
      <w:r w:rsidRPr="005172F6">
        <w:rPr>
          <w:rFonts w:eastAsia="Times New Roman" w:cs="Arial"/>
          <w:color w:val="000000"/>
          <w:lang w:eastAsia="bg-BG"/>
        </w:rPr>
        <w:t xml:space="preserve"> нараства от 737,4 (±260,8) </w:t>
      </w:r>
      <w:proofErr w:type="spellStart"/>
      <w:r w:rsidRPr="005172F6">
        <w:rPr>
          <w:rFonts w:eastAsia="Times New Roman" w:cs="Arial"/>
          <w:color w:val="000000"/>
          <w:lang w:val="en-US"/>
        </w:rPr>
        <w:t>ngxhr</w:t>
      </w:r>
      <w:proofErr w:type="spellEnd"/>
      <w:r w:rsidRPr="005172F6">
        <w:rPr>
          <w:rFonts w:eastAsia="Times New Roman" w:cs="Arial"/>
          <w:color w:val="000000"/>
          <w:lang w:val="ru-RU"/>
        </w:rPr>
        <w:t>/</w:t>
      </w:r>
      <w:r w:rsidRPr="005172F6">
        <w:rPr>
          <w:rFonts w:eastAsia="Times New Roman" w:cs="Arial"/>
          <w:color w:val="000000"/>
          <w:lang w:val="en-US"/>
        </w:rPr>
        <w:t>ml</w:t>
      </w:r>
      <w:r w:rsidRPr="005172F6">
        <w:rPr>
          <w:rFonts w:eastAsia="Times New Roman" w:cs="Arial"/>
          <w:color w:val="000000"/>
          <w:lang w:val="ru-RU"/>
        </w:rPr>
        <w:t xml:space="preserve"> </w:t>
      </w:r>
      <w:r w:rsidRPr="005172F6">
        <w:rPr>
          <w:rFonts w:eastAsia="Times New Roman" w:cs="Arial"/>
          <w:color w:val="000000"/>
          <w:lang w:eastAsia="bg-BG"/>
        </w:rPr>
        <w:t xml:space="preserve">при лица без нарушения </w:t>
      </w:r>
      <w:r w:rsidRPr="005172F6">
        <w:rPr>
          <w:rFonts w:eastAsia="Times New Roman" w:cs="Arial"/>
          <w:color w:val="000000"/>
          <w:lang w:val="ru-RU"/>
        </w:rPr>
        <w:t>(</w:t>
      </w:r>
      <w:r w:rsidRPr="005172F6">
        <w:rPr>
          <w:rFonts w:eastAsia="Times New Roman" w:cs="Arial"/>
          <w:color w:val="000000"/>
          <w:lang w:val="en-US"/>
        </w:rPr>
        <w:t>GFR</w:t>
      </w:r>
      <w:r w:rsidRPr="005172F6">
        <w:rPr>
          <w:rFonts w:eastAsia="Times New Roman" w:cs="Arial"/>
          <w:color w:val="000000"/>
          <w:lang w:val="ru-RU"/>
        </w:rPr>
        <w:t xml:space="preserve">: </w:t>
      </w:r>
      <w:r w:rsidRPr="005172F6">
        <w:rPr>
          <w:rFonts w:eastAsia="Times New Roman" w:cs="Arial"/>
          <w:color w:val="000000"/>
          <w:lang w:eastAsia="bg-BG"/>
        </w:rPr>
        <w:t xml:space="preserve">&gt; 80 </w:t>
      </w:r>
      <w:r w:rsidRPr="005172F6">
        <w:rPr>
          <w:rFonts w:eastAsia="Times New Roman" w:cs="Arial"/>
          <w:color w:val="000000"/>
          <w:lang w:val="en-US"/>
        </w:rPr>
        <w:t>ml</w:t>
      </w:r>
      <w:r w:rsidRPr="005172F6">
        <w:rPr>
          <w:rFonts w:eastAsia="Times New Roman" w:cs="Arial"/>
          <w:color w:val="000000"/>
          <w:lang w:val="ru-RU"/>
        </w:rPr>
        <w:t>/</w:t>
      </w:r>
      <w:r w:rsidRPr="005172F6">
        <w:rPr>
          <w:rFonts w:eastAsia="Times New Roman" w:cs="Arial"/>
          <w:color w:val="000000"/>
          <w:lang w:val="en-US"/>
        </w:rPr>
        <w:t>min</w:t>
      </w:r>
      <w:r w:rsidRPr="005172F6">
        <w:rPr>
          <w:rFonts w:eastAsia="Times New Roman" w:cs="Arial"/>
          <w:color w:val="000000"/>
          <w:lang w:val="ru-RU"/>
        </w:rPr>
        <w:t xml:space="preserve">/1,73 </w:t>
      </w:r>
      <w:r w:rsidRPr="005172F6">
        <w:rPr>
          <w:rFonts w:eastAsia="Times New Roman" w:cs="Arial"/>
          <w:color w:val="000000"/>
          <w:lang w:val="en-US"/>
        </w:rPr>
        <w:t>m</w:t>
      </w:r>
      <w:r w:rsidRPr="005172F6">
        <w:rPr>
          <w:rFonts w:eastAsia="Times New Roman" w:cs="Arial"/>
          <w:color w:val="000000"/>
          <w:vertAlign w:val="superscript"/>
          <w:lang w:val="ru-RU"/>
        </w:rPr>
        <w:t>2</w:t>
      </w:r>
      <w:r w:rsidRPr="005172F6">
        <w:rPr>
          <w:rFonts w:eastAsia="Times New Roman" w:cs="Arial"/>
          <w:color w:val="000000"/>
          <w:lang w:val="ru-RU"/>
        </w:rPr>
        <w:t xml:space="preserve">) </w:t>
      </w:r>
      <w:r w:rsidRPr="005172F6">
        <w:rPr>
          <w:rFonts w:eastAsia="Times New Roman" w:cs="Arial"/>
          <w:color w:val="000000"/>
          <w:lang w:eastAsia="bg-BG"/>
        </w:rPr>
        <w:t xml:space="preserve">до: 967,4 (±140,2) </w:t>
      </w:r>
      <w:proofErr w:type="spellStart"/>
      <w:r w:rsidRPr="005172F6">
        <w:rPr>
          <w:rFonts w:eastAsia="Times New Roman" w:cs="Arial"/>
          <w:color w:val="000000"/>
          <w:lang w:val="en-US"/>
        </w:rPr>
        <w:t>ngxhr</w:t>
      </w:r>
      <w:proofErr w:type="spellEnd"/>
      <w:r w:rsidRPr="005172F6">
        <w:rPr>
          <w:rFonts w:eastAsia="Times New Roman" w:cs="Arial"/>
          <w:color w:val="000000"/>
          <w:lang w:val="ru-RU"/>
        </w:rPr>
        <w:t>/</w:t>
      </w:r>
      <w:r w:rsidRPr="005172F6">
        <w:rPr>
          <w:rFonts w:eastAsia="Times New Roman" w:cs="Arial"/>
          <w:color w:val="000000"/>
          <w:lang w:val="en-US"/>
        </w:rPr>
        <w:t>ml</w:t>
      </w:r>
      <w:r w:rsidRPr="005172F6">
        <w:rPr>
          <w:rFonts w:eastAsia="Times New Roman" w:cs="Arial"/>
          <w:color w:val="000000"/>
          <w:lang w:val="ru-RU"/>
        </w:rPr>
        <w:t xml:space="preserve"> </w:t>
      </w:r>
      <w:r w:rsidRPr="005172F6">
        <w:rPr>
          <w:rFonts w:eastAsia="Times New Roman" w:cs="Arial"/>
          <w:color w:val="000000"/>
          <w:lang w:eastAsia="bg-BG"/>
        </w:rPr>
        <w:t xml:space="preserve">при лица с леко нарушение </w:t>
      </w:r>
      <w:r w:rsidRPr="005172F6">
        <w:rPr>
          <w:rFonts w:eastAsia="Times New Roman" w:cs="Arial"/>
          <w:color w:val="000000"/>
          <w:lang w:val="ru-RU"/>
        </w:rPr>
        <w:t>(</w:t>
      </w:r>
      <w:r w:rsidRPr="005172F6">
        <w:rPr>
          <w:rFonts w:eastAsia="Times New Roman" w:cs="Arial"/>
          <w:color w:val="000000"/>
          <w:lang w:val="en-US"/>
        </w:rPr>
        <w:t>GFR</w:t>
      </w:r>
      <w:r w:rsidRPr="005172F6">
        <w:rPr>
          <w:rFonts w:eastAsia="Times New Roman" w:cs="Arial"/>
          <w:color w:val="000000"/>
          <w:lang w:val="ru-RU"/>
        </w:rPr>
        <w:t xml:space="preserve">: </w:t>
      </w:r>
      <w:r w:rsidRPr="005172F6">
        <w:rPr>
          <w:rFonts w:eastAsia="Times New Roman" w:cs="Arial"/>
          <w:color w:val="000000"/>
          <w:lang w:eastAsia="bg-BG"/>
        </w:rPr>
        <w:t xml:space="preserve">50-80 </w:t>
      </w:r>
      <w:r w:rsidRPr="005172F6">
        <w:rPr>
          <w:rFonts w:eastAsia="Times New Roman" w:cs="Arial"/>
          <w:color w:val="000000"/>
          <w:lang w:val="en-US"/>
        </w:rPr>
        <w:t>ml</w:t>
      </w:r>
      <w:r w:rsidRPr="005172F6">
        <w:rPr>
          <w:rFonts w:eastAsia="Times New Roman" w:cs="Arial"/>
          <w:color w:val="000000"/>
          <w:lang w:val="ru-RU"/>
        </w:rPr>
        <w:t>/</w:t>
      </w:r>
      <w:r w:rsidRPr="005172F6">
        <w:rPr>
          <w:rFonts w:eastAsia="Times New Roman" w:cs="Arial"/>
          <w:color w:val="000000"/>
          <w:lang w:val="en-US"/>
        </w:rPr>
        <w:t>min</w:t>
      </w:r>
      <w:r w:rsidRPr="005172F6">
        <w:rPr>
          <w:rFonts w:eastAsia="Times New Roman" w:cs="Arial"/>
          <w:color w:val="000000"/>
          <w:lang w:val="ru-RU"/>
        </w:rPr>
        <w:t xml:space="preserve">/1,73 </w:t>
      </w:r>
      <w:r w:rsidRPr="005172F6">
        <w:rPr>
          <w:rFonts w:eastAsia="Times New Roman" w:cs="Arial"/>
          <w:color w:val="000000"/>
          <w:lang w:val="en-US"/>
        </w:rPr>
        <w:t>m</w:t>
      </w:r>
      <w:r w:rsidRPr="005172F6">
        <w:rPr>
          <w:rFonts w:eastAsia="Times New Roman" w:cs="Arial"/>
          <w:color w:val="000000"/>
          <w:vertAlign w:val="superscript"/>
          <w:lang w:val="ru-RU"/>
        </w:rPr>
        <w:t>2</w:t>
      </w:r>
      <w:r w:rsidRPr="005172F6">
        <w:rPr>
          <w:rFonts w:eastAsia="Times New Roman" w:cs="Arial"/>
          <w:color w:val="000000"/>
          <w:lang w:val="ru-RU"/>
        </w:rPr>
        <w:t xml:space="preserve">), </w:t>
      </w:r>
      <w:r w:rsidRPr="005172F6">
        <w:rPr>
          <w:rFonts w:eastAsia="Times New Roman" w:cs="Arial"/>
          <w:color w:val="000000"/>
          <w:lang w:eastAsia="bg-BG"/>
        </w:rPr>
        <w:t xml:space="preserve">1384,2 (±263,23) </w:t>
      </w:r>
      <w:proofErr w:type="spellStart"/>
      <w:r w:rsidRPr="005172F6">
        <w:rPr>
          <w:rFonts w:eastAsia="Times New Roman" w:cs="Arial"/>
          <w:color w:val="000000"/>
          <w:lang w:val="en-US"/>
        </w:rPr>
        <w:t>ngxhr</w:t>
      </w:r>
      <w:proofErr w:type="spellEnd"/>
      <w:r w:rsidRPr="005172F6">
        <w:rPr>
          <w:rFonts w:eastAsia="Times New Roman" w:cs="Arial"/>
          <w:color w:val="000000"/>
          <w:lang w:val="ru-RU"/>
        </w:rPr>
        <w:t>/</w:t>
      </w:r>
      <w:r w:rsidRPr="005172F6">
        <w:rPr>
          <w:rFonts w:eastAsia="Times New Roman" w:cs="Arial"/>
          <w:color w:val="000000"/>
          <w:lang w:val="en-US"/>
        </w:rPr>
        <w:t>ml</w:t>
      </w:r>
      <w:r w:rsidRPr="005172F6">
        <w:rPr>
          <w:rFonts w:eastAsia="Times New Roman" w:cs="Arial"/>
          <w:color w:val="000000"/>
          <w:lang w:val="ru-RU"/>
        </w:rPr>
        <w:t xml:space="preserve"> </w:t>
      </w:r>
      <w:r w:rsidRPr="005172F6">
        <w:rPr>
          <w:rFonts w:eastAsia="Times New Roman" w:cs="Arial"/>
          <w:color w:val="000000"/>
          <w:lang w:eastAsia="bg-BG"/>
        </w:rPr>
        <w:t xml:space="preserve">при лица с умерено нарушение </w:t>
      </w:r>
      <w:r w:rsidRPr="005172F6">
        <w:rPr>
          <w:rFonts w:eastAsia="Times New Roman" w:cs="Arial"/>
          <w:color w:val="000000"/>
          <w:lang w:val="ru-RU"/>
        </w:rPr>
        <w:t>(</w:t>
      </w:r>
      <w:r w:rsidRPr="005172F6">
        <w:rPr>
          <w:rFonts w:eastAsia="Times New Roman" w:cs="Arial"/>
          <w:color w:val="000000"/>
          <w:lang w:val="en-US"/>
        </w:rPr>
        <w:t>GFR</w:t>
      </w:r>
      <w:r w:rsidRPr="005172F6">
        <w:rPr>
          <w:rFonts w:eastAsia="Times New Roman" w:cs="Arial"/>
          <w:color w:val="000000"/>
          <w:lang w:val="ru-RU"/>
        </w:rPr>
        <w:t xml:space="preserve">: </w:t>
      </w:r>
      <w:r w:rsidRPr="005172F6">
        <w:rPr>
          <w:rFonts w:eastAsia="Times New Roman" w:cs="Arial"/>
          <w:color w:val="000000"/>
          <w:lang w:eastAsia="bg-BG"/>
        </w:rPr>
        <w:t xml:space="preserve">30 - &lt;50 </w:t>
      </w:r>
      <w:r w:rsidRPr="005172F6">
        <w:rPr>
          <w:rFonts w:eastAsia="Times New Roman" w:cs="Arial"/>
          <w:color w:val="000000"/>
          <w:lang w:val="en-US"/>
        </w:rPr>
        <w:t>ml</w:t>
      </w:r>
      <w:r w:rsidRPr="005172F6">
        <w:rPr>
          <w:rFonts w:eastAsia="Times New Roman" w:cs="Arial"/>
          <w:color w:val="000000"/>
          <w:lang w:val="ru-RU"/>
        </w:rPr>
        <w:t>/</w:t>
      </w:r>
      <w:r w:rsidRPr="005172F6">
        <w:rPr>
          <w:rFonts w:eastAsia="Times New Roman" w:cs="Arial"/>
          <w:color w:val="000000"/>
          <w:lang w:val="en-US"/>
        </w:rPr>
        <w:t>min</w:t>
      </w:r>
      <w:r w:rsidRPr="005172F6">
        <w:rPr>
          <w:rFonts w:eastAsia="Times New Roman" w:cs="Arial"/>
          <w:color w:val="000000"/>
          <w:lang w:val="ru-RU"/>
        </w:rPr>
        <w:t>/1</w:t>
      </w:r>
      <w:r w:rsidRPr="005172F6">
        <w:rPr>
          <w:rFonts w:eastAsia="Times New Roman" w:cs="Arial"/>
          <w:color w:val="000000"/>
          <w:lang w:eastAsia="bg-BG"/>
        </w:rPr>
        <w:t xml:space="preserve">,73 </w:t>
      </w:r>
      <w:r w:rsidRPr="005172F6">
        <w:rPr>
          <w:rFonts w:eastAsia="Times New Roman" w:cs="Arial"/>
          <w:color w:val="000000"/>
          <w:lang w:val="en-US"/>
        </w:rPr>
        <w:t>m</w:t>
      </w:r>
      <w:r w:rsidRPr="005172F6">
        <w:rPr>
          <w:rFonts w:eastAsia="Times New Roman" w:cs="Arial"/>
          <w:color w:val="000000"/>
          <w:vertAlign w:val="superscript"/>
          <w:lang w:val="ru-RU"/>
        </w:rPr>
        <w:t>2</w:t>
      </w:r>
      <w:r w:rsidRPr="005172F6">
        <w:rPr>
          <w:rFonts w:eastAsia="Times New Roman" w:cs="Arial"/>
          <w:color w:val="000000"/>
          <w:lang w:val="ru-RU"/>
        </w:rPr>
        <w:t xml:space="preserve">), </w:t>
      </w:r>
      <w:r w:rsidRPr="005172F6">
        <w:rPr>
          <w:rFonts w:eastAsia="Times New Roman" w:cs="Arial"/>
          <w:color w:val="000000"/>
          <w:lang w:eastAsia="bg-BG"/>
        </w:rPr>
        <w:t xml:space="preserve">и 1708.5 (±699,0) </w:t>
      </w:r>
      <w:proofErr w:type="spellStart"/>
      <w:r w:rsidRPr="005172F6">
        <w:rPr>
          <w:rFonts w:eastAsia="Times New Roman" w:cs="Arial"/>
          <w:color w:val="000000"/>
          <w:lang w:val="en-US"/>
        </w:rPr>
        <w:t>ngxhr</w:t>
      </w:r>
      <w:proofErr w:type="spellEnd"/>
      <w:r w:rsidRPr="005172F6">
        <w:rPr>
          <w:rFonts w:eastAsia="Times New Roman" w:cs="Arial"/>
          <w:color w:val="000000"/>
          <w:lang w:val="ru-RU"/>
        </w:rPr>
        <w:t>/</w:t>
      </w:r>
      <w:r w:rsidRPr="005172F6">
        <w:rPr>
          <w:rFonts w:eastAsia="Times New Roman" w:cs="Arial"/>
          <w:color w:val="000000"/>
          <w:lang w:val="en-US"/>
        </w:rPr>
        <w:t>ml</w:t>
      </w:r>
      <w:r w:rsidRPr="005172F6">
        <w:rPr>
          <w:rFonts w:eastAsia="Times New Roman" w:cs="Arial"/>
          <w:color w:val="000000"/>
          <w:lang w:val="ru-RU"/>
        </w:rPr>
        <w:t xml:space="preserve"> </w:t>
      </w:r>
      <w:r w:rsidRPr="005172F6">
        <w:rPr>
          <w:rFonts w:eastAsia="Times New Roman" w:cs="Arial"/>
          <w:color w:val="000000"/>
          <w:lang w:eastAsia="bg-BG"/>
        </w:rPr>
        <w:t xml:space="preserve">при лица с тежко нарушение </w:t>
      </w:r>
      <w:r w:rsidRPr="005172F6">
        <w:rPr>
          <w:rFonts w:eastAsia="Times New Roman" w:cs="Arial"/>
          <w:color w:val="000000"/>
          <w:lang w:val="ru-RU"/>
        </w:rPr>
        <w:t>(</w:t>
      </w:r>
      <w:r w:rsidRPr="005172F6">
        <w:rPr>
          <w:rFonts w:eastAsia="Times New Roman" w:cs="Arial"/>
          <w:color w:val="000000"/>
          <w:lang w:val="en-US"/>
        </w:rPr>
        <w:t>GFR</w:t>
      </w:r>
      <w:r w:rsidRPr="005172F6">
        <w:rPr>
          <w:rFonts w:eastAsia="Times New Roman" w:cs="Arial"/>
          <w:color w:val="000000"/>
          <w:lang w:val="ru-RU"/>
        </w:rPr>
        <w:t xml:space="preserve">: </w:t>
      </w:r>
      <w:r w:rsidRPr="005172F6">
        <w:rPr>
          <w:rFonts w:eastAsia="Times New Roman" w:cs="Arial"/>
          <w:color w:val="000000"/>
          <w:lang w:eastAsia="bg-BG"/>
        </w:rPr>
        <w:t xml:space="preserve">&lt; 30 </w:t>
      </w:r>
      <w:r w:rsidRPr="005172F6">
        <w:rPr>
          <w:rFonts w:eastAsia="Times New Roman" w:cs="Arial"/>
          <w:color w:val="000000"/>
          <w:lang w:val="en-US"/>
        </w:rPr>
        <w:t>ml</w:t>
      </w:r>
      <w:r w:rsidRPr="005172F6">
        <w:rPr>
          <w:rFonts w:eastAsia="Times New Roman" w:cs="Arial"/>
          <w:color w:val="000000"/>
          <w:lang w:val="ru-RU"/>
        </w:rPr>
        <w:t>/</w:t>
      </w:r>
      <w:r w:rsidRPr="005172F6">
        <w:rPr>
          <w:rFonts w:eastAsia="Times New Roman" w:cs="Arial"/>
          <w:color w:val="000000"/>
          <w:lang w:val="en-US"/>
        </w:rPr>
        <w:t>min</w:t>
      </w:r>
      <w:r w:rsidRPr="005172F6">
        <w:rPr>
          <w:rFonts w:eastAsia="Times New Roman" w:cs="Arial"/>
          <w:color w:val="000000"/>
          <w:lang w:val="ru-RU"/>
        </w:rPr>
        <w:t xml:space="preserve">/1,73 </w:t>
      </w:r>
      <w:r w:rsidRPr="005172F6">
        <w:rPr>
          <w:rFonts w:eastAsia="Times New Roman" w:cs="Arial"/>
          <w:color w:val="000000"/>
          <w:lang w:val="en-US"/>
        </w:rPr>
        <w:t>m</w:t>
      </w:r>
      <w:r w:rsidRPr="005172F6">
        <w:rPr>
          <w:rFonts w:eastAsia="Times New Roman" w:cs="Arial"/>
          <w:color w:val="000000"/>
          <w:vertAlign w:val="superscript"/>
          <w:lang w:val="ru-RU"/>
        </w:rPr>
        <w:t>2</w:t>
      </w:r>
      <w:r w:rsidRPr="005172F6">
        <w:rPr>
          <w:rFonts w:eastAsia="Times New Roman" w:cs="Arial"/>
          <w:color w:val="000000"/>
          <w:lang w:val="ru-RU"/>
        </w:rPr>
        <w:t xml:space="preserve">). </w:t>
      </w:r>
      <w:r w:rsidRPr="005172F6">
        <w:rPr>
          <w:rFonts w:eastAsia="Times New Roman" w:cs="Arial"/>
          <w:color w:val="000000"/>
          <w:lang w:eastAsia="bg-BG"/>
        </w:rPr>
        <w:t xml:space="preserve">Средният </w:t>
      </w:r>
      <w:r w:rsidRPr="005172F6">
        <w:rPr>
          <w:rFonts w:eastAsia="Times New Roman" w:cs="Arial"/>
          <w:color w:val="000000"/>
          <w:lang w:val="ru-RU"/>
        </w:rPr>
        <w:t>(</w:t>
      </w:r>
      <w:r w:rsidRPr="005172F6">
        <w:rPr>
          <w:rFonts w:eastAsia="Times New Roman" w:cs="Arial"/>
          <w:color w:val="000000"/>
          <w:lang w:val="en-US"/>
        </w:rPr>
        <w:t>SD</w:t>
      </w:r>
      <w:r w:rsidRPr="005172F6">
        <w:rPr>
          <w:rFonts w:eastAsia="Times New Roman" w:cs="Arial"/>
          <w:color w:val="000000"/>
          <w:lang w:val="ru-RU"/>
        </w:rPr>
        <w:t xml:space="preserve">) </w:t>
      </w:r>
      <w:r w:rsidRPr="005172F6">
        <w:rPr>
          <w:rFonts w:eastAsia="Times New Roman" w:cs="Arial"/>
          <w:color w:val="000000"/>
          <w:lang w:eastAsia="bg-BG"/>
        </w:rPr>
        <w:t xml:space="preserve">полуживот на биластин е 9,3 ч (± 2,8) при лица без нарушение, 15,1 ч (± 7,7) при лица с леко нарушение, 10,5 ч (± 2,3) при лица с умерено нарушение и 18,4 ч (± 11,4) при лица с тежко нарушение. Уринарната екскреция на биластин приключва окончателно след 48-72 ч при всички лица. Тези фармакокинетични промени не се очаква да имат клинично значимо влияние върху </w:t>
      </w:r>
      <w:r w:rsidRPr="005172F6">
        <w:rPr>
          <w:rFonts w:eastAsia="Times New Roman" w:cs="Arial"/>
          <w:color w:val="000000"/>
          <w:lang w:eastAsia="bg-BG"/>
        </w:rPr>
        <w:lastRenderedPageBreak/>
        <w:t>безопасността на биластин, защото плазмените нива на биластин при пациенти с бъбречни нарушения са все пак в границите на безопасност на биластин.</w:t>
      </w:r>
    </w:p>
    <w:p w14:paraId="00AF93AA" w14:textId="77777777" w:rsidR="005172F6" w:rsidRPr="005172F6" w:rsidRDefault="005172F6" w:rsidP="005172F6">
      <w:pPr>
        <w:spacing w:line="240" w:lineRule="auto"/>
        <w:rPr>
          <w:rFonts w:eastAsia="Times New Roman" w:cs="Arial"/>
          <w:color w:val="000000"/>
          <w:u w:val="single"/>
          <w:lang w:eastAsia="bg-BG"/>
        </w:rPr>
      </w:pPr>
    </w:p>
    <w:p w14:paraId="024799E0" w14:textId="0AB2994B" w:rsidR="005172F6" w:rsidRPr="005172F6" w:rsidRDefault="005172F6" w:rsidP="005172F6">
      <w:pPr>
        <w:spacing w:line="240" w:lineRule="auto"/>
        <w:rPr>
          <w:rFonts w:eastAsia="Times New Roman" w:cs="Arial"/>
          <w:sz w:val="24"/>
          <w:szCs w:val="24"/>
        </w:rPr>
      </w:pPr>
      <w:r w:rsidRPr="005172F6">
        <w:rPr>
          <w:rFonts w:eastAsia="Times New Roman" w:cs="Arial"/>
          <w:color w:val="000000"/>
          <w:u w:val="single"/>
          <w:lang w:eastAsia="bg-BG"/>
        </w:rPr>
        <w:t>Чернодробни нарушения</w:t>
      </w:r>
    </w:p>
    <w:p w14:paraId="0FE6E757"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Няма фармакокинетични данни при лица с чернодробни нарушения. Биластин не се метаболизира при хората. Тъй като резултатите от проучването на бъбречните нарушения показват, че бъбречната елиминация има основния принос за елиминацията, жлъчната екскреция се очаква да бъде само маргинално въвлечена в елиминацията на биластин. Не се очаква промените в чернодробната функция да имат клинично значимо влияние върху фармакокинетиката на биластин.</w:t>
      </w:r>
    </w:p>
    <w:p w14:paraId="024E2373" w14:textId="77777777" w:rsidR="005172F6" w:rsidRPr="005172F6" w:rsidRDefault="005172F6" w:rsidP="005172F6">
      <w:pPr>
        <w:spacing w:line="240" w:lineRule="auto"/>
        <w:rPr>
          <w:rFonts w:eastAsia="Times New Roman" w:cs="Arial"/>
          <w:color w:val="000000"/>
          <w:u w:val="single"/>
          <w:lang w:eastAsia="bg-BG"/>
        </w:rPr>
      </w:pPr>
    </w:p>
    <w:p w14:paraId="2845BA98" w14:textId="55C50498" w:rsidR="005172F6" w:rsidRPr="005172F6" w:rsidRDefault="005172F6" w:rsidP="005172F6">
      <w:pPr>
        <w:spacing w:line="240" w:lineRule="auto"/>
        <w:rPr>
          <w:rFonts w:eastAsia="Times New Roman" w:cs="Arial"/>
          <w:sz w:val="24"/>
          <w:szCs w:val="24"/>
        </w:rPr>
      </w:pPr>
      <w:r w:rsidRPr="005172F6">
        <w:rPr>
          <w:rFonts w:eastAsia="Times New Roman" w:cs="Arial"/>
          <w:color w:val="000000"/>
          <w:u w:val="single"/>
          <w:lang w:eastAsia="bg-BG"/>
        </w:rPr>
        <w:t>Старческа възраст</w:t>
      </w:r>
    </w:p>
    <w:p w14:paraId="1614165D" w14:textId="77777777" w:rsidR="005172F6" w:rsidRPr="005172F6" w:rsidRDefault="005172F6" w:rsidP="005172F6">
      <w:pPr>
        <w:spacing w:line="240" w:lineRule="auto"/>
        <w:rPr>
          <w:rFonts w:eastAsia="Times New Roman" w:cs="Arial"/>
          <w:sz w:val="24"/>
          <w:szCs w:val="24"/>
        </w:rPr>
      </w:pPr>
      <w:r w:rsidRPr="005172F6">
        <w:rPr>
          <w:rFonts w:eastAsia="Times New Roman" w:cs="Arial"/>
          <w:color w:val="000000"/>
          <w:lang w:eastAsia="bg-BG"/>
        </w:rPr>
        <w:t>Налични са само ограничени фармакокинетични данни при субекти по-възрастни от 65 години. Не се наблюдават статистически значими различия по отношение на фармакокинетиката на биластин при пациенти в старческа възраст в сравнение с възрастни пациенти на възраст между 18 и 35 години.</w:t>
      </w:r>
    </w:p>
    <w:p w14:paraId="2E1AD0B2" w14:textId="77777777" w:rsidR="005172F6" w:rsidRPr="005172F6" w:rsidRDefault="005172F6" w:rsidP="005172F6">
      <w:pPr>
        <w:spacing w:line="240" w:lineRule="auto"/>
        <w:rPr>
          <w:rFonts w:eastAsia="Times New Roman" w:cs="Arial"/>
          <w:color w:val="000000"/>
          <w:u w:val="single"/>
          <w:lang w:eastAsia="bg-BG"/>
        </w:rPr>
      </w:pPr>
    </w:p>
    <w:p w14:paraId="1BAAA9A8" w14:textId="66A6F53B" w:rsidR="005172F6" w:rsidRPr="005172F6" w:rsidRDefault="005172F6" w:rsidP="005172F6">
      <w:pPr>
        <w:spacing w:line="240" w:lineRule="auto"/>
        <w:rPr>
          <w:rFonts w:eastAsia="Times New Roman" w:cs="Arial"/>
          <w:sz w:val="24"/>
          <w:szCs w:val="24"/>
        </w:rPr>
      </w:pPr>
      <w:r w:rsidRPr="005172F6">
        <w:rPr>
          <w:rFonts w:eastAsia="Times New Roman" w:cs="Arial"/>
          <w:color w:val="000000"/>
          <w:u w:val="single"/>
          <w:lang w:eastAsia="bg-BG"/>
        </w:rPr>
        <w:t>Педиатрична популация</w:t>
      </w:r>
    </w:p>
    <w:p w14:paraId="79B8A6D9" w14:textId="77777777" w:rsidR="005172F6" w:rsidRPr="005172F6" w:rsidRDefault="005172F6" w:rsidP="005172F6">
      <w:pPr>
        <w:rPr>
          <w:rFonts w:eastAsia="Times New Roman" w:cs="Arial"/>
          <w:sz w:val="24"/>
          <w:szCs w:val="24"/>
        </w:rPr>
      </w:pPr>
      <w:r w:rsidRPr="005172F6">
        <w:rPr>
          <w:rFonts w:eastAsia="Times New Roman" w:cs="Arial"/>
          <w:color w:val="000000"/>
          <w:lang w:eastAsia="bg-BG"/>
        </w:rPr>
        <w:t xml:space="preserve">Не са налични фармакокинетични данни при юноши (12 години до 17 години), тъй като екстраполирането на данните от възрастните лица се счита за подходящо за този продукт. Фармакокинетичните данни при деца са получени от фаза II на фармакокинетично проучване, включващо 31 деца на възраст от 4 до 11 години с алергичен риноконюнктивит или хронична уртикария, на които е прилагана веднъж дневно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диспергираша се в устата таблетка. Фармакокинетичният анализ на данните за плазмената концентрация показва, че прилагането на педиатричната доза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веднъж дневно води до системна експозиция, еквивалентна на тази, наблюдавана след прилагане на доза от 20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при възрастни и юноши, като средните стойности на </w:t>
      </w:r>
      <w:r w:rsidRPr="005172F6">
        <w:rPr>
          <w:rFonts w:eastAsia="Times New Roman" w:cs="Arial"/>
          <w:color w:val="000000"/>
          <w:lang w:val="en-US"/>
        </w:rPr>
        <w:t>AUC</w:t>
      </w:r>
      <w:r w:rsidRPr="005172F6">
        <w:rPr>
          <w:rFonts w:eastAsia="Times New Roman" w:cs="Arial"/>
          <w:color w:val="000000"/>
          <w:lang w:val="ru-RU"/>
        </w:rPr>
        <w:t xml:space="preserve"> </w:t>
      </w:r>
      <w:r w:rsidRPr="005172F6">
        <w:rPr>
          <w:rFonts w:eastAsia="Times New Roman" w:cs="Arial"/>
          <w:color w:val="000000"/>
          <w:lang w:eastAsia="bg-BG"/>
        </w:rPr>
        <w:t xml:space="preserve">са 1014 </w:t>
      </w:r>
      <w:r w:rsidRPr="005172F6">
        <w:rPr>
          <w:rFonts w:eastAsia="Times New Roman" w:cs="Arial"/>
          <w:color w:val="000000"/>
          <w:lang w:val="en-US"/>
        </w:rPr>
        <w:t>ng</w:t>
      </w:r>
      <w:r w:rsidRPr="005172F6">
        <w:rPr>
          <w:rFonts w:eastAsia="Times New Roman" w:cs="Arial"/>
          <w:color w:val="000000"/>
          <w:lang w:val="ru-RU"/>
        </w:rPr>
        <w:t xml:space="preserve"> </w:t>
      </w:r>
      <w:r w:rsidRPr="005172F6">
        <w:rPr>
          <w:rFonts w:eastAsia="Times New Roman" w:cs="Arial"/>
          <w:color w:val="000000"/>
          <w:lang w:eastAsia="bg-BG"/>
        </w:rPr>
        <w:t xml:space="preserve">х </w:t>
      </w:r>
      <w:proofErr w:type="spellStart"/>
      <w:r w:rsidRPr="005172F6">
        <w:rPr>
          <w:rFonts w:eastAsia="Times New Roman" w:cs="Arial"/>
          <w:color w:val="000000"/>
          <w:lang w:val="en-US"/>
        </w:rPr>
        <w:t>hr</w:t>
      </w:r>
      <w:proofErr w:type="spellEnd"/>
      <w:r w:rsidRPr="005172F6">
        <w:rPr>
          <w:rFonts w:eastAsia="Times New Roman" w:cs="Arial"/>
          <w:color w:val="000000"/>
          <w:lang w:val="ru-RU"/>
        </w:rPr>
        <w:t>/</w:t>
      </w:r>
      <w:r w:rsidRPr="005172F6">
        <w:rPr>
          <w:rFonts w:eastAsia="Times New Roman" w:cs="Arial"/>
          <w:color w:val="000000"/>
          <w:lang w:val="en-US"/>
        </w:rPr>
        <w:t>mL</w:t>
      </w:r>
      <w:r w:rsidRPr="005172F6">
        <w:rPr>
          <w:rFonts w:eastAsia="Times New Roman" w:cs="Arial"/>
          <w:color w:val="000000"/>
          <w:lang w:val="ru-RU"/>
        </w:rPr>
        <w:t xml:space="preserve"> </w:t>
      </w:r>
      <w:r w:rsidRPr="005172F6">
        <w:rPr>
          <w:rFonts w:eastAsia="Times New Roman" w:cs="Arial"/>
          <w:color w:val="000000"/>
          <w:lang w:eastAsia="bg-BG"/>
        </w:rPr>
        <w:t xml:space="preserve">за деца на възраст от 6 до 11 години. Тези резултати са значително под прага за безопасност въз основа на данните от прилагане на еднократна дневна доза от 80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при възрастни в съответствие с профила на безопасност на лекарството. Тези резултати потвърждават избора на биластин 10 </w:t>
      </w:r>
      <w:r w:rsidRPr="005172F6">
        <w:rPr>
          <w:rFonts w:eastAsia="Times New Roman" w:cs="Arial"/>
          <w:color w:val="000000"/>
          <w:lang w:val="en-US"/>
        </w:rPr>
        <w:t>mg</w:t>
      </w:r>
      <w:r w:rsidRPr="005172F6">
        <w:rPr>
          <w:rFonts w:eastAsia="Times New Roman" w:cs="Arial"/>
          <w:color w:val="000000"/>
          <w:lang w:val="ru-RU"/>
        </w:rPr>
        <w:t xml:space="preserve"> </w:t>
      </w:r>
      <w:r w:rsidRPr="005172F6">
        <w:rPr>
          <w:rFonts w:eastAsia="Times New Roman" w:cs="Arial"/>
          <w:color w:val="000000"/>
          <w:lang w:eastAsia="bg-BG"/>
        </w:rPr>
        <w:t xml:space="preserve">за перорално приложение веднъж дневно като подходяща терапевтична доза за педиатричната популация на възраст от 6 до 11 години с телесно тегло над 20 </w:t>
      </w:r>
      <w:r w:rsidRPr="005172F6">
        <w:rPr>
          <w:rFonts w:eastAsia="Times New Roman" w:cs="Arial"/>
          <w:color w:val="000000"/>
          <w:lang w:val="en-US"/>
        </w:rPr>
        <w:t>kg</w:t>
      </w:r>
      <w:r w:rsidRPr="005172F6">
        <w:rPr>
          <w:rFonts w:eastAsia="Times New Roman" w:cs="Arial"/>
          <w:color w:val="000000"/>
          <w:lang w:val="ru-RU"/>
        </w:rPr>
        <w:t>.</w:t>
      </w:r>
    </w:p>
    <w:p w14:paraId="20FE009C" w14:textId="2B0CFE07" w:rsidR="005172F6" w:rsidRPr="005172F6" w:rsidRDefault="005172F6" w:rsidP="005172F6"/>
    <w:p w14:paraId="028E658A" w14:textId="2C7A124F" w:rsidR="00395555" w:rsidRDefault="002C50EE" w:rsidP="008A6AF2">
      <w:pPr>
        <w:pStyle w:val="Heading2"/>
      </w:pPr>
      <w:r>
        <w:t>5.3. Предклинични данни за безопасност</w:t>
      </w:r>
    </w:p>
    <w:p w14:paraId="621D2A47" w14:textId="13EBCDDF" w:rsidR="005172F6" w:rsidRDefault="005172F6" w:rsidP="005172F6"/>
    <w:p w14:paraId="0FC6527B" w14:textId="77777777" w:rsidR="005172F6" w:rsidRPr="005172F6" w:rsidRDefault="005172F6" w:rsidP="005172F6">
      <w:pPr>
        <w:rPr>
          <w:sz w:val="24"/>
          <w:szCs w:val="24"/>
        </w:rPr>
      </w:pPr>
      <w:r w:rsidRPr="005172F6">
        <w:rPr>
          <w:lang w:eastAsia="bg-BG"/>
        </w:rPr>
        <w:t>Неклиничните данни не показват особен риск на биластин за хора на базата на конвенционалните фармакологични изпитвания за безопасност, токсичност при многократно прилагане, генотоксичност и карциногенен потенциал.</w:t>
      </w:r>
    </w:p>
    <w:p w14:paraId="46570423" w14:textId="77777777" w:rsidR="005172F6" w:rsidRPr="005172F6" w:rsidRDefault="005172F6" w:rsidP="005172F6">
      <w:pPr>
        <w:rPr>
          <w:sz w:val="24"/>
          <w:szCs w:val="24"/>
        </w:rPr>
      </w:pPr>
      <w:r w:rsidRPr="005172F6">
        <w:rPr>
          <w:lang w:eastAsia="bg-BG"/>
        </w:rPr>
        <w:t xml:space="preserve">В изследванията на репродуктивната токсичност ефектите на биластин върху фетуса (пре- и постимплантационна загуба при плъхове и непълна осификация на черепните кости, гръдната кост и крайниците при зайци) се наблюдават само при дози, индуциращи майчина токсичност. Нивата на експозиция, при които не се наблюдават нежелани лекарствени реакции </w:t>
      </w:r>
      <w:r w:rsidRPr="005172F6">
        <w:rPr>
          <w:lang w:val="ru-RU"/>
        </w:rPr>
        <w:t>(</w:t>
      </w:r>
      <w:r w:rsidRPr="005172F6">
        <w:rPr>
          <w:lang w:val="en-US"/>
        </w:rPr>
        <w:t>NOAEL</w:t>
      </w:r>
      <w:r w:rsidRPr="005172F6">
        <w:rPr>
          <w:lang w:val="ru-RU"/>
        </w:rPr>
        <w:t xml:space="preserve">), </w:t>
      </w:r>
      <w:r w:rsidRPr="005172F6">
        <w:rPr>
          <w:lang w:eastAsia="bg-BG"/>
        </w:rPr>
        <w:t>значително надхвърлят (&gt; 30 пъти) експозиция при хората при препоръчаната терапевтична доза.</w:t>
      </w:r>
    </w:p>
    <w:p w14:paraId="07582185" w14:textId="77777777" w:rsidR="005172F6" w:rsidRDefault="005172F6" w:rsidP="005172F6">
      <w:pPr>
        <w:rPr>
          <w:lang w:eastAsia="bg-BG"/>
        </w:rPr>
      </w:pPr>
    </w:p>
    <w:p w14:paraId="1346892F" w14:textId="6B0A5B29" w:rsidR="005172F6" w:rsidRPr="005172F6" w:rsidRDefault="005172F6" w:rsidP="005172F6">
      <w:pPr>
        <w:rPr>
          <w:sz w:val="24"/>
          <w:szCs w:val="24"/>
        </w:rPr>
      </w:pPr>
      <w:r w:rsidRPr="005172F6">
        <w:rPr>
          <w:lang w:eastAsia="bg-BG"/>
        </w:rPr>
        <w:t xml:space="preserve">В проучване за лактацията, биластин е открит в млякото на плъхове в лактация след приложение на еднократна перорална доза (20 </w:t>
      </w:r>
      <w:r w:rsidRPr="005172F6">
        <w:rPr>
          <w:lang w:val="en-US"/>
        </w:rPr>
        <w:t>mg</w:t>
      </w:r>
      <w:r w:rsidRPr="005172F6">
        <w:rPr>
          <w:lang w:val="ru-RU"/>
        </w:rPr>
        <w:t>/</w:t>
      </w:r>
      <w:r w:rsidRPr="005172F6">
        <w:rPr>
          <w:lang w:val="en-US"/>
        </w:rPr>
        <w:t>kg</w:t>
      </w:r>
      <w:r w:rsidRPr="005172F6">
        <w:rPr>
          <w:lang w:val="ru-RU"/>
        </w:rPr>
        <w:t xml:space="preserve">). </w:t>
      </w:r>
      <w:r w:rsidRPr="005172F6">
        <w:rPr>
          <w:lang w:eastAsia="bg-BG"/>
        </w:rPr>
        <w:t xml:space="preserve">Концентрациите на биластин в </w:t>
      </w:r>
      <w:r w:rsidRPr="005172F6">
        <w:rPr>
          <w:lang w:eastAsia="bg-BG"/>
        </w:rPr>
        <w:lastRenderedPageBreak/>
        <w:t>млякото са приблизително наполовина на тези в плазмата на майката. Не е известно дали тези резултати са приложими при хора.</w:t>
      </w:r>
    </w:p>
    <w:p w14:paraId="616E99AD" w14:textId="77777777" w:rsidR="005172F6" w:rsidRDefault="005172F6" w:rsidP="005172F6">
      <w:pPr>
        <w:rPr>
          <w:lang w:eastAsia="bg-BG"/>
        </w:rPr>
      </w:pPr>
    </w:p>
    <w:p w14:paraId="14099B15" w14:textId="3DF45506" w:rsidR="005172F6" w:rsidRPr="005172F6" w:rsidRDefault="005172F6" w:rsidP="005172F6">
      <w:pPr>
        <w:rPr>
          <w:sz w:val="24"/>
          <w:szCs w:val="24"/>
        </w:rPr>
      </w:pPr>
      <w:r w:rsidRPr="005172F6">
        <w:rPr>
          <w:lang w:eastAsia="bg-BG"/>
        </w:rPr>
        <w:t>В изследване за фертилитета при плъхове биластин, прилаган перорално до</w:t>
      </w:r>
    </w:p>
    <w:p w14:paraId="4F8F2149" w14:textId="77777777" w:rsidR="005172F6" w:rsidRPr="005172F6" w:rsidRDefault="005172F6" w:rsidP="005172F6">
      <w:pPr>
        <w:rPr>
          <w:sz w:val="24"/>
          <w:szCs w:val="24"/>
        </w:rPr>
      </w:pPr>
      <w:r w:rsidRPr="005172F6">
        <w:rPr>
          <w:lang w:eastAsia="bg-BG"/>
        </w:rPr>
        <w:t xml:space="preserve">1000 </w:t>
      </w:r>
      <w:r w:rsidRPr="005172F6">
        <w:rPr>
          <w:lang w:val="en-US"/>
        </w:rPr>
        <w:t>mg</w:t>
      </w:r>
      <w:r w:rsidRPr="005172F6">
        <w:rPr>
          <w:lang w:val="ru-RU"/>
        </w:rPr>
        <w:t>/</w:t>
      </w:r>
      <w:r w:rsidRPr="005172F6">
        <w:rPr>
          <w:lang w:val="en-US"/>
        </w:rPr>
        <w:t>kg</w:t>
      </w:r>
      <w:r w:rsidRPr="005172F6">
        <w:rPr>
          <w:lang w:eastAsia="bg-BG"/>
        </w:rPr>
        <w:t>/ден, не предизвиква никакъв ефект върху женските и мъжките репродуктивни органи. Показателите за чифтосване, фертилитет и бременност не се повлияват.</w:t>
      </w:r>
    </w:p>
    <w:p w14:paraId="40FCD140" w14:textId="77777777" w:rsidR="005172F6" w:rsidRPr="005172F6" w:rsidRDefault="005172F6" w:rsidP="005172F6">
      <w:pPr>
        <w:rPr>
          <w:sz w:val="24"/>
          <w:szCs w:val="24"/>
        </w:rPr>
      </w:pPr>
      <w:r w:rsidRPr="005172F6">
        <w:rPr>
          <w:lang w:eastAsia="bg-BG"/>
        </w:rPr>
        <w:t>От изпитвания за разпределение при плъхове с определяне на концентрациите на лекарството чрез авторадиография, биластин не акумулира в ЦНС.</w:t>
      </w:r>
    </w:p>
    <w:p w14:paraId="5845A2F3" w14:textId="77777777" w:rsidR="005172F6" w:rsidRPr="005172F6" w:rsidRDefault="005172F6" w:rsidP="005172F6"/>
    <w:p w14:paraId="6A7820AB" w14:textId="5B0A94E6" w:rsidR="008A6AF2" w:rsidRDefault="002C50EE" w:rsidP="00395555">
      <w:pPr>
        <w:pStyle w:val="Heading1"/>
      </w:pPr>
      <w:r>
        <w:t>7. ПРИТЕЖАТЕЛ НА РАЗРЕШЕНИЕТО ЗА УПОТРЕБА</w:t>
      </w:r>
    </w:p>
    <w:p w14:paraId="3FFF347D" w14:textId="3C8D7FB2" w:rsidR="005172F6" w:rsidRDefault="005172F6" w:rsidP="005172F6"/>
    <w:p w14:paraId="4E7444A4" w14:textId="77777777" w:rsidR="005172F6" w:rsidRPr="005172F6" w:rsidRDefault="005172F6" w:rsidP="005172F6">
      <w:pPr>
        <w:rPr>
          <w:sz w:val="24"/>
          <w:szCs w:val="24"/>
          <w:lang w:val="en-US"/>
        </w:rPr>
      </w:pPr>
      <w:proofErr w:type="spellStart"/>
      <w:r w:rsidRPr="005172F6">
        <w:rPr>
          <w:lang w:val="en-US"/>
        </w:rPr>
        <w:t>Menarini</w:t>
      </w:r>
      <w:proofErr w:type="spellEnd"/>
      <w:r w:rsidRPr="005172F6">
        <w:rPr>
          <w:lang w:val="en-US"/>
        </w:rPr>
        <w:t xml:space="preserve"> International Operations Luxembourg S.A.,</w:t>
      </w:r>
    </w:p>
    <w:p w14:paraId="5D7A2DB4" w14:textId="77777777" w:rsidR="005172F6" w:rsidRPr="005172F6" w:rsidRDefault="005172F6" w:rsidP="005172F6">
      <w:pPr>
        <w:rPr>
          <w:sz w:val="24"/>
          <w:szCs w:val="24"/>
          <w:lang w:val="en-US"/>
        </w:rPr>
      </w:pPr>
      <w:proofErr w:type="gramStart"/>
      <w:r w:rsidRPr="005172F6">
        <w:rPr>
          <w:lang w:val="en-US"/>
        </w:rPr>
        <w:t>1</w:t>
      </w:r>
      <w:proofErr w:type="gramEnd"/>
      <w:r w:rsidRPr="005172F6">
        <w:rPr>
          <w:lang w:val="en-US"/>
        </w:rPr>
        <w:t xml:space="preserve">, Avenue de la </w:t>
      </w:r>
      <w:proofErr w:type="spellStart"/>
      <w:r w:rsidRPr="005172F6">
        <w:rPr>
          <w:lang w:val="en-US"/>
        </w:rPr>
        <w:t>Gare</w:t>
      </w:r>
      <w:proofErr w:type="spellEnd"/>
      <w:r w:rsidRPr="005172F6">
        <w:rPr>
          <w:lang w:val="en-US"/>
        </w:rPr>
        <w:t xml:space="preserve">, L-1611, </w:t>
      </w:r>
      <w:r w:rsidRPr="005172F6">
        <w:rPr>
          <w:lang w:eastAsia="bg-BG"/>
        </w:rPr>
        <w:t>Люксембург</w:t>
      </w:r>
    </w:p>
    <w:p w14:paraId="1B6892CD" w14:textId="77777777" w:rsidR="005172F6" w:rsidRPr="005172F6" w:rsidRDefault="005172F6" w:rsidP="005172F6">
      <w:pPr>
        <w:rPr>
          <w:lang w:val="en-US"/>
        </w:rPr>
      </w:pPr>
    </w:p>
    <w:p w14:paraId="04840D59" w14:textId="33384256" w:rsidR="002C50EE" w:rsidRDefault="002C50EE" w:rsidP="00395555">
      <w:pPr>
        <w:pStyle w:val="Heading1"/>
      </w:pPr>
      <w:r>
        <w:t>8. НОМЕР НА РАЗРЕШЕНИЕТО ЗА УПОТРЕБА</w:t>
      </w:r>
    </w:p>
    <w:p w14:paraId="10559EF5" w14:textId="3FBFDBF2" w:rsidR="005172F6" w:rsidRDefault="005172F6" w:rsidP="005172F6"/>
    <w:p w14:paraId="3E659C92" w14:textId="44A3293A" w:rsidR="005172F6" w:rsidRPr="005172F6" w:rsidRDefault="005172F6" w:rsidP="005172F6">
      <w:r>
        <w:t>20100738</w:t>
      </w:r>
    </w:p>
    <w:p w14:paraId="2CCB5832" w14:textId="4271742E" w:rsidR="007C605B" w:rsidRDefault="002C50EE" w:rsidP="007C605B">
      <w:pPr>
        <w:pStyle w:val="Heading1"/>
      </w:pPr>
      <w:r>
        <w:t>9. ДАТА НА ПЪРВО РАЗРЕШАВАНЕ/ПОДНОВЯВАНЕ НА РАЗРЕШЕНИЕТО ЗА УПОТРЕБА</w:t>
      </w:r>
    </w:p>
    <w:p w14:paraId="1582E7F3" w14:textId="5A090395" w:rsidR="005172F6" w:rsidRDefault="005172F6" w:rsidP="005172F6"/>
    <w:p w14:paraId="34E379E6" w14:textId="77777777" w:rsidR="005172F6" w:rsidRPr="005172F6" w:rsidRDefault="005172F6" w:rsidP="005172F6">
      <w:pPr>
        <w:rPr>
          <w:sz w:val="24"/>
          <w:szCs w:val="24"/>
        </w:rPr>
      </w:pPr>
      <w:r w:rsidRPr="005172F6">
        <w:rPr>
          <w:lang w:eastAsia="bg-BG"/>
        </w:rPr>
        <w:t>Дата на първо разрешаване: 17.11.2010 г.</w:t>
      </w:r>
    </w:p>
    <w:p w14:paraId="26DB4EB6" w14:textId="15C84499" w:rsidR="005172F6" w:rsidRPr="005172F6" w:rsidRDefault="005172F6" w:rsidP="005172F6">
      <w:r w:rsidRPr="005172F6">
        <w:rPr>
          <w:lang w:eastAsia="bg-BG"/>
        </w:rPr>
        <w:t>Дата на последно подновяване: 04.01.2016 г.</w:t>
      </w:r>
    </w:p>
    <w:p w14:paraId="0E9D0119" w14:textId="0245C6D7" w:rsidR="002C50EE" w:rsidRDefault="002C50EE" w:rsidP="002C50EE">
      <w:pPr>
        <w:pStyle w:val="Heading1"/>
      </w:pPr>
      <w:r>
        <w:t>10. ДАТА НА АКТУАЛИЗИРАНЕ НА ТЕКСТА</w:t>
      </w:r>
    </w:p>
    <w:bookmarkEnd w:id="0"/>
    <w:p w14:paraId="43FB38A2" w14:textId="2FCAD42E" w:rsidR="007C605B" w:rsidRPr="003E3126" w:rsidRDefault="005172F6" w:rsidP="005172F6">
      <w:r>
        <w:t>04/2021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22301BF"/>
    <w:multiLevelType w:val="hybridMultilevel"/>
    <w:tmpl w:val="23FCCE6C"/>
    <w:lvl w:ilvl="0" w:tplc="B9706C32">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2F6"/>
    <w:rsid w:val="00517A5B"/>
    <w:rsid w:val="00593A00"/>
    <w:rsid w:val="005A66D9"/>
    <w:rsid w:val="00605BCA"/>
    <w:rsid w:val="006158A1"/>
    <w:rsid w:val="00617B1F"/>
    <w:rsid w:val="00672487"/>
    <w:rsid w:val="00672600"/>
    <w:rsid w:val="00681D4A"/>
    <w:rsid w:val="00685882"/>
    <w:rsid w:val="00703D91"/>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4348</Words>
  <Characters>24788</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2022-01-19T18:27:00Z</dcterms:created>
  <dcterms:modified xsi:type="dcterms:W3CDTF">2022-01-19T18:27:00Z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