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17362D4C" w:rsidR="00AA23EC" w:rsidRDefault="00DD466D" w:rsidP="00DD466D">
      <w:pPr>
        <w:pStyle w:val="Heading1"/>
      </w:pPr>
      <w:r>
        <w:t>1.ИМЕ НА ЛЕКАРСТВЕНИЯ ПРОДУКТ</w:t>
      </w:r>
    </w:p>
    <w:p w14:paraId="147468D2" w14:textId="50E5FA35" w:rsidR="009D2ACB" w:rsidRDefault="009D2ACB" w:rsidP="009D2ACB"/>
    <w:p w14:paraId="1A8D7850" w14:textId="77777777" w:rsidR="009D2ACB" w:rsidRPr="009D2ACB" w:rsidRDefault="009D2ACB" w:rsidP="009D2ACB">
      <w:pPr>
        <w:rPr>
          <w:sz w:val="24"/>
          <w:szCs w:val="24"/>
          <w:lang w:val="ru-RU"/>
        </w:rPr>
      </w:pPr>
      <w:r w:rsidRPr="009D2ACB">
        <w:rPr>
          <w:lang w:eastAsia="bg-BG"/>
        </w:rPr>
        <w:t xml:space="preserve">Фосфозен 3 </w:t>
      </w:r>
      <w:r w:rsidRPr="009D2ACB">
        <w:rPr>
          <w:lang w:val="en-US"/>
        </w:rPr>
        <w:t>g</w:t>
      </w:r>
      <w:r w:rsidRPr="009D2ACB">
        <w:rPr>
          <w:lang w:val="ru-RU"/>
        </w:rPr>
        <w:t xml:space="preserve"> </w:t>
      </w:r>
      <w:r w:rsidRPr="009D2ACB">
        <w:rPr>
          <w:lang w:eastAsia="bg-BG"/>
        </w:rPr>
        <w:t>гранули за перорален разтвор в саше</w:t>
      </w:r>
    </w:p>
    <w:p w14:paraId="21BCACC1" w14:textId="404D5B92" w:rsidR="009D2ACB" w:rsidRPr="009D2ACB" w:rsidRDefault="009D2ACB" w:rsidP="009D2ACB">
      <w:proofErr w:type="spellStart"/>
      <w:r w:rsidRPr="009D2ACB">
        <w:rPr>
          <w:lang w:val="en-US"/>
        </w:rPr>
        <w:t>Fosfozen</w:t>
      </w:r>
      <w:proofErr w:type="spellEnd"/>
      <w:r w:rsidRPr="009D2ACB">
        <w:rPr>
          <w:lang w:val="en-US"/>
        </w:rPr>
        <w:t xml:space="preserve"> </w:t>
      </w:r>
      <w:r w:rsidRPr="009D2ACB">
        <w:rPr>
          <w:lang w:eastAsia="bg-BG"/>
        </w:rPr>
        <w:t xml:space="preserve">3 </w:t>
      </w:r>
      <w:r w:rsidRPr="009D2ACB">
        <w:rPr>
          <w:lang w:val="en-US"/>
        </w:rPr>
        <w:t xml:space="preserve">g granules for oral solution in </w:t>
      </w:r>
      <w:proofErr w:type="spellStart"/>
      <w:r w:rsidRPr="009D2ACB">
        <w:rPr>
          <w:lang w:val="en-US"/>
        </w:rPr>
        <w:t>shachet</w:t>
      </w:r>
      <w:proofErr w:type="spellEnd"/>
    </w:p>
    <w:p w14:paraId="0A368469" w14:textId="72BEC6F4" w:rsidR="00C0049F" w:rsidRDefault="00DD466D" w:rsidP="009F1313">
      <w:pPr>
        <w:pStyle w:val="Heading1"/>
      </w:pPr>
      <w:r>
        <w:t>2. КАЧЕСТВЕН И КОЛИЧЕСТВЕН СЪСТАВ</w:t>
      </w:r>
    </w:p>
    <w:p w14:paraId="1BE37375" w14:textId="7FD109DF" w:rsidR="009D2ACB" w:rsidRDefault="009D2ACB" w:rsidP="009D2ACB"/>
    <w:p w14:paraId="4F0B5238"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Всяко еднодозово саше съдържа 3 </w:t>
      </w:r>
      <w:r w:rsidRPr="009D2ACB">
        <w:rPr>
          <w:rFonts w:eastAsia="Times New Roman" w:cs="Arial"/>
          <w:color w:val="000000"/>
          <w:lang w:val="en-US"/>
        </w:rPr>
        <w:t>g</w:t>
      </w:r>
      <w:r w:rsidRPr="009D2ACB">
        <w:rPr>
          <w:rFonts w:eastAsia="Times New Roman" w:cs="Arial"/>
          <w:color w:val="000000"/>
        </w:rPr>
        <w:t xml:space="preserve"> </w:t>
      </w:r>
      <w:r w:rsidRPr="009D2ACB">
        <w:rPr>
          <w:rFonts w:eastAsia="Times New Roman" w:cs="Arial"/>
          <w:color w:val="000000"/>
          <w:lang w:eastAsia="bg-BG"/>
        </w:rPr>
        <w:t xml:space="preserve">фосфомицин (като фосфомицин трометамол); </w:t>
      </w:r>
      <w:r w:rsidRPr="009D2ACB">
        <w:rPr>
          <w:rFonts w:eastAsia="Times New Roman" w:cs="Arial"/>
          <w:i/>
          <w:iCs/>
          <w:color w:val="000000"/>
        </w:rPr>
        <w:t>(</w:t>
      </w:r>
      <w:proofErr w:type="spellStart"/>
      <w:r w:rsidRPr="009D2ACB">
        <w:rPr>
          <w:rFonts w:eastAsia="Times New Roman" w:cs="Arial"/>
          <w:i/>
          <w:iCs/>
          <w:color w:val="000000"/>
          <w:lang w:val="en-US"/>
        </w:rPr>
        <w:t>fosfomycin</w:t>
      </w:r>
      <w:proofErr w:type="spellEnd"/>
      <w:r w:rsidRPr="009D2ACB">
        <w:rPr>
          <w:rFonts w:eastAsia="Times New Roman" w:cs="Arial"/>
          <w:i/>
          <w:iCs/>
          <w:color w:val="000000"/>
        </w:rPr>
        <w:t>)(</w:t>
      </w:r>
      <w:r w:rsidRPr="009D2ACB">
        <w:rPr>
          <w:rFonts w:eastAsia="Times New Roman" w:cs="Arial"/>
          <w:i/>
          <w:iCs/>
          <w:color w:val="000000"/>
          <w:lang w:val="en-US"/>
        </w:rPr>
        <w:t>as</w:t>
      </w:r>
      <w:r w:rsidRPr="009D2ACB">
        <w:rPr>
          <w:rFonts w:eastAsia="Times New Roman" w:cs="Arial"/>
          <w:i/>
          <w:iCs/>
          <w:color w:val="000000"/>
        </w:rPr>
        <w:t xml:space="preserve"> </w:t>
      </w:r>
      <w:proofErr w:type="spellStart"/>
      <w:r w:rsidRPr="009D2ACB">
        <w:rPr>
          <w:rFonts w:eastAsia="Times New Roman" w:cs="Arial"/>
          <w:i/>
          <w:iCs/>
          <w:color w:val="000000"/>
          <w:lang w:val="en-US"/>
        </w:rPr>
        <w:t>fosfomycin</w:t>
      </w:r>
      <w:proofErr w:type="spellEnd"/>
      <w:r w:rsidRPr="009D2ACB">
        <w:rPr>
          <w:rFonts w:eastAsia="Times New Roman" w:cs="Arial"/>
          <w:i/>
          <w:iCs/>
          <w:color w:val="000000"/>
        </w:rPr>
        <w:t xml:space="preserve"> </w:t>
      </w:r>
      <w:r w:rsidRPr="009D2ACB">
        <w:rPr>
          <w:rFonts w:eastAsia="Times New Roman" w:cs="Arial"/>
          <w:i/>
          <w:iCs/>
          <w:color w:val="000000"/>
          <w:lang w:val="en-US"/>
        </w:rPr>
        <w:t>trometamol</w:t>
      </w:r>
      <w:r w:rsidRPr="009D2ACB">
        <w:rPr>
          <w:rFonts w:eastAsia="Times New Roman" w:cs="Arial"/>
          <w:i/>
          <w:iCs/>
          <w:color w:val="000000"/>
        </w:rPr>
        <w:t>)</w:t>
      </w:r>
      <w:r w:rsidRPr="009D2ACB">
        <w:rPr>
          <w:rFonts w:eastAsia="Times New Roman" w:cs="Arial"/>
          <w:i/>
          <w:iCs/>
          <w:color w:val="000000"/>
          <w:lang w:eastAsia="bg-BG"/>
        </w:rPr>
        <w:t>.</w:t>
      </w:r>
    </w:p>
    <w:p w14:paraId="2B2430A4" w14:textId="77777777" w:rsidR="009D2ACB" w:rsidRPr="009D2ACB" w:rsidRDefault="009D2ACB" w:rsidP="009D2ACB">
      <w:pPr>
        <w:spacing w:line="240" w:lineRule="auto"/>
        <w:rPr>
          <w:rFonts w:eastAsia="Times New Roman" w:cs="Arial"/>
          <w:color w:val="000000"/>
          <w:lang w:eastAsia="bg-BG"/>
        </w:rPr>
      </w:pPr>
    </w:p>
    <w:p w14:paraId="005E1C0B" w14:textId="38A849CE"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Помощни вещества с известно действие:</w:t>
      </w:r>
    </w:p>
    <w:p w14:paraId="11749CF6" w14:textId="3566827A" w:rsidR="009D2ACB" w:rsidRPr="009D2ACB" w:rsidRDefault="009D2ACB" w:rsidP="009D2ACB">
      <w:pPr>
        <w:rPr>
          <w:rFonts w:cs="Arial"/>
        </w:rPr>
      </w:pPr>
      <w:r w:rsidRPr="009D2ACB">
        <w:rPr>
          <w:rFonts w:eastAsia="Times New Roman" w:cs="Arial"/>
          <w:color w:val="000000"/>
          <w:lang w:eastAsia="bg-BG"/>
        </w:rPr>
        <w:t xml:space="preserve">Едно саше съдържа 2,216 </w:t>
      </w:r>
      <w:r w:rsidRPr="009D2ACB">
        <w:rPr>
          <w:rFonts w:eastAsia="Times New Roman" w:cs="Arial"/>
          <w:color w:val="000000"/>
          <w:lang w:val="en-US"/>
        </w:rPr>
        <w:t>g</w:t>
      </w:r>
      <w:r w:rsidRPr="009D2ACB">
        <w:rPr>
          <w:rFonts w:eastAsia="Times New Roman" w:cs="Arial"/>
          <w:color w:val="000000"/>
          <w:lang w:val="ru-RU"/>
        </w:rPr>
        <w:t xml:space="preserve"> </w:t>
      </w:r>
      <w:r w:rsidRPr="009D2ACB">
        <w:rPr>
          <w:rFonts w:eastAsia="Times New Roman" w:cs="Arial"/>
          <w:color w:val="000000"/>
          <w:lang w:eastAsia="bg-BG"/>
        </w:rPr>
        <w:t>захароза.</w:t>
      </w:r>
    </w:p>
    <w:p w14:paraId="614984C4" w14:textId="3088E1BB" w:rsidR="008A6AF2" w:rsidRDefault="00DD466D" w:rsidP="002C50EE">
      <w:pPr>
        <w:pStyle w:val="Heading1"/>
      </w:pPr>
      <w:r>
        <w:t>3. ЛЕКАРСТВЕНА ФОРМА</w:t>
      </w:r>
    </w:p>
    <w:p w14:paraId="0E48A073" w14:textId="13400345" w:rsidR="009D2ACB" w:rsidRDefault="009D2ACB" w:rsidP="009D2ACB"/>
    <w:p w14:paraId="1BA29AD4" w14:textId="77777777" w:rsidR="009D2ACB" w:rsidRPr="009D2ACB" w:rsidRDefault="009D2ACB" w:rsidP="009D2ACB">
      <w:pPr>
        <w:rPr>
          <w:sz w:val="24"/>
          <w:szCs w:val="24"/>
        </w:rPr>
      </w:pPr>
      <w:r w:rsidRPr="009D2ACB">
        <w:rPr>
          <w:lang w:eastAsia="bg-BG"/>
        </w:rPr>
        <w:t>Гранули за перорален разтвор в саше.</w:t>
      </w:r>
    </w:p>
    <w:p w14:paraId="19CA16FB" w14:textId="481A7402" w:rsidR="009D2ACB" w:rsidRPr="009D2ACB" w:rsidRDefault="009D2ACB" w:rsidP="009D2ACB">
      <w:r w:rsidRPr="009D2ACB">
        <w:rPr>
          <w:lang w:eastAsia="bg-BG"/>
        </w:rPr>
        <w:t>Бели или почти бели гранули без бучки или частици в еднодозово саше.</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9E14506" w:rsidR="00395555" w:rsidRDefault="00395555" w:rsidP="00395555"/>
    <w:p w14:paraId="0EFD95E2" w14:textId="77777777" w:rsidR="009D2ACB" w:rsidRPr="009D2ACB" w:rsidRDefault="009D2ACB" w:rsidP="009D2ACB">
      <w:pPr>
        <w:rPr>
          <w:sz w:val="24"/>
          <w:szCs w:val="24"/>
        </w:rPr>
      </w:pPr>
      <w:r w:rsidRPr="009D2ACB">
        <w:rPr>
          <w:lang w:eastAsia="bg-BG"/>
        </w:rPr>
        <w:t>Фосфозен е показан за (вж. точка 5.1):</w:t>
      </w:r>
    </w:p>
    <w:p w14:paraId="316BB161" w14:textId="3CFF5550" w:rsidR="009D2ACB" w:rsidRPr="009D2ACB" w:rsidRDefault="009D2ACB" w:rsidP="009D2ACB">
      <w:pPr>
        <w:pStyle w:val="ListParagraph"/>
        <w:numPr>
          <w:ilvl w:val="0"/>
          <w:numId w:val="32"/>
        </w:numPr>
        <w:rPr>
          <w:sz w:val="24"/>
          <w:szCs w:val="24"/>
        </w:rPr>
      </w:pPr>
      <w:r w:rsidRPr="009D2ACB">
        <w:rPr>
          <w:lang w:eastAsia="bg-BG"/>
        </w:rPr>
        <w:t>лечение на остър, неусложнен цистит, при жени и юноши девойки.</w:t>
      </w:r>
    </w:p>
    <w:p w14:paraId="5C02553F" w14:textId="77777777" w:rsidR="009D2ACB" w:rsidRDefault="009D2ACB" w:rsidP="009D2ACB">
      <w:pPr>
        <w:rPr>
          <w:lang w:eastAsia="bg-BG"/>
        </w:rPr>
      </w:pPr>
    </w:p>
    <w:p w14:paraId="0B80AB83" w14:textId="624068D3" w:rsidR="009D2ACB" w:rsidRPr="009D2ACB" w:rsidRDefault="009D2ACB" w:rsidP="009D2ACB">
      <w:pPr>
        <w:rPr>
          <w:sz w:val="24"/>
          <w:szCs w:val="24"/>
        </w:rPr>
      </w:pPr>
      <w:r w:rsidRPr="009D2ACB">
        <w:rPr>
          <w:lang w:eastAsia="bg-BG"/>
        </w:rPr>
        <w:t>Трябва да се вземат под внимание официалните указания за правилна употреба на антибакте- риални средства.</w:t>
      </w:r>
    </w:p>
    <w:p w14:paraId="1221B7EC" w14:textId="77777777" w:rsidR="009D2ACB" w:rsidRPr="00395555" w:rsidRDefault="009D2ACB" w:rsidP="00395555"/>
    <w:p w14:paraId="7C0CA5EB" w14:textId="654A5451" w:rsidR="00C0049F" w:rsidRDefault="002C50EE" w:rsidP="009F1313">
      <w:pPr>
        <w:pStyle w:val="Heading2"/>
      </w:pPr>
      <w:r>
        <w:t>4.2. Дозировка и начин на приложение</w:t>
      </w:r>
    </w:p>
    <w:p w14:paraId="6F918F6C" w14:textId="3E3826EF" w:rsidR="009D2ACB" w:rsidRDefault="009D2ACB" w:rsidP="009D2ACB"/>
    <w:p w14:paraId="409BA51B" w14:textId="77777777" w:rsidR="009D2ACB" w:rsidRPr="009D2ACB" w:rsidRDefault="009D2ACB" w:rsidP="009D2ACB">
      <w:pPr>
        <w:pStyle w:val="Heading3"/>
        <w:rPr>
          <w:rFonts w:eastAsia="Times New Roman"/>
          <w:u w:val="single"/>
        </w:rPr>
      </w:pPr>
      <w:r w:rsidRPr="009D2ACB">
        <w:rPr>
          <w:rFonts w:eastAsia="Times New Roman"/>
          <w:u w:val="single"/>
          <w:lang w:eastAsia="bg-BG"/>
        </w:rPr>
        <w:t>Дозировка</w:t>
      </w:r>
    </w:p>
    <w:p w14:paraId="424443AA" w14:textId="77777777" w:rsidR="009D2ACB" w:rsidRPr="009D2ACB" w:rsidRDefault="009D2ACB" w:rsidP="009D2ACB">
      <w:pPr>
        <w:spacing w:line="240" w:lineRule="auto"/>
        <w:rPr>
          <w:rFonts w:eastAsia="Times New Roman" w:cs="Arial"/>
          <w:i/>
          <w:iCs/>
          <w:color w:val="000000"/>
          <w:lang w:eastAsia="bg-BG"/>
        </w:rPr>
      </w:pPr>
    </w:p>
    <w:p w14:paraId="2E19E63C" w14:textId="5666D69E" w:rsidR="009D2ACB" w:rsidRPr="009D2ACB" w:rsidRDefault="009D2ACB" w:rsidP="009D2ACB">
      <w:pPr>
        <w:spacing w:line="240" w:lineRule="auto"/>
        <w:rPr>
          <w:rFonts w:eastAsia="Times New Roman" w:cs="Arial"/>
          <w:sz w:val="24"/>
          <w:szCs w:val="24"/>
        </w:rPr>
      </w:pPr>
      <w:r w:rsidRPr="009D2ACB">
        <w:rPr>
          <w:rFonts w:eastAsia="Times New Roman" w:cs="Arial"/>
          <w:i/>
          <w:iCs/>
          <w:color w:val="000000"/>
          <w:lang w:eastAsia="bg-BG"/>
        </w:rPr>
        <w:t>Остър, неусложнен цистит при жени и девойки (&gt; 12 години):</w:t>
      </w:r>
      <w:r w:rsidRPr="009D2ACB">
        <w:rPr>
          <w:rFonts w:eastAsia="Times New Roman" w:cs="Arial"/>
          <w:color w:val="000000"/>
          <w:lang w:eastAsia="bg-BG"/>
        </w:rPr>
        <w:t xml:space="preserve"> 3 </w:t>
      </w:r>
      <w:r w:rsidRPr="009D2ACB">
        <w:rPr>
          <w:rFonts w:eastAsia="Times New Roman" w:cs="Arial"/>
          <w:color w:val="000000"/>
          <w:lang w:val="en-US"/>
        </w:rPr>
        <w:t>g</w:t>
      </w:r>
      <w:r w:rsidRPr="009D2ACB">
        <w:rPr>
          <w:rFonts w:eastAsia="Times New Roman" w:cs="Arial"/>
          <w:color w:val="000000"/>
          <w:lang w:val="ru-RU"/>
        </w:rPr>
        <w:t xml:space="preserve"> </w:t>
      </w:r>
      <w:r w:rsidRPr="009D2ACB">
        <w:rPr>
          <w:rFonts w:eastAsia="Times New Roman" w:cs="Arial"/>
          <w:color w:val="000000"/>
          <w:lang w:eastAsia="bg-BG"/>
        </w:rPr>
        <w:t>фосфомицин еднократно.</w:t>
      </w:r>
    </w:p>
    <w:p w14:paraId="12494311" w14:textId="77777777" w:rsidR="009D2ACB" w:rsidRPr="009D2ACB" w:rsidRDefault="009D2ACB" w:rsidP="009D2ACB">
      <w:pPr>
        <w:spacing w:line="240" w:lineRule="auto"/>
        <w:rPr>
          <w:rFonts w:eastAsia="Times New Roman" w:cs="Arial"/>
          <w:i/>
          <w:iCs/>
          <w:color w:val="000000"/>
          <w:lang w:eastAsia="bg-BG"/>
        </w:rPr>
      </w:pPr>
    </w:p>
    <w:p w14:paraId="32A25514" w14:textId="4FE4A98C" w:rsidR="009D2ACB" w:rsidRPr="009D2ACB" w:rsidRDefault="009D2ACB" w:rsidP="009D2ACB">
      <w:pPr>
        <w:spacing w:line="240" w:lineRule="auto"/>
        <w:rPr>
          <w:rFonts w:eastAsia="Times New Roman" w:cs="Arial"/>
          <w:sz w:val="24"/>
          <w:szCs w:val="24"/>
        </w:rPr>
      </w:pPr>
      <w:r w:rsidRPr="009D2ACB">
        <w:rPr>
          <w:rFonts w:eastAsia="Times New Roman" w:cs="Arial"/>
          <w:i/>
          <w:iCs/>
          <w:color w:val="000000"/>
          <w:lang w:eastAsia="bg-BG"/>
        </w:rPr>
        <w:t>Бъбречно увреждане:</w:t>
      </w:r>
    </w:p>
    <w:p w14:paraId="18A6AC78"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Използването на Фосфозен не се препоръчва при пациенти с тежко бъбречно увреждане (креатининов клирънс&lt; 10 </w:t>
      </w:r>
      <w:r w:rsidRPr="009D2ACB">
        <w:rPr>
          <w:rFonts w:eastAsia="Times New Roman" w:cs="Arial"/>
          <w:color w:val="000000"/>
          <w:lang w:val="en-US"/>
        </w:rPr>
        <w:t>ml</w:t>
      </w:r>
      <w:r w:rsidRPr="009D2ACB">
        <w:rPr>
          <w:rFonts w:eastAsia="Times New Roman" w:cs="Arial"/>
          <w:color w:val="000000"/>
          <w:lang w:val="ru-RU"/>
        </w:rPr>
        <w:t>/</w:t>
      </w:r>
      <w:r w:rsidRPr="009D2ACB">
        <w:rPr>
          <w:rFonts w:eastAsia="Times New Roman" w:cs="Arial"/>
          <w:color w:val="000000"/>
          <w:lang w:val="en-US"/>
        </w:rPr>
        <w:t>min</w:t>
      </w:r>
      <w:r w:rsidRPr="009D2ACB">
        <w:rPr>
          <w:rFonts w:eastAsia="Times New Roman" w:cs="Arial"/>
          <w:color w:val="000000"/>
          <w:lang w:val="ru-RU"/>
        </w:rPr>
        <w:t>,</w:t>
      </w:r>
      <w:r w:rsidRPr="009D2ACB">
        <w:rPr>
          <w:rFonts w:eastAsia="Times New Roman" w:cs="Arial"/>
          <w:color w:val="000000"/>
          <w:lang w:eastAsia="bg-BG"/>
        </w:rPr>
        <w:t>вижте точка 5.2).</w:t>
      </w:r>
    </w:p>
    <w:p w14:paraId="24DAB5C0" w14:textId="77777777" w:rsidR="009D2ACB" w:rsidRPr="009D2ACB" w:rsidRDefault="009D2ACB" w:rsidP="009D2ACB">
      <w:pPr>
        <w:spacing w:line="240" w:lineRule="auto"/>
        <w:rPr>
          <w:rFonts w:eastAsia="Times New Roman" w:cs="Arial"/>
          <w:i/>
          <w:iCs/>
          <w:color w:val="000000"/>
          <w:lang w:eastAsia="bg-BG"/>
        </w:rPr>
      </w:pPr>
    </w:p>
    <w:p w14:paraId="4D334704" w14:textId="1F9EA989" w:rsidR="009D2ACB" w:rsidRPr="009D2ACB" w:rsidRDefault="009D2ACB" w:rsidP="009D2ACB">
      <w:pPr>
        <w:spacing w:line="240" w:lineRule="auto"/>
        <w:rPr>
          <w:rFonts w:eastAsia="Times New Roman" w:cs="Arial"/>
          <w:sz w:val="24"/>
          <w:szCs w:val="24"/>
        </w:rPr>
      </w:pPr>
      <w:r w:rsidRPr="009D2ACB">
        <w:rPr>
          <w:rFonts w:eastAsia="Times New Roman" w:cs="Arial"/>
          <w:i/>
          <w:iCs/>
          <w:color w:val="000000"/>
          <w:lang w:eastAsia="bg-BG"/>
        </w:rPr>
        <w:t>Педиатрична популация:</w:t>
      </w:r>
    </w:p>
    <w:p w14:paraId="433852F9"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Безопасността и ефикасността на Фосфозен при деца под 12-годишна възраст не са установени.</w:t>
      </w:r>
    </w:p>
    <w:p w14:paraId="18BC97F6" w14:textId="77777777" w:rsidR="009D2ACB" w:rsidRPr="009D2ACB" w:rsidRDefault="009D2ACB" w:rsidP="009D2ACB">
      <w:pPr>
        <w:spacing w:line="240" w:lineRule="auto"/>
        <w:rPr>
          <w:rFonts w:eastAsia="Times New Roman" w:cs="Arial"/>
          <w:color w:val="000000"/>
          <w:u w:val="single"/>
          <w:lang w:eastAsia="bg-BG"/>
        </w:rPr>
      </w:pPr>
    </w:p>
    <w:p w14:paraId="62D3F139" w14:textId="757B5D70" w:rsidR="009D2ACB" w:rsidRPr="009D2ACB" w:rsidRDefault="009D2ACB" w:rsidP="009D2ACB">
      <w:pPr>
        <w:pStyle w:val="Heading3"/>
        <w:rPr>
          <w:rFonts w:eastAsia="Times New Roman"/>
          <w:u w:val="single"/>
        </w:rPr>
      </w:pPr>
      <w:r w:rsidRPr="009D2ACB">
        <w:rPr>
          <w:rFonts w:eastAsia="Times New Roman"/>
          <w:u w:val="single"/>
          <w:lang w:eastAsia="bg-BG"/>
        </w:rPr>
        <w:lastRenderedPageBreak/>
        <w:t>Начин на приложение</w:t>
      </w:r>
    </w:p>
    <w:p w14:paraId="2AFBEE09" w14:textId="77777777" w:rsidR="009D2ACB" w:rsidRPr="009D2ACB" w:rsidRDefault="009D2ACB" w:rsidP="009D2ACB">
      <w:pPr>
        <w:spacing w:line="240" w:lineRule="auto"/>
        <w:rPr>
          <w:rFonts w:eastAsia="Times New Roman" w:cs="Arial"/>
          <w:color w:val="000000"/>
          <w:lang w:eastAsia="bg-BG"/>
        </w:rPr>
      </w:pPr>
    </w:p>
    <w:p w14:paraId="77D9FE95" w14:textId="161E7F0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За перорално приложение</w:t>
      </w:r>
    </w:p>
    <w:p w14:paraId="01088308"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При показанието остър, неусложнен цистит при жени и юноши девойки трябва да се приема на празен стомах (около 2-3 часа преди или 2-3 часа след хранене) за предпочитане преди лягане и след изпразване на пикочния мехур.</w:t>
      </w:r>
    </w:p>
    <w:p w14:paraId="585E4ABA" w14:textId="77777777" w:rsidR="009D2ACB" w:rsidRPr="009D2ACB" w:rsidRDefault="009D2ACB" w:rsidP="009D2ACB">
      <w:pPr>
        <w:rPr>
          <w:rFonts w:eastAsia="Times New Roman" w:cs="Arial"/>
          <w:color w:val="000000"/>
          <w:lang w:eastAsia="bg-BG"/>
        </w:rPr>
      </w:pPr>
    </w:p>
    <w:p w14:paraId="0B3A6CAE" w14:textId="3465A081" w:rsidR="009D2ACB" w:rsidRPr="009D2ACB" w:rsidRDefault="009D2ACB" w:rsidP="009D2ACB">
      <w:pPr>
        <w:rPr>
          <w:rFonts w:eastAsia="Times New Roman" w:cs="Arial"/>
          <w:color w:val="000000"/>
          <w:lang w:eastAsia="bg-BG"/>
        </w:rPr>
      </w:pPr>
      <w:r w:rsidRPr="009D2ACB">
        <w:rPr>
          <w:rFonts w:eastAsia="Times New Roman" w:cs="Arial"/>
          <w:color w:val="000000"/>
          <w:lang w:eastAsia="bg-BG"/>
        </w:rPr>
        <w:t>Дозата трябва да се разтвори в чаша вода и да се приеме веднага след приготвянето и.</w:t>
      </w:r>
    </w:p>
    <w:p w14:paraId="39CB5406" w14:textId="486337E1" w:rsidR="009D2ACB" w:rsidRPr="009D2ACB" w:rsidRDefault="009D2ACB" w:rsidP="009D2ACB">
      <w:pPr>
        <w:rPr>
          <w:rFonts w:eastAsia="Times New Roman" w:cs="Arial"/>
          <w:color w:val="000000"/>
          <w:lang w:eastAsia="bg-BG"/>
        </w:rPr>
      </w:pPr>
    </w:p>
    <w:p w14:paraId="21639A71" w14:textId="440FC6D8" w:rsidR="009D2ACB" w:rsidRDefault="009D2ACB" w:rsidP="009D2ACB">
      <w:pPr>
        <w:rPr>
          <w:rFonts w:cs="Arial"/>
        </w:rPr>
      </w:pPr>
      <w:r w:rsidRPr="009D2ACB">
        <w:rPr>
          <w:rFonts w:cs="Arial"/>
        </w:rPr>
        <w:t>За инструкции за разтваряне на лекарственият продукт вижте точка 6.6</w:t>
      </w:r>
      <w:r w:rsidRPr="009D2ACB">
        <w:rPr>
          <w:rFonts w:cs="Arial"/>
        </w:rPr>
        <w:t>.</w:t>
      </w:r>
    </w:p>
    <w:p w14:paraId="2C4C24D0" w14:textId="77777777" w:rsidR="009D2ACB" w:rsidRPr="009D2ACB" w:rsidRDefault="009D2ACB" w:rsidP="009D2ACB"/>
    <w:p w14:paraId="62B13D0B" w14:textId="002CF8F6" w:rsidR="00395555" w:rsidRDefault="002C50EE" w:rsidP="008A6AF2">
      <w:pPr>
        <w:pStyle w:val="Heading2"/>
      </w:pPr>
      <w:r>
        <w:t>4.3. Противопоказания</w:t>
      </w:r>
    </w:p>
    <w:p w14:paraId="5857AE16" w14:textId="36BE6F17" w:rsidR="009D2ACB" w:rsidRDefault="009D2ACB" w:rsidP="009D2ACB"/>
    <w:p w14:paraId="1CDD106F" w14:textId="1E86679D" w:rsidR="009D2ACB" w:rsidRPr="009D2ACB" w:rsidRDefault="009D2ACB" w:rsidP="009D2ACB">
      <w:pPr>
        <w:pStyle w:val="ListParagraph"/>
        <w:numPr>
          <w:ilvl w:val="0"/>
          <w:numId w:val="32"/>
        </w:numPr>
        <w:rPr>
          <w:sz w:val="24"/>
          <w:szCs w:val="24"/>
        </w:rPr>
      </w:pPr>
      <w:r w:rsidRPr="009D2ACB">
        <w:rPr>
          <w:lang w:eastAsia="bg-BG"/>
        </w:rPr>
        <w:t>Свръхчувствителност към активното вещество или към някое от помощните, посочени в точка 6.1.</w:t>
      </w:r>
    </w:p>
    <w:p w14:paraId="42B89933" w14:textId="77777777" w:rsidR="009D2ACB" w:rsidRPr="009D2ACB" w:rsidRDefault="009D2ACB" w:rsidP="009D2ACB"/>
    <w:p w14:paraId="5A4AC413" w14:textId="5C199371" w:rsidR="00395555" w:rsidRDefault="002C50EE" w:rsidP="008A6AF2">
      <w:pPr>
        <w:pStyle w:val="Heading2"/>
      </w:pPr>
      <w:r>
        <w:t>4.4. Специални предупреждения и предпазни мерки при употреба</w:t>
      </w:r>
    </w:p>
    <w:p w14:paraId="5C3A4ADD" w14:textId="4356E0F1" w:rsidR="009D2ACB" w:rsidRDefault="009D2ACB" w:rsidP="009D2ACB"/>
    <w:p w14:paraId="250C6E72"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Реакции на свръхчувствителност</w:t>
      </w:r>
    </w:p>
    <w:p w14:paraId="68F5DDE8"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Сериозни и понякога фатални реакции на свръхчувствителност, включително анафилаксия и анафилактичен шок, могат да възникнат по време на лечение с фосфомицин (вж. точки 4.3 и 4.8). Ако такива реакции настъпят, лечението с фосфомицин трябва незабавно да се преустанови и да започне прилагане на подходящи спешни мерки.</w:t>
      </w:r>
    </w:p>
    <w:p w14:paraId="77BA5690" w14:textId="77777777" w:rsidR="009D2ACB" w:rsidRPr="009D2ACB" w:rsidRDefault="009D2ACB" w:rsidP="009D2ACB">
      <w:pPr>
        <w:spacing w:line="240" w:lineRule="auto"/>
        <w:rPr>
          <w:rFonts w:eastAsia="Times New Roman" w:cs="Arial"/>
          <w:color w:val="000000"/>
          <w:lang w:eastAsia="bg-BG"/>
        </w:rPr>
      </w:pPr>
    </w:p>
    <w:p w14:paraId="3B4F0CF6" w14:textId="2927D244"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Клостридиум дифициле </w:t>
      </w:r>
      <w:r w:rsidRPr="009D2ACB">
        <w:rPr>
          <w:rFonts w:eastAsia="Times New Roman" w:cs="Arial"/>
          <w:i/>
          <w:iCs/>
          <w:color w:val="000000"/>
        </w:rPr>
        <w:t>(</w:t>
      </w:r>
      <w:proofErr w:type="spellStart"/>
      <w:r w:rsidRPr="009D2ACB">
        <w:rPr>
          <w:rFonts w:eastAsia="Times New Roman" w:cs="Arial"/>
          <w:i/>
          <w:iCs/>
          <w:color w:val="000000"/>
          <w:lang w:val="en-US"/>
        </w:rPr>
        <w:t>Clostridioides</w:t>
      </w:r>
      <w:proofErr w:type="spellEnd"/>
      <w:r w:rsidRPr="009D2ACB">
        <w:rPr>
          <w:rFonts w:eastAsia="Times New Roman" w:cs="Arial"/>
          <w:color w:val="000000"/>
        </w:rPr>
        <w:t xml:space="preserve"> </w:t>
      </w:r>
      <w:r w:rsidRPr="009D2ACB">
        <w:rPr>
          <w:rFonts w:eastAsia="Times New Roman" w:cs="Arial"/>
          <w:color w:val="000000"/>
          <w:lang w:val="en-US"/>
        </w:rPr>
        <w:t>difficile</w:t>
      </w:r>
      <w:r w:rsidRPr="009D2ACB">
        <w:rPr>
          <w:rFonts w:eastAsia="Times New Roman" w:cs="Arial"/>
          <w:color w:val="000000"/>
        </w:rPr>
        <w:t>)</w:t>
      </w:r>
      <w:r w:rsidRPr="009D2ACB">
        <w:rPr>
          <w:rFonts w:eastAsia="Times New Roman" w:cs="Arial"/>
          <w:color w:val="000000"/>
          <w:lang w:eastAsia="bg-BG"/>
        </w:rPr>
        <w:t>-асоциирана диария</w:t>
      </w:r>
    </w:p>
    <w:p w14:paraId="62B1009F" w14:textId="77777777" w:rsidR="009D2ACB" w:rsidRPr="009D2ACB" w:rsidRDefault="009D2ACB" w:rsidP="009D2ACB">
      <w:pPr>
        <w:spacing w:line="240" w:lineRule="auto"/>
        <w:rPr>
          <w:rFonts w:eastAsia="Times New Roman" w:cs="Arial"/>
          <w:sz w:val="24"/>
          <w:szCs w:val="24"/>
        </w:rPr>
      </w:pPr>
      <w:proofErr w:type="spellStart"/>
      <w:r w:rsidRPr="009D2ACB">
        <w:rPr>
          <w:rFonts w:eastAsia="Times New Roman" w:cs="Arial"/>
          <w:i/>
          <w:iCs/>
          <w:color w:val="000000"/>
          <w:lang w:val="en-US"/>
        </w:rPr>
        <w:t>Clostridioides</w:t>
      </w:r>
      <w:proofErr w:type="spellEnd"/>
      <w:r w:rsidRPr="009D2ACB">
        <w:rPr>
          <w:rFonts w:eastAsia="Times New Roman" w:cs="Arial"/>
          <w:i/>
          <w:iCs/>
          <w:color w:val="000000"/>
          <w:lang w:val="ru-RU"/>
        </w:rPr>
        <w:t xml:space="preserve"> </w:t>
      </w:r>
      <w:r w:rsidRPr="009D2ACB">
        <w:rPr>
          <w:rFonts w:eastAsia="Times New Roman" w:cs="Arial"/>
          <w:i/>
          <w:iCs/>
          <w:color w:val="000000"/>
          <w:lang w:val="en-US"/>
        </w:rPr>
        <w:t>difficile</w:t>
      </w:r>
      <w:r w:rsidRPr="009D2ACB">
        <w:rPr>
          <w:rFonts w:eastAsia="Times New Roman" w:cs="Arial"/>
          <w:color w:val="000000"/>
          <w:lang w:val="ru-RU"/>
        </w:rPr>
        <w:t xml:space="preserve"> </w:t>
      </w:r>
      <w:r w:rsidRPr="009D2ACB">
        <w:rPr>
          <w:rFonts w:eastAsia="Times New Roman" w:cs="Arial"/>
          <w:color w:val="000000"/>
          <w:lang w:eastAsia="bg-BG"/>
        </w:rPr>
        <w:t xml:space="preserve">-асоцииран колит и псевдомембранозен колит са съобщавани при фосфомицин и може да варират по тежест от умерени до животозастрашаващи (вж. точка 4.8). Ето защо е важно тази диагноза да се има предвид при пациенти, които са с диария по време на или след прилагането на фосфомицин. Трябва да се обсъди преустановяване на лечението с фосфомицин и прилагане на специфично лечение за </w:t>
      </w:r>
      <w:proofErr w:type="spellStart"/>
      <w:r w:rsidRPr="009D2ACB">
        <w:rPr>
          <w:rFonts w:eastAsia="Times New Roman" w:cs="Arial"/>
          <w:color w:val="000000"/>
          <w:lang w:val="en-US"/>
        </w:rPr>
        <w:t>Clostridioides</w:t>
      </w:r>
      <w:proofErr w:type="spellEnd"/>
      <w:r w:rsidRPr="009D2ACB">
        <w:rPr>
          <w:rFonts w:eastAsia="Times New Roman" w:cs="Arial"/>
          <w:color w:val="000000"/>
          <w:lang w:val="ru-RU"/>
        </w:rPr>
        <w:t xml:space="preserve"> </w:t>
      </w:r>
      <w:r w:rsidRPr="009D2ACB">
        <w:rPr>
          <w:rFonts w:eastAsia="Times New Roman" w:cs="Arial"/>
          <w:color w:val="000000"/>
          <w:lang w:val="en-US"/>
        </w:rPr>
        <w:t>difficile</w:t>
      </w:r>
      <w:r w:rsidRPr="009D2ACB">
        <w:rPr>
          <w:rFonts w:eastAsia="Times New Roman" w:cs="Arial"/>
          <w:color w:val="000000"/>
          <w:lang w:val="ru-RU"/>
        </w:rPr>
        <w:t xml:space="preserve">. </w:t>
      </w:r>
      <w:r w:rsidRPr="009D2ACB">
        <w:rPr>
          <w:rFonts w:eastAsia="Times New Roman" w:cs="Arial"/>
          <w:color w:val="000000"/>
          <w:lang w:eastAsia="bg-BG"/>
        </w:rPr>
        <w:t>Не трябва да се дават лекарствени продукти, които инхибират перисталтиката.</w:t>
      </w:r>
    </w:p>
    <w:p w14:paraId="67DD81B6" w14:textId="77777777" w:rsidR="009D2ACB" w:rsidRPr="009D2ACB" w:rsidRDefault="009D2ACB" w:rsidP="009D2ACB">
      <w:pPr>
        <w:spacing w:line="240" w:lineRule="auto"/>
        <w:rPr>
          <w:rFonts w:eastAsia="Times New Roman" w:cs="Arial"/>
          <w:color w:val="000000"/>
          <w:u w:val="single"/>
          <w:lang w:eastAsia="bg-BG"/>
        </w:rPr>
      </w:pPr>
    </w:p>
    <w:p w14:paraId="3B71CA00" w14:textId="73BE555B"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Педиатрична популация</w:t>
      </w:r>
    </w:p>
    <w:p w14:paraId="175F2D9B"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Безопасността и ефикасността на Фосфозен при деца под 12-годишна възраст не са установени. Следователно това лекарство не трябва да се използва в тази възрастова група (вж. точка 4.2).</w:t>
      </w:r>
    </w:p>
    <w:p w14:paraId="7281AC5D" w14:textId="77777777" w:rsidR="009D2ACB" w:rsidRPr="009D2ACB" w:rsidRDefault="009D2ACB" w:rsidP="009D2ACB">
      <w:pPr>
        <w:spacing w:line="240" w:lineRule="auto"/>
        <w:rPr>
          <w:rFonts w:eastAsia="Times New Roman" w:cs="Arial"/>
          <w:color w:val="000000"/>
          <w:u w:val="single"/>
          <w:lang w:eastAsia="bg-BG"/>
        </w:rPr>
      </w:pPr>
    </w:p>
    <w:p w14:paraId="3965515A" w14:textId="57946208"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Помощни вещества</w:t>
      </w:r>
    </w:p>
    <w:p w14:paraId="7EEEAC74" w14:textId="4A7DCFA9"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Това лекарство съдържа 2,216 </w:t>
      </w:r>
      <w:r w:rsidRPr="009D2ACB">
        <w:rPr>
          <w:rFonts w:eastAsia="Times New Roman" w:cs="Arial"/>
          <w:color w:val="000000"/>
          <w:lang w:val="en-US"/>
        </w:rPr>
        <w:t>g</w:t>
      </w:r>
      <w:r w:rsidRPr="009D2ACB">
        <w:rPr>
          <w:rFonts w:eastAsia="Times New Roman" w:cs="Arial"/>
          <w:color w:val="000000"/>
          <w:lang w:val="ru-RU"/>
        </w:rPr>
        <w:t xml:space="preserve"> </w:t>
      </w:r>
      <w:r w:rsidRPr="009D2ACB">
        <w:rPr>
          <w:rFonts w:eastAsia="Times New Roman" w:cs="Arial"/>
          <w:color w:val="000000"/>
          <w:lang w:eastAsia="bg-BG"/>
        </w:rPr>
        <w:t>захароза в саше. Неговата употреба не се препоръчва при пациенти с редки наследствени проблеми като непоносимост към фруктова, глюкозо- галактозна малабсорбция или захарозо-изомалтазна недостатъчност.</w:t>
      </w:r>
    </w:p>
    <w:p w14:paraId="255AD847"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Този лекарствен продукт съдържа по-малко от 1 </w:t>
      </w:r>
      <w:proofErr w:type="spellStart"/>
      <w:r w:rsidRPr="009D2ACB">
        <w:rPr>
          <w:rFonts w:eastAsia="Times New Roman" w:cs="Arial"/>
          <w:color w:val="000000"/>
          <w:lang w:val="en-US"/>
        </w:rPr>
        <w:t>mmol</w:t>
      </w:r>
      <w:proofErr w:type="spellEnd"/>
      <w:r w:rsidRPr="009D2ACB">
        <w:rPr>
          <w:rFonts w:eastAsia="Times New Roman" w:cs="Arial"/>
          <w:color w:val="000000"/>
          <w:lang w:val="ru-RU"/>
        </w:rPr>
        <w:t xml:space="preserve"> </w:t>
      </w:r>
      <w:r w:rsidRPr="009D2ACB">
        <w:rPr>
          <w:rFonts w:eastAsia="Times New Roman" w:cs="Arial"/>
          <w:color w:val="000000"/>
          <w:lang w:eastAsia="bg-BG"/>
        </w:rPr>
        <w:t xml:space="preserve">натрий (23 </w:t>
      </w:r>
      <w:r w:rsidRPr="009D2ACB">
        <w:rPr>
          <w:rFonts w:eastAsia="Times New Roman" w:cs="Arial"/>
          <w:color w:val="000000"/>
          <w:lang w:val="en-US"/>
        </w:rPr>
        <w:t>mg</w:t>
      </w:r>
      <w:r w:rsidRPr="009D2ACB">
        <w:rPr>
          <w:rFonts w:eastAsia="Times New Roman" w:cs="Arial"/>
          <w:color w:val="000000"/>
          <w:lang w:val="ru-RU"/>
        </w:rPr>
        <w:t xml:space="preserve">) </w:t>
      </w:r>
      <w:r w:rsidRPr="009D2ACB">
        <w:rPr>
          <w:rFonts w:eastAsia="Times New Roman" w:cs="Arial"/>
          <w:color w:val="000000"/>
          <w:lang w:eastAsia="bg-BG"/>
        </w:rPr>
        <w:t>в таблетка, така че на практика е „без натрий”.</w:t>
      </w:r>
    </w:p>
    <w:p w14:paraId="77006386" w14:textId="77777777" w:rsidR="009D2ACB" w:rsidRPr="009D2ACB" w:rsidRDefault="009D2ACB" w:rsidP="009D2ACB"/>
    <w:p w14:paraId="1244F76A" w14:textId="1231EBE9" w:rsidR="00395555" w:rsidRDefault="002C50EE" w:rsidP="008A6AF2">
      <w:pPr>
        <w:pStyle w:val="Heading2"/>
      </w:pPr>
      <w:r>
        <w:lastRenderedPageBreak/>
        <w:t>4.5. Взаимодействие с други лекарствени продукти и други форми на взаимодействие</w:t>
      </w:r>
    </w:p>
    <w:p w14:paraId="2033F40E" w14:textId="04268F96" w:rsidR="009D2ACB" w:rsidRDefault="009D2ACB" w:rsidP="009D2ACB"/>
    <w:p w14:paraId="5FCE2770"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Метоклопрамид</w:t>
      </w:r>
    </w:p>
    <w:p w14:paraId="02CBE8F4"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Едновременното приложение на метоклопрамид води до понижаване на концентрациите на фосфомицин в серума и урината и трябва да се избягва.</w:t>
      </w:r>
    </w:p>
    <w:p w14:paraId="63B49661"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Други лекарствени продукти, които повишават стомашно-чревния мотилитет, може да произведат подобни ефекти.</w:t>
      </w:r>
    </w:p>
    <w:p w14:paraId="616F5C39" w14:textId="77777777" w:rsidR="009D2ACB" w:rsidRPr="009D2ACB" w:rsidRDefault="009D2ACB" w:rsidP="009D2ACB">
      <w:pPr>
        <w:spacing w:line="240" w:lineRule="auto"/>
        <w:rPr>
          <w:rFonts w:eastAsia="Times New Roman" w:cs="Arial"/>
          <w:color w:val="000000"/>
          <w:u w:val="single"/>
          <w:lang w:eastAsia="bg-BG"/>
        </w:rPr>
      </w:pPr>
    </w:p>
    <w:p w14:paraId="21F9FADB" w14:textId="3C31E6C8"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Ефект на храната</w:t>
      </w:r>
    </w:p>
    <w:p w14:paraId="0E197875"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Храната може да забави абсорбцията на фосфомицин с последващо леко понижение на пиковите нива и концентрациите в урината. Следователно за предпочитане е този лекарствен продукт да се приема на празен стомах или около 2-3 часа след хранене.</w:t>
      </w:r>
    </w:p>
    <w:p w14:paraId="5BF76030" w14:textId="77777777" w:rsidR="009D2ACB" w:rsidRPr="009D2ACB" w:rsidRDefault="009D2ACB" w:rsidP="009D2ACB">
      <w:pPr>
        <w:spacing w:line="240" w:lineRule="auto"/>
        <w:rPr>
          <w:rFonts w:eastAsia="Times New Roman" w:cs="Arial"/>
          <w:color w:val="000000"/>
          <w:u w:val="single"/>
          <w:lang w:eastAsia="bg-BG"/>
        </w:rPr>
      </w:pPr>
    </w:p>
    <w:p w14:paraId="022ECC44" w14:textId="40AD85EB"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 xml:space="preserve">Специфични проблеми, свързани с промяна на стойностите на </w:t>
      </w:r>
      <w:r w:rsidRPr="009D2ACB">
        <w:rPr>
          <w:rFonts w:eastAsia="Times New Roman" w:cs="Arial"/>
          <w:color w:val="000000"/>
          <w:u w:val="single"/>
          <w:lang w:val="en-US"/>
        </w:rPr>
        <w:t>INR</w:t>
      </w:r>
      <w:r w:rsidRPr="009D2ACB">
        <w:rPr>
          <w:rFonts w:eastAsia="Times New Roman" w:cs="Arial"/>
          <w:color w:val="000000"/>
          <w:u w:val="single"/>
          <w:lang w:val="ru-RU"/>
        </w:rPr>
        <w:t>.</w:t>
      </w:r>
    </w:p>
    <w:p w14:paraId="585F032D"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Съобщени са множество случаи на повишена перорална антикоагулантна активност при пациенти, получаващи антибиотично лечение. Рисковите фактори включват тежка инфекция или възпаление, възраст и влошено общо здравословно състояние. При тези обстоятелства е трудно да се определи дали промяната в </w:t>
      </w:r>
      <w:r w:rsidRPr="009D2ACB">
        <w:rPr>
          <w:rFonts w:eastAsia="Times New Roman" w:cs="Arial"/>
          <w:color w:val="000000"/>
          <w:lang w:val="en-US"/>
        </w:rPr>
        <w:t>INR</w:t>
      </w:r>
      <w:r w:rsidRPr="009D2ACB">
        <w:rPr>
          <w:rFonts w:eastAsia="Times New Roman" w:cs="Arial"/>
          <w:color w:val="000000"/>
          <w:lang w:val="ru-RU"/>
        </w:rPr>
        <w:t xml:space="preserve"> </w:t>
      </w:r>
      <w:r w:rsidRPr="009D2ACB">
        <w:rPr>
          <w:rFonts w:eastAsia="Times New Roman" w:cs="Arial"/>
          <w:color w:val="000000"/>
          <w:lang w:eastAsia="bg-BG"/>
        </w:rPr>
        <w:t>се дължи на инфекциозно заболяване</w:t>
      </w:r>
      <w:r w:rsidRPr="009D2ACB">
        <w:rPr>
          <w:rFonts w:eastAsia="Times New Roman" w:cs="Arial"/>
          <w:color w:val="000000"/>
          <w:u w:val="single"/>
          <w:lang w:eastAsia="bg-BG"/>
        </w:rPr>
        <w:t xml:space="preserve">или или на </w:t>
      </w:r>
      <w:r w:rsidRPr="009D2ACB">
        <w:rPr>
          <w:rFonts w:eastAsia="Times New Roman" w:cs="Arial"/>
          <w:color w:val="000000"/>
          <w:lang w:eastAsia="bg-BG"/>
        </w:rPr>
        <w:t>неговото лечение. Въпреки това някои класове антибиотици са по-често засегнати и по- специално: флуорохинолони, макролиди, циклини, котримоксазол и някои цефалоспорини</w:t>
      </w:r>
    </w:p>
    <w:p w14:paraId="34551FB1" w14:textId="77777777" w:rsidR="009D2ACB" w:rsidRPr="009D2ACB" w:rsidRDefault="009D2ACB" w:rsidP="009D2ACB">
      <w:pPr>
        <w:spacing w:line="240" w:lineRule="auto"/>
        <w:rPr>
          <w:rFonts w:eastAsia="Times New Roman" w:cs="Arial"/>
          <w:sz w:val="24"/>
          <w:szCs w:val="24"/>
        </w:rPr>
      </w:pPr>
    </w:p>
    <w:p w14:paraId="1D752CE9" w14:textId="6CDEA461"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Педиатрична популация</w:t>
      </w:r>
    </w:p>
    <w:p w14:paraId="565F2071" w14:textId="0ABD5134" w:rsidR="009D2ACB" w:rsidRDefault="009D2ACB" w:rsidP="009D2ACB">
      <w:pPr>
        <w:rPr>
          <w:rFonts w:eastAsia="Times New Roman" w:cs="Arial"/>
          <w:color w:val="000000"/>
          <w:u w:val="single"/>
          <w:lang w:eastAsia="bg-BG"/>
        </w:rPr>
      </w:pPr>
      <w:r w:rsidRPr="009D2ACB">
        <w:rPr>
          <w:rFonts w:eastAsia="Times New Roman" w:cs="Arial"/>
          <w:color w:val="000000"/>
          <w:u w:val="single"/>
          <w:lang w:eastAsia="bg-BG"/>
        </w:rPr>
        <w:t xml:space="preserve">Проучвания за взаимодействията са провеждани само </w:t>
      </w:r>
      <w:r w:rsidRPr="009D2ACB">
        <w:rPr>
          <w:rFonts w:eastAsia="Times New Roman" w:cs="Arial"/>
          <w:smallCaps/>
          <w:color w:val="000000"/>
          <w:u w:val="single"/>
          <w:lang w:eastAsia="bg-BG"/>
        </w:rPr>
        <w:t>при</w:t>
      </w:r>
      <w:r w:rsidRPr="009D2ACB">
        <w:rPr>
          <w:rFonts w:eastAsia="Times New Roman" w:cs="Arial"/>
          <w:color w:val="000000"/>
          <w:u w:val="single"/>
          <w:lang w:eastAsia="bg-BG"/>
        </w:rPr>
        <w:t xml:space="preserve"> възрастни.</w:t>
      </w:r>
    </w:p>
    <w:p w14:paraId="1BE0E4A0" w14:textId="77777777" w:rsidR="009D2ACB" w:rsidRPr="009D2ACB" w:rsidRDefault="009D2ACB" w:rsidP="009D2ACB">
      <w:pPr>
        <w:rPr>
          <w:rFonts w:cs="Arial"/>
        </w:rPr>
      </w:pPr>
    </w:p>
    <w:p w14:paraId="6EADE4D6" w14:textId="1DAF9276" w:rsidR="00395555" w:rsidRDefault="002C50EE" w:rsidP="008A6AF2">
      <w:pPr>
        <w:pStyle w:val="Heading2"/>
      </w:pPr>
      <w:r>
        <w:t>4.6. Фертилитет, бременност и кърмене</w:t>
      </w:r>
    </w:p>
    <w:p w14:paraId="73928584" w14:textId="57191230" w:rsidR="009D2ACB" w:rsidRDefault="009D2ACB" w:rsidP="009D2ACB"/>
    <w:p w14:paraId="019D4B83" w14:textId="77777777" w:rsidR="009D2ACB" w:rsidRPr="009D2ACB" w:rsidRDefault="009D2ACB" w:rsidP="009D2ACB">
      <w:pPr>
        <w:pStyle w:val="Heading3"/>
        <w:rPr>
          <w:rFonts w:eastAsia="Times New Roman"/>
          <w:u w:val="single"/>
        </w:rPr>
      </w:pPr>
      <w:r w:rsidRPr="009D2ACB">
        <w:rPr>
          <w:rFonts w:eastAsia="Times New Roman"/>
          <w:u w:val="single"/>
          <w:lang w:eastAsia="bg-BG"/>
        </w:rPr>
        <w:t>Бременност</w:t>
      </w:r>
    </w:p>
    <w:p w14:paraId="0A669F4F"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Налични са само ограничени данни за безопасността на лечението с фосфомицин ппрез първия триместър на бременността (</w:t>
      </w:r>
      <w:r w:rsidRPr="009D2ACB">
        <w:rPr>
          <w:rFonts w:eastAsia="Times New Roman" w:cs="Arial"/>
          <w:color w:val="000000"/>
          <w:lang w:val="en-US"/>
        </w:rPr>
        <w:t>n</w:t>
      </w:r>
      <w:r w:rsidRPr="009D2ACB">
        <w:rPr>
          <w:rFonts w:eastAsia="Times New Roman" w:cs="Arial"/>
          <w:color w:val="000000"/>
          <w:lang w:eastAsia="bg-BG"/>
        </w:rPr>
        <w:t>=152). Тези данни не дават сигнал за безопасност по отношение на тератогенност досега. Фосфомицин преминава през плацентата.</w:t>
      </w:r>
    </w:p>
    <w:p w14:paraId="1DFA4E74"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Проучвания при животни не показват преки или непреки вредни ефекти, свързани с репродуктивна токсичност (вж. точка 5.3).</w:t>
      </w:r>
    </w:p>
    <w:p w14:paraId="26A07253"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Фосфозен трябва да се използва по време на бременност, само ако е безспорно необходимо.</w:t>
      </w:r>
    </w:p>
    <w:p w14:paraId="10BD7E0F" w14:textId="77777777" w:rsidR="009D2ACB" w:rsidRPr="009D2ACB" w:rsidRDefault="009D2ACB" w:rsidP="009D2ACB">
      <w:pPr>
        <w:spacing w:line="240" w:lineRule="auto"/>
        <w:rPr>
          <w:rFonts w:eastAsia="Times New Roman" w:cs="Arial"/>
          <w:color w:val="000000"/>
          <w:u w:val="single"/>
          <w:lang w:eastAsia="bg-BG"/>
        </w:rPr>
      </w:pPr>
    </w:p>
    <w:p w14:paraId="744EA27E" w14:textId="2B3AFB0A" w:rsidR="009D2ACB" w:rsidRPr="009D2ACB" w:rsidRDefault="009D2ACB" w:rsidP="009D2ACB">
      <w:pPr>
        <w:pStyle w:val="Heading3"/>
        <w:rPr>
          <w:rFonts w:eastAsia="Times New Roman"/>
          <w:u w:val="single"/>
        </w:rPr>
      </w:pPr>
      <w:r w:rsidRPr="009D2ACB">
        <w:rPr>
          <w:rFonts w:eastAsia="Times New Roman"/>
          <w:u w:val="single"/>
          <w:lang w:eastAsia="bg-BG"/>
        </w:rPr>
        <w:t>Кърмене</w:t>
      </w:r>
    </w:p>
    <w:p w14:paraId="07BCB726"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Фосфомицин се екскретира в кърмата в малки количества. Ако е необходимо по време на кърмене може да се използва единична доза фосфомицин перорално..</w:t>
      </w:r>
    </w:p>
    <w:p w14:paraId="66B790CD" w14:textId="77777777" w:rsidR="009D2ACB" w:rsidRPr="009D2ACB" w:rsidRDefault="009D2ACB" w:rsidP="009D2ACB">
      <w:pPr>
        <w:spacing w:line="240" w:lineRule="auto"/>
        <w:rPr>
          <w:rFonts w:eastAsia="Times New Roman" w:cs="Arial"/>
          <w:color w:val="000000"/>
          <w:u w:val="single"/>
          <w:lang w:eastAsia="bg-BG"/>
        </w:rPr>
      </w:pPr>
    </w:p>
    <w:p w14:paraId="6DCACFF2" w14:textId="2775A13E" w:rsidR="009D2ACB" w:rsidRPr="009D2ACB" w:rsidRDefault="009D2ACB" w:rsidP="009D2ACB">
      <w:pPr>
        <w:pStyle w:val="Heading3"/>
        <w:rPr>
          <w:rFonts w:eastAsia="Times New Roman"/>
          <w:u w:val="single"/>
        </w:rPr>
      </w:pPr>
      <w:r w:rsidRPr="009D2ACB">
        <w:rPr>
          <w:rFonts w:eastAsia="Times New Roman"/>
          <w:u w:val="single"/>
          <w:lang w:eastAsia="bg-BG"/>
        </w:rPr>
        <w:t>Фертилитет</w:t>
      </w:r>
    </w:p>
    <w:p w14:paraId="18985806"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Няма налични данни при хора. При мъжки и женски плъхове пероралното приложение на фосфомицин до 1000 </w:t>
      </w:r>
      <w:r w:rsidRPr="009D2ACB">
        <w:rPr>
          <w:rFonts w:eastAsia="Times New Roman" w:cs="Arial"/>
          <w:color w:val="000000"/>
          <w:lang w:val="en-US"/>
        </w:rPr>
        <w:t>mg</w:t>
      </w:r>
      <w:r w:rsidRPr="009D2ACB">
        <w:rPr>
          <w:rFonts w:eastAsia="Times New Roman" w:cs="Arial"/>
          <w:color w:val="000000"/>
          <w:lang w:val="ru-RU"/>
        </w:rPr>
        <w:t>/</w:t>
      </w:r>
      <w:r w:rsidRPr="009D2ACB">
        <w:rPr>
          <w:rFonts w:eastAsia="Times New Roman" w:cs="Arial"/>
          <w:color w:val="000000"/>
          <w:lang w:val="en-US"/>
        </w:rPr>
        <w:t>kg</w:t>
      </w:r>
      <w:r w:rsidRPr="009D2ACB">
        <w:rPr>
          <w:rFonts w:eastAsia="Times New Roman" w:cs="Arial"/>
          <w:color w:val="000000"/>
          <w:lang w:val="ru-RU"/>
        </w:rPr>
        <w:t>/</w:t>
      </w:r>
      <w:r w:rsidRPr="009D2ACB">
        <w:rPr>
          <w:rFonts w:eastAsia="Times New Roman" w:cs="Arial"/>
          <w:color w:val="000000"/>
          <w:lang w:eastAsia="bg-BG"/>
        </w:rPr>
        <w:t>дневно не понижава фертилитета.</w:t>
      </w:r>
    </w:p>
    <w:p w14:paraId="77DB9161" w14:textId="77777777" w:rsidR="009D2ACB" w:rsidRPr="009D2ACB" w:rsidRDefault="009D2ACB" w:rsidP="009D2ACB"/>
    <w:p w14:paraId="5766770B" w14:textId="19CAE1C8" w:rsidR="00395555" w:rsidRDefault="002C50EE" w:rsidP="008A6AF2">
      <w:pPr>
        <w:pStyle w:val="Heading2"/>
      </w:pPr>
      <w:r>
        <w:t>4.7. Ефекти върху способността за шофиране и работа с машини</w:t>
      </w:r>
    </w:p>
    <w:p w14:paraId="17447832" w14:textId="38C3D508" w:rsidR="009D2ACB" w:rsidRDefault="009D2ACB" w:rsidP="009D2ACB"/>
    <w:p w14:paraId="7227D5D7" w14:textId="77777777" w:rsidR="009D2ACB" w:rsidRPr="009D2ACB" w:rsidRDefault="009D2ACB" w:rsidP="009D2ACB">
      <w:pPr>
        <w:rPr>
          <w:sz w:val="24"/>
          <w:szCs w:val="24"/>
        </w:rPr>
      </w:pPr>
      <w:r w:rsidRPr="009D2ACB">
        <w:rPr>
          <w:lang w:eastAsia="bg-BG"/>
        </w:rPr>
        <w:lastRenderedPageBreak/>
        <w:t>Не са провеждани конкретни проучвания, но пациентите трябва да бъдат уведомени, че се съобщава за замайване. Това може да повлияе на способността за шофиране и работата с машини при някои пациенти (вж. точка 4.8).</w:t>
      </w:r>
    </w:p>
    <w:p w14:paraId="4BD05698" w14:textId="77777777" w:rsidR="009D2ACB" w:rsidRPr="009D2ACB" w:rsidRDefault="009D2ACB" w:rsidP="009D2ACB"/>
    <w:p w14:paraId="4FE16E21" w14:textId="7D439196" w:rsidR="00395555" w:rsidRDefault="002C50EE" w:rsidP="008A6AF2">
      <w:pPr>
        <w:pStyle w:val="Heading2"/>
      </w:pPr>
      <w:r>
        <w:t>4.8. Нежелани лекарствени реакции</w:t>
      </w:r>
    </w:p>
    <w:p w14:paraId="24352AB2" w14:textId="26B3A43D" w:rsidR="009D2ACB" w:rsidRDefault="009D2ACB" w:rsidP="009D2ACB"/>
    <w:p w14:paraId="70171CD5"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Обобщение на профила на безопасност</w:t>
      </w:r>
    </w:p>
    <w:p w14:paraId="41BA0094"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Най-честите нежелани реакции след прилагане на единична доза фосфомицин трометамол засягат стомашно-чревния тракт, предимно диария. Тези събития обикновено се самоограничават по продължителност и отзвучават спонтанно.</w:t>
      </w:r>
    </w:p>
    <w:p w14:paraId="7DDE806E" w14:textId="77777777" w:rsidR="009D2ACB" w:rsidRPr="009D2ACB" w:rsidRDefault="009D2ACB" w:rsidP="009D2ACB">
      <w:pPr>
        <w:spacing w:line="240" w:lineRule="auto"/>
        <w:rPr>
          <w:rFonts w:eastAsia="Times New Roman" w:cs="Arial"/>
          <w:color w:val="000000"/>
          <w:u w:val="single"/>
          <w:lang w:eastAsia="bg-BG"/>
        </w:rPr>
      </w:pPr>
    </w:p>
    <w:p w14:paraId="17B50882" w14:textId="26D96AAF"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Табличен списък на нежеланите реакции</w:t>
      </w:r>
    </w:p>
    <w:p w14:paraId="1714156E"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Следната таблица показва нежеланите реакции, съобщавани при употребата на фосфомицин трометамол, от клинични изпитвания или постмаркетинговия опит.</w:t>
      </w:r>
    </w:p>
    <w:p w14:paraId="3CA52717" w14:textId="77777777" w:rsidR="009D2ACB" w:rsidRPr="009D2ACB" w:rsidRDefault="009D2ACB" w:rsidP="009D2ACB">
      <w:pPr>
        <w:spacing w:line="240" w:lineRule="auto"/>
        <w:rPr>
          <w:rFonts w:eastAsia="Times New Roman" w:cs="Arial"/>
          <w:color w:val="000000"/>
          <w:u w:val="single"/>
          <w:lang w:eastAsia="bg-BG"/>
        </w:rPr>
      </w:pPr>
    </w:p>
    <w:p w14:paraId="7886EB42" w14:textId="4F31981B"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Нежеланите реакции са изброени по телесна система и честота, като се използва следната конвенцията:</w:t>
      </w:r>
    </w:p>
    <w:p w14:paraId="6AFC3C0F"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Много чести (</w:t>
      </w:r>
      <w:r w:rsidRPr="009D2ACB">
        <w:rPr>
          <w:rFonts w:eastAsia="Times New Roman" w:cs="Arial"/>
          <w:color w:val="000000"/>
          <w:lang w:val="ru-RU"/>
        </w:rPr>
        <w:t>≥</w:t>
      </w:r>
      <w:r w:rsidRPr="009D2ACB">
        <w:rPr>
          <w:rFonts w:eastAsia="Times New Roman" w:cs="Arial"/>
          <w:color w:val="000000"/>
          <w:lang w:eastAsia="bg-BG"/>
        </w:rPr>
        <w:t>1/10); чести (</w:t>
      </w:r>
      <w:r w:rsidRPr="009D2ACB">
        <w:rPr>
          <w:rFonts w:eastAsia="Times New Roman" w:cs="Arial"/>
          <w:color w:val="000000"/>
          <w:lang w:val="ru-RU"/>
        </w:rPr>
        <w:t>≥</w:t>
      </w:r>
      <w:r w:rsidRPr="009D2ACB">
        <w:rPr>
          <w:rFonts w:eastAsia="Times New Roman" w:cs="Arial"/>
          <w:color w:val="000000"/>
          <w:lang w:eastAsia="bg-BG"/>
        </w:rPr>
        <w:t>1/100 до &lt;1/10); нечести (</w:t>
      </w:r>
      <w:r w:rsidRPr="009D2ACB">
        <w:rPr>
          <w:rFonts w:eastAsia="Times New Roman" w:cs="Arial"/>
          <w:color w:val="000000"/>
          <w:lang w:val="ru-RU"/>
        </w:rPr>
        <w:t>≥</w:t>
      </w:r>
      <w:r w:rsidRPr="009D2ACB">
        <w:rPr>
          <w:rFonts w:eastAsia="Times New Roman" w:cs="Arial"/>
          <w:color w:val="000000"/>
          <w:lang w:eastAsia="bg-BG"/>
        </w:rPr>
        <w:t>1/1000 до &lt;1/100); редки(</w:t>
      </w:r>
      <w:r w:rsidRPr="009D2ACB">
        <w:rPr>
          <w:rFonts w:eastAsia="Times New Roman" w:cs="Arial"/>
          <w:color w:val="000000"/>
          <w:lang w:val="ru-RU"/>
        </w:rPr>
        <w:t>≥</w:t>
      </w:r>
      <w:r w:rsidRPr="009D2ACB">
        <w:rPr>
          <w:rFonts w:eastAsia="Times New Roman" w:cs="Arial"/>
          <w:color w:val="000000"/>
          <w:lang w:eastAsia="bg-BG"/>
        </w:rPr>
        <w:t>1/10000 до</w:t>
      </w:r>
    </w:p>
    <w:p w14:paraId="6998F9AB"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&lt;1/1000); много редки (&lt;1/10000); неизвестна честота (не може да бъде установена от наличните данни)</w:t>
      </w:r>
    </w:p>
    <w:p w14:paraId="2CAEF674" w14:textId="332CFDA3" w:rsidR="009D2ACB" w:rsidRDefault="009D2ACB" w:rsidP="009D2ACB">
      <w:pPr>
        <w:spacing w:line="240" w:lineRule="auto"/>
        <w:rPr>
          <w:rFonts w:eastAsia="Times New Roman" w:cs="Arial"/>
          <w:color w:val="000000"/>
          <w:lang w:eastAsia="bg-BG"/>
        </w:rPr>
      </w:pPr>
      <w:r w:rsidRPr="009D2ACB">
        <w:rPr>
          <w:rFonts w:eastAsia="Times New Roman" w:cs="Arial"/>
          <w:color w:val="000000"/>
          <w:lang w:eastAsia="bg-BG"/>
        </w:rPr>
        <w:t>В рамките на всяко групиране по честота нежеланите лекарствени реакции са представени в низходящ ред по отношение на сериозността.</w:t>
      </w:r>
    </w:p>
    <w:p w14:paraId="600B34D9" w14:textId="28F7527C" w:rsidR="009D2ACB" w:rsidRDefault="009D2ACB" w:rsidP="009D2ACB">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805"/>
        <w:gridCol w:w="1844"/>
        <w:gridCol w:w="1793"/>
        <w:gridCol w:w="1497"/>
        <w:gridCol w:w="2411"/>
      </w:tblGrid>
      <w:tr w:rsidR="009D2ACB" w14:paraId="1CEBD66D" w14:textId="77777777" w:rsidTr="009D2ACB">
        <w:tc>
          <w:tcPr>
            <w:tcW w:w="1840" w:type="dxa"/>
            <w:vMerge w:val="restart"/>
          </w:tcPr>
          <w:p w14:paraId="6DA625B4" w14:textId="11E80DB8" w:rsidR="009D2ACB" w:rsidRPr="009D2ACB" w:rsidRDefault="009D2ACB" w:rsidP="009D2ACB">
            <w:pPr>
              <w:spacing w:line="240" w:lineRule="auto"/>
              <w:rPr>
                <w:rFonts w:eastAsia="Times New Roman" w:cs="Arial"/>
                <w:sz w:val="24"/>
                <w:szCs w:val="24"/>
              </w:rPr>
            </w:pPr>
            <w:r w:rsidRPr="009D2ACB">
              <w:rPr>
                <w:rFonts w:cs="Arial"/>
                <w:b/>
                <w:bCs/>
              </w:rPr>
              <w:t>Системо-органни класове</w:t>
            </w:r>
          </w:p>
        </w:tc>
        <w:tc>
          <w:tcPr>
            <w:tcW w:w="7736" w:type="dxa"/>
            <w:gridSpan w:val="4"/>
          </w:tcPr>
          <w:p w14:paraId="5C20E58C" w14:textId="77777777" w:rsidR="009D2ACB" w:rsidRPr="009D2ACB" w:rsidRDefault="009D2ACB" w:rsidP="009D2ACB">
            <w:pPr>
              <w:spacing w:line="240" w:lineRule="auto"/>
              <w:rPr>
                <w:rFonts w:eastAsia="Times New Roman" w:cs="Arial"/>
                <w:sz w:val="24"/>
                <w:szCs w:val="24"/>
              </w:rPr>
            </w:pPr>
            <w:r w:rsidRPr="009D2ACB">
              <w:rPr>
                <w:rFonts w:eastAsia="Times New Roman" w:cs="Arial"/>
                <w:b/>
                <w:bCs/>
                <w:color w:val="000000"/>
                <w:lang w:eastAsia="bg-BG"/>
              </w:rPr>
              <w:t>Нежелани лекарствени реакции</w:t>
            </w:r>
          </w:p>
          <w:p w14:paraId="373C3C8E" w14:textId="77777777" w:rsidR="009D2ACB" w:rsidRPr="009D2ACB" w:rsidRDefault="009D2ACB" w:rsidP="009D2ACB">
            <w:pPr>
              <w:spacing w:line="240" w:lineRule="auto"/>
              <w:rPr>
                <w:rFonts w:eastAsia="Times New Roman" w:cs="Arial"/>
                <w:sz w:val="24"/>
                <w:szCs w:val="24"/>
              </w:rPr>
            </w:pPr>
          </w:p>
        </w:tc>
      </w:tr>
      <w:tr w:rsidR="009D2ACB" w14:paraId="4B845879" w14:textId="77777777" w:rsidTr="009D2ACB">
        <w:tc>
          <w:tcPr>
            <w:tcW w:w="1840" w:type="dxa"/>
            <w:vMerge/>
          </w:tcPr>
          <w:p w14:paraId="1E8DC7FA" w14:textId="77777777" w:rsidR="009D2ACB" w:rsidRPr="009D2ACB" w:rsidRDefault="009D2ACB" w:rsidP="009D2ACB">
            <w:pPr>
              <w:spacing w:line="240" w:lineRule="auto"/>
              <w:rPr>
                <w:rFonts w:eastAsia="Times New Roman" w:cs="Arial"/>
                <w:sz w:val="24"/>
                <w:szCs w:val="24"/>
              </w:rPr>
            </w:pPr>
          </w:p>
        </w:tc>
        <w:tc>
          <w:tcPr>
            <w:tcW w:w="1866" w:type="dxa"/>
          </w:tcPr>
          <w:p w14:paraId="403D7406" w14:textId="3E888BF2" w:rsidR="009D2ACB" w:rsidRPr="009D2ACB" w:rsidRDefault="009D2ACB" w:rsidP="009D2ACB">
            <w:pPr>
              <w:spacing w:line="240" w:lineRule="auto"/>
              <w:rPr>
                <w:rFonts w:eastAsia="Times New Roman" w:cs="Arial"/>
                <w:sz w:val="24"/>
                <w:szCs w:val="24"/>
              </w:rPr>
            </w:pPr>
            <w:r w:rsidRPr="009D2ACB">
              <w:rPr>
                <w:rFonts w:cs="Arial"/>
                <w:b/>
                <w:bCs/>
              </w:rPr>
              <w:t>Чести</w:t>
            </w:r>
          </w:p>
        </w:tc>
        <w:tc>
          <w:tcPr>
            <w:tcW w:w="1831" w:type="dxa"/>
          </w:tcPr>
          <w:p w14:paraId="1098D87C" w14:textId="176D9E2E" w:rsidR="009D2ACB" w:rsidRPr="009D2ACB" w:rsidRDefault="009D2ACB" w:rsidP="009D2ACB">
            <w:pPr>
              <w:spacing w:line="240" w:lineRule="auto"/>
              <w:rPr>
                <w:rFonts w:eastAsia="Times New Roman" w:cs="Arial"/>
                <w:sz w:val="24"/>
                <w:szCs w:val="24"/>
              </w:rPr>
            </w:pPr>
            <w:r w:rsidRPr="009D2ACB">
              <w:rPr>
                <w:rFonts w:cs="Arial"/>
                <w:b/>
                <w:bCs/>
              </w:rPr>
              <w:t>Нечести</w:t>
            </w:r>
          </w:p>
        </w:tc>
        <w:tc>
          <w:tcPr>
            <w:tcW w:w="1628" w:type="dxa"/>
          </w:tcPr>
          <w:p w14:paraId="52B5B967" w14:textId="77777777" w:rsidR="009D2ACB" w:rsidRPr="009D2ACB" w:rsidRDefault="009D2ACB" w:rsidP="009D2ACB">
            <w:pPr>
              <w:spacing w:line="240" w:lineRule="auto"/>
              <w:rPr>
                <w:rFonts w:eastAsia="Times New Roman" w:cs="Arial"/>
                <w:sz w:val="24"/>
                <w:szCs w:val="24"/>
              </w:rPr>
            </w:pPr>
          </w:p>
        </w:tc>
        <w:tc>
          <w:tcPr>
            <w:tcW w:w="2411" w:type="dxa"/>
          </w:tcPr>
          <w:p w14:paraId="209692A4" w14:textId="635A0753" w:rsidR="009D2ACB" w:rsidRPr="009D2ACB" w:rsidRDefault="009D2ACB" w:rsidP="009D2ACB">
            <w:pPr>
              <w:spacing w:line="240" w:lineRule="auto"/>
              <w:rPr>
                <w:rFonts w:eastAsia="Times New Roman" w:cs="Arial"/>
                <w:sz w:val="24"/>
                <w:szCs w:val="24"/>
              </w:rPr>
            </w:pPr>
            <w:r w:rsidRPr="009D2ACB">
              <w:rPr>
                <w:rFonts w:cs="Arial"/>
                <w:b/>
                <w:bCs/>
              </w:rPr>
              <w:t>Неизвестна честота</w:t>
            </w:r>
          </w:p>
        </w:tc>
      </w:tr>
      <w:tr w:rsidR="009D2ACB" w14:paraId="6AEC61A5" w14:textId="77777777" w:rsidTr="009D2ACB">
        <w:tc>
          <w:tcPr>
            <w:tcW w:w="1840" w:type="dxa"/>
          </w:tcPr>
          <w:p w14:paraId="2F42EAF5" w14:textId="29F26B60" w:rsidR="009D2ACB" w:rsidRDefault="009D2ACB" w:rsidP="009D2ACB">
            <w:pPr>
              <w:spacing w:line="240" w:lineRule="auto"/>
              <w:rPr>
                <w:rFonts w:eastAsia="Times New Roman" w:cs="Arial"/>
                <w:sz w:val="24"/>
                <w:szCs w:val="24"/>
              </w:rPr>
            </w:pPr>
            <w:r>
              <w:t>Инфекции и инфестации</w:t>
            </w:r>
          </w:p>
        </w:tc>
        <w:tc>
          <w:tcPr>
            <w:tcW w:w="1866" w:type="dxa"/>
          </w:tcPr>
          <w:p w14:paraId="353C7A0B" w14:textId="540DFCD8" w:rsidR="009D2ACB" w:rsidRDefault="009D2ACB" w:rsidP="009D2ACB">
            <w:pPr>
              <w:spacing w:line="240" w:lineRule="auto"/>
              <w:rPr>
                <w:rFonts w:eastAsia="Times New Roman" w:cs="Arial"/>
                <w:sz w:val="24"/>
                <w:szCs w:val="24"/>
              </w:rPr>
            </w:pPr>
            <w:r>
              <w:t>Вулвовагинит</w:t>
            </w:r>
          </w:p>
        </w:tc>
        <w:tc>
          <w:tcPr>
            <w:tcW w:w="1831" w:type="dxa"/>
          </w:tcPr>
          <w:p w14:paraId="6C22C4F2" w14:textId="77777777" w:rsidR="009D2ACB" w:rsidRDefault="009D2ACB" w:rsidP="009D2ACB">
            <w:pPr>
              <w:spacing w:line="240" w:lineRule="auto"/>
              <w:rPr>
                <w:rFonts w:eastAsia="Times New Roman" w:cs="Arial"/>
                <w:sz w:val="24"/>
                <w:szCs w:val="24"/>
              </w:rPr>
            </w:pPr>
          </w:p>
        </w:tc>
        <w:tc>
          <w:tcPr>
            <w:tcW w:w="1628" w:type="dxa"/>
          </w:tcPr>
          <w:p w14:paraId="0CEA66A9" w14:textId="77777777" w:rsidR="009D2ACB" w:rsidRDefault="009D2ACB" w:rsidP="009D2ACB">
            <w:pPr>
              <w:spacing w:line="240" w:lineRule="auto"/>
              <w:rPr>
                <w:rFonts w:eastAsia="Times New Roman" w:cs="Arial"/>
                <w:sz w:val="24"/>
                <w:szCs w:val="24"/>
              </w:rPr>
            </w:pPr>
          </w:p>
        </w:tc>
        <w:tc>
          <w:tcPr>
            <w:tcW w:w="2411" w:type="dxa"/>
          </w:tcPr>
          <w:p w14:paraId="177126DB" w14:textId="77777777" w:rsidR="009D2ACB" w:rsidRDefault="009D2ACB" w:rsidP="009D2ACB">
            <w:pPr>
              <w:spacing w:line="240" w:lineRule="auto"/>
              <w:rPr>
                <w:rFonts w:eastAsia="Times New Roman" w:cs="Arial"/>
                <w:sz w:val="24"/>
                <w:szCs w:val="24"/>
              </w:rPr>
            </w:pPr>
          </w:p>
        </w:tc>
      </w:tr>
      <w:tr w:rsidR="009D2ACB" w14:paraId="377D897C" w14:textId="77777777" w:rsidTr="009D2ACB">
        <w:tc>
          <w:tcPr>
            <w:tcW w:w="1840" w:type="dxa"/>
          </w:tcPr>
          <w:p w14:paraId="096AD8BA" w14:textId="37A9C26F" w:rsidR="009D2ACB" w:rsidRDefault="009D2ACB" w:rsidP="009D2ACB">
            <w:pPr>
              <w:spacing w:line="240" w:lineRule="auto"/>
              <w:rPr>
                <w:rFonts w:eastAsia="Times New Roman" w:cs="Arial"/>
                <w:sz w:val="24"/>
                <w:szCs w:val="24"/>
              </w:rPr>
            </w:pPr>
            <w:r>
              <w:t>Нарушения на имунната система</w:t>
            </w:r>
          </w:p>
        </w:tc>
        <w:tc>
          <w:tcPr>
            <w:tcW w:w="1866" w:type="dxa"/>
          </w:tcPr>
          <w:p w14:paraId="63090CB1" w14:textId="77777777" w:rsidR="009D2ACB" w:rsidRDefault="009D2ACB" w:rsidP="009D2ACB">
            <w:pPr>
              <w:spacing w:line="240" w:lineRule="auto"/>
              <w:rPr>
                <w:rFonts w:eastAsia="Times New Roman" w:cs="Arial"/>
                <w:sz w:val="24"/>
                <w:szCs w:val="24"/>
              </w:rPr>
            </w:pPr>
          </w:p>
        </w:tc>
        <w:tc>
          <w:tcPr>
            <w:tcW w:w="1831" w:type="dxa"/>
          </w:tcPr>
          <w:p w14:paraId="6D38DA2F" w14:textId="77777777" w:rsidR="009D2ACB" w:rsidRDefault="009D2ACB" w:rsidP="009D2ACB">
            <w:pPr>
              <w:spacing w:line="240" w:lineRule="auto"/>
              <w:rPr>
                <w:rFonts w:eastAsia="Times New Roman" w:cs="Arial"/>
                <w:sz w:val="24"/>
                <w:szCs w:val="24"/>
              </w:rPr>
            </w:pPr>
          </w:p>
        </w:tc>
        <w:tc>
          <w:tcPr>
            <w:tcW w:w="1628" w:type="dxa"/>
          </w:tcPr>
          <w:p w14:paraId="39172EE4" w14:textId="77777777" w:rsidR="009D2ACB" w:rsidRDefault="009D2ACB" w:rsidP="009D2ACB">
            <w:pPr>
              <w:spacing w:line="240" w:lineRule="auto"/>
              <w:rPr>
                <w:rFonts w:eastAsia="Times New Roman" w:cs="Arial"/>
                <w:sz w:val="24"/>
                <w:szCs w:val="24"/>
              </w:rPr>
            </w:pPr>
          </w:p>
        </w:tc>
        <w:tc>
          <w:tcPr>
            <w:tcW w:w="2411" w:type="dxa"/>
          </w:tcPr>
          <w:p w14:paraId="0694FF9C" w14:textId="77777777" w:rsidR="009D2ACB" w:rsidRDefault="009D2ACB" w:rsidP="009D2ACB">
            <w:r>
              <w:t>Анафилактични реакции, включващи ан</w:t>
            </w:r>
            <w:r>
              <w:rPr>
                <w:lang w:val="en-US"/>
              </w:rPr>
              <w:t>a</w:t>
            </w:r>
            <w:r>
              <w:rPr>
                <w:u w:val="single"/>
              </w:rPr>
              <w:t>фил</w:t>
            </w:r>
            <w:r>
              <w:rPr>
                <w:u w:val="single"/>
                <w:lang w:val="en-US"/>
              </w:rPr>
              <w:t>a</w:t>
            </w:r>
            <w:r>
              <w:rPr>
                <w:u w:val="single"/>
              </w:rPr>
              <w:t>к</w:t>
            </w:r>
            <w:r>
              <w:t>тичен шок,</w:t>
            </w:r>
          </w:p>
          <w:p w14:paraId="1D1EAAA3" w14:textId="77777777" w:rsidR="009D2ACB" w:rsidRDefault="009D2ACB" w:rsidP="009D2ACB">
            <w:r>
              <w:t>свръхчувствителност</w:t>
            </w:r>
          </w:p>
          <w:p w14:paraId="496EB75F" w14:textId="3C84F413" w:rsidR="009D2ACB" w:rsidRDefault="009D2ACB" w:rsidP="009D2ACB">
            <w:pPr>
              <w:spacing w:line="240" w:lineRule="auto"/>
              <w:rPr>
                <w:rFonts w:eastAsia="Times New Roman" w:cs="Arial"/>
                <w:sz w:val="24"/>
                <w:szCs w:val="24"/>
              </w:rPr>
            </w:pPr>
            <w:r>
              <w:t>(вж.точка 4.4)</w:t>
            </w:r>
          </w:p>
        </w:tc>
      </w:tr>
      <w:tr w:rsidR="009D2ACB" w14:paraId="5D6E89D1" w14:textId="77777777" w:rsidTr="009D2ACB">
        <w:tc>
          <w:tcPr>
            <w:tcW w:w="1840" w:type="dxa"/>
          </w:tcPr>
          <w:p w14:paraId="661028F2" w14:textId="539453F8" w:rsidR="009D2ACB" w:rsidRDefault="009D2ACB" w:rsidP="009D2ACB">
            <w:pPr>
              <w:spacing w:line="240" w:lineRule="auto"/>
              <w:rPr>
                <w:rFonts w:eastAsia="Times New Roman" w:cs="Arial"/>
                <w:sz w:val="24"/>
                <w:szCs w:val="24"/>
              </w:rPr>
            </w:pPr>
            <w:r>
              <w:t>Нарушения на нервната система</w:t>
            </w:r>
          </w:p>
        </w:tc>
        <w:tc>
          <w:tcPr>
            <w:tcW w:w="1866" w:type="dxa"/>
          </w:tcPr>
          <w:p w14:paraId="14FFB005" w14:textId="7C662D7A" w:rsidR="009D2ACB" w:rsidRDefault="009D2ACB" w:rsidP="009D2ACB">
            <w:pPr>
              <w:spacing w:line="240" w:lineRule="auto"/>
              <w:rPr>
                <w:rFonts w:eastAsia="Times New Roman" w:cs="Arial"/>
                <w:sz w:val="24"/>
                <w:szCs w:val="24"/>
              </w:rPr>
            </w:pPr>
            <w:r>
              <w:t>Главоболие, замаяност</w:t>
            </w:r>
          </w:p>
        </w:tc>
        <w:tc>
          <w:tcPr>
            <w:tcW w:w="1831" w:type="dxa"/>
          </w:tcPr>
          <w:p w14:paraId="30107D12" w14:textId="77777777" w:rsidR="009D2ACB" w:rsidRDefault="009D2ACB" w:rsidP="009D2ACB">
            <w:pPr>
              <w:spacing w:line="240" w:lineRule="auto"/>
              <w:rPr>
                <w:rFonts w:eastAsia="Times New Roman" w:cs="Arial"/>
                <w:sz w:val="24"/>
                <w:szCs w:val="24"/>
              </w:rPr>
            </w:pPr>
          </w:p>
        </w:tc>
        <w:tc>
          <w:tcPr>
            <w:tcW w:w="1628" w:type="dxa"/>
          </w:tcPr>
          <w:p w14:paraId="039AD96F" w14:textId="77777777" w:rsidR="009D2ACB" w:rsidRDefault="009D2ACB" w:rsidP="009D2ACB">
            <w:pPr>
              <w:spacing w:line="240" w:lineRule="auto"/>
              <w:rPr>
                <w:rFonts w:eastAsia="Times New Roman" w:cs="Arial"/>
                <w:sz w:val="24"/>
                <w:szCs w:val="24"/>
              </w:rPr>
            </w:pPr>
          </w:p>
        </w:tc>
        <w:tc>
          <w:tcPr>
            <w:tcW w:w="2411" w:type="dxa"/>
          </w:tcPr>
          <w:p w14:paraId="66942C26" w14:textId="77777777" w:rsidR="009D2ACB" w:rsidRDefault="009D2ACB" w:rsidP="009D2ACB">
            <w:pPr>
              <w:spacing w:line="240" w:lineRule="auto"/>
              <w:rPr>
                <w:rFonts w:eastAsia="Times New Roman" w:cs="Arial"/>
                <w:sz w:val="24"/>
                <w:szCs w:val="24"/>
              </w:rPr>
            </w:pPr>
          </w:p>
        </w:tc>
      </w:tr>
      <w:tr w:rsidR="009D2ACB" w14:paraId="06857BFD" w14:textId="77777777" w:rsidTr="009D2ACB">
        <w:tc>
          <w:tcPr>
            <w:tcW w:w="1840" w:type="dxa"/>
          </w:tcPr>
          <w:p w14:paraId="74A9F2DC" w14:textId="76EBA019" w:rsidR="009D2ACB" w:rsidRDefault="009D2ACB" w:rsidP="009D2ACB">
            <w:pPr>
              <w:spacing w:line="240" w:lineRule="auto"/>
              <w:rPr>
                <w:rFonts w:eastAsia="Times New Roman" w:cs="Arial"/>
                <w:sz w:val="24"/>
                <w:szCs w:val="24"/>
              </w:rPr>
            </w:pPr>
            <w:r>
              <w:t>Стомашно-чревни нарушения</w:t>
            </w:r>
          </w:p>
        </w:tc>
        <w:tc>
          <w:tcPr>
            <w:tcW w:w="1866" w:type="dxa"/>
          </w:tcPr>
          <w:p w14:paraId="52C742C4" w14:textId="77777777" w:rsidR="009D2ACB" w:rsidRDefault="009D2ACB" w:rsidP="009D2ACB">
            <w:pPr>
              <w:spacing w:line="240" w:lineRule="auto"/>
            </w:pPr>
            <w:r>
              <w:t>Диария, гадене,</w:t>
            </w:r>
          </w:p>
          <w:p w14:paraId="36D6DD41" w14:textId="137D32FC" w:rsidR="009D2ACB" w:rsidRDefault="009D2ACB" w:rsidP="009D2ACB">
            <w:pPr>
              <w:spacing w:line="240" w:lineRule="auto"/>
              <w:rPr>
                <w:rFonts w:eastAsia="Times New Roman" w:cs="Arial"/>
                <w:sz w:val="24"/>
                <w:szCs w:val="24"/>
              </w:rPr>
            </w:pPr>
            <w:r>
              <w:t>диспепсия, коремна болка</w:t>
            </w:r>
          </w:p>
        </w:tc>
        <w:tc>
          <w:tcPr>
            <w:tcW w:w="1831" w:type="dxa"/>
          </w:tcPr>
          <w:p w14:paraId="6BF2DFDA" w14:textId="1CD6713D" w:rsidR="009D2ACB" w:rsidRDefault="009D2ACB" w:rsidP="009D2ACB">
            <w:pPr>
              <w:spacing w:line="240" w:lineRule="auto"/>
              <w:rPr>
                <w:rFonts w:eastAsia="Times New Roman" w:cs="Arial"/>
                <w:sz w:val="24"/>
                <w:szCs w:val="24"/>
              </w:rPr>
            </w:pPr>
            <w:r>
              <w:t>Повръщане</w:t>
            </w:r>
          </w:p>
        </w:tc>
        <w:tc>
          <w:tcPr>
            <w:tcW w:w="1628" w:type="dxa"/>
          </w:tcPr>
          <w:p w14:paraId="5F8294D8" w14:textId="77777777" w:rsidR="009D2ACB" w:rsidRDefault="009D2ACB" w:rsidP="009D2ACB">
            <w:pPr>
              <w:spacing w:line="240" w:lineRule="auto"/>
              <w:rPr>
                <w:rFonts w:eastAsia="Times New Roman" w:cs="Arial"/>
                <w:sz w:val="24"/>
                <w:szCs w:val="24"/>
              </w:rPr>
            </w:pPr>
          </w:p>
        </w:tc>
        <w:tc>
          <w:tcPr>
            <w:tcW w:w="2411" w:type="dxa"/>
          </w:tcPr>
          <w:p w14:paraId="69C2FF3C" w14:textId="77777777" w:rsidR="009D2ACB" w:rsidRPr="009D2ACB" w:rsidRDefault="009D2ACB" w:rsidP="009D2ACB">
            <w:pPr>
              <w:rPr>
                <w:rFonts w:cs="Arial"/>
              </w:rPr>
            </w:pPr>
            <w:r w:rsidRPr="009D2ACB">
              <w:rPr>
                <w:rFonts w:cs="Arial"/>
              </w:rPr>
              <w:t>Антибиотично</w:t>
            </w:r>
          </w:p>
          <w:p w14:paraId="05233F42" w14:textId="77777777" w:rsidR="009D2ACB" w:rsidRPr="009D2ACB" w:rsidRDefault="009D2ACB" w:rsidP="009D2ACB">
            <w:pPr>
              <w:spacing w:line="240" w:lineRule="auto"/>
              <w:rPr>
                <w:rFonts w:cs="Arial"/>
              </w:rPr>
            </w:pPr>
            <w:r w:rsidRPr="009D2ACB">
              <w:rPr>
                <w:rFonts w:cs="Arial"/>
              </w:rPr>
              <w:t>асоцииран колит</w:t>
            </w:r>
          </w:p>
          <w:p w14:paraId="2F951CFA" w14:textId="234971C5"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(виж точка 4.4)</w:t>
            </w:r>
          </w:p>
        </w:tc>
      </w:tr>
      <w:tr w:rsidR="009D2ACB" w14:paraId="4E7E2D40" w14:textId="77777777" w:rsidTr="009D2ACB">
        <w:tc>
          <w:tcPr>
            <w:tcW w:w="1840" w:type="dxa"/>
          </w:tcPr>
          <w:p w14:paraId="49F2523B" w14:textId="3BF3ED2F" w:rsidR="009D2ACB" w:rsidRDefault="009D2ACB" w:rsidP="009D2ACB">
            <w:pPr>
              <w:spacing w:line="240" w:lineRule="auto"/>
              <w:rPr>
                <w:rFonts w:eastAsia="Times New Roman" w:cs="Arial"/>
                <w:sz w:val="24"/>
                <w:szCs w:val="24"/>
              </w:rPr>
            </w:pPr>
            <w:r>
              <w:t>Нарушения на кожата и подкожната тъкан</w:t>
            </w:r>
          </w:p>
        </w:tc>
        <w:tc>
          <w:tcPr>
            <w:tcW w:w="1866" w:type="dxa"/>
          </w:tcPr>
          <w:p w14:paraId="7049798C" w14:textId="77777777" w:rsidR="009D2ACB" w:rsidRDefault="009D2ACB" w:rsidP="009D2ACB">
            <w:pPr>
              <w:spacing w:line="240" w:lineRule="auto"/>
              <w:rPr>
                <w:rFonts w:eastAsia="Times New Roman" w:cs="Arial"/>
                <w:sz w:val="24"/>
                <w:szCs w:val="24"/>
              </w:rPr>
            </w:pPr>
          </w:p>
        </w:tc>
        <w:tc>
          <w:tcPr>
            <w:tcW w:w="1831" w:type="dxa"/>
          </w:tcPr>
          <w:p w14:paraId="4DC8E113" w14:textId="17DEFF31" w:rsidR="009D2ACB" w:rsidRDefault="009D2ACB" w:rsidP="009D2ACB">
            <w:pPr>
              <w:spacing w:line="240" w:lineRule="auto"/>
              <w:rPr>
                <w:rFonts w:eastAsia="Times New Roman" w:cs="Arial"/>
                <w:sz w:val="24"/>
                <w:szCs w:val="24"/>
              </w:rPr>
            </w:pPr>
            <w:r>
              <w:t>Обрив, уртикария, сърбеж</w:t>
            </w:r>
          </w:p>
        </w:tc>
        <w:tc>
          <w:tcPr>
            <w:tcW w:w="1628" w:type="dxa"/>
          </w:tcPr>
          <w:p w14:paraId="2E6F816D" w14:textId="77777777" w:rsidR="009D2ACB" w:rsidRDefault="009D2ACB" w:rsidP="009D2ACB">
            <w:pPr>
              <w:spacing w:line="240" w:lineRule="auto"/>
              <w:rPr>
                <w:rFonts w:eastAsia="Times New Roman" w:cs="Arial"/>
                <w:sz w:val="24"/>
                <w:szCs w:val="24"/>
              </w:rPr>
            </w:pPr>
          </w:p>
        </w:tc>
        <w:tc>
          <w:tcPr>
            <w:tcW w:w="2411" w:type="dxa"/>
          </w:tcPr>
          <w:p w14:paraId="06C4FF2E" w14:textId="60F0A97B" w:rsidR="009D2ACB" w:rsidRDefault="009D2ACB" w:rsidP="009D2ACB">
            <w:pPr>
              <w:spacing w:line="240" w:lineRule="auto"/>
              <w:rPr>
                <w:rFonts w:eastAsia="Times New Roman" w:cs="Arial"/>
                <w:sz w:val="24"/>
                <w:szCs w:val="24"/>
              </w:rPr>
            </w:pPr>
            <w:r>
              <w:t>Ангиодем</w:t>
            </w:r>
          </w:p>
        </w:tc>
      </w:tr>
    </w:tbl>
    <w:p w14:paraId="332416DF" w14:textId="0BA2B3BF" w:rsidR="009D2ACB" w:rsidRDefault="009D2ACB" w:rsidP="009D2ACB">
      <w:pPr>
        <w:spacing w:line="240" w:lineRule="auto"/>
        <w:rPr>
          <w:rFonts w:eastAsia="Times New Roman" w:cs="Arial"/>
          <w:sz w:val="24"/>
          <w:szCs w:val="24"/>
        </w:rPr>
      </w:pPr>
    </w:p>
    <w:p w14:paraId="0510F2DA" w14:textId="77777777" w:rsidR="009D2ACB" w:rsidRPr="009D2ACB" w:rsidRDefault="009D2ACB" w:rsidP="009D2ACB">
      <w:pPr>
        <w:spacing w:line="240" w:lineRule="auto"/>
        <w:rPr>
          <w:rFonts w:eastAsia="Times New Roman" w:cs="Arial"/>
        </w:rPr>
      </w:pPr>
      <w:r w:rsidRPr="009D2ACB">
        <w:rPr>
          <w:rFonts w:eastAsia="Times New Roman" w:cs="Arial"/>
          <w:color w:val="000000"/>
          <w:u w:val="single"/>
          <w:lang w:eastAsia="bg-BG"/>
        </w:rPr>
        <w:t>Съобщаване на подозирани нежелани реакции</w:t>
      </w:r>
    </w:p>
    <w:p w14:paraId="76414765" w14:textId="77777777" w:rsidR="009D2ACB" w:rsidRPr="009D2ACB" w:rsidRDefault="009D2ACB" w:rsidP="009D2ACB">
      <w:pPr>
        <w:spacing w:line="240" w:lineRule="auto"/>
        <w:rPr>
          <w:rFonts w:eastAsia="Times New Roman" w:cs="Arial"/>
        </w:rPr>
      </w:pPr>
      <w:r w:rsidRPr="009D2AC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9D2ACB">
        <w:rPr>
          <w:rFonts w:eastAsia="Times New Roman" w:cs="Arial"/>
          <w:color w:val="000000"/>
          <w:lang w:eastAsia="bg-BG"/>
        </w:rPr>
        <w:lastRenderedPageBreak/>
        <w:t xml:space="preserve">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ул.,Дамян Груев” № 8,1303 София, Тел.: +35928903417, уебсайт: </w:t>
      </w:r>
      <w:r w:rsidRPr="009D2ACB">
        <w:rPr>
          <w:rFonts w:eastAsia="Times New Roman" w:cs="Arial"/>
        </w:rPr>
        <w:fldChar w:fldCharType="begin"/>
      </w:r>
      <w:r w:rsidRPr="009D2ACB">
        <w:rPr>
          <w:rFonts w:eastAsia="Times New Roman" w:cs="Arial"/>
        </w:rPr>
        <w:instrText xml:space="preserve"> HYPERLINK "http://www.bda.bg" </w:instrText>
      </w:r>
      <w:r w:rsidRPr="009D2ACB">
        <w:rPr>
          <w:rFonts w:eastAsia="Times New Roman" w:cs="Arial"/>
        </w:rPr>
      </w:r>
      <w:r w:rsidRPr="009D2ACB">
        <w:rPr>
          <w:rFonts w:eastAsia="Times New Roman" w:cs="Arial"/>
        </w:rPr>
        <w:fldChar w:fldCharType="separate"/>
      </w:r>
      <w:r w:rsidRPr="009D2ACB">
        <w:rPr>
          <w:rFonts w:eastAsia="Times New Roman" w:cs="Arial"/>
          <w:color w:val="000000"/>
          <w:lang w:val="en-US"/>
        </w:rPr>
        <w:t>www</w:t>
      </w:r>
      <w:r w:rsidRPr="009D2ACB">
        <w:rPr>
          <w:rFonts w:eastAsia="Times New Roman" w:cs="Arial"/>
          <w:color w:val="000000"/>
          <w:lang w:val="ru-RU"/>
        </w:rPr>
        <w:t>.</w:t>
      </w:r>
      <w:proofErr w:type="spellStart"/>
      <w:r w:rsidRPr="009D2ACB">
        <w:rPr>
          <w:rFonts w:eastAsia="Times New Roman" w:cs="Arial"/>
          <w:color w:val="000000"/>
          <w:lang w:val="en-US"/>
        </w:rPr>
        <w:t>bda</w:t>
      </w:r>
      <w:proofErr w:type="spellEnd"/>
      <w:r w:rsidRPr="009D2ACB">
        <w:rPr>
          <w:rFonts w:eastAsia="Times New Roman" w:cs="Arial"/>
          <w:color w:val="000000"/>
          <w:lang w:val="ru-RU"/>
        </w:rPr>
        <w:t>.</w:t>
      </w:r>
      <w:proofErr w:type="spellStart"/>
      <w:r w:rsidRPr="009D2ACB">
        <w:rPr>
          <w:rFonts w:eastAsia="Times New Roman" w:cs="Arial"/>
          <w:color w:val="000000"/>
          <w:lang w:val="en-US"/>
        </w:rPr>
        <w:t>bg</w:t>
      </w:r>
      <w:proofErr w:type="spellEnd"/>
      <w:r w:rsidRPr="009D2ACB">
        <w:rPr>
          <w:rFonts w:eastAsia="Times New Roman" w:cs="Arial"/>
        </w:rPr>
        <w:fldChar w:fldCharType="end"/>
      </w:r>
      <w:r w:rsidRPr="009D2ACB">
        <w:rPr>
          <w:rFonts w:eastAsia="Times New Roman" w:cs="Arial"/>
          <w:color w:val="000000"/>
          <w:lang w:val="ru-RU"/>
        </w:rPr>
        <w:t xml:space="preserve">. </w:t>
      </w:r>
      <w:r w:rsidRPr="009D2ACB">
        <w:rPr>
          <w:rFonts w:eastAsia="Times New Roman" w:cs="Arial"/>
          <w:color w:val="000000"/>
          <w:lang w:eastAsia="bg-BG"/>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7BD6549D" w14:textId="77777777" w:rsidR="009D2ACB" w:rsidRPr="009D2ACB" w:rsidRDefault="009D2ACB" w:rsidP="009D2ACB">
      <w:pPr>
        <w:spacing w:line="240" w:lineRule="auto"/>
        <w:rPr>
          <w:rFonts w:eastAsia="Times New Roman" w:cs="Arial"/>
          <w:sz w:val="24"/>
          <w:szCs w:val="24"/>
        </w:rPr>
      </w:pPr>
    </w:p>
    <w:p w14:paraId="54B08D21" w14:textId="77777777" w:rsidR="009D2ACB" w:rsidRPr="009D2ACB" w:rsidRDefault="009D2ACB" w:rsidP="009D2ACB"/>
    <w:p w14:paraId="4ED30546" w14:textId="0E946B09" w:rsidR="007C605B" w:rsidRDefault="002C50EE" w:rsidP="009F1313">
      <w:pPr>
        <w:pStyle w:val="Heading2"/>
      </w:pPr>
      <w:r>
        <w:t>4.9. Предозиране</w:t>
      </w:r>
    </w:p>
    <w:p w14:paraId="6EDAF5EF" w14:textId="6119BE78" w:rsidR="009D2ACB" w:rsidRDefault="009D2ACB" w:rsidP="009D2ACB"/>
    <w:p w14:paraId="42F85339" w14:textId="77777777" w:rsidR="009D2ACB" w:rsidRPr="009D2ACB" w:rsidRDefault="009D2ACB" w:rsidP="009D2ACB">
      <w:pPr>
        <w:rPr>
          <w:sz w:val="24"/>
          <w:szCs w:val="24"/>
        </w:rPr>
      </w:pPr>
      <w:r w:rsidRPr="009D2ACB">
        <w:rPr>
          <w:lang w:eastAsia="bg-BG"/>
        </w:rPr>
        <w:t>Опитът по отношение на предозирането на перорален фосфомицин е ограничен. При парентерално приложение на фосфомицин са съобщени случаи на хипотония, сънливост, електролитни смущения, тромбоцитопения и хипопротромбинемия.</w:t>
      </w:r>
    </w:p>
    <w:p w14:paraId="4B9D888C" w14:textId="77777777" w:rsidR="009D2ACB" w:rsidRPr="009D2ACB" w:rsidRDefault="009D2ACB" w:rsidP="009D2ACB">
      <w:pPr>
        <w:rPr>
          <w:sz w:val="24"/>
          <w:szCs w:val="24"/>
        </w:rPr>
      </w:pPr>
      <w:r w:rsidRPr="009D2ACB">
        <w:rPr>
          <w:lang w:eastAsia="bg-BG"/>
        </w:rPr>
        <w:t>В случай на предозиране пациентът трябва да бъде наблюдаван (особено нивата на плазмените/серумните електролити), а лечението трябва да бъде симптоматично и поддържащо. Препоръчва се рехидратация за подпомагане на елиминацията на активното вещество с урината. Фосфомицин се изчиства ефективно от организма чрез хемодиализа със среден полуживот на елиминация от приблизително 4 часа.</w:t>
      </w:r>
    </w:p>
    <w:p w14:paraId="33ACEA1F" w14:textId="77777777" w:rsidR="009D2ACB" w:rsidRPr="009D2ACB" w:rsidRDefault="009D2ACB" w:rsidP="009D2ACB"/>
    <w:p w14:paraId="02081B24" w14:textId="1F46E296" w:rsidR="00395555" w:rsidRPr="00395555" w:rsidRDefault="002C50EE" w:rsidP="008A6AF2">
      <w:pPr>
        <w:pStyle w:val="Heading1"/>
      </w:pPr>
      <w:r>
        <w:t>5. ФАРМАКОЛОГИЧНИ СВОЙСТВА</w:t>
      </w:r>
    </w:p>
    <w:p w14:paraId="5350637D" w14:textId="758C50B4" w:rsidR="00395555" w:rsidRDefault="002C50EE" w:rsidP="008A6AF2">
      <w:pPr>
        <w:pStyle w:val="Heading2"/>
      </w:pPr>
      <w:r>
        <w:t>5.1. Фармакодинамични свойства</w:t>
      </w:r>
    </w:p>
    <w:p w14:paraId="2300EE2C" w14:textId="75BDCD4C" w:rsidR="009D2ACB" w:rsidRDefault="009D2ACB" w:rsidP="009D2ACB"/>
    <w:p w14:paraId="5DF97D6D"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Фармакотерапевтична група: Антибактериални препарати за системно приложение, други антибактериални средства, АТС код: </w:t>
      </w:r>
      <w:r w:rsidRPr="009D2ACB">
        <w:rPr>
          <w:rFonts w:eastAsia="Times New Roman" w:cs="Arial"/>
          <w:color w:val="000000"/>
          <w:lang w:val="en-US"/>
        </w:rPr>
        <w:t>JO</w:t>
      </w:r>
      <w:r w:rsidRPr="009D2ACB">
        <w:rPr>
          <w:rFonts w:eastAsia="Times New Roman" w:cs="Arial"/>
          <w:color w:val="000000"/>
          <w:lang w:val="ru-RU"/>
        </w:rPr>
        <w:t xml:space="preserve"> </w:t>
      </w:r>
      <w:r w:rsidRPr="009D2ACB">
        <w:rPr>
          <w:rFonts w:eastAsia="Times New Roman" w:cs="Arial"/>
          <w:color w:val="000000"/>
          <w:lang w:eastAsia="bg-BG"/>
        </w:rPr>
        <w:t>1ХХ01</w:t>
      </w:r>
    </w:p>
    <w:p w14:paraId="442A80BB" w14:textId="77777777" w:rsidR="009D2ACB" w:rsidRPr="009D2ACB" w:rsidRDefault="009D2ACB" w:rsidP="009D2ACB">
      <w:pPr>
        <w:spacing w:line="240" w:lineRule="auto"/>
        <w:rPr>
          <w:rFonts w:eastAsia="Times New Roman" w:cs="Arial"/>
          <w:color w:val="000000"/>
          <w:u w:val="single"/>
          <w:lang w:eastAsia="bg-BG"/>
        </w:rPr>
      </w:pPr>
    </w:p>
    <w:p w14:paraId="474DB6EF" w14:textId="0A0A31F0"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Механизъм на действие</w:t>
      </w:r>
    </w:p>
    <w:p w14:paraId="0B6FBDBA"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Фосфомицин оказва бактерициден ефект върху пролифериращите патогени чрез предотвратяване на ензимния синтез на бактериалната клетъчна стена. Фосфомицин инхибира първия етап на синтеза на вътреклетъчната бактериална клетъчна стена като блокира синтезата на пептидогликан.</w:t>
      </w:r>
    </w:p>
    <w:p w14:paraId="58CE464F"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 xml:space="preserve">Фосфомицин се транспортира активно в бактериалната клетка чрез две различни транспортни системи </w:t>
      </w:r>
      <w:r w:rsidRPr="009D2ACB">
        <w:rPr>
          <w:rFonts w:eastAsia="Times New Roman" w:cs="Arial"/>
          <w:color w:val="000000"/>
          <w:lang w:val="ru-RU"/>
        </w:rPr>
        <w:t>(</w:t>
      </w:r>
      <w:proofErr w:type="spellStart"/>
      <w:r w:rsidRPr="009D2ACB">
        <w:rPr>
          <w:rFonts w:eastAsia="Times New Roman" w:cs="Arial"/>
          <w:color w:val="000000"/>
          <w:lang w:val="en-US"/>
        </w:rPr>
        <w:t>sn</w:t>
      </w:r>
      <w:proofErr w:type="spellEnd"/>
      <w:r w:rsidRPr="009D2ACB">
        <w:rPr>
          <w:rFonts w:eastAsia="Times New Roman" w:cs="Arial"/>
          <w:color w:val="000000"/>
          <w:lang w:eastAsia="bg-BG"/>
        </w:rPr>
        <w:t>-глицерол-З-фосфат и хексоза-6 транспортни системи).</w:t>
      </w:r>
    </w:p>
    <w:p w14:paraId="3A487DAD" w14:textId="77777777" w:rsidR="009D2ACB" w:rsidRPr="009D2ACB" w:rsidRDefault="009D2ACB" w:rsidP="009D2ACB">
      <w:pPr>
        <w:spacing w:line="240" w:lineRule="auto"/>
        <w:rPr>
          <w:rFonts w:eastAsia="Times New Roman" w:cs="Arial"/>
          <w:color w:val="000000"/>
          <w:u w:val="single"/>
          <w:lang w:eastAsia="bg-BG"/>
        </w:rPr>
      </w:pPr>
    </w:p>
    <w:p w14:paraId="7C6C384F" w14:textId="595F5B90"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Връзка Фармакокинетика/Фармакодинамика</w:t>
      </w:r>
    </w:p>
    <w:p w14:paraId="5EB93951"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Ограничените данни показват, че фосфомицин най-вероятно действа по зависещ от времето начин.</w:t>
      </w:r>
    </w:p>
    <w:p w14:paraId="4C8D0756" w14:textId="77777777" w:rsidR="009D2ACB" w:rsidRPr="009D2ACB" w:rsidRDefault="009D2ACB" w:rsidP="009D2ACB">
      <w:pPr>
        <w:spacing w:line="240" w:lineRule="auto"/>
        <w:rPr>
          <w:rFonts w:eastAsia="Times New Roman" w:cs="Arial"/>
          <w:color w:val="000000"/>
          <w:u w:val="single"/>
          <w:lang w:eastAsia="bg-BG"/>
        </w:rPr>
      </w:pPr>
    </w:p>
    <w:p w14:paraId="02D8B3C4" w14:textId="60057602"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Механизъм на резистентност</w:t>
      </w:r>
    </w:p>
    <w:p w14:paraId="4E7529CA"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Основният механизъм на резистентност е хромозомна мутация, причиняваща промяна на бактериалните транспортни системи на фосфомицин. Допълнителни механизми за резистентност, които са пренесени от плазмиди или транспозони, пораждат ензимно инактивиране на фосфомицин чрез свързване на молекулата към глутатион или съответно чрез разцепване на връзката въглерод-фосфор в молекулата на фосфомицин.</w:t>
      </w:r>
    </w:p>
    <w:p w14:paraId="6174FC71" w14:textId="77777777" w:rsidR="009D2ACB" w:rsidRPr="009D2ACB" w:rsidRDefault="009D2ACB" w:rsidP="009D2ACB">
      <w:pPr>
        <w:spacing w:line="240" w:lineRule="auto"/>
        <w:rPr>
          <w:rFonts w:eastAsia="Times New Roman" w:cs="Arial"/>
          <w:color w:val="000000"/>
          <w:u w:val="single"/>
          <w:lang w:eastAsia="bg-BG"/>
        </w:rPr>
      </w:pPr>
    </w:p>
    <w:p w14:paraId="7FD0FE14" w14:textId="4E27A1BF"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Кръстосана резистентност</w:t>
      </w:r>
    </w:p>
    <w:p w14:paraId="0FB031FD"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Не е известна кръстосана резистентност между фосфомицин и други класове антибиотици.</w:t>
      </w:r>
    </w:p>
    <w:p w14:paraId="51914C44" w14:textId="77777777" w:rsidR="009D2ACB" w:rsidRPr="009D2ACB" w:rsidRDefault="009D2ACB" w:rsidP="009D2ACB">
      <w:pPr>
        <w:spacing w:line="240" w:lineRule="auto"/>
        <w:rPr>
          <w:rFonts w:eastAsia="Times New Roman" w:cs="Arial"/>
          <w:color w:val="000000"/>
          <w:u w:val="single"/>
          <w:lang w:eastAsia="bg-BG"/>
        </w:rPr>
      </w:pPr>
    </w:p>
    <w:p w14:paraId="757A7FF6" w14:textId="778C0463"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Гранични стойности на изпитване за чувствителност</w:t>
      </w:r>
    </w:p>
    <w:p w14:paraId="0D79C91C" w14:textId="163E0577" w:rsidR="009D2ACB" w:rsidRDefault="009D2ACB" w:rsidP="009D2ACB">
      <w:r w:rsidRPr="009D2ACB">
        <w:rPr>
          <w:rFonts w:cs="Arial"/>
        </w:rPr>
        <w:t xml:space="preserve">Граничните стойности на чувствителност, установени от Европейския комитет за изпитване на антимикробната чувствителност са както следва (таблица на граничните стойности на </w:t>
      </w:r>
      <w:r w:rsidRPr="009D2ACB">
        <w:rPr>
          <w:rFonts w:cs="Arial"/>
          <w:lang w:val="en-US"/>
        </w:rPr>
        <w:t>EUCAST</w:t>
      </w:r>
      <w:r w:rsidRPr="009D2ACB">
        <w:rPr>
          <w:rFonts w:cs="Arial"/>
          <w:lang w:val="ru-RU"/>
        </w:rPr>
        <w:t xml:space="preserve"> </w:t>
      </w:r>
      <w:r w:rsidRPr="009D2ACB">
        <w:rPr>
          <w:rFonts w:cs="Arial"/>
        </w:rPr>
        <w:t>версия 10):</w:t>
      </w:r>
    </w:p>
    <w:p w14:paraId="046685AF" w14:textId="2C3140C0" w:rsidR="009D2ACB" w:rsidRDefault="009D2ACB" w:rsidP="009D2ACB"/>
    <w:tbl>
      <w:tblPr>
        <w:tblStyle w:val="TableGrid"/>
        <w:tblW w:w="0" w:type="auto"/>
        <w:tblLook w:val="04A0" w:firstRow="1" w:lastRow="0" w:firstColumn="1" w:lastColumn="0" w:noHBand="0" w:noVBand="1"/>
      </w:tblPr>
      <w:tblGrid>
        <w:gridCol w:w="3135"/>
        <w:gridCol w:w="3112"/>
        <w:gridCol w:w="3103"/>
      </w:tblGrid>
      <w:tr w:rsidR="009D2ACB" w14:paraId="142D1256" w14:textId="77777777" w:rsidTr="009D2ACB">
        <w:tc>
          <w:tcPr>
            <w:tcW w:w="3192" w:type="dxa"/>
          </w:tcPr>
          <w:p w14:paraId="1CAAF6E3" w14:textId="431719EA" w:rsidR="009D2ACB" w:rsidRDefault="009D2ACB" w:rsidP="009D2ACB">
            <w:r>
              <w:rPr>
                <w:b/>
                <w:bCs/>
              </w:rPr>
              <w:t>Видове</w:t>
            </w:r>
          </w:p>
        </w:tc>
        <w:tc>
          <w:tcPr>
            <w:tcW w:w="3192" w:type="dxa"/>
          </w:tcPr>
          <w:p w14:paraId="65CE1B42" w14:textId="6849F9DA" w:rsidR="009D2ACB" w:rsidRDefault="009D2ACB" w:rsidP="009D2ACB">
            <w:r>
              <w:rPr>
                <w:b/>
                <w:bCs/>
              </w:rPr>
              <w:t>чувствителни</w:t>
            </w:r>
          </w:p>
        </w:tc>
        <w:tc>
          <w:tcPr>
            <w:tcW w:w="3192" w:type="dxa"/>
          </w:tcPr>
          <w:p w14:paraId="2EF8A70B" w14:textId="790303D9" w:rsidR="009D2ACB" w:rsidRDefault="009D2ACB" w:rsidP="009D2ACB">
            <w:r>
              <w:rPr>
                <w:b/>
                <w:bCs/>
              </w:rPr>
              <w:t>резистентни</w:t>
            </w:r>
          </w:p>
        </w:tc>
      </w:tr>
      <w:tr w:rsidR="009D2ACB" w14:paraId="23BD47C0" w14:textId="77777777" w:rsidTr="009D2ACB">
        <w:tc>
          <w:tcPr>
            <w:tcW w:w="3192" w:type="dxa"/>
          </w:tcPr>
          <w:p w14:paraId="20252FB5" w14:textId="03B78C01" w:rsidR="009D2ACB" w:rsidRDefault="009D2ACB" w:rsidP="009D2ACB">
            <w:r>
              <w:rPr>
                <w:i/>
                <w:iCs/>
              </w:rPr>
              <w:t>Ентеробактперии</w:t>
            </w:r>
          </w:p>
        </w:tc>
        <w:tc>
          <w:tcPr>
            <w:tcW w:w="3192" w:type="dxa"/>
          </w:tcPr>
          <w:p w14:paraId="4DA3EAA6" w14:textId="3382B2B1" w:rsidR="009D2ACB" w:rsidRDefault="009D2ACB" w:rsidP="009D2ACB">
            <w:r>
              <w:rPr>
                <w:lang w:val="en-US"/>
              </w:rPr>
              <w:t>≤</w:t>
            </w:r>
            <w:r>
              <w:t xml:space="preserve">32 </w:t>
            </w:r>
            <w:r>
              <w:rPr>
                <w:lang w:val="en-US"/>
              </w:rPr>
              <w:t>mg/L</w:t>
            </w:r>
          </w:p>
        </w:tc>
        <w:tc>
          <w:tcPr>
            <w:tcW w:w="3192" w:type="dxa"/>
          </w:tcPr>
          <w:p w14:paraId="246DCF7A" w14:textId="380E1036" w:rsidR="009D2ACB" w:rsidRDefault="009D2ACB" w:rsidP="009D2ACB">
            <w:r>
              <w:t xml:space="preserve">&gt;32 </w:t>
            </w:r>
            <w:r>
              <w:rPr>
                <w:lang w:val="en-US"/>
              </w:rPr>
              <w:t>mg/L</w:t>
            </w:r>
          </w:p>
        </w:tc>
      </w:tr>
    </w:tbl>
    <w:p w14:paraId="788DCD01" w14:textId="7D30EEB9" w:rsidR="009D2ACB" w:rsidRDefault="009D2ACB" w:rsidP="009D2ACB"/>
    <w:p w14:paraId="1BE60550"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u w:val="single"/>
          <w:lang w:eastAsia="bg-BG"/>
        </w:rPr>
        <w:t>Преобладаване на придобита резистентност</w:t>
      </w:r>
    </w:p>
    <w:p w14:paraId="6266A07B"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Преобладаването на придобита резистентност на отделни видове може да варира географски и във времето. Поради това е необходима информация на местно ниво за състоянието на резистентност главно с цел да се осигури подходящо лечение на тежки инфекции.</w:t>
      </w:r>
    </w:p>
    <w:p w14:paraId="16278765" w14:textId="77777777" w:rsidR="009D2ACB" w:rsidRPr="009D2ACB" w:rsidRDefault="009D2ACB" w:rsidP="009D2ACB">
      <w:pPr>
        <w:spacing w:line="240" w:lineRule="auto"/>
        <w:rPr>
          <w:rFonts w:eastAsia="Times New Roman" w:cs="Arial"/>
          <w:sz w:val="24"/>
          <w:szCs w:val="24"/>
        </w:rPr>
      </w:pPr>
      <w:r w:rsidRPr="009D2ACB">
        <w:rPr>
          <w:rFonts w:eastAsia="Times New Roman" w:cs="Arial"/>
          <w:color w:val="000000"/>
          <w:lang w:eastAsia="bg-BG"/>
        </w:rPr>
        <w:t>Следната таблица се основава на данни от програми за наблюдение и проучвания. Тя включва организми, подходящи за одобрените показания:</w:t>
      </w:r>
    </w:p>
    <w:tbl>
      <w:tblPr>
        <w:tblStyle w:val="TableGrid"/>
        <w:tblW w:w="0" w:type="auto"/>
        <w:tblLook w:val="04A0" w:firstRow="1" w:lastRow="0" w:firstColumn="1" w:lastColumn="0" w:noHBand="0" w:noVBand="1"/>
      </w:tblPr>
      <w:tblGrid>
        <w:gridCol w:w="9350"/>
      </w:tblGrid>
      <w:tr w:rsidR="009D2ACB" w14:paraId="6641CE83" w14:textId="77777777" w:rsidTr="009D2ACB">
        <w:tc>
          <w:tcPr>
            <w:tcW w:w="9576" w:type="dxa"/>
          </w:tcPr>
          <w:p w14:paraId="20292A20" w14:textId="6967F4DB" w:rsidR="009D2ACB" w:rsidRDefault="009D2ACB" w:rsidP="009D2ACB">
            <w:r>
              <w:rPr>
                <w:b/>
                <w:bCs/>
              </w:rPr>
              <w:t>Често срещани чувствителни видове</w:t>
            </w:r>
          </w:p>
        </w:tc>
      </w:tr>
      <w:tr w:rsidR="009D2ACB" w14:paraId="5AA766B7" w14:textId="77777777" w:rsidTr="009D2ACB">
        <w:tc>
          <w:tcPr>
            <w:tcW w:w="9576" w:type="dxa"/>
          </w:tcPr>
          <w:p w14:paraId="059C5CF9" w14:textId="54295BC3" w:rsidR="009D2ACB" w:rsidRDefault="009D2ACB" w:rsidP="009D2ACB">
            <w:r>
              <w:rPr>
                <w:b/>
                <w:bCs/>
              </w:rPr>
              <w:t>Аеробни Грам-отрицателни микроорганизми</w:t>
            </w:r>
          </w:p>
        </w:tc>
      </w:tr>
      <w:tr w:rsidR="009D2ACB" w14:paraId="536B01F9" w14:textId="77777777" w:rsidTr="009D2ACB">
        <w:tc>
          <w:tcPr>
            <w:tcW w:w="9576" w:type="dxa"/>
          </w:tcPr>
          <w:p w14:paraId="631C6567" w14:textId="51B21863" w:rsidR="009D2ACB" w:rsidRDefault="009D2ACB" w:rsidP="009D2ACB">
            <w:r>
              <w:rPr>
                <w:i/>
                <w:iCs/>
                <w:lang w:val="en-US"/>
              </w:rPr>
              <w:t>Escherichia coli</w:t>
            </w:r>
          </w:p>
        </w:tc>
      </w:tr>
      <w:tr w:rsidR="009D2ACB" w14:paraId="2F285F6F" w14:textId="77777777" w:rsidTr="009D2ACB">
        <w:tc>
          <w:tcPr>
            <w:tcW w:w="9576" w:type="dxa"/>
          </w:tcPr>
          <w:p w14:paraId="4B379A54" w14:textId="385E71EC" w:rsidR="009D2ACB" w:rsidRDefault="009D2ACB" w:rsidP="009D2ACB">
            <w:r>
              <w:rPr>
                <w:b/>
                <w:bCs/>
              </w:rPr>
              <w:t>Видове при конто е възможна придобита резистентност</w:t>
            </w:r>
          </w:p>
        </w:tc>
      </w:tr>
      <w:tr w:rsidR="009D2ACB" w14:paraId="0951D397" w14:textId="77777777" w:rsidTr="009D2ACB">
        <w:tc>
          <w:tcPr>
            <w:tcW w:w="9576" w:type="dxa"/>
          </w:tcPr>
          <w:p w14:paraId="3AE1F3C6" w14:textId="1A452A0D" w:rsidR="009D2ACB" w:rsidRDefault="009D2ACB" w:rsidP="009D2ACB">
            <w:r>
              <w:rPr>
                <w:b/>
                <w:bCs/>
              </w:rPr>
              <w:t>Аеробни Грам-положителни микроорганизми</w:t>
            </w:r>
          </w:p>
        </w:tc>
      </w:tr>
      <w:tr w:rsidR="009D2ACB" w14:paraId="5E3E6899" w14:textId="77777777" w:rsidTr="009D2ACB">
        <w:tc>
          <w:tcPr>
            <w:tcW w:w="9576" w:type="dxa"/>
          </w:tcPr>
          <w:p w14:paraId="232F0779" w14:textId="6A6AFADA" w:rsidR="009D2ACB" w:rsidRDefault="009D2ACB" w:rsidP="009D2ACB">
            <w:r>
              <w:rPr>
                <w:i/>
                <w:iCs/>
                <w:lang w:val="en-US"/>
              </w:rPr>
              <w:t xml:space="preserve">Enterococcus </w:t>
            </w:r>
            <w:proofErr w:type="spellStart"/>
            <w:r>
              <w:rPr>
                <w:i/>
                <w:iCs/>
                <w:lang w:val="en-US"/>
              </w:rPr>
              <w:t>faecalis</w:t>
            </w:r>
            <w:proofErr w:type="spellEnd"/>
          </w:p>
        </w:tc>
      </w:tr>
      <w:tr w:rsidR="009D2ACB" w14:paraId="73CC4D1B" w14:textId="77777777" w:rsidTr="009D2ACB">
        <w:tc>
          <w:tcPr>
            <w:tcW w:w="9576" w:type="dxa"/>
          </w:tcPr>
          <w:p w14:paraId="1B3FA5E7" w14:textId="25267E00" w:rsidR="009D2ACB" w:rsidRDefault="009D2ACB" w:rsidP="009D2ACB">
            <w:r>
              <w:rPr>
                <w:b/>
                <w:bCs/>
              </w:rPr>
              <w:t>Аеробни Грам-отрицателни микроорганизми</w:t>
            </w:r>
          </w:p>
        </w:tc>
      </w:tr>
      <w:tr w:rsidR="009D2ACB" w14:paraId="29E9659E" w14:textId="77777777" w:rsidTr="009D2ACB">
        <w:tc>
          <w:tcPr>
            <w:tcW w:w="9576" w:type="dxa"/>
          </w:tcPr>
          <w:p w14:paraId="50BC82B1" w14:textId="77777777" w:rsidR="009D2ACB" w:rsidRDefault="009D2ACB" w:rsidP="009D2ACB">
            <w:proofErr w:type="spellStart"/>
            <w:r>
              <w:rPr>
                <w:i/>
                <w:iCs/>
                <w:lang w:val="en-US"/>
              </w:rPr>
              <w:t>Klebsiella</w:t>
            </w:r>
            <w:proofErr w:type="spellEnd"/>
            <w:r>
              <w:rPr>
                <w:i/>
                <w:iCs/>
                <w:lang w:val="en-US"/>
              </w:rPr>
              <w:t xml:space="preserve"> </w:t>
            </w:r>
            <w:proofErr w:type="spellStart"/>
            <w:r>
              <w:rPr>
                <w:i/>
                <w:iCs/>
                <w:lang w:val="en-US"/>
              </w:rPr>
              <w:t>pneumoniae</w:t>
            </w:r>
            <w:proofErr w:type="spellEnd"/>
          </w:p>
          <w:p w14:paraId="7FB6FBDE" w14:textId="6AEE9F15" w:rsidR="009D2ACB" w:rsidRDefault="009D2ACB" w:rsidP="009D2ACB">
            <w:r>
              <w:rPr>
                <w:i/>
                <w:iCs/>
                <w:lang w:val="en-US"/>
              </w:rPr>
              <w:t>Proteus mirabilis</w:t>
            </w:r>
          </w:p>
        </w:tc>
      </w:tr>
      <w:tr w:rsidR="009D2ACB" w14:paraId="720EBDAE" w14:textId="77777777" w:rsidTr="009D2ACB">
        <w:tc>
          <w:tcPr>
            <w:tcW w:w="9576" w:type="dxa"/>
          </w:tcPr>
          <w:p w14:paraId="79EC1C83" w14:textId="5F59E036" w:rsidR="009D2ACB" w:rsidRDefault="009D2ACB" w:rsidP="009D2ACB">
            <w:r>
              <w:rPr>
                <w:b/>
                <w:bCs/>
              </w:rPr>
              <w:t xml:space="preserve">Видове </w:t>
            </w:r>
            <w:r>
              <w:rPr>
                <w:b/>
                <w:bCs/>
                <w:lang w:val="en-US"/>
              </w:rPr>
              <w:t xml:space="preserve">c </w:t>
            </w:r>
            <w:r>
              <w:rPr>
                <w:b/>
                <w:bCs/>
              </w:rPr>
              <w:t>присъща резистентност</w:t>
            </w:r>
          </w:p>
        </w:tc>
      </w:tr>
      <w:tr w:rsidR="009D2ACB" w14:paraId="35B511D8" w14:textId="77777777" w:rsidTr="009D2ACB">
        <w:tc>
          <w:tcPr>
            <w:tcW w:w="9576" w:type="dxa"/>
          </w:tcPr>
          <w:p w14:paraId="3A8FB239" w14:textId="15FB73ED" w:rsidR="009D2ACB" w:rsidRDefault="009D2ACB" w:rsidP="009D2ACB">
            <w:r>
              <w:rPr>
                <w:b/>
                <w:bCs/>
              </w:rPr>
              <w:t>Аеробни Грам-положителни микроорганизми</w:t>
            </w:r>
          </w:p>
        </w:tc>
      </w:tr>
      <w:tr w:rsidR="009D2ACB" w14:paraId="374887FC" w14:textId="77777777" w:rsidTr="009D2ACB">
        <w:tc>
          <w:tcPr>
            <w:tcW w:w="9576" w:type="dxa"/>
          </w:tcPr>
          <w:p w14:paraId="7E7A5CD6" w14:textId="6A9B0BAF" w:rsidR="009D2ACB" w:rsidRDefault="009D2ACB" w:rsidP="009D2ACB">
            <w:r>
              <w:rPr>
                <w:i/>
                <w:iCs/>
                <w:lang w:val="en-US"/>
              </w:rPr>
              <w:t xml:space="preserve">Staphylococcus </w:t>
            </w:r>
            <w:proofErr w:type="spellStart"/>
            <w:r>
              <w:rPr>
                <w:i/>
                <w:iCs/>
                <w:lang w:val="en-US"/>
              </w:rPr>
              <w:t>saprophyticus</w:t>
            </w:r>
            <w:proofErr w:type="spellEnd"/>
          </w:p>
        </w:tc>
      </w:tr>
    </w:tbl>
    <w:p w14:paraId="594336FA" w14:textId="77777777" w:rsidR="009D2ACB" w:rsidRPr="009D2ACB" w:rsidRDefault="009D2ACB" w:rsidP="009D2ACB"/>
    <w:p w14:paraId="26535098" w14:textId="591C2871" w:rsidR="00395555" w:rsidRDefault="002C50EE" w:rsidP="008A6AF2">
      <w:pPr>
        <w:pStyle w:val="Heading2"/>
      </w:pPr>
      <w:r>
        <w:t>5.2. Фармакокинетични свойства</w:t>
      </w:r>
    </w:p>
    <w:p w14:paraId="28485829" w14:textId="7A6ADFF4" w:rsidR="009D2ACB" w:rsidRDefault="009D2ACB" w:rsidP="009D2ACB"/>
    <w:p w14:paraId="425FFE15" w14:textId="77777777" w:rsidR="009D2ACB" w:rsidRPr="009D2ACB" w:rsidRDefault="009D2ACB" w:rsidP="009D2ACB">
      <w:pPr>
        <w:pStyle w:val="Heading3"/>
        <w:rPr>
          <w:rFonts w:eastAsia="Times New Roman"/>
          <w:u w:val="single"/>
        </w:rPr>
      </w:pPr>
      <w:r w:rsidRPr="009D2ACB">
        <w:rPr>
          <w:rFonts w:eastAsia="Times New Roman"/>
          <w:u w:val="single"/>
          <w:lang w:eastAsia="bg-BG"/>
        </w:rPr>
        <w:t>Абсорбция</w:t>
      </w:r>
    </w:p>
    <w:p w14:paraId="77A34457" w14:textId="77777777" w:rsidR="009D2ACB" w:rsidRPr="009D2ACB" w:rsidRDefault="009D2ACB" w:rsidP="009D2ACB">
      <w:pPr>
        <w:rPr>
          <w:sz w:val="24"/>
          <w:szCs w:val="24"/>
        </w:rPr>
      </w:pPr>
      <w:r w:rsidRPr="009D2ACB">
        <w:rPr>
          <w:lang w:eastAsia="bg-BG"/>
        </w:rPr>
        <w:t xml:space="preserve">След перорално приложение на единична доза фосфомицин трометамол има абсолютна бионаличност около 33-53%. Скоростта и степента на абсорбция се намаляват от храната, но общото количество активно вещество, екскретирано с урината във времето, е същото. Средната концентрация на фосфомицин в урината се поддържа над прага на минималната инхибираща концентрация (МИК) 128 </w:t>
      </w:r>
      <w:proofErr w:type="spellStart"/>
      <w:r w:rsidRPr="009D2ACB">
        <w:rPr>
          <w:lang w:val="en-US"/>
        </w:rPr>
        <w:t>μg</w:t>
      </w:r>
      <w:proofErr w:type="spellEnd"/>
      <w:r w:rsidRPr="009D2ACB">
        <w:rPr>
          <w:lang w:val="ru-RU"/>
        </w:rPr>
        <w:t>/</w:t>
      </w:r>
      <w:r w:rsidRPr="009D2ACB">
        <w:rPr>
          <w:lang w:val="en-US"/>
        </w:rPr>
        <w:t>ml</w:t>
      </w:r>
      <w:r w:rsidRPr="009D2ACB">
        <w:rPr>
          <w:lang w:val="ru-RU"/>
        </w:rPr>
        <w:t xml:space="preserve"> </w:t>
      </w:r>
      <w:r w:rsidRPr="009D2ACB">
        <w:rPr>
          <w:lang w:eastAsia="bg-BG"/>
        </w:rPr>
        <w:t xml:space="preserve">най-малко 24 часа след приема на перорална доза 3 </w:t>
      </w:r>
      <w:r w:rsidRPr="009D2ACB">
        <w:rPr>
          <w:lang w:val="en-US"/>
        </w:rPr>
        <w:t>g</w:t>
      </w:r>
      <w:r w:rsidRPr="009D2ACB">
        <w:rPr>
          <w:lang w:val="ru-RU"/>
        </w:rPr>
        <w:t xml:space="preserve"> </w:t>
      </w:r>
      <w:r w:rsidRPr="009D2ACB">
        <w:rPr>
          <w:lang w:eastAsia="bg-BG"/>
        </w:rPr>
        <w:t>на гладно или след хранене, но времето за достигане на максимална концентрация в урината се забавя с 4 часа. Фосфомицин трометамол е подложен на ентерохепатална рециркулация.</w:t>
      </w:r>
    </w:p>
    <w:p w14:paraId="100E096F" w14:textId="77777777" w:rsidR="009D2ACB" w:rsidRDefault="009D2ACB" w:rsidP="009D2ACB">
      <w:pPr>
        <w:rPr>
          <w:lang w:eastAsia="bg-BG"/>
        </w:rPr>
      </w:pPr>
    </w:p>
    <w:p w14:paraId="4D81C034" w14:textId="2DFE4E49" w:rsidR="009D2ACB" w:rsidRPr="009D2ACB" w:rsidRDefault="009D2ACB" w:rsidP="009D2ACB">
      <w:pPr>
        <w:pStyle w:val="Heading3"/>
        <w:rPr>
          <w:rFonts w:eastAsia="Times New Roman"/>
          <w:u w:val="single"/>
        </w:rPr>
      </w:pPr>
      <w:r w:rsidRPr="009D2ACB">
        <w:rPr>
          <w:rFonts w:eastAsia="Times New Roman"/>
          <w:u w:val="single"/>
          <w:lang w:eastAsia="bg-BG"/>
        </w:rPr>
        <w:t>Разпределение</w:t>
      </w:r>
    </w:p>
    <w:p w14:paraId="05B77BD0" w14:textId="77777777" w:rsidR="009D2ACB" w:rsidRPr="009D2ACB" w:rsidRDefault="009D2ACB" w:rsidP="009D2ACB">
      <w:pPr>
        <w:rPr>
          <w:sz w:val="24"/>
          <w:szCs w:val="24"/>
        </w:rPr>
      </w:pPr>
      <w:r w:rsidRPr="009D2ACB">
        <w:rPr>
          <w:lang w:eastAsia="bg-BG"/>
        </w:rPr>
        <w:t>Изглежда, че фосфомицин не се метаболизира. Фосфомицин се разпространява в тъканите, включително бъбреците и стената на пикочния мехур. Фосфомицин не се свързва с плазмените протеини и преминава плацентарната бариера.</w:t>
      </w:r>
    </w:p>
    <w:p w14:paraId="7F494E90" w14:textId="77777777" w:rsidR="009D2ACB" w:rsidRDefault="009D2ACB" w:rsidP="009D2ACB">
      <w:pPr>
        <w:rPr>
          <w:lang w:eastAsia="bg-BG"/>
        </w:rPr>
      </w:pPr>
    </w:p>
    <w:p w14:paraId="6B1583C5" w14:textId="058CA2AC" w:rsidR="009D2ACB" w:rsidRPr="009D2ACB" w:rsidRDefault="009D2ACB" w:rsidP="009D2ACB">
      <w:pPr>
        <w:pStyle w:val="Heading3"/>
        <w:rPr>
          <w:rFonts w:eastAsia="Times New Roman"/>
          <w:u w:val="single"/>
        </w:rPr>
      </w:pPr>
      <w:r w:rsidRPr="009D2ACB">
        <w:rPr>
          <w:rFonts w:eastAsia="Times New Roman"/>
          <w:u w:val="single"/>
          <w:lang w:eastAsia="bg-BG"/>
        </w:rPr>
        <w:lastRenderedPageBreak/>
        <w:t>Елиминиране</w:t>
      </w:r>
    </w:p>
    <w:p w14:paraId="336D1906" w14:textId="77777777" w:rsidR="009D2ACB" w:rsidRPr="009D2ACB" w:rsidRDefault="009D2ACB" w:rsidP="009D2ACB">
      <w:pPr>
        <w:rPr>
          <w:sz w:val="24"/>
          <w:szCs w:val="24"/>
        </w:rPr>
      </w:pPr>
      <w:r w:rsidRPr="009D2ACB">
        <w:rPr>
          <w:lang w:eastAsia="bg-BG"/>
        </w:rPr>
        <w:t>Фосфомицин се екскретира непроменен основно чрез бъбреците посредством гломерулна филтрация (40-50% от дозата се намира в урината) с елиминационен полуживот около 4 часа след перорално приложение и в по-малка степен във фецеса (18-28% от дозата). Макар храната да забавя абсорбцията на активното вещество, общото количество екскретирано активно вещество в урината във времето е същото.</w:t>
      </w:r>
    </w:p>
    <w:p w14:paraId="58204F0B" w14:textId="77777777" w:rsidR="009D2ACB" w:rsidRDefault="009D2ACB" w:rsidP="009D2ACB">
      <w:pPr>
        <w:rPr>
          <w:lang w:eastAsia="bg-BG"/>
        </w:rPr>
      </w:pPr>
    </w:p>
    <w:p w14:paraId="7B65C9C7" w14:textId="3A57DF5A" w:rsidR="009D2ACB" w:rsidRPr="009D2ACB" w:rsidRDefault="009D2ACB" w:rsidP="009D2ACB">
      <w:pPr>
        <w:pStyle w:val="Heading3"/>
        <w:rPr>
          <w:rFonts w:eastAsia="Times New Roman"/>
          <w:u w:val="single"/>
        </w:rPr>
      </w:pPr>
      <w:r w:rsidRPr="009D2ACB">
        <w:rPr>
          <w:rFonts w:eastAsia="Times New Roman"/>
          <w:u w:val="single"/>
          <w:lang w:eastAsia="bg-BG"/>
        </w:rPr>
        <w:t>Специални популапии</w:t>
      </w:r>
    </w:p>
    <w:p w14:paraId="0AFAC5E4" w14:textId="77777777" w:rsidR="009D2ACB" w:rsidRPr="009D2ACB" w:rsidRDefault="009D2ACB" w:rsidP="009D2ACB">
      <w:pPr>
        <w:rPr>
          <w:sz w:val="24"/>
          <w:szCs w:val="24"/>
        </w:rPr>
      </w:pPr>
      <w:r w:rsidRPr="009D2ACB">
        <w:rPr>
          <w:lang w:eastAsia="bg-BG"/>
        </w:rPr>
        <w:t>При пациенти с нарушена бъбречна функция елиминационният полуживот увеличава</w:t>
      </w:r>
    </w:p>
    <w:p w14:paraId="1ABF3FE3" w14:textId="5F18F62B" w:rsidR="009D2ACB" w:rsidRPr="009D2ACB" w:rsidRDefault="009D2ACB" w:rsidP="009D2ACB">
      <w:pPr>
        <w:rPr>
          <w:lang w:eastAsia="bg-BG"/>
        </w:rPr>
      </w:pPr>
      <w:r w:rsidRPr="009D2ACB">
        <w:rPr>
          <w:lang w:eastAsia="bg-BG"/>
        </w:rPr>
        <w:t>пропорционално до степен на бъбречна недостатъчност. Концентрациите на фосфомицин в</w:t>
      </w:r>
      <w:r>
        <w:rPr>
          <w:lang w:eastAsia="bg-BG"/>
        </w:rPr>
        <w:t xml:space="preserve"> </w:t>
      </w:r>
      <w:r w:rsidRPr="009D2ACB">
        <w:rPr>
          <w:lang w:eastAsia="bg-BG"/>
        </w:rPr>
        <w:t xml:space="preserve">урината при пациенти с нарушена бъбречна функция остават ефективни в продължение на 48 часа след обичайна доза, ако креатининовият клирънс е над 10 </w:t>
      </w:r>
      <w:r w:rsidRPr="009D2ACB">
        <w:rPr>
          <w:lang w:val="en-US"/>
        </w:rPr>
        <w:t>ml</w:t>
      </w:r>
      <w:r w:rsidRPr="009D2ACB">
        <w:rPr>
          <w:lang w:val="ru-RU"/>
        </w:rPr>
        <w:t>/</w:t>
      </w:r>
      <w:r w:rsidRPr="009D2ACB">
        <w:rPr>
          <w:lang w:val="en-US"/>
        </w:rPr>
        <w:t>min</w:t>
      </w:r>
      <w:r w:rsidRPr="009D2ACB">
        <w:rPr>
          <w:lang w:val="ru-RU"/>
        </w:rPr>
        <w:t>.</w:t>
      </w:r>
      <w:r>
        <w:rPr>
          <w:lang w:eastAsia="bg-BG"/>
        </w:rPr>
        <w:t xml:space="preserve"> </w:t>
      </w:r>
      <w:r w:rsidRPr="009D2ACB">
        <w:rPr>
          <w:lang w:eastAsia="bg-BG"/>
        </w:rPr>
        <w:t>При по-възрастните хора клирънсът на фосфомицин намалява в съответствие с обусловеното от възрастта намаляване на бъбречната функция.</w:t>
      </w:r>
    </w:p>
    <w:p w14:paraId="708F00FF" w14:textId="77777777" w:rsidR="009D2ACB" w:rsidRPr="009D2ACB" w:rsidRDefault="009D2ACB" w:rsidP="009D2ACB">
      <w:pPr>
        <w:rPr>
          <w:rFonts w:ascii="Times New Roman" w:eastAsia="Times New Roman" w:hAnsi="Times New Roman" w:cs="Times New Roman"/>
          <w:color w:val="000000"/>
          <w:lang w:eastAsia="bg-BG"/>
        </w:rPr>
      </w:pPr>
    </w:p>
    <w:p w14:paraId="028E658A" w14:textId="5BA8CBDA" w:rsidR="00395555" w:rsidRDefault="002C50EE" w:rsidP="008A6AF2">
      <w:pPr>
        <w:pStyle w:val="Heading2"/>
      </w:pPr>
      <w:r>
        <w:t>5.3. Предклинични данни за безопасност</w:t>
      </w:r>
    </w:p>
    <w:p w14:paraId="75A14A2D" w14:textId="47A79456" w:rsidR="009D2ACB" w:rsidRDefault="009D2ACB" w:rsidP="009D2ACB"/>
    <w:p w14:paraId="3ABF9D2D" w14:textId="77777777" w:rsidR="009D2ACB" w:rsidRPr="009D2ACB" w:rsidRDefault="009D2ACB" w:rsidP="009D2ACB">
      <w:pPr>
        <w:rPr>
          <w:sz w:val="24"/>
          <w:szCs w:val="24"/>
        </w:rPr>
      </w:pPr>
      <w:r w:rsidRPr="009D2ACB">
        <w:rPr>
          <w:lang w:eastAsia="bg-BG"/>
        </w:rPr>
        <w:t>Неклинични данни не показват особен риск за хората на базата конвенционални фармакологични проучвания за безопасност, токсичност при многократно прилагане, генотоксичност или репродуктивна токсичност.</w:t>
      </w:r>
    </w:p>
    <w:p w14:paraId="63FD9FE9" w14:textId="77777777" w:rsidR="009D2ACB" w:rsidRPr="009D2ACB" w:rsidRDefault="009D2ACB" w:rsidP="009D2ACB">
      <w:pPr>
        <w:rPr>
          <w:sz w:val="24"/>
          <w:szCs w:val="24"/>
        </w:rPr>
      </w:pPr>
      <w:r w:rsidRPr="009D2ACB">
        <w:rPr>
          <w:lang w:eastAsia="bg-BG"/>
        </w:rPr>
        <w:t>Не са налични данни за канцерогенност за Фосфомицин.</w:t>
      </w:r>
    </w:p>
    <w:p w14:paraId="02F287FB" w14:textId="77777777" w:rsidR="009D2ACB" w:rsidRPr="009D2ACB" w:rsidRDefault="009D2ACB" w:rsidP="009D2ACB"/>
    <w:p w14:paraId="6A7820AB" w14:textId="13ECA250" w:rsidR="008A6AF2" w:rsidRDefault="002C50EE" w:rsidP="00395555">
      <w:pPr>
        <w:pStyle w:val="Heading1"/>
      </w:pPr>
      <w:r>
        <w:t>7. ПРИТЕЖАТЕЛ НА РАЗРЕШЕНИЕТО ЗА УПОТРЕБА</w:t>
      </w:r>
    </w:p>
    <w:p w14:paraId="781B836B" w14:textId="528D8E17" w:rsidR="009D2ACB" w:rsidRDefault="009D2ACB" w:rsidP="009D2ACB"/>
    <w:p w14:paraId="280D0470" w14:textId="77777777" w:rsidR="009D2ACB" w:rsidRPr="009D2ACB" w:rsidRDefault="009D2ACB" w:rsidP="009D2ACB">
      <w:pPr>
        <w:rPr>
          <w:sz w:val="24"/>
          <w:szCs w:val="24"/>
          <w:lang w:val="en-US"/>
        </w:rPr>
      </w:pPr>
      <w:proofErr w:type="spellStart"/>
      <w:r w:rsidRPr="009D2ACB">
        <w:rPr>
          <w:lang w:val="en-US"/>
        </w:rPr>
        <w:t>ZENTTVA</w:t>
      </w:r>
      <w:proofErr w:type="gramStart"/>
      <w:r w:rsidRPr="009D2ACB">
        <w:rPr>
          <w:lang w:val="en-US"/>
        </w:rPr>
        <w:t>,k.s</w:t>
      </w:r>
      <w:proofErr w:type="spellEnd"/>
      <w:proofErr w:type="gramEnd"/>
      <w:r w:rsidRPr="009D2ACB">
        <w:rPr>
          <w:lang w:val="en-US"/>
        </w:rPr>
        <w:t>.,</w:t>
      </w:r>
    </w:p>
    <w:p w14:paraId="16700D8A" w14:textId="77777777" w:rsidR="009D2ACB" w:rsidRPr="009D2ACB" w:rsidRDefault="009D2ACB" w:rsidP="009D2ACB">
      <w:pPr>
        <w:rPr>
          <w:sz w:val="24"/>
          <w:szCs w:val="24"/>
          <w:lang w:val="en-US"/>
        </w:rPr>
      </w:pPr>
      <w:proofErr w:type="spellStart"/>
      <w:r w:rsidRPr="009D2ACB">
        <w:rPr>
          <w:lang w:val="en-US"/>
        </w:rPr>
        <w:t>Ukabelovny</w:t>
      </w:r>
      <w:proofErr w:type="spellEnd"/>
      <w:r w:rsidRPr="009D2ACB">
        <w:rPr>
          <w:lang w:val="en-US"/>
        </w:rPr>
        <w:t xml:space="preserve"> 130, </w:t>
      </w:r>
      <w:proofErr w:type="spellStart"/>
      <w:r w:rsidRPr="009D2ACB">
        <w:rPr>
          <w:lang w:val="en-US"/>
        </w:rPr>
        <w:t>Dolni</w:t>
      </w:r>
      <w:proofErr w:type="spellEnd"/>
      <w:r w:rsidRPr="009D2ACB">
        <w:rPr>
          <w:lang w:val="en-US"/>
        </w:rPr>
        <w:t xml:space="preserve"> </w:t>
      </w:r>
      <w:proofErr w:type="spellStart"/>
      <w:r w:rsidRPr="009D2ACB">
        <w:rPr>
          <w:lang w:val="en-US"/>
        </w:rPr>
        <w:t>M&amp;cholupy</w:t>
      </w:r>
      <w:proofErr w:type="spellEnd"/>
      <w:r w:rsidRPr="009D2ACB">
        <w:rPr>
          <w:lang w:val="en-US"/>
        </w:rPr>
        <w:t>,</w:t>
      </w:r>
    </w:p>
    <w:p w14:paraId="63C41A3B" w14:textId="77777777" w:rsidR="009D2ACB" w:rsidRPr="009D2ACB" w:rsidRDefault="009D2ACB" w:rsidP="009D2ACB">
      <w:pPr>
        <w:rPr>
          <w:sz w:val="24"/>
          <w:szCs w:val="24"/>
          <w:lang w:val="ru-RU"/>
        </w:rPr>
      </w:pPr>
      <w:r w:rsidRPr="009D2ACB">
        <w:rPr>
          <w:lang w:val="en-US"/>
        </w:rPr>
        <w:t>Prague</w:t>
      </w:r>
      <w:r w:rsidRPr="009D2ACB">
        <w:rPr>
          <w:lang w:val="ru-RU"/>
        </w:rPr>
        <w:t xml:space="preserve"> 10,102 37,</w:t>
      </w:r>
    </w:p>
    <w:p w14:paraId="1B90E9B1" w14:textId="752F44FD" w:rsidR="009D2ACB" w:rsidRPr="009D2ACB" w:rsidRDefault="009D2ACB" w:rsidP="009D2ACB">
      <w:r w:rsidRPr="009D2ACB">
        <w:rPr>
          <w:lang w:eastAsia="bg-BG"/>
        </w:rPr>
        <w:t>Чешка Република</w:t>
      </w:r>
    </w:p>
    <w:p w14:paraId="04840D59" w14:textId="31768BE8" w:rsidR="002C50EE" w:rsidRDefault="002C50EE" w:rsidP="00395555">
      <w:pPr>
        <w:pStyle w:val="Heading1"/>
      </w:pPr>
      <w:r>
        <w:t>8. НОМЕР НА РАЗРЕШЕНИЕТО ЗА УПОТРЕБА</w:t>
      </w:r>
    </w:p>
    <w:p w14:paraId="2BE20FA2" w14:textId="1A7E9737" w:rsidR="009D2ACB" w:rsidRDefault="009D2ACB" w:rsidP="009D2ACB"/>
    <w:p w14:paraId="057BD8E6" w14:textId="19952288" w:rsidR="009D2ACB" w:rsidRPr="009D2ACB" w:rsidRDefault="009D2ACB" w:rsidP="009D2ACB">
      <w:pPr>
        <w:rPr>
          <w:sz w:val="24"/>
          <w:szCs w:val="24"/>
          <w:lang w:val="ru-RU"/>
        </w:rPr>
      </w:pPr>
      <w:r w:rsidRPr="009D2ACB">
        <w:rPr>
          <w:lang w:val="ru-RU"/>
        </w:rPr>
        <w:t>20160281</w:t>
      </w:r>
    </w:p>
    <w:p w14:paraId="2CCB5832" w14:textId="095A733B" w:rsidR="007C605B" w:rsidRDefault="002C50EE" w:rsidP="007C605B">
      <w:pPr>
        <w:pStyle w:val="Heading1"/>
      </w:pPr>
      <w:r>
        <w:t>9. ДАТА НА ПЪРВО РАЗРЕШАВАНЕ/ПОДНОВЯВАНЕ НА РАЗРЕШЕНИЕТО ЗА УПОТРЕБА</w:t>
      </w:r>
    </w:p>
    <w:p w14:paraId="6E035E45" w14:textId="124473FB" w:rsidR="009D2ACB" w:rsidRDefault="009D2ACB" w:rsidP="009D2ACB"/>
    <w:p w14:paraId="672221D9" w14:textId="117CB946" w:rsidR="009D2ACB" w:rsidRPr="009D2ACB" w:rsidRDefault="009D2ACB" w:rsidP="009D2ACB">
      <w:pPr>
        <w:rPr>
          <w:sz w:val="24"/>
          <w:szCs w:val="24"/>
        </w:rPr>
      </w:pPr>
      <w:r w:rsidRPr="009D2ACB">
        <w:rPr>
          <w:lang w:eastAsia="bg-BG"/>
        </w:rPr>
        <w:t>Дата на първо разрешаване: 31.08.2016</w:t>
      </w:r>
    </w:p>
    <w:p w14:paraId="0E9D0119" w14:textId="0245C6D7" w:rsidR="002C50EE" w:rsidRDefault="002C50EE" w:rsidP="002C50EE">
      <w:pPr>
        <w:pStyle w:val="Heading1"/>
      </w:pPr>
      <w:r>
        <w:t>10. ДАТА НА АКТУАЛИЗИРАНЕ НА ТЕКСТА</w:t>
      </w:r>
    </w:p>
    <w:bookmarkEnd w:id="0"/>
    <w:p w14:paraId="39F6788E" w14:textId="272C2C9C" w:rsidR="009D2ACB" w:rsidRPr="003E3126" w:rsidRDefault="009D2ACB" w:rsidP="009D2ACB">
      <w:r>
        <w:t>Септември, 2020 г.</w:t>
      </w:r>
      <w:bookmarkStart w:id="1" w:name="_GoBack"/>
      <w:bookmarkEnd w:id="1"/>
    </w:p>
    <w:sectPr w:rsidR="009D2AC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A78738C"/>
    <w:multiLevelType w:val="hybridMultilevel"/>
    <w:tmpl w:val="155A6F2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29"/>
  </w:num>
  <w:num w:numId="12">
    <w:abstractNumId w:val="14"/>
  </w:num>
  <w:num w:numId="13">
    <w:abstractNumId w:val="19"/>
  </w:num>
  <w:num w:numId="14">
    <w:abstractNumId w:val="12"/>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0"/>
  </w:num>
  <w:num w:numId="28">
    <w:abstractNumId w:val="6"/>
  </w:num>
  <w:num w:numId="29">
    <w:abstractNumId w:val="20"/>
  </w:num>
  <w:num w:numId="30">
    <w:abstractNumId w:val="31"/>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D2ACB"/>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11159</Characters>
  <Application>Microsoft Office Word</Application>
  <DocSecurity>0</DocSecurity>
  <Lines>92</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2021-11-24T12:57:00Z</dcterms:created>
  <dcterms:modified xsi:type="dcterms:W3CDTF">2021-11-24T12:57:00Z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