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48E139DA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010ABFC9" w14:textId="183550CC" w:rsidR="001D2260" w:rsidRPr="001D2260" w:rsidRDefault="001D2260" w:rsidP="001D2260">
      <w:pPr>
        <w:rPr>
          <w:sz w:val="24"/>
          <w:szCs w:val="24"/>
        </w:rPr>
      </w:pPr>
      <w:r w:rsidRPr="001D2260">
        <w:t xml:space="preserve">FRAXIPARINE </w:t>
      </w:r>
      <w:r w:rsidRPr="001D2260">
        <w:rPr>
          <w:lang w:val="bg-BG" w:eastAsia="bg-BG"/>
        </w:rPr>
        <w:t xml:space="preserve">9 500 </w:t>
      </w:r>
      <w:r w:rsidRPr="001D2260">
        <w:t>anti-</w:t>
      </w:r>
      <w:proofErr w:type="spellStart"/>
      <w:r>
        <w:t>X</w:t>
      </w:r>
      <w:r w:rsidRPr="001D2260">
        <w:t>a</w:t>
      </w:r>
      <w:proofErr w:type="spellEnd"/>
      <w:r w:rsidRPr="001D2260">
        <w:t xml:space="preserve"> </w:t>
      </w:r>
      <w:r>
        <w:rPr>
          <w:lang w:eastAsia="bg-BG"/>
        </w:rPr>
        <w:t>IU</w:t>
      </w:r>
      <w:r w:rsidRPr="001D2260">
        <w:t>/ml solution for injection</w:t>
      </w:r>
    </w:p>
    <w:p w14:paraId="03754F3E" w14:textId="77ED8028" w:rsidR="001D2260" w:rsidRPr="001D2260" w:rsidRDefault="001D2260" w:rsidP="001D2260">
      <w:pPr>
        <w:rPr>
          <w:lang w:val="bg-BG"/>
        </w:rPr>
      </w:pPr>
      <w:r w:rsidRPr="001D2260">
        <w:rPr>
          <w:lang w:val="bg-BG" w:eastAsia="bg-BG"/>
        </w:rPr>
        <w:t xml:space="preserve">ФРАКСИПАРИН </w:t>
      </w:r>
      <w:r w:rsidRPr="001D2260">
        <w:t>9 500 anti-</w:t>
      </w:r>
      <w:proofErr w:type="spellStart"/>
      <w:r>
        <w:t>X</w:t>
      </w:r>
      <w:r w:rsidRPr="001D2260">
        <w:t>a</w:t>
      </w:r>
      <w:proofErr w:type="spellEnd"/>
      <w:r w:rsidRPr="001D2260">
        <w:t xml:space="preserve"> </w:t>
      </w:r>
      <w:r>
        <w:rPr>
          <w:lang w:eastAsia="bg-BG"/>
        </w:rPr>
        <w:t>IU</w:t>
      </w:r>
      <w:r w:rsidRPr="001D2260">
        <w:t xml:space="preserve">/ml </w:t>
      </w:r>
      <w:r w:rsidRPr="001D2260">
        <w:rPr>
          <w:lang w:val="bg-BG" w:eastAsia="bg-BG"/>
        </w:rPr>
        <w:t>инжекционен разтвор</w:t>
      </w:r>
    </w:p>
    <w:p w14:paraId="3A916BC0" w14:textId="6D5A6F98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7F4941C6" w14:textId="77777777" w:rsidR="001D2260" w:rsidRDefault="001D2260" w:rsidP="001D2260">
      <w:pPr>
        <w:rPr>
          <w:lang w:val="bg-BG" w:eastAsia="bg-BG"/>
        </w:rPr>
      </w:pPr>
    </w:p>
    <w:p w14:paraId="7B537B71" w14:textId="2F5F8A4C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Разтвор за инжектиране на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калций </w:t>
      </w:r>
      <w:r w:rsidRPr="001D2260">
        <w:rPr>
          <w:i/>
          <w:iCs/>
        </w:rPr>
        <w:t>(nadroparin calcium)</w:t>
      </w:r>
      <w:r w:rsidRPr="001D2260">
        <w:t xml:space="preserve"> </w:t>
      </w:r>
      <w:r w:rsidRPr="001D2260">
        <w:rPr>
          <w:lang w:val="bg-BG" w:eastAsia="bg-BG"/>
        </w:rPr>
        <w:t xml:space="preserve">в концентрация 9 500 </w:t>
      </w:r>
      <w:r w:rsidRPr="001D2260">
        <w:t xml:space="preserve">anti- </w:t>
      </w:r>
      <w:proofErr w:type="spellStart"/>
      <w:r w:rsidRPr="001D2260">
        <w:t>Xa</w:t>
      </w:r>
      <w:proofErr w:type="spellEnd"/>
      <w:r w:rsidRPr="001D2260">
        <w:t xml:space="preserve"> </w:t>
      </w:r>
      <w:r w:rsidRPr="001D2260">
        <w:rPr>
          <w:lang w:val="bg-BG" w:eastAsia="bg-BG"/>
        </w:rPr>
        <w:t>Ш</w:t>
      </w:r>
      <w:r w:rsidRPr="001D2260">
        <w:t xml:space="preserve">/ml </w:t>
      </w:r>
      <w:r w:rsidRPr="001D2260">
        <w:rPr>
          <w:lang w:val="bg-BG" w:eastAsia="bg-BG"/>
        </w:rPr>
        <w:t>в</w:t>
      </w:r>
    </w:p>
    <w:p w14:paraId="6F47C50E" w14:textId="77777777" w:rsidR="001D2260" w:rsidRDefault="001D2260" w:rsidP="001D2260">
      <w:pPr>
        <w:rPr>
          <w:lang w:eastAsia="bg-BG"/>
        </w:rPr>
      </w:pPr>
    </w:p>
    <w:p w14:paraId="4CB3A0E0" w14:textId="0876871B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sz w:val="24"/>
          <w:szCs w:val="24"/>
          <w:lang w:val="bg-BG"/>
        </w:rPr>
      </w:pPr>
      <w:r w:rsidRPr="001D2260">
        <w:rPr>
          <w:lang w:val="bg-BG" w:eastAsia="bg-BG"/>
        </w:rPr>
        <w:t>предварително напълнени спринцовки, както следва:</w:t>
      </w:r>
    </w:p>
    <w:p w14:paraId="222F90E9" w14:textId="0051F153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0,2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1 900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</w:p>
    <w:p w14:paraId="15D704D4" w14:textId="6ED361D3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0,3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2 850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</w:p>
    <w:p w14:paraId="74E0E5BF" w14:textId="188D34E8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0,4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3 800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  <w:r w:rsidRPr="001D2260">
        <w:rPr>
          <w:lang w:val="bg-BG" w:eastAsia="bg-BG"/>
        </w:rPr>
        <w:t>.</w:t>
      </w:r>
    </w:p>
    <w:p w14:paraId="72DABB15" w14:textId="2261733C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sz w:val="24"/>
          <w:szCs w:val="24"/>
          <w:lang w:val="bg-BG"/>
        </w:rPr>
      </w:pPr>
      <w:r w:rsidRPr="001D2260">
        <w:rPr>
          <w:lang w:val="bg-BG" w:eastAsia="bg-BG"/>
        </w:rPr>
        <w:t>градуирани предварително напълнени спринцовки, както следва:</w:t>
      </w:r>
    </w:p>
    <w:p w14:paraId="4C4807A5" w14:textId="43E384B1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0,6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5 700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</w:p>
    <w:p w14:paraId="025A17E4" w14:textId="0E763623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0,8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7 600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</w:p>
    <w:p w14:paraId="55533C3A" w14:textId="06C7A2E4" w:rsidR="001D2260" w:rsidRPr="001D2260" w:rsidRDefault="001D2260" w:rsidP="001D226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1,0 </w:t>
      </w:r>
      <w:r w:rsidRPr="001D2260">
        <w:t xml:space="preserve">ml </w:t>
      </w:r>
      <w:r w:rsidRPr="001D2260">
        <w:rPr>
          <w:lang w:val="bg-BG" w:eastAsia="bg-BG"/>
        </w:rPr>
        <w:t xml:space="preserve">разтвор, еквивалентен на 9 500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</w:t>
      </w:r>
      <w:r w:rsidRPr="001D2260">
        <w:rPr>
          <w:lang w:val="bg-BG" w:eastAsia="bg-BG"/>
        </w:rPr>
        <w:t>.</w:t>
      </w:r>
    </w:p>
    <w:p w14:paraId="41781E2B" w14:textId="77777777" w:rsidR="001D2260" w:rsidRPr="001D2260" w:rsidRDefault="001D2260" w:rsidP="001D2260">
      <w:pPr>
        <w:rPr>
          <w:lang w:val="bg-BG"/>
        </w:rPr>
      </w:pPr>
    </w:p>
    <w:p w14:paraId="12D23164" w14:textId="77777777" w:rsidR="001D2260" w:rsidRPr="001D2260" w:rsidRDefault="001D2260" w:rsidP="001D2260">
      <w:pPr>
        <w:rPr>
          <w:lang w:val="bg-BG"/>
        </w:rPr>
      </w:pPr>
    </w:p>
    <w:p w14:paraId="74A1D0A0" w14:textId="02013EBA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1182A3A2" w14:textId="44E345CC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>Инжекционен разтвор.</w:t>
      </w:r>
    </w:p>
    <w:p w14:paraId="04D01DD8" w14:textId="5BCC3A3E" w:rsidR="001D2260" w:rsidRPr="001D2260" w:rsidRDefault="001D2260" w:rsidP="001D2260">
      <w:pPr>
        <w:rPr>
          <w:lang w:val="bg-BG"/>
        </w:rPr>
      </w:pPr>
      <w:r w:rsidRPr="001D2260">
        <w:rPr>
          <w:lang w:val="bg-BG" w:eastAsia="bg-BG"/>
        </w:rPr>
        <w:t xml:space="preserve">Спринцовката съдържа бистър до слабо </w:t>
      </w:r>
      <w:proofErr w:type="spellStart"/>
      <w:r w:rsidRPr="001D2260">
        <w:rPr>
          <w:lang w:val="bg-BG" w:eastAsia="bg-BG"/>
        </w:rPr>
        <w:t>опалесциращ</w:t>
      </w:r>
      <w:proofErr w:type="spellEnd"/>
      <w:r w:rsidRPr="001D2260">
        <w:rPr>
          <w:lang w:val="bg-BG" w:eastAsia="bg-BG"/>
        </w:rPr>
        <w:t>, безцветен или жълтеникав или кафеникав до тъмно или бледо жълт разтвор.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48691A5F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40A47F96" w14:textId="77777777" w:rsidR="001D2260" w:rsidRDefault="001D2260" w:rsidP="001D2260">
      <w:pPr>
        <w:rPr>
          <w:lang w:val="bg-BG" w:eastAsia="bg-BG"/>
        </w:rPr>
      </w:pPr>
    </w:p>
    <w:p w14:paraId="24525FE0" w14:textId="4A33CF4C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sz w:val="24"/>
          <w:szCs w:val="24"/>
          <w:lang w:val="bg-BG"/>
        </w:rPr>
      </w:pPr>
      <w:r w:rsidRPr="001D2260">
        <w:rPr>
          <w:u w:val="single"/>
          <w:lang w:val="bg-BG" w:eastAsia="bg-BG"/>
        </w:rPr>
        <w:t xml:space="preserve">Профилактика на </w:t>
      </w:r>
      <w:proofErr w:type="spellStart"/>
      <w:r w:rsidRPr="001D2260">
        <w:rPr>
          <w:u w:val="single"/>
          <w:lang w:val="bg-BG" w:eastAsia="bg-BG"/>
        </w:rPr>
        <w:t>тромбоемболични</w:t>
      </w:r>
      <w:proofErr w:type="spellEnd"/>
      <w:r w:rsidRPr="001D2260">
        <w:rPr>
          <w:u w:val="single"/>
          <w:lang w:val="bg-BG" w:eastAsia="bg-BG"/>
        </w:rPr>
        <w:t xml:space="preserve"> нарушения</w:t>
      </w:r>
      <w:r w:rsidRPr="001D2260">
        <w:rPr>
          <w:lang w:val="bg-BG" w:eastAsia="bg-BG"/>
        </w:rPr>
        <w:t>:</w:t>
      </w:r>
    </w:p>
    <w:p w14:paraId="0734CEF9" w14:textId="07FDDEFA" w:rsidR="001D2260" w:rsidRPr="001D2260" w:rsidRDefault="001D2260" w:rsidP="001D2260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1D2260">
        <w:rPr>
          <w:lang w:val="bg-BG" w:eastAsia="bg-BG"/>
        </w:rPr>
        <w:t>свързани с обща или ортопедична оперативна интервенция</w:t>
      </w:r>
    </w:p>
    <w:p w14:paraId="0FF4DB96" w14:textId="2C09552E" w:rsidR="001D2260" w:rsidRPr="001D2260" w:rsidRDefault="001D2260" w:rsidP="001D2260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1D2260">
        <w:rPr>
          <w:lang w:val="bg-BG" w:eastAsia="bg-BG"/>
        </w:rPr>
        <w:t>при високо рискови пациенти (дихателна недостатъчност и/или респираторна инфекция и/или сърдечна недостатъчност), лекувани в интензивно отделение</w:t>
      </w:r>
    </w:p>
    <w:p w14:paraId="3F98B4A7" w14:textId="77777777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u w:val="single"/>
          <w:lang w:val="bg-BG" w:eastAsia="bg-BG"/>
        </w:rPr>
      </w:pPr>
      <w:r w:rsidRPr="001D2260">
        <w:rPr>
          <w:u w:val="single"/>
          <w:lang w:val="bg-BG" w:eastAsia="bg-BG"/>
        </w:rPr>
        <w:t xml:space="preserve">Лечение на </w:t>
      </w:r>
      <w:proofErr w:type="spellStart"/>
      <w:r w:rsidRPr="001D2260">
        <w:rPr>
          <w:u w:val="single"/>
          <w:lang w:val="bg-BG" w:eastAsia="bg-BG"/>
        </w:rPr>
        <w:t>тромбоемболични</w:t>
      </w:r>
      <w:proofErr w:type="spellEnd"/>
      <w:r w:rsidRPr="001D2260">
        <w:rPr>
          <w:u w:val="single"/>
          <w:lang w:val="bg-BG" w:eastAsia="bg-BG"/>
        </w:rPr>
        <w:t xml:space="preserve"> нарушения</w:t>
      </w:r>
    </w:p>
    <w:p w14:paraId="6057361E" w14:textId="77777777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u w:val="single"/>
          <w:lang w:val="bg-BG" w:eastAsia="bg-BG"/>
        </w:rPr>
      </w:pPr>
      <w:r w:rsidRPr="001D2260">
        <w:rPr>
          <w:u w:val="single"/>
          <w:lang w:val="bg-BG" w:eastAsia="bg-BG"/>
        </w:rPr>
        <w:t xml:space="preserve">Предотвратяване на кръвосъсирването в </w:t>
      </w:r>
      <w:proofErr w:type="spellStart"/>
      <w:r w:rsidRPr="001D2260">
        <w:rPr>
          <w:u w:val="single"/>
          <w:lang w:val="bg-BG" w:eastAsia="bg-BG"/>
        </w:rPr>
        <w:t>екстракорпоралния</w:t>
      </w:r>
      <w:proofErr w:type="spellEnd"/>
      <w:r w:rsidRPr="001D2260">
        <w:rPr>
          <w:u w:val="single"/>
          <w:lang w:val="bg-BG" w:eastAsia="bg-BG"/>
        </w:rPr>
        <w:t xml:space="preserve"> кръг по време на хемодиализа.</w:t>
      </w:r>
    </w:p>
    <w:p w14:paraId="03257D31" w14:textId="30008194" w:rsidR="001D2260" w:rsidRPr="001D2260" w:rsidRDefault="001D2260" w:rsidP="001D2260">
      <w:pPr>
        <w:pStyle w:val="ListParagraph"/>
        <w:numPr>
          <w:ilvl w:val="0"/>
          <w:numId w:val="18"/>
        </w:numPr>
        <w:ind w:hanging="720"/>
        <w:rPr>
          <w:u w:val="single"/>
        </w:rPr>
      </w:pPr>
      <w:r w:rsidRPr="001D2260">
        <w:rPr>
          <w:u w:val="single"/>
          <w:lang w:val="bg-BG" w:eastAsia="bg-BG"/>
        </w:rPr>
        <w:t>Лечение на нестабилна ангина и инфаркт без О-зъбец.</w:t>
      </w:r>
    </w:p>
    <w:p w14:paraId="1E77D6D2" w14:textId="77777777" w:rsidR="001D2260" w:rsidRPr="001D2260" w:rsidRDefault="001D2260" w:rsidP="001D2260">
      <w:pPr>
        <w:rPr>
          <w:u w:val="single"/>
        </w:rPr>
      </w:pPr>
    </w:p>
    <w:p w14:paraId="71891A7D" w14:textId="275D92AF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4BD11ADE" w14:textId="642F7F2A" w:rsidR="001D2260" w:rsidRDefault="001D2260" w:rsidP="001D2260"/>
    <w:p w14:paraId="0D2E50A4" w14:textId="4200A053" w:rsidR="001D2260" w:rsidRDefault="001D2260" w:rsidP="001D2260"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обърне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специфичните</w:t>
      </w:r>
      <w:proofErr w:type="spellEnd"/>
      <w:r>
        <w:t xml:space="preserve"> </w:t>
      </w:r>
      <w:proofErr w:type="spellStart"/>
      <w:r>
        <w:t>инструкции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дозиране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отделна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нискомолекулен</w:t>
      </w:r>
      <w:proofErr w:type="spellEnd"/>
      <w:r>
        <w:t xml:space="preserve"> </w:t>
      </w:r>
      <w:proofErr w:type="spellStart"/>
      <w:r>
        <w:t>хепарин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изразяване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мерни</w:t>
      </w:r>
      <w:proofErr w:type="spellEnd"/>
      <w:r>
        <w:t xml:space="preserve"> </w:t>
      </w:r>
      <w:proofErr w:type="spellStart"/>
      <w:r>
        <w:t>единици</w:t>
      </w:r>
      <w:proofErr w:type="spellEnd"/>
      <w:r>
        <w:t xml:space="preserve"> (</w:t>
      </w:r>
      <w:proofErr w:type="spellStart"/>
      <w:r>
        <w:t>международни</w:t>
      </w:r>
      <w:proofErr w:type="spellEnd"/>
      <w:r>
        <w:t xml:space="preserve"> </w:t>
      </w:r>
      <w:proofErr w:type="spellStart"/>
      <w:r>
        <w:t>единици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mg).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lastRenderedPageBreak/>
        <w:t>причина</w:t>
      </w:r>
      <w:proofErr w:type="spellEnd"/>
      <w:r>
        <w:t xml:space="preserve"> </w:t>
      </w:r>
      <w:proofErr w:type="spellStart"/>
      <w:r>
        <w:t>надропарин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взаимнозаменяем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нискомолекулни</w:t>
      </w:r>
      <w:proofErr w:type="spellEnd"/>
      <w:r>
        <w:t xml:space="preserve"> </w:t>
      </w:r>
      <w:proofErr w:type="spellStart"/>
      <w:r>
        <w:t>хепарини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лечението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продукт</w:t>
      </w:r>
      <w:proofErr w:type="spellEnd"/>
      <w:r>
        <w:t xml:space="preserve"> с </w:t>
      </w:r>
      <w:proofErr w:type="spellStart"/>
      <w:r>
        <w:t>подходяща</w:t>
      </w:r>
      <w:proofErr w:type="spellEnd"/>
      <w:r>
        <w:t xml:space="preserve"> </w:t>
      </w:r>
      <w:proofErr w:type="spellStart"/>
      <w:r>
        <w:t>концентрация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надропарин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rPr>
          <w:u w:val="single"/>
        </w:rPr>
        <w:t xml:space="preserve"> </w:t>
      </w:r>
      <w:proofErr w:type="spellStart"/>
      <w:r>
        <w:t>концентрацията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режима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дозиране</w:t>
      </w:r>
      <w:proofErr w:type="spellEnd"/>
      <w:r>
        <w:t>.</w:t>
      </w:r>
    </w:p>
    <w:p w14:paraId="2D1360DA" w14:textId="5B7756B9" w:rsidR="001D2260" w:rsidRDefault="001D2260" w:rsidP="001D2260"/>
    <w:p w14:paraId="1498288C" w14:textId="77777777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>Градуираните спринцовки са предназначени за случаи, когато се налага определяне на дозата спрямо телесното тегло.</w:t>
      </w:r>
    </w:p>
    <w:p w14:paraId="0C46D4A5" w14:textId="2C5836A3" w:rsidR="001D2260" w:rsidRDefault="001D2260" w:rsidP="001D2260"/>
    <w:p w14:paraId="7C3C4623" w14:textId="77777777" w:rsidR="001D2260" w:rsidRPr="001D2260" w:rsidRDefault="001D2260" w:rsidP="001D2260">
      <w:pPr>
        <w:rPr>
          <w:sz w:val="24"/>
          <w:szCs w:val="24"/>
          <w:lang w:val="bg-BG"/>
        </w:rPr>
      </w:pP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не е предназначен за мускулно приложение.</w:t>
      </w:r>
    </w:p>
    <w:p w14:paraId="27A0C2D5" w14:textId="77777777" w:rsidR="001D2260" w:rsidRDefault="001D2260" w:rsidP="001D2260">
      <w:pPr>
        <w:rPr>
          <w:lang w:val="bg-BG" w:eastAsia="bg-BG"/>
        </w:rPr>
      </w:pPr>
    </w:p>
    <w:p w14:paraId="2F5BAF04" w14:textId="094E9B19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По време на лечение с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трябва да се проследява броя на </w:t>
      </w:r>
      <w:proofErr w:type="spellStart"/>
      <w:r w:rsidRPr="001D2260">
        <w:rPr>
          <w:lang w:val="bg-BG" w:eastAsia="bg-BG"/>
        </w:rPr>
        <w:t>тромбоцитите</w:t>
      </w:r>
      <w:proofErr w:type="spellEnd"/>
      <w:r w:rsidRPr="001D2260">
        <w:rPr>
          <w:lang w:val="bg-BG" w:eastAsia="bg-BG"/>
        </w:rPr>
        <w:t xml:space="preserve"> </w:t>
      </w:r>
      <w:r w:rsidRPr="001D2260">
        <w:rPr>
          <w:i/>
          <w:iCs/>
          <w:lang w:val="bg-BG" w:eastAsia="bg-BG"/>
        </w:rPr>
        <w:t>(еж. точка 4.4. Специални предупреждения и предпазни мерки при употреба).</w:t>
      </w:r>
    </w:p>
    <w:p w14:paraId="2951214B" w14:textId="77777777" w:rsidR="001D2260" w:rsidRDefault="001D2260" w:rsidP="001D2260">
      <w:pPr>
        <w:rPr>
          <w:lang w:val="bg-BG" w:eastAsia="bg-BG"/>
        </w:rPr>
      </w:pPr>
    </w:p>
    <w:p w14:paraId="5D844531" w14:textId="259DD3D0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Трябва да се спазват специфичните препоръки относно времето на приложение на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при </w:t>
      </w:r>
      <w:proofErr w:type="spellStart"/>
      <w:r w:rsidRPr="001D2260">
        <w:rPr>
          <w:lang w:val="bg-BG" w:eastAsia="bg-BG"/>
        </w:rPr>
        <w:t>спиналиа</w:t>
      </w:r>
      <w:proofErr w:type="spellEnd"/>
      <w:r w:rsidRPr="001D2260">
        <w:rPr>
          <w:lang w:val="bg-BG" w:eastAsia="bg-BG"/>
        </w:rPr>
        <w:t>/</w:t>
      </w:r>
      <w:proofErr w:type="spellStart"/>
      <w:r w:rsidRPr="001D2260">
        <w:rPr>
          <w:lang w:val="bg-BG" w:eastAsia="bg-BG"/>
        </w:rPr>
        <w:t>епидурална</w:t>
      </w:r>
      <w:proofErr w:type="spellEnd"/>
      <w:r w:rsidRPr="001D2260">
        <w:rPr>
          <w:lang w:val="bg-BG" w:eastAsia="bg-BG"/>
        </w:rPr>
        <w:t xml:space="preserve"> анестезия или </w:t>
      </w:r>
      <w:proofErr w:type="spellStart"/>
      <w:r w:rsidRPr="001D2260">
        <w:rPr>
          <w:lang w:val="bg-BG" w:eastAsia="bg-BG"/>
        </w:rPr>
        <w:t>спинална</w:t>
      </w:r>
      <w:proofErr w:type="spellEnd"/>
      <w:r w:rsidRPr="001D2260">
        <w:rPr>
          <w:lang w:val="bg-BG" w:eastAsia="bg-BG"/>
        </w:rPr>
        <w:t xml:space="preserve"> лумбална пункция (вж. </w:t>
      </w:r>
      <w:r w:rsidRPr="001D2260">
        <w:rPr>
          <w:i/>
          <w:iCs/>
          <w:lang w:val="bg-BG" w:eastAsia="bg-BG"/>
        </w:rPr>
        <w:t>точка 4.4.</w:t>
      </w:r>
      <w:r>
        <w:rPr>
          <w:sz w:val="24"/>
          <w:szCs w:val="24"/>
        </w:rPr>
        <w:t xml:space="preserve"> </w:t>
      </w:r>
      <w:r w:rsidRPr="001D2260">
        <w:rPr>
          <w:i/>
          <w:iCs/>
          <w:lang w:val="bg-BG" w:eastAsia="bg-BG"/>
        </w:rPr>
        <w:t>Специални предупреждения и предпазни мерки при употреба).</w:t>
      </w:r>
    </w:p>
    <w:p w14:paraId="5775E1E9" w14:textId="77777777" w:rsidR="001D2260" w:rsidRDefault="001D2260" w:rsidP="001D2260">
      <w:pPr>
        <w:rPr>
          <w:i/>
          <w:iCs/>
          <w:lang w:val="bg-BG" w:eastAsia="bg-BG"/>
        </w:rPr>
      </w:pPr>
    </w:p>
    <w:p w14:paraId="365F63E9" w14:textId="48509BCD" w:rsidR="001D2260" w:rsidRPr="001D2260" w:rsidRDefault="001D2260" w:rsidP="001D2260">
      <w:pPr>
        <w:rPr>
          <w:b/>
          <w:bCs/>
          <w:sz w:val="24"/>
          <w:szCs w:val="24"/>
          <w:lang w:val="bg-BG"/>
        </w:rPr>
      </w:pPr>
      <w:r w:rsidRPr="001D2260">
        <w:rPr>
          <w:b/>
          <w:bCs/>
          <w:i/>
          <w:iCs/>
          <w:lang w:val="bg-BG" w:eastAsia="bg-BG"/>
        </w:rPr>
        <w:t>Техника на подкожно инжектиране:</w:t>
      </w:r>
    </w:p>
    <w:p w14:paraId="4F34D265" w14:textId="32D3A3C9" w:rsidR="001D2260" w:rsidRDefault="001D2260" w:rsidP="001D2260">
      <w:pPr>
        <w:rPr>
          <w:lang w:val="bg-BG" w:eastAsia="bg-BG"/>
        </w:rPr>
      </w:pPr>
      <w:r w:rsidRPr="001D2260">
        <w:rPr>
          <w:lang w:val="bg-BG" w:eastAsia="bg-BG"/>
        </w:rPr>
        <w:t>Обичайното място за инжектиране е от дясната или от лявата страна на коремната стена. Като алтернатива може да се използва и бедрото. Преди инжектиране с предварително напълнените спринцовки не трябва да се изпуска въздушното мехурче, за да не се загуби част от разтвора. Иглата трябва да се постави перпендикулярно в захваната кожна гънка, която се държи нежно, но здраво до края на инжектирането. Мястото на инжектиране не трябва да се разтрива.</w:t>
      </w:r>
    </w:p>
    <w:p w14:paraId="7C3F2BF5" w14:textId="1E866352" w:rsidR="001D2260" w:rsidRDefault="001D2260" w:rsidP="001D2260">
      <w:pPr>
        <w:rPr>
          <w:lang w:val="bg-BG" w:eastAsia="bg-BG"/>
        </w:rPr>
      </w:pPr>
    </w:p>
    <w:p w14:paraId="64DF62E5" w14:textId="1503BB7D" w:rsidR="001D2260" w:rsidRPr="001D2260" w:rsidRDefault="001D2260" w:rsidP="001D2260">
      <w:pPr>
        <w:rPr>
          <w:b/>
          <w:bCs/>
          <w:sz w:val="24"/>
          <w:szCs w:val="24"/>
          <w:u w:val="single"/>
          <w:lang w:val="bg-BG"/>
        </w:rPr>
      </w:pPr>
      <w:r w:rsidRPr="001D2260">
        <w:rPr>
          <w:b/>
          <w:bCs/>
          <w:smallCaps/>
          <w:u w:val="single"/>
          <w:lang w:val="bg-BG" w:eastAsia="bg-BG"/>
        </w:rPr>
        <w:t>Групи пациенти</w:t>
      </w:r>
    </w:p>
    <w:p w14:paraId="6491AEA7" w14:textId="77777777" w:rsidR="001D2260" w:rsidRDefault="001D2260" w:rsidP="001D2260">
      <w:pPr>
        <w:rPr>
          <w:lang w:val="bg-BG" w:eastAsia="bg-BG"/>
        </w:rPr>
      </w:pPr>
    </w:p>
    <w:p w14:paraId="68E1CDDF" w14:textId="4B3C54E5" w:rsidR="001D2260" w:rsidRPr="001D2260" w:rsidRDefault="001D2260" w:rsidP="001D2260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lang w:val="bg-BG"/>
        </w:rPr>
      </w:pPr>
      <w:r w:rsidRPr="001D2260">
        <w:rPr>
          <w:b/>
          <w:bCs/>
          <w:lang w:val="bg-BG" w:eastAsia="bg-BG"/>
        </w:rPr>
        <w:t>Възрастни пациенти</w:t>
      </w:r>
    </w:p>
    <w:p w14:paraId="7207D0B3" w14:textId="77777777" w:rsidR="001D2260" w:rsidRDefault="001D2260" w:rsidP="001D2260">
      <w:pPr>
        <w:rPr>
          <w:lang w:val="bg-BG" w:eastAsia="bg-BG"/>
        </w:rPr>
      </w:pPr>
      <w:bookmarkStart w:id="1" w:name="bookmark0"/>
    </w:p>
    <w:p w14:paraId="39A3C651" w14:textId="43E6383A" w:rsidR="001D2260" w:rsidRPr="001D2260" w:rsidRDefault="001D2260" w:rsidP="001D2260">
      <w:pPr>
        <w:rPr>
          <w:b/>
          <w:bCs/>
          <w:sz w:val="24"/>
          <w:szCs w:val="24"/>
          <w:lang w:val="bg-BG"/>
        </w:rPr>
      </w:pPr>
      <w:r w:rsidRPr="001D2260">
        <w:rPr>
          <w:b/>
          <w:bCs/>
          <w:lang w:val="bg-BG" w:eastAsia="bg-BG"/>
        </w:rPr>
        <w:t>ПРОФИЛАКТИКА НА ТРОМБОЕМБОЛИЧНИ НАРУШЕНИЯ</w:t>
      </w:r>
      <w:bookmarkEnd w:id="1"/>
    </w:p>
    <w:p w14:paraId="5AFBF741" w14:textId="77777777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i/>
          <w:iCs/>
          <w:lang w:val="bg-BG" w:eastAsia="bg-BG"/>
        </w:rPr>
        <w:t>Обща хирургия</w:t>
      </w:r>
    </w:p>
    <w:p w14:paraId="0F494CB0" w14:textId="77777777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Препоръчителната доза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е 0,3 </w:t>
      </w:r>
      <w:r w:rsidRPr="001D2260">
        <w:t xml:space="preserve">ml </w:t>
      </w:r>
      <w:r w:rsidRPr="001D2260">
        <w:rPr>
          <w:lang w:val="bg-BG" w:eastAsia="bg-BG"/>
        </w:rPr>
        <w:t xml:space="preserve">(2 850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IU), </w:t>
      </w:r>
      <w:r w:rsidRPr="001D2260">
        <w:rPr>
          <w:lang w:val="bg-BG" w:eastAsia="bg-BG"/>
        </w:rPr>
        <w:t>приложена подкожно 2 до 4 часа преди интервенцията и по веднъж дневно в следващите няколко дни. Лечението трябва да продължи най-малко седем дни, както и през целия рисков период включително и в амбулаторни условия.</w:t>
      </w:r>
    </w:p>
    <w:p w14:paraId="44231F88" w14:textId="77777777" w:rsidR="001D2260" w:rsidRDefault="001D2260" w:rsidP="001D2260">
      <w:pPr>
        <w:rPr>
          <w:i/>
          <w:iCs/>
          <w:lang w:val="bg-BG" w:eastAsia="bg-BG"/>
        </w:rPr>
      </w:pPr>
    </w:p>
    <w:p w14:paraId="0A0FA7C6" w14:textId="5306BA3A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i/>
          <w:iCs/>
          <w:lang w:val="bg-BG" w:eastAsia="bg-BG"/>
        </w:rPr>
        <w:t>Ортопедична хирургия</w:t>
      </w:r>
    </w:p>
    <w:p w14:paraId="15A41460" w14:textId="3CB91DEF" w:rsidR="001D2260" w:rsidRDefault="001D2260" w:rsidP="001D2260">
      <w:pPr>
        <w:rPr>
          <w:lang w:val="bg-BG" w:eastAsia="bg-BG"/>
        </w:rPr>
      </w:pP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се прилага подкожно. Дозата се определя спрямо телесното тегло по дадената по- долу таблица, което се основава на таргетна доза от 38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 </w:t>
      </w:r>
      <w:r w:rsidRPr="001D2260">
        <w:rPr>
          <w:lang w:val="bg-BG" w:eastAsia="bg-BG"/>
        </w:rPr>
        <w:t xml:space="preserve">на </w:t>
      </w:r>
      <w:r w:rsidRPr="001D2260">
        <w:t xml:space="preserve">Kg </w:t>
      </w:r>
      <w:r w:rsidRPr="001D2260">
        <w:rPr>
          <w:lang w:val="bg-BG" w:eastAsia="bg-BG"/>
        </w:rPr>
        <w:t xml:space="preserve">телесно тегло. Дозата се повишава с 50 % на четвъртия постоперативен ден. Началната доза се прилага 12 часа </w:t>
      </w:r>
      <w:proofErr w:type="spellStart"/>
      <w:r w:rsidRPr="001D2260">
        <w:rPr>
          <w:lang w:val="bg-BG" w:eastAsia="bg-BG"/>
        </w:rPr>
        <w:t>предоперативно</w:t>
      </w:r>
      <w:proofErr w:type="spellEnd"/>
      <w:r w:rsidRPr="001D2260">
        <w:rPr>
          <w:lang w:val="bg-BG" w:eastAsia="bg-BG"/>
        </w:rPr>
        <w:t xml:space="preserve"> и 12 часа след края на операцията се прилага втора доза. След това лечението продължава с инжектиране веднъж дневно по време на рисковия период включително и в амбулаторни условия. Минималният период на лечение е 10 дни.</w:t>
      </w:r>
    </w:p>
    <w:p w14:paraId="24BE1F82" w14:textId="2CCB9538" w:rsidR="001D2260" w:rsidRDefault="001D2260" w:rsidP="001D2260">
      <w:pPr>
        <w:rPr>
          <w:lang w:val="bg-BG" w:eastAsia="bg-BG"/>
        </w:rPr>
      </w:pPr>
    </w:p>
    <w:p w14:paraId="19285AC4" w14:textId="3C2EC760" w:rsidR="001D2260" w:rsidRDefault="001D2260" w:rsidP="001D2260">
      <w:pPr>
        <w:rPr>
          <w:lang w:val="bg-BG" w:eastAsia="bg-BG"/>
        </w:rPr>
      </w:pPr>
    </w:p>
    <w:p w14:paraId="69A3943A" w14:textId="77777777" w:rsidR="001D2260" w:rsidRPr="001D2260" w:rsidRDefault="001D2260" w:rsidP="001D2260">
      <w:pPr>
        <w:rPr>
          <w:sz w:val="24"/>
          <w:szCs w:val="24"/>
          <w:lang w:val="bg-BG"/>
        </w:rPr>
      </w:pPr>
    </w:p>
    <w:p w14:paraId="249D0A72" w14:textId="127D83CB" w:rsidR="001D2260" w:rsidRDefault="001D2260" w:rsidP="001D22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93"/>
        <w:gridCol w:w="1847"/>
        <w:gridCol w:w="1893"/>
        <w:gridCol w:w="1848"/>
      </w:tblGrid>
      <w:tr w:rsidR="001D2260" w14:paraId="0DA721B0" w14:textId="77777777" w:rsidTr="00EC4BB0">
        <w:tc>
          <w:tcPr>
            <w:tcW w:w="1915" w:type="dxa"/>
            <w:vMerge w:val="restart"/>
          </w:tcPr>
          <w:p w14:paraId="1D857047" w14:textId="2D345213" w:rsidR="001D2260" w:rsidRPr="001D2260" w:rsidRDefault="001D2260" w:rsidP="001D2260">
            <w:pPr>
              <w:jc w:val="center"/>
              <w:rPr>
                <w:b/>
                <w:bCs/>
              </w:rPr>
            </w:pPr>
            <w:proofErr w:type="spellStart"/>
            <w:r w:rsidRPr="001D2260">
              <w:rPr>
                <w:b/>
                <w:bCs/>
              </w:rPr>
              <w:lastRenderedPageBreak/>
              <w:t>Телесно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тегло</w:t>
            </w:r>
            <w:proofErr w:type="spellEnd"/>
            <w:r w:rsidRPr="001D2260">
              <w:rPr>
                <w:b/>
                <w:bCs/>
              </w:rPr>
              <w:t xml:space="preserve"> (kg)</w:t>
            </w:r>
          </w:p>
        </w:tc>
        <w:tc>
          <w:tcPr>
            <w:tcW w:w="3830" w:type="dxa"/>
            <w:gridSpan w:val="2"/>
          </w:tcPr>
          <w:p w14:paraId="1B6C99C6" w14:textId="77777777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D2260">
              <w:rPr>
                <w:b/>
                <w:bCs/>
                <w:lang w:val="bg-BG" w:eastAsia="bg-BG"/>
              </w:rPr>
              <w:t>12 часа преди и след операция и после веднъж дневно до третия ден постоперативно</w:t>
            </w:r>
          </w:p>
          <w:p w14:paraId="2B5B0EF4" w14:textId="77777777" w:rsidR="001D2260" w:rsidRPr="001D2260" w:rsidRDefault="001D2260" w:rsidP="001D2260">
            <w:pPr>
              <w:jc w:val="center"/>
              <w:rPr>
                <w:b/>
                <w:bCs/>
              </w:rPr>
            </w:pPr>
          </w:p>
        </w:tc>
        <w:tc>
          <w:tcPr>
            <w:tcW w:w="3831" w:type="dxa"/>
            <w:gridSpan w:val="2"/>
          </w:tcPr>
          <w:p w14:paraId="17874D9C" w14:textId="77777777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D2260">
              <w:rPr>
                <w:b/>
                <w:bCs/>
                <w:lang w:val="bg-BG" w:eastAsia="bg-BG"/>
              </w:rPr>
              <w:t>От четвъртия ден след операцията</w:t>
            </w:r>
          </w:p>
          <w:p w14:paraId="07B6DF74" w14:textId="77777777" w:rsidR="001D2260" w:rsidRPr="001D2260" w:rsidRDefault="001D2260" w:rsidP="001D2260">
            <w:pPr>
              <w:jc w:val="center"/>
              <w:rPr>
                <w:b/>
                <w:bCs/>
              </w:rPr>
            </w:pPr>
          </w:p>
        </w:tc>
      </w:tr>
      <w:tr w:rsidR="001D2260" w14:paraId="12500C42" w14:textId="77777777" w:rsidTr="001D2260">
        <w:tc>
          <w:tcPr>
            <w:tcW w:w="1915" w:type="dxa"/>
            <w:vMerge/>
          </w:tcPr>
          <w:p w14:paraId="5FC4076C" w14:textId="77777777" w:rsidR="001D2260" w:rsidRPr="001D2260" w:rsidRDefault="001D2260" w:rsidP="001D2260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14:paraId="7E5D93B2" w14:textId="1FE6A8EE" w:rsidR="001D2260" w:rsidRPr="001D2260" w:rsidRDefault="001D2260" w:rsidP="001D2260">
            <w:pPr>
              <w:jc w:val="center"/>
              <w:rPr>
                <w:b/>
                <w:bCs/>
              </w:rPr>
            </w:pPr>
            <w:proofErr w:type="spellStart"/>
            <w:r w:rsidRPr="001D2260">
              <w:rPr>
                <w:b/>
                <w:bCs/>
              </w:rPr>
              <w:t>Инжектиран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обем</w:t>
            </w:r>
            <w:proofErr w:type="spellEnd"/>
            <w:r w:rsidRPr="001D2260">
              <w:rPr>
                <w:b/>
                <w:bCs/>
              </w:rPr>
              <w:t xml:space="preserve"> (ml)</w:t>
            </w:r>
          </w:p>
        </w:tc>
        <w:tc>
          <w:tcPr>
            <w:tcW w:w="1915" w:type="dxa"/>
          </w:tcPr>
          <w:p w14:paraId="66F80F38" w14:textId="6EEB822F" w:rsidR="001D2260" w:rsidRPr="001D2260" w:rsidRDefault="001D2260" w:rsidP="001D2260">
            <w:pPr>
              <w:jc w:val="center"/>
              <w:rPr>
                <w:b/>
                <w:bCs/>
              </w:rPr>
            </w:pPr>
            <w:r w:rsidRPr="001D2260">
              <w:rPr>
                <w:b/>
                <w:bCs/>
              </w:rPr>
              <w:t>Anti-</w:t>
            </w:r>
            <w:proofErr w:type="spellStart"/>
            <w:r w:rsidRPr="001D2260">
              <w:rPr>
                <w:b/>
                <w:bCs/>
              </w:rPr>
              <w:t>Xa</w:t>
            </w:r>
            <w:proofErr w:type="spellEnd"/>
            <w:r w:rsidRPr="001D2260">
              <w:rPr>
                <w:b/>
                <w:bCs/>
              </w:rPr>
              <w:t xml:space="preserve"> IU</w:t>
            </w:r>
          </w:p>
        </w:tc>
        <w:tc>
          <w:tcPr>
            <w:tcW w:w="1915" w:type="dxa"/>
          </w:tcPr>
          <w:p w14:paraId="556CC56A" w14:textId="5BEE291A" w:rsidR="001D2260" w:rsidRPr="001D2260" w:rsidRDefault="001D2260" w:rsidP="001D2260">
            <w:pPr>
              <w:jc w:val="center"/>
              <w:rPr>
                <w:b/>
                <w:bCs/>
              </w:rPr>
            </w:pPr>
            <w:proofErr w:type="spellStart"/>
            <w:r w:rsidRPr="001D2260">
              <w:rPr>
                <w:b/>
                <w:bCs/>
              </w:rPr>
              <w:t>Инжектиран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обем</w:t>
            </w:r>
            <w:proofErr w:type="spellEnd"/>
            <w:r w:rsidRPr="001D2260">
              <w:rPr>
                <w:b/>
                <w:bCs/>
              </w:rPr>
              <w:t xml:space="preserve"> (ml)</w:t>
            </w:r>
          </w:p>
        </w:tc>
        <w:tc>
          <w:tcPr>
            <w:tcW w:w="1916" w:type="dxa"/>
          </w:tcPr>
          <w:p w14:paraId="48DE46D4" w14:textId="5AABB72A" w:rsidR="001D2260" w:rsidRPr="001D2260" w:rsidRDefault="001D2260" w:rsidP="001D2260">
            <w:pPr>
              <w:jc w:val="center"/>
              <w:rPr>
                <w:b/>
                <w:bCs/>
              </w:rPr>
            </w:pPr>
            <w:r w:rsidRPr="001D2260">
              <w:rPr>
                <w:b/>
                <w:bCs/>
              </w:rPr>
              <w:t>Anti-</w:t>
            </w:r>
            <w:proofErr w:type="spellStart"/>
            <w:r w:rsidRPr="001D2260">
              <w:rPr>
                <w:b/>
                <w:bCs/>
              </w:rPr>
              <w:t>Xa</w:t>
            </w:r>
            <w:proofErr w:type="spellEnd"/>
            <w:r w:rsidRPr="001D2260">
              <w:rPr>
                <w:b/>
                <w:bCs/>
              </w:rPr>
              <w:t xml:space="preserve"> IU</w:t>
            </w:r>
          </w:p>
        </w:tc>
      </w:tr>
      <w:tr w:rsidR="001D2260" w14:paraId="593A1844" w14:textId="77777777" w:rsidTr="001D2260">
        <w:tc>
          <w:tcPr>
            <w:tcW w:w="1915" w:type="dxa"/>
          </w:tcPr>
          <w:p w14:paraId="23F30044" w14:textId="0516E73D" w:rsidR="001D2260" w:rsidRDefault="001D2260" w:rsidP="001D2260">
            <w:r>
              <w:t>&lt;50</w:t>
            </w:r>
          </w:p>
        </w:tc>
        <w:tc>
          <w:tcPr>
            <w:tcW w:w="1915" w:type="dxa"/>
          </w:tcPr>
          <w:p w14:paraId="3C5E04B3" w14:textId="5AB1B3A6" w:rsidR="001D2260" w:rsidRDefault="001D2260" w:rsidP="001D2260">
            <w:r>
              <w:t>0,2</w:t>
            </w:r>
          </w:p>
        </w:tc>
        <w:tc>
          <w:tcPr>
            <w:tcW w:w="1915" w:type="dxa"/>
          </w:tcPr>
          <w:p w14:paraId="7DE71240" w14:textId="6E45D2C0" w:rsidR="001D2260" w:rsidRDefault="001D2260" w:rsidP="001D2260">
            <w:r>
              <w:t>1 900</w:t>
            </w:r>
          </w:p>
        </w:tc>
        <w:tc>
          <w:tcPr>
            <w:tcW w:w="1915" w:type="dxa"/>
          </w:tcPr>
          <w:p w14:paraId="24B42F8A" w14:textId="07B2FBBA" w:rsidR="001D2260" w:rsidRDefault="001D2260" w:rsidP="001D2260">
            <w:r>
              <w:t>0,3</w:t>
            </w:r>
          </w:p>
        </w:tc>
        <w:tc>
          <w:tcPr>
            <w:tcW w:w="1916" w:type="dxa"/>
          </w:tcPr>
          <w:p w14:paraId="2F909893" w14:textId="786FB84D" w:rsidR="001D2260" w:rsidRDefault="001D2260" w:rsidP="001D2260">
            <w:r>
              <w:t>2 850</w:t>
            </w:r>
          </w:p>
        </w:tc>
      </w:tr>
      <w:tr w:rsidR="001D2260" w14:paraId="5C2A344B" w14:textId="77777777" w:rsidTr="001D2260">
        <w:tc>
          <w:tcPr>
            <w:tcW w:w="1915" w:type="dxa"/>
          </w:tcPr>
          <w:p w14:paraId="24C1D2E1" w14:textId="70FE68D7" w:rsidR="001D2260" w:rsidRDefault="001D2260" w:rsidP="001D2260">
            <w:r>
              <w:t>50-69</w:t>
            </w:r>
          </w:p>
        </w:tc>
        <w:tc>
          <w:tcPr>
            <w:tcW w:w="1915" w:type="dxa"/>
          </w:tcPr>
          <w:p w14:paraId="3AC3C3FA" w14:textId="6B08FE82" w:rsidR="001D2260" w:rsidRDefault="001D2260" w:rsidP="001D2260">
            <w:r>
              <w:t>0,3</w:t>
            </w:r>
          </w:p>
        </w:tc>
        <w:tc>
          <w:tcPr>
            <w:tcW w:w="1915" w:type="dxa"/>
          </w:tcPr>
          <w:p w14:paraId="0342172E" w14:textId="5318AB8D" w:rsidR="001D2260" w:rsidRDefault="001D2260" w:rsidP="001D2260">
            <w:r>
              <w:t>2 850</w:t>
            </w:r>
          </w:p>
        </w:tc>
        <w:tc>
          <w:tcPr>
            <w:tcW w:w="1915" w:type="dxa"/>
          </w:tcPr>
          <w:p w14:paraId="197FEC85" w14:textId="747A1078" w:rsidR="001D2260" w:rsidRDefault="001D2260" w:rsidP="001D2260">
            <w:r>
              <w:t>0,4</w:t>
            </w:r>
          </w:p>
        </w:tc>
        <w:tc>
          <w:tcPr>
            <w:tcW w:w="1916" w:type="dxa"/>
          </w:tcPr>
          <w:p w14:paraId="5BA1759F" w14:textId="09D6BA0B" w:rsidR="001D2260" w:rsidRDefault="001D2260" w:rsidP="001D2260">
            <w:r>
              <w:t>3 800</w:t>
            </w:r>
          </w:p>
        </w:tc>
      </w:tr>
      <w:tr w:rsidR="001D2260" w14:paraId="69F9C105" w14:textId="77777777" w:rsidTr="001D2260">
        <w:tc>
          <w:tcPr>
            <w:tcW w:w="1915" w:type="dxa"/>
          </w:tcPr>
          <w:p w14:paraId="5A2511CA" w14:textId="0DABE196" w:rsidR="001D2260" w:rsidRDefault="001D2260" w:rsidP="001D2260">
            <w:r>
              <w:t>≥70</w:t>
            </w:r>
          </w:p>
        </w:tc>
        <w:tc>
          <w:tcPr>
            <w:tcW w:w="1915" w:type="dxa"/>
          </w:tcPr>
          <w:p w14:paraId="5B28457A" w14:textId="15F9E3B4" w:rsidR="001D2260" w:rsidRDefault="001D2260" w:rsidP="001D2260">
            <w:r>
              <w:t>0,4</w:t>
            </w:r>
          </w:p>
        </w:tc>
        <w:tc>
          <w:tcPr>
            <w:tcW w:w="1915" w:type="dxa"/>
          </w:tcPr>
          <w:p w14:paraId="32FE4405" w14:textId="2EA12A50" w:rsidR="001D2260" w:rsidRDefault="001D2260" w:rsidP="001D2260">
            <w:r>
              <w:t>3 800</w:t>
            </w:r>
          </w:p>
        </w:tc>
        <w:tc>
          <w:tcPr>
            <w:tcW w:w="1915" w:type="dxa"/>
          </w:tcPr>
          <w:p w14:paraId="5F844077" w14:textId="77E10232" w:rsidR="001D2260" w:rsidRDefault="001D2260" w:rsidP="001D2260">
            <w:r>
              <w:t>0,6</w:t>
            </w:r>
          </w:p>
        </w:tc>
        <w:tc>
          <w:tcPr>
            <w:tcW w:w="1916" w:type="dxa"/>
          </w:tcPr>
          <w:p w14:paraId="6FAA0E76" w14:textId="0E1E2EC7" w:rsidR="001D2260" w:rsidRDefault="001D2260" w:rsidP="001D2260">
            <w:r>
              <w:t>5 700</w:t>
            </w:r>
          </w:p>
        </w:tc>
      </w:tr>
    </w:tbl>
    <w:p w14:paraId="7435BEFC" w14:textId="36F55073" w:rsidR="001D2260" w:rsidRDefault="001D2260" w:rsidP="001D2260"/>
    <w:p w14:paraId="3DB69F2E" w14:textId="77777777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>Високо рискови пациенти в интензивно отделение (дихателна недостатъчност и/или инфекция на дихателните пътища и/или сърдечна недостатъчност)</w:t>
      </w:r>
    </w:p>
    <w:p w14:paraId="220588AC" w14:textId="4958E39C" w:rsidR="001D2260" w:rsidRDefault="001D2260" w:rsidP="001D2260">
      <w:pPr>
        <w:rPr>
          <w:lang w:val="bg-BG" w:eastAsia="bg-BG"/>
        </w:rPr>
      </w:pP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се прилага подкожно веднъж дневно. Дозата трябва да се определи спрямо телесното тегло по дадената по-долу таблица. Лечението трябва да продължи по време на периода, рисков за възникване на тромбоемболия.</w:t>
      </w:r>
    </w:p>
    <w:p w14:paraId="7220A931" w14:textId="6A07AE9D" w:rsidR="001D2260" w:rsidRDefault="001D2260" w:rsidP="001D2260">
      <w:pPr>
        <w:rPr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31"/>
        <w:gridCol w:w="3103"/>
      </w:tblGrid>
      <w:tr w:rsidR="001D2260" w14:paraId="278D9DF2" w14:textId="77777777" w:rsidTr="00EC4BB0">
        <w:tc>
          <w:tcPr>
            <w:tcW w:w="3192" w:type="dxa"/>
          </w:tcPr>
          <w:p w14:paraId="39496DE6" w14:textId="51B56B67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D2260">
              <w:rPr>
                <w:b/>
                <w:bCs/>
              </w:rPr>
              <w:t>Телесно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тегло</w:t>
            </w:r>
            <w:proofErr w:type="spellEnd"/>
          </w:p>
        </w:tc>
        <w:tc>
          <w:tcPr>
            <w:tcW w:w="6384" w:type="dxa"/>
            <w:gridSpan w:val="2"/>
          </w:tcPr>
          <w:p w14:paraId="00DFDF7E" w14:textId="7D54ACE5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D2260">
              <w:rPr>
                <w:b/>
                <w:bCs/>
              </w:rPr>
              <w:t>Веднъж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дневно</w:t>
            </w:r>
            <w:proofErr w:type="spellEnd"/>
          </w:p>
        </w:tc>
      </w:tr>
      <w:tr w:rsidR="001D2260" w14:paraId="222C1905" w14:textId="77777777" w:rsidTr="001D2260">
        <w:tc>
          <w:tcPr>
            <w:tcW w:w="3192" w:type="dxa"/>
          </w:tcPr>
          <w:p w14:paraId="7EF11717" w14:textId="0B59BF8E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D2260">
              <w:rPr>
                <w:b/>
                <w:bCs/>
              </w:rPr>
              <w:t>(kg)</w:t>
            </w:r>
          </w:p>
        </w:tc>
        <w:tc>
          <w:tcPr>
            <w:tcW w:w="3192" w:type="dxa"/>
          </w:tcPr>
          <w:p w14:paraId="020FD252" w14:textId="332A2AE3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D2260">
              <w:rPr>
                <w:b/>
                <w:bCs/>
              </w:rPr>
              <w:t>Инжектиран</w:t>
            </w:r>
            <w:proofErr w:type="spellEnd"/>
            <w:r w:rsidRPr="001D2260">
              <w:rPr>
                <w:b/>
                <w:bCs/>
              </w:rPr>
              <w:t xml:space="preserve"> </w:t>
            </w:r>
            <w:proofErr w:type="spellStart"/>
            <w:r w:rsidRPr="001D2260">
              <w:rPr>
                <w:b/>
                <w:bCs/>
              </w:rPr>
              <w:t>обем</w:t>
            </w:r>
            <w:proofErr w:type="spellEnd"/>
            <w:r w:rsidRPr="001D2260">
              <w:rPr>
                <w:b/>
                <w:bCs/>
              </w:rPr>
              <w:t xml:space="preserve"> (ml)</w:t>
            </w:r>
          </w:p>
        </w:tc>
        <w:tc>
          <w:tcPr>
            <w:tcW w:w="3192" w:type="dxa"/>
          </w:tcPr>
          <w:p w14:paraId="576B2C17" w14:textId="4175118F" w:rsidR="001D2260" w:rsidRPr="001D2260" w:rsidRDefault="001D2260" w:rsidP="001D2260">
            <w:pPr>
              <w:jc w:val="center"/>
              <w:rPr>
                <w:b/>
                <w:bCs/>
                <w:sz w:val="24"/>
                <w:szCs w:val="24"/>
              </w:rPr>
            </w:pPr>
            <w:r w:rsidRPr="001D2260">
              <w:rPr>
                <w:b/>
                <w:bCs/>
                <w:lang w:val="bg-BG"/>
              </w:rPr>
              <w:t>А</w:t>
            </w:r>
            <w:proofErr w:type="spellStart"/>
            <w:r w:rsidRPr="001D2260">
              <w:rPr>
                <w:b/>
                <w:bCs/>
              </w:rPr>
              <w:t>nti-Xa</w:t>
            </w:r>
            <w:proofErr w:type="spellEnd"/>
            <w:r w:rsidRPr="001D2260">
              <w:rPr>
                <w:b/>
                <w:bCs/>
              </w:rPr>
              <w:t xml:space="preserve"> IU</w:t>
            </w:r>
          </w:p>
          <w:p w14:paraId="34044086" w14:textId="77777777" w:rsidR="001D2260" w:rsidRPr="001D2260" w:rsidRDefault="001D2260" w:rsidP="001D2260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1D2260" w14:paraId="5E7087A0" w14:textId="77777777" w:rsidTr="001D2260">
        <w:tc>
          <w:tcPr>
            <w:tcW w:w="3192" w:type="dxa"/>
          </w:tcPr>
          <w:p w14:paraId="10C8921C" w14:textId="0D166555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t>&lt;70</w:t>
            </w:r>
          </w:p>
        </w:tc>
        <w:tc>
          <w:tcPr>
            <w:tcW w:w="3192" w:type="dxa"/>
          </w:tcPr>
          <w:p w14:paraId="799A05F9" w14:textId="73BC0F71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t>0,4</w:t>
            </w:r>
          </w:p>
        </w:tc>
        <w:tc>
          <w:tcPr>
            <w:tcW w:w="3192" w:type="dxa"/>
          </w:tcPr>
          <w:p w14:paraId="24E41E70" w14:textId="504DCD05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3800</w:t>
            </w:r>
          </w:p>
        </w:tc>
      </w:tr>
      <w:tr w:rsidR="001D2260" w14:paraId="2DF7FD7C" w14:textId="77777777" w:rsidTr="001D2260">
        <w:tc>
          <w:tcPr>
            <w:tcW w:w="3192" w:type="dxa"/>
          </w:tcPr>
          <w:p w14:paraId="1E0FF645" w14:textId="2F3A30F1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t>&gt;70</w:t>
            </w:r>
          </w:p>
        </w:tc>
        <w:tc>
          <w:tcPr>
            <w:tcW w:w="3192" w:type="dxa"/>
          </w:tcPr>
          <w:p w14:paraId="6567732E" w14:textId="10A95F1C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t>0,6</w:t>
            </w:r>
          </w:p>
        </w:tc>
        <w:tc>
          <w:tcPr>
            <w:tcW w:w="3192" w:type="dxa"/>
          </w:tcPr>
          <w:p w14:paraId="4CBA9BCE" w14:textId="71F7277F" w:rsidR="001D2260" w:rsidRDefault="001D2260" w:rsidP="001D226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5700</w:t>
            </w:r>
          </w:p>
        </w:tc>
      </w:tr>
    </w:tbl>
    <w:p w14:paraId="43C2B9F1" w14:textId="77777777" w:rsidR="001D2260" w:rsidRPr="001D2260" w:rsidRDefault="001D2260" w:rsidP="001D2260">
      <w:pPr>
        <w:rPr>
          <w:sz w:val="24"/>
          <w:szCs w:val="24"/>
          <w:lang w:val="bg-BG"/>
        </w:rPr>
      </w:pPr>
    </w:p>
    <w:p w14:paraId="641F21D3" w14:textId="77777777" w:rsidR="001D2260" w:rsidRPr="001D2260" w:rsidRDefault="001D2260" w:rsidP="001D2260">
      <w:pPr>
        <w:rPr>
          <w:b/>
          <w:bCs/>
          <w:sz w:val="24"/>
          <w:szCs w:val="24"/>
          <w:lang w:val="bg-BG"/>
        </w:rPr>
      </w:pPr>
      <w:r w:rsidRPr="001D2260">
        <w:rPr>
          <w:b/>
          <w:bCs/>
          <w:lang w:val="bg-BG" w:eastAsia="bg-BG"/>
        </w:rPr>
        <w:t>ЛЕЧЕНИЕ НА ТРОМБОЕМБОЛИЧНИ НАРУШЕНИЯ</w:t>
      </w:r>
    </w:p>
    <w:p w14:paraId="19619530" w14:textId="77777777" w:rsidR="001D2260" w:rsidRPr="001D2260" w:rsidRDefault="001D2260" w:rsidP="001D2260">
      <w:pPr>
        <w:rPr>
          <w:sz w:val="24"/>
          <w:szCs w:val="24"/>
          <w:lang w:val="bg-BG"/>
        </w:rPr>
      </w:pPr>
      <w:r w:rsidRPr="001D2260">
        <w:rPr>
          <w:lang w:val="bg-BG" w:eastAsia="bg-BG"/>
        </w:rPr>
        <w:t xml:space="preserve">При лечение на </w:t>
      </w:r>
      <w:proofErr w:type="spellStart"/>
      <w:r w:rsidRPr="001D2260">
        <w:rPr>
          <w:lang w:val="bg-BG" w:eastAsia="bg-BG"/>
        </w:rPr>
        <w:t>тромбоемболични</w:t>
      </w:r>
      <w:proofErr w:type="spellEnd"/>
      <w:r w:rsidRPr="001D2260">
        <w:rPr>
          <w:lang w:val="bg-BG" w:eastAsia="bg-BG"/>
        </w:rPr>
        <w:t xml:space="preserve"> нарушения трябва възможно най-рано да се започне перорална </w:t>
      </w:r>
      <w:proofErr w:type="spellStart"/>
      <w:r w:rsidRPr="001D2260">
        <w:rPr>
          <w:lang w:val="bg-BG" w:eastAsia="bg-BG"/>
        </w:rPr>
        <w:t>антикоагулантна</w:t>
      </w:r>
      <w:proofErr w:type="spellEnd"/>
      <w:r w:rsidRPr="001D2260">
        <w:rPr>
          <w:lang w:val="bg-BG" w:eastAsia="bg-BG"/>
        </w:rPr>
        <w:t xml:space="preserve"> терапия, освен ако това не е противопоказано. Приложението на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не трябва да се прекъсва, докато не се достигне желаната стойност на </w:t>
      </w:r>
      <w:proofErr w:type="spellStart"/>
      <w:r w:rsidRPr="001D2260">
        <w:rPr>
          <w:lang w:val="bg-BG" w:eastAsia="bg-BG"/>
        </w:rPr>
        <w:t>протромбиновото</w:t>
      </w:r>
      <w:proofErr w:type="spellEnd"/>
      <w:r w:rsidRPr="001D2260">
        <w:rPr>
          <w:lang w:val="bg-BG" w:eastAsia="bg-BG"/>
        </w:rPr>
        <w:t xml:space="preserve"> време</w:t>
      </w:r>
      <w:r w:rsidRPr="001D2260">
        <w:t xml:space="preserve">/INR </w:t>
      </w:r>
      <w:r w:rsidRPr="001D2260">
        <w:rPr>
          <w:lang w:val="bg-BG" w:eastAsia="bg-BG"/>
        </w:rPr>
        <w:t>(международно стандартизирано съотношение).</w:t>
      </w:r>
    </w:p>
    <w:p w14:paraId="2AD17CD5" w14:textId="77777777" w:rsidR="001D2260" w:rsidRDefault="001D2260" w:rsidP="001D2260">
      <w:pPr>
        <w:rPr>
          <w:lang w:val="bg-BG" w:eastAsia="bg-BG"/>
        </w:rPr>
      </w:pPr>
    </w:p>
    <w:p w14:paraId="7C1C228A" w14:textId="0A63DEB1" w:rsidR="001D2260" w:rsidRDefault="001D2260" w:rsidP="001D2260">
      <w:pPr>
        <w:rPr>
          <w:lang w:eastAsia="bg-BG"/>
        </w:rPr>
      </w:pPr>
      <w:r w:rsidRPr="001D2260">
        <w:rPr>
          <w:lang w:val="bg-BG" w:eastAsia="bg-BG"/>
        </w:rPr>
        <w:t xml:space="preserve">Препоръчва се </w:t>
      </w:r>
      <w:proofErr w:type="spellStart"/>
      <w:r w:rsidRPr="001D2260">
        <w:rPr>
          <w:lang w:val="bg-BG" w:eastAsia="bg-BG"/>
        </w:rPr>
        <w:t>надропарин</w:t>
      </w:r>
      <w:proofErr w:type="spellEnd"/>
      <w:r w:rsidRPr="001D2260">
        <w:rPr>
          <w:lang w:val="bg-BG" w:eastAsia="bg-BG"/>
        </w:rPr>
        <w:t xml:space="preserve"> да се прилага подкожно два пъти дневно (на всеки 12 часа), обикновено за период от 10 дни. Дозата трябва да се определи спрямо телесното тегло по дадената по-долу таблица, като се основава на таргетна доза от 86 </w:t>
      </w:r>
      <w:r w:rsidRPr="001D2260">
        <w:t>anti-</w:t>
      </w:r>
      <w:proofErr w:type="spellStart"/>
      <w:r w:rsidRPr="001D2260">
        <w:t>Xa</w:t>
      </w:r>
      <w:proofErr w:type="spellEnd"/>
      <w:r w:rsidRPr="001D2260">
        <w:t xml:space="preserve"> IU </w:t>
      </w:r>
      <w:r w:rsidRPr="001D2260">
        <w:rPr>
          <w:lang w:val="bg-BG" w:eastAsia="bg-BG"/>
        </w:rPr>
        <w:t xml:space="preserve">на </w:t>
      </w:r>
      <w:r w:rsidRPr="001D2260">
        <w:t xml:space="preserve">kg </w:t>
      </w:r>
      <w:r w:rsidRPr="001D2260">
        <w:rPr>
          <w:lang w:val="bg-BG" w:eastAsia="bg-BG"/>
        </w:rPr>
        <w:t>телесно</w:t>
      </w:r>
      <w:r>
        <w:rPr>
          <w:lang w:val="bg-BG" w:eastAsia="bg-BG"/>
        </w:rPr>
        <w:t xml:space="preserve"> тегло.</w:t>
      </w:r>
    </w:p>
    <w:p w14:paraId="3462E2B3" w14:textId="509FC1EC" w:rsidR="00B91F6F" w:rsidRDefault="00B91F6F" w:rsidP="001D2260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31"/>
        <w:gridCol w:w="3102"/>
      </w:tblGrid>
      <w:tr w:rsidR="00B91F6F" w14:paraId="17BB9CCB" w14:textId="77777777" w:rsidTr="00EC4BB0">
        <w:tc>
          <w:tcPr>
            <w:tcW w:w="3192" w:type="dxa"/>
            <w:vMerge w:val="restart"/>
          </w:tcPr>
          <w:p w14:paraId="6D3F2708" w14:textId="77777777" w:rsidR="00B91F6F" w:rsidRPr="00B91F6F" w:rsidRDefault="00B91F6F" w:rsidP="00B91F6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B91F6F">
              <w:rPr>
                <w:b/>
                <w:bCs/>
                <w:lang w:val="bg-BG" w:eastAsia="bg-BG"/>
              </w:rPr>
              <w:t xml:space="preserve">Телесно тегло </w:t>
            </w:r>
            <w:r w:rsidRPr="00B91F6F">
              <w:rPr>
                <w:b/>
                <w:bCs/>
              </w:rPr>
              <w:t>(kg)</w:t>
            </w:r>
          </w:p>
          <w:p w14:paraId="3E1F1460" w14:textId="77777777" w:rsidR="00B91F6F" w:rsidRPr="00B91F6F" w:rsidRDefault="00B91F6F" w:rsidP="00B91F6F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6384" w:type="dxa"/>
            <w:gridSpan w:val="2"/>
          </w:tcPr>
          <w:p w14:paraId="02DBADEA" w14:textId="77777777" w:rsidR="00B91F6F" w:rsidRPr="00B91F6F" w:rsidRDefault="00B91F6F" w:rsidP="00B91F6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B91F6F">
              <w:rPr>
                <w:b/>
                <w:bCs/>
                <w:lang w:val="bg-BG" w:eastAsia="bg-BG"/>
              </w:rPr>
              <w:t>Два пъти дневно, обикновено за 10 дни</w:t>
            </w:r>
          </w:p>
          <w:p w14:paraId="2333DD40" w14:textId="77777777" w:rsidR="00B91F6F" w:rsidRPr="00B91F6F" w:rsidRDefault="00B91F6F" w:rsidP="00B91F6F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B91F6F" w14:paraId="5F2D8B45" w14:textId="77777777" w:rsidTr="00B91F6F">
        <w:tc>
          <w:tcPr>
            <w:tcW w:w="3192" w:type="dxa"/>
            <w:vMerge/>
          </w:tcPr>
          <w:p w14:paraId="137AE899" w14:textId="77777777" w:rsidR="00B91F6F" w:rsidRPr="00B91F6F" w:rsidRDefault="00B91F6F" w:rsidP="00B91F6F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3192" w:type="dxa"/>
          </w:tcPr>
          <w:p w14:paraId="6D39E8AE" w14:textId="221AB684" w:rsidR="00B91F6F" w:rsidRPr="00B91F6F" w:rsidRDefault="00B91F6F" w:rsidP="00B91F6F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B91F6F">
              <w:rPr>
                <w:b/>
                <w:bCs/>
              </w:rPr>
              <w:t>Инжектиран</w:t>
            </w:r>
            <w:proofErr w:type="spellEnd"/>
            <w:r w:rsidRPr="00B91F6F">
              <w:rPr>
                <w:b/>
                <w:bCs/>
              </w:rPr>
              <w:t xml:space="preserve"> </w:t>
            </w:r>
            <w:proofErr w:type="spellStart"/>
            <w:r w:rsidRPr="00B91F6F">
              <w:rPr>
                <w:b/>
                <w:bCs/>
              </w:rPr>
              <w:t>обем</w:t>
            </w:r>
            <w:proofErr w:type="spellEnd"/>
            <w:r w:rsidRPr="00B91F6F">
              <w:rPr>
                <w:b/>
                <w:bCs/>
              </w:rPr>
              <w:t xml:space="preserve"> (ml)</w:t>
            </w:r>
          </w:p>
        </w:tc>
        <w:tc>
          <w:tcPr>
            <w:tcW w:w="3192" w:type="dxa"/>
          </w:tcPr>
          <w:p w14:paraId="61A056C4" w14:textId="75D8B839" w:rsidR="00B91F6F" w:rsidRPr="00B91F6F" w:rsidRDefault="00B91F6F" w:rsidP="00B91F6F">
            <w:pPr>
              <w:jc w:val="center"/>
              <w:rPr>
                <w:b/>
                <w:bCs/>
                <w:lang w:eastAsia="bg-BG"/>
              </w:rPr>
            </w:pPr>
            <w:r w:rsidRPr="00B91F6F">
              <w:rPr>
                <w:b/>
                <w:bCs/>
              </w:rPr>
              <w:t>Anti-</w:t>
            </w:r>
            <w:proofErr w:type="spellStart"/>
            <w:r w:rsidRPr="00B91F6F">
              <w:rPr>
                <w:b/>
                <w:bCs/>
              </w:rPr>
              <w:t>Xa</w:t>
            </w:r>
            <w:proofErr w:type="spellEnd"/>
            <w:r w:rsidRPr="00B91F6F">
              <w:rPr>
                <w:b/>
                <w:bCs/>
              </w:rPr>
              <w:t xml:space="preserve"> IU</w:t>
            </w:r>
          </w:p>
        </w:tc>
      </w:tr>
      <w:tr w:rsidR="00B91F6F" w14:paraId="0BDDF142" w14:textId="77777777" w:rsidTr="00B91F6F">
        <w:tc>
          <w:tcPr>
            <w:tcW w:w="3192" w:type="dxa"/>
          </w:tcPr>
          <w:p w14:paraId="7144CFBF" w14:textId="6E7BF82D" w:rsidR="00B91F6F" w:rsidRDefault="00B91F6F" w:rsidP="00B91F6F">
            <w:pPr>
              <w:rPr>
                <w:lang w:eastAsia="bg-BG"/>
              </w:rPr>
            </w:pPr>
            <w:r>
              <w:t>&lt;50</w:t>
            </w:r>
          </w:p>
        </w:tc>
        <w:tc>
          <w:tcPr>
            <w:tcW w:w="3192" w:type="dxa"/>
          </w:tcPr>
          <w:p w14:paraId="77E2D1FD" w14:textId="24ECD2A8" w:rsidR="00B91F6F" w:rsidRDefault="00B91F6F" w:rsidP="00B91F6F">
            <w:pPr>
              <w:rPr>
                <w:lang w:eastAsia="bg-BG"/>
              </w:rPr>
            </w:pPr>
            <w:r>
              <w:t>0,4</w:t>
            </w:r>
          </w:p>
        </w:tc>
        <w:tc>
          <w:tcPr>
            <w:tcW w:w="3192" w:type="dxa"/>
          </w:tcPr>
          <w:p w14:paraId="539EBDA3" w14:textId="2C5A37B2" w:rsidR="00B91F6F" w:rsidRDefault="00B91F6F" w:rsidP="00B91F6F">
            <w:pPr>
              <w:rPr>
                <w:lang w:eastAsia="bg-BG"/>
              </w:rPr>
            </w:pPr>
            <w:r>
              <w:t>3 800</w:t>
            </w:r>
          </w:p>
        </w:tc>
      </w:tr>
      <w:tr w:rsidR="00B91F6F" w14:paraId="5EE86208" w14:textId="77777777" w:rsidTr="00B91F6F">
        <w:tc>
          <w:tcPr>
            <w:tcW w:w="3192" w:type="dxa"/>
          </w:tcPr>
          <w:p w14:paraId="5C7D18B0" w14:textId="1C177824" w:rsidR="00B91F6F" w:rsidRDefault="00B91F6F" w:rsidP="00B91F6F">
            <w:pPr>
              <w:rPr>
                <w:lang w:eastAsia="bg-BG"/>
              </w:rPr>
            </w:pPr>
            <w:r>
              <w:t>50-59</w:t>
            </w:r>
          </w:p>
        </w:tc>
        <w:tc>
          <w:tcPr>
            <w:tcW w:w="3192" w:type="dxa"/>
          </w:tcPr>
          <w:p w14:paraId="4628FC1E" w14:textId="4B68B3B3" w:rsidR="00B91F6F" w:rsidRDefault="00B91F6F" w:rsidP="00B91F6F">
            <w:pPr>
              <w:rPr>
                <w:lang w:eastAsia="bg-BG"/>
              </w:rPr>
            </w:pPr>
            <w:r>
              <w:t>0,5</w:t>
            </w:r>
          </w:p>
        </w:tc>
        <w:tc>
          <w:tcPr>
            <w:tcW w:w="3192" w:type="dxa"/>
          </w:tcPr>
          <w:p w14:paraId="2D5CDF1F" w14:textId="0AC2C3D4" w:rsidR="00B91F6F" w:rsidRDefault="00B91F6F" w:rsidP="00B91F6F">
            <w:pPr>
              <w:rPr>
                <w:lang w:eastAsia="bg-BG"/>
              </w:rPr>
            </w:pPr>
            <w:r>
              <w:t>4 750</w:t>
            </w:r>
          </w:p>
        </w:tc>
      </w:tr>
      <w:tr w:rsidR="00B91F6F" w14:paraId="53D6E9FE" w14:textId="77777777" w:rsidTr="00B91F6F">
        <w:tc>
          <w:tcPr>
            <w:tcW w:w="3192" w:type="dxa"/>
          </w:tcPr>
          <w:p w14:paraId="1405A879" w14:textId="6CDF61C5" w:rsidR="00B91F6F" w:rsidRDefault="00B91F6F" w:rsidP="00B91F6F">
            <w:pPr>
              <w:rPr>
                <w:lang w:eastAsia="bg-BG"/>
              </w:rPr>
            </w:pPr>
            <w:r>
              <w:t>60-69</w:t>
            </w:r>
          </w:p>
        </w:tc>
        <w:tc>
          <w:tcPr>
            <w:tcW w:w="3192" w:type="dxa"/>
          </w:tcPr>
          <w:p w14:paraId="381CDC16" w14:textId="50B6C6E4" w:rsidR="00B91F6F" w:rsidRDefault="00B91F6F" w:rsidP="00B91F6F">
            <w:pPr>
              <w:rPr>
                <w:lang w:eastAsia="bg-BG"/>
              </w:rPr>
            </w:pPr>
            <w:r>
              <w:t>0,6</w:t>
            </w:r>
          </w:p>
        </w:tc>
        <w:tc>
          <w:tcPr>
            <w:tcW w:w="3192" w:type="dxa"/>
          </w:tcPr>
          <w:p w14:paraId="4633FF53" w14:textId="0EF8EA47" w:rsidR="00B91F6F" w:rsidRDefault="00B91F6F" w:rsidP="00B91F6F">
            <w:pPr>
              <w:rPr>
                <w:lang w:eastAsia="bg-BG"/>
              </w:rPr>
            </w:pPr>
            <w:r>
              <w:t>5 700</w:t>
            </w:r>
          </w:p>
        </w:tc>
      </w:tr>
      <w:tr w:rsidR="00B91F6F" w14:paraId="71C7352C" w14:textId="77777777" w:rsidTr="00B91F6F">
        <w:tc>
          <w:tcPr>
            <w:tcW w:w="3192" w:type="dxa"/>
          </w:tcPr>
          <w:p w14:paraId="76DBA31E" w14:textId="7E406A46" w:rsidR="00B91F6F" w:rsidRDefault="00B91F6F" w:rsidP="00B91F6F">
            <w:pPr>
              <w:rPr>
                <w:lang w:eastAsia="bg-BG"/>
              </w:rPr>
            </w:pPr>
            <w:r>
              <w:t>70-79</w:t>
            </w:r>
          </w:p>
        </w:tc>
        <w:tc>
          <w:tcPr>
            <w:tcW w:w="3192" w:type="dxa"/>
          </w:tcPr>
          <w:p w14:paraId="630D9AAD" w14:textId="083A0063" w:rsidR="00B91F6F" w:rsidRDefault="00B91F6F" w:rsidP="00B91F6F">
            <w:pPr>
              <w:rPr>
                <w:lang w:eastAsia="bg-BG"/>
              </w:rPr>
            </w:pPr>
            <w:r>
              <w:t>0,7</w:t>
            </w:r>
          </w:p>
        </w:tc>
        <w:tc>
          <w:tcPr>
            <w:tcW w:w="3192" w:type="dxa"/>
          </w:tcPr>
          <w:p w14:paraId="1BF3C487" w14:textId="342D7A4E" w:rsidR="00B91F6F" w:rsidRDefault="00B91F6F" w:rsidP="00B91F6F">
            <w:pPr>
              <w:rPr>
                <w:lang w:eastAsia="bg-BG"/>
              </w:rPr>
            </w:pPr>
            <w:r>
              <w:t>6 650</w:t>
            </w:r>
          </w:p>
        </w:tc>
      </w:tr>
      <w:tr w:rsidR="00B91F6F" w14:paraId="0EA2FC0F" w14:textId="77777777" w:rsidTr="00B91F6F">
        <w:tc>
          <w:tcPr>
            <w:tcW w:w="3192" w:type="dxa"/>
          </w:tcPr>
          <w:p w14:paraId="024FD9CA" w14:textId="4FB9DFD9" w:rsidR="00B91F6F" w:rsidRDefault="00B91F6F" w:rsidP="00B91F6F">
            <w:pPr>
              <w:rPr>
                <w:lang w:eastAsia="bg-BG"/>
              </w:rPr>
            </w:pPr>
            <w:r>
              <w:t>80-89</w:t>
            </w:r>
          </w:p>
        </w:tc>
        <w:tc>
          <w:tcPr>
            <w:tcW w:w="3192" w:type="dxa"/>
          </w:tcPr>
          <w:p w14:paraId="4C62D726" w14:textId="28CD55AF" w:rsidR="00B91F6F" w:rsidRDefault="00B91F6F" w:rsidP="00B91F6F">
            <w:pPr>
              <w:rPr>
                <w:lang w:eastAsia="bg-BG"/>
              </w:rPr>
            </w:pPr>
            <w:r>
              <w:t>0,8</w:t>
            </w:r>
          </w:p>
        </w:tc>
        <w:tc>
          <w:tcPr>
            <w:tcW w:w="3192" w:type="dxa"/>
          </w:tcPr>
          <w:p w14:paraId="06E4B290" w14:textId="685CE9D9" w:rsidR="00B91F6F" w:rsidRDefault="00B91F6F" w:rsidP="00B91F6F">
            <w:pPr>
              <w:rPr>
                <w:lang w:eastAsia="bg-BG"/>
              </w:rPr>
            </w:pPr>
            <w:r>
              <w:t>7 600</w:t>
            </w:r>
          </w:p>
        </w:tc>
      </w:tr>
      <w:tr w:rsidR="00B91F6F" w14:paraId="3CF73C3D" w14:textId="77777777" w:rsidTr="00B91F6F">
        <w:tc>
          <w:tcPr>
            <w:tcW w:w="3192" w:type="dxa"/>
          </w:tcPr>
          <w:p w14:paraId="1DAC7257" w14:textId="0C2130D2" w:rsidR="00B91F6F" w:rsidRDefault="00B91F6F" w:rsidP="00B91F6F">
            <w:pPr>
              <w:rPr>
                <w:lang w:eastAsia="bg-BG"/>
              </w:rPr>
            </w:pPr>
            <w:r w:rsidRPr="00B91F6F">
              <w:t>≥</w:t>
            </w:r>
            <w:r>
              <w:t>90</w:t>
            </w:r>
          </w:p>
        </w:tc>
        <w:tc>
          <w:tcPr>
            <w:tcW w:w="3192" w:type="dxa"/>
          </w:tcPr>
          <w:p w14:paraId="7BAB317E" w14:textId="17906385" w:rsidR="00B91F6F" w:rsidRDefault="00B91F6F" w:rsidP="00B91F6F">
            <w:pPr>
              <w:rPr>
                <w:lang w:eastAsia="bg-BG"/>
              </w:rPr>
            </w:pPr>
            <w:r>
              <w:t>0,9</w:t>
            </w:r>
          </w:p>
        </w:tc>
        <w:tc>
          <w:tcPr>
            <w:tcW w:w="3192" w:type="dxa"/>
          </w:tcPr>
          <w:p w14:paraId="7196B052" w14:textId="1946A515" w:rsidR="00B91F6F" w:rsidRDefault="00B91F6F" w:rsidP="00B91F6F">
            <w:pPr>
              <w:rPr>
                <w:lang w:eastAsia="bg-BG"/>
              </w:rPr>
            </w:pPr>
            <w:r>
              <w:t>8 550</w:t>
            </w:r>
          </w:p>
        </w:tc>
      </w:tr>
    </w:tbl>
    <w:p w14:paraId="0573E4E2" w14:textId="77777777" w:rsidR="009E3471" w:rsidRDefault="009E3471" w:rsidP="009E3471">
      <w:pPr>
        <w:rPr>
          <w:b/>
          <w:bCs/>
          <w:lang w:val="bg-BG" w:eastAsia="bg-BG"/>
        </w:rPr>
      </w:pPr>
    </w:p>
    <w:p w14:paraId="58A0189D" w14:textId="78DB05A1" w:rsidR="009E3471" w:rsidRPr="009E3471" w:rsidRDefault="009E3471" w:rsidP="009E3471">
      <w:pPr>
        <w:rPr>
          <w:b/>
          <w:bCs/>
          <w:sz w:val="24"/>
          <w:szCs w:val="24"/>
          <w:lang w:val="bg-BG"/>
        </w:rPr>
      </w:pPr>
      <w:r w:rsidRPr="009E3471">
        <w:rPr>
          <w:b/>
          <w:bCs/>
          <w:lang w:val="bg-BG" w:eastAsia="bg-BG"/>
        </w:rPr>
        <w:t>ПРЕДОТВРАТЯВАНЕ НА КРЪВОСЪСИРВАНЕТО В ЕКСТРАКОРПОРАЛНИЯ КРЪГ ПО ВРЕМЕ НА ХЕМОДИАЛИЗА</w:t>
      </w:r>
    </w:p>
    <w:p w14:paraId="10DD144F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lastRenderedPageBreak/>
        <w:t xml:space="preserve">За предпазване от кръвосъсирване по време на хемодиализа дозата на </w:t>
      </w: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 xml:space="preserve"> се оптимизира за всеки пациент поотделно, като се взимат предвид и техническите условия на изпълнение на диализата.</w:t>
      </w:r>
    </w:p>
    <w:p w14:paraId="5653428B" w14:textId="77777777" w:rsidR="009E3471" w:rsidRDefault="009E3471" w:rsidP="009E3471">
      <w:pPr>
        <w:rPr>
          <w:lang w:val="bg-BG" w:eastAsia="bg-BG"/>
        </w:rPr>
      </w:pPr>
    </w:p>
    <w:p w14:paraId="0C60CE67" w14:textId="532CA962" w:rsidR="009E3471" w:rsidRDefault="009E3471" w:rsidP="009E3471">
      <w:pPr>
        <w:rPr>
          <w:lang w:val="bg-BG" w:eastAsia="bg-BG"/>
        </w:rPr>
      </w:pP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 xml:space="preserve"> обикновено се прилага като еднократна доза в артериалната линия в началото на всеки </w:t>
      </w:r>
      <w:proofErr w:type="spellStart"/>
      <w:r w:rsidRPr="009E3471">
        <w:rPr>
          <w:lang w:val="bg-BG" w:eastAsia="bg-BG"/>
        </w:rPr>
        <w:t>диализен</w:t>
      </w:r>
      <w:proofErr w:type="spellEnd"/>
      <w:r w:rsidRPr="009E3471">
        <w:rPr>
          <w:lang w:val="bg-BG" w:eastAsia="bg-BG"/>
        </w:rPr>
        <w:t xml:space="preserve"> сеанс. При пациенти без повишен риск от кървене се препоръчват следните начални дози, определени спрямо телесното тегло. Те обикновено са достатъчни при 4-часов </w:t>
      </w:r>
      <w:proofErr w:type="spellStart"/>
      <w:r w:rsidRPr="009E3471">
        <w:rPr>
          <w:lang w:val="bg-BG" w:eastAsia="bg-BG"/>
        </w:rPr>
        <w:t>диализен</w:t>
      </w:r>
      <w:proofErr w:type="spellEnd"/>
      <w:r w:rsidRPr="009E3471">
        <w:rPr>
          <w:lang w:val="bg-BG" w:eastAsia="bg-BG"/>
        </w:rPr>
        <w:t xml:space="preserve"> сеанс: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31"/>
        <w:gridCol w:w="3102"/>
      </w:tblGrid>
      <w:tr w:rsidR="009E3471" w14:paraId="4B879891" w14:textId="77777777" w:rsidTr="00EC4BB0">
        <w:tc>
          <w:tcPr>
            <w:tcW w:w="3192" w:type="dxa"/>
            <w:vMerge w:val="restart"/>
          </w:tcPr>
          <w:p w14:paraId="7AA0D210" w14:textId="0BD8E4D3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E3471">
              <w:rPr>
                <w:b/>
                <w:bCs/>
              </w:rPr>
              <w:t>Телесно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тегло</w:t>
            </w:r>
            <w:proofErr w:type="spellEnd"/>
            <w:r w:rsidRPr="009E3471">
              <w:rPr>
                <w:b/>
                <w:bCs/>
              </w:rPr>
              <w:t xml:space="preserve"> (Kg)</w:t>
            </w:r>
          </w:p>
        </w:tc>
        <w:tc>
          <w:tcPr>
            <w:tcW w:w="6384" w:type="dxa"/>
            <w:gridSpan w:val="2"/>
          </w:tcPr>
          <w:p w14:paraId="2C745D71" w14:textId="77777777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E3471">
              <w:rPr>
                <w:b/>
                <w:bCs/>
                <w:lang w:val="bg-BG" w:eastAsia="bg-BG"/>
              </w:rPr>
              <w:t>Инжектира се в артериалната линия при започване на диализата</w:t>
            </w:r>
          </w:p>
          <w:p w14:paraId="68CAEA33" w14:textId="77777777" w:rsidR="009E3471" w:rsidRPr="009E3471" w:rsidRDefault="009E3471" w:rsidP="009E3471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9E3471" w14:paraId="3649A9B4" w14:textId="77777777" w:rsidTr="009E3471">
        <w:tc>
          <w:tcPr>
            <w:tcW w:w="3192" w:type="dxa"/>
            <w:vMerge/>
          </w:tcPr>
          <w:p w14:paraId="2BF4DE0D" w14:textId="77777777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14:paraId="6BF7575C" w14:textId="27A4DE52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E3471">
              <w:rPr>
                <w:b/>
                <w:bCs/>
              </w:rPr>
              <w:t>Инжектиран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обем</w:t>
            </w:r>
            <w:proofErr w:type="spellEnd"/>
            <w:r w:rsidRPr="009E3471">
              <w:rPr>
                <w:b/>
                <w:bCs/>
              </w:rPr>
              <w:t xml:space="preserve"> (ml)</w:t>
            </w:r>
          </w:p>
        </w:tc>
        <w:tc>
          <w:tcPr>
            <w:tcW w:w="3192" w:type="dxa"/>
          </w:tcPr>
          <w:p w14:paraId="0ADF5EEF" w14:textId="7AF1B339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E3471">
              <w:rPr>
                <w:b/>
                <w:bCs/>
              </w:rPr>
              <w:t>Anti-</w:t>
            </w:r>
            <w:proofErr w:type="spellStart"/>
            <w:r w:rsidRPr="009E3471">
              <w:rPr>
                <w:b/>
                <w:bCs/>
              </w:rPr>
              <w:t>Xa</w:t>
            </w:r>
            <w:proofErr w:type="spellEnd"/>
            <w:r w:rsidRPr="009E3471">
              <w:rPr>
                <w:b/>
                <w:bCs/>
              </w:rPr>
              <w:t xml:space="preserve"> IU</w:t>
            </w:r>
          </w:p>
        </w:tc>
      </w:tr>
      <w:tr w:rsidR="009E3471" w14:paraId="0916979D" w14:textId="77777777" w:rsidTr="009E3471">
        <w:tc>
          <w:tcPr>
            <w:tcW w:w="3192" w:type="dxa"/>
          </w:tcPr>
          <w:p w14:paraId="43001EAE" w14:textId="6DFDFB9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&lt;50</w:t>
            </w:r>
          </w:p>
        </w:tc>
        <w:tc>
          <w:tcPr>
            <w:tcW w:w="3192" w:type="dxa"/>
          </w:tcPr>
          <w:p w14:paraId="76A5CD34" w14:textId="43AAD57C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0,3</w:t>
            </w:r>
          </w:p>
        </w:tc>
        <w:tc>
          <w:tcPr>
            <w:tcW w:w="3192" w:type="dxa"/>
          </w:tcPr>
          <w:p w14:paraId="51BE357B" w14:textId="0BCCCBD8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2 850</w:t>
            </w:r>
          </w:p>
        </w:tc>
      </w:tr>
      <w:tr w:rsidR="009E3471" w14:paraId="7EEDA877" w14:textId="77777777" w:rsidTr="009E3471">
        <w:tc>
          <w:tcPr>
            <w:tcW w:w="3192" w:type="dxa"/>
          </w:tcPr>
          <w:p w14:paraId="42C3130A" w14:textId="4AB4D01F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50-69</w:t>
            </w:r>
          </w:p>
        </w:tc>
        <w:tc>
          <w:tcPr>
            <w:tcW w:w="3192" w:type="dxa"/>
          </w:tcPr>
          <w:p w14:paraId="50BE3887" w14:textId="15A10703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0,4</w:t>
            </w:r>
          </w:p>
        </w:tc>
        <w:tc>
          <w:tcPr>
            <w:tcW w:w="3192" w:type="dxa"/>
          </w:tcPr>
          <w:p w14:paraId="2C8B8157" w14:textId="5D96B815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3 800</w:t>
            </w:r>
          </w:p>
        </w:tc>
      </w:tr>
      <w:tr w:rsidR="009E3471" w14:paraId="739EC76A" w14:textId="77777777" w:rsidTr="009E3471">
        <w:tc>
          <w:tcPr>
            <w:tcW w:w="3192" w:type="dxa"/>
          </w:tcPr>
          <w:p w14:paraId="7E64D077" w14:textId="60327CEB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 w:rsidRPr="009E3471">
              <w:t>≥</w:t>
            </w:r>
            <w:r>
              <w:t>70</w:t>
            </w:r>
          </w:p>
        </w:tc>
        <w:tc>
          <w:tcPr>
            <w:tcW w:w="3192" w:type="dxa"/>
          </w:tcPr>
          <w:p w14:paraId="7C9E7384" w14:textId="5C5B0135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0,6</w:t>
            </w:r>
          </w:p>
        </w:tc>
        <w:tc>
          <w:tcPr>
            <w:tcW w:w="3192" w:type="dxa"/>
          </w:tcPr>
          <w:p w14:paraId="65C28CC1" w14:textId="2A4A3D13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5 700</w:t>
            </w:r>
          </w:p>
        </w:tc>
      </w:tr>
    </w:tbl>
    <w:p w14:paraId="04A81A71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>При пациенти с повишен риск от кървене трябва да се приложи половината доза.</w:t>
      </w:r>
    </w:p>
    <w:p w14:paraId="5742E442" w14:textId="77777777" w:rsidR="009E3471" w:rsidRDefault="009E3471" w:rsidP="009E3471">
      <w:pPr>
        <w:rPr>
          <w:lang w:val="bg-BG" w:eastAsia="bg-BG"/>
        </w:rPr>
      </w:pPr>
    </w:p>
    <w:p w14:paraId="400B1DD1" w14:textId="444647F2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При сеанс с продължителност над четири часа може да се приложи допълнително по-малка доза по време на диализата. Дозата за следващите </w:t>
      </w:r>
      <w:proofErr w:type="spellStart"/>
      <w:r w:rsidRPr="009E3471">
        <w:rPr>
          <w:lang w:val="bg-BG" w:eastAsia="bg-BG"/>
        </w:rPr>
        <w:t>диализни</w:t>
      </w:r>
      <w:proofErr w:type="spellEnd"/>
      <w:r w:rsidRPr="009E3471">
        <w:rPr>
          <w:lang w:val="bg-BG" w:eastAsia="bg-BG"/>
        </w:rPr>
        <w:t xml:space="preserve"> сеанси трябва да се адаптира според наблюдавания ефект.</w:t>
      </w:r>
    </w:p>
    <w:p w14:paraId="49C5CC95" w14:textId="77777777" w:rsidR="009E3471" w:rsidRDefault="009E3471" w:rsidP="009E3471">
      <w:pPr>
        <w:rPr>
          <w:lang w:val="bg-BG" w:eastAsia="bg-BG"/>
        </w:rPr>
      </w:pPr>
    </w:p>
    <w:p w14:paraId="0583C0AF" w14:textId="16FB8263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По време на всеки </w:t>
      </w:r>
      <w:proofErr w:type="spellStart"/>
      <w:r w:rsidRPr="009E3471">
        <w:rPr>
          <w:lang w:val="bg-BG" w:eastAsia="bg-BG"/>
        </w:rPr>
        <w:t>диализен</w:t>
      </w:r>
      <w:proofErr w:type="spellEnd"/>
      <w:r w:rsidRPr="009E3471">
        <w:rPr>
          <w:lang w:val="bg-BG" w:eastAsia="bg-BG"/>
        </w:rPr>
        <w:t xml:space="preserve"> сеанс пациентите трябва да се наблюдават за признаци на кървене или съсирване в </w:t>
      </w:r>
      <w:proofErr w:type="spellStart"/>
      <w:r w:rsidRPr="009E3471">
        <w:rPr>
          <w:lang w:val="bg-BG" w:eastAsia="bg-BG"/>
        </w:rPr>
        <w:t>диализния</w:t>
      </w:r>
      <w:proofErr w:type="spellEnd"/>
      <w:r w:rsidRPr="009E3471">
        <w:rPr>
          <w:lang w:val="bg-BG" w:eastAsia="bg-BG"/>
        </w:rPr>
        <w:t xml:space="preserve"> кръг.</w:t>
      </w:r>
    </w:p>
    <w:p w14:paraId="10EAB3AC" w14:textId="77777777" w:rsidR="009E3471" w:rsidRDefault="009E3471" w:rsidP="009E3471">
      <w:pPr>
        <w:rPr>
          <w:b/>
          <w:bCs/>
          <w:lang w:val="bg-BG" w:eastAsia="bg-BG"/>
        </w:rPr>
      </w:pPr>
    </w:p>
    <w:p w14:paraId="736AFB1A" w14:textId="3C3B8D8C" w:rsidR="009E3471" w:rsidRDefault="009E3471" w:rsidP="009E3471">
      <w:pPr>
        <w:rPr>
          <w:lang w:val="bg-BG" w:eastAsia="bg-BG"/>
        </w:rPr>
      </w:pPr>
      <w:r w:rsidRPr="009E3471">
        <w:rPr>
          <w:b/>
          <w:bCs/>
          <w:lang w:val="bg-BG" w:eastAsia="bg-BG"/>
        </w:rPr>
        <w:t xml:space="preserve">ЛЕЧЕНИЕ НА НЕСТАБИЛНА АНГИНА И МИОКАРДЕН ИНФАРКТ БЕЗ </w:t>
      </w:r>
      <w:r w:rsidRPr="009E3471">
        <w:rPr>
          <w:b/>
          <w:bCs/>
        </w:rPr>
        <w:t>Q</w:t>
      </w:r>
      <w:r w:rsidRPr="009E3471">
        <w:rPr>
          <w:b/>
          <w:bCs/>
          <w:lang w:val="bg-BG" w:eastAsia="bg-BG"/>
        </w:rPr>
        <w:t xml:space="preserve">-ЗЪБЕЦ </w:t>
      </w:r>
      <w:r w:rsidRPr="009E3471">
        <w:rPr>
          <w:lang w:val="bg-BG" w:eastAsia="bg-BG"/>
        </w:rPr>
        <w:t xml:space="preserve">Препоръчва се </w:t>
      </w: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 xml:space="preserve"> да се прилага подкожно два пъти дневно (на всеки 12 часа), обикновено за период от 6 дни. В клинични изпитвания при пациенти с нестабилна ангина и инфаркт на миокарда без </w:t>
      </w:r>
      <w:r w:rsidRPr="009E3471">
        <w:t>Q</w:t>
      </w:r>
      <w:r w:rsidRPr="009E3471">
        <w:rPr>
          <w:lang w:val="bg-BG" w:eastAsia="bg-BG"/>
        </w:rPr>
        <w:t xml:space="preserve">-зъбец, </w:t>
      </w: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 xml:space="preserve"> е прилаган в комбинация с аспирин в доза до</w:t>
      </w:r>
      <w:r w:rsidRPr="009E3471">
        <w:rPr>
          <w:rFonts w:cs="Arial"/>
          <w:i/>
          <w:iCs/>
          <w:lang w:val="bg-BG" w:eastAsia="bg-BG"/>
        </w:rPr>
        <w:t xml:space="preserve"> </w:t>
      </w:r>
      <w:r w:rsidRPr="009E3471">
        <w:rPr>
          <w:lang w:val="bg-BG" w:eastAsia="bg-BG"/>
        </w:rPr>
        <w:t xml:space="preserve">325 </w:t>
      </w:r>
      <w:r w:rsidRPr="009E3471">
        <w:t xml:space="preserve">mg </w:t>
      </w:r>
      <w:r w:rsidRPr="009E3471">
        <w:rPr>
          <w:lang w:val="bg-BG" w:eastAsia="bg-BG"/>
        </w:rPr>
        <w:t>дневно.</w:t>
      </w:r>
    </w:p>
    <w:p w14:paraId="53B1F7F8" w14:textId="6D82C334" w:rsidR="009E3471" w:rsidRDefault="009E3471" w:rsidP="009E3471">
      <w:pPr>
        <w:rPr>
          <w:lang w:val="bg-BG" w:eastAsia="bg-BG"/>
        </w:rPr>
      </w:pPr>
    </w:p>
    <w:p w14:paraId="71D13D68" w14:textId="032DBA44" w:rsidR="009E3471" w:rsidRDefault="009E3471" w:rsidP="009E3471">
      <w:pPr>
        <w:rPr>
          <w:lang w:val="bg-BG" w:eastAsia="bg-BG"/>
        </w:rPr>
      </w:pPr>
      <w:r w:rsidRPr="009E3471">
        <w:rPr>
          <w:lang w:val="bg-BG" w:eastAsia="bg-BG"/>
        </w:rPr>
        <w:t xml:space="preserve">Началната доза се прилага като </w:t>
      </w:r>
      <w:proofErr w:type="spellStart"/>
      <w:r w:rsidRPr="009E3471">
        <w:rPr>
          <w:lang w:val="bg-BG" w:eastAsia="bg-BG"/>
        </w:rPr>
        <w:t>болус</w:t>
      </w:r>
      <w:proofErr w:type="spellEnd"/>
      <w:r w:rsidRPr="009E3471">
        <w:rPr>
          <w:lang w:val="bg-BG" w:eastAsia="bg-BG"/>
        </w:rPr>
        <w:t xml:space="preserve"> интравенозно, а следващите дози се инжектират подкожно. Дозата трябва да се определи спрямо телесното тегло по дадената по-долу таблица, която се основава на таргетна доза от 86 </w:t>
      </w:r>
      <w:r w:rsidRPr="009E3471">
        <w:t>anti-</w:t>
      </w:r>
      <w:proofErr w:type="spellStart"/>
      <w:r w:rsidRPr="009E3471">
        <w:t>Xa</w:t>
      </w:r>
      <w:proofErr w:type="spellEnd"/>
      <w:r w:rsidRPr="009E3471">
        <w:t xml:space="preserve"> IU </w:t>
      </w:r>
      <w:r w:rsidRPr="009E3471">
        <w:rPr>
          <w:lang w:val="bg-BG" w:eastAsia="bg-BG"/>
        </w:rPr>
        <w:t xml:space="preserve">на </w:t>
      </w:r>
      <w:r w:rsidRPr="009E3471">
        <w:t xml:space="preserve">Kg </w:t>
      </w:r>
      <w:r w:rsidRPr="009E3471">
        <w:rPr>
          <w:lang w:val="bg-BG" w:eastAsia="bg-BG"/>
        </w:rPr>
        <w:t>телесно тегло.</w:t>
      </w:r>
    </w:p>
    <w:p w14:paraId="0C4F835F" w14:textId="616F7D9F" w:rsidR="009E3471" w:rsidRDefault="009E3471" w:rsidP="009E3471">
      <w:pPr>
        <w:rPr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1"/>
        <w:gridCol w:w="2347"/>
        <w:gridCol w:w="2322"/>
      </w:tblGrid>
      <w:tr w:rsidR="009E3471" w14:paraId="06A7117A" w14:textId="77777777" w:rsidTr="009E3471">
        <w:tc>
          <w:tcPr>
            <w:tcW w:w="2394" w:type="dxa"/>
          </w:tcPr>
          <w:p w14:paraId="3725BF2B" w14:textId="01254684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E3471">
              <w:rPr>
                <w:b/>
                <w:bCs/>
              </w:rPr>
              <w:t>Телесно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тегло</w:t>
            </w:r>
            <w:proofErr w:type="spellEnd"/>
            <w:r w:rsidRPr="009E3471">
              <w:rPr>
                <w:b/>
                <w:bCs/>
              </w:rPr>
              <w:t xml:space="preserve"> (Kg)</w:t>
            </w:r>
          </w:p>
        </w:tc>
        <w:tc>
          <w:tcPr>
            <w:tcW w:w="2394" w:type="dxa"/>
          </w:tcPr>
          <w:p w14:paraId="3E2395E2" w14:textId="0E0EE96F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E3471">
              <w:rPr>
                <w:b/>
                <w:bCs/>
              </w:rPr>
              <w:t>Начален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i.v.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болус</w:t>
            </w:r>
            <w:proofErr w:type="spellEnd"/>
          </w:p>
        </w:tc>
        <w:tc>
          <w:tcPr>
            <w:tcW w:w="2394" w:type="dxa"/>
          </w:tcPr>
          <w:p w14:paraId="7639E0F4" w14:textId="6D1DF2A2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9E3471">
              <w:rPr>
                <w:b/>
                <w:bCs/>
              </w:rPr>
              <w:t>Подкожна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инжекция</w:t>
            </w:r>
            <w:proofErr w:type="spellEnd"/>
            <w:r w:rsidRPr="009E3471">
              <w:rPr>
                <w:b/>
                <w:bCs/>
              </w:rPr>
              <w:t xml:space="preserve"> (</w:t>
            </w:r>
            <w:proofErr w:type="spellStart"/>
            <w:r w:rsidRPr="009E3471">
              <w:rPr>
                <w:b/>
                <w:bCs/>
              </w:rPr>
              <w:t>на</w:t>
            </w:r>
            <w:proofErr w:type="spellEnd"/>
            <w:r w:rsidRPr="009E3471">
              <w:rPr>
                <w:b/>
                <w:bCs/>
              </w:rPr>
              <w:t xml:space="preserve"> </w:t>
            </w:r>
            <w:proofErr w:type="spellStart"/>
            <w:r w:rsidRPr="009E3471">
              <w:rPr>
                <w:b/>
                <w:bCs/>
              </w:rPr>
              <w:t>всеки</w:t>
            </w:r>
            <w:proofErr w:type="spellEnd"/>
            <w:r w:rsidRPr="009E3471">
              <w:rPr>
                <w:b/>
                <w:bCs/>
              </w:rPr>
              <w:t xml:space="preserve"> 12 </w:t>
            </w:r>
            <w:proofErr w:type="spellStart"/>
            <w:r w:rsidRPr="009E3471">
              <w:rPr>
                <w:b/>
                <w:bCs/>
              </w:rPr>
              <w:t>часа</w:t>
            </w:r>
            <w:proofErr w:type="spellEnd"/>
            <w:r w:rsidRPr="009E3471">
              <w:rPr>
                <w:b/>
                <w:bCs/>
              </w:rPr>
              <w:t>)</w:t>
            </w:r>
          </w:p>
        </w:tc>
        <w:tc>
          <w:tcPr>
            <w:tcW w:w="2394" w:type="dxa"/>
          </w:tcPr>
          <w:p w14:paraId="2577F963" w14:textId="30F215BE" w:rsidR="009E3471" w:rsidRPr="009E3471" w:rsidRDefault="009E3471" w:rsidP="009E3471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E3471">
              <w:rPr>
                <w:b/>
                <w:bCs/>
              </w:rPr>
              <w:t>Anti-</w:t>
            </w:r>
            <w:proofErr w:type="spellStart"/>
            <w:r w:rsidRPr="009E3471">
              <w:rPr>
                <w:b/>
                <w:bCs/>
              </w:rPr>
              <w:t>Xa</w:t>
            </w:r>
            <w:proofErr w:type="spellEnd"/>
            <w:r w:rsidRPr="009E3471">
              <w:rPr>
                <w:b/>
                <w:bCs/>
              </w:rPr>
              <w:t xml:space="preserve"> IU</w:t>
            </w:r>
          </w:p>
        </w:tc>
      </w:tr>
      <w:tr w:rsidR="009E3471" w14:paraId="2014E1DB" w14:textId="77777777" w:rsidTr="009E3471">
        <w:tc>
          <w:tcPr>
            <w:tcW w:w="2394" w:type="dxa"/>
          </w:tcPr>
          <w:p w14:paraId="525625E0" w14:textId="514E5506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&lt;50</w:t>
            </w:r>
          </w:p>
        </w:tc>
        <w:tc>
          <w:tcPr>
            <w:tcW w:w="2394" w:type="dxa"/>
          </w:tcPr>
          <w:p w14:paraId="4DF7D0D3" w14:textId="4520B433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0,4 ml</w:t>
            </w:r>
          </w:p>
        </w:tc>
        <w:tc>
          <w:tcPr>
            <w:tcW w:w="2394" w:type="dxa"/>
          </w:tcPr>
          <w:p w14:paraId="37130F50" w14:textId="3D268BBD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0,4 ml</w:t>
            </w:r>
          </w:p>
        </w:tc>
        <w:tc>
          <w:tcPr>
            <w:tcW w:w="2394" w:type="dxa"/>
          </w:tcPr>
          <w:p w14:paraId="713F2FAD" w14:textId="0ACBA19D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3 800</w:t>
            </w:r>
          </w:p>
        </w:tc>
      </w:tr>
      <w:tr w:rsidR="009E3471" w14:paraId="59B139BE" w14:textId="77777777" w:rsidTr="009E3471">
        <w:tc>
          <w:tcPr>
            <w:tcW w:w="2394" w:type="dxa"/>
          </w:tcPr>
          <w:p w14:paraId="5C295883" w14:textId="12ADED62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50-59</w:t>
            </w:r>
          </w:p>
        </w:tc>
        <w:tc>
          <w:tcPr>
            <w:tcW w:w="2394" w:type="dxa"/>
          </w:tcPr>
          <w:p w14:paraId="39357E25" w14:textId="35788ECF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 xml:space="preserve">0,5 </w:t>
            </w:r>
            <w:r>
              <w:t>ml</w:t>
            </w:r>
          </w:p>
        </w:tc>
        <w:tc>
          <w:tcPr>
            <w:tcW w:w="2394" w:type="dxa"/>
          </w:tcPr>
          <w:p w14:paraId="54352223" w14:textId="4103B03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 xml:space="preserve">0,5 </w:t>
            </w:r>
            <w:r>
              <w:t>ml</w:t>
            </w:r>
          </w:p>
        </w:tc>
        <w:tc>
          <w:tcPr>
            <w:tcW w:w="2394" w:type="dxa"/>
          </w:tcPr>
          <w:p w14:paraId="156B8A9C" w14:textId="458D1AC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4 750</w:t>
            </w:r>
          </w:p>
        </w:tc>
      </w:tr>
      <w:tr w:rsidR="009E3471" w14:paraId="7F75F395" w14:textId="77777777" w:rsidTr="009E3471">
        <w:tc>
          <w:tcPr>
            <w:tcW w:w="2394" w:type="dxa"/>
          </w:tcPr>
          <w:p w14:paraId="7F011B44" w14:textId="6D0B7C9B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60-69</w:t>
            </w:r>
          </w:p>
        </w:tc>
        <w:tc>
          <w:tcPr>
            <w:tcW w:w="2394" w:type="dxa"/>
          </w:tcPr>
          <w:p w14:paraId="687FF976" w14:textId="6CB8253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0,6 ml</w:t>
            </w:r>
          </w:p>
        </w:tc>
        <w:tc>
          <w:tcPr>
            <w:tcW w:w="2394" w:type="dxa"/>
          </w:tcPr>
          <w:p w14:paraId="10920427" w14:textId="514A3A56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0,6 ml</w:t>
            </w:r>
          </w:p>
        </w:tc>
        <w:tc>
          <w:tcPr>
            <w:tcW w:w="2394" w:type="dxa"/>
          </w:tcPr>
          <w:p w14:paraId="4CB60F4E" w14:textId="27ACC57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5 700</w:t>
            </w:r>
          </w:p>
        </w:tc>
      </w:tr>
      <w:tr w:rsidR="009E3471" w14:paraId="46D7F9F0" w14:textId="77777777" w:rsidTr="009E3471">
        <w:tc>
          <w:tcPr>
            <w:tcW w:w="2394" w:type="dxa"/>
          </w:tcPr>
          <w:p w14:paraId="6B0E8992" w14:textId="6F799AC1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70-79</w:t>
            </w:r>
          </w:p>
        </w:tc>
        <w:tc>
          <w:tcPr>
            <w:tcW w:w="2394" w:type="dxa"/>
          </w:tcPr>
          <w:p w14:paraId="27C09C5A" w14:textId="2732D939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0,7 ml</w:t>
            </w:r>
          </w:p>
        </w:tc>
        <w:tc>
          <w:tcPr>
            <w:tcW w:w="2394" w:type="dxa"/>
          </w:tcPr>
          <w:p w14:paraId="233AFB58" w14:textId="2A213ADB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0,7 ml</w:t>
            </w:r>
          </w:p>
        </w:tc>
        <w:tc>
          <w:tcPr>
            <w:tcW w:w="2394" w:type="dxa"/>
          </w:tcPr>
          <w:p w14:paraId="28C91FDC" w14:textId="57DBB35B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6 650</w:t>
            </w:r>
          </w:p>
        </w:tc>
      </w:tr>
      <w:tr w:rsidR="009E3471" w14:paraId="032ED108" w14:textId="77777777" w:rsidTr="009E3471">
        <w:tc>
          <w:tcPr>
            <w:tcW w:w="2394" w:type="dxa"/>
          </w:tcPr>
          <w:p w14:paraId="669C3CCF" w14:textId="64C423F7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80-89</w:t>
            </w:r>
          </w:p>
        </w:tc>
        <w:tc>
          <w:tcPr>
            <w:tcW w:w="2394" w:type="dxa"/>
          </w:tcPr>
          <w:p w14:paraId="12D5BC20" w14:textId="53A4A6C7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0,8 ml</w:t>
            </w:r>
          </w:p>
        </w:tc>
        <w:tc>
          <w:tcPr>
            <w:tcW w:w="2394" w:type="dxa"/>
          </w:tcPr>
          <w:p w14:paraId="2C9ED2D2" w14:textId="227C950F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0,8 ml</w:t>
            </w:r>
          </w:p>
        </w:tc>
        <w:tc>
          <w:tcPr>
            <w:tcW w:w="2394" w:type="dxa"/>
          </w:tcPr>
          <w:p w14:paraId="640A88CB" w14:textId="206F229D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7 600</w:t>
            </w:r>
          </w:p>
        </w:tc>
      </w:tr>
      <w:tr w:rsidR="009E3471" w14:paraId="2C636C0E" w14:textId="77777777" w:rsidTr="009E3471">
        <w:tc>
          <w:tcPr>
            <w:tcW w:w="2394" w:type="dxa"/>
          </w:tcPr>
          <w:p w14:paraId="3615C7FE" w14:textId="6E9EF748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rPr>
                <w:lang w:val="bg-BG" w:eastAsia="bg-BG"/>
              </w:rPr>
              <w:t>90-99</w:t>
            </w:r>
          </w:p>
        </w:tc>
        <w:tc>
          <w:tcPr>
            <w:tcW w:w="2394" w:type="dxa"/>
          </w:tcPr>
          <w:p w14:paraId="7CA63BEE" w14:textId="638180F0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0,9 ml</w:t>
            </w:r>
          </w:p>
        </w:tc>
        <w:tc>
          <w:tcPr>
            <w:tcW w:w="2394" w:type="dxa"/>
          </w:tcPr>
          <w:p w14:paraId="10561672" w14:textId="628FA36B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0,9 ml</w:t>
            </w:r>
          </w:p>
        </w:tc>
        <w:tc>
          <w:tcPr>
            <w:tcW w:w="2394" w:type="dxa"/>
          </w:tcPr>
          <w:p w14:paraId="51A7C5FD" w14:textId="3B7D3D87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8 550</w:t>
            </w:r>
          </w:p>
        </w:tc>
      </w:tr>
      <w:tr w:rsidR="009E3471" w14:paraId="364C9287" w14:textId="77777777" w:rsidTr="009E3471">
        <w:tc>
          <w:tcPr>
            <w:tcW w:w="2394" w:type="dxa"/>
          </w:tcPr>
          <w:p w14:paraId="7D351333" w14:textId="47BA436C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 w:rsidRPr="009E3471">
              <w:rPr>
                <w:lang w:val="bg-BG" w:eastAsia="bg-BG"/>
              </w:rPr>
              <w:t>≥</w:t>
            </w:r>
            <w:r>
              <w:rPr>
                <w:lang w:val="bg-BG" w:eastAsia="bg-BG"/>
              </w:rPr>
              <w:t>100</w:t>
            </w:r>
          </w:p>
        </w:tc>
        <w:tc>
          <w:tcPr>
            <w:tcW w:w="2394" w:type="dxa"/>
          </w:tcPr>
          <w:p w14:paraId="782E7B9E" w14:textId="7764C68E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1,0 ml</w:t>
            </w:r>
          </w:p>
        </w:tc>
        <w:tc>
          <w:tcPr>
            <w:tcW w:w="2394" w:type="dxa"/>
          </w:tcPr>
          <w:p w14:paraId="2A49526A" w14:textId="4EAE2EF8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1,0 ml</w:t>
            </w:r>
          </w:p>
        </w:tc>
        <w:tc>
          <w:tcPr>
            <w:tcW w:w="2394" w:type="dxa"/>
          </w:tcPr>
          <w:p w14:paraId="59EB6347" w14:textId="0B4CD283" w:rsidR="009E3471" w:rsidRDefault="009E3471" w:rsidP="009E3471">
            <w:pPr>
              <w:rPr>
                <w:sz w:val="24"/>
                <w:szCs w:val="24"/>
                <w:lang w:val="bg-BG"/>
              </w:rPr>
            </w:pPr>
            <w:r>
              <w:t>9 500</w:t>
            </w:r>
          </w:p>
        </w:tc>
      </w:tr>
    </w:tbl>
    <w:p w14:paraId="0D3330BF" w14:textId="77777777" w:rsidR="009E3471" w:rsidRPr="009E3471" w:rsidRDefault="009E3471" w:rsidP="009E3471">
      <w:pPr>
        <w:rPr>
          <w:sz w:val="24"/>
          <w:szCs w:val="24"/>
          <w:lang w:val="bg-BG"/>
        </w:rPr>
      </w:pPr>
    </w:p>
    <w:p w14:paraId="635FDC46" w14:textId="77777777" w:rsidR="009E3471" w:rsidRPr="009E3471" w:rsidRDefault="009E3471" w:rsidP="009E3471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lang w:val="bg-BG"/>
        </w:rPr>
      </w:pPr>
      <w:r w:rsidRPr="009E3471">
        <w:rPr>
          <w:b/>
          <w:bCs/>
          <w:lang w:val="bg-BG" w:eastAsia="bg-BG"/>
        </w:rPr>
        <w:t>Деца и юноши</w:t>
      </w:r>
    </w:p>
    <w:p w14:paraId="1F6804A5" w14:textId="701B5384" w:rsidR="009E3471" w:rsidRPr="009E3471" w:rsidRDefault="009E3471" w:rsidP="009E3471">
      <w:pPr>
        <w:rPr>
          <w:b/>
          <w:bCs/>
          <w:sz w:val="24"/>
          <w:szCs w:val="24"/>
          <w:lang w:val="bg-BG"/>
        </w:rPr>
      </w:pPr>
      <w:proofErr w:type="spellStart"/>
      <w:r w:rsidRPr="009E3471">
        <w:rPr>
          <w:lang w:val="bg-BG" w:eastAsia="bg-BG"/>
        </w:rPr>
        <w:lastRenderedPageBreak/>
        <w:t>Надропарин</w:t>
      </w:r>
      <w:proofErr w:type="spellEnd"/>
      <w:r w:rsidRPr="009E3471">
        <w:rPr>
          <w:lang w:val="bg-BG" w:eastAsia="bg-BG"/>
        </w:rPr>
        <w:t xml:space="preserve"> не се препоръчва за приложение при деца и юноши, тъй като няма достатъчно данни за безопасността и ефикасността на продукта, за да се определи дозирането му при пациенти на възраст под 18 години.</w:t>
      </w:r>
    </w:p>
    <w:p w14:paraId="6E95E940" w14:textId="77777777" w:rsidR="009E3471" w:rsidRDefault="009E3471" w:rsidP="009E3471">
      <w:pPr>
        <w:rPr>
          <w:lang w:val="bg-BG" w:eastAsia="bg-BG"/>
        </w:rPr>
      </w:pPr>
      <w:bookmarkStart w:id="2" w:name="bookmark2"/>
    </w:p>
    <w:p w14:paraId="7486DE7E" w14:textId="19ABCAF5" w:rsidR="009E3471" w:rsidRPr="009E3471" w:rsidRDefault="009E3471" w:rsidP="009E3471">
      <w:pPr>
        <w:pStyle w:val="ListParagraph"/>
        <w:numPr>
          <w:ilvl w:val="0"/>
          <w:numId w:val="21"/>
        </w:numPr>
        <w:rPr>
          <w:b/>
          <w:bCs/>
          <w:lang w:val="bg-BG" w:eastAsia="bg-BG"/>
        </w:rPr>
      </w:pPr>
      <w:r w:rsidRPr="009E3471">
        <w:rPr>
          <w:b/>
          <w:bCs/>
          <w:lang w:val="bg-BG" w:eastAsia="bg-BG"/>
        </w:rPr>
        <w:t>Пациенти в старческа възраст</w:t>
      </w:r>
      <w:bookmarkEnd w:id="2"/>
    </w:p>
    <w:p w14:paraId="75127C95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При пациенти в напреднала възраст не се налага промяна на дозата, освен в случаите на нарушена бъбречна функция. Препоръчва се да се направи оценка на </w:t>
      </w:r>
      <w:proofErr w:type="spellStart"/>
      <w:r w:rsidRPr="009E3471">
        <w:rPr>
          <w:lang w:val="bg-BG" w:eastAsia="bg-BG"/>
        </w:rPr>
        <w:t>реналната</w:t>
      </w:r>
      <w:proofErr w:type="spellEnd"/>
      <w:r w:rsidRPr="009E3471">
        <w:rPr>
          <w:lang w:val="bg-BG" w:eastAsia="bg-BG"/>
        </w:rPr>
        <w:t xml:space="preserve"> функция преди започване на лечение (вж. </w:t>
      </w:r>
      <w:r w:rsidRPr="009E3471">
        <w:rPr>
          <w:i/>
          <w:iCs/>
          <w:lang w:val="bg-BG" w:eastAsia="bg-BG"/>
        </w:rPr>
        <w:t>Пациенти с нарушена бъбречна функция</w:t>
      </w:r>
      <w:r w:rsidRPr="009E3471">
        <w:rPr>
          <w:lang w:val="bg-BG" w:eastAsia="bg-BG"/>
        </w:rPr>
        <w:t xml:space="preserve"> по-долу и точка </w:t>
      </w:r>
      <w:r w:rsidRPr="009E3471">
        <w:rPr>
          <w:i/>
          <w:iCs/>
          <w:lang w:val="bg-BG" w:eastAsia="bg-BG"/>
        </w:rPr>
        <w:t xml:space="preserve">5.2. </w:t>
      </w:r>
      <w:proofErr w:type="spellStart"/>
      <w:r w:rsidRPr="009E3471">
        <w:rPr>
          <w:i/>
          <w:iCs/>
          <w:lang w:val="bg-BG" w:eastAsia="bg-BG"/>
        </w:rPr>
        <w:t>Фармакокинетични</w:t>
      </w:r>
      <w:proofErr w:type="spellEnd"/>
      <w:r w:rsidRPr="009E3471">
        <w:rPr>
          <w:i/>
          <w:iCs/>
          <w:lang w:val="bg-BG" w:eastAsia="bg-BG"/>
        </w:rPr>
        <w:t xml:space="preserve"> свойства).</w:t>
      </w:r>
    </w:p>
    <w:p w14:paraId="421C5634" w14:textId="77777777" w:rsidR="009E3471" w:rsidRDefault="009E3471" w:rsidP="009E3471">
      <w:pPr>
        <w:rPr>
          <w:lang w:val="bg-BG" w:eastAsia="bg-BG"/>
        </w:rPr>
      </w:pPr>
    </w:p>
    <w:p w14:paraId="61426739" w14:textId="48A020EF" w:rsidR="009E3471" w:rsidRPr="009E3471" w:rsidRDefault="009E3471" w:rsidP="009E3471">
      <w:pPr>
        <w:pStyle w:val="ListParagraph"/>
        <w:numPr>
          <w:ilvl w:val="0"/>
          <w:numId w:val="21"/>
        </w:numPr>
        <w:rPr>
          <w:b/>
          <w:bCs/>
          <w:lang w:val="bg-BG" w:eastAsia="bg-BG"/>
        </w:rPr>
      </w:pPr>
      <w:r w:rsidRPr="009E3471">
        <w:rPr>
          <w:b/>
          <w:bCs/>
          <w:lang w:val="bg-BG" w:eastAsia="bg-BG"/>
        </w:rPr>
        <w:t>Пациенти с нарушена бъбречна функция</w:t>
      </w:r>
    </w:p>
    <w:p w14:paraId="4B7EE2BA" w14:textId="77777777" w:rsidR="009E3471" w:rsidRPr="009E3471" w:rsidRDefault="009E3471" w:rsidP="009E3471">
      <w:pPr>
        <w:rPr>
          <w:b/>
          <w:bCs/>
          <w:sz w:val="24"/>
          <w:szCs w:val="24"/>
          <w:lang w:val="bg-BG"/>
        </w:rPr>
      </w:pPr>
      <w:bookmarkStart w:id="3" w:name="bookmark4"/>
      <w:r w:rsidRPr="009E3471">
        <w:rPr>
          <w:b/>
          <w:bCs/>
          <w:lang w:val="bg-BG" w:eastAsia="bg-BG"/>
        </w:rPr>
        <w:t>ПРОФИЛАКТИКА НА ТРОМБОЕМБОЛИЧНИ НАРУШЕНИЯ</w:t>
      </w:r>
      <w:bookmarkEnd w:id="3"/>
    </w:p>
    <w:p w14:paraId="5DCCDE6C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>Не се налага намаляване на дозата при пациенти с леко бъбречно увреждане (</w:t>
      </w:r>
      <w:proofErr w:type="spellStart"/>
      <w:r w:rsidRPr="009E3471">
        <w:rPr>
          <w:lang w:val="bg-BG" w:eastAsia="bg-BG"/>
        </w:rPr>
        <w:t>креатининов</w:t>
      </w:r>
      <w:proofErr w:type="spellEnd"/>
      <w:r w:rsidRPr="009E3471">
        <w:rPr>
          <w:lang w:val="bg-BG" w:eastAsia="bg-BG"/>
        </w:rPr>
        <w:t xml:space="preserve"> клирънс &gt; 50 </w:t>
      </w:r>
      <w:r w:rsidRPr="009E3471">
        <w:t>ml/min).</w:t>
      </w:r>
    </w:p>
    <w:p w14:paraId="6D84C5F9" w14:textId="77777777" w:rsidR="009E3471" w:rsidRDefault="009E3471" w:rsidP="009E3471">
      <w:pPr>
        <w:rPr>
          <w:lang w:val="bg-BG" w:eastAsia="bg-BG"/>
        </w:rPr>
      </w:pPr>
    </w:p>
    <w:p w14:paraId="177DC1CF" w14:textId="31999F65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Умереното и тежкото бъбречно увреждане са свързани с повишена експозиция на </w:t>
      </w: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>. При тези пациенти е повишен рискът както от тромбоемболия, така и от кървене.</w:t>
      </w:r>
    </w:p>
    <w:p w14:paraId="6CDB3BFF" w14:textId="77777777" w:rsidR="009E3471" w:rsidRDefault="009E3471" w:rsidP="009E3471">
      <w:pPr>
        <w:rPr>
          <w:lang w:val="bg-BG" w:eastAsia="bg-BG"/>
        </w:rPr>
      </w:pPr>
    </w:p>
    <w:p w14:paraId="4E80DD3E" w14:textId="2F0EFBB6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Ако лекарят прецени, че е уместно намаляване на дозата, имайки предвид индивидуалните рискови фактори за кървене и </w:t>
      </w:r>
      <w:proofErr w:type="spellStart"/>
      <w:r w:rsidRPr="009E3471">
        <w:rPr>
          <w:lang w:val="bg-BG" w:eastAsia="bg-BG"/>
        </w:rPr>
        <w:t>тромбоемболични</w:t>
      </w:r>
      <w:proofErr w:type="spellEnd"/>
      <w:r w:rsidRPr="009E3471">
        <w:rPr>
          <w:lang w:val="bg-BG" w:eastAsia="bg-BG"/>
        </w:rPr>
        <w:t xml:space="preserve"> усложнения при пациенти с умерено </w:t>
      </w:r>
      <w:proofErr w:type="spellStart"/>
      <w:r w:rsidRPr="009E3471">
        <w:rPr>
          <w:lang w:val="bg-BG" w:eastAsia="bg-BG"/>
        </w:rPr>
        <w:t>бъбречнс</w:t>
      </w:r>
      <w:proofErr w:type="spellEnd"/>
      <w:r w:rsidRPr="009E3471">
        <w:rPr>
          <w:lang w:val="bg-BG" w:eastAsia="bg-BG"/>
        </w:rPr>
        <w:t xml:space="preserve"> увреждане (</w:t>
      </w:r>
      <w:proofErr w:type="spellStart"/>
      <w:r w:rsidRPr="009E3471">
        <w:rPr>
          <w:lang w:val="bg-BG" w:eastAsia="bg-BG"/>
        </w:rPr>
        <w:t>креатининов</w:t>
      </w:r>
      <w:proofErr w:type="spellEnd"/>
      <w:r w:rsidRPr="009E3471">
        <w:rPr>
          <w:lang w:val="bg-BG" w:eastAsia="bg-BG"/>
        </w:rPr>
        <w:t xml:space="preserve"> клирънс &gt; 30 </w:t>
      </w:r>
      <w:r w:rsidRPr="009E3471">
        <w:t xml:space="preserve">ml/min </w:t>
      </w:r>
      <w:r w:rsidRPr="009E3471">
        <w:rPr>
          <w:lang w:val="bg-BG" w:eastAsia="bg-BG"/>
        </w:rPr>
        <w:t xml:space="preserve">и &lt; 50 </w:t>
      </w:r>
      <w:r w:rsidRPr="009E3471">
        <w:t xml:space="preserve">ml/min), </w:t>
      </w:r>
      <w:r w:rsidRPr="009E3471">
        <w:rPr>
          <w:lang w:val="bg-BG" w:eastAsia="bg-BG"/>
        </w:rPr>
        <w:t xml:space="preserve">дозата може да се намали с 25- 33% </w:t>
      </w:r>
      <w:r w:rsidRPr="009E3471">
        <w:rPr>
          <w:i/>
          <w:iCs/>
          <w:lang w:val="bg-BG" w:eastAsia="bg-BG"/>
        </w:rPr>
        <w:t xml:space="preserve">(вж. точки 4.4. Специални предупреждения и предпазни мерки при употреба и 5.2. </w:t>
      </w:r>
      <w:proofErr w:type="spellStart"/>
      <w:r w:rsidRPr="009E3471">
        <w:rPr>
          <w:i/>
          <w:iCs/>
          <w:lang w:val="bg-BG" w:eastAsia="bg-BG"/>
        </w:rPr>
        <w:t>Фармакокинетични</w:t>
      </w:r>
      <w:proofErr w:type="spellEnd"/>
      <w:r w:rsidRPr="009E3471">
        <w:rPr>
          <w:i/>
          <w:iCs/>
          <w:lang w:val="bg-BG" w:eastAsia="bg-BG"/>
        </w:rPr>
        <w:t xml:space="preserve"> свойства).</w:t>
      </w:r>
    </w:p>
    <w:p w14:paraId="47AF66FE" w14:textId="77777777" w:rsidR="009E3471" w:rsidRDefault="009E3471" w:rsidP="009E3471">
      <w:pPr>
        <w:rPr>
          <w:lang w:val="bg-BG" w:eastAsia="bg-BG"/>
        </w:rPr>
      </w:pPr>
    </w:p>
    <w:p w14:paraId="40B47275" w14:textId="506B83E2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>Дозата трябва да се намали с 25-33% при пациенти с тежко бъбречно увреждане (</w:t>
      </w:r>
      <w:proofErr w:type="spellStart"/>
      <w:r w:rsidRPr="009E3471">
        <w:rPr>
          <w:lang w:val="bg-BG" w:eastAsia="bg-BG"/>
        </w:rPr>
        <w:t>креатининов</w:t>
      </w:r>
      <w:proofErr w:type="spellEnd"/>
      <w:r w:rsidRPr="009E3471">
        <w:rPr>
          <w:lang w:val="bg-BG" w:eastAsia="bg-BG"/>
        </w:rPr>
        <w:t xml:space="preserve"> клирънс &lt; 30 </w:t>
      </w:r>
      <w:r w:rsidRPr="009E3471">
        <w:t xml:space="preserve">ml/min </w:t>
      </w:r>
      <w:r w:rsidRPr="009E3471">
        <w:rPr>
          <w:i/>
          <w:iCs/>
          <w:lang w:val="bg-BG" w:eastAsia="bg-BG"/>
        </w:rPr>
        <w:t xml:space="preserve">(вж. точки 4.4 Специални предупреждения и предпазни мерки при употреба и 5.2. </w:t>
      </w:r>
      <w:proofErr w:type="spellStart"/>
      <w:r w:rsidRPr="009E3471">
        <w:rPr>
          <w:i/>
          <w:iCs/>
          <w:lang w:val="bg-BG" w:eastAsia="bg-BG"/>
        </w:rPr>
        <w:t>Фармакокинетични</w:t>
      </w:r>
      <w:proofErr w:type="spellEnd"/>
      <w:r w:rsidRPr="009E3471">
        <w:rPr>
          <w:i/>
          <w:iCs/>
          <w:lang w:val="bg-BG" w:eastAsia="bg-BG"/>
        </w:rPr>
        <w:t xml:space="preserve"> свойства).</w:t>
      </w:r>
    </w:p>
    <w:p w14:paraId="4C878120" w14:textId="77777777" w:rsidR="009E3471" w:rsidRPr="009E3471" w:rsidRDefault="009E3471" w:rsidP="009E3471">
      <w:pPr>
        <w:rPr>
          <w:sz w:val="24"/>
          <w:szCs w:val="24"/>
          <w:lang w:val="bg-BG"/>
        </w:rPr>
      </w:pPr>
    </w:p>
    <w:p w14:paraId="16DEBA83" w14:textId="77777777" w:rsidR="009E3471" w:rsidRPr="009E3471" w:rsidRDefault="009E3471" w:rsidP="009E3471">
      <w:pPr>
        <w:rPr>
          <w:b/>
          <w:bCs/>
          <w:sz w:val="24"/>
          <w:szCs w:val="24"/>
          <w:lang w:val="bg-BG"/>
        </w:rPr>
      </w:pPr>
      <w:r w:rsidRPr="009E3471">
        <w:rPr>
          <w:b/>
          <w:bCs/>
          <w:lang w:val="bg-BG" w:eastAsia="bg-BG"/>
        </w:rPr>
        <w:t>ЛЕЧЕНИЕ НА ТРОМБОЕМБОЛИЧНИ НАРУШЕНИЯ, НЕСТАБИЛНА АНГИНА И</w:t>
      </w:r>
    </w:p>
    <w:p w14:paraId="79A5E3D7" w14:textId="77777777" w:rsidR="009E3471" w:rsidRPr="009E3471" w:rsidRDefault="009E3471" w:rsidP="009E3471">
      <w:pPr>
        <w:rPr>
          <w:b/>
          <w:bCs/>
          <w:sz w:val="24"/>
          <w:szCs w:val="24"/>
          <w:lang w:val="bg-BG"/>
        </w:rPr>
      </w:pPr>
      <w:r w:rsidRPr="009E3471">
        <w:rPr>
          <w:b/>
          <w:bCs/>
          <w:lang w:val="bg-BG" w:eastAsia="bg-BG"/>
        </w:rPr>
        <w:t xml:space="preserve">ИНФАРКТ НА МИОКАРДА БЕЗ </w:t>
      </w:r>
      <w:r w:rsidRPr="009E3471">
        <w:rPr>
          <w:b/>
          <w:bCs/>
        </w:rPr>
        <w:t>Q</w:t>
      </w:r>
      <w:r w:rsidRPr="009E3471">
        <w:rPr>
          <w:b/>
          <w:bCs/>
          <w:lang w:val="bg-BG" w:eastAsia="bg-BG"/>
        </w:rPr>
        <w:t>-ЗЪБЕЦ</w:t>
      </w:r>
    </w:p>
    <w:p w14:paraId="6C22AE68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>Не се налага намаляване на дозата при пациенти с леко бъбречно увреждане (</w:t>
      </w:r>
      <w:proofErr w:type="spellStart"/>
      <w:r w:rsidRPr="009E3471">
        <w:rPr>
          <w:lang w:val="bg-BG" w:eastAsia="bg-BG"/>
        </w:rPr>
        <w:t>креатининов</w:t>
      </w:r>
      <w:proofErr w:type="spellEnd"/>
      <w:r w:rsidRPr="009E3471">
        <w:rPr>
          <w:lang w:val="bg-BG" w:eastAsia="bg-BG"/>
        </w:rPr>
        <w:t xml:space="preserve"> клирънс &gt; 50 </w:t>
      </w:r>
      <w:r w:rsidRPr="009E3471">
        <w:t>ml/min).</w:t>
      </w:r>
    </w:p>
    <w:p w14:paraId="7896D8DB" w14:textId="77777777" w:rsidR="009E3471" w:rsidRDefault="009E3471" w:rsidP="009E3471">
      <w:pPr>
        <w:rPr>
          <w:lang w:val="bg-BG" w:eastAsia="bg-BG"/>
        </w:rPr>
      </w:pPr>
    </w:p>
    <w:p w14:paraId="0989BD00" w14:textId="04A2E77A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Умереното и тежкото бъбречно увреждане са свързани с повишена експозиция на </w:t>
      </w: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>. При тези пациенти е повишен риска както от тромбоемболия, така и от кървене.</w:t>
      </w:r>
    </w:p>
    <w:p w14:paraId="7BBF6F61" w14:textId="77777777" w:rsidR="009E3471" w:rsidRDefault="009E3471" w:rsidP="009E3471">
      <w:pPr>
        <w:rPr>
          <w:lang w:val="bg-BG" w:eastAsia="bg-BG"/>
        </w:rPr>
      </w:pPr>
    </w:p>
    <w:p w14:paraId="6D9FF272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 xml:space="preserve">Ако лекарят прецени, че е уместно намаляване на дозата, имайки предвид </w:t>
      </w:r>
      <w:proofErr w:type="spellStart"/>
      <w:r w:rsidRPr="009E3471">
        <w:rPr>
          <w:lang w:val="bg-BG" w:eastAsia="bg-BG"/>
        </w:rPr>
        <w:t>индивудуалните</w:t>
      </w:r>
      <w:proofErr w:type="spellEnd"/>
      <w:r w:rsidRPr="009E3471">
        <w:rPr>
          <w:lang w:val="bg-BG" w:eastAsia="bg-BG"/>
        </w:rPr>
        <w:t xml:space="preserve">  рискови фактори за кървене и </w:t>
      </w:r>
      <w:proofErr w:type="spellStart"/>
      <w:r w:rsidRPr="009E3471">
        <w:rPr>
          <w:lang w:val="bg-BG" w:eastAsia="bg-BG"/>
        </w:rPr>
        <w:t>тромбоемболични</w:t>
      </w:r>
      <w:proofErr w:type="spellEnd"/>
      <w:r w:rsidRPr="009E3471">
        <w:rPr>
          <w:lang w:val="bg-BG" w:eastAsia="bg-BG"/>
        </w:rPr>
        <w:t xml:space="preserve"> усложнения при пациенти с умерено бъбречно увреждане (</w:t>
      </w:r>
      <w:proofErr w:type="spellStart"/>
      <w:r w:rsidRPr="009E3471">
        <w:rPr>
          <w:lang w:val="bg-BG" w:eastAsia="bg-BG"/>
        </w:rPr>
        <w:t>креатининов</w:t>
      </w:r>
      <w:proofErr w:type="spellEnd"/>
      <w:r w:rsidRPr="009E3471">
        <w:rPr>
          <w:lang w:val="bg-BG" w:eastAsia="bg-BG"/>
        </w:rPr>
        <w:t xml:space="preserve"> клирънс &gt;30 </w:t>
      </w:r>
      <w:r w:rsidRPr="009E3471">
        <w:t xml:space="preserve">ml/min </w:t>
      </w:r>
      <w:r w:rsidRPr="009E3471">
        <w:rPr>
          <w:lang w:val="bg-BG" w:eastAsia="bg-BG"/>
        </w:rPr>
        <w:t xml:space="preserve">и &lt; 50 </w:t>
      </w:r>
      <w:r w:rsidRPr="009E3471">
        <w:t xml:space="preserve">ml/min), </w:t>
      </w:r>
      <w:r w:rsidRPr="009E3471">
        <w:rPr>
          <w:lang w:val="bg-BG" w:eastAsia="bg-BG"/>
        </w:rPr>
        <w:t>дозата може да се намали с 25-</w:t>
      </w:r>
      <w:r w:rsidRPr="009E3471">
        <w:t xml:space="preserve">33% </w:t>
      </w:r>
      <w:r w:rsidRPr="009E3471">
        <w:rPr>
          <w:i/>
          <w:iCs/>
          <w:lang w:val="bg-BG" w:eastAsia="bg-BG"/>
        </w:rPr>
        <w:t xml:space="preserve">(вж. точки 4.4. Специални предупреждения и предпазни мерки при употреба и 5.2. </w:t>
      </w:r>
      <w:proofErr w:type="spellStart"/>
      <w:r w:rsidRPr="009E3471">
        <w:rPr>
          <w:i/>
          <w:iCs/>
          <w:lang w:val="bg-BG" w:eastAsia="bg-BG"/>
        </w:rPr>
        <w:t>Фармакокинетични</w:t>
      </w:r>
      <w:proofErr w:type="spellEnd"/>
      <w:r w:rsidRPr="009E3471">
        <w:rPr>
          <w:i/>
          <w:iCs/>
          <w:lang w:val="bg-BG" w:eastAsia="bg-BG"/>
        </w:rPr>
        <w:t xml:space="preserve"> свойства).</w:t>
      </w:r>
    </w:p>
    <w:p w14:paraId="1F2D56F1" w14:textId="77777777" w:rsidR="009E3471" w:rsidRDefault="009E3471" w:rsidP="009E3471">
      <w:pPr>
        <w:rPr>
          <w:lang w:val="bg-BG" w:eastAsia="bg-BG"/>
        </w:rPr>
      </w:pPr>
    </w:p>
    <w:p w14:paraId="2C24EA1D" w14:textId="2FDBD2A8" w:rsidR="009E3471" w:rsidRPr="009E3471" w:rsidRDefault="009E3471" w:rsidP="009E3471">
      <w:pPr>
        <w:rPr>
          <w:sz w:val="24"/>
          <w:szCs w:val="24"/>
          <w:lang w:val="bg-BG"/>
        </w:rPr>
      </w:pPr>
      <w:proofErr w:type="spellStart"/>
      <w:r w:rsidRPr="009E3471">
        <w:rPr>
          <w:lang w:val="bg-BG" w:eastAsia="bg-BG"/>
        </w:rPr>
        <w:t>Надропарин</w:t>
      </w:r>
      <w:proofErr w:type="spellEnd"/>
      <w:r w:rsidRPr="009E3471">
        <w:rPr>
          <w:lang w:val="bg-BG" w:eastAsia="bg-BG"/>
        </w:rPr>
        <w:t xml:space="preserve"> е противопоказан при пациенти с тежко нарушение на бъбречната функция </w:t>
      </w:r>
      <w:r w:rsidRPr="009E3471">
        <w:rPr>
          <w:i/>
          <w:iCs/>
          <w:lang w:val="bg-BG" w:eastAsia="bg-BG"/>
        </w:rPr>
        <w:t>(вж. точки 4.4 Специални предупреждения и предпазни мерки при употреба и 5.2.</w:t>
      </w:r>
    </w:p>
    <w:p w14:paraId="1F362730" w14:textId="77777777" w:rsidR="009E3471" w:rsidRPr="009E3471" w:rsidRDefault="009E3471" w:rsidP="009E3471">
      <w:pPr>
        <w:rPr>
          <w:sz w:val="24"/>
          <w:szCs w:val="24"/>
          <w:lang w:val="bg-BG"/>
        </w:rPr>
      </w:pPr>
      <w:proofErr w:type="spellStart"/>
      <w:r w:rsidRPr="009E3471">
        <w:rPr>
          <w:i/>
          <w:iCs/>
          <w:lang w:val="bg-BG" w:eastAsia="bg-BG"/>
        </w:rPr>
        <w:t>Фармакокинетични</w:t>
      </w:r>
      <w:proofErr w:type="spellEnd"/>
      <w:r w:rsidRPr="009E3471">
        <w:rPr>
          <w:i/>
          <w:iCs/>
          <w:lang w:val="bg-BG" w:eastAsia="bg-BG"/>
        </w:rPr>
        <w:t xml:space="preserve"> свойства).</w:t>
      </w:r>
    </w:p>
    <w:p w14:paraId="323C3C1C" w14:textId="22B25E63" w:rsidR="009E3471" w:rsidRDefault="009E3471" w:rsidP="009E3471">
      <w:pPr>
        <w:rPr>
          <w:lang w:val="bg-BG" w:eastAsia="bg-BG"/>
        </w:rPr>
      </w:pPr>
    </w:p>
    <w:p w14:paraId="7B8A2F4E" w14:textId="18168014" w:rsidR="009E3471" w:rsidRPr="009E3471" w:rsidRDefault="009E3471" w:rsidP="009E3471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lang w:val="bg-BG"/>
        </w:rPr>
      </w:pPr>
      <w:r w:rsidRPr="009E3471">
        <w:rPr>
          <w:b/>
          <w:bCs/>
          <w:lang w:val="bg-BG" w:eastAsia="bg-BG"/>
        </w:rPr>
        <w:t>Пациенти с нарушена чернодробна функция</w:t>
      </w:r>
    </w:p>
    <w:p w14:paraId="7F45BF7D" w14:textId="77777777" w:rsidR="009E3471" w:rsidRPr="009E3471" w:rsidRDefault="009E3471" w:rsidP="009E3471">
      <w:pPr>
        <w:rPr>
          <w:sz w:val="24"/>
          <w:szCs w:val="24"/>
          <w:lang w:val="bg-BG"/>
        </w:rPr>
      </w:pPr>
      <w:r w:rsidRPr="009E3471">
        <w:rPr>
          <w:lang w:val="bg-BG" w:eastAsia="bg-BG"/>
        </w:rPr>
        <w:t>Не са провеждани изпитвания при пациенти е нарушена чернодробна функция.</w:t>
      </w:r>
    </w:p>
    <w:p w14:paraId="3D0D278A" w14:textId="31D01DDD" w:rsidR="009E3471" w:rsidRPr="001D2260" w:rsidRDefault="009E3471" w:rsidP="009E3471"/>
    <w:p w14:paraId="3194B1C9" w14:textId="5DEB6DD2" w:rsidR="001915B6" w:rsidRDefault="002C50EE" w:rsidP="00C07B84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4DE57996" w14:textId="77777777" w:rsidR="00EC4BB0" w:rsidRPr="00EC4BB0" w:rsidRDefault="00EC4BB0" w:rsidP="00EC4BB0">
      <w:pPr>
        <w:rPr>
          <w:sz w:val="24"/>
          <w:szCs w:val="24"/>
          <w:lang w:val="bg-BG"/>
        </w:rPr>
      </w:pPr>
      <w:proofErr w:type="spellStart"/>
      <w:r w:rsidRPr="00EC4BB0">
        <w:rPr>
          <w:lang w:val="bg-BG" w:eastAsia="bg-BG"/>
        </w:rPr>
        <w:t>Надропарин</w:t>
      </w:r>
      <w:proofErr w:type="spellEnd"/>
      <w:r w:rsidRPr="00EC4BB0">
        <w:rPr>
          <w:lang w:val="bg-BG" w:eastAsia="bg-BG"/>
        </w:rPr>
        <w:t xml:space="preserve"> е противопоказан в следните случаи:</w:t>
      </w:r>
    </w:p>
    <w:p w14:paraId="77765BE9" w14:textId="24DF0AEE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 xml:space="preserve">Свръхчувствителност към </w:t>
      </w:r>
      <w:proofErr w:type="spellStart"/>
      <w:r w:rsidRPr="00EC4BB0">
        <w:rPr>
          <w:lang w:val="bg-BG" w:eastAsia="bg-BG"/>
        </w:rPr>
        <w:t>надропарин</w:t>
      </w:r>
      <w:proofErr w:type="spellEnd"/>
      <w:r w:rsidRPr="00EC4BB0">
        <w:rPr>
          <w:lang w:val="bg-BG" w:eastAsia="bg-BG"/>
        </w:rPr>
        <w:t xml:space="preserve"> или към някое от помощните вещества на продукта</w:t>
      </w:r>
    </w:p>
    <w:p w14:paraId="12B0F37B" w14:textId="280874B8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EC4BB0">
        <w:rPr>
          <w:lang w:val="bg-BG" w:eastAsia="bg-BG"/>
        </w:rPr>
        <w:t>Анамнестични</w:t>
      </w:r>
      <w:proofErr w:type="spellEnd"/>
      <w:r w:rsidRPr="00EC4BB0">
        <w:rPr>
          <w:lang w:val="bg-BG" w:eastAsia="bg-BG"/>
        </w:rPr>
        <w:t xml:space="preserve"> данни за </w:t>
      </w:r>
      <w:proofErr w:type="spellStart"/>
      <w:r w:rsidRPr="00EC4BB0">
        <w:rPr>
          <w:lang w:val="bg-BG" w:eastAsia="bg-BG"/>
        </w:rPr>
        <w:t>тромбоцитопения</w:t>
      </w:r>
      <w:proofErr w:type="spellEnd"/>
      <w:r w:rsidRPr="00EC4BB0">
        <w:rPr>
          <w:lang w:val="bg-BG" w:eastAsia="bg-BG"/>
        </w:rPr>
        <w:t xml:space="preserve"> при употреба на </w:t>
      </w:r>
      <w:proofErr w:type="spellStart"/>
      <w:r w:rsidRPr="00EC4BB0">
        <w:rPr>
          <w:lang w:val="bg-BG" w:eastAsia="bg-BG"/>
        </w:rPr>
        <w:t>надропарин</w:t>
      </w:r>
      <w:proofErr w:type="spellEnd"/>
      <w:r w:rsidRPr="00EC4BB0">
        <w:rPr>
          <w:lang w:val="bg-BG" w:eastAsia="bg-BG"/>
        </w:rPr>
        <w:t xml:space="preserve"> </w:t>
      </w:r>
      <w:r w:rsidRPr="00EC4BB0">
        <w:rPr>
          <w:i/>
          <w:iCs/>
          <w:lang w:val="bg-BG" w:eastAsia="bg-BG"/>
        </w:rPr>
        <w:t>(вж. точка 4.4 Специални предупреждения и предпазни мерки при употреба)</w:t>
      </w:r>
    </w:p>
    <w:p w14:paraId="297976A6" w14:textId="25CBBFF0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 xml:space="preserve">Активно кървене или повишен риск от появата на кръвоизлив, поради нарушения в </w:t>
      </w:r>
      <w:r>
        <w:rPr>
          <w:lang w:eastAsia="bg-BG"/>
        </w:rPr>
        <w:t xml:space="preserve">- </w:t>
      </w:r>
      <w:r w:rsidRPr="00EC4BB0">
        <w:rPr>
          <w:lang w:val="bg-BG" w:eastAsia="bg-BG"/>
        </w:rPr>
        <w:t xml:space="preserve">хемостазните механизми (с изключение на </w:t>
      </w:r>
      <w:proofErr w:type="spellStart"/>
      <w:r w:rsidRPr="00EC4BB0">
        <w:rPr>
          <w:lang w:val="bg-BG" w:eastAsia="bg-BG"/>
        </w:rPr>
        <w:t>дисеминирано</w:t>
      </w:r>
      <w:proofErr w:type="spellEnd"/>
      <w:r w:rsidRPr="00EC4BB0">
        <w:rPr>
          <w:lang w:val="bg-BG" w:eastAsia="bg-BG"/>
        </w:rPr>
        <w:t xml:space="preserve"> </w:t>
      </w:r>
      <w:proofErr w:type="spellStart"/>
      <w:r w:rsidRPr="00EC4BB0">
        <w:rPr>
          <w:lang w:val="bg-BG" w:eastAsia="bg-BG"/>
        </w:rPr>
        <w:t>вътресъдово</w:t>
      </w:r>
      <w:proofErr w:type="spellEnd"/>
      <w:r w:rsidRPr="00EC4BB0">
        <w:rPr>
          <w:lang w:val="bg-BG" w:eastAsia="bg-BG"/>
        </w:rPr>
        <w:t xml:space="preserve"> съсирване, което не е предизвикано от лечение с </w:t>
      </w:r>
      <w:proofErr w:type="spellStart"/>
      <w:r w:rsidRPr="00EC4BB0">
        <w:rPr>
          <w:lang w:val="bg-BG" w:eastAsia="bg-BG"/>
        </w:rPr>
        <w:t>хепарин</w:t>
      </w:r>
      <w:proofErr w:type="spellEnd"/>
      <w:r w:rsidRPr="00EC4BB0">
        <w:rPr>
          <w:lang w:val="bg-BG" w:eastAsia="bg-BG"/>
        </w:rPr>
        <w:t>)</w:t>
      </w:r>
    </w:p>
    <w:p w14:paraId="33C9844A" w14:textId="2F6ABA32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 xml:space="preserve">Органични лезии, склонни към кървене (например активна </w:t>
      </w:r>
      <w:proofErr w:type="spellStart"/>
      <w:r w:rsidRPr="00EC4BB0">
        <w:rPr>
          <w:lang w:val="bg-BG" w:eastAsia="bg-BG"/>
        </w:rPr>
        <w:t>пептична</w:t>
      </w:r>
      <w:proofErr w:type="spellEnd"/>
      <w:r w:rsidRPr="00EC4BB0">
        <w:rPr>
          <w:lang w:val="bg-BG" w:eastAsia="bg-BG"/>
        </w:rPr>
        <w:t xml:space="preserve"> язва)</w:t>
      </w:r>
    </w:p>
    <w:p w14:paraId="54E4D762" w14:textId="3957F8F3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 xml:space="preserve">Хеморагичен </w:t>
      </w:r>
      <w:proofErr w:type="spellStart"/>
      <w:r w:rsidRPr="00EC4BB0">
        <w:rPr>
          <w:lang w:val="bg-BG" w:eastAsia="bg-BG"/>
        </w:rPr>
        <w:t>цереброваскуларен</w:t>
      </w:r>
      <w:proofErr w:type="spellEnd"/>
      <w:r w:rsidRPr="00EC4BB0">
        <w:rPr>
          <w:lang w:val="bg-BG" w:eastAsia="bg-BG"/>
        </w:rPr>
        <w:t xml:space="preserve"> инцидент</w:t>
      </w:r>
    </w:p>
    <w:p w14:paraId="6A27B5E6" w14:textId="1B5CCB3E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 xml:space="preserve">Остър инфекциозен </w:t>
      </w:r>
      <w:proofErr w:type="spellStart"/>
      <w:r w:rsidRPr="00EC4BB0">
        <w:rPr>
          <w:lang w:val="bg-BG" w:eastAsia="bg-BG"/>
        </w:rPr>
        <w:t>ендокардит</w:t>
      </w:r>
      <w:proofErr w:type="spellEnd"/>
    </w:p>
    <w:p w14:paraId="107A1698" w14:textId="19EEBF25" w:rsidR="00EC4BB0" w:rsidRPr="00EC4BB0" w:rsidRDefault="00EC4BB0" w:rsidP="00EC4BB0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EC4BB0">
        <w:rPr>
          <w:lang w:val="bg-BG" w:eastAsia="bg-BG"/>
        </w:rPr>
        <w:t>Тежка бъбречна недостатъчност (</w:t>
      </w:r>
      <w:proofErr w:type="spellStart"/>
      <w:r w:rsidRPr="00EC4BB0">
        <w:rPr>
          <w:lang w:val="bg-BG" w:eastAsia="bg-BG"/>
        </w:rPr>
        <w:t>креатининов</w:t>
      </w:r>
      <w:proofErr w:type="spellEnd"/>
      <w:r w:rsidRPr="00EC4BB0">
        <w:rPr>
          <w:lang w:val="bg-BG" w:eastAsia="bg-BG"/>
        </w:rPr>
        <w:t xml:space="preserve"> клирънс &lt; 30 </w:t>
      </w:r>
      <w:r w:rsidRPr="00EC4BB0">
        <w:t xml:space="preserve">ml/min) </w:t>
      </w:r>
      <w:r w:rsidRPr="00EC4BB0">
        <w:rPr>
          <w:lang w:val="bg-BG" w:eastAsia="bg-BG"/>
        </w:rPr>
        <w:t xml:space="preserve">при пациенти на лечение за </w:t>
      </w:r>
      <w:proofErr w:type="spellStart"/>
      <w:r w:rsidRPr="00EC4BB0">
        <w:rPr>
          <w:lang w:val="bg-BG" w:eastAsia="bg-BG"/>
        </w:rPr>
        <w:t>тромбоемболи</w:t>
      </w:r>
      <w:r>
        <w:rPr>
          <w:lang w:val="bg-BG" w:eastAsia="bg-BG"/>
        </w:rPr>
        <w:t>чн</w:t>
      </w:r>
      <w:r w:rsidRPr="00EC4BB0">
        <w:rPr>
          <w:lang w:val="bg-BG" w:eastAsia="bg-BG"/>
        </w:rPr>
        <w:t>и</w:t>
      </w:r>
      <w:proofErr w:type="spellEnd"/>
      <w:r w:rsidRPr="00EC4BB0">
        <w:rPr>
          <w:lang w:val="bg-BG" w:eastAsia="bg-BG"/>
        </w:rPr>
        <w:t xml:space="preserve"> нарушения, нестабилна ангина и инфаркт на миокарда без </w:t>
      </w:r>
      <w:r w:rsidRPr="00EC4BB0">
        <w:t>Q</w:t>
      </w:r>
      <w:r w:rsidRPr="00EC4BB0">
        <w:rPr>
          <w:lang w:val="bg-BG" w:eastAsia="bg-BG"/>
        </w:rPr>
        <w:t>-зъбец.</w:t>
      </w:r>
    </w:p>
    <w:p w14:paraId="2BE10AE6" w14:textId="77777777" w:rsidR="00EC4BB0" w:rsidRPr="00EC4BB0" w:rsidRDefault="00EC4BB0" w:rsidP="00EC4BB0"/>
    <w:p w14:paraId="4B2B2AB1" w14:textId="71689A56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3A0274F3" w14:textId="77777777" w:rsidR="00277527" w:rsidRDefault="00277527" w:rsidP="00277527">
      <w:pPr>
        <w:rPr>
          <w:lang w:val="bg-BG" w:eastAsia="bg-BG"/>
        </w:rPr>
      </w:pPr>
    </w:p>
    <w:p w14:paraId="03F3650A" w14:textId="4AC671A4" w:rsidR="00277527" w:rsidRPr="00277527" w:rsidRDefault="00277527" w:rsidP="00277527">
      <w:pPr>
        <w:rPr>
          <w:b/>
          <w:bCs/>
          <w:sz w:val="24"/>
          <w:szCs w:val="24"/>
          <w:lang w:val="bg-BG"/>
        </w:rPr>
      </w:pPr>
      <w:proofErr w:type="spellStart"/>
      <w:r w:rsidRPr="00277527">
        <w:rPr>
          <w:b/>
          <w:bCs/>
          <w:lang w:val="bg-BG" w:eastAsia="bg-BG"/>
        </w:rPr>
        <w:t>Хепарин</w:t>
      </w:r>
      <w:proofErr w:type="spellEnd"/>
      <w:r w:rsidRPr="00277527">
        <w:rPr>
          <w:b/>
          <w:bCs/>
          <w:lang w:val="bg-BG" w:eastAsia="bg-BG"/>
        </w:rPr>
        <w:t xml:space="preserve"> индуцирана </w:t>
      </w:r>
      <w:proofErr w:type="spellStart"/>
      <w:r w:rsidRPr="00277527">
        <w:rPr>
          <w:b/>
          <w:bCs/>
          <w:lang w:val="bg-BG" w:eastAsia="bg-BG"/>
        </w:rPr>
        <w:t>тромбоцитопения</w:t>
      </w:r>
      <w:proofErr w:type="spellEnd"/>
    </w:p>
    <w:p w14:paraId="2B77E53C" w14:textId="77777777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Поради възможност от възникване на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индуцирана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, по време на курса на лечение с </w:t>
      </w: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регулярно трябва да се проследява броят на </w:t>
      </w:r>
      <w:proofErr w:type="spellStart"/>
      <w:r w:rsidRPr="00277527">
        <w:rPr>
          <w:lang w:val="bg-BG" w:eastAsia="bg-BG"/>
        </w:rPr>
        <w:t>тромбоцитите</w:t>
      </w:r>
      <w:proofErr w:type="spellEnd"/>
      <w:r w:rsidRPr="00277527">
        <w:rPr>
          <w:lang w:val="bg-BG" w:eastAsia="bg-BG"/>
        </w:rPr>
        <w:t>.</w:t>
      </w:r>
    </w:p>
    <w:p w14:paraId="30E877DE" w14:textId="77777777" w:rsidR="00277527" w:rsidRDefault="00277527" w:rsidP="00277527">
      <w:pPr>
        <w:rPr>
          <w:lang w:val="bg-BG" w:eastAsia="bg-BG"/>
        </w:rPr>
      </w:pPr>
    </w:p>
    <w:p w14:paraId="229DE31E" w14:textId="77777777" w:rsidR="00277527" w:rsidRDefault="00277527" w:rsidP="00277527">
      <w:pPr>
        <w:rPr>
          <w:lang w:val="bg-BG" w:eastAsia="bg-BG"/>
        </w:rPr>
      </w:pPr>
      <w:r w:rsidRPr="00277527">
        <w:rPr>
          <w:lang w:val="bg-BG" w:eastAsia="bg-BG"/>
        </w:rPr>
        <w:t xml:space="preserve">Докладвани са отделни случаи 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, с тежко протичане при някои от пациентите, свързано с артериални или венозни тромбози. Такава диагноза трябва да се има предвид при следните случаи: </w:t>
      </w:r>
    </w:p>
    <w:p w14:paraId="1321EB08" w14:textId="77777777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 </w:t>
      </w:r>
    </w:p>
    <w:p w14:paraId="6487E10B" w14:textId="77777777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всяко значително намаление на броя на </w:t>
      </w:r>
      <w:proofErr w:type="spellStart"/>
      <w:r w:rsidRPr="00277527">
        <w:rPr>
          <w:lang w:val="bg-BG" w:eastAsia="bg-BG"/>
        </w:rPr>
        <w:t>тромбоцитите</w:t>
      </w:r>
      <w:proofErr w:type="spellEnd"/>
      <w:r w:rsidRPr="00277527">
        <w:rPr>
          <w:lang w:val="bg-BG" w:eastAsia="bg-BG"/>
        </w:rPr>
        <w:t xml:space="preserve"> (с 30-50% спрямо изходния брой) </w:t>
      </w:r>
    </w:p>
    <w:p w14:paraId="37C8207B" w14:textId="77777777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влошаване на съществуваща </w:t>
      </w:r>
    </w:p>
    <w:p w14:paraId="4080B863" w14:textId="77777777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>тромбоза по време на лечението тромбоза, развила се по време на лечението</w:t>
      </w:r>
    </w:p>
    <w:p w14:paraId="31A1F5E8" w14:textId="0234D94B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proofErr w:type="spellStart"/>
      <w:r w:rsidRPr="00277527">
        <w:rPr>
          <w:lang w:val="bg-BG" w:eastAsia="bg-BG"/>
        </w:rPr>
        <w:t>дисеминирана</w:t>
      </w:r>
      <w:proofErr w:type="spellEnd"/>
      <w:r w:rsidRPr="00277527">
        <w:rPr>
          <w:lang w:val="bg-BG" w:eastAsia="bg-BG"/>
        </w:rPr>
        <w:t xml:space="preserve"> </w:t>
      </w:r>
      <w:proofErr w:type="spellStart"/>
      <w:r w:rsidRPr="00277527">
        <w:rPr>
          <w:lang w:val="bg-BG" w:eastAsia="bg-BG"/>
        </w:rPr>
        <w:t>интраваскуларна</w:t>
      </w:r>
      <w:proofErr w:type="spellEnd"/>
      <w:r w:rsidRPr="00277527">
        <w:rPr>
          <w:lang w:val="bg-BG" w:eastAsia="bg-BG"/>
        </w:rPr>
        <w:t xml:space="preserve"> коагулация</w:t>
      </w:r>
    </w:p>
    <w:p w14:paraId="50DC68F3" w14:textId="77777777" w:rsidR="00277527" w:rsidRDefault="00277527" w:rsidP="00277527">
      <w:pPr>
        <w:rPr>
          <w:lang w:val="bg-BG" w:eastAsia="bg-BG"/>
        </w:rPr>
      </w:pPr>
    </w:p>
    <w:p w14:paraId="2D638738" w14:textId="2C97A688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В тези случаи лечението с </w:t>
      </w: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трябва да се прекъсне.</w:t>
      </w:r>
    </w:p>
    <w:p w14:paraId="2C5AA5CE" w14:textId="77777777" w:rsidR="00277527" w:rsidRDefault="00277527" w:rsidP="00277527">
      <w:pPr>
        <w:rPr>
          <w:lang w:val="bg-BG" w:eastAsia="bg-BG"/>
        </w:rPr>
      </w:pPr>
    </w:p>
    <w:p w14:paraId="5E474330" w14:textId="45997CEF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Вероятно тези ефекти имат </w:t>
      </w:r>
      <w:proofErr w:type="spellStart"/>
      <w:r w:rsidRPr="00277527">
        <w:rPr>
          <w:lang w:val="bg-BG" w:eastAsia="bg-BG"/>
        </w:rPr>
        <w:t>имуно</w:t>
      </w:r>
      <w:proofErr w:type="spellEnd"/>
      <w:r w:rsidRPr="00277527">
        <w:rPr>
          <w:lang w:val="bg-BG" w:eastAsia="bg-BG"/>
        </w:rPr>
        <w:t xml:space="preserve">-алергичен характер и при случай на първо лечение се наблюдават главно между 5-ти и 21-ви ден на терапията, но могат да се появят и много по-рано при анамнеза за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индуцирана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>.</w:t>
      </w:r>
    </w:p>
    <w:p w14:paraId="527AA1AE" w14:textId="77777777" w:rsidR="00277527" w:rsidRDefault="00277527" w:rsidP="00277527">
      <w:pPr>
        <w:rPr>
          <w:lang w:val="bg-BG" w:eastAsia="bg-BG"/>
        </w:rPr>
      </w:pPr>
    </w:p>
    <w:p w14:paraId="6EE96C17" w14:textId="7A5CBAE3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При </w:t>
      </w:r>
      <w:proofErr w:type="spellStart"/>
      <w:r w:rsidRPr="00277527">
        <w:rPr>
          <w:lang w:val="bg-BG" w:eastAsia="bg-BG"/>
        </w:rPr>
        <w:t>анамнестични</w:t>
      </w:r>
      <w:proofErr w:type="spellEnd"/>
      <w:r w:rsidRPr="00277527">
        <w:rPr>
          <w:lang w:val="bg-BG" w:eastAsia="bg-BG"/>
        </w:rPr>
        <w:t xml:space="preserve"> данни за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, развила се при прилагане на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(стандартен или нискомолекулен), за лечение с </w:t>
      </w: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може да се мисли само когато приложението на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е наложително. В тези случаи трябва да се провежда внимателно клинично наблюдение и проследяване на броя на </w:t>
      </w:r>
      <w:proofErr w:type="spellStart"/>
      <w:r w:rsidRPr="00277527">
        <w:rPr>
          <w:lang w:val="bg-BG" w:eastAsia="bg-BG"/>
        </w:rPr>
        <w:t>тромбоцитите</w:t>
      </w:r>
      <w:proofErr w:type="spellEnd"/>
      <w:r w:rsidRPr="00277527">
        <w:rPr>
          <w:lang w:val="bg-BG" w:eastAsia="bg-BG"/>
        </w:rPr>
        <w:t xml:space="preserve"> най-малко </w:t>
      </w:r>
      <w:r w:rsidRPr="00277527">
        <w:rPr>
          <w:lang w:val="bg-BG" w:eastAsia="bg-BG"/>
        </w:rPr>
        <w:lastRenderedPageBreak/>
        <w:t>веднъж дневно. При</w:t>
      </w:r>
      <w:r w:rsidRPr="00277527">
        <w:rPr>
          <w:vertAlign w:val="superscript"/>
          <w:lang w:val="bg-BG" w:eastAsia="bg-BG"/>
        </w:rPr>
        <w:t xml:space="preserve"> </w:t>
      </w:r>
      <w:r w:rsidRPr="00277527">
        <w:rPr>
          <w:lang w:val="bg-BG" w:eastAsia="bg-BG"/>
        </w:rPr>
        <w:t xml:space="preserve">поява 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 лечението трябва да се прекъсне незабавно.</w:t>
      </w:r>
    </w:p>
    <w:p w14:paraId="5A18896B" w14:textId="77777777" w:rsidR="00277527" w:rsidRDefault="00277527" w:rsidP="00277527">
      <w:pPr>
        <w:rPr>
          <w:lang w:val="bg-BG" w:eastAsia="bg-BG"/>
        </w:rPr>
      </w:pPr>
    </w:p>
    <w:p w14:paraId="174597BF" w14:textId="77777777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При поява 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 в хода на лечение с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(стандартен или нискомолекулен) трябва да се обсъжда замяната му с </w:t>
      </w:r>
      <w:proofErr w:type="spellStart"/>
      <w:r w:rsidRPr="00277527">
        <w:rPr>
          <w:lang w:val="bg-BG" w:eastAsia="bg-BG"/>
        </w:rPr>
        <w:t>антитромботично</w:t>
      </w:r>
      <w:proofErr w:type="spellEnd"/>
      <w:r w:rsidRPr="00277527">
        <w:rPr>
          <w:lang w:val="bg-BG" w:eastAsia="bg-BG"/>
        </w:rPr>
        <w:t xml:space="preserve"> средство от друг клас. Ако такъв</w:t>
      </w:r>
      <w:r>
        <w:rPr>
          <w:lang w:eastAsia="bg-BG"/>
        </w:rPr>
        <w:t xml:space="preserve"> </w:t>
      </w:r>
      <w:r w:rsidRPr="00277527">
        <w:rPr>
          <w:lang w:val="bg-BG" w:eastAsia="bg-BG"/>
        </w:rPr>
        <w:t xml:space="preserve">лекарствен продукт не е наличен, а приложението на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е наложително, то може да се обсъжда замяна с друг нискомолекулен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. В тези случаи трябва да се проследява броят на </w:t>
      </w:r>
      <w:proofErr w:type="spellStart"/>
      <w:r w:rsidRPr="00277527">
        <w:rPr>
          <w:lang w:val="bg-BG" w:eastAsia="bg-BG"/>
        </w:rPr>
        <w:t>тромбоцитите</w:t>
      </w:r>
      <w:proofErr w:type="spellEnd"/>
      <w:r w:rsidRPr="00277527">
        <w:rPr>
          <w:lang w:val="bg-BG" w:eastAsia="bg-BG"/>
        </w:rPr>
        <w:t xml:space="preserve"> поне веднъж дневно и лечението да се прекъсне възможно най-скоро, тъй като са наблюдавани случаи на продължаваща и след замяната начална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 xml:space="preserve"> (вж.</w:t>
      </w:r>
    </w:p>
    <w:p w14:paraId="63DB368D" w14:textId="77777777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>точка 4.3. Противопоказания).</w:t>
      </w:r>
    </w:p>
    <w:p w14:paraId="38BD21CC" w14:textId="77777777" w:rsidR="00277527" w:rsidRDefault="00277527" w:rsidP="00277527"/>
    <w:p w14:paraId="6BC8B9F4" w14:textId="2D052084" w:rsidR="00277527" w:rsidRPr="00277527" w:rsidRDefault="00277527" w:rsidP="00277527">
      <w:pPr>
        <w:rPr>
          <w:sz w:val="24"/>
          <w:szCs w:val="24"/>
          <w:lang w:val="bg-BG"/>
        </w:rPr>
      </w:pPr>
      <w:r w:rsidRPr="00277527">
        <w:t xml:space="preserve">In vitro </w:t>
      </w:r>
      <w:r w:rsidRPr="00277527">
        <w:rPr>
          <w:lang w:val="bg-BG" w:eastAsia="bg-BG"/>
        </w:rPr>
        <w:t xml:space="preserve">тестовете за </w:t>
      </w:r>
      <w:proofErr w:type="spellStart"/>
      <w:r w:rsidRPr="00277527">
        <w:rPr>
          <w:lang w:val="bg-BG" w:eastAsia="bg-BG"/>
        </w:rPr>
        <w:t>тромбоцитна</w:t>
      </w:r>
      <w:proofErr w:type="spellEnd"/>
      <w:r w:rsidRPr="00277527">
        <w:rPr>
          <w:lang w:val="bg-BG" w:eastAsia="bg-BG"/>
        </w:rPr>
        <w:t xml:space="preserve"> агрегация са с ограничено значение за диагностициране на </w:t>
      </w:r>
      <w:proofErr w:type="spellStart"/>
      <w:r w:rsidRPr="00277527">
        <w:rPr>
          <w:lang w:val="bg-BG" w:eastAsia="bg-BG"/>
        </w:rPr>
        <w:t>хепарин</w:t>
      </w:r>
      <w:proofErr w:type="spellEnd"/>
      <w:r w:rsidRPr="00277527">
        <w:rPr>
          <w:lang w:val="bg-BG" w:eastAsia="bg-BG"/>
        </w:rPr>
        <w:t xml:space="preserve"> индуцирана </w:t>
      </w:r>
      <w:proofErr w:type="spellStart"/>
      <w:r w:rsidRPr="00277527">
        <w:rPr>
          <w:lang w:val="bg-BG" w:eastAsia="bg-BG"/>
        </w:rPr>
        <w:t>тромбоцитопения</w:t>
      </w:r>
      <w:proofErr w:type="spellEnd"/>
      <w:r w:rsidRPr="00277527">
        <w:rPr>
          <w:lang w:val="bg-BG" w:eastAsia="bg-BG"/>
        </w:rPr>
        <w:t>.</w:t>
      </w:r>
    </w:p>
    <w:p w14:paraId="54F5D6F1" w14:textId="252E72E7" w:rsidR="00277527" w:rsidRDefault="00277527" w:rsidP="00277527"/>
    <w:p w14:paraId="515F3381" w14:textId="77777777" w:rsidR="00277527" w:rsidRDefault="00277527" w:rsidP="00277527">
      <w:pPr>
        <w:rPr>
          <w:lang w:val="bg-BG" w:eastAsia="bg-BG"/>
        </w:rPr>
      </w:pP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трябва да се прилага внимателно в следните случаи, тъй като при тях може да е повишен рискът от кървене: </w:t>
      </w:r>
    </w:p>
    <w:p w14:paraId="72C26169" w14:textId="77777777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Чернодробна недостатъчност </w:t>
      </w:r>
    </w:p>
    <w:p w14:paraId="5ADBD2C7" w14:textId="23724B60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>Тежка степен на артериална хипертония</w:t>
      </w:r>
    </w:p>
    <w:p w14:paraId="3E31F588" w14:textId="0AD686E1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Анамнеза за </w:t>
      </w:r>
      <w:proofErr w:type="spellStart"/>
      <w:r w:rsidRPr="00277527">
        <w:rPr>
          <w:lang w:val="bg-BG" w:eastAsia="bg-BG"/>
        </w:rPr>
        <w:t>пептична</w:t>
      </w:r>
      <w:proofErr w:type="spellEnd"/>
      <w:r w:rsidRPr="00277527">
        <w:rPr>
          <w:lang w:val="bg-BG" w:eastAsia="bg-BG"/>
        </w:rPr>
        <w:t xml:space="preserve"> язва или други органични лезии, склонни към кървене</w:t>
      </w:r>
    </w:p>
    <w:p w14:paraId="1DA5490F" w14:textId="1C5967EB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Съдови нарушения на </w:t>
      </w:r>
      <w:proofErr w:type="spellStart"/>
      <w:r w:rsidRPr="00277527">
        <w:rPr>
          <w:lang w:val="bg-BG" w:eastAsia="bg-BG"/>
        </w:rPr>
        <w:t>хориоидеята</w:t>
      </w:r>
      <w:proofErr w:type="spellEnd"/>
      <w:r w:rsidRPr="00277527">
        <w:rPr>
          <w:lang w:val="bg-BG" w:eastAsia="bg-BG"/>
        </w:rPr>
        <w:t xml:space="preserve"> и ретината</w:t>
      </w:r>
    </w:p>
    <w:p w14:paraId="68F09871" w14:textId="60573CBE" w:rsidR="00277527" w:rsidRPr="00277527" w:rsidRDefault="00277527" w:rsidP="00277527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277527">
        <w:rPr>
          <w:lang w:val="bg-BG" w:eastAsia="bg-BG"/>
        </w:rPr>
        <w:t>По време на постоперативния период след операции на главния мозък, гръбначния мозък или очите</w:t>
      </w:r>
    </w:p>
    <w:p w14:paraId="01FAD699" w14:textId="4E01C812" w:rsidR="00277527" w:rsidRDefault="00277527" w:rsidP="00277527"/>
    <w:p w14:paraId="1CF9BE86" w14:textId="77777777" w:rsidR="00277527" w:rsidRPr="004601A6" w:rsidRDefault="00277527" w:rsidP="004601A6">
      <w:pPr>
        <w:rPr>
          <w:b/>
          <w:bCs/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Пациенти е бъбречно увреждане</w:t>
      </w:r>
    </w:p>
    <w:p w14:paraId="2B1DCE91" w14:textId="77777777" w:rsidR="004601A6" w:rsidRDefault="00277527" w:rsidP="004601A6">
      <w:pPr>
        <w:rPr>
          <w:lang w:val="bg-BG" w:eastAsia="bg-BG"/>
        </w:rPr>
      </w:pP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се </w:t>
      </w:r>
      <w:proofErr w:type="spellStart"/>
      <w:r w:rsidRPr="00277527">
        <w:rPr>
          <w:lang w:val="bg-BG" w:eastAsia="bg-BG"/>
        </w:rPr>
        <w:t>екскретира</w:t>
      </w:r>
      <w:proofErr w:type="spellEnd"/>
      <w:r w:rsidRPr="00277527">
        <w:rPr>
          <w:lang w:val="bg-BG" w:eastAsia="bg-BG"/>
        </w:rPr>
        <w:t xml:space="preserve"> главно през бъбреците, което води до повишена експозиция на </w:t>
      </w: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при пациенти с бъбречно увреждане (вж. точка 5.2. </w:t>
      </w:r>
      <w:proofErr w:type="spellStart"/>
      <w:r w:rsidRPr="00277527">
        <w:rPr>
          <w:lang w:val="bg-BG" w:eastAsia="bg-BG"/>
        </w:rPr>
        <w:t>Фармакокинетични</w:t>
      </w:r>
      <w:proofErr w:type="spellEnd"/>
      <w:r w:rsidRPr="00277527">
        <w:rPr>
          <w:lang w:val="bg-BG" w:eastAsia="bg-BG"/>
        </w:rPr>
        <w:t xml:space="preserve"> свойства</w:t>
      </w:r>
    </w:p>
    <w:p w14:paraId="340EEBAE" w14:textId="71444C78" w:rsidR="00277527" w:rsidRPr="004601A6" w:rsidRDefault="00277527" w:rsidP="004601A6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Бъбречно увреждане). Пациенти с увредена бъбречна функция са с повишен риск за кървене и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трябва да се прилага внимателно.</w:t>
      </w:r>
    </w:p>
    <w:p w14:paraId="68F2C965" w14:textId="77777777" w:rsidR="004601A6" w:rsidRDefault="004601A6" w:rsidP="004601A6">
      <w:pPr>
        <w:rPr>
          <w:lang w:val="bg-BG" w:eastAsia="bg-BG"/>
        </w:rPr>
      </w:pPr>
    </w:p>
    <w:p w14:paraId="3B743340" w14:textId="75195C31" w:rsidR="00277527" w:rsidRPr="00277527" w:rsidRDefault="00277527" w:rsidP="004601A6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Решението дали е подходящо намаляване на дозата при пациенти с </w:t>
      </w:r>
      <w:proofErr w:type="spellStart"/>
      <w:r w:rsidRPr="00277527">
        <w:rPr>
          <w:lang w:val="bg-BG" w:eastAsia="bg-BG"/>
        </w:rPr>
        <w:t>креатининов</w:t>
      </w:r>
      <w:proofErr w:type="spellEnd"/>
      <w:r w:rsidRPr="00277527">
        <w:rPr>
          <w:lang w:val="bg-BG" w:eastAsia="bg-BG"/>
        </w:rPr>
        <w:t xml:space="preserve"> клирънс 30-50 </w:t>
      </w:r>
      <w:r w:rsidRPr="00277527">
        <w:t xml:space="preserve">ml/min </w:t>
      </w:r>
      <w:r w:rsidRPr="00277527">
        <w:rPr>
          <w:lang w:val="bg-BG" w:eastAsia="bg-BG"/>
        </w:rPr>
        <w:t>трябва да се основава на медицинската оценка на индивидуалния риск за кървене при пациента спрямо риска от тромбоемболия (вж. точка 4.2. Дозировка и начин на приложение).</w:t>
      </w:r>
    </w:p>
    <w:p w14:paraId="6A23A90E" w14:textId="77777777" w:rsidR="004601A6" w:rsidRDefault="004601A6" w:rsidP="004601A6">
      <w:pPr>
        <w:rPr>
          <w:lang w:val="bg-BG" w:eastAsia="bg-BG"/>
        </w:rPr>
      </w:pPr>
    </w:p>
    <w:p w14:paraId="73DEEB33" w14:textId="2340059A" w:rsidR="00277527" w:rsidRPr="004601A6" w:rsidRDefault="00277527" w:rsidP="004601A6">
      <w:pPr>
        <w:rPr>
          <w:b/>
          <w:bCs/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Пациенти в старческа възраст</w:t>
      </w:r>
    </w:p>
    <w:p w14:paraId="49F1F245" w14:textId="77777777" w:rsidR="00277527" w:rsidRPr="00277527" w:rsidRDefault="00277527" w:rsidP="004601A6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>Препоръчително е да се изследва бъбречната функция преди започване на лечение (вж. точка 4.3. Противопоказания).</w:t>
      </w:r>
    </w:p>
    <w:p w14:paraId="587BDFA8" w14:textId="77777777" w:rsidR="004601A6" w:rsidRDefault="004601A6" w:rsidP="004601A6">
      <w:pPr>
        <w:rPr>
          <w:lang w:val="bg-BG" w:eastAsia="bg-BG"/>
        </w:rPr>
      </w:pPr>
    </w:p>
    <w:p w14:paraId="61E82CE3" w14:textId="277BEE90" w:rsidR="00277527" w:rsidRPr="004601A6" w:rsidRDefault="00277527" w:rsidP="004601A6">
      <w:pPr>
        <w:rPr>
          <w:b/>
          <w:bCs/>
          <w:sz w:val="24"/>
          <w:szCs w:val="24"/>
          <w:lang w:val="bg-BG"/>
        </w:rPr>
      </w:pPr>
      <w:proofErr w:type="spellStart"/>
      <w:r w:rsidRPr="004601A6">
        <w:rPr>
          <w:b/>
          <w:bCs/>
          <w:lang w:val="bg-BG" w:eastAsia="bg-BG"/>
        </w:rPr>
        <w:t>Хиперкалиемия</w:t>
      </w:r>
      <w:proofErr w:type="spellEnd"/>
    </w:p>
    <w:p w14:paraId="230EE8EB" w14:textId="77777777" w:rsidR="00277527" w:rsidRPr="00277527" w:rsidRDefault="00277527" w:rsidP="004601A6">
      <w:pPr>
        <w:rPr>
          <w:sz w:val="24"/>
          <w:szCs w:val="24"/>
          <w:lang w:val="bg-BG"/>
        </w:rPr>
      </w:pPr>
      <w:proofErr w:type="spellStart"/>
      <w:r w:rsidRPr="00277527">
        <w:rPr>
          <w:lang w:val="bg-BG" w:eastAsia="bg-BG"/>
        </w:rPr>
        <w:t>Хепаринът</w:t>
      </w:r>
      <w:proofErr w:type="spellEnd"/>
      <w:r w:rsidRPr="00277527">
        <w:rPr>
          <w:lang w:val="bg-BG" w:eastAsia="bg-BG"/>
        </w:rPr>
        <w:t xml:space="preserve"> може да потисне надбъбречната секреция на </w:t>
      </w:r>
      <w:proofErr w:type="spellStart"/>
      <w:r w:rsidRPr="00277527">
        <w:rPr>
          <w:lang w:val="bg-BG" w:eastAsia="bg-BG"/>
        </w:rPr>
        <w:t>алдостерон</w:t>
      </w:r>
      <w:proofErr w:type="spellEnd"/>
      <w:r w:rsidRPr="00277527">
        <w:rPr>
          <w:lang w:val="bg-BG" w:eastAsia="bg-BG"/>
        </w:rPr>
        <w:t xml:space="preserve">, което може да доведе до </w:t>
      </w:r>
      <w:proofErr w:type="spellStart"/>
      <w:r w:rsidRPr="00277527">
        <w:rPr>
          <w:lang w:val="bg-BG" w:eastAsia="bg-BG"/>
        </w:rPr>
        <w:t>хиперкалиемия</w:t>
      </w:r>
      <w:proofErr w:type="spellEnd"/>
      <w:r w:rsidRPr="00277527">
        <w:rPr>
          <w:lang w:val="bg-BG" w:eastAsia="bg-BG"/>
        </w:rPr>
        <w:t xml:space="preserve"> и особено при пациенти с повишени плазмени нива на калия или при пациенти, рискови за </w:t>
      </w:r>
      <w:proofErr w:type="spellStart"/>
      <w:r w:rsidRPr="00277527">
        <w:rPr>
          <w:lang w:val="bg-BG" w:eastAsia="bg-BG"/>
        </w:rPr>
        <w:t>хиперкалиемия</w:t>
      </w:r>
      <w:proofErr w:type="spellEnd"/>
      <w:r w:rsidRPr="00277527">
        <w:rPr>
          <w:lang w:val="bg-BG" w:eastAsia="bg-BG"/>
        </w:rPr>
        <w:t xml:space="preserve"> (пациенти със захарен диабет, с хронична бъбречна недостатъчност, с предшестваща метаболитна </w:t>
      </w:r>
      <w:proofErr w:type="spellStart"/>
      <w:r w:rsidRPr="00277527">
        <w:rPr>
          <w:lang w:val="bg-BG" w:eastAsia="bg-BG"/>
        </w:rPr>
        <w:t>ацидоза</w:t>
      </w:r>
      <w:proofErr w:type="spellEnd"/>
      <w:r w:rsidRPr="00277527">
        <w:rPr>
          <w:lang w:val="bg-BG" w:eastAsia="bg-BG"/>
        </w:rPr>
        <w:t xml:space="preserve"> или приемащи лекарства, които повишават плазмените нива на калия (например инхибитори на </w:t>
      </w:r>
      <w:proofErr w:type="spellStart"/>
      <w:r w:rsidRPr="00277527">
        <w:rPr>
          <w:lang w:val="bg-BG" w:eastAsia="bg-BG"/>
        </w:rPr>
        <w:lastRenderedPageBreak/>
        <w:t>ангиотензин</w:t>
      </w:r>
      <w:proofErr w:type="spellEnd"/>
      <w:r w:rsidRPr="00277527">
        <w:rPr>
          <w:lang w:val="bg-BG" w:eastAsia="bg-BG"/>
        </w:rPr>
        <w:t>-конвертиращия ензим (АСЕ), Нестероидни противовъзпалителни средства (НСПВС)).</w:t>
      </w:r>
    </w:p>
    <w:p w14:paraId="37D2A7CB" w14:textId="77777777" w:rsidR="004601A6" w:rsidRDefault="004601A6" w:rsidP="004601A6">
      <w:pPr>
        <w:rPr>
          <w:lang w:val="bg-BG" w:eastAsia="bg-BG"/>
        </w:rPr>
      </w:pPr>
    </w:p>
    <w:p w14:paraId="0E0A3ACB" w14:textId="2EFCEB11" w:rsidR="00277527" w:rsidRPr="00277527" w:rsidRDefault="00277527" w:rsidP="004601A6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Рискът от развитие на </w:t>
      </w:r>
      <w:proofErr w:type="spellStart"/>
      <w:r w:rsidRPr="00277527">
        <w:rPr>
          <w:lang w:val="bg-BG" w:eastAsia="bg-BG"/>
        </w:rPr>
        <w:t>хиперкалиемия</w:t>
      </w:r>
      <w:proofErr w:type="spellEnd"/>
      <w:r w:rsidRPr="00277527">
        <w:rPr>
          <w:lang w:val="bg-BG" w:eastAsia="bg-BG"/>
        </w:rPr>
        <w:t xml:space="preserve"> се повишава в хода на терапията, но обикновено е обратим.</w:t>
      </w:r>
    </w:p>
    <w:p w14:paraId="2C901831" w14:textId="77777777" w:rsidR="004601A6" w:rsidRDefault="004601A6" w:rsidP="004601A6">
      <w:pPr>
        <w:rPr>
          <w:lang w:val="bg-BG" w:eastAsia="bg-BG"/>
        </w:rPr>
      </w:pPr>
    </w:p>
    <w:p w14:paraId="397E32CC" w14:textId="1F80D5A0" w:rsidR="00277527" w:rsidRPr="00277527" w:rsidRDefault="00277527" w:rsidP="004601A6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>При рисковите пациенти трябва да се проследяват плазмените нива на калия.</w:t>
      </w:r>
    </w:p>
    <w:p w14:paraId="70CDBAB6" w14:textId="77777777" w:rsidR="004601A6" w:rsidRDefault="004601A6" w:rsidP="004601A6">
      <w:pPr>
        <w:rPr>
          <w:lang w:val="bg-BG" w:eastAsia="bg-BG"/>
        </w:rPr>
      </w:pPr>
    </w:p>
    <w:p w14:paraId="182A62AF" w14:textId="77777777" w:rsidR="004601A6" w:rsidRDefault="00277527" w:rsidP="004601A6">
      <w:pPr>
        <w:rPr>
          <w:lang w:val="bg-BG" w:eastAsia="bg-BG"/>
        </w:rPr>
      </w:pPr>
      <w:proofErr w:type="spellStart"/>
      <w:r w:rsidRPr="004601A6">
        <w:rPr>
          <w:b/>
          <w:bCs/>
          <w:lang w:val="bg-BG" w:eastAsia="bg-BG"/>
        </w:rPr>
        <w:t>Спинална</w:t>
      </w:r>
      <w:proofErr w:type="spellEnd"/>
      <w:r w:rsidRPr="004601A6">
        <w:rPr>
          <w:b/>
          <w:bCs/>
          <w:lang w:val="bg-BG" w:eastAsia="bg-BG"/>
        </w:rPr>
        <w:t>/</w:t>
      </w:r>
      <w:proofErr w:type="spellStart"/>
      <w:r w:rsidRPr="004601A6">
        <w:rPr>
          <w:b/>
          <w:bCs/>
          <w:lang w:val="bg-BG" w:eastAsia="bg-BG"/>
        </w:rPr>
        <w:t>епидурална</w:t>
      </w:r>
      <w:proofErr w:type="spellEnd"/>
      <w:r w:rsidRPr="004601A6">
        <w:rPr>
          <w:b/>
          <w:bCs/>
          <w:lang w:val="bg-BG" w:eastAsia="bg-BG"/>
        </w:rPr>
        <w:t xml:space="preserve"> анестезия/</w:t>
      </w:r>
      <w:proofErr w:type="spellStart"/>
      <w:r w:rsidRPr="004601A6">
        <w:rPr>
          <w:b/>
          <w:bCs/>
          <w:lang w:val="bg-BG" w:eastAsia="bg-BG"/>
        </w:rPr>
        <w:t>спинална</w:t>
      </w:r>
      <w:proofErr w:type="spellEnd"/>
      <w:r w:rsidRPr="004601A6">
        <w:rPr>
          <w:b/>
          <w:bCs/>
          <w:lang w:val="bg-BG" w:eastAsia="bg-BG"/>
        </w:rPr>
        <w:t xml:space="preserve"> лумбална пункция и съпътстващи лекарства</w:t>
      </w:r>
      <w:r w:rsidRPr="00277527">
        <w:rPr>
          <w:lang w:val="bg-BG" w:eastAsia="bg-BG"/>
        </w:rPr>
        <w:t xml:space="preserve"> </w:t>
      </w:r>
    </w:p>
    <w:p w14:paraId="396F86AA" w14:textId="5DAEDB92" w:rsidR="00277527" w:rsidRPr="00277527" w:rsidRDefault="00277527" w:rsidP="004601A6">
      <w:pPr>
        <w:rPr>
          <w:sz w:val="24"/>
          <w:szCs w:val="24"/>
          <w:lang w:val="bg-BG"/>
        </w:rPr>
      </w:pPr>
      <w:r w:rsidRPr="00277527">
        <w:rPr>
          <w:lang w:val="bg-BG" w:eastAsia="bg-BG"/>
        </w:rPr>
        <w:t xml:space="preserve">Рискът от </w:t>
      </w:r>
      <w:proofErr w:type="spellStart"/>
      <w:r w:rsidRPr="00277527">
        <w:rPr>
          <w:lang w:val="bg-BG" w:eastAsia="bg-BG"/>
        </w:rPr>
        <w:t>спинални</w:t>
      </w:r>
      <w:proofErr w:type="spellEnd"/>
      <w:r w:rsidRPr="00277527">
        <w:rPr>
          <w:lang w:val="bg-BG" w:eastAsia="bg-BG"/>
        </w:rPr>
        <w:t>/</w:t>
      </w:r>
      <w:proofErr w:type="spellStart"/>
      <w:r w:rsidRPr="00277527">
        <w:rPr>
          <w:lang w:val="bg-BG" w:eastAsia="bg-BG"/>
        </w:rPr>
        <w:t>епидурални</w:t>
      </w:r>
      <w:proofErr w:type="spellEnd"/>
      <w:r w:rsidRPr="00277527">
        <w:rPr>
          <w:lang w:val="bg-BG" w:eastAsia="bg-BG"/>
        </w:rPr>
        <w:t xml:space="preserve"> хематоми се повишава при поставянето на </w:t>
      </w:r>
      <w:proofErr w:type="spellStart"/>
      <w:r w:rsidRPr="00277527">
        <w:rPr>
          <w:lang w:val="bg-BG" w:eastAsia="bg-BG"/>
        </w:rPr>
        <w:t>епидурални</w:t>
      </w:r>
      <w:proofErr w:type="spellEnd"/>
      <w:r w:rsidRPr="00277527">
        <w:rPr>
          <w:lang w:val="bg-BG" w:eastAsia="bg-BG"/>
        </w:rPr>
        <w:t xml:space="preserve"> катетри или при едновременното приложение на </w:t>
      </w:r>
      <w:proofErr w:type="spellStart"/>
      <w:r w:rsidRPr="00277527">
        <w:rPr>
          <w:lang w:val="bg-BG" w:eastAsia="bg-BG"/>
        </w:rPr>
        <w:t>надропарин</w:t>
      </w:r>
      <w:proofErr w:type="spellEnd"/>
      <w:r w:rsidRPr="00277527">
        <w:rPr>
          <w:lang w:val="bg-BG" w:eastAsia="bg-BG"/>
        </w:rPr>
        <w:t xml:space="preserve"> с други лекарства, които повлияват </w:t>
      </w:r>
      <w:proofErr w:type="spellStart"/>
      <w:r w:rsidRPr="00277527">
        <w:rPr>
          <w:lang w:val="bg-BG" w:eastAsia="bg-BG"/>
        </w:rPr>
        <w:t>хемостазата</w:t>
      </w:r>
      <w:proofErr w:type="spellEnd"/>
      <w:r w:rsidRPr="00277527">
        <w:rPr>
          <w:lang w:val="bg-BG" w:eastAsia="bg-BG"/>
        </w:rPr>
        <w:t xml:space="preserve"> като нестероидни противовъзпалителни средства, </w:t>
      </w:r>
      <w:proofErr w:type="spellStart"/>
      <w:r w:rsidRPr="00277527">
        <w:rPr>
          <w:lang w:val="bg-BG" w:eastAsia="bg-BG"/>
        </w:rPr>
        <w:t>тромбоцитни</w:t>
      </w:r>
      <w:proofErr w:type="spellEnd"/>
      <w:r w:rsidRPr="00277527">
        <w:rPr>
          <w:lang w:val="bg-BG" w:eastAsia="bg-BG"/>
        </w:rPr>
        <w:t xml:space="preserve"> </w:t>
      </w:r>
      <w:proofErr w:type="spellStart"/>
      <w:r w:rsidRPr="00277527">
        <w:rPr>
          <w:lang w:val="bg-BG" w:eastAsia="bg-BG"/>
        </w:rPr>
        <w:t>антиагреганти</w:t>
      </w:r>
      <w:proofErr w:type="spellEnd"/>
      <w:r w:rsidRPr="00277527">
        <w:rPr>
          <w:lang w:val="bg-BG" w:eastAsia="bg-BG"/>
        </w:rPr>
        <w:t xml:space="preserve"> или други антикоагуланти. Рискът се повишава и при травматични или повтарящи се </w:t>
      </w:r>
      <w:proofErr w:type="spellStart"/>
      <w:r w:rsidRPr="00277527">
        <w:rPr>
          <w:lang w:val="bg-BG" w:eastAsia="bg-BG"/>
        </w:rPr>
        <w:t>епидурални</w:t>
      </w:r>
      <w:proofErr w:type="spellEnd"/>
      <w:r w:rsidRPr="00277527">
        <w:rPr>
          <w:lang w:val="bg-BG" w:eastAsia="bg-BG"/>
        </w:rPr>
        <w:t>/</w:t>
      </w:r>
      <w:proofErr w:type="spellStart"/>
      <w:r w:rsidRPr="00277527">
        <w:rPr>
          <w:lang w:val="bg-BG" w:eastAsia="bg-BG"/>
        </w:rPr>
        <w:t>спинални</w:t>
      </w:r>
      <w:proofErr w:type="spellEnd"/>
      <w:r w:rsidRPr="00277527">
        <w:rPr>
          <w:lang w:val="bg-BG" w:eastAsia="bg-BG"/>
        </w:rPr>
        <w:t xml:space="preserve"> пункции.</w:t>
      </w:r>
    </w:p>
    <w:p w14:paraId="7CFA17FA" w14:textId="77777777" w:rsidR="00277527" w:rsidRDefault="00277527" w:rsidP="004601A6">
      <w:pPr>
        <w:rPr>
          <w:lang w:val="bg-BG" w:eastAsia="bg-BG"/>
        </w:rPr>
      </w:pPr>
    </w:p>
    <w:p w14:paraId="368CF774" w14:textId="2D18839B" w:rsidR="00277527" w:rsidRDefault="00277527" w:rsidP="004601A6">
      <w:pPr>
        <w:rPr>
          <w:lang w:val="bg-BG" w:eastAsia="bg-BG"/>
        </w:rPr>
      </w:pPr>
      <w:r w:rsidRPr="00277527">
        <w:rPr>
          <w:lang w:val="bg-BG" w:eastAsia="bg-BG"/>
        </w:rPr>
        <w:t xml:space="preserve">Поради тази причина към провеждането на централен регионален блок на фона на </w:t>
      </w:r>
      <w:proofErr w:type="spellStart"/>
      <w:r w:rsidRPr="00277527">
        <w:rPr>
          <w:lang w:val="bg-BG" w:eastAsia="bg-BG"/>
        </w:rPr>
        <w:t>антикоагулантна</w:t>
      </w:r>
      <w:proofErr w:type="spellEnd"/>
      <w:r w:rsidRPr="00277527">
        <w:rPr>
          <w:lang w:val="bg-BG" w:eastAsia="bg-BG"/>
        </w:rPr>
        <w:t xml:space="preserve"> терапия трябва да се пристъпи след внимателна индивидуална</w:t>
      </w:r>
      <w:r w:rsidRPr="00277527">
        <w:t xml:space="preserve"> </w:t>
      </w:r>
      <w:r w:rsidRPr="00277527">
        <w:rPr>
          <w:lang w:val="bg-BG" w:eastAsia="bg-BG"/>
        </w:rPr>
        <w:t>оценка на</w:t>
      </w:r>
      <w:r w:rsidRPr="00277527">
        <w:rPr>
          <w:vertAlign w:val="subscript"/>
          <w:lang w:val="bg-BG" w:eastAsia="bg-BG"/>
        </w:rPr>
        <w:t xml:space="preserve"> </w:t>
      </w:r>
      <w:r w:rsidRPr="00277527">
        <w:rPr>
          <w:lang w:val="bg-BG" w:eastAsia="bg-BG"/>
        </w:rPr>
        <w:t>съотношението полза/риск при следните случаи:</w:t>
      </w:r>
    </w:p>
    <w:p w14:paraId="7C57267A" w14:textId="5846DEBA" w:rsidR="004601A6" w:rsidRPr="004601A6" w:rsidRDefault="004601A6" w:rsidP="004601A6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при пациенти, преминали курс на лечение с антикоагуланти, ползите от </w:t>
      </w:r>
      <w:proofErr w:type="spellStart"/>
      <w:r w:rsidRPr="004601A6">
        <w:rPr>
          <w:lang w:val="bg-BG" w:eastAsia="bg-BG"/>
        </w:rPr>
        <w:t>невроаксиална</w:t>
      </w:r>
      <w:proofErr w:type="spellEnd"/>
      <w:r w:rsidRPr="004601A6">
        <w:rPr>
          <w:lang w:val="bg-BG" w:eastAsia="bg-BG"/>
        </w:rPr>
        <w:t xml:space="preserve"> блокада трябва внимателно да се съпоставят с рисковете;</w:t>
      </w:r>
    </w:p>
    <w:p w14:paraId="366C16F9" w14:textId="1C24B1DF" w:rsidR="004601A6" w:rsidRPr="004601A6" w:rsidRDefault="004601A6" w:rsidP="004601A6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при пациенти за планова операция с </w:t>
      </w:r>
      <w:proofErr w:type="spellStart"/>
      <w:r w:rsidRPr="004601A6">
        <w:rPr>
          <w:lang w:val="bg-BG" w:eastAsia="bg-BG"/>
        </w:rPr>
        <w:t>невроаксиална</w:t>
      </w:r>
      <w:proofErr w:type="spellEnd"/>
      <w:r w:rsidRPr="004601A6">
        <w:rPr>
          <w:lang w:val="bg-BG" w:eastAsia="bg-BG"/>
        </w:rPr>
        <w:t xml:space="preserve"> блокада ползите от </w:t>
      </w:r>
      <w:proofErr w:type="spellStart"/>
      <w:r w:rsidRPr="004601A6">
        <w:rPr>
          <w:lang w:val="bg-BG" w:eastAsia="bg-BG"/>
        </w:rPr>
        <w:t>антикоагулантната</w:t>
      </w:r>
      <w:proofErr w:type="spellEnd"/>
      <w:r w:rsidRPr="004601A6">
        <w:rPr>
          <w:lang w:val="bg-BG" w:eastAsia="bg-BG"/>
        </w:rPr>
        <w:t xml:space="preserve"> терапия трябва внимателно да се съпоставят с рисковете.</w:t>
      </w:r>
    </w:p>
    <w:p w14:paraId="7FCC52C3" w14:textId="77777777" w:rsidR="004601A6" w:rsidRDefault="004601A6" w:rsidP="004601A6">
      <w:pPr>
        <w:rPr>
          <w:lang w:val="bg-BG" w:eastAsia="bg-BG"/>
        </w:rPr>
      </w:pPr>
    </w:p>
    <w:p w14:paraId="6BBA23A6" w14:textId="79319FCC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При пациенти с направена </w:t>
      </w:r>
      <w:proofErr w:type="spellStart"/>
      <w:r w:rsidRPr="004601A6">
        <w:rPr>
          <w:lang w:val="bg-BG" w:eastAsia="bg-BG"/>
        </w:rPr>
        <w:t>спинална</w:t>
      </w:r>
      <w:proofErr w:type="spellEnd"/>
      <w:r w:rsidRPr="004601A6">
        <w:rPr>
          <w:lang w:val="bg-BG" w:eastAsia="bg-BG"/>
        </w:rPr>
        <w:t xml:space="preserve"> лумбална пункция или с приложена </w:t>
      </w:r>
      <w:proofErr w:type="spellStart"/>
      <w:r w:rsidRPr="004601A6">
        <w:rPr>
          <w:lang w:val="bg-BG" w:eastAsia="bg-BG"/>
        </w:rPr>
        <w:t>спинална</w:t>
      </w:r>
      <w:proofErr w:type="spellEnd"/>
      <w:r w:rsidRPr="004601A6">
        <w:rPr>
          <w:lang w:val="bg-BG" w:eastAsia="bg-BG"/>
        </w:rPr>
        <w:t xml:space="preserve"> или </w:t>
      </w:r>
      <w:proofErr w:type="spellStart"/>
      <w:r w:rsidRPr="004601A6">
        <w:rPr>
          <w:lang w:val="bg-BG" w:eastAsia="bg-BG"/>
        </w:rPr>
        <w:t>епидурална</w:t>
      </w:r>
      <w:proofErr w:type="spellEnd"/>
      <w:r w:rsidRPr="004601A6">
        <w:rPr>
          <w:lang w:val="bg-BG" w:eastAsia="bg-BG"/>
        </w:rPr>
        <w:t xml:space="preserve"> анестезия трябва да изминат най-малко 12 часа при профилактични дози или 24 часа при терапевтични дози между инжектиране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и поставянето/отстраняването на </w:t>
      </w:r>
      <w:proofErr w:type="spellStart"/>
      <w:r w:rsidRPr="004601A6">
        <w:rPr>
          <w:lang w:val="bg-BG" w:eastAsia="bg-BG"/>
        </w:rPr>
        <w:t>спиналния</w:t>
      </w:r>
      <w:proofErr w:type="spellEnd"/>
      <w:r w:rsidRPr="004601A6">
        <w:rPr>
          <w:lang w:val="bg-BG" w:eastAsia="bg-BG"/>
        </w:rPr>
        <w:t>/</w:t>
      </w:r>
      <w:proofErr w:type="spellStart"/>
      <w:r w:rsidRPr="004601A6">
        <w:rPr>
          <w:lang w:val="bg-BG" w:eastAsia="bg-BG"/>
        </w:rPr>
        <w:t>епидуралния</w:t>
      </w:r>
      <w:proofErr w:type="spellEnd"/>
      <w:r w:rsidRPr="004601A6">
        <w:rPr>
          <w:lang w:val="bg-BG" w:eastAsia="bg-BG"/>
        </w:rPr>
        <w:t xml:space="preserve"> катетър или на иглата. При пациенти с бъбречно увреждане трябва да се обмислят по-дълги интервали от време.</w:t>
      </w:r>
    </w:p>
    <w:p w14:paraId="3893E99D" w14:textId="77777777" w:rsidR="004601A6" w:rsidRDefault="004601A6" w:rsidP="004601A6">
      <w:pPr>
        <w:rPr>
          <w:lang w:val="bg-BG" w:eastAsia="bg-BG"/>
        </w:rPr>
      </w:pPr>
    </w:p>
    <w:p w14:paraId="5EF6854C" w14:textId="114FAC5B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Пациентите трябва често да се следят за появата на признаци и симптоми на неврологично нарушение и при установяване на такова трябва да се започне незабавно лечение.</w:t>
      </w:r>
    </w:p>
    <w:p w14:paraId="77D7150E" w14:textId="77777777" w:rsidR="004601A6" w:rsidRDefault="004601A6" w:rsidP="004601A6">
      <w:pPr>
        <w:rPr>
          <w:i/>
          <w:iCs/>
          <w:lang w:val="bg-BG" w:eastAsia="bg-BG"/>
        </w:rPr>
      </w:pPr>
    </w:p>
    <w:p w14:paraId="3264A753" w14:textId="03448CB8" w:rsidR="004601A6" w:rsidRPr="004601A6" w:rsidRDefault="004601A6" w:rsidP="004601A6">
      <w:pPr>
        <w:rPr>
          <w:b/>
          <w:bCs/>
          <w:sz w:val="24"/>
          <w:szCs w:val="24"/>
          <w:lang w:val="bg-BG"/>
        </w:rPr>
      </w:pPr>
      <w:proofErr w:type="spellStart"/>
      <w:r w:rsidRPr="004601A6">
        <w:rPr>
          <w:b/>
          <w:bCs/>
          <w:i/>
          <w:iCs/>
          <w:lang w:val="bg-BG" w:eastAsia="bg-BG"/>
        </w:rPr>
        <w:t>Салицилати</w:t>
      </w:r>
      <w:proofErr w:type="spellEnd"/>
      <w:r w:rsidRPr="004601A6">
        <w:rPr>
          <w:b/>
          <w:bCs/>
          <w:i/>
          <w:iCs/>
          <w:lang w:val="bg-BG" w:eastAsia="bg-BG"/>
        </w:rPr>
        <w:t xml:space="preserve">, нестероидни противовъзпалителни средства и </w:t>
      </w:r>
      <w:proofErr w:type="spellStart"/>
      <w:r w:rsidRPr="004601A6">
        <w:rPr>
          <w:b/>
          <w:bCs/>
          <w:i/>
          <w:iCs/>
          <w:lang w:val="bg-BG" w:eastAsia="bg-BG"/>
        </w:rPr>
        <w:t>тромбоцитни</w:t>
      </w:r>
      <w:proofErr w:type="spellEnd"/>
      <w:r w:rsidRPr="004601A6">
        <w:rPr>
          <w:b/>
          <w:bCs/>
          <w:i/>
          <w:iCs/>
          <w:lang w:val="bg-BG" w:eastAsia="bg-BG"/>
        </w:rPr>
        <w:t xml:space="preserve"> </w:t>
      </w:r>
      <w:proofErr w:type="spellStart"/>
      <w:r w:rsidRPr="004601A6">
        <w:rPr>
          <w:b/>
          <w:bCs/>
          <w:i/>
          <w:iCs/>
          <w:lang w:val="bg-BG" w:eastAsia="bg-BG"/>
        </w:rPr>
        <w:t>антиагреганти</w:t>
      </w:r>
      <w:proofErr w:type="spellEnd"/>
    </w:p>
    <w:p w14:paraId="5A73F883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При профилактиката и лечението на венозните </w:t>
      </w:r>
      <w:proofErr w:type="spellStart"/>
      <w:r w:rsidRPr="004601A6">
        <w:rPr>
          <w:lang w:val="bg-BG" w:eastAsia="bg-BG"/>
        </w:rPr>
        <w:t>тромбемболични</w:t>
      </w:r>
      <w:proofErr w:type="spellEnd"/>
      <w:r w:rsidRPr="004601A6">
        <w:rPr>
          <w:lang w:val="bg-BG" w:eastAsia="bg-BG"/>
        </w:rPr>
        <w:t xml:space="preserve"> нарушения и при предотвратяване на кръвосъсирване по време на хемодиализа не се препоръчва </w:t>
      </w:r>
      <w:proofErr w:type="spellStart"/>
      <w:r w:rsidRPr="004601A6">
        <w:rPr>
          <w:lang w:val="bg-BG" w:eastAsia="bg-BG"/>
        </w:rPr>
        <w:t>едновременнот</w:t>
      </w:r>
      <w:proofErr w:type="spellEnd"/>
      <w:r w:rsidRPr="004601A6">
        <w:rPr>
          <w:lang w:val="bg-BG" w:eastAsia="bg-BG"/>
        </w:rPr>
        <w:t xml:space="preserve"> приложение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и аспирин, други </w:t>
      </w:r>
      <w:proofErr w:type="spellStart"/>
      <w:r w:rsidRPr="004601A6">
        <w:rPr>
          <w:lang w:val="bg-BG" w:eastAsia="bg-BG"/>
        </w:rPr>
        <w:t>салицилати</w:t>
      </w:r>
      <w:proofErr w:type="spellEnd"/>
      <w:r w:rsidRPr="004601A6">
        <w:rPr>
          <w:lang w:val="bg-BG" w:eastAsia="bg-BG"/>
        </w:rPr>
        <w:t xml:space="preserve">, НСПВС и </w:t>
      </w:r>
      <w:proofErr w:type="spellStart"/>
      <w:r w:rsidRPr="004601A6">
        <w:rPr>
          <w:lang w:val="bg-BG" w:eastAsia="bg-BG"/>
        </w:rPr>
        <w:t>тромбоцитни</w:t>
      </w:r>
      <w:proofErr w:type="spellEnd"/>
      <w:r w:rsidRPr="004601A6">
        <w:rPr>
          <w:lang w:val="bg-BG" w:eastAsia="bg-BG"/>
        </w:rPr>
        <w:t xml:space="preserve"> </w:t>
      </w:r>
      <w:proofErr w:type="spellStart"/>
      <w:r w:rsidRPr="004601A6">
        <w:rPr>
          <w:lang w:val="bg-BG" w:eastAsia="bg-BG"/>
        </w:rPr>
        <w:t>антиагреганти</w:t>
      </w:r>
      <w:proofErr w:type="spellEnd"/>
      <w:r w:rsidRPr="004601A6">
        <w:rPr>
          <w:lang w:val="bg-BG" w:eastAsia="bg-BG"/>
        </w:rPr>
        <w:t>, тъй като това може да повиши риска от кървене. В случай, че такава комбинация е неизбежна, трябва да се провежда внимателно клинично и лабораторно мониториране.</w:t>
      </w:r>
    </w:p>
    <w:p w14:paraId="527590E5" w14:textId="77777777" w:rsidR="004601A6" w:rsidRDefault="004601A6" w:rsidP="004601A6">
      <w:pPr>
        <w:rPr>
          <w:lang w:val="bg-BG" w:eastAsia="bg-BG"/>
        </w:rPr>
      </w:pPr>
    </w:p>
    <w:p w14:paraId="2E119FDE" w14:textId="3E11F876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В клинични изпитвания при лечение на нестабилна ангина и миокарден инфаркт без </w:t>
      </w:r>
      <w:r w:rsidRPr="004601A6">
        <w:t>Q</w:t>
      </w:r>
      <w:r w:rsidRPr="004601A6">
        <w:rPr>
          <w:lang w:val="bg-BG" w:eastAsia="bg-BG"/>
        </w:rPr>
        <w:t xml:space="preserve">-зъбец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е прилаган в комбинация с аспирин до 325 </w:t>
      </w:r>
      <w:r w:rsidRPr="004601A6">
        <w:t xml:space="preserve">mg </w:t>
      </w:r>
      <w:r w:rsidRPr="004601A6">
        <w:rPr>
          <w:lang w:val="bg-BG" w:eastAsia="bg-BG"/>
        </w:rPr>
        <w:t xml:space="preserve">дневно </w:t>
      </w:r>
      <w:r w:rsidRPr="004601A6">
        <w:rPr>
          <w:i/>
          <w:iCs/>
          <w:lang w:val="bg-BG" w:eastAsia="bg-BG"/>
        </w:rPr>
        <w:t>(вж. точка 4.2. Дозировка и начин на приложение).</w:t>
      </w:r>
    </w:p>
    <w:p w14:paraId="635E91F3" w14:textId="77777777" w:rsidR="004601A6" w:rsidRDefault="004601A6" w:rsidP="004601A6">
      <w:pPr>
        <w:rPr>
          <w:i/>
          <w:iCs/>
          <w:lang w:val="bg-BG" w:eastAsia="bg-BG"/>
        </w:rPr>
      </w:pPr>
    </w:p>
    <w:p w14:paraId="752EDF29" w14:textId="15AB3009" w:rsidR="004601A6" w:rsidRPr="004601A6" w:rsidRDefault="004601A6" w:rsidP="004601A6">
      <w:pPr>
        <w:rPr>
          <w:b/>
          <w:bCs/>
          <w:sz w:val="24"/>
          <w:szCs w:val="24"/>
          <w:lang w:val="bg-BG"/>
        </w:rPr>
      </w:pPr>
      <w:r w:rsidRPr="004601A6">
        <w:rPr>
          <w:b/>
          <w:bCs/>
          <w:i/>
          <w:iCs/>
          <w:lang w:val="bg-BG" w:eastAsia="bg-BG"/>
        </w:rPr>
        <w:t>Кожна невроза</w:t>
      </w:r>
    </w:p>
    <w:p w14:paraId="22342E18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lastRenderedPageBreak/>
        <w:t xml:space="preserve">Кожна некроза е докладвана много рядко. Предхожда се от пурпура или инфилтрирани или болезнени </w:t>
      </w:r>
      <w:proofErr w:type="spellStart"/>
      <w:r w:rsidRPr="004601A6">
        <w:rPr>
          <w:lang w:val="bg-BG" w:eastAsia="bg-BG"/>
        </w:rPr>
        <w:t>еритематозни</w:t>
      </w:r>
      <w:proofErr w:type="spellEnd"/>
      <w:r w:rsidRPr="004601A6">
        <w:rPr>
          <w:lang w:val="bg-BG" w:eastAsia="bg-BG"/>
        </w:rPr>
        <w:t xml:space="preserve"> плаки, с или без симптоми от общ характер. При тези случаи лечението трябва да се спре незабавно.</w:t>
      </w:r>
    </w:p>
    <w:p w14:paraId="063AB7D6" w14:textId="77777777" w:rsidR="004601A6" w:rsidRDefault="004601A6" w:rsidP="004601A6">
      <w:pPr>
        <w:rPr>
          <w:i/>
          <w:iCs/>
          <w:lang w:val="bg-BG" w:eastAsia="bg-BG"/>
        </w:rPr>
      </w:pPr>
    </w:p>
    <w:p w14:paraId="46D90E7C" w14:textId="6F400633" w:rsidR="004601A6" w:rsidRPr="004601A6" w:rsidRDefault="004601A6" w:rsidP="004601A6">
      <w:pPr>
        <w:rPr>
          <w:b/>
          <w:bCs/>
          <w:sz w:val="24"/>
          <w:szCs w:val="24"/>
          <w:lang w:val="bg-BG"/>
        </w:rPr>
      </w:pPr>
      <w:r w:rsidRPr="004601A6">
        <w:rPr>
          <w:b/>
          <w:bCs/>
          <w:i/>
          <w:iCs/>
          <w:lang w:val="bg-BG" w:eastAsia="bg-BG"/>
        </w:rPr>
        <w:t>Алергия към латекс</w:t>
      </w:r>
    </w:p>
    <w:p w14:paraId="100D74A1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Предпазителя на иглата на предварително напълнената спринцовка може да съдържа суха естествена </w:t>
      </w:r>
      <w:proofErr w:type="spellStart"/>
      <w:r w:rsidRPr="004601A6">
        <w:rPr>
          <w:lang w:val="bg-BG" w:eastAsia="bg-BG"/>
        </w:rPr>
        <w:t>латексова</w:t>
      </w:r>
      <w:proofErr w:type="spellEnd"/>
      <w:r w:rsidRPr="004601A6">
        <w:rPr>
          <w:lang w:val="bg-BG" w:eastAsia="bg-BG"/>
        </w:rPr>
        <w:t xml:space="preserve"> гума, която може да причини алергични реакции при хора, чувствителни към латекс.</w:t>
      </w:r>
    </w:p>
    <w:p w14:paraId="207D9559" w14:textId="77777777" w:rsidR="004601A6" w:rsidRPr="00277527" w:rsidRDefault="004601A6" w:rsidP="004601A6"/>
    <w:p w14:paraId="78BEBB3D" w14:textId="5C8FF434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60607B7F" w14:textId="77777777" w:rsidR="004601A6" w:rsidRDefault="004601A6" w:rsidP="004601A6"/>
    <w:p w14:paraId="1998685A" w14:textId="706E8E47" w:rsidR="004601A6" w:rsidRDefault="004601A6" w:rsidP="004601A6">
      <w:proofErr w:type="spellStart"/>
      <w:r>
        <w:t>Надропарин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пациенти</w:t>
      </w:r>
      <w:proofErr w:type="spellEnd"/>
      <w:r>
        <w:t xml:space="preserve">, </w:t>
      </w:r>
      <w:proofErr w:type="spellStart"/>
      <w:r>
        <w:t>получаващи</w:t>
      </w:r>
      <w:proofErr w:type="spellEnd"/>
      <w:r>
        <w:t xml:space="preserve"> </w:t>
      </w:r>
      <w:proofErr w:type="spellStart"/>
      <w:r>
        <w:t>перорални</w:t>
      </w:r>
      <w:proofErr w:type="spellEnd"/>
      <w:r>
        <w:t xml:space="preserve"> </w:t>
      </w:r>
      <w:proofErr w:type="spellStart"/>
      <w:r>
        <w:t>антикоагуланти</w:t>
      </w:r>
      <w:proofErr w:type="spellEnd"/>
      <w:r>
        <w:t xml:space="preserve">, </w:t>
      </w:r>
      <w:proofErr w:type="spellStart"/>
      <w:r>
        <w:t>системни</w:t>
      </w:r>
      <w:proofErr w:type="spellEnd"/>
      <w:r>
        <w:t xml:space="preserve"> </w:t>
      </w:r>
      <w:proofErr w:type="spellStart"/>
      <w:r>
        <w:t>глюкокортикостероиди</w:t>
      </w:r>
      <w:proofErr w:type="spellEnd"/>
      <w:r>
        <w:t xml:space="preserve"> и </w:t>
      </w:r>
      <w:proofErr w:type="spellStart"/>
      <w:r>
        <w:t>декстрани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застъпване</w:t>
      </w:r>
      <w:proofErr w:type="spellEnd"/>
      <w:r>
        <w:t xml:space="preserve"> с </w:t>
      </w:r>
      <w:proofErr w:type="spellStart"/>
      <w:r>
        <w:t>орална</w:t>
      </w:r>
      <w:proofErr w:type="spellEnd"/>
      <w:r>
        <w:t xml:space="preserve"> </w:t>
      </w:r>
      <w:proofErr w:type="spellStart"/>
      <w:r>
        <w:t>антикоагулантна</w:t>
      </w:r>
      <w:proofErr w:type="spellEnd"/>
      <w:r>
        <w:t xml:space="preserve"> </w:t>
      </w:r>
      <w:proofErr w:type="spellStart"/>
      <w:r>
        <w:t>терапия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пациенти</w:t>
      </w:r>
      <w:proofErr w:type="spellEnd"/>
      <w:r>
        <w:t xml:space="preserve">, </w:t>
      </w:r>
      <w:proofErr w:type="spellStart"/>
      <w:r>
        <w:t>получаващи</w:t>
      </w:r>
      <w:proofErr w:type="spellEnd"/>
      <w:r>
        <w:t xml:space="preserve"> </w:t>
      </w:r>
      <w:proofErr w:type="spellStart"/>
      <w:r>
        <w:t>надропарин</w:t>
      </w:r>
      <w:proofErr w:type="spellEnd"/>
      <w:r>
        <w:t xml:space="preserve">, </w:t>
      </w:r>
      <w:proofErr w:type="spellStart"/>
      <w:r>
        <w:t>лечението</w:t>
      </w:r>
      <w:proofErr w:type="spellEnd"/>
      <w:r>
        <w:t xml:space="preserve"> с </w:t>
      </w:r>
      <w:proofErr w:type="spellStart"/>
      <w:r>
        <w:t>надропарин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стабилизиране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прицелните</w:t>
      </w:r>
      <w:proofErr w:type="spellEnd"/>
      <w:r>
        <w:t xml:space="preserve"> </w:t>
      </w:r>
      <w:proofErr w:type="spellStart"/>
      <w:r>
        <w:t>стойности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протромбиновото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/ INR.</w:t>
      </w:r>
    </w:p>
    <w:p w14:paraId="5C551D26" w14:textId="77777777" w:rsidR="004601A6" w:rsidRPr="004601A6" w:rsidRDefault="004601A6" w:rsidP="004601A6"/>
    <w:p w14:paraId="48221AB5" w14:textId="484C0F40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28F1D8ED" w14:textId="611BCB4C" w:rsidR="004601A6" w:rsidRDefault="004601A6" w:rsidP="004601A6"/>
    <w:p w14:paraId="77D1592D" w14:textId="77777777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proofErr w:type="spellStart"/>
      <w:r w:rsidRPr="004601A6">
        <w:rPr>
          <w:rFonts w:eastAsia="Times New Roman"/>
          <w:b/>
          <w:bCs/>
          <w:lang w:val="bg-BG" w:eastAsia="bg-BG"/>
        </w:rPr>
        <w:t>Фертилитет</w:t>
      </w:r>
      <w:proofErr w:type="spellEnd"/>
    </w:p>
    <w:p w14:paraId="355710B4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Няма клинични проучвания за ефекта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върху </w:t>
      </w:r>
      <w:proofErr w:type="spellStart"/>
      <w:r w:rsidRPr="004601A6">
        <w:rPr>
          <w:lang w:val="bg-BG" w:eastAsia="bg-BG"/>
        </w:rPr>
        <w:t>фсртилитета</w:t>
      </w:r>
      <w:proofErr w:type="spellEnd"/>
      <w:r w:rsidRPr="004601A6">
        <w:rPr>
          <w:lang w:val="bg-BG" w:eastAsia="bg-BG"/>
        </w:rPr>
        <w:t>.</w:t>
      </w:r>
    </w:p>
    <w:p w14:paraId="2CD55812" w14:textId="77777777" w:rsidR="004601A6" w:rsidRDefault="004601A6" w:rsidP="004601A6">
      <w:pPr>
        <w:rPr>
          <w:lang w:val="bg-BG" w:eastAsia="bg-BG"/>
        </w:rPr>
      </w:pPr>
    </w:p>
    <w:p w14:paraId="68289EE2" w14:textId="1250478B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r w:rsidRPr="004601A6">
        <w:rPr>
          <w:rFonts w:eastAsia="Times New Roman"/>
          <w:b/>
          <w:bCs/>
          <w:lang w:val="bg-BG" w:eastAsia="bg-BG"/>
        </w:rPr>
        <w:t>Бременност</w:t>
      </w:r>
    </w:p>
    <w:p w14:paraId="0252FC3A" w14:textId="170FA7F2" w:rsidR="004601A6" w:rsidRDefault="004601A6" w:rsidP="004601A6">
      <w:pPr>
        <w:rPr>
          <w:lang w:eastAsia="bg-BG"/>
        </w:rPr>
      </w:pPr>
      <w:r w:rsidRPr="004601A6">
        <w:rPr>
          <w:lang w:val="bg-BG" w:eastAsia="bg-BG"/>
        </w:rPr>
        <w:t xml:space="preserve">Проучванията, проведени върху животни, не са показали тератогенен или </w:t>
      </w:r>
      <w:proofErr w:type="spellStart"/>
      <w:r w:rsidRPr="004601A6">
        <w:rPr>
          <w:lang w:val="bg-BG" w:eastAsia="bg-BG"/>
        </w:rPr>
        <w:t>фетотоксичен</w:t>
      </w:r>
      <w:proofErr w:type="spellEnd"/>
      <w:r w:rsidRPr="004601A6">
        <w:rPr>
          <w:lang w:val="bg-BG" w:eastAsia="bg-BG"/>
        </w:rPr>
        <w:t xml:space="preserve"> ефект Въпреки това, има ограничени клинични данни за </w:t>
      </w:r>
      <w:proofErr w:type="spellStart"/>
      <w:r w:rsidRPr="004601A6">
        <w:rPr>
          <w:lang w:val="bg-BG" w:eastAsia="bg-BG"/>
        </w:rPr>
        <w:t>трансплацентарно</w:t>
      </w:r>
      <w:proofErr w:type="spellEnd"/>
      <w:r w:rsidRPr="004601A6">
        <w:rPr>
          <w:lang w:val="bg-BG" w:eastAsia="bg-BG"/>
        </w:rPr>
        <w:t xml:space="preserve"> преминаване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при бременни жени. Поради тази причина употребата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по време на бременност не се препоръчва, освен ако терапевтичната полза не превишава възможния риск</w:t>
      </w:r>
      <w:r>
        <w:rPr>
          <w:lang w:eastAsia="bg-BG"/>
        </w:rPr>
        <w:t>.</w:t>
      </w:r>
    </w:p>
    <w:p w14:paraId="4EAAB040" w14:textId="05387014" w:rsidR="004601A6" w:rsidRDefault="004601A6" w:rsidP="004601A6">
      <w:pPr>
        <w:rPr>
          <w:lang w:eastAsia="bg-BG"/>
        </w:rPr>
      </w:pPr>
    </w:p>
    <w:p w14:paraId="3D924F6F" w14:textId="77777777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r w:rsidRPr="004601A6">
        <w:rPr>
          <w:rFonts w:eastAsia="Times New Roman"/>
          <w:b/>
          <w:bCs/>
          <w:lang w:val="bg-BG" w:eastAsia="bg-BG"/>
        </w:rPr>
        <w:t>Кърмене</w:t>
      </w:r>
    </w:p>
    <w:p w14:paraId="61306729" w14:textId="285DD639" w:rsidR="004601A6" w:rsidRDefault="004601A6" w:rsidP="004601A6">
      <w:pPr>
        <w:rPr>
          <w:lang w:val="bg-BG" w:eastAsia="bg-BG"/>
        </w:rPr>
      </w:pPr>
      <w:r w:rsidRPr="004601A6">
        <w:rPr>
          <w:lang w:val="bg-BG" w:eastAsia="bg-BG"/>
        </w:rPr>
        <w:t xml:space="preserve">Данните за екскрецията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в майчиното мляко са ограничени, поради което не се препоръчва употребата му по време на кърмене.</w:t>
      </w:r>
    </w:p>
    <w:p w14:paraId="32F01FED" w14:textId="77777777" w:rsidR="004601A6" w:rsidRPr="004601A6" w:rsidRDefault="004601A6" w:rsidP="004601A6"/>
    <w:p w14:paraId="5F675BDB" w14:textId="41058B0F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0CB48EA0" w14:textId="0BC8D706" w:rsidR="004601A6" w:rsidRPr="004601A6" w:rsidRDefault="004601A6" w:rsidP="004601A6">
      <w:proofErr w:type="spellStart"/>
      <w:r>
        <w:t>Няма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ефекта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надропарин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  <w:r>
        <w:t>.</w:t>
      </w:r>
    </w:p>
    <w:p w14:paraId="6AA3C8DE" w14:textId="77777777" w:rsidR="004601A6" w:rsidRPr="004601A6" w:rsidRDefault="004601A6" w:rsidP="004601A6"/>
    <w:p w14:paraId="1B3BD30D" w14:textId="32EDBF99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3C46FE37" w14:textId="77777777" w:rsidR="004601A6" w:rsidRDefault="004601A6" w:rsidP="004601A6">
      <w:pPr>
        <w:rPr>
          <w:lang w:val="bg-BG" w:eastAsia="bg-BG"/>
        </w:rPr>
      </w:pPr>
    </w:p>
    <w:p w14:paraId="694A8AD0" w14:textId="69AD66A0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Нежеланите лекарствени реакции са изброени по-долу по </w:t>
      </w:r>
      <w:proofErr w:type="spellStart"/>
      <w:r w:rsidRPr="004601A6">
        <w:rPr>
          <w:lang w:val="bg-BG" w:eastAsia="bg-BG"/>
        </w:rPr>
        <w:t>системо</w:t>
      </w:r>
      <w:proofErr w:type="spellEnd"/>
      <w:r w:rsidRPr="004601A6">
        <w:rPr>
          <w:lang w:val="bg-BG" w:eastAsia="bg-BG"/>
        </w:rPr>
        <w:t>-органна класификация и абсолютна честота.</w:t>
      </w:r>
    </w:p>
    <w:p w14:paraId="6BBC2B4C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Нежеланите лекарствени реакции са класифицирани според честотата им по следния начин: много чести </w:t>
      </w:r>
      <w:r w:rsidRPr="004601A6">
        <w:t>≥</w:t>
      </w:r>
      <w:r w:rsidRPr="004601A6">
        <w:rPr>
          <w:lang w:val="bg-BG" w:eastAsia="bg-BG"/>
        </w:rPr>
        <w:t xml:space="preserve">1/10, чести </w:t>
      </w:r>
      <w:r w:rsidRPr="004601A6">
        <w:t>≥</w:t>
      </w:r>
      <w:r w:rsidRPr="004601A6">
        <w:rPr>
          <w:lang w:val="bg-BG" w:eastAsia="bg-BG"/>
        </w:rPr>
        <w:t xml:space="preserve">1/100 до &lt;1/10, нечести </w:t>
      </w:r>
      <w:r w:rsidRPr="004601A6">
        <w:t>≥</w:t>
      </w:r>
      <w:r w:rsidRPr="004601A6">
        <w:rPr>
          <w:lang w:val="bg-BG" w:eastAsia="bg-BG"/>
        </w:rPr>
        <w:t xml:space="preserve">1/1 000 до &lt;1/100, редки </w:t>
      </w:r>
      <w:r w:rsidRPr="004601A6">
        <w:t>≥</w:t>
      </w:r>
      <w:r w:rsidRPr="004601A6">
        <w:rPr>
          <w:lang w:val="bg-BG" w:eastAsia="bg-BG"/>
        </w:rPr>
        <w:t xml:space="preserve">1/10 </w:t>
      </w:r>
      <w:r w:rsidRPr="004601A6">
        <w:rPr>
          <w:lang w:val="bg-BG" w:eastAsia="bg-BG"/>
        </w:rPr>
        <w:lastRenderedPageBreak/>
        <w:t>000 до &lt;1/1 000, много редки &lt;1/10 000, с неизвестна честота (от наличните данни не може да бъде направена оценка).</w:t>
      </w:r>
    </w:p>
    <w:p w14:paraId="0278A70E" w14:textId="77777777" w:rsidR="004601A6" w:rsidRDefault="004601A6" w:rsidP="004601A6">
      <w:pPr>
        <w:rPr>
          <w:b/>
          <w:bCs/>
          <w:lang w:val="bg-BG" w:eastAsia="bg-BG"/>
        </w:rPr>
      </w:pPr>
    </w:p>
    <w:p w14:paraId="2CD5E55E" w14:textId="2B51F6E0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кръвта и лимфната система</w:t>
      </w:r>
    </w:p>
    <w:p w14:paraId="24CD0A36" w14:textId="1CF1C5FB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Много чести: Хеморагични прояви с различна локализация, по-чести при пациенти с други рискови фактори </w:t>
      </w:r>
      <w:r w:rsidRPr="004601A6">
        <w:rPr>
          <w:i/>
          <w:iCs/>
          <w:lang w:val="bg-BG" w:eastAsia="bg-BG"/>
        </w:rPr>
        <w:t>(вж. точки 4.3. Противопоказания и 4.5. Взаимодействие с други лекарствени продукти и други форми на взаимодействие).</w:t>
      </w:r>
    </w:p>
    <w:p w14:paraId="2D47220B" w14:textId="77777777" w:rsidR="004601A6" w:rsidRDefault="004601A6" w:rsidP="004601A6">
      <w:pPr>
        <w:rPr>
          <w:lang w:val="bg-BG" w:eastAsia="bg-BG"/>
        </w:rPr>
      </w:pPr>
    </w:p>
    <w:p w14:paraId="690D82E5" w14:textId="26412C24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Редки: </w:t>
      </w:r>
      <w:proofErr w:type="spellStart"/>
      <w:r w:rsidRPr="004601A6">
        <w:rPr>
          <w:lang w:val="bg-BG" w:eastAsia="bg-BG"/>
        </w:rPr>
        <w:t>Тромбоцитопения</w:t>
      </w:r>
      <w:proofErr w:type="spellEnd"/>
      <w:r w:rsidRPr="004601A6">
        <w:rPr>
          <w:lang w:val="bg-BG" w:eastAsia="bg-BG"/>
        </w:rPr>
        <w:t xml:space="preserve"> (включително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 xml:space="preserve"> индуцирана </w:t>
      </w:r>
      <w:proofErr w:type="spellStart"/>
      <w:r w:rsidRPr="004601A6">
        <w:rPr>
          <w:lang w:val="bg-BG" w:eastAsia="bg-BG"/>
        </w:rPr>
        <w:t>тромбоцитопения</w:t>
      </w:r>
      <w:proofErr w:type="spellEnd"/>
      <w:r w:rsidRPr="004601A6">
        <w:rPr>
          <w:lang w:val="bg-BG" w:eastAsia="bg-BG"/>
        </w:rPr>
        <w:t xml:space="preserve">) </w:t>
      </w:r>
      <w:r w:rsidRPr="004601A6">
        <w:rPr>
          <w:i/>
          <w:iCs/>
          <w:lang w:val="bg-BG" w:eastAsia="bg-BG"/>
        </w:rPr>
        <w:t>(вж. точка 4.4. Специални предупреждения и предпазни мерки при употреба),</w:t>
      </w:r>
      <w:r w:rsidRPr="004601A6">
        <w:rPr>
          <w:lang w:val="bg-BG" w:eastAsia="bg-BG"/>
        </w:rPr>
        <w:t xml:space="preserve"> </w:t>
      </w:r>
      <w:proofErr w:type="spellStart"/>
      <w:r w:rsidRPr="004601A6">
        <w:rPr>
          <w:lang w:val="bg-BG" w:eastAsia="bg-BG"/>
        </w:rPr>
        <w:t>тромбоцитоза</w:t>
      </w:r>
      <w:proofErr w:type="spellEnd"/>
      <w:r w:rsidRPr="004601A6">
        <w:rPr>
          <w:lang w:val="bg-BG" w:eastAsia="bg-BG"/>
        </w:rPr>
        <w:t>.</w:t>
      </w:r>
    </w:p>
    <w:p w14:paraId="6C196B95" w14:textId="77777777" w:rsidR="004601A6" w:rsidRDefault="004601A6" w:rsidP="004601A6">
      <w:pPr>
        <w:rPr>
          <w:lang w:val="bg-BG" w:eastAsia="bg-BG"/>
        </w:rPr>
      </w:pPr>
    </w:p>
    <w:p w14:paraId="46637DC2" w14:textId="39D99AEE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Много редки: </w:t>
      </w:r>
      <w:proofErr w:type="spellStart"/>
      <w:r w:rsidRPr="004601A6">
        <w:rPr>
          <w:lang w:val="bg-BG" w:eastAsia="bg-BG"/>
        </w:rPr>
        <w:t>Еозинофилия</w:t>
      </w:r>
      <w:proofErr w:type="spellEnd"/>
      <w:r w:rsidRPr="004601A6">
        <w:rPr>
          <w:lang w:val="bg-BG" w:eastAsia="bg-BG"/>
        </w:rPr>
        <w:t>, която е обратима след прекъсване на лечението.</w:t>
      </w:r>
    </w:p>
    <w:p w14:paraId="3B4AA646" w14:textId="77777777" w:rsidR="004601A6" w:rsidRDefault="004601A6" w:rsidP="004601A6">
      <w:pPr>
        <w:rPr>
          <w:b/>
          <w:bCs/>
          <w:lang w:val="bg-BG" w:eastAsia="bg-BG"/>
        </w:rPr>
      </w:pPr>
    </w:p>
    <w:p w14:paraId="71DC4AE6" w14:textId="636F2E28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имунната система</w:t>
      </w:r>
    </w:p>
    <w:p w14:paraId="2B324813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Много редки: Реакции на свръхчувствителност (включително ангиоедем и кожни реакции), </w:t>
      </w:r>
      <w:proofErr w:type="spellStart"/>
      <w:r w:rsidRPr="004601A6">
        <w:rPr>
          <w:lang w:val="bg-BG" w:eastAsia="bg-BG"/>
        </w:rPr>
        <w:t>анафилактична</w:t>
      </w:r>
      <w:proofErr w:type="spellEnd"/>
      <w:r w:rsidRPr="004601A6">
        <w:rPr>
          <w:lang w:val="bg-BG" w:eastAsia="bg-BG"/>
        </w:rPr>
        <w:t xml:space="preserve"> реакция.</w:t>
      </w:r>
    </w:p>
    <w:p w14:paraId="51346E10" w14:textId="77777777" w:rsidR="004601A6" w:rsidRDefault="004601A6" w:rsidP="004601A6">
      <w:pPr>
        <w:rPr>
          <w:b/>
          <w:bCs/>
          <w:lang w:val="bg-BG" w:eastAsia="bg-BG"/>
        </w:rPr>
      </w:pPr>
    </w:p>
    <w:p w14:paraId="4303D7BF" w14:textId="7C6887F3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нервната система</w:t>
      </w:r>
    </w:p>
    <w:p w14:paraId="057881DF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С неизвестна честота: главоболие, мигрена.</w:t>
      </w:r>
    </w:p>
    <w:p w14:paraId="202D1417" w14:textId="77777777" w:rsidR="004601A6" w:rsidRDefault="004601A6" w:rsidP="004601A6">
      <w:pPr>
        <w:rPr>
          <w:b/>
          <w:bCs/>
          <w:lang w:val="bg-BG" w:eastAsia="bg-BG"/>
        </w:rPr>
      </w:pPr>
      <w:bookmarkStart w:id="4" w:name="bookmark6"/>
    </w:p>
    <w:p w14:paraId="7B1B066C" w14:textId="09370E52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метаболизма и храненето</w:t>
      </w:r>
      <w:bookmarkEnd w:id="4"/>
    </w:p>
    <w:p w14:paraId="56D26933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Много редки: Обратима </w:t>
      </w:r>
      <w:proofErr w:type="spellStart"/>
      <w:r w:rsidRPr="004601A6">
        <w:rPr>
          <w:lang w:val="bg-BG" w:eastAsia="bg-BG"/>
        </w:rPr>
        <w:t>хиперкалиемия</w:t>
      </w:r>
      <w:proofErr w:type="spellEnd"/>
      <w:r w:rsidRPr="004601A6">
        <w:rPr>
          <w:lang w:val="bg-BG" w:eastAsia="bg-BG"/>
        </w:rPr>
        <w:t xml:space="preserve">, дължаща се на </w:t>
      </w:r>
      <w:proofErr w:type="spellStart"/>
      <w:r w:rsidRPr="004601A6">
        <w:rPr>
          <w:lang w:val="bg-BG" w:eastAsia="bg-BG"/>
        </w:rPr>
        <w:t>подтискане</w:t>
      </w:r>
      <w:proofErr w:type="spellEnd"/>
      <w:r w:rsidRPr="004601A6">
        <w:rPr>
          <w:lang w:val="bg-BG" w:eastAsia="bg-BG"/>
        </w:rPr>
        <w:t xml:space="preserve"> на </w:t>
      </w:r>
      <w:proofErr w:type="spellStart"/>
      <w:r w:rsidRPr="004601A6">
        <w:rPr>
          <w:lang w:val="bg-BG" w:eastAsia="bg-BG"/>
        </w:rPr>
        <w:t>алдостерона</w:t>
      </w:r>
      <w:proofErr w:type="spellEnd"/>
      <w:r w:rsidRPr="004601A6">
        <w:rPr>
          <w:lang w:val="bg-BG" w:eastAsia="bg-BG"/>
        </w:rPr>
        <w:t xml:space="preserve"> от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 xml:space="preserve">, главно при рискови пациенти </w:t>
      </w:r>
      <w:r w:rsidRPr="004601A6">
        <w:rPr>
          <w:i/>
          <w:iCs/>
          <w:lang w:val="bg-BG" w:eastAsia="bg-BG"/>
        </w:rPr>
        <w:t>(вж. точка 4.4 Специални предупреждения и предпазни мерки при употреба).</w:t>
      </w:r>
    </w:p>
    <w:p w14:paraId="06947AC8" w14:textId="77777777" w:rsidR="004601A6" w:rsidRDefault="004601A6" w:rsidP="004601A6">
      <w:pPr>
        <w:rPr>
          <w:b/>
          <w:bCs/>
          <w:lang w:val="bg-BG" w:eastAsia="bg-BG"/>
        </w:rPr>
      </w:pPr>
      <w:bookmarkStart w:id="5" w:name="bookmark8"/>
    </w:p>
    <w:p w14:paraId="611AAF0E" w14:textId="65EB1514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b/>
          <w:bCs/>
          <w:lang w:val="bg-BG" w:eastAsia="bg-BG"/>
        </w:rPr>
        <w:t>Хепато-бнлиарни</w:t>
      </w:r>
      <w:proofErr w:type="spellEnd"/>
      <w:r w:rsidRPr="004601A6">
        <w:rPr>
          <w:b/>
          <w:bCs/>
          <w:lang w:val="bg-BG" w:eastAsia="bg-BG"/>
        </w:rPr>
        <w:t xml:space="preserve"> нарушения</w:t>
      </w:r>
      <w:bookmarkEnd w:id="5"/>
    </w:p>
    <w:p w14:paraId="57BA8AA5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Чести: Повишение на </w:t>
      </w:r>
      <w:proofErr w:type="spellStart"/>
      <w:r w:rsidRPr="004601A6">
        <w:rPr>
          <w:lang w:val="bg-BG" w:eastAsia="bg-BG"/>
        </w:rPr>
        <w:t>трансаминазите</w:t>
      </w:r>
      <w:proofErr w:type="spellEnd"/>
      <w:r w:rsidRPr="004601A6">
        <w:rPr>
          <w:lang w:val="bg-BG" w:eastAsia="bg-BG"/>
        </w:rPr>
        <w:t>, което обикновено е преходно.</w:t>
      </w:r>
    </w:p>
    <w:p w14:paraId="36C59C50" w14:textId="77777777" w:rsidR="004601A6" w:rsidRDefault="004601A6" w:rsidP="004601A6">
      <w:pPr>
        <w:rPr>
          <w:b/>
          <w:bCs/>
          <w:lang w:val="bg-BG" w:eastAsia="bg-BG"/>
        </w:rPr>
      </w:pPr>
      <w:bookmarkStart w:id="6" w:name="bookmark10"/>
    </w:p>
    <w:p w14:paraId="2A65BEA0" w14:textId="1B8775F9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възпроизводителната система и гърдата</w:t>
      </w:r>
      <w:bookmarkEnd w:id="6"/>
    </w:p>
    <w:p w14:paraId="1C4EBC12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Много редки: </w:t>
      </w:r>
      <w:proofErr w:type="spellStart"/>
      <w:r w:rsidRPr="004601A6">
        <w:rPr>
          <w:lang w:val="bg-BG" w:eastAsia="bg-BG"/>
        </w:rPr>
        <w:t>Приапизьм</w:t>
      </w:r>
      <w:proofErr w:type="spellEnd"/>
      <w:r w:rsidRPr="004601A6">
        <w:rPr>
          <w:lang w:val="bg-BG" w:eastAsia="bg-BG"/>
        </w:rPr>
        <w:t>.</w:t>
      </w:r>
    </w:p>
    <w:p w14:paraId="0E1A2198" w14:textId="77777777" w:rsidR="004601A6" w:rsidRDefault="004601A6" w:rsidP="004601A6">
      <w:pPr>
        <w:rPr>
          <w:b/>
          <w:bCs/>
          <w:lang w:val="bg-BG" w:eastAsia="bg-BG"/>
        </w:rPr>
      </w:pPr>
      <w:bookmarkStart w:id="7" w:name="bookmark12"/>
    </w:p>
    <w:p w14:paraId="1391BE02" w14:textId="327D5B08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Нарушения на кожата и подкожната тъкан</w:t>
      </w:r>
      <w:bookmarkEnd w:id="7"/>
    </w:p>
    <w:p w14:paraId="5933006E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Редки: обрив, уртикария, еритема, </w:t>
      </w:r>
      <w:proofErr w:type="spellStart"/>
      <w:r w:rsidRPr="004601A6">
        <w:rPr>
          <w:lang w:val="bg-BG" w:eastAsia="bg-BG"/>
        </w:rPr>
        <w:t>пруритус</w:t>
      </w:r>
      <w:proofErr w:type="spellEnd"/>
    </w:p>
    <w:p w14:paraId="2CE6EF76" w14:textId="77777777" w:rsidR="004601A6" w:rsidRDefault="004601A6" w:rsidP="004601A6">
      <w:pPr>
        <w:rPr>
          <w:lang w:val="bg-BG" w:eastAsia="bg-BG"/>
        </w:rPr>
      </w:pPr>
    </w:p>
    <w:p w14:paraId="65DC0FD2" w14:textId="24821185" w:rsidR="004601A6" w:rsidRDefault="004601A6" w:rsidP="004601A6">
      <w:pPr>
        <w:rPr>
          <w:i/>
          <w:iCs/>
          <w:lang w:val="bg-BG" w:eastAsia="bg-BG"/>
        </w:rPr>
      </w:pPr>
      <w:r w:rsidRPr="004601A6">
        <w:rPr>
          <w:lang w:val="bg-BG" w:eastAsia="bg-BG"/>
        </w:rPr>
        <w:t xml:space="preserve">Много редки: кожна некроза, която обикновено се появява на мястото на инжектиране </w:t>
      </w:r>
      <w:r w:rsidRPr="004601A6">
        <w:rPr>
          <w:i/>
          <w:iCs/>
          <w:lang w:val="bg-BG" w:eastAsia="bg-BG"/>
        </w:rPr>
        <w:t>(вж. точка 4.4 Специални предупреждения и предпазни мерки при употреба)</w:t>
      </w:r>
    </w:p>
    <w:p w14:paraId="15C2C38D" w14:textId="6BD4B7D6" w:rsidR="004601A6" w:rsidRDefault="004601A6" w:rsidP="004601A6">
      <w:pPr>
        <w:rPr>
          <w:i/>
          <w:iCs/>
          <w:lang w:val="bg-BG" w:eastAsia="bg-BG"/>
        </w:rPr>
      </w:pPr>
    </w:p>
    <w:p w14:paraId="3460BB61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>Общи нарушения и ефекти на мястото на приложение</w:t>
      </w:r>
    </w:p>
    <w:p w14:paraId="7E0157D8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Много чести: Малки хематоми на мястото на инжектиране.</w:t>
      </w:r>
    </w:p>
    <w:p w14:paraId="1493F0FB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В някои случаи се наблюдава появата на твърди </w:t>
      </w:r>
      <w:proofErr w:type="spellStart"/>
      <w:r w:rsidRPr="004601A6">
        <w:rPr>
          <w:lang w:val="bg-BG" w:eastAsia="bg-BG"/>
        </w:rPr>
        <w:t>възелчета</w:t>
      </w:r>
      <w:proofErr w:type="spellEnd"/>
      <w:r w:rsidRPr="004601A6">
        <w:rPr>
          <w:lang w:val="bg-BG" w:eastAsia="bg-BG"/>
        </w:rPr>
        <w:t xml:space="preserve">, които не са кисти, изпълнени с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>, и които изчезват след няколко дни.</w:t>
      </w:r>
    </w:p>
    <w:p w14:paraId="20958E55" w14:textId="77777777" w:rsidR="004601A6" w:rsidRDefault="004601A6" w:rsidP="004601A6">
      <w:pPr>
        <w:rPr>
          <w:lang w:val="bg-BG" w:eastAsia="bg-BG"/>
        </w:rPr>
      </w:pPr>
    </w:p>
    <w:p w14:paraId="5A9D6EBF" w14:textId="0A9358A7" w:rsidR="004601A6" w:rsidRDefault="004601A6" w:rsidP="004601A6">
      <w:pPr>
        <w:rPr>
          <w:lang w:val="bg-BG" w:eastAsia="bg-BG"/>
        </w:rPr>
      </w:pPr>
      <w:r w:rsidRPr="004601A6">
        <w:rPr>
          <w:lang w:val="bg-BG" w:eastAsia="bg-BG"/>
        </w:rPr>
        <w:t>Чести: Реакция на мястото на инжектиране.</w:t>
      </w:r>
    </w:p>
    <w:p w14:paraId="51BCBBE2" w14:textId="5080B64D" w:rsidR="004601A6" w:rsidRDefault="004601A6" w:rsidP="004601A6">
      <w:pPr>
        <w:rPr>
          <w:lang w:val="bg-BG" w:eastAsia="bg-BG"/>
        </w:rPr>
      </w:pPr>
    </w:p>
    <w:p w14:paraId="77FC968E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Редки: </w:t>
      </w:r>
      <w:proofErr w:type="spellStart"/>
      <w:r w:rsidRPr="004601A6">
        <w:rPr>
          <w:lang w:val="bg-BG" w:eastAsia="bg-BG"/>
        </w:rPr>
        <w:t>Калциноза</w:t>
      </w:r>
      <w:proofErr w:type="spellEnd"/>
      <w:r w:rsidRPr="004601A6">
        <w:rPr>
          <w:lang w:val="bg-BG" w:eastAsia="bg-BG"/>
        </w:rPr>
        <w:t xml:space="preserve"> на мястото на инжектиране.</w:t>
      </w:r>
    </w:p>
    <w:p w14:paraId="3028C7AA" w14:textId="77777777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Калцинозата</w:t>
      </w:r>
      <w:proofErr w:type="spellEnd"/>
      <w:r w:rsidRPr="004601A6">
        <w:rPr>
          <w:lang w:val="bg-BG" w:eastAsia="bg-BG"/>
        </w:rPr>
        <w:t xml:space="preserve"> е по-честа при пациенти с нарушения в калциево-фосфорната обмяна, каквито се наблюдават понякога при хронична бъбречна недостатъчност.</w:t>
      </w:r>
    </w:p>
    <w:p w14:paraId="0D2716D7" w14:textId="77777777" w:rsidR="004601A6" w:rsidRDefault="004601A6" w:rsidP="004601A6">
      <w:pPr>
        <w:rPr>
          <w:u w:val="single"/>
          <w:lang w:val="bg-BG" w:eastAsia="bg-BG"/>
        </w:rPr>
      </w:pPr>
    </w:p>
    <w:p w14:paraId="278084D3" w14:textId="7170BD9D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u w:val="single"/>
          <w:lang w:val="bg-BG" w:eastAsia="bg-BG"/>
        </w:rPr>
        <w:lastRenderedPageBreak/>
        <w:t>Съобщаване на подозирани нежелани реакции</w:t>
      </w:r>
    </w:p>
    <w:p w14:paraId="74DE82B5" w14:textId="2FA3F1AD" w:rsidR="004601A6" w:rsidRDefault="004601A6" w:rsidP="004601A6">
      <w:r w:rsidRPr="004601A6">
        <w:rPr>
          <w:lang w:val="bg-BG"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на: Изпълнителна агенция по лекарствата </w:t>
      </w:r>
      <w:proofErr w:type="spellStart"/>
      <w:r w:rsidRPr="004601A6">
        <w:rPr>
          <w:lang w:val="bg-BG" w:eastAsia="bg-BG"/>
        </w:rPr>
        <w:t>ул</w:t>
      </w:r>
      <w:proofErr w:type="spellEnd"/>
      <w:r w:rsidRPr="004601A6">
        <w:rPr>
          <w:lang w:val="bg-BG" w:eastAsia="bg-BG"/>
        </w:rPr>
        <w:t xml:space="preserve">.,Дамян Груев” № 8, 1303 София, тел.:+359 2 8903417, уебсайт: </w:t>
      </w:r>
      <w:hyperlink r:id="rId5" w:history="1">
        <w:r w:rsidRPr="004601A6">
          <w:rPr>
            <w:u w:val="single"/>
          </w:rPr>
          <w:t>www.bda.bg</w:t>
        </w:r>
      </w:hyperlink>
      <w:r w:rsidRPr="004601A6">
        <w:t>.</w:t>
      </w:r>
    </w:p>
    <w:p w14:paraId="3F7B3CD5" w14:textId="77777777" w:rsidR="004601A6" w:rsidRPr="004601A6" w:rsidRDefault="004601A6" w:rsidP="004601A6"/>
    <w:p w14:paraId="611C622D" w14:textId="75D9A00D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25F1D95E" w14:textId="77777777" w:rsidR="004601A6" w:rsidRDefault="004601A6" w:rsidP="004601A6">
      <w:pPr>
        <w:rPr>
          <w:lang w:val="bg-BG" w:eastAsia="bg-BG"/>
        </w:rPr>
      </w:pPr>
    </w:p>
    <w:p w14:paraId="7C581E83" w14:textId="1BD71949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r w:rsidRPr="004601A6">
        <w:rPr>
          <w:rFonts w:eastAsia="Times New Roman"/>
          <w:b/>
          <w:bCs/>
          <w:lang w:val="bg-BG" w:eastAsia="bg-BG"/>
        </w:rPr>
        <w:t>Симптоми и признаци</w:t>
      </w:r>
    </w:p>
    <w:p w14:paraId="5B978F6F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Хеморагията е основната клинична проява при подкожно или интравенозно предозиране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. Трябва да се следят броят на </w:t>
      </w:r>
      <w:proofErr w:type="spellStart"/>
      <w:r w:rsidRPr="004601A6">
        <w:rPr>
          <w:lang w:val="bg-BG" w:eastAsia="bg-BG"/>
        </w:rPr>
        <w:t>тромбоцитите</w:t>
      </w:r>
      <w:proofErr w:type="spellEnd"/>
      <w:r w:rsidRPr="004601A6">
        <w:rPr>
          <w:lang w:val="bg-BG" w:eastAsia="bg-BG"/>
        </w:rPr>
        <w:t xml:space="preserve"> и другите показатели на кръвосъсирването. Слабото кървене рядко изисква прилагането на специфична терапия, като редуцирането или забавянето на следващата доза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обикновено е достатъчно.</w:t>
      </w:r>
    </w:p>
    <w:p w14:paraId="26B73FC4" w14:textId="77777777" w:rsidR="004601A6" w:rsidRDefault="004601A6" w:rsidP="004601A6">
      <w:pPr>
        <w:rPr>
          <w:lang w:val="bg-BG" w:eastAsia="bg-BG"/>
        </w:rPr>
      </w:pPr>
    </w:p>
    <w:p w14:paraId="60667B4D" w14:textId="6CEEF844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r w:rsidRPr="004601A6">
        <w:rPr>
          <w:rFonts w:eastAsia="Times New Roman"/>
          <w:b/>
          <w:bCs/>
          <w:lang w:val="bg-BG" w:eastAsia="bg-BG"/>
        </w:rPr>
        <w:t>Лечение</w:t>
      </w:r>
    </w:p>
    <w:p w14:paraId="56951AFA" w14:textId="77777777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Към приложение на </w:t>
      </w:r>
      <w:proofErr w:type="spellStart"/>
      <w:r w:rsidRPr="004601A6">
        <w:rPr>
          <w:lang w:val="bg-BG" w:eastAsia="bg-BG"/>
        </w:rPr>
        <w:t>протамин</w:t>
      </w:r>
      <w:proofErr w:type="spellEnd"/>
      <w:r w:rsidRPr="004601A6">
        <w:rPr>
          <w:lang w:val="bg-BG" w:eastAsia="bg-BG"/>
        </w:rPr>
        <w:t xml:space="preserve"> сулфат се пристъпва само при по-сериозни случаи. Той неутрализира до голяма степен </w:t>
      </w:r>
      <w:proofErr w:type="spellStart"/>
      <w:r w:rsidRPr="004601A6">
        <w:rPr>
          <w:lang w:val="bg-BG" w:eastAsia="bg-BG"/>
        </w:rPr>
        <w:t>антикоагулантния</w:t>
      </w:r>
      <w:proofErr w:type="spellEnd"/>
      <w:r w:rsidRPr="004601A6">
        <w:rPr>
          <w:lang w:val="bg-BG" w:eastAsia="bg-BG"/>
        </w:rPr>
        <w:t xml:space="preserve"> ефект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>, но малка част от анти- Ха активността се запазва.</w:t>
      </w:r>
    </w:p>
    <w:p w14:paraId="6C1C7C3D" w14:textId="77777777" w:rsidR="004601A6" w:rsidRDefault="004601A6" w:rsidP="004601A6">
      <w:pPr>
        <w:rPr>
          <w:lang w:val="bg-BG" w:eastAsia="bg-BG"/>
        </w:rPr>
      </w:pPr>
    </w:p>
    <w:p w14:paraId="3138D924" w14:textId="5F160DCE" w:rsidR="004601A6" w:rsidRPr="004601A6" w:rsidRDefault="004601A6" w:rsidP="004601A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0,6 </w:t>
      </w:r>
      <w:r w:rsidRPr="004601A6">
        <w:t xml:space="preserve">ml </w:t>
      </w:r>
      <w:proofErr w:type="spellStart"/>
      <w:r w:rsidRPr="004601A6">
        <w:rPr>
          <w:lang w:val="bg-BG" w:eastAsia="bg-BG"/>
        </w:rPr>
        <w:t>протамин</w:t>
      </w:r>
      <w:proofErr w:type="spellEnd"/>
      <w:r w:rsidRPr="004601A6">
        <w:rPr>
          <w:lang w:val="bg-BG" w:eastAsia="bg-BG"/>
        </w:rPr>
        <w:t xml:space="preserve"> сулфат неутрализират приблизително 950</w:t>
      </w:r>
      <w:r w:rsidRPr="004601A6">
        <w:t xml:space="preserve">IU </w:t>
      </w:r>
      <w:r w:rsidRPr="004601A6">
        <w:rPr>
          <w:lang w:val="bg-BG" w:eastAsia="bg-BG"/>
        </w:rPr>
        <w:t xml:space="preserve">анти-Ха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. Необходимата доза </w:t>
      </w:r>
      <w:proofErr w:type="spellStart"/>
      <w:r w:rsidRPr="004601A6">
        <w:rPr>
          <w:lang w:val="bg-BG" w:eastAsia="bg-BG"/>
        </w:rPr>
        <w:t>протамин</w:t>
      </w:r>
      <w:proofErr w:type="spellEnd"/>
      <w:r w:rsidRPr="004601A6">
        <w:rPr>
          <w:lang w:val="bg-BG" w:eastAsia="bg-BG"/>
        </w:rPr>
        <w:t xml:space="preserve"> зависи от времето, изминало от приложението на </w:t>
      </w:r>
      <w:proofErr w:type="spellStart"/>
      <w:r w:rsidRPr="004601A6">
        <w:rPr>
          <w:lang w:val="bg-BG" w:eastAsia="bg-BG"/>
        </w:rPr>
        <w:t>хепарина</w:t>
      </w:r>
      <w:proofErr w:type="spellEnd"/>
      <w:r w:rsidRPr="004601A6">
        <w:rPr>
          <w:lang w:val="bg-BG" w:eastAsia="bg-BG"/>
        </w:rPr>
        <w:t xml:space="preserve"> и може да се намали съобразно него.</w:t>
      </w:r>
    </w:p>
    <w:p w14:paraId="38DE0969" w14:textId="77777777" w:rsidR="004601A6" w:rsidRPr="004601A6" w:rsidRDefault="004601A6" w:rsidP="004601A6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2AE264BD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2C066750" w14:textId="77777777" w:rsidR="004601A6" w:rsidRDefault="004601A6" w:rsidP="004601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bg-BG" w:eastAsia="bg-BG"/>
        </w:rPr>
      </w:pPr>
    </w:p>
    <w:p w14:paraId="33BF0091" w14:textId="70669F9E" w:rsidR="004601A6" w:rsidRPr="004601A6" w:rsidRDefault="004601A6" w:rsidP="004601A6">
      <w:pPr>
        <w:rPr>
          <w:b/>
          <w:bCs/>
          <w:sz w:val="24"/>
          <w:szCs w:val="24"/>
          <w:lang w:val="bg-BG"/>
        </w:rPr>
      </w:pPr>
      <w:r w:rsidRPr="004601A6">
        <w:rPr>
          <w:b/>
          <w:bCs/>
          <w:lang w:val="bg-BG" w:eastAsia="bg-BG"/>
        </w:rPr>
        <w:t xml:space="preserve">АТС код: </w:t>
      </w:r>
      <w:r w:rsidRPr="004601A6">
        <w:rPr>
          <w:b/>
          <w:bCs/>
        </w:rPr>
        <w:t>BO1AB06</w:t>
      </w:r>
    </w:p>
    <w:p w14:paraId="41859903" w14:textId="77777777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Фармакотерапевтична</w:t>
      </w:r>
      <w:proofErr w:type="spellEnd"/>
      <w:r w:rsidRPr="004601A6">
        <w:rPr>
          <w:lang w:val="bg-BG" w:eastAsia="bg-BG"/>
        </w:rPr>
        <w:t xml:space="preserve"> група: </w:t>
      </w:r>
      <w:proofErr w:type="spellStart"/>
      <w:r w:rsidRPr="004601A6">
        <w:rPr>
          <w:lang w:val="bg-BG" w:eastAsia="bg-BG"/>
        </w:rPr>
        <w:t>антитромботично</w:t>
      </w:r>
      <w:proofErr w:type="spellEnd"/>
      <w:r w:rsidRPr="004601A6">
        <w:rPr>
          <w:lang w:val="bg-BG" w:eastAsia="bg-BG"/>
        </w:rPr>
        <w:t xml:space="preserve"> средство от групата на </w:t>
      </w:r>
      <w:proofErr w:type="spellStart"/>
      <w:r w:rsidRPr="004601A6">
        <w:rPr>
          <w:lang w:val="bg-BG" w:eastAsia="bg-BG"/>
        </w:rPr>
        <w:t>хепарина</w:t>
      </w:r>
      <w:proofErr w:type="spellEnd"/>
      <w:r w:rsidRPr="004601A6">
        <w:rPr>
          <w:lang w:val="bg-BG" w:eastAsia="bg-BG"/>
        </w:rPr>
        <w:t>.</w:t>
      </w:r>
    </w:p>
    <w:p w14:paraId="4BFAD267" w14:textId="77777777" w:rsidR="004601A6" w:rsidRDefault="004601A6" w:rsidP="004601A6">
      <w:pPr>
        <w:rPr>
          <w:lang w:val="bg-BG" w:eastAsia="bg-BG"/>
        </w:rPr>
      </w:pPr>
    </w:p>
    <w:p w14:paraId="3D4BD5DE" w14:textId="0CC71199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r w:rsidRPr="004601A6">
        <w:rPr>
          <w:rFonts w:eastAsia="Times New Roman"/>
          <w:b/>
          <w:bCs/>
          <w:lang w:val="bg-BG" w:eastAsia="bg-BG"/>
        </w:rPr>
        <w:t>Механизъм на действие</w:t>
      </w:r>
    </w:p>
    <w:p w14:paraId="21586DF5" w14:textId="77777777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е нискомолекулен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 xml:space="preserve">, получен чрез деполимеризация на стандартния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 xml:space="preserve">. Той е </w:t>
      </w:r>
      <w:proofErr w:type="spellStart"/>
      <w:r w:rsidRPr="004601A6">
        <w:rPr>
          <w:lang w:val="bg-BG" w:eastAsia="bg-BG"/>
        </w:rPr>
        <w:t>глюкозаминогликан</w:t>
      </w:r>
      <w:proofErr w:type="spellEnd"/>
      <w:r w:rsidRPr="004601A6">
        <w:rPr>
          <w:lang w:val="bg-BG" w:eastAsia="bg-BG"/>
        </w:rPr>
        <w:t xml:space="preserve"> със средно молекулно тегло приблизително 4300 </w:t>
      </w:r>
      <w:proofErr w:type="spellStart"/>
      <w:r w:rsidRPr="004601A6">
        <w:rPr>
          <w:lang w:val="bg-BG" w:eastAsia="bg-BG"/>
        </w:rPr>
        <w:t>далтона</w:t>
      </w:r>
      <w:proofErr w:type="spellEnd"/>
      <w:r w:rsidRPr="004601A6">
        <w:rPr>
          <w:lang w:val="bg-BG" w:eastAsia="bg-BG"/>
        </w:rPr>
        <w:t>.</w:t>
      </w:r>
    </w:p>
    <w:p w14:paraId="42D23D37" w14:textId="77777777" w:rsidR="004601A6" w:rsidRDefault="004601A6" w:rsidP="004601A6">
      <w:pPr>
        <w:rPr>
          <w:lang w:val="bg-BG" w:eastAsia="bg-BG"/>
        </w:rPr>
      </w:pPr>
    </w:p>
    <w:p w14:paraId="587F0E58" w14:textId="0CB625BB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проявява висок афинитет за свързване с плазмения протеин </w:t>
      </w:r>
      <w:proofErr w:type="spellStart"/>
      <w:r w:rsidRPr="004601A6">
        <w:rPr>
          <w:lang w:val="bg-BG" w:eastAsia="bg-BG"/>
        </w:rPr>
        <w:t>антитромбин</w:t>
      </w:r>
      <w:proofErr w:type="spellEnd"/>
      <w:r w:rsidRPr="004601A6">
        <w:rPr>
          <w:lang w:val="bg-BG" w:eastAsia="bg-BG"/>
        </w:rPr>
        <w:t xml:space="preserve"> III (АТШ). Това свързване води до засилено инхибиране на фактор Ха, което допринася за високия </w:t>
      </w:r>
      <w:proofErr w:type="spellStart"/>
      <w:r w:rsidRPr="004601A6">
        <w:rPr>
          <w:lang w:val="bg-BG" w:eastAsia="bg-BG"/>
        </w:rPr>
        <w:t>антитромботичен</w:t>
      </w:r>
      <w:proofErr w:type="spellEnd"/>
      <w:r w:rsidRPr="004601A6">
        <w:rPr>
          <w:lang w:val="bg-BG" w:eastAsia="bg-BG"/>
        </w:rPr>
        <w:t xml:space="preserve"> потенциал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>.</w:t>
      </w:r>
    </w:p>
    <w:p w14:paraId="468830DF" w14:textId="77777777" w:rsidR="004601A6" w:rsidRDefault="004601A6" w:rsidP="004601A6">
      <w:pPr>
        <w:rPr>
          <w:lang w:val="bg-BG" w:eastAsia="bg-BG"/>
        </w:rPr>
      </w:pPr>
    </w:p>
    <w:p w14:paraId="4A3F6BBE" w14:textId="71C7BA8B" w:rsidR="004601A6" w:rsidRDefault="004601A6" w:rsidP="004601A6">
      <w:pPr>
        <w:rPr>
          <w:lang w:val="bg-BG" w:eastAsia="bg-BG"/>
        </w:rPr>
      </w:pPr>
      <w:r w:rsidRPr="004601A6">
        <w:rPr>
          <w:lang w:val="bg-BG" w:eastAsia="bg-BG"/>
        </w:rPr>
        <w:t xml:space="preserve">Други механизми, които определят </w:t>
      </w:r>
      <w:proofErr w:type="spellStart"/>
      <w:r w:rsidRPr="004601A6">
        <w:rPr>
          <w:lang w:val="bg-BG" w:eastAsia="bg-BG"/>
        </w:rPr>
        <w:t>антитромботичната</w:t>
      </w:r>
      <w:proofErr w:type="spellEnd"/>
      <w:r w:rsidRPr="004601A6">
        <w:rPr>
          <w:lang w:val="bg-BG" w:eastAsia="bg-BG"/>
        </w:rPr>
        <w:t xml:space="preserve"> активност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включват стимулиране на инхибитора на тъканен фактор </w:t>
      </w:r>
      <w:r w:rsidRPr="004601A6">
        <w:t xml:space="preserve">TFP1, </w:t>
      </w:r>
      <w:r w:rsidRPr="004601A6">
        <w:rPr>
          <w:lang w:val="bg-BG" w:eastAsia="bg-BG"/>
        </w:rPr>
        <w:t xml:space="preserve">активиране на </w:t>
      </w:r>
      <w:proofErr w:type="spellStart"/>
      <w:r w:rsidRPr="004601A6">
        <w:rPr>
          <w:lang w:val="bg-BG" w:eastAsia="bg-BG"/>
        </w:rPr>
        <w:t>фибринолизата</w:t>
      </w:r>
      <w:proofErr w:type="spellEnd"/>
      <w:r w:rsidRPr="004601A6">
        <w:rPr>
          <w:lang w:val="bg-BG" w:eastAsia="bg-BG"/>
        </w:rPr>
        <w:t xml:space="preserve"> чрез директно освобождаване на тъканен </w:t>
      </w:r>
      <w:proofErr w:type="spellStart"/>
      <w:r w:rsidRPr="004601A6">
        <w:rPr>
          <w:lang w:val="bg-BG" w:eastAsia="bg-BG"/>
        </w:rPr>
        <w:t>плазминогенен</w:t>
      </w:r>
      <w:proofErr w:type="spellEnd"/>
      <w:r w:rsidRPr="004601A6">
        <w:rPr>
          <w:lang w:val="bg-BG" w:eastAsia="bg-BG"/>
        </w:rPr>
        <w:t xml:space="preserve"> активатор от </w:t>
      </w:r>
      <w:proofErr w:type="spellStart"/>
      <w:r w:rsidRPr="004601A6">
        <w:rPr>
          <w:lang w:val="bg-BG" w:eastAsia="bg-BG"/>
        </w:rPr>
        <w:lastRenderedPageBreak/>
        <w:t>ендотелните</w:t>
      </w:r>
      <w:proofErr w:type="spellEnd"/>
      <w:r w:rsidRPr="004601A6">
        <w:rPr>
          <w:lang w:val="bg-BG" w:eastAsia="bg-BG"/>
        </w:rPr>
        <w:t xml:space="preserve"> клетки и модифициране на </w:t>
      </w:r>
      <w:proofErr w:type="spellStart"/>
      <w:r w:rsidRPr="004601A6">
        <w:rPr>
          <w:lang w:val="bg-BG" w:eastAsia="bg-BG"/>
        </w:rPr>
        <w:t>хемореологичните</w:t>
      </w:r>
      <w:proofErr w:type="spellEnd"/>
      <w:r w:rsidRPr="004601A6">
        <w:rPr>
          <w:lang w:val="bg-BG" w:eastAsia="bg-BG"/>
        </w:rPr>
        <w:t xml:space="preserve"> показатели (понижаване на вискозитета на кръвта и повишаване на трансмембранната пропускливост на </w:t>
      </w:r>
      <w:proofErr w:type="spellStart"/>
      <w:r w:rsidRPr="004601A6">
        <w:rPr>
          <w:lang w:val="bg-BG" w:eastAsia="bg-BG"/>
        </w:rPr>
        <w:t>тромбоцитите</w:t>
      </w:r>
      <w:proofErr w:type="spellEnd"/>
      <w:r w:rsidRPr="004601A6">
        <w:rPr>
          <w:lang w:val="bg-BG" w:eastAsia="bg-BG"/>
        </w:rPr>
        <w:t xml:space="preserve"> и </w:t>
      </w:r>
      <w:proofErr w:type="spellStart"/>
      <w:r w:rsidRPr="004601A6">
        <w:rPr>
          <w:lang w:val="bg-BG" w:eastAsia="bg-BG"/>
        </w:rPr>
        <w:t>гранулоцитите</w:t>
      </w:r>
      <w:proofErr w:type="spellEnd"/>
      <w:r w:rsidRPr="004601A6">
        <w:rPr>
          <w:lang w:val="bg-BG" w:eastAsia="bg-BG"/>
        </w:rPr>
        <w:t>).</w:t>
      </w:r>
    </w:p>
    <w:p w14:paraId="164C570B" w14:textId="09B3EDE2" w:rsidR="004601A6" w:rsidRDefault="004601A6" w:rsidP="004601A6">
      <w:pPr>
        <w:rPr>
          <w:lang w:val="bg-BG" w:eastAsia="bg-BG"/>
        </w:rPr>
      </w:pPr>
    </w:p>
    <w:p w14:paraId="1F82E244" w14:textId="77777777" w:rsidR="004601A6" w:rsidRPr="004601A6" w:rsidRDefault="004601A6" w:rsidP="004601A6">
      <w:pPr>
        <w:pStyle w:val="Heading3"/>
        <w:rPr>
          <w:rFonts w:eastAsia="Times New Roman"/>
          <w:b/>
          <w:bCs/>
          <w:lang w:val="bg-BG"/>
        </w:rPr>
      </w:pPr>
      <w:proofErr w:type="spellStart"/>
      <w:r w:rsidRPr="004601A6">
        <w:rPr>
          <w:rFonts w:eastAsia="Times New Roman"/>
          <w:b/>
          <w:bCs/>
          <w:lang w:val="bg-BG" w:eastAsia="bg-BG"/>
        </w:rPr>
        <w:t>Фармакодинамични</w:t>
      </w:r>
      <w:proofErr w:type="spellEnd"/>
      <w:r w:rsidRPr="004601A6">
        <w:rPr>
          <w:rFonts w:eastAsia="Times New Roman"/>
          <w:b/>
          <w:bCs/>
          <w:lang w:val="bg-BG" w:eastAsia="bg-BG"/>
        </w:rPr>
        <w:t xml:space="preserve"> ефекти</w:t>
      </w:r>
    </w:p>
    <w:p w14:paraId="7B2F1F4B" w14:textId="77777777" w:rsidR="004601A6" w:rsidRPr="004601A6" w:rsidRDefault="004601A6" w:rsidP="004601A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се характеризира с по-висока анти-Ха активност отколкото с анти-</w:t>
      </w:r>
      <w:r w:rsidRPr="004601A6">
        <w:t>II</w:t>
      </w:r>
      <w:r w:rsidRPr="004601A6">
        <w:rPr>
          <w:lang w:val="bg-BG" w:eastAsia="bg-BG"/>
        </w:rPr>
        <w:t xml:space="preserve">а, Той проявява както незабавна, така и продължителна </w:t>
      </w:r>
      <w:proofErr w:type="spellStart"/>
      <w:r w:rsidRPr="004601A6">
        <w:rPr>
          <w:lang w:val="bg-BG" w:eastAsia="bg-BG"/>
        </w:rPr>
        <w:t>антитромботична</w:t>
      </w:r>
      <w:proofErr w:type="spellEnd"/>
      <w:r w:rsidRPr="004601A6">
        <w:rPr>
          <w:lang w:val="bg-BG" w:eastAsia="bg-BG"/>
        </w:rPr>
        <w:t xml:space="preserve"> активност.</w:t>
      </w:r>
    </w:p>
    <w:p w14:paraId="56B9A302" w14:textId="7A26F96B" w:rsidR="004601A6" w:rsidRDefault="004601A6" w:rsidP="004601A6">
      <w:pPr>
        <w:rPr>
          <w:lang w:val="bg-BG" w:eastAsia="bg-BG"/>
        </w:rPr>
      </w:pPr>
      <w:r w:rsidRPr="004601A6">
        <w:rPr>
          <w:lang w:val="bg-BG" w:eastAsia="bg-BG"/>
        </w:rPr>
        <w:t xml:space="preserve">В сравнение с </w:t>
      </w:r>
      <w:proofErr w:type="spellStart"/>
      <w:r w:rsidRPr="004601A6">
        <w:rPr>
          <w:lang w:val="bg-BG" w:eastAsia="bg-BG"/>
        </w:rPr>
        <w:t>нефракционирания</w:t>
      </w:r>
      <w:proofErr w:type="spellEnd"/>
      <w:r w:rsidRPr="004601A6">
        <w:rPr>
          <w:lang w:val="bg-BG" w:eastAsia="bg-BG"/>
        </w:rPr>
        <w:t xml:space="preserve"> </w:t>
      </w:r>
      <w:proofErr w:type="spellStart"/>
      <w:r w:rsidRPr="004601A6">
        <w:rPr>
          <w:lang w:val="bg-BG" w:eastAsia="bg-BG"/>
        </w:rPr>
        <w:t>хепарин</w:t>
      </w:r>
      <w:proofErr w:type="spellEnd"/>
      <w:r w:rsidRPr="004601A6">
        <w:rPr>
          <w:lang w:val="bg-BG" w:eastAsia="bg-BG"/>
        </w:rPr>
        <w:t xml:space="preserve">,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има по-слаб ефект върху </w:t>
      </w:r>
      <w:proofErr w:type="spellStart"/>
      <w:r w:rsidRPr="004601A6">
        <w:rPr>
          <w:lang w:val="bg-BG" w:eastAsia="bg-BG"/>
        </w:rPr>
        <w:t>тромбоцитната</w:t>
      </w:r>
      <w:proofErr w:type="spellEnd"/>
      <w:r w:rsidRPr="004601A6">
        <w:rPr>
          <w:lang w:val="bg-BG" w:eastAsia="bg-BG"/>
        </w:rPr>
        <w:t xml:space="preserve"> функция и агрегация и оказва незначителен ефект върху първичната </w:t>
      </w:r>
      <w:proofErr w:type="spellStart"/>
      <w:r w:rsidRPr="004601A6">
        <w:rPr>
          <w:lang w:val="bg-BG" w:eastAsia="bg-BG"/>
        </w:rPr>
        <w:t>хемостаза</w:t>
      </w:r>
      <w:proofErr w:type="spellEnd"/>
      <w:r w:rsidRPr="004601A6">
        <w:rPr>
          <w:lang w:val="bg-BG" w:eastAsia="bg-BG"/>
        </w:rPr>
        <w:t>.</w:t>
      </w:r>
    </w:p>
    <w:p w14:paraId="443B78AE" w14:textId="77777777" w:rsidR="004601A6" w:rsidRPr="004601A6" w:rsidRDefault="004601A6" w:rsidP="004601A6"/>
    <w:p w14:paraId="788B4E5E" w14:textId="389179F6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2FFBE12B" w14:textId="77777777" w:rsidR="004601A6" w:rsidRPr="004601A6" w:rsidRDefault="004601A6" w:rsidP="00FA0276">
      <w:pPr>
        <w:rPr>
          <w:sz w:val="24"/>
          <w:szCs w:val="24"/>
          <w:lang w:val="bg-BG"/>
        </w:rPr>
      </w:pPr>
      <w:proofErr w:type="spellStart"/>
      <w:r w:rsidRPr="004601A6">
        <w:rPr>
          <w:lang w:val="bg-BG" w:eastAsia="bg-BG"/>
        </w:rPr>
        <w:t>Фармакокинетичните</w:t>
      </w:r>
      <w:proofErr w:type="spellEnd"/>
      <w:r w:rsidRPr="004601A6">
        <w:rPr>
          <w:lang w:val="bg-BG" w:eastAsia="bg-BG"/>
        </w:rPr>
        <w:t xml:space="preserve"> свойства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са определени въз основа на биологичната му активност, т.е. чрез измерване на анти-фактор Ха активността му.</w:t>
      </w:r>
    </w:p>
    <w:p w14:paraId="4E7BCB43" w14:textId="77777777" w:rsidR="00FA0276" w:rsidRDefault="00FA0276" w:rsidP="00FA0276">
      <w:pPr>
        <w:rPr>
          <w:b/>
          <w:bCs/>
          <w:lang w:val="bg-BG" w:eastAsia="bg-BG"/>
        </w:rPr>
      </w:pPr>
    </w:p>
    <w:p w14:paraId="6CF9EEAF" w14:textId="2129750A" w:rsidR="004601A6" w:rsidRPr="00FA0276" w:rsidRDefault="004601A6" w:rsidP="00FA0276">
      <w:pPr>
        <w:pStyle w:val="Heading3"/>
        <w:rPr>
          <w:rFonts w:eastAsia="Times New Roman"/>
          <w:b/>
          <w:bCs/>
          <w:lang w:val="bg-BG"/>
        </w:rPr>
      </w:pPr>
      <w:r w:rsidRPr="00FA0276">
        <w:rPr>
          <w:rFonts w:eastAsia="Times New Roman"/>
          <w:b/>
          <w:bCs/>
          <w:lang w:val="bg-BG" w:eastAsia="bg-BG"/>
        </w:rPr>
        <w:t>Абсорбция</w:t>
      </w:r>
    </w:p>
    <w:p w14:paraId="4B469507" w14:textId="77777777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След подкожно инжектиране пиковата анти-Ха активност (С</w:t>
      </w:r>
      <w:r w:rsidRPr="004601A6">
        <w:rPr>
          <w:vertAlign w:val="subscript"/>
        </w:rPr>
        <w:t>max</w:t>
      </w:r>
      <w:r w:rsidRPr="004601A6">
        <w:rPr>
          <w:lang w:val="bg-BG" w:eastAsia="bg-BG"/>
        </w:rPr>
        <w:t>) се достига след приблизително 3 до 5 часа (</w:t>
      </w:r>
      <w:proofErr w:type="spellStart"/>
      <w:r w:rsidRPr="004601A6">
        <w:t>T</w:t>
      </w:r>
      <w:r w:rsidRPr="004601A6">
        <w:rPr>
          <w:vertAlign w:val="subscript"/>
        </w:rPr>
        <w:t>max</w:t>
      </w:r>
      <w:proofErr w:type="spellEnd"/>
      <w:r w:rsidRPr="004601A6">
        <w:rPr>
          <w:lang w:val="bg-BG" w:eastAsia="bg-BG"/>
        </w:rPr>
        <w:t>).</w:t>
      </w:r>
    </w:p>
    <w:p w14:paraId="12C81710" w14:textId="77777777" w:rsidR="00FA0276" w:rsidRDefault="00FA0276" w:rsidP="00FA0276">
      <w:pPr>
        <w:rPr>
          <w:lang w:val="bg-BG" w:eastAsia="bg-BG"/>
        </w:rPr>
      </w:pPr>
    </w:p>
    <w:p w14:paraId="6DD00548" w14:textId="08C1EDAF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Бионаличността е почти пълна (около 88 %).</w:t>
      </w:r>
    </w:p>
    <w:p w14:paraId="1C6FD16C" w14:textId="77777777" w:rsidR="00FA0276" w:rsidRDefault="00FA0276" w:rsidP="00FA0276">
      <w:pPr>
        <w:rPr>
          <w:lang w:val="bg-BG" w:eastAsia="bg-BG"/>
        </w:rPr>
      </w:pPr>
    </w:p>
    <w:p w14:paraId="60678FE5" w14:textId="42E9BFCC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>След интравенозно инжектиране пиковите стойности на анти-Ха активността се достигат след по-малко от 10 минути, а елиминационният полуживот е около 2 часа.</w:t>
      </w:r>
    </w:p>
    <w:p w14:paraId="65853907" w14:textId="77777777" w:rsidR="00FA0276" w:rsidRDefault="00FA0276" w:rsidP="00FA0276">
      <w:pPr>
        <w:rPr>
          <w:b/>
          <w:bCs/>
          <w:lang w:val="bg-BG" w:eastAsia="bg-BG"/>
        </w:rPr>
      </w:pPr>
    </w:p>
    <w:p w14:paraId="00081E09" w14:textId="7FE09370" w:rsidR="004601A6" w:rsidRPr="00FA0276" w:rsidRDefault="004601A6" w:rsidP="00FA0276">
      <w:pPr>
        <w:pStyle w:val="Heading3"/>
        <w:rPr>
          <w:rFonts w:eastAsia="Times New Roman"/>
          <w:b/>
          <w:bCs/>
          <w:lang w:val="bg-BG"/>
        </w:rPr>
      </w:pPr>
      <w:r w:rsidRPr="00FA0276">
        <w:rPr>
          <w:rFonts w:eastAsia="Times New Roman"/>
          <w:b/>
          <w:bCs/>
          <w:lang w:val="bg-BG" w:eastAsia="bg-BG"/>
        </w:rPr>
        <w:t>Елиминиране</w:t>
      </w:r>
    </w:p>
    <w:p w14:paraId="5274EA94" w14:textId="77777777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Елиминационният полуживот след подкожно инжектиране е приблизително 3,5 часа. Въпреки това, анти-Ха активност може да се регистрира минимум 18 часа след приложение на 19 000 анти-Ха </w:t>
      </w:r>
      <w:r w:rsidRPr="004601A6">
        <w:t>IU.</w:t>
      </w:r>
    </w:p>
    <w:p w14:paraId="0F0CFA07" w14:textId="77777777" w:rsidR="00FA0276" w:rsidRDefault="00FA0276" w:rsidP="00FA0276">
      <w:pPr>
        <w:rPr>
          <w:b/>
          <w:bCs/>
          <w:lang w:val="bg-BG" w:eastAsia="bg-BG"/>
        </w:rPr>
      </w:pPr>
    </w:p>
    <w:p w14:paraId="6A580927" w14:textId="3B2ED778" w:rsidR="004601A6" w:rsidRPr="00FA0276" w:rsidRDefault="004601A6" w:rsidP="00FA0276">
      <w:pPr>
        <w:pStyle w:val="Heading3"/>
        <w:rPr>
          <w:rFonts w:eastAsia="Times New Roman"/>
          <w:b/>
          <w:bCs/>
          <w:lang w:val="bg-BG"/>
        </w:rPr>
      </w:pPr>
      <w:r w:rsidRPr="00FA0276">
        <w:rPr>
          <w:rFonts w:eastAsia="Times New Roman"/>
          <w:b/>
          <w:bCs/>
          <w:lang w:val="bg-BG" w:eastAsia="bg-BG"/>
        </w:rPr>
        <w:t>Специфични групи пациенти</w:t>
      </w:r>
    </w:p>
    <w:p w14:paraId="43D0C553" w14:textId="77777777" w:rsidR="00FA0276" w:rsidRDefault="00FA0276" w:rsidP="00FA0276">
      <w:pPr>
        <w:rPr>
          <w:i/>
          <w:iCs/>
          <w:lang w:val="bg-BG" w:eastAsia="bg-BG"/>
        </w:rPr>
      </w:pPr>
    </w:p>
    <w:p w14:paraId="4E641F65" w14:textId="55EEC38C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i/>
          <w:iCs/>
          <w:lang w:val="bg-BG" w:eastAsia="bg-BG"/>
        </w:rPr>
        <w:t>Пациенти в старческа възраст</w:t>
      </w:r>
    </w:p>
    <w:p w14:paraId="721533B0" w14:textId="77777777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lang w:val="bg-BG" w:eastAsia="bg-BG"/>
        </w:rPr>
        <w:t xml:space="preserve">Функционалният капацитет на бъбреците постепенно намалява с възрастта, което забавя елиминирането при пациенти в старческа възраст </w:t>
      </w:r>
      <w:r w:rsidRPr="004601A6">
        <w:rPr>
          <w:i/>
          <w:iCs/>
          <w:lang w:val="bg-BG" w:eastAsia="bg-BG"/>
        </w:rPr>
        <w:t xml:space="preserve">(вж. точка 5.2. </w:t>
      </w:r>
      <w:proofErr w:type="spellStart"/>
      <w:r w:rsidRPr="004601A6">
        <w:rPr>
          <w:i/>
          <w:iCs/>
          <w:lang w:val="bg-BG" w:eastAsia="bg-BG"/>
        </w:rPr>
        <w:t>Фармакокинетични</w:t>
      </w:r>
      <w:proofErr w:type="spellEnd"/>
      <w:r w:rsidRPr="004601A6">
        <w:rPr>
          <w:i/>
          <w:iCs/>
          <w:lang w:val="bg-BG" w:eastAsia="bg-BG"/>
        </w:rPr>
        <w:t xml:space="preserve"> свойства: Пациенти с нарушена бъбречна функция</w:t>
      </w:r>
      <w:r w:rsidRPr="004601A6">
        <w:rPr>
          <w:lang w:val="bg-BG" w:eastAsia="bg-BG"/>
        </w:rPr>
        <w:t xml:space="preserve"> по-долу). Възможността за нарушение на бъбречната функция в тази възраст трябва да се вземе под внимание и според нея да се определи дозата </w:t>
      </w:r>
      <w:r w:rsidRPr="004601A6">
        <w:rPr>
          <w:i/>
          <w:iCs/>
          <w:lang w:val="bg-BG" w:eastAsia="bg-BG"/>
        </w:rPr>
        <w:t>(вж. точки 4.2. Дозировка и начин на приложение и 4.4. Специални предупреждения и предпазни мерки при употреба).</w:t>
      </w:r>
    </w:p>
    <w:p w14:paraId="74F429A6" w14:textId="77777777" w:rsidR="00FA0276" w:rsidRDefault="00FA0276" w:rsidP="00FA0276">
      <w:pPr>
        <w:rPr>
          <w:i/>
          <w:iCs/>
          <w:lang w:val="bg-BG" w:eastAsia="bg-BG"/>
        </w:rPr>
      </w:pPr>
    </w:p>
    <w:p w14:paraId="326CEA83" w14:textId="0B6320F6" w:rsidR="004601A6" w:rsidRPr="004601A6" w:rsidRDefault="004601A6" w:rsidP="00FA0276">
      <w:pPr>
        <w:rPr>
          <w:sz w:val="24"/>
          <w:szCs w:val="24"/>
          <w:lang w:val="bg-BG"/>
        </w:rPr>
      </w:pPr>
      <w:r w:rsidRPr="004601A6">
        <w:rPr>
          <w:i/>
          <w:iCs/>
          <w:lang w:val="bg-BG" w:eastAsia="bg-BG"/>
        </w:rPr>
        <w:t>Пациенти с нарушена бъбречна функция</w:t>
      </w:r>
    </w:p>
    <w:p w14:paraId="4000A889" w14:textId="417E6EF4" w:rsidR="004601A6" w:rsidRDefault="004601A6" w:rsidP="00FA0276">
      <w:pPr>
        <w:rPr>
          <w:i/>
          <w:iCs/>
          <w:lang w:val="bg-BG" w:eastAsia="bg-BG"/>
        </w:rPr>
      </w:pPr>
      <w:r w:rsidRPr="004601A6">
        <w:rPr>
          <w:lang w:val="bg-BG" w:eastAsia="bg-BG"/>
        </w:rPr>
        <w:t xml:space="preserve">В клинично проучване, изучаващо фармакокинетиката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, приложен интравенозно при пациенти с различно по степен увреждане на бъбречната функция, е установена връзка между </w:t>
      </w:r>
      <w:proofErr w:type="spellStart"/>
      <w:r w:rsidRPr="004601A6">
        <w:rPr>
          <w:lang w:val="bg-BG" w:eastAsia="bg-BG"/>
        </w:rPr>
        <w:t>клирънсите</w:t>
      </w:r>
      <w:proofErr w:type="spellEnd"/>
      <w:r w:rsidRPr="004601A6">
        <w:rPr>
          <w:lang w:val="bg-BG" w:eastAsia="bg-BG"/>
        </w:rPr>
        <w:t xml:space="preserve">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и </w:t>
      </w:r>
      <w:proofErr w:type="spellStart"/>
      <w:r w:rsidRPr="004601A6">
        <w:rPr>
          <w:lang w:val="bg-BG" w:eastAsia="bg-BG"/>
        </w:rPr>
        <w:t>креатинин</w:t>
      </w:r>
      <w:proofErr w:type="spellEnd"/>
      <w:r w:rsidRPr="004601A6">
        <w:rPr>
          <w:lang w:val="bg-BG" w:eastAsia="bg-BG"/>
        </w:rPr>
        <w:t>. При пациенти с умерено бъбречно увреждане (</w:t>
      </w:r>
      <w:proofErr w:type="spellStart"/>
      <w:r w:rsidRPr="004601A6">
        <w:rPr>
          <w:lang w:val="bg-BG" w:eastAsia="bg-BG"/>
        </w:rPr>
        <w:t>креатининов</w:t>
      </w:r>
      <w:proofErr w:type="spellEnd"/>
      <w:r w:rsidRPr="004601A6">
        <w:rPr>
          <w:lang w:val="bg-BG" w:eastAsia="bg-BG"/>
        </w:rPr>
        <w:t xml:space="preserve"> клирънс 36-43 </w:t>
      </w:r>
      <w:r w:rsidRPr="004601A6">
        <w:t xml:space="preserve">ml/min) </w:t>
      </w:r>
      <w:r w:rsidRPr="004601A6">
        <w:rPr>
          <w:lang w:val="bg-BG" w:eastAsia="bg-BG"/>
        </w:rPr>
        <w:t xml:space="preserve">средните </w:t>
      </w:r>
      <w:r w:rsidRPr="004601A6">
        <w:t xml:space="preserve">AUC </w:t>
      </w:r>
      <w:r w:rsidRPr="004601A6">
        <w:rPr>
          <w:lang w:val="bg-BG" w:eastAsia="bg-BG"/>
        </w:rPr>
        <w:t xml:space="preserve">и елиминационен полуживот са се повишили с 52% и съответно 39% в сравнение със здрави доброволци. При тези пациенти средният плазмен клирънс на </w:t>
      </w:r>
      <w:proofErr w:type="spellStart"/>
      <w:r w:rsidRPr="004601A6">
        <w:rPr>
          <w:lang w:val="bg-BG" w:eastAsia="bg-BG"/>
        </w:rPr>
        <w:t>надропарин</w:t>
      </w:r>
      <w:proofErr w:type="spellEnd"/>
      <w:r w:rsidRPr="004601A6">
        <w:rPr>
          <w:lang w:val="bg-BG" w:eastAsia="bg-BG"/>
        </w:rPr>
        <w:t xml:space="preserve"> е </w:t>
      </w:r>
      <w:r w:rsidRPr="004601A6">
        <w:rPr>
          <w:lang w:val="bg-BG" w:eastAsia="bg-BG"/>
        </w:rPr>
        <w:lastRenderedPageBreak/>
        <w:t>намалял с 63% от нормалното. В проучването са наблюдавани индивидуални различия в широки граници. При пациенти с тежко увреждане на бъбречна функция (</w:t>
      </w:r>
      <w:proofErr w:type="spellStart"/>
      <w:r w:rsidRPr="004601A6">
        <w:rPr>
          <w:lang w:val="bg-BG" w:eastAsia="bg-BG"/>
        </w:rPr>
        <w:t>креатининов</w:t>
      </w:r>
      <w:proofErr w:type="spellEnd"/>
      <w:r w:rsidRPr="004601A6">
        <w:rPr>
          <w:lang w:val="bg-BG" w:eastAsia="bg-BG"/>
        </w:rPr>
        <w:t xml:space="preserve"> клирънс 10-20 </w:t>
      </w:r>
      <w:r w:rsidRPr="004601A6">
        <w:t xml:space="preserve">ml/min) </w:t>
      </w:r>
      <w:r w:rsidRPr="004601A6">
        <w:rPr>
          <w:lang w:val="bg-BG" w:eastAsia="bg-BG"/>
        </w:rPr>
        <w:t xml:space="preserve">средните </w:t>
      </w:r>
      <w:r w:rsidRPr="004601A6">
        <w:t xml:space="preserve">AUC </w:t>
      </w:r>
      <w:r w:rsidRPr="004601A6">
        <w:rPr>
          <w:lang w:val="bg-BG" w:eastAsia="bg-BG"/>
        </w:rPr>
        <w:t>и елиминационен полуживот са се повишили с 95% и съответно 112% в сравнение със здрави доброволци. Плазменият клирънс при пациенти с тежко бъбречно увреждане се е понижил до 50% от този, наблюдаван при пациенти с нормална бъбречна функция. При пациенти с тежко бъбречно увреждане (</w:t>
      </w:r>
      <w:proofErr w:type="spellStart"/>
      <w:r w:rsidRPr="004601A6">
        <w:rPr>
          <w:lang w:val="bg-BG" w:eastAsia="bg-BG"/>
        </w:rPr>
        <w:t>креатининов</w:t>
      </w:r>
      <w:proofErr w:type="spellEnd"/>
      <w:r w:rsidRPr="004601A6">
        <w:rPr>
          <w:lang w:val="bg-BG" w:eastAsia="bg-BG"/>
        </w:rPr>
        <w:t xml:space="preserve"> клирънс 3-6 </w:t>
      </w:r>
      <w:r w:rsidRPr="004601A6">
        <w:t xml:space="preserve">ml/min) </w:t>
      </w:r>
      <w:r w:rsidRPr="004601A6">
        <w:rPr>
          <w:lang w:val="bg-BG" w:eastAsia="bg-BG"/>
        </w:rPr>
        <w:t xml:space="preserve">на хемодиализа, средните </w:t>
      </w:r>
      <w:r w:rsidRPr="004601A6">
        <w:t xml:space="preserve">AUC </w:t>
      </w:r>
      <w:r w:rsidRPr="004601A6">
        <w:rPr>
          <w:lang w:val="bg-BG" w:eastAsia="bg-BG"/>
        </w:rPr>
        <w:t>и елиминационен полуживот са се повишили с 62% и съответно 65% в сравнение със здрави доброволци. Плазменият клирънс при пациенти с тежко бъбречно увреждане на хемодиализа се е понижил до 67% в сравнение с този, наблюдаван при пациенти с нормална бъбречна функция. (вж. точки</w:t>
      </w:r>
      <w:r>
        <w:rPr>
          <w:sz w:val="24"/>
          <w:szCs w:val="24"/>
        </w:rPr>
        <w:t xml:space="preserve"> </w:t>
      </w:r>
      <w:r w:rsidRPr="004601A6">
        <w:rPr>
          <w:i/>
          <w:iCs/>
          <w:lang w:val="bg-BG" w:eastAsia="bg-BG"/>
        </w:rPr>
        <w:t>4.2. Дозировка и начин на приложение и 4.4. Специални предупреждения и предпазни мерки при</w:t>
      </w:r>
      <w:r w:rsidR="00FA0276">
        <w:rPr>
          <w:sz w:val="24"/>
          <w:szCs w:val="24"/>
        </w:rPr>
        <w:t xml:space="preserve"> </w:t>
      </w:r>
      <w:r w:rsidRPr="004601A6">
        <w:rPr>
          <w:i/>
          <w:iCs/>
          <w:lang w:val="bg-BG" w:eastAsia="bg-BG"/>
        </w:rPr>
        <w:t>употреба).</w:t>
      </w:r>
    </w:p>
    <w:p w14:paraId="2A735252" w14:textId="77777777" w:rsidR="00FA0276" w:rsidRPr="00FA0276" w:rsidRDefault="00FA0276" w:rsidP="00FA0276">
      <w:pPr>
        <w:rPr>
          <w:sz w:val="24"/>
          <w:szCs w:val="24"/>
          <w:lang w:val="bg-BG"/>
        </w:rPr>
      </w:pPr>
    </w:p>
    <w:p w14:paraId="134A69A8" w14:textId="2529D8CD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32C742D4" w14:textId="77777777" w:rsidR="00FA0276" w:rsidRPr="00FA0276" w:rsidRDefault="00FA0276" w:rsidP="00FA0276">
      <w:pPr>
        <w:rPr>
          <w:sz w:val="24"/>
          <w:szCs w:val="24"/>
          <w:lang w:val="bg-BG"/>
        </w:rPr>
      </w:pPr>
      <w:r w:rsidRPr="00FA0276">
        <w:rPr>
          <w:lang w:val="bg-BG" w:eastAsia="bg-BG"/>
        </w:rPr>
        <w:t xml:space="preserve">Предклиничните данни за безопасност не разкриват специфичен риск за хората на базата на конвенционални проучвания на фармакологичната безопасност, хроничната токсичност, </w:t>
      </w:r>
      <w:proofErr w:type="spellStart"/>
      <w:r w:rsidRPr="00FA0276">
        <w:rPr>
          <w:lang w:val="bg-BG" w:eastAsia="bg-BG"/>
        </w:rPr>
        <w:t>генотоксичността</w:t>
      </w:r>
      <w:proofErr w:type="spellEnd"/>
      <w:r w:rsidRPr="00FA0276">
        <w:rPr>
          <w:lang w:val="bg-BG" w:eastAsia="bg-BG"/>
        </w:rPr>
        <w:t>, мутагенния потенциал и репродуктивната токсичност.</w:t>
      </w:r>
    </w:p>
    <w:p w14:paraId="516EEF1D" w14:textId="77777777" w:rsidR="00FA0276" w:rsidRPr="00FA0276" w:rsidRDefault="00FA0276" w:rsidP="00FA0276"/>
    <w:p w14:paraId="28C40F19" w14:textId="215B98B5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51FE1B7D" w14:textId="55E43541" w:rsidR="00FA0276" w:rsidRDefault="00FA0276" w:rsidP="00FA0276">
      <w:r>
        <w:t>Aspen Pharma Trading limited</w:t>
      </w:r>
    </w:p>
    <w:p w14:paraId="2551380B" w14:textId="77777777" w:rsidR="00FA0276" w:rsidRPr="00FA0276" w:rsidRDefault="00FA0276" w:rsidP="00FA0276">
      <w:pPr>
        <w:rPr>
          <w:rFonts w:ascii="Times New Roman" w:eastAsia="Times New Roman" w:hAnsi="Times New Roman" w:cs="Times New Roman"/>
          <w:sz w:val="24"/>
          <w:szCs w:val="24"/>
        </w:rPr>
      </w:pPr>
      <w:r w:rsidRPr="00FA0276">
        <w:rPr>
          <w:rFonts w:ascii="Times New Roman" w:eastAsia="Times New Roman" w:hAnsi="Times New Roman" w:cs="Times New Roman"/>
          <w:color w:val="000000"/>
        </w:rPr>
        <w:t>3016 Lake Drive</w:t>
      </w:r>
    </w:p>
    <w:p w14:paraId="37DFC8C6" w14:textId="77777777" w:rsidR="00FA0276" w:rsidRPr="00FA0276" w:rsidRDefault="00FA0276" w:rsidP="00FA0276">
      <w:pPr>
        <w:rPr>
          <w:rFonts w:ascii="Times New Roman" w:eastAsia="Times New Roman" w:hAnsi="Times New Roman" w:cs="Times New Roman"/>
          <w:sz w:val="24"/>
          <w:szCs w:val="24"/>
        </w:rPr>
      </w:pPr>
      <w:r w:rsidRPr="00FA0276">
        <w:rPr>
          <w:rFonts w:ascii="Times New Roman" w:eastAsia="Times New Roman" w:hAnsi="Times New Roman" w:cs="Times New Roman"/>
          <w:color w:val="000000"/>
        </w:rPr>
        <w:t>Citywest Business Campus</w:t>
      </w:r>
    </w:p>
    <w:p w14:paraId="1F263869" w14:textId="77777777" w:rsidR="00FA0276" w:rsidRPr="00FA0276" w:rsidRDefault="00FA0276" w:rsidP="00FA0276">
      <w:pPr>
        <w:rPr>
          <w:rFonts w:ascii="Times New Roman" w:eastAsia="Times New Roman" w:hAnsi="Times New Roman" w:cs="Times New Roman"/>
          <w:sz w:val="24"/>
          <w:szCs w:val="24"/>
        </w:rPr>
      </w:pPr>
      <w:r w:rsidRPr="00FA0276">
        <w:rPr>
          <w:rFonts w:ascii="Times New Roman" w:eastAsia="Times New Roman" w:hAnsi="Times New Roman" w:cs="Times New Roman"/>
          <w:color w:val="000000"/>
        </w:rPr>
        <w:t>Dublin 24</w:t>
      </w:r>
    </w:p>
    <w:p w14:paraId="2EDBDC20" w14:textId="48F57E07" w:rsidR="00FA0276" w:rsidRPr="00FA0276" w:rsidRDefault="00FA0276" w:rsidP="00FA0276">
      <w:pPr>
        <w:rPr>
          <w:rFonts w:ascii="Times New Roman" w:eastAsia="Times New Roman" w:hAnsi="Times New Roman" w:cs="Times New Roman"/>
          <w:sz w:val="24"/>
          <w:szCs w:val="24"/>
        </w:rPr>
      </w:pPr>
      <w:r w:rsidRPr="00FA0276">
        <w:rPr>
          <w:rFonts w:ascii="Times New Roman" w:eastAsia="Times New Roman" w:hAnsi="Times New Roman" w:cs="Times New Roman"/>
          <w:color w:val="000000"/>
          <w:lang w:val="bg-BG" w:eastAsia="bg-BG"/>
        </w:rPr>
        <w:t>Ирландия</w:t>
      </w:r>
    </w:p>
    <w:p w14:paraId="04840D59" w14:textId="24A2AA07" w:rsidR="002C50EE" w:rsidRDefault="002C50EE" w:rsidP="002C50EE">
      <w:pPr>
        <w:pStyle w:val="Heading1"/>
      </w:pPr>
      <w:r>
        <w:t>8. НОМЕР НА РАЗРЕШЕНИЕТО ЗА УПОТРЕБА</w:t>
      </w:r>
    </w:p>
    <w:p w14:paraId="0F61853E" w14:textId="1DC9274D" w:rsidR="00FA0276" w:rsidRPr="00FA0276" w:rsidRDefault="00FA0276" w:rsidP="00FA0276">
      <w:r>
        <w:t>№ 20000338</w:t>
      </w:r>
    </w:p>
    <w:p w14:paraId="5900CBF3" w14:textId="0CF0B035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76FAEC11" w14:textId="77777777" w:rsidR="00FA0276" w:rsidRPr="00FA0276" w:rsidRDefault="00FA0276" w:rsidP="00FA0276">
      <w:pPr>
        <w:rPr>
          <w:sz w:val="24"/>
          <w:szCs w:val="24"/>
          <w:lang w:val="bg-BG"/>
        </w:rPr>
      </w:pPr>
      <w:r w:rsidRPr="00FA0276">
        <w:rPr>
          <w:lang w:val="bg-BG" w:eastAsia="bg-BG"/>
        </w:rPr>
        <w:t>Дата на първо разрешаване за употреба - 08 юни 2000 г.</w:t>
      </w:r>
    </w:p>
    <w:p w14:paraId="08A496AE" w14:textId="133F2DA2" w:rsidR="00FA0276" w:rsidRPr="00FA0276" w:rsidRDefault="00FA0276" w:rsidP="00FA0276">
      <w:r w:rsidRPr="00FA0276">
        <w:rPr>
          <w:lang w:val="bg-BG" w:eastAsia="bg-BG"/>
        </w:rPr>
        <w:t>Дата на последно подновяване: 06 април 2011 г.</w:t>
      </w:r>
    </w:p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6AF99B64" w:rsidR="002C50EE" w:rsidRDefault="00FA0276" w:rsidP="00FA0276">
      <w:pPr>
        <w:rPr>
          <w:rFonts w:cs="Arial"/>
          <w:b/>
          <w:bCs/>
          <w:sz w:val="26"/>
          <w:szCs w:val="26"/>
        </w:rPr>
      </w:pPr>
      <w:r>
        <w:t>01/2019</w:t>
      </w: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5C8B"/>
    <w:multiLevelType w:val="hybridMultilevel"/>
    <w:tmpl w:val="52D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94EED"/>
    <w:multiLevelType w:val="hybridMultilevel"/>
    <w:tmpl w:val="B220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663A"/>
    <w:multiLevelType w:val="hybridMultilevel"/>
    <w:tmpl w:val="19726840"/>
    <w:lvl w:ilvl="0" w:tplc="716A7D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3B00"/>
    <w:multiLevelType w:val="hybridMultilevel"/>
    <w:tmpl w:val="77C42F04"/>
    <w:lvl w:ilvl="0" w:tplc="716A7D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20"/>
  </w:num>
  <w:num w:numId="12">
    <w:abstractNumId w:val="10"/>
  </w:num>
  <w:num w:numId="13">
    <w:abstractNumId w:val="13"/>
  </w:num>
  <w:num w:numId="14">
    <w:abstractNumId w:val="7"/>
  </w:num>
  <w:num w:numId="15">
    <w:abstractNumId w:val="18"/>
  </w:num>
  <w:num w:numId="16">
    <w:abstractNumId w:val="5"/>
  </w:num>
  <w:num w:numId="17">
    <w:abstractNumId w:val="15"/>
  </w:num>
  <w:num w:numId="18">
    <w:abstractNumId w:val="14"/>
  </w:num>
  <w:num w:numId="19">
    <w:abstractNumId w:val="19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1D2260"/>
    <w:rsid w:val="00277527"/>
    <w:rsid w:val="002B4DBB"/>
    <w:rsid w:val="002C50EE"/>
    <w:rsid w:val="00340A0A"/>
    <w:rsid w:val="003E3126"/>
    <w:rsid w:val="004601A6"/>
    <w:rsid w:val="00517A5B"/>
    <w:rsid w:val="00593A00"/>
    <w:rsid w:val="00605BCA"/>
    <w:rsid w:val="006158A1"/>
    <w:rsid w:val="00617B1F"/>
    <w:rsid w:val="006252E2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E3471"/>
    <w:rsid w:val="00A20351"/>
    <w:rsid w:val="00AC63CE"/>
    <w:rsid w:val="00AE2107"/>
    <w:rsid w:val="00B275A8"/>
    <w:rsid w:val="00B91F6F"/>
    <w:rsid w:val="00BF2600"/>
    <w:rsid w:val="00C07B84"/>
    <w:rsid w:val="00C33464"/>
    <w:rsid w:val="00C83063"/>
    <w:rsid w:val="00C87E90"/>
    <w:rsid w:val="00DD466D"/>
    <w:rsid w:val="00EB6364"/>
    <w:rsid w:val="00EC4BB0"/>
    <w:rsid w:val="00F37B64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C761B1ED-7933-49D3-97CB-C1E6DC58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2021-05-25T10:57:00Z</dcterms:created>
  <dcterms:modified xsi:type="dcterms:W3CDTF">2021-06-14T10:57:00Z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