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6384545E" w14:textId="77777777" w:rsidR="009863CA" w:rsidRPr="009863CA" w:rsidRDefault="009863CA" w:rsidP="009863CA">
      <w:pPr>
        <w:spacing w:line="240" w:lineRule="auto"/>
        <w:rPr>
          <w:rFonts w:eastAsia="Times New Roman" w:cs="Arial"/>
          <w:lang w:val="en-US" w:eastAsia="bg-BG"/>
        </w:rPr>
      </w:pPr>
      <w:r w:rsidRPr="009863CA">
        <w:rPr>
          <w:rFonts w:eastAsia="Times New Roman" w:cs="Arial"/>
          <w:b/>
          <w:bCs/>
          <w:color w:val="000000"/>
          <w:lang w:eastAsia="bg-BG"/>
        </w:rPr>
        <w:t xml:space="preserve">Фусикорт 20 </w:t>
      </w:r>
      <w:r w:rsidRPr="009863CA">
        <w:rPr>
          <w:rFonts w:eastAsia="Times New Roman" w:cs="Arial"/>
          <w:b/>
          <w:bCs/>
          <w:color w:val="000000"/>
          <w:lang w:val="en-US"/>
        </w:rPr>
        <w:t xml:space="preserve">mg/l mg/g </w:t>
      </w:r>
      <w:r w:rsidRPr="009863CA">
        <w:rPr>
          <w:rFonts w:eastAsia="Times New Roman" w:cs="Arial"/>
          <w:b/>
          <w:bCs/>
          <w:color w:val="000000"/>
          <w:lang w:eastAsia="bg-BG"/>
        </w:rPr>
        <w:t>крем</w:t>
      </w:r>
    </w:p>
    <w:p w14:paraId="69AC8148" w14:textId="66A583CC" w:rsidR="00EC41ED" w:rsidRPr="009863CA" w:rsidRDefault="009863CA" w:rsidP="009863CA">
      <w:pPr>
        <w:rPr>
          <w:rFonts w:cs="Arial"/>
        </w:rPr>
      </w:pPr>
      <w:proofErr w:type="spellStart"/>
      <w:r w:rsidRPr="009863CA">
        <w:rPr>
          <w:rFonts w:eastAsia="Times New Roman" w:cs="Arial"/>
          <w:b/>
          <w:bCs/>
          <w:color w:val="000000"/>
          <w:lang w:val="en-US"/>
        </w:rPr>
        <w:t>Fucicort</w:t>
      </w:r>
      <w:proofErr w:type="spellEnd"/>
      <w:r w:rsidRPr="009863CA">
        <w:rPr>
          <w:rFonts w:eastAsia="Times New Roman" w:cs="Arial"/>
          <w:b/>
          <w:bCs/>
          <w:color w:val="000000"/>
          <w:lang w:val="en-US"/>
        </w:rPr>
        <w:t xml:space="preserve"> </w:t>
      </w:r>
      <w:r w:rsidRPr="009863CA">
        <w:rPr>
          <w:rFonts w:eastAsia="Times New Roman" w:cs="Arial"/>
          <w:b/>
          <w:bCs/>
          <w:color w:val="000000"/>
          <w:lang w:eastAsia="bg-BG"/>
        </w:rPr>
        <w:t xml:space="preserve">20 </w:t>
      </w:r>
      <w:r w:rsidRPr="009863CA">
        <w:rPr>
          <w:rFonts w:eastAsia="Times New Roman" w:cs="Arial"/>
          <w:b/>
          <w:bCs/>
          <w:color w:val="000000"/>
          <w:lang w:val="en-US"/>
        </w:rPr>
        <w:t>mg/l mg/g cream</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06094D02"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 xml:space="preserve">Един грам крем съдържа 20 </w:t>
      </w:r>
      <w:r w:rsidRPr="009863CA">
        <w:rPr>
          <w:rFonts w:eastAsia="Times New Roman" w:cs="Arial"/>
          <w:color w:val="000000"/>
          <w:lang w:val="en-US"/>
        </w:rPr>
        <w:t xml:space="preserve">mg </w:t>
      </w:r>
      <w:r w:rsidRPr="009863CA">
        <w:rPr>
          <w:rFonts w:eastAsia="Times New Roman" w:cs="Arial"/>
          <w:color w:val="000000"/>
          <w:lang w:eastAsia="bg-BG"/>
        </w:rPr>
        <w:t xml:space="preserve">фузидова киселина (като хемихидрат) и 1 </w:t>
      </w:r>
      <w:r w:rsidRPr="009863CA">
        <w:rPr>
          <w:rFonts w:eastAsia="Times New Roman" w:cs="Arial"/>
          <w:color w:val="000000"/>
          <w:lang w:val="en-US"/>
        </w:rPr>
        <w:t xml:space="preserve">mg </w:t>
      </w:r>
      <w:r w:rsidRPr="009863CA">
        <w:rPr>
          <w:rFonts w:eastAsia="Times New Roman" w:cs="Arial"/>
          <w:color w:val="000000"/>
          <w:lang w:eastAsia="bg-BG"/>
        </w:rPr>
        <w:t>бетаметазон (като бетаметазонов валерат).</w:t>
      </w:r>
    </w:p>
    <w:p w14:paraId="18C53B4C" w14:textId="77777777" w:rsidR="009863CA" w:rsidRPr="009863CA" w:rsidRDefault="009863CA" w:rsidP="009863CA">
      <w:pPr>
        <w:rPr>
          <w:rFonts w:eastAsia="Times New Roman" w:cs="Arial"/>
          <w:color w:val="000000"/>
          <w:lang w:eastAsia="bg-BG"/>
        </w:rPr>
      </w:pPr>
    </w:p>
    <w:p w14:paraId="54632B43" w14:textId="6A7B56FE" w:rsidR="00EC41ED" w:rsidRPr="009863CA" w:rsidRDefault="009863CA" w:rsidP="009863CA">
      <w:pPr>
        <w:rPr>
          <w:rFonts w:cs="Arial"/>
        </w:rPr>
      </w:pPr>
      <w:r w:rsidRPr="009863CA">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743244F0" w14:textId="389C7AB6" w:rsidR="00EC41ED" w:rsidRPr="009863CA" w:rsidRDefault="009863CA" w:rsidP="0091385D">
      <w:pPr>
        <w:rPr>
          <w:rFonts w:cs="Arial"/>
        </w:rPr>
      </w:pPr>
      <w:r w:rsidRPr="009863CA">
        <w:rPr>
          <w:rFonts w:cs="Arial"/>
        </w:rPr>
        <w:t>Бял крем.</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6DFA4B9D" w14:textId="11D107F8" w:rsidR="0091385D" w:rsidRPr="009863CA" w:rsidRDefault="009863CA" w:rsidP="0091385D">
      <w:pPr>
        <w:rPr>
          <w:rFonts w:cs="Arial"/>
        </w:rPr>
      </w:pPr>
      <w:r w:rsidRPr="009863CA">
        <w:rPr>
          <w:rFonts w:cs="Arial"/>
        </w:rPr>
        <w:t>Фусикорт крем се прилага за лечение на възпалителни дерматози, като атопична екзема и контактен дерматит при наличие на съпътстваща бактериална инфекция или опасност от появата на такава.</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7FBF1BCE" w14:textId="510DC6C5" w:rsidR="00EC41ED" w:rsidRPr="009863CA" w:rsidRDefault="009863CA" w:rsidP="0091385D">
      <w:pPr>
        <w:rPr>
          <w:rFonts w:cs="Arial"/>
        </w:rPr>
      </w:pPr>
      <w:r w:rsidRPr="009863CA">
        <w:rPr>
          <w:rFonts w:cs="Arial"/>
        </w:rPr>
        <w:t>Фусикорт крем се нанася върху засегнатия участък на кожата 2 пъти дневно.</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497CA51C"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Свръхчувствителност към фузидова киселина/натриев фузидат, бетаметазон валерат или към някое от помощните вещества, изброени в точка 6.1.</w:t>
      </w:r>
    </w:p>
    <w:p w14:paraId="05535AEA" w14:textId="77777777" w:rsidR="009863CA" w:rsidRPr="009863CA" w:rsidRDefault="009863CA" w:rsidP="009863CA">
      <w:pPr>
        <w:spacing w:line="240" w:lineRule="auto"/>
        <w:rPr>
          <w:rFonts w:eastAsia="Times New Roman" w:cs="Arial"/>
          <w:color w:val="000000"/>
          <w:lang w:eastAsia="bg-BG"/>
        </w:rPr>
      </w:pPr>
    </w:p>
    <w:p w14:paraId="4DD70614" w14:textId="5C9CC58B"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Поради съдържанието на кортикостероид, Фусикорт е противопоказан при следните състояния:</w:t>
      </w:r>
    </w:p>
    <w:p w14:paraId="0790E48E" w14:textId="77777777" w:rsidR="009863CA" w:rsidRPr="009863CA" w:rsidRDefault="009863CA" w:rsidP="009863CA">
      <w:pPr>
        <w:spacing w:line="240" w:lineRule="auto"/>
        <w:rPr>
          <w:rFonts w:eastAsia="Times New Roman" w:cs="Arial"/>
          <w:color w:val="000000"/>
          <w:lang w:eastAsia="bg-BG"/>
        </w:rPr>
      </w:pPr>
    </w:p>
    <w:p w14:paraId="4D10FE1D" w14:textId="4AA06D60"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Системни гьбични инфекции</w:t>
      </w:r>
    </w:p>
    <w:p w14:paraId="304E65B4" w14:textId="77777777" w:rsidR="009863CA" w:rsidRPr="009863CA" w:rsidRDefault="009863CA" w:rsidP="009863CA">
      <w:pPr>
        <w:spacing w:line="240" w:lineRule="auto"/>
        <w:rPr>
          <w:rFonts w:eastAsia="Times New Roman" w:cs="Arial"/>
          <w:color w:val="000000"/>
          <w:lang w:eastAsia="bg-BG"/>
        </w:rPr>
      </w:pPr>
    </w:p>
    <w:p w14:paraId="1FF17800" w14:textId="15992C8A"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lastRenderedPageBreak/>
        <w:t>Първични кожни инфекции причинени от гъбички, вируси или бактерии, нелекувани или неконтролирани чрез подходящо лечение (виж точка 4.4)</w:t>
      </w:r>
    </w:p>
    <w:p w14:paraId="1EAE08ED" w14:textId="77777777" w:rsidR="009863CA" w:rsidRPr="009863CA" w:rsidRDefault="009863CA" w:rsidP="009863CA">
      <w:pPr>
        <w:spacing w:line="240" w:lineRule="auto"/>
        <w:rPr>
          <w:rFonts w:eastAsia="Times New Roman" w:cs="Arial"/>
          <w:color w:val="000000"/>
          <w:lang w:eastAsia="bg-BG"/>
        </w:rPr>
      </w:pPr>
    </w:p>
    <w:p w14:paraId="0D956D32" w14:textId="0B8F975A"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Кожни прояви свързани с туберкулоза, нелекувани или неконтролирани чрез подходящо лечение</w:t>
      </w:r>
    </w:p>
    <w:p w14:paraId="76C2003A" w14:textId="77777777" w:rsidR="009863CA" w:rsidRPr="009863CA" w:rsidRDefault="009863CA" w:rsidP="009863CA">
      <w:pPr>
        <w:rPr>
          <w:rFonts w:eastAsia="Times New Roman" w:cs="Arial"/>
          <w:color w:val="000000"/>
          <w:lang w:eastAsia="bg-BG"/>
        </w:rPr>
      </w:pPr>
    </w:p>
    <w:p w14:paraId="030B6A4D" w14:textId="42920476" w:rsidR="00EC41ED" w:rsidRPr="009863CA" w:rsidRDefault="009863CA" w:rsidP="009863CA">
      <w:pPr>
        <w:rPr>
          <w:rFonts w:cs="Arial"/>
        </w:rPr>
      </w:pPr>
      <w:r w:rsidRPr="009863CA">
        <w:rPr>
          <w:rFonts w:eastAsia="Times New Roman" w:cs="Arial"/>
          <w:color w:val="000000"/>
          <w:lang w:eastAsia="bg-BG"/>
        </w:rPr>
        <w:t>Периорален дерматит и розацея</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62F0719A"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Трябва да се избягва дългосрочната продължителна локална терапия с Фусикорт.</w:t>
      </w:r>
    </w:p>
    <w:p w14:paraId="08A5A404" w14:textId="77777777" w:rsidR="009863CA" w:rsidRPr="009863CA" w:rsidRDefault="009863CA" w:rsidP="009863CA">
      <w:pPr>
        <w:spacing w:line="240" w:lineRule="auto"/>
        <w:rPr>
          <w:rFonts w:eastAsia="Times New Roman" w:cs="Arial"/>
          <w:color w:val="000000"/>
          <w:lang w:eastAsia="bg-BG"/>
        </w:rPr>
      </w:pPr>
    </w:p>
    <w:p w14:paraId="3D431D54" w14:textId="578E497A"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В зависимост от мястото на приложение, винаги трябва да се има предвид възможна системна абсорбция на бетаметазон валерат по време на лечение с Фусикорт.</w:t>
      </w:r>
    </w:p>
    <w:p w14:paraId="507C9C8A" w14:textId="77777777" w:rsidR="009863CA" w:rsidRPr="009863CA" w:rsidRDefault="009863CA" w:rsidP="009863CA">
      <w:pPr>
        <w:spacing w:line="240" w:lineRule="auto"/>
        <w:rPr>
          <w:rFonts w:eastAsia="Times New Roman" w:cs="Arial"/>
          <w:color w:val="000000"/>
          <w:lang w:eastAsia="bg-BG"/>
        </w:rPr>
      </w:pPr>
    </w:p>
    <w:p w14:paraId="52C8E712" w14:textId="2C3D8DFB"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Поради съдържанието на кортикостероид, Фусикорт трябва да се употребява внимателно в близост до очите. Да се избягва попадане на Фусикорт в очите (виж точка 4.8).</w:t>
      </w:r>
    </w:p>
    <w:p w14:paraId="41065D7E" w14:textId="77777777" w:rsidR="009863CA" w:rsidRPr="009863CA" w:rsidRDefault="009863CA" w:rsidP="009863CA">
      <w:pPr>
        <w:spacing w:line="240" w:lineRule="auto"/>
        <w:rPr>
          <w:rFonts w:eastAsia="Times New Roman" w:cs="Arial"/>
          <w:color w:val="000000"/>
          <w:lang w:eastAsia="bg-BG"/>
        </w:rPr>
      </w:pPr>
    </w:p>
    <w:p w14:paraId="0055894A" w14:textId="3D8F6444"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Вследствие системната абсорбция на локални кортикостероиди може да се получи обратимо потискане на хипоталамо-хипофизарно-надбъбречната (ХХН) ос.</w:t>
      </w:r>
    </w:p>
    <w:p w14:paraId="45CBFC00" w14:textId="77777777" w:rsidR="009863CA" w:rsidRPr="009863CA" w:rsidRDefault="009863CA" w:rsidP="009863CA">
      <w:pPr>
        <w:spacing w:line="240" w:lineRule="auto"/>
        <w:rPr>
          <w:rFonts w:eastAsia="Times New Roman" w:cs="Arial"/>
          <w:color w:val="000000"/>
          <w:lang w:eastAsia="bg-BG"/>
        </w:rPr>
      </w:pPr>
    </w:p>
    <w:p w14:paraId="6C809700" w14:textId="50DCE863" w:rsidR="009863CA" w:rsidRPr="009863CA" w:rsidRDefault="009863CA" w:rsidP="009863CA">
      <w:pPr>
        <w:spacing w:line="240" w:lineRule="auto"/>
        <w:rPr>
          <w:rFonts w:eastAsia="Times New Roman" w:cs="Arial"/>
          <w:color w:val="000000"/>
          <w:lang w:eastAsia="bg-BG"/>
        </w:rPr>
      </w:pPr>
      <w:r w:rsidRPr="009863CA">
        <w:rPr>
          <w:rFonts w:eastAsia="Times New Roman" w:cs="Arial"/>
          <w:color w:val="000000"/>
          <w:lang w:eastAsia="bg-BG"/>
        </w:rPr>
        <w:t>Фусикорт трябва да се употребява внимателно при деца, тъй като при педиатричните пациенти може да се прояви по-голяма чувствителност към локални кортикостероиди - индуциране потискане на ХХН ос и Синдром на Кушинг, отколкото при възрастни пациенти. Да се избягват големи количества, условия на оклузия и продължително лечение (виж точка 4.8).</w:t>
      </w:r>
    </w:p>
    <w:p w14:paraId="25616799" w14:textId="77777777" w:rsidR="009863CA" w:rsidRPr="009863CA" w:rsidRDefault="009863CA" w:rsidP="009863CA">
      <w:pPr>
        <w:spacing w:line="240" w:lineRule="auto"/>
        <w:rPr>
          <w:rFonts w:eastAsia="Times New Roman" w:cs="Arial"/>
          <w:color w:val="000000"/>
          <w:lang w:eastAsia="bg-BG"/>
        </w:rPr>
      </w:pPr>
    </w:p>
    <w:p w14:paraId="1C2DC0E8" w14:textId="25220688"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Поради съдържанието на бетаметазон валерат, продължителната локална употреба на Фусикорт може да причини атрофия на кожата.</w:t>
      </w:r>
    </w:p>
    <w:p w14:paraId="0BAA739D" w14:textId="77777777" w:rsidR="009863CA" w:rsidRPr="009863CA" w:rsidRDefault="009863CA" w:rsidP="009863CA">
      <w:pPr>
        <w:spacing w:line="240" w:lineRule="auto"/>
        <w:rPr>
          <w:rFonts w:eastAsia="Times New Roman" w:cs="Arial"/>
          <w:color w:val="000000"/>
          <w:lang w:eastAsia="bg-BG"/>
        </w:rPr>
      </w:pPr>
    </w:p>
    <w:p w14:paraId="224E4758" w14:textId="068DDED6"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Съобщава се за случаи на бактериална резистентност при употреба на фузидова киселина. Както при всички антибиотици, продължителната или периодична употреба може да повиши риска от развитие на антибиотична резистентност. Ограничаване на лечението с локална фузидова киселина и бетаметазон валерат до не повече от 14 дни на курс, ще намали риска от развитие на резистентност.</w:t>
      </w:r>
    </w:p>
    <w:p w14:paraId="6EB724C2" w14:textId="77777777" w:rsidR="009863CA" w:rsidRPr="009863CA" w:rsidRDefault="009863CA" w:rsidP="009863CA">
      <w:pPr>
        <w:spacing w:line="240" w:lineRule="auto"/>
        <w:rPr>
          <w:rFonts w:eastAsia="Times New Roman" w:cs="Arial"/>
          <w:color w:val="000000"/>
          <w:lang w:eastAsia="bg-BG"/>
        </w:rPr>
      </w:pPr>
    </w:p>
    <w:p w14:paraId="3013C440" w14:textId="2B90D7E5"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Това също предпазва от риска имуносупресивното действие на кортикостероида да замаскира потенциални симптоми на инфекции, причинени от бактерии с антибиотична резистентност.</w:t>
      </w:r>
    </w:p>
    <w:p w14:paraId="110FF0AD" w14:textId="77777777" w:rsidR="009863CA" w:rsidRPr="009863CA" w:rsidRDefault="009863CA" w:rsidP="009863CA">
      <w:pPr>
        <w:spacing w:line="240" w:lineRule="auto"/>
        <w:rPr>
          <w:rFonts w:eastAsia="Times New Roman" w:cs="Arial"/>
          <w:color w:val="000000"/>
          <w:lang w:eastAsia="bg-BG"/>
        </w:rPr>
      </w:pPr>
    </w:p>
    <w:p w14:paraId="015C9775" w14:textId="14475EE3"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Поради съдържанието на кортикостероид, притежаващ имуносупресивен ефект, Фусикорт може да се свърже с повишена чувствителност към инфекция, влошаване на съществуваща инфекция и активиране на латентна инфекция. Препоръчва се преминаване към системно лечение, ако инфекцията не може да бъде контролирана с локално лечение (виж точка 4.3).</w:t>
      </w:r>
    </w:p>
    <w:p w14:paraId="5957B1A8" w14:textId="77777777" w:rsidR="009863CA" w:rsidRPr="009863CA" w:rsidRDefault="009863CA" w:rsidP="009863CA">
      <w:pPr>
        <w:rPr>
          <w:rFonts w:eastAsia="Times New Roman" w:cs="Arial"/>
          <w:color w:val="000000"/>
          <w:lang w:eastAsia="bg-BG"/>
        </w:rPr>
      </w:pPr>
    </w:p>
    <w:p w14:paraId="0E28BBDE" w14:textId="5591E6FF" w:rsidR="007A2185" w:rsidRPr="009863CA" w:rsidRDefault="009863CA" w:rsidP="009863CA">
      <w:pPr>
        <w:rPr>
          <w:rFonts w:cs="Arial"/>
        </w:rPr>
      </w:pPr>
      <w:r w:rsidRPr="009863CA">
        <w:rPr>
          <w:rFonts w:eastAsia="Times New Roman" w:cs="Arial"/>
          <w:color w:val="000000"/>
          <w:lang w:eastAsia="bg-BG"/>
        </w:rPr>
        <w:t>Фусикорт крем съдържа кетостеарил алкохол и хлорокрезол като помощни вещества. Кетостеарил алкохолът може да причини локални кожни реакции (напр. контактен дерматит), а хлорокрезолът, може да предизвика алергични реакции.</w:t>
      </w:r>
    </w:p>
    <w:p w14:paraId="24E3E82F" w14:textId="77777777" w:rsidR="0091385D" w:rsidRPr="0091385D" w:rsidRDefault="0091385D" w:rsidP="0091385D"/>
    <w:p w14:paraId="619DED1E" w14:textId="564F257F" w:rsidR="004F498A" w:rsidRDefault="002C50EE" w:rsidP="004A448E">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5B2761C5" w14:textId="2D9B5E9A" w:rsidR="0091385D" w:rsidRPr="009863CA" w:rsidRDefault="009863CA" w:rsidP="0091385D">
      <w:pPr>
        <w:rPr>
          <w:rFonts w:cs="Arial"/>
        </w:rPr>
      </w:pPr>
      <w:r w:rsidRPr="009863CA">
        <w:rPr>
          <w:rFonts w:cs="Arial"/>
        </w:rPr>
        <w:t>Не са провеждани проучвания за взаимодействие. Смята се, че взаимодействията с системно администрирани лекарствени продукти са минимални.</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6AD1A0BA" w14:textId="77777777" w:rsidR="009863CA" w:rsidRPr="009863CA" w:rsidRDefault="009863CA" w:rsidP="009863CA">
      <w:pPr>
        <w:pStyle w:val="Heading3"/>
        <w:rPr>
          <w:rFonts w:eastAsia="Times New Roman"/>
          <w:u w:val="single"/>
          <w:lang w:eastAsia="bg-BG"/>
        </w:rPr>
      </w:pPr>
      <w:r w:rsidRPr="009863CA">
        <w:rPr>
          <w:rFonts w:eastAsia="Times New Roman"/>
          <w:u w:val="single"/>
          <w:lang w:eastAsia="bg-BG"/>
        </w:rPr>
        <w:t>Б</w:t>
      </w:r>
      <w:bookmarkStart w:id="1" w:name="_GoBack"/>
      <w:bookmarkEnd w:id="1"/>
      <w:r w:rsidRPr="009863CA">
        <w:rPr>
          <w:rFonts w:eastAsia="Times New Roman"/>
          <w:u w:val="single"/>
          <w:lang w:eastAsia="bg-BG"/>
        </w:rPr>
        <w:t>ременност</w:t>
      </w:r>
    </w:p>
    <w:p w14:paraId="070FF583"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Фузидова киселина:</w:t>
      </w:r>
    </w:p>
    <w:p w14:paraId="102F0D07" w14:textId="0A4A5279" w:rsidR="007A2185" w:rsidRPr="009863CA" w:rsidRDefault="009863CA" w:rsidP="009863CA">
      <w:pPr>
        <w:rPr>
          <w:rFonts w:cs="Arial"/>
        </w:rPr>
      </w:pPr>
      <w:r w:rsidRPr="009863CA">
        <w:rPr>
          <w:rFonts w:eastAsia="Times New Roman" w:cs="Arial"/>
          <w:color w:val="000000"/>
          <w:lang w:eastAsia="bg-BG"/>
        </w:rPr>
        <w:t>Не се очакват ефекти по време на бременност, тъй като системното излагане на фузидова киселина е незначително.</w:t>
      </w:r>
    </w:p>
    <w:p w14:paraId="3E8789C3" w14:textId="3A922833" w:rsidR="0091385D" w:rsidRPr="009863CA" w:rsidRDefault="0091385D" w:rsidP="0091385D">
      <w:pPr>
        <w:rPr>
          <w:rFonts w:cs="Arial"/>
        </w:rPr>
      </w:pPr>
    </w:p>
    <w:p w14:paraId="0542681A"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Бетаметазон валерат:</w:t>
      </w:r>
    </w:p>
    <w:p w14:paraId="5FA0627E"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Няма или съществуват ограничени данни за употребата на локалния бетаметазон валерат при бременни жени. Проучвания при животни са показали репродуктивна токсичност (виж точка 5.3).</w:t>
      </w:r>
    </w:p>
    <w:p w14:paraId="332DCC70" w14:textId="77777777" w:rsidR="009863CA" w:rsidRPr="009863CA" w:rsidRDefault="009863CA" w:rsidP="009863CA">
      <w:pPr>
        <w:spacing w:line="240" w:lineRule="auto"/>
        <w:rPr>
          <w:rFonts w:eastAsia="Times New Roman" w:cs="Arial"/>
          <w:color w:val="000000"/>
          <w:lang w:eastAsia="bg-BG"/>
        </w:rPr>
      </w:pPr>
    </w:p>
    <w:p w14:paraId="26EF6CB1" w14:textId="241E22E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Фусикорт не трябва да се употребява по време на бременност, освен ако клиничното състояние на жената не изисква лечение с фузидова киселина и бетаметазон валерат.</w:t>
      </w:r>
    </w:p>
    <w:p w14:paraId="38E77FC9" w14:textId="77777777" w:rsidR="009863CA" w:rsidRPr="009863CA" w:rsidRDefault="009863CA" w:rsidP="009863CA">
      <w:pPr>
        <w:spacing w:line="240" w:lineRule="auto"/>
        <w:rPr>
          <w:rFonts w:eastAsia="Times New Roman" w:cs="Arial"/>
          <w:color w:val="000000"/>
          <w:u w:val="single"/>
          <w:lang w:eastAsia="bg-BG"/>
        </w:rPr>
      </w:pPr>
    </w:p>
    <w:p w14:paraId="4A2991E0" w14:textId="0576C81C" w:rsidR="009863CA" w:rsidRPr="009863CA" w:rsidRDefault="009863CA" w:rsidP="009863CA">
      <w:pPr>
        <w:pStyle w:val="Heading3"/>
        <w:rPr>
          <w:rFonts w:eastAsia="Times New Roman"/>
          <w:u w:val="single"/>
          <w:lang w:eastAsia="bg-BG"/>
        </w:rPr>
      </w:pPr>
      <w:r w:rsidRPr="009863CA">
        <w:rPr>
          <w:rFonts w:eastAsia="Times New Roman"/>
          <w:u w:val="single"/>
          <w:lang w:eastAsia="bg-BG"/>
        </w:rPr>
        <w:t>Кърмене</w:t>
      </w:r>
    </w:p>
    <w:p w14:paraId="37CE1478"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Не се очакват ефекти върху кърменето на новороденото/пеленачето, тъй като системното излагане на локално приложените фузидова киселина и бетаметазон валерат върху ограничен участък от кожата на жената-кърмачка е незначително.</w:t>
      </w:r>
    </w:p>
    <w:p w14:paraId="17A01C7E" w14:textId="77777777" w:rsidR="009863CA" w:rsidRPr="009863CA" w:rsidRDefault="009863CA" w:rsidP="009863CA">
      <w:pPr>
        <w:spacing w:line="240" w:lineRule="auto"/>
        <w:rPr>
          <w:rFonts w:eastAsia="Times New Roman" w:cs="Arial"/>
          <w:color w:val="000000"/>
          <w:lang w:eastAsia="bg-BG"/>
        </w:rPr>
      </w:pPr>
    </w:p>
    <w:p w14:paraId="77F40E1E" w14:textId="1A4D0406"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Фусикорт може да се употребява по време на кърмене, но се препоръчва да се избягва приложение на Фусикорт върху гърдата.</w:t>
      </w:r>
    </w:p>
    <w:p w14:paraId="4F623421" w14:textId="77777777" w:rsidR="009863CA" w:rsidRPr="009863CA" w:rsidRDefault="009863CA" w:rsidP="009863CA">
      <w:pPr>
        <w:spacing w:line="240" w:lineRule="auto"/>
        <w:rPr>
          <w:rFonts w:eastAsia="Times New Roman" w:cs="Arial"/>
          <w:color w:val="000000"/>
          <w:u w:val="single"/>
          <w:lang w:eastAsia="bg-BG"/>
        </w:rPr>
      </w:pPr>
    </w:p>
    <w:p w14:paraId="68CE7C86" w14:textId="7471DE18" w:rsidR="009863CA" w:rsidRPr="009863CA" w:rsidRDefault="009863CA" w:rsidP="009863CA">
      <w:pPr>
        <w:pStyle w:val="Heading3"/>
        <w:rPr>
          <w:rFonts w:eastAsia="Times New Roman"/>
          <w:u w:val="single"/>
          <w:lang w:eastAsia="bg-BG"/>
        </w:rPr>
      </w:pPr>
      <w:r w:rsidRPr="009863CA">
        <w:rPr>
          <w:rFonts w:eastAsia="Times New Roman"/>
          <w:u w:val="single"/>
          <w:lang w:eastAsia="bg-BG"/>
        </w:rPr>
        <w:t>Фертилитет</w:t>
      </w:r>
    </w:p>
    <w:p w14:paraId="141D07DE" w14:textId="548C029C" w:rsidR="009863CA" w:rsidRPr="009863CA" w:rsidRDefault="009863CA" w:rsidP="009863CA">
      <w:pPr>
        <w:rPr>
          <w:rFonts w:cs="Arial"/>
        </w:rPr>
      </w:pPr>
      <w:r w:rsidRPr="009863CA">
        <w:rPr>
          <w:rFonts w:eastAsia="Times New Roman" w:cs="Arial"/>
          <w:color w:val="000000"/>
          <w:lang w:eastAsia="bg-BG"/>
        </w:rPr>
        <w:t>Няма клинични проучвания с Фусикорт по отношение на фертилитета.</w:t>
      </w:r>
    </w:p>
    <w:p w14:paraId="2A37D279" w14:textId="77777777" w:rsidR="009863CA" w:rsidRPr="0091385D" w:rsidRDefault="009863CA"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30187C2E" w:rsidR="007A2185" w:rsidRPr="009863CA" w:rsidRDefault="009863CA" w:rsidP="0091385D">
      <w:pPr>
        <w:rPr>
          <w:rFonts w:cs="Arial"/>
        </w:rPr>
      </w:pPr>
      <w:r w:rsidRPr="009863CA">
        <w:rPr>
          <w:rFonts w:cs="Arial"/>
        </w:rPr>
        <w:t>Фусикорт не повлиява или повлиява незначително способността за шофиране или работа с машини.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3E13C152" w14:textId="77777777" w:rsidR="009863CA" w:rsidRPr="009863CA" w:rsidRDefault="009863CA" w:rsidP="009863CA">
      <w:pPr>
        <w:spacing w:line="240" w:lineRule="auto"/>
        <w:rPr>
          <w:rFonts w:eastAsia="Times New Roman" w:cs="Arial"/>
          <w:color w:val="000000"/>
          <w:lang w:eastAsia="bg-BG"/>
        </w:rPr>
      </w:pPr>
      <w:r w:rsidRPr="009863CA">
        <w:rPr>
          <w:rFonts w:eastAsia="Times New Roman" w:cs="Arial"/>
          <w:color w:val="000000"/>
          <w:lang w:eastAsia="bg-BG"/>
        </w:rPr>
        <w:t xml:space="preserve">Оценката на честотата на нежеланите лекарствени реакции се основава на обобщен анализ на данни от </w:t>
      </w:r>
    </w:p>
    <w:p w14:paraId="453E2D2B" w14:textId="75C91411"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клинични проучвания и спонтанни съобщения.</w:t>
      </w:r>
    </w:p>
    <w:p w14:paraId="7E78892D" w14:textId="77777777" w:rsidR="009863CA" w:rsidRPr="009863CA" w:rsidRDefault="009863CA" w:rsidP="009863CA">
      <w:pPr>
        <w:spacing w:line="240" w:lineRule="auto"/>
        <w:rPr>
          <w:rFonts w:eastAsia="Times New Roman" w:cs="Arial"/>
          <w:color w:val="000000"/>
          <w:lang w:eastAsia="bg-BG"/>
        </w:rPr>
      </w:pPr>
    </w:p>
    <w:p w14:paraId="7D5793E6" w14:textId="16EC334B"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Най-често съобщаваната нежелана лекарствена реакция по време на лечение е сърбежът.</w:t>
      </w:r>
    </w:p>
    <w:p w14:paraId="00311396" w14:textId="77777777" w:rsidR="009863CA" w:rsidRPr="009863CA" w:rsidRDefault="009863CA" w:rsidP="009863CA">
      <w:pPr>
        <w:spacing w:line="240" w:lineRule="auto"/>
        <w:rPr>
          <w:rFonts w:eastAsia="Times New Roman" w:cs="Arial"/>
          <w:color w:val="000000"/>
          <w:lang w:eastAsia="bg-BG"/>
        </w:rPr>
      </w:pPr>
    </w:p>
    <w:p w14:paraId="23D1D11F" w14:textId="7812B184"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lastRenderedPageBreak/>
        <w:t xml:space="preserve">Нежеланите лекарствени реакции са описани от </w:t>
      </w:r>
      <w:proofErr w:type="spellStart"/>
      <w:r w:rsidRPr="009863CA">
        <w:rPr>
          <w:rFonts w:eastAsia="Times New Roman" w:cs="Arial"/>
          <w:color w:val="000000"/>
          <w:lang w:val="en-US"/>
        </w:rPr>
        <w:t>MedDRA</w:t>
      </w:r>
      <w:proofErr w:type="spellEnd"/>
      <w:r w:rsidRPr="009863CA">
        <w:rPr>
          <w:rFonts w:eastAsia="Times New Roman" w:cs="Arial"/>
          <w:color w:val="000000"/>
          <w:lang w:val="en-US"/>
        </w:rPr>
        <w:t xml:space="preserve"> SOC, </w:t>
      </w:r>
      <w:r w:rsidRPr="009863CA">
        <w:rPr>
          <w:rFonts w:eastAsia="Times New Roman" w:cs="Arial"/>
          <w:color w:val="000000"/>
          <w:lang w:eastAsia="bg-BG"/>
        </w:rPr>
        <w:t>а индивидуалните нежелани лекарствени реакции са описани като се започне от най-често съобщаваните. Във всяко групиране по честота нежеланите лекарствени реакции са представени в низходящ ред по сериозност.</w:t>
      </w:r>
    </w:p>
    <w:p w14:paraId="222171AD" w14:textId="77777777" w:rsidR="009863CA" w:rsidRPr="009863CA" w:rsidRDefault="009863CA" w:rsidP="009863CA">
      <w:pPr>
        <w:spacing w:line="240" w:lineRule="auto"/>
        <w:rPr>
          <w:rFonts w:eastAsia="Times New Roman" w:cs="Arial"/>
          <w:color w:val="000000"/>
          <w:lang w:eastAsia="bg-BG"/>
        </w:rPr>
      </w:pPr>
    </w:p>
    <w:p w14:paraId="435061C3" w14:textId="390579E1"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Много чести</w:t>
      </w:r>
      <w:r w:rsidRPr="009863CA">
        <w:rPr>
          <w:rFonts w:eastAsia="Times New Roman" w:cs="Arial"/>
          <w:color w:val="000000"/>
          <w:lang w:eastAsia="bg-BG"/>
        </w:rPr>
        <w:tab/>
        <w:t>&gt;1/10</w:t>
      </w:r>
    </w:p>
    <w:p w14:paraId="7DC344F6"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Чести</w:t>
      </w:r>
      <w:r w:rsidRPr="009863CA">
        <w:rPr>
          <w:rFonts w:eastAsia="Times New Roman" w:cs="Arial"/>
          <w:color w:val="000000"/>
          <w:lang w:eastAsia="bg-BG"/>
        </w:rPr>
        <w:tab/>
        <w:t>&gt; 1/100 и &lt; 1/10</w:t>
      </w:r>
    </w:p>
    <w:p w14:paraId="47398A60"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Нечести</w:t>
      </w:r>
      <w:r w:rsidRPr="009863CA">
        <w:rPr>
          <w:rFonts w:eastAsia="Times New Roman" w:cs="Arial"/>
          <w:color w:val="000000"/>
          <w:lang w:eastAsia="bg-BG"/>
        </w:rPr>
        <w:tab/>
        <w:t>&gt; 1/1,000 и &lt; 1/100</w:t>
      </w:r>
    </w:p>
    <w:p w14:paraId="057E6C34"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Редки</w:t>
      </w:r>
      <w:r w:rsidRPr="009863CA">
        <w:rPr>
          <w:rFonts w:eastAsia="Times New Roman" w:cs="Arial"/>
          <w:color w:val="000000"/>
          <w:lang w:eastAsia="bg-BG"/>
        </w:rPr>
        <w:tab/>
        <w:t>&gt; 1/10,000 и &lt; 1/1,000</w:t>
      </w:r>
    </w:p>
    <w:p w14:paraId="0254AACC" w14:textId="5E09CCDF" w:rsidR="007A2185" w:rsidRPr="009863CA" w:rsidRDefault="009863CA" w:rsidP="009863CA">
      <w:pPr>
        <w:rPr>
          <w:rFonts w:cs="Arial"/>
        </w:rPr>
      </w:pPr>
      <w:r w:rsidRPr="009863CA">
        <w:rPr>
          <w:rFonts w:eastAsia="Times New Roman" w:cs="Arial"/>
          <w:color w:val="000000"/>
          <w:lang w:eastAsia="bg-BG"/>
        </w:rPr>
        <w:t>Много редки</w:t>
      </w:r>
      <w:r w:rsidRPr="009863CA">
        <w:rPr>
          <w:rFonts w:eastAsia="Times New Roman" w:cs="Arial"/>
          <w:color w:val="000000"/>
          <w:lang w:eastAsia="bg-BG"/>
        </w:rPr>
        <w:tab/>
        <w:t>&lt; 1/10,000</w:t>
      </w:r>
    </w:p>
    <w:p w14:paraId="443BC107" w14:textId="049273D1" w:rsidR="005B0F27" w:rsidRDefault="005B0F27" w:rsidP="0091385D"/>
    <w:tbl>
      <w:tblPr>
        <w:tblStyle w:val="TableGrid"/>
        <w:tblW w:w="0" w:type="auto"/>
        <w:tblLook w:val="04A0" w:firstRow="1" w:lastRow="0" w:firstColumn="1" w:lastColumn="0" w:noHBand="0" w:noVBand="1"/>
      </w:tblPr>
      <w:tblGrid>
        <w:gridCol w:w="4675"/>
        <w:gridCol w:w="4675"/>
      </w:tblGrid>
      <w:tr w:rsidR="009863CA" w:rsidRPr="009863CA" w14:paraId="69C12B26" w14:textId="77777777" w:rsidTr="00C102C3">
        <w:tc>
          <w:tcPr>
            <w:tcW w:w="9350" w:type="dxa"/>
            <w:gridSpan w:val="2"/>
          </w:tcPr>
          <w:p w14:paraId="20EAC62B" w14:textId="5919772C" w:rsidR="009863CA" w:rsidRPr="009863CA" w:rsidRDefault="009863CA" w:rsidP="0091385D">
            <w:pPr>
              <w:rPr>
                <w:rFonts w:cs="Arial"/>
              </w:rPr>
            </w:pPr>
            <w:r w:rsidRPr="009863CA">
              <w:rPr>
                <w:rFonts w:cs="Arial"/>
                <w:b/>
                <w:bCs/>
              </w:rPr>
              <w:t>Нарушения в имунната система</w:t>
            </w:r>
          </w:p>
        </w:tc>
      </w:tr>
      <w:tr w:rsidR="009863CA" w:rsidRPr="009863CA" w14:paraId="4A29B42D" w14:textId="77777777" w:rsidTr="009863CA">
        <w:tc>
          <w:tcPr>
            <w:tcW w:w="4675" w:type="dxa"/>
          </w:tcPr>
          <w:p w14:paraId="6B3A36A0" w14:textId="77777777" w:rsidR="009863CA" w:rsidRPr="009863CA" w:rsidRDefault="009863CA" w:rsidP="009863CA">
            <w:pPr>
              <w:rPr>
                <w:rFonts w:cs="Arial"/>
              </w:rPr>
            </w:pPr>
            <w:r w:rsidRPr="009863CA">
              <w:rPr>
                <w:rFonts w:cs="Arial"/>
              </w:rPr>
              <w:t>Нечести</w:t>
            </w:r>
          </w:p>
          <w:p w14:paraId="32A12E3E" w14:textId="334E7E41" w:rsidR="009863CA" w:rsidRPr="009863CA" w:rsidRDefault="009863CA" w:rsidP="009863CA">
            <w:pPr>
              <w:rPr>
                <w:rFonts w:cs="Arial"/>
              </w:rPr>
            </w:pPr>
            <w:r w:rsidRPr="009863CA">
              <w:rPr>
                <w:rFonts w:cs="Arial"/>
              </w:rPr>
              <w:t>(≥1/1,000 и &lt;1/100)</w:t>
            </w:r>
          </w:p>
        </w:tc>
        <w:tc>
          <w:tcPr>
            <w:tcW w:w="4675" w:type="dxa"/>
          </w:tcPr>
          <w:p w14:paraId="6C77C767" w14:textId="654E4D44" w:rsidR="009863CA" w:rsidRPr="009863CA" w:rsidRDefault="009863CA" w:rsidP="009863CA">
            <w:pPr>
              <w:rPr>
                <w:rFonts w:cs="Arial"/>
              </w:rPr>
            </w:pPr>
            <w:r w:rsidRPr="009863CA">
              <w:rPr>
                <w:rFonts w:cs="Arial"/>
              </w:rPr>
              <w:t>Свръхчувствителност</w:t>
            </w:r>
          </w:p>
        </w:tc>
      </w:tr>
      <w:tr w:rsidR="009863CA" w:rsidRPr="009863CA" w14:paraId="7A7A9128" w14:textId="77777777" w:rsidTr="00681FE2">
        <w:tc>
          <w:tcPr>
            <w:tcW w:w="9350" w:type="dxa"/>
            <w:gridSpan w:val="2"/>
          </w:tcPr>
          <w:p w14:paraId="2B5BC3FD" w14:textId="77ED9438" w:rsidR="009863CA" w:rsidRPr="009863CA" w:rsidRDefault="009863CA" w:rsidP="0091385D">
            <w:pPr>
              <w:rPr>
                <w:rFonts w:cs="Arial"/>
              </w:rPr>
            </w:pPr>
            <w:r w:rsidRPr="009863CA">
              <w:rPr>
                <w:rFonts w:cs="Arial"/>
                <w:b/>
                <w:bCs/>
              </w:rPr>
              <w:t>Нарушения на кожата и подкожната тъкан</w:t>
            </w:r>
          </w:p>
        </w:tc>
      </w:tr>
      <w:tr w:rsidR="009863CA" w:rsidRPr="009863CA" w14:paraId="6995E723" w14:textId="77777777" w:rsidTr="009863CA">
        <w:tc>
          <w:tcPr>
            <w:tcW w:w="4675" w:type="dxa"/>
          </w:tcPr>
          <w:p w14:paraId="73495BC2" w14:textId="77777777" w:rsidR="009863CA" w:rsidRPr="009863CA" w:rsidRDefault="009863CA" w:rsidP="009863CA">
            <w:pPr>
              <w:rPr>
                <w:rFonts w:cs="Arial"/>
              </w:rPr>
            </w:pPr>
            <w:r w:rsidRPr="009863CA">
              <w:rPr>
                <w:rFonts w:cs="Arial"/>
              </w:rPr>
              <w:t>Нечести</w:t>
            </w:r>
          </w:p>
          <w:p w14:paraId="4B1F99FA" w14:textId="60520A60" w:rsidR="009863CA" w:rsidRPr="009863CA" w:rsidRDefault="009863CA" w:rsidP="009863CA">
            <w:pPr>
              <w:rPr>
                <w:rFonts w:cs="Arial"/>
              </w:rPr>
            </w:pPr>
            <w:r w:rsidRPr="009863CA">
              <w:rPr>
                <w:rFonts w:cs="Arial"/>
              </w:rPr>
              <w:t>(≥1/1,000 и &lt;1/100)</w:t>
            </w:r>
          </w:p>
        </w:tc>
        <w:tc>
          <w:tcPr>
            <w:tcW w:w="4675" w:type="dxa"/>
          </w:tcPr>
          <w:p w14:paraId="4664EA1A" w14:textId="77777777" w:rsidR="009863CA" w:rsidRPr="009863CA" w:rsidRDefault="009863CA" w:rsidP="009863CA">
            <w:pPr>
              <w:rPr>
                <w:rFonts w:cs="Arial"/>
              </w:rPr>
            </w:pPr>
            <w:r w:rsidRPr="009863CA">
              <w:rPr>
                <w:rFonts w:cs="Arial"/>
              </w:rPr>
              <w:t>Контактен дерматит</w:t>
            </w:r>
          </w:p>
          <w:p w14:paraId="2875D07F" w14:textId="77777777" w:rsidR="009863CA" w:rsidRPr="009863CA" w:rsidRDefault="009863CA" w:rsidP="009863CA">
            <w:pPr>
              <w:rPr>
                <w:rFonts w:cs="Arial"/>
              </w:rPr>
            </w:pPr>
            <w:r w:rsidRPr="009863CA">
              <w:rPr>
                <w:rFonts w:cs="Arial"/>
              </w:rPr>
              <w:t>Екзема (влошаване на заболяването) Чувство за парене на кожата Сърбеж</w:t>
            </w:r>
          </w:p>
          <w:p w14:paraId="1662DBC6" w14:textId="4ACC64F0" w:rsidR="009863CA" w:rsidRPr="009863CA" w:rsidRDefault="009863CA" w:rsidP="009863CA">
            <w:pPr>
              <w:rPr>
                <w:rFonts w:cs="Arial"/>
              </w:rPr>
            </w:pPr>
            <w:r w:rsidRPr="009863CA">
              <w:rPr>
                <w:rFonts w:cs="Arial"/>
              </w:rPr>
              <w:t>Суха кожа</w:t>
            </w:r>
          </w:p>
        </w:tc>
      </w:tr>
      <w:tr w:rsidR="009863CA" w:rsidRPr="009863CA" w14:paraId="2829BFF7" w14:textId="77777777" w:rsidTr="009863CA">
        <w:tc>
          <w:tcPr>
            <w:tcW w:w="4675" w:type="dxa"/>
          </w:tcPr>
          <w:p w14:paraId="36D10A00" w14:textId="2C6CC314" w:rsidR="009863CA" w:rsidRPr="009863CA" w:rsidRDefault="009863CA" w:rsidP="009863CA">
            <w:pPr>
              <w:rPr>
                <w:rFonts w:cs="Arial"/>
              </w:rPr>
            </w:pPr>
            <w:r w:rsidRPr="009863CA">
              <w:rPr>
                <w:rFonts w:cs="Arial"/>
              </w:rPr>
              <w:t>Редки (≥1/10,000 и &lt;1/1,000)</w:t>
            </w:r>
          </w:p>
        </w:tc>
        <w:tc>
          <w:tcPr>
            <w:tcW w:w="4675" w:type="dxa"/>
          </w:tcPr>
          <w:p w14:paraId="6384AD7B" w14:textId="77777777" w:rsidR="009863CA" w:rsidRPr="009863CA" w:rsidRDefault="009863CA" w:rsidP="009863CA">
            <w:pPr>
              <w:rPr>
                <w:rFonts w:cs="Arial"/>
              </w:rPr>
            </w:pPr>
            <w:r w:rsidRPr="009863CA">
              <w:rPr>
                <w:rFonts w:cs="Arial"/>
              </w:rPr>
              <w:t>Еритема</w:t>
            </w:r>
          </w:p>
          <w:p w14:paraId="74003201" w14:textId="77777777" w:rsidR="009863CA" w:rsidRPr="009863CA" w:rsidRDefault="009863CA" w:rsidP="009863CA">
            <w:pPr>
              <w:rPr>
                <w:rFonts w:cs="Arial"/>
              </w:rPr>
            </w:pPr>
            <w:r w:rsidRPr="009863CA">
              <w:rPr>
                <w:rFonts w:cs="Arial"/>
              </w:rPr>
              <w:t>Уртикария</w:t>
            </w:r>
          </w:p>
          <w:p w14:paraId="0C796524" w14:textId="468B46E6" w:rsidR="009863CA" w:rsidRPr="009863CA" w:rsidRDefault="009863CA" w:rsidP="009863CA">
            <w:pPr>
              <w:rPr>
                <w:rFonts w:cs="Arial"/>
              </w:rPr>
            </w:pPr>
            <w:r w:rsidRPr="009863CA">
              <w:rPr>
                <w:rFonts w:cs="Arial"/>
              </w:rPr>
              <w:t>Обрив (включително еритематозен обрив и генерализиран обрив)</w:t>
            </w:r>
          </w:p>
        </w:tc>
      </w:tr>
      <w:tr w:rsidR="009863CA" w:rsidRPr="009863CA" w14:paraId="6657016B" w14:textId="77777777" w:rsidTr="00F77A11">
        <w:tc>
          <w:tcPr>
            <w:tcW w:w="9350" w:type="dxa"/>
            <w:gridSpan w:val="2"/>
          </w:tcPr>
          <w:p w14:paraId="3C2EB15D" w14:textId="41D2A298" w:rsidR="009863CA" w:rsidRPr="009863CA" w:rsidRDefault="009863CA" w:rsidP="0091385D">
            <w:pPr>
              <w:rPr>
                <w:rFonts w:cs="Arial"/>
              </w:rPr>
            </w:pPr>
            <w:r w:rsidRPr="009863CA">
              <w:rPr>
                <w:rFonts w:cs="Arial"/>
                <w:b/>
                <w:bCs/>
              </w:rPr>
              <w:t>Общи нарушения и реакции на мястото на приложение</w:t>
            </w:r>
          </w:p>
        </w:tc>
      </w:tr>
      <w:tr w:rsidR="009863CA" w:rsidRPr="009863CA" w14:paraId="60110357" w14:textId="77777777" w:rsidTr="009863CA">
        <w:tc>
          <w:tcPr>
            <w:tcW w:w="4675" w:type="dxa"/>
          </w:tcPr>
          <w:p w14:paraId="32DE4E66" w14:textId="451467AA" w:rsidR="009863CA" w:rsidRPr="009863CA" w:rsidRDefault="009863CA" w:rsidP="009863CA">
            <w:pPr>
              <w:rPr>
                <w:rFonts w:cs="Arial"/>
              </w:rPr>
            </w:pPr>
            <w:r w:rsidRPr="009863CA">
              <w:rPr>
                <w:rFonts w:cs="Arial"/>
              </w:rPr>
              <w:t>Нечести (≥1/1,000 и &lt;1/100)</w:t>
            </w:r>
          </w:p>
        </w:tc>
        <w:tc>
          <w:tcPr>
            <w:tcW w:w="4675" w:type="dxa"/>
          </w:tcPr>
          <w:p w14:paraId="15726172" w14:textId="3AD9AC64" w:rsidR="009863CA" w:rsidRPr="009863CA" w:rsidRDefault="009863CA" w:rsidP="009863CA">
            <w:pPr>
              <w:rPr>
                <w:rFonts w:cs="Arial"/>
              </w:rPr>
            </w:pPr>
            <w:r w:rsidRPr="009863CA">
              <w:rPr>
                <w:rFonts w:cs="Arial"/>
              </w:rPr>
              <w:t>Болка на мястото на приложение Раздразнение на мястото на приложение</w:t>
            </w:r>
          </w:p>
        </w:tc>
      </w:tr>
      <w:tr w:rsidR="009863CA" w:rsidRPr="009863CA" w14:paraId="1DE5D229" w14:textId="77777777" w:rsidTr="009863CA">
        <w:tc>
          <w:tcPr>
            <w:tcW w:w="4675" w:type="dxa"/>
          </w:tcPr>
          <w:p w14:paraId="4BB744AE" w14:textId="77777777" w:rsidR="009863CA" w:rsidRPr="009863CA" w:rsidRDefault="009863CA" w:rsidP="009863CA">
            <w:pPr>
              <w:rPr>
                <w:rFonts w:cs="Arial"/>
              </w:rPr>
            </w:pPr>
            <w:r w:rsidRPr="009863CA">
              <w:rPr>
                <w:rFonts w:cs="Arial"/>
              </w:rPr>
              <w:t>Редки</w:t>
            </w:r>
          </w:p>
          <w:p w14:paraId="07BA11E7" w14:textId="50D2A492" w:rsidR="009863CA" w:rsidRPr="009863CA" w:rsidRDefault="009863CA" w:rsidP="009863CA">
            <w:pPr>
              <w:rPr>
                <w:rFonts w:cs="Arial"/>
              </w:rPr>
            </w:pPr>
            <w:r w:rsidRPr="009863CA">
              <w:rPr>
                <w:rFonts w:cs="Arial"/>
              </w:rPr>
              <w:t>(≥1/10,000 и &lt;1/1,000)</w:t>
            </w:r>
          </w:p>
        </w:tc>
        <w:tc>
          <w:tcPr>
            <w:tcW w:w="4675" w:type="dxa"/>
          </w:tcPr>
          <w:p w14:paraId="084D709C" w14:textId="3C005B51" w:rsidR="009863CA" w:rsidRPr="009863CA" w:rsidRDefault="009863CA" w:rsidP="009863CA">
            <w:pPr>
              <w:rPr>
                <w:rFonts w:cs="Arial"/>
              </w:rPr>
            </w:pPr>
            <w:r w:rsidRPr="009863CA">
              <w:rPr>
                <w:rFonts w:cs="Arial"/>
              </w:rPr>
              <w:t>Подуване на мястото на приложение Везикули на мястото на приложение</w:t>
            </w:r>
          </w:p>
        </w:tc>
      </w:tr>
    </w:tbl>
    <w:p w14:paraId="0171BB9F" w14:textId="48B474FD" w:rsidR="009863CA" w:rsidRPr="009863CA" w:rsidRDefault="009863CA" w:rsidP="0091385D">
      <w:pPr>
        <w:rPr>
          <w:rFonts w:cs="Arial"/>
        </w:rPr>
      </w:pPr>
    </w:p>
    <w:p w14:paraId="7FC29AE3"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Системните нежелани лекарствени реакции на кортикостероидите, като бетаметазон валерат включват адренална супресия особено при продължително локално администриране (виж точка 4.4).</w:t>
      </w:r>
    </w:p>
    <w:p w14:paraId="28606A3A" w14:textId="77777777" w:rsidR="009863CA" w:rsidRPr="009863CA" w:rsidRDefault="009863CA" w:rsidP="009863CA">
      <w:pPr>
        <w:spacing w:line="240" w:lineRule="auto"/>
        <w:rPr>
          <w:rFonts w:eastAsia="Times New Roman" w:cs="Arial"/>
          <w:color w:val="000000"/>
          <w:lang w:eastAsia="bg-BG"/>
        </w:rPr>
      </w:pPr>
    </w:p>
    <w:p w14:paraId="67BCE25C" w14:textId="5B24A87B"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Могат да се наблюдават повишено вътреочно налягане и глаукома след локално приложение на кортикостероиди в близост до очите, особено при продължителна употреба и при пациенти, предразположени към развитие на глаукома (виж точка 4.4).</w:t>
      </w:r>
    </w:p>
    <w:p w14:paraId="17389496" w14:textId="77777777" w:rsidR="009863CA" w:rsidRPr="009863CA" w:rsidRDefault="009863CA" w:rsidP="009863CA">
      <w:pPr>
        <w:spacing w:line="240" w:lineRule="auto"/>
        <w:rPr>
          <w:rFonts w:eastAsia="Times New Roman" w:cs="Arial"/>
          <w:color w:val="000000"/>
          <w:lang w:eastAsia="bg-BG"/>
        </w:rPr>
      </w:pPr>
    </w:p>
    <w:p w14:paraId="5444D2D7" w14:textId="15D7E9FF"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Дерматологичните нежелани лекарствени реакции на мощните кортикостероиди включват: атрофия, дерматит (вкл. контактен дерматит и акнеформен дерматит), периорален дерматит, кожни стрии, телеангиектазия, розацея, еритема, хипертрихоза, хиперхидроза и депигментация. Може да се наблюдава също и екхимоза при продължителна употреба на локални кортикостероиди.</w:t>
      </w:r>
    </w:p>
    <w:p w14:paraId="1C9C85AA" w14:textId="77777777" w:rsidR="009863CA" w:rsidRPr="009863CA" w:rsidRDefault="009863CA" w:rsidP="009863CA">
      <w:pPr>
        <w:spacing w:line="240" w:lineRule="auto"/>
        <w:rPr>
          <w:rFonts w:eastAsia="Times New Roman" w:cs="Arial"/>
          <w:color w:val="000000"/>
          <w:lang w:eastAsia="bg-BG"/>
        </w:rPr>
      </w:pPr>
    </w:p>
    <w:p w14:paraId="6F595FC3" w14:textId="70A8F3C3"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Нежелани лекарствени реакции характерни за кортикостероидите са нечесто съобщавани за Фусикорт, както е описано в таблицата за честотата по-горе.</w:t>
      </w:r>
    </w:p>
    <w:p w14:paraId="6518FA0D" w14:textId="77777777" w:rsidR="009863CA" w:rsidRPr="009863CA" w:rsidRDefault="009863CA" w:rsidP="009863CA">
      <w:pPr>
        <w:spacing w:line="240" w:lineRule="auto"/>
        <w:rPr>
          <w:rFonts w:eastAsia="Times New Roman" w:cs="Arial"/>
          <w:color w:val="000000"/>
          <w:u w:val="single"/>
          <w:lang w:eastAsia="bg-BG"/>
        </w:rPr>
      </w:pPr>
    </w:p>
    <w:p w14:paraId="52BBBDFD" w14:textId="3BC08E1E" w:rsidR="009863CA" w:rsidRPr="009863CA" w:rsidRDefault="009863CA" w:rsidP="009863CA">
      <w:pPr>
        <w:spacing w:line="240" w:lineRule="auto"/>
        <w:rPr>
          <w:rFonts w:eastAsia="Times New Roman" w:cs="Arial"/>
          <w:lang w:eastAsia="bg-BG"/>
        </w:rPr>
      </w:pPr>
      <w:r w:rsidRPr="009863CA">
        <w:rPr>
          <w:rFonts w:eastAsia="Times New Roman" w:cs="Arial"/>
          <w:color w:val="000000"/>
          <w:u w:val="single"/>
          <w:lang w:eastAsia="bg-BG"/>
        </w:rPr>
        <w:t>Педиатрична популация</w:t>
      </w:r>
    </w:p>
    <w:p w14:paraId="07748062"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Наблюдаваният профил на безопасност е подобен при деца и възрастни (виж точка 4.4).</w:t>
      </w:r>
    </w:p>
    <w:p w14:paraId="7A34FDC1" w14:textId="77777777" w:rsidR="009863CA" w:rsidRPr="009863CA" w:rsidRDefault="009863CA" w:rsidP="009863CA">
      <w:pPr>
        <w:spacing w:line="240" w:lineRule="auto"/>
        <w:rPr>
          <w:rFonts w:eastAsia="Times New Roman" w:cs="Arial"/>
          <w:color w:val="000000"/>
          <w:u w:val="single"/>
          <w:lang w:eastAsia="bg-BG"/>
        </w:rPr>
      </w:pPr>
    </w:p>
    <w:p w14:paraId="1B6DF18B" w14:textId="0A3DA6CF" w:rsidR="009863CA" w:rsidRPr="009863CA" w:rsidRDefault="009863CA" w:rsidP="009863CA">
      <w:pPr>
        <w:spacing w:line="240" w:lineRule="auto"/>
        <w:rPr>
          <w:rFonts w:eastAsia="Times New Roman" w:cs="Arial"/>
          <w:lang w:eastAsia="bg-BG"/>
        </w:rPr>
      </w:pPr>
      <w:r w:rsidRPr="009863CA">
        <w:rPr>
          <w:rFonts w:eastAsia="Times New Roman" w:cs="Arial"/>
          <w:color w:val="000000"/>
          <w:u w:val="single"/>
          <w:lang w:eastAsia="bg-BG"/>
        </w:rPr>
        <w:lastRenderedPageBreak/>
        <w:t>Съобщаване на подозирани нежелани реакции</w:t>
      </w:r>
    </w:p>
    <w:p w14:paraId="63D80EFA"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08BC4ACC" w14:textId="77777777" w:rsidR="009863CA" w:rsidRPr="009863CA" w:rsidRDefault="009863CA" w:rsidP="009863CA">
      <w:pPr>
        <w:spacing w:line="240" w:lineRule="auto"/>
        <w:rPr>
          <w:rFonts w:eastAsia="Times New Roman" w:cs="Arial"/>
          <w:color w:val="000000"/>
          <w:lang w:eastAsia="bg-BG"/>
        </w:rPr>
      </w:pPr>
    </w:p>
    <w:p w14:paraId="72C37079" w14:textId="5DF7DBE8"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Изпълнителна агенция по лекарствата</w:t>
      </w:r>
    </w:p>
    <w:p w14:paraId="4EBEC220"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ул. „Дамян Груев” № 8</w:t>
      </w:r>
    </w:p>
    <w:p w14:paraId="072A1C52"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1303 София</w:t>
      </w:r>
    </w:p>
    <w:p w14:paraId="758D2F55"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Тел.:+359 2 8903417</w:t>
      </w:r>
    </w:p>
    <w:p w14:paraId="4DF8EA99" w14:textId="445DBCE6" w:rsidR="009863CA" w:rsidRPr="009863CA" w:rsidRDefault="009863CA" w:rsidP="009863CA">
      <w:pPr>
        <w:rPr>
          <w:rFonts w:cs="Arial"/>
        </w:rPr>
      </w:pPr>
      <w:r w:rsidRPr="009863CA">
        <w:rPr>
          <w:rFonts w:eastAsia="Times New Roman" w:cs="Arial"/>
          <w:color w:val="000000"/>
          <w:lang w:eastAsia="bg-BG"/>
        </w:rPr>
        <w:t xml:space="preserve">уебсайт: </w:t>
      </w:r>
      <w:hyperlink r:id="rId5" w:history="1">
        <w:r w:rsidRPr="009863CA">
          <w:rPr>
            <w:rFonts w:eastAsia="Times New Roman" w:cs="Arial"/>
            <w:color w:val="000000"/>
            <w:lang w:val="en-US"/>
          </w:rPr>
          <w:t>www.bda.bg</w:t>
        </w:r>
      </w:hyperlink>
    </w:p>
    <w:p w14:paraId="02526D3E" w14:textId="77777777" w:rsidR="009863CA" w:rsidRPr="0091385D" w:rsidRDefault="009863CA"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5454826A" w14:textId="77777777" w:rsidR="009863CA" w:rsidRPr="009863CA" w:rsidRDefault="009863CA" w:rsidP="009863CA">
      <w:pPr>
        <w:spacing w:line="240" w:lineRule="auto"/>
        <w:rPr>
          <w:rFonts w:eastAsia="Times New Roman" w:cs="Arial"/>
          <w:sz w:val="28"/>
          <w:szCs w:val="24"/>
          <w:lang w:eastAsia="bg-BG"/>
        </w:rPr>
      </w:pPr>
      <w:r w:rsidRPr="009863CA">
        <w:rPr>
          <w:rFonts w:eastAsia="Times New Roman" w:cs="Arial"/>
          <w:color w:val="000000"/>
          <w:szCs w:val="20"/>
          <w:lang w:eastAsia="bg-BG"/>
        </w:rPr>
        <w:t>Няма налична информация за потенциални симптоми и признаци, дължащи се на предозиране на локално приложената фузидова киселина. Може да се развият Синдром на Кушинг и адренокортикална недостатъчност след локално приложение на кортикостероиди в големи количества и за повече от три седмици.</w:t>
      </w:r>
    </w:p>
    <w:p w14:paraId="61D00B4D" w14:textId="77777777" w:rsidR="009863CA" w:rsidRPr="009863CA" w:rsidRDefault="009863CA" w:rsidP="009863CA">
      <w:pPr>
        <w:spacing w:line="240" w:lineRule="auto"/>
        <w:rPr>
          <w:rFonts w:eastAsia="Times New Roman" w:cs="Arial"/>
          <w:color w:val="000000"/>
          <w:szCs w:val="20"/>
          <w:lang w:eastAsia="bg-BG"/>
        </w:rPr>
      </w:pPr>
    </w:p>
    <w:p w14:paraId="491C0B07" w14:textId="4EF9D793" w:rsidR="009863CA" w:rsidRPr="009863CA" w:rsidRDefault="009863CA" w:rsidP="009863CA">
      <w:pPr>
        <w:spacing w:line="240" w:lineRule="auto"/>
        <w:rPr>
          <w:rFonts w:eastAsia="Times New Roman" w:cs="Arial"/>
          <w:sz w:val="28"/>
          <w:szCs w:val="24"/>
          <w:lang w:eastAsia="bg-BG"/>
        </w:rPr>
      </w:pPr>
      <w:r w:rsidRPr="009863CA">
        <w:rPr>
          <w:rFonts w:eastAsia="Times New Roman" w:cs="Arial"/>
          <w:color w:val="000000"/>
          <w:szCs w:val="20"/>
          <w:lang w:eastAsia="bg-BG"/>
        </w:rPr>
        <w:t>Малко вероятно е да има системни последствия от предозиране на активните субстанции</w:t>
      </w:r>
    </w:p>
    <w:p w14:paraId="6A43B8F3" w14:textId="63650338" w:rsidR="007A2185" w:rsidRPr="009863CA" w:rsidRDefault="009863CA" w:rsidP="009863CA">
      <w:pPr>
        <w:rPr>
          <w:rFonts w:cs="Arial"/>
          <w:sz w:val="24"/>
        </w:rPr>
      </w:pPr>
      <w:r w:rsidRPr="009863CA">
        <w:rPr>
          <w:rFonts w:eastAsia="Times New Roman" w:cs="Arial"/>
          <w:color w:val="000000"/>
          <w:szCs w:val="20"/>
          <w:lang w:eastAsia="bg-BG"/>
        </w:rPr>
        <w:t xml:space="preserve">след случаен прием през устата. Количеството фузидова киселина в една туба Фусикорт </w:t>
      </w:r>
      <w:r w:rsidRPr="009863CA">
        <w:rPr>
          <w:rFonts w:cs="Arial"/>
          <w:szCs w:val="20"/>
        </w:rPr>
        <w:t>не надвишава дневната орална доза за системно лечение. Единичното орално предозиране на кортикостероиди рядко представлява клиничен проблем.</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554F5219" w14:textId="77777777" w:rsidR="009863CA" w:rsidRPr="009863CA" w:rsidRDefault="009863CA" w:rsidP="009863CA">
      <w:pPr>
        <w:spacing w:line="240" w:lineRule="auto"/>
        <w:rPr>
          <w:rFonts w:eastAsia="Times New Roman" w:cs="Arial"/>
          <w:sz w:val="28"/>
          <w:szCs w:val="24"/>
          <w:lang w:eastAsia="bg-BG"/>
        </w:rPr>
      </w:pPr>
      <w:r w:rsidRPr="009863CA">
        <w:rPr>
          <w:rFonts w:eastAsia="Times New Roman" w:cs="Arial"/>
          <w:color w:val="000000"/>
          <w:szCs w:val="20"/>
          <w:lang w:eastAsia="bg-BG"/>
        </w:rPr>
        <w:t xml:space="preserve">АТС код: </w:t>
      </w:r>
      <w:r w:rsidRPr="009863CA">
        <w:rPr>
          <w:rFonts w:eastAsia="Times New Roman" w:cs="Arial"/>
          <w:color w:val="000000"/>
          <w:szCs w:val="20"/>
          <w:lang w:val="en-US"/>
        </w:rPr>
        <w:t>D07CC01</w:t>
      </w:r>
    </w:p>
    <w:p w14:paraId="7CAC38D6" w14:textId="77777777" w:rsidR="009863CA" w:rsidRPr="009863CA" w:rsidRDefault="009863CA" w:rsidP="009863CA">
      <w:pPr>
        <w:rPr>
          <w:rFonts w:eastAsia="Times New Roman" w:cs="Arial"/>
          <w:color w:val="000000"/>
          <w:szCs w:val="20"/>
          <w:lang w:eastAsia="bg-BG"/>
        </w:rPr>
      </w:pPr>
    </w:p>
    <w:p w14:paraId="038F692B" w14:textId="1EE9714C" w:rsidR="007A2185" w:rsidRPr="009863CA" w:rsidRDefault="009863CA" w:rsidP="009863CA">
      <w:pPr>
        <w:rPr>
          <w:rFonts w:cs="Arial"/>
          <w:sz w:val="24"/>
        </w:rPr>
      </w:pPr>
      <w:r w:rsidRPr="009863CA">
        <w:rPr>
          <w:rFonts w:eastAsia="Times New Roman" w:cs="Arial"/>
          <w:color w:val="000000"/>
          <w:szCs w:val="20"/>
          <w:lang w:eastAsia="bg-BG"/>
        </w:rPr>
        <w:t>Фусикорт крем притежава противовъзпалителното и антипруригинозно действие на бетаметазона и антибактериалното действие на фузидовата киселина.</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192075D5" w14:textId="77777777" w:rsidR="009863CA" w:rsidRPr="009863CA" w:rsidRDefault="009863CA" w:rsidP="009863CA">
      <w:pPr>
        <w:spacing w:line="240" w:lineRule="auto"/>
        <w:rPr>
          <w:rFonts w:eastAsia="Times New Roman" w:cs="Arial"/>
          <w:sz w:val="28"/>
          <w:szCs w:val="24"/>
          <w:lang w:eastAsia="bg-BG"/>
        </w:rPr>
      </w:pPr>
      <w:r w:rsidRPr="009863CA">
        <w:rPr>
          <w:rFonts w:eastAsia="Times New Roman" w:cs="Arial"/>
          <w:color w:val="000000"/>
          <w:szCs w:val="20"/>
          <w:lang w:eastAsia="bg-BG"/>
        </w:rPr>
        <w:t xml:space="preserve">При </w:t>
      </w:r>
      <w:r w:rsidRPr="009863CA">
        <w:rPr>
          <w:rFonts w:eastAsia="Times New Roman" w:cs="Arial"/>
          <w:color w:val="000000"/>
          <w:szCs w:val="20"/>
          <w:lang w:val="en-US"/>
        </w:rPr>
        <w:t xml:space="preserve">in vitro </w:t>
      </w:r>
      <w:r w:rsidRPr="009863CA">
        <w:rPr>
          <w:rFonts w:eastAsia="Times New Roman" w:cs="Arial"/>
          <w:color w:val="000000"/>
          <w:szCs w:val="20"/>
          <w:lang w:eastAsia="bg-BG"/>
        </w:rPr>
        <w:t>проучвания бе установено, че фузидовата киселина може да прониква през интактната кожа. Степента на проникване зависи отчасти от използваното количество от продукта и състоянието на кожата. Фузидовата киселина се излъчва главно чрез жлъчката, като само малка част от нея се излъчва чрез урината.</w:t>
      </w:r>
    </w:p>
    <w:p w14:paraId="2DD27D1A" w14:textId="77777777" w:rsidR="009863CA" w:rsidRPr="009863CA" w:rsidRDefault="009863CA" w:rsidP="009863CA">
      <w:pPr>
        <w:spacing w:line="240" w:lineRule="auto"/>
        <w:rPr>
          <w:rFonts w:eastAsia="Times New Roman" w:cs="Arial"/>
          <w:color w:val="000000"/>
          <w:szCs w:val="20"/>
          <w:lang w:eastAsia="bg-BG"/>
        </w:rPr>
      </w:pPr>
    </w:p>
    <w:p w14:paraId="0D553A02" w14:textId="3CCA0945" w:rsidR="009863CA" w:rsidRPr="009863CA" w:rsidRDefault="009863CA" w:rsidP="009863CA">
      <w:pPr>
        <w:spacing w:line="240" w:lineRule="auto"/>
        <w:rPr>
          <w:rFonts w:eastAsia="Times New Roman" w:cs="Arial"/>
          <w:sz w:val="28"/>
          <w:szCs w:val="24"/>
          <w:lang w:eastAsia="bg-BG"/>
        </w:rPr>
      </w:pPr>
      <w:r w:rsidRPr="009863CA">
        <w:rPr>
          <w:rFonts w:eastAsia="Times New Roman" w:cs="Arial"/>
          <w:color w:val="000000"/>
          <w:szCs w:val="20"/>
          <w:lang w:eastAsia="bg-BG"/>
        </w:rPr>
        <w:t>Бетаметазон ацетат се резорбира след локално приложение. Степента на резорбция зависи отчасти от състоянието на кожата и от мястото на приложение.</w:t>
      </w:r>
    </w:p>
    <w:p w14:paraId="1E4449A5" w14:textId="77777777" w:rsidR="009863CA" w:rsidRPr="009863CA" w:rsidRDefault="009863CA" w:rsidP="009863CA">
      <w:pPr>
        <w:rPr>
          <w:rFonts w:eastAsia="Times New Roman" w:cs="Arial"/>
          <w:color w:val="000000"/>
          <w:szCs w:val="20"/>
          <w:lang w:eastAsia="bg-BG"/>
        </w:rPr>
      </w:pPr>
    </w:p>
    <w:p w14:paraId="45551830" w14:textId="07929AAB" w:rsidR="007A2185" w:rsidRPr="009863CA" w:rsidRDefault="009863CA" w:rsidP="009863CA">
      <w:pPr>
        <w:rPr>
          <w:rFonts w:cs="Arial"/>
          <w:sz w:val="24"/>
        </w:rPr>
      </w:pPr>
      <w:r w:rsidRPr="009863CA">
        <w:rPr>
          <w:rFonts w:eastAsia="Times New Roman" w:cs="Arial"/>
          <w:color w:val="000000"/>
          <w:szCs w:val="20"/>
          <w:lang w:eastAsia="bg-BG"/>
        </w:rPr>
        <w:t>Основната част от резорбирания бетаметазон се метаболизира и се екскретира чрез урината.</w:t>
      </w:r>
    </w:p>
    <w:p w14:paraId="4EE1BB0B" w14:textId="77777777" w:rsidR="0091385D" w:rsidRPr="0091385D" w:rsidRDefault="0091385D" w:rsidP="0091385D"/>
    <w:p w14:paraId="648E39DA" w14:textId="44D16CBD" w:rsidR="00CF77F7" w:rsidRDefault="002C50EE" w:rsidP="004A448E">
      <w:pPr>
        <w:pStyle w:val="Heading2"/>
      </w:pPr>
      <w:r>
        <w:lastRenderedPageBreak/>
        <w:t>5.3. Предклинични данни за безопасност</w:t>
      </w:r>
    </w:p>
    <w:p w14:paraId="20E967BE" w14:textId="751DCF54" w:rsidR="0091385D" w:rsidRDefault="0091385D" w:rsidP="0091385D"/>
    <w:p w14:paraId="13A7B62A" w14:textId="22CA7E53" w:rsidR="007A2185" w:rsidRPr="009863CA" w:rsidRDefault="009863CA" w:rsidP="0091385D">
      <w:pPr>
        <w:rPr>
          <w:rFonts w:cs="Arial"/>
          <w:sz w:val="24"/>
        </w:rPr>
      </w:pPr>
      <w:r w:rsidRPr="009863CA">
        <w:rPr>
          <w:rFonts w:cs="Arial"/>
          <w:szCs w:val="20"/>
        </w:rPr>
        <w:t>В проучвания с кортикостероиди при животни се съобщава за репродуктивна токсичност (напр. разцепено небце, скелетни малформации, ниско тегло на плода).</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3F5B4E8A" w14:textId="77777777" w:rsidR="009863CA" w:rsidRPr="009863CA" w:rsidRDefault="009863CA" w:rsidP="009863CA">
      <w:pPr>
        <w:spacing w:line="240" w:lineRule="auto"/>
        <w:rPr>
          <w:rFonts w:eastAsia="Times New Roman" w:cs="Arial"/>
          <w:lang w:val="en-US" w:eastAsia="bg-BG"/>
        </w:rPr>
      </w:pPr>
      <w:r w:rsidRPr="009863CA">
        <w:rPr>
          <w:rFonts w:eastAsia="Times New Roman" w:cs="Arial"/>
          <w:color w:val="000000"/>
          <w:lang w:val="en-US"/>
        </w:rPr>
        <w:t>LEO Pharma A/S</w:t>
      </w:r>
    </w:p>
    <w:p w14:paraId="2CE0E624" w14:textId="77777777" w:rsidR="009863CA" w:rsidRPr="009863CA" w:rsidRDefault="009863CA" w:rsidP="009863CA">
      <w:pPr>
        <w:spacing w:line="240" w:lineRule="auto"/>
        <w:rPr>
          <w:rFonts w:eastAsia="Times New Roman" w:cs="Arial"/>
          <w:lang w:val="en-US" w:eastAsia="bg-BG"/>
        </w:rPr>
      </w:pPr>
      <w:proofErr w:type="spellStart"/>
      <w:r w:rsidRPr="009863CA">
        <w:rPr>
          <w:rFonts w:eastAsia="Times New Roman" w:cs="Arial"/>
          <w:color w:val="000000"/>
          <w:lang w:val="en-US"/>
        </w:rPr>
        <w:t>Industriparken</w:t>
      </w:r>
      <w:proofErr w:type="spellEnd"/>
      <w:r w:rsidRPr="009863CA">
        <w:rPr>
          <w:rFonts w:eastAsia="Times New Roman" w:cs="Arial"/>
          <w:color w:val="000000"/>
          <w:lang w:val="en-US"/>
        </w:rPr>
        <w:t xml:space="preserve"> 55</w:t>
      </w:r>
    </w:p>
    <w:p w14:paraId="4AE9BD08" w14:textId="77777777" w:rsidR="009863CA" w:rsidRPr="009863CA" w:rsidRDefault="009863CA" w:rsidP="009863CA">
      <w:pPr>
        <w:spacing w:line="240" w:lineRule="auto"/>
        <w:rPr>
          <w:rFonts w:eastAsia="Times New Roman" w:cs="Arial"/>
          <w:lang w:val="en-US" w:eastAsia="bg-BG"/>
        </w:rPr>
      </w:pPr>
      <w:r w:rsidRPr="009863CA">
        <w:rPr>
          <w:rFonts w:eastAsia="Times New Roman" w:cs="Arial"/>
          <w:color w:val="000000"/>
          <w:lang w:val="en-US"/>
        </w:rPr>
        <w:t xml:space="preserve">DK-2750 </w:t>
      </w:r>
      <w:proofErr w:type="spellStart"/>
      <w:r w:rsidRPr="009863CA">
        <w:rPr>
          <w:rFonts w:eastAsia="Times New Roman" w:cs="Arial"/>
          <w:color w:val="000000"/>
          <w:lang w:val="en-US"/>
        </w:rPr>
        <w:t>Ballerup</w:t>
      </w:r>
      <w:proofErr w:type="spellEnd"/>
    </w:p>
    <w:p w14:paraId="4F02909F" w14:textId="0405C077" w:rsidR="007A2185" w:rsidRPr="009863CA" w:rsidRDefault="009863CA" w:rsidP="009863CA">
      <w:pPr>
        <w:rPr>
          <w:rFonts w:cs="Arial"/>
        </w:rPr>
      </w:pPr>
      <w:r w:rsidRPr="009863CA">
        <w:rPr>
          <w:rFonts w:eastAsia="Times New Roman" w:cs="Arial"/>
          <w:color w:val="000000"/>
          <w:lang w:eastAsia="bg-BG"/>
        </w:rPr>
        <w:t>Дания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388D826E" w:rsidR="007A2185" w:rsidRPr="009863CA" w:rsidRDefault="009863CA" w:rsidP="0091385D">
      <w:pPr>
        <w:rPr>
          <w:rFonts w:cs="Arial"/>
        </w:rPr>
      </w:pPr>
      <w:r w:rsidRPr="009863CA">
        <w:rPr>
          <w:rFonts w:cs="Arial"/>
        </w:rPr>
        <w:t>20000217</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4D565D85"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Дата на първо разрешаване: 06.06.2000 г.</w:t>
      </w:r>
    </w:p>
    <w:p w14:paraId="6C57D8B6" w14:textId="054E9368" w:rsidR="007A2185" w:rsidRPr="009863CA" w:rsidRDefault="009863CA" w:rsidP="009863CA">
      <w:pPr>
        <w:rPr>
          <w:rFonts w:cs="Arial"/>
        </w:rPr>
      </w:pPr>
      <w:r w:rsidRPr="009863CA">
        <w:rPr>
          <w:rFonts w:eastAsia="Times New Roman" w:cs="Arial"/>
          <w:color w:val="000000"/>
          <w:lang w:eastAsia="bg-BG"/>
        </w:rPr>
        <w:t>Дата на последно подновяване: 02.02.2011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404C19EC" w14:textId="77777777" w:rsidR="009863CA" w:rsidRPr="009863CA" w:rsidRDefault="009863CA" w:rsidP="009863CA">
      <w:pPr>
        <w:spacing w:line="240" w:lineRule="auto"/>
        <w:rPr>
          <w:rFonts w:eastAsia="Times New Roman" w:cs="Arial"/>
          <w:lang w:eastAsia="bg-BG"/>
        </w:rPr>
      </w:pPr>
      <w:r w:rsidRPr="009863CA">
        <w:rPr>
          <w:rFonts w:eastAsia="Times New Roman" w:cs="Arial"/>
          <w:color w:val="000000"/>
          <w:lang w:eastAsia="bg-BG"/>
        </w:rPr>
        <w:t>Подробна информация за този лекарствен продукт е предоставена на уебсайта на</w:t>
      </w:r>
    </w:p>
    <w:p w14:paraId="0524F1D6" w14:textId="428B36C5" w:rsidR="007A2185" w:rsidRPr="009863CA" w:rsidRDefault="009863CA" w:rsidP="009863CA">
      <w:pPr>
        <w:rPr>
          <w:rFonts w:cs="Arial"/>
        </w:rPr>
      </w:pPr>
      <w:r w:rsidRPr="009863CA">
        <w:rPr>
          <w:rFonts w:eastAsia="Times New Roman" w:cs="Arial"/>
          <w:color w:val="000000"/>
          <w:lang w:eastAsia="bg-BG"/>
        </w:rPr>
        <w:t xml:space="preserve">Изпълнителна агенция по лекарствата: </w:t>
      </w:r>
      <w:hyperlink r:id="rId6" w:history="1">
        <w:r w:rsidRPr="009863CA">
          <w:rPr>
            <w:rFonts w:eastAsia="Times New Roman" w:cs="Arial"/>
            <w:color w:val="000000"/>
            <w:lang w:val="en-US"/>
          </w:rPr>
          <w:t>http://www.bda.bg/</w:t>
        </w:r>
      </w:hyperlink>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863CA"/>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8237</Characters>
  <Application>Microsoft Office Word</Application>
  <DocSecurity>0</DocSecurity>
  <Lines>68</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2023-03-01T17:54:00Z</dcterms:created>
  <dcterms:modified xsi:type="dcterms:W3CDTF">2023-03-01T17:54:00Z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