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28012C85" w:rsidR="0091385D" w:rsidRDefault="0091385D" w:rsidP="0091385D"/>
    <w:p w14:paraId="39641B53" w14:textId="77777777" w:rsidR="0044382E" w:rsidRDefault="00AE4DFB" w:rsidP="0091385D">
      <w:pPr>
        <w:rPr>
          <w:rFonts w:cs="Arial"/>
        </w:rPr>
      </w:pPr>
      <w:proofErr w:type="spellStart"/>
      <w:r w:rsidRPr="00AE4DFB">
        <w:rPr>
          <w:rFonts w:cs="Arial"/>
        </w:rPr>
        <w:t>Фулвестрант</w:t>
      </w:r>
      <w:proofErr w:type="spellEnd"/>
      <w:r w:rsidRPr="00AE4DFB">
        <w:rPr>
          <w:rFonts w:cs="Arial"/>
        </w:rPr>
        <w:t xml:space="preserve"> </w:t>
      </w:r>
      <w:proofErr w:type="spellStart"/>
      <w:r w:rsidRPr="00AE4DFB">
        <w:rPr>
          <w:rFonts w:cs="Arial"/>
        </w:rPr>
        <w:t>Сандоз</w:t>
      </w:r>
      <w:proofErr w:type="spellEnd"/>
      <w:r w:rsidRPr="00AE4DFB">
        <w:rPr>
          <w:rFonts w:cs="Arial"/>
        </w:rPr>
        <w:t xml:space="preserve"> 250 </w:t>
      </w:r>
      <w:r w:rsidRPr="00AE4DFB">
        <w:rPr>
          <w:rFonts w:cs="Arial"/>
          <w:lang w:val="en-US"/>
        </w:rPr>
        <w:t>mg</w:t>
      </w:r>
      <w:r w:rsidRPr="00114D09">
        <w:rPr>
          <w:rFonts w:cs="Arial"/>
          <w:lang w:val="ru-RU"/>
        </w:rPr>
        <w:t xml:space="preserve">/5 </w:t>
      </w:r>
      <w:r w:rsidRPr="00AE4DFB">
        <w:rPr>
          <w:rFonts w:cs="Arial"/>
          <w:lang w:val="en-US"/>
        </w:rPr>
        <w:t>ml</w:t>
      </w:r>
      <w:r w:rsidRPr="00114D09">
        <w:rPr>
          <w:rFonts w:cs="Arial"/>
          <w:lang w:val="ru-RU"/>
        </w:rPr>
        <w:t xml:space="preserve"> </w:t>
      </w:r>
      <w:r w:rsidRPr="00AE4DFB">
        <w:rPr>
          <w:rFonts w:cs="Arial"/>
        </w:rPr>
        <w:t xml:space="preserve">инжекционен разтвор в предварително напълнена спринцовка </w:t>
      </w:r>
    </w:p>
    <w:p w14:paraId="5015A1FD" w14:textId="1102F455" w:rsidR="00A73575" w:rsidRPr="00AE4DFB" w:rsidRDefault="00AE4DFB" w:rsidP="0091385D">
      <w:pPr>
        <w:rPr>
          <w:rFonts w:cs="Arial"/>
        </w:rPr>
      </w:pPr>
      <w:proofErr w:type="spellStart"/>
      <w:r w:rsidRPr="00AE4DFB">
        <w:rPr>
          <w:rFonts w:cs="Arial"/>
          <w:lang w:val="en-US"/>
        </w:rPr>
        <w:t>Fulvestrant</w:t>
      </w:r>
      <w:proofErr w:type="spellEnd"/>
      <w:r w:rsidRPr="00AE4DFB">
        <w:rPr>
          <w:rFonts w:cs="Arial"/>
          <w:lang w:val="en-US"/>
        </w:rPr>
        <w:t xml:space="preserve"> Sandoz </w:t>
      </w:r>
      <w:r w:rsidRPr="00AE4DFB">
        <w:rPr>
          <w:rFonts w:cs="Arial"/>
        </w:rPr>
        <w:t xml:space="preserve">250 </w:t>
      </w:r>
      <w:r w:rsidRPr="00AE4DFB">
        <w:rPr>
          <w:rFonts w:cs="Arial"/>
          <w:lang w:val="en-US"/>
        </w:rPr>
        <w:t>mg/5 ml solution for injection in pre-filled syringe</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288788EF" w:rsidR="0091385D" w:rsidRDefault="0091385D" w:rsidP="0091385D"/>
    <w:p w14:paraId="13604663" w14:textId="77777777" w:rsidR="00AE4DFB" w:rsidRPr="00AE4DFB" w:rsidRDefault="00AE4DFB" w:rsidP="00AE4DFB">
      <w:pPr>
        <w:spacing w:line="240" w:lineRule="auto"/>
        <w:rPr>
          <w:rFonts w:eastAsia="Times New Roman" w:cs="Arial"/>
          <w:lang w:eastAsia="bg-BG"/>
        </w:rPr>
      </w:pPr>
      <w:r w:rsidRPr="00AE4DFB">
        <w:rPr>
          <w:rFonts w:eastAsia="Times New Roman" w:cs="Arial"/>
          <w:color w:val="000000"/>
          <w:lang w:eastAsia="bg-BG"/>
        </w:rPr>
        <w:t xml:space="preserve">Една предварително напълнена спринцовка съдържа 250 </w:t>
      </w:r>
      <w:r w:rsidRPr="00AE4DFB">
        <w:rPr>
          <w:rFonts w:eastAsia="Times New Roman" w:cs="Arial"/>
          <w:color w:val="000000"/>
          <w:lang w:val="en-US"/>
        </w:rPr>
        <w:t>mg</w:t>
      </w:r>
      <w:r w:rsidRPr="00114D09">
        <w:rPr>
          <w:rFonts w:eastAsia="Times New Roman" w:cs="Arial"/>
          <w:color w:val="000000"/>
          <w:lang w:val="ru-RU"/>
        </w:rPr>
        <w:t xml:space="preserve"> </w:t>
      </w:r>
      <w:proofErr w:type="spellStart"/>
      <w:r w:rsidRPr="00AE4DFB">
        <w:rPr>
          <w:rFonts w:eastAsia="Times New Roman" w:cs="Arial"/>
          <w:color w:val="000000"/>
          <w:lang w:eastAsia="bg-BG"/>
        </w:rPr>
        <w:t>фулвестрант</w:t>
      </w:r>
      <w:proofErr w:type="spellEnd"/>
      <w:r w:rsidRPr="00AE4DFB">
        <w:rPr>
          <w:rFonts w:eastAsia="Times New Roman" w:cs="Arial"/>
          <w:color w:val="000000"/>
          <w:lang w:eastAsia="bg-BG"/>
        </w:rPr>
        <w:t xml:space="preserve"> </w:t>
      </w:r>
      <w:r w:rsidRPr="00114D09">
        <w:rPr>
          <w:rFonts w:eastAsia="Times New Roman" w:cs="Arial"/>
          <w:i/>
          <w:iCs/>
          <w:color w:val="000000"/>
          <w:lang w:val="ru-RU"/>
        </w:rPr>
        <w:t>(</w:t>
      </w:r>
      <w:proofErr w:type="spellStart"/>
      <w:r w:rsidRPr="00AE4DFB">
        <w:rPr>
          <w:rFonts w:eastAsia="Times New Roman" w:cs="Arial"/>
          <w:i/>
          <w:iCs/>
          <w:color w:val="000000"/>
          <w:lang w:val="en-US"/>
        </w:rPr>
        <w:t>fulvestrant</w:t>
      </w:r>
      <w:proofErr w:type="spellEnd"/>
      <w:r w:rsidRPr="00114D09">
        <w:rPr>
          <w:rFonts w:eastAsia="Times New Roman" w:cs="Arial"/>
          <w:i/>
          <w:iCs/>
          <w:color w:val="000000"/>
          <w:lang w:val="ru-RU"/>
        </w:rPr>
        <w:t>)</w:t>
      </w:r>
      <w:r w:rsidRPr="00114D09">
        <w:rPr>
          <w:rFonts w:eastAsia="Times New Roman" w:cs="Arial"/>
          <w:color w:val="000000"/>
          <w:lang w:val="ru-RU"/>
        </w:rPr>
        <w:t xml:space="preserve"> </w:t>
      </w:r>
      <w:r w:rsidRPr="00AE4DFB">
        <w:rPr>
          <w:rFonts w:eastAsia="Times New Roman" w:cs="Arial"/>
          <w:color w:val="000000"/>
          <w:lang w:eastAsia="bg-BG"/>
        </w:rPr>
        <w:t xml:space="preserve">в 5 </w:t>
      </w:r>
      <w:r w:rsidRPr="00AE4DFB">
        <w:rPr>
          <w:rFonts w:eastAsia="Times New Roman" w:cs="Arial"/>
          <w:color w:val="000000"/>
          <w:lang w:val="en-US"/>
        </w:rPr>
        <w:t>ml</w:t>
      </w:r>
      <w:r w:rsidRPr="00114D09">
        <w:rPr>
          <w:rFonts w:eastAsia="Times New Roman" w:cs="Arial"/>
          <w:color w:val="000000"/>
          <w:lang w:val="ru-RU"/>
        </w:rPr>
        <w:t xml:space="preserve"> </w:t>
      </w:r>
      <w:r w:rsidRPr="00AE4DFB">
        <w:rPr>
          <w:rFonts w:eastAsia="Times New Roman" w:cs="Arial"/>
          <w:color w:val="000000"/>
          <w:lang w:eastAsia="bg-BG"/>
        </w:rPr>
        <w:t>разтвор.</w:t>
      </w:r>
    </w:p>
    <w:p w14:paraId="5B779190" w14:textId="77777777" w:rsidR="00AE4DFB" w:rsidRDefault="00AE4DFB" w:rsidP="00AE4DFB">
      <w:pPr>
        <w:spacing w:line="240" w:lineRule="auto"/>
        <w:rPr>
          <w:rFonts w:eastAsia="Times New Roman" w:cs="Arial"/>
          <w:color w:val="000000"/>
          <w:u w:val="single"/>
          <w:lang w:eastAsia="bg-BG"/>
        </w:rPr>
      </w:pPr>
    </w:p>
    <w:p w14:paraId="6F790E11" w14:textId="668A1C96" w:rsidR="00AE4DFB" w:rsidRPr="00AE4DFB" w:rsidRDefault="00AE4DFB" w:rsidP="00AE4DFB">
      <w:pPr>
        <w:spacing w:line="240" w:lineRule="auto"/>
        <w:rPr>
          <w:rFonts w:eastAsia="Times New Roman" w:cs="Arial"/>
          <w:lang w:eastAsia="bg-BG"/>
        </w:rPr>
      </w:pPr>
      <w:r w:rsidRPr="00AE4DFB">
        <w:rPr>
          <w:rFonts w:eastAsia="Times New Roman" w:cs="Arial"/>
          <w:color w:val="000000"/>
          <w:u w:val="single"/>
          <w:lang w:eastAsia="bg-BG"/>
        </w:rPr>
        <w:t>Помощни вещества с известно действие</w:t>
      </w:r>
    </w:p>
    <w:p w14:paraId="5E89C0FD" w14:textId="77777777" w:rsidR="00AE4DFB" w:rsidRPr="00AE4DFB" w:rsidRDefault="00AE4DFB" w:rsidP="00AE4DFB">
      <w:pPr>
        <w:pStyle w:val="ListParagraph"/>
        <w:numPr>
          <w:ilvl w:val="0"/>
          <w:numId w:val="35"/>
        </w:numPr>
        <w:spacing w:line="240" w:lineRule="auto"/>
        <w:rPr>
          <w:rFonts w:eastAsia="Times New Roman" w:cs="Arial"/>
          <w:color w:val="000000"/>
          <w:lang w:eastAsia="bg-BG"/>
        </w:rPr>
      </w:pPr>
      <w:r w:rsidRPr="00AE4DFB">
        <w:rPr>
          <w:rFonts w:eastAsia="Times New Roman" w:cs="Arial"/>
          <w:color w:val="000000"/>
          <w:lang w:eastAsia="bg-BG"/>
        </w:rPr>
        <w:t xml:space="preserve">Етанол (96%) (100 </w:t>
      </w:r>
      <w:r w:rsidRPr="00AE4DFB">
        <w:rPr>
          <w:rFonts w:eastAsia="Times New Roman" w:cs="Arial"/>
          <w:color w:val="000000"/>
          <w:lang w:val="en-US"/>
        </w:rPr>
        <w:t>mg/ml)</w:t>
      </w:r>
    </w:p>
    <w:p w14:paraId="2B10AA7B" w14:textId="77777777" w:rsidR="00AE4DFB" w:rsidRPr="00AE4DFB" w:rsidRDefault="00AE4DFB" w:rsidP="00AE4DFB">
      <w:pPr>
        <w:pStyle w:val="ListParagraph"/>
        <w:numPr>
          <w:ilvl w:val="0"/>
          <w:numId w:val="35"/>
        </w:numPr>
        <w:spacing w:line="240" w:lineRule="auto"/>
        <w:rPr>
          <w:rFonts w:eastAsia="Times New Roman" w:cs="Arial"/>
          <w:color w:val="000000"/>
          <w:lang w:eastAsia="bg-BG"/>
        </w:rPr>
      </w:pPr>
      <w:r w:rsidRPr="00AE4DFB">
        <w:rPr>
          <w:rFonts w:eastAsia="Times New Roman" w:cs="Arial"/>
          <w:color w:val="000000"/>
          <w:lang w:eastAsia="bg-BG"/>
        </w:rPr>
        <w:t xml:space="preserve">Бензилов алкохол (100 </w:t>
      </w:r>
      <w:r w:rsidRPr="00AE4DFB">
        <w:rPr>
          <w:rFonts w:eastAsia="Times New Roman" w:cs="Arial"/>
          <w:color w:val="000000"/>
          <w:lang w:val="en-US"/>
        </w:rPr>
        <w:t>mg/ml)</w:t>
      </w:r>
    </w:p>
    <w:p w14:paraId="2703F60B" w14:textId="457B6CFB" w:rsidR="00AE4DFB" w:rsidRPr="00AE4DFB" w:rsidRDefault="00AE4DFB" w:rsidP="00AE4DFB">
      <w:pPr>
        <w:pStyle w:val="ListParagraph"/>
        <w:numPr>
          <w:ilvl w:val="0"/>
          <w:numId w:val="35"/>
        </w:numPr>
        <w:spacing w:line="240" w:lineRule="auto"/>
        <w:rPr>
          <w:rFonts w:eastAsia="Times New Roman" w:cs="Arial"/>
          <w:color w:val="000000"/>
          <w:lang w:eastAsia="bg-BG"/>
        </w:rPr>
      </w:pPr>
      <w:r w:rsidRPr="00AE4DFB">
        <w:rPr>
          <w:rFonts w:eastAsia="Times New Roman" w:cs="Arial"/>
          <w:color w:val="000000"/>
          <w:lang w:eastAsia="bg-BG"/>
        </w:rPr>
        <w:t xml:space="preserve">Бензил бензоат (150 </w:t>
      </w:r>
      <w:r w:rsidRPr="00AE4DFB">
        <w:rPr>
          <w:rFonts w:eastAsia="Times New Roman" w:cs="Arial"/>
          <w:color w:val="000000"/>
          <w:lang w:val="en-US"/>
        </w:rPr>
        <w:t>mg/ml)</w:t>
      </w:r>
    </w:p>
    <w:p w14:paraId="461F27AA" w14:textId="77777777" w:rsidR="0048351B" w:rsidRDefault="0048351B" w:rsidP="00AE4DFB">
      <w:pPr>
        <w:rPr>
          <w:rFonts w:eastAsia="Times New Roman" w:cs="Arial"/>
          <w:color w:val="000000"/>
          <w:lang w:eastAsia="bg-BG"/>
        </w:rPr>
      </w:pPr>
    </w:p>
    <w:p w14:paraId="03110A50" w14:textId="0385FBF2" w:rsidR="0091385D" w:rsidRPr="00AE4DFB" w:rsidRDefault="00AE4DFB" w:rsidP="00AE4DFB">
      <w:pPr>
        <w:rPr>
          <w:rFonts w:cs="Arial"/>
        </w:rPr>
      </w:pPr>
      <w:r w:rsidRPr="00AE4DFB">
        <w:rPr>
          <w:rFonts w:eastAsia="Times New Roman" w:cs="Arial"/>
          <w:color w:val="00000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277B91E7" w:rsidR="0091385D" w:rsidRDefault="0091385D" w:rsidP="0091385D"/>
    <w:p w14:paraId="18B77BB2" w14:textId="77777777" w:rsidR="00AE4DFB" w:rsidRPr="00AE4DFB" w:rsidRDefault="00AE4DFB" w:rsidP="00AE4DFB">
      <w:pPr>
        <w:spacing w:line="240" w:lineRule="auto"/>
        <w:rPr>
          <w:rFonts w:eastAsia="Times New Roman" w:cs="Arial"/>
          <w:lang w:eastAsia="bg-BG"/>
        </w:rPr>
      </w:pPr>
      <w:r w:rsidRPr="00AE4DFB">
        <w:rPr>
          <w:rFonts w:eastAsia="Times New Roman" w:cs="Arial"/>
          <w:color w:val="000000"/>
          <w:lang w:eastAsia="bg-BG"/>
        </w:rPr>
        <w:t>Инжекционен разтвор в предварително напълнена спринцовка.</w:t>
      </w:r>
    </w:p>
    <w:p w14:paraId="4129ADBB" w14:textId="52110CD1" w:rsidR="0091385D" w:rsidRPr="00AE4DFB" w:rsidRDefault="00AE4DFB" w:rsidP="00AE4DFB">
      <w:pPr>
        <w:rPr>
          <w:rFonts w:cs="Arial"/>
        </w:rPr>
      </w:pPr>
      <w:r w:rsidRPr="00AE4DFB">
        <w:rPr>
          <w:rFonts w:eastAsia="Times New Roman" w:cs="Arial"/>
          <w:color w:val="000000"/>
          <w:lang w:eastAsia="bg-BG"/>
        </w:rPr>
        <w:t>Бистър, безцветен до жълт вискозен разтвор</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1EFC8230" w14:textId="77777777" w:rsidR="00AE4DFB" w:rsidRPr="00AE4DFB" w:rsidRDefault="00AE4DFB" w:rsidP="00AE4DFB">
      <w:pPr>
        <w:spacing w:line="240" w:lineRule="auto"/>
        <w:rPr>
          <w:rFonts w:eastAsia="Times New Roman" w:cs="Arial"/>
          <w:lang w:eastAsia="bg-BG"/>
        </w:rPr>
      </w:pPr>
      <w:r w:rsidRPr="00AE4DFB">
        <w:rPr>
          <w:rFonts w:eastAsia="Times New Roman" w:cs="Arial"/>
          <w:color w:val="000000"/>
          <w:lang w:eastAsia="bg-BG"/>
        </w:rPr>
        <w:t>Фулвестрант Сандоз е показан</w:t>
      </w:r>
    </w:p>
    <w:p w14:paraId="581B4068" w14:textId="77777777" w:rsidR="00AE4DFB" w:rsidRPr="00AE4DFB" w:rsidRDefault="00AE4DFB" w:rsidP="00AE4DFB">
      <w:pPr>
        <w:pStyle w:val="ListParagraph"/>
        <w:numPr>
          <w:ilvl w:val="0"/>
          <w:numId w:val="36"/>
        </w:numPr>
        <w:spacing w:line="240" w:lineRule="auto"/>
        <w:rPr>
          <w:rFonts w:eastAsia="Times New Roman" w:cs="Arial"/>
          <w:color w:val="000000"/>
          <w:lang w:eastAsia="bg-BG"/>
        </w:rPr>
      </w:pPr>
      <w:r w:rsidRPr="00AE4DFB">
        <w:rPr>
          <w:rFonts w:eastAsia="Times New Roman" w:cs="Arial"/>
          <w:color w:val="000000"/>
          <w:lang w:eastAsia="bg-BG"/>
        </w:rPr>
        <w:t>като монотерапия за лечение на постменопаузални жени с естроген-рецептор позитивен, локално авансирал или метастазирал рак на млечната жлеза:</w:t>
      </w:r>
    </w:p>
    <w:p w14:paraId="465186AA" w14:textId="77777777" w:rsidR="00A82EBE" w:rsidRPr="00A82EBE" w:rsidRDefault="00AE4DFB" w:rsidP="00A82EBE">
      <w:pPr>
        <w:pStyle w:val="ListParagraph"/>
        <w:numPr>
          <w:ilvl w:val="0"/>
          <w:numId w:val="37"/>
        </w:numPr>
        <w:spacing w:line="240" w:lineRule="auto"/>
        <w:rPr>
          <w:rFonts w:eastAsia="Times New Roman" w:cs="Arial"/>
          <w:lang w:eastAsia="bg-BG"/>
        </w:rPr>
      </w:pPr>
      <w:r w:rsidRPr="00A82EBE">
        <w:rPr>
          <w:rFonts w:eastAsia="Times New Roman" w:cs="Arial"/>
          <w:color w:val="000000"/>
          <w:lang w:eastAsia="bg-BG"/>
        </w:rPr>
        <w:t>които преди това не са били подлагани на ендокринна терапия или</w:t>
      </w:r>
    </w:p>
    <w:p w14:paraId="387B79BA" w14:textId="6AF14E30" w:rsidR="00AE4DFB" w:rsidRPr="00A82EBE" w:rsidRDefault="00AE4DFB" w:rsidP="00AE4DFB">
      <w:pPr>
        <w:pStyle w:val="ListParagraph"/>
        <w:numPr>
          <w:ilvl w:val="0"/>
          <w:numId w:val="37"/>
        </w:numPr>
        <w:spacing w:line="240" w:lineRule="auto"/>
        <w:rPr>
          <w:rFonts w:eastAsia="Times New Roman" w:cs="Arial"/>
          <w:lang w:eastAsia="bg-BG"/>
        </w:rPr>
      </w:pPr>
      <w:r w:rsidRPr="00A82EBE">
        <w:rPr>
          <w:rFonts w:eastAsia="Times New Roman" w:cs="Arial"/>
          <w:color w:val="000000"/>
          <w:lang w:eastAsia="bg-BG"/>
        </w:rPr>
        <w:t>рецидив на заболяването по време или след адювантна антиестрогенна терапия, или при прогресия на заболяването по време на антиестрогенна терапия.</w:t>
      </w:r>
    </w:p>
    <w:p w14:paraId="73F9B0CE" w14:textId="77777777" w:rsidR="00AE4DFB" w:rsidRPr="00AE4DFB" w:rsidRDefault="00AE4DFB" w:rsidP="00AE4DFB">
      <w:pPr>
        <w:pStyle w:val="ListParagraph"/>
        <w:numPr>
          <w:ilvl w:val="0"/>
          <w:numId w:val="36"/>
        </w:numPr>
        <w:spacing w:line="240" w:lineRule="auto"/>
        <w:rPr>
          <w:rFonts w:eastAsia="Times New Roman" w:cs="Arial"/>
          <w:color w:val="000000"/>
          <w:lang w:eastAsia="bg-BG"/>
        </w:rPr>
      </w:pPr>
      <w:r w:rsidRPr="00AE4DFB">
        <w:rPr>
          <w:rFonts w:eastAsia="Times New Roman" w:cs="Arial"/>
          <w:color w:val="000000"/>
          <w:lang w:eastAsia="bg-BG"/>
        </w:rPr>
        <w:t xml:space="preserve">в комбинация с </w:t>
      </w:r>
      <w:proofErr w:type="spellStart"/>
      <w:r w:rsidRPr="00AE4DFB">
        <w:rPr>
          <w:rFonts w:eastAsia="Times New Roman" w:cs="Arial"/>
          <w:color w:val="000000"/>
          <w:lang w:eastAsia="bg-BG"/>
        </w:rPr>
        <w:t>палбоциклиб</w:t>
      </w:r>
      <w:proofErr w:type="spellEnd"/>
      <w:r w:rsidRPr="00AE4DFB">
        <w:rPr>
          <w:rFonts w:eastAsia="Times New Roman" w:cs="Arial"/>
          <w:color w:val="000000"/>
          <w:lang w:eastAsia="bg-BG"/>
        </w:rPr>
        <w:t xml:space="preserve"> за лечение на положителен за хормонален рецептор </w:t>
      </w:r>
      <w:r w:rsidRPr="00114D09">
        <w:rPr>
          <w:rFonts w:eastAsia="Times New Roman" w:cs="Arial"/>
          <w:color w:val="000000"/>
          <w:lang w:val="ru-RU"/>
        </w:rPr>
        <w:t>(</w:t>
      </w:r>
      <w:r w:rsidRPr="00AE4DFB">
        <w:rPr>
          <w:rFonts w:eastAsia="Times New Roman" w:cs="Arial"/>
          <w:color w:val="000000"/>
          <w:lang w:val="en-US"/>
        </w:rPr>
        <w:t>HR</w:t>
      </w:r>
      <w:r w:rsidRPr="00114D09">
        <w:rPr>
          <w:rFonts w:eastAsia="Times New Roman" w:cs="Arial"/>
          <w:color w:val="000000"/>
          <w:lang w:val="ru-RU"/>
        </w:rPr>
        <w:t xml:space="preserve">), </w:t>
      </w:r>
      <w:r w:rsidRPr="00AE4DFB">
        <w:rPr>
          <w:rFonts w:eastAsia="Times New Roman" w:cs="Arial"/>
          <w:color w:val="000000"/>
          <w:lang w:eastAsia="bg-BG"/>
        </w:rPr>
        <w:t xml:space="preserve">отрицателен за рецептор 2 на човешкия епидермален растежен фактор </w:t>
      </w:r>
      <w:r w:rsidRPr="00114D09">
        <w:rPr>
          <w:rFonts w:eastAsia="Times New Roman" w:cs="Arial"/>
          <w:color w:val="000000"/>
          <w:lang w:val="ru-RU"/>
        </w:rPr>
        <w:t>(</w:t>
      </w:r>
      <w:r w:rsidRPr="00AE4DFB">
        <w:rPr>
          <w:rFonts w:eastAsia="Times New Roman" w:cs="Arial"/>
          <w:color w:val="000000"/>
          <w:lang w:val="en-US"/>
        </w:rPr>
        <w:t>HER</w:t>
      </w:r>
      <w:r w:rsidRPr="00114D09">
        <w:rPr>
          <w:rFonts w:eastAsia="Times New Roman" w:cs="Arial"/>
          <w:color w:val="000000"/>
          <w:lang w:val="ru-RU"/>
        </w:rPr>
        <w:t xml:space="preserve">2) </w:t>
      </w:r>
      <w:r w:rsidRPr="00AE4DFB">
        <w:rPr>
          <w:rFonts w:eastAsia="Times New Roman" w:cs="Arial"/>
          <w:color w:val="000000"/>
          <w:lang w:eastAsia="bg-BG"/>
        </w:rPr>
        <w:t xml:space="preserve">локално авансирал или </w:t>
      </w:r>
      <w:proofErr w:type="spellStart"/>
      <w:r w:rsidRPr="00AE4DFB">
        <w:rPr>
          <w:rFonts w:eastAsia="Times New Roman" w:cs="Arial"/>
          <w:color w:val="000000"/>
          <w:lang w:eastAsia="bg-BG"/>
        </w:rPr>
        <w:t>метастатичен</w:t>
      </w:r>
      <w:proofErr w:type="spellEnd"/>
      <w:r w:rsidRPr="00AE4DFB">
        <w:rPr>
          <w:rFonts w:eastAsia="Times New Roman" w:cs="Arial"/>
          <w:color w:val="000000"/>
          <w:lang w:eastAsia="bg-BG"/>
        </w:rPr>
        <w:t xml:space="preserve"> рак на млечната жлеза при жени, които са приемали предишна ендокринна терапия (вж. точка 5.1).</w:t>
      </w:r>
    </w:p>
    <w:p w14:paraId="1C758051" w14:textId="77777777" w:rsidR="00AE4DFB" w:rsidRPr="00AE4DFB" w:rsidRDefault="00AE4DFB" w:rsidP="00AE4DFB">
      <w:pPr>
        <w:rPr>
          <w:rFonts w:eastAsia="Times New Roman" w:cs="Arial"/>
          <w:color w:val="000000"/>
          <w:lang w:eastAsia="bg-BG"/>
        </w:rPr>
      </w:pPr>
    </w:p>
    <w:p w14:paraId="04B2E99C" w14:textId="1B7CC3F0" w:rsidR="0091385D" w:rsidRPr="00AE4DFB" w:rsidRDefault="00AE4DFB" w:rsidP="00AE4DFB">
      <w:pPr>
        <w:rPr>
          <w:rFonts w:cs="Arial"/>
        </w:rPr>
      </w:pPr>
      <w:r w:rsidRPr="00AE4DFB">
        <w:rPr>
          <w:rFonts w:eastAsia="Times New Roman" w:cs="Arial"/>
          <w:color w:val="000000"/>
          <w:lang w:eastAsia="bg-BG"/>
        </w:rPr>
        <w:lastRenderedPageBreak/>
        <w:t xml:space="preserve">При жени в </w:t>
      </w:r>
      <w:proofErr w:type="spellStart"/>
      <w:r w:rsidRPr="00AE4DFB">
        <w:rPr>
          <w:rFonts w:eastAsia="Times New Roman" w:cs="Arial"/>
          <w:color w:val="000000"/>
          <w:lang w:eastAsia="bg-BG"/>
        </w:rPr>
        <w:t>пременопауза</w:t>
      </w:r>
      <w:proofErr w:type="spellEnd"/>
      <w:r w:rsidRPr="00AE4DFB">
        <w:rPr>
          <w:rFonts w:eastAsia="Times New Roman" w:cs="Arial"/>
          <w:color w:val="000000"/>
          <w:lang w:eastAsia="bg-BG"/>
        </w:rPr>
        <w:t xml:space="preserve"> или </w:t>
      </w:r>
      <w:proofErr w:type="spellStart"/>
      <w:r w:rsidRPr="00AE4DFB">
        <w:rPr>
          <w:rFonts w:eastAsia="Times New Roman" w:cs="Arial"/>
          <w:color w:val="000000"/>
          <w:lang w:eastAsia="bg-BG"/>
        </w:rPr>
        <w:t>перименопауза</w:t>
      </w:r>
      <w:proofErr w:type="spellEnd"/>
      <w:r w:rsidRPr="00AE4DFB">
        <w:rPr>
          <w:rFonts w:eastAsia="Times New Roman" w:cs="Arial"/>
          <w:color w:val="000000"/>
          <w:lang w:eastAsia="bg-BG"/>
        </w:rPr>
        <w:t xml:space="preserve">, комбинираното лечение с </w:t>
      </w:r>
      <w:proofErr w:type="spellStart"/>
      <w:r w:rsidRPr="00AE4DFB">
        <w:rPr>
          <w:rFonts w:eastAsia="Times New Roman" w:cs="Arial"/>
          <w:color w:val="000000"/>
          <w:lang w:eastAsia="bg-BG"/>
        </w:rPr>
        <w:t>палбоциклиб</w:t>
      </w:r>
      <w:proofErr w:type="spellEnd"/>
      <w:r w:rsidRPr="00AE4DFB">
        <w:rPr>
          <w:rFonts w:eastAsia="Times New Roman" w:cs="Arial"/>
          <w:color w:val="000000"/>
          <w:lang w:eastAsia="bg-BG"/>
        </w:rPr>
        <w:t xml:space="preserve"> трябва да се комбинира с </w:t>
      </w:r>
      <w:proofErr w:type="spellStart"/>
      <w:r w:rsidRPr="00AE4DFB">
        <w:rPr>
          <w:rFonts w:eastAsia="Times New Roman" w:cs="Arial"/>
          <w:color w:val="000000"/>
          <w:lang w:eastAsia="bg-BG"/>
        </w:rPr>
        <w:t>агонист</w:t>
      </w:r>
      <w:proofErr w:type="spellEnd"/>
      <w:r w:rsidRPr="00AE4DFB">
        <w:rPr>
          <w:rFonts w:eastAsia="Times New Roman" w:cs="Arial"/>
          <w:color w:val="000000"/>
          <w:lang w:eastAsia="bg-BG"/>
        </w:rPr>
        <w:t xml:space="preserve"> на </w:t>
      </w:r>
      <w:proofErr w:type="spellStart"/>
      <w:r w:rsidRPr="00AE4DFB">
        <w:rPr>
          <w:rFonts w:eastAsia="Times New Roman" w:cs="Arial"/>
          <w:color w:val="000000"/>
          <w:lang w:eastAsia="bg-BG"/>
        </w:rPr>
        <w:t>лутеинизиращ</w:t>
      </w:r>
      <w:proofErr w:type="spellEnd"/>
      <w:r w:rsidRPr="00AE4DFB">
        <w:rPr>
          <w:rFonts w:eastAsia="Times New Roman" w:cs="Arial"/>
          <w:color w:val="000000"/>
          <w:lang w:eastAsia="bg-BG"/>
        </w:rPr>
        <w:t xml:space="preserve"> хормон-освобождаващия хормон </w:t>
      </w:r>
      <w:r w:rsidRPr="00114D09">
        <w:rPr>
          <w:rFonts w:eastAsia="Times New Roman" w:cs="Arial"/>
          <w:color w:val="000000"/>
          <w:lang w:val="ru-RU"/>
        </w:rPr>
        <w:t>(</w:t>
      </w:r>
      <w:r w:rsidRPr="00AE4DFB">
        <w:rPr>
          <w:rFonts w:eastAsia="Times New Roman" w:cs="Arial"/>
          <w:color w:val="000000"/>
          <w:lang w:val="en-US"/>
        </w:rPr>
        <w:t>LHRH</w:t>
      </w:r>
      <w:r w:rsidRPr="00114D09">
        <w:rPr>
          <w:rFonts w:eastAsia="Times New Roman" w:cs="Arial"/>
          <w:color w:val="000000"/>
          <w:lang w:val="ru-RU"/>
        </w:rPr>
        <w:t>).</w:t>
      </w:r>
    </w:p>
    <w:p w14:paraId="6DFA4B9D" w14:textId="77777777" w:rsidR="0091385D" w:rsidRPr="0091385D" w:rsidRDefault="0091385D" w:rsidP="0091385D"/>
    <w:p w14:paraId="30BE2C7B" w14:textId="3633C1E4" w:rsidR="008134C8" w:rsidRDefault="002C50EE" w:rsidP="004A448E">
      <w:pPr>
        <w:pStyle w:val="Heading2"/>
      </w:pPr>
      <w:r>
        <w:t>4.2. Дозировка и начин на приложение</w:t>
      </w:r>
    </w:p>
    <w:p w14:paraId="7AA22B68" w14:textId="3A681DFB" w:rsidR="0091385D" w:rsidRDefault="0091385D" w:rsidP="0091385D"/>
    <w:p w14:paraId="7D9AF008" w14:textId="77777777" w:rsidR="00AE4DFB" w:rsidRPr="004A1844" w:rsidRDefault="00AE4DFB" w:rsidP="004A1844">
      <w:pPr>
        <w:pStyle w:val="Heading3"/>
        <w:rPr>
          <w:rFonts w:eastAsia="Times New Roman"/>
          <w:u w:val="single"/>
          <w:lang w:eastAsia="bg-BG"/>
        </w:rPr>
      </w:pPr>
      <w:r w:rsidRPr="004A1844">
        <w:rPr>
          <w:rFonts w:eastAsia="Times New Roman"/>
          <w:u w:val="single"/>
          <w:lang w:eastAsia="bg-BG"/>
        </w:rPr>
        <w:t>Дозировка</w:t>
      </w:r>
    </w:p>
    <w:p w14:paraId="4AD4C612" w14:textId="77777777" w:rsidR="00AE4DFB" w:rsidRPr="00AE4DFB" w:rsidRDefault="00AE4DFB" w:rsidP="00AE4DFB">
      <w:pPr>
        <w:spacing w:line="240" w:lineRule="auto"/>
        <w:rPr>
          <w:rFonts w:eastAsia="Times New Roman" w:cs="Arial"/>
          <w:i/>
          <w:iCs/>
          <w:color w:val="000000"/>
          <w:lang w:eastAsia="bg-BG"/>
        </w:rPr>
      </w:pPr>
    </w:p>
    <w:p w14:paraId="3BF76967" w14:textId="3C3EA88C" w:rsidR="00AE4DFB" w:rsidRPr="00AE4DFB" w:rsidRDefault="00AE4DFB" w:rsidP="00AE4DFB">
      <w:pPr>
        <w:spacing w:line="240" w:lineRule="auto"/>
        <w:rPr>
          <w:rFonts w:eastAsia="Times New Roman" w:cs="Arial"/>
          <w:lang w:eastAsia="bg-BG"/>
        </w:rPr>
      </w:pPr>
      <w:r w:rsidRPr="00AE4DFB">
        <w:rPr>
          <w:rFonts w:eastAsia="Times New Roman" w:cs="Arial"/>
          <w:i/>
          <w:iCs/>
          <w:color w:val="000000"/>
          <w:lang w:eastAsia="bg-BG"/>
        </w:rPr>
        <w:t>Жени (включително в старческа възраст)</w:t>
      </w:r>
    </w:p>
    <w:p w14:paraId="475300EC" w14:textId="1D93700F" w:rsidR="0091385D" w:rsidRPr="00AE4DFB" w:rsidRDefault="00AE4DFB" w:rsidP="00AE4DFB">
      <w:pPr>
        <w:rPr>
          <w:rFonts w:cs="Arial"/>
        </w:rPr>
      </w:pPr>
      <w:r w:rsidRPr="00AE4DFB">
        <w:rPr>
          <w:rFonts w:eastAsia="Times New Roman" w:cs="Arial"/>
          <w:color w:val="000000"/>
          <w:lang w:eastAsia="bg-BG"/>
        </w:rPr>
        <w:t xml:space="preserve">Препоръчителната доза е 500 </w:t>
      </w:r>
      <w:r w:rsidRPr="00AE4DFB">
        <w:rPr>
          <w:rFonts w:eastAsia="Times New Roman" w:cs="Arial"/>
          <w:color w:val="000000"/>
          <w:lang w:val="en-US"/>
        </w:rPr>
        <w:t>mg</w:t>
      </w:r>
      <w:r w:rsidRPr="00114D09">
        <w:rPr>
          <w:rFonts w:eastAsia="Times New Roman" w:cs="Arial"/>
          <w:color w:val="000000"/>
          <w:lang w:val="ru-RU"/>
        </w:rPr>
        <w:t xml:space="preserve"> </w:t>
      </w:r>
      <w:r w:rsidRPr="00AE4DFB">
        <w:rPr>
          <w:rFonts w:eastAsia="Times New Roman" w:cs="Arial"/>
          <w:color w:val="000000"/>
          <w:lang w:eastAsia="bg-BG"/>
        </w:rPr>
        <w:t xml:space="preserve">на интервали от един месец плюс допълнителна доза от 500 </w:t>
      </w:r>
      <w:r w:rsidRPr="00AE4DFB">
        <w:rPr>
          <w:rFonts w:eastAsia="Times New Roman" w:cs="Arial"/>
          <w:color w:val="000000"/>
          <w:lang w:val="en-US"/>
        </w:rPr>
        <w:t>mg</w:t>
      </w:r>
      <w:r w:rsidRPr="00114D09">
        <w:rPr>
          <w:rFonts w:eastAsia="Times New Roman" w:cs="Arial"/>
          <w:color w:val="000000"/>
          <w:lang w:val="ru-RU"/>
        </w:rPr>
        <w:t xml:space="preserve"> </w:t>
      </w:r>
      <w:r w:rsidRPr="00AE4DFB">
        <w:rPr>
          <w:rFonts w:eastAsia="Times New Roman" w:cs="Arial"/>
          <w:color w:val="000000"/>
          <w:lang w:eastAsia="bg-BG"/>
        </w:rPr>
        <w:t>две седмици след началната доза.</w:t>
      </w:r>
    </w:p>
    <w:p w14:paraId="6ACAF645" w14:textId="151830CF" w:rsidR="0091385D" w:rsidRDefault="0091385D" w:rsidP="0091385D"/>
    <w:p w14:paraId="42F9F0A0" w14:textId="77777777" w:rsidR="00AE4DFB" w:rsidRPr="00AE4DFB" w:rsidRDefault="00AE4DFB" w:rsidP="00AE4DFB">
      <w:pPr>
        <w:spacing w:line="240" w:lineRule="auto"/>
        <w:rPr>
          <w:rFonts w:eastAsia="Times New Roman" w:cs="Arial"/>
          <w:sz w:val="28"/>
          <w:szCs w:val="24"/>
          <w:lang w:eastAsia="bg-BG"/>
        </w:rPr>
      </w:pPr>
      <w:r w:rsidRPr="00AE4DFB">
        <w:rPr>
          <w:rFonts w:eastAsia="Times New Roman" w:cs="Arial"/>
          <w:color w:val="000000"/>
          <w:szCs w:val="20"/>
          <w:lang w:eastAsia="bg-BG"/>
        </w:rPr>
        <w:t>Когато Фулвестрант Сандоз се използва в комбинация с палбоциклиб, направете също справка с Кратката характеристика на продукта на палбоциклиб.</w:t>
      </w:r>
    </w:p>
    <w:p w14:paraId="6B3149CF" w14:textId="77777777" w:rsidR="00AE4DFB" w:rsidRPr="00AE4DFB" w:rsidRDefault="00AE4DFB" w:rsidP="00AE4DFB">
      <w:pPr>
        <w:spacing w:line="240" w:lineRule="auto"/>
        <w:rPr>
          <w:rFonts w:eastAsia="Times New Roman" w:cs="Arial"/>
          <w:color w:val="000000"/>
          <w:szCs w:val="20"/>
          <w:lang w:eastAsia="bg-BG"/>
        </w:rPr>
      </w:pPr>
    </w:p>
    <w:p w14:paraId="0991126E" w14:textId="4B35D4CB" w:rsidR="00AE4DFB" w:rsidRPr="00AE4DFB" w:rsidRDefault="00AE4DFB" w:rsidP="00AE4DFB">
      <w:pPr>
        <w:spacing w:line="240" w:lineRule="auto"/>
        <w:rPr>
          <w:rFonts w:eastAsia="Times New Roman" w:cs="Arial"/>
          <w:sz w:val="28"/>
          <w:szCs w:val="24"/>
          <w:lang w:eastAsia="bg-BG"/>
        </w:rPr>
      </w:pPr>
      <w:r w:rsidRPr="00AE4DFB">
        <w:rPr>
          <w:rFonts w:eastAsia="Times New Roman" w:cs="Arial"/>
          <w:color w:val="000000"/>
          <w:szCs w:val="20"/>
          <w:lang w:eastAsia="bg-BG"/>
        </w:rPr>
        <w:t xml:space="preserve">Преди започване на лечение с комбинация на </w:t>
      </w:r>
      <w:proofErr w:type="spellStart"/>
      <w:r w:rsidRPr="00AE4DFB">
        <w:rPr>
          <w:rFonts w:eastAsia="Times New Roman" w:cs="Arial"/>
          <w:color w:val="000000"/>
          <w:szCs w:val="20"/>
          <w:lang w:eastAsia="bg-BG"/>
        </w:rPr>
        <w:t>Фулвестрант</w:t>
      </w:r>
      <w:proofErr w:type="spellEnd"/>
      <w:r w:rsidRPr="00AE4DFB">
        <w:rPr>
          <w:rFonts w:eastAsia="Times New Roman" w:cs="Arial"/>
          <w:color w:val="000000"/>
          <w:szCs w:val="20"/>
          <w:lang w:eastAsia="bg-BG"/>
        </w:rPr>
        <w:t xml:space="preserve"> </w:t>
      </w:r>
      <w:proofErr w:type="spellStart"/>
      <w:r w:rsidRPr="00AE4DFB">
        <w:rPr>
          <w:rFonts w:eastAsia="Times New Roman" w:cs="Arial"/>
          <w:color w:val="000000"/>
          <w:szCs w:val="20"/>
          <w:lang w:eastAsia="bg-BG"/>
        </w:rPr>
        <w:t>Сандоз</w:t>
      </w:r>
      <w:proofErr w:type="spellEnd"/>
      <w:r w:rsidRPr="00AE4DFB">
        <w:rPr>
          <w:rFonts w:eastAsia="Times New Roman" w:cs="Arial"/>
          <w:color w:val="000000"/>
          <w:szCs w:val="20"/>
          <w:lang w:eastAsia="bg-BG"/>
        </w:rPr>
        <w:t xml:space="preserve"> плюс </w:t>
      </w:r>
      <w:proofErr w:type="spellStart"/>
      <w:r w:rsidRPr="00AE4DFB">
        <w:rPr>
          <w:rFonts w:eastAsia="Times New Roman" w:cs="Arial"/>
          <w:color w:val="000000"/>
          <w:szCs w:val="20"/>
          <w:lang w:eastAsia="bg-BG"/>
        </w:rPr>
        <w:t>палбоциклиб</w:t>
      </w:r>
      <w:proofErr w:type="spellEnd"/>
      <w:r w:rsidRPr="00AE4DFB">
        <w:rPr>
          <w:rFonts w:eastAsia="Times New Roman" w:cs="Arial"/>
          <w:color w:val="000000"/>
          <w:szCs w:val="20"/>
          <w:lang w:eastAsia="bg-BG"/>
        </w:rPr>
        <w:t xml:space="preserve">, както и по време на лечението, </w:t>
      </w:r>
      <w:proofErr w:type="spellStart"/>
      <w:r w:rsidRPr="00AE4DFB">
        <w:rPr>
          <w:rFonts w:eastAsia="Times New Roman" w:cs="Arial"/>
          <w:color w:val="000000"/>
          <w:szCs w:val="20"/>
          <w:lang w:eastAsia="bg-BG"/>
        </w:rPr>
        <w:t>пре</w:t>
      </w:r>
      <w:proofErr w:type="spellEnd"/>
      <w:r w:rsidRPr="00AE4DFB">
        <w:rPr>
          <w:rFonts w:eastAsia="Times New Roman" w:cs="Arial"/>
          <w:color w:val="000000"/>
          <w:szCs w:val="20"/>
          <w:lang w:eastAsia="bg-BG"/>
        </w:rPr>
        <w:t>/</w:t>
      </w:r>
      <w:proofErr w:type="spellStart"/>
      <w:r w:rsidRPr="00AE4DFB">
        <w:rPr>
          <w:rFonts w:eastAsia="Times New Roman" w:cs="Arial"/>
          <w:color w:val="000000"/>
          <w:szCs w:val="20"/>
          <w:lang w:eastAsia="bg-BG"/>
        </w:rPr>
        <w:t>перименопаузалните</w:t>
      </w:r>
      <w:proofErr w:type="spellEnd"/>
      <w:r w:rsidRPr="00AE4DFB">
        <w:rPr>
          <w:rFonts w:eastAsia="Times New Roman" w:cs="Arial"/>
          <w:color w:val="000000"/>
          <w:szCs w:val="20"/>
          <w:lang w:eastAsia="bg-BG"/>
        </w:rPr>
        <w:t xml:space="preserve"> жени трябва да се лекуват с </w:t>
      </w:r>
      <w:proofErr w:type="spellStart"/>
      <w:r w:rsidRPr="00AE4DFB">
        <w:rPr>
          <w:rFonts w:eastAsia="Times New Roman" w:cs="Arial"/>
          <w:color w:val="000000"/>
          <w:szCs w:val="20"/>
          <w:lang w:eastAsia="bg-BG"/>
        </w:rPr>
        <w:t>агонист</w:t>
      </w:r>
      <w:proofErr w:type="spellEnd"/>
      <w:r w:rsidRPr="00AE4DFB">
        <w:rPr>
          <w:rFonts w:eastAsia="Times New Roman" w:cs="Arial"/>
          <w:color w:val="000000"/>
          <w:szCs w:val="20"/>
          <w:lang w:eastAsia="bg-BG"/>
        </w:rPr>
        <w:t xml:space="preserve"> на </w:t>
      </w:r>
      <w:proofErr w:type="spellStart"/>
      <w:r w:rsidRPr="00AE4DFB">
        <w:rPr>
          <w:rFonts w:eastAsia="Times New Roman" w:cs="Arial"/>
          <w:color w:val="000000"/>
          <w:szCs w:val="20"/>
          <w:lang w:eastAsia="bg-BG"/>
        </w:rPr>
        <w:t>лутеинизиращ</w:t>
      </w:r>
      <w:proofErr w:type="spellEnd"/>
      <w:r w:rsidRPr="00AE4DFB">
        <w:rPr>
          <w:rFonts w:eastAsia="Times New Roman" w:cs="Arial"/>
          <w:color w:val="000000"/>
          <w:szCs w:val="20"/>
          <w:lang w:eastAsia="bg-BG"/>
        </w:rPr>
        <w:t xml:space="preserve"> хормон-освобождаващия хормон </w:t>
      </w:r>
      <w:r w:rsidRPr="00114D09">
        <w:rPr>
          <w:rFonts w:eastAsia="Times New Roman" w:cs="Arial"/>
          <w:color w:val="000000"/>
          <w:szCs w:val="20"/>
          <w:lang w:val="ru-RU"/>
        </w:rPr>
        <w:t>(</w:t>
      </w:r>
      <w:r w:rsidRPr="00AE4DFB">
        <w:rPr>
          <w:rFonts w:eastAsia="Times New Roman" w:cs="Arial"/>
          <w:color w:val="000000"/>
          <w:szCs w:val="20"/>
          <w:lang w:val="en-US"/>
        </w:rPr>
        <w:t>LHRH</w:t>
      </w:r>
      <w:r w:rsidRPr="00114D09">
        <w:rPr>
          <w:rFonts w:eastAsia="Times New Roman" w:cs="Arial"/>
          <w:color w:val="000000"/>
          <w:szCs w:val="20"/>
          <w:lang w:val="ru-RU"/>
        </w:rPr>
        <w:t xml:space="preserve">) </w:t>
      </w:r>
      <w:r w:rsidRPr="00AE4DFB">
        <w:rPr>
          <w:rFonts w:eastAsia="Times New Roman" w:cs="Arial"/>
          <w:color w:val="000000"/>
          <w:szCs w:val="20"/>
          <w:lang w:eastAsia="bg-BG"/>
        </w:rPr>
        <w:t>съгласно локалните клинични практики.</w:t>
      </w:r>
    </w:p>
    <w:p w14:paraId="06AA3813" w14:textId="77777777" w:rsidR="00AE4DFB" w:rsidRPr="00AE4DFB" w:rsidRDefault="00AE4DFB" w:rsidP="00AE4DFB">
      <w:pPr>
        <w:spacing w:line="240" w:lineRule="auto"/>
        <w:rPr>
          <w:rFonts w:eastAsia="Times New Roman" w:cs="Arial"/>
          <w:color w:val="000000"/>
          <w:szCs w:val="20"/>
          <w:u w:val="single"/>
          <w:lang w:eastAsia="bg-BG"/>
        </w:rPr>
      </w:pPr>
    </w:p>
    <w:p w14:paraId="1D7CB372" w14:textId="3196F10C" w:rsidR="00AE4DFB" w:rsidRPr="00AE4DFB" w:rsidRDefault="00AE4DFB" w:rsidP="00AE4DFB">
      <w:pPr>
        <w:spacing w:line="240" w:lineRule="auto"/>
        <w:rPr>
          <w:rFonts w:eastAsia="Times New Roman" w:cs="Arial"/>
          <w:sz w:val="28"/>
          <w:szCs w:val="24"/>
          <w:lang w:eastAsia="bg-BG"/>
        </w:rPr>
      </w:pPr>
      <w:r w:rsidRPr="00AE4DFB">
        <w:rPr>
          <w:rFonts w:eastAsia="Times New Roman" w:cs="Arial"/>
          <w:color w:val="000000"/>
          <w:szCs w:val="20"/>
          <w:u w:val="single"/>
          <w:lang w:eastAsia="bg-BG"/>
        </w:rPr>
        <w:t>Специална популация</w:t>
      </w:r>
    </w:p>
    <w:p w14:paraId="53FCD9B4" w14:textId="325A8B6C" w:rsidR="00AE4DFB" w:rsidRPr="00AE4DFB" w:rsidRDefault="00AE4DFB" w:rsidP="00AE4DFB">
      <w:pPr>
        <w:spacing w:line="240" w:lineRule="auto"/>
        <w:rPr>
          <w:rFonts w:eastAsia="Times New Roman" w:cs="Arial"/>
          <w:sz w:val="28"/>
          <w:szCs w:val="24"/>
          <w:lang w:eastAsia="bg-BG"/>
        </w:rPr>
      </w:pPr>
      <w:r w:rsidRPr="00AE4DFB">
        <w:rPr>
          <w:rFonts w:eastAsia="Times New Roman" w:cs="Arial"/>
          <w:i/>
          <w:iCs/>
          <w:color w:val="000000"/>
          <w:szCs w:val="20"/>
          <w:lang w:eastAsia="bg-BG"/>
        </w:rPr>
        <w:t>Бъбречно нарушение</w:t>
      </w:r>
    </w:p>
    <w:p w14:paraId="2638BE8F" w14:textId="77777777" w:rsidR="00AE4DFB" w:rsidRPr="00AE4DFB" w:rsidRDefault="00AE4DFB" w:rsidP="00AE4DFB">
      <w:pPr>
        <w:spacing w:line="240" w:lineRule="auto"/>
        <w:rPr>
          <w:rFonts w:eastAsia="Times New Roman" w:cs="Arial"/>
          <w:sz w:val="28"/>
          <w:szCs w:val="24"/>
          <w:lang w:eastAsia="bg-BG"/>
        </w:rPr>
      </w:pPr>
      <w:r w:rsidRPr="00AE4DFB">
        <w:rPr>
          <w:rFonts w:eastAsia="Times New Roman" w:cs="Arial"/>
          <w:color w:val="000000"/>
          <w:szCs w:val="20"/>
          <w:lang w:eastAsia="bg-BG"/>
        </w:rPr>
        <w:t xml:space="preserve">Не се препоръчва адаптиране на дозата при пациенти с леко до умерено бъбречно нарушение (креатининов клирьнс &gt;30 </w:t>
      </w:r>
      <w:r w:rsidRPr="00AE4DFB">
        <w:rPr>
          <w:rFonts w:eastAsia="Times New Roman" w:cs="Arial"/>
          <w:color w:val="000000"/>
          <w:szCs w:val="20"/>
          <w:lang w:val="en-US"/>
        </w:rPr>
        <w:t>ml</w:t>
      </w:r>
      <w:r w:rsidRPr="00AE4DFB">
        <w:rPr>
          <w:rFonts w:eastAsia="Times New Roman" w:cs="Arial"/>
          <w:color w:val="000000"/>
          <w:szCs w:val="20"/>
          <w:lang w:eastAsia="bg-BG"/>
        </w:rPr>
        <w:t xml:space="preserve">/мин). Безопасността и ефикасността му не са били оценени при пациенти с тежка бъбречна недостатъчност (креатининов клирънс &lt;30 </w:t>
      </w:r>
      <w:r w:rsidRPr="00AE4DFB">
        <w:rPr>
          <w:rFonts w:eastAsia="Times New Roman" w:cs="Arial"/>
          <w:color w:val="000000"/>
          <w:szCs w:val="20"/>
          <w:lang w:val="en-US"/>
        </w:rPr>
        <w:t>ml</w:t>
      </w:r>
      <w:r w:rsidRPr="00AE4DFB">
        <w:rPr>
          <w:rFonts w:eastAsia="Times New Roman" w:cs="Arial"/>
          <w:color w:val="000000"/>
          <w:szCs w:val="20"/>
          <w:lang w:eastAsia="bg-BG"/>
        </w:rPr>
        <w:t>/мин) и поради това при такива пациенти се препоръчва да се прилага с повишено внимание (вж. точка 4.4).</w:t>
      </w:r>
    </w:p>
    <w:p w14:paraId="0815AC2A" w14:textId="77777777" w:rsidR="00AE4DFB" w:rsidRPr="00AE4DFB" w:rsidRDefault="00AE4DFB" w:rsidP="00AE4DFB">
      <w:pPr>
        <w:spacing w:line="240" w:lineRule="auto"/>
        <w:rPr>
          <w:rFonts w:eastAsia="Times New Roman" w:cs="Arial"/>
          <w:i/>
          <w:iCs/>
          <w:color w:val="000000"/>
          <w:szCs w:val="20"/>
          <w:lang w:eastAsia="bg-BG"/>
        </w:rPr>
      </w:pPr>
    </w:p>
    <w:p w14:paraId="69F34A90" w14:textId="282AAC03" w:rsidR="00AE4DFB" w:rsidRPr="00AE4DFB" w:rsidRDefault="00AE4DFB" w:rsidP="00AE4DFB">
      <w:pPr>
        <w:spacing w:line="240" w:lineRule="auto"/>
        <w:rPr>
          <w:rFonts w:eastAsia="Times New Roman" w:cs="Arial"/>
          <w:sz w:val="28"/>
          <w:szCs w:val="24"/>
          <w:lang w:eastAsia="bg-BG"/>
        </w:rPr>
      </w:pPr>
      <w:r w:rsidRPr="00AE4DFB">
        <w:rPr>
          <w:rFonts w:eastAsia="Times New Roman" w:cs="Arial"/>
          <w:i/>
          <w:iCs/>
          <w:color w:val="000000"/>
          <w:szCs w:val="20"/>
          <w:lang w:eastAsia="bg-BG"/>
        </w:rPr>
        <w:t>Чернодробно нарушение</w:t>
      </w:r>
    </w:p>
    <w:p w14:paraId="3580759E" w14:textId="77777777" w:rsidR="00AE4DFB" w:rsidRPr="00AE4DFB" w:rsidRDefault="00AE4DFB" w:rsidP="00AE4DFB">
      <w:pPr>
        <w:spacing w:line="240" w:lineRule="auto"/>
        <w:rPr>
          <w:rFonts w:eastAsia="Times New Roman" w:cs="Arial"/>
          <w:sz w:val="28"/>
          <w:szCs w:val="24"/>
          <w:lang w:eastAsia="bg-BG"/>
        </w:rPr>
      </w:pPr>
      <w:r w:rsidRPr="00AE4DFB">
        <w:rPr>
          <w:rFonts w:eastAsia="Times New Roman" w:cs="Arial"/>
          <w:color w:val="000000"/>
          <w:szCs w:val="20"/>
          <w:lang w:eastAsia="bg-BG"/>
        </w:rPr>
        <w:t>Не се препоръчва коригиране на дозата при пациенти с леко до умерено чернодробно нарушение. Въпреки това Фулвестрант Сандоз трябва да се прилага внимателно при тези пациенти, тъй като е възможна повишена експозиция на фулвестрант. Не са налични данни при пациенти с тежко чернодробно увреждане (вж. точки 4.3,4.4. и 5.2).</w:t>
      </w:r>
    </w:p>
    <w:p w14:paraId="6DACA805" w14:textId="77777777" w:rsidR="00AE4DFB" w:rsidRPr="00AE4DFB" w:rsidRDefault="00AE4DFB" w:rsidP="00AE4DFB">
      <w:pPr>
        <w:spacing w:line="240" w:lineRule="auto"/>
        <w:rPr>
          <w:rFonts w:eastAsia="Times New Roman" w:cs="Arial"/>
          <w:color w:val="000000"/>
          <w:szCs w:val="20"/>
          <w:u w:val="single"/>
          <w:lang w:eastAsia="bg-BG"/>
        </w:rPr>
      </w:pPr>
    </w:p>
    <w:p w14:paraId="1C2CF92E" w14:textId="427A6CCC" w:rsidR="00AE4DFB" w:rsidRPr="00AE4DFB" w:rsidRDefault="00AE4DFB" w:rsidP="00AE4DFB">
      <w:pPr>
        <w:spacing w:line="240" w:lineRule="auto"/>
        <w:rPr>
          <w:rFonts w:eastAsia="Times New Roman" w:cs="Arial"/>
          <w:sz w:val="28"/>
          <w:szCs w:val="24"/>
          <w:lang w:eastAsia="bg-BG"/>
        </w:rPr>
      </w:pPr>
      <w:r w:rsidRPr="00AE4DFB">
        <w:rPr>
          <w:rFonts w:eastAsia="Times New Roman" w:cs="Arial"/>
          <w:color w:val="000000"/>
          <w:szCs w:val="20"/>
          <w:u w:val="single"/>
          <w:lang w:eastAsia="bg-BG"/>
        </w:rPr>
        <w:t>Педиатрична популация</w:t>
      </w:r>
    </w:p>
    <w:p w14:paraId="046017D5" w14:textId="77777777" w:rsidR="00AE4DFB" w:rsidRPr="00AE4DFB" w:rsidRDefault="00AE4DFB" w:rsidP="00AE4DFB">
      <w:pPr>
        <w:spacing w:line="240" w:lineRule="auto"/>
        <w:rPr>
          <w:rFonts w:eastAsia="Times New Roman" w:cs="Arial"/>
          <w:sz w:val="28"/>
          <w:szCs w:val="24"/>
          <w:lang w:eastAsia="bg-BG"/>
        </w:rPr>
      </w:pPr>
      <w:r w:rsidRPr="00AE4DFB">
        <w:rPr>
          <w:rFonts w:eastAsia="Times New Roman" w:cs="Arial"/>
          <w:color w:val="000000"/>
          <w:szCs w:val="20"/>
          <w:lang w:eastAsia="bg-BG"/>
        </w:rPr>
        <w:t>Безопасността и ефикасността на Фулвестрант Сандоз при деца на възраст от 0 до 18 години не са установени. Наличните до момента данни са описани в точки 5.1 и 5.2, но препоръки по отношение на дозировка не могат да бъдат направени.</w:t>
      </w:r>
    </w:p>
    <w:p w14:paraId="65F63BA1" w14:textId="77777777" w:rsidR="00AE4DFB" w:rsidRPr="00AE4DFB" w:rsidRDefault="00AE4DFB" w:rsidP="00AE4DFB">
      <w:pPr>
        <w:spacing w:line="240" w:lineRule="auto"/>
        <w:rPr>
          <w:rFonts w:eastAsia="Times New Roman" w:cs="Arial"/>
          <w:i/>
          <w:iCs/>
          <w:color w:val="000000"/>
          <w:szCs w:val="20"/>
          <w:lang w:eastAsia="bg-BG"/>
        </w:rPr>
      </w:pPr>
    </w:p>
    <w:p w14:paraId="757EE9BE" w14:textId="13B6C6D3" w:rsidR="00AE4DFB" w:rsidRPr="004A1844" w:rsidRDefault="00AE4DFB" w:rsidP="004A1844">
      <w:pPr>
        <w:pStyle w:val="Heading3"/>
        <w:rPr>
          <w:rFonts w:eastAsia="Times New Roman"/>
          <w:sz w:val="28"/>
          <w:u w:val="single"/>
          <w:lang w:eastAsia="bg-BG"/>
        </w:rPr>
      </w:pPr>
      <w:r w:rsidRPr="004A1844">
        <w:rPr>
          <w:rFonts w:eastAsia="Times New Roman"/>
          <w:u w:val="single"/>
          <w:lang w:eastAsia="bg-BG"/>
        </w:rPr>
        <w:t>Начин на приложение</w:t>
      </w:r>
    </w:p>
    <w:p w14:paraId="76C117B9" w14:textId="77777777" w:rsidR="00AE4DFB" w:rsidRPr="00AE4DFB" w:rsidRDefault="00AE4DFB" w:rsidP="00AE4DFB">
      <w:pPr>
        <w:spacing w:line="240" w:lineRule="auto"/>
        <w:rPr>
          <w:rFonts w:eastAsia="Times New Roman" w:cs="Arial"/>
          <w:color w:val="000000"/>
          <w:szCs w:val="20"/>
          <w:lang w:eastAsia="bg-BG"/>
        </w:rPr>
      </w:pPr>
    </w:p>
    <w:p w14:paraId="20DA140A" w14:textId="79421233" w:rsidR="00AE4DFB" w:rsidRPr="00AE4DFB" w:rsidRDefault="00AE4DFB" w:rsidP="00AE4DFB">
      <w:pPr>
        <w:spacing w:line="240" w:lineRule="auto"/>
        <w:rPr>
          <w:rFonts w:eastAsia="Times New Roman" w:cs="Arial"/>
          <w:sz w:val="28"/>
          <w:szCs w:val="24"/>
          <w:lang w:eastAsia="bg-BG"/>
        </w:rPr>
      </w:pPr>
      <w:proofErr w:type="spellStart"/>
      <w:r w:rsidRPr="00AE4DFB">
        <w:rPr>
          <w:rFonts w:eastAsia="Times New Roman" w:cs="Arial"/>
          <w:color w:val="000000"/>
          <w:szCs w:val="20"/>
          <w:lang w:eastAsia="bg-BG"/>
        </w:rPr>
        <w:t>Фулвестрант</w:t>
      </w:r>
      <w:proofErr w:type="spellEnd"/>
      <w:r w:rsidRPr="00AE4DFB">
        <w:rPr>
          <w:rFonts w:eastAsia="Times New Roman" w:cs="Arial"/>
          <w:color w:val="000000"/>
          <w:szCs w:val="20"/>
          <w:lang w:eastAsia="bg-BG"/>
        </w:rPr>
        <w:t xml:space="preserve"> </w:t>
      </w:r>
      <w:proofErr w:type="spellStart"/>
      <w:r w:rsidRPr="00AE4DFB">
        <w:rPr>
          <w:rFonts w:eastAsia="Times New Roman" w:cs="Arial"/>
          <w:color w:val="000000"/>
          <w:szCs w:val="20"/>
          <w:lang w:eastAsia="bg-BG"/>
        </w:rPr>
        <w:t>Сандоз</w:t>
      </w:r>
      <w:proofErr w:type="spellEnd"/>
      <w:r w:rsidRPr="00AE4DFB">
        <w:rPr>
          <w:rFonts w:eastAsia="Times New Roman" w:cs="Arial"/>
          <w:color w:val="000000"/>
          <w:szCs w:val="20"/>
          <w:lang w:eastAsia="bg-BG"/>
        </w:rPr>
        <w:t xml:space="preserve"> трябва да се прилага като две последователни инжекции от 5 </w:t>
      </w:r>
      <w:r w:rsidRPr="00AE4DFB">
        <w:rPr>
          <w:rFonts w:eastAsia="Times New Roman" w:cs="Arial"/>
          <w:color w:val="000000"/>
          <w:szCs w:val="20"/>
          <w:lang w:val="en-US"/>
        </w:rPr>
        <w:t>ml</w:t>
      </w:r>
      <w:r w:rsidRPr="00114D09">
        <w:rPr>
          <w:rFonts w:eastAsia="Times New Roman" w:cs="Arial"/>
          <w:color w:val="000000"/>
          <w:szCs w:val="20"/>
          <w:lang w:val="ru-RU"/>
        </w:rPr>
        <w:t xml:space="preserve">, </w:t>
      </w:r>
      <w:r w:rsidRPr="00AE4DFB">
        <w:rPr>
          <w:rFonts w:eastAsia="Times New Roman" w:cs="Arial"/>
          <w:color w:val="000000"/>
          <w:szCs w:val="20"/>
          <w:lang w:eastAsia="bg-BG"/>
        </w:rPr>
        <w:t>прилагани чрез бавно интрамускулно инжектиране (1-2 минути на инжекция), във всяка страна на седалището (глутеална област).</w:t>
      </w:r>
    </w:p>
    <w:p w14:paraId="18E3E12C" w14:textId="77777777" w:rsidR="00AE4DFB" w:rsidRPr="00AE4DFB" w:rsidRDefault="00AE4DFB" w:rsidP="00AE4DFB">
      <w:pPr>
        <w:spacing w:line="240" w:lineRule="auto"/>
        <w:rPr>
          <w:rFonts w:eastAsia="Times New Roman" w:cs="Arial"/>
          <w:color w:val="000000"/>
          <w:szCs w:val="20"/>
          <w:lang w:eastAsia="bg-BG"/>
        </w:rPr>
      </w:pPr>
    </w:p>
    <w:p w14:paraId="693F7A67" w14:textId="11197681" w:rsidR="00AE4DFB" w:rsidRPr="00AE4DFB" w:rsidRDefault="00AE4DFB" w:rsidP="00AE4DFB">
      <w:pPr>
        <w:spacing w:line="240" w:lineRule="auto"/>
        <w:rPr>
          <w:rFonts w:eastAsia="Times New Roman" w:cs="Arial"/>
          <w:sz w:val="28"/>
          <w:szCs w:val="24"/>
          <w:lang w:eastAsia="bg-BG"/>
        </w:rPr>
      </w:pPr>
      <w:r w:rsidRPr="00AE4DFB">
        <w:rPr>
          <w:rFonts w:eastAsia="Times New Roman" w:cs="Arial"/>
          <w:color w:val="000000"/>
          <w:szCs w:val="20"/>
          <w:lang w:eastAsia="bg-BG"/>
        </w:rPr>
        <w:t>При инжектиране на фулвестрант в дорзоглутеалния участък, трябва да се внимава, поради близостта с подлежащия седалищен нерв.</w:t>
      </w:r>
    </w:p>
    <w:p w14:paraId="57667814" w14:textId="77777777" w:rsidR="00AE4DFB" w:rsidRPr="00AE4DFB" w:rsidRDefault="00AE4DFB" w:rsidP="00AE4DFB">
      <w:pPr>
        <w:rPr>
          <w:rFonts w:eastAsia="Times New Roman" w:cs="Arial"/>
          <w:color w:val="000000"/>
          <w:szCs w:val="20"/>
          <w:lang w:eastAsia="bg-BG"/>
        </w:rPr>
      </w:pPr>
    </w:p>
    <w:p w14:paraId="5C153377" w14:textId="56A37258" w:rsidR="00AE4DFB" w:rsidRPr="00AE4DFB" w:rsidRDefault="00AE4DFB" w:rsidP="00AE4DFB">
      <w:pPr>
        <w:rPr>
          <w:rFonts w:cs="Arial"/>
          <w:sz w:val="24"/>
        </w:rPr>
      </w:pPr>
      <w:r w:rsidRPr="00AE4DFB">
        <w:rPr>
          <w:rFonts w:eastAsia="Times New Roman" w:cs="Arial"/>
          <w:color w:val="000000"/>
          <w:szCs w:val="20"/>
          <w:lang w:eastAsia="bg-BG"/>
        </w:rPr>
        <w:t>За допълнителни инструкции при прилагане, вижте точка 6.6.</w:t>
      </w:r>
    </w:p>
    <w:p w14:paraId="0327C5F7" w14:textId="77777777" w:rsidR="00AE4DFB" w:rsidRPr="0091385D" w:rsidRDefault="00AE4DFB" w:rsidP="0091385D"/>
    <w:p w14:paraId="28C984E8" w14:textId="0756AE28" w:rsidR="008134C8" w:rsidRDefault="002C50EE" w:rsidP="004A448E">
      <w:pPr>
        <w:pStyle w:val="Heading2"/>
      </w:pPr>
      <w:r>
        <w:t>4.3. Противопоказания</w:t>
      </w:r>
    </w:p>
    <w:p w14:paraId="2363D607" w14:textId="48168570" w:rsidR="0091385D" w:rsidRDefault="0091385D" w:rsidP="0091385D"/>
    <w:p w14:paraId="1668A9EA" w14:textId="77777777" w:rsidR="00AE4DFB" w:rsidRPr="00AE4DFB" w:rsidRDefault="00AE4DFB" w:rsidP="00AE4DFB">
      <w:pPr>
        <w:spacing w:line="240" w:lineRule="auto"/>
        <w:rPr>
          <w:rFonts w:eastAsia="Times New Roman" w:cs="Arial"/>
          <w:sz w:val="28"/>
          <w:szCs w:val="24"/>
          <w:lang w:eastAsia="bg-BG"/>
        </w:rPr>
      </w:pPr>
      <w:r w:rsidRPr="00AE4DFB">
        <w:rPr>
          <w:rFonts w:eastAsia="Times New Roman" w:cs="Arial"/>
          <w:color w:val="000000"/>
          <w:szCs w:val="20"/>
          <w:lang w:eastAsia="bg-BG"/>
        </w:rPr>
        <w:t>Свръхчувствителност към фулвестрант или някое от помощните вещества, изброени в точка 6.1.</w:t>
      </w:r>
    </w:p>
    <w:p w14:paraId="484B3266" w14:textId="77777777" w:rsidR="00AE4DFB" w:rsidRPr="00AE4DFB" w:rsidRDefault="00AE4DFB" w:rsidP="00AE4DFB">
      <w:pPr>
        <w:spacing w:line="240" w:lineRule="auto"/>
        <w:rPr>
          <w:rFonts w:eastAsia="Times New Roman" w:cs="Arial"/>
          <w:sz w:val="28"/>
          <w:szCs w:val="24"/>
          <w:lang w:eastAsia="bg-BG"/>
        </w:rPr>
      </w:pPr>
      <w:r w:rsidRPr="00AE4DFB">
        <w:rPr>
          <w:rFonts w:eastAsia="Times New Roman" w:cs="Arial"/>
          <w:color w:val="000000"/>
          <w:szCs w:val="20"/>
          <w:lang w:eastAsia="bg-BG"/>
        </w:rPr>
        <w:t>Бременност и кърмене (вж. точка 4.6).</w:t>
      </w:r>
    </w:p>
    <w:p w14:paraId="2309EAB0" w14:textId="07D95C55" w:rsidR="0091385D" w:rsidRPr="00AE4DFB" w:rsidRDefault="00AE4DFB" w:rsidP="00AE4DFB">
      <w:pPr>
        <w:rPr>
          <w:rFonts w:cs="Arial"/>
          <w:sz w:val="24"/>
        </w:rPr>
      </w:pPr>
      <w:r w:rsidRPr="00AE4DFB">
        <w:rPr>
          <w:rFonts w:eastAsia="Times New Roman" w:cs="Arial"/>
          <w:color w:val="000000"/>
          <w:szCs w:val="20"/>
          <w:lang w:eastAsia="bg-BG"/>
        </w:rPr>
        <w:t>Тежко чернодробно увреждане (вж. точки 4.4 и 5.2).</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0A08B607" w:rsidR="0091385D" w:rsidRDefault="0091385D" w:rsidP="0091385D"/>
    <w:p w14:paraId="0CD7549E" w14:textId="77777777" w:rsidR="00AE4DFB" w:rsidRPr="00AE4DFB" w:rsidRDefault="00AE4DFB" w:rsidP="00AE4DFB">
      <w:pPr>
        <w:spacing w:line="240" w:lineRule="auto"/>
        <w:rPr>
          <w:rFonts w:eastAsia="Times New Roman" w:cs="Arial"/>
          <w:sz w:val="28"/>
          <w:szCs w:val="24"/>
          <w:lang w:eastAsia="bg-BG"/>
        </w:rPr>
      </w:pPr>
      <w:r w:rsidRPr="00AE4DFB">
        <w:rPr>
          <w:rFonts w:eastAsia="Times New Roman" w:cs="Arial"/>
          <w:color w:val="000000"/>
          <w:szCs w:val="20"/>
          <w:lang w:eastAsia="bg-BG"/>
        </w:rPr>
        <w:t>Фулвестрант Сандоз трябва да се прилага с повишено внимание при пациенти с леко до умерено чернодробно увреждане (вж. точки 4.2,4.3 и 5.2).</w:t>
      </w:r>
    </w:p>
    <w:p w14:paraId="2C5F9ADA" w14:textId="77777777" w:rsidR="00AE4DFB" w:rsidRPr="00AE4DFB" w:rsidRDefault="00AE4DFB" w:rsidP="00AE4DFB">
      <w:pPr>
        <w:spacing w:line="240" w:lineRule="auto"/>
        <w:rPr>
          <w:rFonts w:eastAsia="Times New Roman" w:cs="Arial"/>
          <w:color w:val="000000"/>
          <w:szCs w:val="20"/>
          <w:lang w:eastAsia="bg-BG"/>
        </w:rPr>
      </w:pPr>
    </w:p>
    <w:p w14:paraId="3BD5E181" w14:textId="7B7E03AA" w:rsidR="00AE4DFB" w:rsidRPr="00AE4DFB" w:rsidRDefault="00AE4DFB" w:rsidP="00AE4DFB">
      <w:pPr>
        <w:spacing w:line="240" w:lineRule="auto"/>
        <w:rPr>
          <w:rFonts w:eastAsia="Times New Roman" w:cs="Arial"/>
          <w:sz w:val="28"/>
          <w:szCs w:val="24"/>
          <w:lang w:eastAsia="bg-BG"/>
        </w:rPr>
      </w:pPr>
      <w:r w:rsidRPr="00AE4DFB">
        <w:rPr>
          <w:rFonts w:eastAsia="Times New Roman" w:cs="Arial"/>
          <w:color w:val="000000"/>
          <w:szCs w:val="20"/>
          <w:lang w:eastAsia="bg-BG"/>
        </w:rPr>
        <w:t xml:space="preserve">Фулвестрант Сандоз трябва да се прилага с повишено внимание при пациенти с тежко бъбречно увреждане (креатининов клирънс по-малък от 30 </w:t>
      </w:r>
      <w:r w:rsidRPr="00AE4DFB">
        <w:rPr>
          <w:rFonts w:eastAsia="Times New Roman" w:cs="Arial"/>
          <w:color w:val="000000"/>
          <w:szCs w:val="20"/>
          <w:lang w:val="en-US"/>
        </w:rPr>
        <w:t>ml</w:t>
      </w:r>
      <w:r w:rsidRPr="00AE4DFB">
        <w:rPr>
          <w:rFonts w:eastAsia="Times New Roman" w:cs="Arial"/>
          <w:color w:val="000000"/>
          <w:szCs w:val="20"/>
          <w:lang w:eastAsia="bg-BG"/>
        </w:rPr>
        <w:t>/мин).</w:t>
      </w:r>
    </w:p>
    <w:p w14:paraId="0CBE7577" w14:textId="77777777" w:rsidR="00AE4DFB" w:rsidRPr="00AE4DFB" w:rsidRDefault="00AE4DFB" w:rsidP="00AE4DFB">
      <w:pPr>
        <w:rPr>
          <w:rFonts w:eastAsia="Times New Roman" w:cs="Arial"/>
          <w:color w:val="000000"/>
          <w:szCs w:val="20"/>
          <w:lang w:eastAsia="bg-BG"/>
        </w:rPr>
      </w:pPr>
    </w:p>
    <w:p w14:paraId="0B3BEE35" w14:textId="4869197C" w:rsidR="0091385D" w:rsidRDefault="00AE4DFB" w:rsidP="00AE4DFB">
      <w:pPr>
        <w:rPr>
          <w:rFonts w:eastAsia="Times New Roman" w:cs="Arial"/>
          <w:color w:val="000000"/>
          <w:szCs w:val="20"/>
          <w:lang w:eastAsia="bg-BG"/>
        </w:rPr>
      </w:pPr>
      <w:r w:rsidRPr="00AE4DFB">
        <w:rPr>
          <w:rFonts w:eastAsia="Times New Roman" w:cs="Arial"/>
          <w:color w:val="000000"/>
          <w:szCs w:val="20"/>
          <w:lang w:eastAsia="bg-BG"/>
        </w:rPr>
        <w:t>Поради интрамускулния път на въвеждане, Фулвестрант Сандоз трябва да се използва с повишено внимание при пациенти с хеморагична диатеза, тромбоцитопения и при тези на антикоагулантнатерапия.</w:t>
      </w:r>
    </w:p>
    <w:p w14:paraId="03038982" w14:textId="39BF0370" w:rsidR="00AE4DFB" w:rsidRDefault="00AE4DFB" w:rsidP="00AE4DFB">
      <w:pPr>
        <w:rPr>
          <w:rFonts w:eastAsia="Times New Roman" w:cs="Arial"/>
          <w:color w:val="000000"/>
          <w:szCs w:val="20"/>
          <w:lang w:eastAsia="bg-BG"/>
        </w:rPr>
      </w:pPr>
    </w:p>
    <w:p w14:paraId="380F0FFC" w14:textId="77777777"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Често при жени с напреднал рак на гърдата се наблюдават тромбоемболични инциденти, което е наблюдавано и при клинични изпитвания на Фулвестрант Сандоз (вж. точка 4.8). Това трябва да се има предвид, когато се изписва Фулвестрант Сандоз при рискови пациенти.</w:t>
      </w:r>
    </w:p>
    <w:p w14:paraId="1975BD49" w14:textId="77777777" w:rsidR="00AE4DFB" w:rsidRPr="00AE4DFB" w:rsidRDefault="00AE4DFB" w:rsidP="00AE4DFB">
      <w:pPr>
        <w:spacing w:line="240" w:lineRule="auto"/>
        <w:rPr>
          <w:rFonts w:eastAsia="Times New Roman" w:cs="Arial"/>
          <w:color w:val="000000"/>
          <w:lang w:eastAsia="bg-BG"/>
        </w:rPr>
      </w:pPr>
    </w:p>
    <w:p w14:paraId="34E5157B" w14:textId="0BB4282B"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Нежелани реакции на мястото на инжектиране, включително възпаление на седалищния нерв (ишиас), невралгия, невропатна болка и периферна невропатия, са съобщавани при инжектиране на фулвестрант. Необходимо е повишено внимание при инжектиране на фулвестрант в дорзо-глутеалната област поради близостта на подлежащия седалищен нерв (виж точки 4.2 и 4.8).</w:t>
      </w:r>
    </w:p>
    <w:p w14:paraId="621542E2" w14:textId="77777777" w:rsidR="00AE4DFB" w:rsidRPr="00AE4DFB" w:rsidRDefault="00AE4DFB" w:rsidP="00AE4DFB">
      <w:pPr>
        <w:spacing w:line="240" w:lineRule="auto"/>
        <w:rPr>
          <w:rFonts w:eastAsia="Times New Roman" w:cs="Arial"/>
          <w:color w:val="000000"/>
          <w:lang w:eastAsia="bg-BG"/>
        </w:rPr>
      </w:pPr>
    </w:p>
    <w:p w14:paraId="5375EED7" w14:textId="54EB4DD2"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Няма дългосрочни данни за ефекта на фулвестрант върху костите. Поради механизма му на действие, съществува потенциален риск от остеопороза.</w:t>
      </w:r>
    </w:p>
    <w:p w14:paraId="3685949A" w14:textId="77777777" w:rsidR="00AE4DFB" w:rsidRPr="00AE4DFB" w:rsidRDefault="00AE4DFB" w:rsidP="00AE4DFB">
      <w:pPr>
        <w:spacing w:line="240" w:lineRule="auto"/>
        <w:rPr>
          <w:rFonts w:eastAsia="Times New Roman" w:cs="Arial"/>
          <w:color w:val="000000"/>
          <w:lang w:eastAsia="bg-BG"/>
        </w:rPr>
      </w:pPr>
    </w:p>
    <w:p w14:paraId="6E58A22B" w14:textId="59D75FDD"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Ефикасността и безопасността на Фулвестрант Сандоз, независимо дали е прилаган като монотерапия или в комбинация с палбоциклиб, не са изследвани при пациентки с критично висцерално заболяване.</w:t>
      </w:r>
    </w:p>
    <w:p w14:paraId="22ED7BD4" w14:textId="77777777" w:rsidR="00AE4DFB" w:rsidRPr="00AE4DFB" w:rsidRDefault="00AE4DFB" w:rsidP="00AE4DFB">
      <w:pPr>
        <w:spacing w:line="240" w:lineRule="auto"/>
        <w:rPr>
          <w:rFonts w:eastAsia="Times New Roman" w:cs="Arial"/>
          <w:color w:val="000000"/>
          <w:lang w:eastAsia="bg-BG"/>
        </w:rPr>
      </w:pPr>
    </w:p>
    <w:p w14:paraId="59523352" w14:textId="3DA2A054"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Когато Фулвестрант Сандоз се използва в комбинация с палбоциклиб, направете също справка с Кратката характеристика на продукта на палбоциклиб.</w:t>
      </w:r>
    </w:p>
    <w:p w14:paraId="575B04E3" w14:textId="77777777" w:rsidR="00AE4DFB" w:rsidRPr="00AE4DFB" w:rsidRDefault="00AE4DFB" w:rsidP="00AE4DFB">
      <w:pPr>
        <w:spacing w:line="240" w:lineRule="auto"/>
        <w:rPr>
          <w:rFonts w:eastAsia="Times New Roman" w:cs="Arial"/>
          <w:i/>
          <w:iCs/>
          <w:color w:val="000000"/>
          <w:lang w:eastAsia="bg-BG"/>
        </w:rPr>
      </w:pPr>
    </w:p>
    <w:p w14:paraId="4187B99D" w14:textId="41077D34" w:rsidR="00AE4DFB" w:rsidRPr="00AE4DFB" w:rsidRDefault="00AE4DFB" w:rsidP="00AE4DFB">
      <w:pPr>
        <w:spacing w:line="240" w:lineRule="auto"/>
        <w:rPr>
          <w:rFonts w:eastAsia="Times New Roman" w:cs="Arial"/>
          <w:sz w:val="24"/>
          <w:szCs w:val="24"/>
          <w:lang w:eastAsia="bg-BG"/>
        </w:rPr>
      </w:pPr>
      <w:r w:rsidRPr="00AE4DFB">
        <w:rPr>
          <w:rFonts w:eastAsia="Times New Roman" w:cs="Arial"/>
          <w:i/>
          <w:iCs/>
          <w:color w:val="000000"/>
          <w:lang w:eastAsia="bg-BG"/>
        </w:rPr>
        <w:t>Взаимодействие с тестове за анти-естрадиолови антитела</w:t>
      </w:r>
    </w:p>
    <w:p w14:paraId="0EE89A4C" w14:textId="77777777"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Поради сходство в структурата на фулвестрант и естрадиол, фулвестрант може да взаимодейства с тестовете за антитела срещу естрадиол и може да доведе до лъжливи резултати за повишени нива на естрадиол.</w:t>
      </w:r>
    </w:p>
    <w:p w14:paraId="616166CF" w14:textId="77777777" w:rsidR="00AE4DFB" w:rsidRPr="00AE4DFB" w:rsidRDefault="00AE4DFB" w:rsidP="00AE4DFB">
      <w:pPr>
        <w:spacing w:line="240" w:lineRule="auto"/>
        <w:rPr>
          <w:rFonts w:eastAsia="Times New Roman" w:cs="Arial"/>
          <w:color w:val="000000"/>
          <w:u w:val="single"/>
          <w:lang w:eastAsia="bg-BG"/>
        </w:rPr>
      </w:pPr>
    </w:p>
    <w:p w14:paraId="0C741C6C" w14:textId="64B3D0E2"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u w:val="single"/>
          <w:lang w:eastAsia="bg-BG"/>
        </w:rPr>
        <w:t>Педиатрична популация</w:t>
      </w:r>
    </w:p>
    <w:p w14:paraId="5D73014C" w14:textId="77777777"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Употребата на Фулвестрант Сандоз при деца и юноши не се препоръчва, тъй като безопасността и ефикасността не са установени за тази група пациенти (вж. точка 5.1).</w:t>
      </w:r>
    </w:p>
    <w:p w14:paraId="7874610C" w14:textId="77777777" w:rsidR="00AE4DFB" w:rsidRPr="00AE4DFB" w:rsidRDefault="00AE4DFB" w:rsidP="00AE4DFB">
      <w:pPr>
        <w:spacing w:line="240" w:lineRule="auto"/>
        <w:rPr>
          <w:rFonts w:eastAsia="Times New Roman" w:cs="Arial"/>
          <w:color w:val="000000"/>
          <w:u w:val="single"/>
          <w:lang w:eastAsia="bg-BG"/>
        </w:rPr>
      </w:pPr>
    </w:p>
    <w:p w14:paraId="7E2F7D6C" w14:textId="37632F9D" w:rsidR="00AE4DFB" w:rsidRPr="00414EE9" w:rsidRDefault="00AE4DFB" w:rsidP="00AE4DFB">
      <w:pPr>
        <w:spacing w:line="240" w:lineRule="auto"/>
        <w:rPr>
          <w:rFonts w:eastAsia="Times New Roman" w:cs="Arial"/>
          <w:sz w:val="24"/>
          <w:szCs w:val="24"/>
          <w:lang w:eastAsia="bg-BG"/>
        </w:rPr>
      </w:pPr>
      <w:r w:rsidRPr="00AE4DFB">
        <w:rPr>
          <w:rFonts w:eastAsia="Times New Roman" w:cs="Arial"/>
          <w:color w:val="000000"/>
          <w:u w:val="single"/>
          <w:lang w:eastAsia="bg-BG"/>
        </w:rPr>
        <w:t>Помощни вещества</w:t>
      </w:r>
    </w:p>
    <w:p w14:paraId="13956D59" w14:textId="23BBFEED"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u w:val="single"/>
          <w:lang w:eastAsia="bg-BG"/>
        </w:rPr>
        <w:t>Този лекарствен продукт съдържа етанол, бензилов алкохол и бензил бензоат</w:t>
      </w:r>
    </w:p>
    <w:p w14:paraId="2BF3D883" w14:textId="77777777" w:rsidR="00AE4DFB" w:rsidRPr="00AE4DFB" w:rsidRDefault="00AE4DFB" w:rsidP="00AE4DFB">
      <w:pPr>
        <w:spacing w:line="240" w:lineRule="auto"/>
        <w:rPr>
          <w:rFonts w:eastAsia="Times New Roman" w:cs="Arial"/>
          <w:color w:val="000000"/>
          <w:lang w:eastAsia="bg-BG"/>
        </w:rPr>
      </w:pPr>
    </w:p>
    <w:p w14:paraId="6690A0DC" w14:textId="7EEB8254"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 xml:space="preserve">Този лекарствен продукт съдържа 1000 </w:t>
      </w:r>
      <w:r w:rsidRPr="00AE4DFB">
        <w:rPr>
          <w:rFonts w:eastAsia="Times New Roman" w:cs="Arial"/>
          <w:color w:val="000000"/>
          <w:lang w:val="en-US"/>
        </w:rPr>
        <w:t>mg</w:t>
      </w:r>
      <w:r w:rsidRPr="00114D09">
        <w:rPr>
          <w:rFonts w:eastAsia="Times New Roman" w:cs="Arial"/>
          <w:color w:val="000000"/>
          <w:lang w:val="ru-RU"/>
        </w:rPr>
        <w:t xml:space="preserve"> </w:t>
      </w:r>
      <w:r w:rsidRPr="00AE4DFB">
        <w:rPr>
          <w:rFonts w:eastAsia="Times New Roman" w:cs="Arial"/>
          <w:color w:val="000000"/>
          <w:lang w:eastAsia="bg-BG"/>
        </w:rPr>
        <w:t xml:space="preserve">алкохол (етанол 96%) на дадена доза, което е еквивалентно на 100 </w:t>
      </w:r>
      <w:r w:rsidRPr="00AE4DFB">
        <w:rPr>
          <w:rFonts w:eastAsia="Times New Roman" w:cs="Arial"/>
          <w:color w:val="000000"/>
          <w:lang w:val="en-US"/>
        </w:rPr>
        <w:t>mg</w:t>
      </w:r>
      <w:r w:rsidRPr="00114D09">
        <w:rPr>
          <w:rFonts w:eastAsia="Times New Roman" w:cs="Arial"/>
          <w:color w:val="000000"/>
          <w:lang w:val="ru-RU"/>
        </w:rPr>
        <w:t>/</w:t>
      </w:r>
      <w:r w:rsidRPr="00AE4DFB">
        <w:rPr>
          <w:rFonts w:eastAsia="Times New Roman" w:cs="Arial"/>
          <w:color w:val="000000"/>
          <w:lang w:val="en-US"/>
        </w:rPr>
        <w:t>ml</w:t>
      </w:r>
      <w:r w:rsidRPr="00114D09">
        <w:rPr>
          <w:rFonts w:eastAsia="Times New Roman" w:cs="Arial"/>
          <w:color w:val="000000"/>
          <w:lang w:val="ru-RU"/>
        </w:rPr>
        <w:t xml:space="preserve"> </w:t>
      </w:r>
      <w:r w:rsidRPr="00AE4DFB">
        <w:rPr>
          <w:rFonts w:eastAsia="Times New Roman" w:cs="Arial"/>
          <w:color w:val="000000"/>
          <w:lang w:eastAsia="bg-BG"/>
        </w:rPr>
        <w:t xml:space="preserve">(10% </w:t>
      </w:r>
      <w:r w:rsidRPr="00AE4DFB">
        <w:rPr>
          <w:rFonts w:eastAsia="Times New Roman" w:cs="Arial"/>
          <w:color w:val="000000"/>
          <w:lang w:val="en-US"/>
        </w:rPr>
        <w:t>w</w:t>
      </w:r>
      <w:r w:rsidRPr="00114D09">
        <w:rPr>
          <w:rFonts w:eastAsia="Times New Roman" w:cs="Arial"/>
          <w:color w:val="000000"/>
          <w:lang w:val="ru-RU"/>
        </w:rPr>
        <w:t>/</w:t>
      </w:r>
      <w:r w:rsidRPr="00AE4DFB">
        <w:rPr>
          <w:rFonts w:eastAsia="Times New Roman" w:cs="Arial"/>
          <w:color w:val="000000"/>
          <w:lang w:val="en-US"/>
        </w:rPr>
        <w:t>v</w:t>
      </w:r>
      <w:r w:rsidRPr="00114D09">
        <w:rPr>
          <w:rFonts w:eastAsia="Times New Roman" w:cs="Arial"/>
          <w:color w:val="000000"/>
          <w:lang w:val="ru-RU"/>
        </w:rPr>
        <w:t xml:space="preserve">). </w:t>
      </w:r>
      <w:r w:rsidRPr="00AE4DFB">
        <w:rPr>
          <w:rFonts w:eastAsia="Times New Roman" w:cs="Arial"/>
          <w:color w:val="000000"/>
          <w:lang w:eastAsia="bg-BG"/>
        </w:rPr>
        <w:t xml:space="preserve">Количеството на дадена доза на лекарствения продукт е еквивалентно на по-малко от 24 </w:t>
      </w:r>
      <w:r w:rsidRPr="00AE4DFB">
        <w:rPr>
          <w:rFonts w:eastAsia="Times New Roman" w:cs="Arial"/>
          <w:color w:val="000000"/>
          <w:lang w:val="en-US"/>
        </w:rPr>
        <w:t>ml</w:t>
      </w:r>
      <w:r w:rsidRPr="00114D09">
        <w:rPr>
          <w:rFonts w:eastAsia="Times New Roman" w:cs="Arial"/>
          <w:color w:val="000000"/>
          <w:lang w:val="ru-RU"/>
        </w:rPr>
        <w:t xml:space="preserve"> </w:t>
      </w:r>
      <w:r w:rsidRPr="00AE4DFB">
        <w:rPr>
          <w:rFonts w:eastAsia="Times New Roman" w:cs="Arial"/>
          <w:color w:val="000000"/>
          <w:lang w:eastAsia="bg-BG"/>
        </w:rPr>
        <w:t xml:space="preserve">бира или 10 </w:t>
      </w:r>
      <w:r w:rsidRPr="00AE4DFB">
        <w:rPr>
          <w:rFonts w:eastAsia="Times New Roman" w:cs="Arial"/>
          <w:color w:val="000000"/>
          <w:lang w:val="en-US"/>
        </w:rPr>
        <w:t>ml</w:t>
      </w:r>
      <w:r w:rsidRPr="00114D09">
        <w:rPr>
          <w:rFonts w:eastAsia="Times New Roman" w:cs="Arial"/>
          <w:color w:val="000000"/>
          <w:lang w:val="ru-RU"/>
        </w:rPr>
        <w:t xml:space="preserve"> </w:t>
      </w:r>
      <w:r w:rsidRPr="00AE4DFB">
        <w:rPr>
          <w:rFonts w:eastAsia="Times New Roman" w:cs="Arial"/>
          <w:color w:val="000000"/>
          <w:lang w:eastAsia="bg-BG"/>
        </w:rPr>
        <w:t>вино.</w:t>
      </w:r>
    </w:p>
    <w:p w14:paraId="5577F43C" w14:textId="77777777"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Малкото количество алкохол в това лекарство няма да има забележими ефекти.</w:t>
      </w:r>
    </w:p>
    <w:p w14:paraId="75E1733E" w14:textId="77777777"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 xml:space="preserve">Този лекарствен продукт съдържа 1000 </w:t>
      </w:r>
      <w:r w:rsidRPr="00AE4DFB">
        <w:rPr>
          <w:rFonts w:eastAsia="Times New Roman" w:cs="Arial"/>
          <w:color w:val="000000"/>
          <w:lang w:val="en-US"/>
        </w:rPr>
        <w:t>mg</w:t>
      </w:r>
      <w:r w:rsidRPr="00114D09">
        <w:rPr>
          <w:rFonts w:eastAsia="Times New Roman" w:cs="Arial"/>
          <w:color w:val="000000"/>
          <w:lang w:val="ru-RU"/>
        </w:rPr>
        <w:t xml:space="preserve"> </w:t>
      </w:r>
      <w:proofErr w:type="spellStart"/>
      <w:r w:rsidRPr="00AE4DFB">
        <w:rPr>
          <w:rFonts w:eastAsia="Times New Roman" w:cs="Arial"/>
          <w:color w:val="000000"/>
          <w:lang w:eastAsia="bg-BG"/>
        </w:rPr>
        <w:t>бензилов</w:t>
      </w:r>
      <w:proofErr w:type="spellEnd"/>
      <w:r w:rsidRPr="00AE4DFB">
        <w:rPr>
          <w:rFonts w:eastAsia="Times New Roman" w:cs="Arial"/>
          <w:color w:val="000000"/>
          <w:lang w:eastAsia="bg-BG"/>
        </w:rPr>
        <w:t xml:space="preserve"> алкохол на дадена доза, което е еквивалентно на 100 </w:t>
      </w:r>
      <w:r w:rsidRPr="00AE4DFB">
        <w:rPr>
          <w:rFonts w:eastAsia="Times New Roman" w:cs="Arial"/>
          <w:color w:val="000000"/>
          <w:lang w:val="en-US"/>
        </w:rPr>
        <w:t>mg</w:t>
      </w:r>
      <w:r w:rsidRPr="00114D09">
        <w:rPr>
          <w:rFonts w:eastAsia="Times New Roman" w:cs="Arial"/>
          <w:color w:val="000000"/>
          <w:lang w:val="ru-RU"/>
        </w:rPr>
        <w:t>/</w:t>
      </w:r>
      <w:r w:rsidRPr="00AE4DFB">
        <w:rPr>
          <w:rFonts w:eastAsia="Times New Roman" w:cs="Arial"/>
          <w:color w:val="000000"/>
          <w:lang w:val="en-US"/>
        </w:rPr>
        <w:t>ml</w:t>
      </w:r>
      <w:r w:rsidRPr="00114D09">
        <w:rPr>
          <w:rFonts w:eastAsia="Times New Roman" w:cs="Arial"/>
          <w:color w:val="000000"/>
          <w:lang w:val="ru-RU"/>
        </w:rPr>
        <w:t>.</w:t>
      </w:r>
    </w:p>
    <w:p w14:paraId="650EFC5F" w14:textId="209A34DC"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Бензиловият алкохол може да причини алергични реакции.</w:t>
      </w:r>
    </w:p>
    <w:p w14:paraId="0AF4A341" w14:textId="77777777"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Бензиловият алкохол се свързва с риск от тежки нежелани реакции, включително проблеми с дишането (наречени „синдром на задушаване”) при малки деца.</w:t>
      </w:r>
    </w:p>
    <w:p w14:paraId="6627A6D0" w14:textId="77777777"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Повишен риск поради акумулиране при малки деца.</w:t>
      </w:r>
    </w:p>
    <w:p w14:paraId="1A376E3A" w14:textId="77777777"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Големи обеми трябва да се използват с повишено внимание и само ако е необходимо, особено при лица с чернодробно или бъбречно увреждане поради риск от кумулиране и токсичност (метаболитна ацидоза).</w:t>
      </w:r>
    </w:p>
    <w:p w14:paraId="02FF8B93" w14:textId="77777777" w:rsidR="00AE4DFB" w:rsidRPr="00AE4DFB" w:rsidRDefault="00AE4DFB" w:rsidP="00AE4DFB">
      <w:pPr>
        <w:spacing w:line="240" w:lineRule="auto"/>
        <w:rPr>
          <w:rFonts w:eastAsia="Times New Roman" w:cs="Arial"/>
          <w:color w:val="000000"/>
          <w:lang w:eastAsia="bg-BG"/>
        </w:rPr>
      </w:pPr>
    </w:p>
    <w:p w14:paraId="5B8C79CA" w14:textId="19EF0E2D"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 xml:space="preserve">Този лекарствен продукт съдържа 1500 </w:t>
      </w:r>
      <w:r w:rsidRPr="00AE4DFB">
        <w:rPr>
          <w:rFonts w:eastAsia="Times New Roman" w:cs="Arial"/>
          <w:color w:val="000000"/>
          <w:lang w:val="en-US"/>
        </w:rPr>
        <w:t>mg</w:t>
      </w:r>
      <w:r w:rsidRPr="00114D09">
        <w:rPr>
          <w:rFonts w:eastAsia="Times New Roman" w:cs="Arial"/>
          <w:color w:val="000000"/>
          <w:lang w:val="ru-RU"/>
        </w:rPr>
        <w:t xml:space="preserve"> </w:t>
      </w:r>
      <w:r w:rsidRPr="00AE4DFB">
        <w:rPr>
          <w:rFonts w:eastAsia="Times New Roman" w:cs="Arial"/>
          <w:color w:val="000000"/>
          <w:lang w:eastAsia="bg-BG"/>
        </w:rPr>
        <w:t xml:space="preserve">бензил бензоат на дадена доза, което е еквивалентно на 150 </w:t>
      </w:r>
      <w:r w:rsidRPr="00AE4DFB">
        <w:rPr>
          <w:rFonts w:eastAsia="Times New Roman" w:cs="Arial"/>
          <w:color w:val="000000"/>
          <w:lang w:val="en-US"/>
        </w:rPr>
        <w:t>mg</w:t>
      </w:r>
      <w:r w:rsidRPr="00114D09">
        <w:rPr>
          <w:rFonts w:eastAsia="Times New Roman" w:cs="Arial"/>
          <w:color w:val="000000"/>
          <w:lang w:val="ru-RU"/>
        </w:rPr>
        <w:t>/</w:t>
      </w:r>
      <w:r w:rsidRPr="00AE4DFB">
        <w:rPr>
          <w:rFonts w:eastAsia="Times New Roman" w:cs="Arial"/>
          <w:color w:val="000000"/>
          <w:lang w:val="en-US"/>
        </w:rPr>
        <w:t>ml</w:t>
      </w:r>
      <w:r w:rsidRPr="00114D09">
        <w:rPr>
          <w:rFonts w:eastAsia="Times New Roman" w:cs="Arial"/>
          <w:color w:val="000000"/>
          <w:lang w:val="ru-RU"/>
        </w:rPr>
        <w:t>.</w:t>
      </w:r>
    </w:p>
    <w:p w14:paraId="6FF3B6E7" w14:textId="3729289A" w:rsidR="00AE4DFB" w:rsidRPr="00AE4DFB" w:rsidRDefault="00AE4DFB" w:rsidP="00AE4DFB">
      <w:pPr>
        <w:rPr>
          <w:rFonts w:cs="Arial"/>
          <w:sz w:val="24"/>
        </w:rPr>
      </w:pPr>
      <w:r w:rsidRPr="00AE4DFB">
        <w:rPr>
          <w:rFonts w:eastAsia="Times New Roman" w:cs="Arial"/>
          <w:color w:val="000000"/>
          <w:lang w:eastAsia="bg-BG"/>
        </w:rPr>
        <w:t>Бензил бензоатът може да засили симптомите на жълтеница (пожълтяване на кожата и очите) при новородените (на възраст до 4 седмици). Повишаване на билирубинемия, последвано от изместване от албумин може да повиши неонатална жълтеница, която може да се развие в керниктер (не-свързан билирубин се отлага в мозъчната тъкан).</w:t>
      </w:r>
    </w:p>
    <w:p w14:paraId="24E3E82F" w14:textId="77777777" w:rsidR="0091385D" w:rsidRPr="0091385D" w:rsidRDefault="0091385D"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17A956E1" w14:textId="77777777"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 xml:space="preserve">Клинично проучване за взаимодействие с мидазолам (субстрат на </w:t>
      </w:r>
      <w:r w:rsidRPr="00AE4DFB">
        <w:rPr>
          <w:rFonts w:eastAsia="Times New Roman" w:cs="Arial"/>
          <w:color w:val="000000"/>
          <w:lang w:val="en-US"/>
        </w:rPr>
        <w:t>CYP</w:t>
      </w:r>
      <w:r w:rsidRPr="00114D09">
        <w:rPr>
          <w:rFonts w:eastAsia="Times New Roman" w:cs="Arial"/>
          <w:color w:val="000000"/>
          <w:lang w:val="ru-RU"/>
        </w:rPr>
        <w:t>3</w:t>
      </w:r>
      <w:r w:rsidRPr="00AE4DFB">
        <w:rPr>
          <w:rFonts w:eastAsia="Times New Roman" w:cs="Arial"/>
          <w:color w:val="000000"/>
          <w:lang w:val="en-US"/>
        </w:rPr>
        <w:t>A</w:t>
      </w:r>
      <w:r w:rsidRPr="00114D09">
        <w:rPr>
          <w:rFonts w:eastAsia="Times New Roman" w:cs="Arial"/>
          <w:color w:val="000000"/>
          <w:lang w:val="ru-RU"/>
        </w:rPr>
        <w:t xml:space="preserve">4) </w:t>
      </w:r>
      <w:r w:rsidRPr="00AE4DFB">
        <w:rPr>
          <w:rFonts w:eastAsia="Times New Roman" w:cs="Arial"/>
          <w:color w:val="000000"/>
          <w:lang w:eastAsia="bg-BG"/>
        </w:rPr>
        <w:t xml:space="preserve">демонстрира, че </w:t>
      </w:r>
      <w:proofErr w:type="spellStart"/>
      <w:r w:rsidRPr="00AE4DFB">
        <w:rPr>
          <w:rFonts w:eastAsia="Times New Roman" w:cs="Arial"/>
          <w:color w:val="000000"/>
          <w:lang w:eastAsia="bg-BG"/>
        </w:rPr>
        <w:t>фулвестрант</w:t>
      </w:r>
      <w:proofErr w:type="spellEnd"/>
      <w:r w:rsidRPr="00AE4DFB">
        <w:rPr>
          <w:rFonts w:eastAsia="Times New Roman" w:cs="Arial"/>
          <w:color w:val="000000"/>
          <w:lang w:eastAsia="bg-BG"/>
        </w:rPr>
        <w:t xml:space="preserve"> не инхибира </w:t>
      </w:r>
      <w:r w:rsidRPr="00AE4DFB">
        <w:rPr>
          <w:rFonts w:eastAsia="Times New Roman" w:cs="Arial"/>
          <w:color w:val="000000"/>
          <w:lang w:val="en-US"/>
        </w:rPr>
        <w:t>CYP</w:t>
      </w:r>
      <w:r w:rsidRPr="00114D09">
        <w:rPr>
          <w:rFonts w:eastAsia="Times New Roman" w:cs="Arial"/>
          <w:color w:val="000000"/>
          <w:lang w:val="ru-RU"/>
        </w:rPr>
        <w:t>3</w:t>
      </w:r>
      <w:r w:rsidRPr="00AE4DFB">
        <w:rPr>
          <w:rFonts w:eastAsia="Times New Roman" w:cs="Arial"/>
          <w:color w:val="000000"/>
          <w:lang w:val="en-US"/>
        </w:rPr>
        <w:t>A</w:t>
      </w:r>
      <w:r w:rsidRPr="00114D09">
        <w:rPr>
          <w:rFonts w:eastAsia="Times New Roman" w:cs="Arial"/>
          <w:color w:val="000000"/>
          <w:lang w:val="ru-RU"/>
        </w:rPr>
        <w:t xml:space="preserve">4. </w:t>
      </w:r>
      <w:r w:rsidRPr="00AE4DFB">
        <w:rPr>
          <w:rFonts w:eastAsia="Times New Roman" w:cs="Arial"/>
          <w:color w:val="000000"/>
          <w:lang w:eastAsia="bg-BG"/>
        </w:rPr>
        <w:t xml:space="preserve">Клинични проучвания за взаимодействие с </w:t>
      </w:r>
      <w:proofErr w:type="spellStart"/>
      <w:r w:rsidRPr="00AE4DFB">
        <w:rPr>
          <w:rFonts w:eastAsia="Times New Roman" w:cs="Arial"/>
          <w:color w:val="000000"/>
          <w:lang w:eastAsia="bg-BG"/>
        </w:rPr>
        <w:t>рифампицин</w:t>
      </w:r>
      <w:proofErr w:type="spellEnd"/>
      <w:r w:rsidRPr="00AE4DFB">
        <w:rPr>
          <w:rFonts w:eastAsia="Times New Roman" w:cs="Arial"/>
          <w:color w:val="000000"/>
          <w:lang w:eastAsia="bg-BG"/>
        </w:rPr>
        <w:t xml:space="preserve"> (индуктор на </w:t>
      </w:r>
      <w:r w:rsidRPr="00AE4DFB">
        <w:rPr>
          <w:rFonts w:eastAsia="Times New Roman" w:cs="Arial"/>
          <w:color w:val="000000"/>
          <w:lang w:val="en-US"/>
        </w:rPr>
        <w:t>CYP</w:t>
      </w:r>
      <w:r w:rsidRPr="00114D09">
        <w:rPr>
          <w:rFonts w:eastAsia="Times New Roman" w:cs="Arial"/>
          <w:color w:val="000000"/>
          <w:lang w:val="ru-RU"/>
        </w:rPr>
        <w:t>3</w:t>
      </w:r>
      <w:r w:rsidRPr="00AE4DFB">
        <w:rPr>
          <w:rFonts w:eastAsia="Times New Roman" w:cs="Arial"/>
          <w:color w:val="000000"/>
          <w:lang w:val="en-US"/>
        </w:rPr>
        <w:t>A</w:t>
      </w:r>
      <w:r w:rsidRPr="00114D09">
        <w:rPr>
          <w:rFonts w:eastAsia="Times New Roman" w:cs="Arial"/>
          <w:color w:val="000000"/>
          <w:lang w:val="ru-RU"/>
        </w:rPr>
        <w:t xml:space="preserve">4) </w:t>
      </w:r>
      <w:r w:rsidRPr="00AE4DFB">
        <w:rPr>
          <w:rFonts w:eastAsia="Times New Roman" w:cs="Arial"/>
          <w:color w:val="000000"/>
          <w:lang w:eastAsia="bg-BG"/>
        </w:rPr>
        <w:t xml:space="preserve">и </w:t>
      </w:r>
      <w:proofErr w:type="spellStart"/>
      <w:r w:rsidRPr="00AE4DFB">
        <w:rPr>
          <w:rFonts w:eastAsia="Times New Roman" w:cs="Arial"/>
          <w:color w:val="000000"/>
          <w:lang w:eastAsia="bg-BG"/>
        </w:rPr>
        <w:t>кетоконазол</w:t>
      </w:r>
      <w:proofErr w:type="spellEnd"/>
      <w:r w:rsidRPr="00AE4DFB">
        <w:rPr>
          <w:rFonts w:eastAsia="Times New Roman" w:cs="Arial"/>
          <w:color w:val="000000"/>
          <w:lang w:eastAsia="bg-BG"/>
        </w:rPr>
        <w:t xml:space="preserve"> (инхибитор на </w:t>
      </w:r>
      <w:r w:rsidRPr="00AE4DFB">
        <w:rPr>
          <w:rFonts w:eastAsia="Times New Roman" w:cs="Arial"/>
          <w:color w:val="000000"/>
          <w:lang w:val="en-US"/>
        </w:rPr>
        <w:t>CYP</w:t>
      </w:r>
      <w:r w:rsidRPr="00114D09">
        <w:rPr>
          <w:rFonts w:eastAsia="Times New Roman" w:cs="Arial"/>
          <w:color w:val="000000"/>
          <w:lang w:val="ru-RU"/>
        </w:rPr>
        <w:t>3</w:t>
      </w:r>
      <w:r w:rsidRPr="00AE4DFB">
        <w:rPr>
          <w:rFonts w:eastAsia="Times New Roman" w:cs="Arial"/>
          <w:color w:val="000000"/>
          <w:lang w:val="en-US"/>
        </w:rPr>
        <w:t>A</w:t>
      </w:r>
      <w:r w:rsidRPr="00114D09">
        <w:rPr>
          <w:rFonts w:eastAsia="Times New Roman" w:cs="Arial"/>
          <w:color w:val="000000"/>
          <w:lang w:val="ru-RU"/>
        </w:rPr>
        <w:t xml:space="preserve">4) </w:t>
      </w:r>
      <w:r w:rsidRPr="00AE4DFB">
        <w:rPr>
          <w:rFonts w:eastAsia="Times New Roman" w:cs="Arial"/>
          <w:color w:val="000000"/>
          <w:lang w:eastAsia="bg-BG"/>
        </w:rPr>
        <w:t xml:space="preserve">не показват клинично значима промяна в </w:t>
      </w:r>
      <w:proofErr w:type="spellStart"/>
      <w:r w:rsidRPr="00AE4DFB">
        <w:rPr>
          <w:rFonts w:eastAsia="Times New Roman" w:cs="Arial"/>
          <w:color w:val="000000"/>
          <w:lang w:eastAsia="bg-BG"/>
        </w:rPr>
        <w:t>клирънса</w:t>
      </w:r>
      <w:proofErr w:type="spellEnd"/>
      <w:r w:rsidRPr="00AE4DFB">
        <w:rPr>
          <w:rFonts w:eastAsia="Times New Roman" w:cs="Arial"/>
          <w:color w:val="000000"/>
          <w:lang w:eastAsia="bg-BG"/>
        </w:rPr>
        <w:t xml:space="preserve"> на </w:t>
      </w:r>
      <w:proofErr w:type="spellStart"/>
      <w:r w:rsidRPr="00AE4DFB">
        <w:rPr>
          <w:rFonts w:eastAsia="Times New Roman" w:cs="Arial"/>
          <w:color w:val="000000"/>
          <w:lang w:eastAsia="bg-BG"/>
        </w:rPr>
        <w:t>фулвестрант</w:t>
      </w:r>
      <w:proofErr w:type="spellEnd"/>
      <w:r w:rsidRPr="00AE4DFB">
        <w:rPr>
          <w:rFonts w:eastAsia="Times New Roman" w:cs="Arial"/>
          <w:color w:val="000000"/>
          <w:lang w:eastAsia="bg-BG"/>
        </w:rPr>
        <w:t>.</w:t>
      </w:r>
    </w:p>
    <w:p w14:paraId="172AE819" w14:textId="5676AA69" w:rsidR="0091385D" w:rsidRPr="00AE4DFB" w:rsidRDefault="00AE4DFB" w:rsidP="00AE4DFB">
      <w:pPr>
        <w:rPr>
          <w:rFonts w:cs="Arial"/>
        </w:rPr>
      </w:pPr>
      <w:r w:rsidRPr="00AE4DFB">
        <w:rPr>
          <w:rFonts w:eastAsia="Times New Roman" w:cs="Arial"/>
          <w:color w:val="000000"/>
          <w:lang w:eastAsia="bg-BG"/>
        </w:rPr>
        <w:t xml:space="preserve">Следователно не е нужно адаптиране на дозата при пациенти, които приемат едновременно </w:t>
      </w:r>
      <w:proofErr w:type="spellStart"/>
      <w:r w:rsidRPr="00AE4DFB">
        <w:rPr>
          <w:rFonts w:eastAsia="Times New Roman" w:cs="Arial"/>
          <w:color w:val="000000"/>
          <w:lang w:eastAsia="bg-BG"/>
        </w:rPr>
        <w:t>фулвестрант</w:t>
      </w:r>
      <w:proofErr w:type="spellEnd"/>
      <w:r w:rsidRPr="00AE4DFB">
        <w:rPr>
          <w:rFonts w:eastAsia="Times New Roman" w:cs="Arial"/>
          <w:color w:val="000000"/>
          <w:lang w:eastAsia="bg-BG"/>
        </w:rPr>
        <w:t xml:space="preserve"> и инхибитори или индуктори на </w:t>
      </w:r>
      <w:r w:rsidRPr="00AE4DFB">
        <w:rPr>
          <w:rFonts w:eastAsia="Times New Roman" w:cs="Arial"/>
          <w:color w:val="000000"/>
          <w:lang w:val="en-US"/>
        </w:rPr>
        <w:t>CYP</w:t>
      </w:r>
      <w:r w:rsidRPr="00114D09">
        <w:rPr>
          <w:rFonts w:eastAsia="Times New Roman" w:cs="Arial"/>
          <w:color w:val="000000"/>
          <w:lang w:val="ru-RU"/>
        </w:rPr>
        <w:t>3</w:t>
      </w:r>
      <w:r w:rsidRPr="00AE4DFB">
        <w:rPr>
          <w:rFonts w:eastAsia="Times New Roman" w:cs="Arial"/>
          <w:color w:val="000000"/>
          <w:lang w:val="en-US"/>
        </w:rPr>
        <w:t>A</w:t>
      </w:r>
      <w:r w:rsidRPr="00114D09">
        <w:rPr>
          <w:rFonts w:eastAsia="Times New Roman" w:cs="Arial"/>
          <w:color w:val="000000"/>
          <w:lang w:val="ru-RU"/>
        </w:rPr>
        <w:t>4.</w:t>
      </w:r>
    </w:p>
    <w:p w14:paraId="5B2761C5" w14:textId="77777777" w:rsidR="0091385D" w:rsidRPr="0091385D" w:rsidRDefault="0091385D" w:rsidP="0091385D"/>
    <w:p w14:paraId="394A7584" w14:textId="10DEA5B3" w:rsidR="004F498A" w:rsidRDefault="002C50EE" w:rsidP="004A448E">
      <w:pPr>
        <w:pStyle w:val="Heading2"/>
      </w:pPr>
      <w:r>
        <w:t>4.6. Фертилитет, бременност и кърмене</w:t>
      </w:r>
    </w:p>
    <w:p w14:paraId="4887836B" w14:textId="11C96CFA" w:rsidR="0091385D" w:rsidRDefault="0091385D" w:rsidP="0091385D"/>
    <w:p w14:paraId="0C6CBDD6" w14:textId="77777777"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u w:val="single"/>
          <w:lang w:eastAsia="bg-BG"/>
        </w:rPr>
        <w:t>Жени с детероден потенциал</w:t>
      </w:r>
    </w:p>
    <w:p w14:paraId="42BB65E7" w14:textId="77777777"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Жени с детероден потенциал трябва да използват ефективна контрацепция по време на лечението с фулвестрант и за 2 години след последната доза..</w:t>
      </w:r>
    </w:p>
    <w:p w14:paraId="0D657A05" w14:textId="77777777" w:rsidR="00AE4DFB" w:rsidRPr="00AE4DFB" w:rsidRDefault="00AE4DFB" w:rsidP="00AE4DFB">
      <w:pPr>
        <w:spacing w:line="240" w:lineRule="auto"/>
        <w:rPr>
          <w:rFonts w:eastAsia="Times New Roman" w:cs="Arial"/>
          <w:color w:val="000000"/>
          <w:u w:val="single"/>
          <w:lang w:eastAsia="bg-BG"/>
        </w:rPr>
      </w:pPr>
    </w:p>
    <w:p w14:paraId="2A411A5F" w14:textId="5F319D1E" w:rsidR="00AE4DFB" w:rsidRPr="00AE4DFB" w:rsidRDefault="00AE4DFB" w:rsidP="00AE4DFB">
      <w:pPr>
        <w:pStyle w:val="Heading3"/>
        <w:rPr>
          <w:rFonts w:eastAsia="Times New Roman"/>
          <w:u w:val="single"/>
          <w:lang w:eastAsia="bg-BG"/>
        </w:rPr>
      </w:pPr>
      <w:r w:rsidRPr="00AE4DFB">
        <w:rPr>
          <w:rFonts w:eastAsia="Times New Roman"/>
          <w:u w:val="single"/>
          <w:lang w:eastAsia="bg-BG"/>
        </w:rPr>
        <w:t>Бременност</w:t>
      </w:r>
    </w:p>
    <w:p w14:paraId="1E9D84FB" w14:textId="77777777"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Приложението на Фулвестрант Сандоз по време на бременност е противопоказано (вж. точка 4.3). Има данни, че при плъхове и зайци след еднократно интрамускулно приложение фулвестрант минава през плацентата. Проучванията при животни показват наличие на репродуктивна токсичност, включително и повишена честота на фетални аномалии и смъртни случаи (вж. точка 5.3). Ако по време на приложението на Фулвестрант Сандоз настъпи бременност, пациентката трябва да бъде информирана за потенциалните опасности за плода и потенциалния риск за загубата му.</w:t>
      </w:r>
    </w:p>
    <w:p w14:paraId="141AB229" w14:textId="77777777" w:rsidR="00AE4DFB" w:rsidRPr="00AE4DFB" w:rsidRDefault="00AE4DFB" w:rsidP="00AE4DFB">
      <w:pPr>
        <w:spacing w:line="240" w:lineRule="auto"/>
        <w:rPr>
          <w:rFonts w:eastAsia="Times New Roman" w:cs="Arial"/>
          <w:color w:val="000000"/>
          <w:u w:val="single"/>
          <w:lang w:eastAsia="bg-BG"/>
        </w:rPr>
      </w:pPr>
    </w:p>
    <w:p w14:paraId="1C035C30" w14:textId="32878589" w:rsidR="00AE4DFB" w:rsidRPr="00AE4DFB" w:rsidRDefault="00AE4DFB" w:rsidP="00AE4DFB">
      <w:pPr>
        <w:pStyle w:val="Heading3"/>
        <w:rPr>
          <w:rFonts w:eastAsia="Times New Roman"/>
          <w:u w:val="single"/>
          <w:lang w:eastAsia="bg-BG"/>
        </w:rPr>
      </w:pPr>
      <w:r w:rsidRPr="00AE4DFB">
        <w:rPr>
          <w:rFonts w:eastAsia="Times New Roman"/>
          <w:u w:val="single"/>
          <w:lang w:eastAsia="bg-BG"/>
        </w:rPr>
        <w:t>Кърмене</w:t>
      </w:r>
    </w:p>
    <w:p w14:paraId="47F47075" w14:textId="77777777"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Кърменето трябва да се преустанови по време на лечение с Фулвестрант Сандоз. Фулвестрант се екскретира в млякото на плъхове, които кърмят. Не е известно дали фулвестрант се екскретира в кърмата. Поради потенциала от сериозни нежелани реакции от фулвестрант при кърмачета, употребата му по време на кърмене е противопоказана (вж. точка 4.3).</w:t>
      </w:r>
    </w:p>
    <w:p w14:paraId="61B7D7D7" w14:textId="77777777" w:rsidR="00AE4DFB" w:rsidRPr="00AE4DFB" w:rsidRDefault="00AE4DFB" w:rsidP="00AE4DFB">
      <w:pPr>
        <w:spacing w:line="240" w:lineRule="auto"/>
        <w:rPr>
          <w:rFonts w:eastAsia="Times New Roman" w:cs="Arial"/>
          <w:color w:val="000000"/>
          <w:u w:val="single"/>
          <w:lang w:eastAsia="bg-BG"/>
        </w:rPr>
      </w:pPr>
    </w:p>
    <w:p w14:paraId="078B1C3D" w14:textId="0906B76F" w:rsidR="00AE4DFB" w:rsidRPr="00AE4DFB" w:rsidRDefault="00AE4DFB" w:rsidP="00AE4DFB">
      <w:pPr>
        <w:pStyle w:val="Heading3"/>
        <w:rPr>
          <w:rFonts w:eastAsia="Times New Roman"/>
          <w:u w:val="single"/>
          <w:lang w:eastAsia="bg-BG"/>
        </w:rPr>
      </w:pPr>
      <w:r w:rsidRPr="00AE4DFB">
        <w:rPr>
          <w:rFonts w:eastAsia="Times New Roman"/>
          <w:u w:val="single"/>
          <w:lang w:eastAsia="bg-BG"/>
        </w:rPr>
        <w:t>Фертилитет</w:t>
      </w:r>
    </w:p>
    <w:p w14:paraId="776662C5" w14:textId="7EC6FA91" w:rsidR="0091385D" w:rsidRPr="00AE4DFB" w:rsidRDefault="00AE4DFB" w:rsidP="00AE4DFB">
      <w:pPr>
        <w:rPr>
          <w:rFonts w:cs="Arial"/>
        </w:rPr>
      </w:pPr>
      <w:r w:rsidRPr="00AE4DFB">
        <w:rPr>
          <w:rFonts w:eastAsia="Times New Roman" w:cs="Arial"/>
          <w:color w:val="000000"/>
          <w:lang w:eastAsia="bg-BG"/>
        </w:rPr>
        <w:t>Ефектите на Фулвестрант Сандоз върху фертилитета при хора не са проучвани.</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2676810A" w:rsidR="0091385D" w:rsidRDefault="0091385D" w:rsidP="0091385D"/>
    <w:p w14:paraId="2B4135A6" w14:textId="23E58020" w:rsidR="0091385D" w:rsidRDefault="00AE4DFB" w:rsidP="0091385D">
      <w:r>
        <w:t>Фулвестрант Сандоз не повлиява или повлиява незначително способността за шофиране и работа с машини. Въпреки това, тъй като при лечение с Фулвестрант Сандоз има много чести съобщения за астения, пациентите, които развият тази нежелана реакция, трябва да подхождат с повишено внимание към шофирането и работата с машини.</w:t>
      </w:r>
    </w:p>
    <w:p w14:paraId="35801A15" w14:textId="77777777" w:rsidR="0091385D" w:rsidRPr="0091385D" w:rsidRDefault="0091385D" w:rsidP="0091385D"/>
    <w:p w14:paraId="37A3FD9F" w14:textId="0E7561E3" w:rsidR="00CF77F7" w:rsidRDefault="002C50EE" w:rsidP="004A448E">
      <w:pPr>
        <w:pStyle w:val="Heading2"/>
      </w:pPr>
      <w:r>
        <w:t>4.8. Нежелани лекарствени реакции</w:t>
      </w:r>
    </w:p>
    <w:p w14:paraId="4838F52A" w14:textId="4C2232D6" w:rsidR="0091385D" w:rsidRDefault="0091385D" w:rsidP="0091385D"/>
    <w:p w14:paraId="41E8CE57" w14:textId="77777777"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Обобщен профил на безопасност</w:t>
      </w:r>
    </w:p>
    <w:p w14:paraId="1B40AF2F" w14:textId="77777777" w:rsidR="00AE4DFB" w:rsidRPr="00AE4DFB" w:rsidRDefault="00AE4DFB" w:rsidP="00AE4DFB">
      <w:pPr>
        <w:spacing w:line="240" w:lineRule="auto"/>
        <w:rPr>
          <w:rFonts w:eastAsia="Times New Roman" w:cs="Arial"/>
          <w:sz w:val="24"/>
          <w:szCs w:val="24"/>
          <w:lang w:eastAsia="bg-BG"/>
        </w:rPr>
      </w:pPr>
      <w:r w:rsidRPr="00AE4DFB">
        <w:rPr>
          <w:rFonts w:eastAsia="Times New Roman" w:cs="Arial"/>
          <w:i/>
          <w:iCs/>
          <w:color w:val="000000"/>
          <w:lang w:eastAsia="bg-BG"/>
        </w:rPr>
        <w:t>Монотперапия</w:t>
      </w:r>
    </w:p>
    <w:p w14:paraId="1B8D4DCE" w14:textId="77777777"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В тази точка е представена информация, основана на всички нежелани реакции от клинични изпитвания, постмаркетингови проучвания или спонтанни съобщения. В обобщените данни за монотерапия с фулвестрант най-често съобщаваните нежелани реакции са реакции на мястото на инжектиране, астения, гадене и повишени чернодробни ензими (АЛАТ, АС АТ, АФ).</w:t>
      </w:r>
    </w:p>
    <w:p w14:paraId="16EEA65D" w14:textId="77777777"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 xml:space="preserve">Посочените в Таблица 1 по-долу категории по честота на нежеланите лекарствени реакции (НЛР) са изчислени въз основа на сборни анализи на безопасността при групи на лечение с </w:t>
      </w:r>
      <w:proofErr w:type="spellStart"/>
      <w:r w:rsidRPr="00AE4DFB">
        <w:rPr>
          <w:rFonts w:eastAsia="Times New Roman" w:cs="Arial"/>
          <w:color w:val="000000"/>
          <w:lang w:eastAsia="bg-BG"/>
        </w:rPr>
        <w:t>фулвестрант</w:t>
      </w:r>
      <w:proofErr w:type="spellEnd"/>
      <w:r w:rsidRPr="00AE4DFB">
        <w:rPr>
          <w:rFonts w:eastAsia="Times New Roman" w:cs="Arial"/>
          <w:color w:val="000000"/>
          <w:lang w:eastAsia="bg-BG"/>
        </w:rPr>
        <w:t xml:space="preserve"> 500 </w:t>
      </w:r>
      <w:r w:rsidRPr="00AE4DFB">
        <w:rPr>
          <w:rFonts w:eastAsia="Times New Roman" w:cs="Arial"/>
          <w:color w:val="000000"/>
          <w:lang w:val="en-US"/>
        </w:rPr>
        <w:t>mg</w:t>
      </w:r>
      <w:r w:rsidRPr="00114D09">
        <w:rPr>
          <w:rFonts w:eastAsia="Times New Roman" w:cs="Arial"/>
          <w:color w:val="000000"/>
          <w:lang w:val="ru-RU"/>
        </w:rPr>
        <w:t xml:space="preserve"> </w:t>
      </w:r>
      <w:r w:rsidRPr="00AE4DFB">
        <w:rPr>
          <w:rFonts w:eastAsia="Times New Roman" w:cs="Arial"/>
          <w:color w:val="000000"/>
          <w:lang w:eastAsia="bg-BG"/>
        </w:rPr>
        <w:t xml:space="preserve">в изпитвания, които сравняват </w:t>
      </w:r>
      <w:proofErr w:type="spellStart"/>
      <w:r w:rsidRPr="00AE4DFB">
        <w:rPr>
          <w:rFonts w:eastAsia="Times New Roman" w:cs="Arial"/>
          <w:color w:val="000000"/>
          <w:lang w:eastAsia="bg-BG"/>
        </w:rPr>
        <w:t>фулвестрант</w:t>
      </w:r>
      <w:proofErr w:type="spellEnd"/>
      <w:r w:rsidRPr="00AE4DFB">
        <w:rPr>
          <w:rFonts w:eastAsia="Times New Roman" w:cs="Arial"/>
          <w:color w:val="000000"/>
          <w:lang w:eastAsia="bg-BG"/>
        </w:rPr>
        <w:t xml:space="preserve"> 500 </w:t>
      </w:r>
      <w:r w:rsidRPr="00AE4DFB">
        <w:rPr>
          <w:rFonts w:eastAsia="Times New Roman" w:cs="Arial"/>
          <w:color w:val="000000"/>
          <w:lang w:val="en-US"/>
        </w:rPr>
        <w:t>mg</w:t>
      </w:r>
      <w:r w:rsidRPr="00114D09">
        <w:rPr>
          <w:rFonts w:eastAsia="Times New Roman" w:cs="Arial"/>
          <w:color w:val="000000"/>
          <w:lang w:val="ru-RU"/>
        </w:rPr>
        <w:t xml:space="preserve"> </w:t>
      </w:r>
      <w:r w:rsidRPr="00AE4DFB">
        <w:rPr>
          <w:rFonts w:eastAsia="Times New Roman" w:cs="Arial"/>
          <w:color w:val="000000"/>
          <w:lang w:eastAsia="bg-BG"/>
        </w:rPr>
        <w:t xml:space="preserve">с </w:t>
      </w:r>
      <w:proofErr w:type="spellStart"/>
      <w:r w:rsidRPr="00AE4DFB">
        <w:rPr>
          <w:rFonts w:eastAsia="Times New Roman" w:cs="Arial"/>
          <w:color w:val="000000"/>
          <w:lang w:eastAsia="bg-BG"/>
        </w:rPr>
        <w:t>фулвестрант</w:t>
      </w:r>
      <w:proofErr w:type="spellEnd"/>
      <w:r w:rsidRPr="00AE4DFB">
        <w:rPr>
          <w:rFonts w:eastAsia="Times New Roman" w:cs="Arial"/>
          <w:color w:val="000000"/>
          <w:lang w:eastAsia="bg-BG"/>
        </w:rPr>
        <w:t xml:space="preserve"> 250 </w:t>
      </w:r>
      <w:r w:rsidRPr="00AE4DFB">
        <w:rPr>
          <w:rFonts w:eastAsia="Times New Roman" w:cs="Arial"/>
          <w:color w:val="000000"/>
          <w:lang w:val="en-US"/>
        </w:rPr>
        <w:t>mg</w:t>
      </w:r>
      <w:r w:rsidRPr="00114D09">
        <w:rPr>
          <w:rFonts w:eastAsia="Times New Roman" w:cs="Arial"/>
          <w:color w:val="000000"/>
          <w:lang w:val="ru-RU"/>
        </w:rPr>
        <w:t xml:space="preserve"> [</w:t>
      </w:r>
      <w:r w:rsidRPr="00AE4DFB">
        <w:rPr>
          <w:rFonts w:eastAsia="Times New Roman" w:cs="Arial"/>
          <w:color w:val="000000"/>
          <w:lang w:val="en-US"/>
        </w:rPr>
        <w:t>CONFIRM</w:t>
      </w:r>
      <w:r w:rsidRPr="00114D09">
        <w:rPr>
          <w:rFonts w:eastAsia="Times New Roman" w:cs="Arial"/>
          <w:color w:val="000000"/>
          <w:lang w:val="ru-RU"/>
        </w:rPr>
        <w:t xml:space="preserve"> </w:t>
      </w:r>
      <w:r w:rsidRPr="00AE4DFB">
        <w:rPr>
          <w:rFonts w:eastAsia="Times New Roman" w:cs="Arial"/>
          <w:color w:val="000000"/>
          <w:lang w:eastAsia="bg-BG"/>
        </w:rPr>
        <w:t xml:space="preserve">(изпитване </w:t>
      </w:r>
      <w:r w:rsidRPr="00AE4DFB">
        <w:rPr>
          <w:rFonts w:eastAsia="Times New Roman" w:cs="Arial"/>
          <w:color w:val="000000"/>
          <w:lang w:val="en-US"/>
        </w:rPr>
        <w:t>D</w:t>
      </w:r>
      <w:r w:rsidRPr="00114D09">
        <w:rPr>
          <w:rFonts w:eastAsia="Times New Roman" w:cs="Arial"/>
          <w:color w:val="000000"/>
          <w:lang w:val="ru-RU"/>
        </w:rPr>
        <w:t>6997</w:t>
      </w:r>
      <w:r w:rsidRPr="00AE4DFB">
        <w:rPr>
          <w:rFonts w:eastAsia="Times New Roman" w:cs="Arial"/>
          <w:color w:val="000000"/>
          <w:lang w:val="en-US"/>
        </w:rPr>
        <w:t>C</w:t>
      </w:r>
      <w:r w:rsidRPr="00114D09">
        <w:rPr>
          <w:rFonts w:eastAsia="Times New Roman" w:cs="Arial"/>
          <w:color w:val="000000"/>
          <w:lang w:val="ru-RU"/>
        </w:rPr>
        <w:t xml:space="preserve">00002), </w:t>
      </w:r>
      <w:r w:rsidRPr="00AE4DFB">
        <w:rPr>
          <w:rFonts w:eastAsia="Times New Roman" w:cs="Arial"/>
          <w:color w:val="000000"/>
          <w:lang w:val="en-US"/>
        </w:rPr>
        <w:t>FINDER</w:t>
      </w:r>
      <w:r w:rsidRPr="00114D09">
        <w:rPr>
          <w:rFonts w:eastAsia="Times New Roman" w:cs="Arial"/>
          <w:color w:val="000000"/>
          <w:lang w:val="ru-RU"/>
        </w:rPr>
        <w:t xml:space="preserve"> </w:t>
      </w:r>
      <w:r w:rsidRPr="00AE4DFB">
        <w:rPr>
          <w:rFonts w:eastAsia="Times New Roman" w:cs="Arial"/>
          <w:color w:val="000000"/>
          <w:lang w:eastAsia="bg-BG"/>
        </w:rPr>
        <w:t xml:space="preserve">1 (изпитване </w:t>
      </w:r>
      <w:r w:rsidRPr="00AE4DFB">
        <w:rPr>
          <w:rFonts w:eastAsia="Times New Roman" w:cs="Arial"/>
          <w:color w:val="000000"/>
          <w:lang w:val="en-US"/>
        </w:rPr>
        <w:t>D</w:t>
      </w:r>
      <w:r w:rsidRPr="00114D09">
        <w:rPr>
          <w:rFonts w:eastAsia="Times New Roman" w:cs="Arial"/>
          <w:color w:val="000000"/>
          <w:lang w:val="ru-RU"/>
        </w:rPr>
        <w:t>6997</w:t>
      </w:r>
      <w:r w:rsidRPr="00AE4DFB">
        <w:rPr>
          <w:rFonts w:eastAsia="Times New Roman" w:cs="Arial"/>
          <w:color w:val="000000"/>
          <w:lang w:val="en-US"/>
        </w:rPr>
        <w:t>C</w:t>
      </w:r>
      <w:r w:rsidRPr="00114D09">
        <w:rPr>
          <w:rFonts w:eastAsia="Times New Roman" w:cs="Arial"/>
          <w:color w:val="000000"/>
          <w:lang w:val="ru-RU"/>
        </w:rPr>
        <w:t xml:space="preserve">00004), </w:t>
      </w:r>
      <w:r w:rsidRPr="00AE4DFB">
        <w:rPr>
          <w:rFonts w:eastAsia="Times New Roman" w:cs="Arial"/>
          <w:color w:val="000000"/>
          <w:lang w:val="en-US"/>
        </w:rPr>
        <w:t>FINDER</w:t>
      </w:r>
      <w:r w:rsidRPr="00114D09">
        <w:rPr>
          <w:rFonts w:eastAsia="Times New Roman" w:cs="Arial"/>
          <w:color w:val="000000"/>
          <w:lang w:val="ru-RU"/>
        </w:rPr>
        <w:t xml:space="preserve"> </w:t>
      </w:r>
      <w:r w:rsidRPr="00AE4DFB">
        <w:rPr>
          <w:rFonts w:eastAsia="Times New Roman" w:cs="Arial"/>
          <w:color w:val="000000"/>
          <w:lang w:eastAsia="bg-BG"/>
        </w:rPr>
        <w:t xml:space="preserve">2 (изпитване </w:t>
      </w:r>
      <w:r w:rsidRPr="00AE4DFB">
        <w:rPr>
          <w:rFonts w:eastAsia="Times New Roman" w:cs="Arial"/>
          <w:color w:val="000000"/>
          <w:lang w:val="en-US"/>
        </w:rPr>
        <w:t>D</w:t>
      </w:r>
      <w:r w:rsidRPr="00114D09">
        <w:rPr>
          <w:rFonts w:eastAsia="Times New Roman" w:cs="Arial"/>
          <w:color w:val="000000"/>
          <w:lang w:val="ru-RU"/>
        </w:rPr>
        <w:t>6997</w:t>
      </w:r>
      <w:r w:rsidRPr="00AE4DFB">
        <w:rPr>
          <w:rFonts w:eastAsia="Times New Roman" w:cs="Arial"/>
          <w:color w:val="000000"/>
          <w:lang w:val="en-US"/>
        </w:rPr>
        <w:t>C</w:t>
      </w:r>
      <w:r w:rsidRPr="00114D09">
        <w:rPr>
          <w:rFonts w:eastAsia="Times New Roman" w:cs="Arial"/>
          <w:color w:val="000000"/>
          <w:lang w:val="ru-RU"/>
        </w:rPr>
        <w:t xml:space="preserve">00006) </w:t>
      </w:r>
      <w:r w:rsidRPr="00AE4DFB">
        <w:rPr>
          <w:rFonts w:eastAsia="Times New Roman" w:cs="Arial"/>
          <w:color w:val="000000"/>
          <w:lang w:eastAsia="bg-BG"/>
        </w:rPr>
        <w:t xml:space="preserve">и </w:t>
      </w:r>
      <w:r w:rsidRPr="00AE4DFB">
        <w:rPr>
          <w:rFonts w:eastAsia="Times New Roman" w:cs="Arial"/>
          <w:color w:val="000000"/>
          <w:lang w:val="en-US"/>
        </w:rPr>
        <w:t>NEWEST</w:t>
      </w:r>
      <w:r w:rsidRPr="00114D09">
        <w:rPr>
          <w:rFonts w:eastAsia="Times New Roman" w:cs="Arial"/>
          <w:color w:val="000000"/>
          <w:lang w:val="ru-RU"/>
        </w:rPr>
        <w:t xml:space="preserve"> </w:t>
      </w:r>
      <w:r w:rsidRPr="00AE4DFB">
        <w:rPr>
          <w:rFonts w:eastAsia="Times New Roman" w:cs="Arial"/>
          <w:color w:val="000000"/>
          <w:lang w:eastAsia="bg-BG"/>
        </w:rPr>
        <w:t xml:space="preserve">(изпитване </w:t>
      </w:r>
      <w:r w:rsidRPr="00AE4DFB">
        <w:rPr>
          <w:rFonts w:eastAsia="Times New Roman" w:cs="Arial"/>
          <w:color w:val="000000"/>
          <w:lang w:val="en-US"/>
        </w:rPr>
        <w:t>D</w:t>
      </w:r>
      <w:r w:rsidRPr="00114D09">
        <w:rPr>
          <w:rFonts w:eastAsia="Times New Roman" w:cs="Arial"/>
          <w:color w:val="000000"/>
          <w:lang w:val="ru-RU"/>
        </w:rPr>
        <w:t>6997</w:t>
      </w:r>
      <w:r w:rsidRPr="00AE4DFB">
        <w:rPr>
          <w:rFonts w:eastAsia="Times New Roman" w:cs="Arial"/>
          <w:color w:val="000000"/>
          <w:lang w:val="en-US"/>
        </w:rPr>
        <w:t>C</w:t>
      </w:r>
      <w:r w:rsidRPr="00114D09">
        <w:rPr>
          <w:rFonts w:eastAsia="Times New Roman" w:cs="Arial"/>
          <w:color w:val="000000"/>
          <w:lang w:val="ru-RU"/>
        </w:rPr>
        <w:t xml:space="preserve">00003)], </w:t>
      </w:r>
      <w:r w:rsidRPr="00AE4DFB">
        <w:rPr>
          <w:rFonts w:eastAsia="Times New Roman" w:cs="Arial"/>
          <w:color w:val="000000"/>
          <w:lang w:eastAsia="bg-BG"/>
        </w:rPr>
        <w:t xml:space="preserve">или само от </w:t>
      </w:r>
      <w:r w:rsidRPr="00AE4DFB">
        <w:rPr>
          <w:rFonts w:eastAsia="Times New Roman" w:cs="Arial"/>
          <w:color w:val="000000"/>
          <w:lang w:val="en-US"/>
        </w:rPr>
        <w:t>FALCON</w:t>
      </w:r>
      <w:r w:rsidRPr="00114D09">
        <w:rPr>
          <w:rFonts w:eastAsia="Times New Roman" w:cs="Arial"/>
          <w:color w:val="000000"/>
          <w:lang w:val="ru-RU"/>
        </w:rPr>
        <w:t xml:space="preserve"> </w:t>
      </w:r>
      <w:r w:rsidRPr="00AE4DFB">
        <w:rPr>
          <w:rFonts w:eastAsia="Times New Roman" w:cs="Arial"/>
          <w:color w:val="000000"/>
          <w:lang w:eastAsia="bg-BG"/>
        </w:rPr>
        <w:t xml:space="preserve">(проучване </w:t>
      </w:r>
      <w:r w:rsidRPr="00AE4DFB">
        <w:rPr>
          <w:rFonts w:eastAsia="Times New Roman" w:cs="Arial"/>
          <w:color w:val="000000"/>
          <w:lang w:val="en-US"/>
        </w:rPr>
        <w:t>D</w:t>
      </w:r>
      <w:r w:rsidRPr="00114D09">
        <w:rPr>
          <w:rFonts w:eastAsia="Times New Roman" w:cs="Arial"/>
          <w:color w:val="000000"/>
          <w:lang w:val="ru-RU"/>
        </w:rPr>
        <w:t>699</w:t>
      </w:r>
      <w:r w:rsidRPr="00AE4DFB">
        <w:rPr>
          <w:rFonts w:eastAsia="Times New Roman" w:cs="Arial"/>
          <w:color w:val="000000"/>
          <w:lang w:val="en-US"/>
        </w:rPr>
        <w:t>BC</w:t>
      </w:r>
      <w:r w:rsidRPr="00114D09">
        <w:rPr>
          <w:rFonts w:eastAsia="Times New Roman" w:cs="Arial"/>
          <w:color w:val="000000"/>
          <w:lang w:val="ru-RU"/>
        </w:rPr>
        <w:t xml:space="preserve">00001), </w:t>
      </w:r>
      <w:r w:rsidRPr="00AE4DFB">
        <w:rPr>
          <w:rFonts w:eastAsia="Times New Roman" w:cs="Arial"/>
          <w:color w:val="000000"/>
          <w:lang w:eastAsia="bg-BG"/>
        </w:rPr>
        <w:t xml:space="preserve">което сравнява </w:t>
      </w:r>
      <w:proofErr w:type="spellStart"/>
      <w:r w:rsidRPr="00AE4DFB">
        <w:rPr>
          <w:rFonts w:eastAsia="Times New Roman" w:cs="Arial"/>
          <w:color w:val="000000"/>
          <w:lang w:eastAsia="bg-BG"/>
        </w:rPr>
        <w:t>фулвестрант</w:t>
      </w:r>
      <w:proofErr w:type="spellEnd"/>
      <w:r w:rsidRPr="00AE4DFB">
        <w:rPr>
          <w:rFonts w:eastAsia="Times New Roman" w:cs="Arial"/>
          <w:color w:val="000000"/>
          <w:lang w:eastAsia="bg-BG"/>
        </w:rPr>
        <w:t xml:space="preserve"> 500 </w:t>
      </w:r>
      <w:r w:rsidRPr="00AE4DFB">
        <w:rPr>
          <w:rFonts w:eastAsia="Times New Roman" w:cs="Arial"/>
          <w:color w:val="000000"/>
          <w:lang w:val="en-US"/>
        </w:rPr>
        <w:t>mg</w:t>
      </w:r>
      <w:r w:rsidRPr="00AE4DFB">
        <w:rPr>
          <w:rFonts w:eastAsia="Times New Roman" w:cs="Arial"/>
          <w:color w:val="000000"/>
          <w:lang w:eastAsia="bg-BG"/>
        </w:rPr>
        <w:t xml:space="preserve"> с </w:t>
      </w:r>
      <w:proofErr w:type="spellStart"/>
      <w:r w:rsidRPr="00AE4DFB">
        <w:rPr>
          <w:rFonts w:eastAsia="Times New Roman" w:cs="Arial"/>
          <w:color w:val="000000"/>
          <w:lang w:eastAsia="bg-BG"/>
        </w:rPr>
        <w:t>анастрозол</w:t>
      </w:r>
      <w:proofErr w:type="spellEnd"/>
      <w:r w:rsidRPr="00AE4DFB">
        <w:rPr>
          <w:rFonts w:eastAsia="Times New Roman" w:cs="Arial"/>
          <w:color w:val="000000"/>
          <w:lang w:eastAsia="bg-BG"/>
        </w:rPr>
        <w:t xml:space="preserve"> 1 </w:t>
      </w:r>
      <w:r w:rsidRPr="00AE4DFB">
        <w:rPr>
          <w:rFonts w:eastAsia="Times New Roman" w:cs="Arial"/>
          <w:color w:val="000000"/>
          <w:lang w:val="en-US"/>
        </w:rPr>
        <w:t>mg</w:t>
      </w:r>
      <w:r w:rsidRPr="00114D09">
        <w:rPr>
          <w:rFonts w:eastAsia="Times New Roman" w:cs="Arial"/>
          <w:color w:val="000000"/>
          <w:lang w:val="ru-RU"/>
        </w:rPr>
        <w:t>.</w:t>
      </w:r>
    </w:p>
    <w:p w14:paraId="1DD1A041" w14:textId="77777777" w:rsidR="00AE4DFB" w:rsidRPr="00AE4DFB" w:rsidRDefault="00AE4DFB" w:rsidP="00AE4DFB">
      <w:pPr>
        <w:rPr>
          <w:rFonts w:eastAsia="Times New Roman" w:cs="Arial"/>
          <w:sz w:val="24"/>
          <w:szCs w:val="24"/>
          <w:lang w:eastAsia="bg-BG"/>
        </w:rPr>
      </w:pPr>
      <w:r w:rsidRPr="00AE4DFB">
        <w:rPr>
          <w:rFonts w:eastAsia="Times New Roman" w:cs="Arial"/>
          <w:color w:val="000000"/>
          <w:lang w:eastAsia="bg-BG"/>
        </w:rPr>
        <w:t xml:space="preserve">Когато честотите от сборния анализ на данните за безопасност и от </w:t>
      </w:r>
      <w:r w:rsidRPr="00AE4DFB">
        <w:rPr>
          <w:rFonts w:eastAsia="Times New Roman" w:cs="Arial"/>
          <w:color w:val="000000"/>
          <w:lang w:val="en-US"/>
        </w:rPr>
        <w:t>FALCON</w:t>
      </w:r>
      <w:r w:rsidRPr="00114D09">
        <w:rPr>
          <w:rFonts w:eastAsia="Times New Roman" w:cs="Arial"/>
          <w:color w:val="000000"/>
          <w:lang w:val="ru-RU"/>
        </w:rPr>
        <w:t xml:space="preserve"> </w:t>
      </w:r>
      <w:r w:rsidRPr="00AE4DFB">
        <w:rPr>
          <w:rFonts w:eastAsia="Times New Roman" w:cs="Arial"/>
          <w:color w:val="000000"/>
          <w:lang w:eastAsia="bg-BG"/>
        </w:rPr>
        <w:t xml:space="preserve">се различават с посочена най-високата честота. Посочените в Таблица 1 честоти са въз основа на всички съобщени събития, без значение на преценката на изследователя относно причинно-следствената връзка. Средната продължителност на лечение с </w:t>
      </w:r>
      <w:proofErr w:type="spellStart"/>
      <w:r w:rsidRPr="00AE4DFB">
        <w:rPr>
          <w:rFonts w:eastAsia="Times New Roman" w:cs="Arial"/>
          <w:color w:val="000000"/>
          <w:lang w:eastAsia="bg-BG"/>
        </w:rPr>
        <w:t>фулвестрант</w:t>
      </w:r>
      <w:proofErr w:type="spellEnd"/>
      <w:r w:rsidRPr="00AE4DFB">
        <w:rPr>
          <w:rFonts w:eastAsia="Times New Roman" w:cs="Arial"/>
          <w:color w:val="000000"/>
          <w:lang w:eastAsia="bg-BG"/>
        </w:rPr>
        <w:t xml:space="preserve"> 500 </w:t>
      </w:r>
      <w:r w:rsidRPr="00AE4DFB">
        <w:rPr>
          <w:rFonts w:eastAsia="Times New Roman" w:cs="Arial"/>
          <w:color w:val="000000"/>
          <w:lang w:val="en-US"/>
        </w:rPr>
        <w:t>mg</w:t>
      </w:r>
      <w:r w:rsidRPr="00114D09">
        <w:rPr>
          <w:rFonts w:eastAsia="Times New Roman" w:cs="Arial"/>
          <w:color w:val="000000"/>
          <w:lang w:val="ru-RU"/>
        </w:rPr>
        <w:t xml:space="preserve"> </w:t>
      </w:r>
      <w:r w:rsidRPr="00AE4DFB">
        <w:rPr>
          <w:rFonts w:eastAsia="Times New Roman" w:cs="Arial"/>
          <w:color w:val="000000"/>
          <w:lang w:eastAsia="bg-BG"/>
        </w:rPr>
        <w:t xml:space="preserve">по време на сборния анализ (включващо изброените по-горе изпитвания заедно с </w:t>
      </w:r>
      <w:r w:rsidRPr="00AE4DFB">
        <w:rPr>
          <w:rFonts w:eastAsia="Times New Roman" w:cs="Arial"/>
          <w:color w:val="000000"/>
          <w:lang w:val="en-US"/>
        </w:rPr>
        <w:t>FALCON</w:t>
      </w:r>
      <w:r w:rsidRPr="00114D09">
        <w:rPr>
          <w:rFonts w:eastAsia="Times New Roman" w:cs="Arial"/>
          <w:color w:val="000000"/>
          <w:lang w:val="ru-RU"/>
        </w:rPr>
        <w:t xml:space="preserve">) </w:t>
      </w:r>
      <w:r w:rsidRPr="00AE4DFB">
        <w:rPr>
          <w:rFonts w:eastAsia="Times New Roman" w:cs="Arial"/>
          <w:color w:val="000000"/>
          <w:lang w:eastAsia="bg-BG"/>
        </w:rPr>
        <w:t>е била 6,5 месеца.</w:t>
      </w:r>
    </w:p>
    <w:p w14:paraId="45B9D84C" w14:textId="77777777" w:rsidR="00AE4DFB" w:rsidRPr="00AE4DFB" w:rsidRDefault="00AE4DFB" w:rsidP="00AE4DFB">
      <w:pPr>
        <w:spacing w:line="240" w:lineRule="auto"/>
        <w:rPr>
          <w:rFonts w:eastAsia="Times New Roman" w:cs="Arial"/>
          <w:color w:val="000000"/>
          <w:u w:val="single"/>
          <w:lang w:eastAsia="bg-BG"/>
        </w:rPr>
      </w:pPr>
    </w:p>
    <w:p w14:paraId="0DFDAC25" w14:textId="6D0075F3"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u w:val="single"/>
          <w:lang w:eastAsia="bg-BG"/>
        </w:rPr>
        <w:t>Табличен списък на нежеланите реакции</w:t>
      </w:r>
    </w:p>
    <w:p w14:paraId="57C1B958" w14:textId="77777777" w:rsidR="00AE4DFB" w:rsidRPr="00AE4DFB" w:rsidRDefault="00AE4DFB" w:rsidP="00AE4DFB">
      <w:pPr>
        <w:spacing w:line="240" w:lineRule="auto"/>
        <w:rPr>
          <w:rFonts w:eastAsia="Times New Roman" w:cs="Arial"/>
          <w:sz w:val="24"/>
          <w:szCs w:val="24"/>
          <w:lang w:eastAsia="bg-BG"/>
        </w:rPr>
      </w:pPr>
      <w:r w:rsidRPr="00AE4DFB">
        <w:rPr>
          <w:rFonts w:eastAsia="Times New Roman" w:cs="Arial"/>
          <w:color w:val="000000"/>
          <w:lang w:eastAsia="bg-BG"/>
        </w:rPr>
        <w:t>Изброените по-долу нежелани реакции са класифицирани по честота и системо-органни класове (СОК). Групирането по честота е дефинирано по следната конвенция: много чести (≥1/10), чести (≥1/100 до &lt;1/10), нечести (≥ 1/1 000 до &lt;1/100). При всяко групиране в зависимост от честотата, нежеланите лекарствени реакции се изброяват в низходящ ред по отношение на тяхната сериозност.</w:t>
      </w:r>
    </w:p>
    <w:p w14:paraId="29063B50" w14:textId="77777777" w:rsidR="00AE4DFB" w:rsidRPr="00AE4DFB" w:rsidRDefault="00AE4DFB" w:rsidP="00AE4DFB">
      <w:pPr>
        <w:rPr>
          <w:rFonts w:eastAsia="Times New Roman" w:cs="Arial"/>
          <w:b/>
          <w:bCs/>
          <w:color w:val="000000"/>
          <w:lang w:eastAsia="bg-BG"/>
        </w:rPr>
      </w:pPr>
      <w:bookmarkStart w:id="1" w:name="bookmark0"/>
    </w:p>
    <w:p w14:paraId="570508C4" w14:textId="05ABC08B" w:rsidR="0091385D" w:rsidRPr="00AE4DFB" w:rsidRDefault="00AE4DFB" w:rsidP="00AE4DFB">
      <w:pPr>
        <w:rPr>
          <w:rFonts w:cs="Arial"/>
        </w:rPr>
      </w:pPr>
      <w:r w:rsidRPr="00AE4DFB">
        <w:rPr>
          <w:rFonts w:eastAsia="Times New Roman" w:cs="Arial"/>
          <w:b/>
          <w:bCs/>
          <w:color w:val="000000"/>
          <w:lang w:eastAsia="bg-BG"/>
        </w:rPr>
        <w:lastRenderedPageBreak/>
        <w:t>Таблица 1 Нежелани лекарствени реакции, съобщавани при пациенти, лекувани с монотерапия с фулвестрант</w:t>
      </w:r>
      <w:bookmarkEnd w:id="1"/>
    </w:p>
    <w:p w14:paraId="43E3C48F" w14:textId="5C613932" w:rsidR="0091385D" w:rsidRDefault="0091385D" w:rsidP="0091385D"/>
    <w:tbl>
      <w:tblPr>
        <w:tblStyle w:val="TableGrid"/>
        <w:tblW w:w="0" w:type="auto"/>
        <w:tblLook w:val="04A0" w:firstRow="1" w:lastRow="0" w:firstColumn="1" w:lastColumn="0" w:noHBand="0" w:noVBand="1"/>
      </w:tblPr>
      <w:tblGrid>
        <w:gridCol w:w="3136"/>
        <w:gridCol w:w="3076"/>
        <w:gridCol w:w="3138"/>
      </w:tblGrid>
      <w:tr w:rsidR="009164B2" w14:paraId="2DF8B189" w14:textId="77777777" w:rsidTr="00A34059">
        <w:tc>
          <w:tcPr>
            <w:tcW w:w="9500" w:type="dxa"/>
            <w:gridSpan w:val="3"/>
          </w:tcPr>
          <w:p w14:paraId="1EA152F8" w14:textId="02E1FC5D" w:rsidR="009164B2" w:rsidRPr="009164B2" w:rsidRDefault="009164B2" w:rsidP="0091385D">
            <w:r w:rsidRPr="009164B2">
              <w:rPr>
                <w:b/>
                <w:bCs/>
                <w:szCs w:val="20"/>
              </w:rPr>
              <w:t>Нежелани реакции по системо-органни класове и честота</w:t>
            </w:r>
          </w:p>
        </w:tc>
      </w:tr>
      <w:tr w:rsidR="00AE4DFB" w14:paraId="1090BEF9" w14:textId="77777777" w:rsidTr="00AE4DFB">
        <w:tc>
          <w:tcPr>
            <w:tcW w:w="3166" w:type="dxa"/>
          </w:tcPr>
          <w:p w14:paraId="38BFAC83" w14:textId="435FCCE7" w:rsidR="00AE4DFB" w:rsidRPr="009164B2" w:rsidRDefault="00AE4DFB" w:rsidP="00AE4DFB">
            <w:pPr>
              <w:rPr>
                <w:rFonts w:cs="Arial"/>
              </w:rPr>
            </w:pPr>
            <w:r w:rsidRPr="009164B2">
              <w:rPr>
                <w:rFonts w:cs="Arial"/>
              </w:rPr>
              <w:t>Инфекции и инфестации</w:t>
            </w:r>
          </w:p>
        </w:tc>
        <w:tc>
          <w:tcPr>
            <w:tcW w:w="3167" w:type="dxa"/>
          </w:tcPr>
          <w:p w14:paraId="2C49EBF7" w14:textId="4D44A032" w:rsidR="00AE4DFB" w:rsidRPr="009164B2" w:rsidRDefault="00AE4DFB" w:rsidP="00AE4DFB">
            <w:pPr>
              <w:rPr>
                <w:rFonts w:cs="Arial"/>
              </w:rPr>
            </w:pPr>
            <w:r w:rsidRPr="009164B2">
              <w:rPr>
                <w:rFonts w:cs="Arial"/>
              </w:rPr>
              <w:t>Чести</w:t>
            </w:r>
          </w:p>
        </w:tc>
        <w:tc>
          <w:tcPr>
            <w:tcW w:w="3167" w:type="dxa"/>
          </w:tcPr>
          <w:p w14:paraId="2AEE3C6C" w14:textId="5CC275AE" w:rsidR="00AE4DFB" w:rsidRPr="009164B2" w:rsidRDefault="00AE4DFB" w:rsidP="00AE4DFB">
            <w:pPr>
              <w:rPr>
                <w:rFonts w:cs="Arial"/>
              </w:rPr>
            </w:pPr>
            <w:r w:rsidRPr="009164B2">
              <w:rPr>
                <w:rFonts w:cs="Arial"/>
              </w:rPr>
              <w:t>Инфекции на пикочните пътища</w:t>
            </w:r>
          </w:p>
        </w:tc>
      </w:tr>
      <w:tr w:rsidR="00AE4DFB" w14:paraId="3CD4BA5B" w14:textId="77777777" w:rsidTr="00AE4DFB">
        <w:tc>
          <w:tcPr>
            <w:tcW w:w="3166" w:type="dxa"/>
          </w:tcPr>
          <w:p w14:paraId="1BFB11BA" w14:textId="2B29740C" w:rsidR="00AE4DFB" w:rsidRPr="009164B2" w:rsidRDefault="00AE4DFB" w:rsidP="00AE4DFB">
            <w:pPr>
              <w:rPr>
                <w:rFonts w:cs="Arial"/>
              </w:rPr>
            </w:pPr>
            <w:r w:rsidRPr="009164B2">
              <w:rPr>
                <w:rFonts w:cs="Arial"/>
              </w:rPr>
              <w:t>Нарушения на кръвта и лимфната система</w:t>
            </w:r>
          </w:p>
        </w:tc>
        <w:tc>
          <w:tcPr>
            <w:tcW w:w="3167" w:type="dxa"/>
          </w:tcPr>
          <w:p w14:paraId="09E3DA0D" w14:textId="7055B00C" w:rsidR="00AE4DFB" w:rsidRPr="009164B2" w:rsidRDefault="00AE4DFB" w:rsidP="00AE4DFB">
            <w:pPr>
              <w:rPr>
                <w:rFonts w:cs="Arial"/>
              </w:rPr>
            </w:pPr>
            <w:r w:rsidRPr="009164B2">
              <w:rPr>
                <w:rFonts w:cs="Arial"/>
              </w:rPr>
              <w:t>Чести</w:t>
            </w:r>
          </w:p>
        </w:tc>
        <w:tc>
          <w:tcPr>
            <w:tcW w:w="3167" w:type="dxa"/>
          </w:tcPr>
          <w:p w14:paraId="0530D129" w14:textId="224FA556" w:rsidR="00AE4DFB" w:rsidRPr="009164B2" w:rsidRDefault="00AE4DFB" w:rsidP="00AE4DFB">
            <w:pPr>
              <w:rPr>
                <w:rFonts w:cs="Arial"/>
              </w:rPr>
            </w:pPr>
            <w:r w:rsidRPr="009164B2">
              <w:rPr>
                <w:rFonts w:cs="Arial"/>
              </w:rPr>
              <w:t>Намален брой тромбоцити</w:t>
            </w:r>
            <w:r w:rsidRPr="009164B2">
              <w:rPr>
                <w:rFonts w:cs="Arial"/>
                <w:vertAlign w:val="superscript"/>
                <w:lang w:val="en-US"/>
              </w:rPr>
              <w:t>e</w:t>
            </w:r>
          </w:p>
        </w:tc>
      </w:tr>
      <w:tr w:rsidR="009164B2" w14:paraId="5A76FF16" w14:textId="77777777" w:rsidTr="00AE4DFB">
        <w:tc>
          <w:tcPr>
            <w:tcW w:w="3166" w:type="dxa"/>
            <w:vMerge w:val="restart"/>
          </w:tcPr>
          <w:p w14:paraId="47FE1232" w14:textId="0E3690A3" w:rsidR="009164B2" w:rsidRPr="009164B2" w:rsidRDefault="009164B2" w:rsidP="009164B2">
            <w:pPr>
              <w:rPr>
                <w:rFonts w:cs="Arial"/>
              </w:rPr>
            </w:pPr>
            <w:r w:rsidRPr="009164B2">
              <w:rPr>
                <w:rFonts w:cs="Arial"/>
              </w:rPr>
              <w:t>Нарушения на имунната система</w:t>
            </w:r>
          </w:p>
        </w:tc>
        <w:tc>
          <w:tcPr>
            <w:tcW w:w="3167" w:type="dxa"/>
          </w:tcPr>
          <w:p w14:paraId="790CD988" w14:textId="154E532B" w:rsidR="009164B2" w:rsidRPr="009164B2" w:rsidRDefault="009164B2" w:rsidP="009164B2">
            <w:pPr>
              <w:rPr>
                <w:rFonts w:cs="Arial"/>
              </w:rPr>
            </w:pPr>
            <w:r w:rsidRPr="009164B2">
              <w:rPr>
                <w:rFonts w:cs="Arial"/>
              </w:rPr>
              <w:t>Много чести</w:t>
            </w:r>
          </w:p>
        </w:tc>
        <w:tc>
          <w:tcPr>
            <w:tcW w:w="3167" w:type="dxa"/>
          </w:tcPr>
          <w:p w14:paraId="7D0240A5" w14:textId="78D95C81" w:rsidR="009164B2" w:rsidRPr="009164B2" w:rsidRDefault="009164B2" w:rsidP="009164B2">
            <w:pPr>
              <w:rPr>
                <w:rFonts w:cs="Arial"/>
              </w:rPr>
            </w:pPr>
            <w:r w:rsidRPr="009164B2">
              <w:rPr>
                <w:rFonts w:cs="Arial"/>
              </w:rPr>
              <w:t>Реакции на свръхчувствителност</w:t>
            </w:r>
            <w:r w:rsidRPr="009164B2">
              <w:rPr>
                <w:rFonts w:cs="Arial"/>
                <w:vertAlign w:val="superscript"/>
                <w:lang w:val="en-US"/>
              </w:rPr>
              <w:t>e</w:t>
            </w:r>
          </w:p>
        </w:tc>
      </w:tr>
      <w:tr w:rsidR="009164B2" w14:paraId="61FF4089" w14:textId="77777777" w:rsidTr="00AE4DFB">
        <w:tc>
          <w:tcPr>
            <w:tcW w:w="3166" w:type="dxa"/>
            <w:vMerge/>
          </w:tcPr>
          <w:p w14:paraId="2224E6A8" w14:textId="77777777" w:rsidR="009164B2" w:rsidRPr="009164B2" w:rsidRDefault="009164B2" w:rsidP="009164B2">
            <w:pPr>
              <w:rPr>
                <w:rFonts w:cs="Arial"/>
              </w:rPr>
            </w:pPr>
          </w:p>
        </w:tc>
        <w:tc>
          <w:tcPr>
            <w:tcW w:w="3167" w:type="dxa"/>
          </w:tcPr>
          <w:p w14:paraId="7CB17193" w14:textId="45BEB06E" w:rsidR="009164B2" w:rsidRPr="009164B2" w:rsidRDefault="009164B2" w:rsidP="009164B2">
            <w:pPr>
              <w:rPr>
                <w:rFonts w:cs="Arial"/>
              </w:rPr>
            </w:pPr>
            <w:r w:rsidRPr="009164B2">
              <w:rPr>
                <w:rFonts w:cs="Arial"/>
              </w:rPr>
              <w:t>Нечести</w:t>
            </w:r>
          </w:p>
        </w:tc>
        <w:tc>
          <w:tcPr>
            <w:tcW w:w="3167" w:type="dxa"/>
          </w:tcPr>
          <w:p w14:paraId="3E5F1D99" w14:textId="3F8357A2" w:rsidR="009164B2" w:rsidRPr="009164B2" w:rsidRDefault="009164B2" w:rsidP="009164B2">
            <w:pPr>
              <w:rPr>
                <w:rFonts w:cs="Arial"/>
              </w:rPr>
            </w:pPr>
            <w:r w:rsidRPr="009164B2">
              <w:rPr>
                <w:rFonts w:cs="Arial"/>
              </w:rPr>
              <w:t>Анафилактични реакции</w:t>
            </w:r>
          </w:p>
        </w:tc>
      </w:tr>
      <w:tr w:rsidR="009164B2" w14:paraId="416E10A5" w14:textId="77777777" w:rsidTr="00AE4DFB">
        <w:tc>
          <w:tcPr>
            <w:tcW w:w="3166" w:type="dxa"/>
          </w:tcPr>
          <w:p w14:paraId="185BAC53" w14:textId="5E577ABB" w:rsidR="009164B2" w:rsidRPr="009164B2" w:rsidRDefault="009164B2" w:rsidP="009164B2">
            <w:pPr>
              <w:rPr>
                <w:rFonts w:cs="Arial"/>
              </w:rPr>
            </w:pPr>
            <w:r w:rsidRPr="009164B2">
              <w:rPr>
                <w:rFonts w:cs="Arial"/>
              </w:rPr>
              <w:t>Нарушения на метаболизма и храненето</w:t>
            </w:r>
          </w:p>
        </w:tc>
        <w:tc>
          <w:tcPr>
            <w:tcW w:w="3167" w:type="dxa"/>
          </w:tcPr>
          <w:p w14:paraId="0FEEBCDA" w14:textId="2CC5BC5E" w:rsidR="009164B2" w:rsidRPr="009164B2" w:rsidRDefault="009164B2" w:rsidP="009164B2">
            <w:pPr>
              <w:rPr>
                <w:rFonts w:cs="Arial"/>
              </w:rPr>
            </w:pPr>
            <w:r w:rsidRPr="009164B2">
              <w:rPr>
                <w:rFonts w:cs="Arial"/>
              </w:rPr>
              <w:t>Чести</w:t>
            </w:r>
          </w:p>
        </w:tc>
        <w:tc>
          <w:tcPr>
            <w:tcW w:w="3167" w:type="dxa"/>
          </w:tcPr>
          <w:p w14:paraId="54CFC2B9" w14:textId="38D825CF" w:rsidR="009164B2" w:rsidRPr="009164B2" w:rsidRDefault="009164B2" w:rsidP="009164B2">
            <w:pPr>
              <w:rPr>
                <w:rFonts w:cs="Arial"/>
              </w:rPr>
            </w:pPr>
            <w:r w:rsidRPr="009164B2">
              <w:rPr>
                <w:rFonts w:cs="Arial"/>
              </w:rPr>
              <w:t>Анорексия</w:t>
            </w:r>
            <w:r w:rsidRPr="009164B2">
              <w:rPr>
                <w:rFonts w:cs="Arial"/>
                <w:vertAlign w:val="superscript"/>
              </w:rPr>
              <w:t>а</w:t>
            </w:r>
          </w:p>
        </w:tc>
      </w:tr>
      <w:tr w:rsidR="009164B2" w14:paraId="58152B35" w14:textId="77777777" w:rsidTr="00AE4DFB">
        <w:tc>
          <w:tcPr>
            <w:tcW w:w="3166" w:type="dxa"/>
          </w:tcPr>
          <w:p w14:paraId="368150D3" w14:textId="5D0C36A4" w:rsidR="009164B2" w:rsidRPr="009164B2" w:rsidRDefault="009164B2" w:rsidP="009164B2">
            <w:pPr>
              <w:rPr>
                <w:rFonts w:cs="Arial"/>
              </w:rPr>
            </w:pPr>
            <w:r w:rsidRPr="009164B2">
              <w:rPr>
                <w:rFonts w:cs="Arial"/>
              </w:rPr>
              <w:t>Нарушения на нервната система</w:t>
            </w:r>
          </w:p>
        </w:tc>
        <w:tc>
          <w:tcPr>
            <w:tcW w:w="3167" w:type="dxa"/>
          </w:tcPr>
          <w:p w14:paraId="1A06820D" w14:textId="572F50DD" w:rsidR="009164B2" w:rsidRPr="009164B2" w:rsidRDefault="009164B2" w:rsidP="009164B2">
            <w:pPr>
              <w:rPr>
                <w:rFonts w:cs="Arial"/>
              </w:rPr>
            </w:pPr>
            <w:r w:rsidRPr="009164B2">
              <w:rPr>
                <w:rFonts w:cs="Arial"/>
              </w:rPr>
              <w:t>Чести</w:t>
            </w:r>
          </w:p>
        </w:tc>
        <w:tc>
          <w:tcPr>
            <w:tcW w:w="3167" w:type="dxa"/>
          </w:tcPr>
          <w:p w14:paraId="06B7E692" w14:textId="4D3DFFE2" w:rsidR="009164B2" w:rsidRPr="009164B2" w:rsidRDefault="009164B2" w:rsidP="009164B2">
            <w:pPr>
              <w:rPr>
                <w:rFonts w:cs="Arial"/>
              </w:rPr>
            </w:pPr>
            <w:r w:rsidRPr="009164B2">
              <w:rPr>
                <w:rFonts w:cs="Arial"/>
              </w:rPr>
              <w:t>Главоболие</w:t>
            </w:r>
          </w:p>
        </w:tc>
      </w:tr>
      <w:tr w:rsidR="009164B2" w14:paraId="7DDA2F43" w14:textId="77777777" w:rsidTr="00AE4DFB">
        <w:tc>
          <w:tcPr>
            <w:tcW w:w="3166" w:type="dxa"/>
            <w:vMerge w:val="restart"/>
          </w:tcPr>
          <w:p w14:paraId="3F2764A0" w14:textId="38992232" w:rsidR="009164B2" w:rsidRPr="009164B2" w:rsidRDefault="009164B2" w:rsidP="009164B2">
            <w:pPr>
              <w:rPr>
                <w:rFonts w:cs="Arial"/>
              </w:rPr>
            </w:pPr>
            <w:r w:rsidRPr="009164B2">
              <w:rPr>
                <w:rFonts w:cs="Arial"/>
              </w:rPr>
              <w:t>Съдови нарушения</w:t>
            </w:r>
          </w:p>
        </w:tc>
        <w:tc>
          <w:tcPr>
            <w:tcW w:w="3167" w:type="dxa"/>
          </w:tcPr>
          <w:p w14:paraId="654C15D4" w14:textId="5E8E5385" w:rsidR="009164B2" w:rsidRPr="009164B2" w:rsidRDefault="009164B2" w:rsidP="009164B2">
            <w:pPr>
              <w:rPr>
                <w:rFonts w:cs="Arial"/>
              </w:rPr>
            </w:pPr>
            <w:r w:rsidRPr="009164B2">
              <w:rPr>
                <w:rFonts w:cs="Arial"/>
              </w:rPr>
              <w:t>Много чести</w:t>
            </w:r>
          </w:p>
        </w:tc>
        <w:tc>
          <w:tcPr>
            <w:tcW w:w="3167" w:type="dxa"/>
          </w:tcPr>
          <w:p w14:paraId="32EE5FB3" w14:textId="15270E07" w:rsidR="009164B2" w:rsidRPr="009164B2" w:rsidRDefault="009164B2" w:rsidP="009164B2">
            <w:pPr>
              <w:rPr>
                <w:rFonts w:cs="Arial"/>
              </w:rPr>
            </w:pPr>
            <w:r w:rsidRPr="009164B2">
              <w:rPr>
                <w:rFonts w:cs="Arial"/>
              </w:rPr>
              <w:t>Горещи вълни</w:t>
            </w:r>
            <w:r w:rsidRPr="009164B2">
              <w:rPr>
                <w:rFonts w:cs="Arial"/>
                <w:vertAlign w:val="superscript"/>
                <w:lang w:val="en-US"/>
              </w:rPr>
              <w:t>e</w:t>
            </w:r>
          </w:p>
        </w:tc>
      </w:tr>
      <w:tr w:rsidR="009164B2" w14:paraId="0AFDCDC6" w14:textId="77777777" w:rsidTr="00AE4DFB">
        <w:tc>
          <w:tcPr>
            <w:tcW w:w="3166" w:type="dxa"/>
            <w:vMerge/>
          </w:tcPr>
          <w:p w14:paraId="36542A5B" w14:textId="77777777" w:rsidR="009164B2" w:rsidRPr="009164B2" w:rsidRDefault="009164B2" w:rsidP="009164B2">
            <w:pPr>
              <w:rPr>
                <w:rFonts w:cs="Arial"/>
              </w:rPr>
            </w:pPr>
          </w:p>
        </w:tc>
        <w:tc>
          <w:tcPr>
            <w:tcW w:w="3167" w:type="dxa"/>
          </w:tcPr>
          <w:p w14:paraId="55E9B934" w14:textId="1651EDEC" w:rsidR="009164B2" w:rsidRPr="009164B2" w:rsidRDefault="009164B2" w:rsidP="009164B2">
            <w:pPr>
              <w:rPr>
                <w:rFonts w:cs="Arial"/>
              </w:rPr>
            </w:pPr>
            <w:r w:rsidRPr="009164B2">
              <w:rPr>
                <w:rFonts w:cs="Arial"/>
              </w:rPr>
              <w:t>Чести</w:t>
            </w:r>
          </w:p>
        </w:tc>
        <w:tc>
          <w:tcPr>
            <w:tcW w:w="3167" w:type="dxa"/>
          </w:tcPr>
          <w:p w14:paraId="0272D90F" w14:textId="6021463B" w:rsidR="009164B2" w:rsidRPr="009164B2" w:rsidRDefault="009164B2" w:rsidP="009164B2">
            <w:pPr>
              <w:rPr>
                <w:rFonts w:cs="Arial"/>
              </w:rPr>
            </w:pPr>
            <w:r w:rsidRPr="009164B2">
              <w:rPr>
                <w:rFonts w:cs="Arial"/>
              </w:rPr>
              <w:t>Венозна тромбоемболия</w:t>
            </w:r>
            <w:r w:rsidRPr="009164B2">
              <w:rPr>
                <w:rFonts w:cs="Arial"/>
                <w:vertAlign w:val="superscript"/>
              </w:rPr>
              <w:t>а</w:t>
            </w:r>
          </w:p>
        </w:tc>
      </w:tr>
      <w:tr w:rsidR="009164B2" w14:paraId="16BD9C37" w14:textId="77777777" w:rsidTr="00AE4DFB">
        <w:tc>
          <w:tcPr>
            <w:tcW w:w="3166" w:type="dxa"/>
            <w:vMerge w:val="restart"/>
          </w:tcPr>
          <w:p w14:paraId="45CBD6AF" w14:textId="65C1B23A" w:rsidR="009164B2" w:rsidRPr="009164B2" w:rsidRDefault="009164B2" w:rsidP="009164B2">
            <w:pPr>
              <w:rPr>
                <w:rFonts w:cs="Arial"/>
              </w:rPr>
            </w:pPr>
            <w:r w:rsidRPr="009164B2">
              <w:rPr>
                <w:rFonts w:cs="Arial"/>
              </w:rPr>
              <w:t>Стомашно-чревни нарушения</w:t>
            </w:r>
          </w:p>
        </w:tc>
        <w:tc>
          <w:tcPr>
            <w:tcW w:w="3167" w:type="dxa"/>
          </w:tcPr>
          <w:p w14:paraId="37F7D96C" w14:textId="77903AEB" w:rsidR="009164B2" w:rsidRPr="009164B2" w:rsidRDefault="009164B2" w:rsidP="009164B2">
            <w:pPr>
              <w:rPr>
                <w:rFonts w:cs="Arial"/>
              </w:rPr>
            </w:pPr>
            <w:r w:rsidRPr="009164B2">
              <w:rPr>
                <w:rFonts w:cs="Arial"/>
              </w:rPr>
              <w:t>Много чести</w:t>
            </w:r>
          </w:p>
        </w:tc>
        <w:tc>
          <w:tcPr>
            <w:tcW w:w="3167" w:type="dxa"/>
          </w:tcPr>
          <w:p w14:paraId="3A5CD755" w14:textId="73314261" w:rsidR="009164B2" w:rsidRPr="009164B2" w:rsidRDefault="009164B2" w:rsidP="009164B2">
            <w:pPr>
              <w:rPr>
                <w:rFonts w:cs="Arial"/>
              </w:rPr>
            </w:pPr>
            <w:r w:rsidRPr="009164B2">
              <w:rPr>
                <w:rFonts w:cs="Arial"/>
              </w:rPr>
              <w:t>Гадене</w:t>
            </w:r>
          </w:p>
        </w:tc>
      </w:tr>
      <w:tr w:rsidR="00AE4DFB" w14:paraId="68621204" w14:textId="77777777" w:rsidTr="00AE4DFB">
        <w:tc>
          <w:tcPr>
            <w:tcW w:w="3166" w:type="dxa"/>
            <w:vMerge/>
          </w:tcPr>
          <w:p w14:paraId="031EB6A3" w14:textId="77777777" w:rsidR="00AE4DFB" w:rsidRPr="009164B2" w:rsidRDefault="00AE4DFB" w:rsidP="00AE4DFB">
            <w:pPr>
              <w:rPr>
                <w:rFonts w:cs="Arial"/>
              </w:rPr>
            </w:pPr>
          </w:p>
        </w:tc>
        <w:tc>
          <w:tcPr>
            <w:tcW w:w="3167" w:type="dxa"/>
          </w:tcPr>
          <w:p w14:paraId="4C5137B9" w14:textId="43CC6A91" w:rsidR="00AE4DFB" w:rsidRPr="009164B2" w:rsidRDefault="00AE4DFB" w:rsidP="00AE4DFB">
            <w:pPr>
              <w:rPr>
                <w:rFonts w:cs="Arial"/>
              </w:rPr>
            </w:pPr>
            <w:r w:rsidRPr="009164B2">
              <w:rPr>
                <w:rFonts w:cs="Arial"/>
              </w:rPr>
              <w:t>Чести</w:t>
            </w:r>
          </w:p>
        </w:tc>
        <w:tc>
          <w:tcPr>
            <w:tcW w:w="3167" w:type="dxa"/>
          </w:tcPr>
          <w:p w14:paraId="62D38A00" w14:textId="142102BD" w:rsidR="00AE4DFB" w:rsidRPr="009164B2" w:rsidRDefault="00AE4DFB" w:rsidP="00AE4DFB">
            <w:pPr>
              <w:rPr>
                <w:rFonts w:cs="Arial"/>
              </w:rPr>
            </w:pPr>
            <w:r w:rsidRPr="009164B2">
              <w:rPr>
                <w:rFonts w:cs="Arial"/>
              </w:rPr>
              <w:t>Повръщане, диария</w:t>
            </w:r>
          </w:p>
        </w:tc>
      </w:tr>
      <w:tr w:rsidR="009164B2" w14:paraId="7CFF6F72" w14:textId="77777777" w:rsidTr="00AE4DFB">
        <w:tc>
          <w:tcPr>
            <w:tcW w:w="3166" w:type="dxa"/>
            <w:vMerge w:val="restart"/>
          </w:tcPr>
          <w:p w14:paraId="155A1280" w14:textId="739296B5" w:rsidR="009164B2" w:rsidRPr="009164B2" w:rsidRDefault="009164B2" w:rsidP="009164B2">
            <w:pPr>
              <w:rPr>
                <w:rFonts w:cs="Arial"/>
              </w:rPr>
            </w:pPr>
            <w:r w:rsidRPr="009164B2">
              <w:rPr>
                <w:rFonts w:cs="Arial"/>
              </w:rPr>
              <w:t>Хепатобилиарни нарушения</w:t>
            </w:r>
          </w:p>
        </w:tc>
        <w:tc>
          <w:tcPr>
            <w:tcW w:w="3167" w:type="dxa"/>
          </w:tcPr>
          <w:p w14:paraId="3B847352" w14:textId="4F0C08CB" w:rsidR="009164B2" w:rsidRPr="009164B2" w:rsidRDefault="009164B2" w:rsidP="009164B2">
            <w:pPr>
              <w:rPr>
                <w:rFonts w:cs="Arial"/>
              </w:rPr>
            </w:pPr>
            <w:r w:rsidRPr="009164B2">
              <w:rPr>
                <w:rFonts w:cs="Arial"/>
              </w:rPr>
              <w:t>Много чести</w:t>
            </w:r>
          </w:p>
        </w:tc>
        <w:tc>
          <w:tcPr>
            <w:tcW w:w="3167" w:type="dxa"/>
          </w:tcPr>
          <w:p w14:paraId="6348DAD1" w14:textId="1BBA2B7D" w:rsidR="009164B2" w:rsidRPr="009164B2" w:rsidRDefault="009164B2" w:rsidP="009164B2">
            <w:pPr>
              <w:rPr>
                <w:rFonts w:cs="Arial"/>
              </w:rPr>
            </w:pPr>
            <w:r w:rsidRPr="009164B2">
              <w:rPr>
                <w:rFonts w:cs="Arial"/>
              </w:rPr>
              <w:t>Повишаване на чернодробните ензими (АЛАТ, АСАТ, АФ)</w:t>
            </w:r>
            <w:r w:rsidRPr="009164B2">
              <w:rPr>
                <w:rFonts w:cs="Arial"/>
                <w:vertAlign w:val="superscript"/>
              </w:rPr>
              <w:t>а</w:t>
            </w:r>
          </w:p>
        </w:tc>
      </w:tr>
      <w:tr w:rsidR="009164B2" w14:paraId="5EDFF686" w14:textId="77777777" w:rsidTr="00AE4DFB">
        <w:tc>
          <w:tcPr>
            <w:tcW w:w="3166" w:type="dxa"/>
            <w:vMerge/>
          </w:tcPr>
          <w:p w14:paraId="6E635B5A" w14:textId="77777777" w:rsidR="009164B2" w:rsidRPr="009164B2" w:rsidRDefault="009164B2" w:rsidP="009164B2">
            <w:pPr>
              <w:rPr>
                <w:rFonts w:cs="Arial"/>
              </w:rPr>
            </w:pPr>
          </w:p>
        </w:tc>
        <w:tc>
          <w:tcPr>
            <w:tcW w:w="3167" w:type="dxa"/>
          </w:tcPr>
          <w:p w14:paraId="74B47E1C" w14:textId="502328C9" w:rsidR="009164B2" w:rsidRPr="009164B2" w:rsidRDefault="009164B2" w:rsidP="009164B2">
            <w:pPr>
              <w:rPr>
                <w:rFonts w:cs="Arial"/>
              </w:rPr>
            </w:pPr>
            <w:r w:rsidRPr="009164B2">
              <w:rPr>
                <w:rFonts w:cs="Arial"/>
              </w:rPr>
              <w:t>Чести</w:t>
            </w:r>
          </w:p>
        </w:tc>
        <w:tc>
          <w:tcPr>
            <w:tcW w:w="3167" w:type="dxa"/>
          </w:tcPr>
          <w:p w14:paraId="4B56E019" w14:textId="6FE080B5" w:rsidR="009164B2" w:rsidRPr="009164B2" w:rsidRDefault="009164B2" w:rsidP="009164B2">
            <w:pPr>
              <w:rPr>
                <w:rFonts w:cs="Arial"/>
              </w:rPr>
            </w:pPr>
            <w:r w:rsidRPr="009164B2">
              <w:rPr>
                <w:rFonts w:cs="Arial"/>
              </w:rPr>
              <w:t>Повишен билирубин</w:t>
            </w:r>
            <w:r w:rsidRPr="009164B2">
              <w:rPr>
                <w:rFonts w:cs="Arial"/>
                <w:vertAlign w:val="superscript"/>
              </w:rPr>
              <w:t>а</w:t>
            </w:r>
          </w:p>
        </w:tc>
      </w:tr>
      <w:tr w:rsidR="009164B2" w14:paraId="11BA8F91" w14:textId="77777777" w:rsidTr="00AE4DFB">
        <w:tc>
          <w:tcPr>
            <w:tcW w:w="3166" w:type="dxa"/>
            <w:vMerge/>
          </w:tcPr>
          <w:p w14:paraId="51014B8B" w14:textId="77777777" w:rsidR="009164B2" w:rsidRPr="009164B2" w:rsidRDefault="009164B2" w:rsidP="009164B2">
            <w:pPr>
              <w:rPr>
                <w:rFonts w:cs="Arial"/>
              </w:rPr>
            </w:pPr>
          </w:p>
        </w:tc>
        <w:tc>
          <w:tcPr>
            <w:tcW w:w="3167" w:type="dxa"/>
          </w:tcPr>
          <w:p w14:paraId="39BBFDAC" w14:textId="12B689DB" w:rsidR="009164B2" w:rsidRPr="009164B2" w:rsidRDefault="009164B2" w:rsidP="009164B2">
            <w:pPr>
              <w:rPr>
                <w:rFonts w:cs="Arial"/>
              </w:rPr>
            </w:pPr>
            <w:r w:rsidRPr="009164B2">
              <w:rPr>
                <w:rFonts w:cs="Arial"/>
              </w:rPr>
              <w:t>Нечести</w:t>
            </w:r>
          </w:p>
        </w:tc>
        <w:tc>
          <w:tcPr>
            <w:tcW w:w="3167" w:type="dxa"/>
          </w:tcPr>
          <w:p w14:paraId="7BFF71B8" w14:textId="40EEE0F0" w:rsidR="009164B2" w:rsidRPr="009164B2" w:rsidRDefault="009164B2" w:rsidP="009164B2">
            <w:pPr>
              <w:rPr>
                <w:rFonts w:cs="Arial"/>
              </w:rPr>
            </w:pPr>
            <w:r w:rsidRPr="009164B2">
              <w:rPr>
                <w:rFonts w:cs="Arial"/>
              </w:rPr>
              <w:t>Чернодробна недостатъчност</w:t>
            </w:r>
            <w:r w:rsidRPr="009164B2">
              <w:rPr>
                <w:rFonts w:cs="Arial"/>
                <w:vertAlign w:val="superscript"/>
                <w:lang w:val="en-US"/>
              </w:rPr>
              <w:t>c</w:t>
            </w:r>
            <w:r w:rsidRPr="00114D09">
              <w:rPr>
                <w:rFonts w:cs="Arial"/>
                <w:vertAlign w:val="superscript"/>
                <w:lang w:val="ru-RU"/>
              </w:rPr>
              <w:t>,</w:t>
            </w:r>
            <w:r w:rsidRPr="009164B2">
              <w:rPr>
                <w:rFonts w:cs="Arial"/>
                <w:vertAlign w:val="superscript"/>
                <w:lang w:val="en-US"/>
              </w:rPr>
              <w:t>f</w:t>
            </w:r>
            <w:r w:rsidRPr="009164B2">
              <w:rPr>
                <w:rFonts w:cs="Arial"/>
              </w:rPr>
              <w:t>, хепатит</w:t>
            </w:r>
            <w:r w:rsidRPr="009164B2">
              <w:rPr>
                <w:rFonts w:cs="Arial"/>
                <w:vertAlign w:val="superscript"/>
                <w:lang w:val="en-US"/>
              </w:rPr>
              <w:t>f</w:t>
            </w:r>
            <w:r w:rsidR="00414EE9">
              <w:rPr>
                <w:rFonts w:cs="Arial"/>
              </w:rPr>
              <w:t>, повишаване на ГГ</w:t>
            </w:r>
            <w:r w:rsidRPr="009164B2">
              <w:rPr>
                <w:rFonts w:cs="Arial"/>
              </w:rPr>
              <w:t>Т</w:t>
            </w:r>
            <w:r w:rsidR="00414EE9">
              <w:rPr>
                <w:rFonts w:cs="Arial"/>
                <w:vertAlign w:val="superscript"/>
                <w:lang w:val="en-US"/>
              </w:rPr>
              <w:t>f</w:t>
            </w:r>
          </w:p>
        </w:tc>
      </w:tr>
      <w:tr w:rsidR="009164B2" w14:paraId="28A90785" w14:textId="77777777" w:rsidTr="00AE4DFB">
        <w:tc>
          <w:tcPr>
            <w:tcW w:w="3166" w:type="dxa"/>
          </w:tcPr>
          <w:p w14:paraId="3D225A8F" w14:textId="59AC85C1" w:rsidR="009164B2" w:rsidRPr="009164B2" w:rsidRDefault="009164B2" w:rsidP="009164B2">
            <w:pPr>
              <w:rPr>
                <w:rFonts w:cs="Arial"/>
              </w:rPr>
            </w:pPr>
            <w:r w:rsidRPr="009164B2">
              <w:rPr>
                <w:rFonts w:cs="Arial"/>
              </w:rPr>
              <w:t>Нарушения на кожата и подкожната тъкан</w:t>
            </w:r>
          </w:p>
        </w:tc>
        <w:tc>
          <w:tcPr>
            <w:tcW w:w="3167" w:type="dxa"/>
          </w:tcPr>
          <w:p w14:paraId="69F8F238" w14:textId="68F6FF7D" w:rsidR="009164B2" w:rsidRPr="009164B2" w:rsidRDefault="009164B2" w:rsidP="009164B2">
            <w:pPr>
              <w:rPr>
                <w:rFonts w:cs="Arial"/>
              </w:rPr>
            </w:pPr>
            <w:r w:rsidRPr="009164B2">
              <w:rPr>
                <w:rFonts w:cs="Arial"/>
              </w:rPr>
              <w:t>Много чести</w:t>
            </w:r>
          </w:p>
        </w:tc>
        <w:tc>
          <w:tcPr>
            <w:tcW w:w="3167" w:type="dxa"/>
          </w:tcPr>
          <w:p w14:paraId="0E71391F" w14:textId="66B457B8" w:rsidR="009164B2" w:rsidRPr="009164B2" w:rsidRDefault="009164B2" w:rsidP="009164B2">
            <w:pPr>
              <w:rPr>
                <w:rFonts w:cs="Arial"/>
              </w:rPr>
            </w:pPr>
            <w:r w:rsidRPr="009164B2">
              <w:rPr>
                <w:rFonts w:cs="Arial"/>
              </w:rPr>
              <w:t>Обрив</w:t>
            </w:r>
            <w:r w:rsidRPr="009164B2">
              <w:rPr>
                <w:rFonts w:cs="Arial"/>
                <w:vertAlign w:val="superscript"/>
              </w:rPr>
              <w:t>е</w:t>
            </w:r>
          </w:p>
        </w:tc>
      </w:tr>
      <w:tr w:rsidR="009164B2" w14:paraId="7EDF7D1C" w14:textId="77777777" w:rsidTr="00AE4DFB">
        <w:tc>
          <w:tcPr>
            <w:tcW w:w="3166" w:type="dxa"/>
            <w:vMerge w:val="restart"/>
          </w:tcPr>
          <w:p w14:paraId="77924810" w14:textId="4A941B73" w:rsidR="009164B2" w:rsidRPr="009164B2" w:rsidRDefault="009164B2" w:rsidP="009164B2">
            <w:pPr>
              <w:rPr>
                <w:rFonts w:cs="Arial"/>
              </w:rPr>
            </w:pPr>
            <w:r w:rsidRPr="009164B2">
              <w:rPr>
                <w:rFonts w:cs="Arial"/>
              </w:rPr>
              <w:t>Нарушения на мускулно- скелетната система и съединителната тъкан</w:t>
            </w:r>
          </w:p>
        </w:tc>
        <w:tc>
          <w:tcPr>
            <w:tcW w:w="3167" w:type="dxa"/>
          </w:tcPr>
          <w:p w14:paraId="41E38A58" w14:textId="2F960A9B" w:rsidR="009164B2" w:rsidRPr="009164B2" w:rsidRDefault="009164B2" w:rsidP="009164B2">
            <w:pPr>
              <w:rPr>
                <w:rFonts w:cs="Arial"/>
              </w:rPr>
            </w:pPr>
            <w:r w:rsidRPr="009164B2">
              <w:rPr>
                <w:rFonts w:cs="Arial"/>
              </w:rPr>
              <w:t>Много чести</w:t>
            </w:r>
          </w:p>
        </w:tc>
        <w:tc>
          <w:tcPr>
            <w:tcW w:w="3167" w:type="dxa"/>
          </w:tcPr>
          <w:p w14:paraId="513F279C" w14:textId="2A21B134" w:rsidR="009164B2" w:rsidRPr="009164B2" w:rsidRDefault="009164B2" w:rsidP="009164B2">
            <w:pPr>
              <w:rPr>
                <w:rFonts w:cs="Arial"/>
              </w:rPr>
            </w:pPr>
            <w:r w:rsidRPr="009164B2">
              <w:rPr>
                <w:rFonts w:cs="Arial"/>
              </w:rPr>
              <w:t>Ставна и мускулно-скелетна болка</w:t>
            </w:r>
            <w:r w:rsidRPr="009164B2">
              <w:rPr>
                <w:rFonts w:cs="Arial"/>
                <w:vertAlign w:val="superscript"/>
                <w:lang w:val="en-US"/>
              </w:rPr>
              <w:t>d</w:t>
            </w:r>
          </w:p>
        </w:tc>
      </w:tr>
      <w:tr w:rsidR="009164B2" w14:paraId="669D4EC5" w14:textId="77777777" w:rsidTr="00AE4DFB">
        <w:tc>
          <w:tcPr>
            <w:tcW w:w="3166" w:type="dxa"/>
            <w:vMerge/>
          </w:tcPr>
          <w:p w14:paraId="5ECF9B86" w14:textId="77777777" w:rsidR="009164B2" w:rsidRPr="009164B2" w:rsidRDefault="009164B2" w:rsidP="009164B2">
            <w:pPr>
              <w:rPr>
                <w:rFonts w:cs="Arial"/>
              </w:rPr>
            </w:pPr>
          </w:p>
        </w:tc>
        <w:tc>
          <w:tcPr>
            <w:tcW w:w="3167" w:type="dxa"/>
          </w:tcPr>
          <w:p w14:paraId="5D8E435D" w14:textId="6997EA03" w:rsidR="009164B2" w:rsidRPr="009164B2" w:rsidRDefault="009164B2" w:rsidP="009164B2">
            <w:pPr>
              <w:rPr>
                <w:rFonts w:cs="Arial"/>
              </w:rPr>
            </w:pPr>
            <w:r w:rsidRPr="009164B2">
              <w:rPr>
                <w:rFonts w:cs="Arial"/>
              </w:rPr>
              <w:t>Чести</w:t>
            </w:r>
          </w:p>
        </w:tc>
        <w:tc>
          <w:tcPr>
            <w:tcW w:w="3167" w:type="dxa"/>
          </w:tcPr>
          <w:p w14:paraId="35BB1EE7" w14:textId="03F951EE" w:rsidR="009164B2" w:rsidRPr="009164B2" w:rsidRDefault="009164B2" w:rsidP="009164B2">
            <w:pPr>
              <w:rPr>
                <w:rFonts w:cs="Arial"/>
              </w:rPr>
            </w:pPr>
            <w:r w:rsidRPr="009164B2">
              <w:rPr>
                <w:rFonts w:cs="Arial"/>
              </w:rPr>
              <w:t>Болка в гърба</w:t>
            </w:r>
            <w:r w:rsidRPr="009164B2">
              <w:rPr>
                <w:rFonts w:cs="Arial"/>
                <w:vertAlign w:val="superscript"/>
              </w:rPr>
              <w:t>а</w:t>
            </w:r>
          </w:p>
        </w:tc>
      </w:tr>
      <w:tr w:rsidR="009164B2" w14:paraId="531EA648" w14:textId="77777777" w:rsidTr="00AE4DFB">
        <w:tc>
          <w:tcPr>
            <w:tcW w:w="3166" w:type="dxa"/>
            <w:vMerge w:val="restart"/>
          </w:tcPr>
          <w:p w14:paraId="3BE3C704" w14:textId="2EEDD88E" w:rsidR="009164B2" w:rsidRPr="009164B2" w:rsidRDefault="009164B2" w:rsidP="009164B2">
            <w:pPr>
              <w:rPr>
                <w:rFonts w:cs="Arial"/>
              </w:rPr>
            </w:pPr>
            <w:r w:rsidRPr="009164B2">
              <w:rPr>
                <w:rFonts w:cs="Arial"/>
              </w:rPr>
              <w:t>Нарушения на възпроизводителната система и гърдата</w:t>
            </w:r>
          </w:p>
        </w:tc>
        <w:tc>
          <w:tcPr>
            <w:tcW w:w="3167" w:type="dxa"/>
          </w:tcPr>
          <w:p w14:paraId="2C56AA10" w14:textId="0EC8CCF7" w:rsidR="009164B2" w:rsidRPr="009164B2" w:rsidRDefault="009164B2" w:rsidP="009164B2">
            <w:pPr>
              <w:rPr>
                <w:rFonts w:cs="Arial"/>
              </w:rPr>
            </w:pPr>
            <w:r w:rsidRPr="009164B2">
              <w:rPr>
                <w:rFonts w:cs="Arial"/>
              </w:rPr>
              <w:t>Чести</w:t>
            </w:r>
          </w:p>
        </w:tc>
        <w:tc>
          <w:tcPr>
            <w:tcW w:w="3167" w:type="dxa"/>
          </w:tcPr>
          <w:p w14:paraId="13C6F7D7" w14:textId="486BC75E" w:rsidR="009164B2" w:rsidRPr="009164B2" w:rsidRDefault="009164B2" w:rsidP="009164B2">
            <w:pPr>
              <w:rPr>
                <w:rFonts w:cs="Arial"/>
              </w:rPr>
            </w:pPr>
            <w:r w:rsidRPr="009164B2">
              <w:rPr>
                <w:rFonts w:cs="Arial"/>
              </w:rPr>
              <w:t>Вагинално кървене</w:t>
            </w:r>
            <w:r w:rsidRPr="009164B2">
              <w:rPr>
                <w:rFonts w:cs="Arial"/>
                <w:vertAlign w:val="superscript"/>
                <w:lang w:val="en-US"/>
              </w:rPr>
              <w:t>e</w:t>
            </w:r>
          </w:p>
        </w:tc>
      </w:tr>
      <w:tr w:rsidR="009164B2" w14:paraId="4BFCE3DE" w14:textId="77777777" w:rsidTr="00AE4DFB">
        <w:tc>
          <w:tcPr>
            <w:tcW w:w="3166" w:type="dxa"/>
            <w:vMerge/>
          </w:tcPr>
          <w:p w14:paraId="59DDF451" w14:textId="77777777" w:rsidR="009164B2" w:rsidRPr="009164B2" w:rsidRDefault="009164B2" w:rsidP="009164B2">
            <w:pPr>
              <w:rPr>
                <w:rFonts w:cs="Arial"/>
              </w:rPr>
            </w:pPr>
          </w:p>
        </w:tc>
        <w:tc>
          <w:tcPr>
            <w:tcW w:w="3167" w:type="dxa"/>
          </w:tcPr>
          <w:p w14:paraId="32F2B14D" w14:textId="69CC3E5B" w:rsidR="009164B2" w:rsidRPr="009164B2" w:rsidRDefault="009164B2" w:rsidP="009164B2">
            <w:pPr>
              <w:rPr>
                <w:rFonts w:cs="Arial"/>
              </w:rPr>
            </w:pPr>
            <w:r w:rsidRPr="009164B2">
              <w:rPr>
                <w:rFonts w:cs="Arial"/>
              </w:rPr>
              <w:t>Нечести</w:t>
            </w:r>
          </w:p>
        </w:tc>
        <w:tc>
          <w:tcPr>
            <w:tcW w:w="3167" w:type="dxa"/>
          </w:tcPr>
          <w:p w14:paraId="2388A3B4" w14:textId="5B8127C3" w:rsidR="009164B2" w:rsidRPr="009164B2" w:rsidRDefault="009164B2" w:rsidP="009164B2">
            <w:pPr>
              <w:rPr>
                <w:rFonts w:cs="Arial"/>
              </w:rPr>
            </w:pPr>
            <w:r w:rsidRPr="009164B2">
              <w:rPr>
                <w:rFonts w:cs="Arial"/>
              </w:rPr>
              <w:t>Вагинална монилиаза</w:t>
            </w:r>
            <w:r w:rsidRPr="009164B2">
              <w:rPr>
                <w:rFonts w:cs="Arial"/>
                <w:vertAlign w:val="superscript"/>
                <w:lang w:val="en-US"/>
              </w:rPr>
              <w:t>f</w:t>
            </w:r>
            <w:r w:rsidRPr="009164B2">
              <w:rPr>
                <w:rFonts w:cs="Arial"/>
              </w:rPr>
              <w:t>, левкорся</w:t>
            </w:r>
            <w:r w:rsidRPr="009164B2">
              <w:rPr>
                <w:rFonts w:cs="Arial"/>
                <w:vertAlign w:val="superscript"/>
                <w:lang w:val="en-US"/>
              </w:rPr>
              <w:t>f</w:t>
            </w:r>
          </w:p>
        </w:tc>
      </w:tr>
      <w:tr w:rsidR="009164B2" w14:paraId="2438A8F1" w14:textId="77777777" w:rsidTr="00AE4DFB">
        <w:tc>
          <w:tcPr>
            <w:tcW w:w="3166" w:type="dxa"/>
            <w:vMerge w:val="restart"/>
          </w:tcPr>
          <w:p w14:paraId="3FBE8D52" w14:textId="022D37B3" w:rsidR="009164B2" w:rsidRPr="009164B2" w:rsidRDefault="009164B2" w:rsidP="009164B2">
            <w:pPr>
              <w:rPr>
                <w:rFonts w:cs="Arial"/>
              </w:rPr>
            </w:pPr>
            <w:r w:rsidRPr="009164B2">
              <w:rPr>
                <w:rFonts w:cs="Arial"/>
              </w:rPr>
              <w:t>Общи нарушения и ефекти на мястото на приложение</w:t>
            </w:r>
          </w:p>
        </w:tc>
        <w:tc>
          <w:tcPr>
            <w:tcW w:w="3167" w:type="dxa"/>
          </w:tcPr>
          <w:p w14:paraId="0C405C2F" w14:textId="2C123436" w:rsidR="009164B2" w:rsidRPr="009164B2" w:rsidRDefault="009164B2" w:rsidP="009164B2">
            <w:pPr>
              <w:rPr>
                <w:rFonts w:cs="Arial"/>
              </w:rPr>
            </w:pPr>
            <w:r w:rsidRPr="009164B2">
              <w:rPr>
                <w:rFonts w:cs="Arial"/>
              </w:rPr>
              <w:t>Много чести</w:t>
            </w:r>
          </w:p>
        </w:tc>
        <w:tc>
          <w:tcPr>
            <w:tcW w:w="3167" w:type="dxa"/>
          </w:tcPr>
          <w:p w14:paraId="1C1D1EF0" w14:textId="5169D0CF" w:rsidR="009164B2" w:rsidRPr="009164B2" w:rsidRDefault="009164B2" w:rsidP="009164B2">
            <w:pPr>
              <w:rPr>
                <w:rFonts w:cs="Arial"/>
              </w:rPr>
            </w:pPr>
            <w:r w:rsidRPr="009164B2">
              <w:rPr>
                <w:rFonts w:cs="Arial"/>
              </w:rPr>
              <w:t>Астения</w:t>
            </w:r>
            <w:r w:rsidRPr="009164B2">
              <w:rPr>
                <w:rFonts w:cs="Arial"/>
                <w:vertAlign w:val="superscript"/>
              </w:rPr>
              <w:t>а</w:t>
            </w:r>
            <w:r w:rsidRPr="009164B2">
              <w:rPr>
                <w:rFonts w:cs="Arial"/>
              </w:rPr>
              <w:t>, реакции на мястото на инжектиране</w:t>
            </w:r>
            <w:r w:rsidRPr="009164B2">
              <w:rPr>
                <w:rFonts w:cs="Arial"/>
                <w:vertAlign w:val="superscript"/>
                <w:lang w:val="en-US"/>
              </w:rPr>
              <w:t>b</w:t>
            </w:r>
          </w:p>
        </w:tc>
      </w:tr>
      <w:tr w:rsidR="009164B2" w14:paraId="3287630B" w14:textId="77777777" w:rsidTr="00AE4DFB">
        <w:tc>
          <w:tcPr>
            <w:tcW w:w="3166" w:type="dxa"/>
            <w:vMerge/>
          </w:tcPr>
          <w:p w14:paraId="2CB5F188" w14:textId="77777777" w:rsidR="009164B2" w:rsidRPr="009164B2" w:rsidRDefault="009164B2" w:rsidP="009164B2">
            <w:pPr>
              <w:rPr>
                <w:rFonts w:cs="Arial"/>
              </w:rPr>
            </w:pPr>
          </w:p>
        </w:tc>
        <w:tc>
          <w:tcPr>
            <w:tcW w:w="3167" w:type="dxa"/>
          </w:tcPr>
          <w:p w14:paraId="5AFFA8ED" w14:textId="637C8331" w:rsidR="009164B2" w:rsidRPr="009164B2" w:rsidRDefault="009164B2" w:rsidP="009164B2">
            <w:pPr>
              <w:rPr>
                <w:rFonts w:cs="Arial"/>
              </w:rPr>
            </w:pPr>
            <w:r w:rsidRPr="009164B2">
              <w:rPr>
                <w:rFonts w:cs="Arial"/>
              </w:rPr>
              <w:t>Чести</w:t>
            </w:r>
          </w:p>
        </w:tc>
        <w:tc>
          <w:tcPr>
            <w:tcW w:w="3167" w:type="dxa"/>
          </w:tcPr>
          <w:p w14:paraId="1D00609F" w14:textId="3AC1E184" w:rsidR="009164B2" w:rsidRPr="009164B2" w:rsidRDefault="009164B2" w:rsidP="009164B2">
            <w:pPr>
              <w:rPr>
                <w:rFonts w:cs="Arial"/>
              </w:rPr>
            </w:pPr>
            <w:r w:rsidRPr="009164B2">
              <w:rPr>
                <w:rFonts w:cs="Arial"/>
              </w:rPr>
              <w:t>Периферна невропатия</w:t>
            </w:r>
            <w:r w:rsidRPr="009164B2">
              <w:rPr>
                <w:rFonts w:cs="Arial"/>
                <w:vertAlign w:val="superscript"/>
                <w:lang w:val="en-US"/>
              </w:rPr>
              <w:t>e</w:t>
            </w:r>
            <w:r w:rsidRPr="009164B2">
              <w:rPr>
                <w:rFonts w:cs="Arial"/>
              </w:rPr>
              <w:t>, възпаление на седалищния нерв (ишиас)</w:t>
            </w:r>
            <w:r w:rsidRPr="009164B2">
              <w:rPr>
                <w:rFonts w:cs="Arial"/>
                <w:vertAlign w:val="superscript"/>
              </w:rPr>
              <w:t>а</w:t>
            </w:r>
            <w:r w:rsidRPr="00114D09">
              <w:rPr>
                <w:rFonts w:cs="Arial"/>
                <w:vertAlign w:val="superscript"/>
                <w:lang w:val="ru-RU"/>
              </w:rPr>
              <w:t xml:space="preserve"> </w:t>
            </w:r>
          </w:p>
        </w:tc>
      </w:tr>
      <w:tr w:rsidR="009164B2" w14:paraId="265A05D6" w14:textId="77777777" w:rsidTr="00AE4DFB">
        <w:tc>
          <w:tcPr>
            <w:tcW w:w="3166" w:type="dxa"/>
            <w:vMerge/>
          </w:tcPr>
          <w:p w14:paraId="0EEF6814" w14:textId="77777777" w:rsidR="009164B2" w:rsidRPr="009164B2" w:rsidRDefault="009164B2" w:rsidP="009164B2">
            <w:pPr>
              <w:rPr>
                <w:rFonts w:cs="Arial"/>
              </w:rPr>
            </w:pPr>
          </w:p>
        </w:tc>
        <w:tc>
          <w:tcPr>
            <w:tcW w:w="3167" w:type="dxa"/>
          </w:tcPr>
          <w:p w14:paraId="11787AE5" w14:textId="3AF56250" w:rsidR="009164B2" w:rsidRPr="009164B2" w:rsidRDefault="009164B2" w:rsidP="009164B2">
            <w:pPr>
              <w:rPr>
                <w:rFonts w:cs="Arial"/>
              </w:rPr>
            </w:pPr>
            <w:r w:rsidRPr="009164B2">
              <w:rPr>
                <w:rFonts w:cs="Arial"/>
              </w:rPr>
              <w:t>Нечести</w:t>
            </w:r>
          </w:p>
        </w:tc>
        <w:tc>
          <w:tcPr>
            <w:tcW w:w="3167" w:type="dxa"/>
          </w:tcPr>
          <w:p w14:paraId="72C97D56" w14:textId="77777777" w:rsidR="009164B2" w:rsidRPr="009164B2" w:rsidRDefault="009164B2" w:rsidP="009164B2">
            <w:pPr>
              <w:rPr>
                <w:rFonts w:cs="Arial"/>
              </w:rPr>
            </w:pPr>
          </w:p>
          <w:p w14:paraId="560F5C70" w14:textId="36DA4A1F" w:rsidR="009164B2" w:rsidRPr="009164B2" w:rsidRDefault="009164B2" w:rsidP="009164B2">
            <w:pPr>
              <w:rPr>
                <w:rFonts w:cs="Arial"/>
              </w:rPr>
            </w:pPr>
            <w:r w:rsidRPr="009164B2">
              <w:rPr>
                <w:rFonts w:cs="Arial"/>
              </w:rPr>
              <w:t>Кръвоизлив на мястото на  инжектиране</w:t>
            </w:r>
            <w:r w:rsidRPr="009164B2">
              <w:rPr>
                <w:rFonts w:cs="Arial"/>
                <w:vertAlign w:val="superscript"/>
                <w:lang w:val="en-US"/>
              </w:rPr>
              <w:t>f</w:t>
            </w:r>
            <w:r w:rsidRPr="009164B2">
              <w:rPr>
                <w:rFonts w:cs="Arial"/>
              </w:rPr>
              <w:t>, хематом на мястото на инжектиране</w:t>
            </w:r>
            <w:r w:rsidRPr="009164B2">
              <w:rPr>
                <w:rFonts w:cs="Arial"/>
                <w:vertAlign w:val="superscript"/>
                <w:lang w:val="en-US"/>
              </w:rPr>
              <w:t>f</w:t>
            </w:r>
            <w:r w:rsidRPr="009164B2">
              <w:rPr>
                <w:rFonts w:cs="Arial"/>
              </w:rPr>
              <w:t>, невралгия</w:t>
            </w:r>
            <w:r w:rsidRPr="009164B2">
              <w:rPr>
                <w:rFonts w:cs="Arial"/>
                <w:vertAlign w:val="superscript"/>
                <w:lang w:val="en-US"/>
              </w:rPr>
              <w:t>e</w:t>
            </w:r>
            <w:r w:rsidRPr="00114D09">
              <w:rPr>
                <w:rFonts w:cs="Arial"/>
                <w:vertAlign w:val="superscript"/>
                <w:lang w:val="ru-RU"/>
              </w:rPr>
              <w:t>,</w:t>
            </w:r>
            <w:r w:rsidRPr="009164B2">
              <w:rPr>
                <w:rFonts w:cs="Arial"/>
                <w:vertAlign w:val="superscript"/>
                <w:lang w:val="en-US"/>
              </w:rPr>
              <w:t>f</w:t>
            </w:r>
          </w:p>
        </w:tc>
      </w:tr>
    </w:tbl>
    <w:p w14:paraId="18DC12B3" w14:textId="329B2C91" w:rsidR="00AE4DFB" w:rsidRDefault="00AE4DFB" w:rsidP="0091385D"/>
    <w:p w14:paraId="5396F593" w14:textId="77777777" w:rsidR="009164B2" w:rsidRPr="009164B2" w:rsidRDefault="009164B2" w:rsidP="009164B2">
      <w:pPr>
        <w:spacing w:line="240" w:lineRule="auto"/>
        <w:rPr>
          <w:rFonts w:eastAsia="Times New Roman" w:cs="Arial"/>
          <w:sz w:val="24"/>
          <w:szCs w:val="24"/>
          <w:lang w:eastAsia="bg-BG"/>
        </w:rPr>
      </w:pPr>
      <w:r w:rsidRPr="009164B2">
        <w:rPr>
          <w:rFonts w:eastAsia="Times New Roman" w:cs="Arial"/>
          <w:color w:val="000000"/>
          <w:vertAlign w:val="superscript"/>
          <w:lang w:val="en-US"/>
        </w:rPr>
        <w:lastRenderedPageBreak/>
        <w:t>a</w:t>
      </w:r>
      <w:r w:rsidRPr="009164B2">
        <w:rPr>
          <w:rFonts w:eastAsia="Times New Roman" w:cs="Arial"/>
          <w:color w:val="000000"/>
          <w:lang w:eastAsia="bg-BG"/>
        </w:rPr>
        <w:t xml:space="preserve"> Включва нежелани лекарствени реакции, за които поради наличие на подлежащо заболяване не може да се определи с точност степента, в която фулвестрант допринася за развитието им.</w:t>
      </w:r>
    </w:p>
    <w:p w14:paraId="2D73CF34" w14:textId="77777777" w:rsidR="009164B2" w:rsidRPr="00114D09" w:rsidRDefault="009164B2" w:rsidP="009164B2">
      <w:pPr>
        <w:spacing w:line="240" w:lineRule="auto"/>
        <w:rPr>
          <w:rFonts w:eastAsia="Times New Roman" w:cs="Arial"/>
          <w:color w:val="000000"/>
          <w:vertAlign w:val="superscript"/>
          <w:lang w:val="ru-RU"/>
        </w:rPr>
      </w:pPr>
    </w:p>
    <w:p w14:paraId="6157D820" w14:textId="0879385C" w:rsidR="009164B2" w:rsidRPr="009164B2" w:rsidRDefault="009164B2" w:rsidP="009164B2">
      <w:pPr>
        <w:spacing w:line="240" w:lineRule="auto"/>
        <w:rPr>
          <w:rFonts w:eastAsia="Times New Roman" w:cs="Arial"/>
          <w:sz w:val="24"/>
          <w:szCs w:val="24"/>
          <w:lang w:eastAsia="bg-BG"/>
        </w:rPr>
      </w:pPr>
      <w:r w:rsidRPr="009164B2">
        <w:rPr>
          <w:rFonts w:eastAsia="Times New Roman" w:cs="Arial"/>
          <w:color w:val="000000"/>
          <w:vertAlign w:val="superscript"/>
          <w:lang w:val="en-US"/>
        </w:rPr>
        <w:t>b</w:t>
      </w:r>
      <w:r w:rsidRPr="009164B2">
        <w:rPr>
          <w:rFonts w:eastAsia="Times New Roman" w:cs="Arial"/>
          <w:color w:val="000000"/>
          <w:lang w:eastAsia="bg-BG"/>
        </w:rPr>
        <w:t xml:space="preserve"> Терминът “реакции на мястото на инжектиране” не включва термините “кръвоизлив на мястото на инжектиране”, “хематом на мястото на инжектиране”, ишиас, невралгия и периферна невропатия.</w:t>
      </w:r>
    </w:p>
    <w:p w14:paraId="22A713C5" w14:textId="77777777" w:rsidR="009164B2" w:rsidRPr="009164B2" w:rsidRDefault="009164B2" w:rsidP="009164B2">
      <w:pPr>
        <w:spacing w:line="240" w:lineRule="auto"/>
        <w:rPr>
          <w:rFonts w:eastAsia="Times New Roman" w:cs="Arial"/>
          <w:color w:val="000000"/>
          <w:vertAlign w:val="superscript"/>
          <w:lang w:eastAsia="bg-BG"/>
        </w:rPr>
      </w:pPr>
    </w:p>
    <w:p w14:paraId="020B27A9" w14:textId="4EE0D70E" w:rsidR="009164B2" w:rsidRPr="009164B2" w:rsidRDefault="009164B2" w:rsidP="009164B2">
      <w:pPr>
        <w:spacing w:line="240" w:lineRule="auto"/>
        <w:rPr>
          <w:rFonts w:eastAsia="Times New Roman" w:cs="Arial"/>
          <w:sz w:val="24"/>
          <w:szCs w:val="24"/>
          <w:lang w:eastAsia="bg-BG"/>
        </w:rPr>
      </w:pPr>
      <w:r w:rsidRPr="009164B2">
        <w:rPr>
          <w:rFonts w:eastAsia="Times New Roman" w:cs="Arial"/>
          <w:color w:val="000000"/>
          <w:vertAlign w:val="superscript"/>
          <w:lang w:eastAsia="bg-BG"/>
        </w:rPr>
        <w:t>с</w:t>
      </w:r>
      <w:r w:rsidRPr="009164B2">
        <w:rPr>
          <w:rFonts w:eastAsia="Times New Roman" w:cs="Arial"/>
          <w:color w:val="000000"/>
          <w:lang w:eastAsia="bg-BG"/>
        </w:rPr>
        <w:t xml:space="preserve"> Реакцията не е наблюдавана при големите клинични изпитвания </w:t>
      </w:r>
      <w:r w:rsidRPr="00114D09">
        <w:rPr>
          <w:rFonts w:eastAsia="Times New Roman" w:cs="Arial"/>
          <w:color w:val="000000"/>
          <w:lang w:val="ru-RU"/>
        </w:rPr>
        <w:t>(</w:t>
      </w:r>
      <w:r w:rsidRPr="009164B2">
        <w:rPr>
          <w:rFonts w:eastAsia="Times New Roman" w:cs="Arial"/>
          <w:color w:val="000000"/>
          <w:lang w:val="en-US"/>
        </w:rPr>
        <w:t>CONFIRM</w:t>
      </w:r>
      <w:r w:rsidRPr="00114D09">
        <w:rPr>
          <w:rFonts w:eastAsia="Times New Roman" w:cs="Arial"/>
          <w:color w:val="000000"/>
          <w:lang w:val="ru-RU"/>
        </w:rPr>
        <w:t xml:space="preserve">, </w:t>
      </w:r>
      <w:r w:rsidRPr="009164B2">
        <w:rPr>
          <w:rFonts w:eastAsia="Times New Roman" w:cs="Arial"/>
          <w:color w:val="000000"/>
          <w:lang w:val="en-US"/>
        </w:rPr>
        <w:t>FINDER</w:t>
      </w:r>
      <w:r w:rsidRPr="00114D09">
        <w:rPr>
          <w:rFonts w:eastAsia="Times New Roman" w:cs="Arial"/>
          <w:color w:val="000000"/>
          <w:lang w:val="ru-RU"/>
        </w:rPr>
        <w:t xml:space="preserve"> </w:t>
      </w:r>
      <w:r w:rsidRPr="009164B2">
        <w:rPr>
          <w:rFonts w:eastAsia="Times New Roman" w:cs="Arial"/>
          <w:color w:val="000000"/>
          <w:lang w:eastAsia="bg-BG"/>
        </w:rPr>
        <w:t xml:space="preserve">1, </w:t>
      </w:r>
      <w:r w:rsidRPr="009164B2">
        <w:rPr>
          <w:rFonts w:eastAsia="Times New Roman" w:cs="Arial"/>
          <w:color w:val="000000"/>
          <w:lang w:val="en-US"/>
        </w:rPr>
        <w:t>FINDER</w:t>
      </w:r>
      <w:r w:rsidRPr="00114D09">
        <w:rPr>
          <w:rFonts w:eastAsia="Times New Roman" w:cs="Arial"/>
          <w:color w:val="000000"/>
          <w:lang w:val="ru-RU"/>
        </w:rPr>
        <w:t xml:space="preserve"> </w:t>
      </w:r>
      <w:r w:rsidRPr="009164B2">
        <w:rPr>
          <w:rFonts w:eastAsia="Times New Roman" w:cs="Arial"/>
          <w:color w:val="000000"/>
          <w:lang w:eastAsia="bg-BG"/>
        </w:rPr>
        <w:t xml:space="preserve">2, </w:t>
      </w:r>
      <w:r w:rsidRPr="009164B2">
        <w:rPr>
          <w:rFonts w:eastAsia="Times New Roman" w:cs="Arial"/>
          <w:color w:val="000000"/>
          <w:lang w:val="en-US"/>
        </w:rPr>
        <w:t>NEWEST</w:t>
      </w:r>
      <w:r w:rsidRPr="00114D09">
        <w:rPr>
          <w:rFonts w:eastAsia="Times New Roman" w:cs="Arial"/>
          <w:color w:val="000000"/>
          <w:lang w:val="ru-RU"/>
        </w:rPr>
        <w:t xml:space="preserve">). </w:t>
      </w:r>
      <w:r w:rsidRPr="009164B2">
        <w:rPr>
          <w:rFonts w:eastAsia="Times New Roman" w:cs="Arial"/>
          <w:color w:val="000000"/>
          <w:lang w:eastAsia="bg-BG"/>
        </w:rPr>
        <w:t>Честотата е изчислена посредством горната граница на 95% доверителен интервал за точкова оценка. Изчислен е като 3/560 (където 560 е броят пациенти в големите клинични изпитвания), което попада в категорията “нечести”.</w:t>
      </w:r>
    </w:p>
    <w:p w14:paraId="00FD1E51" w14:textId="1DE9191F" w:rsidR="009164B2" w:rsidRPr="009164B2" w:rsidRDefault="009164B2" w:rsidP="009164B2">
      <w:pPr>
        <w:spacing w:line="240" w:lineRule="auto"/>
        <w:rPr>
          <w:rFonts w:eastAsia="Times New Roman" w:cs="Arial"/>
          <w:sz w:val="24"/>
          <w:szCs w:val="24"/>
          <w:lang w:eastAsia="bg-BG"/>
        </w:rPr>
      </w:pPr>
      <w:r w:rsidRPr="009164B2">
        <w:rPr>
          <w:rFonts w:eastAsia="Times New Roman" w:cs="Arial"/>
          <w:color w:val="000000"/>
          <w:vertAlign w:val="superscript"/>
          <w:lang w:val="en-US"/>
        </w:rPr>
        <w:t>d</w:t>
      </w:r>
      <w:r w:rsidRPr="00114D09">
        <w:rPr>
          <w:rFonts w:eastAsia="Times New Roman" w:cs="Arial"/>
          <w:color w:val="000000"/>
          <w:lang w:val="ru-RU"/>
        </w:rPr>
        <w:t xml:space="preserve"> </w:t>
      </w:r>
      <w:r w:rsidRPr="009164B2">
        <w:rPr>
          <w:rFonts w:eastAsia="Times New Roman" w:cs="Arial"/>
          <w:color w:val="000000"/>
          <w:lang w:eastAsia="bg-BG"/>
        </w:rPr>
        <w:t xml:space="preserve">Включва: </w:t>
      </w:r>
      <w:proofErr w:type="spellStart"/>
      <w:r w:rsidRPr="009164B2">
        <w:rPr>
          <w:rFonts w:eastAsia="Times New Roman" w:cs="Arial"/>
          <w:color w:val="000000"/>
          <w:lang w:eastAsia="bg-BG"/>
        </w:rPr>
        <w:t>артралгия</w:t>
      </w:r>
      <w:proofErr w:type="spellEnd"/>
      <w:r w:rsidRPr="009164B2">
        <w:rPr>
          <w:rFonts w:eastAsia="Times New Roman" w:cs="Arial"/>
          <w:color w:val="000000"/>
          <w:lang w:eastAsia="bg-BG"/>
        </w:rPr>
        <w:t xml:space="preserve"> и по-рядко болка в мускулно-скелетната система, </w:t>
      </w:r>
      <w:proofErr w:type="spellStart"/>
      <w:r w:rsidRPr="009164B2">
        <w:rPr>
          <w:rFonts w:eastAsia="Times New Roman" w:cs="Arial"/>
          <w:color w:val="000000"/>
          <w:lang w:eastAsia="bg-BG"/>
        </w:rPr>
        <w:t>миалгия</w:t>
      </w:r>
      <w:proofErr w:type="spellEnd"/>
      <w:r w:rsidRPr="009164B2">
        <w:rPr>
          <w:rFonts w:eastAsia="Times New Roman" w:cs="Arial"/>
          <w:color w:val="000000"/>
          <w:lang w:eastAsia="bg-BG"/>
        </w:rPr>
        <w:t xml:space="preserve"> и болки в крайниците.</w:t>
      </w:r>
    </w:p>
    <w:p w14:paraId="0980CB72" w14:textId="77777777" w:rsidR="009164B2" w:rsidRPr="009164B2" w:rsidRDefault="009164B2" w:rsidP="009164B2">
      <w:pPr>
        <w:spacing w:line="240" w:lineRule="auto"/>
        <w:rPr>
          <w:rFonts w:eastAsia="Times New Roman" w:cs="Arial"/>
          <w:sz w:val="24"/>
          <w:szCs w:val="24"/>
          <w:lang w:eastAsia="bg-BG"/>
        </w:rPr>
      </w:pPr>
      <w:r w:rsidRPr="009164B2">
        <w:rPr>
          <w:rFonts w:eastAsia="Times New Roman" w:cs="Arial"/>
          <w:color w:val="000000"/>
          <w:vertAlign w:val="superscript"/>
          <w:lang w:val="en-US"/>
        </w:rPr>
        <w:t>e</w:t>
      </w:r>
      <w:r w:rsidRPr="009164B2">
        <w:rPr>
          <w:rFonts w:eastAsia="Times New Roman" w:cs="Arial"/>
          <w:color w:val="000000"/>
          <w:lang w:eastAsia="bg-BG"/>
        </w:rPr>
        <w:t xml:space="preserve"> Категорията за честота е различна при сборните данни за безопасност и при </w:t>
      </w:r>
      <w:r w:rsidRPr="009164B2">
        <w:rPr>
          <w:rFonts w:eastAsia="Times New Roman" w:cs="Arial"/>
          <w:color w:val="000000"/>
          <w:lang w:val="en-US"/>
        </w:rPr>
        <w:t>FALCON</w:t>
      </w:r>
      <w:r w:rsidRPr="00114D09">
        <w:rPr>
          <w:rFonts w:eastAsia="Times New Roman" w:cs="Arial"/>
          <w:color w:val="000000"/>
          <w:lang w:val="ru-RU"/>
        </w:rPr>
        <w:t xml:space="preserve">. </w:t>
      </w:r>
      <w:r w:rsidRPr="009164B2">
        <w:rPr>
          <w:rFonts w:eastAsia="Times New Roman" w:cs="Arial"/>
          <w:color w:val="000000"/>
          <w:vertAlign w:val="superscript"/>
          <w:lang w:val="en-US"/>
        </w:rPr>
        <w:t>f</w:t>
      </w:r>
      <w:r w:rsidRPr="00114D09">
        <w:rPr>
          <w:rFonts w:eastAsia="Times New Roman" w:cs="Arial"/>
          <w:color w:val="000000"/>
          <w:lang w:val="ru-RU"/>
        </w:rPr>
        <w:t xml:space="preserve"> </w:t>
      </w:r>
      <w:r w:rsidRPr="009164B2">
        <w:rPr>
          <w:rFonts w:eastAsia="Times New Roman" w:cs="Arial"/>
          <w:color w:val="000000"/>
          <w:lang w:eastAsia="bg-BG"/>
        </w:rPr>
        <w:t xml:space="preserve">НЛР не е наблюдавана във </w:t>
      </w:r>
      <w:r w:rsidRPr="009164B2">
        <w:rPr>
          <w:rFonts w:eastAsia="Times New Roman" w:cs="Arial"/>
          <w:color w:val="000000"/>
          <w:lang w:val="en-US"/>
        </w:rPr>
        <w:t>FALCON</w:t>
      </w:r>
      <w:r w:rsidRPr="00114D09">
        <w:rPr>
          <w:rFonts w:eastAsia="Times New Roman" w:cs="Arial"/>
          <w:color w:val="000000"/>
          <w:lang w:val="ru-RU"/>
        </w:rPr>
        <w:t>.</w:t>
      </w:r>
    </w:p>
    <w:p w14:paraId="13FD57DE" w14:textId="77777777" w:rsidR="009164B2" w:rsidRPr="009164B2" w:rsidRDefault="009164B2" w:rsidP="009164B2">
      <w:pPr>
        <w:spacing w:line="240" w:lineRule="auto"/>
        <w:rPr>
          <w:rFonts w:eastAsia="Times New Roman" w:cs="Arial"/>
          <w:color w:val="000000"/>
          <w:u w:val="single"/>
          <w:lang w:eastAsia="bg-BG"/>
        </w:rPr>
      </w:pPr>
    </w:p>
    <w:p w14:paraId="2D097980" w14:textId="23BFE693" w:rsidR="009164B2" w:rsidRPr="009164B2" w:rsidRDefault="009164B2" w:rsidP="009164B2">
      <w:pPr>
        <w:spacing w:line="240" w:lineRule="auto"/>
        <w:rPr>
          <w:rFonts w:eastAsia="Times New Roman" w:cs="Arial"/>
          <w:sz w:val="24"/>
          <w:szCs w:val="24"/>
          <w:lang w:eastAsia="bg-BG"/>
        </w:rPr>
      </w:pPr>
      <w:r w:rsidRPr="009164B2">
        <w:rPr>
          <w:rFonts w:eastAsia="Times New Roman" w:cs="Arial"/>
          <w:color w:val="000000"/>
          <w:u w:val="single"/>
          <w:lang w:eastAsia="bg-BG"/>
        </w:rPr>
        <w:t>Описание на избрани нежелани реакции</w:t>
      </w:r>
    </w:p>
    <w:p w14:paraId="41C591E1" w14:textId="77777777" w:rsidR="009164B2" w:rsidRPr="009164B2" w:rsidRDefault="009164B2" w:rsidP="009164B2">
      <w:pPr>
        <w:spacing w:line="240" w:lineRule="auto"/>
        <w:rPr>
          <w:rFonts w:eastAsia="Times New Roman" w:cs="Arial"/>
          <w:color w:val="000000"/>
          <w:lang w:eastAsia="bg-BG"/>
        </w:rPr>
      </w:pPr>
    </w:p>
    <w:p w14:paraId="5F86E6D7" w14:textId="127586EB" w:rsidR="009164B2" w:rsidRPr="009164B2" w:rsidRDefault="009164B2" w:rsidP="009164B2">
      <w:pPr>
        <w:spacing w:line="240" w:lineRule="auto"/>
        <w:rPr>
          <w:rFonts w:eastAsia="Times New Roman" w:cs="Arial"/>
          <w:sz w:val="24"/>
          <w:szCs w:val="24"/>
          <w:lang w:eastAsia="bg-BG"/>
        </w:rPr>
      </w:pPr>
      <w:r w:rsidRPr="009164B2">
        <w:rPr>
          <w:rFonts w:eastAsia="Times New Roman" w:cs="Arial"/>
          <w:color w:val="000000"/>
          <w:lang w:eastAsia="bg-BG"/>
        </w:rPr>
        <w:t xml:space="preserve">Включените по-долу описания се основават на анализа на данните за безопасност, съответно при 228 пациентки, които са получили най-малко една (1) доза </w:t>
      </w:r>
      <w:proofErr w:type="spellStart"/>
      <w:r w:rsidRPr="009164B2">
        <w:rPr>
          <w:rFonts w:eastAsia="Times New Roman" w:cs="Arial"/>
          <w:color w:val="000000"/>
          <w:lang w:eastAsia="bg-BG"/>
        </w:rPr>
        <w:t>фулвестрант</w:t>
      </w:r>
      <w:proofErr w:type="spellEnd"/>
      <w:r w:rsidRPr="009164B2">
        <w:rPr>
          <w:rFonts w:eastAsia="Times New Roman" w:cs="Arial"/>
          <w:color w:val="000000"/>
          <w:lang w:eastAsia="bg-BG"/>
        </w:rPr>
        <w:t xml:space="preserve">, и при 232 пациентки, които са получили най-малко една (1) доза </w:t>
      </w:r>
      <w:proofErr w:type="spellStart"/>
      <w:r w:rsidRPr="009164B2">
        <w:rPr>
          <w:rFonts w:eastAsia="Times New Roman" w:cs="Arial"/>
          <w:color w:val="000000"/>
          <w:lang w:eastAsia="bg-BG"/>
        </w:rPr>
        <w:t>анастрозол</w:t>
      </w:r>
      <w:proofErr w:type="spellEnd"/>
      <w:r w:rsidRPr="009164B2">
        <w:rPr>
          <w:rFonts w:eastAsia="Times New Roman" w:cs="Arial"/>
          <w:color w:val="000000"/>
          <w:lang w:eastAsia="bg-BG"/>
        </w:rPr>
        <w:t xml:space="preserve">, във фаза 3 на проучването </w:t>
      </w:r>
      <w:r w:rsidRPr="009164B2">
        <w:rPr>
          <w:rFonts w:eastAsia="Times New Roman" w:cs="Arial"/>
          <w:color w:val="000000"/>
          <w:lang w:val="en-US"/>
        </w:rPr>
        <w:t>FALCON</w:t>
      </w:r>
      <w:r w:rsidRPr="00114D09">
        <w:rPr>
          <w:rFonts w:eastAsia="Times New Roman" w:cs="Arial"/>
          <w:color w:val="000000"/>
          <w:lang w:val="ru-RU"/>
        </w:rPr>
        <w:t>.</w:t>
      </w:r>
    </w:p>
    <w:p w14:paraId="72629CAA" w14:textId="77777777" w:rsidR="009164B2" w:rsidRPr="009164B2" w:rsidRDefault="009164B2" w:rsidP="009164B2">
      <w:pPr>
        <w:spacing w:line="240" w:lineRule="auto"/>
        <w:rPr>
          <w:rFonts w:eastAsia="Times New Roman" w:cs="Arial"/>
          <w:i/>
          <w:iCs/>
          <w:color w:val="000000"/>
          <w:lang w:eastAsia="bg-BG"/>
        </w:rPr>
      </w:pPr>
    </w:p>
    <w:p w14:paraId="5552B320" w14:textId="7920978B" w:rsidR="009164B2" w:rsidRPr="009164B2" w:rsidRDefault="009164B2" w:rsidP="009164B2">
      <w:pPr>
        <w:spacing w:line="240" w:lineRule="auto"/>
        <w:rPr>
          <w:rFonts w:eastAsia="Times New Roman" w:cs="Arial"/>
          <w:sz w:val="24"/>
          <w:szCs w:val="24"/>
          <w:lang w:eastAsia="bg-BG"/>
        </w:rPr>
      </w:pPr>
      <w:r w:rsidRPr="009164B2">
        <w:rPr>
          <w:rFonts w:eastAsia="Times New Roman" w:cs="Arial"/>
          <w:i/>
          <w:iCs/>
          <w:color w:val="000000"/>
          <w:lang w:eastAsia="bg-BG"/>
        </w:rPr>
        <w:t>Болки в ставите и мускулно-скелетната система</w:t>
      </w:r>
    </w:p>
    <w:p w14:paraId="60AEB77A" w14:textId="77777777" w:rsidR="009164B2" w:rsidRPr="009164B2" w:rsidRDefault="009164B2" w:rsidP="009164B2">
      <w:pPr>
        <w:spacing w:line="240" w:lineRule="auto"/>
        <w:rPr>
          <w:rFonts w:eastAsia="Times New Roman" w:cs="Arial"/>
          <w:sz w:val="24"/>
          <w:szCs w:val="24"/>
          <w:lang w:eastAsia="bg-BG"/>
        </w:rPr>
      </w:pPr>
      <w:r w:rsidRPr="009164B2">
        <w:rPr>
          <w:rFonts w:eastAsia="Times New Roman" w:cs="Arial"/>
          <w:color w:val="000000"/>
          <w:lang w:eastAsia="bg-BG"/>
        </w:rPr>
        <w:t xml:space="preserve">В проучването </w:t>
      </w:r>
      <w:r w:rsidRPr="009164B2">
        <w:rPr>
          <w:rFonts w:eastAsia="Times New Roman" w:cs="Arial"/>
          <w:color w:val="000000"/>
          <w:lang w:val="en-US"/>
        </w:rPr>
        <w:t>FALCON</w:t>
      </w:r>
      <w:r w:rsidRPr="00114D09">
        <w:rPr>
          <w:rFonts w:eastAsia="Times New Roman" w:cs="Arial"/>
          <w:color w:val="000000"/>
          <w:lang w:val="ru-RU"/>
        </w:rPr>
        <w:t xml:space="preserve">, </w:t>
      </w:r>
      <w:r w:rsidRPr="009164B2">
        <w:rPr>
          <w:rFonts w:eastAsia="Times New Roman" w:cs="Arial"/>
          <w:color w:val="000000"/>
          <w:lang w:eastAsia="bg-BG"/>
        </w:rPr>
        <w:t>броят на пациентките, които са съобщили като нежелана реакция болки в ставите и мускулно-скелетна система е съответно 65 (31,2 %) и 48 (24,1 %) в рамото на фулвестрант и анастрозол. От 65-те пациентки в рамото на фулвестрант, 40 % (26/65) са съобщили за болки в ставите и мускулно-скелетната система през първия месец на лечението и 66,2 % (43/65) - през първите 3 месеца на лечението. Пациентките не съобщават за нежелани събития от степен ≥ 3 по СТСАЕ или такива, които да налагат намаляване на дозата, прекъсване на приема или прекратяване на лечението.</w:t>
      </w:r>
    </w:p>
    <w:p w14:paraId="2CBA7723" w14:textId="77777777" w:rsidR="009164B2" w:rsidRPr="009164B2" w:rsidRDefault="009164B2" w:rsidP="009164B2">
      <w:pPr>
        <w:spacing w:line="240" w:lineRule="auto"/>
        <w:rPr>
          <w:rFonts w:eastAsia="Times New Roman" w:cs="Arial"/>
          <w:i/>
          <w:iCs/>
          <w:color w:val="000000"/>
          <w:lang w:eastAsia="bg-BG"/>
        </w:rPr>
      </w:pPr>
    </w:p>
    <w:p w14:paraId="29C1AFE5" w14:textId="4C21189F" w:rsidR="009164B2" w:rsidRPr="009164B2" w:rsidRDefault="009164B2" w:rsidP="009164B2">
      <w:pPr>
        <w:spacing w:line="240" w:lineRule="auto"/>
        <w:rPr>
          <w:rFonts w:eastAsia="Times New Roman" w:cs="Arial"/>
          <w:sz w:val="24"/>
          <w:szCs w:val="24"/>
          <w:lang w:eastAsia="bg-BG"/>
        </w:rPr>
      </w:pPr>
      <w:r w:rsidRPr="009164B2">
        <w:rPr>
          <w:rFonts w:eastAsia="Times New Roman" w:cs="Arial"/>
          <w:i/>
          <w:iCs/>
          <w:color w:val="000000"/>
          <w:lang w:eastAsia="bg-BG"/>
        </w:rPr>
        <w:t>Комбинирано лечение с палбоциклиб</w:t>
      </w:r>
    </w:p>
    <w:p w14:paraId="06859F3D" w14:textId="77777777" w:rsidR="009164B2" w:rsidRPr="009164B2" w:rsidRDefault="009164B2" w:rsidP="009164B2">
      <w:pPr>
        <w:spacing w:line="240" w:lineRule="auto"/>
        <w:rPr>
          <w:rFonts w:eastAsia="Times New Roman" w:cs="Arial"/>
          <w:sz w:val="24"/>
          <w:szCs w:val="24"/>
          <w:lang w:eastAsia="bg-BG"/>
        </w:rPr>
      </w:pPr>
      <w:r w:rsidRPr="009164B2">
        <w:rPr>
          <w:rFonts w:eastAsia="Times New Roman" w:cs="Arial"/>
          <w:color w:val="000000"/>
          <w:lang w:eastAsia="bg-BG"/>
        </w:rPr>
        <w:t xml:space="preserve">Обобщеният профил на безопасност на фулвестрант, когато се използва в комбинация с палбоциклиб, се основава на данните от 517 пациентки с </w:t>
      </w:r>
      <w:r w:rsidRPr="009164B2">
        <w:rPr>
          <w:rFonts w:eastAsia="Times New Roman" w:cs="Arial"/>
          <w:color w:val="000000"/>
          <w:lang w:val="en-US"/>
        </w:rPr>
        <w:t>HR</w:t>
      </w:r>
      <w:r w:rsidRPr="009164B2">
        <w:rPr>
          <w:rFonts w:eastAsia="Times New Roman" w:cs="Arial"/>
          <w:color w:val="000000"/>
          <w:lang w:eastAsia="bg-BG"/>
        </w:rPr>
        <w:t>-положителен, НЕР2-отрицателен авансирал или метастатичен рак на млечната жлеза в рандомизирано изпитване Р</w:t>
      </w:r>
      <w:r w:rsidRPr="009164B2">
        <w:rPr>
          <w:rFonts w:eastAsia="Times New Roman" w:cs="Arial"/>
          <w:color w:val="000000"/>
          <w:lang w:val="en-US"/>
        </w:rPr>
        <w:t>ALOM</w:t>
      </w:r>
      <w:r w:rsidRPr="009164B2">
        <w:rPr>
          <w:rFonts w:eastAsia="Times New Roman" w:cs="Arial"/>
          <w:color w:val="000000"/>
          <w:lang w:eastAsia="bg-BG"/>
        </w:rPr>
        <w:t>А3 (вж. точка 5.1). Най-често (≥20%) съобщаваните нежелани реакции от всяка честота при пациентки, получаващи фулвестрант в комбинация с палбоциклиб, са били неутропения, левкопения, инфекции, умора, гадене, анемия, стоматит, диария, тромбоцитопения и повръщане. Най- честите (≥2%) нежелани реакции степен ≥ 3 по СТСАЕ са били неутропения, левкопения, инфекции, анемия, повишаване на АСАТ, тромбоцитопения и умора.</w:t>
      </w:r>
    </w:p>
    <w:p w14:paraId="4A57298B" w14:textId="77777777" w:rsidR="009164B2" w:rsidRPr="009164B2" w:rsidRDefault="009164B2" w:rsidP="009164B2">
      <w:pPr>
        <w:spacing w:line="240" w:lineRule="auto"/>
        <w:rPr>
          <w:rFonts w:eastAsia="Times New Roman" w:cs="Arial"/>
          <w:color w:val="000000"/>
          <w:lang w:eastAsia="bg-BG"/>
        </w:rPr>
      </w:pPr>
    </w:p>
    <w:p w14:paraId="4F3A9FBB" w14:textId="72949CFA" w:rsidR="009164B2" w:rsidRPr="009164B2" w:rsidRDefault="009164B2" w:rsidP="009164B2">
      <w:pPr>
        <w:spacing w:line="240" w:lineRule="auto"/>
        <w:rPr>
          <w:rFonts w:eastAsia="Times New Roman" w:cs="Arial"/>
          <w:sz w:val="24"/>
          <w:szCs w:val="24"/>
          <w:lang w:eastAsia="bg-BG"/>
        </w:rPr>
      </w:pPr>
      <w:r w:rsidRPr="009164B2">
        <w:rPr>
          <w:rFonts w:eastAsia="Times New Roman" w:cs="Arial"/>
          <w:color w:val="000000"/>
          <w:lang w:eastAsia="bg-BG"/>
        </w:rPr>
        <w:t xml:space="preserve">Съобщените нежелани реакции в Таблица 2 са от </w:t>
      </w:r>
      <w:r w:rsidRPr="009164B2">
        <w:rPr>
          <w:rFonts w:eastAsia="Times New Roman" w:cs="Arial"/>
          <w:color w:val="000000"/>
          <w:lang w:val="en-US"/>
        </w:rPr>
        <w:t>PALOMA</w:t>
      </w:r>
      <w:r w:rsidRPr="00114D09">
        <w:rPr>
          <w:rFonts w:eastAsia="Times New Roman" w:cs="Arial"/>
          <w:color w:val="000000"/>
          <w:lang w:val="ru-RU"/>
        </w:rPr>
        <w:t>3.</w:t>
      </w:r>
    </w:p>
    <w:p w14:paraId="170EA818" w14:textId="77777777" w:rsidR="009164B2" w:rsidRPr="009164B2" w:rsidRDefault="009164B2" w:rsidP="009164B2">
      <w:pPr>
        <w:spacing w:line="240" w:lineRule="auto"/>
        <w:rPr>
          <w:rFonts w:eastAsia="Times New Roman" w:cs="Arial"/>
          <w:sz w:val="24"/>
          <w:szCs w:val="24"/>
          <w:lang w:eastAsia="bg-BG"/>
        </w:rPr>
      </w:pPr>
      <w:r w:rsidRPr="009164B2">
        <w:rPr>
          <w:rFonts w:eastAsia="Times New Roman" w:cs="Arial"/>
          <w:color w:val="000000"/>
          <w:lang w:eastAsia="bg-BG"/>
        </w:rPr>
        <w:t>Средната продължителност на експозиция на фулвестрант е била 11,2 месеца в групата на фулвестрант + палбоциклиб и 4,8 месеца в групата на фулвестрант + плацебо. Средната продължителност на експозиция палбоциклиб в групата на фулвестрант + палбоциклиб е била 10,8 месеца.</w:t>
      </w:r>
    </w:p>
    <w:p w14:paraId="13244C6D" w14:textId="77777777" w:rsidR="009164B2" w:rsidRPr="009164B2" w:rsidRDefault="009164B2" w:rsidP="009164B2">
      <w:pPr>
        <w:rPr>
          <w:rFonts w:eastAsia="Times New Roman" w:cs="Arial"/>
          <w:b/>
          <w:bCs/>
          <w:color w:val="000000"/>
          <w:lang w:eastAsia="bg-BG"/>
        </w:rPr>
      </w:pPr>
    </w:p>
    <w:p w14:paraId="060973AC" w14:textId="537A3A88" w:rsidR="009164B2" w:rsidRPr="009164B2" w:rsidRDefault="009164B2" w:rsidP="009164B2">
      <w:pPr>
        <w:rPr>
          <w:rFonts w:cs="Arial"/>
        </w:rPr>
      </w:pPr>
      <w:r w:rsidRPr="009164B2">
        <w:rPr>
          <w:rFonts w:eastAsia="Times New Roman" w:cs="Arial"/>
          <w:b/>
          <w:bCs/>
          <w:color w:val="000000"/>
          <w:lang w:eastAsia="bg-BG"/>
        </w:rPr>
        <w:t xml:space="preserve">Таблица 2 Нежелани реакции според данни от изпитването </w:t>
      </w:r>
      <w:r w:rsidRPr="009164B2">
        <w:rPr>
          <w:rFonts w:eastAsia="Times New Roman" w:cs="Arial"/>
          <w:b/>
          <w:bCs/>
          <w:color w:val="000000"/>
          <w:lang w:val="en-US"/>
        </w:rPr>
        <w:t>PALOMA</w:t>
      </w:r>
      <w:r w:rsidRPr="00114D09">
        <w:rPr>
          <w:rFonts w:eastAsia="Times New Roman" w:cs="Arial"/>
          <w:b/>
          <w:bCs/>
          <w:color w:val="000000"/>
          <w:lang w:val="ru-RU"/>
        </w:rPr>
        <w:t>3 (</w:t>
      </w:r>
      <w:r w:rsidRPr="009164B2">
        <w:rPr>
          <w:rFonts w:eastAsia="Times New Roman" w:cs="Arial"/>
          <w:b/>
          <w:bCs/>
          <w:color w:val="000000"/>
          <w:lang w:val="en-US"/>
        </w:rPr>
        <w:t>N</w:t>
      </w:r>
      <w:r w:rsidRPr="00114D09">
        <w:rPr>
          <w:rFonts w:eastAsia="Times New Roman" w:cs="Arial"/>
          <w:b/>
          <w:bCs/>
          <w:color w:val="000000"/>
          <w:lang w:val="ru-RU"/>
        </w:rPr>
        <w:t>=517)</w:t>
      </w:r>
    </w:p>
    <w:p w14:paraId="45DAEF59" w14:textId="7EABB023" w:rsidR="00AE4DFB" w:rsidRDefault="00AE4DFB" w:rsidP="0091385D"/>
    <w:tbl>
      <w:tblPr>
        <w:tblStyle w:val="TableGrid"/>
        <w:tblW w:w="0" w:type="auto"/>
        <w:tblLook w:val="04A0" w:firstRow="1" w:lastRow="0" w:firstColumn="1" w:lastColumn="0" w:noHBand="0" w:noVBand="1"/>
      </w:tblPr>
      <w:tblGrid>
        <w:gridCol w:w="2150"/>
        <w:gridCol w:w="1814"/>
        <w:gridCol w:w="1814"/>
        <w:gridCol w:w="1800"/>
        <w:gridCol w:w="1772"/>
      </w:tblGrid>
      <w:tr w:rsidR="00A34059" w14:paraId="30F05556" w14:textId="77777777" w:rsidTr="00A34059">
        <w:tc>
          <w:tcPr>
            <w:tcW w:w="1976" w:type="dxa"/>
            <w:vMerge w:val="restart"/>
          </w:tcPr>
          <w:p w14:paraId="1B1AE2A7" w14:textId="77777777" w:rsidR="00A34059" w:rsidRPr="00A34059" w:rsidRDefault="00A34059" w:rsidP="00A34059">
            <w:pPr>
              <w:spacing w:line="240" w:lineRule="auto"/>
              <w:rPr>
                <w:rFonts w:eastAsia="Times New Roman" w:cs="Arial"/>
                <w:lang w:eastAsia="bg-BG"/>
              </w:rPr>
            </w:pPr>
            <w:r w:rsidRPr="00A34059">
              <w:rPr>
                <w:rFonts w:eastAsia="Times New Roman" w:cs="Arial"/>
                <w:b/>
                <w:bCs/>
                <w:color w:val="000000"/>
                <w:lang w:eastAsia="bg-BG"/>
              </w:rPr>
              <w:t>Система-органен клас Честота</w:t>
            </w:r>
          </w:p>
          <w:p w14:paraId="53E19EB9" w14:textId="7175D1E5" w:rsidR="00A34059" w:rsidRPr="00A34059" w:rsidRDefault="00A34059" w:rsidP="00A34059">
            <w:pPr>
              <w:rPr>
                <w:rFonts w:cs="Arial"/>
              </w:rPr>
            </w:pPr>
            <w:r w:rsidRPr="00A34059">
              <w:rPr>
                <w:rFonts w:eastAsia="Times New Roman" w:cs="Arial"/>
                <w:b/>
                <w:bCs/>
                <w:color w:val="000000"/>
                <w:lang w:eastAsia="bg-BG"/>
              </w:rPr>
              <w:t>Предпочитан термин</w:t>
            </w:r>
            <w:r w:rsidRPr="00A34059">
              <w:rPr>
                <w:rFonts w:eastAsia="Times New Roman" w:cs="Arial"/>
                <w:b/>
                <w:bCs/>
                <w:color w:val="000000"/>
                <w:vertAlign w:val="superscript"/>
                <w:lang w:val="en-US"/>
              </w:rPr>
              <w:t>a</w:t>
            </w:r>
          </w:p>
        </w:tc>
        <w:tc>
          <w:tcPr>
            <w:tcW w:w="3800" w:type="dxa"/>
            <w:gridSpan w:val="2"/>
          </w:tcPr>
          <w:p w14:paraId="4F68E785" w14:textId="2E01BB72" w:rsidR="00A34059" w:rsidRPr="00A34059" w:rsidRDefault="00A34059" w:rsidP="00A34059">
            <w:pPr>
              <w:rPr>
                <w:rFonts w:cs="Arial"/>
              </w:rPr>
            </w:pPr>
            <w:r w:rsidRPr="00A34059">
              <w:rPr>
                <w:rFonts w:cs="Arial"/>
                <w:b/>
                <w:bCs/>
              </w:rPr>
              <w:t>Фулвестрант + Палбоциклиб (</w:t>
            </w:r>
            <w:r w:rsidRPr="00A34059">
              <w:rPr>
                <w:rFonts w:cs="Arial"/>
                <w:b/>
                <w:bCs/>
                <w:lang w:val="en-US"/>
              </w:rPr>
              <w:t>N=</w:t>
            </w:r>
            <w:r w:rsidRPr="00A34059">
              <w:rPr>
                <w:rFonts w:cs="Arial"/>
                <w:b/>
                <w:bCs/>
              </w:rPr>
              <w:t>345)</w:t>
            </w:r>
          </w:p>
        </w:tc>
        <w:tc>
          <w:tcPr>
            <w:tcW w:w="3800" w:type="dxa"/>
            <w:gridSpan w:val="2"/>
          </w:tcPr>
          <w:p w14:paraId="7B095AE1" w14:textId="1380C1C9" w:rsidR="00A34059" w:rsidRPr="00A34059" w:rsidRDefault="00A34059" w:rsidP="00A34059">
            <w:pPr>
              <w:rPr>
                <w:rFonts w:cs="Arial"/>
              </w:rPr>
            </w:pPr>
            <w:r w:rsidRPr="00A34059">
              <w:rPr>
                <w:rFonts w:cs="Arial"/>
                <w:b/>
                <w:bCs/>
              </w:rPr>
              <w:t xml:space="preserve">фулвестрант + плацебо </w:t>
            </w:r>
            <w:r w:rsidRPr="00A34059">
              <w:rPr>
                <w:rFonts w:cs="Arial"/>
                <w:b/>
                <w:bCs/>
              </w:rPr>
              <w:tab/>
            </w:r>
            <w:r w:rsidRPr="00A34059">
              <w:rPr>
                <w:rFonts w:cs="Arial"/>
                <w:b/>
                <w:bCs/>
              </w:rPr>
              <w:tab/>
            </w:r>
          </w:p>
        </w:tc>
      </w:tr>
      <w:tr w:rsidR="00A34059" w14:paraId="284BC662" w14:textId="77777777" w:rsidTr="00A34059">
        <w:tc>
          <w:tcPr>
            <w:tcW w:w="1976" w:type="dxa"/>
            <w:vMerge/>
          </w:tcPr>
          <w:p w14:paraId="0F0697CA" w14:textId="77777777" w:rsidR="00A34059" w:rsidRPr="00A34059" w:rsidRDefault="00A34059" w:rsidP="00A34059">
            <w:pPr>
              <w:rPr>
                <w:rFonts w:cs="Arial"/>
              </w:rPr>
            </w:pPr>
          </w:p>
        </w:tc>
        <w:tc>
          <w:tcPr>
            <w:tcW w:w="1900" w:type="dxa"/>
          </w:tcPr>
          <w:p w14:paraId="0AF9E82B" w14:textId="42ADEE82" w:rsidR="00A34059" w:rsidRPr="00A34059" w:rsidRDefault="00A34059" w:rsidP="00A34059">
            <w:pPr>
              <w:rPr>
                <w:rFonts w:cs="Arial"/>
              </w:rPr>
            </w:pPr>
            <w:r w:rsidRPr="00A34059">
              <w:rPr>
                <w:rFonts w:cs="Arial"/>
                <w:b/>
                <w:bCs/>
              </w:rPr>
              <w:t xml:space="preserve">Всички степени </w:t>
            </w:r>
            <w:r w:rsidRPr="00A34059">
              <w:rPr>
                <w:rFonts w:cs="Arial"/>
                <w:b/>
                <w:bCs/>
                <w:lang w:val="en-US"/>
              </w:rPr>
              <w:t>n</w:t>
            </w:r>
            <w:r w:rsidRPr="00A34059">
              <w:rPr>
                <w:rFonts w:cs="Arial"/>
                <w:b/>
                <w:bCs/>
              </w:rPr>
              <w:t xml:space="preserve"> (%)</w:t>
            </w:r>
          </w:p>
        </w:tc>
        <w:tc>
          <w:tcPr>
            <w:tcW w:w="1900" w:type="dxa"/>
          </w:tcPr>
          <w:p w14:paraId="304C6D8C" w14:textId="25A3CE5D" w:rsidR="00A34059" w:rsidRPr="00A34059" w:rsidRDefault="00A34059" w:rsidP="00A34059">
            <w:pPr>
              <w:rPr>
                <w:rFonts w:cs="Arial"/>
              </w:rPr>
            </w:pPr>
            <w:r w:rsidRPr="00A34059">
              <w:rPr>
                <w:rFonts w:cs="Arial"/>
                <w:b/>
                <w:bCs/>
              </w:rPr>
              <w:t>Степен ≥ 3 п (%)</w:t>
            </w:r>
          </w:p>
        </w:tc>
        <w:tc>
          <w:tcPr>
            <w:tcW w:w="1900" w:type="dxa"/>
          </w:tcPr>
          <w:p w14:paraId="7F1368F9" w14:textId="77777777" w:rsidR="00A34059" w:rsidRPr="00A34059" w:rsidRDefault="00A34059" w:rsidP="00A34059">
            <w:pPr>
              <w:rPr>
                <w:rFonts w:cs="Arial"/>
              </w:rPr>
            </w:pPr>
          </w:p>
        </w:tc>
        <w:tc>
          <w:tcPr>
            <w:tcW w:w="1900" w:type="dxa"/>
            <w:textDirection w:val="tbRl"/>
          </w:tcPr>
          <w:p w14:paraId="26AF25D9" w14:textId="77777777" w:rsidR="00A34059" w:rsidRPr="00A34059" w:rsidRDefault="00A34059" w:rsidP="00A34059">
            <w:pPr>
              <w:rPr>
                <w:rFonts w:cs="Arial"/>
              </w:rPr>
            </w:pPr>
          </w:p>
        </w:tc>
      </w:tr>
      <w:tr w:rsidR="00A34059" w14:paraId="0D914D19" w14:textId="77777777" w:rsidTr="00A34059">
        <w:tc>
          <w:tcPr>
            <w:tcW w:w="9576" w:type="dxa"/>
            <w:gridSpan w:val="5"/>
          </w:tcPr>
          <w:p w14:paraId="07B388BC" w14:textId="4BFDECE1" w:rsidR="00A34059" w:rsidRPr="00A34059" w:rsidRDefault="00A34059" w:rsidP="0091385D">
            <w:pPr>
              <w:rPr>
                <w:rFonts w:cs="Arial"/>
              </w:rPr>
            </w:pPr>
            <w:r w:rsidRPr="00A34059">
              <w:rPr>
                <w:rFonts w:cs="Arial"/>
                <w:b/>
                <w:bCs/>
              </w:rPr>
              <w:t>Инфекции и инфестации</w:t>
            </w:r>
          </w:p>
        </w:tc>
      </w:tr>
      <w:tr w:rsidR="00A34059" w14:paraId="3DF8F54A" w14:textId="77777777" w:rsidTr="00A34059">
        <w:tc>
          <w:tcPr>
            <w:tcW w:w="1976" w:type="dxa"/>
            <w:vAlign w:val="bottom"/>
          </w:tcPr>
          <w:p w14:paraId="1A475F6C" w14:textId="07E49311" w:rsidR="00A34059" w:rsidRPr="00A34059" w:rsidRDefault="00A34059" w:rsidP="00A34059">
            <w:pPr>
              <w:rPr>
                <w:rFonts w:cs="Arial"/>
              </w:rPr>
            </w:pPr>
            <w:r w:rsidRPr="00A34059">
              <w:rPr>
                <w:rFonts w:cs="Arial"/>
                <w:i/>
                <w:iCs/>
              </w:rPr>
              <w:t>Много чести</w:t>
            </w:r>
          </w:p>
        </w:tc>
        <w:tc>
          <w:tcPr>
            <w:tcW w:w="1900" w:type="dxa"/>
          </w:tcPr>
          <w:p w14:paraId="3F247392" w14:textId="77777777" w:rsidR="00A34059" w:rsidRPr="00A34059" w:rsidRDefault="00A34059" w:rsidP="00A34059">
            <w:pPr>
              <w:rPr>
                <w:rFonts w:cs="Arial"/>
              </w:rPr>
            </w:pPr>
          </w:p>
        </w:tc>
        <w:tc>
          <w:tcPr>
            <w:tcW w:w="1900" w:type="dxa"/>
          </w:tcPr>
          <w:p w14:paraId="747290DC" w14:textId="77777777" w:rsidR="00A34059" w:rsidRPr="00A34059" w:rsidRDefault="00A34059" w:rsidP="00A34059">
            <w:pPr>
              <w:rPr>
                <w:rFonts w:cs="Arial"/>
              </w:rPr>
            </w:pPr>
          </w:p>
        </w:tc>
        <w:tc>
          <w:tcPr>
            <w:tcW w:w="1900" w:type="dxa"/>
          </w:tcPr>
          <w:p w14:paraId="6A2C4C8B" w14:textId="77777777" w:rsidR="00A34059" w:rsidRPr="00A34059" w:rsidRDefault="00A34059" w:rsidP="00A34059">
            <w:pPr>
              <w:rPr>
                <w:rFonts w:cs="Arial"/>
              </w:rPr>
            </w:pPr>
          </w:p>
        </w:tc>
        <w:tc>
          <w:tcPr>
            <w:tcW w:w="1900" w:type="dxa"/>
          </w:tcPr>
          <w:p w14:paraId="40815DD1" w14:textId="77777777" w:rsidR="00A34059" w:rsidRPr="00A34059" w:rsidRDefault="00A34059" w:rsidP="00A34059">
            <w:pPr>
              <w:rPr>
                <w:rFonts w:cs="Arial"/>
              </w:rPr>
            </w:pPr>
          </w:p>
        </w:tc>
      </w:tr>
      <w:tr w:rsidR="00A34059" w14:paraId="3767708B" w14:textId="77777777" w:rsidTr="00A34059">
        <w:tc>
          <w:tcPr>
            <w:tcW w:w="1976" w:type="dxa"/>
            <w:vAlign w:val="bottom"/>
          </w:tcPr>
          <w:p w14:paraId="12E6F3F9" w14:textId="66EA9B2F" w:rsidR="00A34059" w:rsidRPr="00A34059" w:rsidRDefault="00A34059" w:rsidP="00A34059">
            <w:pPr>
              <w:rPr>
                <w:rFonts w:cs="Arial"/>
              </w:rPr>
            </w:pPr>
            <w:r w:rsidRPr="00A34059">
              <w:rPr>
                <w:rFonts w:cs="Arial"/>
              </w:rPr>
              <w:t>Инфекции</w:t>
            </w:r>
            <w:r w:rsidRPr="00A34059">
              <w:rPr>
                <w:rFonts w:cs="Arial"/>
                <w:vertAlign w:val="superscript"/>
              </w:rPr>
              <w:t>б</w:t>
            </w:r>
          </w:p>
        </w:tc>
        <w:tc>
          <w:tcPr>
            <w:tcW w:w="1900" w:type="dxa"/>
            <w:vAlign w:val="bottom"/>
          </w:tcPr>
          <w:p w14:paraId="412A5400" w14:textId="51505A20" w:rsidR="00A34059" w:rsidRPr="00A34059" w:rsidRDefault="00A34059" w:rsidP="00A34059">
            <w:pPr>
              <w:rPr>
                <w:rFonts w:cs="Arial"/>
              </w:rPr>
            </w:pPr>
            <w:r w:rsidRPr="00A34059">
              <w:rPr>
                <w:rFonts w:cs="Arial"/>
              </w:rPr>
              <w:t>188 (54,5)</w:t>
            </w:r>
          </w:p>
        </w:tc>
        <w:tc>
          <w:tcPr>
            <w:tcW w:w="1900" w:type="dxa"/>
            <w:vAlign w:val="bottom"/>
          </w:tcPr>
          <w:p w14:paraId="0FE554DA" w14:textId="129E67BA" w:rsidR="00A34059" w:rsidRPr="00A34059" w:rsidRDefault="00A34059" w:rsidP="00A34059">
            <w:pPr>
              <w:rPr>
                <w:rFonts w:cs="Arial"/>
              </w:rPr>
            </w:pPr>
            <w:r w:rsidRPr="00A34059">
              <w:rPr>
                <w:rFonts w:cs="Arial"/>
              </w:rPr>
              <w:t>19 (5,5)</w:t>
            </w:r>
          </w:p>
        </w:tc>
        <w:tc>
          <w:tcPr>
            <w:tcW w:w="1900" w:type="dxa"/>
            <w:vAlign w:val="bottom"/>
          </w:tcPr>
          <w:p w14:paraId="6BF4E24B" w14:textId="61FE05D6" w:rsidR="00A34059" w:rsidRPr="00A34059" w:rsidRDefault="00A34059" w:rsidP="00A34059">
            <w:pPr>
              <w:rPr>
                <w:rFonts w:cs="Arial"/>
              </w:rPr>
            </w:pPr>
            <w:r w:rsidRPr="00A34059">
              <w:rPr>
                <w:rFonts w:cs="Arial"/>
              </w:rPr>
              <w:t>60 (34,9)</w:t>
            </w:r>
          </w:p>
        </w:tc>
        <w:tc>
          <w:tcPr>
            <w:tcW w:w="1900" w:type="dxa"/>
            <w:vAlign w:val="bottom"/>
          </w:tcPr>
          <w:p w14:paraId="2C9A52CE" w14:textId="6932D694" w:rsidR="00A34059" w:rsidRPr="00A34059" w:rsidRDefault="00A34059" w:rsidP="00A34059">
            <w:pPr>
              <w:rPr>
                <w:rFonts w:cs="Arial"/>
              </w:rPr>
            </w:pPr>
            <w:r w:rsidRPr="00A34059">
              <w:rPr>
                <w:rFonts w:cs="Arial"/>
                <w:i/>
                <w:iCs/>
              </w:rPr>
              <w:t>6 (3,5)</w:t>
            </w:r>
          </w:p>
        </w:tc>
      </w:tr>
      <w:tr w:rsidR="00A34059" w14:paraId="156195A3" w14:textId="77777777" w:rsidTr="00A34059">
        <w:tc>
          <w:tcPr>
            <w:tcW w:w="9576" w:type="dxa"/>
            <w:gridSpan w:val="5"/>
          </w:tcPr>
          <w:p w14:paraId="7A11BBE1" w14:textId="424AE3B4" w:rsidR="00A34059" w:rsidRPr="00A34059" w:rsidRDefault="00A34059" w:rsidP="0091385D">
            <w:pPr>
              <w:rPr>
                <w:rFonts w:cs="Arial"/>
              </w:rPr>
            </w:pPr>
            <w:r w:rsidRPr="00A34059">
              <w:rPr>
                <w:rFonts w:cs="Arial"/>
                <w:b/>
                <w:bCs/>
              </w:rPr>
              <w:t>Нарушения на кръвта и лимфната система</w:t>
            </w:r>
          </w:p>
        </w:tc>
      </w:tr>
      <w:tr w:rsidR="00A34059" w14:paraId="3FC50BDD" w14:textId="77777777" w:rsidTr="00A34059">
        <w:tc>
          <w:tcPr>
            <w:tcW w:w="1976" w:type="dxa"/>
            <w:vAlign w:val="bottom"/>
          </w:tcPr>
          <w:p w14:paraId="5BB63B18" w14:textId="01816D00" w:rsidR="00A34059" w:rsidRPr="00A34059" w:rsidRDefault="00A34059" w:rsidP="00A34059">
            <w:pPr>
              <w:rPr>
                <w:rFonts w:cs="Arial"/>
              </w:rPr>
            </w:pPr>
            <w:r w:rsidRPr="00A34059">
              <w:rPr>
                <w:rFonts w:cs="Arial"/>
                <w:i/>
                <w:iCs/>
              </w:rPr>
              <w:t>Много чести</w:t>
            </w:r>
          </w:p>
        </w:tc>
        <w:tc>
          <w:tcPr>
            <w:tcW w:w="1900" w:type="dxa"/>
          </w:tcPr>
          <w:p w14:paraId="7906005A" w14:textId="77777777" w:rsidR="00A34059" w:rsidRPr="00A34059" w:rsidRDefault="00A34059" w:rsidP="00A34059">
            <w:pPr>
              <w:rPr>
                <w:rFonts w:cs="Arial"/>
              </w:rPr>
            </w:pPr>
          </w:p>
        </w:tc>
        <w:tc>
          <w:tcPr>
            <w:tcW w:w="1900" w:type="dxa"/>
          </w:tcPr>
          <w:p w14:paraId="76486777" w14:textId="77777777" w:rsidR="00A34059" w:rsidRPr="00A34059" w:rsidRDefault="00A34059" w:rsidP="00A34059">
            <w:pPr>
              <w:rPr>
                <w:rFonts w:cs="Arial"/>
              </w:rPr>
            </w:pPr>
          </w:p>
        </w:tc>
        <w:tc>
          <w:tcPr>
            <w:tcW w:w="1900" w:type="dxa"/>
          </w:tcPr>
          <w:p w14:paraId="52B63A4A" w14:textId="77777777" w:rsidR="00A34059" w:rsidRPr="00A34059" w:rsidRDefault="00A34059" w:rsidP="00A34059">
            <w:pPr>
              <w:rPr>
                <w:rFonts w:cs="Arial"/>
              </w:rPr>
            </w:pPr>
          </w:p>
        </w:tc>
        <w:tc>
          <w:tcPr>
            <w:tcW w:w="1900" w:type="dxa"/>
          </w:tcPr>
          <w:p w14:paraId="33E6FEAD" w14:textId="77777777" w:rsidR="00A34059" w:rsidRPr="00A34059" w:rsidRDefault="00A34059" w:rsidP="00A34059">
            <w:pPr>
              <w:rPr>
                <w:rFonts w:cs="Arial"/>
              </w:rPr>
            </w:pPr>
          </w:p>
        </w:tc>
      </w:tr>
      <w:tr w:rsidR="00A34059" w14:paraId="0DEC03BD" w14:textId="77777777" w:rsidTr="00A34059">
        <w:tc>
          <w:tcPr>
            <w:tcW w:w="1976" w:type="dxa"/>
            <w:vAlign w:val="bottom"/>
          </w:tcPr>
          <w:p w14:paraId="0564EF09" w14:textId="5D3F4E46" w:rsidR="00A34059" w:rsidRPr="00A34059" w:rsidRDefault="00A34059" w:rsidP="00A34059">
            <w:pPr>
              <w:rPr>
                <w:rFonts w:cs="Arial"/>
              </w:rPr>
            </w:pPr>
            <w:r w:rsidRPr="00A34059">
              <w:rPr>
                <w:rFonts w:cs="Arial"/>
              </w:rPr>
              <w:t>Неутропения</w:t>
            </w:r>
            <w:r w:rsidRPr="00A34059">
              <w:rPr>
                <w:rFonts w:cs="Arial"/>
                <w:vertAlign w:val="superscript"/>
              </w:rPr>
              <w:t>в</w:t>
            </w:r>
          </w:p>
        </w:tc>
        <w:tc>
          <w:tcPr>
            <w:tcW w:w="1900" w:type="dxa"/>
            <w:vAlign w:val="bottom"/>
          </w:tcPr>
          <w:p w14:paraId="0C32E644" w14:textId="60AAB2E3" w:rsidR="00A34059" w:rsidRPr="00A34059" w:rsidRDefault="00A34059" w:rsidP="00A34059">
            <w:pPr>
              <w:rPr>
                <w:rFonts w:cs="Arial"/>
              </w:rPr>
            </w:pPr>
            <w:r w:rsidRPr="00A34059">
              <w:rPr>
                <w:rFonts w:cs="Arial"/>
              </w:rPr>
              <w:t>290 (84,1)</w:t>
            </w:r>
          </w:p>
        </w:tc>
        <w:tc>
          <w:tcPr>
            <w:tcW w:w="1900" w:type="dxa"/>
            <w:vAlign w:val="bottom"/>
          </w:tcPr>
          <w:p w14:paraId="17B888CF" w14:textId="0F9DA382" w:rsidR="00A34059" w:rsidRPr="00A34059" w:rsidRDefault="00A34059" w:rsidP="00A34059">
            <w:pPr>
              <w:rPr>
                <w:rFonts w:cs="Arial"/>
              </w:rPr>
            </w:pPr>
            <w:r w:rsidRPr="00A34059">
              <w:rPr>
                <w:rFonts w:cs="Arial"/>
              </w:rPr>
              <w:t>240 (69,6)</w:t>
            </w:r>
          </w:p>
        </w:tc>
        <w:tc>
          <w:tcPr>
            <w:tcW w:w="1900" w:type="dxa"/>
            <w:vAlign w:val="bottom"/>
          </w:tcPr>
          <w:p w14:paraId="1D653954" w14:textId="2D965B10" w:rsidR="00A34059" w:rsidRPr="00A34059" w:rsidRDefault="00A34059" w:rsidP="00A34059">
            <w:pPr>
              <w:rPr>
                <w:rFonts w:cs="Arial"/>
              </w:rPr>
            </w:pPr>
            <w:r w:rsidRPr="00A34059">
              <w:rPr>
                <w:rFonts w:cs="Arial"/>
              </w:rPr>
              <w:t>6(3,5)</w:t>
            </w:r>
          </w:p>
        </w:tc>
        <w:tc>
          <w:tcPr>
            <w:tcW w:w="1900" w:type="dxa"/>
            <w:vAlign w:val="bottom"/>
          </w:tcPr>
          <w:p w14:paraId="4F5513F8" w14:textId="7C304E6C" w:rsidR="00A34059" w:rsidRPr="00A34059" w:rsidRDefault="00A34059" w:rsidP="00A34059">
            <w:pPr>
              <w:rPr>
                <w:rFonts w:cs="Arial"/>
              </w:rPr>
            </w:pPr>
            <w:r w:rsidRPr="00A34059">
              <w:rPr>
                <w:rFonts w:cs="Arial"/>
              </w:rPr>
              <w:t>0</w:t>
            </w:r>
          </w:p>
        </w:tc>
      </w:tr>
      <w:tr w:rsidR="00A34059" w14:paraId="4B05069A" w14:textId="77777777" w:rsidTr="00A34059">
        <w:tc>
          <w:tcPr>
            <w:tcW w:w="1976" w:type="dxa"/>
            <w:vAlign w:val="bottom"/>
          </w:tcPr>
          <w:p w14:paraId="325819B1" w14:textId="643D8EBA" w:rsidR="00A34059" w:rsidRPr="00A34059" w:rsidRDefault="00A34059" w:rsidP="00A34059">
            <w:pPr>
              <w:rPr>
                <w:rFonts w:cs="Arial"/>
              </w:rPr>
            </w:pPr>
            <w:r w:rsidRPr="00A34059">
              <w:rPr>
                <w:rFonts w:cs="Arial"/>
              </w:rPr>
              <w:t>Левкопения</w:t>
            </w:r>
            <w:r w:rsidRPr="00A34059">
              <w:rPr>
                <w:rFonts w:cs="Arial"/>
                <w:vertAlign w:val="superscript"/>
              </w:rPr>
              <w:t>г</w:t>
            </w:r>
          </w:p>
        </w:tc>
        <w:tc>
          <w:tcPr>
            <w:tcW w:w="1900" w:type="dxa"/>
            <w:vAlign w:val="bottom"/>
          </w:tcPr>
          <w:p w14:paraId="78DE5F55" w14:textId="28995B66" w:rsidR="00A34059" w:rsidRPr="00A34059" w:rsidRDefault="00A34059" w:rsidP="00A34059">
            <w:pPr>
              <w:rPr>
                <w:rFonts w:cs="Arial"/>
              </w:rPr>
            </w:pPr>
            <w:r w:rsidRPr="00A34059">
              <w:rPr>
                <w:rFonts w:cs="Arial"/>
              </w:rPr>
              <w:t>207 (60,0)</w:t>
            </w:r>
          </w:p>
        </w:tc>
        <w:tc>
          <w:tcPr>
            <w:tcW w:w="1900" w:type="dxa"/>
            <w:vAlign w:val="bottom"/>
          </w:tcPr>
          <w:p w14:paraId="05FC3D63" w14:textId="1E542C20" w:rsidR="00A34059" w:rsidRPr="00A34059" w:rsidRDefault="00A34059" w:rsidP="00A34059">
            <w:pPr>
              <w:rPr>
                <w:rFonts w:cs="Arial"/>
              </w:rPr>
            </w:pPr>
            <w:r w:rsidRPr="00A34059">
              <w:rPr>
                <w:rFonts w:cs="Arial"/>
              </w:rPr>
              <w:t>132(38,3)</w:t>
            </w:r>
          </w:p>
        </w:tc>
        <w:tc>
          <w:tcPr>
            <w:tcW w:w="1900" w:type="dxa"/>
            <w:vAlign w:val="bottom"/>
          </w:tcPr>
          <w:p w14:paraId="38CBBC08" w14:textId="1E2D99D3" w:rsidR="00A34059" w:rsidRPr="00A34059" w:rsidRDefault="00A34059" w:rsidP="00A34059">
            <w:pPr>
              <w:rPr>
                <w:rFonts w:cs="Arial"/>
              </w:rPr>
            </w:pPr>
            <w:r w:rsidRPr="00A34059">
              <w:rPr>
                <w:rFonts w:cs="Arial"/>
              </w:rPr>
              <w:t>9(5,2)</w:t>
            </w:r>
          </w:p>
        </w:tc>
        <w:tc>
          <w:tcPr>
            <w:tcW w:w="1900" w:type="dxa"/>
            <w:vAlign w:val="bottom"/>
          </w:tcPr>
          <w:p w14:paraId="7AF95A2A" w14:textId="5672F118" w:rsidR="00A34059" w:rsidRPr="00A34059" w:rsidRDefault="00A34059" w:rsidP="00A34059">
            <w:pPr>
              <w:rPr>
                <w:rFonts w:cs="Arial"/>
              </w:rPr>
            </w:pPr>
            <w:r w:rsidRPr="00A34059">
              <w:rPr>
                <w:rFonts w:cs="Arial"/>
              </w:rPr>
              <w:t>1 (0,6)</w:t>
            </w:r>
          </w:p>
        </w:tc>
      </w:tr>
      <w:tr w:rsidR="00A34059" w14:paraId="33D77E85" w14:textId="77777777" w:rsidTr="00A34059">
        <w:tc>
          <w:tcPr>
            <w:tcW w:w="1976" w:type="dxa"/>
            <w:vAlign w:val="bottom"/>
          </w:tcPr>
          <w:p w14:paraId="1ADB19D7" w14:textId="1297FD76" w:rsidR="00A34059" w:rsidRPr="00A34059" w:rsidRDefault="00A34059" w:rsidP="00A34059">
            <w:pPr>
              <w:rPr>
                <w:rFonts w:cs="Arial"/>
              </w:rPr>
            </w:pPr>
            <w:r w:rsidRPr="00A34059">
              <w:rPr>
                <w:rFonts w:cs="Arial"/>
              </w:rPr>
              <w:t>Анемия</w:t>
            </w:r>
            <w:r w:rsidRPr="00A34059">
              <w:rPr>
                <w:rFonts w:cs="Arial"/>
                <w:vertAlign w:val="superscript"/>
              </w:rPr>
              <w:t>д</w:t>
            </w:r>
          </w:p>
        </w:tc>
        <w:tc>
          <w:tcPr>
            <w:tcW w:w="1900" w:type="dxa"/>
            <w:vAlign w:val="bottom"/>
          </w:tcPr>
          <w:p w14:paraId="627B030D" w14:textId="6BE3663D" w:rsidR="00A34059" w:rsidRPr="00A34059" w:rsidRDefault="00A34059" w:rsidP="00A34059">
            <w:pPr>
              <w:rPr>
                <w:rFonts w:cs="Arial"/>
              </w:rPr>
            </w:pPr>
            <w:r w:rsidRPr="00A34059">
              <w:rPr>
                <w:rFonts w:cs="Arial"/>
              </w:rPr>
              <w:t>109(31,6)</w:t>
            </w:r>
          </w:p>
        </w:tc>
        <w:tc>
          <w:tcPr>
            <w:tcW w:w="1900" w:type="dxa"/>
            <w:vAlign w:val="bottom"/>
          </w:tcPr>
          <w:p w14:paraId="24310189" w14:textId="0DD63237" w:rsidR="00A34059" w:rsidRPr="00A34059" w:rsidRDefault="00A34059" w:rsidP="00A34059">
            <w:pPr>
              <w:rPr>
                <w:rFonts w:cs="Arial"/>
              </w:rPr>
            </w:pPr>
            <w:r w:rsidRPr="00A34059">
              <w:rPr>
                <w:rFonts w:cs="Arial"/>
              </w:rPr>
              <w:t>15(4,3)</w:t>
            </w:r>
          </w:p>
        </w:tc>
        <w:tc>
          <w:tcPr>
            <w:tcW w:w="1900" w:type="dxa"/>
            <w:vAlign w:val="bottom"/>
          </w:tcPr>
          <w:p w14:paraId="0714A942" w14:textId="6D512BCA" w:rsidR="00A34059" w:rsidRPr="00A34059" w:rsidRDefault="00A34059" w:rsidP="00A34059">
            <w:pPr>
              <w:rPr>
                <w:rFonts w:cs="Arial"/>
              </w:rPr>
            </w:pPr>
            <w:r w:rsidRPr="00A34059">
              <w:rPr>
                <w:rFonts w:cs="Arial"/>
              </w:rPr>
              <w:t>24 (14,0)</w:t>
            </w:r>
          </w:p>
        </w:tc>
        <w:tc>
          <w:tcPr>
            <w:tcW w:w="1900" w:type="dxa"/>
            <w:vAlign w:val="bottom"/>
          </w:tcPr>
          <w:p w14:paraId="3EADFD34" w14:textId="5E09CCFB" w:rsidR="00A34059" w:rsidRPr="00A34059" w:rsidRDefault="00A34059" w:rsidP="00A34059">
            <w:pPr>
              <w:rPr>
                <w:rFonts w:cs="Arial"/>
              </w:rPr>
            </w:pPr>
            <w:r w:rsidRPr="00A34059">
              <w:rPr>
                <w:rFonts w:cs="Arial"/>
              </w:rPr>
              <w:t>4(2,3)</w:t>
            </w:r>
          </w:p>
        </w:tc>
      </w:tr>
      <w:tr w:rsidR="00A34059" w14:paraId="7253108E" w14:textId="77777777" w:rsidTr="00A34059">
        <w:tc>
          <w:tcPr>
            <w:tcW w:w="1976" w:type="dxa"/>
            <w:vAlign w:val="bottom"/>
          </w:tcPr>
          <w:p w14:paraId="6D1D8ADB" w14:textId="3909A8E7" w:rsidR="00A34059" w:rsidRPr="00A34059" w:rsidRDefault="00A34059" w:rsidP="00A34059">
            <w:pPr>
              <w:rPr>
                <w:rFonts w:cs="Arial"/>
              </w:rPr>
            </w:pPr>
            <w:r w:rsidRPr="00A34059">
              <w:rPr>
                <w:rFonts w:cs="Arial"/>
              </w:rPr>
              <w:t>Тромбоцитопения</w:t>
            </w:r>
            <w:r w:rsidRPr="00A34059">
              <w:rPr>
                <w:rFonts w:cs="Arial"/>
                <w:vertAlign w:val="superscript"/>
              </w:rPr>
              <w:t>е</w:t>
            </w:r>
          </w:p>
        </w:tc>
        <w:tc>
          <w:tcPr>
            <w:tcW w:w="1900" w:type="dxa"/>
            <w:vAlign w:val="bottom"/>
          </w:tcPr>
          <w:p w14:paraId="2164EBE5" w14:textId="42A17917" w:rsidR="00A34059" w:rsidRPr="00A34059" w:rsidRDefault="00A34059" w:rsidP="00A34059">
            <w:pPr>
              <w:rPr>
                <w:rFonts w:cs="Arial"/>
              </w:rPr>
            </w:pPr>
            <w:r w:rsidRPr="00A34059">
              <w:rPr>
                <w:rFonts w:cs="Arial"/>
              </w:rPr>
              <w:t>88 (25,5)</w:t>
            </w:r>
          </w:p>
        </w:tc>
        <w:tc>
          <w:tcPr>
            <w:tcW w:w="1900" w:type="dxa"/>
            <w:vAlign w:val="bottom"/>
          </w:tcPr>
          <w:p w14:paraId="37BA7F3E" w14:textId="47AF32A9" w:rsidR="00A34059" w:rsidRPr="00A34059" w:rsidRDefault="00A34059" w:rsidP="00A34059">
            <w:pPr>
              <w:rPr>
                <w:rFonts w:cs="Arial"/>
              </w:rPr>
            </w:pPr>
            <w:r w:rsidRPr="00A34059">
              <w:rPr>
                <w:rFonts w:cs="Arial"/>
              </w:rPr>
              <w:t>10(29)</w:t>
            </w:r>
          </w:p>
        </w:tc>
        <w:tc>
          <w:tcPr>
            <w:tcW w:w="1900" w:type="dxa"/>
            <w:vAlign w:val="bottom"/>
          </w:tcPr>
          <w:p w14:paraId="08B03934" w14:textId="273745ED" w:rsidR="00A34059" w:rsidRPr="00A34059" w:rsidRDefault="00A34059" w:rsidP="00A34059">
            <w:pPr>
              <w:rPr>
                <w:rFonts w:cs="Arial"/>
              </w:rPr>
            </w:pPr>
            <w:r w:rsidRPr="00A34059">
              <w:rPr>
                <w:rFonts w:cs="Arial"/>
              </w:rPr>
              <w:t>0</w:t>
            </w:r>
          </w:p>
        </w:tc>
        <w:tc>
          <w:tcPr>
            <w:tcW w:w="1900" w:type="dxa"/>
            <w:vAlign w:val="bottom"/>
          </w:tcPr>
          <w:p w14:paraId="6B8F44E6" w14:textId="0E826859" w:rsidR="00A34059" w:rsidRPr="00A34059" w:rsidRDefault="00A34059" w:rsidP="00A34059">
            <w:pPr>
              <w:rPr>
                <w:rFonts w:cs="Arial"/>
              </w:rPr>
            </w:pPr>
            <w:r w:rsidRPr="00A34059">
              <w:rPr>
                <w:rFonts w:cs="Arial"/>
              </w:rPr>
              <w:t>0</w:t>
            </w:r>
          </w:p>
        </w:tc>
      </w:tr>
      <w:tr w:rsidR="00A34059" w14:paraId="40CA9DC5" w14:textId="77777777" w:rsidTr="00A34059">
        <w:tc>
          <w:tcPr>
            <w:tcW w:w="1976" w:type="dxa"/>
            <w:vAlign w:val="bottom"/>
          </w:tcPr>
          <w:p w14:paraId="77AF1217" w14:textId="3BE9CA3E" w:rsidR="00A34059" w:rsidRPr="00A34059" w:rsidRDefault="00A34059" w:rsidP="00A34059">
            <w:pPr>
              <w:rPr>
                <w:rFonts w:cs="Arial"/>
              </w:rPr>
            </w:pPr>
            <w:r w:rsidRPr="00A34059">
              <w:rPr>
                <w:rFonts w:cs="Arial"/>
                <w:i/>
                <w:iCs/>
              </w:rPr>
              <w:t>Нечести</w:t>
            </w:r>
          </w:p>
        </w:tc>
        <w:tc>
          <w:tcPr>
            <w:tcW w:w="1900" w:type="dxa"/>
          </w:tcPr>
          <w:p w14:paraId="1255FBF6" w14:textId="77777777" w:rsidR="00A34059" w:rsidRPr="00A34059" w:rsidRDefault="00A34059" w:rsidP="00A34059">
            <w:pPr>
              <w:rPr>
                <w:rFonts w:cs="Arial"/>
              </w:rPr>
            </w:pPr>
          </w:p>
        </w:tc>
        <w:tc>
          <w:tcPr>
            <w:tcW w:w="1900" w:type="dxa"/>
          </w:tcPr>
          <w:p w14:paraId="07AFCCBC" w14:textId="77777777" w:rsidR="00A34059" w:rsidRPr="00A34059" w:rsidRDefault="00A34059" w:rsidP="00A34059">
            <w:pPr>
              <w:rPr>
                <w:rFonts w:cs="Arial"/>
              </w:rPr>
            </w:pPr>
          </w:p>
        </w:tc>
        <w:tc>
          <w:tcPr>
            <w:tcW w:w="1900" w:type="dxa"/>
          </w:tcPr>
          <w:p w14:paraId="7E4DFCE5" w14:textId="77777777" w:rsidR="00A34059" w:rsidRPr="00A34059" w:rsidRDefault="00A34059" w:rsidP="00A34059">
            <w:pPr>
              <w:rPr>
                <w:rFonts w:cs="Arial"/>
              </w:rPr>
            </w:pPr>
          </w:p>
        </w:tc>
        <w:tc>
          <w:tcPr>
            <w:tcW w:w="1900" w:type="dxa"/>
          </w:tcPr>
          <w:p w14:paraId="10EBCAAA" w14:textId="77777777" w:rsidR="00A34059" w:rsidRPr="00A34059" w:rsidRDefault="00A34059" w:rsidP="00A34059">
            <w:pPr>
              <w:rPr>
                <w:rFonts w:cs="Arial"/>
              </w:rPr>
            </w:pPr>
          </w:p>
        </w:tc>
      </w:tr>
      <w:tr w:rsidR="00A34059" w14:paraId="13E16313" w14:textId="77777777" w:rsidTr="00A34059">
        <w:tc>
          <w:tcPr>
            <w:tcW w:w="1976" w:type="dxa"/>
            <w:vAlign w:val="bottom"/>
          </w:tcPr>
          <w:p w14:paraId="38136961" w14:textId="130070F0" w:rsidR="00A34059" w:rsidRPr="00A34059" w:rsidRDefault="00A34059" w:rsidP="00A34059">
            <w:pPr>
              <w:rPr>
                <w:rFonts w:cs="Arial"/>
              </w:rPr>
            </w:pPr>
            <w:r w:rsidRPr="00A34059">
              <w:rPr>
                <w:rFonts w:cs="Arial"/>
              </w:rPr>
              <w:t>Фебрилна неутропения</w:t>
            </w:r>
          </w:p>
        </w:tc>
        <w:tc>
          <w:tcPr>
            <w:tcW w:w="1900" w:type="dxa"/>
            <w:vAlign w:val="bottom"/>
          </w:tcPr>
          <w:p w14:paraId="5BBE8DC5" w14:textId="12F95473" w:rsidR="00A34059" w:rsidRPr="00A34059" w:rsidRDefault="00A34059" w:rsidP="00A34059">
            <w:pPr>
              <w:rPr>
                <w:rFonts w:cs="Arial"/>
              </w:rPr>
            </w:pPr>
            <w:r w:rsidRPr="00A34059">
              <w:rPr>
                <w:rFonts w:cs="Arial"/>
              </w:rPr>
              <w:t>3 (0,9)</w:t>
            </w:r>
          </w:p>
        </w:tc>
        <w:tc>
          <w:tcPr>
            <w:tcW w:w="1900" w:type="dxa"/>
            <w:vAlign w:val="bottom"/>
          </w:tcPr>
          <w:p w14:paraId="3851AF1C" w14:textId="0229682B" w:rsidR="00A34059" w:rsidRPr="00A34059" w:rsidRDefault="00A34059" w:rsidP="00A34059">
            <w:pPr>
              <w:rPr>
                <w:rFonts w:cs="Arial"/>
              </w:rPr>
            </w:pPr>
            <w:r w:rsidRPr="00A34059">
              <w:rPr>
                <w:rFonts w:cs="Arial"/>
              </w:rPr>
              <w:t>3 (0,9)</w:t>
            </w:r>
          </w:p>
        </w:tc>
        <w:tc>
          <w:tcPr>
            <w:tcW w:w="1900" w:type="dxa"/>
            <w:vAlign w:val="bottom"/>
          </w:tcPr>
          <w:p w14:paraId="30B79845" w14:textId="098DE96E" w:rsidR="00A34059" w:rsidRPr="00A34059" w:rsidRDefault="00A34059" w:rsidP="00A34059">
            <w:pPr>
              <w:rPr>
                <w:rFonts w:cs="Arial"/>
              </w:rPr>
            </w:pPr>
            <w:r w:rsidRPr="00A34059">
              <w:rPr>
                <w:rFonts w:cs="Arial"/>
              </w:rPr>
              <w:t>0</w:t>
            </w:r>
          </w:p>
        </w:tc>
        <w:tc>
          <w:tcPr>
            <w:tcW w:w="1900" w:type="dxa"/>
            <w:vAlign w:val="bottom"/>
          </w:tcPr>
          <w:p w14:paraId="0E595368" w14:textId="2440D018" w:rsidR="00A34059" w:rsidRPr="00A34059" w:rsidRDefault="00A34059" w:rsidP="00A34059">
            <w:pPr>
              <w:rPr>
                <w:rFonts w:cs="Arial"/>
              </w:rPr>
            </w:pPr>
            <w:r w:rsidRPr="00A34059">
              <w:rPr>
                <w:rFonts w:cs="Arial"/>
              </w:rPr>
              <w:t>0</w:t>
            </w:r>
          </w:p>
        </w:tc>
      </w:tr>
      <w:tr w:rsidR="00A34059" w14:paraId="14128382" w14:textId="77777777" w:rsidTr="00A34059">
        <w:tc>
          <w:tcPr>
            <w:tcW w:w="9576" w:type="dxa"/>
            <w:gridSpan w:val="5"/>
          </w:tcPr>
          <w:p w14:paraId="1C0F5A93" w14:textId="420563FF" w:rsidR="00A34059" w:rsidRPr="00A34059" w:rsidRDefault="00A34059" w:rsidP="0091385D">
            <w:pPr>
              <w:rPr>
                <w:rFonts w:cs="Arial"/>
              </w:rPr>
            </w:pPr>
            <w:r w:rsidRPr="00A34059">
              <w:rPr>
                <w:rFonts w:cs="Arial"/>
                <w:b/>
                <w:bCs/>
              </w:rPr>
              <w:t>Нарушения на метаболизма и храненето</w:t>
            </w:r>
          </w:p>
        </w:tc>
      </w:tr>
      <w:tr w:rsidR="00A34059" w14:paraId="297628DE" w14:textId="77777777" w:rsidTr="00A34059">
        <w:tc>
          <w:tcPr>
            <w:tcW w:w="1976" w:type="dxa"/>
            <w:vAlign w:val="bottom"/>
          </w:tcPr>
          <w:p w14:paraId="254BDE5B" w14:textId="049E6E5D" w:rsidR="00A34059" w:rsidRPr="00A34059" w:rsidRDefault="00A34059" w:rsidP="00A34059">
            <w:pPr>
              <w:rPr>
                <w:rFonts w:cs="Arial"/>
              </w:rPr>
            </w:pPr>
            <w:r w:rsidRPr="00A34059">
              <w:rPr>
                <w:rFonts w:cs="Arial"/>
                <w:i/>
                <w:iCs/>
              </w:rPr>
              <w:t>Много чести</w:t>
            </w:r>
          </w:p>
        </w:tc>
        <w:tc>
          <w:tcPr>
            <w:tcW w:w="1900" w:type="dxa"/>
          </w:tcPr>
          <w:p w14:paraId="6A9E1183" w14:textId="77777777" w:rsidR="00A34059" w:rsidRPr="00A34059" w:rsidRDefault="00A34059" w:rsidP="00A34059">
            <w:pPr>
              <w:rPr>
                <w:rFonts w:cs="Arial"/>
              </w:rPr>
            </w:pPr>
          </w:p>
        </w:tc>
        <w:tc>
          <w:tcPr>
            <w:tcW w:w="1900" w:type="dxa"/>
          </w:tcPr>
          <w:p w14:paraId="4D12C13B" w14:textId="77777777" w:rsidR="00A34059" w:rsidRPr="00A34059" w:rsidRDefault="00A34059" w:rsidP="00A34059">
            <w:pPr>
              <w:rPr>
                <w:rFonts w:cs="Arial"/>
              </w:rPr>
            </w:pPr>
          </w:p>
        </w:tc>
        <w:tc>
          <w:tcPr>
            <w:tcW w:w="1900" w:type="dxa"/>
          </w:tcPr>
          <w:p w14:paraId="638BCAD3" w14:textId="77777777" w:rsidR="00A34059" w:rsidRPr="00A34059" w:rsidRDefault="00A34059" w:rsidP="00A34059">
            <w:pPr>
              <w:rPr>
                <w:rFonts w:cs="Arial"/>
              </w:rPr>
            </w:pPr>
          </w:p>
        </w:tc>
        <w:tc>
          <w:tcPr>
            <w:tcW w:w="1900" w:type="dxa"/>
          </w:tcPr>
          <w:p w14:paraId="04F0EB0E" w14:textId="77777777" w:rsidR="00A34059" w:rsidRPr="00A34059" w:rsidRDefault="00A34059" w:rsidP="00A34059">
            <w:pPr>
              <w:rPr>
                <w:rFonts w:cs="Arial"/>
              </w:rPr>
            </w:pPr>
          </w:p>
        </w:tc>
      </w:tr>
      <w:tr w:rsidR="00A34059" w14:paraId="4EA743BF" w14:textId="77777777" w:rsidTr="00A34059">
        <w:tc>
          <w:tcPr>
            <w:tcW w:w="1976" w:type="dxa"/>
            <w:vAlign w:val="bottom"/>
          </w:tcPr>
          <w:p w14:paraId="350A89A4" w14:textId="4CFC97C3" w:rsidR="00A34059" w:rsidRPr="00A34059" w:rsidRDefault="00A34059" w:rsidP="00A34059">
            <w:pPr>
              <w:rPr>
                <w:rFonts w:cs="Arial"/>
              </w:rPr>
            </w:pPr>
            <w:r w:rsidRPr="00A34059">
              <w:rPr>
                <w:rFonts w:cs="Arial"/>
              </w:rPr>
              <w:t>Намален апетит</w:t>
            </w:r>
          </w:p>
        </w:tc>
        <w:tc>
          <w:tcPr>
            <w:tcW w:w="1900" w:type="dxa"/>
            <w:vAlign w:val="bottom"/>
          </w:tcPr>
          <w:p w14:paraId="704F2CDF" w14:textId="1156F39A" w:rsidR="00A34059" w:rsidRPr="00A34059" w:rsidRDefault="00A34059" w:rsidP="00A34059">
            <w:pPr>
              <w:rPr>
                <w:rFonts w:cs="Arial"/>
              </w:rPr>
            </w:pPr>
            <w:r w:rsidRPr="00A34059">
              <w:rPr>
                <w:rFonts w:cs="Arial"/>
              </w:rPr>
              <w:t>60 (17,4)</w:t>
            </w:r>
          </w:p>
        </w:tc>
        <w:tc>
          <w:tcPr>
            <w:tcW w:w="1900" w:type="dxa"/>
            <w:vAlign w:val="bottom"/>
          </w:tcPr>
          <w:p w14:paraId="28794E1D" w14:textId="4FCC13AA" w:rsidR="00A34059" w:rsidRPr="00A34059" w:rsidRDefault="00A34059" w:rsidP="00A34059">
            <w:pPr>
              <w:rPr>
                <w:rFonts w:cs="Arial"/>
              </w:rPr>
            </w:pPr>
            <w:r w:rsidRPr="00A34059">
              <w:rPr>
                <w:rFonts w:cs="Arial"/>
              </w:rPr>
              <w:t>4(1,2)</w:t>
            </w:r>
          </w:p>
        </w:tc>
        <w:tc>
          <w:tcPr>
            <w:tcW w:w="1900" w:type="dxa"/>
            <w:vAlign w:val="bottom"/>
          </w:tcPr>
          <w:p w14:paraId="50B685FA" w14:textId="631B4DDA" w:rsidR="00A34059" w:rsidRPr="00A34059" w:rsidRDefault="00A34059" w:rsidP="00A34059">
            <w:pPr>
              <w:rPr>
                <w:rFonts w:cs="Arial"/>
              </w:rPr>
            </w:pPr>
            <w:r w:rsidRPr="00A34059">
              <w:rPr>
                <w:rFonts w:cs="Arial"/>
              </w:rPr>
              <w:t>18(10,5)</w:t>
            </w:r>
          </w:p>
        </w:tc>
        <w:tc>
          <w:tcPr>
            <w:tcW w:w="1900" w:type="dxa"/>
            <w:vAlign w:val="bottom"/>
          </w:tcPr>
          <w:p w14:paraId="053EA0B0" w14:textId="29869005" w:rsidR="00A34059" w:rsidRPr="00A34059" w:rsidRDefault="00A34059" w:rsidP="00A34059">
            <w:pPr>
              <w:rPr>
                <w:rFonts w:cs="Arial"/>
              </w:rPr>
            </w:pPr>
            <w:r w:rsidRPr="00A34059">
              <w:rPr>
                <w:rFonts w:cs="Arial"/>
              </w:rPr>
              <w:t>1 (0,6)</w:t>
            </w:r>
          </w:p>
        </w:tc>
      </w:tr>
      <w:tr w:rsidR="00A34059" w14:paraId="701BCBB3" w14:textId="77777777" w:rsidTr="00A34059">
        <w:tc>
          <w:tcPr>
            <w:tcW w:w="9576" w:type="dxa"/>
            <w:gridSpan w:val="5"/>
          </w:tcPr>
          <w:p w14:paraId="7E7BD809" w14:textId="3A97AC27" w:rsidR="00A34059" w:rsidRPr="00A34059" w:rsidRDefault="00A34059" w:rsidP="0091385D">
            <w:pPr>
              <w:rPr>
                <w:rFonts w:cs="Arial"/>
              </w:rPr>
            </w:pPr>
            <w:r w:rsidRPr="00A34059">
              <w:rPr>
                <w:rFonts w:cs="Arial"/>
                <w:b/>
                <w:bCs/>
              </w:rPr>
              <w:t>Нарушения на нервната система</w:t>
            </w:r>
          </w:p>
        </w:tc>
      </w:tr>
      <w:tr w:rsidR="00A34059" w14:paraId="0E1B6E4C" w14:textId="77777777" w:rsidTr="00A34059">
        <w:tc>
          <w:tcPr>
            <w:tcW w:w="1976" w:type="dxa"/>
            <w:vAlign w:val="bottom"/>
          </w:tcPr>
          <w:p w14:paraId="75628ABC" w14:textId="10ACFA5A" w:rsidR="00A34059" w:rsidRPr="00A34059" w:rsidRDefault="00A34059" w:rsidP="00A34059">
            <w:pPr>
              <w:rPr>
                <w:rFonts w:cs="Arial"/>
              </w:rPr>
            </w:pPr>
            <w:r w:rsidRPr="00A34059">
              <w:rPr>
                <w:rFonts w:cs="Arial"/>
                <w:i/>
                <w:iCs/>
              </w:rPr>
              <w:t>Чести</w:t>
            </w:r>
          </w:p>
        </w:tc>
        <w:tc>
          <w:tcPr>
            <w:tcW w:w="1900" w:type="dxa"/>
          </w:tcPr>
          <w:p w14:paraId="6071401C" w14:textId="77777777" w:rsidR="00A34059" w:rsidRPr="00A34059" w:rsidRDefault="00A34059" w:rsidP="00A34059">
            <w:pPr>
              <w:rPr>
                <w:rFonts w:cs="Arial"/>
              </w:rPr>
            </w:pPr>
          </w:p>
        </w:tc>
        <w:tc>
          <w:tcPr>
            <w:tcW w:w="1900" w:type="dxa"/>
          </w:tcPr>
          <w:p w14:paraId="73B56F13" w14:textId="77777777" w:rsidR="00A34059" w:rsidRPr="00A34059" w:rsidRDefault="00A34059" w:rsidP="00A34059">
            <w:pPr>
              <w:rPr>
                <w:rFonts w:cs="Arial"/>
              </w:rPr>
            </w:pPr>
          </w:p>
        </w:tc>
        <w:tc>
          <w:tcPr>
            <w:tcW w:w="1900" w:type="dxa"/>
          </w:tcPr>
          <w:p w14:paraId="1273243E" w14:textId="77777777" w:rsidR="00A34059" w:rsidRPr="00A34059" w:rsidRDefault="00A34059" w:rsidP="00A34059">
            <w:pPr>
              <w:rPr>
                <w:rFonts w:cs="Arial"/>
              </w:rPr>
            </w:pPr>
          </w:p>
        </w:tc>
        <w:tc>
          <w:tcPr>
            <w:tcW w:w="1900" w:type="dxa"/>
          </w:tcPr>
          <w:p w14:paraId="66420735" w14:textId="77777777" w:rsidR="00A34059" w:rsidRPr="00A34059" w:rsidRDefault="00A34059" w:rsidP="00A34059">
            <w:pPr>
              <w:rPr>
                <w:rFonts w:cs="Arial"/>
              </w:rPr>
            </w:pPr>
          </w:p>
        </w:tc>
      </w:tr>
      <w:tr w:rsidR="00A34059" w14:paraId="565ECC5E" w14:textId="77777777" w:rsidTr="00A34059">
        <w:tc>
          <w:tcPr>
            <w:tcW w:w="1976" w:type="dxa"/>
            <w:vAlign w:val="bottom"/>
          </w:tcPr>
          <w:p w14:paraId="4D631E9E" w14:textId="570D162D" w:rsidR="00A34059" w:rsidRPr="00A34059" w:rsidRDefault="00A34059" w:rsidP="00A34059">
            <w:pPr>
              <w:rPr>
                <w:rFonts w:cs="Arial"/>
              </w:rPr>
            </w:pPr>
            <w:r w:rsidRPr="00A34059">
              <w:rPr>
                <w:rFonts w:cs="Arial"/>
              </w:rPr>
              <w:t>Дисгеузия</w:t>
            </w:r>
          </w:p>
        </w:tc>
        <w:tc>
          <w:tcPr>
            <w:tcW w:w="1900" w:type="dxa"/>
            <w:vAlign w:val="bottom"/>
          </w:tcPr>
          <w:p w14:paraId="6E9A7866" w14:textId="2C18A121" w:rsidR="00A34059" w:rsidRPr="00A34059" w:rsidRDefault="00A34059" w:rsidP="00A34059">
            <w:pPr>
              <w:rPr>
                <w:rFonts w:cs="Arial"/>
              </w:rPr>
            </w:pPr>
            <w:r w:rsidRPr="00A34059">
              <w:rPr>
                <w:rFonts w:cs="Arial"/>
              </w:rPr>
              <w:t>27 (7,8)</w:t>
            </w:r>
          </w:p>
        </w:tc>
        <w:tc>
          <w:tcPr>
            <w:tcW w:w="1900" w:type="dxa"/>
            <w:vAlign w:val="bottom"/>
          </w:tcPr>
          <w:p w14:paraId="3709DB90" w14:textId="47EA2E3A" w:rsidR="00A34059" w:rsidRPr="00A34059" w:rsidRDefault="00A34059" w:rsidP="00A34059">
            <w:pPr>
              <w:rPr>
                <w:rFonts w:cs="Arial"/>
              </w:rPr>
            </w:pPr>
            <w:r w:rsidRPr="00A34059">
              <w:rPr>
                <w:rFonts w:cs="Arial"/>
              </w:rPr>
              <w:t>0</w:t>
            </w:r>
          </w:p>
        </w:tc>
        <w:tc>
          <w:tcPr>
            <w:tcW w:w="1900" w:type="dxa"/>
            <w:vAlign w:val="bottom"/>
          </w:tcPr>
          <w:p w14:paraId="1038FC8E" w14:textId="7DFC4C98" w:rsidR="00A34059" w:rsidRPr="00A34059" w:rsidRDefault="00A34059" w:rsidP="00A34059">
            <w:pPr>
              <w:rPr>
                <w:rFonts w:cs="Arial"/>
              </w:rPr>
            </w:pPr>
            <w:r w:rsidRPr="00A34059">
              <w:rPr>
                <w:rFonts w:cs="Arial"/>
              </w:rPr>
              <w:t>6(3,5)</w:t>
            </w:r>
          </w:p>
        </w:tc>
        <w:tc>
          <w:tcPr>
            <w:tcW w:w="1900" w:type="dxa"/>
            <w:vAlign w:val="bottom"/>
          </w:tcPr>
          <w:p w14:paraId="753D93DF" w14:textId="53136824" w:rsidR="00A34059" w:rsidRPr="00A34059" w:rsidRDefault="00A34059" w:rsidP="00A34059">
            <w:pPr>
              <w:rPr>
                <w:rFonts w:cs="Arial"/>
              </w:rPr>
            </w:pPr>
            <w:r w:rsidRPr="00A34059">
              <w:rPr>
                <w:rFonts w:cs="Arial"/>
              </w:rPr>
              <w:t>0</w:t>
            </w:r>
          </w:p>
        </w:tc>
      </w:tr>
      <w:tr w:rsidR="00A34059" w14:paraId="66CF605D" w14:textId="77777777" w:rsidTr="00A34059">
        <w:tc>
          <w:tcPr>
            <w:tcW w:w="9576" w:type="dxa"/>
            <w:gridSpan w:val="5"/>
          </w:tcPr>
          <w:p w14:paraId="45624A76" w14:textId="14C83EF2" w:rsidR="00A34059" w:rsidRPr="00A34059" w:rsidRDefault="00A34059" w:rsidP="0091385D">
            <w:pPr>
              <w:rPr>
                <w:rFonts w:cs="Arial"/>
              </w:rPr>
            </w:pPr>
            <w:r w:rsidRPr="00A34059">
              <w:rPr>
                <w:rFonts w:cs="Arial"/>
                <w:b/>
                <w:bCs/>
              </w:rPr>
              <w:t>Нарушения на очите</w:t>
            </w:r>
          </w:p>
        </w:tc>
      </w:tr>
      <w:tr w:rsidR="00A34059" w14:paraId="0FA0EE9C" w14:textId="77777777" w:rsidTr="00A34059">
        <w:tc>
          <w:tcPr>
            <w:tcW w:w="1976" w:type="dxa"/>
            <w:vAlign w:val="bottom"/>
          </w:tcPr>
          <w:p w14:paraId="3CB0C546" w14:textId="5EEFC3C9" w:rsidR="00A34059" w:rsidRPr="00A34059" w:rsidRDefault="00A34059" w:rsidP="00A34059">
            <w:pPr>
              <w:rPr>
                <w:rFonts w:cs="Arial"/>
              </w:rPr>
            </w:pPr>
            <w:r w:rsidRPr="00A34059">
              <w:rPr>
                <w:rFonts w:cs="Arial"/>
                <w:i/>
                <w:iCs/>
              </w:rPr>
              <w:t>Чести</w:t>
            </w:r>
          </w:p>
        </w:tc>
        <w:tc>
          <w:tcPr>
            <w:tcW w:w="1900" w:type="dxa"/>
          </w:tcPr>
          <w:p w14:paraId="648CE113" w14:textId="77777777" w:rsidR="00A34059" w:rsidRPr="00A34059" w:rsidRDefault="00A34059" w:rsidP="00A34059">
            <w:pPr>
              <w:rPr>
                <w:rFonts w:cs="Arial"/>
              </w:rPr>
            </w:pPr>
          </w:p>
        </w:tc>
        <w:tc>
          <w:tcPr>
            <w:tcW w:w="1900" w:type="dxa"/>
          </w:tcPr>
          <w:p w14:paraId="0BA37D28" w14:textId="77777777" w:rsidR="00A34059" w:rsidRPr="00A34059" w:rsidRDefault="00A34059" w:rsidP="00A34059">
            <w:pPr>
              <w:rPr>
                <w:rFonts w:cs="Arial"/>
              </w:rPr>
            </w:pPr>
          </w:p>
        </w:tc>
        <w:tc>
          <w:tcPr>
            <w:tcW w:w="1900" w:type="dxa"/>
          </w:tcPr>
          <w:p w14:paraId="1A05268C" w14:textId="77777777" w:rsidR="00A34059" w:rsidRPr="00A34059" w:rsidRDefault="00A34059" w:rsidP="00A34059">
            <w:pPr>
              <w:rPr>
                <w:rFonts w:cs="Arial"/>
              </w:rPr>
            </w:pPr>
          </w:p>
        </w:tc>
        <w:tc>
          <w:tcPr>
            <w:tcW w:w="1900" w:type="dxa"/>
          </w:tcPr>
          <w:p w14:paraId="52A4997B" w14:textId="77777777" w:rsidR="00A34059" w:rsidRPr="00A34059" w:rsidRDefault="00A34059" w:rsidP="00A34059">
            <w:pPr>
              <w:rPr>
                <w:rFonts w:cs="Arial"/>
              </w:rPr>
            </w:pPr>
          </w:p>
        </w:tc>
      </w:tr>
      <w:tr w:rsidR="00A34059" w14:paraId="639EAD8C" w14:textId="77777777" w:rsidTr="00A34059">
        <w:tc>
          <w:tcPr>
            <w:tcW w:w="1976" w:type="dxa"/>
            <w:vAlign w:val="bottom"/>
          </w:tcPr>
          <w:p w14:paraId="2BEE91DE" w14:textId="2F36DFE5" w:rsidR="00A34059" w:rsidRPr="00A34059" w:rsidRDefault="00A34059" w:rsidP="00A34059">
            <w:pPr>
              <w:rPr>
                <w:rFonts w:cs="Arial"/>
              </w:rPr>
            </w:pPr>
            <w:r w:rsidRPr="00A34059">
              <w:rPr>
                <w:rFonts w:cs="Arial"/>
              </w:rPr>
              <w:t>Повишена лакримация</w:t>
            </w:r>
          </w:p>
        </w:tc>
        <w:tc>
          <w:tcPr>
            <w:tcW w:w="1900" w:type="dxa"/>
            <w:vAlign w:val="bottom"/>
          </w:tcPr>
          <w:p w14:paraId="7A5EB827" w14:textId="673820EA" w:rsidR="00A34059" w:rsidRPr="00A34059" w:rsidRDefault="00A34059" w:rsidP="00A34059">
            <w:pPr>
              <w:rPr>
                <w:rFonts w:cs="Arial"/>
              </w:rPr>
            </w:pPr>
            <w:r w:rsidRPr="00A34059">
              <w:rPr>
                <w:rFonts w:cs="Arial"/>
              </w:rPr>
              <w:t>25 (7,2)</w:t>
            </w:r>
          </w:p>
        </w:tc>
        <w:tc>
          <w:tcPr>
            <w:tcW w:w="1900" w:type="dxa"/>
            <w:vAlign w:val="bottom"/>
          </w:tcPr>
          <w:p w14:paraId="1ECBAD73" w14:textId="6F53B135" w:rsidR="00A34059" w:rsidRPr="00A34059" w:rsidRDefault="00A34059" w:rsidP="00A34059">
            <w:pPr>
              <w:rPr>
                <w:rFonts w:cs="Arial"/>
              </w:rPr>
            </w:pPr>
            <w:r w:rsidRPr="00A34059">
              <w:rPr>
                <w:rFonts w:cs="Arial"/>
              </w:rPr>
              <w:t>0</w:t>
            </w:r>
          </w:p>
        </w:tc>
        <w:tc>
          <w:tcPr>
            <w:tcW w:w="1900" w:type="dxa"/>
            <w:vAlign w:val="bottom"/>
          </w:tcPr>
          <w:p w14:paraId="06C9E33B" w14:textId="78C23649" w:rsidR="00A34059" w:rsidRPr="00A34059" w:rsidRDefault="00A34059" w:rsidP="00A34059">
            <w:pPr>
              <w:rPr>
                <w:rFonts w:cs="Arial"/>
              </w:rPr>
            </w:pPr>
            <w:r w:rsidRPr="00A34059">
              <w:rPr>
                <w:rFonts w:cs="Arial"/>
              </w:rPr>
              <w:t>2(1,2)</w:t>
            </w:r>
          </w:p>
        </w:tc>
        <w:tc>
          <w:tcPr>
            <w:tcW w:w="1900" w:type="dxa"/>
            <w:vAlign w:val="bottom"/>
          </w:tcPr>
          <w:p w14:paraId="0A1F08BB" w14:textId="4DA98E6C" w:rsidR="00A34059" w:rsidRPr="00A34059" w:rsidRDefault="00A34059" w:rsidP="00A34059">
            <w:pPr>
              <w:rPr>
                <w:rFonts w:cs="Arial"/>
              </w:rPr>
            </w:pPr>
            <w:r w:rsidRPr="00A34059">
              <w:rPr>
                <w:rFonts w:cs="Arial"/>
              </w:rPr>
              <w:t>0</w:t>
            </w:r>
          </w:p>
        </w:tc>
      </w:tr>
      <w:tr w:rsidR="00A34059" w14:paraId="10B1884E" w14:textId="77777777" w:rsidTr="00A34059">
        <w:tc>
          <w:tcPr>
            <w:tcW w:w="1976" w:type="dxa"/>
            <w:vAlign w:val="bottom"/>
          </w:tcPr>
          <w:p w14:paraId="5974B5DD" w14:textId="7CC9A178" w:rsidR="00A34059" w:rsidRPr="00A34059" w:rsidRDefault="00A34059" w:rsidP="00A34059">
            <w:pPr>
              <w:rPr>
                <w:rFonts w:cs="Arial"/>
              </w:rPr>
            </w:pPr>
            <w:r w:rsidRPr="00A34059">
              <w:rPr>
                <w:rFonts w:cs="Arial"/>
              </w:rPr>
              <w:t>Замъглено зрение</w:t>
            </w:r>
          </w:p>
        </w:tc>
        <w:tc>
          <w:tcPr>
            <w:tcW w:w="1900" w:type="dxa"/>
            <w:vAlign w:val="bottom"/>
          </w:tcPr>
          <w:p w14:paraId="6D71CF9A" w14:textId="5E44696F" w:rsidR="00A34059" w:rsidRPr="00A34059" w:rsidRDefault="00A34059" w:rsidP="00A34059">
            <w:pPr>
              <w:rPr>
                <w:rFonts w:cs="Arial"/>
              </w:rPr>
            </w:pPr>
            <w:r w:rsidRPr="00A34059">
              <w:rPr>
                <w:rFonts w:cs="Arial"/>
              </w:rPr>
              <w:t>24 (7,0)</w:t>
            </w:r>
          </w:p>
        </w:tc>
        <w:tc>
          <w:tcPr>
            <w:tcW w:w="1900" w:type="dxa"/>
            <w:vAlign w:val="bottom"/>
          </w:tcPr>
          <w:p w14:paraId="42362B80" w14:textId="018DB672" w:rsidR="00A34059" w:rsidRPr="00A34059" w:rsidRDefault="00A34059" w:rsidP="00A34059">
            <w:pPr>
              <w:rPr>
                <w:rFonts w:cs="Arial"/>
              </w:rPr>
            </w:pPr>
            <w:r w:rsidRPr="00A34059">
              <w:rPr>
                <w:rFonts w:cs="Arial"/>
              </w:rPr>
              <w:t>0</w:t>
            </w:r>
          </w:p>
        </w:tc>
        <w:tc>
          <w:tcPr>
            <w:tcW w:w="1900" w:type="dxa"/>
            <w:vAlign w:val="bottom"/>
          </w:tcPr>
          <w:p w14:paraId="332F9E59" w14:textId="349CF534" w:rsidR="00A34059" w:rsidRPr="00A34059" w:rsidRDefault="00A34059" w:rsidP="00A34059">
            <w:pPr>
              <w:rPr>
                <w:rFonts w:cs="Arial"/>
              </w:rPr>
            </w:pPr>
            <w:r w:rsidRPr="00A34059">
              <w:rPr>
                <w:rFonts w:cs="Arial"/>
              </w:rPr>
              <w:t>3 (1,7)</w:t>
            </w:r>
          </w:p>
        </w:tc>
        <w:tc>
          <w:tcPr>
            <w:tcW w:w="1900" w:type="dxa"/>
            <w:vAlign w:val="bottom"/>
          </w:tcPr>
          <w:p w14:paraId="44DA95CC" w14:textId="047791CE" w:rsidR="00A34059" w:rsidRPr="00A34059" w:rsidRDefault="00A34059" w:rsidP="00A34059">
            <w:pPr>
              <w:rPr>
                <w:rFonts w:cs="Arial"/>
              </w:rPr>
            </w:pPr>
            <w:r w:rsidRPr="00A34059">
              <w:rPr>
                <w:rFonts w:cs="Arial"/>
              </w:rPr>
              <w:t>0</w:t>
            </w:r>
          </w:p>
        </w:tc>
      </w:tr>
      <w:tr w:rsidR="00A34059" w14:paraId="1EE7B267" w14:textId="77777777" w:rsidTr="00A34059">
        <w:tc>
          <w:tcPr>
            <w:tcW w:w="1976" w:type="dxa"/>
            <w:vAlign w:val="bottom"/>
          </w:tcPr>
          <w:p w14:paraId="05C6DFF9" w14:textId="7A213681" w:rsidR="00A34059" w:rsidRPr="00A34059" w:rsidRDefault="00A34059" w:rsidP="00A34059">
            <w:pPr>
              <w:rPr>
                <w:rFonts w:cs="Arial"/>
              </w:rPr>
            </w:pPr>
            <w:r w:rsidRPr="00A34059">
              <w:rPr>
                <w:rFonts w:cs="Arial"/>
              </w:rPr>
              <w:t>Сухо око</w:t>
            </w:r>
          </w:p>
        </w:tc>
        <w:tc>
          <w:tcPr>
            <w:tcW w:w="1900" w:type="dxa"/>
            <w:vAlign w:val="bottom"/>
          </w:tcPr>
          <w:p w14:paraId="398AF972" w14:textId="6734F0EE" w:rsidR="00A34059" w:rsidRPr="00A34059" w:rsidRDefault="00A34059" w:rsidP="00A34059">
            <w:pPr>
              <w:rPr>
                <w:rFonts w:cs="Arial"/>
              </w:rPr>
            </w:pPr>
            <w:r w:rsidRPr="00A34059">
              <w:rPr>
                <w:rFonts w:cs="Arial"/>
              </w:rPr>
              <w:t>15 (4,3)</w:t>
            </w:r>
          </w:p>
        </w:tc>
        <w:tc>
          <w:tcPr>
            <w:tcW w:w="1900" w:type="dxa"/>
            <w:vAlign w:val="bottom"/>
          </w:tcPr>
          <w:p w14:paraId="239067C7" w14:textId="750BB8A5" w:rsidR="00A34059" w:rsidRPr="00A34059" w:rsidRDefault="00A34059" w:rsidP="00A34059">
            <w:pPr>
              <w:rPr>
                <w:rFonts w:cs="Arial"/>
              </w:rPr>
            </w:pPr>
            <w:r w:rsidRPr="00A34059">
              <w:rPr>
                <w:rFonts w:cs="Arial"/>
              </w:rPr>
              <w:t>0</w:t>
            </w:r>
          </w:p>
        </w:tc>
        <w:tc>
          <w:tcPr>
            <w:tcW w:w="1900" w:type="dxa"/>
            <w:vAlign w:val="bottom"/>
          </w:tcPr>
          <w:p w14:paraId="75E9FD34" w14:textId="5DB77824" w:rsidR="00A34059" w:rsidRPr="00A34059" w:rsidRDefault="00A34059" w:rsidP="00A34059">
            <w:pPr>
              <w:rPr>
                <w:rFonts w:cs="Arial"/>
              </w:rPr>
            </w:pPr>
            <w:r w:rsidRPr="00A34059">
              <w:rPr>
                <w:rFonts w:cs="Arial"/>
              </w:rPr>
              <w:t>3 (1,7)</w:t>
            </w:r>
          </w:p>
        </w:tc>
        <w:tc>
          <w:tcPr>
            <w:tcW w:w="1900" w:type="dxa"/>
            <w:vAlign w:val="bottom"/>
          </w:tcPr>
          <w:p w14:paraId="2CA3B1C6" w14:textId="6288F3FD" w:rsidR="00A34059" w:rsidRPr="00A34059" w:rsidRDefault="00A34059" w:rsidP="00A34059">
            <w:pPr>
              <w:rPr>
                <w:rFonts w:cs="Arial"/>
              </w:rPr>
            </w:pPr>
            <w:r w:rsidRPr="00A34059">
              <w:rPr>
                <w:rFonts w:cs="Arial"/>
              </w:rPr>
              <w:t>0</w:t>
            </w:r>
          </w:p>
        </w:tc>
      </w:tr>
      <w:tr w:rsidR="00A34059" w14:paraId="550E4AA1" w14:textId="77777777" w:rsidTr="00A34059">
        <w:tc>
          <w:tcPr>
            <w:tcW w:w="9576" w:type="dxa"/>
            <w:gridSpan w:val="5"/>
          </w:tcPr>
          <w:p w14:paraId="5317D9E0" w14:textId="0B713D78" w:rsidR="00A34059" w:rsidRPr="00A34059" w:rsidRDefault="00A34059" w:rsidP="0091385D">
            <w:pPr>
              <w:rPr>
                <w:rFonts w:cs="Arial"/>
              </w:rPr>
            </w:pPr>
            <w:r w:rsidRPr="00A34059">
              <w:rPr>
                <w:rFonts w:cs="Arial"/>
                <w:b/>
                <w:bCs/>
              </w:rPr>
              <w:t>Респираторни, гръдни и медиастинални нарушения</w:t>
            </w:r>
          </w:p>
        </w:tc>
      </w:tr>
      <w:tr w:rsidR="00A34059" w14:paraId="01849CDA" w14:textId="77777777" w:rsidTr="00A34059">
        <w:tc>
          <w:tcPr>
            <w:tcW w:w="1976" w:type="dxa"/>
            <w:vAlign w:val="bottom"/>
          </w:tcPr>
          <w:p w14:paraId="2051DDAE" w14:textId="4D262F5E" w:rsidR="00A34059" w:rsidRPr="00A34059" w:rsidRDefault="00A34059" w:rsidP="00A34059">
            <w:pPr>
              <w:rPr>
                <w:rFonts w:cs="Arial"/>
              </w:rPr>
            </w:pPr>
            <w:r w:rsidRPr="00A34059">
              <w:rPr>
                <w:rFonts w:cs="Arial"/>
                <w:i/>
                <w:iCs/>
              </w:rPr>
              <w:t>Чести</w:t>
            </w:r>
          </w:p>
        </w:tc>
        <w:tc>
          <w:tcPr>
            <w:tcW w:w="1900" w:type="dxa"/>
          </w:tcPr>
          <w:p w14:paraId="7FB211DB" w14:textId="77777777" w:rsidR="00A34059" w:rsidRPr="00A34059" w:rsidRDefault="00A34059" w:rsidP="00A34059">
            <w:pPr>
              <w:rPr>
                <w:rFonts w:cs="Arial"/>
              </w:rPr>
            </w:pPr>
          </w:p>
        </w:tc>
        <w:tc>
          <w:tcPr>
            <w:tcW w:w="1900" w:type="dxa"/>
          </w:tcPr>
          <w:p w14:paraId="6D6400DB" w14:textId="77777777" w:rsidR="00A34059" w:rsidRPr="00A34059" w:rsidRDefault="00A34059" w:rsidP="00A34059">
            <w:pPr>
              <w:rPr>
                <w:rFonts w:cs="Arial"/>
              </w:rPr>
            </w:pPr>
          </w:p>
        </w:tc>
        <w:tc>
          <w:tcPr>
            <w:tcW w:w="1900" w:type="dxa"/>
          </w:tcPr>
          <w:p w14:paraId="3081CCF7" w14:textId="77777777" w:rsidR="00A34059" w:rsidRPr="00A34059" w:rsidRDefault="00A34059" w:rsidP="00A34059">
            <w:pPr>
              <w:rPr>
                <w:rFonts w:cs="Arial"/>
              </w:rPr>
            </w:pPr>
          </w:p>
        </w:tc>
        <w:tc>
          <w:tcPr>
            <w:tcW w:w="1900" w:type="dxa"/>
          </w:tcPr>
          <w:p w14:paraId="7EA0FFDC" w14:textId="77777777" w:rsidR="00A34059" w:rsidRPr="00A34059" w:rsidRDefault="00A34059" w:rsidP="00A34059">
            <w:pPr>
              <w:rPr>
                <w:rFonts w:cs="Arial"/>
              </w:rPr>
            </w:pPr>
          </w:p>
        </w:tc>
      </w:tr>
      <w:tr w:rsidR="00A34059" w14:paraId="3FB8C6A1" w14:textId="77777777" w:rsidTr="00A34059">
        <w:tc>
          <w:tcPr>
            <w:tcW w:w="1976" w:type="dxa"/>
            <w:vAlign w:val="bottom"/>
          </w:tcPr>
          <w:p w14:paraId="57820979" w14:textId="4CF40A7B" w:rsidR="00A34059" w:rsidRPr="00A34059" w:rsidRDefault="00A34059" w:rsidP="00A34059">
            <w:pPr>
              <w:rPr>
                <w:rFonts w:cs="Arial"/>
              </w:rPr>
            </w:pPr>
            <w:r w:rsidRPr="00A34059">
              <w:rPr>
                <w:rFonts w:cs="Arial"/>
              </w:rPr>
              <w:t>Епистаксис</w:t>
            </w:r>
          </w:p>
        </w:tc>
        <w:tc>
          <w:tcPr>
            <w:tcW w:w="1900" w:type="dxa"/>
            <w:vAlign w:val="bottom"/>
          </w:tcPr>
          <w:p w14:paraId="32B23C3A" w14:textId="4942E8A6" w:rsidR="00A34059" w:rsidRPr="00A34059" w:rsidRDefault="00A34059" w:rsidP="00A34059">
            <w:pPr>
              <w:rPr>
                <w:rFonts w:cs="Arial"/>
              </w:rPr>
            </w:pPr>
            <w:r w:rsidRPr="00A34059">
              <w:rPr>
                <w:rFonts w:cs="Arial"/>
              </w:rPr>
              <w:t>25 (7,2)</w:t>
            </w:r>
          </w:p>
        </w:tc>
        <w:tc>
          <w:tcPr>
            <w:tcW w:w="1900" w:type="dxa"/>
            <w:vAlign w:val="bottom"/>
          </w:tcPr>
          <w:p w14:paraId="7ABD5722" w14:textId="26E40B96" w:rsidR="00A34059" w:rsidRPr="00A34059" w:rsidRDefault="00A34059" w:rsidP="00A34059">
            <w:pPr>
              <w:rPr>
                <w:rFonts w:cs="Arial"/>
              </w:rPr>
            </w:pPr>
            <w:r w:rsidRPr="00A34059">
              <w:rPr>
                <w:rFonts w:cs="Arial"/>
              </w:rPr>
              <w:t>0</w:t>
            </w:r>
          </w:p>
        </w:tc>
        <w:tc>
          <w:tcPr>
            <w:tcW w:w="1900" w:type="dxa"/>
            <w:vAlign w:val="bottom"/>
          </w:tcPr>
          <w:p w14:paraId="4CC499EE" w14:textId="159D46D2" w:rsidR="00A34059" w:rsidRPr="00A34059" w:rsidRDefault="00A34059" w:rsidP="00A34059">
            <w:pPr>
              <w:rPr>
                <w:rFonts w:cs="Arial"/>
              </w:rPr>
            </w:pPr>
            <w:r w:rsidRPr="00A34059">
              <w:rPr>
                <w:rFonts w:cs="Arial"/>
              </w:rPr>
              <w:t>4(2,3)</w:t>
            </w:r>
          </w:p>
        </w:tc>
        <w:tc>
          <w:tcPr>
            <w:tcW w:w="1900" w:type="dxa"/>
            <w:vAlign w:val="bottom"/>
          </w:tcPr>
          <w:p w14:paraId="2D520C90" w14:textId="4DB2AB26" w:rsidR="00A34059" w:rsidRPr="00A34059" w:rsidRDefault="00A34059" w:rsidP="00A34059">
            <w:pPr>
              <w:rPr>
                <w:rFonts w:cs="Arial"/>
              </w:rPr>
            </w:pPr>
            <w:r w:rsidRPr="00A34059">
              <w:rPr>
                <w:rFonts w:cs="Arial"/>
              </w:rPr>
              <w:t>0</w:t>
            </w:r>
          </w:p>
        </w:tc>
      </w:tr>
      <w:tr w:rsidR="00A34059" w14:paraId="0A922ECC" w14:textId="77777777" w:rsidTr="00A34059">
        <w:tc>
          <w:tcPr>
            <w:tcW w:w="9576" w:type="dxa"/>
            <w:gridSpan w:val="5"/>
          </w:tcPr>
          <w:p w14:paraId="129F7683" w14:textId="737F1401" w:rsidR="00A34059" w:rsidRPr="00A34059" w:rsidRDefault="00A34059" w:rsidP="0091385D">
            <w:pPr>
              <w:rPr>
                <w:rFonts w:cs="Arial"/>
              </w:rPr>
            </w:pPr>
            <w:r w:rsidRPr="00A34059">
              <w:rPr>
                <w:rFonts w:cs="Arial"/>
                <w:b/>
                <w:bCs/>
              </w:rPr>
              <w:t>Стомашно-чревни нарушения</w:t>
            </w:r>
          </w:p>
        </w:tc>
      </w:tr>
      <w:tr w:rsidR="00A34059" w14:paraId="181475FF" w14:textId="77777777" w:rsidTr="00A34059">
        <w:tc>
          <w:tcPr>
            <w:tcW w:w="1976" w:type="dxa"/>
            <w:vAlign w:val="bottom"/>
          </w:tcPr>
          <w:p w14:paraId="251A0C39" w14:textId="471D8C8B" w:rsidR="00A34059" w:rsidRPr="00A34059" w:rsidRDefault="00A34059" w:rsidP="00A34059">
            <w:pPr>
              <w:rPr>
                <w:rFonts w:cs="Arial"/>
              </w:rPr>
            </w:pPr>
            <w:r w:rsidRPr="00A34059">
              <w:rPr>
                <w:rFonts w:cs="Arial"/>
                <w:i/>
                <w:iCs/>
              </w:rPr>
              <w:t>Много чести</w:t>
            </w:r>
          </w:p>
        </w:tc>
        <w:tc>
          <w:tcPr>
            <w:tcW w:w="1900" w:type="dxa"/>
          </w:tcPr>
          <w:p w14:paraId="73539E73" w14:textId="77777777" w:rsidR="00A34059" w:rsidRPr="00A34059" w:rsidRDefault="00A34059" w:rsidP="00A34059">
            <w:pPr>
              <w:rPr>
                <w:rFonts w:cs="Arial"/>
              </w:rPr>
            </w:pPr>
          </w:p>
        </w:tc>
        <w:tc>
          <w:tcPr>
            <w:tcW w:w="1900" w:type="dxa"/>
          </w:tcPr>
          <w:p w14:paraId="69F2A75F" w14:textId="77777777" w:rsidR="00A34059" w:rsidRPr="00A34059" w:rsidRDefault="00A34059" w:rsidP="00A34059">
            <w:pPr>
              <w:rPr>
                <w:rFonts w:cs="Arial"/>
              </w:rPr>
            </w:pPr>
          </w:p>
        </w:tc>
        <w:tc>
          <w:tcPr>
            <w:tcW w:w="1900" w:type="dxa"/>
          </w:tcPr>
          <w:p w14:paraId="1D0BE29F" w14:textId="77777777" w:rsidR="00A34059" w:rsidRPr="00A34059" w:rsidRDefault="00A34059" w:rsidP="00A34059">
            <w:pPr>
              <w:rPr>
                <w:rFonts w:cs="Arial"/>
              </w:rPr>
            </w:pPr>
          </w:p>
        </w:tc>
        <w:tc>
          <w:tcPr>
            <w:tcW w:w="1900" w:type="dxa"/>
          </w:tcPr>
          <w:p w14:paraId="6C01B1F2" w14:textId="77777777" w:rsidR="00A34059" w:rsidRPr="00A34059" w:rsidRDefault="00A34059" w:rsidP="00A34059">
            <w:pPr>
              <w:rPr>
                <w:rFonts w:cs="Arial"/>
              </w:rPr>
            </w:pPr>
          </w:p>
        </w:tc>
      </w:tr>
      <w:tr w:rsidR="00A34059" w14:paraId="45621F2B" w14:textId="77777777" w:rsidTr="00A34059">
        <w:tc>
          <w:tcPr>
            <w:tcW w:w="1976" w:type="dxa"/>
            <w:vAlign w:val="bottom"/>
          </w:tcPr>
          <w:p w14:paraId="63FF6C76" w14:textId="53A58623" w:rsidR="00A34059" w:rsidRPr="00A34059" w:rsidRDefault="00A34059" w:rsidP="00A34059">
            <w:pPr>
              <w:rPr>
                <w:rFonts w:cs="Arial"/>
              </w:rPr>
            </w:pPr>
            <w:r w:rsidRPr="00A34059">
              <w:rPr>
                <w:rFonts w:cs="Arial"/>
              </w:rPr>
              <w:t>Гадене</w:t>
            </w:r>
          </w:p>
        </w:tc>
        <w:tc>
          <w:tcPr>
            <w:tcW w:w="1900" w:type="dxa"/>
            <w:vAlign w:val="bottom"/>
          </w:tcPr>
          <w:p w14:paraId="58F0C6E1" w14:textId="1017DE29" w:rsidR="00A34059" w:rsidRPr="00A34059" w:rsidRDefault="00A34059" w:rsidP="00A34059">
            <w:pPr>
              <w:rPr>
                <w:rFonts w:cs="Arial"/>
              </w:rPr>
            </w:pPr>
            <w:r w:rsidRPr="00A34059">
              <w:rPr>
                <w:rFonts w:cs="Arial"/>
              </w:rPr>
              <w:t>124 (35,9)</w:t>
            </w:r>
          </w:p>
        </w:tc>
        <w:tc>
          <w:tcPr>
            <w:tcW w:w="1900" w:type="dxa"/>
            <w:vAlign w:val="bottom"/>
          </w:tcPr>
          <w:p w14:paraId="280A81AD" w14:textId="7EB27E84" w:rsidR="00A34059" w:rsidRPr="00A34059" w:rsidRDefault="00A34059" w:rsidP="00A34059">
            <w:pPr>
              <w:rPr>
                <w:rFonts w:cs="Arial"/>
              </w:rPr>
            </w:pPr>
            <w:r w:rsidRPr="00A34059">
              <w:rPr>
                <w:rFonts w:cs="Arial"/>
              </w:rPr>
              <w:t>2 (0,6)</w:t>
            </w:r>
          </w:p>
        </w:tc>
        <w:tc>
          <w:tcPr>
            <w:tcW w:w="1900" w:type="dxa"/>
            <w:vAlign w:val="bottom"/>
          </w:tcPr>
          <w:p w14:paraId="361D9ED1" w14:textId="20AC93ED" w:rsidR="00A34059" w:rsidRPr="00A34059" w:rsidRDefault="00A34059" w:rsidP="00A34059">
            <w:pPr>
              <w:rPr>
                <w:rFonts w:cs="Arial"/>
              </w:rPr>
            </w:pPr>
            <w:r w:rsidRPr="00A34059">
              <w:rPr>
                <w:rFonts w:cs="Arial"/>
              </w:rPr>
              <w:t>53 (30,8)</w:t>
            </w:r>
          </w:p>
        </w:tc>
        <w:tc>
          <w:tcPr>
            <w:tcW w:w="1900" w:type="dxa"/>
            <w:vAlign w:val="bottom"/>
          </w:tcPr>
          <w:p w14:paraId="29629104" w14:textId="17B3BC3F" w:rsidR="00A34059" w:rsidRPr="00A34059" w:rsidRDefault="00A34059" w:rsidP="00A34059">
            <w:pPr>
              <w:rPr>
                <w:rFonts w:cs="Arial"/>
              </w:rPr>
            </w:pPr>
            <w:r w:rsidRPr="00A34059">
              <w:rPr>
                <w:rFonts w:cs="Arial"/>
              </w:rPr>
              <w:t>1 (0,6)</w:t>
            </w:r>
          </w:p>
        </w:tc>
      </w:tr>
      <w:tr w:rsidR="00A34059" w14:paraId="0164DD42" w14:textId="77777777" w:rsidTr="00A34059">
        <w:tc>
          <w:tcPr>
            <w:tcW w:w="1976" w:type="dxa"/>
            <w:vAlign w:val="bottom"/>
          </w:tcPr>
          <w:p w14:paraId="605290DB" w14:textId="65498BDC" w:rsidR="00A34059" w:rsidRPr="00A34059" w:rsidRDefault="00A34059" w:rsidP="00A34059">
            <w:pPr>
              <w:rPr>
                <w:rFonts w:cs="Arial"/>
              </w:rPr>
            </w:pPr>
            <w:r w:rsidRPr="00A34059">
              <w:rPr>
                <w:rFonts w:cs="Arial"/>
              </w:rPr>
              <w:t>Стоматит</w:t>
            </w:r>
            <w:r w:rsidRPr="00A34059">
              <w:rPr>
                <w:rFonts w:cs="Arial"/>
                <w:vertAlign w:val="superscript"/>
              </w:rPr>
              <w:t>ж</w:t>
            </w:r>
          </w:p>
        </w:tc>
        <w:tc>
          <w:tcPr>
            <w:tcW w:w="1900" w:type="dxa"/>
            <w:vAlign w:val="bottom"/>
          </w:tcPr>
          <w:p w14:paraId="5A8C1266" w14:textId="518761FE" w:rsidR="00A34059" w:rsidRPr="00A34059" w:rsidRDefault="00A34059" w:rsidP="00A34059">
            <w:pPr>
              <w:rPr>
                <w:rFonts w:cs="Arial"/>
              </w:rPr>
            </w:pPr>
            <w:r w:rsidRPr="00A34059">
              <w:rPr>
                <w:rFonts w:cs="Arial"/>
              </w:rPr>
              <w:t>104 (30,1)</w:t>
            </w:r>
          </w:p>
        </w:tc>
        <w:tc>
          <w:tcPr>
            <w:tcW w:w="1900" w:type="dxa"/>
            <w:vAlign w:val="bottom"/>
          </w:tcPr>
          <w:p w14:paraId="4AAAC206" w14:textId="51C73CC4" w:rsidR="00A34059" w:rsidRPr="00A34059" w:rsidRDefault="00A34059" w:rsidP="00A34059">
            <w:pPr>
              <w:rPr>
                <w:rFonts w:cs="Arial"/>
              </w:rPr>
            </w:pPr>
            <w:r w:rsidRPr="00A34059">
              <w:rPr>
                <w:rFonts w:cs="Arial"/>
              </w:rPr>
              <w:t>3 (0,9)</w:t>
            </w:r>
          </w:p>
        </w:tc>
        <w:tc>
          <w:tcPr>
            <w:tcW w:w="1900" w:type="dxa"/>
            <w:vAlign w:val="bottom"/>
          </w:tcPr>
          <w:p w14:paraId="13E23A65" w14:textId="63730FD4" w:rsidR="00A34059" w:rsidRPr="00A34059" w:rsidRDefault="00A34059" w:rsidP="00A34059">
            <w:pPr>
              <w:rPr>
                <w:rFonts w:cs="Arial"/>
              </w:rPr>
            </w:pPr>
            <w:r w:rsidRPr="00A34059">
              <w:rPr>
                <w:rFonts w:cs="Arial"/>
              </w:rPr>
              <w:t>24 (14,0)</w:t>
            </w:r>
          </w:p>
        </w:tc>
        <w:tc>
          <w:tcPr>
            <w:tcW w:w="1900" w:type="dxa"/>
            <w:vAlign w:val="bottom"/>
          </w:tcPr>
          <w:p w14:paraId="68E702D7" w14:textId="5033360B" w:rsidR="00A34059" w:rsidRPr="00A34059" w:rsidRDefault="00A34059" w:rsidP="00A34059">
            <w:pPr>
              <w:rPr>
                <w:rFonts w:cs="Arial"/>
              </w:rPr>
            </w:pPr>
            <w:r w:rsidRPr="00A34059">
              <w:rPr>
                <w:rFonts w:cs="Arial"/>
              </w:rPr>
              <w:t>0</w:t>
            </w:r>
          </w:p>
        </w:tc>
      </w:tr>
      <w:tr w:rsidR="00A34059" w14:paraId="023842B5" w14:textId="77777777" w:rsidTr="00A34059">
        <w:tc>
          <w:tcPr>
            <w:tcW w:w="1976" w:type="dxa"/>
            <w:vAlign w:val="bottom"/>
          </w:tcPr>
          <w:p w14:paraId="1588D6B7" w14:textId="57AD31C4" w:rsidR="00A34059" w:rsidRPr="00A34059" w:rsidRDefault="00A34059" w:rsidP="00A34059">
            <w:pPr>
              <w:rPr>
                <w:rFonts w:cs="Arial"/>
              </w:rPr>
            </w:pPr>
            <w:r w:rsidRPr="00A34059">
              <w:rPr>
                <w:rFonts w:cs="Arial"/>
              </w:rPr>
              <w:t>Диария</w:t>
            </w:r>
          </w:p>
        </w:tc>
        <w:tc>
          <w:tcPr>
            <w:tcW w:w="1900" w:type="dxa"/>
            <w:vAlign w:val="bottom"/>
          </w:tcPr>
          <w:p w14:paraId="3DA1E4A0" w14:textId="2A5B0A04" w:rsidR="00A34059" w:rsidRPr="00A34059" w:rsidRDefault="00A34059" w:rsidP="00A34059">
            <w:pPr>
              <w:rPr>
                <w:rFonts w:cs="Arial"/>
              </w:rPr>
            </w:pPr>
            <w:r w:rsidRPr="00A34059">
              <w:rPr>
                <w:rFonts w:cs="Arial"/>
              </w:rPr>
              <w:t>94 (27,2)</w:t>
            </w:r>
          </w:p>
        </w:tc>
        <w:tc>
          <w:tcPr>
            <w:tcW w:w="1900" w:type="dxa"/>
            <w:vAlign w:val="bottom"/>
          </w:tcPr>
          <w:p w14:paraId="06CCB1AC" w14:textId="019BFED1" w:rsidR="00A34059" w:rsidRPr="00A34059" w:rsidRDefault="00A34059" w:rsidP="00A34059">
            <w:pPr>
              <w:rPr>
                <w:rFonts w:cs="Arial"/>
              </w:rPr>
            </w:pPr>
            <w:r w:rsidRPr="00A34059">
              <w:rPr>
                <w:rFonts w:cs="Arial"/>
              </w:rPr>
              <w:t>0</w:t>
            </w:r>
          </w:p>
        </w:tc>
        <w:tc>
          <w:tcPr>
            <w:tcW w:w="1900" w:type="dxa"/>
            <w:vAlign w:val="bottom"/>
          </w:tcPr>
          <w:p w14:paraId="75C8BFB0" w14:textId="588B56B7" w:rsidR="00A34059" w:rsidRPr="00A34059" w:rsidRDefault="00A34059" w:rsidP="00A34059">
            <w:pPr>
              <w:rPr>
                <w:rFonts w:cs="Arial"/>
              </w:rPr>
            </w:pPr>
            <w:r w:rsidRPr="00A34059">
              <w:rPr>
                <w:rFonts w:cs="Arial"/>
              </w:rPr>
              <w:t>35 (20,3)</w:t>
            </w:r>
          </w:p>
        </w:tc>
        <w:tc>
          <w:tcPr>
            <w:tcW w:w="1900" w:type="dxa"/>
            <w:vAlign w:val="bottom"/>
          </w:tcPr>
          <w:p w14:paraId="316EC996" w14:textId="748A8C8F" w:rsidR="00A34059" w:rsidRPr="00A34059" w:rsidRDefault="00A34059" w:rsidP="00A34059">
            <w:pPr>
              <w:rPr>
                <w:rFonts w:cs="Arial"/>
              </w:rPr>
            </w:pPr>
            <w:r w:rsidRPr="00A34059">
              <w:rPr>
                <w:rFonts w:cs="Arial"/>
              </w:rPr>
              <w:t>2(1,2)</w:t>
            </w:r>
          </w:p>
        </w:tc>
      </w:tr>
      <w:tr w:rsidR="00A34059" w14:paraId="131B5127" w14:textId="77777777" w:rsidTr="00A34059">
        <w:tc>
          <w:tcPr>
            <w:tcW w:w="1976" w:type="dxa"/>
            <w:vAlign w:val="bottom"/>
          </w:tcPr>
          <w:p w14:paraId="4363CA9B" w14:textId="023F4CB4" w:rsidR="00A34059" w:rsidRPr="00A34059" w:rsidRDefault="00A34059" w:rsidP="00A34059">
            <w:pPr>
              <w:rPr>
                <w:rFonts w:cs="Arial"/>
              </w:rPr>
            </w:pPr>
            <w:r w:rsidRPr="00A34059">
              <w:rPr>
                <w:rFonts w:cs="Arial"/>
              </w:rPr>
              <w:t>Повръщане</w:t>
            </w:r>
          </w:p>
        </w:tc>
        <w:tc>
          <w:tcPr>
            <w:tcW w:w="1900" w:type="dxa"/>
            <w:vAlign w:val="bottom"/>
          </w:tcPr>
          <w:p w14:paraId="666086A2" w14:textId="516E4784" w:rsidR="00A34059" w:rsidRPr="00A34059" w:rsidRDefault="00A34059" w:rsidP="00A34059">
            <w:pPr>
              <w:rPr>
                <w:rFonts w:cs="Arial"/>
              </w:rPr>
            </w:pPr>
            <w:r w:rsidRPr="00A34059">
              <w:rPr>
                <w:rFonts w:cs="Arial"/>
              </w:rPr>
              <w:t>75 (21,7)</w:t>
            </w:r>
          </w:p>
        </w:tc>
        <w:tc>
          <w:tcPr>
            <w:tcW w:w="1900" w:type="dxa"/>
            <w:vAlign w:val="bottom"/>
          </w:tcPr>
          <w:p w14:paraId="2019DC08" w14:textId="0EBA80A7" w:rsidR="00A34059" w:rsidRPr="00A34059" w:rsidRDefault="00A34059" w:rsidP="00A34059">
            <w:pPr>
              <w:rPr>
                <w:rFonts w:cs="Arial"/>
              </w:rPr>
            </w:pPr>
            <w:r w:rsidRPr="00A34059">
              <w:rPr>
                <w:rFonts w:cs="Arial"/>
              </w:rPr>
              <w:t>2 (0,6)</w:t>
            </w:r>
          </w:p>
        </w:tc>
        <w:tc>
          <w:tcPr>
            <w:tcW w:w="1900" w:type="dxa"/>
            <w:vAlign w:val="bottom"/>
          </w:tcPr>
          <w:p w14:paraId="1B1AD6F5" w14:textId="23E64E27" w:rsidR="00A34059" w:rsidRPr="00A34059" w:rsidRDefault="00A34059" w:rsidP="00A34059">
            <w:pPr>
              <w:rPr>
                <w:rFonts w:cs="Arial"/>
              </w:rPr>
            </w:pPr>
            <w:r w:rsidRPr="00A34059">
              <w:rPr>
                <w:rFonts w:cs="Arial"/>
              </w:rPr>
              <w:t>28(16,3)</w:t>
            </w:r>
          </w:p>
        </w:tc>
        <w:tc>
          <w:tcPr>
            <w:tcW w:w="1900" w:type="dxa"/>
            <w:vAlign w:val="bottom"/>
          </w:tcPr>
          <w:p w14:paraId="6FB52362" w14:textId="5550EC95" w:rsidR="00A34059" w:rsidRPr="00A34059" w:rsidRDefault="00A34059" w:rsidP="00A34059">
            <w:pPr>
              <w:rPr>
                <w:rFonts w:cs="Arial"/>
              </w:rPr>
            </w:pPr>
            <w:r w:rsidRPr="00A34059">
              <w:rPr>
                <w:rFonts w:cs="Arial"/>
              </w:rPr>
              <w:t>1 (0,6)</w:t>
            </w:r>
          </w:p>
        </w:tc>
      </w:tr>
      <w:tr w:rsidR="00A34059" w14:paraId="7C6D0B89" w14:textId="77777777" w:rsidTr="00A34059">
        <w:tc>
          <w:tcPr>
            <w:tcW w:w="9576" w:type="dxa"/>
            <w:gridSpan w:val="5"/>
          </w:tcPr>
          <w:p w14:paraId="2D0D907E" w14:textId="17F35063" w:rsidR="00A34059" w:rsidRPr="00A34059" w:rsidRDefault="00A34059" w:rsidP="0091385D">
            <w:pPr>
              <w:rPr>
                <w:rFonts w:cs="Arial"/>
              </w:rPr>
            </w:pPr>
            <w:r w:rsidRPr="00A34059">
              <w:rPr>
                <w:rFonts w:cs="Arial"/>
                <w:b/>
                <w:bCs/>
              </w:rPr>
              <w:t>Нарушения на кожата и подкожната тъкан</w:t>
            </w:r>
          </w:p>
        </w:tc>
      </w:tr>
      <w:tr w:rsidR="00A34059" w14:paraId="1F522212" w14:textId="77777777" w:rsidTr="00A34059">
        <w:tc>
          <w:tcPr>
            <w:tcW w:w="1976" w:type="dxa"/>
            <w:vAlign w:val="bottom"/>
          </w:tcPr>
          <w:p w14:paraId="7E6077D5" w14:textId="362FAE5B" w:rsidR="00A34059" w:rsidRPr="00A34059" w:rsidRDefault="00A34059" w:rsidP="00A34059">
            <w:pPr>
              <w:rPr>
                <w:rFonts w:cs="Arial"/>
              </w:rPr>
            </w:pPr>
            <w:r w:rsidRPr="00A34059">
              <w:rPr>
                <w:rFonts w:cs="Arial"/>
                <w:i/>
                <w:iCs/>
              </w:rPr>
              <w:t>Много чести</w:t>
            </w:r>
          </w:p>
        </w:tc>
        <w:tc>
          <w:tcPr>
            <w:tcW w:w="1900" w:type="dxa"/>
          </w:tcPr>
          <w:p w14:paraId="55E22A54" w14:textId="77777777" w:rsidR="00A34059" w:rsidRPr="00A34059" w:rsidRDefault="00A34059" w:rsidP="00A34059">
            <w:pPr>
              <w:rPr>
                <w:rFonts w:cs="Arial"/>
              </w:rPr>
            </w:pPr>
          </w:p>
        </w:tc>
        <w:tc>
          <w:tcPr>
            <w:tcW w:w="1900" w:type="dxa"/>
          </w:tcPr>
          <w:p w14:paraId="607EAD68" w14:textId="77777777" w:rsidR="00A34059" w:rsidRPr="00A34059" w:rsidRDefault="00A34059" w:rsidP="00A34059">
            <w:pPr>
              <w:rPr>
                <w:rFonts w:cs="Arial"/>
              </w:rPr>
            </w:pPr>
          </w:p>
        </w:tc>
        <w:tc>
          <w:tcPr>
            <w:tcW w:w="1900" w:type="dxa"/>
          </w:tcPr>
          <w:p w14:paraId="76CF6743" w14:textId="77777777" w:rsidR="00A34059" w:rsidRPr="00A34059" w:rsidRDefault="00A34059" w:rsidP="00A34059">
            <w:pPr>
              <w:rPr>
                <w:rFonts w:cs="Arial"/>
              </w:rPr>
            </w:pPr>
          </w:p>
        </w:tc>
        <w:tc>
          <w:tcPr>
            <w:tcW w:w="1900" w:type="dxa"/>
          </w:tcPr>
          <w:p w14:paraId="0DB9788B" w14:textId="77777777" w:rsidR="00A34059" w:rsidRPr="00A34059" w:rsidRDefault="00A34059" w:rsidP="00A34059">
            <w:pPr>
              <w:rPr>
                <w:rFonts w:cs="Arial"/>
              </w:rPr>
            </w:pPr>
          </w:p>
        </w:tc>
      </w:tr>
      <w:tr w:rsidR="00A34059" w14:paraId="73775BC1" w14:textId="77777777" w:rsidTr="00A34059">
        <w:tc>
          <w:tcPr>
            <w:tcW w:w="1976" w:type="dxa"/>
            <w:vAlign w:val="bottom"/>
          </w:tcPr>
          <w:p w14:paraId="2CF1E182" w14:textId="5E409CDE" w:rsidR="00A34059" w:rsidRPr="00A34059" w:rsidRDefault="00A34059" w:rsidP="00A34059">
            <w:pPr>
              <w:rPr>
                <w:rFonts w:cs="Arial"/>
              </w:rPr>
            </w:pPr>
            <w:r w:rsidRPr="00A34059">
              <w:rPr>
                <w:rFonts w:cs="Arial"/>
              </w:rPr>
              <w:t>Алопеция</w:t>
            </w:r>
          </w:p>
        </w:tc>
        <w:tc>
          <w:tcPr>
            <w:tcW w:w="1900" w:type="dxa"/>
            <w:vAlign w:val="bottom"/>
          </w:tcPr>
          <w:p w14:paraId="56651151" w14:textId="6FCED93F" w:rsidR="00A34059" w:rsidRPr="00A34059" w:rsidRDefault="00A34059" w:rsidP="00A34059">
            <w:pPr>
              <w:rPr>
                <w:rFonts w:cs="Arial"/>
              </w:rPr>
            </w:pPr>
            <w:r w:rsidRPr="00A34059">
              <w:rPr>
                <w:rFonts w:cs="Arial"/>
              </w:rPr>
              <w:t>67 (19,4)</w:t>
            </w:r>
          </w:p>
        </w:tc>
        <w:tc>
          <w:tcPr>
            <w:tcW w:w="1900" w:type="dxa"/>
            <w:vAlign w:val="bottom"/>
          </w:tcPr>
          <w:p w14:paraId="7E562923" w14:textId="6D71359A" w:rsidR="00A34059" w:rsidRPr="00A34059" w:rsidRDefault="00A34059" w:rsidP="00A34059">
            <w:pPr>
              <w:rPr>
                <w:rFonts w:cs="Arial"/>
              </w:rPr>
            </w:pPr>
            <w:r w:rsidRPr="00A34059">
              <w:rPr>
                <w:rFonts w:cs="Arial"/>
                <w:lang w:val="en-US"/>
              </w:rPr>
              <w:t>NA</w:t>
            </w:r>
          </w:p>
        </w:tc>
        <w:tc>
          <w:tcPr>
            <w:tcW w:w="1900" w:type="dxa"/>
            <w:vAlign w:val="bottom"/>
          </w:tcPr>
          <w:p w14:paraId="4A752651" w14:textId="2B224E8E" w:rsidR="00A34059" w:rsidRPr="00A34059" w:rsidRDefault="00A34059" w:rsidP="00A34059">
            <w:pPr>
              <w:rPr>
                <w:rFonts w:cs="Arial"/>
              </w:rPr>
            </w:pPr>
            <w:r w:rsidRPr="00A34059">
              <w:rPr>
                <w:rFonts w:cs="Arial"/>
              </w:rPr>
              <w:t>11 (6,4)</w:t>
            </w:r>
          </w:p>
        </w:tc>
        <w:tc>
          <w:tcPr>
            <w:tcW w:w="1900" w:type="dxa"/>
            <w:vAlign w:val="bottom"/>
          </w:tcPr>
          <w:p w14:paraId="0B4BBBFC" w14:textId="5E2C6FEE" w:rsidR="00A34059" w:rsidRPr="00A34059" w:rsidRDefault="00A34059" w:rsidP="00A34059">
            <w:pPr>
              <w:rPr>
                <w:rFonts w:cs="Arial"/>
              </w:rPr>
            </w:pPr>
            <w:r w:rsidRPr="00A34059">
              <w:rPr>
                <w:rFonts w:cs="Arial"/>
                <w:lang w:val="en-US"/>
              </w:rPr>
              <w:t>NA</w:t>
            </w:r>
          </w:p>
        </w:tc>
      </w:tr>
      <w:tr w:rsidR="00A34059" w14:paraId="6707C0E9" w14:textId="77777777" w:rsidTr="00A34059">
        <w:tc>
          <w:tcPr>
            <w:tcW w:w="1976" w:type="dxa"/>
            <w:vAlign w:val="bottom"/>
          </w:tcPr>
          <w:p w14:paraId="4507F792" w14:textId="69CEEF33" w:rsidR="00A34059" w:rsidRPr="00A34059" w:rsidRDefault="00A34059" w:rsidP="00A34059">
            <w:pPr>
              <w:rPr>
                <w:rFonts w:cs="Arial"/>
              </w:rPr>
            </w:pPr>
            <w:r w:rsidRPr="00A34059">
              <w:rPr>
                <w:rFonts w:cs="Arial"/>
              </w:rPr>
              <w:t>Обрив</w:t>
            </w:r>
            <w:r w:rsidRPr="00A34059">
              <w:rPr>
                <w:rFonts w:cs="Arial"/>
                <w:vertAlign w:val="superscript"/>
              </w:rPr>
              <w:t>з</w:t>
            </w:r>
          </w:p>
        </w:tc>
        <w:tc>
          <w:tcPr>
            <w:tcW w:w="1900" w:type="dxa"/>
            <w:vAlign w:val="bottom"/>
          </w:tcPr>
          <w:p w14:paraId="5DB16AA3" w14:textId="42BB6D64" w:rsidR="00A34059" w:rsidRPr="00A34059" w:rsidRDefault="00A34059" w:rsidP="00A34059">
            <w:pPr>
              <w:rPr>
                <w:rFonts w:cs="Arial"/>
              </w:rPr>
            </w:pPr>
            <w:r w:rsidRPr="00A34059">
              <w:rPr>
                <w:rFonts w:cs="Arial"/>
              </w:rPr>
              <w:t>63(18,3)</w:t>
            </w:r>
          </w:p>
        </w:tc>
        <w:tc>
          <w:tcPr>
            <w:tcW w:w="1900" w:type="dxa"/>
            <w:vAlign w:val="bottom"/>
          </w:tcPr>
          <w:p w14:paraId="7A54DDCE" w14:textId="2B606474" w:rsidR="00A34059" w:rsidRPr="00A34059" w:rsidRDefault="00A34059" w:rsidP="00A34059">
            <w:pPr>
              <w:rPr>
                <w:rFonts w:cs="Arial"/>
              </w:rPr>
            </w:pPr>
            <w:r w:rsidRPr="00A34059">
              <w:rPr>
                <w:rFonts w:cs="Arial"/>
              </w:rPr>
              <w:t>3 (0,9)</w:t>
            </w:r>
          </w:p>
        </w:tc>
        <w:tc>
          <w:tcPr>
            <w:tcW w:w="1900" w:type="dxa"/>
            <w:vAlign w:val="bottom"/>
          </w:tcPr>
          <w:p w14:paraId="24CE2BF0" w14:textId="2BFA88CA" w:rsidR="00A34059" w:rsidRPr="00A34059" w:rsidRDefault="00A34059" w:rsidP="00A34059">
            <w:pPr>
              <w:rPr>
                <w:rFonts w:cs="Arial"/>
              </w:rPr>
            </w:pPr>
            <w:r w:rsidRPr="00A34059">
              <w:rPr>
                <w:rFonts w:cs="Arial"/>
              </w:rPr>
              <w:t>10(5,8)</w:t>
            </w:r>
          </w:p>
        </w:tc>
        <w:tc>
          <w:tcPr>
            <w:tcW w:w="1900" w:type="dxa"/>
            <w:vAlign w:val="bottom"/>
          </w:tcPr>
          <w:p w14:paraId="147852A8" w14:textId="455E6E45" w:rsidR="00A34059" w:rsidRPr="00A34059" w:rsidRDefault="00A34059" w:rsidP="00A34059">
            <w:pPr>
              <w:rPr>
                <w:rFonts w:cs="Arial"/>
              </w:rPr>
            </w:pPr>
            <w:r w:rsidRPr="00A34059">
              <w:rPr>
                <w:rFonts w:cs="Arial"/>
              </w:rPr>
              <w:t>0</w:t>
            </w:r>
          </w:p>
        </w:tc>
      </w:tr>
      <w:tr w:rsidR="00A34059" w14:paraId="53292703" w14:textId="77777777" w:rsidTr="00A34059">
        <w:tc>
          <w:tcPr>
            <w:tcW w:w="1976" w:type="dxa"/>
            <w:vAlign w:val="bottom"/>
          </w:tcPr>
          <w:p w14:paraId="2F80883B" w14:textId="52B93272" w:rsidR="00A34059" w:rsidRPr="00A34059" w:rsidRDefault="00A34059" w:rsidP="00A34059">
            <w:pPr>
              <w:rPr>
                <w:rFonts w:cs="Arial"/>
              </w:rPr>
            </w:pPr>
            <w:r w:rsidRPr="00A34059">
              <w:rPr>
                <w:rFonts w:cs="Arial"/>
                <w:i/>
                <w:iCs/>
              </w:rPr>
              <w:t>Чести</w:t>
            </w:r>
          </w:p>
        </w:tc>
        <w:tc>
          <w:tcPr>
            <w:tcW w:w="1900" w:type="dxa"/>
          </w:tcPr>
          <w:p w14:paraId="70F71440" w14:textId="77777777" w:rsidR="00A34059" w:rsidRPr="00A34059" w:rsidRDefault="00A34059" w:rsidP="00A34059">
            <w:pPr>
              <w:rPr>
                <w:rFonts w:cs="Arial"/>
              </w:rPr>
            </w:pPr>
          </w:p>
        </w:tc>
        <w:tc>
          <w:tcPr>
            <w:tcW w:w="1900" w:type="dxa"/>
          </w:tcPr>
          <w:p w14:paraId="51D0CCC4" w14:textId="77777777" w:rsidR="00A34059" w:rsidRPr="00A34059" w:rsidRDefault="00A34059" w:rsidP="00A34059">
            <w:pPr>
              <w:rPr>
                <w:rFonts w:cs="Arial"/>
              </w:rPr>
            </w:pPr>
          </w:p>
        </w:tc>
        <w:tc>
          <w:tcPr>
            <w:tcW w:w="1900" w:type="dxa"/>
          </w:tcPr>
          <w:p w14:paraId="524C5C3C" w14:textId="77777777" w:rsidR="00A34059" w:rsidRPr="00A34059" w:rsidRDefault="00A34059" w:rsidP="00A34059">
            <w:pPr>
              <w:rPr>
                <w:rFonts w:cs="Arial"/>
              </w:rPr>
            </w:pPr>
          </w:p>
        </w:tc>
        <w:tc>
          <w:tcPr>
            <w:tcW w:w="1900" w:type="dxa"/>
          </w:tcPr>
          <w:p w14:paraId="567B4C40" w14:textId="77777777" w:rsidR="00A34059" w:rsidRPr="00A34059" w:rsidRDefault="00A34059" w:rsidP="00A34059">
            <w:pPr>
              <w:rPr>
                <w:rFonts w:cs="Arial"/>
              </w:rPr>
            </w:pPr>
          </w:p>
        </w:tc>
      </w:tr>
      <w:tr w:rsidR="00A34059" w14:paraId="23C30523" w14:textId="77777777" w:rsidTr="00A34059">
        <w:tc>
          <w:tcPr>
            <w:tcW w:w="1976" w:type="dxa"/>
            <w:vAlign w:val="bottom"/>
          </w:tcPr>
          <w:p w14:paraId="6CCA9047" w14:textId="25D1100A" w:rsidR="00A34059" w:rsidRPr="00A34059" w:rsidRDefault="00A34059" w:rsidP="00A34059">
            <w:pPr>
              <w:rPr>
                <w:rFonts w:cs="Arial"/>
              </w:rPr>
            </w:pPr>
            <w:r w:rsidRPr="00A34059">
              <w:rPr>
                <w:rFonts w:cs="Arial"/>
              </w:rPr>
              <w:t>Суха кожа</w:t>
            </w:r>
          </w:p>
        </w:tc>
        <w:tc>
          <w:tcPr>
            <w:tcW w:w="1900" w:type="dxa"/>
            <w:vAlign w:val="bottom"/>
          </w:tcPr>
          <w:p w14:paraId="320DED1A" w14:textId="60611431" w:rsidR="00A34059" w:rsidRPr="00A34059" w:rsidRDefault="00A34059" w:rsidP="00A34059">
            <w:pPr>
              <w:rPr>
                <w:rFonts w:cs="Arial"/>
              </w:rPr>
            </w:pPr>
            <w:r w:rsidRPr="00A34059">
              <w:rPr>
                <w:rFonts w:cs="Arial"/>
              </w:rPr>
              <w:t>28 (8,1)</w:t>
            </w:r>
          </w:p>
        </w:tc>
        <w:tc>
          <w:tcPr>
            <w:tcW w:w="1900" w:type="dxa"/>
            <w:vAlign w:val="bottom"/>
          </w:tcPr>
          <w:p w14:paraId="5B4DDB48" w14:textId="07507D5C" w:rsidR="00A34059" w:rsidRPr="00A34059" w:rsidRDefault="00A34059" w:rsidP="00A34059">
            <w:pPr>
              <w:rPr>
                <w:rFonts w:cs="Arial"/>
              </w:rPr>
            </w:pPr>
            <w:r w:rsidRPr="00A34059">
              <w:rPr>
                <w:rFonts w:cs="Arial"/>
              </w:rPr>
              <w:t>0</w:t>
            </w:r>
          </w:p>
        </w:tc>
        <w:tc>
          <w:tcPr>
            <w:tcW w:w="1900" w:type="dxa"/>
            <w:vAlign w:val="bottom"/>
          </w:tcPr>
          <w:p w14:paraId="54E23504" w14:textId="35E5F8EE" w:rsidR="00A34059" w:rsidRPr="00A34059" w:rsidRDefault="00A34059" w:rsidP="00A34059">
            <w:pPr>
              <w:rPr>
                <w:rFonts w:cs="Arial"/>
              </w:rPr>
            </w:pPr>
            <w:r w:rsidRPr="00A34059">
              <w:rPr>
                <w:rFonts w:cs="Arial"/>
              </w:rPr>
              <w:t>3 (1,7)</w:t>
            </w:r>
          </w:p>
        </w:tc>
        <w:tc>
          <w:tcPr>
            <w:tcW w:w="1900" w:type="dxa"/>
            <w:vAlign w:val="bottom"/>
          </w:tcPr>
          <w:p w14:paraId="0518CED2" w14:textId="528B9960" w:rsidR="00A34059" w:rsidRPr="00A34059" w:rsidRDefault="00A34059" w:rsidP="00A34059">
            <w:pPr>
              <w:rPr>
                <w:rFonts w:cs="Arial"/>
              </w:rPr>
            </w:pPr>
            <w:r w:rsidRPr="00A34059">
              <w:rPr>
                <w:rFonts w:cs="Arial"/>
              </w:rPr>
              <w:t>0</w:t>
            </w:r>
          </w:p>
        </w:tc>
      </w:tr>
      <w:tr w:rsidR="00A34059" w14:paraId="58C73B69" w14:textId="77777777" w:rsidTr="00A34059">
        <w:tc>
          <w:tcPr>
            <w:tcW w:w="9576" w:type="dxa"/>
            <w:gridSpan w:val="5"/>
          </w:tcPr>
          <w:p w14:paraId="5F624A3F" w14:textId="1F9A7A72" w:rsidR="00A34059" w:rsidRPr="00A34059" w:rsidRDefault="00A34059" w:rsidP="0091385D">
            <w:pPr>
              <w:rPr>
                <w:rFonts w:cs="Arial"/>
              </w:rPr>
            </w:pPr>
            <w:r w:rsidRPr="00A34059">
              <w:rPr>
                <w:rFonts w:cs="Arial"/>
                <w:b/>
                <w:bCs/>
              </w:rPr>
              <w:t>Общи нарушения и ефекти на мястото на приложение</w:t>
            </w:r>
          </w:p>
        </w:tc>
      </w:tr>
      <w:tr w:rsidR="00A34059" w14:paraId="5F6EF4E2" w14:textId="77777777" w:rsidTr="00A34059">
        <w:tc>
          <w:tcPr>
            <w:tcW w:w="1976" w:type="dxa"/>
            <w:vAlign w:val="bottom"/>
          </w:tcPr>
          <w:p w14:paraId="6E3F13E4" w14:textId="3F27ABA5" w:rsidR="00A34059" w:rsidRPr="00A34059" w:rsidRDefault="00A34059" w:rsidP="00A34059">
            <w:pPr>
              <w:rPr>
                <w:rFonts w:cs="Arial"/>
              </w:rPr>
            </w:pPr>
            <w:r w:rsidRPr="00A34059">
              <w:rPr>
                <w:rFonts w:cs="Arial"/>
                <w:i/>
                <w:iCs/>
              </w:rPr>
              <w:t>Много чести</w:t>
            </w:r>
          </w:p>
        </w:tc>
        <w:tc>
          <w:tcPr>
            <w:tcW w:w="1900" w:type="dxa"/>
          </w:tcPr>
          <w:p w14:paraId="04EB0F7D" w14:textId="77777777" w:rsidR="00A34059" w:rsidRPr="00A34059" w:rsidRDefault="00A34059" w:rsidP="00A34059">
            <w:pPr>
              <w:rPr>
                <w:rFonts w:cs="Arial"/>
              </w:rPr>
            </w:pPr>
          </w:p>
        </w:tc>
        <w:tc>
          <w:tcPr>
            <w:tcW w:w="1900" w:type="dxa"/>
          </w:tcPr>
          <w:p w14:paraId="48BDD30D" w14:textId="77777777" w:rsidR="00A34059" w:rsidRPr="00A34059" w:rsidRDefault="00A34059" w:rsidP="00A34059">
            <w:pPr>
              <w:rPr>
                <w:rFonts w:cs="Arial"/>
              </w:rPr>
            </w:pPr>
          </w:p>
        </w:tc>
        <w:tc>
          <w:tcPr>
            <w:tcW w:w="1900" w:type="dxa"/>
          </w:tcPr>
          <w:p w14:paraId="35566CBF" w14:textId="77777777" w:rsidR="00A34059" w:rsidRPr="00A34059" w:rsidRDefault="00A34059" w:rsidP="00A34059">
            <w:pPr>
              <w:rPr>
                <w:rFonts w:cs="Arial"/>
              </w:rPr>
            </w:pPr>
          </w:p>
        </w:tc>
        <w:tc>
          <w:tcPr>
            <w:tcW w:w="1900" w:type="dxa"/>
          </w:tcPr>
          <w:p w14:paraId="4F9698C1" w14:textId="77777777" w:rsidR="00A34059" w:rsidRPr="00A34059" w:rsidRDefault="00A34059" w:rsidP="00A34059">
            <w:pPr>
              <w:rPr>
                <w:rFonts w:cs="Arial"/>
              </w:rPr>
            </w:pPr>
          </w:p>
        </w:tc>
      </w:tr>
      <w:tr w:rsidR="00A34059" w14:paraId="5EF54262" w14:textId="77777777" w:rsidTr="00A34059">
        <w:tc>
          <w:tcPr>
            <w:tcW w:w="1976" w:type="dxa"/>
            <w:vAlign w:val="bottom"/>
          </w:tcPr>
          <w:p w14:paraId="3EB57AF6" w14:textId="6FF0ADD5" w:rsidR="00A34059" w:rsidRPr="00A34059" w:rsidRDefault="00A34059" w:rsidP="00A34059">
            <w:pPr>
              <w:rPr>
                <w:rFonts w:cs="Arial"/>
              </w:rPr>
            </w:pPr>
            <w:r w:rsidRPr="00A34059">
              <w:rPr>
                <w:rFonts w:cs="Arial"/>
              </w:rPr>
              <w:lastRenderedPageBreak/>
              <w:t>Умора</w:t>
            </w:r>
          </w:p>
        </w:tc>
        <w:tc>
          <w:tcPr>
            <w:tcW w:w="1900" w:type="dxa"/>
            <w:vAlign w:val="bottom"/>
          </w:tcPr>
          <w:p w14:paraId="533B08AE" w14:textId="7F49BCDC" w:rsidR="00A34059" w:rsidRPr="00A34059" w:rsidRDefault="00A34059" w:rsidP="00A34059">
            <w:pPr>
              <w:rPr>
                <w:rFonts w:cs="Arial"/>
              </w:rPr>
            </w:pPr>
            <w:r w:rsidRPr="00A34059">
              <w:rPr>
                <w:rFonts w:cs="Arial"/>
              </w:rPr>
              <w:t>152(44,1)</w:t>
            </w:r>
          </w:p>
        </w:tc>
        <w:tc>
          <w:tcPr>
            <w:tcW w:w="1900" w:type="dxa"/>
            <w:vAlign w:val="bottom"/>
          </w:tcPr>
          <w:p w14:paraId="1AC8E8D5" w14:textId="4ADF471F" w:rsidR="00A34059" w:rsidRPr="00A34059" w:rsidRDefault="00A34059" w:rsidP="00A34059">
            <w:pPr>
              <w:rPr>
                <w:rFonts w:cs="Arial"/>
              </w:rPr>
            </w:pPr>
            <w:r w:rsidRPr="00A34059">
              <w:rPr>
                <w:rFonts w:cs="Arial"/>
              </w:rPr>
              <w:t>9(2,6)</w:t>
            </w:r>
          </w:p>
        </w:tc>
        <w:tc>
          <w:tcPr>
            <w:tcW w:w="1900" w:type="dxa"/>
            <w:vAlign w:val="bottom"/>
          </w:tcPr>
          <w:p w14:paraId="28990341" w14:textId="72B84C32" w:rsidR="00A34059" w:rsidRPr="00A34059" w:rsidRDefault="00A34059" w:rsidP="00A34059">
            <w:pPr>
              <w:rPr>
                <w:rFonts w:cs="Arial"/>
              </w:rPr>
            </w:pPr>
            <w:r w:rsidRPr="00A34059">
              <w:rPr>
                <w:rFonts w:cs="Arial"/>
              </w:rPr>
              <w:t>54(31,4)</w:t>
            </w:r>
          </w:p>
        </w:tc>
        <w:tc>
          <w:tcPr>
            <w:tcW w:w="1900" w:type="dxa"/>
          </w:tcPr>
          <w:p w14:paraId="111EA038" w14:textId="23501580" w:rsidR="00A34059" w:rsidRPr="00A34059" w:rsidRDefault="00A34059" w:rsidP="00A34059">
            <w:pPr>
              <w:rPr>
                <w:rFonts w:cs="Arial"/>
              </w:rPr>
            </w:pPr>
            <w:r w:rsidRPr="00A34059">
              <w:rPr>
                <w:rFonts w:cs="Arial"/>
                <w:lang w:val="en-US"/>
              </w:rPr>
              <w:t>2 (1,2)</w:t>
            </w:r>
          </w:p>
        </w:tc>
      </w:tr>
      <w:tr w:rsidR="00A34059" w14:paraId="101BCDD7" w14:textId="77777777" w:rsidTr="00A34059">
        <w:tc>
          <w:tcPr>
            <w:tcW w:w="1976" w:type="dxa"/>
            <w:vAlign w:val="bottom"/>
          </w:tcPr>
          <w:p w14:paraId="020092BB" w14:textId="52558260" w:rsidR="00A34059" w:rsidRPr="00A34059" w:rsidRDefault="00A34059" w:rsidP="00A34059">
            <w:pPr>
              <w:rPr>
                <w:rFonts w:cs="Arial"/>
              </w:rPr>
            </w:pPr>
            <w:r w:rsidRPr="00A34059">
              <w:rPr>
                <w:rFonts w:cs="Arial"/>
              </w:rPr>
              <w:t>Пирексия</w:t>
            </w:r>
          </w:p>
        </w:tc>
        <w:tc>
          <w:tcPr>
            <w:tcW w:w="1900" w:type="dxa"/>
            <w:vAlign w:val="bottom"/>
          </w:tcPr>
          <w:p w14:paraId="6B09BD56" w14:textId="35778387" w:rsidR="00A34059" w:rsidRPr="00A34059" w:rsidRDefault="00A34059" w:rsidP="00A34059">
            <w:pPr>
              <w:rPr>
                <w:rFonts w:cs="Arial"/>
              </w:rPr>
            </w:pPr>
            <w:r w:rsidRPr="00A34059">
              <w:rPr>
                <w:rFonts w:cs="Arial"/>
              </w:rPr>
              <w:t>47(13,6)</w:t>
            </w:r>
          </w:p>
        </w:tc>
        <w:tc>
          <w:tcPr>
            <w:tcW w:w="1900" w:type="dxa"/>
            <w:vAlign w:val="bottom"/>
          </w:tcPr>
          <w:p w14:paraId="6FB18F4B" w14:textId="44FDA60A" w:rsidR="00A34059" w:rsidRPr="00A34059" w:rsidRDefault="00A34059" w:rsidP="00A34059">
            <w:pPr>
              <w:rPr>
                <w:rFonts w:cs="Arial"/>
              </w:rPr>
            </w:pPr>
            <w:r w:rsidRPr="00A34059">
              <w:rPr>
                <w:rFonts w:cs="Arial"/>
              </w:rPr>
              <w:t>1 (0,3)</w:t>
            </w:r>
          </w:p>
        </w:tc>
        <w:tc>
          <w:tcPr>
            <w:tcW w:w="1900" w:type="dxa"/>
          </w:tcPr>
          <w:p w14:paraId="09D3152E" w14:textId="51D798DC" w:rsidR="00A34059" w:rsidRPr="00A34059" w:rsidRDefault="00A34059" w:rsidP="00A34059">
            <w:pPr>
              <w:rPr>
                <w:rFonts w:cs="Arial"/>
              </w:rPr>
            </w:pPr>
            <w:r w:rsidRPr="00A34059">
              <w:rPr>
                <w:rFonts w:cs="Arial"/>
                <w:lang w:val="en-US"/>
              </w:rPr>
              <w:t>10 (5,8)</w:t>
            </w:r>
          </w:p>
        </w:tc>
        <w:tc>
          <w:tcPr>
            <w:tcW w:w="1900" w:type="dxa"/>
          </w:tcPr>
          <w:p w14:paraId="01E02C9A" w14:textId="77777777" w:rsidR="00A34059" w:rsidRPr="00A34059" w:rsidRDefault="00A34059" w:rsidP="00A34059">
            <w:pPr>
              <w:rPr>
                <w:rFonts w:cs="Arial"/>
              </w:rPr>
            </w:pPr>
          </w:p>
        </w:tc>
      </w:tr>
      <w:tr w:rsidR="00A34059" w14:paraId="2B93798C" w14:textId="77777777" w:rsidTr="00A34059">
        <w:tc>
          <w:tcPr>
            <w:tcW w:w="1976" w:type="dxa"/>
            <w:vAlign w:val="bottom"/>
          </w:tcPr>
          <w:p w14:paraId="15B465EF" w14:textId="571017D9" w:rsidR="00A34059" w:rsidRPr="00A34059" w:rsidRDefault="00A34059" w:rsidP="00A34059">
            <w:pPr>
              <w:rPr>
                <w:rFonts w:cs="Arial"/>
              </w:rPr>
            </w:pPr>
            <w:r w:rsidRPr="00A34059">
              <w:rPr>
                <w:rFonts w:cs="Arial"/>
                <w:i/>
                <w:iCs/>
              </w:rPr>
              <w:t>Чести</w:t>
            </w:r>
          </w:p>
        </w:tc>
        <w:tc>
          <w:tcPr>
            <w:tcW w:w="1900" w:type="dxa"/>
          </w:tcPr>
          <w:p w14:paraId="44B74E7A" w14:textId="77777777" w:rsidR="00A34059" w:rsidRPr="00A34059" w:rsidRDefault="00A34059" w:rsidP="00A34059">
            <w:pPr>
              <w:rPr>
                <w:rFonts w:cs="Arial"/>
              </w:rPr>
            </w:pPr>
          </w:p>
        </w:tc>
        <w:tc>
          <w:tcPr>
            <w:tcW w:w="1900" w:type="dxa"/>
          </w:tcPr>
          <w:p w14:paraId="474A7131" w14:textId="77777777" w:rsidR="00A34059" w:rsidRPr="00A34059" w:rsidRDefault="00A34059" w:rsidP="00A34059">
            <w:pPr>
              <w:rPr>
                <w:rFonts w:cs="Arial"/>
              </w:rPr>
            </w:pPr>
          </w:p>
        </w:tc>
        <w:tc>
          <w:tcPr>
            <w:tcW w:w="1900" w:type="dxa"/>
          </w:tcPr>
          <w:p w14:paraId="0DE53A99" w14:textId="77777777" w:rsidR="00A34059" w:rsidRPr="00A34059" w:rsidRDefault="00A34059" w:rsidP="00A34059">
            <w:pPr>
              <w:rPr>
                <w:rFonts w:cs="Arial"/>
              </w:rPr>
            </w:pPr>
          </w:p>
        </w:tc>
        <w:tc>
          <w:tcPr>
            <w:tcW w:w="1900" w:type="dxa"/>
          </w:tcPr>
          <w:p w14:paraId="2E05B23C" w14:textId="77777777" w:rsidR="00A34059" w:rsidRPr="00A34059" w:rsidRDefault="00A34059" w:rsidP="00A34059">
            <w:pPr>
              <w:rPr>
                <w:rFonts w:cs="Arial"/>
              </w:rPr>
            </w:pPr>
          </w:p>
        </w:tc>
      </w:tr>
      <w:tr w:rsidR="00A34059" w14:paraId="177D107C" w14:textId="77777777" w:rsidTr="00A34059">
        <w:tc>
          <w:tcPr>
            <w:tcW w:w="1976" w:type="dxa"/>
            <w:vAlign w:val="bottom"/>
          </w:tcPr>
          <w:p w14:paraId="53AAA9DA" w14:textId="1F6FB733" w:rsidR="00A34059" w:rsidRPr="00A34059" w:rsidRDefault="00A34059" w:rsidP="00A34059">
            <w:pPr>
              <w:rPr>
                <w:rFonts w:cs="Arial"/>
              </w:rPr>
            </w:pPr>
            <w:r w:rsidRPr="00A34059">
              <w:rPr>
                <w:rFonts w:cs="Arial"/>
              </w:rPr>
              <w:t>Астения</w:t>
            </w:r>
          </w:p>
        </w:tc>
        <w:tc>
          <w:tcPr>
            <w:tcW w:w="1900" w:type="dxa"/>
            <w:vAlign w:val="bottom"/>
          </w:tcPr>
          <w:p w14:paraId="554300A9" w14:textId="1BD3F16D" w:rsidR="00A34059" w:rsidRPr="00A34059" w:rsidRDefault="00A34059" w:rsidP="00A34059">
            <w:pPr>
              <w:rPr>
                <w:rFonts w:cs="Arial"/>
              </w:rPr>
            </w:pPr>
            <w:r w:rsidRPr="00A34059">
              <w:rPr>
                <w:rFonts w:cs="Arial"/>
              </w:rPr>
              <w:t>27 (7,8)</w:t>
            </w:r>
          </w:p>
        </w:tc>
        <w:tc>
          <w:tcPr>
            <w:tcW w:w="1900" w:type="dxa"/>
            <w:vAlign w:val="bottom"/>
          </w:tcPr>
          <w:p w14:paraId="067D45E4" w14:textId="2CE1AA88" w:rsidR="00A34059" w:rsidRPr="00A34059" w:rsidRDefault="00A34059" w:rsidP="00A34059">
            <w:pPr>
              <w:rPr>
                <w:rFonts w:cs="Arial"/>
              </w:rPr>
            </w:pPr>
            <w:r w:rsidRPr="00A34059">
              <w:rPr>
                <w:rFonts w:cs="Arial"/>
              </w:rPr>
              <w:t>1 (0,3)</w:t>
            </w:r>
          </w:p>
        </w:tc>
        <w:tc>
          <w:tcPr>
            <w:tcW w:w="1900" w:type="dxa"/>
          </w:tcPr>
          <w:p w14:paraId="0EEEDDEC" w14:textId="6857E544" w:rsidR="00A34059" w:rsidRPr="00A34059" w:rsidRDefault="00A34059" w:rsidP="00A34059">
            <w:pPr>
              <w:rPr>
                <w:rFonts w:cs="Arial"/>
              </w:rPr>
            </w:pPr>
            <w:r w:rsidRPr="00A34059">
              <w:rPr>
                <w:rFonts w:cs="Arial"/>
                <w:lang w:val="en-US"/>
              </w:rPr>
              <w:t>13 (7,6)</w:t>
            </w:r>
          </w:p>
        </w:tc>
        <w:tc>
          <w:tcPr>
            <w:tcW w:w="1900" w:type="dxa"/>
          </w:tcPr>
          <w:p w14:paraId="7CC47302" w14:textId="0F0354F2" w:rsidR="00A34059" w:rsidRPr="00A34059" w:rsidRDefault="00A34059" w:rsidP="00A34059">
            <w:pPr>
              <w:rPr>
                <w:rFonts w:cs="Arial"/>
              </w:rPr>
            </w:pPr>
            <w:r w:rsidRPr="00A34059">
              <w:rPr>
                <w:rFonts w:cs="Arial"/>
                <w:lang w:val="en-US"/>
              </w:rPr>
              <w:t>2 (1,2)</w:t>
            </w:r>
          </w:p>
        </w:tc>
      </w:tr>
      <w:tr w:rsidR="00A34059" w14:paraId="4492D608" w14:textId="77777777" w:rsidTr="00A34059">
        <w:tc>
          <w:tcPr>
            <w:tcW w:w="9576" w:type="dxa"/>
            <w:gridSpan w:val="5"/>
          </w:tcPr>
          <w:p w14:paraId="74CF0229" w14:textId="5B81AB67" w:rsidR="00A34059" w:rsidRPr="00A34059" w:rsidRDefault="00A34059" w:rsidP="0091385D">
            <w:pPr>
              <w:rPr>
                <w:rFonts w:cs="Arial"/>
              </w:rPr>
            </w:pPr>
            <w:r w:rsidRPr="00A34059">
              <w:rPr>
                <w:rFonts w:cs="Arial"/>
                <w:b/>
                <w:bCs/>
              </w:rPr>
              <w:t>Изследвания</w:t>
            </w:r>
          </w:p>
        </w:tc>
      </w:tr>
      <w:tr w:rsidR="00A34059" w14:paraId="59B03EB3" w14:textId="77777777" w:rsidTr="00A34059">
        <w:tc>
          <w:tcPr>
            <w:tcW w:w="1976" w:type="dxa"/>
          </w:tcPr>
          <w:p w14:paraId="5029C38D" w14:textId="0C28D047" w:rsidR="00A34059" w:rsidRPr="00A34059" w:rsidRDefault="00A34059" w:rsidP="00A34059">
            <w:pPr>
              <w:rPr>
                <w:rFonts w:cs="Arial"/>
              </w:rPr>
            </w:pPr>
            <w:r w:rsidRPr="00A34059">
              <w:rPr>
                <w:rFonts w:cs="Arial"/>
                <w:i/>
                <w:iCs/>
              </w:rPr>
              <w:t>Много чести</w:t>
            </w:r>
          </w:p>
        </w:tc>
        <w:tc>
          <w:tcPr>
            <w:tcW w:w="1900" w:type="dxa"/>
          </w:tcPr>
          <w:p w14:paraId="6D3FDF79" w14:textId="77777777" w:rsidR="00A34059" w:rsidRPr="00A34059" w:rsidRDefault="00A34059" w:rsidP="00A34059">
            <w:pPr>
              <w:rPr>
                <w:rFonts w:cs="Arial"/>
              </w:rPr>
            </w:pPr>
          </w:p>
        </w:tc>
        <w:tc>
          <w:tcPr>
            <w:tcW w:w="1900" w:type="dxa"/>
          </w:tcPr>
          <w:p w14:paraId="466D0A56" w14:textId="77777777" w:rsidR="00A34059" w:rsidRPr="00A34059" w:rsidRDefault="00A34059" w:rsidP="00A34059">
            <w:pPr>
              <w:rPr>
                <w:rFonts w:cs="Arial"/>
              </w:rPr>
            </w:pPr>
          </w:p>
        </w:tc>
        <w:tc>
          <w:tcPr>
            <w:tcW w:w="1900" w:type="dxa"/>
          </w:tcPr>
          <w:p w14:paraId="603255F0" w14:textId="77777777" w:rsidR="00A34059" w:rsidRPr="00A34059" w:rsidRDefault="00A34059" w:rsidP="00A34059">
            <w:pPr>
              <w:rPr>
                <w:rFonts w:cs="Arial"/>
              </w:rPr>
            </w:pPr>
          </w:p>
        </w:tc>
        <w:tc>
          <w:tcPr>
            <w:tcW w:w="1900" w:type="dxa"/>
          </w:tcPr>
          <w:p w14:paraId="0617CA15" w14:textId="77777777" w:rsidR="00A34059" w:rsidRPr="00A34059" w:rsidRDefault="00A34059" w:rsidP="00A34059">
            <w:pPr>
              <w:rPr>
                <w:rFonts w:cs="Arial"/>
              </w:rPr>
            </w:pPr>
          </w:p>
        </w:tc>
      </w:tr>
      <w:tr w:rsidR="00A34059" w14:paraId="6AF9C572" w14:textId="77777777" w:rsidTr="00A34059">
        <w:tc>
          <w:tcPr>
            <w:tcW w:w="1976" w:type="dxa"/>
          </w:tcPr>
          <w:p w14:paraId="59624646" w14:textId="14CAED31" w:rsidR="00A34059" w:rsidRPr="00A34059" w:rsidRDefault="00A34059" w:rsidP="00A34059">
            <w:pPr>
              <w:rPr>
                <w:rFonts w:cs="Arial"/>
              </w:rPr>
            </w:pPr>
            <w:r w:rsidRPr="00A34059">
              <w:rPr>
                <w:rFonts w:cs="Arial"/>
              </w:rPr>
              <w:t>Повишени АСАТ</w:t>
            </w:r>
          </w:p>
        </w:tc>
        <w:tc>
          <w:tcPr>
            <w:tcW w:w="1900" w:type="dxa"/>
          </w:tcPr>
          <w:p w14:paraId="2A2EBED4" w14:textId="47FA2985" w:rsidR="00A34059" w:rsidRPr="00A34059" w:rsidRDefault="00A34059" w:rsidP="00A34059">
            <w:pPr>
              <w:rPr>
                <w:rFonts w:cs="Arial"/>
              </w:rPr>
            </w:pPr>
            <w:r w:rsidRPr="00A34059">
              <w:rPr>
                <w:rFonts w:cs="Arial"/>
              </w:rPr>
              <w:t>40(11,6)</w:t>
            </w:r>
          </w:p>
        </w:tc>
        <w:tc>
          <w:tcPr>
            <w:tcW w:w="1900" w:type="dxa"/>
          </w:tcPr>
          <w:p w14:paraId="5E5B84DC" w14:textId="6317C069" w:rsidR="00A34059" w:rsidRPr="00A34059" w:rsidRDefault="00A34059" w:rsidP="00A34059">
            <w:pPr>
              <w:rPr>
                <w:rFonts w:cs="Arial"/>
              </w:rPr>
            </w:pPr>
            <w:r w:rsidRPr="00A34059">
              <w:rPr>
                <w:rFonts w:cs="Arial"/>
              </w:rPr>
              <w:t>11 (3,2)</w:t>
            </w:r>
          </w:p>
        </w:tc>
        <w:tc>
          <w:tcPr>
            <w:tcW w:w="1900" w:type="dxa"/>
          </w:tcPr>
          <w:p w14:paraId="7804CE73" w14:textId="213D67F8" w:rsidR="00A34059" w:rsidRPr="00A34059" w:rsidRDefault="00A34059" w:rsidP="00A34059">
            <w:pPr>
              <w:rPr>
                <w:rFonts w:cs="Arial"/>
              </w:rPr>
            </w:pPr>
            <w:r w:rsidRPr="00A34059">
              <w:rPr>
                <w:rFonts w:cs="Arial"/>
              </w:rPr>
              <w:t>13 (7,6)</w:t>
            </w:r>
          </w:p>
        </w:tc>
        <w:tc>
          <w:tcPr>
            <w:tcW w:w="1900" w:type="dxa"/>
          </w:tcPr>
          <w:p w14:paraId="6B710C82" w14:textId="4BCA572E" w:rsidR="00A34059" w:rsidRPr="00A34059" w:rsidRDefault="00A34059" w:rsidP="00A34059">
            <w:pPr>
              <w:rPr>
                <w:rFonts w:cs="Arial"/>
              </w:rPr>
            </w:pPr>
            <w:r w:rsidRPr="00A34059">
              <w:rPr>
                <w:rFonts w:cs="Arial"/>
              </w:rPr>
              <w:t>4(2,3)</w:t>
            </w:r>
          </w:p>
        </w:tc>
      </w:tr>
      <w:tr w:rsidR="00A34059" w14:paraId="1CFB6732" w14:textId="77777777" w:rsidTr="00A34059">
        <w:tc>
          <w:tcPr>
            <w:tcW w:w="1976" w:type="dxa"/>
          </w:tcPr>
          <w:p w14:paraId="0B1887C0" w14:textId="2C7F617E" w:rsidR="00A34059" w:rsidRPr="00A34059" w:rsidRDefault="00A34059" w:rsidP="00A34059">
            <w:pPr>
              <w:rPr>
                <w:rFonts w:cs="Arial"/>
              </w:rPr>
            </w:pPr>
            <w:r w:rsidRPr="00A34059">
              <w:rPr>
                <w:rFonts w:cs="Arial"/>
                <w:i/>
                <w:iCs/>
              </w:rPr>
              <w:t>Чести</w:t>
            </w:r>
          </w:p>
        </w:tc>
        <w:tc>
          <w:tcPr>
            <w:tcW w:w="1900" w:type="dxa"/>
          </w:tcPr>
          <w:p w14:paraId="471C826D" w14:textId="77777777" w:rsidR="00A34059" w:rsidRPr="00A34059" w:rsidRDefault="00A34059" w:rsidP="00A34059">
            <w:pPr>
              <w:rPr>
                <w:rFonts w:cs="Arial"/>
              </w:rPr>
            </w:pPr>
          </w:p>
        </w:tc>
        <w:tc>
          <w:tcPr>
            <w:tcW w:w="1900" w:type="dxa"/>
          </w:tcPr>
          <w:p w14:paraId="2BC479D9" w14:textId="77777777" w:rsidR="00A34059" w:rsidRPr="00A34059" w:rsidRDefault="00A34059" w:rsidP="00A34059">
            <w:pPr>
              <w:rPr>
                <w:rFonts w:cs="Arial"/>
              </w:rPr>
            </w:pPr>
          </w:p>
        </w:tc>
        <w:tc>
          <w:tcPr>
            <w:tcW w:w="1900" w:type="dxa"/>
          </w:tcPr>
          <w:p w14:paraId="2B83430A" w14:textId="77777777" w:rsidR="00A34059" w:rsidRPr="00A34059" w:rsidRDefault="00A34059" w:rsidP="00A34059">
            <w:pPr>
              <w:rPr>
                <w:rFonts w:cs="Arial"/>
              </w:rPr>
            </w:pPr>
          </w:p>
        </w:tc>
        <w:tc>
          <w:tcPr>
            <w:tcW w:w="1900" w:type="dxa"/>
          </w:tcPr>
          <w:p w14:paraId="65AF9BDD" w14:textId="77777777" w:rsidR="00A34059" w:rsidRPr="00A34059" w:rsidRDefault="00A34059" w:rsidP="00A34059">
            <w:pPr>
              <w:rPr>
                <w:rFonts w:cs="Arial"/>
              </w:rPr>
            </w:pPr>
          </w:p>
        </w:tc>
      </w:tr>
      <w:tr w:rsidR="00A34059" w14:paraId="67C48CC1" w14:textId="77777777" w:rsidTr="00A34059">
        <w:tc>
          <w:tcPr>
            <w:tcW w:w="1976" w:type="dxa"/>
          </w:tcPr>
          <w:p w14:paraId="73B2B0F1" w14:textId="2DCBFA30" w:rsidR="00A34059" w:rsidRPr="00A34059" w:rsidRDefault="00A34059" w:rsidP="00A34059">
            <w:pPr>
              <w:rPr>
                <w:rFonts w:cs="Arial"/>
              </w:rPr>
            </w:pPr>
            <w:r w:rsidRPr="00A34059">
              <w:rPr>
                <w:rFonts w:cs="Arial"/>
              </w:rPr>
              <w:t>Повишени АЛАТ</w:t>
            </w:r>
          </w:p>
        </w:tc>
        <w:tc>
          <w:tcPr>
            <w:tcW w:w="1900" w:type="dxa"/>
          </w:tcPr>
          <w:p w14:paraId="293B0E34" w14:textId="0549CDFF" w:rsidR="00A34059" w:rsidRPr="00A34059" w:rsidRDefault="00A34059" w:rsidP="00A34059">
            <w:pPr>
              <w:rPr>
                <w:rFonts w:cs="Arial"/>
              </w:rPr>
            </w:pPr>
            <w:r w:rsidRPr="00A34059">
              <w:rPr>
                <w:rFonts w:cs="Arial"/>
              </w:rPr>
              <w:t>30(8,7)</w:t>
            </w:r>
          </w:p>
        </w:tc>
        <w:tc>
          <w:tcPr>
            <w:tcW w:w="1900" w:type="dxa"/>
          </w:tcPr>
          <w:p w14:paraId="599CB615" w14:textId="7B7058D8" w:rsidR="00A34059" w:rsidRPr="00A34059" w:rsidRDefault="00A34059" w:rsidP="00A34059">
            <w:pPr>
              <w:rPr>
                <w:rFonts w:cs="Arial"/>
              </w:rPr>
            </w:pPr>
            <w:r w:rsidRPr="00A34059">
              <w:rPr>
                <w:rFonts w:cs="Arial"/>
              </w:rPr>
              <w:t>7 (2,0)</w:t>
            </w:r>
          </w:p>
        </w:tc>
        <w:tc>
          <w:tcPr>
            <w:tcW w:w="1900" w:type="dxa"/>
          </w:tcPr>
          <w:p w14:paraId="6C02319F" w14:textId="200D52ED" w:rsidR="00A34059" w:rsidRPr="00A34059" w:rsidRDefault="00A34059" w:rsidP="00A34059">
            <w:pPr>
              <w:rPr>
                <w:rFonts w:cs="Arial"/>
              </w:rPr>
            </w:pPr>
            <w:r w:rsidRPr="00A34059">
              <w:rPr>
                <w:rFonts w:cs="Arial"/>
              </w:rPr>
              <w:t>10(5,8)</w:t>
            </w:r>
          </w:p>
        </w:tc>
        <w:tc>
          <w:tcPr>
            <w:tcW w:w="1900" w:type="dxa"/>
          </w:tcPr>
          <w:p w14:paraId="2B36937B" w14:textId="3A331CB3" w:rsidR="00A34059" w:rsidRPr="00A34059" w:rsidRDefault="00A34059" w:rsidP="00A34059">
            <w:pPr>
              <w:rPr>
                <w:rFonts w:cs="Arial"/>
              </w:rPr>
            </w:pPr>
            <w:r w:rsidRPr="00A34059">
              <w:rPr>
                <w:rFonts w:cs="Arial"/>
              </w:rPr>
              <w:t>1 (0,6)</w:t>
            </w:r>
          </w:p>
        </w:tc>
      </w:tr>
    </w:tbl>
    <w:p w14:paraId="1B91221B" w14:textId="29D63529" w:rsidR="009164B2" w:rsidRDefault="009164B2" w:rsidP="0091385D"/>
    <w:p w14:paraId="0FB9A69D" w14:textId="7367F416" w:rsidR="00A34059" w:rsidRPr="00A34059" w:rsidRDefault="00414EE9" w:rsidP="00A34059">
      <w:pPr>
        <w:spacing w:line="240" w:lineRule="auto"/>
        <w:rPr>
          <w:rFonts w:eastAsia="Times New Roman" w:cs="Arial"/>
          <w:lang w:eastAsia="bg-BG"/>
        </w:rPr>
      </w:pPr>
      <w:r>
        <w:rPr>
          <w:rFonts w:eastAsia="Times New Roman" w:cs="Arial"/>
          <w:color w:val="000000"/>
          <w:lang w:val="en-US"/>
        </w:rPr>
        <w:t>A</w:t>
      </w:r>
      <w:r>
        <w:rPr>
          <w:rFonts w:eastAsia="Times New Roman" w:cs="Arial"/>
          <w:color w:val="000000"/>
        </w:rPr>
        <w:t>Л</w:t>
      </w:r>
      <w:r w:rsidR="00A34059" w:rsidRPr="00A34059">
        <w:rPr>
          <w:rFonts w:eastAsia="Times New Roman" w:cs="Arial"/>
          <w:color w:val="000000"/>
          <w:lang w:val="en-US"/>
        </w:rPr>
        <w:t>AT</w:t>
      </w:r>
      <w:r w:rsidR="00A34059" w:rsidRPr="00114D09">
        <w:rPr>
          <w:rFonts w:eastAsia="Times New Roman" w:cs="Arial"/>
          <w:color w:val="000000"/>
          <w:lang w:val="ru-RU"/>
        </w:rPr>
        <w:t xml:space="preserve"> - </w:t>
      </w:r>
      <w:proofErr w:type="spellStart"/>
      <w:r w:rsidR="00A34059" w:rsidRPr="00A34059">
        <w:rPr>
          <w:rFonts w:eastAsia="Times New Roman" w:cs="Arial"/>
          <w:color w:val="000000"/>
          <w:lang w:eastAsia="bg-BG"/>
        </w:rPr>
        <w:t>аланин</w:t>
      </w:r>
      <w:proofErr w:type="spellEnd"/>
      <w:r w:rsidR="00A34059" w:rsidRPr="00A34059">
        <w:rPr>
          <w:rFonts w:eastAsia="Times New Roman" w:cs="Arial"/>
          <w:color w:val="000000"/>
          <w:lang w:eastAsia="bg-BG"/>
        </w:rPr>
        <w:t xml:space="preserve"> </w:t>
      </w:r>
      <w:proofErr w:type="spellStart"/>
      <w:r w:rsidR="00A34059" w:rsidRPr="00A34059">
        <w:rPr>
          <w:rFonts w:eastAsia="Times New Roman" w:cs="Arial"/>
          <w:color w:val="000000"/>
          <w:lang w:eastAsia="bg-BG"/>
        </w:rPr>
        <w:t>аминотрансфераза</w:t>
      </w:r>
      <w:proofErr w:type="spellEnd"/>
      <w:r w:rsidR="00A34059" w:rsidRPr="00A34059">
        <w:rPr>
          <w:rFonts w:eastAsia="Times New Roman" w:cs="Arial"/>
          <w:color w:val="000000"/>
          <w:lang w:eastAsia="bg-BG"/>
        </w:rPr>
        <w:t xml:space="preserve">; АСАТ - аспартат </w:t>
      </w:r>
      <w:proofErr w:type="spellStart"/>
      <w:r w:rsidR="00A34059" w:rsidRPr="00A34059">
        <w:rPr>
          <w:rFonts w:eastAsia="Times New Roman" w:cs="Arial"/>
          <w:color w:val="000000"/>
          <w:lang w:eastAsia="bg-BG"/>
        </w:rPr>
        <w:t>аминотрансфераза</w:t>
      </w:r>
      <w:proofErr w:type="spellEnd"/>
      <w:r w:rsidR="00A34059" w:rsidRPr="00A34059">
        <w:rPr>
          <w:rFonts w:eastAsia="Times New Roman" w:cs="Arial"/>
          <w:color w:val="000000"/>
          <w:lang w:eastAsia="bg-BG"/>
        </w:rPr>
        <w:t xml:space="preserve">; </w:t>
      </w:r>
      <w:r w:rsidR="00A34059" w:rsidRPr="00A34059">
        <w:rPr>
          <w:rFonts w:eastAsia="Times New Roman" w:cs="Arial"/>
          <w:color w:val="000000"/>
          <w:lang w:val="en-US"/>
        </w:rPr>
        <w:t>N</w:t>
      </w:r>
      <w:r w:rsidR="00A34059" w:rsidRPr="00114D09">
        <w:rPr>
          <w:rFonts w:eastAsia="Times New Roman" w:cs="Arial"/>
          <w:color w:val="000000"/>
          <w:lang w:val="ru-RU"/>
        </w:rPr>
        <w:t>/</w:t>
      </w:r>
      <w:r w:rsidR="00A34059" w:rsidRPr="00A34059">
        <w:rPr>
          <w:rFonts w:eastAsia="Times New Roman" w:cs="Arial"/>
          <w:color w:val="000000"/>
          <w:lang w:val="en-US"/>
        </w:rPr>
        <w:t>n</w:t>
      </w:r>
      <w:r w:rsidR="00A34059" w:rsidRPr="00114D09">
        <w:rPr>
          <w:rFonts w:eastAsia="Times New Roman" w:cs="Arial"/>
          <w:color w:val="000000"/>
          <w:lang w:val="ru-RU"/>
        </w:rPr>
        <w:t xml:space="preserve"> </w:t>
      </w:r>
      <w:r w:rsidR="00A34059" w:rsidRPr="00A34059">
        <w:rPr>
          <w:rFonts w:eastAsia="Times New Roman" w:cs="Arial"/>
          <w:color w:val="000000"/>
          <w:lang w:eastAsia="bg-BG"/>
        </w:rPr>
        <w:t xml:space="preserve">- брой пациенти, </w:t>
      </w:r>
      <w:r w:rsidR="00A34059" w:rsidRPr="00A34059">
        <w:rPr>
          <w:rFonts w:eastAsia="Times New Roman" w:cs="Arial"/>
          <w:color w:val="000000"/>
          <w:lang w:val="en-US"/>
        </w:rPr>
        <w:t>NA</w:t>
      </w:r>
      <w:r w:rsidR="00A34059" w:rsidRPr="00A34059">
        <w:rPr>
          <w:rFonts w:eastAsia="Times New Roman" w:cs="Arial"/>
          <w:color w:val="000000"/>
          <w:lang w:eastAsia="bg-BG"/>
        </w:rPr>
        <w:t>- неприложимо.</w:t>
      </w:r>
    </w:p>
    <w:p w14:paraId="60398955" w14:textId="77777777" w:rsidR="00A34059" w:rsidRPr="00A34059" w:rsidRDefault="00A34059" w:rsidP="00A34059">
      <w:pPr>
        <w:spacing w:line="240" w:lineRule="auto"/>
        <w:rPr>
          <w:rFonts w:eastAsia="Times New Roman" w:cs="Arial"/>
          <w:lang w:eastAsia="bg-BG"/>
        </w:rPr>
      </w:pPr>
      <w:r w:rsidRPr="00A34059">
        <w:rPr>
          <w:rFonts w:eastAsia="Times New Roman" w:cs="Arial"/>
          <w:color w:val="000000"/>
          <w:vertAlign w:val="superscript"/>
          <w:lang w:eastAsia="bg-BG"/>
        </w:rPr>
        <w:t>а</w:t>
      </w:r>
      <w:r w:rsidRPr="00A34059">
        <w:rPr>
          <w:rFonts w:eastAsia="Times New Roman" w:cs="Arial"/>
          <w:color w:val="000000"/>
          <w:lang w:eastAsia="bg-BG"/>
        </w:rPr>
        <w:t xml:space="preserve"> Предпочитаните термини (ПТ) са изброени съгласно </w:t>
      </w:r>
      <w:r w:rsidRPr="00A34059">
        <w:rPr>
          <w:rFonts w:eastAsia="Times New Roman" w:cs="Arial"/>
          <w:color w:val="000000"/>
          <w:lang w:val="en-US"/>
        </w:rPr>
        <w:t>MedDRA</w:t>
      </w:r>
      <w:r w:rsidRPr="00114D09">
        <w:rPr>
          <w:rFonts w:eastAsia="Times New Roman" w:cs="Arial"/>
          <w:color w:val="000000"/>
          <w:lang w:val="ru-RU"/>
        </w:rPr>
        <w:t xml:space="preserve"> </w:t>
      </w:r>
      <w:r w:rsidRPr="00A34059">
        <w:rPr>
          <w:rFonts w:eastAsia="Times New Roman" w:cs="Arial"/>
          <w:color w:val="000000"/>
          <w:lang w:eastAsia="bg-BG"/>
        </w:rPr>
        <w:t>17.1.</w:t>
      </w:r>
    </w:p>
    <w:p w14:paraId="1A5679D7" w14:textId="77777777" w:rsidR="00A34059" w:rsidRPr="00A34059" w:rsidRDefault="00A34059" w:rsidP="00A34059">
      <w:pPr>
        <w:spacing w:line="240" w:lineRule="auto"/>
        <w:rPr>
          <w:rFonts w:eastAsia="Times New Roman" w:cs="Arial"/>
          <w:lang w:eastAsia="bg-BG"/>
        </w:rPr>
      </w:pPr>
      <w:r w:rsidRPr="00A34059">
        <w:rPr>
          <w:rFonts w:eastAsia="Times New Roman" w:cs="Arial"/>
          <w:color w:val="000000"/>
          <w:vertAlign w:val="superscript"/>
          <w:lang w:eastAsia="bg-BG"/>
        </w:rPr>
        <w:t>ь</w:t>
      </w:r>
      <w:r w:rsidRPr="00A34059">
        <w:rPr>
          <w:rFonts w:eastAsia="Times New Roman" w:cs="Arial"/>
          <w:color w:val="000000"/>
          <w:lang w:eastAsia="bg-BG"/>
        </w:rPr>
        <w:t xml:space="preserve"> „Инфекции“ включва всички ПТ. които са част от системо-органния клас „Инфекции и инфестации“. </w:t>
      </w:r>
      <w:r w:rsidRPr="00A34059">
        <w:rPr>
          <w:rFonts w:eastAsia="Times New Roman" w:cs="Arial"/>
          <w:color w:val="000000"/>
          <w:vertAlign w:val="superscript"/>
          <w:lang w:eastAsia="bg-BG"/>
        </w:rPr>
        <w:t>с</w:t>
      </w:r>
      <w:r w:rsidRPr="00A34059">
        <w:rPr>
          <w:rFonts w:eastAsia="Times New Roman" w:cs="Arial"/>
          <w:color w:val="000000"/>
          <w:lang w:eastAsia="bg-BG"/>
        </w:rPr>
        <w:t xml:space="preserve"> „Неутропения“ включва следните ПТ: неутропения, намален брой на неутрофилите.</w:t>
      </w:r>
    </w:p>
    <w:p w14:paraId="028CFF88" w14:textId="77777777" w:rsidR="00A34059" w:rsidRPr="00A34059" w:rsidRDefault="00A34059" w:rsidP="00A34059">
      <w:pPr>
        <w:spacing w:line="240" w:lineRule="auto"/>
        <w:rPr>
          <w:rFonts w:eastAsia="Times New Roman" w:cs="Arial"/>
          <w:lang w:eastAsia="bg-BG"/>
        </w:rPr>
      </w:pPr>
      <w:r w:rsidRPr="00A34059">
        <w:rPr>
          <w:rFonts w:eastAsia="Times New Roman" w:cs="Arial"/>
          <w:color w:val="000000"/>
          <w:vertAlign w:val="superscript"/>
          <w:lang w:val="en-US"/>
        </w:rPr>
        <w:t>d</w:t>
      </w:r>
      <w:r w:rsidRPr="00A34059">
        <w:rPr>
          <w:rFonts w:eastAsia="Times New Roman" w:cs="Arial"/>
          <w:color w:val="000000"/>
          <w:lang w:eastAsia="bg-BG"/>
        </w:rPr>
        <w:t xml:space="preserve">, Левкопения“ включва следните ПТ: левкопения, намален брой на левкоцитите. </w:t>
      </w:r>
      <w:r w:rsidRPr="00A34059">
        <w:rPr>
          <w:rFonts w:eastAsia="Times New Roman" w:cs="Arial"/>
          <w:color w:val="000000"/>
          <w:vertAlign w:val="superscript"/>
          <w:lang w:eastAsia="bg-BG"/>
        </w:rPr>
        <w:t>е</w:t>
      </w:r>
      <w:r w:rsidRPr="00A34059">
        <w:rPr>
          <w:rFonts w:eastAsia="Times New Roman" w:cs="Arial"/>
          <w:color w:val="000000"/>
          <w:lang w:eastAsia="bg-BG"/>
        </w:rPr>
        <w:t>„Анемия“ включва следните ПТ: анемия, понижен хемоглобин, понижен хематокрит.</w:t>
      </w:r>
    </w:p>
    <w:p w14:paraId="43833A7B" w14:textId="497E2CF0" w:rsidR="00414EE9" w:rsidRDefault="00A34059" w:rsidP="00A34059">
      <w:pPr>
        <w:spacing w:line="240" w:lineRule="auto"/>
        <w:rPr>
          <w:rFonts w:eastAsia="Times New Roman" w:cs="Arial"/>
          <w:color w:val="000000"/>
          <w:lang w:eastAsia="bg-BG"/>
        </w:rPr>
      </w:pPr>
      <w:r w:rsidRPr="00A34059">
        <w:rPr>
          <w:rFonts w:eastAsia="Times New Roman" w:cs="Arial"/>
          <w:color w:val="000000"/>
          <w:vertAlign w:val="superscript"/>
          <w:lang w:val="en-US"/>
        </w:rPr>
        <w:t>f</w:t>
      </w:r>
      <w:r w:rsidRPr="00114D09">
        <w:rPr>
          <w:rFonts w:eastAsia="Times New Roman" w:cs="Arial"/>
          <w:color w:val="000000"/>
          <w:lang w:val="ru-RU"/>
        </w:rPr>
        <w:t xml:space="preserve"> </w:t>
      </w:r>
      <w:r w:rsidRPr="00A34059">
        <w:rPr>
          <w:rFonts w:eastAsia="Times New Roman" w:cs="Arial"/>
          <w:color w:val="000000"/>
          <w:lang w:eastAsia="bg-BG"/>
        </w:rPr>
        <w:t>„</w:t>
      </w:r>
      <w:proofErr w:type="spellStart"/>
      <w:r w:rsidRPr="00A34059">
        <w:rPr>
          <w:rFonts w:eastAsia="Times New Roman" w:cs="Arial"/>
          <w:color w:val="000000"/>
          <w:lang w:eastAsia="bg-BG"/>
        </w:rPr>
        <w:t>Тромбоцитопения</w:t>
      </w:r>
      <w:proofErr w:type="spellEnd"/>
      <w:r w:rsidRPr="00A34059">
        <w:rPr>
          <w:rFonts w:eastAsia="Times New Roman" w:cs="Arial"/>
          <w:color w:val="000000"/>
          <w:lang w:eastAsia="bg-BG"/>
        </w:rPr>
        <w:t xml:space="preserve">“ включва следните ПТ: </w:t>
      </w:r>
      <w:proofErr w:type="spellStart"/>
      <w:r w:rsidRPr="00A34059">
        <w:rPr>
          <w:rFonts w:eastAsia="Times New Roman" w:cs="Arial"/>
          <w:color w:val="000000"/>
          <w:lang w:eastAsia="bg-BG"/>
        </w:rPr>
        <w:t>тромбоцитопения</w:t>
      </w:r>
      <w:proofErr w:type="spellEnd"/>
      <w:r w:rsidRPr="00A34059">
        <w:rPr>
          <w:rFonts w:eastAsia="Times New Roman" w:cs="Arial"/>
          <w:color w:val="000000"/>
          <w:lang w:eastAsia="bg-BG"/>
        </w:rPr>
        <w:t xml:space="preserve">, </w:t>
      </w:r>
      <w:r w:rsidR="00414EE9">
        <w:rPr>
          <w:rFonts w:eastAsia="Times New Roman" w:cs="Arial"/>
          <w:color w:val="000000"/>
          <w:lang w:eastAsia="bg-BG"/>
        </w:rPr>
        <w:t xml:space="preserve">намален брой на </w:t>
      </w:r>
      <w:proofErr w:type="spellStart"/>
      <w:r w:rsidR="00414EE9">
        <w:rPr>
          <w:rFonts w:eastAsia="Times New Roman" w:cs="Arial"/>
          <w:color w:val="000000"/>
          <w:lang w:eastAsia="bg-BG"/>
        </w:rPr>
        <w:t>тромбоцитите</w:t>
      </w:r>
      <w:proofErr w:type="spellEnd"/>
      <w:r w:rsidR="00414EE9">
        <w:rPr>
          <w:rFonts w:eastAsia="Times New Roman" w:cs="Arial"/>
          <w:color w:val="000000"/>
          <w:lang w:eastAsia="bg-BG"/>
        </w:rPr>
        <w:t>.</w:t>
      </w:r>
    </w:p>
    <w:p w14:paraId="7633B063" w14:textId="12FB2476" w:rsidR="00A34059" w:rsidRPr="00A34059" w:rsidRDefault="00414EE9" w:rsidP="00A34059">
      <w:pPr>
        <w:spacing w:line="240" w:lineRule="auto"/>
        <w:rPr>
          <w:rFonts w:eastAsia="Times New Roman" w:cs="Arial"/>
          <w:lang w:eastAsia="bg-BG"/>
        </w:rPr>
      </w:pPr>
      <w:r w:rsidRPr="00414EE9">
        <w:rPr>
          <w:rFonts w:eastAsia="Times New Roman" w:cs="Arial"/>
          <w:color w:val="000000"/>
          <w:vertAlign w:val="superscript"/>
          <w:lang w:val="en-US" w:eastAsia="bg-BG"/>
        </w:rPr>
        <w:t>g</w:t>
      </w:r>
      <w:r w:rsidR="00A34059" w:rsidRPr="00A34059">
        <w:rPr>
          <w:rFonts w:eastAsia="Times New Roman" w:cs="Arial"/>
          <w:color w:val="000000"/>
          <w:lang w:eastAsia="bg-BG"/>
        </w:rPr>
        <w:t>„Стоматит“ включва следните ПТ: афтозен стоматит, хейлит, глосит, глосодиния, язви в устата, възпаление на лигавиците, болка в устата, орофарингеален дискомфорт, орофариенгеална болка, стоматит.</w:t>
      </w:r>
    </w:p>
    <w:p w14:paraId="3802B7B6" w14:textId="77777777" w:rsidR="00A34059" w:rsidRPr="00A34059" w:rsidRDefault="00A34059" w:rsidP="00A34059">
      <w:pPr>
        <w:spacing w:line="240" w:lineRule="auto"/>
        <w:rPr>
          <w:rFonts w:eastAsia="Times New Roman" w:cs="Arial"/>
          <w:lang w:eastAsia="bg-BG"/>
        </w:rPr>
      </w:pPr>
      <w:r w:rsidRPr="00A34059">
        <w:rPr>
          <w:rFonts w:eastAsia="Times New Roman" w:cs="Arial"/>
          <w:color w:val="000000"/>
          <w:vertAlign w:val="superscript"/>
          <w:lang w:val="en-US"/>
        </w:rPr>
        <w:t>h</w:t>
      </w:r>
      <w:r w:rsidRPr="00114D09">
        <w:rPr>
          <w:rFonts w:eastAsia="Times New Roman" w:cs="Arial"/>
          <w:color w:val="000000"/>
          <w:lang w:val="ru-RU"/>
        </w:rPr>
        <w:t xml:space="preserve"> </w:t>
      </w:r>
      <w:r w:rsidRPr="00A34059">
        <w:rPr>
          <w:rFonts w:eastAsia="Times New Roman" w:cs="Arial"/>
          <w:color w:val="000000"/>
          <w:lang w:eastAsia="bg-BG"/>
        </w:rPr>
        <w:t xml:space="preserve">„Обрив“ включва следните ПТ: обрив, </w:t>
      </w:r>
      <w:proofErr w:type="spellStart"/>
      <w:r w:rsidRPr="00A34059">
        <w:rPr>
          <w:rFonts w:eastAsia="Times New Roman" w:cs="Arial"/>
          <w:color w:val="000000"/>
          <w:lang w:eastAsia="bg-BG"/>
        </w:rPr>
        <w:t>макулолпапулозен</w:t>
      </w:r>
      <w:proofErr w:type="spellEnd"/>
      <w:r w:rsidRPr="00A34059">
        <w:rPr>
          <w:rFonts w:eastAsia="Times New Roman" w:cs="Arial"/>
          <w:color w:val="000000"/>
          <w:lang w:eastAsia="bg-BG"/>
        </w:rPr>
        <w:t xml:space="preserve"> обрив, сърбящ обрив, </w:t>
      </w:r>
      <w:proofErr w:type="spellStart"/>
      <w:r w:rsidRPr="00A34059">
        <w:rPr>
          <w:rFonts w:eastAsia="Times New Roman" w:cs="Arial"/>
          <w:color w:val="000000"/>
          <w:lang w:eastAsia="bg-BG"/>
        </w:rPr>
        <w:t>еритематозен</w:t>
      </w:r>
      <w:proofErr w:type="spellEnd"/>
      <w:r w:rsidRPr="00A34059">
        <w:rPr>
          <w:rFonts w:eastAsia="Times New Roman" w:cs="Arial"/>
          <w:color w:val="000000"/>
          <w:lang w:eastAsia="bg-BG"/>
        </w:rPr>
        <w:t xml:space="preserve"> обрив, </w:t>
      </w:r>
      <w:proofErr w:type="spellStart"/>
      <w:r w:rsidRPr="00A34059">
        <w:rPr>
          <w:rFonts w:eastAsia="Times New Roman" w:cs="Arial"/>
          <w:color w:val="000000"/>
          <w:lang w:eastAsia="bg-BG"/>
        </w:rPr>
        <w:t>папулозен</w:t>
      </w:r>
      <w:proofErr w:type="spellEnd"/>
      <w:r w:rsidRPr="00A34059">
        <w:rPr>
          <w:rFonts w:eastAsia="Times New Roman" w:cs="Arial"/>
          <w:color w:val="000000"/>
          <w:lang w:eastAsia="bg-BG"/>
        </w:rPr>
        <w:t xml:space="preserve"> обрив, дерматит, </w:t>
      </w:r>
      <w:proofErr w:type="spellStart"/>
      <w:r w:rsidRPr="00A34059">
        <w:rPr>
          <w:rFonts w:eastAsia="Times New Roman" w:cs="Arial"/>
          <w:color w:val="000000"/>
          <w:lang w:eastAsia="bg-BG"/>
        </w:rPr>
        <w:t>акнеиформен</w:t>
      </w:r>
      <w:proofErr w:type="spellEnd"/>
      <w:r w:rsidRPr="00A34059">
        <w:rPr>
          <w:rFonts w:eastAsia="Times New Roman" w:cs="Arial"/>
          <w:color w:val="000000"/>
          <w:lang w:eastAsia="bg-BG"/>
        </w:rPr>
        <w:t xml:space="preserve"> дерматит, токсичен кожен обрив.</w:t>
      </w:r>
    </w:p>
    <w:p w14:paraId="703A0BDE" w14:textId="77777777" w:rsidR="00A34059" w:rsidRPr="00A34059" w:rsidRDefault="00A34059" w:rsidP="00A34059">
      <w:pPr>
        <w:spacing w:line="240" w:lineRule="auto"/>
        <w:rPr>
          <w:rFonts w:eastAsia="Times New Roman" w:cs="Arial"/>
          <w:color w:val="000000"/>
          <w:u w:val="single"/>
          <w:lang w:eastAsia="bg-BG"/>
        </w:rPr>
      </w:pPr>
    </w:p>
    <w:p w14:paraId="5B4E8154" w14:textId="73B1348D" w:rsidR="00A34059" w:rsidRPr="00A34059" w:rsidRDefault="00A34059" w:rsidP="00A34059">
      <w:pPr>
        <w:spacing w:line="240" w:lineRule="auto"/>
        <w:rPr>
          <w:rFonts w:eastAsia="Times New Roman" w:cs="Arial"/>
          <w:lang w:eastAsia="bg-BG"/>
        </w:rPr>
      </w:pPr>
      <w:r w:rsidRPr="00A34059">
        <w:rPr>
          <w:rFonts w:eastAsia="Times New Roman" w:cs="Arial"/>
          <w:color w:val="000000"/>
          <w:u w:val="single"/>
          <w:lang w:eastAsia="bg-BG"/>
        </w:rPr>
        <w:t>Описание на избрани нежелани реакции</w:t>
      </w:r>
    </w:p>
    <w:p w14:paraId="6DC466E7" w14:textId="77777777" w:rsidR="00A34059" w:rsidRPr="00A34059" w:rsidRDefault="00A34059" w:rsidP="00A34059">
      <w:pPr>
        <w:spacing w:line="240" w:lineRule="auto"/>
        <w:rPr>
          <w:rFonts w:eastAsia="Times New Roman" w:cs="Arial"/>
          <w:lang w:eastAsia="bg-BG"/>
        </w:rPr>
      </w:pPr>
      <w:r w:rsidRPr="00A34059">
        <w:rPr>
          <w:rFonts w:eastAsia="Times New Roman" w:cs="Arial"/>
          <w:i/>
          <w:iCs/>
          <w:color w:val="000000"/>
          <w:lang w:eastAsia="bg-BG"/>
        </w:rPr>
        <w:t>Неутропения</w:t>
      </w:r>
    </w:p>
    <w:p w14:paraId="22ACA1A2" w14:textId="77777777" w:rsidR="00A34059" w:rsidRPr="00A34059" w:rsidRDefault="00A34059" w:rsidP="00A34059">
      <w:pPr>
        <w:spacing w:line="240" w:lineRule="auto"/>
        <w:rPr>
          <w:rFonts w:eastAsia="Times New Roman" w:cs="Arial"/>
          <w:lang w:eastAsia="bg-BG"/>
        </w:rPr>
      </w:pPr>
      <w:r w:rsidRPr="00A34059">
        <w:rPr>
          <w:rFonts w:eastAsia="Times New Roman" w:cs="Arial"/>
          <w:color w:val="000000"/>
          <w:lang w:eastAsia="bg-BG"/>
        </w:rPr>
        <w:t xml:space="preserve">При пациентки, получаващи </w:t>
      </w:r>
      <w:proofErr w:type="spellStart"/>
      <w:r w:rsidRPr="00A34059">
        <w:rPr>
          <w:rFonts w:eastAsia="Times New Roman" w:cs="Arial"/>
          <w:color w:val="000000"/>
          <w:lang w:eastAsia="bg-BG"/>
        </w:rPr>
        <w:t>фулвестрант</w:t>
      </w:r>
      <w:proofErr w:type="spellEnd"/>
      <w:r w:rsidRPr="00A34059">
        <w:rPr>
          <w:rFonts w:eastAsia="Times New Roman" w:cs="Arial"/>
          <w:color w:val="000000"/>
          <w:lang w:eastAsia="bg-BG"/>
        </w:rPr>
        <w:t xml:space="preserve"> в комбинация с </w:t>
      </w:r>
      <w:proofErr w:type="spellStart"/>
      <w:r w:rsidRPr="00A34059">
        <w:rPr>
          <w:rFonts w:eastAsia="Times New Roman" w:cs="Arial"/>
          <w:color w:val="000000"/>
          <w:lang w:eastAsia="bg-BG"/>
        </w:rPr>
        <w:t>палбоциклиб</w:t>
      </w:r>
      <w:proofErr w:type="spellEnd"/>
      <w:r w:rsidRPr="00A34059">
        <w:rPr>
          <w:rFonts w:eastAsia="Times New Roman" w:cs="Arial"/>
          <w:color w:val="000000"/>
          <w:lang w:eastAsia="bg-BG"/>
        </w:rPr>
        <w:t xml:space="preserve"> в </w:t>
      </w:r>
      <w:r w:rsidRPr="00A34059">
        <w:rPr>
          <w:rFonts w:eastAsia="Times New Roman" w:cs="Arial"/>
          <w:color w:val="000000"/>
          <w:lang w:val="en-US"/>
        </w:rPr>
        <w:t>PALOMA</w:t>
      </w:r>
      <w:r w:rsidRPr="00114D09">
        <w:rPr>
          <w:rFonts w:eastAsia="Times New Roman" w:cs="Arial"/>
          <w:color w:val="000000"/>
          <w:lang w:val="ru-RU"/>
        </w:rPr>
        <w:t xml:space="preserve">3 </w:t>
      </w:r>
      <w:r w:rsidRPr="00A34059">
        <w:rPr>
          <w:rFonts w:eastAsia="Times New Roman" w:cs="Arial"/>
          <w:color w:val="000000"/>
          <w:lang w:eastAsia="bg-BG"/>
        </w:rPr>
        <w:t xml:space="preserve">изпитването, е съобщавана </w:t>
      </w:r>
      <w:proofErr w:type="spellStart"/>
      <w:r w:rsidRPr="00A34059">
        <w:rPr>
          <w:rFonts w:eastAsia="Times New Roman" w:cs="Arial"/>
          <w:color w:val="000000"/>
          <w:lang w:eastAsia="bg-BG"/>
        </w:rPr>
        <w:t>неутропения</w:t>
      </w:r>
      <w:proofErr w:type="spellEnd"/>
      <w:r w:rsidRPr="00A34059">
        <w:rPr>
          <w:rFonts w:eastAsia="Times New Roman" w:cs="Arial"/>
          <w:color w:val="000000"/>
          <w:lang w:eastAsia="bg-BG"/>
        </w:rPr>
        <w:t xml:space="preserve"> от всяка степен при 290 (84,1%) пациентки, като </w:t>
      </w:r>
      <w:proofErr w:type="spellStart"/>
      <w:r w:rsidRPr="00A34059">
        <w:rPr>
          <w:rFonts w:eastAsia="Times New Roman" w:cs="Arial"/>
          <w:color w:val="000000"/>
          <w:lang w:eastAsia="bg-BG"/>
        </w:rPr>
        <w:t>неутропения</w:t>
      </w:r>
      <w:proofErr w:type="spellEnd"/>
      <w:r w:rsidRPr="00A34059">
        <w:rPr>
          <w:rFonts w:eastAsia="Times New Roman" w:cs="Arial"/>
          <w:color w:val="000000"/>
          <w:lang w:eastAsia="bg-BG"/>
        </w:rPr>
        <w:t xml:space="preserve"> от степен 3 е съобщена при 200 (58,0%) пациентки, а </w:t>
      </w:r>
      <w:proofErr w:type="spellStart"/>
      <w:r w:rsidRPr="00A34059">
        <w:rPr>
          <w:rFonts w:eastAsia="Times New Roman" w:cs="Arial"/>
          <w:color w:val="000000"/>
          <w:lang w:eastAsia="bg-BG"/>
        </w:rPr>
        <w:t>неутропения</w:t>
      </w:r>
      <w:proofErr w:type="spellEnd"/>
      <w:r w:rsidRPr="00A34059">
        <w:rPr>
          <w:rFonts w:eastAsia="Times New Roman" w:cs="Arial"/>
          <w:color w:val="000000"/>
          <w:lang w:eastAsia="bg-BG"/>
        </w:rPr>
        <w:t xml:space="preserve"> от степен 4 е съобщена при 40 (11,6%) пациентки. В групата на фулвестрант + плацебо (</w:t>
      </w:r>
      <w:r w:rsidRPr="00A34059">
        <w:rPr>
          <w:rFonts w:eastAsia="Times New Roman" w:cs="Arial"/>
          <w:color w:val="000000"/>
          <w:lang w:val="en-US"/>
        </w:rPr>
        <w:t>n</w:t>
      </w:r>
      <w:r w:rsidRPr="00A34059">
        <w:rPr>
          <w:rFonts w:eastAsia="Times New Roman" w:cs="Arial"/>
          <w:color w:val="000000"/>
          <w:lang w:eastAsia="bg-BG"/>
        </w:rPr>
        <w:t>=172), неутропения от всяка степен е съобщена при 6 (3,5%) пациентки. Няма съобщения за неутропения от степен 3 и 4 в групата на фулвестрант + плацебо.</w:t>
      </w:r>
    </w:p>
    <w:p w14:paraId="0261BB01" w14:textId="77777777" w:rsidR="00A34059" w:rsidRPr="00A34059" w:rsidRDefault="00A34059" w:rsidP="00A34059">
      <w:pPr>
        <w:spacing w:line="240" w:lineRule="auto"/>
        <w:rPr>
          <w:rFonts w:eastAsia="Times New Roman" w:cs="Arial"/>
          <w:color w:val="000000"/>
          <w:lang w:eastAsia="bg-BG"/>
        </w:rPr>
      </w:pPr>
    </w:p>
    <w:p w14:paraId="53C1851D" w14:textId="7DE62D38" w:rsidR="00A34059" w:rsidRPr="00A34059" w:rsidRDefault="00A34059" w:rsidP="00A34059">
      <w:pPr>
        <w:spacing w:line="240" w:lineRule="auto"/>
        <w:rPr>
          <w:rFonts w:eastAsia="Times New Roman" w:cs="Arial"/>
          <w:lang w:eastAsia="bg-BG"/>
        </w:rPr>
      </w:pPr>
      <w:r w:rsidRPr="00A34059">
        <w:rPr>
          <w:rFonts w:eastAsia="Times New Roman" w:cs="Arial"/>
          <w:color w:val="000000"/>
          <w:lang w:eastAsia="bg-BG"/>
        </w:rPr>
        <w:t xml:space="preserve">При пациентки, получаващи фулвестрант в комбинация с палбоциклиб, средното време до първия епизод на неутропения от всяка степен е бил 15 дни (диапазон: 13-512 дни), а средната продължителност на </w:t>
      </w:r>
      <w:proofErr w:type="spellStart"/>
      <w:r w:rsidRPr="00A34059">
        <w:rPr>
          <w:rFonts w:eastAsia="Times New Roman" w:cs="Arial"/>
          <w:color w:val="000000"/>
          <w:lang w:eastAsia="bg-BG"/>
        </w:rPr>
        <w:t>неутропения</w:t>
      </w:r>
      <w:proofErr w:type="spellEnd"/>
      <w:r w:rsidRPr="00A34059">
        <w:rPr>
          <w:rFonts w:eastAsia="Times New Roman" w:cs="Arial"/>
          <w:color w:val="000000"/>
          <w:lang w:eastAsia="bg-BG"/>
        </w:rPr>
        <w:t xml:space="preserve"> от степен ≥</w:t>
      </w:r>
      <w:r w:rsidRPr="00114D09">
        <w:rPr>
          <w:rFonts w:eastAsia="Times New Roman" w:cs="Arial"/>
          <w:color w:val="000000"/>
          <w:lang w:val="ru-RU"/>
        </w:rPr>
        <w:t xml:space="preserve"> </w:t>
      </w:r>
      <w:r w:rsidRPr="00A34059">
        <w:rPr>
          <w:rFonts w:eastAsia="Times New Roman" w:cs="Arial"/>
          <w:color w:val="000000"/>
          <w:lang w:eastAsia="bg-BG"/>
        </w:rPr>
        <w:t>3 е била 16 дни. Фебрилна неутропения е съобщена при 3 (0,9%) от пациентките, получаващи фулвестрант в комбинация с палбоциклиб.</w:t>
      </w:r>
    </w:p>
    <w:p w14:paraId="1064522D" w14:textId="77777777" w:rsidR="00A34059" w:rsidRPr="00A34059" w:rsidRDefault="00A34059" w:rsidP="00A34059">
      <w:pPr>
        <w:spacing w:line="240" w:lineRule="auto"/>
        <w:rPr>
          <w:rFonts w:eastAsia="Times New Roman" w:cs="Arial"/>
          <w:color w:val="000000"/>
          <w:u w:val="single"/>
          <w:lang w:eastAsia="bg-BG"/>
        </w:rPr>
      </w:pPr>
    </w:p>
    <w:p w14:paraId="421C8B64" w14:textId="4743D58D" w:rsidR="00A34059" w:rsidRPr="00A34059" w:rsidRDefault="00A34059" w:rsidP="00A34059">
      <w:pPr>
        <w:spacing w:line="240" w:lineRule="auto"/>
        <w:rPr>
          <w:rFonts w:eastAsia="Times New Roman" w:cs="Arial"/>
          <w:lang w:eastAsia="bg-BG"/>
        </w:rPr>
      </w:pPr>
      <w:r w:rsidRPr="00A34059">
        <w:rPr>
          <w:rFonts w:eastAsia="Times New Roman" w:cs="Arial"/>
          <w:color w:val="000000"/>
          <w:u w:val="single"/>
          <w:lang w:eastAsia="bg-BG"/>
        </w:rPr>
        <w:t>Съобщаване на подозирани нежелани реакции</w:t>
      </w:r>
    </w:p>
    <w:p w14:paraId="19C22716" w14:textId="5C1C5DB5" w:rsidR="009164B2" w:rsidRPr="00A34059" w:rsidRDefault="00A34059" w:rsidP="00A34059">
      <w:pPr>
        <w:rPr>
          <w:rFonts w:cs="Arial"/>
        </w:rPr>
      </w:pPr>
      <w:r w:rsidRPr="00A34059">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към Изпълнителната агенция по лекарствата, ул. „Дамян Груев“ № 8, 1303 София, тел.: +35928903417, уебсайт: </w:t>
      </w:r>
      <w:hyperlink r:id="rId8" w:history="1">
        <w:r w:rsidRPr="00A34059">
          <w:rPr>
            <w:rFonts w:eastAsia="Times New Roman" w:cs="Arial"/>
            <w:color w:val="000000"/>
            <w:u w:val="single"/>
            <w:lang w:val="en-US"/>
          </w:rPr>
          <w:t>www</w:t>
        </w:r>
        <w:r w:rsidRPr="00114D09">
          <w:rPr>
            <w:rFonts w:eastAsia="Times New Roman" w:cs="Arial"/>
            <w:color w:val="000000"/>
            <w:u w:val="single"/>
            <w:lang w:val="ru-RU"/>
          </w:rPr>
          <w:t>.</w:t>
        </w:r>
        <w:proofErr w:type="spellStart"/>
        <w:r w:rsidRPr="00A34059">
          <w:rPr>
            <w:rFonts w:eastAsia="Times New Roman" w:cs="Arial"/>
            <w:color w:val="000000"/>
            <w:u w:val="single"/>
            <w:lang w:val="en-US"/>
          </w:rPr>
          <w:t>bda</w:t>
        </w:r>
        <w:proofErr w:type="spellEnd"/>
        <w:r w:rsidRPr="00114D09">
          <w:rPr>
            <w:rFonts w:eastAsia="Times New Roman" w:cs="Arial"/>
            <w:color w:val="000000"/>
            <w:u w:val="single"/>
            <w:lang w:val="ru-RU"/>
          </w:rPr>
          <w:t>.</w:t>
        </w:r>
        <w:proofErr w:type="spellStart"/>
        <w:r w:rsidRPr="00A34059">
          <w:rPr>
            <w:rFonts w:eastAsia="Times New Roman" w:cs="Arial"/>
            <w:color w:val="000000"/>
            <w:u w:val="single"/>
            <w:lang w:val="en-US"/>
          </w:rPr>
          <w:t>bg</w:t>
        </w:r>
        <w:proofErr w:type="spellEnd"/>
      </w:hyperlink>
      <w:r w:rsidRPr="00114D09">
        <w:rPr>
          <w:rFonts w:eastAsia="Times New Roman" w:cs="Arial"/>
          <w:color w:val="000000"/>
          <w:lang w:val="ru-RU"/>
        </w:rPr>
        <w:t>.</w:t>
      </w:r>
    </w:p>
    <w:p w14:paraId="2B490CB7" w14:textId="77777777" w:rsidR="00A34059" w:rsidRPr="0091385D" w:rsidRDefault="00A34059" w:rsidP="0091385D"/>
    <w:p w14:paraId="0A023CE0" w14:textId="13F87CFD" w:rsidR="00CF77F7" w:rsidRDefault="002C50EE" w:rsidP="004A448E">
      <w:pPr>
        <w:pStyle w:val="Heading2"/>
      </w:pPr>
      <w:r>
        <w:t>4.9. Предозиране</w:t>
      </w:r>
    </w:p>
    <w:p w14:paraId="3EDFC3FC" w14:textId="296E7EBA" w:rsidR="0091385D" w:rsidRDefault="0091385D" w:rsidP="0091385D"/>
    <w:p w14:paraId="0F0079CB" w14:textId="196EDD80" w:rsidR="0091385D" w:rsidRDefault="00A34059" w:rsidP="0091385D">
      <w:r>
        <w:t>Има отделни съобщения за предозиране с фулвестрант при хора. При предозиране се препоръчва симптоматично поддържащо лечение. Данните от проучванията върху животни сочат, че няма други ефекти освен отнесените директно или индиректно към антиестрогенната активност при високи дози на фулвестрант (вж. точка 5.3).</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44345EC9" w:rsidR="0091385D" w:rsidRDefault="0091385D" w:rsidP="0091385D"/>
    <w:p w14:paraId="30990113" w14:textId="77777777" w:rsidR="00A34059" w:rsidRPr="00A34059" w:rsidRDefault="00A34059" w:rsidP="00A34059">
      <w:pPr>
        <w:spacing w:line="240" w:lineRule="auto"/>
        <w:rPr>
          <w:rFonts w:eastAsia="Times New Roman" w:cs="Arial"/>
          <w:lang w:eastAsia="bg-BG"/>
        </w:rPr>
      </w:pPr>
      <w:r w:rsidRPr="00A34059">
        <w:rPr>
          <w:rFonts w:eastAsia="Times New Roman" w:cs="Arial"/>
          <w:color w:val="000000"/>
          <w:lang w:eastAsia="bg-BG"/>
        </w:rPr>
        <w:t xml:space="preserve">Фармакотерапевтична група: Ендокринна терапия, </w:t>
      </w:r>
      <w:proofErr w:type="spellStart"/>
      <w:r w:rsidRPr="00A34059">
        <w:rPr>
          <w:rFonts w:eastAsia="Times New Roman" w:cs="Arial"/>
          <w:color w:val="000000"/>
          <w:lang w:eastAsia="bg-BG"/>
        </w:rPr>
        <w:t>Антиестрогени</w:t>
      </w:r>
      <w:proofErr w:type="spellEnd"/>
      <w:r w:rsidRPr="00A34059">
        <w:rPr>
          <w:rFonts w:eastAsia="Times New Roman" w:cs="Arial"/>
          <w:color w:val="000000"/>
          <w:lang w:eastAsia="bg-BG"/>
        </w:rPr>
        <w:t>, АТС код:</w:t>
      </w:r>
      <w:r w:rsidRPr="00114D09">
        <w:rPr>
          <w:rFonts w:eastAsia="Times New Roman" w:cs="Arial"/>
          <w:color w:val="000000"/>
          <w:lang w:val="ru-RU"/>
        </w:rPr>
        <w:t xml:space="preserve"> </w:t>
      </w:r>
      <w:r w:rsidRPr="00A34059">
        <w:rPr>
          <w:rFonts w:eastAsia="Times New Roman" w:cs="Arial"/>
          <w:color w:val="000000"/>
          <w:lang w:val="en-US"/>
        </w:rPr>
        <w:t>L</w:t>
      </w:r>
      <w:r w:rsidRPr="00114D09">
        <w:rPr>
          <w:rFonts w:eastAsia="Times New Roman" w:cs="Arial"/>
          <w:color w:val="000000"/>
          <w:lang w:val="ru-RU"/>
        </w:rPr>
        <w:t>02</w:t>
      </w:r>
      <w:r w:rsidRPr="00A34059">
        <w:rPr>
          <w:rFonts w:eastAsia="Times New Roman" w:cs="Arial"/>
          <w:color w:val="000000"/>
          <w:lang w:val="en-US"/>
        </w:rPr>
        <w:t>BA</w:t>
      </w:r>
      <w:r w:rsidRPr="00114D09">
        <w:rPr>
          <w:rFonts w:eastAsia="Times New Roman" w:cs="Arial"/>
          <w:color w:val="000000"/>
          <w:lang w:val="ru-RU"/>
        </w:rPr>
        <w:t>03</w:t>
      </w:r>
    </w:p>
    <w:p w14:paraId="43D7F2B4" w14:textId="77777777" w:rsidR="00A34059" w:rsidRPr="00A34059" w:rsidRDefault="00A34059" w:rsidP="00A34059">
      <w:pPr>
        <w:rPr>
          <w:rFonts w:eastAsia="Times New Roman" w:cs="Arial"/>
          <w:color w:val="000000"/>
          <w:u w:val="single"/>
          <w:lang w:eastAsia="bg-BG"/>
        </w:rPr>
      </w:pPr>
    </w:p>
    <w:p w14:paraId="28252AA0" w14:textId="20CBC1D6" w:rsidR="0091385D" w:rsidRPr="00A34059" w:rsidRDefault="00A34059" w:rsidP="00A34059">
      <w:pPr>
        <w:rPr>
          <w:rFonts w:cs="Arial"/>
        </w:rPr>
      </w:pPr>
      <w:r w:rsidRPr="00A34059">
        <w:rPr>
          <w:rFonts w:eastAsia="Times New Roman" w:cs="Arial"/>
          <w:color w:val="000000"/>
          <w:u w:val="single"/>
          <w:lang w:eastAsia="bg-BG"/>
        </w:rPr>
        <w:t>Механизъм на действие и фармакодинамнчни ефекти</w:t>
      </w:r>
    </w:p>
    <w:p w14:paraId="6133FC61" w14:textId="77777777" w:rsidR="00A34059" w:rsidRPr="00A34059" w:rsidRDefault="00A34059" w:rsidP="00A34059">
      <w:pPr>
        <w:spacing w:line="240" w:lineRule="auto"/>
        <w:rPr>
          <w:rFonts w:eastAsia="Times New Roman" w:cs="Arial"/>
          <w:lang w:eastAsia="bg-BG"/>
        </w:rPr>
      </w:pPr>
      <w:r w:rsidRPr="00A34059">
        <w:rPr>
          <w:rFonts w:eastAsia="Times New Roman" w:cs="Arial"/>
          <w:color w:val="000000"/>
          <w:lang w:eastAsia="bg-BG"/>
        </w:rPr>
        <w:t>Фулвестрант е конкурентен антагонист на естрогеновите рецептори (ЕР) с афинитет, сравним с този на естрадиол. Фулвестрант блокира трофичните действия на естрогените, без да има парциално агонистично (естрогено-подобно) действие. Механизмът му на действие е свързан с понижение на нивата на естроген-рецепторния протеин.</w:t>
      </w:r>
    </w:p>
    <w:p w14:paraId="2265FE71" w14:textId="77777777" w:rsidR="00A34059" w:rsidRPr="00A34059" w:rsidRDefault="00A34059" w:rsidP="00A34059">
      <w:pPr>
        <w:spacing w:line="240" w:lineRule="auto"/>
        <w:rPr>
          <w:rFonts w:eastAsia="Times New Roman" w:cs="Arial"/>
          <w:lang w:eastAsia="bg-BG"/>
        </w:rPr>
      </w:pPr>
      <w:r w:rsidRPr="00A34059">
        <w:rPr>
          <w:rFonts w:eastAsia="Times New Roman" w:cs="Arial"/>
          <w:color w:val="000000"/>
          <w:lang w:eastAsia="bg-BG"/>
        </w:rPr>
        <w:t xml:space="preserve">Клиничните изпитвания при постменопаузални жени с първичен рак на гърдата показват, че фулвестрант значително понижава ЕР протеина при ЕР позитивни тумори в сравнение с плацебо. Също така налице е значително понижение на експресията на прогестероновия рецептор, което е в съответствие с липсата на присъщи естроген-агонистични ефекти. Също така има данни, че </w:t>
      </w:r>
      <w:proofErr w:type="spellStart"/>
      <w:r w:rsidRPr="00A34059">
        <w:rPr>
          <w:rFonts w:eastAsia="Times New Roman" w:cs="Arial"/>
          <w:color w:val="000000"/>
          <w:lang w:eastAsia="bg-BG"/>
        </w:rPr>
        <w:t>фулвестрант</w:t>
      </w:r>
      <w:proofErr w:type="spellEnd"/>
      <w:r w:rsidRPr="00A34059">
        <w:rPr>
          <w:rFonts w:eastAsia="Times New Roman" w:cs="Arial"/>
          <w:color w:val="000000"/>
          <w:lang w:eastAsia="bg-BG"/>
        </w:rPr>
        <w:t xml:space="preserve"> 500 </w:t>
      </w:r>
      <w:r w:rsidRPr="00A34059">
        <w:rPr>
          <w:rFonts w:eastAsia="Times New Roman" w:cs="Arial"/>
          <w:color w:val="000000"/>
          <w:lang w:val="en-US"/>
        </w:rPr>
        <w:t>mg</w:t>
      </w:r>
      <w:r w:rsidRPr="00114D09">
        <w:rPr>
          <w:rFonts w:eastAsia="Times New Roman" w:cs="Arial"/>
          <w:color w:val="000000"/>
          <w:lang w:val="ru-RU"/>
        </w:rPr>
        <w:t xml:space="preserve">, </w:t>
      </w:r>
      <w:r w:rsidRPr="00A34059">
        <w:rPr>
          <w:rFonts w:eastAsia="Times New Roman" w:cs="Arial"/>
          <w:color w:val="000000"/>
          <w:lang w:eastAsia="bg-BG"/>
        </w:rPr>
        <w:t xml:space="preserve">приложен при пациенти в менопауза с тумори на гърдата в условията на </w:t>
      </w:r>
      <w:proofErr w:type="spellStart"/>
      <w:r w:rsidRPr="00A34059">
        <w:rPr>
          <w:rFonts w:eastAsia="Times New Roman" w:cs="Arial"/>
          <w:color w:val="000000"/>
          <w:lang w:eastAsia="bg-BG"/>
        </w:rPr>
        <w:t>неоадювантно</w:t>
      </w:r>
      <w:proofErr w:type="spellEnd"/>
      <w:r w:rsidRPr="00A34059">
        <w:rPr>
          <w:rFonts w:eastAsia="Times New Roman" w:cs="Arial"/>
          <w:color w:val="000000"/>
          <w:lang w:eastAsia="bg-BG"/>
        </w:rPr>
        <w:t xml:space="preserve"> лечение, потиска експресията на ЕР и на маркера на пролиферация </w:t>
      </w:r>
      <w:r w:rsidRPr="00A34059">
        <w:rPr>
          <w:rFonts w:eastAsia="Times New Roman" w:cs="Arial"/>
          <w:color w:val="000000"/>
          <w:lang w:val="en-US"/>
        </w:rPr>
        <w:t>Ki</w:t>
      </w:r>
      <w:r w:rsidRPr="00114D09">
        <w:rPr>
          <w:rFonts w:eastAsia="Times New Roman" w:cs="Arial"/>
          <w:color w:val="000000"/>
          <w:lang w:val="ru-RU"/>
        </w:rPr>
        <w:t xml:space="preserve">67 </w:t>
      </w:r>
      <w:r w:rsidRPr="00A34059">
        <w:rPr>
          <w:rFonts w:eastAsia="Times New Roman" w:cs="Arial"/>
          <w:color w:val="000000"/>
          <w:lang w:eastAsia="bg-BG"/>
        </w:rPr>
        <w:t xml:space="preserve">в по-голяма степен, отколкото </w:t>
      </w:r>
      <w:proofErr w:type="spellStart"/>
      <w:r w:rsidRPr="00A34059">
        <w:rPr>
          <w:rFonts w:eastAsia="Times New Roman" w:cs="Arial"/>
          <w:color w:val="000000"/>
          <w:lang w:eastAsia="bg-BG"/>
        </w:rPr>
        <w:t>фулвестрант</w:t>
      </w:r>
      <w:proofErr w:type="spellEnd"/>
      <w:r w:rsidRPr="00A34059">
        <w:rPr>
          <w:rFonts w:eastAsia="Times New Roman" w:cs="Arial"/>
          <w:color w:val="000000"/>
          <w:lang w:eastAsia="bg-BG"/>
        </w:rPr>
        <w:t xml:space="preserve"> 250 </w:t>
      </w:r>
      <w:r w:rsidRPr="00A34059">
        <w:rPr>
          <w:rFonts w:eastAsia="Times New Roman" w:cs="Arial"/>
          <w:color w:val="000000"/>
          <w:lang w:val="en-US"/>
        </w:rPr>
        <w:t>mg</w:t>
      </w:r>
      <w:r w:rsidRPr="00114D09">
        <w:rPr>
          <w:rFonts w:eastAsia="Times New Roman" w:cs="Arial"/>
          <w:color w:val="000000"/>
          <w:lang w:val="ru-RU"/>
        </w:rPr>
        <w:t>.</w:t>
      </w:r>
    </w:p>
    <w:p w14:paraId="3FB6AEE7" w14:textId="77777777" w:rsidR="00A34059" w:rsidRPr="00A34059" w:rsidRDefault="00A34059" w:rsidP="00A34059">
      <w:pPr>
        <w:spacing w:line="240" w:lineRule="auto"/>
        <w:rPr>
          <w:rFonts w:eastAsia="Times New Roman" w:cs="Arial"/>
          <w:color w:val="000000"/>
          <w:u w:val="single"/>
          <w:lang w:eastAsia="bg-BG"/>
        </w:rPr>
      </w:pPr>
    </w:p>
    <w:p w14:paraId="3DDEE96D" w14:textId="1E37048F" w:rsidR="00A34059" w:rsidRPr="00A34059" w:rsidRDefault="00A34059" w:rsidP="00A34059">
      <w:pPr>
        <w:spacing w:line="240" w:lineRule="auto"/>
        <w:rPr>
          <w:rFonts w:eastAsia="Times New Roman" w:cs="Arial"/>
          <w:lang w:eastAsia="bg-BG"/>
        </w:rPr>
      </w:pPr>
      <w:r w:rsidRPr="00A34059">
        <w:rPr>
          <w:rFonts w:eastAsia="Times New Roman" w:cs="Arial"/>
          <w:color w:val="000000"/>
          <w:u w:val="single"/>
          <w:lang w:eastAsia="bg-BG"/>
        </w:rPr>
        <w:t>Клинична безопасност и ефикасност при авансирал рак на гърдата</w:t>
      </w:r>
    </w:p>
    <w:p w14:paraId="7AA16F48" w14:textId="77777777" w:rsidR="00A34059" w:rsidRPr="00A34059" w:rsidRDefault="00A34059" w:rsidP="00A34059">
      <w:pPr>
        <w:spacing w:line="240" w:lineRule="auto"/>
        <w:rPr>
          <w:rFonts w:eastAsia="Times New Roman" w:cs="Arial"/>
          <w:i/>
          <w:iCs/>
          <w:color w:val="000000"/>
          <w:lang w:eastAsia="bg-BG"/>
        </w:rPr>
      </w:pPr>
    </w:p>
    <w:p w14:paraId="2BADD32A" w14:textId="0F0980DE" w:rsidR="00A34059" w:rsidRPr="00A34059" w:rsidRDefault="00A34059" w:rsidP="00A34059">
      <w:pPr>
        <w:spacing w:line="240" w:lineRule="auto"/>
        <w:rPr>
          <w:rFonts w:eastAsia="Times New Roman" w:cs="Arial"/>
          <w:lang w:eastAsia="bg-BG"/>
        </w:rPr>
      </w:pPr>
      <w:r w:rsidRPr="00A34059">
        <w:rPr>
          <w:rFonts w:eastAsia="Times New Roman" w:cs="Arial"/>
          <w:i/>
          <w:iCs/>
          <w:color w:val="000000"/>
          <w:lang w:eastAsia="bg-BG"/>
        </w:rPr>
        <w:t>Монотерапия</w:t>
      </w:r>
    </w:p>
    <w:p w14:paraId="468AC08F" w14:textId="77777777" w:rsidR="00A34059" w:rsidRPr="00A34059" w:rsidRDefault="00A34059" w:rsidP="00A34059">
      <w:pPr>
        <w:spacing w:line="240" w:lineRule="auto"/>
        <w:rPr>
          <w:rFonts w:eastAsia="Times New Roman" w:cs="Arial"/>
          <w:lang w:eastAsia="bg-BG"/>
        </w:rPr>
      </w:pPr>
      <w:r w:rsidRPr="00A34059">
        <w:rPr>
          <w:rFonts w:eastAsia="Times New Roman" w:cs="Arial"/>
          <w:color w:val="000000"/>
          <w:lang w:eastAsia="bg-BG"/>
        </w:rPr>
        <w:t xml:space="preserve">Клинично изпитване фаза III е извършено при 736 постменопаузални жени с авансирал рак на гърдата с рецидив по време на или след адювантна ендокринна терапия, или с прогресия след ендокринна терапия за авансирало заболяване. Проучването включва 423 пациенти, които са имали рецидив или прогресия по време на антиестрогенова терапия (АЕ-подгрупа) и 313 пациенти, които са имали рецидив или прогресия по време на терапия с ароматазен инхибитор (АИ-подгрупа). Изпитването сравнява ефикасността и безопасността на </w:t>
      </w:r>
      <w:proofErr w:type="spellStart"/>
      <w:r w:rsidRPr="00A34059">
        <w:rPr>
          <w:rFonts w:eastAsia="Times New Roman" w:cs="Arial"/>
          <w:color w:val="000000"/>
          <w:lang w:eastAsia="bg-BG"/>
        </w:rPr>
        <w:t>фулвестрант</w:t>
      </w:r>
      <w:proofErr w:type="spellEnd"/>
      <w:r w:rsidRPr="00A34059">
        <w:rPr>
          <w:rFonts w:eastAsia="Times New Roman" w:cs="Arial"/>
          <w:color w:val="000000"/>
          <w:lang w:eastAsia="bg-BG"/>
        </w:rPr>
        <w:t xml:space="preserve"> 500 </w:t>
      </w:r>
      <w:r w:rsidRPr="00A34059">
        <w:rPr>
          <w:rFonts w:eastAsia="Times New Roman" w:cs="Arial"/>
          <w:color w:val="000000"/>
          <w:lang w:val="en-US"/>
        </w:rPr>
        <w:t>mg</w:t>
      </w:r>
      <w:r w:rsidRPr="00114D09">
        <w:rPr>
          <w:rFonts w:eastAsia="Times New Roman" w:cs="Arial"/>
          <w:color w:val="000000"/>
          <w:lang w:val="ru-RU"/>
        </w:rPr>
        <w:t xml:space="preserve"> </w:t>
      </w:r>
      <w:r w:rsidRPr="00A34059">
        <w:rPr>
          <w:rFonts w:eastAsia="Times New Roman" w:cs="Arial"/>
          <w:color w:val="000000"/>
          <w:lang w:eastAsia="bg-BG"/>
        </w:rPr>
        <w:t>(</w:t>
      </w:r>
      <w:r w:rsidRPr="00A34059">
        <w:rPr>
          <w:rFonts w:eastAsia="Times New Roman" w:cs="Arial"/>
          <w:color w:val="000000"/>
          <w:lang w:val="en-US"/>
        </w:rPr>
        <w:t>n</w:t>
      </w:r>
      <w:r w:rsidRPr="00A34059">
        <w:rPr>
          <w:rFonts w:eastAsia="Times New Roman" w:cs="Arial"/>
          <w:color w:val="000000"/>
          <w:lang w:eastAsia="bg-BG"/>
        </w:rPr>
        <w:t xml:space="preserve">=362) с тези на </w:t>
      </w:r>
      <w:proofErr w:type="spellStart"/>
      <w:r w:rsidRPr="00A34059">
        <w:rPr>
          <w:rFonts w:eastAsia="Times New Roman" w:cs="Arial"/>
          <w:color w:val="000000"/>
          <w:lang w:eastAsia="bg-BG"/>
        </w:rPr>
        <w:t>фулвестрант</w:t>
      </w:r>
      <w:proofErr w:type="spellEnd"/>
      <w:r w:rsidRPr="00A34059">
        <w:rPr>
          <w:rFonts w:eastAsia="Times New Roman" w:cs="Arial"/>
          <w:color w:val="000000"/>
          <w:lang w:eastAsia="bg-BG"/>
        </w:rPr>
        <w:t xml:space="preserve"> 250 </w:t>
      </w:r>
      <w:r w:rsidRPr="00A34059">
        <w:rPr>
          <w:rFonts w:eastAsia="Times New Roman" w:cs="Arial"/>
          <w:color w:val="000000"/>
          <w:lang w:val="en-US"/>
        </w:rPr>
        <w:t>mg</w:t>
      </w:r>
      <w:r w:rsidRPr="00114D09">
        <w:rPr>
          <w:rFonts w:eastAsia="Times New Roman" w:cs="Arial"/>
          <w:color w:val="000000"/>
          <w:lang w:val="ru-RU"/>
        </w:rPr>
        <w:t xml:space="preserve"> </w:t>
      </w:r>
      <w:r w:rsidRPr="00A34059">
        <w:rPr>
          <w:rFonts w:eastAsia="Times New Roman" w:cs="Arial"/>
          <w:color w:val="000000"/>
          <w:lang w:eastAsia="bg-BG"/>
        </w:rPr>
        <w:t>(</w:t>
      </w:r>
      <w:r w:rsidRPr="00A34059">
        <w:rPr>
          <w:rFonts w:eastAsia="Times New Roman" w:cs="Arial"/>
          <w:color w:val="000000"/>
          <w:lang w:val="en-US"/>
        </w:rPr>
        <w:t>n</w:t>
      </w:r>
      <w:r w:rsidRPr="00A34059">
        <w:rPr>
          <w:rFonts w:eastAsia="Times New Roman" w:cs="Arial"/>
          <w:color w:val="000000"/>
          <w:lang w:eastAsia="bg-BG"/>
        </w:rPr>
        <w:t xml:space="preserve">=374). Първичната крайна точка е свободната от прогресия преживяемост (ПБП), а ключовите вторични крайни точки за ефикасност включват степен на обективно повлияване (СОП), степен на клинична полза (СКП) и обща преживяемост (ОП). Резултатите от изпитването </w:t>
      </w:r>
      <w:r w:rsidRPr="00A34059">
        <w:rPr>
          <w:rFonts w:eastAsia="Times New Roman" w:cs="Arial"/>
          <w:color w:val="000000"/>
          <w:lang w:val="en-US"/>
        </w:rPr>
        <w:t>CONFIRM</w:t>
      </w:r>
      <w:r w:rsidRPr="00114D09">
        <w:rPr>
          <w:rFonts w:eastAsia="Times New Roman" w:cs="Arial"/>
          <w:color w:val="000000"/>
          <w:lang w:val="ru-RU"/>
        </w:rPr>
        <w:t xml:space="preserve"> </w:t>
      </w:r>
      <w:r w:rsidRPr="00A34059">
        <w:rPr>
          <w:rFonts w:eastAsia="Times New Roman" w:cs="Arial"/>
          <w:color w:val="000000"/>
          <w:lang w:eastAsia="bg-BG"/>
        </w:rPr>
        <w:t>по отношение на ефикасността са обобщени в Таблица 3.</w:t>
      </w:r>
    </w:p>
    <w:p w14:paraId="3B58FB48" w14:textId="77777777" w:rsidR="00A34059" w:rsidRPr="00A34059" w:rsidRDefault="00A34059" w:rsidP="00A34059">
      <w:pPr>
        <w:spacing w:line="240" w:lineRule="auto"/>
        <w:rPr>
          <w:rFonts w:eastAsia="Times New Roman" w:cs="Arial"/>
          <w:b/>
          <w:bCs/>
          <w:color w:val="000000"/>
          <w:lang w:eastAsia="bg-BG"/>
        </w:rPr>
      </w:pPr>
    </w:p>
    <w:p w14:paraId="36152471" w14:textId="18041A7C" w:rsidR="0091385D" w:rsidRPr="00A34059" w:rsidRDefault="00A34059" w:rsidP="00A34059">
      <w:pPr>
        <w:spacing w:line="240" w:lineRule="auto"/>
        <w:rPr>
          <w:rFonts w:eastAsia="Times New Roman" w:cs="Arial"/>
          <w:lang w:eastAsia="bg-BG"/>
        </w:rPr>
      </w:pPr>
      <w:r w:rsidRPr="00A34059">
        <w:rPr>
          <w:rFonts w:eastAsia="Times New Roman" w:cs="Arial"/>
          <w:b/>
          <w:bCs/>
          <w:color w:val="000000"/>
          <w:lang w:eastAsia="bg-BG"/>
        </w:rPr>
        <w:t>Таблица 3</w:t>
      </w:r>
      <w:r w:rsidRPr="00A34059">
        <w:rPr>
          <w:rFonts w:eastAsia="Times New Roman" w:cs="Arial"/>
          <w:b/>
          <w:bCs/>
          <w:color w:val="000000"/>
          <w:lang w:eastAsia="bg-BG"/>
        </w:rPr>
        <w:tab/>
        <w:t>Обобщени резултати по отношение на първичната крайна точка (ПБП) и</w:t>
      </w:r>
      <w:r>
        <w:rPr>
          <w:rFonts w:eastAsia="Times New Roman" w:cs="Arial"/>
          <w:lang w:eastAsia="bg-BG"/>
        </w:rPr>
        <w:t xml:space="preserve"> </w:t>
      </w:r>
      <w:r w:rsidRPr="00A34059">
        <w:rPr>
          <w:rFonts w:eastAsia="Times New Roman" w:cs="Arial"/>
          <w:b/>
          <w:bCs/>
          <w:color w:val="000000"/>
          <w:lang w:eastAsia="bg-BG"/>
        </w:rPr>
        <w:t xml:space="preserve">ключовите вторични крайни точки за ефикасност в изпитването </w:t>
      </w:r>
      <w:r w:rsidRPr="00A34059">
        <w:rPr>
          <w:rFonts w:eastAsia="Times New Roman" w:cs="Arial"/>
          <w:b/>
          <w:bCs/>
          <w:color w:val="000000"/>
          <w:lang w:val="en-US"/>
        </w:rPr>
        <w:t>CONFIRM</w:t>
      </w:r>
    </w:p>
    <w:p w14:paraId="20A382CA" w14:textId="6ED7910E" w:rsidR="00A34059" w:rsidRDefault="00A34059" w:rsidP="0091385D"/>
    <w:tbl>
      <w:tblPr>
        <w:tblStyle w:val="TableGrid"/>
        <w:tblW w:w="0" w:type="auto"/>
        <w:tblLayout w:type="fixed"/>
        <w:tblLook w:val="04A0" w:firstRow="1" w:lastRow="0" w:firstColumn="1" w:lastColumn="0" w:noHBand="0" w:noVBand="1"/>
      </w:tblPr>
      <w:tblGrid>
        <w:gridCol w:w="1513"/>
        <w:gridCol w:w="18"/>
        <w:gridCol w:w="1531"/>
        <w:gridCol w:w="1510"/>
        <w:gridCol w:w="1182"/>
        <w:gridCol w:w="1436"/>
        <w:gridCol w:w="1044"/>
        <w:gridCol w:w="1116"/>
      </w:tblGrid>
      <w:tr w:rsidR="0067439B" w14:paraId="77C44A4E" w14:textId="77777777" w:rsidTr="00114D09">
        <w:tc>
          <w:tcPr>
            <w:tcW w:w="1513" w:type="dxa"/>
            <w:vMerge w:val="restart"/>
          </w:tcPr>
          <w:p w14:paraId="47285947" w14:textId="185916F5" w:rsidR="0067439B" w:rsidRPr="00A13ED4" w:rsidRDefault="0067439B" w:rsidP="0067439B">
            <w:pPr>
              <w:rPr>
                <w:rFonts w:cs="Arial"/>
              </w:rPr>
            </w:pPr>
            <w:r w:rsidRPr="00A13ED4">
              <w:rPr>
                <w:rFonts w:cs="Arial"/>
                <w:b/>
                <w:bCs/>
              </w:rPr>
              <w:lastRenderedPageBreak/>
              <w:t>Променлива</w:t>
            </w:r>
          </w:p>
        </w:tc>
        <w:tc>
          <w:tcPr>
            <w:tcW w:w="1549" w:type="dxa"/>
            <w:gridSpan w:val="2"/>
            <w:vMerge w:val="restart"/>
          </w:tcPr>
          <w:p w14:paraId="71F5DB05" w14:textId="1103FA3D" w:rsidR="0067439B" w:rsidRPr="00A13ED4" w:rsidRDefault="0067439B" w:rsidP="0067439B">
            <w:pPr>
              <w:rPr>
                <w:rFonts w:cs="Arial"/>
              </w:rPr>
            </w:pPr>
            <w:r w:rsidRPr="00A13ED4">
              <w:rPr>
                <w:rFonts w:cs="Arial"/>
                <w:b/>
                <w:bCs/>
              </w:rPr>
              <w:t>Метод на оценка; терапевтично сравнение</w:t>
            </w:r>
          </w:p>
        </w:tc>
        <w:tc>
          <w:tcPr>
            <w:tcW w:w="1510" w:type="dxa"/>
            <w:vMerge w:val="restart"/>
          </w:tcPr>
          <w:p w14:paraId="7FE05409" w14:textId="50D1BFB7" w:rsidR="0067439B" w:rsidRPr="00A13ED4" w:rsidRDefault="0067439B" w:rsidP="0067439B">
            <w:pPr>
              <w:rPr>
                <w:rFonts w:cs="Arial"/>
              </w:rPr>
            </w:pPr>
            <w:r w:rsidRPr="00A13ED4">
              <w:rPr>
                <w:rFonts w:cs="Arial"/>
                <w:b/>
                <w:bCs/>
              </w:rPr>
              <w:t xml:space="preserve">Фулвестрант 500 </w:t>
            </w:r>
            <w:r w:rsidRPr="00A13ED4">
              <w:rPr>
                <w:rFonts w:cs="Arial"/>
                <w:b/>
                <w:bCs/>
                <w:lang w:val="en-US"/>
              </w:rPr>
              <w:t>mg (N-362)</w:t>
            </w:r>
          </w:p>
        </w:tc>
        <w:tc>
          <w:tcPr>
            <w:tcW w:w="1182" w:type="dxa"/>
            <w:vMerge w:val="restart"/>
          </w:tcPr>
          <w:p w14:paraId="5C04DBF9" w14:textId="19B4A4D4" w:rsidR="0067439B" w:rsidRPr="00A13ED4" w:rsidRDefault="0067439B" w:rsidP="0067439B">
            <w:pPr>
              <w:rPr>
                <w:rFonts w:cs="Arial"/>
              </w:rPr>
            </w:pPr>
            <w:r w:rsidRPr="00A13ED4">
              <w:rPr>
                <w:rFonts w:cs="Arial"/>
                <w:b/>
                <w:bCs/>
              </w:rPr>
              <w:t xml:space="preserve">Фулвестр ант 250 </w:t>
            </w:r>
            <w:r w:rsidRPr="00A13ED4">
              <w:rPr>
                <w:rFonts w:cs="Arial"/>
                <w:b/>
                <w:bCs/>
                <w:lang w:val="en-US"/>
              </w:rPr>
              <w:t>mg (N=374)</w:t>
            </w:r>
          </w:p>
        </w:tc>
        <w:tc>
          <w:tcPr>
            <w:tcW w:w="3596" w:type="dxa"/>
            <w:gridSpan w:val="3"/>
          </w:tcPr>
          <w:p w14:paraId="52573CCC" w14:textId="7666329D" w:rsidR="0067439B" w:rsidRPr="00A13ED4" w:rsidRDefault="0067439B" w:rsidP="0067439B">
            <w:pPr>
              <w:rPr>
                <w:rFonts w:cs="Arial"/>
              </w:rPr>
            </w:pPr>
            <w:r w:rsidRPr="00A13ED4">
              <w:rPr>
                <w:rFonts w:cs="Arial"/>
                <w:b/>
                <w:bCs/>
              </w:rPr>
              <w:t>Сравнение между групите (</w:t>
            </w:r>
            <w:proofErr w:type="spellStart"/>
            <w:r w:rsidRPr="00A13ED4">
              <w:rPr>
                <w:rFonts w:cs="Arial"/>
                <w:b/>
                <w:bCs/>
              </w:rPr>
              <w:t>Фулвестрант</w:t>
            </w:r>
            <w:proofErr w:type="spellEnd"/>
            <w:r w:rsidRPr="00A13ED4">
              <w:rPr>
                <w:rFonts w:cs="Arial"/>
                <w:b/>
                <w:bCs/>
              </w:rPr>
              <w:t xml:space="preserve"> 500 </w:t>
            </w:r>
            <w:r w:rsidRPr="00A13ED4">
              <w:rPr>
                <w:rFonts w:cs="Arial"/>
                <w:b/>
                <w:bCs/>
                <w:lang w:val="en-US"/>
              </w:rPr>
              <w:t>mg</w:t>
            </w:r>
            <w:r w:rsidRPr="00A13ED4">
              <w:rPr>
                <w:rFonts w:cs="Arial"/>
                <w:b/>
                <w:bCs/>
              </w:rPr>
              <w:t>/</w:t>
            </w:r>
            <w:proofErr w:type="spellStart"/>
            <w:r w:rsidRPr="00A13ED4">
              <w:rPr>
                <w:rFonts w:cs="Arial"/>
                <w:b/>
                <w:bCs/>
              </w:rPr>
              <w:t>Фулвестрант</w:t>
            </w:r>
            <w:proofErr w:type="spellEnd"/>
            <w:r w:rsidRPr="00A13ED4">
              <w:rPr>
                <w:rFonts w:cs="Arial"/>
                <w:b/>
                <w:bCs/>
              </w:rPr>
              <w:t xml:space="preserve"> 250 </w:t>
            </w:r>
            <w:r w:rsidRPr="00A13ED4">
              <w:rPr>
                <w:rFonts w:cs="Arial"/>
                <w:b/>
                <w:bCs/>
                <w:lang w:val="en-US"/>
              </w:rPr>
              <w:t>mg</w:t>
            </w:r>
            <w:r w:rsidRPr="00114D09">
              <w:rPr>
                <w:rFonts w:cs="Arial"/>
                <w:b/>
                <w:bCs/>
                <w:lang w:val="ru-RU"/>
              </w:rPr>
              <w:t>)</w:t>
            </w:r>
          </w:p>
        </w:tc>
      </w:tr>
      <w:tr w:rsidR="0067439B" w14:paraId="7C1EA8DE" w14:textId="77777777" w:rsidTr="00114D09">
        <w:tc>
          <w:tcPr>
            <w:tcW w:w="1513" w:type="dxa"/>
            <w:vMerge/>
          </w:tcPr>
          <w:p w14:paraId="40637744" w14:textId="77777777" w:rsidR="0067439B" w:rsidRPr="00A13ED4" w:rsidRDefault="0067439B" w:rsidP="0067439B">
            <w:pPr>
              <w:rPr>
                <w:rFonts w:cs="Arial"/>
              </w:rPr>
            </w:pPr>
          </w:p>
        </w:tc>
        <w:tc>
          <w:tcPr>
            <w:tcW w:w="1549" w:type="dxa"/>
            <w:gridSpan w:val="2"/>
            <w:vMerge/>
          </w:tcPr>
          <w:p w14:paraId="42E338F4" w14:textId="77777777" w:rsidR="0067439B" w:rsidRPr="00A13ED4" w:rsidRDefault="0067439B" w:rsidP="0067439B">
            <w:pPr>
              <w:rPr>
                <w:rFonts w:cs="Arial"/>
              </w:rPr>
            </w:pPr>
          </w:p>
        </w:tc>
        <w:tc>
          <w:tcPr>
            <w:tcW w:w="1510" w:type="dxa"/>
            <w:vMerge/>
          </w:tcPr>
          <w:p w14:paraId="220CCCE6" w14:textId="77777777" w:rsidR="0067439B" w:rsidRPr="00A13ED4" w:rsidRDefault="0067439B" w:rsidP="0067439B">
            <w:pPr>
              <w:rPr>
                <w:rFonts w:cs="Arial"/>
              </w:rPr>
            </w:pPr>
          </w:p>
        </w:tc>
        <w:tc>
          <w:tcPr>
            <w:tcW w:w="1182" w:type="dxa"/>
            <w:vMerge/>
          </w:tcPr>
          <w:p w14:paraId="601D4861" w14:textId="77777777" w:rsidR="0067439B" w:rsidRPr="00A13ED4" w:rsidRDefault="0067439B" w:rsidP="0067439B">
            <w:pPr>
              <w:rPr>
                <w:rFonts w:cs="Arial"/>
              </w:rPr>
            </w:pPr>
          </w:p>
        </w:tc>
        <w:tc>
          <w:tcPr>
            <w:tcW w:w="1436" w:type="dxa"/>
            <w:vAlign w:val="bottom"/>
          </w:tcPr>
          <w:p w14:paraId="5E6E8D40" w14:textId="37684B95" w:rsidR="0067439B" w:rsidRPr="00A13ED4" w:rsidRDefault="0067439B" w:rsidP="0067439B">
            <w:pPr>
              <w:rPr>
                <w:rFonts w:cs="Arial"/>
              </w:rPr>
            </w:pPr>
            <w:r w:rsidRPr="00A13ED4">
              <w:rPr>
                <w:rFonts w:cs="Arial"/>
                <w:b/>
                <w:bCs/>
              </w:rPr>
              <w:t>Коефициент на риск</w:t>
            </w:r>
          </w:p>
        </w:tc>
        <w:tc>
          <w:tcPr>
            <w:tcW w:w="1044" w:type="dxa"/>
            <w:vAlign w:val="bottom"/>
          </w:tcPr>
          <w:p w14:paraId="522DAC30" w14:textId="372860C1" w:rsidR="0067439B" w:rsidRPr="00A13ED4" w:rsidRDefault="0067439B" w:rsidP="0067439B">
            <w:pPr>
              <w:rPr>
                <w:rFonts w:cs="Arial"/>
              </w:rPr>
            </w:pPr>
            <w:r w:rsidRPr="00A13ED4">
              <w:rPr>
                <w:rFonts w:cs="Arial"/>
                <w:b/>
                <w:bCs/>
              </w:rPr>
              <w:t>95% да</w:t>
            </w:r>
          </w:p>
        </w:tc>
        <w:tc>
          <w:tcPr>
            <w:tcW w:w="1116" w:type="dxa"/>
            <w:vAlign w:val="bottom"/>
          </w:tcPr>
          <w:p w14:paraId="3D338268" w14:textId="2314ACD9" w:rsidR="0067439B" w:rsidRPr="00A13ED4" w:rsidRDefault="0067439B" w:rsidP="0067439B">
            <w:pPr>
              <w:rPr>
                <w:rFonts w:cs="Arial"/>
              </w:rPr>
            </w:pPr>
            <w:r w:rsidRPr="00A13ED4">
              <w:rPr>
                <w:rFonts w:cs="Arial"/>
                <w:b/>
                <w:bCs/>
              </w:rPr>
              <w:t>Р- стойност</w:t>
            </w:r>
          </w:p>
        </w:tc>
      </w:tr>
      <w:tr w:rsidR="00114D09" w14:paraId="22179F72" w14:textId="77777777" w:rsidTr="00114D09">
        <w:tc>
          <w:tcPr>
            <w:tcW w:w="1513" w:type="dxa"/>
          </w:tcPr>
          <w:p w14:paraId="434EA5F1" w14:textId="3B40F607" w:rsidR="00114D09" w:rsidRPr="00114D09" w:rsidRDefault="00114D09" w:rsidP="00584B6F">
            <w:pPr>
              <w:rPr>
                <w:rFonts w:cs="Arial"/>
                <w:b/>
                <w:bCs/>
              </w:rPr>
            </w:pPr>
            <w:r w:rsidRPr="00A13ED4">
              <w:rPr>
                <w:rFonts w:cs="Arial"/>
                <w:b/>
                <w:bCs/>
              </w:rPr>
              <w:t>ПБП</w:t>
            </w:r>
          </w:p>
          <w:p w14:paraId="00F6B6C5" w14:textId="4EA24298" w:rsidR="00114D09" w:rsidRPr="0067439B" w:rsidRDefault="00114D09" w:rsidP="0067439B">
            <w:pPr>
              <w:spacing w:line="240" w:lineRule="auto"/>
              <w:rPr>
                <w:rFonts w:eastAsia="Times New Roman" w:cs="Arial"/>
                <w:lang w:eastAsia="bg-BG"/>
              </w:rPr>
            </w:pPr>
          </w:p>
        </w:tc>
        <w:tc>
          <w:tcPr>
            <w:tcW w:w="1549" w:type="dxa"/>
            <w:gridSpan w:val="2"/>
          </w:tcPr>
          <w:p w14:paraId="4702FACF" w14:textId="06CFC295" w:rsidR="00114D09" w:rsidRPr="00A13ED4" w:rsidRDefault="00114D09" w:rsidP="0067439B">
            <w:pPr>
              <w:rPr>
                <w:rFonts w:cs="Arial"/>
              </w:rPr>
            </w:pPr>
            <w:r w:rsidRPr="0067439B">
              <w:rPr>
                <w:rFonts w:eastAsia="Times New Roman" w:cs="Arial"/>
                <w:b/>
                <w:bCs/>
                <w:color w:val="000000"/>
                <w:lang w:eastAsia="bg-BG"/>
              </w:rPr>
              <w:t>К-М медиана</w:t>
            </w:r>
            <w:r w:rsidRPr="00A13ED4">
              <w:rPr>
                <w:rFonts w:eastAsia="Times New Roman" w:cs="Arial"/>
                <w:b/>
                <w:bCs/>
                <w:color w:val="000000"/>
                <w:lang w:eastAsia="bg-BG"/>
              </w:rPr>
              <w:t xml:space="preserve"> в месеци; коефициент на риск</w:t>
            </w:r>
          </w:p>
        </w:tc>
        <w:tc>
          <w:tcPr>
            <w:tcW w:w="1510" w:type="dxa"/>
            <w:vAlign w:val="bottom"/>
          </w:tcPr>
          <w:p w14:paraId="585CA1AD" w14:textId="3D7464F5" w:rsidR="00114D09" w:rsidRPr="00A13ED4" w:rsidRDefault="00114D09" w:rsidP="00584B6F">
            <w:pPr>
              <w:rPr>
                <w:rFonts w:cs="Arial"/>
              </w:rPr>
            </w:pPr>
          </w:p>
        </w:tc>
        <w:tc>
          <w:tcPr>
            <w:tcW w:w="1182" w:type="dxa"/>
            <w:vAlign w:val="bottom"/>
          </w:tcPr>
          <w:p w14:paraId="74B358D0" w14:textId="3137FF91" w:rsidR="00114D09" w:rsidRPr="00A13ED4" w:rsidRDefault="00114D09" w:rsidP="00584B6F">
            <w:pPr>
              <w:rPr>
                <w:rFonts w:cs="Arial"/>
              </w:rPr>
            </w:pPr>
          </w:p>
        </w:tc>
        <w:tc>
          <w:tcPr>
            <w:tcW w:w="1436" w:type="dxa"/>
            <w:vAlign w:val="bottom"/>
          </w:tcPr>
          <w:p w14:paraId="1F632424" w14:textId="3FD0914C" w:rsidR="00114D09" w:rsidRPr="00A13ED4" w:rsidRDefault="00114D09" w:rsidP="00584B6F">
            <w:pPr>
              <w:rPr>
                <w:rFonts w:cs="Arial"/>
              </w:rPr>
            </w:pPr>
          </w:p>
        </w:tc>
        <w:tc>
          <w:tcPr>
            <w:tcW w:w="1044" w:type="dxa"/>
            <w:vAlign w:val="bottom"/>
          </w:tcPr>
          <w:p w14:paraId="396E473B" w14:textId="61A5CD4E" w:rsidR="00114D09" w:rsidRPr="00A13ED4" w:rsidRDefault="00114D09" w:rsidP="00A13ED4">
            <w:pPr>
              <w:rPr>
                <w:rFonts w:cs="Arial"/>
              </w:rPr>
            </w:pPr>
          </w:p>
        </w:tc>
        <w:tc>
          <w:tcPr>
            <w:tcW w:w="1116" w:type="dxa"/>
            <w:vAlign w:val="bottom"/>
          </w:tcPr>
          <w:p w14:paraId="56AF6737" w14:textId="4A8E4FB1" w:rsidR="00114D09" w:rsidRPr="00A13ED4" w:rsidRDefault="00114D09" w:rsidP="00584B6F">
            <w:pPr>
              <w:rPr>
                <w:rFonts w:cs="Arial"/>
              </w:rPr>
            </w:pPr>
          </w:p>
        </w:tc>
      </w:tr>
      <w:tr w:rsidR="00A13ED4" w14:paraId="47D50494" w14:textId="77777777" w:rsidTr="00114D09">
        <w:tc>
          <w:tcPr>
            <w:tcW w:w="3062" w:type="dxa"/>
            <w:gridSpan w:val="3"/>
          </w:tcPr>
          <w:p w14:paraId="379F4FFE" w14:textId="094997A1" w:rsidR="00A13ED4" w:rsidRPr="00A13ED4" w:rsidRDefault="00A13ED4" w:rsidP="00A13ED4">
            <w:pPr>
              <w:rPr>
                <w:rFonts w:cs="Arial"/>
              </w:rPr>
            </w:pPr>
            <w:r w:rsidRPr="00A13ED4">
              <w:rPr>
                <w:rFonts w:cs="Arial"/>
                <w:b/>
                <w:bCs/>
              </w:rPr>
              <w:t>Общо пациенти</w:t>
            </w:r>
          </w:p>
        </w:tc>
        <w:tc>
          <w:tcPr>
            <w:tcW w:w="1510" w:type="dxa"/>
            <w:vAlign w:val="bottom"/>
          </w:tcPr>
          <w:p w14:paraId="75CC873B" w14:textId="5AFF6860" w:rsidR="00A13ED4" w:rsidRPr="00A13ED4" w:rsidRDefault="00A13ED4" w:rsidP="00A13ED4">
            <w:pPr>
              <w:rPr>
                <w:rFonts w:cs="Arial"/>
              </w:rPr>
            </w:pPr>
            <w:r w:rsidRPr="00A13ED4">
              <w:rPr>
                <w:rFonts w:cs="Arial"/>
                <w:b/>
                <w:bCs/>
              </w:rPr>
              <w:t>6,5</w:t>
            </w:r>
          </w:p>
        </w:tc>
        <w:tc>
          <w:tcPr>
            <w:tcW w:w="1182" w:type="dxa"/>
            <w:vAlign w:val="bottom"/>
          </w:tcPr>
          <w:p w14:paraId="426CD8F8" w14:textId="135417D3" w:rsidR="00A13ED4" w:rsidRPr="00A13ED4" w:rsidRDefault="00A13ED4" w:rsidP="00A13ED4">
            <w:pPr>
              <w:rPr>
                <w:rFonts w:cs="Arial"/>
              </w:rPr>
            </w:pPr>
            <w:r w:rsidRPr="00A13ED4">
              <w:rPr>
                <w:rFonts w:cs="Arial"/>
                <w:b/>
                <w:bCs/>
              </w:rPr>
              <w:t>5,5</w:t>
            </w:r>
          </w:p>
        </w:tc>
        <w:tc>
          <w:tcPr>
            <w:tcW w:w="1436" w:type="dxa"/>
            <w:vAlign w:val="bottom"/>
          </w:tcPr>
          <w:p w14:paraId="64CC89B8" w14:textId="1C22B12D" w:rsidR="00A13ED4" w:rsidRPr="00A13ED4" w:rsidRDefault="00A13ED4" w:rsidP="00A13ED4">
            <w:pPr>
              <w:rPr>
                <w:rFonts w:cs="Arial"/>
              </w:rPr>
            </w:pPr>
            <w:r w:rsidRPr="00A13ED4">
              <w:rPr>
                <w:rFonts w:cs="Arial"/>
                <w:b/>
                <w:bCs/>
              </w:rPr>
              <w:t>0,80</w:t>
            </w:r>
          </w:p>
        </w:tc>
        <w:tc>
          <w:tcPr>
            <w:tcW w:w="1044" w:type="dxa"/>
            <w:vAlign w:val="bottom"/>
          </w:tcPr>
          <w:p w14:paraId="15CC39B4" w14:textId="79F3D5AC" w:rsidR="00A13ED4" w:rsidRPr="00A13ED4" w:rsidRDefault="00A13ED4" w:rsidP="00A13ED4">
            <w:pPr>
              <w:rPr>
                <w:rFonts w:cs="Arial"/>
              </w:rPr>
            </w:pPr>
            <w:r w:rsidRPr="00A13ED4">
              <w:rPr>
                <w:rFonts w:cs="Arial"/>
                <w:b/>
                <w:bCs/>
              </w:rPr>
              <w:t>0,68,0,94</w:t>
            </w:r>
          </w:p>
        </w:tc>
        <w:tc>
          <w:tcPr>
            <w:tcW w:w="1116" w:type="dxa"/>
            <w:vAlign w:val="bottom"/>
          </w:tcPr>
          <w:p w14:paraId="56CE6A68" w14:textId="1A592EE2" w:rsidR="00A13ED4" w:rsidRPr="00A13ED4" w:rsidRDefault="00A13ED4" w:rsidP="00A13ED4">
            <w:pPr>
              <w:rPr>
                <w:rFonts w:cs="Arial"/>
              </w:rPr>
            </w:pPr>
            <w:r w:rsidRPr="00A13ED4">
              <w:rPr>
                <w:rFonts w:cs="Arial"/>
                <w:b/>
                <w:bCs/>
              </w:rPr>
              <w:t>0,006</w:t>
            </w:r>
          </w:p>
        </w:tc>
      </w:tr>
      <w:tr w:rsidR="00A13ED4" w14:paraId="1BEAFC46" w14:textId="77777777" w:rsidTr="00114D09">
        <w:tc>
          <w:tcPr>
            <w:tcW w:w="3062" w:type="dxa"/>
            <w:gridSpan w:val="3"/>
            <w:vAlign w:val="bottom"/>
          </w:tcPr>
          <w:p w14:paraId="4EA04C0D" w14:textId="3549E0DF" w:rsidR="00A13ED4" w:rsidRPr="00A13ED4" w:rsidRDefault="00A13ED4" w:rsidP="00A13ED4">
            <w:pPr>
              <w:rPr>
                <w:rFonts w:cs="Arial"/>
              </w:rPr>
            </w:pPr>
            <w:r w:rsidRPr="00A13ED4">
              <w:rPr>
                <w:rFonts w:cs="Arial"/>
                <w:b/>
                <w:bCs/>
              </w:rPr>
              <w:t>- АЕ подгрупа (</w:t>
            </w:r>
            <w:r w:rsidRPr="00A13ED4">
              <w:rPr>
                <w:rFonts w:cs="Arial"/>
                <w:b/>
                <w:bCs/>
                <w:lang w:val="en-US"/>
              </w:rPr>
              <w:t>n</w:t>
            </w:r>
            <w:r w:rsidRPr="00A13ED4">
              <w:rPr>
                <w:rFonts w:cs="Arial"/>
                <w:b/>
                <w:bCs/>
              </w:rPr>
              <w:t>=423)</w:t>
            </w:r>
          </w:p>
        </w:tc>
        <w:tc>
          <w:tcPr>
            <w:tcW w:w="1510" w:type="dxa"/>
            <w:vAlign w:val="bottom"/>
          </w:tcPr>
          <w:p w14:paraId="76926F01" w14:textId="6A685044" w:rsidR="00A13ED4" w:rsidRPr="00A13ED4" w:rsidRDefault="00A13ED4" w:rsidP="00A13ED4">
            <w:pPr>
              <w:rPr>
                <w:rFonts w:cs="Arial"/>
              </w:rPr>
            </w:pPr>
            <w:r w:rsidRPr="00A13ED4">
              <w:rPr>
                <w:rFonts w:cs="Arial"/>
                <w:b/>
                <w:bCs/>
              </w:rPr>
              <w:t>8,6</w:t>
            </w:r>
          </w:p>
        </w:tc>
        <w:tc>
          <w:tcPr>
            <w:tcW w:w="1182" w:type="dxa"/>
            <w:vAlign w:val="bottom"/>
          </w:tcPr>
          <w:p w14:paraId="6AB962DC" w14:textId="3EDC3B70" w:rsidR="00A13ED4" w:rsidRPr="00A13ED4" w:rsidRDefault="00A13ED4" w:rsidP="00A13ED4">
            <w:pPr>
              <w:rPr>
                <w:rFonts w:cs="Arial"/>
              </w:rPr>
            </w:pPr>
            <w:r w:rsidRPr="00A13ED4">
              <w:rPr>
                <w:rFonts w:cs="Arial"/>
                <w:b/>
                <w:bCs/>
              </w:rPr>
              <w:t>5,8</w:t>
            </w:r>
          </w:p>
        </w:tc>
        <w:tc>
          <w:tcPr>
            <w:tcW w:w="1436" w:type="dxa"/>
            <w:vAlign w:val="bottom"/>
          </w:tcPr>
          <w:p w14:paraId="65128888" w14:textId="21E0FF65" w:rsidR="00A13ED4" w:rsidRPr="00A13ED4" w:rsidRDefault="00A13ED4" w:rsidP="00A13ED4">
            <w:pPr>
              <w:rPr>
                <w:rFonts w:cs="Arial"/>
              </w:rPr>
            </w:pPr>
            <w:r w:rsidRPr="00A13ED4">
              <w:rPr>
                <w:rFonts w:cs="Arial"/>
                <w:b/>
                <w:bCs/>
              </w:rPr>
              <w:t>0,76</w:t>
            </w:r>
          </w:p>
        </w:tc>
        <w:tc>
          <w:tcPr>
            <w:tcW w:w="1044" w:type="dxa"/>
            <w:vAlign w:val="bottom"/>
          </w:tcPr>
          <w:p w14:paraId="130CB7DB" w14:textId="4FB29903" w:rsidR="00A13ED4" w:rsidRPr="00A13ED4" w:rsidRDefault="00A13ED4" w:rsidP="00A13ED4">
            <w:pPr>
              <w:rPr>
                <w:rFonts w:cs="Arial"/>
              </w:rPr>
            </w:pPr>
            <w:r w:rsidRPr="00A13ED4">
              <w:rPr>
                <w:rFonts w:cs="Arial"/>
                <w:b/>
                <w:bCs/>
              </w:rPr>
              <w:t>0,62,0,94</w:t>
            </w:r>
          </w:p>
        </w:tc>
        <w:tc>
          <w:tcPr>
            <w:tcW w:w="1116" w:type="dxa"/>
            <w:vAlign w:val="bottom"/>
          </w:tcPr>
          <w:p w14:paraId="69F5F5FE" w14:textId="11A4E155" w:rsidR="00A13ED4" w:rsidRPr="00A13ED4" w:rsidRDefault="00A13ED4" w:rsidP="00A13ED4">
            <w:pPr>
              <w:rPr>
                <w:rFonts w:cs="Arial"/>
              </w:rPr>
            </w:pPr>
            <w:r w:rsidRPr="00A13ED4">
              <w:rPr>
                <w:rFonts w:cs="Arial"/>
                <w:b/>
                <w:bCs/>
              </w:rPr>
              <w:t>0,013</w:t>
            </w:r>
          </w:p>
        </w:tc>
      </w:tr>
      <w:tr w:rsidR="00A13ED4" w14:paraId="1807D357" w14:textId="77777777" w:rsidTr="00114D09">
        <w:tc>
          <w:tcPr>
            <w:tcW w:w="3062" w:type="dxa"/>
            <w:gridSpan w:val="3"/>
            <w:vAlign w:val="bottom"/>
          </w:tcPr>
          <w:p w14:paraId="16655ADA" w14:textId="37B20882" w:rsidR="00A13ED4" w:rsidRPr="00A13ED4" w:rsidRDefault="00A13ED4" w:rsidP="00A13ED4">
            <w:pPr>
              <w:rPr>
                <w:rFonts w:cs="Arial"/>
              </w:rPr>
            </w:pPr>
            <w:r w:rsidRPr="00A13ED4">
              <w:rPr>
                <w:rFonts w:cs="Arial"/>
                <w:b/>
                <w:bCs/>
              </w:rPr>
              <w:t>- АИ подгрупа (n=313)</w:t>
            </w:r>
            <w:r w:rsidRPr="00A13ED4">
              <w:rPr>
                <w:rFonts w:cs="Arial"/>
                <w:b/>
                <w:bCs/>
                <w:vertAlign w:val="superscript"/>
              </w:rPr>
              <w:t>а</w:t>
            </w:r>
          </w:p>
        </w:tc>
        <w:tc>
          <w:tcPr>
            <w:tcW w:w="1510" w:type="dxa"/>
            <w:vAlign w:val="bottom"/>
          </w:tcPr>
          <w:p w14:paraId="495B2A39" w14:textId="7D653A2A" w:rsidR="00A13ED4" w:rsidRPr="00A13ED4" w:rsidRDefault="00A13ED4" w:rsidP="00A13ED4">
            <w:pPr>
              <w:rPr>
                <w:rFonts w:cs="Arial"/>
                <w:b/>
                <w:bCs/>
              </w:rPr>
            </w:pPr>
            <w:r w:rsidRPr="00A13ED4">
              <w:rPr>
                <w:rFonts w:cs="Arial"/>
                <w:b/>
                <w:bCs/>
              </w:rPr>
              <w:t>5,4</w:t>
            </w:r>
          </w:p>
        </w:tc>
        <w:tc>
          <w:tcPr>
            <w:tcW w:w="1182" w:type="dxa"/>
            <w:vAlign w:val="bottom"/>
          </w:tcPr>
          <w:p w14:paraId="496F9C0E" w14:textId="2F75579E" w:rsidR="00A13ED4" w:rsidRPr="00A13ED4" w:rsidRDefault="00A13ED4" w:rsidP="00A13ED4">
            <w:pPr>
              <w:rPr>
                <w:rFonts w:cs="Arial"/>
                <w:b/>
                <w:bCs/>
              </w:rPr>
            </w:pPr>
            <w:r w:rsidRPr="00A13ED4">
              <w:rPr>
                <w:rFonts w:cs="Arial"/>
                <w:b/>
                <w:bCs/>
              </w:rPr>
              <w:t>4,1</w:t>
            </w:r>
          </w:p>
        </w:tc>
        <w:tc>
          <w:tcPr>
            <w:tcW w:w="1436" w:type="dxa"/>
            <w:vAlign w:val="bottom"/>
          </w:tcPr>
          <w:p w14:paraId="59C2ACA3" w14:textId="43AF13B4" w:rsidR="00A13ED4" w:rsidRPr="00A13ED4" w:rsidRDefault="00A13ED4" w:rsidP="00A13ED4">
            <w:pPr>
              <w:rPr>
                <w:rFonts w:cs="Arial"/>
                <w:b/>
                <w:bCs/>
              </w:rPr>
            </w:pPr>
            <w:r w:rsidRPr="00A13ED4">
              <w:rPr>
                <w:rFonts w:cs="Arial"/>
                <w:b/>
                <w:bCs/>
              </w:rPr>
              <w:t>0,85</w:t>
            </w:r>
          </w:p>
        </w:tc>
        <w:tc>
          <w:tcPr>
            <w:tcW w:w="1044" w:type="dxa"/>
            <w:vAlign w:val="bottom"/>
          </w:tcPr>
          <w:p w14:paraId="1C65C41B" w14:textId="2E93A8EC" w:rsidR="00A13ED4" w:rsidRPr="00A13ED4" w:rsidRDefault="00A13ED4" w:rsidP="00A13ED4">
            <w:pPr>
              <w:rPr>
                <w:rFonts w:cs="Arial"/>
                <w:b/>
                <w:bCs/>
              </w:rPr>
            </w:pPr>
            <w:r w:rsidRPr="00A13ED4">
              <w:rPr>
                <w:rFonts w:cs="Arial"/>
                <w:b/>
                <w:bCs/>
              </w:rPr>
              <w:t>0,67,1,08</w:t>
            </w:r>
          </w:p>
        </w:tc>
        <w:tc>
          <w:tcPr>
            <w:tcW w:w="1116" w:type="dxa"/>
            <w:vAlign w:val="bottom"/>
          </w:tcPr>
          <w:p w14:paraId="0720FFF3" w14:textId="71C438FA" w:rsidR="00A13ED4" w:rsidRPr="00A13ED4" w:rsidRDefault="00A13ED4" w:rsidP="00A13ED4">
            <w:pPr>
              <w:rPr>
                <w:rFonts w:cs="Arial"/>
                <w:b/>
                <w:bCs/>
              </w:rPr>
            </w:pPr>
            <w:r w:rsidRPr="00A13ED4">
              <w:rPr>
                <w:rFonts w:cs="Arial"/>
                <w:b/>
                <w:bCs/>
              </w:rPr>
              <w:t>0,195</w:t>
            </w:r>
          </w:p>
        </w:tc>
      </w:tr>
      <w:tr w:rsidR="00114D09" w14:paraId="6DA7B34E" w14:textId="77777777" w:rsidTr="00D6506D">
        <w:tc>
          <w:tcPr>
            <w:tcW w:w="1531" w:type="dxa"/>
            <w:gridSpan w:val="2"/>
            <w:vAlign w:val="bottom"/>
          </w:tcPr>
          <w:p w14:paraId="75C1CA52" w14:textId="77777777" w:rsidR="00114D09" w:rsidRPr="00114D09" w:rsidRDefault="00114D09" w:rsidP="00114D09">
            <w:pPr>
              <w:spacing w:line="240" w:lineRule="auto"/>
              <w:rPr>
                <w:rFonts w:cs="Arial"/>
                <w:b/>
                <w:bCs/>
              </w:rPr>
            </w:pPr>
            <w:r w:rsidRPr="00A13ED4">
              <w:rPr>
                <w:rFonts w:cs="Arial"/>
                <w:b/>
                <w:bCs/>
              </w:rPr>
              <w:t>ПБП</w:t>
            </w:r>
          </w:p>
          <w:p w14:paraId="734D5A56" w14:textId="3C1094E4" w:rsidR="00114D09" w:rsidRPr="0067439B" w:rsidRDefault="00114D09" w:rsidP="00A13ED4">
            <w:pPr>
              <w:spacing w:line="240" w:lineRule="auto"/>
              <w:rPr>
                <w:rFonts w:eastAsia="Times New Roman" w:cs="Arial"/>
                <w:lang w:eastAsia="bg-BG"/>
              </w:rPr>
            </w:pPr>
          </w:p>
        </w:tc>
        <w:tc>
          <w:tcPr>
            <w:tcW w:w="1531" w:type="dxa"/>
            <w:vAlign w:val="bottom"/>
          </w:tcPr>
          <w:p w14:paraId="4A2558D7" w14:textId="47044656" w:rsidR="00114D09" w:rsidRPr="00A13ED4" w:rsidRDefault="00114D09" w:rsidP="00A13ED4">
            <w:pPr>
              <w:rPr>
                <w:rFonts w:cs="Arial"/>
                <w:b/>
                <w:bCs/>
              </w:rPr>
            </w:pPr>
            <w:r w:rsidRPr="0067439B">
              <w:rPr>
                <w:rFonts w:eastAsia="Times New Roman" w:cs="Arial"/>
                <w:b/>
                <w:bCs/>
                <w:color w:val="000000"/>
                <w:lang w:eastAsia="bg-BG"/>
              </w:rPr>
              <w:t>К-М медиана</w:t>
            </w:r>
            <w:r w:rsidRPr="00A13ED4">
              <w:rPr>
                <w:rFonts w:eastAsia="Times New Roman" w:cs="Arial"/>
                <w:b/>
                <w:bCs/>
                <w:color w:val="000000"/>
                <w:lang w:eastAsia="bg-BG"/>
              </w:rPr>
              <w:t xml:space="preserve"> в месеци; коефициент на риск</w:t>
            </w:r>
          </w:p>
        </w:tc>
        <w:tc>
          <w:tcPr>
            <w:tcW w:w="1510" w:type="dxa"/>
            <w:vAlign w:val="bottom"/>
          </w:tcPr>
          <w:p w14:paraId="15CE0F58" w14:textId="77777777" w:rsidR="00114D09" w:rsidRPr="00A13ED4" w:rsidRDefault="00114D09" w:rsidP="0067439B">
            <w:pPr>
              <w:rPr>
                <w:rFonts w:cs="Arial"/>
                <w:b/>
                <w:bCs/>
              </w:rPr>
            </w:pPr>
          </w:p>
        </w:tc>
        <w:tc>
          <w:tcPr>
            <w:tcW w:w="1182" w:type="dxa"/>
            <w:vAlign w:val="bottom"/>
          </w:tcPr>
          <w:p w14:paraId="1D2F5147" w14:textId="77777777" w:rsidR="00114D09" w:rsidRPr="00A13ED4" w:rsidRDefault="00114D09" w:rsidP="0067439B">
            <w:pPr>
              <w:rPr>
                <w:rFonts w:cs="Arial"/>
                <w:b/>
                <w:bCs/>
              </w:rPr>
            </w:pPr>
          </w:p>
        </w:tc>
        <w:tc>
          <w:tcPr>
            <w:tcW w:w="1436" w:type="dxa"/>
            <w:vAlign w:val="bottom"/>
          </w:tcPr>
          <w:p w14:paraId="3B4DCE03" w14:textId="77777777" w:rsidR="00114D09" w:rsidRPr="00A13ED4" w:rsidRDefault="00114D09" w:rsidP="0067439B">
            <w:pPr>
              <w:rPr>
                <w:rFonts w:cs="Arial"/>
                <w:b/>
                <w:bCs/>
              </w:rPr>
            </w:pPr>
          </w:p>
        </w:tc>
        <w:tc>
          <w:tcPr>
            <w:tcW w:w="1044" w:type="dxa"/>
            <w:vAlign w:val="bottom"/>
          </w:tcPr>
          <w:p w14:paraId="32E50BED" w14:textId="77777777" w:rsidR="00114D09" w:rsidRPr="00A13ED4" w:rsidRDefault="00114D09" w:rsidP="0067439B">
            <w:pPr>
              <w:rPr>
                <w:rFonts w:cs="Arial"/>
                <w:b/>
                <w:bCs/>
              </w:rPr>
            </w:pPr>
          </w:p>
        </w:tc>
        <w:tc>
          <w:tcPr>
            <w:tcW w:w="1116" w:type="dxa"/>
            <w:vAlign w:val="bottom"/>
          </w:tcPr>
          <w:p w14:paraId="18075DD7" w14:textId="77777777" w:rsidR="00114D09" w:rsidRPr="00A13ED4" w:rsidRDefault="00114D09" w:rsidP="0067439B">
            <w:pPr>
              <w:rPr>
                <w:rFonts w:cs="Arial"/>
                <w:b/>
                <w:bCs/>
              </w:rPr>
            </w:pPr>
          </w:p>
        </w:tc>
      </w:tr>
      <w:tr w:rsidR="0067439B" w14:paraId="5D902795" w14:textId="77777777" w:rsidTr="00114D09">
        <w:tc>
          <w:tcPr>
            <w:tcW w:w="3062" w:type="dxa"/>
            <w:gridSpan w:val="3"/>
          </w:tcPr>
          <w:p w14:paraId="517B489B" w14:textId="1F0B0042" w:rsidR="0067439B" w:rsidRPr="00A13ED4" w:rsidRDefault="0067439B" w:rsidP="00584B6F">
            <w:pPr>
              <w:rPr>
                <w:rFonts w:cs="Arial"/>
              </w:rPr>
            </w:pPr>
            <w:r w:rsidRPr="00A13ED4">
              <w:rPr>
                <w:rFonts w:cs="Arial"/>
                <w:b/>
                <w:bCs/>
              </w:rPr>
              <w:t>Общо пациенти</w:t>
            </w:r>
          </w:p>
        </w:tc>
        <w:tc>
          <w:tcPr>
            <w:tcW w:w="1510" w:type="dxa"/>
            <w:vAlign w:val="bottom"/>
          </w:tcPr>
          <w:p w14:paraId="019D399B" w14:textId="41DCB77F" w:rsidR="0067439B" w:rsidRPr="00A13ED4" w:rsidRDefault="0067439B" w:rsidP="00584B6F">
            <w:pPr>
              <w:rPr>
                <w:rFonts w:cs="Arial"/>
              </w:rPr>
            </w:pPr>
            <w:r w:rsidRPr="00A13ED4">
              <w:rPr>
                <w:rFonts w:cs="Arial"/>
                <w:b/>
                <w:bCs/>
              </w:rPr>
              <w:t>26,4</w:t>
            </w:r>
          </w:p>
        </w:tc>
        <w:tc>
          <w:tcPr>
            <w:tcW w:w="1182" w:type="dxa"/>
            <w:vAlign w:val="bottom"/>
          </w:tcPr>
          <w:p w14:paraId="07B793E1" w14:textId="4B785F4C" w:rsidR="0067439B" w:rsidRPr="00A13ED4" w:rsidRDefault="0067439B" w:rsidP="00584B6F">
            <w:pPr>
              <w:rPr>
                <w:rFonts w:cs="Arial"/>
              </w:rPr>
            </w:pPr>
            <w:r w:rsidRPr="00A13ED4">
              <w:rPr>
                <w:rFonts w:cs="Arial"/>
                <w:b/>
                <w:bCs/>
              </w:rPr>
              <w:t>22,3</w:t>
            </w:r>
          </w:p>
        </w:tc>
        <w:tc>
          <w:tcPr>
            <w:tcW w:w="1436" w:type="dxa"/>
            <w:vAlign w:val="bottom"/>
          </w:tcPr>
          <w:p w14:paraId="28B0C46E" w14:textId="63ECD07B" w:rsidR="0067439B" w:rsidRPr="00A13ED4" w:rsidRDefault="0067439B" w:rsidP="00584B6F">
            <w:pPr>
              <w:rPr>
                <w:rFonts w:cs="Arial"/>
              </w:rPr>
            </w:pPr>
            <w:r w:rsidRPr="00A13ED4">
              <w:rPr>
                <w:rFonts w:cs="Arial"/>
                <w:b/>
                <w:bCs/>
              </w:rPr>
              <w:t>0,81</w:t>
            </w:r>
          </w:p>
        </w:tc>
        <w:tc>
          <w:tcPr>
            <w:tcW w:w="1044" w:type="dxa"/>
            <w:vAlign w:val="bottom"/>
          </w:tcPr>
          <w:p w14:paraId="206C7CF4" w14:textId="0F06F1C7" w:rsidR="0067439B" w:rsidRPr="00A13ED4" w:rsidRDefault="0067439B" w:rsidP="00584B6F">
            <w:pPr>
              <w:rPr>
                <w:rFonts w:cs="Arial"/>
              </w:rPr>
            </w:pPr>
            <w:r w:rsidRPr="00A13ED4">
              <w:rPr>
                <w:rFonts w:cs="Arial"/>
                <w:b/>
                <w:bCs/>
              </w:rPr>
              <w:t>0,69,0,96</w:t>
            </w:r>
          </w:p>
        </w:tc>
        <w:tc>
          <w:tcPr>
            <w:tcW w:w="1116" w:type="dxa"/>
            <w:vAlign w:val="bottom"/>
          </w:tcPr>
          <w:p w14:paraId="7D025552" w14:textId="187612C5" w:rsidR="0067439B" w:rsidRPr="00A13ED4" w:rsidRDefault="0067439B" w:rsidP="00584B6F">
            <w:pPr>
              <w:rPr>
                <w:rFonts w:cs="Arial"/>
              </w:rPr>
            </w:pPr>
            <w:r w:rsidRPr="00A13ED4">
              <w:rPr>
                <w:rFonts w:cs="Arial"/>
                <w:b/>
                <w:bCs/>
              </w:rPr>
              <w:t>0,016</w:t>
            </w:r>
            <w:r w:rsidRPr="00A13ED4">
              <w:rPr>
                <w:rFonts w:cs="Arial"/>
                <w:b/>
                <w:bCs/>
                <w:vertAlign w:val="superscript"/>
              </w:rPr>
              <w:t>С</w:t>
            </w:r>
          </w:p>
        </w:tc>
      </w:tr>
      <w:tr w:rsidR="0067439B" w14:paraId="401BA2B7" w14:textId="77777777" w:rsidTr="00114D09">
        <w:tc>
          <w:tcPr>
            <w:tcW w:w="3062" w:type="dxa"/>
            <w:gridSpan w:val="3"/>
            <w:vAlign w:val="bottom"/>
          </w:tcPr>
          <w:p w14:paraId="2BC37237" w14:textId="5C864CDB" w:rsidR="0067439B" w:rsidRPr="00A13ED4" w:rsidRDefault="0067439B" w:rsidP="0067439B">
            <w:pPr>
              <w:rPr>
                <w:rFonts w:cs="Arial"/>
              </w:rPr>
            </w:pPr>
            <w:r w:rsidRPr="00A13ED4">
              <w:rPr>
                <w:rFonts w:cs="Arial"/>
                <w:b/>
                <w:bCs/>
              </w:rPr>
              <w:t>- АЕ подгрупа (п=423)</w:t>
            </w:r>
          </w:p>
        </w:tc>
        <w:tc>
          <w:tcPr>
            <w:tcW w:w="1510" w:type="dxa"/>
            <w:vAlign w:val="bottom"/>
          </w:tcPr>
          <w:p w14:paraId="0401766F" w14:textId="04BAE13E" w:rsidR="0067439B" w:rsidRPr="00A13ED4" w:rsidRDefault="0067439B" w:rsidP="0067439B">
            <w:pPr>
              <w:rPr>
                <w:rFonts w:cs="Arial"/>
              </w:rPr>
            </w:pPr>
            <w:r w:rsidRPr="00A13ED4">
              <w:rPr>
                <w:rFonts w:cs="Arial"/>
                <w:b/>
                <w:bCs/>
              </w:rPr>
              <w:t>30,6</w:t>
            </w:r>
          </w:p>
        </w:tc>
        <w:tc>
          <w:tcPr>
            <w:tcW w:w="1182" w:type="dxa"/>
            <w:vAlign w:val="bottom"/>
          </w:tcPr>
          <w:p w14:paraId="47293A9E" w14:textId="105FBA8E" w:rsidR="0067439B" w:rsidRPr="00A13ED4" w:rsidRDefault="0067439B" w:rsidP="0067439B">
            <w:pPr>
              <w:rPr>
                <w:rFonts w:cs="Arial"/>
              </w:rPr>
            </w:pPr>
            <w:r w:rsidRPr="00A13ED4">
              <w:rPr>
                <w:rFonts w:cs="Arial"/>
                <w:b/>
                <w:bCs/>
              </w:rPr>
              <w:t>23,9</w:t>
            </w:r>
          </w:p>
        </w:tc>
        <w:tc>
          <w:tcPr>
            <w:tcW w:w="1436" w:type="dxa"/>
            <w:vAlign w:val="bottom"/>
          </w:tcPr>
          <w:p w14:paraId="13BAA561" w14:textId="43848173" w:rsidR="0067439B" w:rsidRPr="00A13ED4" w:rsidRDefault="0067439B" w:rsidP="0067439B">
            <w:pPr>
              <w:rPr>
                <w:rFonts w:cs="Arial"/>
              </w:rPr>
            </w:pPr>
            <w:r w:rsidRPr="00A13ED4">
              <w:rPr>
                <w:rFonts w:cs="Arial"/>
                <w:b/>
                <w:bCs/>
              </w:rPr>
              <w:t>0,79</w:t>
            </w:r>
          </w:p>
        </w:tc>
        <w:tc>
          <w:tcPr>
            <w:tcW w:w="1044" w:type="dxa"/>
            <w:vAlign w:val="bottom"/>
          </w:tcPr>
          <w:p w14:paraId="7A6735E1" w14:textId="4D66E488" w:rsidR="0067439B" w:rsidRPr="00A13ED4" w:rsidRDefault="0067439B" w:rsidP="0067439B">
            <w:pPr>
              <w:rPr>
                <w:rFonts w:cs="Arial"/>
              </w:rPr>
            </w:pPr>
            <w:r w:rsidRPr="00A13ED4">
              <w:rPr>
                <w:rFonts w:cs="Arial"/>
                <w:b/>
                <w:bCs/>
              </w:rPr>
              <w:t>0,63,0,99</w:t>
            </w:r>
          </w:p>
        </w:tc>
        <w:tc>
          <w:tcPr>
            <w:tcW w:w="1116" w:type="dxa"/>
            <w:vAlign w:val="bottom"/>
          </w:tcPr>
          <w:p w14:paraId="648AE90E" w14:textId="7F5A0161" w:rsidR="0067439B" w:rsidRPr="00A13ED4" w:rsidRDefault="0067439B" w:rsidP="0067439B">
            <w:pPr>
              <w:rPr>
                <w:rFonts w:cs="Arial"/>
              </w:rPr>
            </w:pPr>
            <w:r w:rsidRPr="00A13ED4">
              <w:rPr>
                <w:rFonts w:cs="Arial"/>
                <w:b/>
                <w:bCs/>
              </w:rPr>
              <w:t>0,038</w:t>
            </w:r>
            <w:r w:rsidRPr="00A13ED4">
              <w:rPr>
                <w:rFonts w:cs="Arial"/>
                <w:b/>
                <w:bCs/>
                <w:vertAlign w:val="superscript"/>
              </w:rPr>
              <w:t>с</w:t>
            </w:r>
          </w:p>
        </w:tc>
      </w:tr>
      <w:tr w:rsidR="0067439B" w14:paraId="16128A85" w14:textId="77777777" w:rsidTr="00114D09">
        <w:tc>
          <w:tcPr>
            <w:tcW w:w="3062" w:type="dxa"/>
            <w:gridSpan w:val="3"/>
            <w:vAlign w:val="bottom"/>
          </w:tcPr>
          <w:p w14:paraId="57752738" w14:textId="273F43E1" w:rsidR="0067439B" w:rsidRPr="00A13ED4" w:rsidRDefault="0067439B" w:rsidP="0067439B">
            <w:pPr>
              <w:rPr>
                <w:rFonts w:cs="Arial"/>
              </w:rPr>
            </w:pPr>
            <w:r w:rsidRPr="00A13ED4">
              <w:rPr>
                <w:rFonts w:cs="Arial"/>
                <w:b/>
                <w:bCs/>
              </w:rPr>
              <w:t>- АИ подгрупа (п=313)</w:t>
            </w:r>
            <w:r w:rsidRPr="00A13ED4">
              <w:rPr>
                <w:rFonts w:cs="Arial"/>
                <w:b/>
                <w:bCs/>
                <w:vertAlign w:val="superscript"/>
              </w:rPr>
              <w:t>а</w:t>
            </w:r>
          </w:p>
        </w:tc>
        <w:tc>
          <w:tcPr>
            <w:tcW w:w="1510" w:type="dxa"/>
            <w:vAlign w:val="bottom"/>
          </w:tcPr>
          <w:p w14:paraId="446E75FF" w14:textId="3AF3ED7C" w:rsidR="0067439B" w:rsidRPr="00A13ED4" w:rsidRDefault="0067439B" w:rsidP="0067439B">
            <w:pPr>
              <w:rPr>
                <w:rFonts w:cs="Arial"/>
              </w:rPr>
            </w:pPr>
            <w:r w:rsidRPr="00A13ED4">
              <w:rPr>
                <w:rFonts w:cs="Arial"/>
                <w:b/>
                <w:bCs/>
              </w:rPr>
              <w:t>24,1</w:t>
            </w:r>
          </w:p>
        </w:tc>
        <w:tc>
          <w:tcPr>
            <w:tcW w:w="1182" w:type="dxa"/>
            <w:vAlign w:val="bottom"/>
          </w:tcPr>
          <w:p w14:paraId="5CB18BA1" w14:textId="3AEA82A4" w:rsidR="0067439B" w:rsidRPr="00A13ED4" w:rsidRDefault="0067439B" w:rsidP="0067439B">
            <w:pPr>
              <w:rPr>
                <w:rFonts w:cs="Arial"/>
              </w:rPr>
            </w:pPr>
            <w:r w:rsidRPr="00A13ED4">
              <w:rPr>
                <w:rFonts w:cs="Arial"/>
                <w:b/>
                <w:bCs/>
              </w:rPr>
              <w:t>20,8</w:t>
            </w:r>
          </w:p>
        </w:tc>
        <w:tc>
          <w:tcPr>
            <w:tcW w:w="1436" w:type="dxa"/>
            <w:vAlign w:val="bottom"/>
          </w:tcPr>
          <w:p w14:paraId="22469115" w14:textId="51A2AA30" w:rsidR="0067439B" w:rsidRPr="00A13ED4" w:rsidRDefault="0067439B" w:rsidP="0067439B">
            <w:pPr>
              <w:rPr>
                <w:rFonts w:cs="Arial"/>
              </w:rPr>
            </w:pPr>
            <w:r w:rsidRPr="00A13ED4">
              <w:rPr>
                <w:rFonts w:cs="Arial"/>
                <w:b/>
                <w:bCs/>
              </w:rPr>
              <w:t>0,86</w:t>
            </w:r>
          </w:p>
        </w:tc>
        <w:tc>
          <w:tcPr>
            <w:tcW w:w="1044" w:type="dxa"/>
            <w:vAlign w:val="bottom"/>
          </w:tcPr>
          <w:p w14:paraId="08389432" w14:textId="6867E0C1" w:rsidR="0067439B" w:rsidRPr="00A13ED4" w:rsidRDefault="0067439B" w:rsidP="0067439B">
            <w:pPr>
              <w:rPr>
                <w:rFonts w:cs="Arial"/>
              </w:rPr>
            </w:pPr>
            <w:r w:rsidRPr="00A13ED4">
              <w:rPr>
                <w:rFonts w:cs="Arial"/>
                <w:b/>
                <w:bCs/>
              </w:rPr>
              <w:t>0,67, 1,11</w:t>
            </w:r>
          </w:p>
        </w:tc>
        <w:tc>
          <w:tcPr>
            <w:tcW w:w="1116" w:type="dxa"/>
            <w:vAlign w:val="bottom"/>
          </w:tcPr>
          <w:p w14:paraId="7D99F32A" w14:textId="4922A238" w:rsidR="0067439B" w:rsidRPr="00A13ED4" w:rsidRDefault="0067439B" w:rsidP="0067439B">
            <w:pPr>
              <w:rPr>
                <w:rFonts w:cs="Arial"/>
              </w:rPr>
            </w:pPr>
            <w:r w:rsidRPr="00A13ED4">
              <w:rPr>
                <w:rFonts w:cs="Arial"/>
                <w:b/>
                <w:bCs/>
              </w:rPr>
              <w:t>0,241</w:t>
            </w:r>
            <w:r w:rsidR="00A13ED4" w:rsidRPr="00A13ED4">
              <w:rPr>
                <w:rFonts w:cs="Arial"/>
                <w:b/>
                <w:bCs/>
                <w:vertAlign w:val="superscript"/>
              </w:rPr>
              <w:t xml:space="preserve"> С</w:t>
            </w:r>
          </w:p>
        </w:tc>
      </w:tr>
    </w:tbl>
    <w:p w14:paraId="2EBE7A3C" w14:textId="56D47A34" w:rsidR="00852A5A" w:rsidRDefault="00852A5A" w:rsidP="0091385D"/>
    <w:tbl>
      <w:tblPr>
        <w:tblStyle w:val="TableGrid"/>
        <w:tblW w:w="8992" w:type="dxa"/>
        <w:tblLook w:val="04A0" w:firstRow="1" w:lastRow="0" w:firstColumn="1" w:lastColumn="0" w:noHBand="0" w:noVBand="1"/>
      </w:tblPr>
      <w:tblGrid>
        <w:gridCol w:w="1594"/>
        <w:gridCol w:w="79"/>
        <w:gridCol w:w="1664"/>
        <w:gridCol w:w="1651"/>
        <w:gridCol w:w="1288"/>
        <w:gridCol w:w="1575"/>
        <w:gridCol w:w="1141"/>
      </w:tblGrid>
      <w:tr w:rsidR="00833A4E" w14:paraId="57847B0F" w14:textId="77777777" w:rsidTr="00833A4E">
        <w:trPr>
          <w:trHeight w:val="810"/>
        </w:trPr>
        <w:tc>
          <w:tcPr>
            <w:tcW w:w="1594" w:type="dxa"/>
            <w:vMerge w:val="restart"/>
          </w:tcPr>
          <w:p w14:paraId="15FF0D3E" w14:textId="77777777" w:rsidR="00F22A89" w:rsidRDefault="00F22A89" w:rsidP="00852A5A">
            <w:pPr>
              <w:rPr>
                <w:b/>
                <w:bCs/>
              </w:rPr>
            </w:pPr>
            <w:r w:rsidRPr="00852A5A">
              <w:rPr>
                <w:b/>
                <w:bCs/>
              </w:rPr>
              <w:t xml:space="preserve">Променлива </w:t>
            </w:r>
          </w:p>
          <w:p w14:paraId="7E3B7F3B" w14:textId="77777777" w:rsidR="00F22A89" w:rsidRDefault="00F22A89" w:rsidP="00852A5A">
            <w:pPr>
              <w:rPr>
                <w:b/>
                <w:bCs/>
              </w:rPr>
            </w:pPr>
          </w:p>
        </w:tc>
        <w:tc>
          <w:tcPr>
            <w:tcW w:w="1743" w:type="dxa"/>
            <w:gridSpan w:val="2"/>
            <w:vMerge w:val="restart"/>
          </w:tcPr>
          <w:p w14:paraId="57F1A498" w14:textId="74ABC72E" w:rsidR="00F22A89" w:rsidRPr="00852A5A" w:rsidRDefault="00F22A89" w:rsidP="00852A5A">
            <w:r w:rsidRPr="00852A5A">
              <w:rPr>
                <w:b/>
                <w:bCs/>
              </w:rPr>
              <w:t>Метод на оценка; терапевтично сравнение</w:t>
            </w:r>
          </w:p>
        </w:tc>
        <w:tc>
          <w:tcPr>
            <w:tcW w:w="1651" w:type="dxa"/>
            <w:vMerge w:val="restart"/>
          </w:tcPr>
          <w:p w14:paraId="6C442DB6" w14:textId="55346C28" w:rsidR="00F22A89" w:rsidRPr="00852A5A" w:rsidRDefault="00F22A89" w:rsidP="00852A5A">
            <w:proofErr w:type="spellStart"/>
            <w:r w:rsidRPr="00852A5A">
              <w:rPr>
                <w:b/>
                <w:bCs/>
              </w:rPr>
              <w:t>Фулвестрант</w:t>
            </w:r>
            <w:proofErr w:type="spellEnd"/>
            <w:r w:rsidRPr="00852A5A">
              <w:rPr>
                <w:b/>
                <w:bCs/>
              </w:rPr>
              <w:t xml:space="preserve"> 500 </w:t>
            </w:r>
            <w:r w:rsidRPr="00852A5A">
              <w:rPr>
                <w:b/>
                <w:bCs/>
                <w:lang w:val="en-US"/>
              </w:rPr>
              <w:t>mg (N=362)</w:t>
            </w:r>
          </w:p>
        </w:tc>
        <w:tc>
          <w:tcPr>
            <w:tcW w:w="1288" w:type="dxa"/>
            <w:vMerge w:val="restart"/>
          </w:tcPr>
          <w:p w14:paraId="0E9A9ECC" w14:textId="57260EE6" w:rsidR="00F22A89" w:rsidRPr="00852A5A" w:rsidRDefault="00F22A89" w:rsidP="00B330B9">
            <w:pPr>
              <w:ind w:right="-72"/>
            </w:pPr>
            <w:proofErr w:type="spellStart"/>
            <w:r w:rsidRPr="00852A5A">
              <w:rPr>
                <w:b/>
                <w:bCs/>
              </w:rPr>
              <w:t>Фулвестр</w:t>
            </w:r>
            <w:proofErr w:type="spellEnd"/>
            <w:r w:rsidRPr="00852A5A">
              <w:rPr>
                <w:b/>
                <w:bCs/>
              </w:rPr>
              <w:t xml:space="preserve"> </w:t>
            </w:r>
            <w:proofErr w:type="spellStart"/>
            <w:r w:rsidRPr="00852A5A">
              <w:rPr>
                <w:b/>
                <w:bCs/>
              </w:rPr>
              <w:t>ант</w:t>
            </w:r>
            <w:proofErr w:type="spellEnd"/>
            <w:r w:rsidRPr="00852A5A">
              <w:rPr>
                <w:b/>
                <w:bCs/>
              </w:rPr>
              <w:t xml:space="preserve"> 250 </w:t>
            </w:r>
            <w:r w:rsidRPr="00852A5A">
              <w:rPr>
                <w:b/>
                <w:bCs/>
                <w:lang w:val="en-US"/>
              </w:rPr>
              <w:t>mg (N=374)</w:t>
            </w:r>
          </w:p>
        </w:tc>
        <w:tc>
          <w:tcPr>
            <w:tcW w:w="2716" w:type="dxa"/>
            <w:gridSpan w:val="2"/>
            <w:vAlign w:val="bottom"/>
          </w:tcPr>
          <w:p w14:paraId="4A4E629B" w14:textId="3A81FBB7" w:rsidR="00F22A89" w:rsidRPr="00852A5A" w:rsidRDefault="00F22A89" w:rsidP="00852A5A">
            <w:r w:rsidRPr="00852A5A">
              <w:rPr>
                <w:b/>
                <w:bCs/>
              </w:rPr>
              <w:t>Сравнение между групите (</w:t>
            </w:r>
            <w:proofErr w:type="spellStart"/>
            <w:r w:rsidRPr="00852A5A">
              <w:rPr>
                <w:b/>
                <w:bCs/>
              </w:rPr>
              <w:t>Фулвестрант</w:t>
            </w:r>
            <w:proofErr w:type="spellEnd"/>
            <w:r w:rsidRPr="00852A5A">
              <w:rPr>
                <w:b/>
                <w:bCs/>
              </w:rPr>
              <w:t xml:space="preserve"> 500 </w:t>
            </w:r>
            <w:r w:rsidRPr="00852A5A">
              <w:rPr>
                <w:b/>
                <w:bCs/>
                <w:lang w:val="en-US"/>
              </w:rPr>
              <w:t>mg</w:t>
            </w:r>
            <w:r w:rsidRPr="00852A5A">
              <w:rPr>
                <w:b/>
                <w:bCs/>
              </w:rPr>
              <w:t>/</w:t>
            </w:r>
            <w:proofErr w:type="spellStart"/>
            <w:r w:rsidRPr="00852A5A">
              <w:rPr>
                <w:b/>
                <w:bCs/>
              </w:rPr>
              <w:t>Фулвестрант</w:t>
            </w:r>
            <w:proofErr w:type="spellEnd"/>
            <w:r w:rsidRPr="00852A5A">
              <w:rPr>
                <w:b/>
                <w:bCs/>
              </w:rPr>
              <w:t xml:space="preserve"> 250 </w:t>
            </w:r>
            <w:r w:rsidRPr="00852A5A">
              <w:rPr>
                <w:b/>
                <w:bCs/>
                <w:lang w:val="en-US"/>
              </w:rPr>
              <w:t>mg</w:t>
            </w:r>
            <w:r w:rsidRPr="00114D09">
              <w:rPr>
                <w:b/>
                <w:bCs/>
                <w:lang w:val="ru-RU"/>
              </w:rPr>
              <w:t xml:space="preserve">) </w:t>
            </w:r>
          </w:p>
          <w:p w14:paraId="3C29B7E4" w14:textId="77777777" w:rsidR="00F22A89" w:rsidRPr="00852A5A" w:rsidRDefault="00F22A89" w:rsidP="00852A5A"/>
          <w:p w14:paraId="7D2A36C7" w14:textId="20B19A18" w:rsidR="00F22A89" w:rsidRDefault="00F22A89" w:rsidP="003A294F">
            <w:pPr>
              <w:jc w:val="right"/>
            </w:pPr>
          </w:p>
        </w:tc>
      </w:tr>
      <w:tr w:rsidR="00833A4E" w14:paraId="77524320" w14:textId="77777777" w:rsidTr="00833A4E">
        <w:trPr>
          <w:trHeight w:val="810"/>
        </w:trPr>
        <w:tc>
          <w:tcPr>
            <w:tcW w:w="1594" w:type="dxa"/>
            <w:vMerge/>
          </w:tcPr>
          <w:p w14:paraId="6CE1F99B" w14:textId="77777777" w:rsidR="00F22A89" w:rsidRPr="00852A5A" w:rsidRDefault="00F22A89" w:rsidP="00852A5A">
            <w:pPr>
              <w:rPr>
                <w:b/>
                <w:bCs/>
              </w:rPr>
            </w:pPr>
          </w:p>
        </w:tc>
        <w:tc>
          <w:tcPr>
            <w:tcW w:w="1743" w:type="dxa"/>
            <w:gridSpan w:val="2"/>
            <w:vMerge/>
          </w:tcPr>
          <w:p w14:paraId="34319630" w14:textId="77777777" w:rsidR="00F22A89" w:rsidRPr="00852A5A" w:rsidRDefault="00F22A89" w:rsidP="00852A5A">
            <w:pPr>
              <w:rPr>
                <w:b/>
                <w:bCs/>
              </w:rPr>
            </w:pPr>
          </w:p>
        </w:tc>
        <w:tc>
          <w:tcPr>
            <w:tcW w:w="1651" w:type="dxa"/>
            <w:vMerge/>
          </w:tcPr>
          <w:p w14:paraId="6D5B720C" w14:textId="77777777" w:rsidR="00F22A89" w:rsidRPr="00852A5A" w:rsidRDefault="00F22A89" w:rsidP="00852A5A">
            <w:pPr>
              <w:rPr>
                <w:b/>
                <w:bCs/>
              </w:rPr>
            </w:pPr>
          </w:p>
        </w:tc>
        <w:tc>
          <w:tcPr>
            <w:tcW w:w="1288" w:type="dxa"/>
            <w:vMerge/>
          </w:tcPr>
          <w:p w14:paraId="6833228E" w14:textId="77777777" w:rsidR="00F22A89" w:rsidRPr="00852A5A" w:rsidRDefault="00F22A89" w:rsidP="00852A5A">
            <w:pPr>
              <w:rPr>
                <w:b/>
                <w:bCs/>
              </w:rPr>
            </w:pPr>
          </w:p>
        </w:tc>
        <w:tc>
          <w:tcPr>
            <w:tcW w:w="1575" w:type="dxa"/>
            <w:vAlign w:val="bottom"/>
          </w:tcPr>
          <w:p w14:paraId="27A26EBB" w14:textId="77777777" w:rsidR="00F22A89" w:rsidRPr="00852A5A" w:rsidRDefault="00F22A89" w:rsidP="00F22A89">
            <w:r w:rsidRPr="00852A5A">
              <w:rPr>
                <w:b/>
                <w:bCs/>
              </w:rPr>
              <w:t>Абсолютна разлика в %</w:t>
            </w:r>
          </w:p>
          <w:p w14:paraId="7C2BF2B9" w14:textId="77777777" w:rsidR="00F22A89" w:rsidRPr="00852A5A" w:rsidRDefault="00F22A89" w:rsidP="00852A5A">
            <w:pPr>
              <w:rPr>
                <w:b/>
                <w:bCs/>
              </w:rPr>
            </w:pPr>
          </w:p>
        </w:tc>
        <w:tc>
          <w:tcPr>
            <w:tcW w:w="1141" w:type="dxa"/>
            <w:vAlign w:val="bottom"/>
          </w:tcPr>
          <w:p w14:paraId="0CC18685" w14:textId="58714DA1" w:rsidR="00F22A89" w:rsidRPr="00852A5A" w:rsidRDefault="00F22A89" w:rsidP="00852A5A">
            <w:pPr>
              <w:rPr>
                <w:b/>
                <w:bCs/>
              </w:rPr>
            </w:pPr>
            <w:r w:rsidRPr="00852A5A">
              <w:rPr>
                <w:b/>
                <w:bCs/>
              </w:rPr>
              <w:t>95%</w:t>
            </w:r>
            <w:r w:rsidRPr="00852A5A">
              <w:rPr>
                <w:b/>
                <w:bCs/>
                <w:lang w:val="en-US"/>
              </w:rPr>
              <w:t xml:space="preserve"> </w:t>
            </w:r>
            <w:r w:rsidRPr="00852A5A">
              <w:rPr>
                <w:b/>
                <w:bCs/>
              </w:rPr>
              <w:t>ДИ</w:t>
            </w:r>
          </w:p>
        </w:tc>
      </w:tr>
      <w:tr w:rsidR="00B330B9" w:rsidRPr="00852A5A" w14:paraId="407A1904" w14:textId="77777777" w:rsidTr="00833A4E">
        <w:tc>
          <w:tcPr>
            <w:tcW w:w="1594" w:type="dxa"/>
          </w:tcPr>
          <w:p w14:paraId="40648635" w14:textId="358BADE6" w:rsidR="003B7BD0" w:rsidRPr="00852A5A" w:rsidRDefault="003B7BD0" w:rsidP="00852A5A">
            <w:pPr>
              <w:spacing w:line="240" w:lineRule="auto"/>
              <w:rPr>
                <w:rFonts w:eastAsia="Times New Roman" w:cs="Arial"/>
                <w:lang w:eastAsia="bg-BG"/>
              </w:rPr>
            </w:pPr>
            <w:r w:rsidRPr="00852A5A">
              <w:rPr>
                <w:rFonts w:eastAsia="Times New Roman" w:cs="Arial"/>
                <w:b/>
                <w:bCs/>
                <w:color w:val="000000"/>
                <w:lang w:val="en-US"/>
              </w:rPr>
              <w:t>CO</w:t>
            </w:r>
            <w:r w:rsidRPr="00852A5A">
              <w:rPr>
                <w:rFonts w:eastAsia="Times New Roman" w:cs="Arial"/>
                <w:b/>
                <w:bCs/>
                <w:color w:val="000000"/>
                <w:lang w:eastAsia="bg-BG"/>
              </w:rPr>
              <w:t>П</w:t>
            </w:r>
            <w:r w:rsidRPr="00852A5A">
              <w:rPr>
                <w:rFonts w:eastAsia="Times New Roman" w:cs="Arial"/>
                <w:b/>
                <w:bCs/>
                <w:color w:val="000000"/>
                <w:vertAlign w:val="superscript"/>
                <w:lang w:val="en-US"/>
              </w:rPr>
              <w:t>d</w:t>
            </w:r>
            <w:r w:rsidRPr="00852A5A">
              <w:rPr>
                <w:rFonts w:eastAsia="Times New Roman" w:cs="Arial"/>
                <w:b/>
                <w:bCs/>
                <w:color w:val="000000"/>
                <w:lang w:val="en-US"/>
              </w:rPr>
              <w:tab/>
            </w:r>
          </w:p>
        </w:tc>
        <w:tc>
          <w:tcPr>
            <w:tcW w:w="1743" w:type="dxa"/>
            <w:gridSpan w:val="2"/>
          </w:tcPr>
          <w:p w14:paraId="76A425EB" w14:textId="77777777" w:rsidR="003B7BD0" w:rsidRDefault="003B7BD0" w:rsidP="00852A5A">
            <w:pPr>
              <w:spacing w:line="240" w:lineRule="auto"/>
              <w:rPr>
                <w:rFonts w:eastAsia="Times New Roman" w:cs="Arial"/>
                <w:b/>
                <w:bCs/>
                <w:color w:val="000000"/>
                <w:lang w:eastAsia="bg-BG"/>
              </w:rPr>
            </w:pPr>
            <w:r w:rsidRPr="00852A5A">
              <w:rPr>
                <w:rFonts w:eastAsia="Times New Roman" w:cs="Arial"/>
                <w:b/>
                <w:bCs/>
                <w:color w:val="000000"/>
                <w:lang w:eastAsia="bg-BG"/>
              </w:rPr>
              <w:t>% пациенти</w:t>
            </w:r>
            <w:r w:rsidRPr="00852A5A">
              <w:rPr>
                <w:rFonts w:eastAsia="Times New Roman" w:cs="Arial"/>
                <w:b/>
                <w:bCs/>
                <w:color w:val="000000"/>
                <w:lang w:eastAsia="bg-BG"/>
              </w:rPr>
              <w:t xml:space="preserve"> с ОО;</w:t>
            </w:r>
          </w:p>
          <w:p w14:paraId="6B668D61" w14:textId="44C4F562" w:rsidR="003B7BD0" w:rsidRDefault="003B7BD0" w:rsidP="00852A5A">
            <w:pPr>
              <w:spacing w:line="240" w:lineRule="auto"/>
              <w:rPr>
                <w:rFonts w:cs="Arial"/>
                <w:b/>
                <w:bCs/>
              </w:rPr>
            </w:pPr>
            <w:r w:rsidRPr="00852A5A">
              <w:rPr>
                <w:rFonts w:cs="Arial"/>
                <w:b/>
                <w:bCs/>
              </w:rPr>
              <w:t>А</w:t>
            </w:r>
            <w:r w:rsidRPr="00852A5A">
              <w:rPr>
                <w:rFonts w:cs="Arial"/>
                <w:b/>
                <w:bCs/>
              </w:rPr>
              <w:t>бсолютна</w:t>
            </w:r>
          </w:p>
          <w:p w14:paraId="1ECF4537" w14:textId="530698C0" w:rsidR="003B7BD0" w:rsidRPr="00852A5A" w:rsidRDefault="003B7BD0" w:rsidP="00852A5A">
            <w:pPr>
              <w:spacing w:line="240" w:lineRule="auto"/>
              <w:rPr>
                <w:rFonts w:eastAsia="Times New Roman" w:cs="Arial"/>
                <w:lang w:eastAsia="bg-BG"/>
              </w:rPr>
            </w:pPr>
            <w:r w:rsidRPr="00852A5A">
              <w:rPr>
                <w:rFonts w:cs="Arial"/>
                <w:b/>
                <w:bCs/>
              </w:rPr>
              <w:t>разлика в %</w:t>
            </w:r>
          </w:p>
        </w:tc>
        <w:tc>
          <w:tcPr>
            <w:tcW w:w="1651" w:type="dxa"/>
          </w:tcPr>
          <w:p w14:paraId="3326080A" w14:textId="69CDFF7D" w:rsidR="003B7BD0" w:rsidRPr="00852A5A" w:rsidRDefault="003B7BD0" w:rsidP="00852A5A">
            <w:pPr>
              <w:rPr>
                <w:rFonts w:cs="Arial"/>
                <w:b/>
                <w:bCs/>
              </w:rPr>
            </w:pPr>
          </w:p>
        </w:tc>
        <w:tc>
          <w:tcPr>
            <w:tcW w:w="1288" w:type="dxa"/>
          </w:tcPr>
          <w:p w14:paraId="550F27B2" w14:textId="77777777" w:rsidR="003B7BD0" w:rsidRPr="00852A5A" w:rsidRDefault="003B7BD0" w:rsidP="00852A5A">
            <w:pPr>
              <w:rPr>
                <w:rFonts w:cs="Arial"/>
                <w:b/>
                <w:bCs/>
              </w:rPr>
            </w:pPr>
          </w:p>
        </w:tc>
        <w:tc>
          <w:tcPr>
            <w:tcW w:w="1575" w:type="dxa"/>
          </w:tcPr>
          <w:p w14:paraId="4172BD1E" w14:textId="77777777" w:rsidR="003B7BD0" w:rsidRPr="00852A5A" w:rsidRDefault="003B7BD0" w:rsidP="00852A5A">
            <w:pPr>
              <w:rPr>
                <w:rFonts w:cs="Arial"/>
                <w:b/>
                <w:bCs/>
              </w:rPr>
            </w:pPr>
          </w:p>
        </w:tc>
        <w:tc>
          <w:tcPr>
            <w:tcW w:w="1141" w:type="dxa"/>
          </w:tcPr>
          <w:p w14:paraId="3C22256E" w14:textId="294E126F" w:rsidR="003B7BD0" w:rsidRPr="00852A5A" w:rsidRDefault="003B7BD0" w:rsidP="00852A5A">
            <w:pPr>
              <w:rPr>
                <w:rFonts w:cs="Arial"/>
                <w:b/>
                <w:bCs/>
              </w:rPr>
            </w:pPr>
          </w:p>
        </w:tc>
      </w:tr>
      <w:tr w:rsidR="00833A4E" w14:paraId="069BD16E" w14:textId="77777777" w:rsidTr="00833A4E">
        <w:tc>
          <w:tcPr>
            <w:tcW w:w="3337" w:type="dxa"/>
            <w:gridSpan w:val="3"/>
          </w:tcPr>
          <w:p w14:paraId="30D55F13" w14:textId="5CA9CF5C" w:rsidR="003B7BD0" w:rsidRPr="00852A5A" w:rsidRDefault="003B7BD0" w:rsidP="003B7BD0">
            <w:pPr>
              <w:rPr>
                <w:rFonts w:cs="Arial"/>
              </w:rPr>
            </w:pPr>
            <w:r w:rsidRPr="00852A5A">
              <w:rPr>
                <w:rFonts w:cs="Arial"/>
                <w:b/>
                <w:bCs/>
              </w:rPr>
              <w:t>Общо пациенти</w:t>
            </w:r>
          </w:p>
        </w:tc>
        <w:tc>
          <w:tcPr>
            <w:tcW w:w="1651" w:type="dxa"/>
          </w:tcPr>
          <w:p w14:paraId="04AD32D3" w14:textId="7984E52C" w:rsidR="003B7BD0" w:rsidRPr="00852A5A" w:rsidRDefault="003B7BD0" w:rsidP="00852A5A">
            <w:pPr>
              <w:rPr>
                <w:rFonts w:cs="Arial"/>
              </w:rPr>
            </w:pPr>
            <w:r w:rsidRPr="00852A5A">
              <w:rPr>
                <w:rFonts w:cs="Arial"/>
                <w:b/>
                <w:bCs/>
              </w:rPr>
              <w:t>13,8</w:t>
            </w:r>
          </w:p>
        </w:tc>
        <w:tc>
          <w:tcPr>
            <w:tcW w:w="1288" w:type="dxa"/>
          </w:tcPr>
          <w:p w14:paraId="038370BE" w14:textId="7A58B747" w:rsidR="003B7BD0" w:rsidRPr="00852A5A" w:rsidRDefault="003B7BD0" w:rsidP="00852A5A">
            <w:pPr>
              <w:rPr>
                <w:rFonts w:cs="Arial"/>
              </w:rPr>
            </w:pPr>
            <w:r w:rsidRPr="00852A5A">
              <w:rPr>
                <w:rFonts w:cs="Arial"/>
                <w:b/>
                <w:bCs/>
              </w:rPr>
              <w:t>14,6</w:t>
            </w:r>
          </w:p>
        </w:tc>
        <w:tc>
          <w:tcPr>
            <w:tcW w:w="1575" w:type="dxa"/>
          </w:tcPr>
          <w:p w14:paraId="6488E351" w14:textId="387C0705" w:rsidR="003B7BD0" w:rsidRPr="00852A5A" w:rsidRDefault="003B7BD0" w:rsidP="00852A5A">
            <w:pPr>
              <w:rPr>
                <w:rFonts w:cs="Arial"/>
              </w:rPr>
            </w:pPr>
            <w:r w:rsidRPr="00852A5A">
              <w:rPr>
                <w:rFonts w:cs="Arial"/>
                <w:b/>
                <w:bCs/>
              </w:rPr>
              <w:t>-0,8</w:t>
            </w:r>
          </w:p>
        </w:tc>
        <w:tc>
          <w:tcPr>
            <w:tcW w:w="1141" w:type="dxa"/>
          </w:tcPr>
          <w:p w14:paraId="72858067" w14:textId="61842E52" w:rsidR="003B7BD0" w:rsidRPr="00852A5A" w:rsidRDefault="003B7BD0" w:rsidP="00852A5A">
            <w:pPr>
              <w:rPr>
                <w:rFonts w:cs="Arial"/>
              </w:rPr>
            </w:pPr>
            <w:r w:rsidRPr="00852A5A">
              <w:rPr>
                <w:rFonts w:cs="Arial"/>
                <w:b/>
                <w:bCs/>
              </w:rPr>
              <w:t>-5,8,</w:t>
            </w:r>
            <w:r>
              <w:rPr>
                <w:rFonts w:cs="Arial"/>
                <w:b/>
                <w:bCs/>
                <w:lang w:val="en-US"/>
              </w:rPr>
              <w:t xml:space="preserve"> </w:t>
            </w:r>
            <w:r w:rsidRPr="00852A5A">
              <w:rPr>
                <w:rFonts w:cs="Arial"/>
                <w:b/>
                <w:bCs/>
              </w:rPr>
              <w:t>6,3</w:t>
            </w:r>
          </w:p>
        </w:tc>
      </w:tr>
      <w:tr w:rsidR="00833A4E" w14:paraId="23CBFEA5" w14:textId="77777777" w:rsidTr="00833A4E">
        <w:tc>
          <w:tcPr>
            <w:tcW w:w="3337" w:type="dxa"/>
            <w:gridSpan w:val="3"/>
          </w:tcPr>
          <w:p w14:paraId="6FF461C6" w14:textId="156AA8F3" w:rsidR="003B7BD0" w:rsidRPr="00852A5A" w:rsidRDefault="003B7BD0" w:rsidP="003B7BD0">
            <w:pPr>
              <w:rPr>
                <w:rFonts w:cs="Arial"/>
              </w:rPr>
            </w:pPr>
            <w:r w:rsidRPr="00852A5A">
              <w:rPr>
                <w:rFonts w:cs="Arial"/>
                <w:b/>
                <w:bCs/>
              </w:rPr>
              <w:t>- АЕ подгрупа (</w:t>
            </w:r>
            <w:r w:rsidRPr="00852A5A">
              <w:rPr>
                <w:rFonts w:cs="Arial"/>
                <w:b/>
                <w:bCs/>
                <w:lang w:val="en-US"/>
              </w:rPr>
              <w:t>n</w:t>
            </w:r>
            <w:r w:rsidRPr="00852A5A">
              <w:rPr>
                <w:rFonts w:cs="Arial"/>
                <w:b/>
                <w:bCs/>
              </w:rPr>
              <w:t>=296)</w:t>
            </w:r>
          </w:p>
        </w:tc>
        <w:tc>
          <w:tcPr>
            <w:tcW w:w="1651" w:type="dxa"/>
          </w:tcPr>
          <w:p w14:paraId="0D57DFFF" w14:textId="37E03796" w:rsidR="003B7BD0" w:rsidRPr="00852A5A" w:rsidRDefault="003B7BD0" w:rsidP="003B7BD0">
            <w:pPr>
              <w:rPr>
                <w:rFonts w:cs="Arial"/>
              </w:rPr>
            </w:pPr>
            <w:r w:rsidRPr="00852A5A">
              <w:rPr>
                <w:rFonts w:cs="Arial"/>
                <w:b/>
                <w:bCs/>
              </w:rPr>
              <w:t>18,1</w:t>
            </w:r>
          </w:p>
        </w:tc>
        <w:tc>
          <w:tcPr>
            <w:tcW w:w="1288" w:type="dxa"/>
          </w:tcPr>
          <w:p w14:paraId="7F38DEDF" w14:textId="2FC15002" w:rsidR="003B7BD0" w:rsidRPr="00852A5A" w:rsidRDefault="003B7BD0" w:rsidP="00852A5A">
            <w:pPr>
              <w:rPr>
                <w:rFonts w:cs="Arial"/>
              </w:rPr>
            </w:pPr>
            <w:r w:rsidRPr="00852A5A">
              <w:rPr>
                <w:rFonts w:cs="Arial"/>
                <w:b/>
                <w:bCs/>
              </w:rPr>
              <w:t>19,1</w:t>
            </w:r>
          </w:p>
        </w:tc>
        <w:tc>
          <w:tcPr>
            <w:tcW w:w="1575" w:type="dxa"/>
          </w:tcPr>
          <w:p w14:paraId="43CB1BC7" w14:textId="26272064" w:rsidR="003B7BD0" w:rsidRPr="00852A5A" w:rsidRDefault="003B7BD0" w:rsidP="00852A5A">
            <w:pPr>
              <w:rPr>
                <w:rFonts w:cs="Arial"/>
              </w:rPr>
            </w:pPr>
            <w:r w:rsidRPr="00852A5A">
              <w:rPr>
                <w:rFonts w:cs="Arial"/>
                <w:b/>
                <w:bCs/>
              </w:rPr>
              <w:t>-1,0</w:t>
            </w:r>
          </w:p>
        </w:tc>
        <w:tc>
          <w:tcPr>
            <w:tcW w:w="1141" w:type="dxa"/>
          </w:tcPr>
          <w:p w14:paraId="61F58A6A" w14:textId="26F1F5CE" w:rsidR="003B7BD0" w:rsidRPr="00852A5A" w:rsidRDefault="003B7BD0" w:rsidP="00852A5A">
            <w:pPr>
              <w:rPr>
                <w:rFonts w:cs="Arial"/>
              </w:rPr>
            </w:pPr>
            <w:r w:rsidRPr="00852A5A">
              <w:rPr>
                <w:rFonts w:cs="Arial"/>
                <w:b/>
                <w:bCs/>
              </w:rPr>
              <w:t>-8,2,</w:t>
            </w:r>
            <w:r>
              <w:rPr>
                <w:rFonts w:cs="Arial"/>
                <w:b/>
                <w:bCs/>
                <w:lang w:val="en-US"/>
              </w:rPr>
              <w:t xml:space="preserve"> </w:t>
            </w:r>
            <w:r w:rsidRPr="00852A5A">
              <w:rPr>
                <w:rFonts w:cs="Arial"/>
                <w:b/>
                <w:bCs/>
              </w:rPr>
              <w:t>9,3</w:t>
            </w:r>
          </w:p>
        </w:tc>
      </w:tr>
      <w:tr w:rsidR="00833A4E" w14:paraId="002B0392" w14:textId="77777777" w:rsidTr="00833A4E">
        <w:tc>
          <w:tcPr>
            <w:tcW w:w="3337" w:type="dxa"/>
            <w:gridSpan w:val="3"/>
          </w:tcPr>
          <w:p w14:paraId="3E011CA1" w14:textId="2CD8D86A" w:rsidR="003B7BD0" w:rsidRPr="00852A5A" w:rsidRDefault="003B7BD0" w:rsidP="00852A5A">
            <w:pPr>
              <w:rPr>
                <w:rFonts w:cs="Arial"/>
              </w:rPr>
            </w:pPr>
            <w:r w:rsidRPr="00852A5A">
              <w:rPr>
                <w:rFonts w:cs="Arial"/>
                <w:b/>
                <w:bCs/>
              </w:rPr>
              <w:t>АИ подгрупа (</w:t>
            </w:r>
            <w:r w:rsidRPr="00852A5A">
              <w:rPr>
                <w:rFonts w:cs="Arial"/>
                <w:b/>
                <w:bCs/>
                <w:lang w:val="en-US"/>
              </w:rPr>
              <w:t>n</w:t>
            </w:r>
            <w:r w:rsidRPr="00852A5A">
              <w:rPr>
                <w:rFonts w:cs="Arial"/>
                <w:b/>
                <w:bCs/>
              </w:rPr>
              <w:t>=205)</w:t>
            </w:r>
            <w:r w:rsidRPr="00852A5A">
              <w:rPr>
                <w:rFonts w:cs="Arial"/>
                <w:b/>
                <w:bCs/>
                <w:vertAlign w:val="superscript"/>
                <w:lang w:val="en-US"/>
              </w:rPr>
              <w:t>a</w:t>
            </w:r>
          </w:p>
        </w:tc>
        <w:tc>
          <w:tcPr>
            <w:tcW w:w="1651" w:type="dxa"/>
          </w:tcPr>
          <w:p w14:paraId="4BB422BB" w14:textId="2D0C98F0" w:rsidR="003B7BD0" w:rsidRPr="00852A5A" w:rsidRDefault="003B7BD0" w:rsidP="00852A5A">
            <w:pPr>
              <w:rPr>
                <w:rFonts w:cs="Arial"/>
              </w:rPr>
            </w:pPr>
            <w:r w:rsidRPr="00852A5A">
              <w:rPr>
                <w:rFonts w:cs="Arial"/>
                <w:b/>
                <w:bCs/>
              </w:rPr>
              <w:t>7,3</w:t>
            </w:r>
          </w:p>
        </w:tc>
        <w:tc>
          <w:tcPr>
            <w:tcW w:w="1288" w:type="dxa"/>
          </w:tcPr>
          <w:p w14:paraId="58A53C65" w14:textId="4C5E7510" w:rsidR="003B7BD0" w:rsidRPr="00852A5A" w:rsidRDefault="003B7BD0" w:rsidP="00852A5A">
            <w:pPr>
              <w:rPr>
                <w:rFonts w:cs="Arial"/>
              </w:rPr>
            </w:pPr>
            <w:r w:rsidRPr="00852A5A">
              <w:rPr>
                <w:rFonts w:cs="Arial"/>
                <w:b/>
                <w:bCs/>
              </w:rPr>
              <w:t>8,3</w:t>
            </w:r>
          </w:p>
        </w:tc>
        <w:tc>
          <w:tcPr>
            <w:tcW w:w="1575" w:type="dxa"/>
          </w:tcPr>
          <w:p w14:paraId="560ACE13" w14:textId="2F80A4C2" w:rsidR="003B7BD0" w:rsidRPr="00852A5A" w:rsidRDefault="003B7BD0" w:rsidP="00852A5A">
            <w:pPr>
              <w:rPr>
                <w:rFonts w:cs="Arial"/>
              </w:rPr>
            </w:pPr>
            <w:r w:rsidRPr="00852A5A">
              <w:rPr>
                <w:rFonts w:cs="Arial"/>
                <w:b/>
                <w:bCs/>
              </w:rPr>
              <w:t>-1,0</w:t>
            </w:r>
          </w:p>
        </w:tc>
        <w:tc>
          <w:tcPr>
            <w:tcW w:w="1141" w:type="dxa"/>
          </w:tcPr>
          <w:p w14:paraId="77909181" w14:textId="4F6B6365" w:rsidR="003B7BD0" w:rsidRPr="00852A5A" w:rsidRDefault="003B7BD0" w:rsidP="00852A5A">
            <w:pPr>
              <w:rPr>
                <w:rFonts w:cs="Arial"/>
              </w:rPr>
            </w:pPr>
            <w:r w:rsidRPr="00852A5A">
              <w:rPr>
                <w:rFonts w:cs="Arial"/>
                <w:b/>
                <w:bCs/>
              </w:rPr>
              <w:t>-5,5, 9,8</w:t>
            </w:r>
          </w:p>
        </w:tc>
      </w:tr>
      <w:tr w:rsidR="000D5E6D" w14:paraId="4C62947D" w14:textId="77777777" w:rsidTr="00833A4E">
        <w:tc>
          <w:tcPr>
            <w:tcW w:w="1673" w:type="dxa"/>
            <w:gridSpan w:val="2"/>
          </w:tcPr>
          <w:p w14:paraId="6F9FB64A" w14:textId="444CEF5D" w:rsidR="000D5E6D" w:rsidRDefault="000D5E6D" w:rsidP="000D5E6D">
            <w:pPr>
              <w:rPr>
                <w:rFonts w:cs="Arial"/>
                <w:b/>
                <w:bCs/>
              </w:rPr>
            </w:pPr>
            <w:proofErr w:type="spellStart"/>
            <w:r w:rsidRPr="00852A5A">
              <w:rPr>
                <w:rFonts w:cs="Arial"/>
                <w:b/>
                <w:bCs/>
              </w:rPr>
              <w:t>СКП</w:t>
            </w:r>
            <w:r w:rsidRPr="00852A5A">
              <w:rPr>
                <w:rFonts w:cs="Arial"/>
                <w:b/>
                <w:bCs/>
                <w:vertAlign w:val="superscript"/>
              </w:rPr>
              <w:t>е</w:t>
            </w:r>
            <w:proofErr w:type="spellEnd"/>
          </w:p>
        </w:tc>
        <w:tc>
          <w:tcPr>
            <w:tcW w:w="1664" w:type="dxa"/>
          </w:tcPr>
          <w:p w14:paraId="191ABF59" w14:textId="77777777" w:rsidR="00833A4E" w:rsidRDefault="000D5E6D" w:rsidP="000D5E6D">
            <w:pPr>
              <w:rPr>
                <w:rFonts w:cs="Arial"/>
                <w:b/>
                <w:bCs/>
              </w:rPr>
            </w:pPr>
            <w:r w:rsidRPr="00852A5A">
              <w:rPr>
                <w:rFonts w:cs="Arial"/>
                <w:b/>
                <w:bCs/>
              </w:rPr>
              <w:t>% пациенти</w:t>
            </w:r>
            <w:r w:rsidRPr="000D5E6D">
              <w:rPr>
                <w:rFonts w:cs="Arial"/>
                <w:b/>
                <w:bCs/>
                <w:lang w:val="ru-RU"/>
              </w:rPr>
              <w:t xml:space="preserve"> </w:t>
            </w:r>
            <w:r>
              <w:rPr>
                <w:rFonts w:cs="Arial"/>
                <w:b/>
                <w:bCs/>
              </w:rPr>
              <w:t>с КП</w:t>
            </w:r>
            <w:r w:rsidR="00833A4E">
              <w:rPr>
                <w:rFonts w:cs="Arial"/>
                <w:b/>
                <w:bCs/>
              </w:rPr>
              <w:t>;</w:t>
            </w:r>
          </w:p>
          <w:p w14:paraId="093CC463" w14:textId="137C0D66" w:rsidR="000D5E6D" w:rsidRPr="000D5E6D" w:rsidRDefault="000D5E6D" w:rsidP="000D5E6D">
            <w:pPr>
              <w:rPr>
                <w:rFonts w:cs="Arial"/>
                <w:lang w:val="ru-RU"/>
              </w:rPr>
            </w:pPr>
            <w:r w:rsidRPr="00852A5A">
              <w:rPr>
                <w:rFonts w:cs="Arial"/>
                <w:b/>
                <w:bCs/>
              </w:rPr>
              <w:lastRenderedPageBreak/>
              <w:t>абсолютна</w:t>
            </w:r>
            <w:r w:rsidRPr="000D5E6D">
              <w:rPr>
                <w:rFonts w:cs="Arial"/>
                <w:b/>
                <w:bCs/>
                <w:lang w:val="ru-RU"/>
              </w:rPr>
              <w:t xml:space="preserve"> </w:t>
            </w:r>
            <w:r w:rsidRPr="00852A5A">
              <w:rPr>
                <w:rFonts w:cs="Arial"/>
                <w:b/>
                <w:bCs/>
              </w:rPr>
              <w:t>разлика в %</w:t>
            </w:r>
          </w:p>
        </w:tc>
        <w:tc>
          <w:tcPr>
            <w:tcW w:w="1651" w:type="dxa"/>
          </w:tcPr>
          <w:p w14:paraId="7B46C6BA" w14:textId="18F356DD" w:rsidR="000D5E6D" w:rsidRPr="00852A5A" w:rsidRDefault="000D5E6D" w:rsidP="000D5E6D">
            <w:pPr>
              <w:rPr>
                <w:rFonts w:cs="Arial"/>
              </w:rPr>
            </w:pPr>
          </w:p>
        </w:tc>
        <w:tc>
          <w:tcPr>
            <w:tcW w:w="1288" w:type="dxa"/>
          </w:tcPr>
          <w:p w14:paraId="6542D9AF" w14:textId="4A581A7A" w:rsidR="000D5E6D" w:rsidRPr="00852A5A" w:rsidRDefault="000D5E6D" w:rsidP="000D5E6D">
            <w:pPr>
              <w:rPr>
                <w:rFonts w:cs="Arial"/>
              </w:rPr>
            </w:pPr>
          </w:p>
        </w:tc>
        <w:tc>
          <w:tcPr>
            <w:tcW w:w="1575" w:type="dxa"/>
          </w:tcPr>
          <w:p w14:paraId="50A60230" w14:textId="30FC8B05" w:rsidR="000D5E6D" w:rsidRPr="00852A5A" w:rsidRDefault="000D5E6D" w:rsidP="000D5E6D">
            <w:pPr>
              <w:rPr>
                <w:rFonts w:cs="Arial"/>
              </w:rPr>
            </w:pPr>
          </w:p>
        </w:tc>
        <w:tc>
          <w:tcPr>
            <w:tcW w:w="1141" w:type="dxa"/>
          </w:tcPr>
          <w:p w14:paraId="0BAECFB2" w14:textId="636E0A58" w:rsidR="000D5E6D" w:rsidRPr="00852A5A" w:rsidRDefault="000D5E6D" w:rsidP="000D5E6D">
            <w:pPr>
              <w:rPr>
                <w:rFonts w:cs="Arial"/>
              </w:rPr>
            </w:pPr>
          </w:p>
        </w:tc>
      </w:tr>
      <w:tr w:rsidR="00833A4E" w14:paraId="6BBB866E" w14:textId="77777777" w:rsidTr="00833A4E">
        <w:tc>
          <w:tcPr>
            <w:tcW w:w="3337" w:type="dxa"/>
            <w:gridSpan w:val="3"/>
          </w:tcPr>
          <w:p w14:paraId="5E2C7C21" w14:textId="30689327" w:rsidR="000D5E6D" w:rsidRPr="00852A5A" w:rsidRDefault="000D5E6D" w:rsidP="000D5E6D">
            <w:pPr>
              <w:rPr>
                <w:rFonts w:cs="Arial"/>
              </w:rPr>
            </w:pPr>
            <w:r w:rsidRPr="00852A5A">
              <w:rPr>
                <w:rFonts w:cs="Arial"/>
                <w:b/>
                <w:bCs/>
              </w:rPr>
              <w:t>Общо пациенти</w:t>
            </w:r>
          </w:p>
        </w:tc>
        <w:tc>
          <w:tcPr>
            <w:tcW w:w="1651" w:type="dxa"/>
          </w:tcPr>
          <w:p w14:paraId="6BA2E28A" w14:textId="36E206E0" w:rsidR="000D5E6D" w:rsidRPr="00852A5A" w:rsidRDefault="000D5E6D" w:rsidP="000D5E6D">
            <w:pPr>
              <w:rPr>
                <w:rFonts w:cs="Arial"/>
              </w:rPr>
            </w:pPr>
            <w:r w:rsidRPr="00852A5A">
              <w:rPr>
                <w:rFonts w:cs="Arial"/>
                <w:b/>
                <w:bCs/>
              </w:rPr>
              <w:t>45,6</w:t>
            </w:r>
          </w:p>
        </w:tc>
        <w:tc>
          <w:tcPr>
            <w:tcW w:w="1288" w:type="dxa"/>
          </w:tcPr>
          <w:p w14:paraId="62D9BF31" w14:textId="182E92B3" w:rsidR="000D5E6D" w:rsidRPr="00852A5A" w:rsidRDefault="000D5E6D" w:rsidP="000D5E6D">
            <w:pPr>
              <w:rPr>
                <w:rFonts w:cs="Arial"/>
              </w:rPr>
            </w:pPr>
            <w:r w:rsidRPr="00852A5A">
              <w:rPr>
                <w:rFonts w:cs="Arial"/>
                <w:b/>
                <w:bCs/>
              </w:rPr>
              <w:t>39,6</w:t>
            </w:r>
          </w:p>
        </w:tc>
        <w:tc>
          <w:tcPr>
            <w:tcW w:w="1575" w:type="dxa"/>
          </w:tcPr>
          <w:p w14:paraId="5688ACC4" w14:textId="4DBE8FE7" w:rsidR="000D5E6D" w:rsidRPr="00852A5A" w:rsidRDefault="000D5E6D" w:rsidP="000D5E6D">
            <w:pPr>
              <w:rPr>
                <w:rFonts w:cs="Arial"/>
              </w:rPr>
            </w:pPr>
            <w:r w:rsidRPr="00852A5A">
              <w:rPr>
                <w:rFonts w:cs="Arial"/>
                <w:b/>
                <w:bCs/>
              </w:rPr>
              <w:t>6,0</w:t>
            </w:r>
          </w:p>
        </w:tc>
        <w:tc>
          <w:tcPr>
            <w:tcW w:w="1141" w:type="dxa"/>
          </w:tcPr>
          <w:p w14:paraId="5458BF9B" w14:textId="22A37792" w:rsidR="000D5E6D" w:rsidRPr="00852A5A" w:rsidRDefault="000D5E6D" w:rsidP="000D5E6D">
            <w:pPr>
              <w:rPr>
                <w:rFonts w:cs="Arial"/>
              </w:rPr>
            </w:pPr>
            <w:r w:rsidRPr="00852A5A">
              <w:rPr>
                <w:rFonts w:cs="Arial"/>
                <w:b/>
                <w:bCs/>
              </w:rPr>
              <w:t>-1,1,13,3</w:t>
            </w:r>
          </w:p>
        </w:tc>
      </w:tr>
      <w:tr w:rsidR="00833A4E" w14:paraId="17D277F3" w14:textId="77777777" w:rsidTr="00833A4E">
        <w:tc>
          <w:tcPr>
            <w:tcW w:w="3337" w:type="dxa"/>
            <w:gridSpan w:val="3"/>
          </w:tcPr>
          <w:p w14:paraId="5672898E" w14:textId="47BB547F" w:rsidR="000D5E6D" w:rsidRPr="00852A5A" w:rsidRDefault="000D5E6D" w:rsidP="000D5E6D">
            <w:pPr>
              <w:rPr>
                <w:rFonts w:cs="Arial"/>
              </w:rPr>
            </w:pPr>
            <w:r w:rsidRPr="00852A5A">
              <w:rPr>
                <w:rFonts w:cs="Arial"/>
                <w:b/>
                <w:bCs/>
              </w:rPr>
              <w:t>- АЕ подгрупа (</w:t>
            </w:r>
            <w:r w:rsidRPr="00852A5A">
              <w:rPr>
                <w:rFonts w:cs="Arial"/>
                <w:b/>
                <w:bCs/>
                <w:lang w:val="en-US"/>
              </w:rPr>
              <w:t>n</w:t>
            </w:r>
            <w:r w:rsidRPr="00852A5A">
              <w:rPr>
                <w:rFonts w:cs="Arial"/>
                <w:b/>
                <w:bCs/>
              </w:rPr>
              <w:t>=423)</w:t>
            </w:r>
          </w:p>
        </w:tc>
        <w:tc>
          <w:tcPr>
            <w:tcW w:w="1651" w:type="dxa"/>
          </w:tcPr>
          <w:p w14:paraId="0313E874" w14:textId="78A5740F" w:rsidR="000D5E6D" w:rsidRPr="00852A5A" w:rsidRDefault="000D5E6D" w:rsidP="000D5E6D">
            <w:pPr>
              <w:rPr>
                <w:rFonts w:cs="Arial"/>
              </w:rPr>
            </w:pPr>
            <w:r w:rsidRPr="00852A5A">
              <w:rPr>
                <w:rFonts w:cs="Arial"/>
                <w:b/>
                <w:bCs/>
              </w:rPr>
              <w:t>52,4</w:t>
            </w:r>
          </w:p>
        </w:tc>
        <w:tc>
          <w:tcPr>
            <w:tcW w:w="1288" w:type="dxa"/>
          </w:tcPr>
          <w:p w14:paraId="2DC951C7" w14:textId="7E62612D" w:rsidR="000D5E6D" w:rsidRPr="00852A5A" w:rsidRDefault="000D5E6D" w:rsidP="000D5E6D">
            <w:pPr>
              <w:rPr>
                <w:rFonts w:cs="Arial"/>
              </w:rPr>
            </w:pPr>
            <w:r w:rsidRPr="00852A5A">
              <w:rPr>
                <w:rFonts w:cs="Arial"/>
                <w:b/>
                <w:bCs/>
              </w:rPr>
              <w:t>45,1</w:t>
            </w:r>
          </w:p>
        </w:tc>
        <w:tc>
          <w:tcPr>
            <w:tcW w:w="1575" w:type="dxa"/>
          </w:tcPr>
          <w:p w14:paraId="1F531C82" w14:textId="1F36F3C2" w:rsidR="000D5E6D" w:rsidRPr="00852A5A" w:rsidRDefault="000D5E6D" w:rsidP="000D5E6D">
            <w:pPr>
              <w:rPr>
                <w:rFonts w:cs="Arial"/>
              </w:rPr>
            </w:pPr>
            <w:r w:rsidRPr="00852A5A">
              <w:rPr>
                <w:rFonts w:cs="Arial"/>
                <w:b/>
                <w:bCs/>
              </w:rPr>
              <w:t>7,3</w:t>
            </w:r>
          </w:p>
        </w:tc>
        <w:tc>
          <w:tcPr>
            <w:tcW w:w="1141" w:type="dxa"/>
          </w:tcPr>
          <w:p w14:paraId="52797035" w14:textId="1A322F6C" w:rsidR="000D5E6D" w:rsidRPr="00852A5A" w:rsidRDefault="000D5E6D" w:rsidP="000D5E6D">
            <w:pPr>
              <w:rPr>
                <w:rFonts w:cs="Arial"/>
              </w:rPr>
            </w:pPr>
            <w:r w:rsidRPr="00852A5A">
              <w:rPr>
                <w:rFonts w:cs="Arial"/>
                <w:b/>
                <w:bCs/>
              </w:rPr>
              <w:t>-2,2, 16,6</w:t>
            </w:r>
          </w:p>
        </w:tc>
      </w:tr>
      <w:tr w:rsidR="00833A4E" w14:paraId="4EDA7689" w14:textId="77777777" w:rsidTr="00833A4E">
        <w:tc>
          <w:tcPr>
            <w:tcW w:w="3337" w:type="dxa"/>
            <w:gridSpan w:val="3"/>
          </w:tcPr>
          <w:p w14:paraId="26528B50" w14:textId="6F432228" w:rsidR="000D5E6D" w:rsidRPr="00852A5A" w:rsidRDefault="000D5E6D" w:rsidP="000D5E6D">
            <w:pPr>
              <w:rPr>
                <w:rFonts w:cs="Arial"/>
              </w:rPr>
            </w:pPr>
            <w:r w:rsidRPr="00852A5A">
              <w:rPr>
                <w:rFonts w:cs="Arial"/>
                <w:b/>
                <w:bCs/>
              </w:rPr>
              <w:t>АИ подгрупа (</w:t>
            </w:r>
            <w:r w:rsidRPr="00852A5A">
              <w:rPr>
                <w:rFonts w:cs="Arial"/>
                <w:b/>
                <w:bCs/>
                <w:lang w:val="en-US"/>
              </w:rPr>
              <w:t>n</w:t>
            </w:r>
            <w:r w:rsidRPr="00852A5A">
              <w:rPr>
                <w:rFonts w:cs="Arial"/>
                <w:b/>
                <w:bCs/>
              </w:rPr>
              <w:t>=313)</w:t>
            </w:r>
            <w:r w:rsidRPr="00852A5A">
              <w:rPr>
                <w:rFonts w:cs="Arial"/>
                <w:b/>
                <w:bCs/>
                <w:vertAlign w:val="superscript"/>
                <w:lang w:val="en-US"/>
              </w:rPr>
              <w:t>a</w:t>
            </w:r>
          </w:p>
        </w:tc>
        <w:tc>
          <w:tcPr>
            <w:tcW w:w="1651" w:type="dxa"/>
          </w:tcPr>
          <w:p w14:paraId="47B73A8E" w14:textId="07EA0BA5" w:rsidR="000D5E6D" w:rsidRPr="00852A5A" w:rsidRDefault="000D5E6D" w:rsidP="000D5E6D">
            <w:pPr>
              <w:rPr>
                <w:rFonts w:cs="Arial"/>
              </w:rPr>
            </w:pPr>
            <w:r w:rsidRPr="00852A5A">
              <w:rPr>
                <w:rFonts w:cs="Arial"/>
                <w:b/>
                <w:bCs/>
              </w:rPr>
              <w:t>36,2</w:t>
            </w:r>
          </w:p>
        </w:tc>
        <w:tc>
          <w:tcPr>
            <w:tcW w:w="1288" w:type="dxa"/>
          </w:tcPr>
          <w:p w14:paraId="5B4E2E2E" w14:textId="394CB2FF" w:rsidR="000D5E6D" w:rsidRPr="00852A5A" w:rsidRDefault="000D5E6D" w:rsidP="000D5E6D">
            <w:pPr>
              <w:rPr>
                <w:rFonts w:cs="Arial"/>
              </w:rPr>
            </w:pPr>
            <w:r w:rsidRPr="00852A5A">
              <w:rPr>
                <w:rFonts w:cs="Arial"/>
                <w:b/>
                <w:bCs/>
              </w:rPr>
              <w:t>32,3</w:t>
            </w:r>
          </w:p>
        </w:tc>
        <w:tc>
          <w:tcPr>
            <w:tcW w:w="1575" w:type="dxa"/>
          </w:tcPr>
          <w:p w14:paraId="614E7752" w14:textId="79800514" w:rsidR="000D5E6D" w:rsidRPr="00852A5A" w:rsidRDefault="000D5E6D" w:rsidP="000D5E6D">
            <w:pPr>
              <w:rPr>
                <w:rFonts w:cs="Arial"/>
              </w:rPr>
            </w:pPr>
            <w:r w:rsidRPr="00852A5A">
              <w:rPr>
                <w:rFonts w:cs="Arial"/>
                <w:b/>
                <w:bCs/>
              </w:rPr>
              <w:t>3,9</w:t>
            </w:r>
          </w:p>
        </w:tc>
        <w:tc>
          <w:tcPr>
            <w:tcW w:w="1141" w:type="dxa"/>
          </w:tcPr>
          <w:p w14:paraId="1A44721D" w14:textId="730068B8" w:rsidR="000D5E6D" w:rsidRPr="00852A5A" w:rsidRDefault="000D5E6D" w:rsidP="000D5E6D">
            <w:pPr>
              <w:rPr>
                <w:rFonts w:cs="Arial"/>
              </w:rPr>
            </w:pPr>
            <w:r w:rsidRPr="00852A5A">
              <w:rPr>
                <w:rFonts w:cs="Arial"/>
                <w:b/>
                <w:bCs/>
              </w:rPr>
              <w:t>-6,1, 15,2</w:t>
            </w:r>
          </w:p>
        </w:tc>
      </w:tr>
    </w:tbl>
    <w:p w14:paraId="61D22146" w14:textId="7547A625" w:rsidR="00A34059" w:rsidRDefault="00A34059" w:rsidP="0091385D"/>
    <w:p w14:paraId="7A8C8684" w14:textId="77777777" w:rsidR="00852A5A" w:rsidRPr="00852A5A" w:rsidRDefault="00852A5A" w:rsidP="00852A5A">
      <w:pPr>
        <w:spacing w:line="240" w:lineRule="auto"/>
        <w:rPr>
          <w:rFonts w:eastAsia="Times New Roman" w:cs="Arial"/>
          <w:sz w:val="24"/>
          <w:szCs w:val="24"/>
          <w:lang w:eastAsia="bg-BG"/>
        </w:rPr>
      </w:pPr>
      <w:r w:rsidRPr="00852A5A">
        <w:rPr>
          <w:rFonts w:eastAsia="Times New Roman" w:cs="Arial"/>
          <w:color w:val="000000"/>
          <w:lang w:eastAsia="bg-BG"/>
        </w:rPr>
        <w:t>а.</w:t>
      </w:r>
      <w:r w:rsidRPr="00852A5A">
        <w:rPr>
          <w:rFonts w:eastAsia="Times New Roman" w:cs="Arial"/>
          <w:color w:val="000000"/>
          <w:lang w:eastAsia="bg-BG"/>
        </w:rPr>
        <w:tab/>
        <w:t>Фулвестрант е показан при пациенти, които са имали рецидив или прогресия по време на антиестрогенова терапия. Резултатите от АИ-подгрупа не са убедителни.</w:t>
      </w:r>
    </w:p>
    <w:p w14:paraId="7C116FC8" w14:textId="77777777" w:rsidR="00852A5A" w:rsidRPr="00852A5A" w:rsidRDefault="00852A5A" w:rsidP="00852A5A">
      <w:pPr>
        <w:spacing w:line="240" w:lineRule="auto"/>
        <w:rPr>
          <w:rFonts w:eastAsia="Times New Roman" w:cs="Arial"/>
          <w:sz w:val="24"/>
          <w:szCs w:val="24"/>
          <w:lang w:eastAsia="bg-BG"/>
        </w:rPr>
      </w:pPr>
      <w:r w:rsidRPr="00852A5A">
        <w:rPr>
          <w:rFonts w:eastAsia="Times New Roman" w:cs="Arial"/>
          <w:color w:val="000000"/>
          <w:lang w:val="en-US"/>
        </w:rPr>
        <w:t>b</w:t>
      </w:r>
      <w:r w:rsidRPr="00852A5A">
        <w:rPr>
          <w:rFonts w:eastAsia="Times New Roman" w:cs="Arial"/>
          <w:color w:val="000000"/>
          <w:lang w:eastAsia="bg-BG"/>
        </w:rPr>
        <w:t>.</w:t>
      </w:r>
      <w:r w:rsidRPr="00852A5A">
        <w:rPr>
          <w:rFonts w:eastAsia="Times New Roman" w:cs="Arial"/>
          <w:color w:val="000000"/>
          <w:lang w:eastAsia="bg-BG"/>
        </w:rPr>
        <w:tab/>
        <w:t>Представените за ОП данни са от окончателните анализи за преживяемост при готовност 75%.</w:t>
      </w:r>
    </w:p>
    <w:p w14:paraId="43FA5959" w14:textId="77777777" w:rsidR="00852A5A" w:rsidRPr="00852A5A" w:rsidRDefault="00852A5A" w:rsidP="00852A5A">
      <w:pPr>
        <w:spacing w:line="240" w:lineRule="auto"/>
        <w:rPr>
          <w:rFonts w:eastAsia="Times New Roman" w:cs="Arial"/>
          <w:sz w:val="24"/>
          <w:szCs w:val="24"/>
          <w:lang w:eastAsia="bg-BG"/>
        </w:rPr>
      </w:pPr>
      <w:r w:rsidRPr="00852A5A">
        <w:rPr>
          <w:rFonts w:eastAsia="Times New Roman" w:cs="Arial"/>
          <w:color w:val="000000"/>
          <w:lang w:eastAsia="bg-BG"/>
        </w:rPr>
        <w:t>с.</w:t>
      </w:r>
      <w:r w:rsidRPr="00852A5A">
        <w:rPr>
          <w:rFonts w:eastAsia="Times New Roman" w:cs="Arial"/>
          <w:color w:val="000000"/>
          <w:lang w:eastAsia="bg-BG"/>
        </w:rPr>
        <w:tab/>
        <w:t>Номиналната р-стойност без да се прави уточнение за различията при сравнение между първоначалните анализи за обща преживяемост при готовност 50% и обновените анализи за преживяемост при готовност 75%.</w:t>
      </w:r>
    </w:p>
    <w:p w14:paraId="76427163" w14:textId="77777777" w:rsidR="00852A5A" w:rsidRPr="00852A5A" w:rsidRDefault="00852A5A" w:rsidP="00852A5A">
      <w:pPr>
        <w:spacing w:line="240" w:lineRule="auto"/>
        <w:rPr>
          <w:rFonts w:eastAsia="Times New Roman" w:cs="Arial"/>
          <w:sz w:val="24"/>
          <w:szCs w:val="24"/>
          <w:lang w:eastAsia="bg-BG"/>
        </w:rPr>
      </w:pPr>
      <w:r w:rsidRPr="00852A5A">
        <w:rPr>
          <w:rFonts w:eastAsia="Times New Roman" w:cs="Arial"/>
          <w:color w:val="000000"/>
          <w:lang w:val="en-US"/>
        </w:rPr>
        <w:t>d</w:t>
      </w:r>
      <w:r w:rsidRPr="00114D09">
        <w:rPr>
          <w:rFonts w:eastAsia="Times New Roman" w:cs="Arial"/>
          <w:color w:val="000000"/>
          <w:lang w:val="ru-RU"/>
        </w:rPr>
        <w:t>.</w:t>
      </w:r>
      <w:r w:rsidRPr="00852A5A">
        <w:rPr>
          <w:rFonts w:eastAsia="Times New Roman" w:cs="Arial"/>
          <w:color w:val="000000"/>
          <w:lang w:eastAsia="bg-BG"/>
        </w:rPr>
        <w:tab/>
        <w:t xml:space="preserve">СОП е оценена при пациентите, при които е било възможно да се оцени повлияването на изходно ниво (т.е. при пациентите с възможност за количествена оценка на болестта на изходно ниво: 240 пациенти в групата на </w:t>
      </w:r>
      <w:proofErr w:type="spellStart"/>
      <w:r w:rsidRPr="00852A5A">
        <w:rPr>
          <w:rFonts w:eastAsia="Times New Roman" w:cs="Arial"/>
          <w:color w:val="000000"/>
          <w:lang w:eastAsia="bg-BG"/>
        </w:rPr>
        <w:t>фулвестрант</w:t>
      </w:r>
      <w:proofErr w:type="spellEnd"/>
      <w:r w:rsidRPr="00852A5A">
        <w:rPr>
          <w:rFonts w:eastAsia="Times New Roman" w:cs="Arial"/>
          <w:color w:val="000000"/>
          <w:lang w:eastAsia="bg-BG"/>
        </w:rPr>
        <w:t xml:space="preserve"> 500 </w:t>
      </w:r>
      <w:r w:rsidRPr="00852A5A">
        <w:rPr>
          <w:rFonts w:eastAsia="Times New Roman" w:cs="Arial"/>
          <w:color w:val="000000"/>
          <w:lang w:val="en-US"/>
        </w:rPr>
        <w:t>mg</w:t>
      </w:r>
      <w:r w:rsidRPr="00114D09">
        <w:rPr>
          <w:rFonts w:eastAsia="Times New Roman" w:cs="Arial"/>
          <w:color w:val="000000"/>
          <w:lang w:val="ru-RU"/>
        </w:rPr>
        <w:t xml:space="preserve"> </w:t>
      </w:r>
      <w:r w:rsidRPr="00852A5A">
        <w:rPr>
          <w:rFonts w:eastAsia="Times New Roman" w:cs="Arial"/>
          <w:color w:val="000000"/>
          <w:lang w:eastAsia="bg-BG"/>
        </w:rPr>
        <w:t xml:space="preserve">и 261 пациенти в групата на </w:t>
      </w:r>
      <w:proofErr w:type="spellStart"/>
      <w:r w:rsidRPr="00852A5A">
        <w:rPr>
          <w:rFonts w:eastAsia="Times New Roman" w:cs="Arial"/>
          <w:color w:val="000000"/>
          <w:lang w:eastAsia="bg-BG"/>
        </w:rPr>
        <w:t>фулвестрант</w:t>
      </w:r>
      <w:proofErr w:type="spellEnd"/>
      <w:r w:rsidRPr="00852A5A">
        <w:rPr>
          <w:rFonts w:eastAsia="Times New Roman" w:cs="Arial"/>
          <w:color w:val="000000"/>
          <w:lang w:eastAsia="bg-BG"/>
        </w:rPr>
        <w:t xml:space="preserve"> 250 </w:t>
      </w:r>
      <w:r w:rsidRPr="00852A5A">
        <w:rPr>
          <w:rFonts w:eastAsia="Times New Roman" w:cs="Arial"/>
          <w:color w:val="000000"/>
          <w:lang w:val="en-US"/>
        </w:rPr>
        <w:t>mg</w:t>
      </w:r>
      <w:r w:rsidRPr="00114D09">
        <w:rPr>
          <w:rFonts w:eastAsia="Times New Roman" w:cs="Arial"/>
          <w:color w:val="000000"/>
          <w:lang w:val="ru-RU"/>
        </w:rPr>
        <w:t>).</w:t>
      </w:r>
    </w:p>
    <w:p w14:paraId="6E04DCCC" w14:textId="77777777" w:rsidR="00852A5A" w:rsidRPr="00852A5A" w:rsidRDefault="00852A5A" w:rsidP="00852A5A">
      <w:pPr>
        <w:spacing w:line="240" w:lineRule="auto"/>
        <w:rPr>
          <w:rFonts w:eastAsia="Times New Roman" w:cs="Arial"/>
          <w:sz w:val="24"/>
          <w:szCs w:val="24"/>
          <w:lang w:eastAsia="bg-BG"/>
        </w:rPr>
      </w:pPr>
      <w:r w:rsidRPr="00852A5A">
        <w:rPr>
          <w:rFonts w:eastAsia="Times New Roman" w:cs="Arial"/>
          <w:color w:val="000000"/>
          <w:lang w:eastAsia="bg-BG"/>
        </w:rPr>
        <w:t>е.</w:t>
      </w:r>
      <w:r w:rsidRPr="00852A5A">
        <w:rPr>
          <w:rFonts w:eastAsia="Times New Roman" w:cs="Arial"/>
          <w:color w:val="000000"/>
          <w:lang w:eastAsia="bg-BG"/>
        </w:rPr>
        <w:tab/>
        <w:t>Пациенти с най-добро обективно повлияване на пълно повлияване, частично повлияване или стабилно заболяване &gt;24 седмици.</w:t>
      </w:r>
    </w:p>
    <w:p w14:paraId="1770C73D" w14:textId="77777777" w:rsidR="00852A5A" w:rsidRPr="00852A5A" w:rsidRDefault="00852A5A" w:rsidP="00852A5A">
      <w:pPr>
        <w:spacing w:line="240" w:lineRule="auto"/>
        <w:rPr>
          <w:rFonts w:eastAsia="Times New Roman" w:cs="Arial"/>
          <w:color w:val="000000"/>
          <w:lang w:eastAsia="bg-BG"/>
        </w:rPr>
      </w:pPr>
    </w:p>
    <w:p w14:paraId="4B97656F" w14:textId="7D6143BE" w:rsidR="00852A5A" w:rsidRPr="00852A5A" w:rsidRDefault="00852A5A" w:rsidP="00852A5A">
      <w:pPr>
        <w:spacing w:line="240" w:lineRule="auto"/>
        <w:rPr>
          <w:rFonts w:eastAsia="Times New Roman" w:cs="Arial"/>
          <w:sz w:val="24"/>
          <w:szCs w:val="24"/>
          <w:lang w:eastAsia="bg-BG"/>
        </w:rPr>
      </w:pPr>
      <w:r w:rsidRPr="00852A5A">
        <w:rPr>
          <w:rFonts w:eastAsia="Times New Roman" w:cs="Arial"/>
          <w:color w:val="000000"/>
          <w:lang w:eastAsia="bg-BG"/>
        </w:rPr>
        <w:t>ПБП: свободна от прогресия преживяемост; СОП: степен на обективно повлияване; ОО: обективен отговор; СКП: степен на клинична полза; КП: клинична полза; ОП: обща преживяемост; К-М: Каплан Майер: ДИ: доверителен интервал; АИ: ароматазен инхибитор; АЕ:антиестроген.</w:t>
      </w:r>
    </w:p>
    <w:p w14:paraId="445148C3" w14:textId="77777777" w:rsidR="00852A5A" w:rsidRPr="00852A5A" w:rsidRDefault="00852A5A" w:rsidP="00852A5A">
      <w:pPr>
        <w:spacing w:line="240" w:lineRule="auto"/>
        <w:rPr>
          <w:rFonts w:eastAsia="Times New Roman" w:cs="Arial"/>
          <w:color w:val="000000"/>
          <w:lang w:eastAsia="bg-BG"/>
        </w:rPr>
      </w:pPr>
    </w:p>
    <w:p w14:paraId="0A1B3FC0" w14:textId="2B5A5A91" w:rsidR="00852A5A" w:rsidRPr="00852A5A" w:rsidRDefault="00852A5A" w:rsidP="00852A5A">
      <w:pPr>
        <w:spacing w:line="240" w:lineRule="auto"/>
        <w:rPr>
          <w:rFonts w:eastAsia="Times New Roman" w:cs="Arial"/>
          <w:sz w:val="24"/>
          <w:szCs w:val="24"/>
          <w:lang w:eastAsia="bg-BG"/>
        </w:rPr>
      </w:pPr>
      <w:r w:rsidRPr="00852A5A">
        <w:rPr>
          <w:rFonts w:eastAsia="Times New Roman" w:cs="Arial"/>
          <w:color w:val="000000"/>
          <w:lang w:eastAsia="bg-BG"/>
        </w:rPr>
        <w:t xml:space="preserve">Едно рандомизирано, двойно-сляпо, контролирано с двойно плацебо, </w:t>
      </w:r>
      <w:proofErr w:type="spellStart"/>
      <w:r w:rsidRPr="00852A5A">
        <w:rPr>
          <w:rFonts w:eastAsia="Times New Roman" w:cs="Arial"/>
          <w:color w:val="000000"/>
          <w:lang w:eastAsia="bg-BG"/>
        </w:rPr>
        <w:t>многоценгрово</w:t>
      </w:r>
      <w:proofErr w:type="spellEnd"/>
      <w:r w:rsidRPr="00852A5A">
        <w:rPr>
          <w:rFonts w:eastAsia="Times New Roman" w:cs="Arial"/>
          <w:color w:val="000000"/>
          <w:lang w:eastAsia="bg-BG"/>
        </w:rPr>
        <w:t xml:space="preserve"> проучване от фаза 3 с </w:t>
      </w:r>
      <w:proofErr w:type="spellStart"/>
      <w:r w:rsidRPr="00852A5A">
        <w:rPr>
          <w:rFonts w:eastAsia="Times New Roman" w:cs="Arial"/>
          <w:color w:val="000000"/>
          <w:lang w:eastAsia="bg-BG"/>
        </w:rPr>
        <w:t>фулвестрант</w:t>
      </w:r>
      <w:proofErr w:type="spellEnd"/>
      <w:r w:rsidRPr="00852A5A">
        <w:rPr>
          <w:rFonts w:eastAsia="Times New Roman" w:cs="Arial"/>
          <w:color w:val="000000"/>
          <w:lang w:eastAsia="bg-BG"/>
        </w:rPr>
        <w:t xml:space="preserve"> 500 </w:t>
      </w:r>
      <w:r w:rsidRPr="00852A5A">
        <w:rPr>
          <w:rFonts w:eastAsia="Times New Roman" w:cs="Arial"/>
          <w:color w:val="000000"/>
          <w:lang w:val="en-US"/>
        </w:rPr>
        <w:t>mg</w:t>
      </w:r>
      <w:r w:rsidRPr="00114D09">
        <w:rPr>
          <w:rFonts w:eastAsia="Times New Roman" w:cs="Arial"/>
          <w:color w:val="000000"/>
          <w:lang w:val="ru-RU"/>
        </w:rPr>
        <w:t xml:space="preserve"> </w:t>
      </w:r>
      <w:r w:rsidRPr="00852A5A">
        <w:rPr>
          <w:rFonts w:eastAsia="Times New Roman" w:cs="Arial"/>
          <w:color w:val="000000"/>
          <w:lang w:eastAsia="bg-BG"/>
        </w:rPr>
        <w:t xml:space="preserve">в сравнение с </w:t>
      </w:r>
      <w:proofErr w:type="spellStart"/>
      <w:r w:rsidRPr="00852A5A">
        <w:rPr>
          <w:rFonts w:eastAsia="Times New Roman" w:cs="Arial"/>
          <w:color w:val="000000"/>
          <w:lang w:eastAsia="bg-BG"/>
        </w:rPr>
        <w:t>анастрозол</w:t>
      </w:r>
      <w:proofErr w:type="spellEnd"/>
      <w:r w:rsidRPr="00852A5A">
        <w:rPr>
          <w:rFonts w:eastAsia="Times New Roman" w:cs="Arial"/>
          <w:color w:val="000000"/>
          <w:lang w:eastAsia="bg-BG"/>
        </w:rPr>
        <w:t xml:space="preserve"> 1 </w:t>
      </w:r>
      <w:r w:rsidRPr="00852A5A">
        <w:rPr>
          <w:rFonts w:eastAsia="Times New Roman" w:cs="Arial"/>
          <w:color w:val="000000"/>
          <w:lang w:val="en-US"/>
        </w:rPr>
        <w:t>mg</w:t>
      </w:r>
      <w:r w:rsidRPr="00114D09">
        <w:rPr>
          <w:rFonts w:eastAsia="Times New Roman" w:cs="Arial"/>
          <w:color w:val="000000"/>
          <w:lang w:val="ru-RU"/>
        </w:rPr>
        <w:t xml:space="preserve"> </w:t>
      </w:r>
      <w:r w:rsidRPr="00852A5A">
        <w:rPr>
          <w:rFonts w:eastAsia="Times New Roman" w:cs="Arial"/>
          <w:color w:val="000000"/>
          <w:lang w:eastAsia="bg-BG"/>
        </w:rPr>
        <w:t xml:space="preserve">е проведено при </w:t>
      </w:r>
      <w:proofErr w:type="spellStart"/>
      <w:r w:rsidRPr="00852A5A">
        <w:rPr>
          <w:rFonts w:eastAsia="Times New Roman" w:cs="Arial"/>
          <w:color w:val="000000"/>
          <w:lang w:eastAsia="bg-BG"/>
        </w:rPr>
        <w:t>постменопаузални</w:t>
      </w:r>
      <w:proofErr w:type="spellEnd"/>
      <w:r w:rsidRPr="00852A5A">
        <w:rPr>
          <w:rFonts w:eastAsia="Times New Roman" w:cs="Arial"/>
          <w:color w:val="000000"/>
          <w:lang w:eastAsia="bg-BG"/>
        </w:rPr>
        <w:t xml:space="preserve"> жени с </w:t>
      </w:r>
      <w:r w:rsidRPr="00852A5A">
        <w:rPr>
          <w:rFonts w:eastAsia="Times New Roman" w:cs="Arial"/>
          <w:color w:val="000000"/>
          <w:lang w:val="en-US"/>
        </w:rPr>
        <w:t>ER</w:t>
      </w:r>
      <w:r w:rsidRPr="00852A5A">
        <w:rPr>
          <w:rFonts w:eastAsia="Times New Roman" w:cs="Arial"/>
          <w:color w:val="000000"/>
          <w:lang w:eastAsia="bg-BG"/>
        </w:rPr>
        <w:t xml:space="preserve">-позитивен и/или </w:t>
      </w:r>
      <w:proofErr w:type="spellStart"/>
      <w:r w:rsidRPr="00852A5A">
        <w:rPr>
          <w:rFonts w:eastAsia="Times New Roman" w:cs="Arial"/>
          <w:color w:val="000000"/>
          <w:lang w:val="en-US"/>
        </w:rPr>
        <w:t>PgR</w:t>
      </w:r>
      <w:proofErr w:type="spellEnd"/>
      <w:r w:rsidRPr="00852A5A">
        <w:rPr>
          <w:rFonts w:eastAsia="Times New Roman" w:cs="Arial"/>
          <w:color w:val="000000"/>
          <w:lang w:eastAsia="bg-BG"/>
        </w:rPr>
        <w:t xml:space="preserve">-позитивен локално авансирал или </w:t>
      </w:r>
      <w:proofErr w:type="spellStart"/>
      <w:r w:rsidRPr="00852A5A">
        <w:rPr>
          <w:rFonts w:eastAsia="Times New Roman" w:cs="Arial"/>
          <w:color w:val="000000"/>
          <w:lang w:eastAsia="bg-BG"/>
        </w:rPr>
        <w:t>метастатичен</w:t>
      </w:r>
      <w:proofErr w:type="spellEnd"/>
      <w:r w:rsidRPr="00852A5A">
        <w:rPr>
          <w:rFonts w:eastAsia="Times New Roman" w:cs="Arial"/>
          <w:color w:val="000000"/>
          <w:lang w:eastAsia="bg-BG"/>
        </w:rPr>
        <w:t xml:space="preserve"> рак на млечната жлеза, които предходно не са били лекувани с хормонална терапия. Общо 462 пациентки са рандомизирани в съотношение 1:1 да получават последователно </w:t>
      </w:r>
      <w:proofErr w:type="spellStart"/>
      <w:r w:rsidRPr="00852A5A">
        <w:rPr>
          <w:rFonts w:eastAsia="Times New Roman" w:cs="Arial"/>
          <w:color w:val="000000"/>
          <w:lang w:eastAsia="bg-BG"/>
        </w:rPr>
        <w:t>фулвестрант</w:t>
      </w:r>
      <w:proofErr w:type="spellEnd"/>
      <w:r w:rsidRPr="00852A5A">
        <w:rPr>
          <w:rFonts w:eastAsia="Times New Roman" w:cs="Arial"/>
          <w:color w:val="000000"/>
          <w:lang w:eastAsia="bg-BG"/>
        </w:rPr>
        <w:t xml:space="preserve"> 500 </w:t>
      </w:r>
      <w:r w:rsidRPr="00852A5A">
        <w:rPr>
          <w:rFonts w:eastAsia="Times New Roman" w:cs="Arial"/>
          <w:color w:val="000000"/>
          <w:lang w:val="en-US"/>
        </w:rPr>
        <w:t>mg</w:t>
      </w:r>
      <w:r w:rsidRPr="00114D09">
        <w:rPr>
          <w:rFonts w:eastAsia="Times New Roman" w:cs="Arial"/>
          <w:color w:val="000000"/>
          <w:lang w:val="ru-RU"/>
        </w:rPr>
        <w:t xml:space="preserve"> </w:t>
      </w:r>
      <w:r w:rsidRPr="00852A5A">
        <w:rPr>
          <w:rFonts w:eastAsia="Times New Roman" w:cs="Arial"/>
          <w:color w:val="000000"/>
          <w:lang w:eastAsia="bg-BG"/>
        </w:rPr>
        <w:t xml:space="preserve">или </w:t>
      </w:r>
      <w:proofErr w:type="spellStart"/>
      <w:r w:rsidRPr="00852A5A">
        <w:rPr>
          <w:rFonts w:eastAsia="Times New Roman" w:cs="Arial"/>
          <w:color w:val="000000"/>
          <w:lang w:eastAsia="bg-BG"/>
        </w:rPr>
        <w:t>анастрозол</w:t>
      </w:r>
      <w:proofErr w:type="spellEnd"/>
      <w:r w:rsidRPr="00852A5A">
        <w:rPr>
          <w:rFonts w:eastAsia="Times New Roman" w:cs="Arial"/>
          <w:color w:val="000000"/>
          <w:lang w:eastAsia="bg-BG"/>
        </w:rPr>
        <w:t xml:space="preserve"> 1 </w:t>
      </w:r>
      <w:r w:rsidRPr="00852A5A">
        <w:rPr>
          <w:rFonts w:eastAsia="Times New Roman" w:cs="Arial"/>
          <w:color w:val="000000"/>
          <w:lang w:val="en-US"/>
        </w:rPr>
        <w:t>mg</w:t>
      </w:r>
      <w:r w:rsidRPr="00114D09">
        <w:rPr>
          <w:rFonts w:eastAsia="Times New Roman" w:cs="Arial"/>
          <w:color w:val="000000"/>
          <w:lang w:val="ru-RU"/>
        </w:rPr>
        <w:t>.</w:t>
      </w:r>
    </w:p>
    <w:p w14:paraId="6818B7A6" w14:textId="77777777" w:rsidR="00852A5A" w:rsidRPr="00852A5A" w:rsidRDefault="00852A5A" w:rsidP="00852A5A">
      <w:pPr>
        <w:spacing w:line="240" w:lineRule="auto"/>
        <w:rPr>
          <w:rFonts w:eastAsia="Times New Roman" w:cs="Arial"/>
          <w:color w:val="000000"/>
          <w:lang w:eastAsia="bg-BG"/>
        </w:rPr>
      </w:pPr>
    </w:p>
    <w:p w14:paraId="526955DB" w14:textId="2D4C6DB0" w:rsidR="00852A5A" w:rsidRPr="00852A5A" w:rsidRDefault="00852A5A" w:rsidP="00852A5A">
      <w:pPr>
        <w:spacing w:line="240" w:lineRule="auto"/>
        <w:rPr>
          <w:rFonts w:eastAsia="Times New Roman" w:cs="Arial"/>
          <w:sz w:val="24"/>
          <w:szCs w:val="24"/>
          <w:lang w:eastAsia="bg-BG"/>
        </w:rPr>
      </w:pPr>
      <w:r w:rsidRPr="00852A5A">
        <w:rPr>
          <w:rFonts w:eastAsia="Times New Roman" w:cs="Arial"/>
          <w:color w:val="000000"/>
          <w:lang w:eastAsia="bg-BG"/>
        </w:rPr>
        <w:t>Рандомизацията е стратифицирана по типа на заболяването (локално авансирал или метастатичен), предходна химиотерапия за авансирало и подлежащо на измерване заболяване.</w:t>
      </w:r>
    </w:p>
    <w:p w14:paraId="1AD639B4" w14:textId="77777777" w:rsidR="00852A5A" w:rsidRPr="00852A5A" w:rsidRDefault="00852A5A" w:rsidP="00852A5A">
      <w:pPr>
        <w:spacing w:line="240" w:lineRule="auto"/>
        <w:rPr>
          <w:rFonts w:eastAsia="Times New Roman" w:cs="Arial"/>
          <w:color w:val="000000"/>
          <w:lang w:eastAsia="bg-BG"/>
        </w:rPr>
      </w:pPr>
    </w:p>
    <w:p w14:paraId="2E0F99BC" w14:textId="174A5CC9" w:rsidR="00852A5A" w:rsidRPr="00852A5A" w:rsidRDefault="00852A5A" w:rsidP="00852A5A">
      <w:pPr>
        <w:spacing w:line="240" w:lineRule="auto"/>
        <w:rPr>
          <w:rFonts w:eastAsia="Times New Roman" w:cs="Arial"/>
          <w:sz w:val="24"/>
          <w:szCs w:val="24"/>
          <w:lang w:eastAsia="bg-BG"/>
        </w:rPr>
      </w:pPr>
      <w:r w:rsidRPr="00852A5A">
        <w:rPr>
          <w:rFonts w:eastAsia="Times New Roman" w:cs="Arial"/>
          <w:color w:val="000000"/>
          <w:lang w:eastAsia="bg-BG"/>
        </w:rPr>
        <w:t xml:space="preserve">Първичната крайна точка за ефикасност на проучването е оценената от изследователя преживяемост без прогресия (ПБП), оценена съобразно с </w:t>
      </w:r>
      <w:r w:rsidRPr="00852A5A">
        <w:rPr>
          <w:rFonts w:eastAsia="Times New Roman" w:cs="Arial"/>
          <w:color w:val="000000"/>
          <w:lang w:val="en-US"/>
        </w:rPr>
        <w:t>RECIST</w:t>
      </w:r>
      <w:r w:rsidRPr="00114D09">
        <w:rPr>
          <w:rFonts w:eastAsia="Times New Roman" w:cs="Arial"/>
          <w:color w:val="000000"/>
          <w:lang w:val="ru-RU"/>
        </w:rPr>
        <w:t xml:space="preserve"> </w:t>
      </w:r>
      <w:r w:rsidRPr="00852A5A">
        <w:rPr>
          <w:rFonts w:eastAsia="Times New Roman" w:cs="Arial"/>
          <w:color w:val="000000"/>
          <w:lang w:eastAsia="bg-BG"/>
        </w:rPr>
        <w:t xml:space="preserve">1.1 (Критерии за оценка на повлияването при солидни тумори </w:t>
      </w:r>
      <w:r w:rsidRPr="00114D09">
        <w:rPr>
          <w:rFonts w:eastAsia="Times New Roman" w:cs="Arial"/>
          <w:color w:val="000000"/>
          <w:lang w:val="ru-RU"/>
        </w:rPr>
        <w:t>[</w:t>
      </w:r>
      <w:r w:rsidRPr="00852A5A">
        <w:rPr>
          <w:rFonts w:eastAsia="Times New Roman" w:cs="Arial"/>
          <w:color w:val="000000"/>
          <w:lang w:val="en-US"/>
        </w:rPr>
        <w:t>Response</w:t>
      </w:r>
      <w:r w:rsidRPr="00114D09">
        <w:rPr>
          <w:rFonts w:eastAsia="Times New Roman" w:cs="Arial"/>
          <w:color w:val="000000"/>
          <w:lang w:val="ru-RU"/>
        </w:rPr>
        <w:t xml:space="preserve"> </w:t>
      </w:r>
      <w:r w:rsidRPr="00852A5A">
        <w:rPr>
          <w:rFonts w:eastAsia="Times New Roman" w:cs="Arial"/>
          <w:color w:val="000000"/>
          <w:lang w:val="en-US"/>
        </w:rPr>
        <w:t>Evaluation</w:t>
      </w:r>
      <w:r w:rsidRPr="00114D09">
        <w:rPr>
          <w:rFonts w:eastAsia="Times New Roman" w:cs="Arial"/>
          <w:color w:val="000000"/>
          <w:lang w:val="ru-RU"/>
        </w:rPr>
        <w:t xml:space="preserve"> </w:t>
      </w:r>
      <w:r w:rsidRPr="00852A5A">
        <w:rPr>
          <w:rFonts w:eastAsia="Times New Roman" w:cs="Arial"/>
          <w:color w:val="000000"/>
          <w:lang w:val="en-US"/>
        </w:rPr>
        <w:t>Criteria</w:t>
      </w:r>
      <w:r w:rsidRPr="00114D09">
        <w:rPr>
          <w:rFonts w:eastAsia="Times New Roman" w:cs="Arial"/>
          <w:color w:val="000000"/>
          <w:lang w:val="ru-RU"/>
        </w:rPr>
        <w:t xml:space="preserve"> </w:t>
      </w:r>
      <w:r w:rsidRPr="00852A5A">
        <w:rPr>
          <w:rFonts w:eastAsia="Times New Roman" w:cs="Arial"/>
          <w:color w:val="000000"/>
          <w:lang w:val="en-US"/>
        </w:rPr>
        <w:t>in</w:t>
      </w:r>
      <w:r w:rsidRPr="00114D09">
        <w:rPr>
          <w:rFonts w:eastAsia="Times New Roman" w:cs="Arial"/>
          <w:color w:val="000000"/>
          <w:lang w:val="ru-RU"/>
        </w:rPr>
        <w:t xml:space="preserve"> </w:t>
      </w:r>
      <w:r w:rsidRPr="00852A5A">
        <w:rPr>
          <w:rFonts w:eastAsia="Times New Roman" w:cs="Arial"/>
          <w:color w:val="000000"/>
          <w:lang w:val="en-US"/>
        </w:rPr>
        <w:t>Solid</w:t>
      </w:r>
      <w:r w:rsidRPr="00114D09">
        <w:rPr>
          <w:rFonts w:eastAsia="Times New Roman" w:cs="Arial"/>
          <w:color w:val="000000"/>
          <w:lang w:val="ru-RU"/>
        </w:rPr>
        <w:t xml:space="preserve"> </w:t>
      </w:r>
      <w:proofErr w:type="spellStart"/>
      <w:r w:rsidRPr="00852A5A">
        <w:rPr>
          <w:rFonts w:eastAsia="Times New Roman" w:cs="Arial"/>
          <w:color w:val="000000"/>
          <w:lang w:val="en-US"/>
        </w:rPr>
        <w:t>Tumours</w:t>
      </w:r>
      <w:proofErr w:type="spellEnd"/>
      <w:r w:rsidRPr="00114D09">
        <w:rPr>
          <w:rFonts w:eastAsia="Times New Roman" w:cs="Arial"/>
          <w:color w:val="000000"/>
          <w:lang w:val="ru-RU"/>
        </w:rPr>
        <w:t xml:space="preserve">]). </w:t>
      </w:r>
      <w:r w:rsidRPr="00852A5A">
        <w:rPr>
          <w:rFonts w:eastAsia="Times New Roman" w:cs="Arial"/>
          <w:color w:val="000000"/>
          <w:lang w:eastAsia="bg-BG"/>
        </w:rPr>
        <w:t>Ключовите вторични точки за ефикасност включват обща преживяемост (ОП) и степен на обективно повлияване (СОП).</w:t>
      </w:r>
    </w:p>
    <w:p w14:paraId="1E55E897" w14:textId="77777777" w:rsidR="00852A5A" w:rsidRPr="00852A5A" w:rsidRDefault="00852A5A" w:rsidP="00852A5A">
      <w:pPr>
        <w:spacing w:line="240" w:lineRule="auto"/>
        <w:rPr>
          <w:rFonts w:eastAsia="Times New Roman" w:cs="Arial"/>
          <w:color w:val="000000"/>
          <w:lang w:eastAsia="bg-BG"/>
        </w:rPr>
      </w:pPr>
    </w:p>
    <w:p w14:paraId="27899FB5" w14:textId="27706816" w:rsidR="00852A5A" w:rsidRPr="00852A5A" w:rsidRDefault="00852A5A" w:rsidP="00852A5A">
      <w:pPr>
        <w:spacing w:line="240" w:lineRule="auto"/>
        <w:rPr>
          <w:rFonts w:eastAsia="Times New Roman" w:cs="Arial"/>
          <w:sz w:val="24"/>
          <w:szCs w:val="24"/>
          <w:lang w:eastAsia="bg-BG"/>
        </w:rPr>
      </w:pPr>
      <w:r w:rsidRPr="00852A5A">
        <w:rPr>
          <w:rFonts w:eastAsia="Times New Roman" w:cs="Arial"/>
          <w:color w:val="000000"/>
          <w:lang w:eastAsia="bg-BG"/>
        </w:rPr>
        <w:t>При пациентките, включени в това изпитване, средната възраст е 63 години (диапазон 36 - 90 години). По-голямата част от пациентките (87,0 %) имат метастатично заболяване на изходно ниво. Петдесет и пет процента (55,0 %) от пациентките имат висцерални метастази на изходно ниво. Общо 17,1 % от пациентките са приемали предшестващ химиотерапевтичен режим за лечение на авансирало заболяване; 84,2 % от пациентите имат подлежащо на измерване заболяване.</w:t>
      </w:r>
    </w:p>
    <w:p w14:paraId="0B8C95C5" w14:textId="77777777" w:rsidR="00852A5A" w:rsidRPr="00852A5A" w:rsidRDefault="00852A5A" w:rsidP="00852A5A">
      <w:pPr>
        <w:rPr>
          <w:rFonts w:eastAsia="Times New Roman" w:cs="Arial"/>
          <w:color w:val="000000"/>
          <w:lang w:eastAsia="bg-BG"/>
        </w:rPr>
      </w:pPr>
    </w:p>
    <w:p w14:paraId="2C26840A" w14:textId="77777777" w:rsidR="00C838E4" w:rsidRPr="00C838E4" w:rsidRDefault="00852A5A" w:rsidP="00C838E4">
      <w:pPr>
        <w:rPr>
          <w:rFonts w:ascii="Times New Roman" w:eastAsia="Times New Roman" w:hAnsi="Times New Roman" w:cs="Times New Roman"/>
          <w:sz w:val="24"/>
          <w:szCs w:val="24"/>
          <w:lang w:eastAsia="bg-BG"/>
        </w:rPr>
      </w:pPr>
      <w:r w:rsidRPr="00852A5A">
        <w:rPr>
          <w:rFonts w:eastAsia="Times New Roman" w:cs="Arial"/>
          <w:color w:val="000000"/>
          <w:lang w:eastAsia="bg-BG"/>
        </w:rPr>
        <w:t xml:space="preserve">Съответстващи резултати се наблюдават в по-голямата част от предварително определение с подгрупи пациентки. В подгрупата пациентки, при които заболяването е ограничено до </w:t>
      </w:r>
      <w:proofErr w:type="spellStart"/>
      <w:r w:rsidRPr="00852A5A">
        <w:rPr>
          <w:rFonts w:eastAsia="Times New Roman" w:cs="Arial"/>
          <w:color w:val="000000"/>
          <w:lang w:eastAsia="bg-BG"/>
        </w:rPr>
        <w:t>невисцерални</w:t>
      </w:r>
      <w:proofErr w:type="spellEnd"/>
      <w:r w:rsidRPr="00852A5A">
        <w:rPr>
          <w:rFonts w:eastAsia="Times New Roman" w:cs="Arial"/>
          <w:color w:val="000000"/>
          <w:lang w:eastAsia="bg-BG"/>
        </w:rPr>
        <w:t xml:space="preserve"> метастази (</w:t>
      </w:r>
      <w:r w:rsidRPr="00852A5A">
        <w:rPr>
          <w:rFonts w:eastAsia="Times New Roman" w:cs="Arial"/>
          <w:color w:val="000000"/>
          <w:lang w:val="en-US" w:eastAsia="bg-BG"/>
        </w:rPr>
        <w:t>n</w:t>
      </w:r>
      <w:r w:rsidRPr="00852A5A">
        <w:rPr>
          <w:rFonts w:eastAsia="Times New Roman" w:cs="Arial"/>
          <w:color w:val="000000"/>
          <w:lang w:eastAsia="bg-BG"/>
        </w:rPr>
        <w:t xml:space="preserve">=208), коефициентът на риск </w:t>
      </w:r>
      <w:r w:rsidRPr="00114D09">
        <w:rPr>
          <w:rFonts w:eastAsia="Times New Roman" w:cs="Arial"/>
          <w:color w:val="000000"/>
          <w:lang w:val="ru-RU"/>
        </w:rPr>
        <w:t>(</w:t>
      </w:r>
      <w:r w:rsidRPr="00852A5A">
        <w:rPr>
          <w:rFonts w:eastAsia="Times New Roman" w:cs="Arial"/>
          <w:color w:val="000000"/>
          <w:lang w:val="en-US"/>
        </w:rPr>
        <w:t>HR</w:t>
      </w:r>
      <w:r w:rsidRPr="00114D09">
        <w:rPr>
          <w:rFonts w:eastAsia="Times New Roman" w:cs="Arial"/>
          <w:color w:val="000000"/>
          <w:lang w:val="ru-RU"/>
        </w:rPr>
        <w:t xml:space="preserve">) </w:t>
      </w:r>
      <w:r w:rsidRPr="00852A5A">
        <w:rPr>
          <w:rFonts w:eastAsia="Times New Roman" w:cs="Arial"/>
          <w:color w:val="000000"/>
          <w:lang w:eastAsia="bg-BG"/>
        </w:rPr>
        <w:t>е 0,592 (95 % ДИ;</w:t>
      </w:r>
      <w:r w:rsidRPr="00114D09">
        <w:rPr>
          <w:rFonts w:eastAsia="Times New Roman" w:cs="Arial"/>
          <w:color w:val="000000"/>
          <w:lang w:val="ru-RU"/>
        </w:rPr>
        <w:t xml:space="preserve"> 0,419, 0,837 </w:t>
      </w:r>
      <w:r w:rsidRPr="00852A5A">
        <w:rPr>
          <w:rFonts w:eastAsia="Times New Roman" w:cs="Arial"/>
          <w:color w:val="000000"/>
          <w:lang w:eastAsia="bg-BG"/>
        </w:rPr>
        <w:t>в</w:t>
      </w:r>
      <w:r w:rsidR="00C838E4" w:rsidRPr="00114D09">
        <w:rPr>
          <w:rFonts w:eastAsia="Times New Roman" w:cs="Arial"/>
          <w:color w:val="000000"/>
          <w:lang w:val="ru-RU" w:eastAsia="bg-BG"/>
        </w:rPr>
        <w:t xml:space="preserve"> </w:t>
      </w:r>
      <w:r w:rsidR="00C838E4" w:rsidRPr="00C838E4">
        <w:rPr>
          <w:rFonts w:ascii="Times New Roman" w:eastAsia="Times New Roman" w:hAnsi="Times New Roman" w:cs="Times New Roman"/>
          <w:color w:val="000000"/>
          <w:lang w:eastAsia="bg-BG"/>
        </w:rPr>
        <w:t xml:space="preserve">рамото на </w:t>
      </w:r>
      <w:proofErr w:type="spellStart"/>
      <w:r w:rsidR="00C838E4" w:rsidRPr="00C838E4">
        <w:rPr>
          <w:rFonts w:ascii="Times New Roman" w:eastAsia="Times New Roman" w:hAnsi="Times New Roman" w:cs="Times New Roman"/>
          <w:color w:val="000000"/>
          <w:lang w:eastAsia="bg-BG"/>
        </w:rPr>
        <w:t>фулвестрант</w:t>
      </w:r>
      <w:proofErr w:type="spellEnd"/>
      <w:r w:rsidR="00C838E4" w:rsidRPr="00C838E4">
        <w:rPr>
          <w:rFonts w:ascii="Times New Roman" w:eastAsia="Times New Roman" w:hAnsi="Times New Roman" w:cs="Times New Roman"/>
          <w:color w:val="000000"/>
          <w:lang w:eastAsia="bg-BG"/>
        </w:rPr>
        <w:t xml:space="preserve">, в сравнение с рамото на </w:t>
      </w:r>
      <w:proofErr w:type="spellStart"/>
      <w:r w:rsidR="00C838E4" w:rsidRPr="00C838E4">
        <w:rPr>
          <w:rFonts w:ascii="Times New Roman" w:eastAsia="Times New Roman" w:hAnsi="Times New Roman" w:cs="Times New Roman"/>
          <w:color w:val="000000"/>
          <w:lang w:eastAsia="bg-BG"/>
        </w:rPr>
        <w:t>анастрозол</w:t>
      </w:r>
      <w:proofErr w:type="spellEnd"/>
      <w:r w:rsidR="00C838E4" w:rsidRPr="00C838E4">
        <w:rPr>
          <w:rFonts w:ascii="Times New Roman" w:eastAsia="Times New Roman" w:hAnsi="Times New Roman" w:cs="Times New Roman"/>
          <w:color w:val="000000"/>
          <w:lang w:eastAsia="bg-BG"/>
        </w:rPr>
        <w:t xml:space="preserve">. В подгрупата на пациентките с </w:t>
      </w:r>
      <w:proofErr w:type="spellStart"/>
      <w:r w:rsidR="00C838E4" w:rsidRPr="00C838E4">
        <w:rPr>
          <w:rFonts w:ascii="Times New Roman" w:eastAsia="Times New Roman" w:hAnsi="Times New Roman" w:cs="Times New Roman"/>
          <w:color w:val="000000"/>
          <w:lang w:eastAsia="bg-BG"/>
        </w:rPr>
        <w:t>висцерални</w:t>
      </w:r>
      <w:proofErr w:type="spellEnd"/>
      <w:r w:rsidR="00C838E4" w:rsidRPr="00C838E4">
        <w:rPr>
          <w:rFonts w:ascii="Times New Roman" w:eastAsia="Times New Roman" w:hAnsi="Times New Roman" w:cs="Times New Roman"/>
          <w:color w:val="000000"/>
          <w:lang w:eastAsia="bg-BG"/>
        </w:rPr>
        <w:t xml:space="preserve"> метастази </w:t>
      </w:r>
      <w:r w:rsidR="00C838E4" w:rsidRPr="00114D09">
        <w:rPr>
          <w:rFonts w:ascii="Times New Roman" w:eastAsia="Times New Roman" w:hAnsi="Times New Roman" w:cs="Times New Roman"/>
          <w:color w:val="000000"/>
          <w:lang w:val="ru-RU"/>
        </w:rPr>
        <w:t>(</w:t>
      </w:r>
      <w:r w:rsidR="00C838E4" w:rsidRPr="00C838E4">
        <w:rPr>
          <w:rFonts w:ascii="Times New Roman" w:eastAsia="Times New Roman" w:hAnsi="Times New Roman" w:cs="Times New Roman"/>
          <w:color w:val="000000"/>
          <w:lang w:val="en-US"/>
        </w:rPr>
        <w:t>n</w:t>
      </w:r>
      <w:r w:rsidR="00C838E4" w:rsidRPr="00114D09">
        <w:rPr>
          <w:rFonts w:ascii="Times New Roman" w:eastAsia="Times New Roman" w:hAnsi="Times New Roman" w:cs="Times New Roman"/>
          <w:color w:val="000000"/>
          <w:lang w:val="ru-RU"/>
        </w:rPr>
        <w:t xml:space="preserve">=254), </w:t>
      </w:r>
      <w:r w:rsidR="00C838E4" w:rsidRPr="00C838E4">
        <w:rPr>
          <w:rFonts w:ascii="Times New Roman" w:eastAsia="Times New Roman" w:hAnsi="Times New Roman" w:cs="Times New Roman"/>
          <w:color w:val="000000"/>
          <w:lang w:val="en-US"/>
        </w:rPr>
        <w:t>HR</w:t>
      </w:r>
      <w:r w:rsidR="00C838E4" w:rsidRPr="00114D09">
        <w:rPr>
          <w:rFonts w:ascii="Times New Roman" w:eastAsia="Times New Roman" w:hAnsi="Times New Roman" w:cs="Times New Roman"/>
          <w:color w:val="000000"/>
          <w:lang w:val="ru-RU"/>
        </w:rPr>
        <w:t xml:space="preserve"> </w:t>
      </w:r>
      <w:r w:rsidR="00C838E4" w:rsidRPr="00C838E4">
        <w:rPr>
          <w:rFonts w:ascii="Times New Roman" w:eastAsia="Times New Roman" w:hAnsi="Times New Roman" w:cs="Times New Roman"/>
          <w:color w:val="000000"/>
          <w:lang w:eastAsia="bg-BG"/>
        </w:rPr>
        <w:t xml:space="preserve">е 0,993 (95 % ДИ: 0,740; 1,331) в рамото на </w:t>
      </w:r>
      <w:proofErr w:type="spellStart"/>
      <w:r w:rsidR="00C838E4" w:rsidRPr="00C838E4">
        <w:rPr>
          <w:rFonts w:ascii="Times New Roman" w:eastAsia="Times New Roman" w:hAnsi="Times New Roman" w:cs="Times New Roman"/>
          <w:color w:val="000000"/>
          <w:lang w:eastAsia="bg-BG"/>
        </w:rPr>
        <w:t>фулвестрант</w:t>
      </w:r>
      <w:proofErr w:type="spellEnd"/>
      <w:r w:rsidR="00C838E4" w:rsidRPr="00C838E4">
        <w:rPr>
          <w:rFonts w:ascii="Times New Roman" w:eastAsia="Times New Roman" w:hAnsi="Times New Roman" w:cs="Times New Roman"/>
          <w:color w:val="000000"/>
          <w:lang w:eastAsia="bg-BG"/>
        </w:rPr>
        <w:t xml:space="preserve">, в сравнение с рамото на </w:t>
      </w:r>
      <w:proofErr w:type="spellStart"/>
      <w:r w:rsidR="00C838E4" w:rsidRPr="00C838E4">
        <w:rPr>
          <w:rFonts w:ascii="Times New Roman" w:eastAsia="Times New Roman" w:hAnsi="Times New Roman" w:cs="Times New Roman"/>
          <w:color w:val="000000"/>
          <w:lang w:eastAsia="bg-BG"/>
        </w:rPr>
        <w:t>анастрозол</w:t>
      </w:r>
      <w:proofErr w:type="spellEnd"/>
      <w:r w:rsidR="00C838E4" w:rsidRPr="00C838E4">
        <w:rPr>
          <w:rFonts w:ascii="Times New Roman" w:eastAsia="Times New Roman" w:hAnsi="Times New Roman" w:cs="Times New Roman"/>
          <w:color w:val="000000"/>
          <w:lang w:eastAsia="bg-BG"/>
        </w:rPr>
        <w:t xml:space="preserve">. Резултатите за ефикасност от проучването </w:t>
      </w:r>
      <w:r w:rsidR="00C838E4" w:rsidRPr="00C838E4">
        <w:rPr>
          <w:rFonts w:ascii="Times New Roman" w:eastAsia="Times New Roman" w:hAnsi="Times New Roman" w:cs="Times New Roman"/>
          <w:color w:val="000000"/>
          <w:lang w:val="en-US"/>
        </w:rPr>
        <w:t>FALCON</w:t>
      </w:r>
      <w:r w:rsidR="00C838E4" w:rsidRPr="00114D09">
        <w:rPr>
          <w:rFonts w:ascii="Times New Roman" w:eastAsia="Times New Roman" w:hAnsi="Times New Roman" w:cs="Times New Roman"/>
          <w:color w:val="000000"/>
          <w:lang w:val="ru-RU"/>
        </w:rPr>
        <w:t xml:space="preserve"> </w:t>
      </w:r>
      <w:r w:rsidR="00C838E4" w:rsidRPr="00C838E4">
        <w:rPr>
          <w:rFonts w:ascii="Times New Roman" w:eastAsia="Times New Roman" w:hAnsi="Times New Roman" w:cs="Times New Roman"/>
          <w:color w:val="000000"/>
          <w:lang w:eastAsia="bg-BG"/>
        </w:rPr>
        <w:t>са представени в Таблица 4 и Фигура 1.</w:t>
      </w:r>
    </w:p>
    <w:p w14:paraId="7F524367" w14:textId="77777777" w:rsidR="00C838E4" w:rsidRDefault="00C838E4" w:rsidP="00C838E4">
      <w:pPr>
        <w:rPr>
          <w:rFonts w:ascii="Times New Roman" w:eastAsia="Times New Roman" w:hAnsi="Times New Roman" w:cs="Times New Roman"/>
          <w:b/>
          <w:bCs/>
          <w:color w:val="000000"/>
          <w:lang w:eastAsia="bg-BG"/>
        </w:rPr>
      </w:pPr>
    </w:p>
    <w:p w14:paraId="58BDCFC1" w14:textId="214215FD" w:rsidR="00852A5A" w:rsidRPr="00114D09" w:rsidRDefault="00C838E4" w:rsidP="00C838E4">
      <w:pPr>
        <w:rPr>
          <w:rFonts w:cs="Arial"/>
          <w:lang w:val="ru-RU"/>
        </w:rPr>
      </w:pPr>
      <w:r w:rsidRPr="00C838E4">
        <w:rPr>
          <w:rFonts w:ascii="Times New Roman" w:eastAsia="Times New Roman" w:hAnsi="Times New Roman" w:cs="Times New Roman"/>
          <w:b/>
          <w:bCs/>
          <w:color w:val="000000"/>
          <w:lang w:eastAsia="bg-BG"/>
        </w:rPr>
        <w:t xml:space="preserve">Таблица 4 Обобщени резултати за първичната крайна точка за ефикасност (ПБП) и ключовите вторични крайни точки (оценка на изследователя, всички </w:t>
      </w:r>
      <w:proofErr w:type="spellStart"/>
      <w:r w:rsidRPr="00C838E4">
        <w:rPr>
          <w:rFonts w:ascii="Times New Roman" w:eastAsia="Times New Roman" w:hAnsi="Times New Roman" w:cs="Times New Roman"/>
          <w:b/>
          <w:bCs/>
          <w:color w:val="000000"/>
          <w:lang w:eastAsia="bg-BG"/>
        </w:rPr>
        <w:t>рандомизнрани</w:t>
      </w:r>
      <w:proofErr w:type="spellEnd"/>
      <w:r w:rsidRPr="00C838E4">
        <w:rPr>
          <w:rFonts w:ascii="Times New Roman" w:eastAsia="Times New Roman" w:hAnsi="Times New Roman" w:cs="Times New Roman"/>
          <w:b/>
          <w:bCs/>
          <w:color w:val="000000"/>
          <w:lang w:eastAsia="bg-BG"/>
        </w:rPr>
        <w:t xml:space="preserve"> пациентки) — изпитване </w:t>
      </w:r>
      <w:r w:rsidRPr="00C838E4">
        <w:rPr>
          <w:rFonts w:ascii="Times New Roman" w:eastAsia="Times New Roman" w:hAnsi="Times New Roman" w:cs="Times New Roman"/>
          <w:b/>
          <w:bCs/>
          <w:color w:val="000000"/>
          <w:lang w:val="en-US"/>
        </w:rPr>
        <w:t>FALCON</w:t>
      </w:r>
      <w:r w:rsidRPr="00114D09">
        <w:rPr>
          <w:rFonts w:eastAsia="Times New Roman" w:cs="Arial"/>
          <w:color w:val="000000"/>
          <w:lang w:val="ru-RU" w:eastAsia="bg-BG"/>
        </w:rPr>
        <w:t xml:space="preserve"> </w:t>
      </w:r>
    </w:p>
    <w:p w14:paraId="7B24D218" w14:textId="11F0C4FA" w:rsidR="00A34059" w:rsidRDefault="00A34059" w:rsidP="0091385D"/>
    <w:tbl>
      <w:tblPr>
        <w:tblStyle w:val="TableGrid"/>
        <w:tblW w:w="0" w:type="auto"/>
        <w:tblLook w:val="04A0" w:firstRow="1" w:lastRow="0" w:firstColumn="1" w:lastColumn="0" w:noHBand="0" w:noVBand="1"/>
      </w:tblPr>
      <w:tblGrid>
        <w:gridCol w:w="3117"/>
        <w:gridCol w:w="3115"/>
        <w:gridCol w:w="3118"/>
      </w:tblGrid>
      <w:tr w:rsidR="00C838E4" w14:paraId="59DDE5A8" w14:textId="77777777" w:rsidTr="00C838E4">
        <w:tc>
          <w:tcPr>
            <w:tcW w:w="3166" w:type="dxa"/>
          </w:tcPr>
          <w:p w14:paraId="61F931BC" w14:textId="77777777" w:rsidR="00C838E4" w:rsidRPr="00C838E4" w:rsidRDefault="00C838E4" w:rsidP="00C838E4">
            <w:pPr>
              <w:rPr>
                <w:rFonts w:cs="Arial"/>
              </w:rPr>
            </w:pPr>
          </w:p>
        </w:tc>
        <w:tc>
          <w:tcPr>
            <w:tcW w:w="3167" w:type="dxa"/>
          </w:tcPr>
          <w:p w14:paraId="2FF5DFF3" w14:textId="2FE733BE" w:rsidR="00C838E4" w:rsidRPr="00C838E4" w:rsidRDefault="00C838E4" w:rsidP="00C838E4">
            <w:pPr>
              <w:rPr>
                <w:rFonts w:cs="Arial"/>
              </w:rPr>
            </w:pPr>
            <w:r w:rsidRPr="00C838E4">
              <w:rPr>
                <w:rFonts w:cs="Arial"/>
                <w:b/>
                <w:bCs/>
              </w:rPr>
              <w:t xml:space="preserve">Фулвестрант 500 </w:t>
            </w:r>
            <w:r w:rsidRPr="00C838E4">
              <w:rPr>
                <w:rFonts w:cs="Arial"/>
                <w:b/>
                <w:bCs/>
                <w:lang w:val="en-US"/>
              </w:rPr>
              <w:t>mg (N=230)</w:t>
            </w:r>
          </w:p>
        </w:tc>
        <w:tc>
          <w:tcPr>
            <w:tcW w:w="3167" w:type="dxa"/>
          </w:tcPr>
          <w:p w14:paraId="069D4147" w14:textId="53B8C5DB" w:rsidR="00C838E4" w:rsidRPr="00C838E4" w:rsidRDefault="00C838E4" w:rsidP="00C838E4">
            <w:pPr>
              <w:rPr>
                <w:rFonts w:cs="Arial"/>
              </w:rPr>
            </w:pPr>
            <w:r w:rsidRPr="00C838E4">
              <w:rPr>
                <w:rFonts w:cs="Arial"/>
                <w:b/>
                <w:bCs/>
              </w:rPr>
              <w:t xml:space="preserve">Анастрозол 1 </w:t>
            </w:r>
            <w:r w:rsidRPr="00C838E4">
              <w:rPr>
                <w:rFonts w:cs="Arial"/>
                <w:b/>
                <w:bCs/>
                <w:lang w:val="en-US"/>
              </w:rPr>
              <w:t xml:space="preserve">mg </w:t>
            </w:r>
            <w:r w:rsidRPr="00C838E4">
              <w:rPr>
                <w:rFonts w:cs="Arial"/>
                <w:b/>
                <w:bCs/>
              </w:rPr>
              <w:tab/>
            </w:r>
            <w:r w:rsidRPr="00C838E4">
              <w:rPr>
                <w:rFonts w:cs="Arial"/>
                <w:b/>
                <w:bCs/>
              </w:rPr>
              <w:tab/>
            </w:r>
            <w:r w:rsidRPr="00C838E4">
              <w:rPr>
                <w:rFonts w:cs="Arial"/>
                <w:b/>
                <w:bCs/>
                <w:lang w:val="en-US"/>
              </w:rPr>
              <w:t>(N=232)</w:t>
            </w:r>
            <w:r w:rsidRPr="00C838E4">
              <w:rPr>
                <w:rFonts w:cs="Arial"/>
                <w:b/>
                <w:bCs/>
              </w:rPr>
              <w:tab/>
            </w:r>
          </w:p>
        </w:tc>
      </w:tr>
      <w:tr w:rsidR="00C838E4" w14:paraId="626C7113" w14:textId="77777777" w:rsidTr="0048351B">
        <w:tc>
          <w:tcPr>
            <w:tcW w:w="9500" w:type="dxa"/>
            <w:gridSpan w:val="3"/>
          </w:tcPr>
          <w:p w14:paraId="0C16D169" w14:textId="4A2E120B" w:rsidR="00C838E4" w:rsidRPr="00C838E4" w:rsidRDefault="00C838E4" w:rsidP="0091385D">
            <w:pPr>
              <w:rPr>
                <w:rFonts w:cs="Arial"/>
              </w:rPr>
            </w:pPr>
            <w:r w:rsidRPr="00C838E4">
              <w:rPr>
                <w:rFonts w:cs="Arial"/>
                <w:b/>
                <w:bCs/>
              </w:rPr>
              <w:t>Преживяемост без прогресия</w:t>
            </w:r>
          </w:p>
        </w:tc>
      </w:tr>
      <w:tr w:rsidR="00C838E4" w14:paraId="70FB510E" w14:textId="77777777" w:rsidTr="00C838E4">
        <w:tc>
          <w:tcPr>
            <w:tcW w:w="3166" w:type="dxa"/>
          </w:tcPr>
          <w:p w14:paraId="753ACE20" w14:textId="2A92943F" w:rsidR="00C838E4" w:rsidRPr="00C838E4" w:rsidRDefault="00C838E4" w:rsidP="00C838E4">
            <w:pPr>
              <w:rPr>
                <w:rFonts w:cs="Arial"/>
              </w:rPr>
            </w:pPr>
            <w:r w:rsidRPr="00C838E4">
              <w:rPr>
                <w:rFonts w:cs="Arial"/>
                <w:b/>
                <w:bCs/>
              </w:rPr>
              <w:t>Брой случаи на ПБП (%)</w:t>
            </w:r>
          </w:p>
        </w:tc>
        <w:tc>
          <w:tcPr>
            <w:tcW w:w="3167" w:type="dxa"/>
          </w:tcPr>
          <w:p w14:paraId="6C0294DD" w14:textId="731234B8" w:rsidR="00C838E4" w:rsidRPr="00C838E4" w:rsidRDefault="00C838E4" w:rsidP="00C838E4">
            <w:pPr>
              <w:rPr>
                <w:rFonts w:cs="Arial"/>
              </w:rPr>
            </w:pPr>
            <w:r w:rsidRPr="00C838E4">
              <w:rPr>
                <w:rFonts w:cs="Arial"/>
                <w:b/>
                <w:bCs/>
              </w:rPr>
              <w:t>143 (624%)</w:t>
            </w:r>
          </w:p>
        </w:tc>
        <w:tc>
          <w:tcPr>
            <w:tcW w:w="3167" w:type="dxa"/>
          </w:tcPr>
          <w:p w14:paraId="3A15CA36" w14:textId="1C7D6EF5" w:rsidR="00C838E4" w:rsidRPr="00C838E4" w:rsidRDefault="00C838E4" w:rsidP="00C838E4">
            <w:pPr>
              <w:rPr>
                <w:rFonts w:cs="Arial"/>
              </w:rPr>
            </w:pPr>
            <w:r w:rsidRPr="00C838E4">
              <w:rPr>
                <w:rFonts w:cs="Arial"/>
                <w:b/>
                <w:bCs/>
              </w:rPr>
              <w:t>166 (71,6%)</w:t>
            </w:r>
          </w:p>
        </w:tc>
      </w:tr>
      <w:tr w:rsidR="00C838E4" w14:paraId="25AC4C10" w14:textId="77777777" w:rsidTr="0048351B">
        <w:tc>
          <w:tcPr>
            <w:tcW w:w="3166" w:type="dxa"/>
          </w:tcPr>
          <w:p w14:paraId="74618550" w14:textId="544DF925" w:rsidR="00C838E4" w:rsidRPr="00C838E4" w:rsidRDefault="00C838E4" w:rsidP="00C838E4">
            <w:pPr>
              <w:rPr>
                <w:rFonts w:cs="Arial"/>
              </w:rPr>
            </w:pPr>
            <w:r w:rsidRPr="00C838E4">
              <w:rPr>
                <w:rFonts w:cs="Arial"/>
                <w:b/>
                <w:bCs/>
              </w:rPr>
              <w:t>Коефициент на риск за ПБП (95 % ДИ) и р-стойност</w:t>
            </w:r>
          </w:p>
        </w:tc>
        <w:tc>
          <w:tcPr>
            <w:tcW w:w="6334" w:type="dxa"/>
            <w:gridSpan w:val="2"/>
          </w:tcPr>
          <w:p w14:paraId="2FACB2C9" w14:textId="77777777" w:rsidR="00C838E4" w:rsidRPr="00C838E4" w:rsidRDefault="00C838E4" w:rsidP="00C838E4">
            <w:pPr>
              <w:spacing w:line="240" w:lineRule="auto"/>
              <w:jc w:val="center"/>
              <w:rPr>
                <w:rFonts w:eastAsia="Times New Roman" w:cs="Arial"/>
                <w:lang w:eastAsia="bg-BG"/>
              </w:rPr>
            </w:pPr>
            <w:r w:rsidRPr="00C838E4">
              <w:rPr>
                <w:rFonts w:eastAsia="Times New Roman" w:cs="Arial"/>
                <w:b/>
                <w:bCs/>
                <w:color w:val="000000"/>
                <w:lang w:val="en-US"/>
              </w:rPr>
              <w:t xml:space="preserve">HR </w:t>
            </w:r>
            <w:r w:rsidRPr="00C838E4">
              <w:rPr>
                <w:rFonts w:eastAsia="Times New Roman" w:cs="Arial"/>
                <w:b/>
                <w:bCs/>
                <w:color w:val="000000"/>
                <w:lang w:eastAsia="bg-BG"/>
              </w:rPr>
              <w:t>0,797 (0,637 - 0,999)</w:t>
            </w:r>
          </w:p>
          <w:p w14:paraId="4033FE37" w14:textId="0F539659" w:rsidR="00C838E4" w:rsidRPr="00C838E4" w:rsidRDefault="00C838E4" w:rsidP="00C838E4">
            <w:pPr>
              <w:jc w:val="center"/>
              <w:rPr>
                <w:rFonts w:cs="Arial"/>
              </w:rPr>
            </w:pPr>
            <w:r w:rsidRPr="00C838E4">
              <w:rPr>
                <w:rFonts w:eastAsia="Times New Roman" w:cs="Arial"/>
                <w:b/>
                <w:bCs/>
                <w:color w:val="000000"/>
                <w:lang w:eastAsia="bg-BG"/>
              </w:rPr>
              <w:t>р=0,0486</w:t>
            </w:r>
          </w:p>
        </w:tc>
      </w:tr>
      <w:tr w:rsidR="00C838E4" w14:paraId="6C2502B0" w14:textId="77777777" w:rsidTr="00C838E4">
        <w:tc>
          <w:tcPr>
            <w:tcW w:w="3166" w:type="dxa"/>
          </w:tcPr>
          <w:p w14:paraId="5DEED19C" w14:textId="4E5BEC7D" w:rsidR="00C838E4" w:rsidRPr="00C838E4" w:rsidRDefault="00C838E4" w:rsidP="00C838E4">
            <w:pPr>
              <w:rPr>
                <w:rFonts w:cs="Arial"/>
              </w:rPr>
            </w:pPr>
            <w:r w:rsidRPr="00C838E4">
              <w:rPr>
                <w:rFonts w:cs="Arial"/>
                <w:b/>
                <w:bCs/>
              </w:rPr>
              <w:t>Медиана на ПБП [месеци (95%ДИ)1</w:t>
            </w:r>
          </w:p>
        </w:tc>
        <w:tc>
          <w:tcPr>
            <w:tcW w:w="3167" w:type="dxa"/>
          </w:tcPr>
          <w:p w14:paraId="2DEC38AC" w14:textId="0D7EE864" w:rsidR="00C838E4" w:rsidRPr="00C838E4" w:rsidRDefault="00C838E4" w:rsidP="00C838E4">
            <w:pPr>
              <w:rPr>
                <w:rFonts w:cs="Arial"/>
              </w:rPr>
            </w:pPr>
            <w:r w:rsidRPr="00C838E4">
              <w:rPr>
                <w:rFonts w:cs="Arial"/>
                <w:b/>
                <w:bCs/>
              </w:rPr>
              <w:t>16,6 (13,8; 21,0)</w:t>
            </w:r>
          </w:p>
        </w:tc>
        <w:tc>
          <w:tcPr>
            <w:tcW w:w="3167" w:type="dxa"/>
          </w:tcPr>
          <w:p w14:paraId="5A46E0A5" w14:textId="58A60A9C" w:rsidR="00C838E4" w:rsidRPr="00C838E4" w:rsidRDefault="00C838E4" w:rsidP="00C838E4">
            <w:pPr>
              <w:rPr>
                <w:rFonts w:cs="Arial"/>
              </w:rPr>
            </w:pPr>
            <w:r w:rsidRPr="00C838E4">
              <w:rPr>
                <w:rFonts w:cs="Arial"/>
                <w:b/>
                <w:bCs/>
              </w:rPr>
              <w:t>13,8 (12,0; 16,6)</w:t>
            </w:r>
          </w:p>
        </w:tc>
      </w:tr>
      <w:tr w:rsidR="00C838E4" w14:paraId="7AE2A14C" w14:textId="77777777" w:rsidTr="00C838E4">
        <w:tc>
          <w:tcPr>
            <w:tcW w:w="3166" w:type="dxa"/>
          </w:tcPr>
          <w:p w14:paraId="62E51797" w14:textId="378C4E67" w:rsidR="00C838E4" w:rsidRPr="00C838E4" w:rsidRDefault="00C838E4" w:rsidP="00C838E4">
            <w:pPr>
              <w:rPr>
                <w:rFonts w:cs="Arial"/>
              </w:rPr>
            </w:pPr>
            <w:r w:rsidRPr="00C838E4">
              <w:rPr>
                <w:rFonts w:cs="Arial"/>
                <w:b/>
                <w:bCs/>
              </w:rPr>
              <w:t>Брой случаи на ОП*</w:t>
            </w:r>
          </w:p>
        </w:tc>
        <w:tc>
          <w:tcPr>
            <w:tcW w:w="3167" w:type="dxa"/>
          </w:tcPr>
          <w:p w14:paraId="09C6ED3A" w14:textId="74F1EB0B" w:rsidR="00C838E4" w:rsidRPr="00C838E4" w:rsidRDefault="00C838E4" w:rsidP="00C838E4">
            <w:pPr>
              <w:rPr>
                <w:rFonts w:cs="Arial"/>
              </w:rPr>
            </w:pPr>
            <w:r w:rsidRPr="00C838E4">
              <w:rPr>
                <w:rFonts w:cs="Arial"/>
                <w:b/>
                <w:bCs/>
              </w:rPr>
              <w:t>67 (29,1 %)</w:t>
            </w:r>
          </w:p>
        </w:tc>
        <w:tc>
          <w:tcPr>
            <w:tcW w:w="3167" w:type="dxa"/>
          </w:tcPr>
          <w:p w14:paraId="2F8776BB" w14:textId="7FD3062B" w:rsidR="00C838E4" w:rsidRPr="00C838E4" w:rsidRDefault="00C838E4" w:rsidP="00C838E4">
            <w:pPr>
              <w:rPr>
                <w:rFonts w:cs="Arial"/>
              </w:rPr>
            </w:pPr>
            <w:r w:rsidRPr="00C838E4">
              <w:rPr>
                <w:rFonts w:cs="Arial"/>
                <w:b/>
                <w:bCs/>
              </w:rPr>
              <w:t>75(323%)</w:t>
            </w:r>
          </w:p>
        </w:tc>
      </w:tr>
      <w:tr w:rsidR="00C838E4" w14:paraId="5F590B0F" w14:textId="77777777" w:rsidTr="0048351B">
        <w:tc>
          <w:tcPr>
            <w:tcW w:w="3166" w:type="dxa"/>
          </w:tcPr>
          <w:p w14:paraId="6352D7BE" w14:textId="0BB671A1" w:rsidR="00C838E4" w:rsidRPr="00C838E4" w:rsidRDefault="00C838E4" w:rsidP="00C838E4">
            <w:pPr>
              <w:rPr>
                <w:rFonts w:cs="Arial"/>
              </w:rPr>
            </w:pPr>
            <w:r w:rsidRPr="00C838E4">
              <w:rPr>
                <w:rFonts w:cs="Arial"/>
                <w:b/>
                <w:bCs/>
              </w:rPr>
              <w:t>Коефициент на риск за ОП (95 % ДИ) и р-стойност</w:t>
            </w:r>
          </w:p>
        </w:tc>
        <w:tc>
          <w:tcPr>
            <w:tcW w:w="6334" w:type="dxa"/>
            <w:gridSpan w:val="2"/>
          </w:tcPr>
          <w:p w14:paraId="5423D8B2" w14:textId="14BB9932" w:rsidR="00C838E4" w:rsidRPr="00C838E4" w:rsidRDefault="00C838E4" w:rsidP="00C838E4">
            <w:pPr>
              <w:jc w:val="center"/>
              <w:rPr>
                <w:rFonts w:cs="Arial"/>
                <w:b/>
                <w:bCs/>
              </w:rPr>
            </w:pPr>
            <w:r w:rsidRPr="00C838E4">
              <w:rPr>
                <w:rFonts w:cs="Arial"/>
                <w:b/>
                <w:bCs/>
                <w:lang w:val="en-US"/>
              </w:rPr>
              <w:t xml:space="preserve">HR </w:t>
            </w:r>
            <w:r w:rsidRPr="00C838E4">
              <w:rPr>
                <w:rFonts w:cs="Arial"/>
                <w:b/>
                <w:bCs/>
              </w:rPr>
              <w:t>0,875 (0,629-1417)</w:t>
            </w:r>
          </w:p>
          <w:p w14:paraId="2DCE5329" w14:textId="7955301E" w:rsidR="00C838E4" w:rsidRPr="00C838E4" w:rsidRDefault="00C838E4" w:rsidP="00C838E4">
            <w:pPr>
              <w:jc w:val="center"/>
              <w:rPr>
                <w:rFonts w:cs="Arial"/>
              </w:rPr>
            </w:pPr>
            <w:r w:rsidRPr="00C838E4">
              <w:rPr>
                <w:rFonts w:cs="Arial"/>
                <w:b/>
                <w:bCs/>
              </w:rPr>
              <w:t>р=0,4277</w:t>
            </w:r>
          </w:p>
        </w:tc>
      </w:tr>
      <w:tr w:rsidR="00C838E4" w14:paraId="542221C4" w14:textId="77777777" w:rsidTr="00C838E4">
        <w:tc>
          <w:tcPr>
            <w:tcW w:w="3166" w:type="dxa"/>
          </w:tcPr>
          <w:p w14:paraId="760A1D01" w14:textId="0B48E048" w:rsidR="00C838E4" w:rsidRPr="00C838E4" w:rsidRDefault="00C838E4" w:rsidP="00C838E4">
            <w:pPr>
              <w:rPr>
                <w:rFonts w:cs="Arial"/>
              </w:rPr>
            </w:pPr>
            <w:r w:rsidRPr="00C838E4">
              <w:rPr>
                <w:rFonts w:cs="Arial"/>
                <w:b/>
                <w:bCs/>
              </w:rPr>
              <w:t>СОП**</w:t>
            </w:r>
          </w:p>
        </w:tc>
        <w:tc>
          <w:tcPr>
            <w:tcW w:w="3167" w:type="dxa"/>
          </w:tcPr>
          <w:p w14:paraId="7D07B867" w14:textId="3CAD4E5F" w:rsidR="00C838E4" w:rsidRPr="00C838E4" w:rsidRDefault="00C838E4" w:rsidP="00C838E4">
            <w:pPr>
              <w:rPr>
                <w:rFonts w:cs="Arial"/>
              </w:rPr>
            </w:pPr>
            <w:r w:rsidRPr="00C838E4">
              <w:rPr>
                <w:rFonts w:cs="Arial"/>
                <w:b/>
                <w:bCs/>
              </w:rPr>
              <w:t>89 (46,1 %)</w:t>
            </w:r>
          </w:p>
        </w:tc>
        <w:tc>
          <w:tcPr>
            <w:tcW w:w="3167" w:type="dxa"/>
          </w:tcPr>
          <w:p w14:paraId="2C3A502A" w14:textId="5FA46395" w:rsidR="00C838E4" w:rsidRPr="00C838E4" w:rsidRDefault="00C838E4" w:rsidP="00C838E4">
            <w:pPr>
              <w:rPr>
                <w:rFonts w:cs="Arial"/>
              </w:rPr>
            </w:pPr>
            <w:r w:rsidRPr="00C838E4">
              <w:rPr>
                <w:rFonts w:cs="Arial"/>
                <w:b/>
                <w:bCs/>
              </w:rPr>
              <w:t>88(44,9%)</w:t>
            </w:r>
          </w:p>
        </w:tc>
      </w:tr>
      <w:tr w:rsidR="00C838E4" w14:paraId="6D25A9E8" w14:textId="77777777" w:rsidTr="0048351B">
        <w:tc>
          <w:tcPr>
            <w:tcW w:w="3166" w:type="dxa"/>
          </w:tcPr>
          <w:p w14:paraId="3C76331F" w14:textId="05D0EA26" w:rsidR="00C838E4" w:rsidRPr="00C838E4" w:rsidRDefault="00C838E4" w:rsidP="00C838E4">
            <w:pPr>
              <w:rPr>
                <w:rFonts w:cs="Arial"/>
              </w:rPr>
            </w:pPr>
            <w:r w:rsidRPr="00C838E4">
              <w:rPr>
                <w:rFonts w:cs="Arial"/>
                <w:b/>
                <w:bCs/>
              </w:rPr>
              <w:t>Съотношение на шансовете за СОП (95 % ДИ) и р- стойност</w:t>
            </w:r>
          </w:p>
        </w:tc>
        <w:tc>
          <w:tcPr>
            <w:tcW w:w="6334" w:type="dxa"/>
            <w:gridSpan w:val="2"/>
          </w:tcPr>
          <w:p w14:paraId="65B225A1" w14:textId="7E5A88FF" w:rsidR="00C838E4" w:rsidRPr="00C838E4" w:rsidRDefault="00C838E4" w:rsidP="00C838E4">
            <w:pPr>
              <w:jc w:val="center"/>
              <w:rPr>
                <w:rFonts w:cs="Arial"/>
                <w:b/>
                <w:bCs/>
              </w:rPr>
            </w:pPr>
            <w:r w:rsidRPr="00C838E4">
              <w:rPr>
                <w:rFonts w:cs="Arial"/>
                <w:b/>
                <w:bCs/>
              </w:rPr>
              <w:t>ОО 1,074 (0,716 -1,614)</w:t>
            </w:r>
          </w:p>
          <w:p w14:paraId="5105F8C6" w14:textId="77BB40CE" w:rsidR="00C838E4" w:rsidRPr="00C838E4" w:rsidRDefault="00C838E4" w:rsidP="00C838E4">
            <w:pPr>
              <w:jc w:val="center"/>
              <w:rPr>
                <w:rFonts w:cs="Arial"/>
              </w:rPr>
            </w:pPr>
            <w:r w:rsidRPr="00C838E4">
              <w:rPr>
                <w:rFonts w:cs="Arial"/>
                <w:b/>
                <w:bCs/>
              </w:rPr>
              <w:t>р=0,7290</w:t>
            </w:r>
          </w:p>
        </w:tc>
      </w:tr>
      <w:tr w:rsidR="00C838E4" w14:paraId="236CA94F" w14:textId="77777777" w:rsidTr="00C838E4">
        <w:tc>
          <w:tcPr>
            <w:tcW w:w="3166" w:type="dxa"/>
          </w:tcPr>
          <w:p w14:paraId="58F40B49" w14:textId="627C4450" w:rsidR="00C838E4" w:rsidRPr="00C838E4" w:rsidRDefault="00C838E4" w:rsidP="00C838E4">
            <w:pPr>
              <w:rPr>
                <w:rFonts w:cs="Arial"/>
              </w:rPr>
            </w:pPr>
            <w:r w:rsidRPr="00C838E4">
              <w:rPr>
                <w:rFonts w:cs="Arial"/>
                <w:b/>
                <w:bCs/>
              </w:rPr>
              <w:t>Медиана на ПП (месеци)</w:t>
            </w:r>
          </w:p>
        </w:tc>
        <w:tc>
          <w:tcPr>
            <w:tcW w:w="3167" w:type="dxa"/>
          </w:tcPr>
          <w:p w14:paraId="2561DFD7" w14:textId="04E99F8E" w:rsidR="00C838E4" w:rsidRPr="00C838E4" w:rsidRDefault="00C838E4" w:rsidP="00C838E4">
            <w:pPr>
              <w:rPr>
                <w:rFonts w:cs="Arial"/>
              </w:rPr>
            </w:pPr>
            <w:r w:rsidRPr="00C838E4">
              <w:rPr>
                <w:rFonts w:cs="Arial"/>
                <w:b/>
                <w:bCs/>
              </w:rPr>
              <w:t>20,0</w:t>
            </w:r>
          </w:p>
        </w:tc>
        <w:tc>
          <w:tcPr>
            <w:tcW w:w="3167" w:type="dxa"/>
          </w:tcPr>
          <w:p w14:paraId="36D4F94C" w14:textId="017DC4CC" w:rsidR="00C838E4" w:rsidRPr="00C838E4" w:rsidRDefault="00C838E4" w:rsidP="00C838E4">
            <w:pPr>
              <w:rPr>
                <w:rFonts w:cs="Arial"/>
              </w:rPr>
            </w:pPr>
            <w:r w:rsidRPr="00C838E4">
              <w:rPr>
                <w:rFonts w:cs="Arial"/>
                <w:b/>
                <w:bCs/>
              </w:rPr>
              <w:t>13,2</w:t>
            </w:r>
          </w:p>
        </w:tc>
      </w:tr>
      <w:tr w:rsidR="00C838E4" w14:paraId="6F17A091" w14:textId="77777777" w:rsidTr="00C838E4">
        <w:tc>
          <w:tcPr>
            <w:tcW w:w="3166" w:type="dxa"/>
          </w:tcPr>
          <w:p w14:paraId="1AA8073B" w14:textId="44AF659E" w:rsidR="00C838E4" w:rsidRPr="00C838E4" w:rsidRDefault="00C838E4" w:rsidP="00C838E4">
            <w:pPr>
              <w:rPr>
                <w:rFonts w:cs="Arial"/>
              </w:rPr>
            </w:pPr>
            <w:r w:rsidRPr="00C838E4">
              <w:rPr>
                <w:rFonts w:cs="Arial"/>
                <w:b/>
                <w:bCs/>
              </w:rPr>
              <w:t>СКП</w:t>
            </w:r>
          </w:p>
        </w:tc>
        <w:tc>
          <w:tcPr>
            <w:tcW w:w="3167" w:type="dxa"/>
          </w:tcPr>
          <w:p w14:paraId="3B2A1982" w14:textId="3EE8782C" w:rsidR="00C838E4" w:rsidRPr="00C838E4" w:rsidRDefault="00C838E4" w:rsidP="00C838E4">
            <w:pPr>
              <w:rPr>
                <w:rFonts w:cs="Arial"/>
              </w:rPr>
            </w:pPr>
            <w:r w:rsidRPr="00C838E4">
              <w:rPr>
                <w:rFonts w:cs="Arial"/>
                <w:b/>
                <w:bCs/>
              </w:rPr>
              <w:t>180 (78,3 %)</w:t>
            </w:r>
          </w:p>
        </w:tc>
        <w:tc>
          <w:tcPr>
            <w:tcW w:w="3167" w:type="dxa"/>
          </w:tcPr>
          <w:p w14:paraId="5921571C" w14:textId="19B48F41" w:rsidR="00C838E4" w:rsidRPr="00C838E4" w:rsidRDefault="00C838E4" w:rsidP="00C838E4">
            <w:pPr>
              <w:rPr>
                <w:rFonts w:cs="Arial"/>
              </w:rPr>
            </w:pPr>
            <w:r w:rsidRPr="00C838E4">
              <w:rPr>
                <w:rFonts w:cs="Arial"/>
                <w:b/>
                <w:bCs/>
              </w:rPr>
              <w:t>172 (74,1 %)</w:t>
            </w:r>
          </w:p>
        </w:tc>
      </w:tr>
      <w:tr w:rsidR="00C838E4" w14:paraId="46B06349" w14:textId="77777777" w:rsidTr="0048351B">
        <w:tc>
          <w:tcPr>
            <w:tcW w:w="3166" w:type="dxa"/>
          </w:tcPr>
          <w:p w14:paraId="7877BAE1" w14:textId="74002C15" w:rsidR="00C838E4" w:rsidRPr="00C838E4" w:rsidRDefault="00C838E4" w:rsidP="00C838E4">
            <w:pPr>
              <w:rPr>
                <w:rFonts w:cs="Arial"/>
              </w:rPr>
            </w:pPr>
            <w:r w:rsidRPr="00C838E4">
              <w:rPr>
                <w:rFonts w:cs="Arial"/>
                <w:b/>
                <w:bCs/>
              </w:rPr>
              <w:t>Съотношение на шансовете за СКП (95 % ДИ) и р- стойност</w:t>
            </w:r>
          </w:p>
        </w:tc>
        <w:tc>
          <w:tcPr>
            <w:tcW w:w="6334" w:type="dxa"/>
            <w:gridSpan w:val="2"/>
          </w:tcPr>
          <w:p w14:paraId="18A7A2AF" w14:textId="7218C45A" w:rsidR="00C838E4" w:rsidRPr="00C838E4" w:rsidRDefault="00C838E4" w:rsidP="00C838E4">
            <w:pPr>
              <w:jc w:val="center"/>
              <w:rPr>
                <w:rFonts w:cs="Arial"/>
                <w:b/>
                <w:bCs/>
              </w:rPr>
            </w:pPr>
            <w:r w:rsidRPr="00C838E4">
              <w:rPr>
                <w:rFonts w:cs="Arial"/>
                <w:b/>
                <w:bCs/>
              </w:rPr>
              <w:t>Обективно повлияване 1,253 (0,815 -1,932)</w:t>
            </w:r>
          </w:p>
          <w:p w14:paraId="2BF3E54C" w14:textId="724693F9" w:rsidR="00C838E4" w:rsidRPr="00C838E4" w:rsidRDefault="00C838E4" w:rsidP="00C838E4">
            <w:pPr>
              <w:jc w:val="center"/>
              <w:rPr>
                <w:rFonts w:cs="Arial"/>
              </w:rPr>
            </w:pPr>
            <w:r w:rsidRPr="00C838E4">
              <w:rPr>
                <w:rFonts w:cs="Arial"/>
                <w:b/>
                <w:bCs/>
              </w:rPr>
              <w:t>р=0,3045</w:t>
            </w:r>
          </w:p>
        </w:tc>
      </w:tr>
    </w:tbl>
    <w:p w14:paraId="5CC1565A" w14:textId="001AA8FE" w:rsidR="00C838E4" w:rsidRDefault="00C838E4" w:rsidP="0091385D"/>
    <w:p w14:paraId="215B576C" w14:textId="77777777" w:rsidR="00C838E4" w:rsidRPr="00C838E4" w:rsidRDefault="00C838E4" w:rsidP="00C838E4">
      <w:pPr>
        <w:spacing w:line="240" w:lineRule="auto"/>
        <w:rPr>
          <w:rFonts w:eastAsia="Times New Roman" w:cs="Arial"/>
          <w:sz w:val="24"/>
          <w:szCs w:val="24"/>
          <w:lang w:eastAsia="bg-BG"/>
        </w:rPr>
      </w:pPr>
      <w:r w:rsidRPr="00C838E4">
        <w:rPr>
          <w:rFonts w:eastAsia="Times New Roman" w:cs="Arial"/>
          <w:b/>
          <w:bCs/>
          <w:color w:val="000000"/>
          <w:lang w:eastAsia="bg-BG"/>
        </w:rPr>
        <w:t>*(31% от планираното време на проследяване)-неокончателен анализ на ОП</w:t>
      </w:r>
    </w:p>
    <w:p w14:paraId="19D1DA23" w14:textId="0E9FF17D" w:rsidR="00C838E4" w:rsidRPr="00C838E4" w:rsidRDefault="00C838E4" w:rsidP="00C838E4">
      <w:pPr>
        <w:rPr>
          <w:rFonts w:cs="Arial"/>
        </w:rPr>
      </w:pPr>
      <w:r>
        <w:rPr>
          <w:rFonts w:eastAsia="Times New Roman" w:cs="Arial"/>
          <w:b/>
          <w:bCs/>
          <w:color w:val="000000"/>
          <w:lang w:eastAsia="bg-BG"/>
        </w:rPr>
        <w:t>**при</w:t>
      </w:r>
      <w:r w:rsidRPr="00C838E4">
        <w:rPr>
          <w:rFonts w:eastAsia="Times New Roman" w:cs="Arial"/>
          <w:b/>
          <w:bCs/>
          <w:color w:val="000000"/>
          <w:lang w:eastAsia="bg-BG"/>
        </w:rPr>
        <w:t xml:space="preserve"> пациенти с измеримо заболяване</w:t>
      </w:r>
    </w:p>
    <w:p w14:paraId="6BF5FA6D" w14:textId="6DBB0BEA" w:rsidR="00C838E4" w:rsidRDefault="00C838E4" w:rsidP="0091385D"/>
    <w:p w14:paraId="3BC4F5B0" w14:textId="0182CD37" w:rsidR="00C838E4" w:rsidRDefault="00C838E4" w:rsidP="0091385D">
      <w:r>
        <w:rPr>
          <w:noProof/>
          <w:lang w:eastAsia="bg-BG"/>
        </w:rPr>
        <w:lastRenderedPageBreak/>
        <w:drawing>
          <wp:inline distT="0" distB="0" distL="0" distR="0" wp14:anchorId="12076EE1" wp14:editId="17C4F6CA">
            <wp:extent cx="4991797" cy="35247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нимка2.png"/>
                    <pic:cNvPicPr/>
                  </pic:nvPicPr>
                  <pic:blipFill>
                    <a:blip r:embed="rId9">
                      <a:extLst>
                        <a:ext uri="{28A0092B-C50C-407E-A947-70E740481C1C}">
                          <a14:useLocalDpi xmlns:a14="http://schemas.microsoft.com/office/drawing/2010/main" val="0"/>
                        </a:ext>
                      </a:extLst>
                    </a:blip>
                    <a:stretch>
                      <a:fillRect/>
                    </a:stretch>
                  </pic:blipFill>
                  <pic:spPr>
                    <a:xfrm>
                      <a:off x="0" y="0"/>
                      <a:ext cx="4991797" cy="3524742"/>
                    </a:xfrm>
                    <a:prstGeom prst="rect">
                      <a:avLst/>
                    </a:prstGeom>
                  </pic:spPr>
                </pic:pic>
              </a:graphicData>
            </a:graphic>
          </wp:inline>
        </w:drawing>
      </w:r>
    </w:p>
    <w:p w14:paraId="697497D9" w14:textId="7A3C6FF5" w:rsidR="00C838E4" w:rsidRDefault="00C838E4" w:rsidP="0091385D"/>
    <w:p w14:paraId="0A18028B" w14:textId="77777777" w:rsidR="00C838E4" w:rsidRPr="00C838E4" w:rsidRDefault="00C838E4" w:rsidP="00C838E4">
      <w:pPr>
        <w:spacing w:line="240" w:lineRule="auto"/>
        <w:rPr>
          <w:rFonts w:eastAsia="Times New Roman" w:cs="Arial"/>
          <w:sz w:val="24"/>
          <w:szCs w:val="24"/>
          <w:lang w:eastAsia="bg-BG"/>
        </w:rPr>
      </w:pPr>
      <w:r w:rsidRPr="00C838E4">
        <w:rPr>
          <w:rFonts w:eastAsia="Times New Roman" w:cs="Arial"/>
          <w:color w:val="000000"/>
          <w:lang w:eastAsia="bg-BG"/>
        </w:rPr>
        <w:t xml:space="preserve">Две клинични проучвания във фаза III са приключили при общо 851 постменопаузални жени с авансирал рак на гърдата, които са имали рецидив на заболяването по време на или след адювантна ендокринна терапия или при прогресия след ендокринна терапия за напреднало заболяване. Седемдесет и седем процента (77%) от изследваната популация са имали естроген- рецептор позитивен рак на гърдата. Проучванията сравняват безопасността и ефикасността на месечното прилагане на </w:t>
      </w:r>
      <w:proofErr w:type="spellStart"/>
      <w:r w:rsidRPr="00C838E4">
        <w:rPr>
          <w:rFonts w:eastAsia="Times New Roman" w:cs="Arial"/>
          <w:color w:val="000000"/>
          <w:lang w:eastAsia="bg-BG"/>
        </w:rPr>
        <w:t>фулвестрант</w:t>
      </w:r>
      <w:proofErr w:type="spellEnd"/>
      <w:r w:rsidRPr="00C838E4">
        <w:rPr>
          <w:rFonts w:eastAsia="Times New Roman" w:cs="Arial"/>
          <w:color w:val="000000"/>
          <w:lang w:eastAsia="bg-BG"/>
        </w:rPr>
        <w:t xml:space="preserve"> 250 </w:t>
      </w:r>
      <w:r w:rsidRPr="00C838E4">
        <w:rPr>
          <w:rFonts w:eastAsia="Times New Roman" w:cs="Arial"/>
          <w:color w:val="000000"/>
          <w:lang w:val="en-US"/>
        </w:rPr>
        <w:t>mg</w:t>
      </w:r>
      <w:r w:rsidRPr="00114D09">
        <w:rPr>
          <w:rFonts w:eastAsia="Times New Roman" w:cs="Arial"/>
          <w:color w:val="000000"/>
          <w:lang w:val="ru-RU"/>
        </w:rPr>
        <w:t xml:space="preserve"> </w:t>
      </w:r>
      <w:r w:rsidRPr="00C838E4">
        <w:rPr>
          <w:rFonts w:eastAsia="Times New Roman" w:cs="Arial"/>
          <w:color w:val="000000"/>
          <w:lang w:eastAsia="bg-BG"/>
        </w:rPr>
        <w:t xml:space="preserve">срещу ежедневното прилагане на 1 </w:t>
      </w:r>
      <w:r w:rsidRPr="00C838E4">
        <w:rPr>
          <w:rFonts w:eastAsia="Times New Roman" w:cs="Arial"/>
          <w:color w:val="000000"/>
          <w:lang w:val="en-US"/>
        </w:rPr>
        <w:t>mg</w:t>
      </w:r>
      <w:r w:rsidRPr="00114D09">
        <w:rPr>
          <w:rFonts w:eastAsia="Times New Roman" w:cs="Arial"/>
          <w:color w:val="000000"/>
          <w:lang w:val="ru-RU"/>
        </w:rPr>
        <w:t xml:space="preserve"> </w:t>
      </w:r>
      <w:proofErr w:type="spellStart"/>
      <w:r w:rsidRPr="00C838E4">
        <w:rPr>
          <w:rFonts w:eastAsia="Times New Roman" w:cs="Arial"/>
          <w:color w:val="000000"/>
          <w:lang w:eastAsia="bg-BG"/>
        </w:rPr>
        <w:t>анастрозол</w:t>
      </w:r>
      <w:proofErr w:type="spellEnd"/>
      <w:r w:rsidRPr="00C838E4">
        <w:rPr>
          <w:rFonts w:eastAsia="Times New Roman" w:cs="Arial"/>
          <w:color w:val="000000"/>
          <w:lang w:eastAsia="bg-BG"/>
        </w:rPr>
        <w:t xml:space="preserve"> (</w:t>
      </w:r>
      <w:proofErr w:type="spellStart"/>
      <w:r w:rsidRPr="00C838E4">
        <w:rPr>
          <w:rFonts w:eastAsia="Times New Roman" w:cs="Arial"/>
          <w:color w:val="000000"/>
          <w:lang w:eastAsia="bg-BG"/>
        </w:rPr>
        <w:t>ароматазен</w:t>
      </w:r>
      <w:proofErr w:type="spellEnd"/>
      <w:r w:rsidRPr="00C838E4">
        <w:rPr>
          <w:rFonts w:eastAsia="Times New Roman" w:cs="Arial"/>
          <w:color w:val="000000"/>
          <w:lang w:eastAsia="bg-BG"/>
        </w:rPr>
        <w:t xml:space="preserve"> инхибитор). Като цяло, </w:t>
      </w:r>
      <w:proofErr w:type="spellStart"/>
      <w:r w:rsidRPr="00C838E4">
        <w:rPr>
          <w:rFonts w:eastAsia="Times New Roman" w:cs="Arial"/>
          <w:color w:val="000000"/>
          <w:lang w:eastAsia="bg-BG"/>
        </w:rPr>
        <w:t>фулвестрант</w:t>
      </w:r>
      <w:proofErr w:type="spellEnd"/>
      <w:r w:rsidRPr="00C838E4">
        <w:rPr>
          <w:rFonts w:eastAsia="Times New Roman" w:cs="Arial"/>
          <w:color w:val="000000"/>
          <w:lang w:eastAsia="bg-BG"/>
        </w:rPr>
        <w:t xml:space="preserve"> в доза 250 </w:t>
      </w:r>
      <w:r w:rsidRPr="00C838E4">
        <w:rPr>
          <w:rFonts w:eastAsia="Times New Roman" w:cs="Arial"/>
          <w:color w:val="000000"/>
          <w:lang w:val="en-US"/>
        </w:rPr>
        <w:t>mg</w:t>
      </w:r>
      <w:r w:rsidRPr="00114D09">
        <w:rPr>
          <w:rFonts w:eastAsia="Times New Roman" w:cs="Arial"/>
          <w:color w:val="000000"/>
          <w:lang w:val="ru-RU"/>
        </w:rPr>
        <w:t xml:space="preserve"> </w:t>
      </w:r>
      <w:r w:rsidRPr="00C838E4">
        <w:rPr>
          <w:rFonts w:eastAsia="Times New Roman" w:cs="Arial"/>
          <w:color w:val="000000"/>
          <w:lang w:eastAsia="bg-BG"/>
        </w:rPr>
        <w:t xml:space="preserve">месечно е толкова ефикасен, колкото </w:t>
      </w:r>
      <w:proofErr w:type="spellStart"/>
      <w:r w:rsidRPr="00C838E4">
        <w:rPr>
          <w:rFonts w:eastAsia="Times New Roman" w:cs="Arial"/>
          <w:color w:val="000000"/>
          <w:lang w:eastAsia="bg-BG"/>
        </w:rPr>
        <w:t>анастрозол</w:t>
      </w:r>
      <w:proofErr w:type="spellEnd"/>
      <w:r w:rsidRPr="00C838E4">
        <w:rPr>
          <w:rFonts w:eastAsia="Times New Roman" w:cs="Arial"/>
          <w:color w:val="000000"/>
          <w:lang w:eastAsia="bg-BG"/>
        </w:rPr>
        <w:t xml:space="preserve"> по отношение на свободната от прогресия преживяемост, обективен отговор и време на преживяване. Няма статистически значими разлики при всеки от тези крайни точки за оценка между двете терапевтични групи. Първичната крайна точка е свободната от прогресия преживяемост. Комбинираният анализ на двете изпитвания показва, че заболяването е прогресирало при 83% от получавалите фулвестрант пациенти, в сравнение с 85% от получавалите анастрозол пациенти. Комбинираният анализ на двете проучвания показва, че коефициентът на риск за свободната от прогресия преживяемост при </w:t>
      </w:r>
      <w:proofErr w:type="spellStart"/>
      <w:r w:rsidRPr="00C838E4">
        <w:rPr>
          <w:rFonts w:eastAsia="Times New Roman" w:cs="Arial"/>
          <w:color w:val="000000"/>
          <w:lang w:eastAsia="bg-BG"/>
        </w:rPr>
        <w:t>фулвестрант</w:t>
      </w:r>
      <w:proofErr w:type="spellEnd"/>
      <w:r w:rsidRPr="00C838E4">
        <w:rPr>
          <w:rFonts w:eastAsia="Times New Roman" w:cs="Arial"/>
          <w:color w:val="000000"/>
          <w:lang w:eastAsia="bg-BG"/>
        </w:rPr>
        <w:t xml:space="preserve"> 250 </w:t>
      </w:r>
      <w:r w:rsidRPr="00C838E4">
        <w:rPr>
          <w:rFonts w:eastAsia="Times New Roman" w:cs="Arial"/>
          <w:color w:val="000000"/>
          <w:lang w:val="en-US"/>
        </w:rPr>
        <w:t>mg</w:t>
      </w:r>
      <w:r w:rsidRPr="00114D09">
        <w:rPr>
          <w:rFonts w:eastAsia="Times New Roman" w:cs="Arial"/>
          <w:color w:val="000000"/>
          <w:lang w:val="ru-RU"/>
        </w:rPr>
        <w:t xml:space="preserve"> </w:t>
      </w:r>
      <w:r w:rsidRPr="00C838E4">
        <w:rPr>
          <w:rFonts w:eastAsia="Times New Roman" w:cs="Arial"/>
          <w:color w:val="000000"/>
          <w:lang w:eastAsia="bg-BG"/>
        </w:rPr>
        <w:t xml:space="preserve">спрямо </w:t>
      </w:r>
      <w:proofErr w:type="spellStart"/>
      <w:r w:rsidRPr="00C838E4">
        <w:rPr>
          <w:rFonts w:eastAsia="Times New Roman" w:cs="Arial"/>
          <w:color w:val="000000"/>
          <w:lang w:eastAsia="bg-BG"/>
        </w:rPr>
        <w:t>анастрозол</w:t>
      </w:r>
      <w:proofErr w:type="spellEnd"/>
      <w:r w:rsidRPr="00C838E4">
        <w:rPr>
          <w:rFonts w:eastAsia="Times New Roman" w:cs="Arial"/>
          <w:color w:val="000000"/>
          <w:lang w:eastAsia="bg-BG"/>
        </w:rPr>
        <w:t xml:space="preserve"> е 0,95 (95% ДИ 0,82 до 1,10). При </w:t>
      </w:r>
      <w:proofErr w:type="spellStart"/>
      <w:r w:rsidRPr="00C838E4">
        <w:rPr>
          <w:rFonts w:eastAsia="Times New Roman" w:cs="Arial"/>
          <w:color w:val="000000"/>
          <w:lang w:eastAsia="bg-BG"/>
        </w:rPr>
        <w:t>фулвестрант</w:t>
      </w:r>
      <w:proofErr w:type="spellEnd"/>
      <w:r w:rsidRPr="00C838E4">
        <w:rPr>
          <w:rFonts w:eastAsia="Times New Roman" w:cs="Arial"/>
          <w:color w:val="000000"/>
          <w:lang w:eastAsia="bg-BG"/>
        </w:rPr>
        <w:t xml:space="preserve"> 250 </w:t>
      </w:r>
      <w:r w:rsidRPr="00C838E4">
        <w:rPr>
          <w:rFonts w:eastAsia="Times New Roman" w:cs="Arial"/>
          <w:color w:val="000000"/>
          <w:lang w:val="en-US"/>
        </w:rPr>
        <w:t>mg</w:t>
      </w:r>
      <w:r w:rsidRPr="00114D09">
        <w:rPr>
          <w:rFonts w:eastAsia="Times New Roman" w:cs="Arial"/>
          <w:color w:val="000000"/>
          <w:lang w:val="ru-RU"/>
        </w:rPr>
        <w:t xml:space="preserve"> </w:t>
      </w:r>
      <w:r w:rsidRPr="00C838E4">
        <w:rPr>
          <w:rFonts w:eastAsia="Times New Roman" w:cs="Arial"/>
          <w:color w:val="000000"/>
          <w:lang w:eastAsia="bg-BG"/>
        </w:rPr>
        <w:t xml:space="preserve">обективното повлияване е 19,2% в сравнение с 16,5% при </w:t>
      </w:r>
      <w:proofErr w:type="spellStart"/>
      <w:r w:rsidRPr="00C838E4">
        <w:rPr>
          <w:rFonts w:eastAsia="Times New Roman" w:cs="Arial"/>
          <w:color w:val="000000"/>
          <w:lang w:eastAsia="bg-BG"/>
        </w:rPr>
        <w:t>анастрозол</w:t>
      </w:r>
      <w:proofErr w:type="spellEnd"/>
      <w:r w:rsidRPr="00C838E4">
        <w:rPr>
          <w:rFonts w:eastAsia="Times New Roman" w:cs="Arial"/>
          <w:color w:val="000000"/>
          <w:lang w:eastAsia="bg-BG"/>
        </w:rPr>
        <w:t xml:space="preserve">. Медианата на времето на преживяване е 27,4 месеца за лекуваните с фулвестрант пациенти и 27,6 месеца за лекуваните с анастрозол пациенти. Коефициентът на риск за </w:t>
      </w:r>
      <w:proofErr w:type="spellStart"/>
      <w:r w:rsidRPr="00C838E4">
        <w:rPr>
          <w:rFonts w:eastAsia="Times New Roman" w:cs="Arial"/>
          <w:color w:val="000000"/>
          <w:lang w:eastAsia="bg-BG"/>
        </w:rPr>
        <w:t>фулвестрант</w:t>
      </w:r>
      <w:proofErr w:type="spellEnd"/>
      <w:r w:rsidRPr="00C838E4">
        <w:rPr>
          <w:rFonts w:eastAsia="Times New Roman" w:cs="Arial"/>
          <w:color w:val="000000"/>
          <w:lang w:eastAsia="bg-BG"/>
        </w:rPr>
        <w:t xml:space="preserve"> 250 </w:t>
      </w:r>
      <w:r w:rsidRPr="00C838E4">
        <w:rPr>
          <w:rFonts w:eastAsia="Times New Roman" w:cs="Arial"/>
          <w:color w:val="000000"/>
          <w:lang w:val="en-US"/>
        </w:rPr>
        <w:t>mg</w:t>
      </w:r>
      <w:r w:rsidRPr="00114D09">
        <w:rPr>
          <w:rFonts w:eastAsia="Times New Roman" w:cs="Arial"/>
          <w:color w:val="000000"/>
          <w:lang w:val="ru-RU"/>
        </w:rPr>
        <w:t xml:space="preserve"> </w:t>
      </w:r>
      <w:r w:rsidRPr="00C838E4">
        <w:rPr>
          <w:rFonts w:eastAsia="Times New Roman" w:cs="Arial"/>
          <w:color w:val="000000"/>
          <w:lang w:eastAsia="bg-BG"/>
        </w:rPr>
        <w:t xml:space="preserve">спрямо </w:t>
      </w:r>
      <w:proofErr w:type="spellStart"/>
      <w:r w:rsidRPr="00C838E4">
        <w:rPr>
          <w:rFonts w:eastAsia="Times New Roman" w:cs="Arial"/>
          <w:color w:val="000000"/>
          <w:lang w:eastAsia="bg-BG"/>
        </w:rPr>
        <w:t>анастрозол</w:t>
      </w:r>
      <w:proofErr w:type="spellEnd"/>
      <w:r w:rsidRPr="00C838E4">
        <w:rPr>
          <w:rFonts w:eastAsia="Times New Roman" w:cs="Arial"/>
          <w:color w:val="000000"/>
          <w:lang w:eastAsia="bg-BG"/>
        </w:rPr>
        <w:t xml:space="preserve"> по показателя “време на преживяване” е 1,01 (95% ДИ 0,86 до 1,19).</w:t>
      </w:r>
    </w:p>
    <w:p w14:paraId="4CF3125E" w14:textId="77777777" w:rsidR="00C838E4" w:rsidRPr="00C838E4" w:rsidRDefault="00C838E4" w:rsidP="00C838E4">
      <w:pPr>
        <w:spacing w:line="240" w:lineRule="auto"/>
        <w:rPr>
          <w:rFonts w:eastAsia="Times New Roman" w:cs="Arial"/>
          <w:i/>
          <w:iCs/>
          <w:color w:val="000000"/>
          <w:lang w:eastAsia="bg-BG"/>
        </w:rPr>
      </w:pPr>
    </w:p>
    <w:p w14:paraId="56264F9C" w14:textId="3469767B" w:rsidR="00C838E4" w:rsidRPr="00C838E4" w:rsidRDefault="00C838E4" w:rsidP="00C838E4">
      <w:pPr>
        <w:spacing w:line="240" w:lineRule="auto"/>
        <w:rPr>
          <w:rFonts w:eastAsia="Times New Roman" w:cs="Arial"/>
          <w:sz w:val="24"/>
          <w:szCs w:val="24"/>
          <w:lang w:eastAsia="bg-BG"/>
        </w:rPr>
      </w:pPr>
      <w:r w:rsidRPr="00C838E4">
        <w:rPr>
          <w:rFonts w:eastAsia="Times New Roman" w:cs="Arial"/>
          <w:i/>
          <w:iCs/>
          <w:color w:val="000000"/>
          <w:lang w:eastAsia="bg-BG"/>
        </w:rPr>
        <w:t>Комбинирано лечение с палбоциклиб</w:t>
      </w:r>
    </w:p>
    <w:p w14:paraId="7B9FFC44" w14:textId="16C8E798" w:rsidR="00C838E4" w:rsidRPr="00C838E4" w:rsidRDefault="00C838E4" w:rsidP="00C838E4">
      <w:pPr>
        <w:rPr>
          <w:rFonts w:cs="Arial"/>
        </w:rPr>
      </w:pPr>
      <w:r w:rsidRPr="00C838E4">
        <w:rPr>
          <w:rFonts w:eastAsia="Times New Roman" w:cs="Arial"/>
          <w:color w:val="000000"/>
          <w:lang w:eastAsia="bg-BG"/>
        </w:rPr>
        <w:t xml:space="preserve">Международно, </w:t>
      </w:r>
      <w:proofErr w:type="spellStart"/>
      <w:r w:rsidRPr="00C838E4">
        <w:rPr>
          <w:rFonts w:eastAsia="Times New Roman" w:cs="Arial"/>
          <w:color w:val="000000"/>
          <w:lang w:eastAsia="bg-BG"/>
        </w:rPr>
        <w:t>рацдомизирано</w:t>
      </w:r>
      <w:proofErr w:type="spellEnd"/>
      <w:r w:rsidRPr="00C838E4">
        <w:rPr>
          <w:rFonts w:eastAsia="Times New Roman" w:cs="Arial"/>
          <w:color w:val="000000"/>
          <w:lang w:eastAsia="bg-BG"/>
        </w:rPr>
        <w:t xml:space="preserve">, двойно-сляпо, паралелно-групово, </w:t>
      </w:r>
      <w:proofErr w:type="spellStart"/>
      <w:r w:rsidRPr="00C838E4">
        <w:rPr>
          <w:rFonts w:eastAsia="Times New Roman" w:cs="Arial"/>
          <w:color w:val="000000"/>
          <w:lang w:eastAsia="bg-BG"/>
        </w:rPr>
        <w:t>многоценгрово</w:t>
      </w:r>
      <w:proofErr w:type="spellEnd"/>
      <w:r w:rsidRPr="00C838E4">
        <w:rPr>
          <w:rFonts w:eastAsia="Times New Roman" w:cs="Arial"/>
          <w:color w:val="000000"/>
          <w:lang w:eastAsia="bg-BG"/>
        </w:rPr>
        <w:t xml:space="preserve"> изпитване на </w:t>
      </w:r>
      <w:proofErr w:type="spellStart"/>
      <w:r w:rsidRPr="00C838E4">
        <w:rPr>
          <w:rFonts w:eastAsia="Times New Roman" w:cs="Arial"/>
          <w:color w:val="000000"/>
          <w:lang w:eastAsia="bg-BG"/>
        </w:rPr>
        <w:t>фулвестрант</w:t>
      </w:r>
      <w:proofErr w:type="spellEnd"/>
      <w:r w:rsidRPr="00C838E4">
        <w:rPr>
          <w:rFonts w:eastAsia="Times New Roman" w:cs="Arial"/>
          <w:color w:val="000000"/>
          <w:lang w:eastAsia="bg-BG"/>
        </w:rPr>
        <w:t xml:space="preserve"> 500 </w:t>
      </w:r>
      <w:r w:rsidRPr="00C838E4">
        <w:rPr>
          <w:rFonts w:eastAsia="Times New Roman" w:cs="Arial"/>
          <w:color w:val="000000"/>
          <w:lang w:val="en-US"/>
        </w:rPr>
        <w:t>mg</w:t>
      </w:r>
      <w:r w:rsidRPr="00114D09">
        <w:rPr>
          <w:rFonts w:eastAsia="Times New Roman" w:cs="Arial"/>
          <w:color w:val="000000"/>
          <w:lang w:val="ru-RU"/>
        </w:rPr>
        <w:t xml:space="preserve"> </w:t>
      </w:r>
      <w:r w:rsidRPr="00C838E4">
        <w:rPr>
          <w:rFonts w:eastAsia="Times New Roman" w:cs="Arial"/>
          <w:color w:val="000000"/>
          <w:lang w:eastAsia="bg-BG"/>
        </w:rPr>
        <w:t xml:space="preserve">плюс </w:t>
      </w:r>
      <w:proofErr w:type="spellStart"/>
      <w:r w:rsidRPr="00C838E4">
        <w:rPr>
          <w:rFonts w:eastAsia="Times New Roman" w:cs="Arial"/>
          <w:color w:val="000000"/>
          <w:lang w:eastAsia="bg-BG"/>
        </w:rPr>
        <w:t>палбоциклиб</w:t>
      </w:r>
      <w:proofErr w:type="spellEnd"/>
      <w:r w:rsidRPr="00C838E4">
        <w:rPr>
          <w:rFonts w:eastAsia="Times New Roman" w:cs="Arial"/>
          <w:color w:val="000000"/>
          <w:lang w:eastAsia="bg-BG"/>
        </w:rPr>
        <w:t xml:space="preserve"> 125 </w:t>
      </w:r>
      <w:r w:rsidRPr="00C838E4">
        <w:rPr>
          <w:rFonts w:eastAsia="Times New Roman" w:cs="Arial"/>
          <w:color w:val="000000"/>
          <w:lang w:val="en-US"/>
        </w:rPr>
        <w:t>mg</w:t>
      </w:r>
      <w:r w:rsidRPr="00114D09">
        <w:rPr>
          <w:rFonts w:eastAsia="Times New Roman" w:cs="Arial"/>
          <w:color w:val="000000"/>
          <w:lang w:val="ru-RU"/>
        </w:rPr>
        <w:t xml:space="preserve"> </w:t>
      </w:r>
      <w:r w:rsidRPr="00C838E4">
        <w:rPr>
          <w:rFonts w:eastAsia="Times New Roman" w:cs="Arial"/>
          <w:color w:val="000000"/>
          <w:lang w:eastAsia="bg-BG"/>
        </w:rPr>
        <w:t xml:space="preserve">в сравнение с </w:t>
      </w:r>
      <w:proofErr w:type="spellStart"/>
      <w:r w:rsidRPr="00C838E4">
        <w:rPr>
          <w:rFonts w:eastAsia="Times New Roman" w:cs="Arial"/>
          <w:color w:val="000000"/>
          <w:lang w:eastAsia="bg-BG"/>
        </w:rPr>
        <w:t>фулвестрант</w:t>
      </w:r>
      <w:proofErr w:type="spellEnd"/>
      <w:r w:rsidRPr="00C838E4">
        <w:rPr>
          <w:rFonts w:eastAsia="Times New Roman" w:cs="Arial"/>
          <w:color w:val="000000"/>
          <w:lang w:eastAsia="bg-BG"/>
        </w:rPr>
        <w:t xml:space="preserve"> 500 </w:t>
      </w:r>
      <w:r w:rsidRPr="00C838E4">
        <w:rPr>
          <w:rFonts w:eastAsia="Times New Roman" w:cs="Arial"/>
          <w:color w:val="000000"/>
          <w:lang w:val="en-US"/>
        </w:rPr>
        <w:t>mg</w:t>
      </w:r>
      <w:r w:rsidRPr="00114D09">
        <w:rPr>
          <w:rFonts w:eastAsia="Times New Roman" w:cs="Arial"/>
          <w:color w:val="000000"/>
          <w:lang w:val="ru-RU"/>
        </w:rPr>
        <w:t xml:space="preserve"> </w:t>
      </w:r>
      <w:r w:rsidRPr="00C838E4">
        <w:rPr>
          <w:rFonts w:eastAsia="Times New Roman" w:cs="Arial"/>
          <w:color w:val="000000"/>
          <w:lang w:eastAsia="bg-BG"/>
        </w:rPr>
        <w:t xml:space="preserve">плацебо е проведено при жени с </w:t>
      </w:r>
      <w:r w:rsidRPr="00C838E4">
        <w:rPr>
          <w:rFonts w:eastAsia="Times New Roman" w:cs="Arial"/>
          <w:color w:val="000000"/>
          <w:lang w:val="en-US"/>
        </w:rPr>
        <w:t>HR</w:t>
      </w:r>
      <w:r w:rsidRPr="00C838E4">
        <w:rPr>
          <w:rFonts w:eastAsia="Times New Roman" w:cs="Arial"/>
          <w:color w:val="000000"/>
          <w:lang w:eastAsia="bg-BG"/>
        </w:rPr>
        <w:t xml:space="preserve">-положителен, </w:t>
      </w:r>
      <w:r w:rsidRPr="00C838E4">
        <w:rPr>
          <w:rFonts w:eastAsia="Times New Roman" w:cs="Arial"/>
          <w:color w:val="000000"/>
          <w:lang w:val="en-US"/>
        </w:rPr>
        <w:t>HER</w:t>
      </w:r>
      <w:r w:rsidRPr="00114D09">
        <w:rPr>
          <w:rFonts w:eastAsia="Times New Roman" w:cs="Arial"/>
          <w:color w:val="000000"/>
          <w:lang w:val="ru-RU"/>
        </w:rPr>
        <w:t>2-</w:t>
      </w:r>
      <w:r w:rsidRPr="00C838E4">
        <w:rPr>
          <w:rFonts w:eastAsia="Times New Roman" w:cs="Arial"/>
          <w:color w:val="000000"/>
          <w:lang w:eastAsia="bg-BG"/>
        </w:rPr>
        <w:t xml:space="preserve">отрицателен локално авансирал рак на млечната жлеза, </w:t>
      </w:r>
      <w:proofErr w:type="spellStart"/>
      <w:r w:rsidRPr="00C838E4">
        <w:rPr>
          <w:rFonts w:eastAsia="Times New Roman" w:cs="Arial"/>
          <w:color w:val="000000"/>
          <w:lang w:eastAsia="bg-BG"/>
        </w:rPr>
        <w:t>неподлежащ</w:t>
      </w:r>
      <w:proofErr w:type="spellEnd"/>
      <w:r w:rsidRPr="00C838E4">
        <w:rPr>
          <w:rFonts w:eastAsia="Times New Roman" w:cs="Arial"/>
          <w:color w:val="000000"/>
          <w:lang w:eastAsia="bg-BG"/>
        </w:rPr>
        <w:t xml:space="preserve"> на </w:t>
      </w:r>
      <w:proofErr w:type="spellStart"/>
      <w:r w:rsidRPr="00C838E4">
        <w:rPr>
          <w:rFonts w:eastAsia="Times New Roman" w:cs="Arial"/>
          <w:color w:val="000000"/>
          <w:lang w:eastAsia="bg-BG"/>
        </w:rPr>
        <w:t>резекция</w:t>
      </w:r>
      <w:proofErr w:type="spellEnd"/>
      <w:r w:rsidRPr="00C838E4">
        <w:rPr>
          <w:rFonts w:eastAsia="Times New Roman" w:cs="Arial"/>
          <w:color w:val="000000"/>
          <w:lang w:eastAsia="bg-BG"/>
        </w:rPr>
        <w:t xml:space="preserve"> или лъчетерапия с лечебна </w:t>
      </w:r>
      <w:r w:rsidRPr="00C838E4">
        <w:rPr>
          <w:rFonts w:eastAsia="Times New Roman" w:cs="Arial"/>
          <w:color w:val="000000"/>
          <w:lang w:eastAsia="bg-BG"/>
        </w:rPr>
        <w:lastRenderedPageBreak/>
        <w:t xml:space="preserve">цел или </w:t>
      </w:r>
      <w:proofErr w:type="spellStart"/>
      <w:r w:rsidRPr="00C838E4">
        <w:rPr>
          <w:rFonts w:eastAsia="Times New Roman" w:cs="Arial"/>
          <w:color w:val="000000"/>
          <w:lang w:eastAsia="bg-BG"/>
        </w:rPr>
        <w:t>метастатичен</w:t>
      </w:r>
      <w:proofErr w:type="spellEnd"/>
      <w:r w:rsidRPr="00C838E4">
        <w:rPr>
          <w:rFonts w:eastAsia="Times New Roman" w:cs="Arial"/>
          <w:color w:val="000000"/>
          <w:lang w:eastAsia="bg-BG"/>
        </w:rPr>
        <w:t xml:space="preserve"> рак на млечна жлеза, независимо от техния </w:t>
      </w:r>
      <w:proofErr w:type="spellStart"/>
      <w:r w:rsidRPr="00C838E4">
        <w:rPr>
          <w:rFonts w:eastAsia="Times New Roman" w:cs="Arial"/>
          <w:color w:val="000000"/>
          <w:lang w:eastAsia="bg-BG"/>
        </w:rPr>
        <w:t>менопаузален</w:t>
      </w:r>
      <w:proofErr w:type="spellEnd"/>
      <w:r w:rsidRPr="00C838E4">
        <w:rPr>
          <w:rFonts w:eastAsia="Times New Roman" w:cs="Arial"/>
          <w:color w:val="000000"/>
          <w:lang w:eastAsia="bg-BG"/>
        </w:rPr>
        <w:t xml:space="preserve"> статус, чието заболяване е прогресирало</w:t>
      </w:r>
      <w:r w:rsidRPr="00C838E4">
        <w:rPr>
          <w:rFonts w:eastAsia="Times New Roman" w:cs="Arial"/>
          <w:i/>
          <w:iCs/>
          <w:color w:val="000000"/>
          <w:lang w:eastAsia="bg-BG"/>
        </w:rPr>
        <w:t xml:space="preserve"> </w:t>
      </w:r>
      <w:r w:rsidRPr="00C838E4">
        <w:rPr>
          <w:rFonts w:eastAsia="Times New Roman" w:cs="Arial"/>
          <w:color w:val="000000"/>
          <w:lang w:eastAsia="bg-BG"/>
        </w:rPr>
        <w:t>след предходна ендокринна терапия при (</w:t>
      </w:r>
      <w:proofErr w:type="spellStart"/>
      <w:r w:rsidRPr="00C838E4">
        <w:rPr>
          <w:rFonts w:eastAsia="Times New Roman" w:cs="Arial"/>
          <w:color w:val="000000"/>
          <w:lang w:eastAsia="bg-BG"/>
        </w:rPr>
        <w:t>нео</w:t>
      </w:r>
      <w:proofErr w:type="spellEnd"/>
      <w:r w:rsidRPr="00C838E4">
        <w:rPr>
          <w:rFonts w:eastAsia="Times New Roman" w:cs="Arial"/>
          <w:color w:val="000000"/>
          <w:lang w:eastAsia="bg-BG"/>
        </w:rPr>
        <w:t>)</w:t>
      </w:r>
      <w:proofErr w:type="spellStart"/>
      <w:r w:rsidRPr="00C838E4">
        <w:rPr>
          <w:rFonts w:eastAsia="Times New Roman" w:cs="Arial"/>
          <w:color w:val="000000"/>
          <w:lang w:eastAsia="bg-BG"/>
        </w:rPr>
        <w:t>адювантна</w:t>
      </w:r>
      <w:proofErr w:type="spellEnd"/>
      <w:r w:rsidRPr="00C838E4">
        <w:rPr>
          <w:rFonts w:eastAsia="Times New Roman" w:cs="Arial"/>
          <w:color w:val="000000"/>
          <w:lang w:eastAsia="bg-BG"/>
        </w:rPr>
        <w:t xml:space="preserve"> терапия или </w:t>
      </w:r>
      <w:proofErr w:type="spellStart"/>
      <w:r w:rsidRPr="00C838E4">
        <w:rPr>
          <w:rFonts w:eastAsia="Times New Roman" w:cs="Arial"/>
          <w:color w:val="000000"/>
          <w:lang w:eastAsia="bg-BG"/>
        </w:rPr>
        <w:t>метастатично</w:t>
      </w:r>
      <w:proofErr w:type="spellEnd"/>
      <w:r w:rsidRPr="00C838E4">
        <w:rPr>
          <w:rFonts w:eastAsia="Times New Roman" w:cs="Arial"/>
          <w:color w:val="000000"/>
          <w:lang w:eastAsia="bg-BG"/>
        </w:rPr>
        <w:t xml:space="preserve"> заболяване.</w:t>
      </w:r>
    </w:p>
    <w:p w14:paraId="156AA1C6" w14:textId="24147724" w:rsidR="00C838E4" w:rsidRPr="00C838E4" w:rsidRDefault="00C838E4" w:rsidP="0091385D">
      <w:pPr>
        <w:rPr>
          <w:rFonts w:cs="Arial"/>
        </w:rPr>
      </w:pPr>
    </w:p>
    <w:p w14:paraId="2FBD37A6" w14:textId="77777777" w:rsidR="00C838E4" w:rsidRPr="00C838E4" w:rsidRDefault="00C838E4" w:rsidP="00C838E4">
      <w:pPr>
        <w:spacing w:line="240" w:lineRule="auto"/>
        <w:rPr>
          <w:rFonts w:eastAsia="Times New Roman" w:cs="Arial"/>
          <w:sz w:val="24"/>
          <w:szCs w:val="24"/>
          <w:lang w:eastAsia="bg-BG"/>
        </w:rPr>
      </w:pPr>
      <w:r w:rsidRPr="00C838E4">
        <w:rPr>
          <w:rFonts w:eastAsia="Times New Roman" w:cs="Arial"/>
          <w:color w:val="000000"/>
          <w:lang w:eastAsia="bg-BG"/>
        </w:rPr>
        <w:t xml:space="preserve">Общо 521 жени в пременопауза/перименопауза, при които е настъпила прогресия по време на или в рамките на 12 месеца от завършването на адювантната ендокринна терапия или по време на или в рамките на 1 месец от предходна ендокринна терапия за авансирало заболяване, са рандомизирани в съотношение 2:1 на фулвестрант плюс палбоциклиб или фулвестрант плюс плацебо и са стратифицирани по документирана чувствителност към предходна хормонална терапия, менопаузален статус при включване в проучването (пременопауза/перименопауза спрямо постменопауза) и наличие на висцерални метастази. Жените с </w:t>
      </w:r>
      <w:proofErr w:type="spellStart"/>
      <w:r w:rsidRPr="00C838E4">
        <w:rPr>
          <w:rFonts w:eastAsia="Times New Roman" w:cs="Arial"/>
          <w:color w:val="000000"/>
          <w:lang w:eastAsia="bg-BG"/>
        </w:rPr>
        <w:t>пременопауза</w:t>
      </w:r>
      <w:proofErr w:type="spellEnd"/>
      <w:r w:rsidRPr="00C838E4">
        <w:rPr>
          <w:rFonts w:eastAsia="Times New Roman" w:cs="Arial"/>
          <w:color w:val="000000"/>
          <w:lang w:eastAsia="bg-BG"/>
        </w:rPr>
        <w:t xml:space="preserve">/ </w:t>
      </w:r>
      <w:proofErr w:type="spellStart"/>
      <w:r w:rsidRPr="00C838E4">
        <w:rPr>
          <w:rFonts w:eastAsia="Times New Roman" w:cs="Arial"/>
          <w:color w:val="000000"/>
          <w:lang w:eastAsia="bg-BG"/>
        </w:rPr>
        <w:t>перименопауза</w:t>
      </w:r>
      <w:proofErr w:type="spellEnd"/>
      <w:r w:rsidRPr="00C838E4">
        <w:rPr>
          <w:rFonts w:eastAsia="Times New Roman" w:cs="Arial"/>
          <w:color w:val="000000"/>
          <w:lang w:eastAsia="bg-BG"/>
        </w:rPr>
        <w:t xml:space="preserve"> получават </w:t>
      </w:r>
      <w:r w:rsidRPr="00C838E4">
        <w:rPr>
          <w:rFonts w:eastAsia="Times New Roman" w:cs="Arial"/>
          <w:color w:val="000000"/>
          <w:lang w:val="en-US"/>
        </w:rPr>
        <w:t>LHRH</w:t>
      </w:r>
      <w:r w:rsidRPr="00114D09">
        <w:rPr>
          <w:rFonts w:eastAsia="Times New Roman" w:cs="Arial"/>
          <w:color w:val="000000"/>
          <w:lang w:val="ru-RU"/>
        </w:rPr>
        <w:t xml:space="preserve"> </w:t>
      </w:r>
      <w:proofErr w:type="spellStart"/>
      <w:r w:rsidRPr="00C838E4">
        <w:rPr>
          <w:rFonts w:eastAsia="Times New Roman" w:cs="Arial"/>
          <w:color w:val="000000"/>
          <w:lang w:eastAsia="bg-BG"/>
        </w:rPr>
        <w:t>агониста</w:t>
      </w:r>
      <w:proofErr w:type="spellEnd"/>
      <w:r w:rsidRPr="00C838E4">
        <w:rPr>
          <w:rFonts w:eastAsia="Times New Roman" w:cs="Arial"/>
          <w:color w:val="000000"/>
          <w:lang w:eastAsia="bg-BG"/>
        </w:rPr>
        <w:t xml:space="preserve"> </w:t>
      </w:r>
      <w:proofErr w:type="spellStart"/>
      <w:r w:rsidRPr="00C838E4">
        <w:rPr>
          <w:rFonts w:eastAsia="Times New Roman" w:cs="Arial"/>
          <w:color w:val="000000"/>
          <w:lang w:eastAsia="bg-BG"/>
        </w:rPr>
        <w:t>госерелин</w:t>
      </w:r>
      <w:proofErr w:type="spellEnd"/>
      <w:r w:rsidRPr="00C838E4">
        <w:rPr>
          <w:rFonts w:eastAsia="Times New Roman" w:cs="Arial"/>
          <w:color w:val="000000"/>
          <w:lang w:eastAsia="bg-BG"/>
        </w:rPr>
        <w:t>. Пациентки с авансирало/метастатичено заболяване, симптоматични, с висцерално разпространение, изложени на риск от животозастрашаващи усложнения в краткосрочен план (включително пациенти с масивни неконтролирани изливи [плеврални, перикардни, перитонеални], белодробни лимфангити и над 50% чернодробно засягане), не са отговаряли на условията за включване в изпитването.</w:t>
      </w:r>
    </w:p>
    <w:p w14:paraId="4ED6E7C4" w14:textId="77777777" w:rsidR="00C838E4" w:rsidRPr="00C838E4" w:rsidRDefault="00C838E4" w:rsidP="00C838E4">
      <w:pPr>
        <w:spacing w:line="240" w:lineRule="auto"/>
        <w:rPr>
          <w:rFonts w:eastAsia="Times New Roman" w:cs="Arial"/>
          <w:color w:val="000000"/>
          <w:lang w:eastAsia="bg-BG"/>
        </w:rPr>
      </w:pPr>
    </w:p>
    <w:p w14:paraId="090CB5F9" w14:textId="76950B14" w:rsidR="00C838E4" w:rsidRPr="00C838E4" w:rsidRDefault="00C838E4" w:rsidP="00C838E4">
      <w:pPr>
        <w:spacing w:line="240" w:lineRule="auto"/>
        <w:rPr>
          <w:rFonts w:eastAsia="Times New Roman" w:cs="Arial"/>
          <w:sz w:val="24"/>
          <w:szCs w:val="24"/>
          <w:lang w:eastAsia="bg-BG"/>
        </w:rPr>
      </w:pPr>
      <w:r w:rsidRPr="00C838E4">
        <w:rPr>
          <w:rFonts w:eastAsia="Times New Roman" w:cs="Arial"/>
          <w:color w:val="000000"/>
          <w:lang w:eastAsia="bg-BG"/>
        </w:rPr>
        <w:t>Пациентките продължават да получават определеното лечение до обективна прогресия на заболяването, влошаване на симптомите, неприемлива токсичност, смърт или оттегляне на съгласието, което възникне първо. Не се допуска кръстосване между терапевтичните рамена.</w:t>
      </w:r>
    </w:p>
    <w:p w14:paraId="678F113C" w14:textId="77777777" w:rsidR="00C838E4" w:rsidRPr="00C838E4" w:rsidRDefault="00C838E4" w:rsidP="00C838E4">
      <w:pPr>
        <w:spacing w:line="240" w:lineRule="auto"/>
        <w:rPr>
          <w:rFonts w:eastAsia="Times New Roman" w:cs="Arial"/>
          <w:color w:val="000000"/>
          <w:lang w:eastAsia="bg-BG"/>
        </w:rPr>
      </w:pPr>
    </w:p>
    <w:p w14:paraId="47ADBCB1" w14:textId="5A28BAB1" w:rsidR="00C838E4" w:rsidRPr="00C838E4" w:rsidRDefault="00C838E4" w:rsidP="00C838E4">
      <w:pPr>
        <w:spacing w:line="240" w:lineRule="auto"/>
        <w:rPr>
          <w:rFonts w:eastAsia="Times New Roman" w:cs="Arial"/>
          <w:sz w:val="24"/>
          <w:szCs w:val="24"/>
          <w:lang w:eastAsia="bg-BG"/>
        </w:rPr>
      </w:pPr>
      <w:r w:rsidRPr="00C838E4">
        <w:rPr>
          <w:rFonts w:eastAsia="Times New Roman" w:cs="Arial"/>
          <w:color w:val="000000"/>
          <w:lang w:eastAsia="bg-BG"/>
        </w:rPr>
        <w:t xml:space="preserve">Изходните демографски и прогностични характеристики на пациентите в рамото с фулвестрант плюс палбоциклиб и рамото с фулвестрант плюс плацебо са сходни. Средната възраст на пациентките, включени в това проучване, е 57 години (диапазон 29 - 88). Във всяко терапевтично рамо повечето от пациентките са от европеидната раса, имат документирана чувствителност към предходна хормонална терапия и са постменопаузални. Приблизително 20% от пациентките са в пременопауза/перименопауза. Всички пациентки са получавали предходна системна терапия и повечето пациентки във всяко терапевтично рамо са получавали предходен химиотерапевтичен режим за своята основна диагноза. Повече от половината (62%) имат функционален статус 0 по скалата на Източната кооперативна група по онкология </w:t>
      </w:r>
      <w:r w:rsidRPr="00114D09">
        <w:rPr>
          <w:rFonts w:eastAsia="Times New Roman" w:cs="Arial"/>
          <w:color w:val="000000"/>
          <w:lang w:val="ru-RU"/>
        </w:rPr>
        <w:t>(</w:t>
      </w:r>
      <w:r w:rsidRPr="00C838E4">
        <w:rPr>
          <w:rFonts w:eastAsia="Times New Roman" w:cs="Arial"/>
          <w:color w:val="000000"/>
          <w:lang w:val="en-US"/>
        </w:rPr>
        <w:t>ECOG</w:t>
      </w:r>
      <w:r w:rsidRPr="00114D09">
        <w:rPr>
          <w:rFonts w:eastAsia="Times New Roman" w:cs="Arial"/>
          <w:color w:val="000000"/>
          <w:lang w:val="ru-RU"/>
        </w:rPr>
        <w:t xml:space="preserve">), </w:t>
      </w:r>
      <w:r w:rsidRPr="00C838E4">
        <w:rPr>
          <w:rFonts w:eastAsia="Times New Roman" w:cs="Arial"/>
          <w:color w:val="000000"/>
          <w:lang w:eastAsia="bg-BG"/>
        </w:rPr>
        <w:t>60% имат висцерални метастази, а 60% са получавали повече от 1 предходен хормонален режим за своята основна диагноза.</w:t>
      </w:r>
    </w:p>
    <w:p w14:paraId="3E3D8BCB" w14:textId="77777777" w:rsidR="00C838E4" w:rsidRPr="00C838E4" w:rsidRDefault="00C838E4" w:rsidP="00C838E4">
      <w:pPr>
        <w:spacing w:line="240" w:lineRule="auto"/>
        <w:rPr>
          <w:rFonts w:eastAsia="Times New Roman" w:cs="Arial"/>
          <w:color w:val="000000"/>
          <w:lang w:eastAsia="bg-BG"/>
        </w:rPr>
      </w:pPr>
    </w:p>
    <w:p w14:paraId="6F2CA4B8" w14:textId="6EBF5C1C" w:rsidR="00C838E4" w:rsidRPr="00C838E4" w:rsidRDefault="00C838E4" w:rsidP="00C838E4">
      <w:pPr>
        <w:spacing w:line="240" w:lineRule="auto"/>
        <w:rPr>
          <w:rFonts w:eastAsia="Times New Roman" w:cs="Arial"/>
          <w:sz w:val="24"/>
          <w:szCs w:val="24"/>
          <w:lang w:eastAsia="bg-BG"/>
        </w:rPr>
      </w:pPr>
      <w:r w:rsidRPr="00C838E4">
        <w:rPr>
          <w:rFonts w:eastAsia="Times New Roman" w:cs="Arial"/>
          <w:color w:val="000000"/>
          <w:lang w:eastAsia="bg-BG"/>
        </w:rPr>
        <w:t xml:space="preserve">Първичната крайна точка на изпитването е оценена от изследователя преживяемост без прогресия (ПБП), съгласно </w:t>
      </w:r>
      <w:r w:rsidRPr="00C838E4">
        <w:rPr>
          <w:rFonts w:eastAsia="Times New Roman" w:cs="Arial"/>
          <w:color w:val="000000"/>
          <w:lang w:val="en-US"/>
        </w:rPr>
        <w:t>RECIST</w:t>
      </w:r>
      <w:r w:rsidRPr="00114D09">
        <w:rPr>
          <w:rFonts w:eastAsia="Times New Roman" w:cs="Arial"/>
          <w:color w:val="000000"/>
          <w:lang w:val="ru-RU"/>
        </w:rPr>
        <w:t xml:space="preserve"> </w:t>
      </w:r>
      <w:r w:rsidRPr="00C838E4">
        <w:rPr>
          <w:rFonts w:eastAsia="Times New Roman" w:cs="Arial"/>
          <w:color w:val="000000"/>
          <w:lang w:eastAsia="bg-BG"/>
        </w:rPr>
        <w:t>1.1. Поддържащите анализи на ПБП са базирани на независима централна оценка на рентгеново изследване. Вторичните крайни точки включват ОО, КП, обща преживяемост (ОП), безопасност и време до влошаване (БВБ) при крайна точка болка.</w:t>
      </w:r>
    </w:p>
    <w:p w14:paraId="4E0D493C" w14:textId="77777777" w:rsidR="00C838E4" w:rsidRPr="00C838E4" w:rsidRDefault="00C838E4" w:rsidP="00C838E4">
      <w:pPr>
        <w:spacing w:line="240" w:lineRule="auto"/>
        <w:rPr>
          <w:rFonts w:eastAsia="Times New Roman" w:cs="Arial"/>
          <w:color w:val="000000"/>
          <w:lang w:eastAsia="bg-BG"/>
        </w:rPr>
      </w:pPr>
    </w:p>
    <w:p w14:paraId="1EB81F8E" w14:textId="590FCBE1" w:rsidR="00C838E4" w:rsidRPr="00C838E4" w:rsidRDefault="00C838E4" w:rsidP="00C838E4">
      <w:pPr>
        <w:spacing w:line="240" w:lineRule="auto"/>
        <w:rPr>
          <w:rFonts w:eastAsia="Times New Roman" w:cs="Arial"/>
          <w:sz w:val="24"/>
          <w:szCs w:val="24"/>
          <w:lang w:eastAsia="bg-BG"/>
        </w:rPr>
      </w:pPr>
      <w:r w:rsidRPr="00C838E4">
        <w:rPr>
          <w:rFonts w:eastAsia="Times New Roman" w:cs="Arial"/>
          <w:color w:val="000000"/>
          <w:lang w:eastAsia="bg-BG"/>
        </w:rPr>
        <w:t xml:space="preserve">Изпитването постига първичната крайна точка за удължаване на оценена от изследователя ПБП при междинния анализ, проведен при 82% от планираните ПБП събития; резултатите преминават предварително определената граница на ефикасност по </w:t>
      </w:r>
      <w:proofErr w:type="spellStart"/>
      <w:r w:rsidRPr="00C838E4">
        <w:rPr>
          <w:rFonts w:eastAsia="Times New Roman" w:cs="Arial"/>
          <w:color w:val="000000"/>
          <w:lang w:val="en-US"/>
        </w:rPr>
        <w:t>Haybittle</w:t>
      </w:r>
      <w:proofErr w:type="spellEnd"/>
      <w:r w:rsidRPr="00114D09">
        <w:rPr>
          <w:rFonts w:eastAsia="Times New Roman" w:cs="Arial"/>
          <w:color w:val="000000"/>
          <w:lang w:val="ru-RU"/>
        </w:rPr>
        <w:t>-</w:t>
      </w:r>
      <w:r w:rsidRPr="00C838E4">
        <w:rPr>
          <w:rFonts w:eastAsia="Times New Roman" w:cs="Arial"/>
          <w:color w:val="000000"/>
          <w:lang w:val="en-US"/>
        </w:rPr>
        <w:t>Peto</w:t>
      </w:r>
      <w:r w:rsidRPr="00114D09">
        <w:rPr>
          <w:rFonts w:eastAsia="Times New Roman" w:cs="Arial"/>
          <w:color w:val="000000"/>
          <w:lang w:val="ru-RU"/>
        </w:rPr>
        <w:t xml:space="preserve"> </w:t>
      </w:r>
      <w:r w:rsidRPr="00C838E4">
        <w:rPr>
          <w:rFonts w:eastAsia="Times New Roman" w:cs="Arial"/>
          <w:color w:val="000000"/>
          <w:lang w:eastAsia="bg-BG"/>
        </w:rPr>
        <w:t>(α = 0,00135), демонстрирайки статистически значимо удължаване на ПБП и клинично значим терапевтичен ефект. По-актуални данни за ефикасност са представени в Таблица 5.</w:t>
      </w:r>
    </w:p>
    <w:p w14:paraId="5F5B9FD6" w14:textId="77777777" w:rsidR="00C838E4" w:rsidRPr="00C838E4" w:rsidRDefault="00C838E4" w:rsidP="00C838E4">
      <w:pPr>
        <w:spacing w:line="240" w:lineRule="auto"/>
        <w:rPr>
          <w:rFonts w:eastAsia="Times New Roman" w:cs="Arial"/>
          <w:color w:val="000000"/>
          <w:lang w:eastAsia="bg-BG"/>
        </w:rPr>
      </w:pPr>
    </w:p>
    <w:p w14:paraId="189F560B" w14:textId="405A32CC" w:rsidR="00C838E4" w:rsidRPr="00C838E4" w:rsidRDefault="00C838E4" w:rsidP="00C838E4">
      <w:pPr>
        <w:spacing w:line="240" w:lineRule="auto"/>
        <w:rPr>
          <w:rFonts w:eastAsia="Times New Roman" w:cs="Arial"/>
          <w:sz w:val="24"/>
          <w:szCs w:val="24"/>
          <w:lang w:eastAsia="bg-BG"/>
        </w:rPr>
      </w:pPr>
      <w:r w:rsidRPr="00C838E4">
        <w:rPr>
          <w:rFonts w:eastAsia="Times New Roman" w:cs="Arial"/>
          <w:color w:val="000000"/>
          <w:lang w:eastAsia="bg-BG"/>
        </w:rPr>
        <w:lastRenderedPageBreak/>
        <w:t xml:space="preserve">След средно време за проследяване от 45 месеца, окончателният анализ на ОП е извършен въз основа на 310 събития (60% от рандомизираните пациенти). Наблюдава се 6,9-месечна разлика в средната ОП в рамото на палбоциклиб плюс фулвестрант в сравнение с плацебо плюс фулвестрант; този резултат не е статистически значим при предварително определено ниво на значимост от 0,0235 (едностранно). В рамото на плацебо плюс </w:t>
      </w:r>
      <w:proofErr w:type="spellStart"/>
      <w:r w:rsidRPr="00C838E4">
        <w:rPr>
          <w:rFonts w:eastAsia="Times New Roman" w:cs="Arial"/>
          <w:color w:val="000000"/>
          <w:lang w:eastAsia="bg-BG"/>
        </w:rPr>
        <w:t>фулвестрант</w:t>
      </w:r>
      <w:proofErr w:type="spellEnd"/>
      <w:r w:rsidRPr="00C838E4">
        <w:rPr>
          <w:rFonts w:eastAsia="Times New Roman" w:cs="Arial"/>
          <w:color w:val="000000"/>
          <w:lang w:eastAsia="bg-BG"/>
        </w:rPr>
        <w:t xml:space="preserve">, 15,5% от рандомизираните пациенти са получавали </w:t>
      </w:r>
      <w:proofErr w:type="spellStart"/>
      <w:r w:rsidRPr="00C838E4">
        <w:rPr>
          <w:rFonts w:eastAsia="Times New Roman" w:cs="Arial"/>
          <w:color w:val="000000"/>
          <w:lang w:eastAsia="bg-BG"/>
        </w:rPr>
        <w:t>палбоциклиб</w:t>
      </w:r>
      <w:proofErr w:type="spellEnd"/>
      <w:r w:rsidRPr="00C838E4">
        <w:rPr>
          <w:rFonts w:eastAsia="Times New Roman" w:cs="Arial"/>
          <w:color w:val="000000"/>
          <w:lang w:eastAsia="bg-BG"/>
        </w:rPr>
        <w:t xml:space="preserve"> и други </w:t>
      </w:r>
      <w:r w:rsidRPr="00C838E4">
        <w:rPr>
          <w:rFonts w:eastAsia="Times New Roman" w:cs="Arial"/>
          <w:color w:val="000000"/>
          <w:lang w:val="en-US"/>
        </w:rPr>
        <w:t>CDK</w:t>
      </w:r>
      <w:r w:rsidRPr="00114D09">
        <w:rPr>
          <w:rFonts w:eastAsia="Times New Roman" w:cs="Arial"/>
          <w:color w:val="000000"/>
          <w:lang w:val="ru-RU"/>
        </w:rPr>
        <w:t xml:space="preserve"> </w:t>
      </w:r>
      <w:r w:rsidRPr="00C838E4">
        <w:rPr>
          <w:rFonts w:eastAsia="Times New Roman" w:cs="Arial"/>
          <w:color w:val="000000"/>
          <w:lang w:eastAsia="bg-BG"/>
        </w:rPr>
        <w:t>инхибитори като последващи лечения след прогресията.</w:t>
      </w:r>
    </w:p>
    <w:p w14:paraId="22DD91E1" w14:textId="77777777" w:rsidR="00414EE9" w:rsidRDefault="00414EE9" w:rsidP="00C838E4">
      <w:pPr>
        <w:spacing w:line="240" w:lineRule="auto"/>
        <w:rPr>
          <w:rFonts w:eastAsia="Times New Roman" w:cs="Arial"/>
          <w:color w:val="000000"/>
          <w:lang w:eastAsia="bg-BG"/>
        </w:rPr>
      </w:pPr>
    </w:p>
    <w:p w14:paraId="33B4941A" w14:textId="47B26BC7" w:rsidR="00C838E4" w:rsidRPr="00C838E4" w:rsidRDefault="00C838E4" w:rsidP="00C838E4">
      <w:pPr>
        <w:spacing w:line="240" w:lineRule="auto"/>
        <w:rPr>
          <w:rFonts w:eastAsia="Times New Roman" w:cs="Arial"/>
          <w:sz w:val="24"/>
          <w:szCs w:val="24"/>
          <w:lang w:eastAsia="bg-BG"/>
        </w:rPr>
      </w:pPr>
      <w:r w:rsidRPr="00C838E4">
        <w:rPr>
          <w:rFonts w:eastAsia="Times New Roman" w:cs="Arial"/>
          <w:color w:val="000000"/>
          <w:lang w:eastAsia="bg-BG"/>
        </w:rPr>
        <w:t xml:space="preserve">Резултатите от оценката на изследователя за ПБП и крайните данни за ОП от </w:t>
      </w:r>
      <w:r w:rsidRPr="00C838E4">
        <w:rPr>
          <w:rFonts w:eastAsia="Times New Roman" w:cs="Arial"/>
          <w:color w:val="000000"/>
          <w:lang w:val="en-US"/>
        </w:rPr>
        <w:t>PALOMA</w:t>
      </w:r>
      <w:r w:rsidRPr="00114D09">
        <w:rPr>
          <w:rFonts w:eastAsia="Times New Roman" w:cs="Arial"/>
          <w:color w:val="000000"/>
          <w:lang w:val="ru-RU"/>
        </w:rPr>
        <w:t xml:space="preserve">3 </w:t>
      </w:r>
      <w:r w:rsidRPr="00C838E4">
        <w:rPr>
          <w:rFonts w:eastAsia="Times New Roman" w:cs="Arial"/>
          <w:color w:val="000000"/>
          <w:lang w:eastAsia="bg-BG"/>
        </w:rPr>
        <w:t xml:space="preserve">проучването са представени в таблица 5. Съответните графики на </w:t>
      </w:r>
      <w:r w:rsidRPr="00C838E4">
        <w:rPr>
          <w:rFonts w:eastAsia="Times New Roman" w:cs="Arial"/>
          <w:color w:val="000000"/>
          <w:lang w:val="en-US"/>
        </w:rPr>
        <w:t>Kaplan</w:t>
      </w:r>
      <w:r w:rsidRPr="00114D09">
        <w:rPr>
          <w:rFonts w:eastAsia="Times New Roman" w:cs="Arial"/>
          <w:color w:val="000000"/>
          <w:lang w:val="ru-RU"/>
        </w:rPr>
        <w:t xml:space="preserve">- </w:t>
      </w:r>
      <w:r w:rsidRPr="00C838E4">
        <w:rPr>
          <w:rFonts w:eastAsia="Times New Roman" w:cs="Arial"/>
          <w:color w:val="000000"/>
          <w:lang w:val="en-US"/>
        </w:rPr>
        <w:t>Meier</w:t>
      </w:r>
      <w:r w:rsidRPr="00114D09">
        <w:rPr>
          <w:rFonts w:eastAsia="Times New Roman" w:cs="Arial"/>
          <w:color w:val="000000"/>
          <w:lang w:val="ru-RU"/>
        </w:rPr>
        <w:t xml:space="preserve"> </w:t>
      </w:r>
      <w:r w:rsidRPr="00C838E4">
        <w:rPr>
          <w:rFonts w:eastAsia="Times New Roman" w:cs="Arial"/>
          <w:color w:val="000000"/>
          <w:lang w:eastAsia="bg-BG"/>
        </w:rPr>
        <w:t>са  показани съответно на фигури 2 и 3.</w:t>
      </w:r>
    </w:p>
    <w:p w14:paraId="24B19C39" w14:textId="77777777" w:rsidR="00C838E4" w:rsidRPr="00C838E4" w:rsidRDefault="00C838E4" w:rsidP="00C838E4">
      <w:pPr>
        <w:rPr>
          <w:rFonts w:eastAsia="Times New Roman" w:cs="Arial"/>
          <w:b/>
          <w:bCs/>
          <w:color w:val="000000"/>
          <w:lang w:eastAsia="bg-BG"/>
        </w:rPr>
      </w:pPr>
    </w:p>
    <w:p w14:paraId="402B757F" w14:textId="25861A74" w:rsidR="00C838E4" w:rsidRPr="00C838E4" w:rsidRDefault="00C838E4" w:rsidP="00C838E4">
      <w:pPr>
        <w:rPr>
          <w:rFonts w:cs="Arial"/>
        </w:rPr>
      </w:pPr>
      <w:r w:rsidRPr="00C838E4">
        <w:rPr>
          <w:rFonts w:eastAsia="Times New Roman" w:cs="Arial"/>
          <w:b/>
          <w:bCs/>
          <w:color w:val="000000"/>
          <w:lang w:eastAsia="bg-BG"/>
        </w:rPr>
        <w:t xml:space="preserve">Таблица 5 Резултати за ефикасността - </w:t>
      </w:r>
      <w:r w:rsidRPr="00C838E4">
        <w:rPr>
          <w:rFonts w:eastAsia="Times New Roman" w:cs="Arial"/>
          <w:b/>
          <w:bCs/>
          <w:color w:val="000000"/>
          <w:lang w:val="en-US"/>
        </w:rPr>
        <w:t>PALOMA</w:t>
      </w:r>
      <w:r w:rsidRPr="00114D09">
        <w:rPr>
          <w:rFonts w:eastAsia="Times New Roman" w:cs="Arial"/>
          <w:b/>
          <w:bCs/>
          <w:color w:val="000000"/>
          <w:lang w:val="ru-RU"/>
        </w:rPr>
        <w:t xml:space="preserve">3 </w:t>
      </w:r>
      <w:r w:rsidRPr="00C838E4">
        <w:rPr>
          <w:rFonts w:eastAsia="Times New Roman" w:cs="Arial"/>
          <w:b/>
          <w:bCs/>
          <w:color w:val="000000"/>
          <w:lang w:eastAsia="bg-BG"/>
        </w:rPr>
        <w:t>изпитване (оценка на изследователя, всички рандомизирани пациенти)</w:t>
      </w:r>
      <w:r w:rsidRPr="00C838E4">
        <w:rPr>
          <w:rFonts w:eastAsia="Times New Roman" w:cs="Arial"/>
          <w:b/>
          <w:bCs/>
          <w:color w:val="000000"/>
          <w:lang w:eastAsia="bg-BG"/>
        </w:rPr>
        <w:tab/>
      </w:r>
    </w:p>
    <w:tbl>
      <w:tblPr>
        <w:tblStyle w:val="TableGrid"/>
        <w:tblW w:w="0" w:type="auto"/>
        <w:tblLook w:val="04A0" w:firstRow="1" w:lastRow="0" w:firstColumn="1" w:lastColumn="0" w:noHBand="0" w:noVBand="1"/>
      </w:tblPr>
      <w:tblGrid>
        <w:gridCol w:w="3120"/>
        <w:gridCol w:w="3115"/>
        <w:gridCol w:w="3115"/>
      </w:tblGrid>
      <w:tr w:rsidR="00C838E4" w14:paraId="568DFEA0" w14:textId="77777777" w:rsidTr="0048351B">
        <w:tc>
          <w:tcPr>
            <w:tcW w:w="3166" w:type="dxa"/>
            <w:vMerge w:val="restart"/>
          </w:tcPr>
          <w:p w14:paraId="21B93AC8" w14:textId="77777777" w:rsidR="00C838E4" w:rsidRPr="0022136D" w:rsidRDefault="00C838E4" w:rsidP="0091385D"/>
        </w:tc>
        <w:tc>
          <w:tcPr>
            <w:tcW w:w="6334" w:type="dxa"/>
            <w:gridSpan w:val="2"/>
          </w:tcPr>
          <w:p w14:paraId="252F0AB7" w14:textId="18BAE6C0" w:rsidR="00C838E4" w:rsidRPr="0022136D" w:rsidRDefault="00C838E4" w:rsidP="00C838E4">
            <w:pPr>
              <w:jc w:val="center"/>
              <w:rPr>
                <w:b/>
                <w:bCs/>
                <w:szCs w:val="20"/>
              </w:rPr>
            </w:pPr>
            <w:r w:rsidRPr="0022136D">
              <w:rPr>
                <w:b/>
                <w:bCs/>
                <w:szCs w:val="20"/>
              </w:rPr>
              <w:t>Актуализиран анализ</w:t>
            </w:r>
          </w:p>
          <w:p w14:paraId="52886B6C" w14:textId="6234F886" w:rsidR="00C838E4" w:rsidRPr="0022136D" w:rsidRDefault="00C838E4" w:rsidP="00C838E4">
            <w:pPr>
              <w:jc w:val="center"/>
            </w:pPr>
            <w:r w:rsidRPr="0022136D">
              <w:rPr>
                <w:b/>
                <w:bCs/>
                <w:szCs w:val="20"/>
              </w:rPr>
              <w:t>(крайна дата за събиране на данни: 23 октомври 2015)</w:t>
            </w:r>
          </w:p>
        </w:tc>
      </w:tr>
      <w:tr w:rsidR="00C838E4" w14:paraId="018BA548" w14:textId="77777777" w:rsidTr="00C838E4">
        <w:tc>
          <w:tcPr>
            <w:tcW w:w="3166" w:type="dxa"/>
            <w:vMerge/>
          </w:tcPr>
          <w:p w14:paraId="206E2BA6" w14:textId="77777777" w:rsidR="00C838E4" w:rsidRPr="0022136D" w:rsidRDefault="00C838E4" w:rsidP="00C838E4"/>
        </w:tc>
        <w:tc>
          <w:tcPr>
            <w:tcW w:w="3167" w:type="dxa"/>
          </w:tcPr>
          <w:p w14:paraId="3D8D4BE2" w14:textId="7AC1A726" w:rsidR="00C838E4" w:rsidRPr="0022136D" w:rsidRDefault="00C838E4" w:rsidP="00C838E4">
            <w:r w:rsidRPr="0022136D">
              <w:rPr>
                <w:b/>
                <w:bCs/>
                <w:szCs w:val="20"/>
              </w:rPr>
              <w:t xml:space="preserve">Фулвестрант плюс палбоциклиб </w:t>
            </w:r>
            <w:r w:rsidRPr="0022136D">
              <w:rPr>
                <w:b/>
                <w:bCs/>
                <w:szCs w:val="20"/>
                <w:lang w:val="en-US"/>
              </w:rPr>
              <w:t>(N=347)</w:t>
            </w:r>
          </w:p>
        </w:tc>
        <w:tc>
          <w:tcPr>
            <w:tcW w:w="3167" w:type="dxa"/>
          </w:tcPr>
          <w:p w14:paraId="70A4E900" w14:textId="72366818" w:rsidR="00C838E4" w:rsidRPr="0022136D" w:rsidRDefault="00C838E4" w:rsidP="00C838E4">
            <w:pPr>
              <w:rPr>
                <w:b/>
              </w:rPr>
            </w:pPr>
            <w:r w:rsidRPr="0022136D">
              <w:rPr>
                <w:b/>
                <w:szCs w:val="20"/>
              </w:rPr>
              <w:t xml:space="preserve">Фулвестрант плюс плацебо </w:t>
            </w:r>
            <w:r w:rsidRPr="0022136D">
              <w:rPr>
                <w:b/>
                <w:szCs w:val="20"/>
                <w:lang w:val="en-US"/>
              </w:rPr>
              <w:t>(N=174)</w:t>
            </w:r>
          </w:p>
        </w:tc>
      </w:tr>
      <w:tr w:rsidR="00C838E4" w14:paraId="3BA6BDBC" w14:textId="77777777" w:rsidTr="0048351B">
        <w:tc>
          <w:tcPr>
            <w:tcW w:w="3166" w:type="dxa"/>
          </w:tcPr>
          <w:p w14:paraId="65506D6E" w14:textId="20A5AE31" w:rsidR="00C838E4" w:rsidRPr="0022136D" w:rsidRDefault="00C838E4" w:rsidP="00C838E4">
            <w:r w:rsidRPr="0022136D">
              <w:rPr>
                <w:b/>
                <w:bCs/>
                <w:szCs w:val="20"/>
              </w:rPr>
              <w:t>Преживяемост без прогресия (ПБП)</w:t>
            </w:r>
          </w:p>
        </w:tc>
        <w:tc>
          <w:tcPr>
            <w:tcW w:w="6334" w:type="dxa"/>
            <w:gridSpan w:val="2"/>
          </w:tcPr>
          <w:p w14:paraId="14207149" w14:textId="77777777" w:rsidR="00C838E4" w:rsidRPr="0022136D" w:rsidRDefault="00C838E4" w:rsidP="00C838E4"/>
        </w:tc>
      </w:tr>
      <w:tr w:rsidR="00C838E4" w14:paraId="52D06C9C" w14:textId="77777777" w:rsidTr="0048351B">
        <w:tc>
          <w:tcPr>
            <w:tcW w:w="3166" w:type="dxa"/>
            <w:vAlign w:val="bottom"/>
          </w:tcPr>
          <w:p w14:paraId="06C9A254" w14:textId="0F18634C" w:rsidR="00C838E4" w:rsidRPr="0022136D" w:rsidRDefault="00C838E4" w:rsidP="00C838E4">
            <w:r w:rsidRPr="0022136D">
              <w:rPr>
                <w:szCs w:val="20"/>
              </w:rPr>
              <w:t>Средно [месеци (95% ДИ)]</w:t>
            </w:r>
          </w:p>
        </w:tc>
        <w:tc>
          <w:tcPr>
            <w:tcW w:w="3167" w:type="dxa"/>
            <w:vAlign w:val="bottom"/>
          </w:tcPr>
          <w:p w14:paraId="00651981" w14:textId="61BC36FF" w:rsidR="00C838E4" w:rsidRPr="0022136D" w:rsidRDefault="00C838E4" w:rsidP="00C838E4">
            <w:r w:rsidRPr="0022136D">
              <w:rPr>
                <w:szCs w:val="20"/>
              </w:rPr>
              <w:t>11,2</w:t>
            </w:r>
            <w:r w:rsidRPr="0022136D">
              <w:rPr>
                <w:szCs w:val="20"/>
                <w:lang w:val="en-US"/>
              </w:rPr>
              <w:t xml:space="preserve"> </w:t>
            </w:r>
            <w:r w:rsidRPr="0022136D">
              <w:rPr>
                <w:szCs w:val="20"/>
              </w:rPr>
              <w:t>(9,5,12,9)</w:t>
            </w:r>
          </w:p>
        </w:tc>
        <w:tc>
          <w:tcPr>
            <w:tcW w:w="3167" w:type="dxa"/>
            <w:vAlign w:val="bottom"/>
          </w:tcPr>
          <w:p w14:paraId="41902B0D" w14:textId="0C96C1A9" w:rsidR="00C838E4" w:rsidRPr="0022136D" w:rsidRDefault="00C838E4" w:rsidP="00C838E4">
            <w:r w:rsidRPr="0022136D">
              <w:rPr>
                <w:szCs w:val="20"/>
              </w:rPr>
              <w:t>4,6 (3,5, 5,6)</w:t>
            </w:r>
          </w:p>
        </w:tc>
      </w:tr>
      <w:tr w:rsidR="00C838E4" w14:paraId="27CAFD5C" w14:textId="77777777" w:rsidTr="0048351B">
        <w:tc>
          <w:tcPr>
            <w:tcW w:w="3166" w:type="dxa"/>
          </w:tcPr>
          <w:p w14:paraId="20E39190" w14:textId="35A617C0" w:rsidR="00C838E4" w:rsidRPr="0022136D" w:rsidRDefault="00C838E4" w:rsidP="00C838E4">
            <w:r w:rsidRPr="0022136D">
              <w:rPr>
                <w:szCs w:val="20"/>
              </w:rPr>
              <w:t>Коефициент на риск (95%ДИ)ир- стойност</w:t>
            </w:r>
          </w:p>
        </w:tc>
        <w:tc>
          <w:tcPr>
            <w:tcW w:w="6334" w:type="dxa"/>
            <w:gridSpan w:val="2"/>
          </w:tcPr>
          <w:p w14:paraId="12F3A343" w14:textId="59942EF3" w:rsidR="00C838E4" w:rsidRPr="0022136D" w:rsidRDefault="00C838E4" w:rsidP="00C838E4">
            <w:pPr>
              <w:jc w:val="center"/>
            </w:pPr>
            <w:r w:rsidRPr="0022136D">
              <w:rPr>
                <w:szCs w:val="20"/>
              </w:rPr>
              <w:t>0,497 (0,398,0,620), р &lt;0,000001</w:t>
            </w:r>
          </w:p>
        </w:tc>
      </w:tr>
      <w:tr w:rsidR="00C838E4" w14:paraId="53C62C64" w14:textId="77777777" w:rsidTr="0048351B">
        <w:tc>
          <w:tcPr>
            <w:tcW w:w="9500" w:type="dxa"/>
            <w:gridSpan w:val="3"/>
          </w:tcPr>
          <w:p w14:paraId="38A602CC" w14:textId="22535E8A" w:rsidR="00C838E4" w:rsidRPr="0022136D" w:rsidRDefault="00C838E4" w:rsidP="0091385D">
            <w:r w:rsidRPr="0022136D">
              <w:rPr>
                <w:b/>
                <w:bCs/>
                <w:szCs w:val="20"/>
              </w:rPr>
              <w:t>Вторични крайни точки за ефикасност*</w:t>
            </w:r>
          </w:p>
        </w:tc>
      </w:tr>
      <w:tr w:rsidR="00C838E4" w14:paraId="784948B0" w14:textId="77777777" w:rsidTr="0048351B">
        <w:tc>
          <w:tcPr>
            <w:tcW w:w="3166" w:type="dxa"/>
            <w:vAlign w:val="bottom"/>
          </w:tcPr>
          <w:p w14:paraId="74A1E1D3" w14:textId="3ED164B0" w:rsidR="00C838E4" w:rsidRPr="0022136D" w:rsidRDefault="00C838E4" w:rsidP="00C838E4">
            <w:r w:rsidRPr="0022136D">
              <w:rPr>
                <w:szCs w:val="20"/>
              </w:rPr>
              <w:t>ОО [% (95% ДИ)]</w:t>
            </w:r>
          </w:p>
        </w:tc>
        <w:tc>
          <w:tcPr>
            <w:tcW w:w="3167" w:type="dxa"/>
            <w:vAlign w:val="bottom"/>
          </w:tcPr>
          <w:p w14:paraId="01615245" w14:textId="021095A6" w:rsidR="00C838E4" w:rsidRPr="0022136D" w:rsidRDefault="00C838E4" w:rsidP="00C838E4">
            <w:r w:rsidRPr="0022136D">
              <w:rPr>
                <w:szCs w:val="20"/>
              </w:rPr>
              <w:t>26,2(21,7,31,2)</w:t>
            </w:r>
          </w:p>
        </w:tc>
        <w:tc>
          <w:tcPr>
            <w:tcW w:w="3167" w:type="dxa"/>
            <w:vAlign w:val="bottom"/>
          </w:tcPr>
          <w:p w14:paraId="0D9DC2DD" w14:textId="5149AF63" w:rsidR="00C838E4" w:rsidRPr="0022136D" w:rsidRDefault="00C838E4" w:rsidP="00C838E4">
            <w:r w:rsidRPr="0022136D">
              <w:rPr>
                <w:szCs w:val="20"/>
              </w:rPr>
              <w:t>13,8(9,0,19,8)</w:t>
            </w:r>
          </w:p>
        </w:tc>
      </w:tr>
      <w:tr w:rsidR="00C838E4" w14:paraId="436FD5BB" w14:textId="77777777" w:rsidTr="0048351B">
        <w:tc>
          <w:tcPr>
            <w:tcW w:w="3166" w:type="dxa"/>
            <w:vAlign w:val="bottom"/>
          </w:tcPr>
          <w:p w14:paraId="2E767A51" w14:textId="12DA37A5" w:rsidR="00C838E4" w:rsidRPr="0022136D" w:rsidRDefault="00C838E4" w:rsidP="00C838E4">
            <w:r w:rsidRPr="0022136D">
              <w:rPr>
                <w:szCs w:val="20"/>
              </w:rPr>
              <w:t>00 (измеримо заболяване) [%(95%ДИ)]</w:t>
            </w:r>
          </w:p>
        </w:tc>
        <w:tc>
          <w:tcPr>
            <w:tcW w:w="3167" w:type="dxa"/>
          </w:tcPr>
          <w:p w14:paraId="123F46BA" w14:textId="589574C7" w:rsidR="00C838E4" w:rsidRPr="0022136D" w:rsidRDefault="00C838E4" w:rsidP="00C838E4">
            <w:r w:rsidRPr="0022136D">
              <w:rPr>
                <w:szCs w:val="20"/>
              </w:rPr>
              <w:t>33,7 (28,1,39,7)</w:t>
            </w:r>
          </w:p>
        </w:tc>
        <w:tc>
          <w:tcPr>
            <w:tcW w:w="3167" w:type="dxa"/>
          </w:tcPr>
          <w:p w14:paraId="2089041F" w14:textId="78ADED33" w:rsidR="00C838E4" w:rsidRPr="0022136D" w:rsidRDefault="00C838E4" w:rsidP="00C838E4">
            <w:r w:rsidRPr="0022136D">
              <w:rPr>
                <w:szCs w:val="20"/>
              </w:rPr>
              <w:t>17,4(11,5,24,8)</w:t>
            </w:r>
          </w:p>
        </w:tc>
      </w:tr>
      <w:tr w:rsidR="00C838E4" w14:paraId="737F7446" w14:textId="77777777" w:rsidTr="00C838E4">
        <w:tc>
          <w:tcPr>
            <w:tcW w:w="3166" w:type="dxa"/>
          </w:tcPr>
          <w:p w14:paraId="346730D0" w14:textId="4371C7D8" w:rsidR="00C838E4" w:rsidRPr="0022136D" w:rsidRDefault="00C838E4" w:rsidP="00C838E4">
            <w:r w:rsidRPr="0022136D">
              <w:rPr>
                <w:szCs w:val="20"/>
              </w:rPr>
              <w:t>СКП [% (95% ДИ)]</w:t>
            </w:r>
          </w:p>
        </w:tc>
        <w:tc>
          <w:tcPr>
            <w:tcW w:w="3167" w:type="dxa"/>
          </w:tcPr>
          <w:p w14:paraId="75C87925" w14:textId="7F0C8F4B" w:rsidR="00C838E4" w:rsidRPr="0022136D" w:rsidRDefault="00C838E4" w:rsidP="00C838E4">
            <w:r w:rsidRPr="0022136D">
              <w:rPr>
                <w:szCs w:val="20"/>
              </w:rPr>
              <w:t>68,0 (62,8, 72,9)</w:t>
            </w:r>
          </w:p>
        </w:tc>
        <w:tc>
          <w:tcPr>
            <w:tcW w:w="3167" w:type="dxa"/>
          </w:tcPr>
          <w:p w14:paraId="26DC7BA0" w14:textId="1FE22AAE" w:rsidR="00C838E4" w:rsidRPr="0022136D" w:rsidRDefault="00C838E4" w:rsidP="00C838E4">
            <w:r w:rsidRPr="0022136D">
              <w:rPr>
                <w:szCs w:val="20"/>
              </w:rPr>
              <w:t>39,7 (32,3,47,3)</w:t>
            </w:r>
          </w:p>
        </w:tc>
      </w:tr>
      <w:tr w:rsidR="00C838E4" w14:paraId="04EA6AAF" w14:textId="77777777" w:rsidTr="00C838E4">
        <w:tc>
          <w:tcPr>
            <w:tcW w:w="3166" w:type="dxa"/>
          </w:tcPr>
          <w:p w14:paraId="7B9CA8BF" w14:textId="77EFE8E4" w:rsidR="00C838E4" w:rsidRPr="0022136D" w:rsidRDefault="00C838E4" w:rsidP="00C838E4">
            <w:r w:rsidRPr="0022136D">
              <w:rPr>
                <w:b/>
                <w:bCs/>
                <w:szCs w:val="20"/>
              </w:rPr>
              <w:t>Крайна обща преживяемост (ОП) (13 април 2018-крайна дата за данните)</w:t>
            </w:r>
          </w:p>
        </w:tc>
        <w:tc>
          <w:tcPr>
            <w:tcW w:w="3167" w:type="dxa"/>
          </w:tcPr>
          <w:p w14:paraId="4402A963" w14:textId="77777777" w:rsidR="00C838E4" w:rsidRPr="0022136D" w:rsidRDefault="00C838E4" w:rsidP="00C838E4"/>
        </w:tc>
        <w:tc>
          <w:tcPr>
            <w:tcW w:w="3167" w:type="dxa"/>
          </w:tcPr>
          <w:p w14:paraId="35291A80" w14:textId="77777777" w:rsidR="00C838E4" w:rsidRPr="0022136D" w:rsidRDefault="00C838E4" w:rsidP="00C838E4"/>
        </w:tc>
      </w:tr>
      <w:tr w:rsidR="00C838E4" w14:paraId="300B5C9B" w14:textId="77777777" w:rsidTr="0048351B">
        <w:tc>
          <w:tcPr>
            <w:tcW w:w="3166" w:type="dxa"/>
            <w:vAlign w:val="bottom"/>
          </w:tcPr>
          <w:p w14:paraId="300B684F" w14:textId="49C67A13" w:rsidR="00C838E4" w:rsidRPr="0022136D" w:rsidRDefault="00C838E4" w:rsidP="00C838E4">
            <w:r w:rsidRPr="0022136D">
              <w:rPr>
                <w:szCs w:val="20"/>
              </w:rPr>
              <w:t>Брой събития (%)</w:t>
            </w:r>
          </w:p>
        </w:tc>
        <w:tc>
          <w:tcPr>
            <w:tcW w:w="3167" w:type="dxa"/>
            <w:vAlign w:val="bottom"/>
          </w:tcPr>
          <w:p w14:paraId="40AD6309" w14:textId="5E45FF7F" w:rsidR="00C838E4" w:rsidRPr="0022136D" w:rsidRDefault="00C838E4" w:rsidP="00C838E4">
            <w:r w:rsidRPr="0022136D">
              <w:rPr>
                <w:szCs w:val="20"/>
              </w:rPr>
              <w:t>201 (57,9)</w:t>
            </w:r>
          </w:p>
        </w:tc>
        <w:tc>
          <w:tcPr>
            <w:tcW w:w="3167" w:type="dxa"/>
            <w:vAlign w:val="bottom"/>
          </w:tcPr>
          <w:p w14:paraId="56BD1CEC" w14:textId="3E6787C0" w:rsidR="00C838E4" w:rsidRPr="0022136D" w:rsidRDefault="00C838E4" w:rsidP="00C838E4">
            <w:r w:rsidRPr="0022136D">
              <w:rPr>
                <w:szCs w:val="20"/>
              </w:rPr>
              <w:t>109(62,6)</w:t>
            </w:r>
          </w:p>
        </w:tc>
      </w:tr>
      <w:tr w:rsidR="00C838E4" w14:paraId="0A228166" w14:textId="77777777" w:rsidTr="0048351B">
        <w:tc>
          <w:tcPr>
            <w:tcW w:w="3166" w:type="dxa"/>
            <w:vAlign w:val="bottom"/>
          </w:tcPr>
          <w:p w14:paraId="3EEC7C1A" w14:textId="24CF97B6" w:rsidR="00C838E4" w:rsidRPr="0022136D" w:rsidRDefault="00C838E4" w:rsidP="00C838E4">
            <w:r w:rsidRPr="0022136D">
              <w:rPr>
                <w:szCs w:val="20"/>
              </w:rPr>
              <w:t>Медиана (месеци (95% ДИ)</w:t>
            </w:r>
          </w:p>
        </w:tc>
        <w:tc>
          <w:tcPr>
            <w:tcW w:w="3167" w:type="dxa"/>
            <w:vAlign w:val="bottom"/>
          </w:tcPr>
          <w:p w14:paraId="1161CA77" w14:textId="4AFBD51E" w:rsidR="00C838E4" w:rsidRPr="0022136D" w:rsidRDefault="00C838E4" w:rsidP="00C838E4">
            <w:r w:rsidRPr="0022136D">
              <w:rPr>
                <w:szCs w:val="20"/>
              </w:rPr>
              <w:t>34,9 (28,8,40,0)</w:t>
            </w:r>
          </w:p>
        </w:tc>
        <w:tc>
          <w:tcPr>
            <w:tcW w:w="3167" w:type="dxa"/>
            <w:vAlign w:val="bottom"/>
          </w:tcPr>
          <w:p w14:paraId="6FA0E29D" w14:textId="3A2BBBFC" w:rsidR="00C838E4" w:rsidRPr="0022136D" w:rsidRDefault="00C838E4" w:rsidP="00C838E4">
            <w:r w:rsidRPr="0022136D">
              <w:rPr>
                <w:szCs w:val="20"/>
              </w:rPr>
              <w:t>28,0(23,6,34,6)</w:t>
            </w:r>
          </w:p>
        </w:tc>
      </w:tr>
      <w:tr w:rsidR="00C838E4" w14:paraId="592C9114" w14:textId="77777777" w:rsidTr="0048351B">
        <w:tc>
          <w:tcPr>
            <w:tcW w:w="3166" w:type="dxa"/>
          </w:tcPr>
          <w:p w14:paraId="68CAC9F1" w14:textId="7CF475DA" w:rsidR="00C838E4" w:rsidRPr="0022136D" w:rsidRDefault="00C838E4" w:rsidP="0091385D">
            <w:r w:rsidRPr="0022136D">
              <w:rPr>
                <w:szCs w:val="20"/>
              </w:rPr>
              <w:t>Коефициент на риск (95% ДИ) и р-стойност*</w:t>
            </w:r>
          </w:p>
        </w:tc>
        <w:tc>
          <w:tcPr>
            <w:tcW w:w="6334" w:type="dxa"/>
            <w:gridSpan w:val="2"/>
          </w:tcPr>
          <w:p w14:paraId="76C26B23" w14:textId="1B950305" w:rsidR="00C838E4" w:rsidRPr="0022136D" w:rsidRDefault="00C838E4" w:rsidP="00C838E4">
            <w:pPr>
              <w:jc w:val="center"/>
              <w:rPr>
                <w:szCs w:val="20"/>
              </w:rPr>
            </w:pPr>
            <w:r w:rsidRPr="0022136D">
              <w:rPr>
                <w:szCs w:val="20"/>
              </w:rPr>
              <w:t>0,814 (0,644,1.029)</w:t>
            </w:r>
          </w:p>
          <w:p w14:paraId="3AF4B766" w14:textId="57EB3E50" w:rsidR="00C838E4" w:rsidRPr="0022136D" w:rsidRDefault="00C838E4" w:rsidP="00C838E4">
            <w:pPr>
              <w:jc w:val="center"/>
            </w:pPr>
            <w:r w:rsidRPr="0022136D">
              <w:rPr>
                <w:szCs w:val="20"/>
              </w:rPr>
              <w:t>р=0,0429*</w:t>
            </w:r>
          </w:p>
        </w:tc>
      </w:tr>
    </w:tbl>
    <w:p w14:paraId="1B6CF45C" w14:textId="77777777" w:rsidR="0022136D" w:rsidRPr="0022136D" w:rsidRDefault="0022136D" w:rsidP="0022136D">
      <w:pPr>
        <w:spacing w:line="240" w:lineRule="auto"/>
        <w:rPr>
          <w:rFonts w:eastAsia="Times New Roman" w:cs="Arial"/>
          <w:sz w:val="28"/>
          <w:szCs w:val="24"/>
          <w:lang w:eastAsia="bg-BG"/>
        </w:rPr>
      </w:pPr>
      <w:r w:rsidRPr="0022136D">
        <w:rPr>
          <w:rFonts w:eastAsia="Times New Roman" w:cs="Arial"/>
          <w:color w:val="000000"/>
          <w:szCs w:val="20"/>
          <w:lang w:eastAsia="bg-BG"/>
        </w:rPr>
        <w:t>СКП- степен на клинична полза; ДИ=доверителен интервал; Изброй пациенти; ОО=обективен отговор; Резултатите от вторичните крайни точки се основават на потвърдени и непотвърдени отговори съгласно</w:t>
      </w:r>
    </w:p>
    <w:p w14:paraId="3DE73E6B" w14:textId="77777777" w:rsidR="0022136D" w:rsidRPr="0022136D" w:rsidRDefault="0022136D" w:rsidP="0022136D">
      <w:pPr>
        <w:spacing w:line="240" w:lineRule="auto"/>
        <w:rPr>
          <w:rFonts w:eastAsia="Times New Roman" w:cs="Arial"/>
          <w:sz w:val="28"/>
          <w:szCs w:val="24"/>
          <w:lang w:eastAsia="bg-BG"/>
        </w:rPr>
      </w:pPr>
      <w:r w:rsidRPr="0022136D">
        <w:rPr>
          <w:rFonts w:eastAsia="Times New Roman" w:cs="Arial"/>
          <w:color w:val="000000"/>
          <w:szCs w:val="20"/>
          <w:lang w:val="en-US"/>
        </w:rPr>
        <w:t>RECIST1.1.</w:t>
      </w:r>
    </w:p>
    <w:p w14:paraId="6B527645" w14:textId="77777777" w:rsidR="0022136D" w:rsidRPr="0022136D" w:rsidRDefault="0022136D" w:rsidP="0022136D">
      <w:pPr>
        <w:spacing w:line="240" w:lineRule="auto"/>
        <w:rPr>
          <w:rFonts w:eastAsia="Times New Roman" w:cs="Arial"/>
          <w:sz w:val="28"/>
          <w:szCs w:val="24"/>
          <w:lang w:eastAsia="bg-BG"/>
        </w:rPr>
      </w:pPr>
      <w:r w:rsidRPr="0022136D">
        <w:rPr>
          <w:rFonts w:eastAsia="Times New Roman" w:cs="Arial"/>
          <w:color w:val="000000"/>
          <w:szCs w:val="20"/>
          <w:lang w:eastAsia="bg-BG"/>
        </w:rPr>
        <w:t>* Не е статистически значимо</w:t>
      </w:r>
    </w:p>
    <w:p w14:paraId="3AAF6CBF" w14:textId="55902861" w:rsidR="0022136D" w:rsidRPr="0022136D" w:rsidRDefault="0022136D" w:rsidP="0022136D">
      <w:pPr>
        <w:rPr>
          <w:rFonts w:cs="Arial"/>
          <w:sz w:val="24"/>
        </w:rPr>
      </w:pPr>
      <w:r w:rsidRPr="0022136D">
        <w:rPr>
          <w:rFonts w:eastAsia="Times New Roman" w:cs="Arial"/>
          <w:color w:val="000000"/>
          <w:szCs w:val="20"/>
          <w:lang w:val="en-US"/>
        </w:rPr>
        <w:t>t</w:t>
      </w:r>
      <w:r w:rsidRPr="00114D09">
        <w:rPr>
          <w:rFonts w:eastAsia="Times New Roman" w:cs="Arial"/>
          <w:color w:val="000000"/>
          <w:szCs w:val="20"/>
          <w:lang w:val="ru-RU"/>
        </w:rPr>
        <w:t xml:space="preserve"> </w:t>
      </w:r>
      <w:r w:rsidRPr="0022136D">
        <w:rPr>
          <w:rFonts w:eastAsia="Times New Roman" w:cs="Arial"/>
          <w:color w:val="000000"/>
          <w:szCs w:val="20"/>
          <w:lang w:eastAsia="bg-BG"/>
        </w:rPr>
        <w:t xml:space="preserve">Едностранна р стойност от </w:t>
      </w:r>
      <w:r w:rsidRPr="0022136D">
        <w:rPr>
          <w:rFonts w:eastAsia="Times New Roman" w:cs="Arial"/>
          <w:color w:val="000000"/>
          <w:szCs w:val="20"/>
          <w:lang w:val="en-US"/>
        </w:rPr>
        <w:t>log</w:t>
      </w:r>
      <w:r w:rsidRPr="00114D09">
        <w:rPr>
          <w:rFonts w:eastAsia="Times New Roman" w:cs="Arial"/>
          <w:color w:val="000000"/>
          <w:szCs w:val="20"/>
          <w:lang w:val="ru-RU"/>
        </w:rPr>
        <w:t>-</w:t>
      </w:r>
      <w:r w:rsidRPr="0022136D">
        <w:rPr>
          <w:rFonts w:eastAsia="Times New Roman" w:cs="Arial"/>
          <w:color w:val="000000"/>
          <w:szCs w:val="20"/>
          <w:lang w:val="en-US"/>
        </w:rPr>
        <w:t>rank</w:t>
      </w:r>
      <w:r w:rsidRPr="00114D09">
        <w:rPr>
          <w:rFonts w:eastAsia="Times New Roman" w:cs="Arial"/>
          <w:color w:val="000000"/>
          <w:szCs w:val="20"/>
          <w:lang w:val="ru-RU"/>
        </w:rPr>
        <w:t xml:space="preserve"> </w:t>
      </w:r>
      <w:r w:rsidRPr="0022136D">
        <w:rPr>
          <w:rFonts w:eastAsia="Times New Roman" w:cs="Arial"/>
          <w:color w:val="000000"/>
          <w:szCs w:val="20"/>
          <w:lang w:eastAsia="bg-BG"/>
        </w:rPr>
        <w:t xml:space="preserve">теста, стратифициран от наличието на </w:t>
      </w:r>
      <w:proofErr w:type="spellStart"/>
      <w:r w:rsidRPr="0022136D">
        <w:rPr>
          <w:rFonts w:eastAsia="Times New Roman" w:cs="Arial"/>
          <w:color w:val="000000"/>
          <w:szCs w:val="20"/>
          <w:lang w:eastAsia="bg-BG"/>
        </w:rPr>
        <w:t>висцерални</w:t>
      </w:r>
      <w:proofErr w:type="spellEnd"/>
      <w:r w:rsidRPr="0022136D">
        <w:rPr>
          <w:rFonts w:eastAsia="Times New Roman" w:cs="Arial"/>
          <w:color w:val="000000"/>
          <w:szCs w:val="20"/>
          <w:lang w:eastAsia="bg-BG"/>
        </w:rPr>
        <w:t xml:space="preserve"> метастази и чувствителност към предходна ендокринна терапия при </w:t>
      </w:r>
      <w:proofErr w:type="spellStart"/>
      <w:r w:rsidRPr="0022136D">
        <w:rPr>
          <w:rFonts w:eastAsia="Times New Roman" w:cs="Arial"/>
          <w:color w:val="000000"/>
          <w:szCs w:val="20"/>
          <w:lang w:eastAsia="bg-BG"/>
        </w:rPr>
        <w:t>рандомизация</w:t>
      </w:r>
      <w:proofErr w:type="spellEnd"/>
      <w:r w:rsidRPr="0022136D">
        <w:rPr>
          <w:rFonts w:eastAsia="Times New Roman" w:cs="Arial"/>
          <w:color w:val="000000"/>
          <w:szCs w:val="20"/>
          <w:lang w:eastAsia="bg-BG"/>
        </w:rPr>
        <w:t>.</w:t>
      </w:r>
    </w:p>
    <w:p w14:paraId="02035AEB" w14:textId="067BB4F7" w:rsidR="00C838E4" w:rsidRDefault="00C838E4" w:rsidP="0091385D"/>
    <w:p w14:paraId="52DA2BD7" w14:textId="3DF19BE3" w:rsidR="0022136D" w:rsidRDefault="0022136D" w:rsidP="0091385D">
      <w:r>
        <w:rPr>
          <w:noProof/>
          <w:lang w:eastAsia="bg-BG"/>
        </w:rPr>
        <w:drawing>
          <wp:inline distT="0" distB="0" distL="0" distR="0" wp14:anchorId="78F6164C" wp14:editId="2351B8C2">
            <wp:extent cx="4801270" cy="5620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нимка3.png"/>
                    <pic:cNvPicPr/>
                  </pic:nvPicPr>
                  <pic:blipFill>
                    <a:blip r:embed="rId10">
                      <a:extLst>
                        <a:ext uri="{28A0092B-C50C-407E-A947-70E740481C1C}">
                          <a14:useLocalDpi xmlns:a14="http://schemas.microsoft.com/office/drawing/2010/main" val="0"/>
                        </a:ext>
                      </a:extLst>
                    </a:blip>
                    <a:stretch>
                      <a:fillRect/>
                    </a:stretch>
                  </pic:blipFill>
                  <pic:spPr>
                    <a:xfrm>
                      <a:off x="0" y="0"/>
                      <a:ext cx="4801270" cy="562053"/>
                    </a:xfrm>
                    <a:prstGeom prst="rect">
                      <a:avLst/>
                    </a:prstGeom>
                  </pic:spPr>
                </pic:pic>
              </a:graphicData>
            </a:graphic>
          </wp:inline>
        </w:drawing>
      </w:r>
    </w:p>
    <w:p w14:paraId="5FC4DE36" w14:textId="059DABD3" w:rsidR="0022136D" w:rsidRDefault="0022136D" w:rsidP="0091385D">
      <w:r>
        <w:rPr>
          <w:noProof/>
          <w:lang w:eastAsia="bg-BG"/>
        </w:rPr>
        <w:lastRenderedPageBreak/>
        <w:drawing>
          <wp:inline distT="0" distB="0" distL="0" distR="0" wp14:anchorId="27B6DA65" wp14:editId="6CD2A49F">
            <wp:extent cx="3781953" cy="23339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нимка4.png"/>
                    <pic:cNvPicPr/>
                  </pic:nvPicPr>
                  <pic:blipFill>
                    <a:blip r:embed="rId11">
                      <a:extLst>
                        <a:ext uri="{28A0092B-C50C-407E-A947-70E740481C1C}">
                          <a14:useLocalDpi xmlns:a14="http://schemas.microsoft.com/office/drawing/2010/main" val="0"/>
                        </a:ext>
                      </a:extLst>
                    </a:blip>
                    <a:stretch>
                      <a:fillRect/>
                    </a:stretch>
                  </pic:blipFill>
                  <pic:spPr>
                    <a:xfrm>
                      <a:off x="0" y="0"/>
                      <a:ext cx="3781953" cy="2333951"/>
                    </a:xfrm>
                    <a:prstGeom prst="rect">
                      <a:avLst/>
                    </a:prstGeom>
                  </pic:spPr>
                </pic:pic>
              </a:graphicData>
            </a:graphic>
          </wp:inline>
        </w:drawing>
      </w:r>
    </w:p>
    <w:p w14:paraId="0CD56A50" w14:textId="77777777" w:rsidR="0022136D" w:rsidRDefault="0022136D" w:rsidP="0091385D"/>
    <w:p w14:paraId="09ADD0FD" w14:textId="270E3DD7" w:rsidR="0022136D" w:rsidRDefault="0022136D" w:rsidP="0091385D">
      <w:r>
        <w:rPr>
          <w:noProof/>
          <w:lang w:eastAsia="bg-BG"/>
        </w:rPr>
        <w:drawing>
          <wp:inline distT="0" distB="0" distL="0" distR="0" wp14:anchorId="686732A0" wp14:editId="696C9504">
            <wp:extent cx="4239217" cy="10097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снимка5.png"/>
                    <pic:cNvPicPr/>
                  </pic:nvPicPr>
                  <pic:blipFill>
                    <a:blip r:embed="rId12">
                      <a:extLst>
                        <a:ext uri="{28A0092B-C50C-407E-A947-70E740481C1C}">
                          <a14:useLocalDpi xmlns:a14="http://schemas.microsoft.com/office/drawing/2010/main" val="0"/>
                        </a:ext>
                      </a:extLst>
                    </a:blip>
                    <a:stretch>
                      <a:fillRect/>
                    </a:stretch>
                  </pic:blipFill>
                  <pic:spPr>
                    <a:xfrm>
                      <a:off x="0" y="0"/>
                      <a:ext cx="4239217" cy="1009791"/>
                    </a:xfrm>
                    <a:prstGeom prst="rect">
                      <a:avLst/>
                    </a:prstGeom>
                  </pic:spPr>
                </pic:pic>
              </a:graphicData>
            </a:graphic>
          </wp:inline>
        </w:drawing>
      </w:r>
    </w:p>
    <w:p w14:paraId="029E1EBC" w14:textId="77777777" w:rsidR="00414EE9" w:rsidRDefault="00414EE9" w:rsidP="0091385D"/>
    <w:p w14:paraId="3E9AA911" w14:textId="29321D63" w:rsidR="0022136D" w:rsidRDefault="0022136D" w:rsidP="0091385D">
      <w:r>
        <w:t xml:space="preserve">Наблюдаван е намален риск от прогресия на заболяването или смърт в рамото с фулвестрант плюс палбоциклиб във всички отделни подгрупи пациентки, дефинирани по стратификационните фактори и изходните характеристики. Това е видно при жените е </w:t>
      </w:r>
      <w:proofErr w:type="spellStart"/>
      <w:r>
        <w:t>пременопауза</w:t>
      </w:r>
      <w:proofErr w:type="spellEnd"/>
      <w:r>
        <w:t>/</w:t>
      </w:r>
      <w:proofErr w:type="spellStart"/>
      <w:r>
        <w:t>перименопауза</w:t>
      </w:r>
      <w:proofErr w:type="spellEnd"/>
      <w:r>
        <w:t xml:space="preserve"> </w:t>
      </w:r>
      <w:r w:rsidRPr="00114D09">
        <w:rPr>
          <w:lang w:val="ru-RU"/>
        </w:rPr>
        <w:t>(</w:t>
      </w:r>
      <w:r>
        <w:rPr>
          <w:lang w:val="en-US"/>
        </w:rPr>
        <w:t>HR</w:t>
      </w:r>
      <w:r w:rsidRPr="00114D09">
        <w:rPr>
          <w:lang w:val="ru-RU"/>
        </w:rPr>
        <w:t xml:space="preserve"> </w:t>
      </w:r>
      <w:r>
        <w:t xml:space="preserve">0,46 [95% ДИ: 0,28 - 0,75]) и </w:t>
      </w:r>
      <w:proofErr w:type="spellStart"/>
      <w:r>
        <w:t>постменопаузалните</w:t>
      </w:r>
      <w:proofErr w:type="spellEnd"/>
      <w:r>
        <w:t xml:space="preserve"> жени </w:t>
      </w:r>
      <w:r w:rsidRPr="00114D09">
        <w:rPr>
          <w:lang w:val="ru-RU"/>
        </w:rPr>
        <w:t>(</w:t>
      </w:r>
      <w:r>
        <w:rPr>
          <w:lang w:val="en-US"/>
        </w:rPr>
        <w:t>HR</w:t>
      </w:r>
      <w:r w:rsidRPr="00114D09">
        <w:rPr>
          <w:lang w:val="ru-RU"/>
        </w:rPr>
        <w:t xml:space="preserve"> </w:t>
      </w:r>
      <w:r>
        <w:t xml:space="preserve">0,52 [95% ДИ: 0,40 - 0,66]) и пациентките с </w:t>
      </w:r>
      <w:proofErr w:type="spellStart"/>
      <w:r>
        <w:t>висцерални</w:t>
      </w:r>
      <w:proofErr w:type="spellEnd"/>
      <w:r>
        <w:t xml:space="preserve"> метастази </w:t>
      </w:r>
      <w:r w:rsidRPr="00114D09">
        <w:rPr>
          <w:lang w:val="ru-RU"/>
        </w:rPr>
        <w:t>(</w:t>
      </w:r>
      <w:r>
        <w:rPr>
          <w:lang w:val="en-US"/>
        </w:rPr>
        <w:t>HR</w:t>
      </w:r>
      <w:r w:rsidRPr="00114D09">
        <w:rPr>
          <w:lang w:val="ru-RU"/>
        </w:rPr>
        <w:t xml:space="preserve"> </w:t>
      </w:r>
      <w:r>
        <w:t xml:space="preserve">0,50 [95% ДИ: 0,38 - 0,65]) и </w:t>
      </w:r>
      <w:proofErr w:type="spellStart"/>
      <w:r>
        <w:t>невисцерални</w:t>
      </w:r>
      <w:proofErr w:type="spellEnd"/>
      <w:r>
        <w:t xml:space="preserve"> метастази </w:t>
      </w:r>
      <w:r w:rsidRPr="00114D09">
        <w:rPr>
          <w:lang w:val="ru-RU"/>
        </w:rPr>
        <w:t>(</w:t>
      </w:r>
      <w:r>
        <w:rPr>
          <w:lang w:val="en-US"/>
        </w:rPr>
        <w:t>HR</w:t>
      </w:r>
      <w:r w:rsidRPr="00114D09">
        <w:rPr>
          <w:lang w:val="ru-RU"/>
        </w:rPr>
        <w:t xml:space="preserve"> </w:t>
      </w:r>
      <w:r>
        <w:t xml:space="preserve">0,48 [95% ДИ: 0,33 - 0,71]). Полза също е установена независимо от линиите на предходна терапия в случай на метастази, независимо дали 0 </w:t>
      </w:r>
      <w:r w:rsidRPr="00114D09">
        <w:rPr>
          <w:lang w:val="ru-RU"/>
        </w:rPr>
        <w:t>(</w:t>
      </w:r>
      <w:r>
        <w:rPr>
          <w:lang w:val="en-US"/>
        </w:rPr>
        <w:t>HR</w:t>
      </w:r>
      <w:r w:rsidRPr="00114D09">
        <w:rPr>
          <w:lang w:val="ru-RU"/>
        </w:rPr>
        <w:t xml:space="preserve"> </w:t>
      </w:r>
      <w:r>
        <w:t xml:space="preserve">0,59 [95% ДИ: 0,37 - 0,93]), 1 </w:t>
      </w:r>
      <w:r w:rsidRPr="00114D09">
        <w:rPr>
          <w:lang w:val="ru-RU"/>
        </w:rPr>
        <w:t>(</w:t>
      </w:r>
      <w:r>
        <w:rPr>
          <w:lang w:val="en-US"/>
        </w:rPr>
        <w:t>HR</w:t>
      </w:r>
      <w:r w:rsidRPr="00114D09">
        <w:rPr>
          <w:lang w:val="ru-RU"/>
        </w:rPr>
        <w:t xml:space="preserve"> </w:t>
      </w:r>
      <w:r>
        <w:t xml:space="preserve">0,46 [95% ДИ: 0,32 - 0,64]), 2 </w:t>
      </w:r>
      <w:r w:rsidRPr="00114D09">
        <w:rPr>
          <w:lang w:val="ru-RU"/>
        </w:rPr>
        <w:t>(</w:t>
      </w:r>
      <w:r>
        <w:rPr>
          <w:lang w:val="en-US"/>
        </w:rPr>
        <w:t>HR</w:t>
      </w:r>
      <w:r w:rsidRPr="00114D09">
        <w:rPr>
          <w:lang w:val="ru-RU"/>
        </w:rPr>
        <w:t xml:space="preserve"> </w:t>
      </w:r>
      <w:r>
        <w:t xml:space="preserve">0,48 [95% ДИ: 0,30 - 0,76]) или ≥ 3 линии </w:t>
      </w:r>
      <w:r w:rsidRPr="00114D09">
        <w:rPr>
          <w:lang w:val="ru-RU"/>
        </w:rPr>
        <w:t>(</w:t>
      </w:r>
      <w:r>
        <w:rPr>
          <w:lang w:val="en-US"/>
        </w:rPr>
        <w:t>HR</w:t>
      </w:r>
      <w:r w:rsidRPr="00114D09">
        <w:rPr>
          <w:lang w:val="ru-RU"/>
        </w:rPr>
        <w:t xml:space="preserve"> </w:t>
      </w:r>
      <w:r>
        <w:t>0,59 [95% ДИ: 0,28 - 1,22]).</w:t>
      </w:r>
    </w:p>
    <w:p w14:paraId="09E4797A" w14:textId="1D14FE83" w:rsidR="0022136D" w:rsidRDefault="0022136D" w:rsidP="0091385D"/>
    <w:p w14:paraId="49749C1D" w14:textId="2766A4B1" w:rsidR="0022136D" w:rsidRDefault="0022136D" w:rsidP="0091385D">
      <w:r>
        <w:rPr>
          <w:noProof/>
          <w:lang w:eastAsia="bg-BG"/>
        </w:rPr>
        <w:lastRenderedPageBreak/>
        <w:drawing>
          <wp:inline distT="0" distB="0" distL="0" distR="0" wp14:anchorId="27C8EDC6" wp14:editId="2C55A86F">
            <wp:extent cx="4706007" cy="288647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снимка6.png"/>
                    <pic:cNvPicPr/>
                  </pic:nvPicPr>
                  <pic:blipFill>
                    <a:blip r:embed="rId13">
                      <a:extLst>
                        <a:ext uri="{28A0092B-C50C-407E-A947-70E740481C1C}">
                          <a14:useLocalDpi xmlns:a14="http://schemas.microsoft.com/office/drawing/2010/main" val="0"/>
                        </a:ext>
                      </a:extLst>
                    </a:blip>
                    <a:stretch>
                      <a:fillRect/>
                    </a:stretch>
                  </pic:blipFill>
                  <pic:spPr>
                    <a:xfrm>
                      <a:off x="0" y="0"/>
                      <a:ext cx="4706007" cy="2886478"/>
                    </a:xfrm>
                    <a:prstGeom prst="rect">
                      <a:avLst/>
                    </a:prstGeom>
                  </pic:spPr>
                </pic:pic>
              </a:graphicData>
            </a:graphic>
          </wp:inline>
        </w:drawing>
      </w:r>
    </w:p>
    <w:p w14:paraId="63AAF800" w14:textId="6D2B7F11" w:rsidR="0022136D" w:rsidRDefault="0022136D" w:rsidP="0091385D"/>
    <w:p w14:paraId="75E1782E" w14:textId="77777777"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val="en-US"/>
        </w:rPr>
        <w:t>FUL</w:t>
      </w:r>
      <w:r w:rsidRPr="00114D09">
        <w:rPr>
          <w:rFonts w:eastAsia="Times New Roman" w:cs="Arial"/>
          <w:color w:val="000000"/>
          <w:lang w:val="ru-RU"/>
        </w:rPr>
        <w:t xml:space="preserve">= </w:t>
      </w:r>
      <w:proofErr w:type="spellStart"/>
      <w:r w:rsidRPr="0022136D">
        <w:rPr>
          <w:rFonts w:eastAsia="Times New Roman" w:cs="Arial"/>
          <w:color w:val="000000"/>
          <w:lang w:eastAsia="bg-BG"/>
        </w:rPr>
        <w:t>фулвестрант</w:t>
      </w:r>
      <w:proofErr w:type="spellEnd"/>
      <w:r w:rsidRPr="0022136D">
        <w:rPr>
          <w:rFonts w:eastAsia="Times New Roman" w:cs="Arial"/>
          <w:color w:val="000000"/>
          <w:lang w:eastAsia="bg-BG"/>
        </w:rPr>
        <w:t>; РАЕ=</w:t>
      </w:r>
      <w:proofErr w:type="spellStart"/>
      <w:r w:rsidRPr="0022136D">
        <w:rPr>
          <w:rFonts w:eastAsia="Times New Roman" w:cs="Arial"/>
          <w:color w:val="000000"/>
          <w:lang w:eastAsia="bg-BG"/>
        </w:rPr>
        <w:t>палбоциклиб</w:t>
      </w:r>
      <w:proofErr w:type="spellEnd"/>
      <w:r w:rsidRPr="0022136D">
        <w:rPr>
          <w:rFonts w:eastAsia="Times New Roman" w:cs="Arial"/>
          <w:color w:val="000000"/>
          <w:lang w:eastAsia="bg-BG"/>
        </w:rPr>
        <w:t>; РСВ=плацебо</w:t>
      </w:r>
    </w:p>
    <w:p w14:paraId="446230F2" w14:textId="77777777" w:rsidR="0022136D" w:rsidRPr="0022136D" w:rsidRDefault="0022136D" w:rsidP="0022136D">
      <w:pPr>
        <w:spacing w:line="240" w:lineRule="auto"/>
        <w:rPr>
          <w:rFonts w:eastAsia="Times New Roman" w:cs="Arial"/>
          <w:color w:val="000000"/>
          <w:lang w:eastAsia="bg-BG"/>
        </w:rPr>
      </w:pPr>
    </w:p>
    <w:p w14:paraId="65CC72CC" w14:textId="590F8B5C"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Допълнителни мерки за ефикасност (00 и ВПТО), оценени при подгрупите пациенти със или без висцерално заболяване, са показани в Таблица 6.</w:t>
      </w:r>
    </w:p>
    <w:p w14:paraId="4712FD0D" w14:textId="77777777" w:rsidR="0022136D" w:rsidRPr="0022136D" w:rsidRDefault="0022136D" w:rsidP="0022136D">
      <w:pPr>
        <w:rPr>
          <w:rFonts w:eastAsia="Times New Roman" w:cs="Arial"/>
          <w:b/>
          <w:bCs/>
          <w:color w:val="000000"/>
          <w:lang w:eastAsia="bg-BG"/>
        </w:rPr>
      </w:pPr>
    </w:p>
    <w:p w14:paraId="38B699B9" w14:textId="05FC9CAB" w:rsidR="0022136D" w:rsidRPr="0022136D" w:rsidRDefault="0022136D" w:rsidP="0022136D">
      <w:pPr>
        <w:rPr>
          <w:rFonts w:cs="Arial"/>
        </w:rPr>
      </w:pPr>
      <w:r w:rsidRPr="0022136D">
        <w:rPr>
          <w:rFonts w:eastAsia="Times New Roman" w:cs="Arial"/>
          <w:b/>
          <w:bCs/>
          <w:color w:val="000000"/>
          <w:lang w:eastAsia="bg-BG"/>
        </w:rPr>
        <w:t xml:space="preserve">Таблица 6 Резултати за ефикасност при </w:t>
      </w:r>
      <w:proofErr w:type="spellStart"/>
      <w:r w:rsidRPr="0022136D">
        <w:rPr>
          <w:rFonts w:eastAsia="Times New Roman" w:cs="Arial"/>
          <w:b/>
          <w:bCs/>
          <w:color w:val="000000"/>
          <w:lang w:eastAsia="bg-BG"/>
        </w:rPr>
        <w:t>висцерално</w:t>
      </w:r>
      <w:proofErr w:type="spellEnd"/>
      <w:r w:rsidRPr="0022136D">
        <w:rPr>
          <w:rFonts w:eastAsia="Times New Roman" w:cs="Arial"/>
          <w:b/>
          <w:bCs/>
          <w:color w:val="000000"/>
          <w:lang w:eastAsia="bg-BG"/>
        </w:rPr>
        <w:t xml:space="preserve"> и </w:t>
      </w:r>
      <w:proofErr w:type="spellStart"/>
      <w:r w:rsidRPr="0022136D">
        <w:rPr>
          <w:rFonts w:eastAsia="Times New Roman" w:cs="Arial"/>
          <w:b/>
          <w:bCs/>
          <w:color w:val="000000"/>
          <w:lang w:eastAsia="bg-BG"/>
        </w:rPr>
        <w:t>невнсцерално</w:t>
      </w:r>
      <w:proofErr w:type="spellEnd"/>
      <w:r w:rsidRPr="0022136D">
        <w:rPr>
          <w:rFonts w:eastAsia="Times New Roman" w:cs="Arial"/>
          <w:b/>
          <w:bCs/>
          <w:color w:val="000000"/>
          <w:lang w:eastAsia="bg-BG"/>
        </w:rPr>
        <w:t xml:space="preserve"> заболяване от изпитването </w:t>
      </w:r>
      <w:r w:rsidRPr="0022136D">
        <w:rPr>
          <w:rFonts w:eastAsia="Times New Roman" w:cs="Arial"/>
          <w:b/>
          <w:bCs/>
          <w:color w:val="000000"/>
          <w:lang w:val="en-US"/>
        </w:rPr>
        <w:t>PALOMA</w:t>
      </w:r>
      <w:r w:rsidRPr="00114D09">
        <w:rPr>
          <w:rFonts w:eastAsia="Times New Roman" w:cs="Arial"/>
          <w:b/>
          <w:bCs/>
          <w:color w:val="000000"/>
          <w:lang w:val="ru-RU"/>
        </w:rPr>
        <w:t xml:space="preserve">3 </w:t>
      </w:r>
      <w:r w:rsidRPr="0022136D">
        <w:rPr>
          <w:rFonts w:eastAsia="Times New Roman" w:cs="Arial"/>
          <w:b/>
          <w:bCs/>
          <w:color w:val="000000"/>
          <w:lang w:eastAsia="bg-BG"/>
        </w:rPr>
        <w:t>(всички рандомизирани пациентки)</w:t>
      </w:r>
    </w:p>
    <w:p w14:paraId="7DA6125F" w14:textId="3E82A6A7" w:rsidR="0022136D" w:rsidRDefault="0022136D" w:rsidP="0091385D"/>
    <w:tbl>
      <w:tblPr>
        <w:tblStyle w:val="TableGrid"/>
        <w:tblW w:w="0" w:type="auto"/>
        <w:tblLook w:val="04A0" w:firstRow="1" w:lastRow="0" w:firstColumn="1" w:lastColumn="0" w:noHBand="0" w:noVBand="1"/>
      </w:tblPr>
      <w:tblGrid>
        <w:gridCol w:w="1854"/>
        <w:gridCol w:w="1875"/>
        <w:gridCol w:w="1873"/>
        <w:gridCol w:w="1875"/>
        <w:gridCol w:w="1873"/>
      </w:tblGrid>
      <w:tr w:rsidR="0022136D" w:rsidRPr="0022136D" w14:paraId="743ECDA0" w14:textId="77777777" w:rsidTr="0048351B">
        <w:tc>
          <w:tcPr>
            <w:tcW w:w="1900" w:type="dxa"/>
          </w:tcPr>
          <w:p w14:paraId="2388173B" w14:textId="77777777" w:rsidR="0022136D" w:rsidRPr="0022136D" w:rsidRDefault="0022136D" w:rsidP="0022136D">
            <w:pPr>
              <w:rPr>
                <w:rFonts w:cs="Arial"/>
              </w:rPr>
            </w:pPr>
          </w:p>
        </w:tc>
        <w:tc>
          <w:tcPr>
            <w:tcW w:w="3800" w:type="dxa"/>
            <w:gridSpan w:val="2"/>
          </w:tcPr>
          <w:p w14:paraId="2DCF5C3F" w14:textId="265B69CF" w:rsidR="0022136D" w:rsidRPr="0022136D" w:rsidRDefault="0022136D" w:rsidP="0022136D">
            <w:pPr>
              <w:rPr>
                <w:rFonts w:cs="Arial"/>
              </w:rPr>
            </w:pPr>
            <w:r w:rsidRPr="0022136D">
              <w:rPr>
                <w:rFonts w:cs="Arial"/>
                <w:b/>
                <w:bCs/>
              </w:rPr>
              <w:t>Висцерално заболяване</w:t>
            </w:r>
          </w:p>
        </w:tc>
        <w:tc>
          <w:tcPr>
            <w:tcW w:w="3800" w:type="dxa"/>
            <w:gridSpan w:val="2"/>
          </w:tcPr>
          <w:p w14:paraId="72DF1BEA" w14:textId="1BF6E971" w:rsidR="0022136D" w:rsidRPr="0022136D" w:rsidRDefault="0022136D" w:rsidP="0022136D">
            <w:pPr>
              <w:rPr>
                <w:rFonts w:cs="Arial"/>
              </w:rPr>
            </w:pPr>
            <w:r w:rsidRPr="0022136D">
              <w:rPr>
                <w:rFonts w:cs="Arial"/>
                <w:b/>
                <w:bCs/>
              </w:rPr>
              <w:t>Невисцерално заболяване</w:t>
            </w:r>
          </w:p>
        </w:tc>
      </w:tr>
      <w:tr w:rsidR="0022136D" w:rsidRPr="0022136D" w14:paraId="331DC17D" w14:textId="77777777" w:rsidTr="0022136D">
        <w:tc>
          <w:tcPr>
            <w:tcW w:w="1900" w:type="dxa"/>
          </w:tcPr>
          <w:p w14:paraId="28636970" w14:textId="77777777" w:rsidR="0022136D" w:rsidRPr="0022136D" w:rsidRDefault="0022136D" w:rsidP="0022136D">
            <w:pPr>
              <w:rPr>
                <w:rFonts w:cs="Arial"/>
              </w:rPr>
            </w:pPr>
          </w:p>
        </w:tc>
        <w:tc>
          <w:tcPr>
            <w:tcW w:w="1900" w:type="dxa"/>
          </w:tcPr>
          <w:p w14:paraId="08D0C056" w14:textId="7F8EA509" w:rsidR="0022136D" w:rsidRPr="0022136D" w:rsidRDefault="0022136D" w:rsidP="0022136D">
            <w:pPr>
              <w:rPr>
                <w:rFonts w:cs="Arial"/>
              </w:rPr>
            </w:pPr>
            <w:r w:rsidRPr="0022136D">
              <w:rPr>
                <w:rFonts w:cs="Arial"/>
                <w:b/>
                <w:bCs/>
              </w:rPr>
              <w:t xml:space="preserve">Фулвестрант плюс палбоциклиб </w:t>
            </w:r>
            <w:r w:rsidRPr="0022136D">
              <w:rPr>
                <w:rFonts w:cs="Arial"/>
                <w:b/>
                <w:bCs/>
                <w:lang w:val="en-US"/>
              </w:rPr>
              <w:t>(N=206)</w:t>
            </w:r>
          </w:p>
        </w:tc>
        <w:tc>
          <w:tcPr>
            <w:tcW w:w="1900" w:type="dxa"/>
          </w:tcPr>
          <w:p w14:paraId="4B6F6421" w14:textId="1E5E43E1" w:rsidR="0022136D" w:rsidRPr="0022136D" w:rsidRDefault="0022136D" w:rsidP="0022136D">
            <w:pPr>
              <w:rPr>
                <w:rFonts w:cs="Arial"/>
              </w:rPr>
            </w:pPr>
            <w:r w:rsidRPr="0022136D">
              <w:rPr>
                <w:rFonts w:cs="Arial"/>
                <w:b/>
                <w:bCs/>
              </w:rPr>
              <w:t xml:space="preserve">Фулвестрант плюс плацебо </w:t>
            </w:r>
            <w:r w:rsidRPr="0022136D">
              <w:rPr>
                <w:rFonts w:cs="Arial"/>
                <w:b/>
                <w:bCs/>
                <w:lang w:val="en-US"/>
              </w:rPr>
              <w:t>(N=105)</w:t>
            </w:r>
          </w:p>
        </w:tc>
        <w:tc>
          <w:tcPr>
            <w:tcW w:w="1900" w:type="dxa"/>
          </w:tcPr>
          <w:p w14:paraId="0B612B5F" w14:textId="215EE116" w:rsidR="0022136D" w:rsidRPr="0022136D" w:rsidRDefault="0022136D" w:rsidP="0022136D">
            <w:pPr>
              <w:rPr>
                <w:rFonts w:cs="Arial"/>
              </w:rPr>
            </w:pPr>
            <w:r w:rsidRPr="0022136D">
              <w:rPr>
                <w:rFonts w:cs="Arial"/>
                <w:b/>
                <w:bCs/>
              </w:rPr>
              <w:t xml:space="preserve">Фулвестрант плюс палбоциклиб </w:t>
            </w:r>
            <w:r w:rsidRPr="0022136D">
              <w:rPr>
                <w:rFonts w:cs="Arial"/>
                <w:b/>
                <w:bCs/>
                <w:lang w:val="en-US"/>
              </w:rPr>
              <w:t>(N=141)</w:t>
            </w:r>
          </w:p>
        </w:tc>
        <w:tc>
          <w:tcPr>
            <w:tcW w:w="1900" w:type="dxa"/>
          </w:tcPr>
          <w:p w14:paraId="29C985C6" w14:textId="4FEDD45F" w:rsidR="0022136D" w:rsidRPr="0022136D" w:rsidRDefault="0022136D" w:rsidP="0022136D">
            <w:pPr>
              <w:rPr>
                <w:rFonts w:cs="Arial"/>
              </w:rPr>
            </w:pPr>
            <w:r w:rsidRPr="0022136D">
              <w:rPr>
                <w:rFonts w:cs="Arial"/>
                <w:b/>
                <w:bCs/>
              </w:rPr>
              <w:t xml:space="preserve">Фулвестрант плюс плацебо </w:t>
            </w:r>
            <w:r w:rsidRPr="0022136D">
              <w:rPr>
                <w:rFonts w:cs="Arial"/>
                <w:b/>
                <w:bCs/>
                <w:lang w:val="en-US"/>
              </w:rPr>
              <w:t>(N=69)</w:t>
            </w:r>
          </w:p>
        </w:tc>
      </w:tr>
      <w:tr w:rsidR="0022136D" w:rsidRPr="0022136D" w14:paraId="6D90E59E" w14:textId="77777777" w:rsidTr="0022136D">
        <w:tc>
          <w:tcPr>
            <w:tcW w:w="1900" w:type="dxa"/>
          </w:tcPr>
          <w:p w14:paraId="71F91002" w14:textId="77777777" w:rsidR="0022136D" w:rsidRPr="0022136D" w:rsidRDefault="0022136D" w:rsidP="0022136D">
            <w:pPr>
              <w:rPr>
                <w:rFonts w:cs="Arial"/>
              </w:rPr>
            </w:pPr>
            <w:r w:rsidRPr="0022136D">
              <w:rPr>
                <w:rFonts w:cs="Arial"/>
                <w:b/>
                <w:bCs/>
              </w:rPr>
              <w:t>ОО [% (95%</w:t>
            </w:r>
          </w:p>
          <w:p w14:paraId="1794B9F8" w14:textId="7AE81236" w:rsidR="0022136D" w:rsidRPr="0022136D" w:rsidRDefault="0022136D" w:rsidP="0022136D">
            <w:pPr>
              <w:rPr>
                <w:rFonts w:cs="Arial"/>
              </w:rPr>
            </w:pPr>
            <w:r w:rsidRPr="0022136D">
              <w:rPr>
                <w:rFonts w:cs="Arial"/>
                <w:b/>
                <w:bCs/>
              </w:rPr>
              <w:t>ДИ)1</w:t>
            </w:r>
          </w:p>
        </w:tc>
        <w:tc>
          <w:tcPr>
            <w:tcW w:w="1900" w:type="dxa"/>
          </w:tcPr>
          <w:p w14:paraId="33F94AAB" w14:textId="375ABE6B" w:rsidR="00414EE9" w:rsidRDefault="0022136D" w:rsidP="00631FB1">
            <w:pPr>
              <w:jc w:val="center"/>
              <w:rPr>
                <w:rFonts w:cs="Arial"/>
              </w:rPr>
            </w:pPr>
            <w:r w:rsidRPr="0022136D">
              <w:rPr>
                <w:rFonts w:cs="Arial"/>
              </w:rPr>
              <w:t>35,0</w:t>
            </w:r>
          </w:p>
          <w:p w14:paraId="3FAF259A" w14:textId="780A64C6" w:rsidR="0022136D" w:rsidRPr="0022136D" w:rsidRDefault="0022136D" w:rsidP="00631FB1">
            <w:pPr>
              <w:jc w:val="center"/>
              <w:rPr>
                <w:rFonts w:cs="Arial"/>
              </w:rPr>
            </w:pPr>
            <w:r w:rsidRPr="0022136D">
              <w:rPr>
                <w:rFonts w:cs="Arial"/>
              </w:rPr>
              <w:t>(28,5,</w:t>
            </w:r>
            <w:r w:rsidR="00631FB1">
              <w:rPr>
                <w:rFonts w:cs="Arial"/>
                <w:lang w:val="en-US"/>
              </w:rPr>
              <w:t xml:space="preserve"> </w:t>
            </w:r>
            <w:r w:rsidRPr="0022136D">
              <w:rPr>
                <w:rFonts w:cs="Arial"/>
              </w:rPr>
              <w:t>41,9)</w:t>
            </w:r>
          </w:p>
        </w:tc>
        <w:tc>
          <w:tcPr>
            <w:tcW w:w="1900" w:type="dxa"/>
          </w:tcPr>
          <w:p w14:paraId="08267FE2" w14:textId="2F47E14B" w:rsidR="00414EE9" w:rsidRDefault="0022136D" w:rsidP="00631FB1">
            <w:pPr>
              <w:jc w:val="center"/>
              <w:rPr>
                <w:rFonts w:cs="Arial"/>
              </w:rPr>
            </w:pPr>
            <w:r w:rsidRPr="0022136D">
              <w:rPr>
                <w:rFonts w:cs="Arial"/>
              </w:rPr>
              <w:t>13,3</w:t>
            </w:r>
          </w:p>
          <w:p w14:paraId="3D425BDD" w14:textId="1A392B33" w:rsidR="0022136D" w:rsidRPr="0022136D" w:rsidRDefault="0022136D" w:rsidP="00631FB1">
            <w:pPr>
              <w:jc w:val="center"/>
              <w:rPr>
                <w:rFonts w:cs="Arial"/>
              </w:rPr>
            </w:pPr>
            <w:r w:rsidRPr="0022136D">
              <w:rPr>
                <w:rFonts w:cs="Arial"/>
              </w:rPr>
              <w:t>(7,5,</w:t>
            </w:r>
            <w:r w:rsidR="00414EE9">
              <w:rPr>
                <w:rFonts w:cs="Arial"/>
                <w:lang w:val="en-US"/>
              </w:rPr>
              <w:t xml:space="preserve"> </w:t>
            </w:r>
            <w:r w:rsidRPr="0022136D">
              <w:rPr>
                <w:rFonts w:cs="Arial"/>
              </w:rPr>
              <w:t>21,4)</w:t>
            </w:r>
          </w:p>
        </w:tc>
        <w:tc>
          <w:tcPr>
            <w:tcW w:w="1900" w:type="dxa"/>
          </w:tcPr>
          <w:p w14:paraId="185D896D" w14:textId="739ACC97" w:rsidR="00414EE9" w:rsidRDefault="0022136D" w:rsidP="00631FB1">
            <w:pPr>
              <w:jc w:val="center"/>
              <w:rPr>
                <w:rFonts w:cs="Arial"/>
              </w:rPr>
            </w:pPr>
            <w:r w:rsidRPr="0022136D">
              <w:rPr>
                <w:rFonts w:cs="Arial"/>
              </w:rPr>
              <w:t>13,5</w:t>
            </w:r>
          </w:p>
          <w:p w14:paraId="35CAFBBC" w14:textId="300A67B4" w:rsidR="0022136D" w:rsidRPr="0022136D" w:rsidRDefault="00414EE9" w:rsidP="00631FB1">
            <w:pPr>
              <w:jc w:val="center"/>
              <w:rPr>
                <w:rFonts w:cs="Arial"/>
              </w:rPr>
            </w:pPr>
            <w:r>
              <w:rPr>
                <w:rFonts w:cs="Arial"/>
              </w:rPr>
              <w:t>(8,3</w:t>
            </w:r>
            <w:r>
              <w:rPr>
                <w:rFonts w:cs="Arial"/>
                <w:lang w:val="en-US"/>
              </w:rPr>
              <w:t xml:space="preserve">, </w:t>
            </w:r>
            <w:r w:rsidR="0022136D" w:rsidRPr="0022136D">
              <w:rPr>
                <w:rFonts w:cs="Arial"/>
              </w:rPr>
              <w:t>2</w:t>
            </w:r>
            <w:r>
              <w:rPr>
                <w:rFonts w:cs="Arial"/>
                <w:lang w:val="en-US"/>
              </w:rPr>
              <w:t>0,2</w:t>
            </w:r>
            <w:r w:rsidR="0022136D" w:rsidRPr="0022136D">
              <w:rPr>
                <w:rFonts w:cs="Arial"/>
              </w:rPr>
              <w:t>)</w:t>
            </w:r>
          </w:p>
        </w:tc>
        <w:tc>
          <w:tcPr>
            <w:tcW w:w="1900" w:type="dxa"/>
          </w:tcPr>
          <w:p w14:paraId="7AA5CB20" w14:textId="77777777" w:rsidR="0022136D" w:rsidRPr="0022136D" w:rsidRDefault="0022136D" w:rsidP="00631FB1">
            <w:pPr>
              <w:jc w:val="center"/>
              <w:rPr>
                <w:rFonts w:cs="Arial"/>
              </w:rPr>
            </w:pPr>
            <w:r w:rsidRPr="0022136D">
              <w:rPr>
                <w:rFonts w:cs="Arial"/>
              </w:rPr>
              <w:t>14,5</w:t>
            </w:r>
          </w:p>
          <w:p w14:paraId="47283BF4" w14:textId="14A7AE99" w:rsidR="0022136D" w:rsidRPr="0022136D" w:rsidRDefault="0022136D" w:rsidP="00631FB1">
            <w:pPr>
              <w:jc w:val="center"/>
              <w:rPr>
                <w:rFonts w:cs="Arial"/>
              </w:rPr>
            </w:pPr>
            <w:r w:rsidRPr="0022136D">
              <w:rPr>
                <w:rFonts w:cs="Arial"/>
              </w:rPr>
              <w:t>(7,2,</w:t>
            </w:r>
            <w:r w:rsidR="00631FB1">
              <w:rPr>
                <w:rFonts w:cs="Arial"/>
                <w:lang w:val="en-US"/>
              </w:rPr>
              <w:t xml:space="preserve"> </w:t>
            </w:r>
            <w:r w:rsidRPr="0022136D">
              <w:rPr>
                <w:rFonts w:cs="Arial"/>
              </w:rPr>
              <w:t>25,0)</w:t>
            </w:r>
          </w:p>
        </w:tc>
      </w:tr>
      <w:tr w:rsidR="0022136D" w:rsidRPr="0022136D" w14:paraId="77011E7B" w14:textId="77777777" w:rsidTr="0022136D">
        <w:tc>
          <w:tcPr>
            <w:tcW w:w="1900" w:type="dxa"/>
          </w:tcPr>
          <w:p w14:paraId="6AC5C067" w14:textId="39AEBCC5" w:rsidR="0022136D" w:rsidRPr="0022136D" w:rsidRDefault="0022136D" w:rsidP="0022136D">
            <w:pPr>
              <w:rPr>
                <w:rFonts w:cs="Arial"/>
              </w:rPr>
            </w:pPr>
            <w:r w:rsidRPr="0022136D">
              <w:rPr>
                <w:rFonts w:cs="Arial"/>
                <w:b/>
                <w:bCs/>
              </w:rPr>
              <w:t>ВПТО*, Средно [месеци (диапазон)]</w:t>
            </w:r>
          </w:p>
        </w:tc>
        <w:tc>
          <w:tcPr>
            <w:tcW w:w="1900" w:type="dxa"/>
          </w:tcPr>
          <w:p w14:paraId="3DE8E8CA" w14:textId="7FE1F33A" w:rsidR="00414EE9" w:rsidRDefault="0022136D" w:rsidP="00631FB1">
            <w:pPr>
              <w:jc w:val="center"/>
              <w:rPr>
                <w:rFonts w:cs="Arial"/>
              </w:rPr>
            </w:pPr>
            <w:r w:rsidRPr="0022136D">
              <w:rPr>
                <w:rFonts w:cs="Arial"/>
              </w:rPr>
              <w:t>3,8</w:t>
            </w:r>
          </w:p>
          <w:p w14:paraId="3F731FBC" w14:textId="7DB2580D" w:rsidR="0022136D" w:rsidRPr="0022136D" w:rsidRDefault="0022136D" w:rsidP="00631FB1">
            <w:pPr>
              <w:jc w:val="center"/>
              <w:rPr>
                <w:rFonts w:cs="Arial"/>
              </w:rPr>
            </w:pPr>
            <w:r w:rsidRPr="0022136D">
              <w:rPr>
                <w:rFonts w:cs="Arial"/>
              </w:rPr>
              <w:t>(3,5, 16,7)</w:t>
            </w:r>
          </w:p>
        </w:tc>
        <w:tc>
          <w:tcPr>
            <w:tcW w:w="1900" w:type="dxa"/>
          </w:tcPr>
          <w:p w14:paraId="762BF379" w14:textId="1A3CFB7F" w:rsidR="00414EE9" w:rsidRDefault="0022136D" w:rsidP="00631FB1">
            <w:pPr>
              <w:jc w:val="center"/>
              <w:rPr>
                <w:rFonts w:cs="Arial"/>
              </w:rPr>
            </w:pPr>
            <w:r w:rsidRPr="0022136D">
              <w:rPr>
                <w:rFonts w:cs="Arial"/>
              </w:rPr>
              <w:t>5,4</w:t>
            </w:r>
          </w:p>
          <w:p w14:paraId="3E9553ED" w14:textId="1E3B0FF5" w:rsidR="0022136D" w:rsidRPr="0022136D" w:rsidRDefault="0022136D" w:rsidP="00631FB1">
            <w:pPr>
              <w:jc w:val="center"/>
              <w:rPr>
                <w:rFonts w:cs="Arial"/>
              </w:rPr>
            </w:pPr>
            <w:r w:rsidRPr="0022136D">
              <w:rPr>
                <w:rFonts w:cs="Arial"/>
              </w:rPr>
              <w:t>(3,5,</w:t>
            </w:r>
            <w:r w:rsidR="00414EE9">
              <w:rPr>
                <w:rFonts w:cs="Arial"/>
                <w:lang w:val="en-US"/>
              </w:rPr>
              <w:t xml:space="preserve"> </w:t>
            </w:r>
            <w:r w:rsidRPr="0022136D">
              <w:rPr>
                <w:rFonts w:cs="Arial"/>
              </w:rPr>
              <w:t>16,7)</w:t>
            </w:r>
          </w:p>
        </w:tc>
        <w:tc>
          <w:tcPr>
            <w:tcW w:w="1900" w:type="dxa"/>
          </w:tcPr>
          <w:p w14:paraId="1696EEFB" w14:textId="308901B1" w:rsidR="00631FB1" w:rsidRDefault="0022136D" w:rsidP="00631FB1">
            <w:pPr>
              <w:jc w:val="center"/>
              <w:rPr>
                <w:rFonts w:cs="Arial"/>
              </w:rPr>
            </w:pPr>
            <w:r w:rsidRPr="0022136D">
              <w:rPr>
                <w:rFonts w:cs="Arial"/>
              </w:rPr>
              <w:t>3,7</w:t>
            </w:r>
          </w:p>
          <w:p w14:paraId="01C182C5" w14:textId="38FE8090" w:rsidR="0022136D" w:rsidRPr="0022136D" w:rsidRDefault="0022136D" w:rsidP="00631FB1">
            <w:pPr>
              <w:jc w:val="center"/>
              <w:rPr>
                <w:rFonts w:cs="Arial"/>
              </w:rPr>
            </w:pPr>
            <w:r w:rsidRPr="0022136D">
              <w:rPr>
                <w:rFonts w:cs="Arial"/>
              </w:rPr>
              <w:t>(1,9,</w:t>
            </w:r>
            <w:r w:rsidR="00631FB1">
              <w:rPr>
                <w:rFonts w:cs="Arial"/>
                <w:lang w:val="en-US"/>
              </w:rPr>
              <w:t xml:space="preserve"> </w:t>
            </w:r>
            <w:r w:rsidRPr="0022136D">
              <w:rPr>
                <w:rFonts w:cs="Arial"/>
              </w:rPr>
              <w:t>13,7)</w:t>
            </w:r>
          </w:p>
        </w:tc>
        <w:tc>
          <w:tcPr>
            <w:tcW w:w="1900" w:type="dxa"/>
          </w:tcPr>
          <w:p w14:paraId="44743412" w14:textId="1312B2E1" w:rsidR="00631FB1" w:rsidRDefault="0022136D" w:rsidP="00631FB1">
            <w:pPr>
              <w:jc w:val="center"/>
              <w:rPr>
                <w:rFonts w:cs="Arial"/>
              </w:rPr>
            </w:pPr>
            <w:r w:rsidRPr="0022136D">
              <w:rPr>
                <w:rFonts w:cs="Arial"/>
              </w:rPr>
              <w:t>3,6</w:t>
            </w:r>
          </w:p>
          <w:p w14:paraId="77C2609B" w14:textId="6BE828DA" w:rsidR="0022136D" w:rsidRPr="0022136D" w:rsidRDefault="0022136D" w:rsidP="00631FB1">
            <w:pPr>
              <w:jc w:val="center"/>
              <w:rPr>
                <w:rFonts w:cs="Arial"/>
              </w:rPr>
            </w:pPr>
            <w:r w:rsidRPr="0022136D">
              <w:rPr>
                <w:rFonts w:cs="Arial"/>
              </w:rPr>
              <w:t>(3,4, 3,7)</w:t>
            </w:r>
          </w:p>
        </w:tc>
      </w:tr>
    </w:tbl>
    <w:p w14:paraId="50C953FC" w14:textId="4F651178" w:rsidR="0022136D" w:rsidRPr="00631FB1" w:rsidRDefault="0022136D" w:rsidP="0022136D">
      <w:pPr>
        <w:spacing w:line="240" w:lineRule="auto"/>
        <w:rPr>
          <w:rFonts w:eastAsia="Times New Roman" w:cs="Arial"/>
          <w:sz w:val="20"/>
          <w:szCs w:val="20"/>
          <w:lang w:eastAsia="bg-BG"/>
        </w:rPr>
      </w:pPr>
      <w:r w:rsidRPr="00631FB1">
        <w:rPr>
          <w:rFonts w:eastAsia="Times New Roman" w:cs="Arial"/>
          <w:color w:val="000000"/>
          <w:sz w:val="20"/>
          <w:szCs w:val="20"/>
          <w:lang w:eastAsia="bg-BG"/>
        </w:rPr>
        <w:t>*Крайни точки за отговор, базирани на потвърдени и непотвърдени отговори</w:t>
      </w:r>
    </w:p>
    <w:p w14:paraId="56A7C895" w14:textId="77777777" w:rsidR="0022136D" w:rsidRPr="00631FB1" w:rsidRDefault="0022136D" w:rsidP="0022136D">
      <w:pPr>
        <w:spacing w:line="240" w:lineRule="auto"/>
        <w:rPr>
          <w:rFonts w:eastAsia="Times New Roman" w:cs="Arial"/>
          <w:sz w:val="20"/>
          <w:szCs w:val="20"/>
          <w:lang w:eastAsia="bg-BG"/>
        </w:rPr>
      </w:pPr>
      <w:r w:rsidRPr="00631FB1">
        <w:rPr>
          <w:rFonts w:eastAsia="Times New Roman" w:cs="Arial"/>
          <w:color w:val="000000"/>
          <w:sz w:val="20"/>
          <w:szCs w:val="20"/>
          <w:lang w:val="en-US"/>
        </w:rPr>
        <w:t>N</w:t>
      </w:r>
      <w:r w:rsidRPr="00114D09">
        <w:rPr>
          <w:rFonts w:eastAsia="Times New Roman" w:cs="Arial"/>
          <w:color w:val="000000"/>
          <w:sz w:val="20"/>
          <w:szCs w:val="20"/>
          <w:lang w:val="ru-RU"/>
        </w:rPr>
        <w:t>=6</w:t>
      </w:r>
      <w:proofErr w:type="spellStart"/>
      <w:r w:rsidRPr="00631FB1">
        <w:rPr>
          <w:rFonts w:eastAsia="Times New Roman" w:cs="Arial"/>
          <w:color w:val="000000"/>
          <w:sz w:val="20"/>
          <w:szCs w:val="20"/>
          <w:lang w:val="en-US"/>
        </w:rPr>
        <w:t>pofl</w:t>
      </w:r>
      <w:proofErr w:type="spellEnd"/>
      <w:r w:rsidRPr="00114D09">
        <w:rPr>
          <w:rFonts w:eastAsia="Times New Roman" w:cs="Arial"/>
          <w:color w:val="000000"/>
          <w:sz w:val="20"/>
          <w:szCs w:val="20"/>
          <w:lang w:val="ru-RU"/>
        </w:rPr>
        <w:t xml:space="preserve"> </w:t>
      </w:r>
      <w:r w:rsidRPr="00631FB1">
        <w:rPr>
          <w:rFonts w:eastAsia="Times New Roman" w:cs="Arial"/>
          <w:color w:val="000000"/>
          <w:sz w:val="20"/>
          <w:szCs w:val="20"/>
          <w:lang w:eastAsia="bg-BG"/>
        </w:rPr>
        <w:t xml:space="preserve">пациенти; ДИ=доверителен интервал; ОО=обективен отговор; ВПТО - време до първия туморен </w:t>
      </w:r>
      <w:r w:rsidRPr="00631FB1">
        <w:rPr>
          <w:rFonts w:eastAsia="Times New Roman" w:cs="Arial"/>
          <w:i/>
          <w:iCs/>
          <w:color w:val="000000"/>
          <w:sz w:val="20"/>
          <w:szCs w:val="20"/>
          <w:lang w:eastAsia="bg-BG"/>
        </w:rPr>
        <w:t>отговор</w:t>
      </w:r>
    </w:p>
    <w:p w14:paraId="532BF4F6" w14:textId="77777777" w:rsidR="0022136D" w:rsidRPr="0022136D" w:rsidRDefault="0022136D" w:rsidP="0022136D">
      <w:pPr>
        <w:rPr>
          <w:rFonts w:eastAsia="Times New Roman" w:cs="Arial"/>
          <w:color w:val="000000"/>
          <w:lang w:eastAsia="bg-BG"/>
        </w:rPr>
      </w:pPr>
    </w:p>
    <w:p w14:paraId="2DD4854F" w14:textId="77777777" w:rsidR="0022136D" w:rsidRPr="0022136D" w:rsidRDefault="0022136D" w:rsidP="0022136D">
      <w:pPr>
        <w:rPr>
          <w:rFonts w:eastAsia="Times New Roman" w:cs="Arial"/>
          <w:smallCaps/>
          <w:color w:val="000000"/>
          <w:lang w:eastAsia="bg-BG"/>
        </w:rPr>
      </w:pPr>
      <w:r w:rsidRPr="0022136D">
        <w:rPr>
          <w:rFonts w:eastAsia="Times New Roman" w:cs="Arial"/>
          <w:color w:val="000000"/>
          <w:lang w:eastAsia="bg-BG"/>
        </w:rPr>
        <w:t xml:space="preserve">Съобщените от пациентките симптоми са оценени чрез въпросника на Европейска организация за изследване и лечение на рака </w:t>
      </w:r>
      <w:r w:rsidRPr="00114D09">
        <w:rPr>
          <w:rFonts w:eastAsia="Times New Roman" w:cs="Arial"/>
          <w:color w:val="000000"/>
        </w:rPr>
        <w:t>(</w:t>
      </w:r>
      <w:r w:rsidRPr="0022136D">
        <w:rPr>
          <w:rFonts w:eastAsia="Times New Roman" w:cs="Arial"/>
          <w:color w:val="000000"/>
          <w:lang w:val="en-US"/>
        </w:rPr>
        <w:t>European</w:t>
      </w:r>
      <w:r w:rsidRPr="00114D09">
        <w:rPr>
          <w:rFonts w:eastAsia="Times New Roman" w:cs="Arial"/>
          <w:color w:val="000000"/>
        </w:rPr>
        <w:t xml:space="preserve"> </w:t>
      </w:r>
      <w:r w:rsidRPr="0022136D">
        <w:rPr>
          <w:rFonts w:eastAsia="Times New Roman" w:cs="Arial"/>
          <w:color w:val="000000"/>
          <w:lang w:val="en-US"/>
        </w:rPr>
        <w:t>Organization</w:t>
      </w:r>
      <w:r w:rsidRPr="00114D09">
        <w:rPr>
          <w:rFonts w:eastAsia="Times New Roman" w:cs="Arial"/>
          <w:color w:val="000000"/>
        </w:rPr>
        <w:t xml:space="preserve"> </w:t>
      </w:r>
      <w:r w:rsidRPr="0022136D">
        <w:rPr>
          <w:rFonts w:eastAsia="Times New Roman" w:cs="Arial"/>
          <w:color w:val="000000"/>
          <w:lang w:val="en-US"/>
        </w:rPr>
        <w:t>for</w:t>
      </w:r>
      <w:r w:rsidRPr="00114D09">
        <w:rPr>
          <w:rFonts w:eastAsia="Times New Roman" w:cs="Arial"/>
          <w:color w:val="000000"/>
        </w:rPr>
        <w:t xml:space="preserve"> </w:t>
      </w:r>
      <w:r w:rsidRPr="0022136D">
        <w:rPr>
          <w:rFonts w:eastAsia="Times New Roman" w:cs="Arial"/>
          <w:color w:val="000000"/>
          <w:lang w:val="en-US"/>
        </w:rPr>
        <w:t>Research</w:t>
      </w:r>
      <w:r w:rsidRPr="00114D09">
        <w:rPr>
          <w:rFonts w:eastAsia="Times New Roman" w:cs="Arial"/>
          <w:color w:val="000000"/>
        </w:rPr>
        <w:t xml:space="preserve"> </w:t>
      </w:r>
      <w:r w:rsidRPr="0022136D">
        <w:rPr>
          <w:rFonts w:eastAsia="Times New Roman" w:cs="Arial"/>
          <w:color w:val="000000"/>
          <w:lang w:val="en-US"/>
        </w:rPr>
        <w:t>and</w:t>
      </w:r>
      <w:r w:rsidRPr="00114D09">
        <w:rPr>
          <w:rFonts w:eastAsia="Times New Roman" w:cs="Arial"/>
          <w:color w:val="000000"/>
        </w:rPr>
        <w:t xml:space="preserve"> </w:t>
      </w:r>
      <w:r w:rsidRPr="0022136D">
        <w:rPr>
          <w:rFonts w:eastAsia="Times New Roman" w:cs="Arial"/>
          <w:color w:val="000000"/>
          <w:lang w:val="en-US"/>
        </w:rPr>
        <w:t>Treatment</w:t>
      </w:r>
      <w:r w:rsidRPr="00114D09">
        <w:rPr>
          <w:rFonts w:eastAsia="Times New Roman" w:cs="Arial"/>
          <w:color w:val="000000"/>
        </w:rPr>
        <w:t xml:space="preserve"> </w:t>
      </w:r>
      <w:r w:rsidRPr="0022136D">
        <w:rPr>
          <w:rFonts w:eastAsia="Times New Roman" w:cs="Arial"/>
          <w:color w:val="000000"/>
          <w:lang w:val="en-US"/>
        </w:rPr>
        <w:t>of</w:t>
      </w:r>
      <w:r w:rsidRPr="00114D09">
        <w:rPr>
          <w:rFonts w:eastAsia="Times New Roman" w:cs="Arial"/>
          <w:color w:val="000000"/>
        </w:rPr>
        <w:t xml:space="preserve"> </w:t>
      </w:r>
      <w:r w:rsidRPr="0022136D">
        <w:rPr>
          <w:rFonts w:eastAsia="Times New Roman" w:cs="Arial"/>
          <w:color w:val="000000"/>
          <w:lang w:val="en-US"/>
        </w:rPr>
        <w:t>Cancer</w:t>
      </w:r>
      <w:r w:rsidRPr="00114D09">
        <w:rPr>
          <w:rFonts w:eastAsia="Times New Roman" w:cs="Arial"/>
          <w:color w:val="000000"/>
        </w:rPr>
        <w:t xml:space="preserve">, </w:t>
      </w:r>
      <w:r w:rsidRPr="0022136D">
        <w:rPr>
          <w:rFonts w:eastAsia="Times New Roman" w:cs="Arial"/>
          <w:color w:val="000000"/>
          <w:lang w:val="en-US"/>
        </w:rPr>
        <w:t>EORTC</w:t>
      </w:r>
      <w:r w:rsidRPr="00114D09">
        <w:rPr>
          <w:rFonts w:eastAsia="Times New Roman" w:cs="Arial"/>
          <w:color w:val="000000"/>
        </w:rPr>
        <w:t xml:space="preserve">) </w:t>
      </w:r>
      <w:r w:rsidRPr="0022136D">
        <w:rPr>
          <w:rFonts w:eastAsia="Times New Roman" w:cs="Arial"/>
          <w:color w:val="000000"/>
          <w:lang w:eastAsia="bg-BG"/>
        </w:rPr>
        <w:t xml:space="preserve">за качество на живот </w:t>
      </w:r>
      <w:r w:rsidRPr="00114D09">
        <w:rPr>
          <w:rFonts w:eastAsia="Times New Roman" w:cs="Arial"/>
          <w:color w:val="000000"/>
        </w:rPr>
        <w:t>(</w:t>
      </w:r>
      <w:r w:rsidRPr="0022136D">
        <w:rPr>
          <w:rFonts w:eastAsia="Times New Roman" w:cs="Arial"/>
          <w:color w:val="000000"/>
          <w:lang w:val="en-US"/>
        </w:rPr>
        <w:t>quality</w:t>
      </w:r>
      <w:r w:rsidRPr="00114D09">
        <w:rPr>
          <w:rFonts w:eastAsia="Times New Roman" w:cs="Arial"/>
          <w:color w:val="000000"/>
        </w:rPr>
        <w:t xml:space="preserve"> </w:t>
      </w:r>
      <w:r w:rsidRPr="0022136D">
        <w:rPr>
          <w:rFonts w:eastAsia="Times New Roman" w:cs="Arial"/>
          <w:color w:val="000000"/>
          <w:lang w:val="en-US"/>
        </w:rPr>
        <w:t>of</w:t>
      </w:r>
      <w:r w:rsidRPr="00114D09">
        <w:rPr>
          <w:rFonts w:eastAsia="Times New Roman" w:cs="Arial"/>
          <w:color w:val="000000"/>
        </w:rPr>
        <w:t xml:space="preserve"> </w:t>
      </w:r>
      <w:r w:rsidRPr="0022136D">
        <w:rPr>
          <w:rFonts w:eastAsia="Times New Roman" w:cs="Arial"/>
          <w:color w:val="000000"/>
          <w:lang w:val="en-US"/>
        </w:rPr>
        <w:t>life</w:t>
      </w:r>
      <w:r w:rsidRPr="00114D09">
        <w:rPr>
          <w:rFonts w:eastAsia="Times New Roman" w:cs="Arial"/>
          <w:color w:val="000000"/>
        </w:rPr>
        <w:t xml:space="preserve"> </w:t>
      </w:r>
      <w:r w:rsidRPr="0022136D">
        <w:rPr>
          <w:rFonts w:eastAsia="Times New Roman" w:cs="Arial"/>
          <w:color w:val="000000"/>
          <w:lang w:val="en-US"/>
        </w:rPr>
        <w:t>questionnaire</w:t>
      </w:r>
      <w:r w:rsidRPr="00114D09">
        <w:rPr>
          <w:rFonts w:eastAsia="Times New Roman" w:cs="Arial"/>
          <w:color w:val="000000"/>
        </w:rPr>
        <w:t xml:space="preserve">, </w:t>
      </w:r>
      <w:r w:rsidRPr="0022136D">
        <w:rPr>
          <w:rFonts w:eastAsia="Times New Roman" w:cs="Arial"/>
          <w:i/>
          <w:iCs/>
          <w:color w:val="000000"/>
          <w:lang w:val="en-US"/>
        </w:rPr>
        <w:t>QLQ</w:t>
      </w:r>
      <w:r w:rsidRPr="00114D09">
        <w:rPr>
          <w:rFonts w:eastAsia="Times New Roman" w:cs="Arial"/>
          <w:i/>
          <w:iCs/>
          <w:color w:val="000000"/>
        </w:rPr>
        <w:t>)-</w:t>
      </w:r>
      <w:r w:rsidRPr="0022136D">
        <w:rPr>
          <w:rFonts w:eastAsia="Times New Roman" w:cs="Arial"/>
          <w:i/>
          <w:iCs/>
          <w:color w:val="000000"/>
          <w:lang w:val="en-US"/>
        </w:rPr>
        <w:t>C</w:t>
      </w:r>
      <w:r w:rsidRPr="00114D09">
        <w:rPr>
          <w:rFonts w:eastAsia="Times New Roman" w:cs="Arial"/>
          <w:i/>
          <w:iCs/>
          <w:color w:val="000000"/>
        </w:rPr>
        <w:t>30</w:t>
      </w:r>
      <w:r w:rsidRPr="00114D09">
        <w:rPr>
          <w:rFonts w:eastAsia="Times New Roman" w:cs="Arial"/>
          <w:color w:val="000000"/>
        </w:rPr>
        <w:t xml:space="preserve"> </w:t>
      </w:r>
      <w:r w:rsidRPr="0022136D">
        <w:rPr>
          <w:rFonts w:eastAsia="Times New Roman" w:cs="Arial"/>
          <w:color w:val="000000"/>
          <w:lang w:eastAsia="bg-BG"/>
        </w:rPr>
        <w:t xml:space="preserve">и неговия модул за рак на млечната жлеза </w:t>
      </w:r>
      <w:r w:rsidRPr="00114D09">
        <w:rPr>
          <w:rFonts w:eastAsia="Times New Roman" w:cs="Arial"/>
          <w:color w:val="000000"/>
        </w:rPr>
        <w:t>(</w:t>
      </w:r>
      <w:r w:rsidRPr="0022136D">
        <w:rPr>
          <w:rFonts w:eastAsia="Times New Roman" w:cs="Arial"/>
          <w:color w:val="000000"/>
          <w:lang w:val="en-US"/>
        </w:rPr>
        <w:t>Breast</w:t>
      </w:r>
      <w:r w:rsidRPr="00114D09">
        <w:rPr>
          <w:rFonts w:eastAsia="Times New Roman" w:cs="Arial"/>
          <w:color w:val="000000"/>
        </w:rPr>
        <w:t xml:space="preserve"> </w:t>
      </w:r>
      <w:r w:rsidRPr="0022136D">
        <w:rPr>
          <w:rFonts w:eastAsia="Times New Roman" w:cs="Arial"/>
          <w:color w:val="000000"/>
          <w:lang w:val="en-US"/>
        </w:rPr>
        <w:t>Cancer</w:t>
      </w:r>
      <w:r w:rsidRPr="00114D09">
        <w:rPr>
          <w:rFonts w:eastAsia="Times New Roman" w:cs="Arial"/>
          <w:color w:val="000000"/>
        </w:rPr>
        <w:t xml:space="preserve"> </w:t>
      </w:r>
      <w:r w:rsidRPr="0022136D">
        <w:rPr>
          <w:rFonts w:eastAsia="Times New Roman" w:cs="Arial"/>
          <w:color w:val="000000"/>
          <w:lang w:val="en-US"/>
        </w:rPr>
        <w:t>Module</w:t>
      </w:r>
      <w:r w:rsidRPr="00114D09">
        <w:rPr>
          <w:rFonts w:eastAsia="Times New Roman" w:cs="Arial"/>
          <w:color w:val="000000"/>
        </w:rPr>
        <w:t>) (</w:t>
      </w:r>
      <w:r w:rsidRPr="0022136D">
        <w:rPr>
          <w:rFonts w:eastAsia="Times New Roman" w:cs="Arial"/>
          <w:color w:val="000000"/>
          <w:lang w:val="en-US"/>
        </w:rPr>
        <w:t>EORTC</w:t>
      </w:r>
      <w:r w:rsidRPr="00114D09">
        <w:rPr>
          <w:rFonts w:eastAsia="Times New Roman" w:cs="Arial"/>
          <w:color w:val="000000"/>
        </w:rPr>
        <w:t xml:space="preserve"> </w:t>
      </w:r>
      <w:r w:rsidRPr="0022136D">
        <w:rPr>
          <w:rFonts w:eastAsia="Times New Roman" w:cs="Arial"/>
          <w:color w:val="000000"/>
          <w:lang w:val="en-US"/>
        </w:rPr>
        <w:t>QLQ</w:t>
      </w:r>
      <w:r w:rsidRPr="00114D09">
        <w:rPr>
          <w:rFonts w:eastAsia="Times New Roman" w:cs="Arial"/>
          <w:color w:val="000000"/>
        </w:rPr>
        <w:t>-</w:t>
      </w:r>
      <w:r w:rsidRPr="0022136D">
        <w:rPr>
          <w:rFonts w:eastAsia="Times New Roman" w:cs="Arial"/>
          <w:color w:val="000000"/>
          <w:lang w:val="en-US"/>
        </w:rPr>
        <w:t>BR</w:t>
      </w:r>
      <w:r w:rsidRPr="00114D09">
        <w:rPr>
          <w:rFonts w:eastAsia="Times New Roman" w:cs="Arial"/>
          <w:color w:val="000000"/>
        </w:rPr>
        <w:t xml:space="preserve">23). </w:t>
      </w:r>
      <w:r w:rsidRPr="0022136D">
        <w:rPr>
          <w:rFonts w:eastAsia="Times New Roman" w:cs="Arial"/>
          <w:color w:val="000000"/>
          <w:lang w:eastAsia="bg-BG"/>
        </w:rPr>
        <w:t xml:space="preserve">Общо </w:t>
      </w:r>
      <w:r w:rsidRPr="00114D09">
        <w:rPr>
          <w:rFonts w:eastAsia="Times New Roman" w:cs="Arial"/>
          <w:color w:val="000000"/>
          <w:lang w:val="ru-RU"/>
        </w:rPr>
        <w:t xml:space="preserve">335 </w:t>
      </w:r>
      <w:r w:rsidRPr="0022136D">
        <w:rPr>
          <w:rFonts w:eastAsia="Times New Roman" w:cs="Arial"/>
          <w:color w:val="000000"/>
          <w:lang w:eastAsia="bg-BG"/>
        </w:rPr>
        <w:t xml:space="preserve">пациентки в рамото с </w:t>
      </w:r>
      <w:proofErr w:type="spellStart"/>
      <w:r w:rsidRPr="0022136D">
        <w:rPr>
          <w:rFonts w:eastAsia="Times New Roman" w:cs="Arial"/>
          <w:color w:val="000000"/>
          <w:lang w:eastAsia="bg-BG"/>
        </w:rPr>
        <w:t>фулвестрант</w:t>
      </w:r>
      <w:proofErr w:type="spellEnd"/>
      <w:r w:rsidRPr="0022136D">
        <w:rPr>
          <w:rFonts w:eastAsia="Times New Roman" w:cs="Arial"/>
          <w:color w:val="000000"/>
          <w:lang w:eastAsia="bg-BG"/>
        </w:rPr>
        <w:t xml:space="preserve"> плюс </w:t>
      </w:r>
      <w:proofErr w:type="spellStart"/>
      <w:r w:rsidRPr="0022136D">
        <w:rPr>
          <w:rFonts w:eastAsia="Times New Roman" w:cs="Arial"/>
          <w:color w:val="000000"/>
          <w:lang w:eastAsia="bg-BG"/>
        </w:rPr>
        <w:t>палбоциклиб</w:t>
      </w:r>
      <w:proofErr w:type="spellEnd"/>
      <w:r w:rsidRPr="0022136D">
        <w:rPr>
          <w:rFonts w:eastAsia="Times New Roman" w:cs="Arial"/>
          <w:color w:val="000000"/>
          <w:lang w:eastAsia="bg-BG"/>
        </w:rPr>
        <w:t xml:space="preserve"> и 166 пациентки в рамото с </w:t>
      </w:r>
      <w:proofErr w:type="spellStart"/>
      <w:r w:rsidRPr="0022136D">
        <w:rPr>
          <w:rFonts w:eastAsia="Times New Roman" w:cs="Arial"/>
          <w:color w:val="000000"/>
          <w:lang w:eastAsia="bg-BG"/>
        </w:rPr>
        <w:t>фулвестрант</w:t>
      </w:r>
      <w:proofErr w:type="spellEnd"/>
      <w:r w:rsidRPr="0022136D">
        <w:rPr>
          <w:rFonts w:eastAsia="Times New Roman" w:cs="Arial"/>
          <w:color w:val="000000"/>
          <w:lang w:eastAsia="bg-BG"/>
        </w:rPr>
        <w:t xml:space="preserve"> плюс плацебо са попълнили въпросника на изходно ниво и при поне едно посещение след изходно ниво.</w:t>
      </w:r>
      <w:r w:rsidRPr="0022136D">
        <w:rPr>
          <w:rFonts w:eastAsia="Times New Roman" w:cs="Arial"/>
          <w:smallCaps/>
          <w:color w:val="000000"/>
          <w:lang w:eastAsia="bg-BG"/>
        </w:rPr>
        <w:t xml:space="preserve"> </w:t>
      </w:r>
    </w:p>
    <w:p w14:paraId="39DC8197" w14:textId="77777777" w:rsidR="0022136D" w:rsidRPr="0022136D" w:rsidRDefault="0022136D" w:rsidP="0022136D">
      <w:pPr>
        <w:rPr>
          <w:rFonts w:eastAsia="Times New Roman" w:cs="Arial"/>
          <w:smallCaps/>
          <w:color w:val="000000"/>
          <w:lang w:eastAsia="bg-BG"/>
        </w:rPr>
      </w:pPr>
    </w:p>
    <w:p w14:paraId="2D76B981" w14:textId="77777777" w:rsidR="0022136D" w:rsidRPr="0022136D" w:rsidRDefault="0022136D" w:rsidP="0022136D">
      <w:pPr>
        <w:rPr>
          <w:rFonts w:ascii="Times New Roman" w:eastAsia="Times New Roman" w:hAnsi="Times New Roman" w:cs="Times New Roman"/>
          <w:sz w:val="24"/>
          <w:szCs w:val="24"/>
          <w:lang w:eastAsia="bg-BG"/>
        </w:rPr>
      </w:pPr>
      <w:r w:rsidRPr="0022136D">
        <w:rPr>
          <w:rFonts w:eastAsia="Times New Roman" w:cs="Arial"/>
          <w:color w:val="000000"/>
          <w:lang w:eastAsia="bg-BG"/>
        </w:rPr>
        <w:t xml:space="preserve">Времето до влошаване е предварително определено като времето между изходното ниво и първата проява на увеличение ≥ 10 точки спрямо изходното ниво в скоровете на симптома болка. Добавянето на </w:t>
      </w:r>
      <w:proofErr w:type="spellStart"/>
      <w:r w:rsidRPr="0022136D">
        <w:rPr>
          <w:rFonts w:eastAsia="Times New Roman" w:cs="Arial"/>
          <w:color w:val="000000"/>
          <w:lang w:eastAsia="bg-BG"/>
        </w:rPr>
        <w:t>палбоциклиб</w:t>
      </w:r>
      <w:proofErr w:type="spellEnd"/>
      <w:r w:rsidRPr="0022136D">
        <w:rPr>
          <w:rFonts w:eastAsia="Times New Roman" w:cs="Arial"/>
          <w:color w:val="000000"/>
          <w:lang w:eastAsia="bg-BG"/>
        </w:rPr>
        <w:t xml:space="preserve"> към </w:t>
      </w:r>
      <w:proofErr w:type="spellStart"/>
      <w:r w:rsidRPr="0022136D">
        <w:rPr>
          <w:rFonts w:eastAsia="Times New Roman" w:cs="Arial"/>
          <w:color w:val="000000"/>
          <w:lang w:eastAsia="bg-BG"/>
        </w:rPr>
        <w:t>фулвестрант</w:t>
      </w:r>
      <w:proofErr w:type="spellEnd"/>
      <w:r w:rsidRPr="0022136D">
        <w:rPr>
          <w:rFonts w:eastAsia="Times New Roman" w:cs="Arial"/>
          <w:color w:val="000000"/>
          <w:lang w:eastAsia="bg-BG"/>
        </w:rPr>
        <w:t xml:space="preserve"> води до полза по отношение на симптомите чрез значително удължаване на вр</w:t>
      </w:r>
      <w:r>
        <w:rPr>
          <w:rFonts w:eastAsia="Times New Roman" w:cs="Arial"/>
          <w:color w:val="000000"/>
          <w:lang w:eastAsia="bg-BG"/>
        </w:rPr>
        <w:t>емето до влошаване на симптома б</w:t>
      </w:r>
      <w:r w:rsidRPr="0022136D">
        <w:rPr>
          <w:rFonts w:eastAsia="Times New Roman" w:cs="Arial"/>
          <w:color w:val="000000"/>
          <w:lang w:eastAsia="bg-BG"/>
        </w:rPr>
        <w:t>олка в</w:t>
      </w:r>
      <w:r>
        <w:rPr>
          <w:rFonts w:eastAsia="Times New Roman" w:cs="Arial"/>
          <w:color w:val="000000"/>
          <w:lang w:eastAsia="bg-BG"/>
        </w:rPr>
        <w:t xml:space="preserve"> </w:t>
      </w:r>
      <w:r w:rsidRPr="0022136D">
        <w:rPr>
          <w:rFonts w:eastAsia="Times New Roman" w:cs="Arial"/>
          <w:color w:val="000000"/>
          <w:lang w:eastAsia="bg-BG"/>
        </w:rPr>
        <w:t xml:space="preserve">сравнение с </w:t>
      </w:r>
      <w:proofErr w:type="spellStart"/>
      <w:r w:rsidRPr="0022136D">
        <w:rPr>
          <w:rFonts w:eastAsia="Times New Roman" w:cs="Arial"/>
          <w:color w:val="000000"/>
          <w:lang w:eastAsia="bg-BG"/>
        </w:rPr>
        <w:t>фулвестрант</w:t>
      </w:r>
      <w:proofErr w:type="spellEnd"/>
      <w:r w:rsidRPr="0022136D">
        <w:rPr>
          <w:rFonts w:eastAsia="Times New Roman" w:cs="Arial"/>
          <w:color w:val="000000"/>
          <w:lang w:eastAsia="bg-BG"/>
        </w:rPr>
        <w:t xml:space="preserve"> плюс плацебо (средно 8,0 месеца спрямо 2,8 месеца; </w:t>
      </w:r>
      <w:r w:rsidRPr="0022136D">
        <w:rPr>
          <w:rFonts w:eastAsia="Times New Roman" w:cs="Arial"/>
          <w:color w:val="000000"/>
          <w:lang w:val="en-US"/>
        </w:rPr>
        <w:t>HR</w:t>
      </w:r>
      <w:r w:rsidRPr="00114D09">
        <w:rPr>
          <w:rFonts w:eastAsia="Times New Roman" w:cs="Arial"/>
          <w:color w:val="000000"/>
          <w:lang w:val="ru-RU"/>
        </w:rPr>
        <w:t xml:space="preserve"> </w:t>
      </w:r>
      <w:r w:rsidRPr="0022136D">
        <w:rPr>
          <w:rFonts w:eastAsia="Times New Roman" w:cs="Arial"/>
          <w:color w:val="000000"/>
          <w:lang w:eastAsia="bg-BG"/>
        </w:rPr>
        <w:t>0,64 [95% ДИ 0,49, 0,85]; р &lt; 0,001).</w:t>
      </w:r>
    </w:p>
    <w:p w14:paraId="09026A80" w14:textId="77777777" w:rsidR="0022136D" w:rsidRDefault="0022136D" w:rsidP="0022136D">
      <w:pPr>
        <w:spacing w:line="240" w:lineRule="auto"/>
        <w:rPr>
          <w:rFonts w:ascii="Times New Roman" w:eastAsia="Times New Roman" w:hAnsi="Times New Roman" w:cs="Times New Roman"/>
          <w:i/>
          <w:iCs/>
          <w:color w:val="000000"/>
          <w:lang w:eastAsia="bg-BG"/>
        </w:rPr>
      </w:pPr>
    </w:p>
    <w:p w14:paraId="3EB7485B" w14:textId="2E0B77DF" w:rsidR="0022136D" w:rsidRPr="0022136D" w:rsidRDefault="0022136D" w:rsidP="0022136D">
      <w:pPr>
        <w:spacing w:line="240" w:lineRule="auto"/>
        <w:rPr>
          <w:rFonts w:eastAsia="Times New Roman" w:cs="Arial"/>
          <w:sz w:val="24"/>
          <w:szCs w:val="24"/>
          <w:lang w:eastAsia="bg-BG"/>
        </w:rPr>
      </w:pPr>
      <w:r w:rsidRPr="0022136D">
        <w:rPr>
          <w:rFonts w:eastAsia="Times New Roman" w:cs="Arial"/>
          <w:i/>
          <w:iCs/>
          <w:color w:val="000000"/>
          <w:lang w:eastAsia="bg-BG"/>
        </w:rPr>
        <w:t>Ефекти върху постменопаузалния ендометриум</w:t>
      </w:r>
    </w:p>
    <w:p w14:paraId="185F9145" w14:textId="77777777"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 xml:space="preserve">Предклиничните данни не предполагат стимулиращ ефект на фулвестрант върху постменопаузалния ендометриум (вж. точка 53). Двуседмично проучване при здрави </w:t>
      </w:r>
      <w:proofErr w:type="spellStart"/>
      <w:r w:rsidRPr="0022136D">
        <w:rPr>
          <w:rFonts w:eastAsia="Times New Roman" w:cs="Arial"/>
          <w:color w:val="000000"/>
          <w:lang w:eastAsia="bg-BG"/>
        </w:rPr>
        <w:t>постменопаузални</w:t>
      </w:r>
      <w:proofErr w:type="spellEnd"/>
      <w:r w:rsidRPr="0022136D">
        <w:rPr>
          <w:rFonts w:eastAsia="Times New Roman" w:cs="Arial"/>
          <w:color w:val="000000"/>
          <w:lang w:eastAsia="bg-BG"/>
        </w:rPr>
        <w:t xml:space="preserve"> жени доброволци, лекувани с 20 микрограма </w:t>
      </w:r>
      <w:proofErr w:type="spellStart"/>
      <w:r w:rsidRPr="0022136D">
        <w:rPr>
          <w:rFonts w:eastAsia="Times New Roman" w:cs="Arial"/>
          <w:color w:val="000000"/>
          <w:lang w:eastAsia="bg-BG"/>
        </w:rPr>
        <w:t>етинилестрадиол</w:t>
      </w:r>
      <w:proofErr w:type="spellEnd"/>
      <w:r w:rsidRPr="0022136D">
        <w:rPr>
          <w:rFonts w:eastAsia="Times New Roman" w:cs="Arial"/>
          <w:color w:val="000000"/>
          <w:lang w:eastAsia="bg-BG"/>
        </w:rPr>
        <w:t xml:space="preserve"> дневно показва, че предварителна терапия с </w:t>
      </w:r>
      <w:proofErr w:type="spellStart"/>
      <w:r w:rsidRPr="0022136D">
        <w:rPr>
          <w:rFonts w:eastAsia="Times New Roman" w:cs="Arial"/>
          <w:color w:val="000000"/>
          <w:lang w:eastAsia="bg-BG"/>
        </w:rPr>
        <w:t>фулвестрант</w:t>
      </w:r>
      <w:proofErr w:type="spellEnd"/>
      <w:r w:rsidRPr="0022136D">
        <w:rPr>
          <w:rFonts w:eastAsia="Times New Roman" w:cs="Arial"/>
          <w:color w:val="000000"/>
          <w:lang w:eastAsia="bg-BG"/>
        </w:rPr>
        <w:t xml:space="preserve"> 250 </w:t>
      </w:r>
      <w:r w:rsidRPr="0022136D">
        <w:rPr>
          <w:rFonts w:eastAsia="Times New Roman" w:cs="Arial"/>
          <w:color w:val="000000"/>
          <w:lang w:val="en-US"/>
        </w:rPr>
        <w:t>mg</w:t>
      </w:r>
      <w:r w:rsidRPr="00114D09">
        <w:rPr>
          <w:rFonts w:eastAsia="Times New Roman" w:cs="Arial"/>
          <w:color w:val="000000"/>
          <w:lang w:val="ru-RU"/>
        </w:rPr>
        <w:t xml:space="preserve"> </w:t>
      </w:r>
      <w:r w:rsidRPr="0022136D">
        <w:rPr>
          <w:rFonts w:eastAsia="Times New Roman" w:cs="Arial"/>
          <w:color w:val="000000"/>
          <w:lang w:eastAsia="bg-BG"/>
        </w:rPr>
        <w:t xml:space="preserve">води до значително понижена стимулация на </w:t>
      </w:r>
      <w:proofErr w:type="spellStart"/>
      <w:r w:rsidRPr="0022136D">
        <w:rPr>
          <w:rFonts w:eastAsia="Times New Roman" w:cs="Arial"/>
          <w:color w:val="000000"/>
          <w:lang w:eastAsia="bg-BG"/>
        </w:rPr>
        <w:t>постменопаузалния</w:t>
      </w:r>
      <w:proofErr w:type="spellEnd"/>
      <w:r w:rsidRPr="0022136D">
        <w:rPr>
          <w:rFonts w:eastAsia="Times New Roman" w:cs="Arial"/>
          <w:color w:val="000000"/>
          <w:lang w:eastAsia="bg-BG"/>
        </w:rPr>
        <w:t xml:space="preserve"> </w:t>
      </w:r>
      <w:proofErr w:type="spellStart"/>
      <w:r w:rsidRPr="0022136D">
        <w:rPr>
          <w:rFonts w:eastAsia="Times New Roman" w:cs="Arial"/>
          <w:color w:val="000000"/>
          <w:lang w:eastAsia="bg-BG"/>
        </w:rPr>
        <w:t>ендометриум</w:t>
      </w:r>
      <w:proofErr w:type="spellEnd"/>
      <w:r w:rsidRPr="0022136D">
        <w:rPr>
          <w:rFonts w:eastAsia="Times New Roman" w:cs="Arial"/>
          <w:color w:val="000000"/>
          <w:lang w:eastAsia="bg-BG"/>
        </w:rPr>
        <w:t xml:space="preserve"> в сравнение с предварително третиране с плацебо, установено чрез ултразвуково измерване на дебелината на </w:t>
      </w:r>
      <w:proofErr w:type="spellStart"/>
      <w:r w:rsidRPr="0022136D">
        <w:rPr>
          <w:rFonts w:eastAsia="Times New Roman" w:cs="Arial"/>
          <w:color w:val="000000"/>
          <w:lang w:eastAsia="bg-BG"/>
        </w:rPr>
        <w:t>ендометриума</w:t>
      </w:r>
      <w:proofErr w:type="spellEnd"/>
      <w:r w:rsidRPr="0022136D">
        <w:rPr>
          <w:rFonts w:eastAsia="Times New Roman" w:cs="Arial"/>
          <w:color w:val="000000"/>
          <w:lang w:eastAsia="bg-BG"/>
        </w:rPr>
        <w:t>.</w:t>
      </w:r>
    </w:p>
    <w:p w14:paraId="4C4C815C" w14:textId="77777777" w:rsidR="0022136D" w:rsidRPr="0022136D" w:rsidRDefault="0022136D" w:rsidP="0022136D">
      <w:pPr>
        <w:spacing w:line="240" w:lineRule="auto"/>
        <w:rPr>
          <w:rFonts w:eastAsia="Times New Roman" w:cs="Arial"/>
          <w:color w:val="000000"/>
          <w:lang w:eastAsia="bg-BG"/>
        </w:rPr>
      </w:pPr>
    </w:p>
    <w:p w14:paraId="2554BF1D" w14:textId="06F0507D" w:rsidR="0022136D" w:rsidRPr="0022136D" w:rsidRDefault="0022136D" w:rsidP="0022136D">
      <w:pPr>
        <w:spacing w:line="240" w:lineRule="auto"/>
        <w:rPr>
          <w:rFonts w:eastAsia="Times New Roman" w:cs="Arial"/>
          <w:sz w:val="24"/>
          <w:szCs w:val="24"/>
          <w:lang w:eastAsia="bg-BG"/>
        </w:rPr>
      </w:pPr>
      <w:proofErr w:type="spellStart"/>
      <w:r w:rsidRPr="0022136D">
        <w:rPr>
          <w:rFonts w:eastAsia="Times New Roman" w:cs="Arial"/>
          <w:color w:val="000000"/>
          <w:lang w:eastAsia="bg-BG"/>
        </w:rPr>
        <w:t>Неоадювантното</w:t>
      </w:r>
      <w:proofErr w:type="spellEnd"/>
      <w:r w:rsidRPr="0022136D">
        <w:rPr>
          <w:rFonts w:eastAsia="Times New Roman" w:cs="Arial"/>
          <w:color w:val="000000"/>
          <w:lang w:eastAsia="bg-BG"/>
        </w:rPr>
        <w:t xml:space="preserve"> лечение с продължителност до 16 седмици при пациентки с рак на гърдата с </w:t>
      </w:r>
      <w:proofErr w:type="spellStart"/>
      <w:r w:rsidRPr="0022136D">
        <w:rPr>
          <w:rFonts w:eastAsia="Times New Roman" w:cs="Arial"/>
          <w:color w:val="000000"/>
          <w:lang w:eastAsia="bg-BG"/>
        </w:rPr>
        <w:t>фулвестрант</w:t>
      </w:r>
      <w:proofErr w:type="spellEnd"/>
      <w:r w:rsidRPr="0022136D">
        <w:rPr>
          <w:rFonts w:eastAsia="Times New Roman" w:cs="Arial"/>
          <w:color w:val="000000"/>
          <w:lang w:eastAsia="bg-BG"/>
        </w:rPr>
        <w:t xml:space="preserve"> 500 </w:t>
      </w:r>
      <w:r w:rsidRPr="0022136D">
        <w:rPr>
          <w:rFonts w:eastAsia="Times New Roman" w:cs="Arial"/>
          <w:color w:val="000000"/>
          <w:lang w:val="en-US"/>
        </w:rPr>
        <w:t>mg</w:t>
      </w:r>
      <w:r w:rsidRPr="00114D09">
        <w:rPr>
          <w:rFonts w:eastAsia="Times New Roman" w:cs="Arial"/>
          <w:color w:val="000000"/>
          <w:lang w:val="ru-RU"/>
        </w:rPr>
        <w:t xml:space="preserve"> </w:t>
      </w:r>
      <w:r w:rsidRPr="0022136D">
        <w:rPr>
          <w:rFonts w:eastAsia="Times New Roman" w:cs="Arial"/>
          <w:color w:val="000000"/>
          <w:lang w:eastAsia="bg-BG"/>
        </w:rPr>
        <w:t xml:space="preserve">или </w:t>
      </w:r>
      <w:proofErr w:type="spellStart"/>
      <w:r w:rsidRPr="0022136D">
        <w:rPr>
          <w:rFonts w:eastAsia="Times New Roman" w:cs="Arial"/>
          <w:color w:val="000000"/>
          <w:lang w:eastAsia="bg-BG"/>
        </w:rPr>
        <w:t>фулвестрант</w:t>
      </w:r>
      <w:proofErr w:type="spellEnd"/>
      <w:r w:rsidRPr="0022136D">
        <w:rPr>
          <w:rFonts w:eastAsia="Times New Roman" w:cs="Arial"/>
          <w:color w:val="000000"/>
          <w:lang w:eastAsia="bg-BG"/>
        </w:rPr>
        <w:t xml:space="preserve"> 250 </w:t>
      </w:r>
      <w:r w:rsidRPr="0022136D">
        <w:rPr>
          <w:rFonts w:eastAsia="Times New Roman" w:cs="Arial"/>
          <w:color w:val="000000"/>
          <w:lang w:val="en-US"/>
        </w:rPr>
        <w:t>mg</w:t>
      </w:r>
      <w:r w:rsidRPr="00114D09">
        <w:rPr>
          <w:rFonts w:eastAsia="Times New Roman" w:cs="Arial"/>
          <w:color w:val="000000"/>
          <w:lang w:val="ru-RU"/>
        </w:rPr>
        <w:t xml:space="preserve"> </w:t>
      </w:r>
      <w:r w:rsidRPr="0022136D">
        <w:rPr>
          <w:rFonts w:eastAsia="Times New Roman" w:cs="Arial"/>
          <w:color w:val="000000"/>
          <w:lang w:eastAsia="bg-BG"/>
        </w:rPr>
        <w:t xml:space="preserve">не води до значими промени в дебелината на </w:t>
      </w:r>
      <w:proofErr w:type="spellStart"/>
      <w:r w:rsidRPr="0022136D">
        <w:rPr>
          <w:rFonts w:eastAsia="Times New Roman" w:cs="Arial"/>
          <w:color w:val="000000"/>
          <w:lang w:eastAsia="bg-BG"/>
        </w:rPr>
        <w:t>ендометриума</w:t>
      </w:r>
      <w:proofErr w:type="spellEnd"/>
      <w:r w:rsidRPr="0022136D">
        <w:rPr>
          <w:rFonts w:eastAsia="Times New Roman" w:cs="Arial"/>
          <w:color w:val="000000"/>
          <w:lang w:eastAsia="bg-BG"/>
        </w:rPr>
        <w:t xml:space="preserve">, което говори за липса на </w:t>
      </w:r>
      <w:proofErr w:type="spellStart"/>
      <w:r w:rsidRPr="0022136D">
        <w:rPr>
          <w:rFonts w:eastAsia="Times New Roman" w:cs="Arial"/>
          <w:color w:val="000000"/>
          <w:lang w:eastAsia="bg-BG"/>
        </w:rPr>
        <w:t>агонизъм</w:t>
      </w:r>
      <w:proofErr w:type="spellEnd"/>
      <w:r w:rsidRPr="0022136D">
        <w:rPr>
          <w:rFonts w:eastAsia="Times New Roman" w:cs="Arial"/>
          <w:color w:val="000000"/>
          <w:lang w:eastAsia="bg-BG"/>
        </w:rPr>
        <w:t>. Няма данни за нежелани реакции по отношение на ендометриума при проучваните пациенти с рак на гърдата. Няма данни по отношение на морфологията на ендометриума.</w:t>
      </w:r>
    </w:p>
    <w:p w14:paraId="2270FE33" w14:textId="77777777" w:rsidR="0022136D" w:rsidRPr="0022136D" w:rsidRDefault="0022136D" w:rsidP="0022136D">
      <w:pPr>
        <w:spacing w:line="240" w:lineRule="auto"/>
        <w:rPr>
          <w:rFonts w:eastAsia="Times New Roman" w:cs="Arial"/>
          <w:color w:val="000000"/>
          <w:lang w:eastAsia="bg-BG"/>
        </w:rPr>
      </w:pPr>
    </w:p>
    <w:p w14:paraId="3F34741B" w14:textId="3CBC64BA"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При две краткосрочни проучвания (1 и 12 седмици) при пременопаузални пациентки с доброкачествено гинекологично заболяване, между групите на фулвестрант и плацебо не са наблюдавани значими разлики в ехографски измерената дебелина на ендометриума.</w:t>
      </w:r>
    </w:p>
    <w:p w14:paraId="6565A177" w14:textId="77777777" w:rsidR="0022136D" w:rsidRPr="0022136D" w:rsidRDefault="0022136D" w:rsidP="0022136D">
      <w:pPr>
        <w:spacing w:line="240" w:lineRule="auto"/>
        <w:rPr>
          <w:rFonts w:eastAsia="Times New Roman" w:cs="Arial"/>
          <w:i/>
          <w:iCs/>
          <w:color w:val="000000"/>
          <w:lang w:eastAsia="bg-BG"/>
        </w:rPr>
      </w:pPr>
    </w:p>
    <w:p w14:paraId="5A570EF7" w14:textId="59672790" w:rsidR="0022136D" w:rsidRPr="0022136D" w:rsidRDefault="0022136D" w:rsidP="0022136D">
      <w:pPr>
        <w:spacing w:line="240" w:lineRule="auto"/>
        <w:rPr>
          <w:rFonts w:eastAsia="Times New Roman" w:cs="Arial"/>
          <w:sz w:val="24"/>
          <w:szCs w:val="24"/>
          <w:lang w:eastAsia="bg-BG"/>
        </w:rPr>
      </w:pPr>
      <w:r w:rsidRPr="0022136D">
        <w:rPr>
          <w:rFonts w:eastAsia="Times New Roman" w:cs="Arial"/>
          <w:i/>
          <w:iCs/>
          <w:color w:val="000000"/>
          <w:lang w:eastAsia="bg-BG"/>
        </w:rPr>
        <w:t>Ефекти върху костите</w:t>
      </w:r>
    </w:p>
    <w:p w14:paraId="58E60DCB" w14:textId="77777777"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 xml:space="preserve">Няма дългосрочни клинични данни за ефекта на фулвестрант върху костите. </w:t>
      </w:r>
      <w:proofErr w:type="spellStart"/>
      <w:r w:rsidRPr="0022136D">
        <w:rPr>
          <w:rFonts w:eastAsia="Times New Roman" w:cs="Arial"/>
          <w:color w:val="000000"/>
          <w:lang w:eastAsia="bg-BG"/>
        </w:rPr>
        <w:t>Неоадювантното</w:t>
      </w:r>
      <w:proofErr w:type="spellEnd"/>
      <w:r w:rsidRPr="0022136D">
        <w:rPr>
          <w:rFonts w:eastAsia="Times New Roman" w:cs="Arial"/>
          <w:color w:val="000000"/>
          <w:lang w:eastAsia="bg-BG"/>
        </w:rPr>
        <w:t xml:space="preserve"> лечение с продължителност до 16 седмици при пациенти с рак на гърдата с </w:t>
      </w:r>
      <w:proofErr w:type="spellStart"/>
      <w:r w:rsidRPr="0022136D">
        <w:rPr>
          <w:rFonts w:eastAsia="Times New Roman" w:cs="Arial"/>
          <w:color w:val="000000"/>
          <w:lang w:eastAsia="bg-BG"/>
        </w:rPr>
        <w:t>фулвестрант</w:t>
      </w:r>
      <w:proofErr w:type="spellEnd"/>
      <w:r w:rsidRPr="0022136D">
        <w:rPr>
          <w:rFonts w:eastAsia="Times New Roman" w:cs="Arial"/>
          <w:color w:val="000000"/>
          <w:lang w:eastAsia="bg-BG"/>
        </w:rPr>
        <w:t xml:space="preserve"> 500 </w:t>
      </w:r>
      <w:r w:rsidRPr="0022136D">
        <w:rPr>
          <w:rFonts w:eastAsia="Times New Roman" w:cs="Arial"/>
          <w:color w:val="000000"/>
          <w:lang w:val="en-US"/>
        </w:rPr>
        <w:t>mg</w:t>
      </w:r>
      <w:r w:rsidRPr="00114D09">
        <w:rPr>
          <w:rFonts w:eastAsia="Times New Roman" w:cs="Arial"/>
          <w:color w:val="000000"/>
          <w:lang w:val="ru-RU"/>
        </w:rPr>
        <w:t xml:space="preserve"> </w:t>
      </w:r>
      <w:r w:rsidRPr="0022136D">
        <w:rPr>
          <w:rFonts w:eastAsia="Times New Roman" w:cs="Arial"/>
          <w:color w:val="000000"/>
          <w:lang w:eastAsia="bg-BG"/>
        </w:rPr>
        <w:t xml:space="preserve">или </w:t>
      </w:r>
      <w:proofErr w:type="spellStart"/>
      <w:r w:rsidRPr="0022136D">
        <w:rPr>
          <w:rFonts w:eastAsia="Times New Roman" w:cs="Arial"/>
          <w:color w:val="000000"/>
          <w:lang w:eastAsia="bg-BG"/>
        </w:rPr>
        <w:t>фулвестрант</w:t>
      </w:r>
      <w:proofErr w:type="spellEnd"/>
      <w:r w:rsidRPr="0022136D">
        <w:rPr>
          <w:rFonts w:eastAsia="Times New Roman" w:cs="Arial"/>
          <w:color w:val="000000"/>
          <w:lang w:eastAsia="bg-BG"/>
        </w:rPr>
        <w:t xml:space="preserve"> 250 </w:t>
      </w:r>
      <w:r w:rsidRPr="0022136D">
        <w:rPr>
          <w:rFonts w:eastAsia="Times New Roman" w:cs="Arial"/>
          <w:color w:val="000000"/>
          <w:lang w:val="en-US"/>
        </w:rPr>
        <w:t>mg</w:t>
      </w:r>
      <w:r w:rsidRPr="00114D09">
        <w:rPr>
          <w:rFonts w:eastAsia="Times New Roman" w:cs="Arial"/>
          <w:color w:val="000000"/>
          <w:lang w:val="ru-RU"/>
        </w:rPr>
        <w:t xml:space="preserve"> </w:t>
      </w:r>
      <w:r w:rsidRPr="0022136D">
        <w:rPr>
          <w:rFonts w:eastAsia="Times New Roman" w:cs="Arial"/>
          <w:color w:val="000000"/>
          <w:lang w:eastAsia="bg-BG"/>
        </w:rPr>
        <w:t>не води до клинично значими промени в стойностите на серумните маркери на костния обмен.</w:t>
      </w:r>
    </w:p>
    <w:p w14:paraId="2429246D" w14:textId="77777777" w:rsidR="0022136D" w:rsidRPr="0022136D" w:rsidRDefault="0022136D" w:rsidP="0022136D">
      <w:pPr>
        <w:spacing w:line="240" w:lineRule="auto"/>
        <w:rPr>
          <w:rFonts w:eastAsia="Times New Roman" w:cs="Arial"/>
          <w:color w:val="000000"/>
          <w:u w:val="single"/>
          <w:lang w:eastAsia="bg-BG"/>
        </w:rPr>
      </w:pPr>
    </w:p>
    <w:p w14:paraId="0CAC0C73" w14:textId="34365A0B"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u w:val="single"/>
          <w:lang w:eastAsia="bg-BG"/>
        </w:rPr>
        <w:t>Педиатрична популация</w:t>
      </w:r>
    </w:p>
    <w:p w14:paraId="3F665A3D" w14:textId="77777777"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Фулвестрант не е показан за употреба при деца. Европейската агенция по лекарствата освобождава от задължението за предоставяне на резултатите от проучванията с фулвестрант във всички подгрупи на педиатричната популация за рак на гърдата (вж. точка 4.2 за информация относно педиатричната употреба).</w:t>
      </w:r>
    </w:p>
    <w:p w14:paraId="01F0EF11" w14:textId="54A0B46B" w:rsidR="0022136D" w:rsidRPr="0022136D" w:rsidRDefault="0022136D" w:rsidP="0022136D">
      <w:pPr>
        <w:rPr>
          <w:rFonts w:cs="Arial"/>
        </w:rPr>
      </w:pPr>
      <w:r w:rsidRPr="0022136D">
        <w:rPr>
          <w:rFonts w:eastAsia="Times New Roman" w:cs="Arial"/>
          <w:color w:val="000000"/>
          <w:lang w:eastAsia="bg-BG"/>
        </w:rPr>
        <w:t xml:space="preserve">Открито, фаза II проучване проследява безопасността, ефикасността и фармакокинетиката на </w:t>
      </w:r>
      <w:proofErr w:type="spellStart"/>
      <w:r w:rsidRPr="0022136D">
        <w:rPr>
          <w:rFonts w:eastAsia="Times New Roman" w:cs="Arial"/>
          <w:color w:val="000000"/>
          <w:lang w:eastAsia="bg-BG"/>
        </w:rPr>
        <w:t>фулвестрант</w:t>
      </w:r>
      <w:proofErr w:type="spellEnd"/>
      <w:r w:rsidRPr="0022136D">
        <w:rPr>
          <w:rFonts w:eastAsia="Times New Roman" w:cs="Arial"/>
          <w:color w:val="000000"/>
          <w:lang w:eastAsia="bg-BG"/>
        </w:rPr>
        <w:t xml:space="preserve"> при 30 момичета на възраст от 1 до 8 години с прогресивен преждевременен пубертет, свързан със синдром на </w:t>
      </w:r>
      <w:r w:rsidRPr="0022136D">
        <w:rPr>
          <w:rFonts w:eastAsia="Times New Roman" w:cs="Arial"/>
          <w:color w:val="000000"/>
          <w:lang w:val="en-US"/>
        </w:rPr>
        <w:t>McCune</w:t>
      </w:r>
      <w:r w:rsidRPr="00114D09">
        <w:rPr>
          <w:rFonts w:eastAsia="Times New Roman" w:cs="Arial"/>
          <w:color w:val="000000"/>
          <w:lang w:val="ru-RU"/>
        </w:rPr>
        <w:t xml:space="preserve"> </w:t>
      </w:r>
      <w:r w:rsidRPr="0022136D">
        <w:rPr>
          <w:rFonts w:eastAsia="Times New Roman" w:cs="Arial"/>
          <w:color w:val="000000"/>
          <w:lang w:val="en-US"/>
        </w:rPr>
        <w:t>Albright</w:t>
      </w:r>
      <w:r w:rsidRPr="00114D09">
        <w:rPr>
          <w:rFonts w:eastAsia="Times New Roman" w:cs="Arial"/>
          <w:color w:val="000000"/>
          <w:lang w:val="ru-RU"/>
        </w:rPr>
        <w:t xml:space="preserve"> (</w:t>
      </w:r>
      <w:r w:rsidRPr="0022136D">
        <w:rPr>
          <w:rFonts w:eastAsia="Times New Roman" w:cs="Arial"/>
          <w:color w:val="000000"/>
          <w:lang w:val="en-US"/>
        </w:rPr>
        <w:t>MAS</w:t>
      </w:r>
      <w:r w:rsidRPr="00114D09">
        <w:rPr>
          <w:rFonts w:eastAsia="Times New Roman" w:cs="Arial"/>
          <w:color w:val="000000"/>
          <w:lang w:val="ru-RU"/>
        </w:rPr>
        <w:t xml:space="preserve">). </w:t>
      </w:r>
      <w:r w:rsidRPr="0022136D">
        <w:rPr>
          <w:rFonts w:eastAsia="Times New Roman" w:cs="Arial"/>
          <w:color w:val="000000"/>
          <w:lang w:eastAsia="bg-BG"/>
        </w:rPr>
        <w:t xml:space="preserve">Педиатричните пациенти са получавали 4 </w:t>
      </w:r>
      <w:r w:rsidRPr="0022136D">
        <w:rPr>
          <w:rFonts w:eastAsia="Times New Roman" w:cs="Arial"/>
          <w:color w:val="000000"/>
          <w:lang w:val="en-US"/>
        </w:rPr>
        <w:t>mg</w:t>
      </w:r>
      <w:r w:rsidRPr="00114D09">
        <w:rPr>
          <w:rFonts w:eastAsia="Times New Roman" w:cs="Arial"/>
          <w:color w:val="000000"/>
          <w:lang w:val="ru-RU"/>
        </w:rPr>
        <w:t>/</w:t>
      </w:r>
      <w:r w:rsidRPr="0022136D">
        <w:rPr>
          <w:rFonts w:eastAsia="Times New Roman" w:cs="Arial"/>
          <w:color w:val="000000"/>
          <w:lang w:val="en-US"/>
        </w:rPr>
        <w:t>kg</w:t>
      </w:r>
      <w:r w:rsidRPr="00114D09">
        <w:rPr>
          <w:rFonts w:eastAsia="Times New Roman" w:cs="Arial"/>
          <w:color w:val="000000"/>
          <w:lang w:val="ru-RU"/>
        </w:rPr>
        <w:t xml:space="preserve"> </w:t>
      </w:r>
      <w:r w:rsidRPr="0022136D">
        <w:rPr>
          <w:rFonts w:eastAsia="Times New Roman" w:cs="Arial"/>
          <w:color w:val="000000"/>
          <w:lang w:eastAsia="bg-BG"/>
        </w:rPr>
        <w:t xml:space="preserve">месечна интрамускулна доза </w:t>
      </w:r>
      <w:proofErr w:type="spellStart"/>
      <w:r w:rsidRPr="0022136D">
        <w:rPr>
          <w:rFonts w:eastAsia="Times New Roman" w:cs="Arial"/>
          <w:color w:val="000000"/>
          <w:lang w:eastAsia="bg-BG"/>
        </w:rPr>
        <w:t>фулвестрант</w:t>
      </w:r>
      <w:proofErr w:type="spellEnd"/>
      <w:r w:rsidRPr="0022136D">
        <w:rPr>
          <w:rFonts w:eastAsia="Times New Roman" w:cs="Arial"/>
          <w:color w:val="000000"/>
          <w:lang w:eastAsia="bg-BG"/>
        </w:rPr>
        <w:t xml:space="preserve">. Това 12-месечно проучване е проследило набор от крайни точки на </w:t>
      </w:r>
      <w:r w:rsidRPr="0022136D">
        <w:rPr>
          <w:rFonts w:eastAsia="Times New Roman" w:cs="Arial"/>
          <w:color w:val="000000"/>
          <w:lang w:val="en-US"/>
        </w:rPr>
        <w:t>MAS</w:t>
      </w:r>
      <w:r w:rsidRPr="00114D09">
        <w:rPr>
          <w:rFonts w:eastAsia="Times New Roman" w:cs="Arial"/>
          <w:color w:val="000000"/>
          <w:lang w:val="ru-RU"/>
        </w:rPr>
        <w:t xml:space="preserve"> </w:t>
      </w:r>
      <w:r w:rsidRPr="0022136D">
        <w:rPr>
          <w:rFonts w:eastAsia="Times New Roman" w:cs="Arial"/>
          <w:color w:val="000000"/>
          <w:lang w:eastAsia="bg-BG"/>
        </w:rPr>
        <w:t>и показва редуциране честотата на вагинално кървене и редуциране скоростта на увеличаване на костната възраст. Най-ниските плазмени концентрации на фулвестрант в стационарно състояние при деца в това проучване са съизмерими с тези при възрастни (вж. точка 5.2). Няма нови съображения за безопасността, възникнали в резултат на това малко проучване, но все още не са налични 5-годишните данни.</w:t>
      </w:r>
    </w:p>
    <w:p w14:paraId="7293438A" w14:textId="77777777" w:rsidR="0022136D" w:rsidRPr="0091385D" w:rsidRDefault="0022136D" w:rsidP="0091385D"/>
    <w:p w14:paraId="35F84B81" w14:textId="6423E5BB" w:rsidR="00CF77F7" w:rsidRDefault="002C50EE" w:rsidP="004A448E">
      <w:pPr>
        <w:pStyle w:val="Heading2"/>
      </w:pPr>
      <w:r>
        <w:lastRenderedPageBreak/>
        <w:t>5.2. Фармакокинетични свойства</w:t>
      </w:r>
    </w:p>
    <w:p w14:paraId="5031193D" w14:textId="06A21EFE" w:rsidR="0091385D" w:rsidRDefault="0091385D" w:rsidP="0091385D"/>
    <w:p w14:paraId="4F992938" w14:textId="0E838043" w:rsidR="0022136D" w:rsidRPr="0022136D" w:rsidRDefault="0022136D" w:rsidP="0022136D">
      <w:pPr>
        <w:pStyle w:val="Heading3"/>
        <w:rPr>
          <w:rFonts w:eastAsia="Times New Roman"/>
          <w:u w:val="single"/>
          <w:lang w:eastAsia="bg-BG"/>
        </w:rPr>
      </w:pPr>
      <w:r w:rsidRPr="0022136D">
        <w:rPr>
          <w:rFonts w:eastAsia="Times New Roman"/>
          <w:u w:val="single"/>
          <w:lang w:eastAsia="bg-BG"/>
        </w:rPr>
        <w:t>Абсорбция</w:t>
      </w:r>
    </w:p>
    <w:p w14:paraId="41CF21E9" w14:textId="77777777"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След приложение на дългодействащия фулвестрант като интрамускулна инжекция, фулвестрант се резорбира бавно, а максималните плазмени концентрации (С</w:t>
      </w:r>
      <w:r w:rsidRPr="0022136D">
        <w:rPr>
          <w:rFonts w:eastAsia="Times New Roman" w:cs="Arial"/>
          <w:color w:val="000000"/>
          <w:vertAlign w:val="subscript"/>
          <w:lang w:val="en-US"/>
        </w:rPr>
        <w:t>max</w:t>
      </w:r>
      <w:r w:rsidRPr="0022136D">
        <w:rPr>
          <w:rFonts w:eastAsia="Times New Roman" w:cs="Arial"/>
          <w:color w:val="000000"/>
          <w:lang w:eastAsia="bg-BG"/>
        </w:rPr>
        <w:t xml:space="preserve">) се достигат след около 5 дни. При приложение на </w:t>
      </w:r>
      <w:proofErr w:type="spellStart"/>
      <w:r w:rsidRPr="0022136D">
        <w:rPr>
          <w:rFonts w:eastAsia="Times New Roman" w:cs="Arial"/>
          <w:color w:val="000000"/>
          <w:lang w:eastAsia="bg-BG"/>
        </w:rPr>
        <w:t>фулвестрант</w:t>
      </w:r>
      <w:proofErr w:type="spellEnd"/>
      <w:r w:rsidRPr="0022136D">
        <w:rPr>
          <w:rFonts w:eastAsia="Times New Roman" w:cs="Arial"/>
          <w:color w:val="000000"/>
          <w:lang w:eastAsia="bg-BG"/>
        </w:rPr>
        <w:t xml:space="preserve"> 500 </w:t>
      </w:r>
      <w:r w:rsidRPr="0022136D">
        <w:rPr>
          <w:rFonts w:eastAsia="Times New Roman" w:cs="Arial"/>
          <w:color w:val="000000"/>
          <w:lang w:val="en-US"/>
        </w:rPr>
        <w:t>mg</w:t>
      </w:r>
      <w:r w:rsidRPr="00114D09">
        <w:rPr>
          <w:rFonts w:eastAsia="Times New Roman" w:cs="Arial"/>
          <w:color w:val="000000"/>
          <w:lang w:val="ru-RU"/>
        </w:rPr>
        <w:t xml:space="preserve"> </w:t>
      </w:r>
      <w:r w:rsidRPr="0022136D">
        <w:rPr>
          <w:rFonts w:eastAsia="Times New Roman" w:cs="Arial"/>
          <w:color w:val="000000"/>
          <w:lang w:eastAsia="bg-BG"/>
        </w:rPr>
        <w:t xml:space="preserve">още през първия месец се достигат експозиции, равни на или близки до тези при стационарно състояние (средни </w:t>
      </w:r>
      <w:r w:rsidRPr="00114D09">
        <w:rPr>
          <w:rFonts w:eastAsia="Times New Roman" w:cs="Arial"/>
          <w:color w:val="000000"/>
          <w:lang w:val="ru-RU"/>
        </w:rPr>
        <w:t>[</w:t>
      </w:r>
      <w:r w:rsidRPr="0022136D">
        <w:rPr>
          <w:rFonts w:eastAsia="Times New Roman" w:cs="Arial"/>
          <w:color w:val="000000"/>
          <w:lang w:val="en-US"/>
        </w:rPr>
        <w:t>CV</w:t>
      </w:r>
      <w:r w:rsidRPr="00114D09">
        <w:rPr>
          <w:rFonts w:eastAsia="Times New Roman" w:cs="Arial"/>
          <w:color w:val="000000"/>
          <w:lang w:val="ru-RU"/>
        </w:rPr>
        <w:t xml:space="preserve">]: </w:t>
      </w:r>
      <w:r w:rsidRPr="0022136D">
        <w:rPr>
          <w:rFonts w:eastAsia="Times New Roman" w:cs="Arial"/>
          <w:color w:val="000000"/>
          <w:lang w:eastAsia="bg-BG"/>
        </w:rPr>
        <w:t xml:space="preserve">съответно </w:t>
      </w:r>
      <w:r w:rsidRPr="0022136D">
        <w:rPr>
          <w:rFonts w:eastAsia="Times New Roman" w:cs="Arial"/>
          <w:color w:val="000000"/>
          <w:lang w:val="en-US"/>
        </w:rPr>
        <w:t>AUC</w:t>
      </w:r>
      <w:r w:rsidRPr="00114D09">
        <w:rPr>
          <w:rFonts w:eastAsia="Times New Roman" w:cs="Arial"/>
          <w:color w:val="000000"/>
          <w:lang w:val="ru-RU"/>
        </w:rPr>
        <w:t xml:space="preserve"> </w:t>
      </w:r>
      <w:r w:rsidRPr="0022136D">
        <w:rPr>
          <w:rFonts w:eastAsia="Times New Roman" w:cs="Arial"/>
          <w:color w:val="000000"/>
          <w:lang w:eastAsia="bg-BG"/>
        </w:rPr>
        <w:t xml:space="preserve">475 [33,4%] </w:t>
      </w:r>
      <w:r w:rsidRPr="0022136D">
        <w:rPr>
          <w:rFonts w:eastAsia="Times New Roman" w:cs="Arial"/>
          <w:color w:val="000000"/>
          <w:lang w:val="en-US"/>
        </w:rPr>
        <w:t>ng</w:t>
      </w:r>
      <w:r w:rsidRPr="00114D09">
        <w:rPr>
          <w:rFonts w:eastAsia="Times New Roman" w:cs="Arial"/>
          <w:color w:val="000000"/>
          <w:lang w:val="ru-RU"/>
        </w:rPr>
        <w:t xml:space="preserve"> </w:t>
      </w:r>
      <w:r w:rsidRPr="0022136D">
        <w:rPr>
          <w:rFonts w:eastAsia="Times New Roman" w:cs="Arial"/>
          <w:color w:val="000000"/>
          <w:lang w:eastAsia="bg-BG"/>
        </w:rPr>
        <w:t>дни</w:t>
      </w:r>
      <w:r w:rsidRPr="00114D09">
        <w:rPr>
          <w:rFonts w:eastAsia="Times New Roman" w:cs="Arial"/>
          <w:color w:val="000000"/>
          <w:lang w:val="ru-RU"/>
        </w:rPr>
        <w:t>/</w:t>
      </w:r>
      <w:r w:rsidRPr="0022136D">
        <w:rPr>
          <w:rFonts w:eastAsia="Times New Roman" w:cs="Arial"/>
          <w:color w:val="000000"/>
          <w:lang w:val="en-US"/>
        </w:rPr>
        <w:t>ml</w:t>
      </w:r>
      <w:r w:rsidRPr="00114D09">
        <w:rPr>
          <w:rFonts w:eastAsia="Times New Roman" w:cs="Arial"/>
          <w:color w:val="000000"/>
          <w:lang w:val="ru-RU"/>
        </w:rPr>
        <w:t xml:space="preserve">, </w:t>
      </w:r>
      <w:proofErr w:type="spellStart"/>
      <w:r w:rsidRPr="0022136D">
        <w:rPr>
          <w:rFonts w:eastAsia="Times New Roman" w:cs="Arial"/>
          <w:color w:val="000000"/>
          <w:lang w:val="en-US"/>
        </w:rPr>
        <w:t>Cmax</w:t>
      </w:r>
      <w:proofErr w:type="spellEnd"/>
      <w:r w:rsidRPr="00114D09">
        <w:rPr>
          <w:rFonts w:eastAsia="Times New Roman" w:cs="Arial"/>
          <w:color w:val="000000"/>
          <w:lang w:val="ru-RU"/>
        </w:rPr>
        <w:t xml:space="preserve"> 25,</w:t>
      </w:r>
      <w:r w:rsidRPr="0022136D">
        <w:rPr>
          <w:rFonts w:eastAsia="Times New Roman" w:cs="Arial"/>
          <w:color w:val="000000"/>
          <w:lang w:val="en-US"/>
        </w:rPr>
        <w:t>l</w:t>
      </w:r>
      <w:r w:rsidRPr="00114D09">
        <w:rPr>
          <w:rFonts w:eastAsia="Times New Roman" w:cs="Arial"/>
          <w:color w:val="000000"/>
          <w:lang w:val="ru-RU"/>
        </w:rPr>
        <w:t xml:space="preserve"> </w:t>
      </w:r>
      <w:r w:rsidRPr="0022136D">
        <w:rPr>
          <w:rFonts w:eastAsia="Times New Roman" w:cs="Arial"/>
          <w:color w:val="000000"/>
          <w:lang w:eastAsia="bg-BG"/>
        </w:rPr>
        <w:t xml:space="preserve">[35,1%] </w:t>
      </w:r>
      <w:r w:rsidRPr="0022136D">
        <w:rPr>
          <w:rFonts w:eastAsia="Times New Roman" w:cs="Arial"/>
          <w:color w:val="000000"/>
          <w:lang w:val="en-US"/>
        </w:rPr>
        <w:t>ng</w:t>
      </w:r>
      <w:r w:rsidRPr="00114D09">
        <w:rPr>
          <w:rFonts w:eastAsia="Times New Roman" w:cs="Arial"/>
          <w:color w:val="000000"/>
          <w:lang w:val="ru-RU"/>
        </w:rPr>
        <w:t>/</w:t>
      </w:r>
      <w:r w:rsidRPr="0022136D">
        <w:rPr>
          <w:rFonts w:eastAsia="Times New Roman" w:cs="Arial"/>
          <w:color w:val="000000"/>
          <w:lang w:val="en-US"/>
        </w:rPr>
        <w:t>ml</w:t>
      </w:r>
      <w:r w:rsidRPr="00114D09">
        <w:rPr>
          <w:rFonts w:eastAsia="Times New Roman" w:cs="Arial"/>
          <w:color w:val="000000"/>
          <w:lang w:val="ru-RU"/>
        </w:rPr>
        <w:t xml:space="preserve">, </w:t>
      </w:r>
      <w:proofErr w:type="spellStart"/>
      <w:r w:rsidRPr="0022136D">
        <w:rPr>
          <w:rFonts w:eastAsia="Times New Roman" w:cs="Arial"/>
          <w:color w:val="000000"/>
          <w:lang w:val="en-US"/>
        </w:rPr>
        <w:t>Cmin</w:t>
      </w:r>
      <w:proofErr w:type="spellEnd"/>
      <w:r w:rsidRPr="00114D09">
        <w:rPr>
          <w:rFonts w:eastAsia="Times New Roman" w:cs="Arial"/>
          <w:color w:val="000000"/>
          <w:lang w:val="ru-RU"/>
        </w:rPr>
        <w:t xml:space="preserve"> 16,3 [25,9%] </w:t>
      </w:r>
      <w:r w:rsidRPr="0022136D">
        <w:rPr>
          <w:rFonts w:eastAsia="Times New Roman" w:cs="Arial"/>
          <w:color w:val="000000"/>
          <w:lang w:val="en-US"/>
        </w:rPr>
        <w:t>ng</w:t>
      </w:r>
      <w:r w:rsidRPr="00114D09">
        <w:rPr>
          <w:rFonts w:eastAsia="Times New Roman" w:cs="Arial"/>
          <w:color w:val="000000"/>
          <w:lang w:val="ru-RU"/>
        </w:rPr>
        <w:t>/</w:t>
      </w:r>
      <w:r w:rsidRPr="0022136D">
        <w:rPr>
          <w:rFonts w:eastAsia="Times New Roman" w:cs="Arial"/>
          <w:color w:val="000000"/>
          <w:lang w:val="en-US"/>
        </w:rPr>
        <w:t>ml</w:t>
      </w:r>
      <w:r w:rsidRPr="00114D09">
        <w:rPr>
          <w:rFonts w:eastAsia="Times New Roman" w:cs="Arial"/>
          <w:color w:val="000000"/>
          <w:lang w:val="ru-RU"/>
        </w:rPr>
        <w:t xml:space="preserve">). </w:t>
      </w:r>
      <w:r w:rsidRPr="0022136D">
        <w:rPr>
          <w:rFonts w:eastAsia="Times New Roman" w:cs="Arial"/>
          <w:color w:val="000000"/>
          <w:lang w:eastAsia="bg-BG"/>
        </w:rPr>
        <w:t>При стационарно състояние плазмената концентрация на фулвестрант се поддържа в сравнително тесен диапазон</w:t>
      </w:r>
      <w:r w:rsidRPr="0022136D">
        <w:rPr>
          <w:rFonts w:eastAsia="Times New Roman" w:cs="Arial"/>
          <w:color w:val="000000"/>
          <w:u w:val="single"/>
          <w:lang w:eastAsia="bg-BG"/>
        </w:rPr>
        <w:t xml:space="preserve"> </w:t>
      </w:r>
      <w:r w:rsidRPr="0022136D">
        <w:rPr>
          <w:rFonts w:eastAsia="Times New Roman" w:cs="Arial"/>
          <w:color w:val="000000"/>
          <w:lang w:eastAsia="bg-BG"/>
        </w:rPr>
        <w:t xml:space="preserve">с приблизително до 3-кратна разлика между максималните и най-ниските концентрации. След интрамускулно приложение, експозицията е приблизително пропорционална на дозата в </w:t>
      </w:r>
      <w:proofErr w:type="spellStart"/>
      <w:r w:rsidRPr="0022136D">
        <w:rPr>
          <w:rFonts w:eastAsia="Times New Roman" w:cs="Arial"/>
          <w:color w:val="000000"/>
          <w:lang w:eastAsia="bg-BG"/>
        </w:rPr>
        <w:t>дозовия</w:t>
      </w:r>
      <w:proofErr w:type="spellEnd"/>
      <w:r w:rsidRPr="0022136D">
        <w:rPr>
          <w:rFonts w:eastAsia="Times New Roman" w:cs="Arial"/>
          <w:color w:val="000000"/>
          <w:lang w:eastAsia="bg-BG"/>
        </w:rPr>
        <w:t xml:space="preserve"> диапазон от 50 до 500 </w:t>
      </w:r>
      <w:r w:rsidRPr="0022136D">
        <w:rPr>
          <w:rFonts w:eastAsia="Times New Roman" w:cs="Arial"/>
          <w:color w:val="000000"/>
          <w:lang w:val="en-US"/>
        </w:rPr>
        <w:t>mg</w:t>
      </w:r>
      <w:r w:rsidRPr="00114D09">
        <w:rPr>
          <w:rFonts w:eastAsia="Times New Roman" w:cs="Arial"/>
          <w:color w:val="000000"/>
          <w:lang w:val="ru-RU"/>
        </w:rPr>
        <w:t>.</w:t>
      </w:r>
    </w:p>
    <w:p w14:paraId="4254B5F2" w14:textId="77777777" w:rsidR="0022136D" w:rsidRPr="0022136D" w:rsidRDefault="0022136D" w:rsidP="0022136D">
      <w:pPr>
        <w:spacing w:line="240" w:lineRule="auto"/>
        <w:rPr>
          <w:rFonts w:eastAsia="Times New Roman" w:cs="Arial"/>
          <w:sz w:val="24"/>
          <w:szCs w:val="24"/>
          <w:lang w:eastAsia="bg-BG"/>
        </w:rPr>
      </w:pPr>
    </w:p>
    <w:p w14:paraId="148BA3FC" w14:textId="46D4D7A3" w:rsidR="0091385D" w:rsidRPr="0022136D" w:rsidRDefault="0022136D" w:rsidP="0022136D">
      <w:pPr>
        <w:pStyle w:val="Heading3"/>
        <w:rPr>
          <w:u w:val="single"/>
        </w:rPr>
      </w:pPr>
      <w:r w:rsidRPr="0022136D">
        <w:rPr>
          <w:rFonts w:eastAsia="Times New Roman"/>
          <w:u w:val="single"/>
          <w:lang w:eastAsia="bg-BG"/>
        </w:rPr>
        <w:t>Разпределение</w:t>
      </w:r>
    </w:p>
    <w:p w14:paraId="6FA80B27" w14:textId="77777777"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 xml:space="preserve">Фулвестрант има бързо и широко разпределение. Големият привиден обем на разпределение </w:t>
      </w:r>
      <w:r w:rsidRPr="00114D09">
        <w:rPr>
          <w:rFonts w:eastAsia="Times New Roman" w:cs="Arial"/>
          <w:color w:val="000000"/>
          <w:lang w:val="ru-RU"/>
        </w:rPr>
        <w:t>(</w:t>
      </w:r>
      <w:proofErr w:type="spellStart"/>
      <w:r w:rsidRPr="0022136D">
        <w:rPr>
          <w:rFonts w:eastAsia="Times New Roman" w:cs="Arial"/>
          <w:color w:val="000000"/>
          <w:lang w:val="en-US"/>
        </w:rPr>
        <w:t>Vdss</w:t>
      </w:r>
      <w:proofErr w:type="spellEnd"/>
      <w:r w:rsidRPr="00114D09">
        <w:rPr>
          <w:rFonts w:eastAsia="Times New Roman" w:cs="Arial"/>
          <w:color w:val="000000"/>
          <w:lang w:val="ru-RU"/>
        </w:rPr>
        <w:t xml:space="preserve">) </w:t>
      </w:r>
      <w:r w:rsidRPr="0022136D">
        <w:rPr>
          <w:rFonts w:eastAsia="Times New Roman" w:cs="Arial"/>
          <w:color w:val="000000"/>
          <w:lang w:eastAsia="bg-BG"/>
        </w:rPr>
        <w:t xml:space="preserve">при стационарно състояние - приблизително 3 до 5 </w:t>
      </w:r>
      <w:r w:rsidRPr="0022136D">
        <w:rPr>
          <w:rFonts w:eastAsia="Times New Roman" w:cs="Arial"/>
          <w:color w:val="000000"/>
          <w:lang w:val="en-US"/>
        </w:rPr>
        <w:t>l</w:t>
      </w:r>
      <w:r w:rsidRPr="00114D09">
        <w:rPr>
          <w:rFonts w:eastAsia="Times New Roman" w:cs="Arial"/>
          <w:color w:val="000000"/>
          <w:lang w:val="ru-RU"/>
        </w:rPr>
        <w:t>/</w:t>
      </w:r>
      <w:r w:rsidRPr="0022136D">
        <w:rPr>
          <w:rFonts w:eastAsia="Times New Roman" w:cs="Arial"/>
          <w:color w:val="000000"/>
          <w:lang w:val="en-US"/>
        </w:rPr>
        <w:t>kg</w:t>
      </w:r>
      <w:r w:rsidRPr="00114D09">
        <w:rPr>
          <w:rFonts w:eastAsia="Times New Roman" w:cs="Arial"/>
          <w:color w:val="000000"/>
          <w:lang w:val="ru-RU"/>
        </w:rPr>
        <w:t xml:space="preserve">, </w:t>
      </w:r>
      <w:r w:rsidRPr="0022136D">
        <w:rPr>
          <w:rFonts w:eastAsia="Times New Roman" w:cs="Arial"/>
          <w:color w:val="000000"/>
          <w:lang w:eastAsia="bg-BG"/>
        </w:rPr>
        <w:t xml:space="preserve">предполага, че разпределението е главно </w:t>
      </w:r>
      <w:proofErr w:type="spellStart"/>
      <w:r w:rsidRPr="0022136D">
        <w:rPr>
          <w:rFonts w:eastAsia="Times New Roman" w:cs="Arial"/>
          <w:color w:val="000000"/>
          <w:lang w:eastAsia="bg-BG"/>
        </w:rPr>
        <w:t>екстраваскуларно</w:t>
      </w:r>
      <w:proofErr w:type="spellEnd"/>
      <w:r w:rsidRPr="0022136D">
        <w:rPr>
          <w:rFonts w:eastAsia="Times New Roman" w:cs="Arial"/>
          <w:color w:val="000000"/>
          <w:lang w:eastAsia="bg-BG"/>
        </w:rPr>
        <w:t xml:space="preserve">. Фулвестрант се свързва в голяма степен (99%) с плазмените протеини. </w:t>
      </w:r>
      <w:proofErr w:type="spellStart"/>
      <w:r w:rsidRPr="0022136D">
        <w:rPr>
          <w:rFonts w:eastAsia="Times New Roman" w:cs="Arial"/>
          <w:color w:val="000000"/>
          <w:lang w:eastAsia="bg-BG"/>
        </w:rPr>
        <w:t>Липопротеините</w:t>
      </w:r>
      <w:proofErr w:type="spellEnd"/>
      <w:r w:rsidRPr="0022136D">
        <w:rPr>
          <w:rFonts w:eastAsia="Times New Roman" w:cs="Arial"/>
          <w:color w:val="000000"/>
          <w:lang w:eastAsia="bg-BG"/>
        </w:rPr>
        <w:t xml:space="preserve"> с много ниска плътност </w:t>
      </w:r>
      <w:r w:rsidRPr="00114D09">
        <w:rPr>
          <w:rFonts w:eastAsia="Times New Roman" w:cs="Arial"/>
          <w:color w:val="000000"/>
          <w:lang w:val="ru-RU"/>
        </w:rPr>
        <w:t>(</w:t>
      </w:r>
      <w:r w:rsidRPr="0022136D">
        <w:rPr>
          <w:rFonts w:eastAsia="Times New Roman" w:cs="Arial"/>
          <w:color w:val="000000"/>
          <w:lang w:val="en-US"/>
        </w:rPr>
        <w:t>VLDL</w:t>
      </w:r>
      <w:r w:rsidRPr="00114D09">
        <w:rPr>
          <w:rFonts w:eastAsia="Times New Roman" w:cs="Arial"/>
          <w:color w:val="000000"/>
          <w:lang w:val="ru-RU"/>
        </w:rPr>
        <w:t xml:space="preserve">), </w:t>
      </w:r>
      <w:proofErr w:type="spellStart"/>
      <w:r w:rsidRPr="0022136D">
        <w:rPr>
          <w:rFonts w:eastAsia="Times New Roman" w:cs="Arial"/>
          <w:color w:val="000000"/>
          <w:lang w:eastAsia="bg-BG"/>
        </w:rPr>
        <w:t>липопротеините</w:t>
      </w:r>
      <w:proofErr w:type="spellEnd"/>
      <w:r w:rsidRPr="0022136D">
        <w:rPr>
          <w:rFonts w:eastAsia="Times New Roman" w:cs="Arial"/>
          <w:color w:val="000000"/>
          <w:lang w:eastAsia="bg-BG"/>
        </w:rPr>
        <w:t xml:space="preserve"> с ниска плътност </w:t>
      </w:r>
      <w:r w:rsidRPr="00114D09">
        <w:rPr>
          <w:rFonts w:eastAsia="Times New Roman" w:cs="Arial"/>
          <w:color w:val="000000"/>
          <w:lang w:val="ru-RU"/>
        </w:rPr>
        <w:t>(</w:t>
      </w:r>
      <w:r w:rsidRPr="0022136D">
        <w:rPr>
          <w:rFonts w:eastAsia="Times New Roman" w:cs="Arial"/>
          <w:color w:val="000000"/>
          <w:lang w:val="en-US"/>
        </w:rPr>
        <w:t>LDL</w:t>
      </w:r>
      <w:r w:rsidRPr="00114D09">
        <w:rPr>
          <w:rFonts w:eastAsia="Times New Roman" w:cs="Arial"/>
          <w:color w:val="000000"/>
          <w:lang w:val="ru-RU"/>
        </w:rPr>
        <w:t xml:space="preserve">) </w:t>
      </w:r>
      <w:r w:rsidRPr="0022136D">
        <w:rPr>
          <w:rFonts w:eastAsia="Times New Roman" w:cs="Arial"/>
          <w:color w:val="000000"/>
          <w:lang w:eastAsia="bg-BG"/>
        </w:rPr>
        <w:t xml:space="preserve">и </w:t>
      </w:r>
      <w:proofErr w:type="spellStart"/>
      <w:r w:rsidRPr="0022136D">
        <w:rPr>
          <w:rFonts w:eastAsia="Times New Roman" w:cs="Arial"/>
          <w:color w:val="000000"/>
          <w:lang w:eastAsia="bg-BG"/>
        </w:rPr>
        <w:t>липопротеините</w:t>
      </w:r>
      <w:proofErr w:type="spellEnd"/>
      <w:r w:rsidRPr="0022136D">
        <w:rPr>
          <w:rFonts w:eastAsia="Times New Roman" w:cs="Arial"/>
          <w:color w:val="000000"/>
          <w:lang w:eastAsia="bg-BG"/>
        </w:rPr>
        <w:t xml:space="preserve"> с висока плътност </w:t>
      </w:r>
      <w:r w:rsidRPr="00114D09">
        <w:rPr>
          <w:rFonts w:eastAsia="Times New Roman" w:cs="Arial"/>
          <w:color w:val="000000"/>
          <w:lang w:val="ru-RU"/>
        </w:rPr>
        <w:t>(</w:t>
      </w:r>
      <w:r w:rsidRPr="0022136D">
        <w:rPr>
          <w:rFonts w:eastAsia="Times New Roman" w:cs="Arial"/>
          <w:color w:val="000000"/>
          <w:lang w:val="en-US"/>
        </w:rPr>
        <w:t>HDL</w:t>
      </w:r>
      <w:r w:rsidRPr="00114D09">
        <w:rPr>
          <w:rFonts w:eastAsia="Times New Roman" w:cs="Arial"/>
          <w:color w:val="000000"/>
          <w:lang w:val="ru-RU"/>
        </w:rPr>
        <w:t xml:space="preserve">) </w:t>
      </w:r>
      <w:r w:rsidRPr="0022136D">
        <w:rPr>
          <w:rFonts w:eastAsia="Times New Roman" w:cs="Arial"/>
          <w:color w:val="000000"/>
          <w:lang w:eastAsia="bg-BG"/>
        </w:rPr>
        <w:t xml:space="preserve">са главните свързващи компоненти. Не са проведени проучвания за взаимодействия на конкурентно свързване към протеини. Не е определена ролята на свързващия половите хормони глобулин </w:t>
      </w:r>
      <w:r w:rsidRPr="00114D09">
        <w:rPr>
          <w:rFonts w:eastAsia="Times New Roman" w:cs="Arial"/>
          <w:color w:val="000000"/>
          <w:lang w:val="ru-RU"/>
        </w:rPr>
        <w:t>(</w:t>
      </w:r>
      <w:r w:rsidRPr="0022136D">
        <w:rPr>
          <w:rFonts w:eastAsia="Times New Roman" w:cs="Arial"/>
          <w:color w:val="000000"/>
          <w:lang w:val="en-US"/>
        </w:rPr>
        <w:t>SHBG</w:t>
      </w:r>
      <w:r w:rsidRPr="00114D09">
        <w:rPr>
          <w:rFonts w:eastAsia="Times New Roman" w:cs="Arial"/>
          <w:color w:val="000000"/>
          <w:lang w:val="ru-RU"/>
        </w:rPr>
        <w:t>).</w:t>
      </w:r>
    </w:p>
    <w:p w14:paraId="60EE637F" w14:textId="77777777" w:rsidR="0022136D" w:rsidRPr="0022136D" w:rsidRDefault="0022136D" w:rsidP="0022136D">
      <w:pPr>
        <w:spacing w:line="240" w:lineRule="auto"/>
        <w:rPr>
          <w:rFonts w:eastAsia="Times New Roman" w:cs="Arial"/>
          <w:color w:val="000000"/>
          <w:u w:val="single"/>
          <w:lang w:eastAsia="bg-BG"/>
        </w:rPr>
      </w:pPr>
    </w:p>
    <w:p w14:paraId="1CC0D9FF" w14:textId="5671A5B1" w:rsidR="0022136D" w:rsidRPr="0022136D" w:rsidRDefault="0022136D" w:rsidP="0022136D">
      <w:pPr>
        <w:pStyle w:val="Heading3"/>
        <w:rPr>
          <w:rFonts w:eastAsia="Times New Roman"/>
          <w:u w:val="single"/>
          <w:lang w:eastAsia="bg-BG"/>
        </w:rPr>
      </w:pPr>
      <w:r w:rsidRPr="0022136D">
        <w:rPr>
          <w:rFonts w:eastAsia="Times New Roman"/>
          <w:u w:val="single"/>
          <w:lang w:eastAsia="bg-BG"/>
        </w:rPr>
        <w:t>Биотрансформация</w:t>
      </w:r>
    </w:p>
    <w:p w14:paraId="2D77C4CF" w14:textId="77777777"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 xml:space="preserve">Метаболизмът на фулвестрант не е установен напълно, но включва комбинации от няколко възможни пътища на биотрансформация, аналогични на тези при ендогенните стероиди. Идентифицираните метаболити (включително 17-кето, сулфон, З-сулфат, 3- и 17-глюкоронидни метаболити) са или по-малко активни или проявяват сходна на фулвестрант активност при антиестрогенните модели. Проучванията, използващи препарати от човешки черен дроб и </w:t>
      </w:r>
      <w:proofErr w:type="spellStart"/>
      <w:r w:rsidRPr="0022136D">
        <w:rPr>
          <w:rFonts w:eastAsia="Times New Roman" w:cs="Arial"/>
          <w:color w:val="000000"/>
          <w:lang w:eastAsia="bg-BG"/>
        </w:rPr>
        <w:t>рекомбинантни</w:t>
      </w:r>
      <w:proofErr w:type="spellEnd"/>
      <w:r w:rsidRPr="0022136D">
        <w:rPr>
          <w:rFonts w:eastAsia="Times New Roman" w:cs="Arial"/>
          <w:color w:val="000000"/>
          <w:lang w:eastAsia="bg-BG"/>
        </w:rPr>
        <w:t xml:space="preserve"> човешки ензими показват, че </w:t>
      </w:r>
      <w:r w:rsidRPr="0022136D">
        <w:rPr>
          <w:rFonts w:eastAsia="Times New Roman" w:cs="Arial"/>
          <w:color w:val="000000"/>
          <w:lang w:val="en-US"/>
        </w:rPr>
        <w:t>CYP</w:t>
      </w:r>
      <w:r w:rsidRPr="00114D09">
        <w:rPr>
          <w:rFonts w:eastAsia="Times New Roman" w:cs="Arial"/>
          <w:color w:val="000000"/>
          <w:lang w:val="ru-RU"/>
        </w:rPr>
        <w:t xml:space="preserve"> </w:t>
      </w:r>
      <w:r w:rsidRPr="0022136D">
        <w:rPr>
          <w:rFonts w:eastAsia="Times New Roman" w:cs="Arial"/>
          <w:color w:val="000000"/>
          <w:lang w:eastAsia="bg-BG"/>
        </w:rPr>
        <w:t xml:space="preserve">ЗА4 е единственият Р450 </w:t>
      </w:r>
      <w:proofErr w:type="spellStart"/>
      <w:r w:rsidRPr="0022136D">
        <w:rPr>
          <w:rFonts w:eastAsia="Times New Roman" w:cs="Arial"/>
          <w:color w:val="000000"/>
          <w:lang w:eastAsia="bg-BG"/>
        </w:rPr>
        <w:t>изоензим</w:t>
      </w:r>
      <w:proofErr w:type="spellEnd"/>
      <w:r w:rsidRPr="0022136D">
        <w:rPr>
          <w:rFonts w:eastAsia="Times New Roman" w:cs="Arial"/>
          <w:color w:val="000000"/>
          <w:lang w:eastAsia="bg-BG"/>
        </w:rPr>
        <w:t xml:space="preserve"> включен в оксидацията на </w:t>
      </w:r>
      <w:proofErr w:type="spellStart"/>
      <w:r w:rsidRPr="0022136D">
        <w:rPr>
          <w:rFonts w:eastAsia="Times New Roman" w:cs="Arial"/>
          <w:color w:val="000000"/>
          <w:lang w:eastAsia="bg-BG"/>
        </w:rPr>
        <w:t>фулвестрант</w:t>
      </w:r>
      <w:proofErr w:type="spellEnd"/>
      <w:r w:rsidRPr="0022136D">
        <w:rPr>
          <w:rFonts w:eastAsia="Times New Roman" w:cs="Arial"/>
          <w:color w:val="000000"/>
          <w:lang w:eastAsia="bg-BG"/>
        </w:rPr>
        <w:t xml:space="preserve">. Все пак изглежда, че други пътища, които не са свързани с Р450, доминират повече </w:t>
      </w:r>
      <w:r w:rsidRPr="0022136D">
        <w:rPr>
          <w:rFonts w:eastAsia="Times New Roman" w:cs="Arial"/>
          <w:i/>
          <w:iCs/>
          <w:color w:val="000000"/>
          <w:lang w:val="en-US"/>
        </w:rPr>
        <w:t>in</w:t>
      </w:r>
      <w:r w:rsidRPr="00114D09">
        <w:rPr>
          <w:rFonts w:eastAsia="Times New Roman" w:cs="Arial"/>
          <w:i/>
          <w:iCs/>
          <w:color w:val="000000"/>
          <w:lang w:val="ru-RU"/>
        </w:rPr>
        <w:t xml:space="preserve"> </w:t>
      </w:r>
      <w:r w:rsidRPr="0022136D">
        <w:rPr>
          <w:rFonts w:eastAsia="Times New Roman" w:cs="Arial"/>
          <w:i/>
          <w:iCs/>
          <w:color w:val="000000"/>
          <w:lang w:val="en-US"/>
        </w:rPr>
        <w:t>vivo</w:t>
      </w:r>
      <w:r w:rsidRPr="00114D09">
        <w:rPr>
          <w:rFonts w:eastAsia="Times New Roman" w:cs="Arial"/>
          <w:i/>
          <w:iCs/>
          <w:color w:val="000000"/>
          <w:lang w:val="ru-RU"/>
        </w:rPr>
        <w:t xml:space="preserve">. </w:t>
      </w:r>
      <w:r w:rsidRPr="0022136D">
        <w:rPr>
          <w:rFonts w:eastAsia="Times New Roman" w:cs="Arial"/>
          <w:i/>
          <w:iCs/>
          <w:color w:val="000000"/>
          <w:lang w:val="en-US"/>
        </w:rPr>
        <w:t>In</w:t>
      </w:r>
      <w:r w:rsidRPr="00114D09">
        <w:rPr>
          <w:rFonts w:eastAsia="Times New Roman" w:cs="Arial"/>
          <w:i/>
          <w:iCs/>
          <w:color w:val="000000"/>
          <w:lang w:val="ru-RU"/>
        </w:rPr>
        <w:t xml:space="preserve"> </w:t>
      </w:r>
      <w:r w:rsidRPr="0022136D">
        <w:rPr>
          <w:rFonts w:eastAsia="Times New Roman" w:cs="Arial"/>
          <w:i/>
          <w:iCs/>
          <w:color w:val="000000"/>
          <w:lang w:val="en-US"/>
        </w:rPr>
        <w:t>vitro</w:t>
      </w:r>
      <w:r w:rsidRPr="00114D09">
        <w:rPr>
          <w:rFonts w:eastAsia="Times New Roman" w:cs="Arial"/>
          <w:color w:val="000000"/>
          <w:lang w:val="ru-RU"/>
        </w:rPr>
        <w:t xml:space="preserve"> </w:t>
      </w:r>
      <w:r w:rsidRPr="0022136D">
        <w:rPr>
          <w:rFonts w:eastAsia="Times New Roman" w:cs="Arial"/>
          <w:color w:val="000000"/>
          <w:lang w:eastAsia="bg-BG"/>
        </w:rPr>
        <w:t xml:space="preserve">данните предполагат, че </w:t>
      </w:r>
      <w:proofErr w:type="spellStart"/>
      <w:r w:rsidRPr="0022136D">
        <w:rPr>
          <w:rFonts w:eastAsia="Times New Roman" w:cs="Arial"/>
          <w:color w:val="000000"/>
          <w:lang w:eastAsia="bg-BG"/>
        </w:rPr>
        <w:t>флувестант</w:t>
      </w:r>
      <w:proofErr w:type="spellEnd"/>
      <w:r w:rsidRPr="0022136D">
        <w:rPr>
          <w:rFonts w:eastAsia="Times New Roman" w:cs="Arial"/>
          <w:color w:val="000000"/>
          <w:lang w:eastAsia="bg-BG"/>
        </w:rPr>
        <w:t xml:space="preserve"> не инхибира </w:t>
      </w:r>
      <w:r w:rsidRPr="0022136D">
        <w:rPr>
          <w:rFonts w:eastAsia="Times New Roman" w:cs="Arial"/>
          <w:color w:val="000000"/>
          <w:lang w:val="en-US"/>
        </w:rPr>
        <w:t>CYP</w:t>
      </w:r>
      <w:r w:rsidRPr="00114D09">
        <w:rPr>
          <w:rFonts w:eastAsia="Times New Roman" w:cs="Arial"/>
          <w:color w:val="000000"/>
          <w:lang w:val="ru-RU"/>
        </w:rPr>
        <w:t xml:space="preserve"> </w:t>
      </w:r>
      <w:r w:rsidRPr="0022136D">
        <w:rPr>
          <w:rFonts w:eastAsia="Times New Roman" w:cs="Arial"/>
          <w:color w:val="000000"/>
          <w:lang w:eastAsia="bg-BG"/>
        </w:rPr>
        <w:t xml:space="preserve">ЗА4 </w:t>
      </w:r>
      <w:proofErr w:type="spellStart"/>
      <w:r w:rsidRPr="0022136D">
        <w:rPr>
          <w:rFonts w:eastAsia="Times New Roman" w:cs="Arial"/>
          <w:color w:val="000000"/>
          <w:lang w:eastAsia="bg-BG"/>
        </w:rPr>
        <w:t>изоензимиге</w:t>
      </w:r>
      <w:proofErr w:type="spellEnd"/>
      <w:r w:rsidRPr="0022136D">
        <w:rPr>
          <w:rFonts w:eastAsia="Times New Roman" w:cs="Arial"/>
          <w:color w:val="000000"/>
          <w:lang w:eastAsia="bg-BG"/>
        </w:rPr>
        <w:t>.</w:t>
      </w:r>
    </w:p>
    <w:p w14:paraId="540B7418" w14:textId="77777777" w:rsidR="0022136D" w:rsidRPr="0022136D" w:rsidRDefault="0022136D" w:rsidP="0022136D">
      <w:pPr>
        <w:spacing w:line="240" w:lineRule="auto"/>
        <w:rPr>
          <w:rFonts w:eastAsia="Times New Roman" w:cs="Arial"/>
          <w:color w:val="000000"/>
          <w:u w:val="single"/>
          <w:lang w:eastAsia="bg-BG"/>
        </w:rPr>
      </w:pPr>
    </w:p>
    <w:p w14:paraId="66C60360" w14:textId="34E86F88" w:rsidR="0022136D" w:rsidRPr="0022136D" w:rsidRDefault="0022136D" w:rsidP="0022136D">
      <w:pPr>
        <w:pStyle w:val="Heading3"/>
        <w:rPr>
          <w:rFonts w:eastAsia="Times New Roman"/>
          <w:u w:val="single"/>
          <w:lang w:eastAsia="bg-BG"/>
        </w:rPr>
      </w:pPr>
      <w:r w:rsidRPr="0022136D">
        <w:rPr>
          <w:rFonts w:eastAsia="Times New Roman"/>
          <w:u w:val="single"/>
          <w:lang w:eastAsia="bg-BG"/>
        </w:rPr>
        <w:t>Елиминиране</w:t>
      </w:r>
    </w:p>
    <w:p w14:paraId="557C7355" w14:textId="77777777"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 xml:space="preserve">Фулвестрант се елиминира главно под формата на метаболити. Основният път на екскреция е чрез фецеса с по-малко от 1% екскреция в урината. </w:t>
      </w:r>
      <w:proofErr w:type="spellStart"/>
      <w:r w:rsidRPr="0022136D">
        <w:rPr>
          <w:rFonts w:eastAsia="Times New Roman" w:cs="Arial"/>
          <w:color w:val="000000"/>
          <w:lang w:eastAsia="bg-BG"/>
        </w:rPr>
        <w:t>Фулвестрант</w:t>
      </w:r>
      <w:proofErr w:type="spellEnd"/>
      <w:r w:rsidRPr="0022136D">
        <w:rPr>
          <w:rFonts w:eastAsia="Times New Roman" w:cs="Arial"/>
          <w:color w:val="000000"/>
          <w:lang w:eastAsia="bg-BG"/>
        </w:rPr>
        <w:t xml:space="preserve"> има висок клирънс, 11±1,7 </w:t>
      </w:r>
      <w:r w:rsidRPr="0022136D">
        <w:rPr>
          <w:rFonts w:eastAsia="Times New Roman" w:cs="Arial"/>
          <w:color w:val="000000"/>
          <w:lang w:val="en-US"/>
        </w:rPr>
        <w:t>ml</w:t>
      </w:r>
      <w:r w:rsidRPr="00114D09">
        <w:rPr>
          <w:rFonts w:eastAsia="Times New Roman" w:cs="Arial"/>
          <w:color w:val="000000"/>
          <w:lang w:val="ru-RU"/>
        </w:rPr>
        <w:t>/</w:t>
      </w:r>
      <w:r w:rsidRPr="0022136D">
        <w:rPr>
          <w:rFonts w:eastAsia="Times New Roman" w:cs="Arial"/>
          <w:color w:val="000000"/>
          <w:lang w:val="en-US"/>
        </w:rPr>
        <w:t>min</w:t>
      </w:r>
      <w:r w:rsidRPr="00114D09">
        <w:rPr>
          <w:rFonts w:eastAsia="Times New Roman" w:cs="Arial"/>
          <w:color w:val="000000"/>
          <w:lang w:val="ru-RU"/>
        </w:rPr>
        <w:t>/</w:t>
      </w:r>
      <w:r w:rsidRPr="0022136D">
        <w:rPr>
          <w:rFonts w:eastAsia="Times New Roman" w:cs="Arial"/>
          <w:color w:val="000000"/>
          <w:lang w:val="en-US"/>
        </w:rPr>
        <w:t>kg</w:t>
      </w:r>
      <w:r w:rsidRPr="00114D09">
        <w:rPr>
          <w:rFonts w:eastAsia="Times New Roman" w:cs="Arial"/>
          <w:color w:val="000000"/>
          <w:lang w:val="ru-RU"/>
        </w:rPr>
        <w:t xml:space="preserve">, </w:t>
      </w:r>
      <w:r w:rsidRPr="0022136D">
        <w:rPr>
          <w:rFonts w:eastAsia="Times New Roman" w:cs="Arial"/>
          <w:color w:val="000000"/>
          <w:lang w:eastAsia="bg-BG"/>
        </w:rPr>
        <w:t xml:space="preserve">предполагащ висока степен на чернодробна екскреция. Терминалният полуживот </w:t>
      </w:r>
      <w:r w:rsidRPr="00114D09">
        <w:rPr>
          <w:rFonts w:eastAsia="Times New Roman" w:cs="Arial"/>
          <w:color w:val="000000"/>
          <w:lang w:val="ru-RU"/>
        </w:rPr>
        <w:t>(</w:t>
      </w:r>
      <w:r w:rsidRPr="0022136D">
        <w:rPr>
          <w:rFonts w:eastAsia="Times New Roman" w:cs="Arial"/>
          <w:color w:val="000000"/>
          <w:lang w:val="en-US"/>
        </w:rPr>
        <w:t>t</w:t>
      </w:r>
      <w:r w:rsidRPr="00114D09">
        <w:rPr>
          <w:rFonts w:eastAsia="Times New Roman" w:cs="Arial"/>
          <w:color w:val="000000"/>
          <w:vertAlign w:val="subscript"/>
          <w:lang w:val="ru-RU"/>
        </w:rPr>
        <w:t>1/2</w:t>
      </w:r>
      <w:r w:rsidRPr="0022136D">
        <w:rPr>
          <w:rFonts w:eastAsia="Times New Roman" w:cs="Arial"/>
          <w:color w:val="000000"/>
          <w:lang w:eastAsia="bg-BG"/>
        </w:rPr>
        <w:t>) след интрамускулно приложение се определя от скоростта на абсорбция и се оценява на 50 дни.</w:t>
      </w:r>
    </w:p>
    <w:p w14:paraId="4B9F2F5A" w14:textId="77777777" w:rsidR="0022136D" w:rsidRPr="0022136D" w:rsidRDefault="0022136D" w:rsidP="0022136D">
      <w:pPr>
        <w:spacing w:line="240" w:lineRule="auto"/>
        <w:rPr>
          <w:rFonts w:eastAsia="Times New Roman" w:cs="Arial"/>
          <w:color w:val="000000"/>
          <w:u w:val="single"/>
          <w:lang w:eastAsia="bg-BG"/>
        </w:rPr>
      </w:pPr>
    </w:p>
    <w:p w14:paraId="22616E94" w14:textId="66F7CDCD" w:rsidR="0022136D" w:rsidRPr="0022136D" w:rsidRDefault="0022136D" w:rsidP="0022136D">
      <w:pPr>
        <w:pStyle w:val="Heading3"/>
        <w:rPr>
          <w:rFonts w:eastAsia="Times New Roman"/>
          <w:u w:val="single"/>
          <w:lang w:eastAsia="bg-BG"/>
        </w:rPr>
      </w:pPr>
      <w:r w:rsidRPr="0022136D">
        <w:rPr>
          <w:rFonts w:eastAsia="Times New Roman"/>
          <w:u w:val="single"/>
          <w:lang w:eastAsia="bg-BG"/>
        </w:rPr>
        <w:t>Специални популации</w:t>
      </w:r>
    </w:p>
    <w:p w14:paraId="0EDBF06C" w14:textId="77777777"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 xml:space="preserve">При </w:t>
      </w:r>
      <w:proofErr w:type="spellStart"/>
      <w:r w:rsidRPr="0022136D">
        <w:rPr>
          <w:rFonts w:eastAsia="Times New Roman" w:cs="Arial"/>
          <w:color w:val="000000"/>
          <w:lang w:eastAsia="bg-BG"/>
        </w:rPr>
        <w:t>популационен</w:t>
      </w:r>
      <w:proofErr w:type="spellEnd"/>
      <w:r w:rsidRPr="0022136D">
        <w:rPr>
          <w:rFonts w:eastAsia="Times New Roman" w:cs="Arial"/>
          <w:color w:val="000000"/>
          <w:lang w:eastAsia="bg-BG"/>
        </w:rPr>
        <w:t xml:space="preserve"> </w:t>
      </w:r>
      <w:proofErr w:type="spellStart"/>
      <w:r w:rsidRPr="0022136D">
        <w:rPr>
          <w:rFonts w:eastAsia="Times New Roman" w:cs="Arial"/>
          <w:color w:val="000000"/>
          <w:lang w:eastAsia="bg-BG"/>
        </w:rPr>
        <w:t>фармакокинетичен</w:t>
      </w:r>
      <w:proofErr w:type="spellEnd"/>
      <w:r w:rsidRPr="0022136D">
        <w:rPr>
          <w:rFonts w:eastAsia="Times New Roman" w:cs="Arial"/>
          <w:color w:val="000000"/>
          <w:lang w:eastAsia="bg-BG"/>
        </w:rPr>
        <w:t xml:space="preserve"> анализ на данни от изпитвания във фаза Ш не са установени разлики във </w:t>
      </w:r>
      <w:proofErr w:type="spellStart"/>
      <w:r w:rsidRPr="0022136D">
        <w:rPr>
          <w:rFonts w:eastAsia="Times New Roman" w:cs="Arial"/>
          <w:color w:val="000000"/>
          <w:lang w:eastAsia="bg-BG"/>
        </w:rPr>
        <w:t>фармакокинетичния</w:t>
      </w:r>
      <w:proofErr w:type="spellEnd"/>
      <w:r w:rsidRPr="0022136D">
        <w:rPr>
          <w:rFonts w:eastAsia="Times New Roman" w:cs="Arial"/>
          <w:color w:val="000000"/>
          <w:lang w:eastAsia="bg-BG"/>
        </w:rPr>
        <w:t xml:space="preserve"> профил на </w:t>
      </w:r>
      <w:proofErr w:type="spellStart"/>
      <w:r w:rsidRPr="0022136D">
        <w:rPr>
          <w:rFonts w:eastAsia="Times New Roman" w:cs="Arial"/>
          <w:color w:val="000000"/>
          <w:lang w:eastAsia="bg-BG"/>
        </w:rPr>
        <w:t>фулвестрант</w:t>
      </w:r>
      <w:proofErr w:type="spellEnd"/>
      <w:r w:rsidRPr="0022136D">
        <w:rPr>
          <w:rFonts w:eastAsia="Times New Roman" w:cs="Arial"/>
          <w:color w:val="000000"/>
          <w:lang w:eastAsia="bg-BG"/>
        </w:rPr>
        <w:t xml:space="preserve"> по отношение на възраст (диапазон 33 до 89 години), тегло (40-127 </w:t>
      </w:r>
      <w:r w:rsidRPr="0022136D">
        <w:rPr>
          <w:rFonts w:eastAsia="Times New Roman" w:cs="Arial"/>
          <w:color w:val="000000"/>
          <w:lang w:val="en-US"/>
        </w:rPr>
        <w:t>kg</w:t>
      </w:r>
      <w:r w:rsidRPr="00114D09">
        <w:rPr>
          <w:rFonts w:eastAsia="Times New Roman" w:cs="Arial"/>
          <w:color w:val="000000"/>
          <w:lang w:val="ru-RU"/>
        </w:rPr>
        <w:t xml:space="preserve">) </w:t>
      </w:r>
      <w:r w:rsidRPr="0022136D">
        <w:rPr>
          <w:rFonts w:eastAsia="Times New Roman" w:cs="Arial"/>
          <w:color w:val="000000"/>
          <w:lang w:eastAsia="bg-BG"/>
        </w:rPr>
        <w:t>или раса.</w:t>
      </w:r>
    </w:p>
    <w:p w14:paraId="34561F34" w14:textId="77777777" w:rsidR="0022136D" w:rsidRPr="0022136D" w:rsidRDefault="0022136D" w:rsidP="0022136D">
      <w:pPr>
        <w:spacing w:line="240" w:lineRule="auto"/>
        <w:rPr>
          <w:rFonts w:eastAsia="Times New Roman" w:cs="Arial"/>
          <w:i/>
          <w:iCs/>
          <w:color w:val="000000"/>
          <w:lang w:eastAsia="bg-BG"/>
        </w:rPr>
      </w:pPr>
    </w:p>
    <w:p w14:paraId="26A30BBE" w14:textId="03E99DC4" w:rsidR="0022136D" w:rsidRPr="0022136D" w:rsidRDefault="0022136D" w:rsidP="0022136D">
      <w:pPr>
        <w:spacing w:line="240" w:lineRule="auto"/>
        <w:rPr>
          <w:rFonts w:eastAsia="Times New Roman" w:cs="Arial"/>
          <w:sz w:val="24"/>
          <w:szCs w:val="24"/>
          <w:lang w:eastAsia="bg-BG"/>
        </w:rPr>
      </w:pPr>
      <w:r w:rsidRPr="0022136D">
        <w:rPr>
          <w:rFonts w:eastAsia="Times New Roman" w:cs="Arial"/>
          <w:i/>
          <w:iCs/>
          <w:color w:val="000000"/>
          <w:lang w:eastAsia="bg-BG"/>
        </w:rPr>
        <w:t>Бъбречно увреждане</w:t>
      </w:r>
    </w:p>
    <w:p w14:paraId="58064DD1" w14:textId="77777777"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lastRenderedPageBreak/>
        <w:t>Леко до умерено нарушение на бъбречната функция не повлиява фармакокинетиката на фулвестрант до клинично значима степен.</w:t>
      </w:r>
    </w:p>
    <w:p w14:paraId="14650E7D" w14:textId="77777777" w:rsidR="0022136D" w:rsidRPr="0022136D" w:rsidRDefault="0022136D" w:rsidP="0022136D">
      <w:pPr>
        <w:spacing w:line="240" w:lineRule="auto"/>
        <w:rPr>
          <w:rFonts w:eastAsia="Times New Roman" w:cs="Arial"/>
          <w:i/>
          <w:iCs/>
          <w:color w:val="000000"/>
          <w:lang w:eastAsia="bg-BG"/>
        </w:rPr>
      </w:pPr>
    </w:p>
    <w:p w14:paraId="04E423F2" w14:textId="7AF7EDA7" w:rsidR="0022136D" w:rsidRPr="0022136D" w:rsidRDefault="0022136D" w:rsidP="0022136D">
      <w:pPr>
        <w:spacing w:line="240" w:lineRule="auto"/>
        <w:rPr>
          <w:rFonts w:eastAsia="Times New Roman" w:cs="Arial"/>
          <w:sz w:val="24"/>
          <w:szCs w:val="24"/>
          <w:lang w:eastAsia="bg-BG"/>
        </w:rPr>
      </w:pPr>
      <w:r w:rsidRPr="0022136D">
        <w:rPr>
          <w:rFonts w:eastAsia="Times New Roman" w:cs="Arial"/>
          <w:i/>
          <w:iCs/>
          <w:color w:val="000000"/>
          <w:lang w:eastAsia="bg-BG"/>
        </w:rPr>
        <w:t>Чернодробно увреждане</w:t>
      </w:r>
    </w:p>
    <w:p w14:paraId="3F43A64C" w14:textId="77777777" w:rsidR="0022136D" w:rsidRPr="0022136D" w:rsidRDefault="0022136D" w:rsidP="0022136D">
      <w:pPr>
        <w:spacing w:line="240" w:lineRule="auto"/>
        <w:rPr>
          <w:rFonts w:eastAsia="Times New Roman" w:cs="Arial"/>
          <w:sz w:val="24"/>
          <w:szCs w:val="24"/>
          <w:lang w:eastAsia="bg-BG"/>
        </w:rPr>
      </w:pPr>
      <w:r w:rsidRPr="0022136D">
        <w:rPr>
          <w:rFonts w:eastAsia="Times New Roman" w:cs="Arial"/>
          <w:color w:val="000000"/>
          <w:lang w:eastAsia="bg-BG"/>
        </w:rPr>
        <w:t xml:space="preserve">Фармакокинетиката на </w:t>
      </w:r>
      <w:proofErr w:type="spellStart"/>
      <w:r w:rsidRPr="0022136D">
        <w:rPr>
          <w:rFonts w:eastAsia="Times New Roman" w:cs="Arial"/>
          <w:color w:val="000000"/>
          <w:lang w:eastAsia="bg-BG"/>
        </w:rPr>
        <w:t>фулвестрант</w:t>
      </w:r>
      <w:proofErr w:type="spellEnd"/>
      <w:r w:rsidRPr="0022136D">
        <w:rPr>
          <w:rFonts w:eastAsia="Times New Roman" w:cs="Arial"/>
          <w:color w:val="000000"/>
          <w:lang w:eastAsia="bg-BG"/>
        </w:rPr>
        <w:t xml:space="preserve"> е оценена в клинично изпитване с еднократна доза при жени с лека до умерена чернодробна недостатъчност (клас А и В по </w:t>
      </w:r>
      <w:r w:rsidRPr="0022136D">
        <w:rPr>
          <w:rFonts w:eastAsia="Times New Roman" w:cs="Arial"/>
          <w:color w:val="000000"/>
          <w:lang w:val="en-US"/>
        </w:rPr>
        <w:t>Child</w:t>
      </w:r>
      <w:r w:rsidRPr="00114D09">
        <w:rPr>
          <w:rFonts w:eastAsia="Times New Roman" w:cs="Arial"/>
          <w:color w:val="000000"/>
          <w:lang w:val="ru-RU"/>
        </w:rPr>
        <w:t xml:space="preserve"> </w:t>
      </w:r>
      <w:r w:rsidRPr="0022136D">
        <w:rPr>
          <w:rFonts w:eastAsia="Times New Roman" w:cs="Arial"/>
          <w:color w:val="000000"/>
          <w:lang w:val="en-US"/>
        </w:rPr>
        <w:t>Pugh</w:t>
      </w:r>
      <w:r w:rsidRPr="00114D09">
        <w:rPr>
          <w:rFonts w:eastAsia="Times New Roman" w:cs="Arial"/>
          <w:color w:val="000000"/>
          <w:lang w:val="ru-RU"/>
        </w:rPr>
        <w:t xml:space="preserve">). </w:t>
      </w:r>
      <w:r w:rsidRPr="0022136D">
        <w:rPr>
          <w:rFonts w:eastAsia="Times New Roman" w:cs="Arial"/>
          <w:color w:val="000000"/>
          <w:lang w:eastAsia="bg-BG"/>
        </w:rPr>
        <w:t xml:space="preserve">Приложена е интрамускулно висока Доза с краткотрайно въвеждане. Наблюдавано е до 2,5 пъти повишение на </w:t>
      </w:r>
      <w:r w:rsidRPr="0022136D">
        <w:rPr>
          <w:rFonts w:eastAsia="Times New Roman" w:cs="Arial"/>
          <w:color w:val="000000"/>
          <w:lang w:val="en-US"/>
        </w:rPr>
        <w:t>AUC</w:t>
      </w:r>
      <w:r w:rsidRPr="00114D09">
        <w:rPr>
          <w:rFonts w:eastAsia="Times New Roman" w:cs="Arial"/>
          <w:color w:val="000000"/>
          <w:lang w:val="ru-RU"/>
        </w:rPr>
        <w:t xml:space="preserve"> </w:t>
      </w:r>
      <w:r w:rsidRPr="0022136D">
        <w:rPr>
          <w:rFonts w:eastAsia="Times New Roman" w:cs="Arial"/>
          <w:color w:val="000000"/>
          <w:lang w:eastAsia="bg-BG"/>
        </w:rPr>
        <w:t xml:space="preserve">при лица с чернодробно увреждане в сравнение със здрави жени. При пациенти, на които е приложен фулвестрант, подобно повишение на експозицията се очаква да бъде добре толерирано. Жени с тежка чернодробна недостатъчност (клас С по </w:t>
      </w:r>
      <w:r w:rsidRPr="0022136D">
        <w:rPr>
          <w:rFonts w:eastAsia="Times New Roman" w:cs="Arial"/>
          <w:color w:val="000000"/>
          <w:lang w:val="en-US"/>
        </w:rPr>
        <w:t>Child</w:t>
      </w:r>
      <w:r w:rsidRPr="00114D09">
        <w:rPr>
          <w:rFonts w:eastAsia="Times New Roman" w:cs="Arial"/>
          <w:color w:val="000000"/>
          <w:lang w:val="ru-RU"/>
        </w:rPr>
        <w:t xml:space="preserve"> </w:t>
      </w:r>
      <w:r w:rsidRPr="0022136D">
        <w:rPr>
          <w:rFonts w:eastAsia="Times New Roman" w:cs="Arial"/>
          <w:color w:val="000000"/>
          <w:lang w:val="en-US"/>
        </w:rPr>
        <w:t>Pugh</w:t>
      </w:r>
      <w:r w:rsidRPr="00114D09">
        <w:rPr>
          <w:rFonts w:eastAsia="Times New Roman" w:cs="Arial"/>
          <w:color w:val="000000"/>
          <w:lang w:val="ru-RU"/>
        </w:rPr>
        <w:t xml:space="preserve">) </w:t>
      </w:r>
      <w:r w:rsidRPr="0022136D">
        <w:rPr>
          <w:rFonts w:eastAsia="Times New Roman" w:cs="Arial"/>
          <w:color w:val="000000"/>
          <w:lang w:eastAsia="bg-BG"/>
        </w:rPr>
        <w:t>не са оценявани.</w:t>
      </w:r>
    </w:p>
    <w:p w14:paraId="2A192D5B" w14:textId="77777777" w:rsidR="0022136D" w:rsidRPr="0022136D" w:rsidRDefault="0022136D" w:rsidP="0022136D">
      <w:pPr>
        <w:spacing w:line="240" w:lineRule="auto"/>
        <w:rPr>
          <w:rFonts w:eastAsia="Times New Roman" w:cs="Arial"/>
          <w:i/>
          <w:iCs/>
          <w:color w:val="000000"/>
          <w:lang w:eastAsia="bg-BG"/>
        </w:rPr>
      </w:pPr>
    </w:p>
    <w:p w14:paraId="214F91F8" w14:textId="346BE411" w:rsidR="0022136D" w:rsidRPr="0022136D" w:rsidRDefault="0022136D" w:rsidP="0022136D">
      <w:pPr>
        <w:spacing w:line="240" w:lineRule="auto"/>
        <w:rPr>
          <w:rFonts w:eastAsia="Times New Roman" w:cs="Arial"/>
          <w:sz w:val="24"/>
          <w:szCs w:val="24"/>
          <w:lang w:eastAsia="bg-BG"/>
        </w:rPr>
      </w:pPr>
      <w:r w:rsidRPr="0022136D">
        <w:rPr>
          <w:rFonts w:eastAsia="Times New Roman" w:cs="Arial"/>
          <w:i/>
          <w:iCs/>
          <w:color w:val="000000"/>
          <w:lang w:eastAsia="bg-BG"/>
        </w:rPr>
        <w:t>Педиатрична популация</w:t>
      </w:r>
    </w:p>
    <w:p w14:paraId="4EE1BB0B" w14:textId="049FA134" w:rsidR="0091385D" w:rsidRPr="0022136D" w:rsidRDefault="0022136D" w:rsidP="0022136D">
      <w:pPr>
        <w:rPr>
          <w:rFonts w:cs="Arial"/>
        </w:rPr>
      </w:pPr>
      <w:r w:rsidRPr="0022136D">
        <w:rPr>
          <w:rFonts w:eastAsia="Times New Roman" w:cs="Arial"/>
          <w:color w:val="000000"/>
          <w:lang w:eastAsia="bg-BG"/>
        </w:rPr>
        <w:t xml:space="preserve">Фармакокинетиката на </w:t>
      </w:r>
      <w:proofErr w:type="spellStart"/>
      <w:r w:rsidRPr="0022136D">
        <w:rPr>
          <w:rFonts w:eastAsia="Times New Roman" w:cs="Arial"/>
          <w:color w:val="000000"/>
          <w:lang w:eastAsia="bg-BG"/>
        </w:rPr>
        <w:t>фулвестрант</w:t>
      </w:r>
      <w:proofErr w:type="spellEnd"/>
      <w:r w:rsidRPr="0022136D">
        <w:rPr>
          <w:rFonts w:eastAsia="Times New Roman" w:cs="Arial"/>
          <w:color w:val="000000"/>
          <w:lang w:eastAsia="bg-BG"/>
        </w:rPr>
        <w:t xml:space="preserve"> е оценена в клинично изпитване, проведено при 30 момичета с прогресивен преждевременен пубертет свързан със синдром на </w:t>
      </w:r>
      <w:r w:rsidRPr="0022136D">
        <w:rPr>
          <w:rFonts w:eastAsia="Times New Roman" w:cs="Arial"/>
          <w:color w:val="000000"/>
          <w:lang w:val="en-US"/>
        </w:rPr>
        <w:t>McCune</w:t>
      </w:r>
      <w:r w:rsidRPr="00114D09">
        <w:rPr>
          <w:rFonts w:eastAsia="Times New Roman" w:cs="Arial"/>
          <w:color w:val="000000"/>
          <w:lang w:val="ru-RU"/>
        </w:rPr>
        <w:t xml:space="preserve"> </w:t>
      </w:r>
      <w:r w:rsidRPr="0022136D">
        <w:rPr>
          <w:rFonts w:eastAsia="Times New Roman" w:cs="Arial"/>
          <w:color w:val="000000"/>
          <w:lang w:val="en-US"/>
        </w:rPr>
        <w:t>Albright</w:t>
      </w:r>
      <w:r w:rsidRPr="00114D09">
        <w:rPr>
          <w:rFonts w:eastAsia="Times New Roman" w:cs="Arial"/>
          <w:color w:val="000000"/>
          <w:lang w:val="ru-RU"/>
        </w:rPr>
        <w:t xml:space="preserve"> </w:t>
      </w:r>
      <w:r w:rsidRPr="0022136D">
        <w:rPr>
          <w:rFonts w:eastAsia="Times New Roman" w:cs="Arial"/>
          <w:color w:val="000000"/>
          <w:lang w:eastAsia="bg-BG"/>
        </w:rPr>
        <w:t xml:space="preserve">(вж. точка 5.1). Педиатричните пациенти са били на възраст между 1 и 8 години и са получавали 4 </w:t>
      </w:r>
      <w:r w:rsidRPr="0022136D">
        <w:rPr>
          <w:rFonts w:eastAsia="Times New Roman" w:cs="Arial"/>
          <w:color w:val="000000"/>
          <w:lang w:val="en-US"/>
        </w:rPr>
        <w:t>mg</w:t>
      </w:r>
      <w:r w:rsidRPr="00114D09">
        <w:rPr>
          <w:rFonts w:eastAsia="Times New Roman" w:cs="Arial"/>
          <w:color w:val="000000"/>
          <w:lang w:val="ru-RU"/>
        </w:rPr>
        <w:t>/</w:t>
      </w:r>
      <w:r w:rsidRPr="0022136D">
        <w:rPr>
          <w:rFonts w:eastAsia="Times New Roman" w:cs="Arial"/>
          <w:color w:val="000000"/>
          <w:lang w:val="en-US"/>
        </w:rPr>
        <w:t>kg</w:t>
      </w:r>
      <w:r w:rsidRPr="00114D09">
        <w:rPr>
          <w:rFonts w:eastAsia="Times New Roman" w:cs="Arial"/>
          <w:color w:val="000000"/>
          <w:lang w:val="ru-RU"/>
        </w:rPr>
        <w:t xml:space="preserve"> </w:t>
      </w:r>
      <w:r w:rsidRPr="0022136D">
        <w:rPr>
          <w:rFonts w:eastAsia="Times New Roman" w:cs="Arial"/>
          <w:color w:val="000000"/>
          <w:lang w:eastAsia="bg-BG"/>
        </w:rPr>
        <w:t xml:space="preserve">месечна интрамускулна доза </w:t>
      </w:r>
      <w:proofErr w:type="spellStart"/>
      <w:r w:rsidRPr="0022136D">
        <w:rPr>
          <w:rFonts w:eastAsia="Times New Roman" w:cs="Arial"/>
          <w:color w:val="000000"/>
          <w:lang w:eastAsia="bg-BG"/>
        </w:rPr>
        <w:t>фулвестрант</w:t>
      </w:r>
      <w:proofErr w:type="spellEnd"/>
      <w:r w:rsidRPr="0022136D">
        <w:rPr>
          <w:rFonts w:eastAsia="Times New Roman" w:cs="Arial"/>
          <w:color w:val="000000"/>
          <w:lang w:eastAsia="bg-BG"/>
        </w:rPr>
        <w:t xml:space="preserve">. Средната геометрична (стандартно отклонение) най-ниска концентрация </w:t>
      </w:r>
      <w:r w:rsidRPr="00114D09">
        <w:rPr>
          <w:rFonts w:eastAsia="Times New Roman" w:cs="Arial"/>
          <w:color w:val="000000"/>
          <w:lang w:val="ru-RU"/>
        </w:rPr>
        <w:t>(</w:t>
      </w:r>
      <w:proofErr w:type="spellStart"/>
      <w:r w:rsidRPr="0022136D">
        <w:rPr>
          <w:rFonts w:eastAsia="Times New Roman" w:cs="Arial"/>
          <w:color w:val="000000"/>
          <w:lang w:val="en-US"/>
        </w:rPr>
        <w:t>Cmin</w:t>
      </w:r>
      <w:proofErr w:type="spellEnd"/>
      <w:r w:rsidRPr="00114D09">
        <w:rPr>
          <w:rFonts w:eastAsia="Times New Roman" w:cs="Arial"/>
          <w:color w:val="000000"/>
          <w:lang w:val="ru-RU"/>
        </w:rPr>
        <w:t>,</w:t>
      </w:r>
      <w:r w:rsidRPr="0022136D">
        <w:rPr>
          <w:rFonts w:eastAsia="Times New Roman" w:cs="Arial"/>
          <w:color w:val="000000"/>
          <w:lang w:val="en-US"/>
        </w:rPr>
        <w:t>ss</w:t>
      </w:r>
      <w:r w:rsidRPr="00114D09">
        <w:rPr>
          <w:rFonts w:eastAsia="Times New Roman" w:cs="Arial"/>
          <w:color w:val="000000"/>
          <w:lang w:val="ru-RU"/>
        </w:rPr>
        <w:t xml:space="preserve">) </w:t>
      </w:r>
      <w:r w:rsidRPr="0022136D">
        <w:rPr>
          <w:rFonts w:eastAsia="Times New Roman" w:cs="Arial"/>
          <w:color w:val="000000"/>
          <w:lang w:eastAsia="bg-BG"/>
        </w:rPr>
        <w:t xml:space="preserve">в стационарно състояние и </w:t>
      </w:r>
      <w:proofErr w:type="spellStart"/>
      <w:r w:rsidRPr="0022136D">
        <w:rPr>
          <w:rFonts w:eastAsia="Times New Roman" w:cs="Arial"/>
          <w:color w:val="000000"/>
          <w:lang w:val="en-US"/>
        </w:rPr>
        <w:t>AUCss</w:t>
      </w:r>
      <w:proofErr w:type="spellEnd"/>
      <w:r w:rsidRPr="00114D09">
        <w:rPr>
          <w:rFonts w:eastAsia="Times New Roman" w:cs="Arial"/>
          <w:color w:val="000000"/>
          <w:lang w:val="ru-RU"/>
        </w:rPr>
        <w:t xml:space="preserve"> </w:t>
      </w:r>
      <w:r w:rsidRPr="0022136D">
        <w:rPr>
          <w:rFonts w:eastAsia="Times New Roman" w:cs="Arial"/>
          <w:color w:val="000000"/>
          <w:lang w:eastAsia="bg-BG"/>
        </w:rPr>
        <w:t xml:space="preserve">са били съответно 4,2 (0,9) </w:t>
      </w:r>
      <w:r w:rsidRPr="0022136D">
        <w:rPr>
          <w:rFonts w:eastAsia="Times New Roman" w:cs="Arial"/>
          <w:color w:val="000000"/>
          <w:lang w:val="en-US"/>
        </w:rPr>
        <w:t>ng</w:t>
      </w:r>
      <w:r w:rsidRPr="00114D09">
        <w:rPr>
          <w:rFonts w:eastAsia="Times New Roman" w:cs="Arial"/>
          <w:color w:val="000000"/>
          <w:lang w:val="ru-RU"/>
        </w:rPr>
        <w:t>/</w:t>
      </w:r>
      <w:r w:rsidRPr="0022136D">
        <w:rPr>
          <w:rFonts w:eastAsia="Times New Roman" w:cs="Arial"/>
          <w:color w:val="000000"/>
          <w:lang w:val="en-US"/>
        </w:rPr>
        <w:t>ml</w:t>
      </w:r>
      <w:r w:rsidRPr="00114D09">
        <w:rPr>
          <w:rFonts w:eastAsia="Times New Roman" w:cs="Arial"/>
          <w:color w:val="000000"/>
          <w:lang w:val="ru-RU"/>
        </w:rPr>
        <w:t xml:space="preserve"> </w:t>
      </w:r>
      <w:r w:rsidRPr="0022136D">
        <w:rPr>
          <w:rFonts w:eastAsia="Times New Roman" w:cs="Arial"/>
          <w:color w:val="000000"/>
          <w:lang w:eastAsia="bg-BG"/>
        </w:rPr>
        <w:t xml:space="preserve">и 3680 (1020) </w:t>
      </w:r>
      <w:r w:rsidRPr="0022136D">
        <w:rPr>
          <w:rFonts w:eastAsia="Times New Roman" w:cs="Arial"/>
          <w:color w:val="000000"/>
          <w:lang w:val="en-US"/>
        </w:rPr>
        <w:t>ng</w:t>
      </w:r>
      <w:r w:rsidRPr="00114D09">
        <w:rPr>
          <w:rFonts w:eastAsia="Times New Roman" w:cs="Arial"/>
          <w:color w:val="000000"/>
          <w:lang w:val="ru-RU"/>
        </w:rPr>
        <w:t>*</w:t>
      </w:r>
      <w:proofErr w:type="spellStart"/>
      <w:r w:rsidRPr="0022136D">
        <w:rPr>
          <w:rFonts w:eastAsia="Times New Roman" w:cs="Arial"/>
          <w:color w:val="000000"/>
          <w:lang w:val="en-US"/>
        </w:rPr>
        <w:t>hr</w:t>
      </w:r>
      <w:proofErr w:type="spellEnd"/>
      <w:r w:rsidRPr="00114D09">
        <w:rPr>
          <w:rFonts w:eastAsia="Times New Roman" w:cs="Arial"/>
          <w:color w:val="000000"/>
          <w:lang w:val="ru-RU"/>
        </w:rPr>
        <w:t>/</w:t>
      </w:r>
      <w:r w:rsidRPr="0022136D">
        <w:rPr>
          <w:rFonts w:eastAsia="Times New Roman" w:cs="Arial"/>
          <w:color w:val="000000"/>
          <w:lang w:val="en-US"/>
        </w:rPr>
        <w:t>ml</w:t>
      </w:r>
      <w:r w:rsidRPr="00114D09">
        <w:rPr>
          <w:rFonts w:eastAsia="Times New Roman" w:cs="Arial"/>
          <w:color w:val="000000"/>
          <w:lang w:val="ru-RU"/>
        </w:rPr>
        <w:t xml:space="preserve">. </w:t>
      </w:r>
      <w:r w:rsidRPr="0022136D">
        <w:rPr>
          <w:rFonts w:eastAsia="Times New Roman" w:cs="Arial"/>
          <w:color w:val="000000"/>
          <w:lang w:eastAsia="bg-BG"/>
        </w:rPr>
        <w:t>Въпреки, че събраните данни са ограничени, най-ниските концентрации на фулвестрант в стационарно състояние при</w:t>
      </w:r>
      <w:r w:rsidRPr="00114D09">
        <w:rPr>
          <w:rFonts w:eastAsia="Times New Roman" w:cs="Arial"/>
          <w:color w:val="000000"/>
          <w:lang w:val="ru-RU"/>
        </w:rPr>
        <w:t xml:space="preserve"> </w:t>
      </w:r>
      <w:r w:rsidRPr="0022136D">
        <w:rPr>
          <w:rFonts w:eastAsia="Times New Roman" w:cs="Arial"/>
          <w:color w:val="000000"/>
          <w:lang w:eastAsia="bg-BG"/>
        </w:rPr>
        <w:t>деца</w:t>
      </w:r>
      <w:r w:rsidRPr="0022136D">
        <w:rPr>
          <w:rFonts w:eastAsia="Times New Roman" w:cs="Arial"/>
          <w:b/>
          <w:bCs/>
          <w:color w:val="000000"/>
          <w:u w:val="single"/>
          <w:lang w:eastAsia="bg-BG"/>
        </w:rPr>
        <w:t xml:space="preserve"> </w:t>
      </w:r>
      <w:r w:rsidRPr="0022136D">
        <w:rPr>
          <w:rFonts w:eastAsia="Times New Roman" w:cs="Arial"/>
          <w:color w:val="000000"/>
          <w:lang w:eastAsia="bg-BG"/>
        </w:rPr>
        <w:t>изглежда са съизмерими с тези при възрастни.</w:t>
      </w:r>
    </w:p>
    <w:p w14:paraId="2649A3CC" w14:textId="77777777" w:rsidR="0022136D" w:rsidRPr="0091385D" w:rsidRDefault="0022136D" w:rsidP="0091385D"/>
    <w:p w14:paraId="648E39DA" w14:textId="44D16CBD" w:rsidR="00CF77F7" w:rsidRDefault="002C50EE" w:rsidP="004A448E">
      <w:pPr>
        <w:pStyle w:val="Heading2"/>
      </w:pPr>
      <w:r>
        <w:t>5.3. Предклинични данни за безопасност</w:t>
      </w:r>
    </w:p>
    <w:p w14:paraId="31455D09" w14:textId="4D0EFBF5" w:rsidR="0091385D" w:rsidRDefault="0091385D" w:rsidP="0091385D"/>
    <w:p w14:paraId="52E4D01A" w14:textId="7171A5C0" w:rsidR="0091385D" w:rsidRPr="0022136D" w:rsidRDefault="0022136D" w:rsidP="0091385D">
      <w:pPr>
        <w:rPr>
          <w:sz w:val="24"/>
        </w:rPr>
      </w:pPr>
      <w:r w:rsidRPr="0022136D">
        <w:rPr>
          <w:szCs w:val="20"/>
        </w:rPr>
        <w:t>Острата токсичност на фулвестрант е ниска.</w:t>
      </w:r>
    </w:p>
    <w:p w14:paraId="20E967BE" w14:textId="2FF0B023" w:rsidR="0091385D" w:rsidRDefault="0091385D" w:rsidP="0091385D"/>
    <w:p w14:paraId="1780CB81" w14:textId="77777777" w:rsidR="0022136D" w:rsidRPr="0022136D" w:rsidRDefault="0022136D" w:rsidP="0022136D">
      <w:pPr>
        <w:spacing w:line="240" w:lineRule="auto"/>
        <w:rPr>
          <w:rFonts w:eastAsia="Times New Roman" w:cs="Arial"/>
          <w:sz w:val="28"/>
          <w:szCs w:val="24"/>
          <w:lang w:eastAsia="bg-BG"/>
        </w:rPr>
      </w:pPr>
      <w:r w:rsidRPr="0022136D">
        <w:rPr>
          <w:rFonts w:eastAsia="Times New Roman" w:cs="Arial"/>
          <w:color w:val="000000"/>
          <w:szCs w:val="20"/>
          <w:lang w:eastAsia="bg-BG"/>
        </w:rPr>
        <w:t xml:space="preserve">Фулвестрант и другите форми на фулвестрант се понасят добре </w:t>
      </w:r>
      <w:r w:rsidRPr="0022136D">
        <w:rPr>
          <w:rFonts w:eastAsia="Times New Roman" w:cs="Arial"/>
          <w:i/>
          <w:iCs/>
          <w:color w:val="000000"/>
          <w:szCs w:val="20"/>
          <w:lang w:eastAsia="bg-BG"/>
        </w:rPr>
        <w:t>при</w:t>
      </w:r>
      <w:r w:rsidRPr="0022136D">
        <w:rPr>
          <w:rFonts w:eastAsia="Times New Roman" w:cs="Arial"/>
          <w:color w:val="000000"/>
          <w:szCs w:val="20"/>
          <w:lang w:eastAsia="bg-BG"/>
        </w:rPr>
        <w:t xml:space="preserve"> животински видове, използвани при проучвания с многократно прилагане. Счита се, че локалните реакции, включително миозит и образуване на грануломи на инжекционното място, се дължат на носителя, но тежестта на миозига при зайци нараства с фулвестрант в сравнение с контролите на физиологичен разтвор. При проучванията за токсичност с многократни интрамускулни дози на фулвестрант при плъхове и кучета, антиестрогенната активност на фулвестрант е отговорна за повечето ефекти, особено върху женската репродуктивна система, но също и върху други чувствителни на половите хормони органи и при двата пола. При някои кучета след дългосрочно приложение (12 месеца) в различни тъкани е наблюдаван артериит.</w:t>
      </w:r>
    </w:p>
    <w:p w14:paraId="7AAC22EC" w14:textId="77777777" w:rsidR="004A1844" w:rsidRPr="004A1844" w:rsidRDefault="004A1844" w:rsidP="0022136D">
      <w:pPr>
        <w:spacing w:line="240" w:lineRule="auto"/>
        <w:rPr>
          <w:rFonts w:eastAsia="Times New Roman" w:cs="Arial"/>
          <w:color w:val="000000"/>
          <w:szCs w:val="20"/>
          <w:lang w:eastAsia="bg-BG"/>
        </w:rPr>
      </w:pPr>
    </w:p>
    <w:p w14:paraId="430BC17F" w14:textId="2BBC87A2" w:rsidR="0022136D" w:rsidRPr="0022136D" w:rsidRDefault="0022136D" w:rsidP="0022136D">
      <w:pPr>
        <w:spacing w:line="240" w:lineRule="auto"/>
        <w:rPr>
          <w:rFonts w:eastAsia="Times New Roman" w:cs="Arial"/>
          <w:sz w:val="28"/>
          <w:szCs w:val="24"/>
          <w:lang w:eastAsia="bg-BG"/>
        </w:rPr>
      </w:pPr>
      <w:r w:rsidRPr="0022136D">
        <w:rPr>
          <w:rFonts w:eastAsia="Times New Roman" w:cs="Arial"/>
          <w:color w:val="000000"/>
          <w:szCs w:val="20"/>
          <w:lang w:eastAsia="bg-BG"/>
        </w:rPr>
        <w:t xml:space="preserve">При проучвания върху кучета след перорално и интравенозно приложение са установени ефекти върху сърдечно-съдовата система (леко покачване на </w:t>
      </w:r>
      <w:r w:rsidRPr="0022136D">
        <w:rPr>
          <w:rFonts w:eastAsia="Times New Roman" w:cs="Arial"/>
          <w:color w:val="000000"/>
          <w:szCs w:val="20"/>
          <w:lang w:val="en-US"/>
        </w:rPr>
        <w:t>S</w:t>
      </w:r>
      <w:r w:rsidRPr="00114D09">
        <w:rPr>
          <w:rFonts w:eastAsia="Times New Roman" w:cs="Arial"/>
          <w:color w:val="000000"/>
          <w:szCs w:val="20"/>
          <w:lang w:val="ru-RU"/>
        </w:rPr>
        <w:t>-</w:t>
      </w:r>
      <w:r w:rsidRPr="0022136D">
        <w:rPr>
          <w:rFonts w:eastAsia="Times New Roman" w:cs="Arial"/>
          <w:color w:val="000000"/>
          <w:szCs w:val="20"/>
          <w:lang w:val="en-US"/>
        </w:rPr>
        <w:t>T</w:t>
      </w:r>
      <w:r w:rsidRPr="00114D09">
        <w:rPr>
          <w:rFonts w:eastAsia="Times New Roman" w:cs="Arial"/>
          <w:color w:val="000000"/>
          <w:szCs w:val="20"/>
          <w:lang w:val="ru-RU"/>
        </w:rPr>
        <w:t xml:space="preserve"> </w:t>
      </w:r>
      <w:r w:rsidRPr="0022136D">
        <w:rPr>
          <w:rFonts w:eastAsia="Times New Roman" w:cs="Arial"/>
          <w:color w:val="000000"/>
          <w:szCs w:val="20"/>
          <w:lang w:eastAsia="bg-BG"/>
        </w:rPr>
        <w:t>сегмента на ЕКГ [перорално приложение] и синусов арест при едно куче [интравенозно]). Те се наблюдават при експозиционни нива по-високи отколкото при пациентите (С</w:t>
      </w:r>
      <w:r w:rsidRPr="0022136D">
        <w:rPr>
          <w:rFonts w:eastAsia="Times New Roman" w:cs="Arial"/>
          <w:color w:val="000000"/>
          <w:szCs w:val="20"/>
          <w:lang w:val="en-US"/>
        </w:rPr>
        <w:t>max</w:t>
      </w:r>
      <w:r w:rsidRPr="00114D09">
        <w:rPr>
          <w:rFonts w:eastAsia="Times New Roman" w:cs="Arial"/>
          <w:color w:val="000000"/>
          <w:szCs w:val="20"/>
          <w:lang w:val="ru-RU"/>
        </w:rPr>
        <w:t xml:space="preserve"> </w:t>
      </w:r>
      <w:r w:rsidRPr="0022136D">
        <w:rPr>
          <w:rFonts w:eastAsia="Times New Roman" w:cs="Arial"/>
          <w:color w:val="000000"/>
          <w:szCs w:val="20"/>
          <w:lang w:eastAsia="bg-BG"/>
        </w:rPr>
        <w:t>&gt;</w:t>
      </w:r>
      <w:r w:rsidRPr="00114D09">
        <w:rPr>
          <w:rFonts w:eastAsia="Times New Roman" w:cs="Arial"/>
          <w:color w:val="000000"/>
          <w:szCs w:val="20"/>
          <w:lang w:val="ru-RU"/>
        </w:rPr>
        <w:t xml:space="preserve"> </w:t>
      </w:r>
      <w:r w:rsidRPr="0022136D">
        <w:rPr>
          <w:rFonts w:eastAsia="Times New Roman" w:cs="Arial"/>
          <w:color w:val="000000"/>
          <w:szCs w:val="20"/>
          <w:lang w:eastAsia="bg-BG"/>
        </w:rPr>
        <w:t>15 пъти) и вероятно са с ограничено значение за сигурността при хора при прилагане на клинична доза.</w:t>
      </w:r>
    </w:p>
    <w:p w14:paraId="62A57AD7" w14:textId="77777777" w:rsidR="0022136D" w:rsidRPr="004A1844" w:rsidRDefault="0022136D" w:rsidP="0022136D">
      <w:pPr>
        <w:spacing w:line="240" w:lineRule="auto"/>
        <w:rPr>
          <w:rFonts w:eastAsia="Times New Roman" w:cs="Arial"/>
          <w:color w:val="000000"/>
          <w:szCs w:val="20"/>
          <w:lang w:eastAsia="bg-BG"/>
        </w:rPr>
      </w:pPr>
    </w:p>
    <w:p w14:paraId="350AF05E" w14:textId="1BDC0481" w:rsidR="0022136D" w:rsidRPr="0022136D" w:rsidRDefault="0022136D" w:rsidP="0022136D">
      <w:pPr>
        <w:spacing w:line="240" w:lineRule="auto"/>
        <w:rPr>
          <w:rFonts w:eastAsia="Times New Roman" w:cs="Arial"/>
          <w:sz w:val="28"/>
          <w:szCs w:val="24"/>
          <w:lang w:eastAsia="bg-BG"/>
        </w:rPr>
      </w:pPr>
      <w:r w:rsidRPr="0022136D">
        <w:rPr>
          <w:rFonts w:eastAsia="Times New Roman" w:cs="Arial"/>
          <w:color w:val="000000"/>
          <w:szCs w:val="20"/>
          <w:lang w:eastAsia="bg-BG"/>
        </w:rPr>
        <w:t>Фулвестрант няма генотоксичен потенциал.</w:t>
      </w:r>
    </w:p>
    <w:p w14:paraId="6B2522B6" w14:textId="77777777" w:rsidR="004A1844" w:rsidRPr="004A1844" w:rsidRDefault="004A1844" w:rsidP="0022136D">
      <w:pPr>
        <w:spacing w:line="240" w:lineRule="auto"/>
        <w:rPr>
          <w:rFonts w:eastAsia="Times New Roman" w:cs="Arial"/>
          <w:color w:val="000000"/>
          <w:szCs w:val="20"/>
          <w:lang w:eastAsia="bg-BG"/>
        </w:rPr>
      </w:pPr>
    </w:p>
    <w:p w14:paraId="7FB407B5" w14:textId="38C4A61B" w:rsidR="0022136D" w:rsidRPr="0022136D" w:rsidRDefault="0022136D" w:rsidP="0022136D">
      <w:pPr>
        <w:spacing w:line="240" w:lineRule="auto"/>
        <w:rPr>
          <w:rFonts w:eastAsia="Times New Roman" w:cs="Arial"/>
          <w:sz w:val="28"/>
          <w:szCs w:val="24"/>
          <w:lang w:eastAsia="bg-BG"/>
        </w:rPr>
      </w:pPr>
      <w:r w:rsidRPr="0022136D">
        <w:rPr>
          <w:rFonts w:eastAsia="Times New Roman" w:cs="Arial"/>
          <w:color w:val="000000"/>
          <w:szCs w:val="20"/>
          <w:lang w:eastAsia="bg-BG"/>
        </w:rPr>
        <w:t xml:space="preserve">Фулвестрант показва ефекти върху репродукцията и ембрио/феталното развитие, които са в съответствие с неговата антиестрогенна активност, в дози сходни с клиничната. При плъхове са наблюдавани обратимо понижение на женската фертилност и преживяемост </w:t>
      </w:r>
      <w:r w:rsidRPr="0022136D">
        <w:rPr>
          <w:rFonts w:eastAsia="Times New Roman" w:cs="Arial"/>
          <w:color w:val="000000"/>
          <w:szCs w:val="20"/>
          <w:lang w:eastAsia="bg-BG"/>
        </w:rPr>
        <w:lastRenderedPageBreak/>
        <w:t>на ембриона, дистокия и увеличен риск от фетални аномалии, включително на тарзалната става. Зайци, на които е даван фулвестрант, не задържат бременността. Забелязани са увеличение на теглото на плацентата и постимплантационна загуба на фетуса. Има увеличен риск от фетални вариации при зайци (изместване назад на тазовия пръстен и 27 пресакрален прешлен).</w:t>
      </w:r>
    </w:p>
    <w:p w14:paraId="7E0B8AE2" w14:textId="77777777" w:rsidR="0022136D" w:rsidRPr="004A1844" w:rsidRDefault="0022136D" w:rsidP="0022136D">
      <w:pPr>
        <w:spacing w:line="240" w:lineRule="auto"/>
        <w:rPr>
          <w:rFonts w:eastAsia="Times New Roman" w:cs="Arial"/>
          <w:color w:val="000000"/>
          <w:szCs w:val="20"/>
          <w:lang w:eastAsia="bg-BG"/>
        </w:rPr>
      </w:pPr>
    </w:p>
    <w:p w14:paraId="3898A87C" w14:textId="7FD734A5" w:rsidR="0022136D" w:rsidRPr="0022136D" w:rsidRDefault="0022136D" w:rsidP="0022136D">
      <w:pPr>
        <w:spacing w:line="240" w:lineRule="auto"/>
        <w:rPr>
          <w:rFonts w:eastAsia="Times New Roman" w:cs="Arial"/>
          <w:sz w:val="28"/>
          <w:szCs w:val="24"/>
          <w:lang w:eastAsia="bg-BG"/>
        </w:rPr>
      </w:pPr>
      <w:r w:rsidRPr="0022136D">
        <w:rPr>
          <w:rFonts w:eastAsia="Times New Roman" w:cs="Arial"/>
          <w:color w:val="000000"/>
          <w:szCs w:val="20"/>
          <w:lang w:eastAsia="bg-BG"/>
        </w:rPr>
        <w:t xml:space="preserve">Двугодишно проучване за онкогенност при плъхове (интрамускулно приложение на фулвестрант) показва увеличена честота на доброкачествени яйчникови гранулозно-клетъчни тумори при женски плъхове при високата доза 10 </w:t>
      </w:r>
      <w:r w:rsidRPr="0022136D">
        <w:rPr>
          <w:rFonts w:eastAsia="Times New Roman" w:cs="Arial"/>
          <w:color w:val="000000"/>
          <w:szCs w:val="20"/>
          <w:lang w:val="en-US"/>
        </w:rPr>
        <w:t>mg</w:t>
      </w:r>
      <w:r w:rsidRPr="0022136D">
        <w:rPr>
          <w:rFonts w:eastAsia="Times New Roman" w:cs="Arial"/>
          <w:color w:val="000000"/>
          <w:szCs w:val="20"/>
          <w:lang w:eastAsia="bg-BG"/>
        </w:rPr>
        <w:t xml:space="preserve">/плъх/15 дни и увеличена честота на тестикул ни Лайдигови тумори при мъжките. В двугодишно проучване при мишки за </w:t>
      </w:r>
      <w:proofErr w:type="spellStart"/>
      <w:r w:rsidRPr="0022136D">
        <w:rPr>
          <w:rFonts w:eastAsia="Times New Roman" w:cs="Arial"/>
          <w:color w:val="000000"/>
          <w:szCs w:val="20"/>
          <w:lang w:eastAsia="bg-BG"/>
        </w:rPr>
        <w:t>онкогенност</w:t>
      </w:r>
      <w:proofErr w:type="spellEnd"/>
      <w:r w:rsidRPr="0022136D">
        <w:rPr>
          <w:rFonts w:eastAsia="Times New Roman" w:cs="Arial"/>
          <w:color w:val="000000"/>
          <w:szCs w:val="20"/>
          <w:lang w:eastAsia="bg-BG"/>
        </w:rPr>
        <w:t xml:space="preserve"> (с ежедневно перорално приложение) се установява повишена честота на овариални </w:t>
      </w:r>
      <w:proofErr w:type="spellStart"/>
      <w:r w:rsidRPr="0022136D">
        <w:rPr>
          <w:rFonts w:eastAsia="Times New Roman" w:cs="Arial"/>
          <w:color w:val="000000"/>
          <w:szCs w:val="20"/>
          <w:lang w:eastAsia="bg-BG"/>
        </w:rPr>
        <w:t>стромални</w:t>
      </w:r>
      <w:proofErr w:type="spellEnd"/>
      <w:r w:rsidRPr="0022136D">
        <w:rPr>
          <w:rFonts w:eastAsia="Times New Roman" w:cs="Arial"/>
          <w:color w:val="000000"/>
          <w:szCs w:val="20"/>
          <w:lang w:eastAsia="bg-BG"/>
        </w:rPr>
        <w:t xml:space="preserve"> тумори от полови върви (както доброкачествени, така и злокачествени) при дози от 150 и 500 </w:t>
      </w:r>
      <w:r w:rsidRPr="0022136D">
        <w:rPr>
          <w:rFonts w:eastAsia="Times New Roman" w:cs="Arial"/>
          <w:color w:val="000000"/>
          <w:szCs w:val="20"/>
          <w:lang w:val="en-US"/>
        </w:rPr>
        <w:t>mg</w:t>
      </w:r>
      <w:r w:rsidRPr="00114D09">
        <w:rPr>
          <w:rFonts w:eastAsia="Times New Roman" w:cs="Arial"/>
          <w:color w:val="000000"/>
          <w:szCs w:val="20"/>
          <w:lang w:val="ru-RU"/>
        </w:rPr>
        <w:t>/</w:t>
      </w:r>
      <w:r w:rsidRPr="0022136D">
        <w:rPr>
          <w:rFonts w:eastAsia="Times New Roman" w:cs="Arial"/>
          <w:color w:val="000000"/>
          <w:szCs w:val="20"/>
          <w:lang w:val="en-US"/>
        </w:rPr>
        <w:t>kg</w:t>
      </w:r>
      <w:r w:rsidRPr="0022136D">
        <w:rPr>
          <w:rFonts w:eastAsia="Times New Roman" w:cs="Arial"/>
          <w:color w:val="000000"/>
          <w:szCs w:val="20"/>
          <w:lang w:eastAsia="bg-BG"/>
        </w:rPr>
        <w:t xml:space="preserve">/дневно. На ниво, при което по тези данни не се установява ефект, нивата на системна експозиция </w:t>
      </w:r>
      <w:r w:rsidRPr="00114D09">
        <w:rPr>
          <w:rFonts w:eastAsia="Times New Roman" w:cs="Arial"/>
          <w:color w:val="000000"/>
          <w:szCs w:val="20"/>
          <w:lang w:val="ru-RU"/>
        </w:rPr>
        <w:t>(</w:t>
      </w:r>
      <w:r w:rsidRPr="0022136D">
        <w:rPr>
          <w:rFonts w:eastAsia="Times New Roman" w:cs="Arial"/>
          <w:color w:val="000000"/>
          <w:szCs w:val="20"/>
          <w:lang w:val="en-US"/>
        </w:rPr>
        <w:t>AUC</w:t>
      </w:r>
      <w:r w:rsidRPr="00114D09">
        <w:rPr>
          <w:rFonts w:eastAsia="Times New Roman" w:cs="Arial"/>
          <w:color w:val="000000"/>
          <w:szCs w:val="20"/>
          <w:lang w:val="ru-RU"/>
        </w:rPr>
        <w:t xml:space="preserve">) </w:t>
      </w:r>
      <w:r w:rsidRPr="0022136D">
        <w:rPr>
          <w:rFonts w:eastAsia="Times New Roman" w:cs="Arial"/>
          <w:color w:val="000000"/>
          <w:szCs w:val="20"/>
          <w:lang w:eastAsia="bg-BG"/>
        </w:rPr>
        <w:t>при плъхове са приблизително 1,5 пъти по-високи от очакваните нива на експозиция при хора при жени, и 0,8 пъти по-високи от очакваните нива на експозиция както при мъже, така и при жени. Индукцията на такива тумори се дължи на фармакологично обусловените ендокринни промени по механизма на обратната връзка на нивата на гонадотропините, дължащи се на антиестрогените при животните с еструс. Ето защо се смята, че тези находки нямат отношение към приложението на фулвестрант при постменопаузални жени с напреднал рак на гърдата.</w:t>
      </w:r>
    </w:p>
    <w:p w14:paraId="3EBD50F2" w14:textId="77777777" w:rsidR="0022136D" w:rsidRPr="004A1844" w:rsidRDefault="0022136D" w:rsidP="0022136D">
      <w:pPr>
        <w:spacing w:line="240" w:lineRule="auto"/>
        <w:rPr>
          <w:rFonts w:eastAsia="Times New Roman" w:cs="Arial"/>
          <w:color w:val="000000"/>
          <w:szCs w:val="20"/>
          <w:u w:val="single"/>
          <w:lang w:eastAsia="bg-BG"/>
        </w:rPr>
      </w:pPr>
    </w:p>
    <w:p w14:paraId="53846F18" w14:textId="0A5D777B" w:rsidR="0022136D" w:rsidRPr="0022136D" w:rsidRDefault="0022136D" w:rsidP="0022136D">
      <w:pPr>
        <w:spacing w:line="240" w:lineRule="auto"/>
        <w:rPr>
          <w:rFonts w:eastAsia="Times New Roman" w:cs="Arial"/>
          <w:sz w:val="28"/>
          <w:szCs w:val="24"/>
          <w:lang w:eastAsia="bg-BG"/>
        </w:rPr>
      </w:pPr>
      <w:r w:rsidRPr="0022136D">
        <w:rPr>
          <w:rFonts w:eastAsia="Times New Roman" w:cs="Arial"/>
          <w:color w:val="000000"/>
          <w:szCs w:val="20"/>
          <w:u w:val="single"/>
          <w:lang w:eastAsia="bg-BG"/>
        </w:rPr>
        <w:t xml:space="preserve">Оценка на риска за околната среда </w:t>
      </w:r>
      <w:r w:rsidRPr="00114D09">
        <w:rPr>
          <w:rFonts w:eastAsia="Times New Roman" w:cs="Arial"/>
          <w:color w:val="000000"/>
          <w:szCs w:val="20"/>
          <w:u w:val="single"/>
          <w:lang w:val="ru-RU"/>
        </w:rPr>
        <w:t>(</w:t>
      </w:r>
      <w:r w:rsidRPr="0022136D">
        <w:rPr>
          <w:rFonts w:eastAsia="Times New Roman" w:cs="Arial"/>
          <w:color w:val="000000"/>
          <w:szCs w:val="20"/>
          <w:u w:val="single"/>
          <w:lang w:val="en-US"/>
        </w:rPr>
        <w:t>ERA</w:t>
      </w:r>
      <w:r w:rsidRPr="00114D09">
        <w:rPr>
          <w:rFonts w:eastAsia="Times New Roman" w:cs="Arial"/>
          <w:color w:val="000000"/>
          <w:szCs w:val="20"/>
          <w:u w:val="single"/>
          <w:lang w:val="ru-RU"/>
        </w:rPr>
        <w:t>)</w:t>
      </w:r>
    </w:p>
    <w:p w14:paraId="3FA1EC15" w14:textId="1AA6C197" w:rsidR="0022136D" w:rsidRPr="004A1844" w:rsidRDefault="0022136D" w:rsidP="0022136D">
      <w:pPr>
        <w:rPr>
          <w:rFonts w:cs="Arial"/>
          <w:sz w:val="24"/>
        </w:rPr>
      </w:pPr>
      <w:r w:rsidRPr="004A1844">
        <w:rPr>
          <w:rFonts w:eastAsia="Times New Roman" w:cs="Arial"/>
          <w:color w:val="000000"/>
          <w:szCs w:val="20"/>
          <w:lang w:eastAsia="bg-BG"/>
        </w:rPr>
        <w:t>Проучванията на оценката на риска за околната среда показват, че фулвестрант има потенциал да окаже нежелани ефекти върху водната среда (вж. точка 6.6).</w:t>
      </w:r>
    </w:p>
    <w:p w14:paraId="63CAEBEA" w14:textId="77777777" w:rsidR="0022136D" w:rsidRPr="0091385D" w:rsidRDefault="0022136D" w:rsidP="0091385D"/>
    <w:p w14:paraId="6A7820AB" w14:textId="353DB6D2" w:rsidR="008A6AF2" w:rsidRDefault="002C50EE" w:rsidP="00395555">
      <w:pPr>
        <w:pStyle w:val="Heading1"/>
      </w:pPr>
      <w:r>
        <w:t>7. ПРИТЕЖАТЕЛ НА РАЗРЕШЕНИЕТО ЗА УПОТРЕБА</w:t>
      </w:r>
    </w:p>
    <w:p w14:paraId="1B9B651E" w14:textId="3382E6AC" w:rsidR="0091385D" w:rsidRDefault="0091385D" w:rsidP="0091385D"/>
    <w:p w14:paraId="5EF4627B" w14:textId="77777777" w:rsidR="004A1844" w:rsidRPr="004A1844" w:rsidRDefault="004A1844" w:rsidP="004A1844">
      <w:pPr>
        <w:spacing w:line="240" w:lineRule="auto"/>
        <w:rPr>
          <w:rFonts w:eastAsia="Times New Roman" w:cs="Arial"/>
          <w:sz w:val="28"/>
          <w:szCs w:val="24"/>
          <w:lang w:eastAsia="bg-BG"/>
        </w:rPr>
      </w:pPr>
      <w:r w:rsidRPr="004A1844">
        <w:rPr>
          <w:rFonts w:eastAsia="Times New Roman" w:cs="Arial"/>
          <w:color w:val="000000"/>
          <w:szCs w:val="20"/>
          <w:lang w:val="en-US"/>
        </w:rPr>
        <w:t>Sandoz</w:t>
      </w:r>
      <w:r w:rsidRPr="00114D09">
        <w:rPr>
          <w:rFonts w:eastAsia="Times New Roman" w:cs="Arial"/>
          <w:color w:val="000000"/>
          <w:szCs w:val="20"/>
          <w:lang w:val="ru-RU"/>
        </w:rPr>
        <w:t xml:space="preserve"> </w:t>
      </w:r>
      <w:r w:rsidRPr="004A1844">
        <w:rPr>
          <w:rFonts w:eastAsia="Times New Roman" w:cs="Arial"/>
          <w:color w:val="000000"/>
          <w:szCs w:val="20"/>
          <w:lang w:val="en-US"/>
        </w:rPr>
        <w:t>d</w:t>
      </w:r>
      <w:r w:rsidRPr="00114D09">
        <w:rPr>
          <w:rFonts w:eastAsia="Times New Roman" w:cs="Arial"/>
          <w:color w:val="000000"/>
          <w:szCs w:val="20"/>
          <w:lang w:val="ru-RU"/>
        </w:rPr>
        <w:t>.</w:t>
      </w:r>
      <w:r w:rsidRPr="004A1844">
        <w:rPr>
          <w:rFonts w:eastAsia="Times New Roman" w:cs="Arial"/>
          <w:color w:val="000000"/>
          <w:szCs w:val="20"/>
          <w:lang w:val="en-US"/>
        </w:rPr>
        <w:t>d</w:t>
      </w:r>
      <w:r w:rsidRPr="00114D09">
        <w:rPr>
          <w:rFonts w:eastAsia="Times New Roman" w:cs="Arial"/>
          <w:color w:val="000000"/>
          <w:szCs w:val="20"/>
          <w:lang w:val="ru-RU"/>
        </w:rPr>
        <w:t>.</w:t>
      </w:r>
    </w:p>
    <w:p w14:paraId="22621DBA" w14:textId="77777777" w:rsidR="004A1844" w:rsidRPr="004A1844" w:rsidRDefault="004A1844" w:rsidP="004A1844">
      <w:pPr>
        <w:rPr>
          <w:rFonts w:eastAsia="Times New Roman" w:cs="Arial"/>
          <w:color w:val="000000"/>
          <w:szCs w:val="20"/>
          <w:lang w:eastAsia="bg-BG"/>
        </w:rPr>
      </w:pPr>
      <w:proofErr w:type="spellStart"/>
      <w:r w:rsidRPr="004A1844">
        <w:rPr>
          <w:rFonts w:eastAsia="Times New Roman" w:cs="Arial"/>
          <w:color w:val="000000"/>
          <w:szCs w:val="20"/>
          <w:lang w:eastAsia="bg-BG"/>
        </w:rPr>
        <w:t>Verovškova</w:t>
      </w:r>
      <w:proofErr w:type="spellEnd"/>
      <w:r w:rsidRPr="00114D09">
        <w:rPr>
          <w:rFonts w:eastAsia="Times New Roman" w:cs="Arial"/>
          <w:color w:val="000000"/>
          <w:szCs w:val="20"/>
          <w:lang w:val="ru-RU"/>
        </w:rPr>
        <w:t xml:space="preserve"> </w:t>
      </w:r>
      <w:r w:rsidRPr="004A1844">
        <w:rPr>
          <w:rFonts w:eastAsia="Times New Roman" w:cs="Arial"/>
          <w:color w:val="000000"/>
          <w:szCs w:val="20"/>
          <w:lang w:eastAsia="bg-BG"/>
        </w:rPr>
        <w:t>57,</w:t>
      </w:r>
    </w:p>
    <w:p w14:paraId="5C7B256B" w14:textId="77777777" w:rsidR="004A1844" w:rsidRPr="00114D09" w:rsidRDefault="004A1844" w:rsidP="004A1844">
      <w:pPr>
        <w:rPr>
          <w:rFonts w:eastAsia="Times New Roman" w:cs="Arial"/>
          <w:color w:val="000000"/>
          <w:szCs w:val="20"/>
          <w:lang w:val="ru-RU"/>
        </w:rPr>
      </w:pPr>
      <w:r w:rsidRPr="004A1844">
        <w:rPr>
          <w:rFonts w:eastAsia="Times New Roman" w:cs="Arial"/>
          <w:color w:val="000000"/>
          <w:szCs w:val="20"/>
          <w:lang w:eastAsia="bg-BG"/>
        </w:rPr>
        <w:t xml:space="preserve">1000 </w:t>
      </w:r>
      <w:r w:rsidRPr="004A1844">
        <w:rPr>
          <w:rFonts w:eastAsia="Times New Roman" w:cs="Arial"/>
          <w:color w:val="000000"/>
          <w:szCs w:val="20"/>
          <w:lang w:val="en-US"/>
        </w:rPr>
        <w:t>Ljubljana</w:t>
      </w:r>
    </w:p>
    <w:p w14:paraId="3FD825DB" w14:textId="62F93ED8" w:rsidR="0091385D" w:rsidRPr="004A1844" w:rsidRDefault="004A1844" w:rsidP="004A1844">
      <w:pPr>
        <w:rPr>
          <w:rFonts w:eastAsia="Times New Roman" w:cs="Arial"/>
          <w:color w:val="000000"/>
          <w:szCs w:val="20"/>
          <w:lang w:eastAsia="bg-BG"/>
        </w:rPr>
      </w:pPr>
      <w:r w:rsidRPr="004A1844">
        <w:rPr>
          <w:rFonts w:eastAsia="Times New Roman" w:cs="Arial"/>
          <w:color w:val="000000"/>
          <w:szCs w:val="20"/>
          <w:lang w:eastAsia="bg-BG"/>
        </w:rPr>
        <w:t>Словения</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54CA436A" w:rsidR="0091385D" w:rsidRDefault="0091385D" w:rsidP="0091385D"/>
    <w:p w14:paraId="6E892CE5" w14:textId="5811D5E0" w:rsidR="0091385D" w:rsidRPr="004A1844" w:rsidRDefault="004A1844" w:rsidP="0091385D">
      <w:pPr>
        <w:rPr>
          <w:rFonts w:cs="Arial"/>
          <w:sz w:val="24"/>
        </w:rPr>
      </w:pPr>
      <w:r w:rsidRPr="004A1844">
        <w:rPr>
          <w:rFonts w:cs="Arial"/>
          <w:szCs w:val="20"/>
          <w:lang w:val="en-US"/>
        </w:rPr>
        <w:t>Pe</w:t>
      </w:r>
      <w:r w:rsidRPr="004A1844">
        <w:rPr>
          <w:rFonts w:cs="Arial"/>
          <w:szCs w:val="20"/>
        </w:rPr>
        <w:t xml:space="preserve">г </w:t>
      </w:r>
      <w:r w:rsidRPr="00114D09">
        <w:rPr>
          <w:rFonts w:cs="Arial"/>
          <w:szCs w:val="20"/>
          <w:lang w:val="ru-RU"/>
        </w:rPr>
        <w:t>.</w:t>
      </w:r>
      <w:r w:rsidRPr="004A1844">
        <w:rPr>
          <w:rFonts w:cs="Arial"/>
          <w:szCs w:val="20"/>
          <w:lang w:val="en-US"/>
        </w:rPr>
        <w:t>No</w:t>
      </w:r>
      <w:r w:rsidRPr="00114D09">
        <w:rPr>
          <w:rFonts w:cs="Arial"/>
          <w:szCs w:val="20"/>
          <w:lang w:val="ru-RU"/>
        </w:rPr>
        <w:t xml:space="preserve">: </w:t>
      </w:r>
      <w:r w:rsidRPr="004A1844">
        <w:rPr>
          <w:rFonts w:cs="Arial"/>
          <w:szCs w:val="20"/>
        </w:rPr>
        <w:t>20150320</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0F79A9B4" w:rsidR="0091385D" w:rsidRDefault="0091385D" w:rsidP="0091385D"/>
    <w:p w14:paraId="497007FA" w14:textId="0B67062C" w:rsidR="0091385D" w:rsidRPr="004A1844" w:rsidRDefault="004A1844" w:rsidP="0091385D">
      <w:pPr>
        <w:rPr>
          <w:rFonts w:cs="Arial"/>
        </w:rPr>
      </w:pPr>
      <w:r w:rsidRPr="004A1844">
        <w:rPr>
          <w:rFonts w:cs="Arial"/>
          <w:szCs w:val="20"/>
        </w:rPr>
        <w:t>Дата на първо разрешаване: 06.10.2015</w:t>
      </w:r>
    </w:p>
    <w:p w14:paraId="0A56E09D" w14:textId="77777777" w:rsidR="0091385D" w:rsidRPr="0091385D" w:rsidRDefault="0091385D" w:rsidP="0091385D"/>
    <w:p w14:paraId="0E9D0119" w14:textId="1FEC128A" w:rsidR="002C50EE" w:rsidRDefault="002C50EE" w:rsidP="002C50EE">
      <w:pPr>
        <w:pStyle w:val="Heading1"/>
      </w:pPr>
      <w:r>
        <w:lastRenderedPageBreak/>
        <w:t>10. ДАТА НА АКТУАЛИЗИРАНЕ НА ТЕКСТА</w:t>
      </w:r>
    </w:p>
    <w:p w14:paraId="3E8FFCC4" w14:textId="34E0D3BB" w:rsidR="0091385D" w:rsidRDefault="0091385D" w:rsidP="0091385D"/>
    <w:p w14:paraId="30276F52" w14:textId="34C5F390" w:rsidR="0091385D" w:rsidRPr="004A1844" w:rsidRDefault="004A1844" w:rsidP="0091385D">
      <w:pPr>
        <w:rPr>
          <w:rFonts w:cs="Arial"/>
          <w:sz w:val="24"/>
        </w:rPr>
      </w:pPr>
      <w:r w:rsidRPr="004A1844">
        <w:rPr>
          <w:rFonts w:cs="Arial"/>
          <w:szCs w:val="20"/>
        </w:rPr>
        <w:t>08/2021</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A1E9B" w14:textId="77777777" w:rsidR="00FA3FB9" w:rsidRDefault="00FA3FB9" w:rsidP="003B7BD0">
      <w:pPr>
        <w:spacing w:line="240" w:lineRule="auto"/>
      </w:pPr>
      <w:r>
        <w:separator/>
      </w:r>
    </w:p>
  </w:endnote>
  <w:endnote w:type="continuationSeparator" w:id="0">
    <w:p w14:paraId="025FFB30" w14:textId="77777777" w:rsidR="00FA3FB9" w:rsidRDefault="00FA3FB9" w:rsidP="003B7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3D2F" w14:textId="77777777" w:rsidR="003B7BD0" w:rsidRDefault="003B7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E993" w14:textId="0E4C0CA9" w:rsidR="003B7BD0" w:rsidRDefault="003B7BD0">
    <w:pPr>
      <w:pStyle w:val="Footer"/>
    </w:pPr>
    <w:r>
      <w:rPr>
        <w:noProof/>
      </w:rPr>
      <mc:AlternateContent>
        <mc:Choice Requires="wps">
          <w:drawing>
            <wp:anchor distT="0" distB="0" distL="114300" distR="114300" simplePos="0" relativeHeight="251659264" behindDoc="0" locked="0" layoutInCell="0" allowOverlap="1" wp14:anchorId="168E70F6" wp14:editId="3EE5D854">
              <wp:simplePos x="0" y="0"/>
              <wp:positionH relativeFrom="page">
                <wp:posOffset>0</wp:posOffset>
              </wp:positionH>
              <wp:positionV relativeFrom="page">
                <wp:posOffset>9594215</wp:posOffset>
              </wp:positionV>
              <wp:extent cx="7772400" cy="273050"/>
              <wp:effectExtent l="0" t="0" r="0" b="12700"/>
              <wp:wrapNone/>
              <wp:docPr id="1" name="MSIPCM7e5e42e882b7c1348583fbb4" descr="{&quot;HashCode&quot;:162808919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DBC8FF" w14:textId="51595806" w:rsidR="003B7BD0" w:rsidRPr="003B7BD0" w:rsidRDefault="003B7BD0" w:rsidP="003B7BD0">
                          <w:pPr>
                            <w:jc w:val="right"/>
                            <w:rPr>
                              <w:rFonts w:ascii="Calibri" w:hAnsi="Calibri" w:cs="Calibri"/>
                              <w:color w:val="000000"/>
                              <w:sz w:val="20"/>
                            </w:rPr>
                          </w:pPr>
                          <w:proofErr w:type="spellStart"/>
                          <w:r w:rsidRPr="003B7BD0">
                            <w:rPr>
                              <w:rFonts w:ascii="Calibri" w:hAnsi="Calibri" w:cs="Calibri"/>
                              <w:color w:val="000000"/>
                              <w:sz w:val="20"/>
                            </w:rPr>
                            <w:t>Internal</w:t>
                          </w:r>
                          <w:proofErr w:type="spellEnd"/>
                          <w:r w:rsidRPr="003B7BD0">
                            <w:rPr>
                              <w:rFonts w:ascii="Calibri" w:hAnsi="Calibri" w:cs="Calibri"/>
                              <w:color w:val="000000"/>
                              <w:sz w:val="20"/>
                            </w:rPr>
                            <w:t xml:space="preserve"> </w:t>
                          </w:r>
                          <w:proofErr w:type="spellStart"/>
                          <w:r w:rsidRPr="003B7BD0">
                            <w:rPr>
                              <w:rFonts w:ascii="Calibri" w:hAnsi="Calibri" w:cs="Calibri"/>
                              <w:color w:val="000000"/>
                              <w:sz w:val="20"/>
                            </w:rPr>
                            <w:t>Use</w:t>
                          </w:r>
                          <w:proofErr w:type="spellEnd"/>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68E70F6" id="_x0000_t202" coordsize="21600,21600" o:spt="202" path="m,l,21600r21600,l21600,xe">
              <v:stroke joinstyle="miter"/>
              <v:path gradientshapeok="t" o:connecttype="rect"/>
            </v:shapetype>
            <v:shape id="MSIPCM7e5e42e882b7c1348583fbb4" o:spid="_x0000_s1026" type="#_x0000_t202" alt="{&quot;HashCode&quot;:1628089194,&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Eu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3p9mTehV7C+C64WC5TEurJsrA2G8tj6YhWxPS5&#10;e2XODsAHpOwBTrJixRv8+9we5+U+gGwSORHZHs4BcNRi4mx4N1Hsv99T1uV1L34BAAD//wMAUEsD&#10;BBQABgAIAAAAIQD52w/V4AAAAAsBAAAPAAAAZHJzL2Rvd25yZXYueG1sTI/BTsMwEETvSPyDtUhc&#10;Kuo0pZSEOFWF1BMSgoLE1Y2XJCJeh9hpXb6ezQmO+2Y0O1Nsou3EEQffOlKwmCcgkCpnWqoVvL/t&#10;bu5B+KDJ6M4RKjijh015eVHo3LgTveJxH2rBIeRzraAJoc+l9FWDVvu565FY+3SD1YHPoZZm0CcO&#10;t51Mk+ROWt0Sf2h0j48NVl/70SqY/dhq+bTepR8vz99j3K5n5yyOSl1fxe0DiIAx/Jlhqs/VoeRO&#10;BzeS8aJTwEMC09UiyUBMepreMjtMbLXMQJaF/L+h/AUAAP//AwBQSwECLQAUAAYACAAAACEAtoM4&#10;kv4AAADhAQAAEwAAAAAAAAAAAAAAAAAAAAAAW0NvbnRlbnRfVHlwZXNdLnhtbFBLAQItABQABgAI&#10;AAAAIQA4/SH/1gAAAJQBAAALAAAAAAAAAAAAAAAAAC8BAABfcmVscy8ucmVsc1BLAQItABQABgAI&#10;AAAAIQDN5JEuFwIAACUEAAAOAAAAAAAAAAAAAAAAAC4CAABkcnMvZTJvRG9jLnhtbFBLAQItABQA&#10;BgAIAAAAIQD52w/V4AAAAAsBAAAPAAAAAAAAAAAAAAAAAHEEAABkcnMvZG93bnJldi54bWxQSwUG&#10;AAAAAAQABADzAAAAfgUAAAAA&#10;" o:allowincell="f" filled="f" stroked="f" strokeweight=".5pt">
              <v:fill o:detectmouseclick="t"/>
              <v:textbox inset=",0,20pt,0">
                <w:txbxContent>
                  <w:p w14:paraId="65DBC8FF" w14:textId="51595806" w:rsidR="003B7BD0" w:rsidRPr="003B7BD0" w:rsidRDefault="003B7BD0" w:rsidP="003B7BD0">
                    <w:pPr>
                      <w:jc w:val="right"/>
                      <w:rPr>
                        <w:rFonts w:ascii="Calibri" w:hAnsi="Calibri" w:cs="Calibri"/>
                        <w:color w:val="000000"/>
                        <w:sz w:val="20"/>
                      </w:rPr>
                    </w:pPr>
                    <w:proofErr w:type="spellStart"/>
                    <w:r w:rsidRPr="003B7BD0">
                      <w:rPr>
                        <w:rFonts w:ascii="Calibri" w:hAnsi="Calibri" w:cs="Calibri"/>
                        <w:color w:val="000000"/>
                        <w:sz w:val="20"/>
                      </w:rPr>
                      <w:t>Internal</w:t>
                    </w:r>
                    <w:proofErr w:type="spellEnd"/>
                    <w:r w:rsidRPr="003B7BD0">
                      <w:rPr>
                        <w:rFonts w:ascii="Calibri" w:hAnsi="Calibri" w:cs="Calibri"/>
                        <w:color w:val="000000"/>
                        <w:sz w:val="20"/>
                      </w:rPr>
                      <w:t xml:space="preserve"> </w:t>
                    </w:r>
                    <w:proofErr w:type="spellStart"/>
                    <w:r w:rsidRPr="003B7BD0">
                      <w:rPr>
                        <w:rFonts w:ascii="Calibri" w:hAnsi="Calibri" w:cs="Calibri"/>
                        <w:color w:val="000000"/>
                        <w:sz w:val="20"/>
                      </w:rPr>
                      <w:t>Use</w:t>
                    </w:r>
                    <w:proofErr w:type="spellEnd"/>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C17C" w14:textId="77777777" w:rsidR="003B7BD0" w:rsidRDefault="003B7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E844" w14:textId="77777777" w:rsidR="00FA3FB9" w:rsidRDefault="00FA3FB9" w:rsidP="003B7BD0">
      <w:pPr>
        <w:spacing w:line="240" w:lineRule="auto"/>
      </w:pPr>
      <w:r>
        <w:separator/>
      </w:r>
    </w:p>
  </w:footnote>
  <w:footnote w:type="continuationSeparator" w:id="0">
    <w:p w14:paraId="37841408" w14:textId="77777777" w:rsidR="00FA3FB9" w:rsidRDefault="00FA3FB9" w:rsidP="003B7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1819" w14:textId="77777777" w:rsidR="003B7BD0" w:rsidRDefault="003B7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3721" w14:textId="77777777" w:rsidR="003B7BD0" w:rsidRDefault="003B7B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49E2" w14:textId="77777777" w:rsidR="003B7BD0" w:rsidRDefault="003B7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023DE"/>
    <w:multiLevelType w:val="hybridMultilevel"/>
    <w:tmpl w:val="626A19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0C54069"/>
    <w:multiLevelType w:val="hybridMultilevel"/>
    <w:tmpl w:val="81E007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9C08DC"/>
    <w:multiLevelType w:val="hybridMultilevel"/>
    <w:tmpl w:val="9530E45C"/>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271010686">
    <w:abstractNumId w:val="29"/>
  </w:num>
  <w:num w:numId="2" w16cid:durableId="477378049">
    <w:abstractNumId w:val="0"/>
  </w:num>
  <w:num w:numId="3" w16cid:durableId="852382512">
    <w:abstractNumId w:val="12"/>
  </w:num>
  <w:num w:numId="4" w16cid:durableId="676008289">
    <w:abstractNumId w:val="3"/>
  </w:num>
  <w:num w:numId="5" w16cid:durableId="2139565407">
    <w:abstractNumId w:val="1"/>
  </w:num>
  <w:num w:numId="6" w16cid:durableId="621571480">
    <w:abstractNumId w:val="17"/>
  </w:num>
  <w:num w:numId="7" w16cid:durableId="683631627">
    <w:abstractNumId w:val="10"/>
  </w:num>
  <w:num w:numId="8" w16cid:durableId="194536917">
    <w:abstractNumId w:val="16"/>
  </w:num>
  <w:num w:numId="9" w16cid:durableId="333650160">
    <w:abstractNumId w:val="2"/>
  </w:num>
  <w:num w:numId="10" w16cid:durableId="792669846">
    <w:abstractNumId w:val="4"/>
  </w:num>
  <w:num w:numId="11" w16cid:durableId="271980083">
    <w:abstractNumId w:val="32"/>
  </w:num>
  <w:num w:numId="12" w16cid:durableId="2085688543">
    <w:abstractNumId w:val="15"/>
  </w:num>
  <w:num w:numId="13" w16cid:durableId="1334456012">
    <w:abstractNumId w:val="20"/>
  </w:num>
  <w:num w:numId="14" w16cid:durableId="1676879841">
    <w:abstractNumId w:val="11"/>
  </w:num>
  <w:num w:numId="15" w16cid:durableId="1969578702">
    <w:abstractNumId w:val="31"/>
  </w:num>
  <w:num w:numId="16" w16cid:durableId="398990313">
    <w:abstractNumId w:val="9"/>
  </w:num>
  <w:num w:numId="17" w16cid:durableId="1883394617">
    <w:abstractNumId w:val="25"/>
  </w:num>
  <w:num w:numId="18" w16cid:durableId="799154619">
    <w:abstractNumId w:val="7"/>
  </w:num>
  <w:num w:numId="19" w16cid:durableId="1615402423">
    <w:abstractNumId w:val="28"/>
  </w:num>
  <w:num w:numId="20" w16cid:durableId="1686175850">
    <w:abstractNumId w:val="24"/>
  </w:num>
  <w:num w:numId="21" w16cid:durableId="1423911225">
    <w:abstractNumId w:val="18"/>
  </w:num>
  <w:num w:numId="22" w16cid:durableId="1269654068">
    <w:abstractNumId w:val="26"/>
  </w:num>
  <w:num w:numId="23" w16cid:durableId="2094207303">
    <w:abstractNumId w:val="19"/>
  </w:num>
  <w:num w:numId="24" w16cid:durableId="1077946912">
    <w:abstractNumId w:val="8"/>
  </w:num>
  <w:num w:numId="25" w16cid:durableId="1959215278">
    <w:abstractNumId w:val="23"/>
  </w:num>
  <w:num w:numId="26" w16cid:durableId="1262833423">
    <w:abstractNumId w:val="22"/>
  </w:num>
  <w:num w:numId="27" w16cid:durableId="61103282">
    <w:abstractNumId w:val="33"/>
  </w:num>
  <w:num w:numId="28" w16cid:durableId="436798506">
    <w:abstractNumId w:val="6"/>
  </w:num>
  <w:num w:numId="29" w16cid:durableId="446126276">
    <w:abstractNumId w:val="21"/>
  </w:num>
  <w:num w:numId="30" w16cid:durableId="1580363384">
    <w:abstractNumId w:val="36"/>
  </w:num>
  <w:num w:numId="31" w16cid:durableId="266087621">
    <w:abstractNumId w:val="5"/>
  </w:num>
  <w:num w:numId="32" w16cid:durableId="210046359">
    <w:abstractNumId w:val="35"/>
  </w:num>
  <w:num w:numId="33" w16cid:durableId="1797941824">
    <w:abstractNumId w:val="30"/>
  </w:num>
  <w:num w:numId="34" w16cid:durableId="2027638143">
    <w:abstractNumId w:val="34"/>
  </w:num>
  <w:num w:numId="35" w16cid:durableId="1605528350">
    <w:abstractNumId w:val="13"/>
  </w:num>
  <w:num w:numId="36" w16cid:durableId="1875994720">
    <w:abstractNumId w:val="14"/>
  </w:num>
  <w:num w:numId="37" w16cid:durableId="1052720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00"/>
    <w:rsid w:val="000D5E6D"/>
    <w:rsid w:val="00114D09"/>
    <w:rsid w:val="00185A46"/>
    <w:rsid w:val="001915B6"/>
    <w:rsid w:val="001D1B23"/>
    <w:rsid w:val="0022136D"/>
    <w:rsid w:val="002B3C38"/>
    <w:rsid w:val="002B4DBB"/>
    <w:rsid w:val="002C50EE"/>
    <w:rsid w:val="00340A0A"/>
    <w:rsid w:val="003765DC"/>
    <w:rsid w:val="00395555"/>
    <w:rsid w:val="003A294F"/>
    <w:rsid w:val="003B7BD0"/>
    <w:rsid w:val="003E3126"/>
    <w:rsid w:val="00414EE9"/>
    <w:rsid w:val="00426E5F"/>
    <w:rsid w:val="0044382E"/>
    <w:rsid w:val="0048351B"/>
    <w:rsid w:val="004A1844"/>
    <w:rsid w:val="004A448E"/>
    <w:rsid w:val="004D4D6B"/>
    <w:rsid w:val="004F1CE7"/>
    <w:rsid w:val="004F498A"/>
    <w:rsid w:val="00517A5B"/>
    <w:rsid w:val="00584B6F"/>
    <w:rsid w:val="00593A00"/>
    <w:rsid w:val="005A66D9"/>
    <w:rsid w:val="00605BCA"/>
    <w:rsid w:val="006158A1"/>
    <w:rsid w:val="00617B1F"/>
    <w:rsid w:val="00631FB1"/>
    <w:rsid w:val="00672487"/>
    <w:rsid w:val="00672600"/>
    <w:rsid w:val="0067439B"/>
    <w:rsid w:val="00681D4A"/>
    <w:rsid w:val="00685882"/>
    <w:rsid w:val="0075649D"/>
    <w:rsid w:val="007C605B"/>
    <w:rsid w:val="008134C8"/>
    <w:rsid w:val="00814073"/>
    <w:rsid w:val="00826F0D"/>
    <w:rsid w:val="00833A4E"/>
    <w:rsid w:val="00852A5A"/>
    <w:rsid w:val="00893B92"/>
    <w:rsid w:val="008A6AF2"/>
    <w:rsid w:val="008C70A2"/>
    <w:rsid w:val="008F1AF3"/>
    <w:rsid w:val="0091385D"/>
    <w:rsid w:val="009164B2"/>
    <w:rsid w:val="009773E4"/>
    <w:rsid w:val="009B171C"/>
    <w:rsid w:val="009F1313"/>
    <w:rsid w:val="00A13ED4"/>
    <w:rsid w:val="00A20351"/>
    <w:rsid w:val="00A34059"/>
    <w:rsid w:val="00A65A81"/>
    <w:rsid w:val="00A73575"/>
    <w:rsid w:val="00A82EBE"/>
    <w:rsid w:val="00AA23EC"/>
    <w:rsid w:val="00AC63CE"/>
    <w:rsid w:val="00AE2107"/>
    <w:rsid w:val="00AE4DFB"/>
    <w:rsid w:val="00B275A8"/>
    <w:rsid w:val="00B330B9"/>
    <w:rsid w:val="00BF2600"/>
    <w:rsid w:val="00C0049F"/>
    <w:rsid w:val="00C07B84"/>
    <w:rsid w:val="00C33464"/>
    <w:rsid w:val="00C40420"/>
    <w:rsid w:val="00C809A7"/>
    <w:rsid w:val="00C83063"/>
    <w:rsid w:val="00C838E4"/>
    <w:rsid w:val="00C87E90"/>
    <w:rsid w:val="00CA1B57"/>
    <w:rsid w:val="00CF77F7"/>
    <w:rsid w:val="00D86297"/>
    <w:rsid w:val="00DA48FE"/>
    <w:rsid w:val="00DD466D"/>
    <w:rsid w:val="00EB6364"/>
    <w:rsid w:val="00F22A89"/>
    <w:rsid w:val="00F37B64"/>
    <w:rsid w:val="00FA3FB9"/>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7BD0"/>
    <w:pPr>
      <w:tabs>
        <w:tab w:val="center" w:pos="4680"/>
        <w:tab w:val="right" w:pos="9360"/>
      </w:tabs>
      <w:spacing w:line="240" w:lineRule="auto"/>
    </w:pPr>
  </w:style>
  <w:style w:type="character" w:customStyle="1" w:styleId="HeaderChar">
    <w:name w:val="Header Char"/>
    <w:basedOn w:val="DefaultParagraphFont"/>
    <w:link w:val="Header"/>
    <w:uiPriority w:val="99"/>
    <w:rsid w:val="003B7BD0"/>
    <w:rPr>
      <w:rFonts w:ascii="Arial" w:hAnsi="Arial"/>
      <w:lang w:val="bg-BG"/>
    </w:rPr>
  </w:style>
  <w:style w:type="paragraph" w:styleId="Footer">
    <w:name w:val="footer"/>
    <w:basedOn w:val="Normal"/>
    <w:link w:val="FooterChar"/>
    <w:uiPriority w:val="99"/>
    <w:unhideWhenUsed/>
    <w:rsid w:val="003B7BD0"/>
    <w:pPr>
      <w:tabs>
        <w:tab w:val="center" w:pos="4680"/>
        <w:tab w:val="right" w:pos="9360"/>
      </w:tabs>
      <w:spacing w:line="240" w:lineRule="auto"/>
    </w:pPr>
  </w:style>
  <w:style w:type="character" w:customStyle="1" w:styleId="FooterChar">
    <w:name w:val="Footer Char"/>
    <w:basedOn w:val="DefaultParagraphFont"/>
    <w:link w:val="Footer"/>
    <w:uiPriority w:val="99"/>
    <w:rsid w:val="003B7BD0"/>
    <w:rPr>
      <w:rFonts w:ascii="Arial" w:hAnsi="Arial"/>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da.bg" TargetMode="Externa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8F86A-0468-4ADE-91E9-A0436A781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7060</Words>
  <Characters>40246</Characters>
  <Application>Microsoft Office Word</Application>
  <DocSecurity>0</DocSecurity>
  <Lines>335</Lines>
  <Paragraphs>94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Maria Vasileva</cp:lastModifiedBy>
  <cp:revision>6</cp:revision>
  <dcterms:created xsi:type="dcterms:W3CDTF">2022-10-07T11:26:00Z</dcterms:created>
  <dcterms:modified xsi:type="dcterms:W3CDTF">2022-10-07T11:33:00Z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2022-10-07T11:26:05Z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c6318c82-fcf4-489d-b8cb-f12b03f71812</vt:lpwstr>
  </property>
  <property fmtid="{D5CDD505-2E9C-101B-9397-08002B2CF9AE}" pid="8" name="MSIP_Label_78080e56-8894-418a-9b19-f357e77b996f_ContentBits">
    <vt:lpwstr>2</vt:lpwstr>
  </property>
</Properties>
</file>