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09CEB67B" w:rsidR="002C50EE" w:rsidRDefault="002C50EE" w:rsidP="002C50EE">
      <w:pPr>
        <w:pStyle w:val="Heading1"/>
        <w:jc w:val="center"/>
      </w:pPr>
      <w:bookmarkStart w:id="0" w:name="_Hlk63124480"/>
      <w:r>
        <w:t>КРАТКА ХАРАКТЕРИСТИКА НА ПРОДУКТА</w:t>
      </w:r>
    </w:p>
    <w:p w14:paraId="5A3B4435" w14:textId="77777777" w:rsidR="0091385D" w:rsidRPr="0091385D" w:rsidRDefault="0091385D" w:rsidP="0091385D"/>
    <w:p w14:paraId="3320F4BE" w14:textId="2EB48694" w:rsidR="00C40420" w:rsidRDefault="00DD466D" w:rsidP="004A448E">
      <w:pPr>
        <w:pStyle w:val="Heading1"/>
      </w:pPr>
      <w:r>
        <w:t>1.ИМЕ НА ЛЕКАРСТВЕНИЯ ПРОДУКТ</w:t>
      </w:r>
    </w:p>
    <w:p w14:paraId="5E9BA472" w14:textId="28012C85" w:rsidR="0091385D" w:rsidRDefault="0091385D" w:rsidP="0091385D"/>
    <w:p w14:paraId="39641B53" w14:textId="78FC60B4" w:rsidR="0044382E" w:rsidRDefault="00AE4DFB" w:rsidP="0091385D">
      <w:pPr>
        <w:rPr>
          <w:rFonts w:cs="Arial"/>
        </w:rPr>
      </w:pPr>
      <w:r w:rsidRPr="00AE4DFB">
        <w:rPr>
          <w:rFonts w:cs="Arial"/>
        </w:rPr>
        <w:t xml:space="preserve">Фулвестрант </w:t>
      </w:r>
      <w:r w:rsidR="008C464A">
        <w:rPr>
          <w:rFonts w:cs="Arial"/>
        </w:rPr>
        <w:t>Тева</w:t>
      </w:r>
      <w:r w:rsidRPr="00AE4DFB">
        <w:rPr>
          <w:rFonts w:cs="Arial"/>
        </w:rPr>
        <w:t xml:space="preserve"> 250 </w:t>
      </w:r>
      <w:r w:rsidR="008C464A">
        <w:rPr>
          <w:rFonts w:cs="Arial"/>
          <w:lang w:val="en-US"/>
        </w:rPr>
        <w:t>mg</w:t>
      </w:r>
      <w:r w:rsidRPr="00AE4DFB">
        <w:rPr>
          <w:rFonts w:cs="Arial"/>
          <w:lang w:val="en-US"/>
        </w:rPr>
        <w:t xml:space="preserve"> </w:t>
      </w:r>
      <w:r w:rsidRPr="00AE4DFB">
        <w:rPr>
          <w:rFonts w:cs="Arial"/>
        </w:rPr>
        <w:t xml:space="preserve">инжекционен разтвор в предварително напълнена спринцовка </w:t>
      </w:r>
    </w:p>
    <w:p w14:paraId="5015A1FD" w14:textId="1C139E69" w:rsidR="00A73575" w:rsidRPr="00AE4DFB" w:rsidRDefault="00AE4DFB" w:rsidP="0091385D">
      <w:pPr>
        <w:rPr>
          <w:rFonts w:cs="Arial"/>
        </w:rPr>
      </w:pPr>
      <w:proofErr w:type="spellStart"/>
      <w:r w:rsidRPr="00AE4DFB">
        <w:rPr>
          <w:rFonts w:cs="Arial"/>
          <w:lang w:val="en-US"/>
        </w:rPr>
        <w:t>Fulvestrant</w:t>
      </w:r>
      <w:proofErr w:type="spellEnd"/>
      <w:r w:rsidRPr="00AE4DFB">
        <w:rPr>
          <w:rFonts w:cs="Arial"/>
          <w:lang w:val="en-US"/>
        </w:rPr>
        <w:t xml:space="preserve"> </w:t>
      </w:r>
      <w:proofErr w:type="spellStart"/>
      <w:r w:rsidR="008C464A">
        <w:rPr>
          <w:rFonts w:cs="Arial"/>
          <w:lang w:val="en-US"/>
        </w:rPr>
        <w:t>Teva</w:t>
      </w:r>
      <w:proofErr w:type="spellEnd"/>
      <w:r w:rsidRPr="00AE4DFB">
        <w:rPr>
          <w:rFonts w:cs="Arial"/>
          <w:lang w:val="en-US"/>
        </w:rPr>
        <w:t xml:space="preserve"> </w:t>
      </w:r>
      <w:r w:rsidRPr="00AE4DFB">
        <w:rPr>
          <w:rFonts w:cs="Arial"/>
        </w:rPr>
        <w:t xml:space="preserve">250 </w:t>
      </w:r>
      <w:r w:rsidR="008C464A">
        <w:rPr>
          <w:rFonts w:cs="Arial"/>
          <w:lang w:val="en-US"/>
        </w:rPr>
        <w:t xml:space="preserve">mg </w:t>
      </w:r>
      <w:r w:rsidRPr="00AE4DFB">
        <w:rPr>
          <w:rFonts w:cs="Arial"/>
          <w:lang w:val="en-US"/>
        </w:rPr>
        <w:t>solution for injection in pre-filled syringe</w:t>
      </w:r>
    </w:p>
    <w:p w14:paraId="1E8447D1" w14:textId="77777777" w:rsidR="0091385D" w:rsidRPr="0091385D" w:rsidRDefault="0091385D" w:rsidP="0091385D"/>
    <w:p w14:paraId="6920A680" w14:textId="53C3EFCC" w:rsidR="00C40420" w:rsidRDefault="00DD466D" w:rsidP="004A448E">
      <w:pPr>
        <w:pStyle w:val="Heading1"/>
      </w:pPr>
      <w:r>
        <w:t>2. КАЧЕСТВЕН И КОЛИЧЕСТВЕН СЪСТАВ</w:t>
      </w:r>
    </w:p>
    <w:p w14:paraId="1ED33AE8" w14:textId="288788EF" w:rsidR="0091385D" w:rsidRDefault="0091385D" w:rsidP="0091385D"/>
    <w:p w14:paraId="13604663" w14:textId="711F086F" w:rsidR="00AE4DFB" w:rsidRPr="00AE4DFB" w:rsidRDefault="00913683" w:rsidP="00AE4DFB">
      <w:pPr>
        <w:spacing w:line="240" w:lineRule="auto"/>
        <w:rPr>
          <w:rFonts w:eastAsia="Times New Roman" w:cs="Arial"/>
          <w:lang w:eastAsia="bg-BG"/>
        </w:rPr>
      </w:pPr>
      <w:r>
        <w:rPr>
          <w:rFonts w:eastAsia="Times New Roman" w:cs="Arial"/>
          <w:color w:val="000000"/>
          <w:lang w:eastAsia="bg-BG"/>
        </w:rPr>
        <w:t>Всяка</w:t>
      </w:r>
      <w:r w:rsidR="00AE4DFB" w:rsidRPr="00AE4DFB">
        <w:rPr>
          <w:rFonts w:eastAsia="Times New Roman" w:cs="Arial"/>
          <w:color w:val="000000"/>
          <w:lang w:eastAsia="bg-BG"/>
        </w:rPr>
        <w:t xml:space="preserve"> предварително напълнена спринцовка </w:t>
      </w:r>
      <w:r>
        <w:rPr>
          <w:rFonts w:eastAsia="Times New Roman" w:cs="Arial"/>
          <w:color w:val="000000"/>
          <w:lang w:eastAsia="bg-BG"/>
        </w:rPr>
        <w:t xml:space="preserve">от </w:t>
      </w:r>
      <w:r>
        <w:rPr>
          <w:rFonts w:eastAsia="Times New Roman" w:cs="Arial"/>
          <w:color w:val="000000"/>
          <w:lang w:val="en-US" w:eastAsia="bg-BG"/>
        </w:rPr>
        <w:t xml:space="preserve">5 ml </w:t>
      </w:r>
      <w:r w:rsidR="00AE4DFB" w:rsidRPr="00AE4DFB">
        <w:rPr>
          <w:rFonts w:eastAsia="Times New Roman" w:cs="Arial"/>
          <w:color w:val="000000"/>
          <w:lang w:eastAsia="bg-BG"/>
        </w:rPr>
        <w:t xml:space="preserve">съдържа 250 </w:t>
      </w:r>
      <w:r w:rsidR="00AE4DFB" w:rsidRPr="00AE4DFB">
        <w:rPr>
          <w:rFonts w:eastAsia="Times New Roman" w:cs="Arial"/>
          <w:color w:val="000000"/>
          <w:lang w:val="en-US"/>
        </w:rPr>
        <w:t xml:space="preserve">mg </w:t>
      </w:r>
      <w:r>
        <w:rPr>
          <w:rFonts w:eastAsia="Times New Roman" w:cs="Arial"/>
          <w:color w:val="000000"/>
          <w:lang w:eastAsia="bg-BG"/>
        </w:rPr>
        <w:t xml:space="preserve">фулвестрант </w:t>
      </w:r>
      <w:r w:rsidR="00AE4DFB" w:rsidRPr="00AE4DFB">
        <w:rPr>
          <w:rFonts w:eastAsia="Times New Roman" w:cs="Arial"/>
          <w:i/>
          <w:iCs/>
          <w:color w:val="000000"/>
          <w:lang w:val="en-US"/>
        </w:rPr>
        <w:t>(</w:t>
      </w:r>
      <w:proofErr w:type="spellStart"/>
      <w:r w:rsidR="00AE4DFB" w:rsidRPr="00AE4DFB">
        <w:rPr>
          <w:rFonts w:eastAsia="Times New Roman" w:cs="Arial"/>
          <w:i/>
          <w:iCs/>
          <w:color w:val="000000"/>
          <w:lang w:val="en-US"/>
        </w:rPr>
        <w:t>fulvestrant</w:t>
      </w:r>
      <w:proofErr w:type="spellEnd"/>
      <w:r w:rsidR="00AE4DFB" w:rsidRPr="00AE4DFB">
        <w:rPr>
          <w:rFonts w:eastAsia="Times New Roman" w:cs="Arial"/>
          <w:i/>
          <w:iCs/>
          <w:color w:val="000000"/>
          <w:lang w:val="en-US"/>
        </w:rPr>
        <w:t>)</w:t>
      </w:r>
      <w:r w:rsidR="00AE4DFB" w:rsidRPr="00AE4DFB">
        <w:rPr>
          <w:rFonts w:eastAsia="Times New Roman" w:cs="Arial"/>
          <w:color w:val="000000"/>
          <w:lang w:eastAsia="bg-BG"/>
        </w:rPr>
        <w:t>.</w:t>
      </w:r>
    </w:p>
    <w:p w14:paraId="5B779190" w14:textId="77777777" w:rsidR="00AE4DFB" w:rsidRDefault="00AE4DFB" w:rsidP="00AE4DFB">
      <w:pPr>
        <w:spacing w:line="240" w:lineRule="auto"/>
        <w:rPr>
          <w:rFonts w:eastAsia="Times New Roman" w:cs="Arial"/>
          <w:color w:val="000000"/>
          <w:u w:val="single"/>
          <w:lang w:eastAsia="bg-BG"/>
        </w:rPr>
      </w:pPr>
    </w:p>
    <w:p w14:paraId="4E5CAE71" w14:textId="77777777" w:rsidR="00913683" w:rsidRDefault="00AE4DFB" w:rsidP="00913683">
      <w:pPr>
        <w:spacing w:line="240" w:lineRule="auto"/>
        <w:rPr>
          <w:rFonts w:eastAsia="Times New Roman" w:cs="Arial"/>
          <w:lang w:eastAsia="bg-BG"/>
        </w:rPr>
      </w:pPr>
      <w:r w:rsidRPr="00AE4DFB">
        <w:rPr>
          <w:rFonts w:eastAsia="Times New Roman" w:cs="Arial"/>
          <w:color w:val="000000"/>
          <w:u w:val="single"/>
          <w:lang w:eastAsia="bg-BG"/>
        </w:rPr>
        <w:t>Помощни вещества с известно действие</w:t>
      </w:r>
    </w:p>
    <w:p w14:paraId="03A2467F" w14:textId="0BE60EA2" w:rsidR="00913683" w:rsidRPr="00913683" w:rsidRDefault="00913683" w:rsidP="00913683">
      <w:pPr>
        <w:spacing w:line="240" w:lineRule="auto"/>
        <w:rPr>
          <w:rFonts w:eastAsia="Times New Roman" w:cs="Arial"/>
          <w:lang w:val="en-US" w:eastAsia="bg-BG"/>
        </w:rPr>
      </w:pPr>
      <w:r>
        <w:rPr>
          <w:rFonts w:eastAsia="Times New Roman" w:cs="Arial"/>
          <w:color w:val="000000"/>
          <w:lang w:eastAsia="bg-BG"/>
        </w:rPr>
        <w:t>Всяка</w:t>
      </w:r>
      <w:r w:rsidRPr="00AE4DFB">
        <w:rPr>
          <w:rFonts w:eastAsia="Times New Roman" w:cs="Arial"/>
          <w:color w:val="000000"/>
          <w:lang w:eastAsia="bg-BG"/>
        </w:rPr>
        <w:t xml:space="preserve"> предварително напълнена спринцовка съдържа</w:t>
      </w:r>
      <w:r>
        <w:rPr>
          <w:rFonts w:eastAsia="Times New Roman" w:cs="Arial"/>
          <w:color w:val="000000"/>
          <w:lang w:eastAsia="bg-BG"/>
        </w:rPr>
        <w:t xml:space="preserve"> 474 </w:t>
      </w:r>
      <w:r w:rsidRPr="00AE4DFB">
        <w:rPr>
          <w:rFonts w:eastAsia="Times New Roman" w:cs="Arial"/>
          <w:color w:val="000000"/>
          <w:lang w:val="en-US"/>
        </w:rPr>
        <w:t xml:space="preserve">mg </w:t>
      </w:r>
      <w:r>
        <w:rPr>
          <w:rFonts w:eastAsia="Times New Roman" w:cs="Arial"/>
          <w:color w:val="000000"/>
          <w:lang w:eastAsia="bg-BG"/>
        </w:rPr>
        <w:t xml:space="preserve">алкохол </w:t>
      </w:r>
      <w:r>
        <w:rPr>
          <w:rFonts w:eastAsia="Times New Roman" w:cs="Arial"/>
          <w:color w:val="000000"/>
          <w:lang w:val="en-US" w:eastAsia="bg-BG"/>
        </w:rPr>
        <w:t>(</w:t>
      </w:r>
      <w:r>
        <w:rPr>
          <w:rFonts w:eastAsia="Times New Roman" w:cs="Arial"/>
          <w:color w:val="000000"/>
          <w:lang w:eastAsia="bg-BG"/>
        </w:rPr>
        <w:t>етанол</w:t>
      </w:r>
      <w:r>
        <w:rPr>
          <w:rFonts w:eastAsia="Times New Roman" w:cs="Arial"/>
          <w:color w:val="000000"/>
          <w:lang w:val="en-US" w:eastAsia="bg-BG"/>
        </w:rPr>
        <w:t>)</w:t>
      </w:r>
      <w:r>
        <w:rPr>
          <w:rFonts w:eastAsia="Times New Roman" w:cs="Arial"/>
          <w:color w:val="000000"/>
          <w:lang w:eastAsia="bg-BG"/>
        </w:rPr>
        <w:t>, който е еквивалентен на 94,8 mg/ml</w:t>
      </w:r>
      <w:r>
        <w:rPr>
          <w:rFonts w:eastAsia="Times New Roman" w:cs="Arial"/>
          <w:color w:val="000000"/>
          <w:lang w:val="en-US" w:eastAsia="bg-BG"/>
        </w:rPr>
        <w:t>.</w:t>
      </w:r>
    </w:p>
    <w:p w14:paraId="1495CF78" w14:textId="5700D45A" w:rsidR="00913683" w:rsidRPr="00913683" w:rsidRDefault="00913683" w:rsidP="00913683">
      <w:pPr>
        <w:spacing w:line="240" w:lineRule="auto"/>
        <w:rPr>
          <w:rFonts w:eastAsia="Times New Roman" w:cs="Arial"/>
          <w:lang w:val="en-US" w:eastAsia="bg-BG"/>
        </w:rPr>
      </w:pPr>
      <w:r>
        <w:rPr>
          <w:rFonts w:eastAsia="Times New Roman" w:cs="Arial"/>
          <w:color w:val="000000"/>
          <w:lang w:eastAsia="bg-BG"/>
        </w:rPr>
        <w:t>Всяка</w:t>
      </w:r>
      <w:r w:rsidRPr="00AE4DFB">
        <w:rPr>
          <w:rFonts w:eastAsia="Times New Roman" w:cs="Arial"/>
          <w:color w:val="000000"/>
          <w:lang w:eastAsia="bg-BG"/>
        </w:rPr>
        <w:t xml:space="preserve"> предварително напълнена спринцовка съдържа</w:t>
      </w:r>
      <w:r>
        <w:rPr>
          <w:rFonts w:eastAsia="Times New Roman" w:cs="Arial"/>
          <w:color w:val="000000"/>
          <w:lang w:eastAsia="bg-BG"/>
        </w:rPr>
        <w:t xml:space="preserve"> </w:t>
      </w:r>
      <w:r>
        <w:rPr>
          <w:rFonts w:eastAsia="Times New Roman" w:cs="Arial"/>
          <w:color w:val="000000"/>
          <w:lang w:val="en-US" w:eastAsia="bg-BG"/>
        </w:rPr>
        <w:t>500</w:t>
      </w:r>
      <w:r>
        <w:rPr>
          <w:rFonts w:eastAsia="Times New Roman" w:cs="Arial"/>
          <w:color w:val="000000"/>
          <w:lang w:eastAsia="bg-BG"/>
        </w:rPr>
        <w:t xml:space="preserve"> </w:t>
      </w:r>
      <w:r w:rsidRPr="00AE4DFB">
        <w:rPr>
          <w:rFonts w:eastAsia="Times New Roman" w:cs="Arial"/>
          <w:color w:val="000000"/>
          <w:lang w:val="en-US"/>
        </w:rPr>
        <w:t xml:space="preserve">mg </w:t>
      </w:r>
      <w:r>
        <w:rPr>
          <w:rFonts w:eastAsia="Times New Roman" w:cs="Arial"/>
          <w:color w:val="000000"/>
        </w:rPr>
        <w:t xml:space="preserve">бензилов </w:t>
      </w:r>
      <w:r>
        <w:rPr>
          <w:rFonts w:eastAsia="Times New Roman" w:cs="Arial"/>
          <w:color w:val="000000"/>
          <w:lang w:eastAsia="bg-BG"/>
        </w:rPr>
        <w:t>алкохол, който е еквивалентен на 100 mg/ml</w:t>
      </w:r>
      <w:r>
        <w:rPr>
          <w:rFonts w:eastAsia="Times New Roman" w:cs="Arial"/>
          <w:color w:val="000000"/>
          <w:lang w:val="en-US" w:eastAsia="bg-BG"/>
        </w:rPr>
        <w:t>.</w:t>
      </w:r>
    </w:p>
    <w:p w14:paraId="55DF5C55" w14:textId="6BFABA6F" w:rsidR="00913683" w:rsidRPr="00913683" w:rsidRDefault="00913683" w:rsidP="00913683">
      <w:pPr>
        <w:spacing w:line="240" w:lineRule="auto"/>
        <w:rPr>
          <w:rFonts w:eastAsia="Times New Roman" w:cs="Arial"/>
          <w:lang w:val="en-US" w:eastAsia="bg-BG"/>
        </w:rPr>
      </w:pPr>
      <w:r>
        <w:rPr>
          <w:rFonts w:eastAsia="Times New Roman" w:cs="Arial"/>
          <w:color w:val="000000"/>
          <w:lang w:eastAsia="bg-BG"/>
        </w:rPr>
        <w:t>Всяка</w:t>
      </w:r>
      <w:r w:rsidRPr="00AE4DFB">
        <w:rPr>
          <w:rFonts w:eastAsia="Times New Roman" w:cs="Arial"/>
          <w:color w:val="000000"/>
          <w:lang w:eastAsia="bg-BG"/>
        </w:rPr>
        <w:t xml:space="preserve"> предварително напълнена спринцовка съдържа</w:t>
      </w:r>
      <w:r>
        <w:rPr>
          <w:rFonts w:eastAsia="Times New Roman" w:cs="Arial"/>
          <w:color w:val="000000"/>
          <w:lang w:eastAsia="bg-BG"/>
        </w:rPr>
        <w:t xml:space="preserve"> 750 </w:t>
      </w:r>
      <w:r w:rsidRPr="00AE4DFB">
        <w:rPr>
          <w:rFonts w:eastAsia="Times New Roman" w:cs="Arial"/>
          <w:color w:val="000000"/>
          <w:lang w:val="en-US"/>
        </w:rPr>
        <w:t xml:space="preserve">mg </w:t>
      </w:r>
      <w:r>
        <w:rPr>
          <w:rFonts w:eastAsia="Times New Roman" w:cs="Arial"/>
          <w:color w:val="000000"/>
          <w:lang w:eastAsia="bg-BG"/>
        </w:rPr>
        <w:t>бензилбензоат, който е еквивалентен на 150 mg/ml</w:t>
      </w:r>
      <w:r>
        <w:rPr>
          <w:rFonts w:eastAsia="Times New Roman" w:cs="Arial"/>
          <w:color w:val="000000"/>
          <w:lang w:val="en-US" w:eastAsia="bg-BG"/>
        </w:rPr>
        <w:t>.</w:t>
      </w:r>
    </w:p>
    <w:p w14:paraId="7FB95296" w14:textId="0CCF3175" w:rsidR="00913683" w:rsidRDefault="00913683" w:rsidP="00913683">
      <w:pPr>
        <w:spacing w:line="240" w:lineRule="auto"/>
        <w:rPr>
          <w:rFonts w:eastAsia="Times New Roman" w:cs="Arial"/>
          <w:lang w:eastAsia="bg-BG"/>
        </w:rPr>
      </w:pPr>
    </w:p>
    <w:p w14:paraId="03110A50" w14:textId="549CF72C" w:rsidR="0091385D" w:rsidRPr="00913683" w:rsidRDefault="00AE4DFB" w:rsidP="00913683">
      <w:pPr>
        <w:spacing w:line="240" w:lineRule="auto"/>
        <w:rPr>
          <w:rFonts w:eastAsia="Times New Roman" w:cs="Arial"/>
          <w:lang w:eastAsia="bg-BG"/>
        </w:rPr>
      </w:pPr>
      <w:r w:rsidRPr="00AE4DFB">
        <w:rPr>
          <w:rFonts w:eastAsia="Times New Roman" w:cs="Arial"/>
          <w:color w:val="000000"/>
          <w:lang w:eastAsia="bg-BG"/>
        </w:rPr>
        <w:t>За пълния списък на помощните вещества вижте точка 6.1</w:t>
      </w:r>
    </w:p>
    <w:p w14:paraId="3C47C299" w14:textId="77777777" w:rsidR="00A73575" w:rsidRPr="0091385D" w:rsidRDefault="00A73575" w:rsidP="0091385D"/>
    <w:p w14:paraId="614984C4" w14:textId="3FC552C3" w:rsidR="008A6AF2" w:rsidRDefault="00DD466D" w:rsidP="002C50EE">
      <w:pPr>
        <w:pStyle w:val="Heading1"/>
      </w:pPr>
      <w:r>
        <w:t>3. ЛЕКАРСТВЕНА ФОРМА</w:t>
      </w:r>
    </w:p>
    <w:p w14:paraId="1004E96C" w14:textId="277B91E7" w:rsidR="0091385D" w:rsidRDefault="0091385D" w:rsidP="0091385D"/>
    <w:p w14:paraId="18B77BB2" w14:textId="6BDBB5B4" w:rsidR="00AE4DFB" w:rsidRDefault="00AE4DFB" w:rsidP="00AE4DFB">
      <w:pPr>
        <w:spacing w:line="240" w:lineRule="auto"/>
        <w:rPr>
          <w:rFonts w:eastAsia="Times New Roman" w:cs="Arial"/>
          <w:color w:val="000000"/>
          <w:lang w:eastAsia="bg-BG"/>
        </w:rPr>
      </w:pPr>
      <w:r w:rsidRPr="00AE4DFB">
        <w:rPr>
          <w:rFonts w:eastAsia="Times New Roman" w:cs="Arial"/>
          <w:color w:val="000000"/>
          <w:lang w:eastAsia="bg-BG"/>
        </w:rPr>
        <w:t>Инжекционен разтвор в пре</w:t>
      </w:r>
      <w:r w:rsidR="00913683">
        <w:rPr>
          <w:rFonts w:eastAsia="Times New Roman" w:cs="Arial"/>
          <w:color w:val="000000"/>
          <w:lang w:eastAsia="bg-BG"/>
        </w:rPr>
        <w:t>дварително напълнена спринцовка</w:t>
      </w:r>
    </w:p>
    <w:p w14:paraId="66D6A430" w14:textId="77777777" w:rsidR="00913683" w:rsidRPr="00AE4DFB" w:rsidRDefault="00913683" w:rsidP="00AE4DFB">
      <w:pPr>
        <w:spacing w:line="240" w:lineRule="auto"/>
        <w:rPr>
          <w:rFonts w:eastAsia="Times New Roman" w:cs="Arial"/>
          <w:lang w:eastAsia="bg-BG"/>
        </w:rPr>
      </w:pPr>
    </w:p>
    <w:p w14:paraId="4129ADBB" w14:textId="5A597A94" w:rsidR="0091385D" w:rsidRPr="00AE4DFB" w:rsidRDefault="00AE4DFB" w:rsidP="00AE4DFB">
      <w:pPr>
        <w:rPr>
          <w:rFonts w:cs="Arial"/>
        </w:rPr>
      </w:pPr>
      <w:r w:rsidRPr="00AE4DFB">
        <w:rPr>
          <w:rFonts w:eastAsia="Times New Roman" w:cs="Arial"/>
          <w:color w:val="000000"/>
          <w:lang w:eastAsia="bg-BG"/>
        </w:rPr>
        <w:t>Бистър, безцветен до жълт вискозен разтвор</w:t>
      </w:r>
      <w:r w:rsidR="00913683">
        <w:rPr>
          <w:rFonts w:eastAsia="Times New Roman" w:cs="Arial"/>
          <w:color w:val="000000"/>
          <w:lang w:eastAsia="bg-BG"/>
        </w:rPr>
        <w:t>. Преди инжектиране разтворите за парентерално приложение трябва да се проверят визуално за наличие на видими частици и промяна на цвета.</w:t>
      </w:r>
    </w:p>
    <w:p w14:paraId="7D287A22" w14:textId="77777777" w:rsidR="00A73575" w:rsidRPr="0091385D" w:rsidRDefault="00A73575" w:rsidP="0091385D"/>
    <w:p w14:paraId="490FC2C4" w14:textId="76FABE77" w:rsidR="002C50EE" w:rsidRDefault="002C50EE" w:rsidP="002C50EE">
      <w:pPr>
        <w:pStyle w:val="Heading1"/>
      </w:pPr>
      <w:r>
        <w:t>4. КЛИНИЧНИ ДАННИ</w:t>
      </w:r>
    </w:p>
    <w:p w14:paraId="0C69CBC7" w14:textId="77777777" w:rsidR="0091385D" w:rsidRPr="0091385D" w:rsidRDefault="0091385D" w:rsidP="0091385D"/>
    <w:p w14:paraId="0C8E6903" w14:textId="51BB3E2D" w:rsidR="008134C8" w:rsidRDefault="002C50EE" w:rsidP="004A448E">
      <w:pPr>
        <w:pStyle w:val="Heading2"/>
      </w:pPr>
      <w:r>
        <w:t>4.1. Терапевтични показания</w:t>
      </w:r>
    </w:p>
    <w:p w14:paraId="174D169F" w14:textId="0369962D" w:rsidR="0091385D" w:rsidRDefault="0091385D" w:rsidP="0091385D"/>
    <w:p w14:paraId="1EFC8230" w14:textId="16044BD6" w:rsidR="00AE4DFB" w:rsidRPr="00AE4DFB" w:rsidRDefault="008C464A" w:rsidP="00AE4DFB">
      <w:pPr>
        <w:spacing w:line="240" w:lineRule="auto"/>
        <w:rPr>
          <w:rFonts w:eastAsia="Times New Roman" w:cs="Arial"/>
          <w:lang w:eastAsia="bg-BG"/>
        </w:rPr>
      </w:pPr>
      <w:r w:rsidRPr="00AE4DFB">
        <w:rPr>
          <w:rFonts w:cs="Arial"/>
        </w:rPr>
        <w:t xml:space="preserve">Фулвестрант </w:t>
      </w:r>
      <w:r>
        <w:rPr>
          <w:rFonts w:cs="Arial"/>
        </w:rPr>
        <w:t>Тева</w:t>
      </w:r>
      <w:r w:rsidRPr="00AE4DFB">
        <w:rPr>
          <w:rFonts w:cs="Arial"/>
        </w:rPr>
        <w:t xml:space="preserve"> </w:t>
      </w:r>
      <w:r w:rsidR="00AE4DFB" w:rsidRPr="00AE4DFB">
        <w:rPr>
          <w:rFonts w:eastAsia="Times New Roman" w:cs="Arial"/>
          <w:color w:val="000000"/>
          <w:lang w:eastAsia="bg-BG"/>
        </w:rPr>
        <w:t>е показан</w:t>
      </w:r>
    </w:p>
    <w:p w14:paraId="581B4068" w14:textId="590A86AE" w:rsidR="00AE4DFB" w:rsidRPr="00AE4DFB" w:rsidRDefault="00AE4DFB" w:rsidP="00AE4DFB">
      <w:pPr>
        <w:pStyle w:val="ListParagraph"/>
        <w:numPr>
          <w:ilvl w:val="0"/>
          <w:numId w:val="36"/>
        </w:numPr>
        <w:spacing w:line="240" w:lineRule="auto"/>
        <w:rPr>
          <w:rFonts w:eastAsia="Times New Roman" w:cs="Arial"/>
          <w:color w:val="000000"/>
          <w:lang w:eastAsia="bg-BG"/>
        </w:rPr>
      </w:pPr>
      <w:r w:rsidRPr="00AE4DFB">
        <w:rPr>
          <w:rFonts w:eastAsia="Times New Roman" w:cs="Arial"/>
          <w:color w:val="000000"/>
          <w:lang w:eastAsia="bg-BG"/>
        </w:rPr>
        <w:t xml:space="preserve">като монотерапия за лечение на </w:t>
      </w:r>
      <w:r w:rsidR="00FE54D1" w:rsidRPr="00AE4DFB">
        <w:rPr>
          <w:rFonts w:eastAsia="Times New Roman" w:cs="Arial"/>
          <w:color w:val="000000"/>
          <w:lang w:eastAsia="bg-BG"/>
        </w:rPr>
        <w:t>естроген-рецептор</w:t>
      </w:r>
      <w:r w:rsidR="00FE54D1">
        <w:rPr>
          <w:rFonts w:eastAsia="Times New Roman" w:cs="Arial"/>
          <w:color w:val="000000"/>
          <w:lang w:val="en-US" w:eastAsia="bg-BG"/>
        </w:rPr>
        <w:t xml:space="preserve"> </w:t>
      </w:r>
      <w:r w:rsidR="00FE54D1" w:rsidRPr="00AE4DFB">
        <w:rPr>
          <w:rFonts w:eastAsia="Times New Roman" w:cs="Arial"/>
          <w:color w:val="000000"/>
          <w:lang w:eastAsia="bg-BG"/>
        </w:rPr>
        <w:t xml:space="preserve">позитивен </w:t>
      </w:r>
      <w:r w:rsidRPr="00AE4DFB">
        <w:rPr>
          <w:rFonts w:eastAsia="Times New Roman" w:cs="Arial"/>
          <w:color w:val="000000"/>
          <w:lang w:eastAsia="bg-BG"/>
        </w:rPr>
        <w:t>локално авансирал или метастазирал рак на млечната жлеза</w:t>
      </w:r>
      <w:r w:rsidR="00FE54D1">
        <w:rPr>
          <w:rFonts w:eastAsia="Times New Roman" w:cs="Arial"/>
          <w:color w:val="000000"/>
          <w:lang w:val="en-US" w:eastAsia="bg-BG"/>
        </w:rPr>
        <w:t xml:space="preserve"> </w:t>
      </w:r>
      <w:r w:rsidR="00FE54D1">
        <w:rPr>
          <w:rFonts w:eastAsia="Times New Roman" w:cs="Arial"/>
          <w:color w:val="000000"/>
          <w:lang w:eastAsia="bg-BG"/>
        </w:rPr>
        <w:t xml:space="preserve">при </w:t>
      </w:r>
      <w:r w:rsidR="00FE54D1" w:rsidRPr="00AE4DFB">
        <w:rPr>
          <w:rFonts w:eastAsia="Times New Roman" w:cs="Arial"/>
          <w:color w:val="000000"/>
          <w:lang w:eastAsia="bg-BG"/>
        </w:rPr>
        <w:t>постменопаузални жени</w:t>
      </w:r>
      <w:r w:rsidRPr="00AE4DFB">
        <w:rPr>
          <w:rFonts w:eastAsia="Times New Roman" w:cs="Arial"/>
          <w:color w:val="000000"/>
          <w:lang w:eastAsia="bg-BG"/>
        </w:rPr>
        <w:t>:</w:t>
      </w:r>
    </w:p>
    <w:p w14:paraId="465186AA" w14:textId="7815FF0D" w:rsidR="00A82EBE" w:rsidRPr="00A82EBE" w:rsidRDefault="00AE4DFB" w:rsidP="00913683">
      <w:pPr>
        <w:pStyle w:val="ListParagraph"/>
        <w:numPr>
          <w:ilvl w:val="0"/>
          <w:numId w:val="37"/>
        </w:numPr>
        <w:spacing w:line="240" w:lineRule="auto"/>
        <w:rPr>
          <w:rFonts w:eastAsia="Times New Roman" w:cs="Arial"/>
          <w:lang w:eastAsia="bg-BG"/>
        </w:rPr>
      </w:pPr>
      <w:r w:rsidRPr="00A82EBE">
        <w:rPr>
          <w:rFonts w:eastAsia="Times New Roman" w:cs="Arial"/>
          <w:color w:val="000000"/>
          <w:lang w:eastAsia="bg-BG"/>
        </w:rPr>
        <w:t>които преди това не с</w:t>
      </w:r>
      <w:r w:rsidR="00FE54D1">
        <w:rPr>
          <w:rFonts w:eastAsia="Times New Roman" w:cs="Arial"/>
          <w:color w:val="000000"/>
          <w:lang w:eastAsia="bg-BG"/>
        </w:rPr>
        <w:t>а били подлагани на ендокринно лечение</w:t>
      </w:r>
      <w:r w:rsidRPr="00A82EBE">
        <w:rPr>
          <w:rFonts w:eastAsia="Times New Roman" w:cs="Arial"/>
          <w:color w:val="000000"/>
          <w:lang w:eastAsia="bg-BG"/>
        </w:rPr>
        <w:t xml:space="preserve"> или</w:t>
      </w:r>
    </w:p>
    <w:p w14:paraId="387B79BA" w14:textId="6BB3E5E3" w:rsidR="00AE4DFB" w:rsidRPr="00A82EBE" w:rsidRDefault="00FE54D1" w:rsidP="00AE4DFB">
      <w:pPr>
        <w:pStyle w:val="ListParagraph"/>
        <w:numPr>
          <w:ilvl w:val="0"/>
          <w:numId w:val="37"/>
        </w:numPr>
        <w:spacing w:line="240" w:lineRule="auto"/>
        <w:rPr>
          <w:rFonts w:eastAsia="Times New Roman" w:cs="Arial"/>
          <w:lang w:eastAsia="bg-BG"/>
        </w:rPr>
      </w:pPr>
      <w:r>
        <w:rPr>
          <w:rFonts w:eastAsia="Times New Roman" w:cs="Arial"/>
          <w:color w:val="000000"/>
          <w:lang w:eastAsia="bg-BG"/>
        </w:rPr>
        <w:t xml:space="preserve">с </w:t>
      </w:r>
      <w:r w:rsidR="00AE4DFB" w:rsidRPr="00A82EBE">
        <w:rPr>
          <w:rFonts w:eastAsia="Times New Roman" w:cs="Arial"/>
          <w:color w:val="000000"/>
          <w:lang w:eastAsia="bg-BG"/>
        </w:rPr>
        <w:t xml:space="preserve">рецидив на заболяването по време </w:t>
      </w:r>
      <w:r>
        <w:rPr>
          <w:rFonts w:eastAsia="Times New Roman" w:cs="Arial"/>
          <w:color w:val="000000"/>
          <w:lang w:eastAsia="bg-BG"/>
        </w:rPr>
        <w:t xml:space="preserve">на </w:t>
      </w:r>
      <w:r w:rsidR="00AE4DFB" w:rsidRPr="00A82EBE">
        <w:rPr>
          <w:rFonts w:eastAsia="Times New Roman" w:cs="Arial"/>
          <w:color w:val="000000"/>
          <w:lang w:eastAsia="bg-BG"/>
        </w:rPr>
        <w:t xml:space="preserve">или след адювантна </w:t>
      </w:r>
      <w:r>
        <w:rPr>
          <w:rFonts w:eastAsia="Times New Roman" w:cs="Arial"/>
          <w:color w:val="000000"/>
          <w:lang w:eastAsia="bg-BG"/>
        </w:rPr>
        <w:t xml:space="preserve">терапия с антиестрогенен продукт </w:t>
      </w:r>
      <w:r w:rsidR="00AE4DFB" w:rsidRPr="00A82EBE">
        <w:rPr>
          <w:rFonts w:eastAsia="Times New Roman" w:cs="Arial"/>
          <w:color w:val="000000"/>
          <w:lang w:eastAsia="bg-BG"/>
        </w:rPr>
        <w:t>или при прогресия на заболяването по време на антиестрогенна терапия.</w:t>
      </w:r>
    </w:p>
    <w:p w14:paraId="73F9B0CE" w14:textId="77777777" w:rsidR="00AE4DFB" w:rsidRPr="00AE4DFB" w:rsidRDefault="00AE4DFB" w:rsidP="00AE4DFB">
      <w:pPr>
        <w:pStyle w:val="ListParagraph"/>
        <w:numPr>
          <w:ilvl w:val="0"/>
          <w:numId w:val="36"/>
        </w:numPr>
        <w:spacing w:line="240" w:lineRule="auto"/>
        <w:rPr>
          <w:rFonts w:eastAsia="Times New Roman" w:cs="Arial"/>
          <w:color w:val="000000"/>
          <w:lang w:eastAsia="bg-BG"/>
        </w:rPr>
      </w:pPr>
      <w:r w:rsidRPr="00AE4DFB">
        <w:rPr>
          <w:rFonts w:eastAsia="Times New Roman" w:cs="Arial"/>
          <w:color w:val="000000"/>
          <w:lang w:eastAsia="bg-BG"/>
        </w:rPr>
        <w:lastRenderedPageBreak/>
        <w:t xml:space="preserve">в комбинация с палбоциклиб за лечение на положителен за хормонален рецептор </w:t>
      </w:r>
      <w:r w:rsidRPr="00AE4DFB">
        <w:rPr>
          <w:rFonts w:eastAsia="Times New Roman" w:cs="Arial"/>
          <w:color w:val="000000"/>
          <w:lang w:val="en-US"/>
        </w:rPr>
        <w:t xml:space="preserve">(HR), </w:t>
      </w:r>
      <w:r w:rsidRPr="00AE4DFB">
        <w:rPr>
          <w:rFonts w:eastAsia="Times New Roman" w:cs="Arial"/>
          <w:color w:val="000000"/>
          <w:lang w:eastAsia="bg-BG"/>
        </w:rPr>
        <w:t xml:space="preserve">отрицателен за рецептор 2 на човешкия епидермален растежен фактор </w:t>
      </w:r>
      <w:r w:rsidRPr="00AE4DFB">
        <w:rPr>
          <w:rFonts w:eastAsia="Times New Roman" w:cs="Arial"/>
          <w:color w:val="000000"/>
          <w:lang w:val="en-US"/>
        </w:rPr>
        <w:t xml:space="preserve">(HER2) </w:t>
      </w:r>
      <w:r w:rsidRPr="00AE4DFB">
        <w:rPr>
          <w:rFonts w:eastAsia="Times New Roman" w:cs="Arial"/>
          <w:color w:val="000000"/>
          <w:lang w:eastAsia="bg-BG"/>
        </w:rPr>
        <w:t>локално авансирал или метастатичен рак на млечната жлеза при жени, които са приемали предишна ендокринна терапия (вж. точка 5.1).</w:t>
      </w:r>
    </w:p>
    <w:p w14:paraId="1C758051" w14:textId="77777777" w:rsidR="00AE4DFB" w:rsidRPr="00AE4DFB" w:rsidRDefault="00AE4DFB" w:rsidP="00AE4DFB">
      <w:pPr>
        <w:rPr>
          <w:rFonts w:eastAsia="Times New Roman" w:cs="Arial"/>
          <w:color w:val="000000"/>
          <w:lang w:eastAsia="bg-BG"/>
        </w:rPr>
      </w:pPr>
    </w:p>
    <w:p w14:paraId="04B2E99C" w14:textId="17F6AE62" w:rsidR="0091385D" w:rsidRPr="00AE4DFB" w:rsidRDefault="00FE54D1" w:rsidP="00AE4DFB">
      <w:pPr>
        <w:rPr>
          <w:rFonts w:cs="Arial"/>
        </w:rPr>
      </w:pPr>
      <w:r>
        <w:rPr>
          <w:rFonts w:eastAsia="Times New Roman" w:cs="Arial"/>
          <w:color w:val="000000"/>
          <w:lang w:eastAsia="bg-BG"/>
        </w:rPr>
        <w:t xml:space="preserve">При пре- </w:t>
      </w:r>
      <w:r w:rsidR="00AE4DFB" w:rsidRPr="00AE4DFB">
        <w:rPr>
          <w:rFonts w:eastAsia="Times New Roman" w:cs="Arial"/>
          <w:color w:val="000000"/>
          <w:lang w:eastAsia="bg-BG"/>
        </w:rPr>
        <w:t>или перименопауза</w:t>
      </w:r>
      <w:r>
        <w:rPr>
          <w:rFonts w:eastAsia="Times New Roman" w:cs="Arial"/>
          <w:color w:val="000000"/>
          <w:lang w:eastAsia="bg-BG"/>
        </w:rPr>
        <w:t>лни жени, комбинираната терапия</w:t>
      </w:r>
      <w:r w:rsidR="00AE4DFB" w:rsidRPr="00AE4DFB">
        <w:rPr>
          <w:rFonts w:eastAsia="Times New Roman" w:cs="Arial"/>
          <w:color w:val="000000"/>
          <w:lang w:eastAsia="bg-BG"/>
        </w:rPr>
        <w:t xml:space="preserve"> с палбоциклиб трябва да се комбинира с агонист на лу</w:t>
      </w:r>
      <w:r>
        <w:rPr>
          <w:rFonts w:eastAsia="Times New Roman" w:cs="Arial"/>
          <w:color w:val="000000"/>
          <w:lang w:eastAsia="bg-BG"/>
        </w:rPr>
        <w:t>теинизиращ хормон-освобождаващ</w:t>
      </w:r>
      <w:r w:rsidR="00AE4DFB" w:rsidRPr="00AE4DFB">
        <w:rPr>
          <w:rFonts w:eastAsia="Times New Roman" w:cs="Arial"/>
          <w:color w:val="000000"/>
          <w:lang w:eastAsia="bg-BG"/>
        </w:rPr>
        <w:t xml:space="preserve"> хормон </w:t>
      </w:r>
      <w:r w:rsidR="00AE4DFB" w:rsidRPr="00AE4DFB">
        <w:rPr>
          <w:rFonts w:eastAsia="Times New Roman" w:cs="Arial"/>
          <w:color w:val="000000"/>
          <w:lang w:val="en-US"/>
        </w:rPr>
        <w:t>(LHRH).</w:t>
      </w:r>
    </w:p>
    <w:p w14:paraId="6DFA4B9D" w14:textId="77777777" w:rsidR="0091385D" w:rsidRPr="0091385D" w:rsidRDefault="0091385D" w:rsidP="0091385D"/>
    <w:p w14:paraId="30BE2C7B" w14:textId="3633C1E4" w:rsidR="008134C8" w:rsidRDefault="002C50EE" w:rsidP="004A448E">
      <w:pPr>
        <w:pStyle w:val="Heading2"/>
      </w:pPr>
      <w:r>
        <w:t>4.2. Дозировка и начин на приложение</w:t>
      </w:r>
    </w:p>
    <w:p w14:paraId="7AA22B68" w14:textId="3A681DFB" w:rsidR="0091385D" w:rsidRDefault="0091385D" w:rsidP="0091385D"/>
    <w:p w14:paraId="7D9AF008" w14:textId="77777777" w:rsidR="00AE4DFB" w:rsidRPr="004A1844" w:rsidRDefault="00AE4DFB" w:rsidP="004A1844">
      <w:pPr>
        <w:pStyle w:val="Heading3"/>
        <w:rPr>
          <w:rFonts w:eastAsia="Times New Roman"/>
          <w:u w:val="single"/>
          <w:lang w:eastAsia="bg-BG"/>
        </w:rPr>
      </w:pPr>
      <w:r w:rsidRPr="004A1844">
        <w:rPr>
          <w:rFonts w:eastAsia="Times New Roman"/>
          <w:u w:val="single"/>
          <w:lang w:eastAsia="bg-BG"/>
        </w:rPr>
        <w:t>Дозировка</w:t>
      </w:r>
    </w:p>
    <w:p w14:paraId="4AD4C612" w14:textId="77777777" w:rsidR="00AE4DFB" w:rsidRPr="00AE4DFB" w:rsidRDefault="00AE4DFB" w:rsidP="00AE4DFB">
      <w:pPr>
        <w:spacing w:line="240" w:lineRule="auto"/>
        <w:rPr>
          <w:rFonts w:eastAsia="Times New Roman" w:cs="Arial"/>
          <w:i/>
          <w:iCs/>
          <w:color w:val="000000"/>
          <w:lang w:eastAsia="bg-BG"/>
        </w:rPr>
      </w:pPr>
    </w:p>
    <w:p w14:paraId="3BF76967" w14:textId="3C3EA88C" w:rsidR="00AE4DFB" w:rsidRPr="00AE4DFB" w:rsidRDefault="00AE4DFB" w:rsidP="00AE4DFB">
      <w:pPr>
        <w:spacing w:line="240" w:lineRule="auto"/>
        <w:rPr>
          <w:rFonts w:eastAsia="Times New Roman" w:cs="Arial"/>
          <w:lang w:eastAsia="bg-BG"/>
        </w:rPr>
      </w:pPr>
      <w:r w:rsidRPr="00AE4DFB">
        <w:rPr>
          <w:rFonts w:eastAsia="Times New Roman" w:cs="Arial"/>
          <w:i/>
          <w:iCs/>
          <w:color w:val="000000"/>
          <w:lang w:eastAsia="bg-BG"/>
        </w:rPr>
        <w:t>Жени (включително в старческа възраст)</w:t>
      </w:r>
    </w:p>
    <w:p w14:paraId="475300EC" w14:textId="1D93700F" w:rsidR="0091385D" w:rsidRPr="00AE4DFB" w:rsidRDefault="00AE4DFB" w:rsidP="00AE4DFB">
      <w:pPr>
        <w:rPr>
          <w:rFonts w:cs="Arial"/>
        </w:rPr>
      </w:pPr>
      <w:r w:rsidRPr="00AE4DFB">
        <w:rPr>
          <w:rFonts w:eastAsia="Times New Roman" w:cs="Arial"/>
          <w:color w:val="000000"/>
          <w:lang w:eastAsia="bg-BG"/>
        </w:rPr>
        <w:t xml:space="preserve">Препоръчителната доза е 500 </w:t>
      </w:r>
      <w:r w:rsidRPr="00AE4DFB">
        <w:rPr>
          <w:rFonts w:eastAsia="Times New Roman" w:cs="Arial"/>
          <w:color w:val="000000"/>
          <w:lang w:val="en-US"/>
        </w:rPr>
        <w:t xml:space="preserve">mg </w:t>
      </w:r>
      <w:r w:rsidRPr="00AE4DFB">
        <w:rPr>
          <w:rFonts w:eastAsia="Times New Roman" w:cs="Arial"/>
          <w:color w:val="000000"/>
          <w:lang w:eastAsia="bg-BG"/>
        </w:rPr>
        <w:t xml:space="preserve">на интервали от един месец плюс допълнителна доза от 500 </w:t>
      </w:r>
      <w:r w:rsidRPr="00AE4DFB">
        <w:rPr>
          <w:rFonts w:eastAsia="Times New Roman" w:cs="Arial"/>
          <w:color w:val="000000"/>
          <w:lang w:val="en-US"/>
        </w:rPr>
        <w:t xml:space="preserve">mg </w:t>
      </w:r>
      <w:r w:rsidRPr="00AE4DFB">
        <w:rPr>
          <w:rFonts w:eastAsia="Times New Roman" w:cs="Arial"/>
          <w:color w:val="000000"/>
          <w:lang w:eastAsia="bg-BG"/>
        </w:rPr>
        <w:t>две седмици след началната доза.</w:t>
      </w:r>
    </w:p>
    <w:p w14:paraId="42F9F0A0" w14:textId="3B11B417" w:rsidR="00AE4DFB" w:rsidRPr="00AE4DFB" w:rsidRDefault="00AE4DFB" w:rsidP="00AE4DFB">
      <w:pPr>
        <w:spacing w:line="240" w:lineRule="auto"/>
        <w:rPr>
          <w:rFonts w:eastAsia="Times New Roman" w:cs="Arial"/>
          <w:sz w:val="28"/>
          <w:szCs w:val="24"/>
          <w:lang w:eastAsia="bg-BG"/>
        </w:rPr>
      </w:pPr>
      <w:r w:rsidRPr="00AE4DFB">
        <w:rPr>
          <w:rFonts w:eastAsia="Times New Roman" w:cs="Arial"/>
          <w:color w:val="000000"/>
          <w:szCs w:val="20"/>
          <w:lang w:eastAsia="bg-BG"/>
        </w:rPr>
        <w:t xml:space="preserve">Когато </w:t>
      </w:r>
      <w:r w:rsidR="00FE54D1">
        <w:rPr>
          <w:rFonts w:cs="Arial"/>
        </w:rPr>
        <w:t>ф</w:t>
      </w:r>
      <w:r w:rsidR="008C464A" w:rsidRPr="00AE4DFB">
        <w:rPr>
          <w:rFonts w:cs="Arial"/>
        </w:rPr>
        <w:t xml:space="preserve">улвестрант </w:t>
      </w:r>
      <w:r w:rsidRPr="00AE4DFB">
        <w:rPr>
          <w:rFonts w:eastAsia="Times New Roman" w:cs="Arial"/>
          <w:color w:val="000000"/>
          <w:szCs w:val="20"/>
          <w:lang w:eastAsia="bg-BG"/>
        </w:rPr>
        <w:t xml:space="preserve">се използва в комбинация с палбоциклиб, </w:t>
      </w:r>
      <w:r w:rsidR="00FE54D1">
        <w:rPr>
          <w:rFonts w:eastAsia="Times New Roman" w:cs="Arial"/>
          <w:color w:val="000000"/>
          <w:szCs w:val="20"/>
          <w:lang w:eastAsia="bg-BG"/>
        </w:rPr>
        <w:t>моля вижте също к</w:t>
      </w:r>
      <w:r w:rsidRPr="00AE4DFB">
        <w:rPr>
          <w:rFonts w:eastAsia="Times New Roman" w:cs="Arial"/>
          <w:color w:val="000000"/>
          <w:szCs w:val="20"/>
          <w:lang w:eastAsia="bg-BG"/>
        </w:rPr>
        <w:t>ратката характеристика на продукта на палбоциклиб.</w:t>
      </w:r>
    </w:p>
    <w:p w14:paraId="6B3149CF" w14:textId="77777777" w:rsidR="00AE4DFB" w:rsidRPr="00AE4DFB" w:rsidRDefault="00AE4DFB" w:rsidP="00AE4DFB">
      <w:pPr>
        <w:spacing w:line="240" w:lineRule="auto"/>
        <w:rPr>
          <w:rFonts w:eastAsia="Times New Roman" w:cs="Arial"/>
          <w:color w:val="000000"/>
          <w:szCs w:val="20"/>
          <w:lang w:eastAsia="bg-BG"/>
        </w:rPr>
      </w:pPr>
    </w:p>
    <w:p w14:paraId="0991126E" w14:textId="47368936" w:rsidR="00AE4DFB" w:rsidRPr="00AE4DFB" w:rsidRDefault="00AE4DFB" w:rsidP="00AE4DFB">
      <w:pPr>
        <w:spacing w:line="240" w:lineRule="auto"/>
        <w:rPr>
          <w:rFonts w:eastAsia="Times New Roman" w:cs="Arial"/>
          <w:sz w:val="28"/>
          <w:szCs w:val="24"/>
          <w:lang w:eastAsia="bg-BG"/>
        </w:rPr>
      </w:pPr>
      <w:r w:rsidRPr="00AE4DFB">
        <w:rPr>
          <w:rFonts w:eastAsia="Times New Roman" w:cs="Arial"/>
          <w:color w:val="000000"/>
          <w:szCs w:val="20"/>
          <w:lang w:eastAsia="bg-BG"/>
        </w:rPr>
        <w:t>Преди започване на лечение</w:t>
      </w:r>
      <w:r w:rsidR="00FE54D1">
        <w:rPr>
          <w:rFonts w:eastAsia="Times New Roman" w:cs="Arial"/>
          <w:color w:val="000000"/>
          <w:szCs w:val="20"/>
          <w:lang w:eastAsia="bg-BG"/>
        </w:rPr>
        <w:t>то</w:t>
      </w:r>
      <w:r w:rsidRPr="00AE4DFB">
        <w:rPr>
          <w:rFonts w:eastAsia="Times New Roman" w:cs="Arial"/>
          <w:color w:val="000000"/>
          <w:szCs w:val="20"/>
          <w:lang w:eastAsia="bg-BG"/>
        </w:rPr>
        <w:t xml:space="preserve"> с комбинация</w:t>
      </w:r>
      <w:r w:rsidR="00FE54D1">
        <w:rPr>
          <w:rFonts w:eastAsia="Times New Roman" w:cs="Arial"/>
          <w:color w:val="000000"/>
          <w:szCs w:val="20"/>
          <w:lang w:eastAsia="bg-BG"/>
        </w:rPr>
        <w:t>та</w:t>
      </w:r>
      <w:r w:rsidRPr="00AE4DFB">
        <w:rPr>
          <w:rFonts w:eastAsia="Times New Roman" w:cs="Arial"/>
          <w:color w:val="000000"/>
          <w:szCs w:val="20"/>
          <w:lang w:eastAsia="bg-BG"/>
        </w:rPr>
        <w:t xml:space="preserve"> на </w:t>
      </w:r>
      <w:r w:rsidR="00FE54D1">
        <w:rPr>
          <w:rFonts w:cs="Arial"/>
        </w:rPr>
        <w:t>ф</w:t>
      </w:r>
      <w:r w:rsidR="008C464A" w:rsidRPr="00AE4DFB">
        <w:rPr>
          <w:rFonts w:cs="Arial"/>
        </w:rPr>
        <w:t xml:space="preserve">улвестрант </w:t>
      </w:r>
      <w:r w:rsidR="00FE54D1">
        <w:rPr>
          <w:rFonts w:eastAsia="Times New Roman" w:cs="Arial"/>
          <w:color w:val="000000"/>
          <w:szCs w:val="20"/>
          <w:lang w:eastAsia="bg-BG"/>
        </w:rPr>
        <w:t xml:space="preserve">плюс палбоциклиб, </w:t>
      </w:r>
      <w:r w:rsidRPr="00AE4DFB">
        <w:rPr>
          <w:rFonts w:eastAsia="Times New Roman" w:cs="Arial"/>
          <w:color w:val="000000"/>
          <w:szCs w:val="20"/>
          <w:lang w:eastAsia="bg-BG"/>
        </w:rPr>
        <w:t>и по време на</w:t>
      </w:r>
      <w:r w:rsidR="00FE54D1">
        <w:rPr>
          <w:rFonts w:eastAsia="Times New Roman" w:cs="Arial"/>
          <w:color w:val="000000"/>
          <w:szCs w:val="20"/>
          <w:lang w:eastAsia="bg-BG"/>
        </w:rPr>
        <w:t xml:space="preserve"> нейната продължителност</w:t>
      </w:r>
      <w:r w:rsidRPr="00AE4DFB">
        <w:rPr>
          <w:rFonts w:eastAsia="Times New Roman" w:cs="Arial"/>
          <w:color w:val="000000"/>
          <w:szCs w:val="20"/>
          <w:lang w:eastAsia="bg-BG"/>
        </w:rPr>
        <w:t xml:space="preserve">, пре/перименопаузалните жени трябва да се лекуват с агонист на </w:t>
      </w:r>
      <w:r w:rsidRPr="00AE4DFB">
        <w:rPr>
          <w:rFonts w:eastAsia="Times New Roman" w:cs="Arial"/>
          <w:color w:val="000000"/>
          <w:szCs w:val="20"/>
          <w:lang w:val="en-US"/>
        </w:rPr>
        <w:t>LHRH</w:t>
      </w:r>
      <w:r w:rsidR="00FE54D1">
        <w:rPr>
          <w:rFonts w:eastAsia="Times New Roman" w:cs="Arial"/>
          <w:color w:val="000000"/>
          <w:szCs w:val="20"/>
        </w:rPr>
        <w:t>,</w:t>
      </w:r>
      <w:r w:rsidRPr="00AE4DFB">
        <w:rPr>
          <w:rFonts w:eastAsia="Times New Roman" w:cs="Arial"/>
          <w:color w:val="000000"/>
          <w:szCs w:val="20"/>
          <w:lang w:val="en-US"/>
        </w:rPr>
        <w:t xml:space="preserve"> </w:t>
      </w:r>
      <w:r w:rsidR="00FE54D1">
        <w:rPr>
          <w:rFonts w:eastAsia="Times New Roman" w:cs="Arial"/>
          <w:color w:val="000000"/>
          <w:szCs w:val="20"/>
        </w:rPr>
        <w:t xml:space="preserve">в </w:t>
      </w:r>
      <w:r w:rsidR="00FE54D1">
        <w:rPr>
          <w:rFonts w:eastAsia="Times New Roman" w:cs="Arial"/>
          <w:color w:val="000000"/>
          <w:szCs w:val="20"/>
          <w:lang w:eastAsia="bg-BG"/>
        </w:rPr>
        <w:t>съответствие с местната клинична практика</w:t>
      </w:r>
      <w:r w:rsidRPr="00AE4DFB">
        <w:rPr>
          <w:rFonts w:eastAsia="Times New Roman" w:cs="Arial"/>
          <w:color w:val="000000"/>
          <w:szCs w:val="20"/>
          <w:lang w:eastAsia="bg-BG"/>
        </w:rPr>
        <w:t>.</w:t>
      </w:r>
    </w:p>
    <w:p w14:paraId="06AA3813" w14:textId="77777777" w:rsidR="00AE4DFB" w:rsidRPr="00AE4DFB" w:rsidRDefault="00AE4DFB" w:rsidP="00AE4DFB">
      <w:pPr>
        <w:spacing w:line="240" w:lineRule="auto"/>
        <w:rPr>
          <w:rFonts w:eastAsia="Times New Roman" w:cs="Arial"/>
          <w:color w:val="000000"/>
          <w:szCs w:val="20"/>
          <w:u w:val="single"/>
          <w:lang w:eastAsia="bg-BG"/>
        </w:rPr>
      </w:pPr>
    </w:p>
    <w:p w14:paraId="1D7CB372" w14:textId="2818463E" w:rsidR="00AE4DFB" w:rsidRPr="00AE4DFB" w:rsidRDefault="00FE54D1" w:rsidP="00AE4DFB">
      <w:pPr>
        <w:spacing w:line="240" w:lineRule="auto"/>
        <w:rPr>
          <w:rFonts w:eastAsia="Times New Roman" w:cs="Arial"/>
          <w:sz w:val="28"/>
          <w:szCs w:val="24"/>
          <w:lang w:eastAsia="bg-BG"/>
        </w:rPr>
      </w:pPr>
      <w:r>
        <w:rPr>
          <w:rFonts w:eastAsia="Times New Roman" w:cs="Arial"/>
          <w:color w:val="000000"/>
          <w:szCs w:val="20"/>
          <w:u w:val="single"/>
          <w:lang w:eastAsia="bg-BG"/>
        </w:rPr>
        <w:t>Специални популации</w:t>
      </w:r>
    </w:p>
    <w:p w14:paraId="53FCD9B4" w14:textId="325A8B6C" w:rsidR="00AE4DFB" w:rsidRPr="00AE4DFB" w:rsidRDefault="00AE4DFB" w:rsidP="00AE4DFB">
      <w:pPr>
        <w:spacing w:line="240" w:lineRule="auto"/>
        <w:rPr>
          <w:rFonts w:eastAsia="Times New Roman" w:cs="Arial"/>
          <w:sz w:val="28"/>
          <w:szCs w:val="24"/>
          <w:lang w:eastAsia="bg-BG"/>
        </w:rPr>
      </w:pPr>
      <w:r w:rsidRPr="00AE4DFB">
        <w:rPr>
          <w:rFonts w:eastAsia="Times New Roman" w:cs="Arial"/>
          <w:i/>
          <w:iCs/>
          <w:color w:val="000000"/>
          <w:szCs w:val="20"/>
          <w:lang w:eastAsia="bg-BG"/>
        </w:rPr>
        <w:t>Бъбречно нарушение</w:t>
      </w:r>
    </w:p>
    <w:p w14:paraId="2638BE8F" w14:textId="0C78D2CE" w:rsidR="00AE4DFB" w:rsidRPr="00AE4DFB" w:rsidRDefault="00AE4DFB" w:rsidP="00AE4DFB">
      <w:pPr>
        <w:spacing w:line="240" w:lineRule="auto"/>
        <w:rPr>
          <w:rFonts w:eastAsia="Times New Roman" w:cs="Arial"/>
          <w:sz w:val="28"/>
          <w:szCs w:val="24"/>
          <w:lang w:eastAsia="bg-BG"/>
        </w:rPr>
      </w:pPr>
      <w:r w:rsidRPr="00AE4DFB">
        <w:rPr>
          <w:rFonts w:eastAsia="Times New Roman" w:cs="Arial"/>
          <w:color w:val="000000"/>
          <w:szCs w:val="20"/>
          <w:lang w:eastAsia="bg-BG"/>
        </w:rPr>
        <w:t>Не се препоръчва адаптиране на дозата при пациенти с леко до умерено бъбре</w:t>
      </w:r>
      <w:r w:rsidR="00361985">
        <w:rPr>
          <w:rFonts w:eastAsia="Times New Roman" w:cs="Arial"/>
          <w:color w:val="000000"/>
          <w:szCs w:val="20"/>
          <w:lang w:eastAsia="bg-BG"/>
        </w:rPr>
        <w:t>чно нарушение (креатининов клиръ</w:t>
      </w:r>
      <w:r w:rsidRPr="00AE4DFB">
        <w:rPr>
          <w:rFonts w:eastAsia="Times New Roman" w:cs="Arial"/>
          <w:color w:val="000000"/>
          <w:szCs w:val="20"/>
          <w:lang w:eastAsia="bg-BG"/>
        </w:rPr>
        <w:t xml:space="preserve">нс &gt;30 </w:t>
      </w:r>
      <w:r w:rsidRPr="00AE4DFB">
        <w:rPr>
          <w:rFonts w:eastAsia="Times New Roman" w:cs="Arial"/>
          <w:color w:val="000000"/>
          <w:szCs w:val="20"/>
          <w:lang w:val="en-US"/>
        </w:rPr>
        <w:t>ml</w:t>
      </w:r>
      <w:r w:rsidRPr="00AE4DFB">
        <w:rPr>
          <w:rFonts w:eastAsia="Times New Roman" w:cs="Arial"/>
          <w:color w:val="000000"/>
          <w:szCs w:val="20"/>
          <w:lang w:eastAsia="bg-BG"/>
        </w:rPr>
        <w:t xml:space="preserve">/мин). </w:t>
      </w:r>
      <w:r w:rsidR="00361985">
        <w:rPr>
          <w:rFonts w:eastAsia="Times New Roman" w:cs="Arial"/>
          <w:color w:val="000000"/>
          <w:szCs w:val="20"/>
          <w:lang w:eastAsia="bg-BG"/>
        </w:rPr>
        <w:t>Безопасността и ефикасността не са</w:t>
      </w:r>
      <w:r w:rsidRPr="00AE4DFB">
        <w:rPr>
          <w:rFonts w:eastAsia="Times New Roman" w:cs="Arial"/>
          <w:color w:val="000000"/>
          <w:szCs w:val="20"/>
          <w:lang w:eastAsia="bg-BG"/>
        </w:rPr>
        <w:t xml:space="preserve"> оценени при пациенти</w:t>
      </w:r>
      <w:r w:rsidR="00361985">
        <w:rPr>
          <w:rFonts w:eastAsia="Times New Roman" w:cs="Arial"/>
          <w:color w:val="000000"/>
          <w:szCs w:val="20"/>
          <w:lang w:eastAsia="bg-BG"/>
        </w:rPr>
        <w:t xml:space="preserve"> с тежко бъбречно увреждане</w:t>
      </w:r>
      <w:r w:rsidRPr="00AE4DFB">
        <w:rPr>
          <w:rFonts w:eastAsia="Times New Roman" w:cs="Arial"/>
          <w:color w:val="000000"/>
          <w:szCs w:val="20"/>
          <w:lang w:eastAsia="bg-BG"/>
        </w:rPr>
        <w:t xml:space="preserve"> (креатининов клирънс &lt;30 </w:t>
      </w:r>
      <w:r w:rsidRPr="00AE4DFB">
        <w:rPr>
          <w:rFonts w:eastAsia="Times New Roman" w:cs="Arial"/>
          <w:color w:val="000000"/>
          <w:szCs w:val="20"/>
          <w:lang w:val="en-US"/>
        </w:rPr>
        <w:t>ml</w:t>
      </w:r>
      <w:r w:rsidR="00361985">
        <w:rPr>
          <w:rFonts w:eastAsia="Times New Roman" w:cs="Arial"/>
          <w:color w:val="000000"/>
          <w:szCs w:val="20"/>
          <w:lang w:eastAsia="bg-BG"/>
        </w:rPr>
        <w:t xml:space="preserve">/мин), поради което </w:t>
      </w:r>
      <w:r w:rsidRPr="00AE4DFB">
        <w:rPr>
          <w:rFonts w:eastAsia="Times New Roman" w:cs="Arial"/>
          <w:color w:val="000000"/>
          <w:szCs w:val="20"/>
          <w:lang w:eastAsia="bg-BG"/>
        </w:rPr>
        <w:t>при такива пациенти се препоръчва да се прилага с повишено внимание (вж. точка 4.4).</w:t>
      </w:r>
    </w:p>
    <w:p w14:paraId="0815AC2A" w14:textId="77777777" w:rsidR="00AE4DFB" w:rsidRPr="00AE4DFB" w:rsidRDefault="00AE4DFB" w:rsidP="00AE4DFB">
      <w:pPr>
        <w:spacing w:line="240" w:lineRule="auto"/>
        <w:rPr>
          <w:rFonts w:eastAsia="Times New Roman" w:cs="Arial"/>
          <w:i/>
          <w:iCs/>
          <w:color w:val="000000"/>
          <w:szCs w:val="20"/>
          <w:lang w:eastAsia="bg-BG"/>
        </w:rPr>
      </w:pPr>
    </w:p>
    <w:p w14:paraId="69F34A90" w14:textId="282AAC03" w:rsidR="00AE4DFB" w:rsidRPr="00AE4DFB" w:rsidRDefault="00AE4DFB" w:rsidP="00AE4DFB">
      <w:pPr>
        <w:spacing w:line="240" w:lineRule="auto"/>
        <w:rPr>
          <w:rFonts w:eastAsia="Times New Roman" w:cs="Arial"/>
          <w:sz w:val="28"/>
          <w:szCs w:val="24"/>
          <w:lang w:eastAsia="bg-BG"/>
        </w:rPr>
      </w:pPr>
      <w:r w:rsidRPr="00AE4DFB">
        <w:rPr>
          <w:rFonts w:eastAsia="Times New Roman" w:cs="Arial"/>
          <w:i/>
          <w:iCs/>
          <w:color w:val="000000"/>
          <w:szCs w:val="20"/>
          <w:lang w:eastAsia="bg-BG"/>
        </w:rPr>
        <w:t>Чернодробно нарушение</w:t>
      </w:r>
    </w:p>
    <w:p w14:paraId="3580759E" w14:textId="3C91DEFF" w:rsidR="00AE4DFB" w:rsidRPr="00AE4DFB" w:rsidRDefault="00AE4DFB" w:rsidP="00AE4DFB">
      <w:pPr>
        <w:spacing w:line="240" w:lineRule="auto"/>
        <w:rPr>
          <w:rFonts w:eastAsia="Times New Roman" w:cs="Arial"/>
          <w:sz w:val="28"/>
          <w:szCs w:val="24"/>
          <w:lang w:eastAsia="bg-BG"/>
        </w:rPr>
      </w:pPr>
      <w:r w:rsidRPr="00AE4DFB">
        <w:rPr>
          <w:rFonts w:eastAsia="Times New Roman" w:cs="Arial"/>
          <w:color w:val="000000"/>
          <w:szCs w:val="20"/>
          <w:lang w:eastAsia="bg-BG"/>
        </w:rPr>
        <w:t xml:space="preserve">Не се препоръчва коригиране на дозата при пациенти с леко до умерено чернодробно </w:t>
      </w:r>
      <w:r w:rsidR="00361985">
        <w:rPr>
          <w:rFonts w:eastAsia="Times New Roman" w:cs="Arial"/>
          <w:color w:val="000000"/>
          <w:szCs w:val="20"/>
          <w:lang w:eastAsia="bg-BG"/>
        </w:rPr>
        <w:t>увреждане</w:t>
      </w:r>
      <w:r w:rsidRPr="00AE4DFB">
        <w:rPr>
          <w:rFonts w:eastAsia="Times New Roman" w:cs="Arial"/>
          <w:color w:val="000000"/>
          <w:szCs w:val="20"/>
          <w:lang w:eastAsia="bg-BG"/>
        </w:rPr>
        <w:t xml:space="preserve">. Въпреки това </w:t>
      </w:r>
      <w:r w:rsidR="00B65011" w:rsidRPr="00AE4DFB">
        <w:rPr>
          <w:rFonts w:cs="Arial"/>
        </w:rPr>
        <w:t xml:space="preserve">Фулвестрант </w:t>
      </w:r>
      <w:r w:rsidR="00B65011">
        <w:rPr>
          <w:rFonts w:cs="Arial"/>
        </w:rPr>
        <w:t>Тева</w:t>
      </w:r>
      <w:r w:rsidR="00B65011" w:rsidRPr="00AE4DFB">
        <w:rPr>
          <w:rFonts w:cs="Arial"/>
        </w:rPr>
        <w:t xml:space="preserve"> </w:t>
      </w:r>
      <w:r w:rsidRPr="00AE4DFB">
        <w:rPr>
          <w:rFonts w:eastAsia="Times New Roman" w:cs="Arial"/>
          <w:color w:val="000000"/>
          <w:szCs w:val="20"/>
          <w:lang w:eastAsia="bg-BG"/>
        </w:rPr>
        <w:t xml:space="preserve">трябва да се прилага </w:t>
      </w:r>
      <w:r w:rsidR="00361985">
        <w:rPr>
          <w:rFonts w:eastAsia="Times New Roman" w:cs="Arial"/>
          <w:color w:val="000000"/>
          <w:szCs w:val="20"/>
          <w:lang w:eastAsia="bg-BG"/>
        </w:rPr>
        <w:t>с повишено внимание</w:t>
      </w:r>
      <w:r w:rsidRPr="00AE4DFB">
        <w:rPr>
          <w:rFonts w:eastAsia="Times New Roman" w:cs="Arial"/>
          <w:color w:val="000000"/>
          <w:szCs w:val="20"/>
          <w:lang w:eastAsia="bg-BG"/>
        </w:rPr>
        <w:t xml:space="preserve"> при тези пациенти, тъй кат</w:t>
      </w:r>
      <w:r w:rsidR="00361985">
        <w:rPr>
          <w:rFonts w:eastAsia="Times New Roman" w:cs="Arial"/>
          <w:color w:val="000000"/>
          <w:szCs w:val="20"/>
          <w:lang w:eastAsia="bg-BG"/>
        </w:rPr>
        <w:t xml:space="preserve">о е експозицията на </w:t>
      </w:r>
      <w:r w:rsidR="00361985">
        <w:rPr>
          <w:rFonts w:cs="Arial"/>
        </w:rPr>
        <w:t>ф</w:t>
      </w:r>
      <w:r w:rsidR="00361985" w:rsidRPr="00AE4DFB">
        <w:rPr>
          <w:rFonts w:cs="Arial"/>
        </w:rPr>
        <w:t>улвестрант</w:t>
      </w:r>
      <w:r w:rsidR="00361985">
        <w:rPr>
          <w:rFonts w:eastAsia="Times New Roman" w:cs="Arial"/>
          <w:color w:val="000000"/>
          <w:szCs w:val="20"/>
          <w:lang w:eastAsia="bg-BG"/>
        </w:rPr>
        <w:t xml:space="preserve"> може да се повиши.</w:t>
      </w:r>
      <w:r w:rsidRPr="00AE4DFB">
        <w:rPr>
          <w:rFonts w:eastAsia="Times New Roman" w:cs="Arial"/>
          <w:color w:val="000000"/>
          <w:szCs w:val="20"/>
          <w:lang w:eastAsia="bg-BG"/>
        </w:rPr>
        <w:t xml:space="preserve"> Н</w:t>
      </w:r>
      <w:r w:rsidR="00361985">
        <w:rPr>
          <w:rFonts w:eastAsia="Times New Roman" w:cs="Arial"/>
          <w:color w:val="000000"/>
          <w:szCs w:val="20"/>
          <w:lang w:eastAsia="bg-BG"/>
        </w:rPr>
        <w:t>яма данни за</w:t>
      </w:r>
      <w:r w:rsidRPr="00AE4DFB">
        <w:rPr>
          <w:rFonts w:eastAsia="Times New Roman" w:cs="Arial"/>
          <w:color w:val="000000"/>
          <w:szCs w:val="20"/>
          <w:lang w:eastAsia="bg-BG"/>
        </w:rPr>
        <w:t xml:space="preserve"> пациенти с тежко чернодробно увреждане (вж. точки 4.3,4.4. и 5.2).</w:t>
      </w:r>
    </w:p>
    <w:p w14:paraId="6DACA805" w14:textId="77777777" w:rsidR="00AE4DFB" w:rsidRPr="00AE4DFB" w:rsidRDefault="00AE4DFB" w:rsidP="00AE4DFB">
      <w:pPr>
        <w:spacing w:line="240" w:lineRule="auto"/>
        <w:rPr>
          <w:rFonts w:eastAsia="Times New Roman" w:cs="Arial"/>
          <w:color w:val="000000"/>
          <w:szCs w:val="20"/>
          <w:u w:val="single"/>
          <w:lang w:eastAsia="bg-BG"/>
        </w:rPr>
      </w:pPr>
    </w:p>
    <w:p w14:paraId="1C2CF92E" w14:textId="427A6CCC" w:rsidR="00AE4DFB" w:rsidRPr="00AE4DFB" w:rsidRDefault="00AE4DFB" w:rsidP="00AE4DFB">
      <w:pPr>
        <w:spacing w:line="240" w:lineRule="auto"/>
        <w:rPr>
          <w:rFonts w:eastAsia="Times New Roman" w:cs="Arial"/>
          <w:sz w:val="28"/>
          <w:szCs w:val="24"/>
          <w:lang w:eastAsia="bg-BG"/>
        </w:rPr>
      </w:pPr>
      <w:r w:rsidRPr="00AE4DFB">
        <w:rPr>
          <w:rFonts w:eastAsia="Times New Roman" w:cs="Arial"/>
          <w:color w:val="000000"/>
          <w:szCs w:val="20"/>
          <w:u w:val="single"/>
          <w:lang w:eastAsia="bg-BG"/>
        </w:rPr>
        <w:t>Педиатрична популация</w:t>
      </w:r>
    </w:p>
    <w:p w14:paraId="046017D5" w14:textId="4F55AE42" w:rsidR="00AE4DFB" w:rsidRPr="00AE4DFB" w:rsidRDefault="00AE4DFB" w:rsidP="00AE4DFB">
      <w:pPr>
        <w:spacing w:line="240" w:lineRule="auto"/>
        <w:rPr>
          <w:rFonts w:eastAsia="Times New Roman" w:cs="Arial"/>
          <w:sz w:val="28"/>
          <w:szCs w:val="24"/>
          <w:lang w:eastAsia="bg-BG"/>
        </w:rPr>
      </w:pPr>
      <w:r w:rsidRPr="00AE4DFB">
        <w:rPr>
          <w:rFonts w:eastAsia="Times New Roman" w:cs="Arial"/>
          <w:color w:val="000000"/>
          <w:szCs w:val="20"/>
          <w:lang w:eastAsia="bg-BG"/>
        </w:rPr>
        <w:t xml:space="preserve">Безопасността и ефикасността на </w:t>
      </w:r>
      <w:r w:rsidR="00B65011" w:rsidRPr="00AE4DFB">
        <w:rPr>
          <w:rFonts w:cs="Arial"/>
        </w:rPr>
        <w:t xml:space="preserve">Фулвестрант </w:t>
      </w:r>
      <w:r w:rsidR="00B65011">
        <w:rPr>
          <w:rFonts w:cs="Arial"/>
        </w:rPr>
        <w:t>Тева</w:t>
      </w:r>
      <w:r w:rsidR="00B65011" w:rsidRPr="00AE4DFB">
        <w:rPr>
          <w:rFonts w:cs="Arial"/>
        </w:rPr>
        <w:t xml:space="preserve"> </w:t>
      </w:r>
      <w:r w:rsidRPr="00AE4DFB">
        <w:rPr>
          <w:rFonts w:eastAsia="Times New Roman" w:cs="Arial"/>
          <w:color w:val="000000"/>
          <w:szCs w:val="20"/>
          <w:lang w:eastAsia="bg-BG"/>
        </w:rPr>
        <w:t>при деца на възраст от</w:t>
      </w:r>
      <w:r w:rsidR="00361985">
        <w:rPr>
          <w:rFonts w:eastAsia="Times New Roman" w:cs="Arial"/>
          <w:color w:val="000000"/>
          <w:szCs w:val="20"/>
          <w:lang w:eastAsia="bg-BG"/>
        </w:rPr>
        <w:t xml:space="preserve"> момента на раждане </w:t>
      </w:r>
      <w:r w:rsidRPr="00AE4DFB">
        <w:rPr>
          <w:rFonts w:eastAsia="Times New Roman" w:cs="Arial"/>
          <w:color w:val="000000"/>
          <w:szCs w:val="20"/>
          <w:lang w:eastAsia="bg-BG"/>
        </w:rPr>
        <w:t xml:space="preserve">до 18 години не са </w:t>
      </w:r>
      <w:r w:rsidR="00361985">
        <w:rPr>
          <w:rFonts w:eastAsia="Times New Roman" w:cs="Arial"/>
          <w:color w:val="000000"/>
          <w:szCs w:val="20"/>
          <w:lang w:eastAsia="bg-BG"/>
        </w:rPr>
        <w:t>установени. Съществуващите</w:t>
      </w:r>
      <w:r w:rsidRPr="00AE4DFB">
        <w:rPr>
          <w:rFonts w:eastAsia="Times New Roman" w:cs="Arial"/>
          <w:color w:val="000000"/>
          <w:szCs w:val="20"/>
          <w:lang w:eastAsia="bg-BG"/>
        </w:rPr>
        <w:t xml:space="preserve"> до момента данни са описани в точки 5.1 и 5.2, но препоръки по отношение на дозировка не могат да бъдат направени.</w:t>
      </w:r>
    </w:p>
    <w:p w14:paraId="65F63BA1" w14:textId="77777777" w:rsidR="00AE4DFB" w:rsidRPr="00AE4DFB" w:rsidRDefault="00AE4DFB" w:rsidP="00AE4DFB">
      <w:pPr>
        <w:spacing w:line="240" w:lineRule="auto"/>
        <w:rPr>
          <w:rFonts w:eastAsia="Times New Roman" w:cs="Arial"/>
          <w:i/>
          <w:iCs/>
          <w:color w:val="000000"/>
          <w:szCs w:val="20"/>
          <w:lang w:eastAsia="bg-BG"/>
        </w:rPr>
      </w:pPr>
    </w:p>
    <w:p w14:paraId="757EE9BE" w14:textId="13B6C6D3" w:rsidR="00AE4DFB" w:rsidRPr="004A1844" w:rsidRDefault="00AE4DFB" w:rsidP="004A1844">
      <w:pPr>
        <w:pStyle w:val="Heading3"/>
        <w:rPr>
          <w:rFonts w:eastAsia="Times New Roman"/>
          <w:sz w:val="28"/>
          <w:u w:val="single"/>
          <w:lang w:eastAsia="bg-BG"/>
        </w:rPr>
      </w:pPr>
      <w:r w:rsidRPr="004A1844">
        <w:rPr>
          <w:rFonts w:eastAsia="Times New Roman"/>
          <w:u w:val="single"/>
          <w:lang w:eastAsia="bg-BG"/>
        </w:rPr>
        <w:t>Начин на приложение</w:t>
      </w:r>
    </w:p>
    <w:p w14:paraId="76C117B9" w14:textId="77777777" w:rsidR="00AE4DFB" w:rsidRPr="00AE4DFB" w:rsidRDefault="00AE4DFB" w:rsidP="00AE4DFB">
      <w:pPr>
        <w:spacing w:line="240" w:lineRule="auto"/>
        <w:rPr>
          <w:rFonts w:eastAsia="Times New Roman" w:cs="Arial"/>
          <w:color w:val="000000"/>
          <w:szCs w:val="20"/>
          <w:lang w:eastAsia="bg-BG"/>
        </w:rPr>
      </w:pPr>
    </w:p>
    <w:p w14:paraId="20DA140A" w14:textId="64763412" w:rsidR="00AE4DFB" w:rsidRPr="00361985" w:rsidRDefault="00B65011" w:rsidP="00AE4DFB">
      <w:pPr>
        <w:spacing w:line="240" w:lineRule="auto"/>
        <w:rPr>
          <w:rFonts w:eastAsia="Times New Roman" w:cs="Arial"/>
          <w:sz w:val="28"/>
          <w:szCs w:val="24"/>
          <w:lang w:eastAsia="bg-BG"/>
        </w:rPr>
      </w:pPr>
      <w:r w:rsidRPr="00AE4DFB">
        <w:rPr>
          <w:rFonts w:cs="Arial"/>
        </w:rPr>
        <w:t xml:space="preserve">Фулвестрант </w:t>
      </w:r>
      <w:r>
        <w:rPr>
          <w:rFonts w:cs="Arial"/>
        </w:rPr>
        <w:t>Тева</w:t>
      </w:r>
      <w:r w:rsidRPr="00AE4DFB">
        <w:rPr>
          <w:rFonts w:cs="Arial"/>
        </w:rPr>
        <w:t xml:space="preserve"> </w:t>
      </w:r>
      <w:r w:rsidR="00AE4DFB" w:rsidRPr="00AE4DFB">
        <w:rPr>
          <w:rFonts w:eastAsia="Times New Roman" w:cs="Arial"/>
          <w:color w:val="000000"/>
          <w:szCs w:val="20"/>
          <w:lang w:eastAsia="bg-BG"/>
        </w:rPr>
        <w:t xml:space="preserve">трябва да се прилага като две последователни инжекции от 5 </w:t>
      </w:r>
      <w:r w:rsidR="00361985">
        <w:rPr>
          <w:rFonts w:eastAsia="Times New Roman" w:cs="Arial"/>
          <w:color w:val="000000"/>
          <w:szCs w:val="20"/>
          <w:lang w:val="en-US"/>
        </w:rPr>
        <w:t xml:space="preserve">ml </w:t>
      </w:r>
      <w:r w:rsidR="00AE4DFB" w:rsidRPr="00AE4DFB">
        <w:rPr>
          <w:rFonts w:eastAsia="Times New Roman" w:cs="Arial"/>
          <w:color w:val="000000"/>
          <w:szCs w:val="20"/>
          <w:lang w:eastAsia="bg-BG"/>
        </w:rPr>
        <w:t>чрез бавно интрамускулно инжектиране</w:t>
      </w:r>
      <w:r w:rsidR="00361985">
        <w:rPr>
          <w:rFonts w:eastAsia="Times New Roman" w:cs="Arial"/>
          <w:color w:val="000000"/>
          <w:szCs w:val="20"/>
          <w:lang w:eastAsia="bg-BG"/>
        </w:rPr>
        <w:t xml:space="preserve"> в седалищната област </w:t>
      </w:r>
      <w:r w:rsidR="00AE4DFB" w:rsidRPr="00AE4DFB">
        <w:rPr>
          <w:rFonts w:eastAsia="Times New Roman" w:cs="Arial"/>
          <w:color w:val="000000"/>
          <w:szCs w:val="20"/>
          <w:lang w:eastAsia="bg-BG"/>
        </w:rPr>
        <w:t>(1-2 минути на инжекция)</w:t>
      </w:r>
      <w:r w:rsidR="00361985">
        <w:rPr>
          <w:rFonts w:eastAsia="Times New Roman" w:cs="Arial"/>
          <w:color w:val="000000"/>
          <w:szCs w:val="20"/>
          <w:lang w:eastAsia="bg-BG"/>
        </w:rPr>
        <w:t xml:space="preserve">, по една от всяка страна </w:t>
      </w:r>
      <w:r w:rsidR="00361985">
        <w:rPr>
          <w:rFonts w:eastAsia="Times New Roman" w:cs="Arial"/>
          <w:color w:val="000000"/>
          <w:szCs w:val="20"/>
          <w:lang w:val="en-US" w:eastAsia="bg-BG"/>
        </w:rPr>
        <w:t>(</w:t>
      </w:r>
      <w:r w:rsidR="00361985">
        <w:rPr>
          <w:rFonts w:eastAsia="Times New Roman" w:cs="Arial"/>
          <w:color w:val="000000"/>
          <w:szCs w:val="20"/>
          <w:lang w:eastAsia="bg-BG"/>
        </w:rPr>
        <w:t>глутеалната област</w:t>
      </w:r>
      <w:r w:rsidR="00361985">
        <w:rPr>
          <w:rFonts w:eastAsia="Times New Roman" w:cs="Arial"/>
          <w:color w:val="000000"/>
          <w:szCs w:val="20"/>
          <w:lang w:val="en-US" w:eastAsia="bg-BG"/>
        </w:rPr>
        <w:t>)</w:t>
      </w:r>
      <w:r w:rsidR="00361985">
        <w:rPr>
          <w:rFonts w:eastAsia="Times New Roman" w:cs="Arial"/>
          <w:color w:val="000000"/>
          <w:szCs w:val="20"/>
          <w:lang w:eastAsia="bg-BG"/>
        </w:rPr>
        <w:t>.</w:t>
      </w:r>
    </w:p>
    <w:p w14:paraId="18E3E12C" w14:textId="77777777" w:rsidR="00AE4DFB" w:rsidRPr="00AE4DFB" w:rsidRDefault="00AE4DFB" w:rsidP="00AE4DFB">
      <w:pPr>
        <w:spacing w:line="240" w:lineRule="auto"/>
        <w:rPr>
          <w:rFonts w:eastAsia="Times New Roman" w:cs="Arial"/>
          <w:color w:val="000000"/>
          <w:szCs w:val="20"/>
          <w:lang w:eastAsia="bg-BG"/>
        </w:rPr>
      </w:pPr>
    </w:p>
    <w:p w14:paraId="693F7A67" w14:textId="3903A811" w:rsidR="00AE4DFB" w:rsidRPr="00AE4DFB" w:rsidRDefault="00361985" w:rsidP="00AE4DFB">
      <w:pPr>
        <w:spacing w:line="240" w:lineRule="auto"/>
        <w:rPr>
          <w:rFonts w:eastAsia="Times New Roman" w:cs="Arial"/>
          <w:sz w:val="28"/>
          <w:szCs w:val="24"/>
          <w:lang w:eastAsia="bg-BG"/>
        </w:rPr>
      </w:pPr>
      <w:r>
        <w:rPr>
          <w:rFonts w:eastAsia="Times New Roman" w:cs="Arial"/>
          <w:color w:val="000000"/>
          <w:szCs w:val="20"/>
          <w:lang w:eastAsia="bg-BG"/>
        </w:rPr>
        <w:t>Изисква се повишено внимание при инжектиране на Ф</w:t>
      </w:r>
      <w:r w:rsidR="00AE4DFB" w:rsidRPr="00AE4DFB">
        <w:rPr>
          <w:rFonts w:eastAsia="Times New Roman" w:cs="Arial"/>
          <w:color w:val="000000"/>
          <w:szCs w:val="20"/>
          <w:lang w:eastAsia="bg-BG"/>
        </w:rPr>
        <w:t>улвестрант</w:t>
      </w:r>
      <w:r>
        <w:rPr>
          <w:rFonts w:eastAsia="Times New Roman" w:cs="Arial"/>
          <w:color w:val="000000"/>
          <w:szCs w:val="20"/>
          <w:lang w:eastAsia="bg-BG"/>
        </w:rPr>
        <w:t xml:space="preserve"> Тева в дорзоглутеалната област, </w:t>
      </w:r>
      <w:r w:rsidR="00AE4DFB" w:rsidRPr="00AE4DFB">
        <w:rPr>
          <w:rFonts w:eastAsia="Times New Roman" w:cs="Arial"/>
          <w:color w:val="000000"/>
          <w:szCs w:val="20"/>
          <w:lang w:eastAsia="bg-BG"/>
        </w:rPr>
        <w:t>поради близостта с подлежащия седалищен нерв.</w:t>
      </w:r>
    </w:p>
    <w:p w14:paraId="57667814" w14:textId="77777777" w:rsidR="00AE4DFB" w:rsidRPr="00AE4DFB" w:rsidRDefault="00AE4DFB" w:rsidP="00AE4DFB">
      <w:pPr>
        <w:rPr>
          <w:rFonts w:eastAsia="Times New Roman" w:cs="Arial"/>
          <w:color w:val="000000"/>
          <w:szCs w:val="20"/>
          <w:lang w:eastAsia="bg-BG"/>
        </w:rPr>
      </w:pPr>
    </w:p>
    <w:p w14:paraId="5C153377" w14:textId="15514EAA" w:rsidR="00AE4DFB" w:rsidRPr="00AE4DFB" w:rsidRDefault="00AE4DFB" w:rsidP="00AE4DFB">
      <w:pPr>
        <w:rPr>
          <w:rFonts w:cs="Arial"/>
          <w:sz w:val="24"/>
        </w:rPr>
      </w:pPr>
      <w:r w:rsidRPr="00AE4DFB">
        <w:rPr>
          <w:rFonts w:eastAsia="Times New Roman" w:cs="Arial"/>
          <w:color w:val="000000"/>
          <w:szCs w:val="20"/>
          <w:lang w:eastAsia="bg-BG"/>
        </w:rPr>
        <w:t xml:space="preserve">За </w:t>
      </w:r>
      <w:r w:rsidR="00361985">
        <w:rPr>
          <w:rFonts w:eastAsia="Times New Roman" w:cs="Arial"/>
          <w:color w:val="000000"/>
          <w:szCs w:val="20"/>
          <w:lang w:eastAsia="bg-BG"/>
        </w:rPr>
        <w:t xml:space="preserve">подробни </w:t>
      </w:r>
      <w:r w:rsidRPr="00AE4DFB">
        <w:rPr>
          <w:rFonts w:eastAsia="Times New Roman" w:cs="Arial"/>
          <w:color w:val="000000"/>
          <w:szCs w:val="20"/>
          <w:lang w:eastAsia="bg-BG"/>
        </w:rPr>
        <w:t>инстр</w:t>
      </w:r>
      <w:r w:rsidR="00361985">
        <w:rPr>
          <w:rFonts w:eastAsia="Times New Roman" w:cs="Arial"/>
          <w:color w:val="000000"/>
          <w:szCs w:val="20"/>
          <w:lang w:eastAsia="bg-BG"/>
        </w:rPr>
        <w:t>укции за</w:t>
      </w:r>
      <w:r w:rsidRPr="00AE4DFB">
        <w:rPr>
          <w:rFonts w:eastAsia="Times New Roman" w:cs="Arial"/>
          <w:color w:val="000000"/>
          <w:szCs w:val="20"/>
          <w:lang w:eastAsia="bg-BG"/>
        </w:rPr>
        <w:t xml:space="preserve"> прилагане, вижте точка 6.6.</w:t>
      </w:r>
    </w:p>
    <w:p w14:paraId="0327C5F7" w14:textId="77777777" w:rsidR="00AE4DFB" w:rsidRPr="0091385D" w:rsidRDefault="00AE4DFB" w:rsidP="0091385D"/>
    <w:p w14:paraId="28C984E8" w14:textId="0756AE28" w:rsidR="008134C8" w:rsidRDefault="002C50EE" w:rsidP="004A448E">
      <w:pPr>
        <w:pStyle w:val="Heading2"/>
      </w:pPr>
      <w:r>
        <w:t>4.3. Противопоказания</w:t>
      </w:r>
    </w:p>
    <w:p w14:paraId="2363D607" w14:textId="48168570" w:rsidR="0091385D" w:rsidRDefault="0091385D" w:rsidP="0091385D"/>
    <w:p w14:paraId="1668A9EA" w14:textId="60D1583B" w:rsidR="00AE4DFB" w:rsidRPr="00AE4DFB" w:rsidRDefault="00AE4DFB" w:rsidP="00AE4DFB">
      <w:pPr>
        <w:spacing w:line="240" w:lineRule="auto"/>
        <w:rPr>
          <w:rFonts w:eastAsia="Times New Roman" w:cs="Arial"/>
          <w:sz w:val="28"/>
          <w:szCs w:val="24"/>
          <w:lang w:eastAsia="bg-BG"/>
        </w:rPr>
      </w:pPr>
      <w:r w:rsidRPr="00AE4DFB">
        <w:rPr>
          <w:rFonts w:eastAsia="Times New Roman" w:cs="Arial"/>
          <w:color w:val="000000"/>
          <w:szCs w:val="20"/>
          <w:lang w:eastAsia="bg-BG"/>
        </w:rPr>
        <w:t xml:space="preserve">Свръхчувствителност към </w:t>
      </w:r>
      <w:r w:rsidR="002D7718">
        <w:rPr>
          <w:rFonts w:eastAsia="Times New Roman" w:cs="Arial"/>
          <w:color w:val="000000"/>
          <w:szCs w:val="20"/>
          <w:lang w:eastAsia="bg-BG"/>
        </w:rPr>
        <w:t>активно вещество</w:t>
      </w:r>
      <w:r w:rsidRPr="00AE4DFB">
        <w:rPr>
          <w:rFonts w:eastAsia="Times New Roman" w:cs="Arial"/>
          <w:color w:val="000000"/>
          <w:szCs w:val="20"/>
          <w:lang w:eastAsia="bg-BG"/>
        </w:rPr>
        <w:t xml:space="preserve"> или някое от помощните вещества, изброени в точка 6.1.</w:t>
      </w:r>
    </w:p>
    <w:p w14:paraId="484B3266" w14:textId="77777777" w:rsidR="00AE4DFB" w:rsidRPr="00AE4DFB" w:rsidRDefault="00AE4DFB" w:rsidP="00AE4DFB">
      <w:pPr>
        <w:spacing w:line="240" w:lineRule="auto"/>
        <w:rPr>
          <w:rFonts w:eastAsia="Times New Roman" w:cs="Arial"/>
          <w:sz w:val="28"/>
          <w:szCs w:val="24"/>
          <w:lang w:eastAsia="bg-BG"/>
        </w:rPr>
      </w:pPr>
      <w:r w:rsidRPr="00AE4DFB">
        <w:rPr>
          <w:rFonts w:eastAsia="Times New Roman" w:cs="Arial"/>
          <w:color w:val="000000"/>
          <w:szCs w:val="20"/>
          <w:lang w:eastAsia="bg-BG"/>
        </w:rPr>
        <w:t>Бременност и кърмене (вж. точка 4.6).</w:t>
      </w:r>
    </w:p>
    <w:p w14:paraId="2309EAB0" w14:textId="07D95C55" w:rsidR="0091385D" w:rsidRPr="00AE4DFB" w:rsidRDefault="00AE4DFB" w:rsidP="00AE4DFB">
      <w:pPr>
        <w:rPr>
          <w:rFonts w:cs="Arial"/>
          <w:sz w:val="24"/>
        </w:rPr>
      </w:pPr>
      <w:r w:rsidRPr="00AE4DFB">
        <w:rPr>
          <w:rFonts w:eastAsia="Times New Roman" w:cs="Arial"/>
          <w:color w:val="000000"/>
          <w:szCs w:val="20"/>
          <w:lang w:eastAsia="bg-BG"/>
        </w:rPr>
        <w:t>Тежко чернодробно увреждане (вж. точки 4.4 и 5.2).</w:t>
      </w:r>
    </w:p>
    <w:p w14:paraId="31B39DC6" w14:textId="77777777" w:rsidR="0091385D" w:rsidRPr="0091385D" w:rsidRDefault="0091385D" w:rsidP="0091385D"/>
    <w:p w14:paraId="212F509C" w14:textId="52B87D4F" w:rsidR="004F498A" w:rsidRDefault="002C50EE" w:rsidP="004A448E">
      <w:pPr>
        <w:pStyle w:val="Heading2"/>
      </w:pPr>
      <w:r>
        <w:t>4.4. Специални предупреждения и предпазни мерки при употреба</w:t>
      </w:r>
    </w:p>
    <w:p w14:paraId="0AAC2B60" w14:textId="0A08B607" w:rsidR="0091385D" w:rsidRDefault="0091385D" w:rsidP="0091385D"/>
    <w:p w14:paraId="0CD7549E" w14:textId="0E53D991" w:rsidR="00AE4DFB" w:rsidRPr="00AE4DFB" w:rsidRDefault="00B65011" w:rsidP="00AE4DFB">
      <w:pPr>
        <w:spacing w:line="240" w:lineRule="auto"/>
        <w:rPr>
          <w:rFonts w:eastAsia="Times New Roman" w:cs="Arial"/>
          <w:sz w:val="28"/>
          <w:szCs w:val="24"/>
          <w:lang w:eastAsia="bg-BG"/>
        </w:rPr>
      </w:pPr>
      <w:r w:rsidRPr="00AE4DFB">
        <w:rPr>
          <w:rFonts w:cs="Arial"/>
        </w:rPr>
        <w:t xml:space="preserve">Фулвестрант </w:t>
      </w:r>
      <w:r>
        <w:rPr>
          <w:rFonts w:cs="Arial"/>
        </w:rPr>
        <w:t>Тева</w:t>
      </w:r>
      <w:r w:rsidRPr="00AE4DFB">
        <w:rPr>
          <w:rFonts w:cs="Arial"/>
        </w:rPr>
        <w:t xml:space="preserve"> </w:t>
      </w:r>
      <w:r w:rsidR="00AE4DFB" w:rsidRPr="00AE4DFB">
        <w:rPr>
          <w:rFonts w:eastAsia="Times New Roman" w:cs="Arial"/>
          <w:color w:val="000000"/>
          <w:szCs w:val="20"/>
          <w:lang w:eastAsia="bg-BG"/>
        </w:rPr>
        <w:t>трябва да се прилага с повишено внимание при пациенти с леко до умерено чернодробно увреждане (вж. точки 4.2,4.3 и 5.2).</w:t>
      </w:r>
    </w:p>
    <w:p w14:paraId="2C5F9ADA" w14:textId="77777777" w:rsidR="00AE4DFB" w:rsidRPr="00AE4DFB" w:rsidRDefault="00AE4DFB" w:rsidP="00AE4DFB">
      <w:pPr>
        <w:spacing w:line="240" w:lineRule="auto"/>
        <w:rPr>
          <w:rFonts w:eastAsia="Times New Roman" w:cs="Arial"/>
          <w:color w:val="000000"/>
          <w:szCs w:val="20"/>
          <w:lang w:eastAsia="bg-BG"/>
        </w:rPr>
      </w:pPr>
    </w:p>
    <w:p w14:paraId="3BD5E181" w14:textId="241D9C5F" w:rsidR="00AE4DFB" w:rsidRPr="00AE4DFB" w:rsidRDefault="00B65011" w:rsidP="00AE4DFB">
      <w:pPr>
        <w:spacing w:line="240" w:lineRule="auto"/>
        <w:rPr>
          <w:rFonts w:eastAsia="Times New Roman" w:cs="Arial"/>
          <w:sz w:val="28"/>
          <w:szCs w:val="24"/>
          <w:lang w:eastAsia="bg-BG"/>
        </w:rPr>
      </w:pPr>
      <w:r w:rsidRPr="00AE4DFB">
        <w:rPr>
          <w:rFonts w:cs="Arial"/>
        </w:rPr>
        <w:t xml:space="preserve">Фулвестрант </w:t>
      </w:r>
      <w:r>
        <w:rPr>
          <w:rFonts w:cs="Arial"/>
        </w:rPr>
        <w:t>Тева</w:t>
      </w:r>
      <w:r w:rsidRPr="00AE4DFB">
        <w:rPr>
          <w:rFonts w:cs="Arial"/>
        </w:rPr>
        <w:t xml:space="preserve"> </w:t>
      </w:r>
      <w:r w:rsidR="00AE4DFB" w:rsidRPr="00AE4DFB">
        <w:rPr>
          <w:rFonts w:eastAsia="Times New Roman" w:cs="Arial"/>
          <w:color w:val="000000"/>
          <w:szCs w:val="20"/>
          <w:lang w:eastAsia="bg-BG"/>
        </w:rPr>
        <w:t xml:space="preserve">трябва да се прилага с повишено внимание при пациенти с тежко бъбречно увреждане (креатининов клирънс по-малък от 30 </w:t>
      </w:r>
      <w:r w:rsidR="00AE4DFB" w:rsidRPr="00AE4DFB">
        <w:rPr>
          <w:rFonts w:eastAsia="Times New Roman" w:cs="Arial"/>
          <w:color w:val="000000"/>
          <w:szCs w:val="20"/>
          <w:lang w:val="en-US"/>
        </w:rPr>
        <w:t>ml</w:t>
      </w:r>
      <w:r w:rsidR="00AE4DFB" w:rsidRPr="00AE4DFB">
        <w:rPr>
          <w:rFonts w:eastAsia="Times New Roman" w:cs="Arial"/>
          <w:color w:val="000000"/>
          <w:szCs w:val="20"/>
          <w:lang w:eastAsia="bg-BG"/>
        </w:rPr>
        <w:t>/мин).</w:t>
      </w:r>
    </w:p>
    <w:p w14:paraId="0CBE7577" w14:textId="77777777" w:rsidR="00AE4DFB" w:rsidRPr="00AE4DFB" w:rsidRDefault="00AE4DFB" w:rsidP="00AE4DFB">
      <w:pPr>
        <w:rPr>
          <w:rFonts w:eastAsia="Times New Roman" w:cs="Arial"/>
          <w:color w:val="000000"/>
          <w:szCs w:val="20"/>
          <w:lang w:eastAsia="bg-BG"/>
        </w:rPr>
      </w:pPr>
    </w:p>
    <w:p w14:paraId="0B3BEE35" w14:textId="5A32C119" w:rsidR="0091385D" w:rsidRDefault="00AE4DFB" w:rsidP="00AE4DFB">
      <w:pPr>
        <w:rPr>
          <w:rFonts w:eastAsia="Times New Roman" w:cs="Arial"/>
          <w:color w:val="000000"/>
          <w:szCs w:val="20"/>
          <w:lang w:eastAsia="bg-BG"/>
        </w:rPr>
      </w:pPr>
      <w:r w:rsidRPr="00AE4DFB">
        <w:rPr>
          <w:rFonts w:eastAsia="Times New Roman" w:cs="Arial"/>
          <w:color w:val="000000"/>
          <w:szCs w:val="20"/>
          <w:lang w:eastAsia="bg-BG"/>
        </w:rPr>
        <w:t xml:space="preserve">Поради интрамускулния път на въвеждане, </w:t>
      </w:r>
      <w:r w:rsidR="00B65011" w:rsidRPr="00AE4DFB">
        <w:rPr>
          <w:rFonts w:cs="Arial"/>
        </w:rPr>
        <w:t xml:space="preserve">Фулвестрант </w:t>
      </w:r>
      <w:r w:rsidR="00B65011">
        <w:rPr>
          <w:rFonts w:cs="Arial"/>
        </w:rPr>
        <w:t>Тева</w:t>
      </w:r>
      <w:r w:rsidR="00B65011" w:rsidRPr="00AE4DFB">
        <w:rPr>
          <w:rFonts w:cs="Arial"/>
        </w:rPr>
        <w:t xml:space="preserve"> </w:t>
      </w:r>
      <w:r w:rsidRPr="00AE4DFB">
        <w:rPr>
          <w:rFonts w:eastAsia="Times New Roman" w:cs="Arial"/>
          <w:color w:val="000000"/>
          <w:szCs w:val="20"/>
          <w:lang w:eastAsia="bg-BG"/>
        </w:rPr>
        <w:t>трябва да се използва с повишено внимание при пациенти с хеморагична диатеза, тромбоцитопения и при тези на антикоагулантна</w:t>
      </w:r>
      <w:r w:rsidR="002D7718">
        <w:rPr>
          <w:rFonts w:eastAsia="Times New Roman" w:cs="Arial"/>
          <w:color w:val="000000"/>
          <w:szCs w:val="20"/>
          <w:lang w:eastAsia="bg-BG"/>
        </w:rPr>
        <w:t xml:space="preserve"> </w:t>
      </w:r>
      <w:r w:rsidRPr="00AE4DFB">
        <w:rPr>
          <w:rFonts w:eastAsia="Times New Roman" w:cs="Arial"/>
          <w:color w:val="000000"/>
          <w:szCs w:val="20"/>
          <w:lang w:eastAsia="bg-BG"/>
        </w:rPr>
        <w:t>терапия.</w:t>
      </w:r>
    </w:p>
    <w:p w14:paraId="03038982" w14:textId="39BF0370" w:rsidR="00AE4DFB" w:rsidRDefault="00AE4DFB" w:rsidP="00AE4DFB">
      <w:pPr>
        <w:rPr>
          <w:rFonts w:eastAsia="Times New Roman" w:cs="Arial"/>
          <w:color w:val="000000"/>
          <w:szCs w:val="20"/>
          <w:lang w:eastAsia="bg-BG"/>
        </w:rPr>
      </w:pPr>
    </w:p>
    <w:p w14:paraId="380F0FFC" w14:textId="5CD6C7F0" w:rsidR="00AE4DFB" w:rsidRPr="00AE4DFB" w:rsidRDefault="00AE4DFB" w:rsidP="00AE4DFB">
      <w:pPr>
        <w:spacing w:line="240" w:lineRule="auto"/>
        <w:rPr>
          <w:rFonts w:eastAsia="Times New Roman" w:cs="Arial"/>
          <w:sz w:val="24"/>
          <w:szCs w:val="24"/>
          <w:lang w:eastAsia="bg-BG"/>
        </w:rPr>
      </w:pPr>
      <w:r w:rsidRPr="00AE4DFB">
        <w:rPr>
          <w:rFonts w:eastAsia="Times New Roman" w:cs="Arial"/>
          <w:color w:val="000000"/>
          <w:lang w:eastAsia="bg-BG"/>
        </w:rPr>
        <w:t xml:space="preserve">Често при жени с напреднал рак на гърдата се наблюдават тромбоемболични инциденти, което е наблюдавано и при клинични изпитвания на </w:t>
      </w:r>
      <w:r w:rsidR="00B65011" w:rsidRPr="00AE4DFB">
        <w:rPr>
          <w:rFonts w:cs="Arial"/>
        </w:rPr>
        <w:t xml:space="preserve">Фулвестрант </w:t>
      </w:r>
      <w:r w:rsidR="00B65011">
        <w:rPr>
          <w:rFonts w:cs="Arial"/>
        </w:rPr>
        <w:t>Тева</w:t>
      </w:r>
      <w:r w:rsidR="00B65011" w:rsidRPr="00AE4DFB">
        <w:rPr>
          <w:rFonts w:cs="Arial"/>
        </w:rPr>
        <w:t xml:space="preserve"> </w:t>
      </w:r>
      <w:r w:rsidRPr="00AE4DFB">
        <w:rPr>
          <w:rFonts w:eastAsia="Times New Roman" w:cs="Arial"/>
          <w:color w:val="000000"/>
          <w:lang w:eastAsia="bg-BG"/>
        </w:rPr>
        <w:t>(вж. точка 4.8). Това трябва да се има предвид, кога</w:t>
      </w:r>
      <w:r w:rsidR="00B65011">
        <w:rPr>
          <w:rFonts w:eastAsia="Times New Roman" w:cs="Arial"/>
          <w:color w:val="000000"/>
          <w:lang w:eastAsia="bg-BG"/>
        </w:rPr>
        <w:t xml:space="preserve">то се изписва </w:t>
      </w:r>
      <w:r w:rsidR="00B65011" w:rsidRPr="00AE4DFB">
        <w:rPr>
          <w:rFonts w:cs="Arial"/>
        </w:rPr>
        <w:t xml:space="preserve">Фулвестрант </w:t>
      </w:r>
      <w:r w:rsidR="00B65011">
        <w:rPr>
          <w:rFonts w:cs="Arial"/>
        </w:rPr>
        <w:t>Тева</w:t>
      </w:r>
      <w:r w:rsidRPr="00AE4DFB">
        <w:rPr>
          <w:rFonts w:eastAsia="Times New Roman" w:cs="Arial"/>
          <w:color w:val="000000"/>
          <w:lang w:eastAsia="bg-BG"/>
        </w:rPr>
        <w:t xml:space="preserve"> при рискови пациенти.</w:t>
      </w:r>
    </w:p>
    <w:p w14:paraId="1975BD49" w14:textId="77777777" w:rsidR="00AE4DFB" w:rsidRPr="00AE4DFB" w:rsidRDefault="00AE4DFB" w:rsidP="00AE4DFB">
      <w:pPr>
        <w:spacing w:line="240" w:lineRule="auto"/>
        <w:rPr>
          <w:rFonts w:eastAsia="Times New Roman" w:cs="Arial"/>
          <w:color w:val="000000"/>
          <w:lang w:eastAsia="bg-BG"/>
        </w:rPr>
      </w:pPr>
    </w:p>
    <w:p w14:paraId="34E5157B" w14:textId="43C9F6EE" w:rsidR="00AE4DFB" w:rsidRPr="00AE4DFB" w:rsidRDefault="002D7718" w:rsidP="00AE4DFB">
      <w:pPr>
        <w:spacing w:line="240" w:lineRule="auto"/>
        <w:rPr>
          <w:rFonts w:eastAsia="Times New Roman" w:cs="Arial"/>
          <w:sz w:val="24"/>
          <w:szCs w:val="24"/>
          <w:lang w:eastAsia="bg-BG"/>
        </w:rPr>
      </w:pPr>
      <w:r>
        <w:rPr>
          <w:rFonts w:eastAsia="Times New Roman" w:cs="Arial"/>
          <w:color w:val="000000"/>
          <w:lang w:eastAsia="bg-BG"/>
        </w:rPr>
        <w:t xml:space="preserve">С инжекционната форма на фулвестрант са съобщавани събития, свързани с мястото на инжектиране, </w:t>
      </w:r>
      <w:r w:rsidR="00AE4DFB" w:rsidRPr="00AE4DFB">
        <w:rPr>
          <w:rFonts w:eastAsia="Times New Roman" w:cs="Arial"/>
          <w:color w:val="000000"/>
          <w:lang w:eastAsia="bg-BG"/>
        </w:rPr>
        <w:t>включително</w:t>
      </w:r>
      <w:r>
        <w:rPr>
          <w:rFonts w:eastAsia="Times New Roman" w:cs="Arial"/>
          <w:color w:val="000000"/>
          <w:lang w:eastAsia="bg-BG"/>
        </w:rPr>
        <w:t xml:space="preserve"> ишиас</w:t>
      </w:r>
      <w:r w:rsidR="00AE4DFB" w:rsidRPr="00AE4DFB">
        <w:rPr>
          <w:rFonts w:eastAsia="Times New Roman" w:cs="Arial"/>
          <w:color w:val="000000"/>
          <w:lang w:eastAsia="bg-BG"/>
        </w:rPr>
        <w:t>, невралгия, невропатна болка и периферна невропатия, са съобщавани при инжектиране на фулвестрант. Необходимо е повишено внимание при инжектиране на фулвестрант в дорзо-глутеалната област поради близостта на подлежащия седалищен нерв (виж точки 4.2 и 4.8).</w:t>
      </w:r>
    </w:p>
    <w:p w14:paraId="621542E2" w14:textId="77777777" w:rsidR="00AE4DFB" w:rsidRPr="00AE4DFB" w:rsidRDefault="00AE4DFB" w:rsidP="00AE4DFB">
      <w:pPr>
        <w:spacing w:line="240" w:lineRule="auto"/>
        <w:rPr>
          <w:rFonts w:eastAsia="Times New Roman" w:cs="Arial"/>
          <w:color w:val="000000"/>
          <w:lang w:eastAsia="bg-BG"/>
        </w:rPr>
      </w:pPr>
    </w:p>
    <w:p w14:paraId="5375EED7" w14:textId="54EB4DD2" w:rsidR="00AE4DFB" w:rsidRPr="00AE4DFB" w:rsidRDefault="00AE4DFB" w:rsidP="00AE4DFB">
      <w:pPr>
        <w:spacing w:line="240" w:lineRule="auto"/>
        <w:rPr>
          <w:rFonts w:eastAsia="Times New Roman" w:cs="Arial"/>
          <w:sz w:val="24"/>
          <w:szCs w:val="24"/>
          <w:lang w:eastAsia="bg-BG"/>
        </w:rPr>
      </w:pPr>
      <w:r w:rsidRPr="00AE4DFB">
        <w:rPr>
          <w:rFonts w:eastAsia="Times New Roman" w:cs="Arial"/>
          <w:color w:val="000000"/>
          <w:lang w:eastAsia="bg-BG"/>
        </w:rPr>
        <w:t>Няма дългосрочни данни за ефекта на фулвестрант върху костите. Поради механизма му на действие, съществува потенциален риск от остеопороза.</w:t>
      </w:r>
    </w:p>
    <w:p w14:paraId="3685949A" w14:textId="77777777" w:rsidR="00AE4DFB" w:rsidRPr="00AE4DFB" w:rsidRDefault="00AE4DFB" w:rsidP="00AE4DFB">
      <w:pPr>
        <w:spacing w:line="240" w:lineRule="auto"/>
        <w:rPr>
          <w:rFonts w:eastAsia="Times New Roman" w:cs="Arial"/>
          <w:color w:val="000000"/>
          <w:lang w:eastAsia="bg-BG"/>
        </w:rPr>
      </w:pPr>
    </w:p>
    <w:p w14:paraId="6E58A22B" w14:textId="39DC97E7" w:rsidR="00AE4DFB" w:rsidRPr="00AE4DFB" w:rsidRDefault="00AE4DFB" w:rsidP="00AE4DFB">
      <w:pPr>
        <w:spacing w:line="240" w:lineRule="auto"/>
        <w:rPr>
          <w:rFonts w:eastAsia="Times New Roman" w:cs="Arial"/>
          <w:sz w:val="24"/>
          <w:szCs w:val="24"/>
          <w:lang w:eastAsia="bg-BG"/>
        </w:rPr>
      </w:pPr>
      <w:r w:rsidRPr="00AE4DFB">
        <w:rPr>
          <w:rFonts w:eastAsia="Times New Roman" w:cs="Arial"/>
          <w:color w:val="000000"/>
          <w:lang w:eastAsia="bg-BG"/>
        </w:rPr>
        <w:t xml:space="preserve">Ефикасността и безопасността на </w:t>
      </w:r>
      <w:r w:rsidR="002D7718">
        <w:rPr>
          <w:rFonts w:cs="Arial"/>
        </w:rPr>
        <w:t>ф</w:t>
      </w:r>
      <w:r w:rsidR="00B65011" w:rsidRPr="00AE4DFB">
        <w:rPr>
          <w:rFonts w:cs="Arial"/>
        </w:rPr>
        <w:t>улвестрант</w:t>
      </w:r>
      <w:r w:rsidR="002D7718">
        <w:rPr>
          <w:rFonts w:cs="Arial"/>
        </w:rPr>
        <w:t xml:space="preserve"> </w:t>
      </w:r>
      <w:r w:rsidR="002D7718">
        <w:rPr>
          <w:rFonts w:cs="Arial"/>
          <w:lang w:val="en-US"/>
        </w:rPr>
        <w:t>(</w:t>
      </w:r>
      <w:r w:rsidR="002D7718">
        <w:rPr>
          <w:rFonts w:cs="Arial"/>
        </w:rPr>
        <w:t>както</w:t>
      </w:r>
      <w:r w:rsidR="002D7718">
        <w:rPr>
          <w:rFonts w:eastAsia="Times New Roman" w:cs="Arial"/>
          <w:color w:val="000000"/>
          <w:lang w:eastAsia="bg-BG"/>
        </w:rPr>
        <w:t xml:space="preserve"> като монотерапия така и в комбинация с палбоциклиб</w:t>
      </w:r>
      <w:r w:rsidR="002D7718">
        <w:rPr>
          <w:rFonts w:eastAsia="Times New Roman" w:cs="Arial"/>
          <w:color w:val="000000"/>
          <w:lang w:val="en-US" w:eastAsia="bg-BG"/>
        </w:rPr>
        <w:t xml:space="preserve">) </w:t>
      </w:r>
      <w:r w:rsidRPr="00AE4DFB">
        <w:rPr>
          <w:rFonts w:eastAsia="Times New Roman" w:cs="Arial"/>
          <w:color w:val="000000"/>
          <w:lang w:eastAsia="bg-BG"/>
        </w:rPr>
        <w:t xml:space="preserve">не са </w:t>
      </w:r>
      <w:r w:rsidR="002D7718">
        <w:rPr>
          <w:rFonts w:eastAsia="Times New Roman" w:cs="Arial"/>
          <w:color w:val="000000"/>
          <w:lang w:eastAsia="bg-BG"/>
        </w:rPr>
        <w:t>проучени</w:t>
      </w:r>
      <w:r w:rsidRPr="00AE4DFB">
        <w:rPr>
          <w:rFonts w:eastAsia="Times New Roman" w:cs="Arial"/>
          <w:color w:val="000000"/>
          <w:lang w:eastAsia="bg-BG"/>
        </w:rPr>
        <w:t xml:space="preserve"> при пациентки с критично висцерално заболяване.</w:t>
      </w:r>
    </w:p>
    <w:p w14:paraId="22ED7BD4" w14:textId="77777777" w:rsidR="00AE4DFB" w:rsidRPr="00AE4DFB" w:rsidRDefault="00AE4DFB" w:rsidP="00AE4DFB">
      <w:pPr>
        <w:spacing w:line="240" w:lineRule="auto"/>
        <w:rPr>
          <w:rFonts w:eastAsia="Times New Roman" w:cs="Arial"/>
          <w:color w:val="000000"/>
          <w:lang w:eastAsia="bg-BG"/>
        </w:rPr>
      </w:pPr>
    </w:p>
    <w:p w14:paraId="59523352" w14:textId="4A61269B" w:rsidR="00AE4DFB" w:rsidRPr="00AE4DFB" w:rsidRDefault="00AE4DFB" w:rsidP="00AE4DFB">
      <w:pPr>
        <w:spacing w:line="240" w:lineRule="auto"/>
        <w:rPr>
          <w:rFonts w:eastAsia="Times New Roman" w:cs="Arial"/>
          <w:sz w:val="24"/>
          <w:szCs w:val="24"/>
          <w:lang w:eastAsia="bg-BG"/>
        </w:rPr>
      </w:pPr>
      <w:r w:rsidRPr="00AE4DFB">
        <w:rPr>
          <w:rFonts w:eastAsia="Times New Roman" w:cs="Arial"/>
          <w:color w:val="000000"/>
          <w:lang w:eastAsia="bg-BG"/>
        </w:rPr>
        <w:t xml:space="preserve">Когато </w:t>
      </w:r>
      <w:r w:rsidR="002D7718" w:rsidRPr="00AE4DFB">
        <w:rPr>
          <w:rFonts w:eastAsia="Times New Roman" w:cs="Arial"/>
          <w:color w:val="000000"/>
          <w:lang w:eastAsia="bg-BG"/>
        </w:rPr>
        <w:t xml:space="preserve">фулвестрант </w:t>
      </w:r>
      <w:r w:rsidRPr="00AE4DFB">
        <w:rPr>
          <w:rFonts w:eastAsia="Times New Roman" w:cs="Arial"/>
          <w:color w:val="000000"/>
          <w:lang w:eastAsia="bg-BG"/>
        </w:rPr>
        <w:t xml:space="preserve">се използва в комбинация с палбоциклиб, </w:t>
      </w:r>
      <w:r w:rsidR="002D7718">
        <w:rPr>
          <w:rFonts w:eastAsia="Times New Roman" w:cs="Arial"/>
          <w:color w:val="000000"/>
          <w:lang w:eastAsia="bg-BG"/>
        </w:rPr>
        <w:t>моля вижте също к</w:t>
      </w:r>
      <w:r w:rsidRPr="00AE4DFB">
        <w:rPr>
          <w:rFonts w:eastAsia="Times New Roman" w:cs="Arial"/>
          <w:color w:val="000000"/>
          <w:lang w:eastAsia="bg-BG"/>
        </w:rPr>
        <w:t>ратката характеристика на продукта на палбоциклиб.</w:t>
      </w:r>
    </w:p>
    <w:p w14:paraId="575B04E3" w14:textId="77777777" w:rsidR="00AE4DFB" w:rsidRPr="00AE4DFB" w:rsidRDefault="00AE4DFB" w:rsidP="00AE4DFB">
      <w:pPr>
        <w:spacing w:line="240" w:lineRule="auto"/>
        <w:rPr>
          <w:rFonts w:eastAsia="Times New Roman" w:cs="Arial"/>
          <w:i/>
          <w:iCs/>
          <w:color w:val="000000"/>
          <w:lang w:eastAsia="bg-BG"/>
        </w:rPr>
      </w:pPr>
    </w:p>
    <w:p w14:paraId="4187B99D" w14:textId="551C08BF" w:rsidR="00AE4DFB" w:rsidRPr="00AE4DFB" w:rsidRDefault="002D7718" w:rsidP="00AE4DFB">
      <w:pPr>
        <w:spacing w:line="240" w:lineRule="auto"/>
        <w:rPr>
          <w:rFonts w:eastAsia="Times New Roman" w:cs="Arial"/>
          <w:sz w:val="24"/>
          <w:szCs w:val="24"/>
          <w:lang w:eastAsia="bg-BG"/>
        </w:rPr>
      </w:pPr>
      <w:r>
        <w:rPr>
          <w:rFonts w:eastAsia="Times New Roman" w:cs="Arial"/>
          <w:i/>
          <w:iCs/>
          <w:color w:val="000000"/>
          <w:lang w:eastAsia="bg-BG"/>
        </w:rPr>
        <w:t>Повлияване на</w:t>
      </w:r>
      <w:r w:rsidR="00AE4DFB" w:rsidRPr="00AE4DFB">
        <w:rPr>
          <w:rFonts w:eastAsia="Times New Roman" w:cs="Arial"/>
          <w:i/>
          <w:iCs/>
          <w:color w:val="000000"/>
          <w:lang w:eastAsia="bg-BG"/>
        </w:rPr>
        <w:t xml:space="preserve"> тестове</w:t>
      </w:r>
      <w:r>
        <w:rPr>
          <w:rFonts w:eastAsia="Times New Roman" w:cs="Arial"/>
          <w:i/>
          <w:iCs/>
          <w:color w:val="000000"/>
          <w:lang w:eastAsia="bg-BG"/>
        </w:rPr>
        <w:t>те за естрадиол, базирани на</w:t>
      </w:r>
      <w:r w:rsidR="00AE4DFB" w:rsidRPr="00AE4DFB">
        <w:rPr>
          <w:rFonts w:eastAsia="Times New Roman" w:cs="Arial"/>
          <w:i/>
          <w:iCs/>
          <w:color w:val="000000"/>
          <w:lang w:eastAsia="bg-BG"/>
        </w:rPr>
        <w:t xml:space="preserve"> антитела</w:t>
      </w:r>
    </w:p>
    <w:p w14:paraId="0EE89A4C" w14:textId="770F0606" w:rsidR="00AE4DFB" w:rsidRPr="00AE4DFB" w:rsidRDefault="002D7718" w:rsidP="00AE4DFB">
      <w:pPr>
        <w:spacing w:line="240" w:lineRule="auto"/>
        <w:rPr>
          <w:rFonts w:eastAsia="Times New Roman" w:cs="Arial"/>
          <w:sz w:val="24"/>
          <w:szCs w:val="24"/>
          <w:lang w:eastAsia="bg-BG"/>
        </w:rPr>
      </w:pPr>
      <w:r>
        <w:rPr>
          <w:rFonts w:eastAsia="Times New Roman" w:cs="Arial"/>
          <w:color w:val="000000"/>
          <w:lang w:eastAsia="bg-BG"/>
        </w:rPr>
        <w:t xml:space="preserve">Поради структурното </w:t>
      </w:r>
      <w:r w:rsidRPr="00AE4DFB">
        <w:rPr>
          <w:rFonts w:eastAsia="Times New Roman" w:cs="Arial"/>
          <w:color w:val="000000"/>
          <w:lang w:eastAsia="bg-BG"/>
        </w:rPr>
        <w:t>сходство</w:t>
      </w:r>
      <w:r w:rsidR="00AE4DFB" w:rsidRPr="00AE4DFB">
        <w:rPr>
          <w:rFonts w:eastAsia="Times New Roman" w:cs="Arial"/>
          <w:color w:val="000000"/>
          <w:lang w:eastAsia="bg-BG"/>
        </w:rPr>
        <w:t xml:space="preserve"> на фулвестрант и</w:t>
      </w:r>
      <w:r>
        <w:rPr>
          <w:rFonts w:eastAsia="Times New Roman" w:cs="Arial"/>
          <w:color w:val="000000"/>
          <w:lang w:eastAsia="bg-BG"/>
        </w:rPr>
        <w:t xml:space="preserve"> естрадиол, фулвестрант може да окаже влияние върху тестовете за </w:t>
      </w:r>
      <w:r w:rsidR="00AE4DFB" w:rsidRPr="00AE4DFB">
        <w:rPr>
          <w:rFonts w:eastAsia="Times New Roman" w:cs="Arial"/>
          <w:color w:val="000000"/>
          <w:lang w:eastAsia="bg-BG"/>
        </w:rPr>
        <w:t>естрадиол</w:t>
      </w:r>
      <w:r>
        <w:rPr>
          <w:rFonts w:eastAsia="Times New Roman" w:cs="Arial"/>
          <w:color w:val="000000"/>
          <w:lang w:eastAsia="bg-BG"/>
        </w:rPr>
        <w:t>, базирани на антитела</w:t>
      </w:r>
      <w:r w:rsidR="00AE4DFB" w:rsidRPr="00AE4DFB">
        <w:rPr>
          <w:rFonts w:eastAsia="Times New Roman" w:cs="Arial"/>
          <w:color w:val="000000"/>
          <w:lang w:eastAsia="bg-BG"/>
        </w:rPr>
        <w:t xml:space="preserve"> и може да</w:t>
      </w:r>
      <w:r>
        <w:rPr>
          <w:rFonts w:eastAsia="Times New Roman" w:cs="Arial"/>
          <w:color w:val="000000"/>
          <w:lang w:eastAsia="bg-BG"/>
        </w:rPr>
        <w:t xml:space="preserve"> доведе до фалшиво </w:t>
      </w:r>
      <w:r w:rsidR="00AE4DFB" w:rsidRPr="00AE4DFB">
        <w:rPr>
          <w:rFonts w:eastAsia="Times New Roman" w:cs="Arial"/>
          <w:color w:val="000000"/>
          <w:lang w:eastAsia="bg-BG"/>
        </w:rPr>
        <w:t>повишени нива на естрадиол.</w:t>
      </w:r>
    </w:p>
    <w:p w14:paraId="616166CF" w14:textId="77777777" w:rsidR="00AE4DFB" w:rsidRPr="00AE4DFB" w:rsidRDefault="00AE4DFB" w:rsidP="00AE4DFB">
      <w:pPr>
        <w:spacing w:line="240" w:lineRule="auto"/>
        <w:rPr>
          <w:rFonts w:eastAsia="Times New Roman" w:cs="Arial"/>
          <w:color w:val="000000"/>
          <w:u w:val="single"/>
          <w:lang w:eastAsia="bg-BG"/>
        </w:rPr>
      </w:pPr>
    </w:p>
    <w:p w14:paraId="0C741C6C" w14:textId="64B3D0E2" w:rsidR="00AE4DFB" w:rsidRPr="00AE4DFB" w:rsidRDefault="00AE4DFB" w:rsidP="00AE4DFB">
      <w:pPr>
        <w:spacing w:line="240" w:lineRule="auto"/>
        <w:rPr>
          <w:rFonts w:eastAsia="Times New Roman" w:cs="Arial"/>
          <w:sz w:val="24"/>
          <w:szCs w:val="24"/>
          <w:lang w:eastAsia="bg-BG"/>
        </w:rPr>
      </w:pPr>
      <w:r w:rsidRPr="00AE4DFB">
        <w:rPr>
          <w:rFonts w:eastAsia="Times New Roman" w:cs="Arial"/>
          <w:color w:val="000000"/>
          <w:u w:val="single"/>
          <w:lang w:eastAsia="bg-BG"/>
        </w:rPr>
        <w:t>Педиатрична популация</w:t>
      </w:r>
    </w:p>
    <w:p w14:paraId="5D73014C" w14:textId="6F47F43B" w:rsidR="00AE4DFB" w:rsidRPr="00AE4DFB" w:rsidRDefault="00AE4DFB" w:rsidP="00AE4DFB">
      <w:pPr>
        <w:spacing w:line="240" w:lineRule="auto"/>
        <w:rPr>
          <w:rFonts w:eastAsia="Times New Roman" w:cs="Arial"/>
          <w:sz w:val="24"/>
          <w:szCs w:val="24"/>
          <w:lang w:eastAsia="bg-BG"/>
        </w:rPr>
      </w:pPr>
      <w:r w:rsidRPr="00AE4DFB">
        <w:rPr>
          <w:rFonts w:eastAsia="Times New Roman" w:cs="Arial"/>
          <w:color w:val="000000"/>
          <w:lang w:eastAsia="bg-BG"/>
        </w:rPr>
        <w:lastRenderedPageBreak/>
        <w:t xml:space="preserve">Употребата на </w:t>
      </w:r>
      <w:r w:rsidR="00B65011" w:rsidRPr="00AE4DFB">
        <w:rPr>
          <w:rFonts w:cs="Arial"/>
        </w:rPr>
        <w:t xml:space="preserve">Фулвестрант </w:t>
      </w:r>
      <w:r w:rsidR="00B65011">
        <w:rPr>
          <w:rFonts w:cs="Arial"/>
        </w:rPr>
        <w:t>Тева</w:t>
      </w:r>
      <w:r w:rsidR="00B65011" w:rsidRPr="00AE4DFB">
        <w:rPr>
          <w:rFonts w:cs="Arial"/>
        </w:rPr>
        <w:t xml:space="preserve"> </w:t>
      </w:r>
      <w:r w:rsidRPr="00AE4DFB">
        <w:rPr>
          <w:rFonts w:eastAsia="Times New Roman" w:cs="Arial"/>
          <w:color w:val="000000"/>
          <w:lang w:eastAsia="bg-BG"/>
        </w:rPr>
        <w:t>при деца и юноши не се препоръчва, тъй като безопасността и ефикасността не са установени за тази група пациенти (вж. точка 5.1).</w:t>
      </w:r>
    </w:p>
    <w:p w14:paraId="7874610C" w14:textId="77777777" w:rsidR="00AE4DFB" w:rsidRPr="00AE4DFB" w:rsidRDefault="00AE4DFB" w:rsidP="00AE4DFB">
      <w:pPr>
        <w:spacing w:line="240" w:lineRule="auto"/>
        <w:rPr>
          <w:rFonts w:eastAsia="Times New Roman" w:cs="Arial"/>
          <w:color w:val="000000"/>
          <w:u w:val="single"/>
          <w:lang w:eastAsia="bg-BG"/>
        </w:rPr>
      </w:pPr>
    </w:p>
    <w:p w14:paraId="2005A4F1" w14:textId="70B204F0" w:rsidR="00AE4DFB" w:rsidRPr="00AE4DFB" w:rsidRDefault="00AE4DFB" w:rsidP="00AE4DFB">
      <w:pPr>
        <w:spacing w:line="240" w:lineRule="auto"/>
        <w:rPr>
          <w:rFonts w:eastAsia="Times New Roman" w:cs="Arial"/>
          <w:sz w:val="24"/>
          <w:szCs w:val="24"/>
          <w:lang w:eastAsia="bg-BG"/>
        </w:rPr>
      </w:pPr>
      <w:r w:rsidRPr="00AE4DFB">
        <w:rPr>
          <w:rFonts w:eastAsia="Times New Roman" w:cs="Arial"/>
          <w:color w:val="000000"/>
          <w:u w:val="single"/>
          <w:lang w:eastAsia="bg-BG"/>
        </w:rPr>
        <w:t>Помощни вещества</w:t>
      </w:r>
    </w:p>
    <w:p w14:paraId="7E2F7D6C" w14:textId="4D31BC09" w:rsidR="00AE4DFB" w:rsidRDefault="00AE4DFB" w:rsidP="00AE4DFB">
      <w:pPr>
        <w:spacing w:line="240" w:lineRule="auto"/>
        <w:rPr>
          <w:rFonts w:eastAsia="Times New Roman" w:cs="Arial"/>
          <w:color w:val="000000"/>
          <w:u w:val="single"/>
          <w:lang w:eastAsia="bg-BG"/>
        </w:rPr>
      </w:pPr>
    </w:p>
    <w:p w14:paraId="0A5FDFE7" w14:textId="77777777" w:rsidR="002D7718" w:rsidRPr="000B68C8" w:rsidRDefault="002D7718" w:rsidP="00AE4DFB">
      <w:pPr>
        <w:spacing w:line="240" w:lineRule="auto"/>
        <w:rPr>
          <w:rFonts w:eastAsia="Times New Roman" w:cs="Arial"/>
          <w:i/>
          <w:color w:val="000000"/>
          <w:lang w:eastAsia="bg-BG"/>
        </w:rPr>
      </w:pPr>
      <w:r w:rsidRPr="000B68C8">
        <w:rPr>
          <w:rFonts w:eastAsia="Times New Roman" w:cs="Arial"/>
          <w:i/>
          <w:color w:val="000000"/>
          <w:lang w:eastAsia="bg-BG"/>
        </w:rPr>
        <w:t>Етанол 96</w:t>
      </w:r>
      <w:r w:rsidRPr="000B68C8">
        <w:rPr>
          <w:rFonts w:eastAsia="Times New Roman" w:cs="Arial"/>
          <w:i/>
          <w:color w:val="000000"/>
          <w:lang w:val="en-US" w:eastAsia="bg-BG"/>
        </w:rPr>
        <w:t>% (</w:t>
      </w:r>
      <w:r w:rsidRPr="000B68C8">
        <w:rPr>
          <w:rFonts w:eastAsia="Times New Roman" w:cs="Arial"/>
          <w:i/>
          <w:color w:val="000000"/>
          <w:lang w:eastAsia="bg-BG"/>
        </w:rPr>
        <w:t>алкохол</w:t>
      </w:r>
    </w:p>
    <w:p w14:paraId="0807899A" w14:textId="435080A8" w:rsidR="002D7718" w:rsidRPr="000B68C8" w:rsidRDefault="002D7718" w:rsidP="00AE4DFB">
      <w:pPr>
        <w:spacing w:line="240" w:lineRule="auto"/>
        <w:rPr>
          <w:rFonts w:eastAsia="Times New Roman" w:cs="Arial"/>
          <w:color w:val="000000"/>
          <w:lang w:eastAsia="bg-BG"/>
        </w:rPr>
      </w:pPr>
      <w:r w:rsidRPr="000B68C8">
        <w:rPr>
          <w:rFonts w:eastAsia="Times New Roman" w:cs="Arial"/>
          <w:color w:val="000000"/>
          <w:lang w:eastAsia="bg-BG"/>
        </w:rPr>
        <w:t>Малкото количество алкохол в това лекарство няма да има някакви забележими ефекти.</w:t>
      </w:r>
    </w:p>
    <w:p w14:paraId="0C4EFC4D" w14:textId="0398377E" w:rsidR="002D7718" w:rsidRDefault="002D7718" w:rsidP="00AE4DFB">
      <w:pPr>
        <w:spacing w:line="240" w:lineRule="auto"/>
        <w:rPr>
          <w:rFonts w:eastAsia="Times New Roman" w:cs="Arial"/>
          <w:color w:val="000000"/>
          <w:u w:val="single"/>
          <w:lang w:eastAsia="bg-BG"/>
        </w:rPr>
      </w:pPr>
    </w:p>
    <w:p w14:paraId="019599C5" w14:textId="7CA5A4DE" w:rsidR="000B68C8" w:rsidRPr="000B68C8" w:rsidRDefault="000B68C8" w:rsidP="00AE4DFB">
      <w:pPr>
        <w:spacing w:line="240" w:lineRule="auto"/>
        <w:rPr>
          <w:rFonts w:eastAsia="Times New Roman" w:cs="Arial"/>
          <w:i/>
          <w:color w:val="000000"/>
          <w:lang w:eastAsia="bg-BG"/>
        </w:rPr>
      </w:pPr>
      <w:r w:rsidRPr="000B68C8">
        <w:rPr>
          <w:rFonts w:eastAsia="Times New Roman" w:cs="Arial"/>
          <w:i/>
          <w:color w:val="000000"/>
          <w:lang w:eastAsia="bg-BG"/>
        </w:rPr>
        <w:t>Бензилов алкохол</w:t>
      </w:r>
    </w:p>
    <w:p w14:paraId="650EFC5F" w14:textId="44DDC064" w:rsidR="00AE4DFB" w:rsidRPr="00AE4DFB" w:rsidRDefault="00AE4DFB" w:rsidP="00AE4DFB">
      <w:pPr>
        <w:spacing w:line="240" w:lineRule="auto"/>
        <w:rPr>
          <w:rFonts w:eastAsia="Times New Roman" w:cs="Arial"/>
          <w:sz w:val="24"/>
          <w:szCs w:val="24"/>
          <w:lang w:eastAsia="bg-BG"/>
        </w:rPr>
      </w:pPr>
      <w:r w:rsidRPr="00AE4DFB">
        <w:rPr>
          <w:rFonts w:eastAsia="Times New Roman" w:cs="Arial"/>
          <w:color w:val="000000"/>
          <w:lang w:eastAsia="bg-BG"/>
        </w:rPr>
        <w:t xml:space="preserve">Бензиловият алкохол може да </w:t>
      </w:r>
      <w:r w:rsidR="000B68C8">
        <w:rPr>
          <w:rFonts w:eastAsia="Times New Roman" w:cs="Arial"/>
          <w:color w:val="000000"/>
          <w:lang w:eastAsia="bg-BG"/>
        </w:rPr>
        <w:t>предизвика</w:t>
      </w:r>
      <w:r w:rsidRPr="00AE4DFB">
        <w:rPr>
          <w:rFonts w:eastAsia="Times New Roman" w:cs="Arial"/>
          <w:color w:val="000000"/>
          <w:lang w:eastAsia="bg-BG"/>
        </w:rPr>
        <w:t xml:space="preserve"> алергични реакции.</w:t>
      </w:r>
    </w:p>
    <w:p w14:paraId="1A376E3A" w14:textId="0A2AA78E" w:rsidR="00AE4DFB" w:rsidRPr="00AE4DFB" w:rsidRDefault="00AE4DFB" w:rsidP="00AE4DFB">
      <w:pPr>
        <w:spacing w:line="240" w:lineRule="auto"/>
        <w:rPr>
          <w:rFonts w:eastAsia="Times New Roman" w:cs="Arial"/>
          <w:sz w:val="24"/>
          <w:szCs w:val="24"/>
          <w:lang w:eastAsia="bg-BG"/>
        </w:rPr>
      </w:pPr>
      <w:r w:rsidRPr="00AE4DFB">
        <w:rPr>
          <w:rFonts w:eastAsia="Times New Roman" w:cs="Arial"/>
          <w:color w:val="000000"/>
          <w:lang w:eastAsia="bg-BG"/>
        </w:rPr>
        <w:t>Големи обеми трябва да се използват с повишено внимание и само ако е необходимо, особено при лица с чернодробно или бъбречно увреждане</w:t>
      </w:r>
      <w:r w:rsidR="000B68C8">
        <w:rPr>
          <w:rFonts w:eastAsia="Times New Roman" w:cs="Arial"/>
          <w:color w:val="000000"/>
          <w:lang w:eastAsia="bg-BG"/>
        </w:rPr>
        <w:t>,</w:t>
      </w:r>
      <w:r w:rsidRPr="00AE4DFB">
        <w:rPr>
          <w:rFonts w:eastAsia="Times New Roman" w:cs="Arial"/>
          <w:color w:val="000000"/>
          <w:lang w:eastAsia="bg-BG"/>
        </w:rPr>
        <w:t xml:space="preserve"> поради риск от кумулиране и токсичност (метаболитна ацидоза).</w:t>
      </w:r>
    </w:p>
    <w:p w14:paraId="24E3E82F" w14:textId="77777777" w:rsidR="0091385D" w:rsidRPr="0091385D" w:rsidRDefault="0091385D" w:rsidP="0091385D"/>
    <w:p w14:paraId="619DED1E" w14:textId="564F257F"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355E4B7C" w14:textId="7D829F6C" w:rsidR="0091385D" w:rsidRDefault="0091385D" w:rsidP="0091385D"/>
    <w:p w14:paraId="172AE819" w14:textId="25F7311C" w:rsidR="0091385D" w:rsidRPr="000B68C8" w:rsidRDefault="00AE4DFB" w:rsidP="000B68C8">
      <w:pPr>
        <w:spacing w:line="240" w:lineRule="auto"/>
        <w:rPr>
          <w:rFonts w:eastAsia="Times New Roman" w:cs="Arial"/>
          <w:sz w:val="24"/>
          <w:szCs w:val="24"/>
          <w:lang w:eastAsia="bg-BG"/>
        </w:rPr>
      </w:pPr>
      <w:r w:rsidRPr="00AE4DFB">
        <w:rPr>
          <w:rFonts w:eastAsia="Times New Roman" w:cs="Arial"/>
          <w:color w:val="000000"/>
          <w:lang w:eastAsia="bg-BG"/>
        </w:rPr>
        <w:t xml:space="preserve">Клинично проучване за взаимодействие с мидазолам (субстрат на </w:t>
      </w:r>
      <w:r w:rsidRPr="00AE4DFB">
        <w:rPr>
          <w:rFonts w:eastAsia="Times New Roman" w:cs="Arial"/>
          <w:color w:val="000000"/>
          <w:lang w:val="en-US"/>
        </w:rPr>
        <w:t xml:space="preserve">CYP3A4) </w:t>
      </w:r>
      <w:r w:rsidRPr="00AE4DFB">
        <w:rPr>
          <w:rFonts w:eastAsia="Times New Roman" w:cs="Arial"/>
          <w:color w:val="000000"/>
          <w:lang w:eastAsia="bg-BG"/>
        </w:rPr>
        <w:t xml:space="preserve">демонстрира, че фулвестрант не инхибира </w:t>
      </w:r>
      <w:r w:rsidRPr="00AE4DFB">
        <w:rPr>
          <w:rFonts w:eastAsia="Times New Roman" w:cs="Arial"/>
          <w:color w:val="000000"/>
          <w:lang w:val="en-US"/>
        </w:rPr>
        <w:t xml:space="preserve">CYP3A4. </w:t>
      </w:r>
      <w:r w:rsidRPr="00AE4DFB">
        <w:rPr>
          <w:rFonts w:eastAsia="Times New Roman" w:cs="Arial"/>
          <w:color w:val="000000"/>
          <w:lang w:eastAsia="bg-BG"/>
        </w:rPr>
        <w:t xml:space="preserve">Клинични проучвания за взаимодействие с рифампицин (индуктор на </w:t>
      </w:r>
      <w:r w:rsidRPr="00AE4DFB">
        <w:rPr>
          <w:rFonts w:eastAsia="Times New Roman" w:cs="Arial"/>
          <w:color w:val="000000"/>
          <w:lang w:val="en-US"/>
        </w:rPr>
        <w:t xml:space="preserve">CYP3A4) </w:t>
      </w:r>
      <w:r w:rsidRPr="00AE4DFB">
        <w:rPr>
          <w:rFonts w:eastAsia="Times New Roman" w:cs="Arial"/>
          <w:color w:val="000000"/>
          <w:lang w:eastAsia="bg-BG"/>
        </w:rPr>
        <w:t xml:space="preserve">и кетоконазол (инхибитор на </w:t>
      </w:r>
      <w:r w:rsidRPr="00AE4DFB">
        <w:rPr>
          <w:rFonts w:eastAsia="Times New Roman" w:cs="Arial"/>
          <w:color w:val="000000"/>
          <w:lang w:val="en-US"/>
        </w:rPr>
        <w:t xml:space="preserve">CYP3A4) </w:t>
      </w:r>
      <w:r w:rsidRPr="00AE4DFB">
        <w:rPr>
          <w:rFonts w:eastAsia="Times New Roman" w:cs="Arial"/>
          <w:color w:val="000000"/>
          <w:lang w:eastAsia="bg-BG"/>
        </w:rPr>
        <w:t>не показват клинично значима промяна в клирънса на фулвестрант.</w:t>
      </w:r>
      <w:r w:rsidR="000B68C8">
        <w:rPr>
          <w:rFonts w:eastAsia="Times New Roman" w:cs="Arial"/>
          <w:sz w:val="24"/>
          <w:szCs w:val="24"/>
          <w:lang w:eastAsia="bg-BG"/>
        </w:rPr>
        <w:t xml:space="preserve"> </w:t>
      </w:r>
      <w:r w:rsidRPr="00AE4DFB">
        <w:rPr>
          <w:rFonts w:eastAsia="Times New Roman" w:cs="Arial"/>
          <w:color w:val="000000"/>
          <w:lang w:eastAsia="bg-BG"/>
        </w:rPr>
        <w:t xml:space="preserve">Следователно не е нужно адаптиране на дозата при пациенти, които приемат едновременно фулвестрант и инхибитори или индуктори на </w:t>
      </w:r>
      <w:r w:rsidRPr="00AE4DFB">
        <w:rPr>
          <w:rFonts w:eastAsia="Times New Roman" w:cs="Arial"/>
          <w:color w:val="000000"/>
          <w:lang w:val="en-US"/>
        </w:rPr>
        <w:t>CYP3A4.</w:t>
      </w:r>
    </w:p>
    <w:p w14:paraId="5B2761C5" w14:textId="77777777" w:rsidR="0091385D" w:rsidRPr="0091385D" w:rsidRDefault="0091385D" w:rsidP="0091385D"/>
    <w:p w14:paraId="394A7584" w14:textId="10DEA5B3" w:rsidR="004F498A" w:rsidRDefault="002C50EE" w:rsidP="004A448E">
      <w:pPr>
        <w:pStyle w:val="Heading2"/>
      </w:pPr>
      <w:r>
        <w:t>4.6. Фертилитет, бременност и кърмене</w:t>
      </w:r>
    </w:p>
    <w:p w14:paraId="4887836B" w14:textId="11C96CFA" w:rsidR="0091385D" w:rsidRDefault="0091385D" w:rsidP="0091385D"/>
    <w:p w14:paraId="0C6CBDD6" w14:textId="77777777" w:rsidR="00AE4DFB" w:rsidRPr="00AE4DFB" w:rsidRDefault="00AE4DFB" w:rsidP="00AE4DFB">
      <w:pPr>
        <w:spacing w:line="240" w:lineRule="auto"/>
        <w:rPr>
          <w:rFonts w:eastAsia="Times New Roman" w:cs="Arial"/>
          <w:sz w:val="24"/>
          <w:szCs w:val="24"/>
          <w:lang w:eastAsia="bg-BG"/>
        </w:rPr>
      </w:pPr>
      <w:r w:rsidRPr="00AE4DFB">
        <w:rPr>
          <w:rFonts w:eastAsia="Times New Roman" w:cs="Arial"/>
          <w:color w:val="000000"/>
          <w:u w:val="single"/>
          <w:lang w:eastAsia="bg-BG"/>
        </w:rPr>
        <w:t>Жени с детероден потенциал</w:t>
      </w:r>
    </w:p>
    <w:p w14:paraId="42BB65E7" w14:textId="4D8A5D63" w:rsidR="00AE4DFB" w:rsidRPr="00AE4DFB" w:rsidRDefault="00AE4DFB" w:rsidP="00AE4DFB">
      <w:pPr>
        <w:spacing w:line="240" w:lineRule="auto"/>
        <w:rPr>
          <w:rFonts w:eastAsia="Times New Roman" w:cs="Arial"/>
          <w:sz w:val="24"/>
          <w:szCs w:val="24"/>
          <w:lang w:eastAsia="bg-BG"/>
        </w:rPr>
      </w:pPr>
      <w:r w:rsidRPr="00AE4DFB">
        <w:rPr>
          <w:rFonts w:eastAsia="Times New Roman" w:cs="Arial"/>
          <w:color w:val="000000"/>
          <w:lang w:eastAsia="bg-BG"/>
        </w:rPr>
        <w:t>Жени с детероден потенциал трябва да използват ефективна контрацепция по време на лечениет</w:t>
      </w:r>
      <w:r w:rsidR="000B68C8">
        <w:rPr>
          <w:rFonts w:eastAsia="Times New Roman" w:cs="Arial"/>
          <w:color w:val="000000"/>
          <w:lang w:eastAsia="bg-BG"/>
        </w:rPr>
        <w:t>о с Ф</w:t>
      </w:r>
      <w:r w:rsidRPr="00AE4DFB">
        <w:rPr>
          <w:rFonts w:eastAsia="Times New Roman" w:cs="Arial"/>
          <w:color w:val="000000"/>
          <w:lang w:eastAsia="bg-BG"/>
        </w:rPr>
        <w:t>улвестрант</w:t>
      </w:r>
      <w:r w:rsidR="000B68C8">
        <w:rPr>
          <w:rFonts w:eastAsia="Times New Roman" w:cs="Arial"/>
          <w:color w:val="000000"/>
          <w:lang w:eastAsia="bg-BG"/>
        </w:rPr>
        <w:t xml:space="preserve"> Тева</w:t>
      </w:r>
      <w:r w:rsidRPr="00AE4DFB">
        <w:rPr>
          <w:rFonts w:eastAsia="Times New Roman" w:cs="Arial"/>
          <w:color w:val="000000"/>
          <w:lang w:eastAsia="bg-BG"/>
        </w:rPr>
        <w:t xml:space="preserve"> и за 2 години след последната доза..</w:t>
      </w:r>
    </w:p>
    <w:p w14:paraId="0D657A05" w14:textId="77777777" w:rsidR="00AE4DFB" w:rsidRPr="00AE4DFB" w:rsidRDefault="00AE4DFB" w:rsidP="00AE4DFB">
      <w:pPr>
        <w:spacing w:line="240" w:lineRule="auto"/>
        <w:rPr>
          <w:rFonts w:eastAsia="Times New Roman" w:cs="Arial"/>
          <w:color w:val="000000"/>
          <w:u w:val="single"/>
          <w:lang w:eastAsia="bg-BG"/>
        </w:rPr>
      </w:pPr>
    </w:p>
    <w:p w14:paraId="2A411A5F" w14:textId="5F319D1E" w:rsidR="00AE4DFB" w:rsidRPr="00AE4DFB" w:rsidRDefault="00AE4DFB" w:rsidP="00AE4DFB">
      <w:pPr>
        <w:pStyle w:val="Heading3"/>
        <w:rPr>
          <w:rFonts w:eastAsia="Times New Roman"/>
          <w:u w:val="single"/>
          <w:lang w:eastAsia="bg-BG"/>
        </w:rPr>
      </w:pPr>
      <w:r w:rsidRPr="00AE4DFB">
        <w:rPr>
          <w:rFonts w:eastAsia="Times New Roman"/>
          <w:u w:val="single"/>
          <w:lang w:eastAsia="bg-BG"/>
        </w:rPr>
        <w:t>Бременност</w:t>
      </w:r>
    </w:p>
    <w:p w14:paraId="1E9D84FB" w14:textId="610E873B" w:rsidR="00AE4DFB" w:rsidRPr="00AE4DFB" w:rsidRDefault="00AE4DFB" w:rsidP="00AE4DFB">
      <w:pPr>
        <w:spacing w:line="240" w:lineRule="auto"/>
        <w:rPr>
          <w:rFonts w:eastAsia="Times New Roman" w:cs="Arial"/>
          <w:sz w:val="24"/>
          <w:szCs w:val="24"/>
          <w:lang w:eastAsia="bg-BG"/>
        </w:rPr>
      </w:pPr>
      <w:r w:rsidRPr="00AE4DFB">
        <w:rPr>
          <w:rFonts w:eastAsia="Times New Roman" w:cs="Arial"/>
          <w:color w:val="000000"/>
          <w:lang w:eastAsia="bg-BG"/>
        </w:rPr>
        <w:t xml:space="preserve">Приложението на </w:t>
      </w:r>
      <w:r w:rsidR="00B65011" w:rsidRPr="00AE4DFB">
        <w:rPr>
          <w:rFonts w:cs="Arial"/>
        </w:rPr>
        <w:t xml:space="preserve">Фулвестрант </w:t>
      </w:r>
      <w:r w:rsidR="00B65011">
        <w:rPr>
          <w:rFonts w:cs="Arial"/>
        </w:rPr>
        <w:t>Тева</w:t>
      </w:r>
      <w:r w:rsidR="00B65011" w:rsidRPr="00AE4DFB">
        <w:rPr>
          <w:rFonts w:cs="Arial"/>
        </w:rPr>
        <w:t xml:space="preserve"> </w:t>
      </w:r>
      <w:r w:rsidRPr="00AE4DFB">
        <w:rPr>
          <w:rFonts w:eastAsia="Times New Roman" w:cs="Arial"/>
          <w:color w:val="000000"/>
          <w:lang w:eastAsia="bg-BG"/>
        </w:rPr>
        <w:t xml:space="preserve">по време на бременност е противопоказано (вж. точка 4.3). Има данни, че при плъхове и зайци след еднократно интрамускулно приложение фулвестрант минава през плацентата. Проучванията при животни показват наличие на репродуктивна токсичност, включително и повишена честота на фетални аномалии и смъртни случаи (вж. точка 5.3). Ако по време на приложението на </w:t>
      </w:r>
      <w:r w:rsidR="00B65011" w:rsidRPr="00AE4DFB">
        <w:rPr>
          <w:rFonts w:cs="Arial"/>
        </w:rPr>
        <w:t xml:space="preserve">Фулвестрант </w:t>
      </w:r>
      <w:r w:rsidR="00B65011">
        <w:rPr>
          <w:rFonts w:cs="Arial"/>
        </w:rPr>
        <w:t>Тева</w:t>
      </w:r>
      <w:r w:rsidR="00B65011" w:rsidRPr="00AE4DFB">
        <w:rPr>
          <w:rFonts w:cs="Arial"/>
        </w:rPr>
        <w:t xml:space="preserve"> </w:t>
      </w:r>
      <w:r w:rsidRPr="00AE4DFB">
        <w:rPr>
          <w:rFonts w:eastAsia="Times New Roman" w:cs="Arial"/>
          <w:color w:val="000000"/>
          <w:lang w:eastAsia="bg-BG"/>
        </w:rPr>
        <w:t>настъпи бременност, пациентката трябва да бъде информирана за потенциалните опасности за плода и потенциалния риск за загубата му.</w:t>
      </w:r>
    </w:p>
    <w:p w14:paraId="141AB229" w14:textId="77777777" w:rsidR="00AE4DFB" w:rsidRPr="00AE4DFB" w:rsidRDefault="00AE4DFB" w:rsidP="00AE4DFB">
      <w:pPr>
        <w:spacing w:line="240" w:lineRule="auto"/>
        <w:rPr>
          <w:rFonts w:eastAsia="Times New Roman" w:cs="Arial"/>
          <w:color w:val="000000"/>
          <w:u w:val="single"/>
          <w:lang w:eastAsia="bg-BG"/>
        </w:rPr>
      </w:pPr>
    </w:p>
    <w:p w14:paraId="1C035C30" w14:textId="32878589" w:rsidR="00AE4DFB" w:rsidRPr="00AE4DFB" w:rsidRDefault="00AE4DFB" w:rsidP="00AE4DFB">
      <w:pPr>
        <w:pStyle w:val="Heading3"/>
        <w:rPr>
          <w:rFonts w:eastAsia="Times New Roman"/>
          <w:u w:val="single"/>
          <w:lang w:eastAsia="bg-BG"/>
        </w:rPr>
      </w:pPr>
      <w:r w:rsidRPr="00AE4DFB">
        <w:rPr>
          <w:rFonts w:eastAsia="Times New Roman"/>
          <w:u w:val="single"/>
          <w:lang w:eastAsia="bg-BG"/>
        </w:rPr>
        <w:t>Кърмене</w:t>
      </w:r>
    </w:p>
    <w:p w14:paraId="47F47075" w14:textId="36852467" w:rsidR="00AE4DFB" w:rsidRPr="00AE4DFB" w:rsidRDefault="00AE4DFB" w:rsidP="00AE4DFB">
      <w:pPr>
        <w:spacing w:line="240" w:lineRule="auto"/>
        <w:rPr>
          <w:rFonts w:eastAsia="Times New Roman" w:cs="Arial"/>
          <w:sz w:val="24"/>
          <w:szCs w:val="24"/>
          <w:lang w:eastAsia="bg-BG"/>
        </w:rPr>
      </w:pPr>
      <w:r w:rsidRPr="00AE4DFB">
        <w:rPr>
          <w:rFonts w:eastAsia="Times New Roman" w:cs="Arial"/>
          <w:color w:val="000000"/>
          <w:lang w:eastAsia="bg-BG"/>
        </w:rPr>
        <w:t xml:space="preserve">Кърменето трябва да се преустанови по време на лечение с </w:t>
      </w:r>
      <w:r w:rsidR="00B65011" w:rsidRPr="00AE4DFB">
        <w:rPr>
          <w:rFonts w:cs="Arial"/>
        </w:rPr>
        <w:t xml:space="preserve">Фулвестрант </w:t>
      </w:r>
      <w:r w:rsidR="00B65011">
        <w:rPr>
          <w:rFonts w:cs="Arial"/>
        </w:rPr>
        <w:t>Тева</w:t>
      </w:r>
      <w:r w:rsidRPr="00AE4DFB">
        <w:rPr>
          <w:rFonts w:eastAsia="Times New Roman" w:cs="Arial"/>
          <w:color w:val="000000"/>
          <w:lang w:eastAsia="bg-BG"/>
        </w:rPr>
        <w:t>. Фулвестрант се екскретира в млякото на плъхове</w:t>
      </w:r>
      <w:r w:rsidR="000B68C8">
        <w:rPr>
          <w:rFonts w:eastAsia="Times New Roman" w:cs="Arial"/>
          <w:color w:val="000000"/>
          <w:lang w:eastAsia="bg-BG"/>
        </w:rPr>
        <w:t xml:space="preserve"> в период на лактация</w:t>
      </w:r>
      <w:r w:rsidRPr="00AE4DFB">
        <w:rPr>
          <w:rFonts w:eastAsia="Times New Roman" w:cs="Arial"/>
          <w:color w:val="000000"/>
          <w:lang w:eastAsia="bg-BG"/>
        </w:rPr>
        <w:t>. Не е известно дали фулвестрант се екскретира в кърмата. Поради потенциала от сериозни нежелани реакции от фулвестрант при кърмачета, употребата му по време на кърмене е противопоказана (вж. точка 4.3).</w:t>
      </w:r>
    </w:p>
    <w:p w14:paraId="61B7D7D7" w14:textId="77777777" w:rsidR="00AE4DFB" w:rsidRPr="00AE4DFB" w:rsidRDefault="00AE4DFB" w:rsidP="00AE4DFB">
      <w:pPr>
        <w:spacing w:line="240" w:lineRule="auto"/>
        <w:rPr>
          <w:rFonts w:eastAsia="Times New Roman" w:cs="Arial"/>
          <w:color w:val="000000"/>
          <w:u w:val="single"/>
          <w:lang w:eastAsia="bg-BG"/>
        </w:rPr>
      </w:pPr>
    </w:p>
    <w:p w14:paraId="078B1C3D" w14:textId="0906B76F" w:rsidR="00AE4DFB" w:rsidRPr="00AE4DFB" w:rsidRDefault="00AE4DFB" w:rsidP="00AE4DFB">
      <w:pPr>
        <w:pStyle w:val="Heading3"/>
        <w:rPr>
          <w:rFonts w:eastAsia="Times New Roman"/>
          <w:u w:val="single"/>
          <w:lang w:eastAsia="bg-BG"/>
        </w:rPr>
      </w:pPr>
      <w:r w:rsidRPr="00AE4DFB">
        <w:rPr>
          <w:rFonts w:eastAsia="Times New Roman"/>
          <w:u w:val="single"/>
          <w:lang w:eastAsia="bg-BG"/>
        </w:rPr>
        <w:t>Фертилитет</w:t>
      </w:r>
    </w:p>
    <w:p w14:paraId="776662C5" w14:textId="3E653ADE" w:rsidR="0091385D" w:rsidRPr="00AE4DFB" w:rsidRDefault="00AE4DFB" w:rsidP="00AE4DFB">
      <w:pPr>
        <w:rPr>
          <w:rFonts w:cs="Arial"/>
        </w:rPr>
      </w:pPr>
      <w:r w:rsidRPr="00AE4DFB">
        <w:rPr>
          <w:rFonts w:eastAsia="Times New Roman" w:cs="Arial"/>
          <w:color w:val="000000"/>
          <w:lang w:eastAsia="bg-BG"/>
        </w:rPr>
        <w:t xml:space="preserve">Ефектите на </w:t>
      </w:r>
      <w:r w:rsidR="00B65011" w:rsidRPr="00AE4DFB">
        <w:rPr>
          <w:rFonts w:cs="Arial"/>
        </w:rPr>
        <w:t xml:space="preserve">Фулвестрант </w:t>
      </w:r>
      <w:r w:rsidR="00B65011">
        <w:rPr>
          <w:rFonts w:cs="Arial"/>
        </w:rPr>
        <w:t>Тева</w:t>
      </w:r>
      <w:r w:rsidR="00B65011" w:rsidRPr="00AE4DFB">
        <w:rPr>
          <w:rFonts w:cs="Arial"/>
        </w:rPr>
        <w:t xml:space="preserve"> </w:t>
      </w:r>
      <w:r w:rsidRPr="00AE4DFB">
        <w:rPr>
          <w:rFonts w:eastAsia="Times New Roman" w:cs="Arial"/>
          <w:color w:val="000000"/>
          <w:lang w:eastAsia="bg-BG"/>
        </w:rPr>
        <w:t>върху фертилитета при хора не са проучвани.</w:t>
      </w:r>
    </w:p>
    <w:p w14:paraId="3E8789C3" w14:textId="77777777" w:rsidR="0091385D" w:rsidRPr="0091385D" w:rsidRDefault="0091385D" w:rsidP="0091385D"/>
    <w:p w14:paraId="064DF1DE" w14:textId="70BCC16C" w:rsidR="00CF77F7" w:rsidRDefault="002C50EE" w:rsidP="004A448E">
      <w:pPr>
        <w:pStyle w:val="Heading2"/>
      </w:pPr>
      <w:r>
        <w:t>4.7. Ефекти върху способността за шофиране и работа с машини</w:t>
      </w:r>
    </w:p>
    <w:p w14:paraId="1455464C" w14:textId="2676810A" w:rsidR="0091385D" w:rsidRDefault="0091385D" w:rsidP="0091385D"/>
    <w:p w14:paraId="2B4135A6" w14:textId="4B4D9568" w:rsidR="0091385D" w:rsidRDefault="00B65011" w:rsidP="0091385D">
      <w:r w:rsidRPr="00AE4DFB">
        <w:rPr>
          <w:rFonts w:cs="Arial"/>
        </w:rPr>
        <w:t xml:space="preserve">Фулвестрант </w:t>
      </w:r>
      <w:r>
        <w:rPr>
          <w:rFonts w:cs="Arial"/>
        </w:rPr>
        <w:t>Тева</w:t>
      </w:r>
      <w:r w:rsidRPr="00AE4DFB">
        <w:rPr>
          <w:rFonts w:cs="Arial"/>
        </w:rPr>
        <w:t xml:space="preserve"> </w:t>
      </w:r>
      <w:r w:rsidR="00AE4DFB">
        <w:t xml:space="preserve">не повлиява или повлиява незначително способността за шофиране и работа с машини. Въпреки това, тъй като при лечение с </w:t>
      </w:r>
      <w:r w:rsidRPr="00AE4DFB">
        <w:rPr>
          <w:rFonts w:cs="Arial"/>
        </w:rPr>
        <w:t xml:space="preserve">Фулвестрант </w:t>
      </w:r>
      <w:r>
        <w:rPr>
          <w:rFonts w:cs="Arial"/>
        </w:rPr>
        <w:t>Тева</w:t>
      </w:r>
      <w:r w:rsidRPr="00AE4DFB">
        <w:rPr>
          <w:rFonts w:cs="Arial"/>
        </w:rPr>
        <w:t xml:space="preserve"> </w:t>
      </w:r>
      <w:r w:rsidR="00AE4DFB">
        <w:t>има много чести съобщения за астения, пациентите, които развият тази нежелана реакция, трябва да подхождат с повишено внимание към шофирането и работата с машини.</w:t>
      </w:r>
    </w:p>
    <w:p w14:paraId="35801A15" w14:textId="77777777" w:rsidR="0091385D" w:rsidRPr="0091385D" w:rsidRDefault="0091385D" w:rsidP="0091385D"/>
    <w:p w14:paraId="37A3FD9F" w14:textId="0E7561E3" w:rsidR="00CF77F7" w:rsidRDefault="002C50EE" w:rsidP="004A448E">
      <w:pPr>
        <w:pStyle w:val="Heading2"/>
      </w:pPr>
      <w:r>
        <w:t>4.8. Нежелани лекарствени реакции</w:t>
      </w:r>
    </w:p>
    <w:p w14:paraId="4838F52A" w14:textId="4C2232D6" w:rsidR="0091385D" w:rsidRDefault="0091385D" w:rsidP="0091385D"/>
    <w:p w14:paraId="41E8CE57" w14:textId="77777777" w:rsidR="00AE4DFB" w:rsidRPr="000B68C8" w:rsidRDefault="00AE4DFB" w:rsidP="00AE4DFB">
      <w:pPr>
        <w:spacing w:line="240" w:lineRule="auto"/>
        <w:rPr>
          <w:rFonts w:eastAsia="Times New Roman" w:cs="Arial"/>
          <w:sz w:val="24"/>
          <w:szCs w:val="24"/>
          <w:u w:val="single"/>
          <w:lang w:eastAsia="bg-BG"/>
        </w:rPr>
      </w:pPr>
      <w:r w:rsidRPr="000B68C8">
        <w:rPr>
          <w:rFonts w:eastAsia="Times New Roman" w:cs="Arial"/>
          <w:color w:val="000000"/>
          <w:u w:val="single"/>
          <w:lang w:eastAsia="bg-BG"/>
        </w:rPr>
        <w:t>Обобщен профил на безопасност</w:t>
      </w:r>
    </w:p>
    <w:p w14:paraId="1B40AF2F" w14:textId="77777777" w:rsidR="00AE4DFB" w:rsidRPr="000B68C8" w:rsidRDefault="00AE4DFB" w:rsidP="00AE4DFB">
      <w:pPr>
        <w:spacing w:line="240" w:lineRule="auto"/>
        <w:rPr>
          <w:rFonts w:eastAsia="Times New Roman" w:cs="Arial"/>
          <w:sz w:val="24"/>
          <w:szCs w:val="24"/>
          <w:u w:val="single"/>
          <w:lang w:eastAsia="bg-BG"/>
        </w:rPr>
      </w:pPr>
      <w:r w:rsidRPr="000B68C8">
        <w:rPr>
          <w:rFonts w:eastAsia="Times New Roman" w:cs="Arial"/>
          <w:i/>
          <w:iCs/>
          <w:color w:val="000000"/>
          <w:u w:val="single"/>
          <w:lang w:eastAsia="bg-BG"/>
        </w:rPr>
        <w:t>Монотперапия</w:t>
      </w:r>
    </w:p>
    <w:p w14:paraId="1B8D4DCE" w14:textId="042253DD" w:rsidR="00AE4DFB" w:rsidRPr="00AE4DFB" w:rsidRDefault="00AE4DFB" w:rsidP="00AE4DFB">
      <w:pPr>
        <w:spacing w:line="240" w:lineRule="auto"/>
        <w:rPr>
          <w:rFonts w:eastAsia="Times New Roman" w:cs="Arial"/>
          <w:sz w:val="24"/>
          <w:szCs w:val="24"/>
          <w:lang w:eastAsia="bg-BG"/>
        </w:rPr>
      </w:pPr>
      <w:r w:rsidRPr="00AE4DFB">
        <w:rPr>
          <w:rFonts w:eastAsia="Times New Roman" w:cs="Arial"/>
          <w:color w:val="000000"/>
          <w:lang w:eastAsia="bg-BG"/>
        </w:rPr>
        <w:t xml:space="preserve">В тази точка е представена информация, основана на всички нежелани реакции от клинични </w:t>
      </w:r>
      <w:r w:rsidR="000B68C8">
        <w:rPr>
          <w:rFonts w:eastAsia="Times New Roman" w:cs="Arial"/>
          <w:color w:val="000000"/>
          <w:lang w:eastAsia="bg-BG"/>
        </w:rPr>
        <w:t>проучван</w:t>
      </w:r>
      <w:r w:rsidRPr="00AE4DFB">
        <w:rPr>
          <w:rFonts w:eastAsia="Times New Roman" w:cs="Arial"/>
          <w:color w:val="000000"/>
          <w:lang w:eastAsia="bg-BG"/>
        </w:rPr>
        <w:t xml:space="preserve">ия, постмаркетингови проучвания или спонтанни съобщения. В </w:t>
      </w:r>
      <w:r w:rsidR="000B68C8">
        <w:rPr>
          <w:rFonts w:eastAsia="Times New Roman" w:cs="Arial"/>
          <w:color w:val="000000"/>
          <w:lang w:eastAsia="bg-BG"/>
        </w:rPr>
        <w:t>сбор</w:t>
      </w:r>
      <w:r w:rsidRPr="00AE4DFB">
        <w:rPr>
          <w:rFonts w:eastAsia="Times New Roman" w:cs="Arial"/>
          <w:color w:val="000000"/>
          <w:lang w:eastAsia="bg-BG"/>
        </w:rPr>
        <w:t>ните данни за фулвестрант</w:t>
      </w:r>
      <w:r w:rsidR="000B68C8">
        <w:rPr>
          <w:rFonts w:eastAsia="Times New Roman" w:cs="Arial"/>
          <w:color w:val="000000"/>
          <w:lang w:eastAsia="bg-BG"/>
        </w:rPr>
        <w:t xml:space="preserve"> като монотерапия </w:t>
      </w:r>
      <w:r w:rsidRPr="00AE4DFB">
        <w:rPr>
          <w:rFonts w:eastAsia="Times New Roman" w:cs="Arial"/>
          <w:color w:val="000000"/>
          <w:lang w:eastAsia="bg-BG"/>
        </w:rPr>
        <w:t>най-често съобщаваните нежелани реакции са реакции на мястото на инжектиране, астения, гадене и повишени чернодробни ензими (АЛАТ, АС АТ, АФ).</w:t>
      </w:r>
    </w:p>
    <w:p w14:paraId="1D6D3D5C" w14:textId="77777777" w:rsidR="000B68C8" w:rsidRDefault="000B68C8" w:rsidP="00AE4DFB">
      <w:pPr>
        <w:spacing w:line="240" w:lineRule="auto"/>
        <w:rPr>
          <w:rFonts w:eastAsia="Times New Roman" w:cs="Arial"/>
          <w:color w:val="000000"/>
          <w:lang w:eastAsia="bg-BG"/>
        </w:rPr>
      </w:pPr>
    </w:p>
    <w:p w14:paraId="1DD1A041" w14:textId="1B6281A3" w:rsidR="00AE4DFB" w:rsidRPr="00AE4DFB" w:rsidRDefault="00AE4DFB" w:rsidP="00194D56">
      <w:pPr>
        <w:spacing w:line="240" w:lineRule="auto"/>
        <w:rPr>
          <w:rFonts w:eastAsia="Times New Roman" w:cs="Arial"/>
          <w:sz w:val="24"/>
          <w:szCs w:val="24"/>
          <w:lang w:eastAsia="bg-BG"/>
        </w:rPr>
      </w:pPr>
      <w:r w:rsidRPr="00AE4DFB">
        <w:rPr>
          <w:rFonts w:eastAsia="Times New Roman" w:cs="Arial"/>
          <w:color w:val="000000"/>
          <w:lang w:eastAsia="bg-BG"/>
        </w:rPr>
        <w:t>П</w:t>
      </w:r>
      <w:r w:rsidR="000B68C8">
        <w:rPr>
          <w:rFonts w:eastAsia="Times New Roman" w:cs="Arial"/>
          <w:color w:val="000000"/>
          <w:lang w:eastAsia="bg-BG"/>
        </w:rPr>
        <w:t xml:space="preserve">редставените </w:t>
      </w:r>
      <w:r w:rsidR="000B68C8" w:rsidRPr="00AE4DFB">
        <w:rPr>
          <w:rFonts w:eastAsia="Times New Roman" w:cs="Arial"/>
          <w:color w:val="000000"/>
          <w:lang w:eastAsia="bg-BG"/>
        </w:rPr>
        <w:t>по-долу</w:t>
      </w:r>
      <w:r w:rsidRPr="00AE4DFB">
        <w:rPr>
          <w:rFonts w:eastAsia="Times New Roman" w:cs="Arial"/>
          <w:color w:val="000000"/>
          <w:lang w:eastAsia="bg-BG"/>
        </w:rPr>
        <w:t xml:space="preserve"> в Таблица 1 категории по честота на нежеланите лекарствени реакции (НЛР) са изчислени въз основа на сборни анализи на безопасността при групи на лечение с </w:t>
      </w:r>
      <w:r w:rsidR="000B68C8" w:rsidRPr="00AE4DFB">
        <w:rPr>
          <w:rFonts w:eastAsia="Times New Roman" w:cs="Arial"/>
          <w:color w:val="000000"/>
          <w:lang w:eastAsia="bg-BG"/>
        </w:rPr>
        <w:t xml:space="preserve">500 </w:t>
      </w:r>
      <w:r w:rsidR="000B68C8" w:rsidRPr="00AE4DFB">
        <w:rPr>
          <w:rFonts w:eastAsia="Times New Roman" w:cs="Arial"/>
          <w:color w:val="000000"/>
          <w:lang w:val="en-US"/>
        </w:rPr>
        <w:t>mg</w:t>
      </w:r>
      <w:r w:rsidR="000B68C8" w:rsidRPr="00AE4DFB">
        <w:rPr>
          <w:rFonts w:eastAsia="Times New Roman" w:cs="Arial"/>
          <w:color w:val="000000"/>
          <w:lang w:eastAsia="bg-BG"/>
        </w:rPr>
        <w:t xml:space="preserve"> </w:t>
      </w:r>
      <w:r w:rsidRPr="00AE4DFB">
        <w:rPr>
          <w:rFonts w:eastAsia="Times New Roman" w:cs="Arial"/>
          <w:color w:val="000000"/>
          <w:lang w:eastAsia="bg-BG"/>
        </w:rPr>
        <w:t xml:space="preserve">фулвестрант </w:t>
      </w:r>
      <w:r w:rsidR="000B68C8">
        <w:rPr>
          <w:rFonts w:eastAsia="Times New Roman" w:cs="Arial"/>
          <w:color w:val="000000"/>
          <w:lang w:eastAsia="bg-BG"/>
        </w:rPr>
        <w:t>от проучвания</w:t>
      </w:r>
      <w:r w:rsidRPr="00AE4DFB">
        <w:rPr>
          <w:rFonts w:eastAsia="Times New Roman" w:cs="Arial"/>
          <w:color w:val="000000"/>
          <w:lang w:eastAsia="bg-BG"/>
        </w:rPr>
        <w:t xml:space="preserve">, които сравняват </w:t>
      </w:r>
      <w:r w:rsidR="000B68C8" w:rsidRPr="00AE4DFB">
        <w:rPr>
          <w:rFonts w:eastAsia="Times New Roman" w:cs="Arial"/>
          <w:color w:val="000000"/>
          <w:lang w:eastAsia="bg-BG"/>
        </w:rPr>
        <w:t xml:space="preserve">500 </w:t>
      </w:r>
      <w:r w:rsidR="000B68C8" w:rsidRPr="00AE4DFB">
        <w:rPr>
          <w:rFonts w:eastAsia="Times New Roman" w:cs="Arial"/>
          <w:color w:val="000000"/>
          <w:lang w:val="en-US"/>
        </w:rPr>
        <w:t xml:space="preserve">mg </w:t>
      </w:r>
      <w:r w:rsidRPr="00AE4DFB">
        <w:rPr>
          <w:rFonts w:eastAsia="Times New Roman" w:cs="Arial"/>
          <w:color w:val="000000"/>
          <w:lang w:eastAsia="bg-BG"/>
        </w:rPr>
        <w:t xml:space="preserve">фулвестрант </w:t>
      </w:r>
      <w:r w:rsidR="000B68C8">
        <w:rPr>
          <w:rFonts w:eastAsia="Times New Roman" w:cs="Arial"/>
          <w:color w:val="000000"/>
          <w:lang w:eastAsia="bg-BG"/>
        </w:rPr>
        <w:t xml:space="preserve">с </w:t>
      </w:r>
      <w:r w:rsidRPr="00AE4DFB">
        <w:rPr>
          <w:rFonts w:eastAsia="Times New Roman" w:cs="Arial"/>
          <w:color w:val="000000"/>
          <w:lang w:eastAsia="bg-BG"/>
        </w:rPr>
        <w:t xml:space="preserve">250 </w:t>
      </w:r>
      <w:r w:rsidRPr="00AE4DFB">
        <w:rPr>
          <w:rFonts w:eastAsia="Times New Roman" w:cs="Arial"/>
          <w:color w:val="000000"/>
          <w:lang w:val="en-US"/>
        </w:rPr>
        <w:t xml:space="preserve">mg </w:t>
      </w:r>
      <w:r w:rsidR="000B68C8">
        <w:rPr>
          <w:rFonts w:eastAsia="Times New Roman" w:cs="Arial"/>
          <w:color w:val="000000"/>
          <w:lang w:eastAsia="bg-BG"/>
        </w:rPr>
        <w:t xml:space="preserve">фулвестрант </w:t>
      </w:r>
      <w:r w:rsidRPr="00AE4DFB">
        <w:rPr>
          <w:rFonts w:eastAsia="Times New Roman" w:cs="Arial"/>
          <w:color w:val="000000"/>
          <w:lang w:val="en-US"/>
        </w:rPr>
        <w:t xml:space="preserve">[CONFIRM </w:t>
      </w:r>
      <w:r w:rsidRPr="00AE4DFB">
        <w:rPr>
          <w:rFonts w:eastAsia="Times New Roman" w:cs="Arial"/>
          <w:color w:val="000000"/>
          <w:lang w:eastAsia="bg-BG"/>
        </w:rPr>
        <w:t>(</w:t>
      </w:r>
      <w:r w:rsidR="000B68C8">
        <w:rPr>
          <w:rFonts w:eastAsia="Times New Roman" w:cs="Arial"/>
          <w:color w:val="000000"/>
          <w:lang w:eastAsia="bg-BG"/>
        </w:rPr>
        <w:t>проучване</w:t>
      </w:r>
      <w:r w:rsidRPr="00AE4DFB">
        <w:rPr>
          <w:rFonts w:eastAsia="Times New Roman" w:cs="Arial"/>
          <w:color w:val="000000"/>
          <w:lang w:eastAsia="bg-BG"/>
        </w:rPr>
        <w:t xml:space="preserve"> </w:t>
      </w:r>
      <w:r w:rsidRPr="00AE4DFB">
        <w:rPr>
          <w:rFonts w:eastAsia="Times New Roman" w:cs="Arial"/>
          <w:color w:val="000000"/>
          <w:lang w:val="en-US"/>
        </w:rPr>
        <w:t xml:space="preserve">D6997C00002), FINDER </w:t>
      </w:r>
      <w:r w:rsidRPr="00AE4DFB">
        <w:rPr>
          <w:rFonts w:eastAsia="Times New Roman" w:cs="Arial"/>
          <w:color w:val="000000"/>
          <w:lang w:eastAsia="bg-BG"/>
        </w:rPr>
        <w:t>1 (</w:t>
      </w:r>
      <w:r w:rsidR="000B68C8">
        <w:rPr>
          <w:rFonts w:eastAsia="Times New Roman" w:cs="Arial"/>
          <w:color w:val="000000"/>
          <w:lang w:eastAsia="bg-BG"/>
        </w:rPr>
        <w:t>проучване</w:t>
      </w:r>
      <w:r w:rsidR="000B68C8" w:rsidRPr="00AE4DFB">
        <w:rPr>
          <w:rFonts w:eastAsia="Times New Roman" w:cs="Arial"/>
          <w:color w:val="000000"/>
          <w:lang w:val="en-US"/>
        </w:rPr>
        <w:t xml:space="preserve"> </w:t>
      </w:r>
      <w:r w:rsidRPr="00AE4DFB">
        <w:rPr>
          <w:rFonts w:eastAsia="Times New Roman" w:cs="Arial"/>
          <w:color w:val="000000"/>
          <w:lang w:val="en-US"/>
        </w:rPr>
        <w:t xml:space="preserve">D6997C00004), FINDER </w:t>
      </w:r>
      <w:r w:rsidRPr="00AE4DFB">
        <w:rPr>
          <w:rFonts w:eastAsia="Times New Roman" w:cs="Arial"/>
          <w:color w:val="000000"/>
          <w:lang w:eastAsia="bg-BG"/>
        </w:rPr>
        <w:t>2 (</w:t>
      </w:r>
      <w:r w:rsidR="000B68C8">
        <w:rPr>
          <w:rFonts w:eastAsia="Times New Roman" w:cs="Arial"/>
          <w:color w:val="000000"/>
          <w:lang w:eastAsia="bg-BG"/>
        </w:rPr>
        <w:t>проучване</w:t>
      </w:r>
      <w:r w:rsidRPr="00AE4DFB">
        <w:rPr>
          <w:rFonts w:eastAsia="Times New Roman" w:cs="Arial"/>
          <w:color w:val="000000"/>
          <w:lang w:eastAsia="bg-BG"/>
        </w:rPr>
        <w:t xml:space="preserve"> </w:t>
      </w:r>
      <w:r w:rsidRPr="00AE4DFB">
        <w:rPr>
          <w:rFonts w:eastAsia="Times New Roman" w:cs="Arial"/>
          <w:color w:val="000000"/>
          <w:lang w:val="en-US"/>
        </w:rPr>
        <w:t xml:space="preserve">D6997C00006) </w:t>
      </w:r>
      <w:r w:rsidRPr="00AE4DFB">
        <w:rPr>
          <w:rFonts w:eastAsia="Times New Roman" w:cs="Arial"/>
          <w:color w:val="000000"/>
          <w:lang w:eastAsia="bg-BG"/>
        </w:rPr>
        <w:t xml:space="preserve">и </w:t>
      </w:r>
      <w:r w:rsidRPr="00AE4DFB">
        <w:rPr>
          <w:rFonts w:eastAsia="Times New Roman" w:cs="Arial"/>
          <w:color w:val="000000"/>
          <w:lang w:val="en-US"/>
        </w:rPr>
        <w:t xml:space="preserve">NEWEST </w:t>
      </w:r>
      <w:r w:rsidRPr="00AE4DFB">
        <w:rPr>
          <w:rFonts w:eastAsia="Times New Roman" w:cs="Arial"/>
          <w:color w:val="000000"/>
          <w:lang w:eastAsia="bg-BG"/>
        </w:rPr>
        <w:t>(</w:t>
      </w:r>
      <w:r w:rsidR="000B68C8">
        <w:rPr>
          <w:rFonts w:eastAsia="Times New Roman" w:cs="Arial"/>
          <w:color w:val="000000"/>
          <w:lang w:eastAsia="bg-BG"/>
        </w:rPr>
        <w:t>проучване</w:t>
      </w:r>
      <w:r w:rsidRPr="00AE4DFB">
        <w:rPr>
          <w:rFonts w:eastAsia="Times New Roman" w:cs="Arial"/>
          <w:color w:val="000000"/>
          <w:lang w:eastAsia="bg-BG"/>
        </w:rPr>
        <w:t xml:space="preserve"> </w:t>
      </w:r>
      <w:r w:rsidRPr="00AE4DFB">
        <w:rPr>
          <w:rFonts w:eastAsia="Times New Roman" w:cs="Arial"/>
          <w:color w:val="000000"/>
          <w:lang w:val="en-US"/>
        </w:rPr>
        <w:t xml:space="preserve">D6997C00003)], </w:t>
      </w:r>
      <w:r w:rsidRPr="00AE4DFB">
        <w:rPr>
          <w:rFonts w:eastAsia="Times New Roman" w:cs="Arial"/>
          <w:color w:val="000000"/>
          <w:lang w:eastAsia="bg-BG"/>
        </w:rPr>
        <w:t xml:space="preserve">или само от </w:t>
      </w:r>
      <w:r w:rsidRPr="00AE4DFB">
        <w:rPr>
          <w:rFonts w:eastAsia="Times New Roman" w:cs="Arial"/>
          <w:color w:val="000000"/>
          <w:lang w:val="en-US"/>
        </w:rPr>
        <w:t xml:space="preserve">FALCON </w:t>
      </w:r>
      <w:r w:rsidRPr="00AE4DFB">
        <w:rPr>
          <w:rFonts w:eastAsia="Times New Roman" w:cs="Arial"/>
          <w:color w:val="000000"/>
          <w:lang w:eastAsia="bg-BG"/>
        </w:rPr>
        <w:t xml:space="preserve">(проучване </w:t>
      </w:r>
      <w:r w:rsidRPr="00AE4DFB">
        <w:rPr>
          <w:rFonts w:eastAsia="Times New Roman" w:cs="Arial"/>
          <w:color w:val="000000"/>
          <w:lang w:val="en-US"/>
        </w:rPr>
        <w:t xml:space="preserve">D699BC00001), </w:t>
      </w:r>
      <w:r w:rsidRPr="00AE4DFB">
        <w:rPr>
          <w:rFonts w:eastAsia="Times New Roman" w:cs="Arial"/>
          <w:color w:val="000000"/>
          <w:lang w:eastAsia="bg-BG"/>
        </w:rPr>
        <w:t xml:space="preserve">което сравнява 500 </w:t>
      </w:r>
      <w:r w:rsidRPr="00AE4DFB">
        <w:rPr>
          <w:rFonts w:eastAsia="Times New Roman" w:cs="Arial"/>
          <w:color w:val="000000"/>
          <w:lang w:val="en-US"/>
        </w:rPr>
        <w:t>mg</w:t>
      </w:r>
      <w:r w:rsidR="000B68C8">
        <w:rPr>
          <w:rFonts w:eastAsia="Times New Roman" w:cs="Arial"/>
          <w:color w:val="000000"/>
        </w:rPr>
        <w:t xml:space="preserve"> </w:t>
      </w:r>
      <w:r w:rsidR="000B68C8" w:rsidRPr="00AE4DFB">
        <w:rPr>
          <w:rFonts w:eastAsia="Times New Roman" w:cs="Arial"/>
          <w:color w:val="000000"/>
          <w:lang w:eastAsia="bg-BG"/>
        </w:rPr>
        <w:t>фулвестрант</w:t>
      </w:r>
      <w:r w:rsidRPr="00AE4DFB">
        <w:rPr>
          <w:rFonts w:eastAsia="Times New Roman" w:cs="Arial"/>
          <w:color w:val="000000"/>
          <w:lang w:eastAsia="bg-BG"/>
        </w:rPr>
        <w:t xml:space="preserve"> с 1 </w:t>
      </w:r>
      <w:r w:rsidRPr="00AE4DFB">
        <w:rPr>
          <w:rFonts w:eastAsia="Times New Roman" w:cs="Arial"/>
          <w:color w:val="000000"/>
          <w:lang w:val="en-US"/>
        </w:rPr>
        <w:t>mg</w:t>
      </w:r>
      <w:r w:rsidR="000B68C8">
        <w:rPr>
          <w:rFonts w:eastAsia="Times New Roman" w:cs="Arial"/>
          <w:color w:val="000000"/>
        </w:rPr>
        <w:t xml:space="preserve"> </w:t>
      </w:r>
      <w:r w:rsidR="000B68C8" w:rsidRPr="00AE4DFB">
        <w:rPr>
          <w:rFonts w:eastAsia="Times New Roman" w:cs="Arial"/>
          <w:color w:val="000000"/>
          <w:lang w:eastAsia="bg-BG"/>
        </w:rPr>
        <w:t>анастрозол</w:t>
      </w:r>
      <w:r w:rsidRPr="00AE4DFB">
        <w:rPr>
          <w:rFonts w:eastAsia="Times New Roman" w:cs="Arial"/>
          <w:color w:val="000000"/>
          <w:lang w:val="en-US"/>
        </w:rPr>
        <w:t>.</w:t>
      </w:r>
      <w:r w:rsidR="00194D56">
        <w:rPr>
          <w:rFonts w:eastAsia="Times New Roman" w:cs="Arial"/>
          <w:sz w:val="24"/>
          <w:szCs w:val="24"/>
          <w:lang w:eastAsia="bg-BG"/>
        </w:rPr>
        <w:t xml:space="preserve"> </w:t>
      </w:r>
      <w:r w:rsidRPr="00AE4DFB">
        <w:rPr>
          <w:rFonts w:eastAsia="Times New Roman" w:cs="Arial"/>
          <w:color w:val="000000"/>
          <w:lang w:eastAsia="bg-BG"/>
        </w:rPr>
        <w:t>Когато честот</w:t>
      </w:r>
      <w:r w:rsidR="00194D56">
        <w:rPr>
          <w:rFonts w:eastAsia="Times New Roman" w:cs="Arial"/>
          <w:color w:val="000000"/>
          <w:lang w:eastAsia="bg-BG"/>
        </w:rPr>
        <w:t xml:space="preserve">ата между сборния анализ на </w:t>
      </w:r>
      <w:r w:rsidRPr="00AE4DFB">
        <w:rPr>
          <w:rFonts w:eastAsia="Times New Roman" w:cs="Arial"/>
          <w:color w:val="000000"/>
          <w:lang w:eastAsia="bg-BG"/>
        </w:rPr>
        <w:t>безопасност</w:t>
      </w:r>
      <w:r w:rsidR="00194D56">
        <w:rPr>
          <w:rFonts w:eastAsia="Times New Roman" w:cs="Arial"/>
          <w:color w:val="000000"/>
          <w:lang w:eastAsia="bg-BG"/>
        </w:rPr>
        <w:t xml:space="preserve">та и </w:t>
      </w:r>
      <w:r w:rsidRPr="00AE4DFB">
        <w:rPr>
          <w:rFonts w:eastAsia="Times New Roman" w:cs="Arial"/>
          <w:color w:val="000000"/>
          <w:lang w:val="en-US"/>
        </w:rPr>
        <w:t xml:space="preserve">FALCON </w:t>
      </w:r>
      <w:r w:rsidR="00194D56">
        <w:rPr>
          <w:rFonts w:eastAsia="Times New Roman" w:cs="Arial"/>
          <w:color w:val="000000"/>
          <w:lang w:eastAsia="bg-BG"/>
        </w:rPr>
        <w:t>се различава е избрана по</w:t>
      </w:r>
      <w:r w:rsidRPr="00AE4DFB">
        <w:rPr>
          <w:rFonts w:eastAsia="Times New Roman" w:cs="Arial"/>
          <w:color w:val="000000"/>
          <w:lang w:eastAsia="bg-BG"/>
        </w:rPr>
        <w:t xml:space="preserve">-високата честота. </w:t>
      </w:r>
      <w:r w:rsidR="00194D56" w:rsidRPr="00AE4DFB">
        <w:rPr>
          <w:rFonts w:eastAsia="Times New Roman" w:cs="Arial"/>
          <w:color w:val="000000"/>
          <w:lang w:eastAsia="bg-BG"/>
        </w:rPr>
        <w:t>П</w:t>
      </w:r>
      <w:r w:rsidR="00194D56">
        <w:rPr>
          <w:rFonts w:eastAsia="Times New Roman" w:cs="Arial"/>
          <w:color w:val="000000"/>
          <w:lang w:eastAsia="bg-BG"/>
        </w:rPr>
        <w:t>редставените</w:t>
      </w:r>
      <w:r w:rsidRPr="00AE4DFB">
        <w:rPr>
          <w:rFonts w:eastAsia="Times New Roman" w:cs="Arial"/>
          <w:color w:val="000000"/>
          <w:lang w:eastAsia="bg-BG"/>
        </w:rPr>
        <w:t xml:space="preserve"> в Таблица 1 честоти са въз основа на всички съ</w:t>
      </w:r>
      <w:r w:rsidR="00194D56">
        <w:rPr>
          <w:rFonts w:eastAsia="Times New Roman" w:cs="Arial"/>
          <w:color w:val="000000"/>
          <w:lang w:eastAsia="bg-BG"/>
        </w:rPr>
        <w:t xml:space="preserve">общени събития, без значение каква е била </w:t>
      </w:r>
      <w:r w:rsidRPr="00AE4DFB">
        <w:rPr>
          <w:rFonts w:eastAsia="Times New Roman" w:cs="Arial"/>
          <w:color w:val="000000"/>
          <w:lang w:eastAsia="bg-BG"/>
        </w:rPr>
        <w:t xml:space="preserve">преценката на изследователя </w:t>
      </w:r>
      <w:r w:rsidR="00194D56">
        <w:rPr>
          <w:rFonts w:eastAsia="Times New Roman" w:cs="Arial"/>
          <w:color w:val="000000"/>
          <w:lang w:eastAsia="bg-BG"/>
        </w:rPr>
        <w:t>за</w:t>
      </w:r>
      <w:r w:rsidRPr="00AE4DFB">
        <w:rPr>
          <w:rFonts w:eastAsia="Times New Roman" w:cs="Arial"/>
          <w:color w:val="000000"/>
          <w:lang w:eastAsia="bg-BG"/>
        </w:rPr>
        <w:t xml:space="preserve"> причинно-следствената връзка. </w:t>
      </w:r>
      <w:r w:rsidR="00194D56">
        <w:rPr>
          <w:rFonts w:eastAsia="Times New Roman" w:cs="Arial"/>
          <w:color w:val="000000"/>
          <w:lang w:eastAsia="bg-BG"/>
        </w:rPr>
        <w:t xml:space="preserve">Медианата на </w:t>
      </w:r>
      <w:r w:rsidRPr="00AE4DFB">
        <w:rPr>
          <w:rFonts w:eastAsia="Times New Roman" w:cs="Arial"/>
          <w:color w:val="000000"/>
          <w:lang w:eastAsia="bg-BG"/>
        </w:rPr>
        <w:t>продължителност на лечение</w:t>
      </w:r>
      <w:r w:rsidR="00194D56">
        <w:rPr>
          <w:rFonts w:eastAsia="Times New Roman" w:cs="Arial"/>
          <w:color w:val="000000"/>
          <w:lang w:eastAsia="bg-BG"/>
        </w:rPr>
        <w:t>то</w:t>
      </w:r>
      <w:r w:rsidRPr="00AE4DFB">
        <w:rPr>
          <w:rFonts w:eastAsia="Times New Roman" w:cs="Arial"/>
          <w:color w:val="000000"/>
          <w:lang w:eastAsia="bg-BG"/>
        </w:rPr>
        <w:t xml:space="preserve"> с 500 </w:t>
      </w:r>
      <w:r w:rsidRPr="00AE4DFB">
        <w:rPr>
          <w:rFonts w:eastAsia="Times New Roman" w:cs="Arial"/>
          <w:color w:val="000000"/>
          <w:lang w:val="en-US"/>
        </w:rPr>
        <w:t>mg</w:t>
      </w:r>
      <w:r w:rsidR="00194D56">
        <w:rPr>
          <w:rFonts w:eastAsia="Times New Roman" w:cs="Arial"/>
          <w:color w:val="000000"/>
        </w:rPr>
        <w:t xml:space="preserve"> </w:t>
      </w:r>
      <w:r w:rsidR="00194D56" w:rsidRPr="00AE4DFB">
        <w:rPr>
          <w:rFonts w:eastAsia="Times New Roman" w:cs="Arial"/>
          <w:color w:val="000000"/>
          <w:lang w:eastAsia="bg-BG"/>
        </w:rPr>
        <w:t>фулвестрант</w:t>
      </w:r>
      <w:r w:rsidRPr="00AE4DFB">
        <w:rPr>
          <w:rFonts w:eastAsia="Times New Roman" w:cs="Arial"/>
          <w:color w:val="000000"/>
          <w:lang w:val="en-US"/>
        </w:rPr>
        <w:t xml:space="preserve"> </w:t>
      </w:r>
      <w:r w:rsidR="00194D56">
        <w:rPr>
          <w:rFonts w:eastAsia="Times New Roman" w:cs="Arial"/>
          <w:color w:val="000000"/>
          <w:lang w:eastAsia="bg-BG"/>
        </w:rPr>
        <w:t>в сборните данни</w:t>
      </w:r>
      <w:r w:rsidRPr="00AE4DFB">
        <w:rPr>
          <w:rFonts w:eastAsia="Times New Roman" w:cs="Arial"/>
          <w:color w:val="000000"/>
          <w:lang w:eastAsia="bg-BG"/>
        </w:rPr>
        <w:t xml:space="preserve"> (включ</w:t>
      </w:r>
      <w:r w:rsidR="00194D56">
        <w:rPr>
          <w:rFonts w:eastAsia="Times New Roman" w:cs="Arial"/>
          <w:color w:val="000000"/>
          <w:lang w:eastAsia="bg-BG"/>
        </w:rPr>
        <w:t xml:space="preserve">ително </w:t>
      </w:r>
      <w:r w:rsidRPr="00AE4DFB">
        <w:rPr>
          <w:rFonts w:eastAsia="Times New Roman" w:cs="Arial"/>
          <w:color w:val="000000"/>
          <w:lang w:eastAsia="bg-BG"/>
        </w:rPr>
        <w:t>по-горе</w:t>
      </w:r>
      <w:r w:rsidR="00194D56">
        <w:rPr>
          <w:rFonts w:eastAsia="Times New Roman" w:cs="Arial"/>
          <w:color w:val="000000"/>
          <w:lang w:eastAsia="bg-BG"/>
        </w:rPr>
        <w:t xml:space="preserve"> споменатите проучвания</w:t>
      </w:r>
      <w:r w:rsidRPr="00AE4DFB">
        <w:rPr>
          <w:rFonts w:eastAsia="Times New Roman" w:cs="Arial"/>
          <w:color w:val="000000"/>
          <w:lang w:eastAsia="bg-BG"/>
        </w:rPr>
        <w:t xml:space="preserve"> заедно с </w:t>
      </w:r>
      <w:r w:rsidRPr="00AE4DFB">
        <w:rPr>
          <w:rFonts w:eastAsia="Times New Roman" w:cs="Arial"/>
          <w:color w:val="000000"/>
          <w:lang w:val="en-US"/>
        </w:rPr>
        <w:t xml:space="preserve">FALCON) </w:t>
      </w:r>
      <w:r w:rsidRPr="00AE4DFB">
        <w:rPr>
          <w:rFonts w:eastAsia="Times New Roman" w:cs="Arial"/>
          <w:color w:val="000000"/>
          <w:lang w:eastAsia="bg-BG"/>
        </w:rPr>
        <w:t>е била 6,5 месеца.</w:t>
      </w:r>
    </w:p>
    <w:p w14:paraId="45B9D84C" w14:textId="77777777" w:rsidR="00AE4DFB" w:rsidRPr="00AE4DFB" w:rsidRDefault="00AE4DFB" w:rsidP="00AE4DFB">
      <w:pPr>
        <w:spacing w:line="240" w:lineRule="auto"/>
        <w:rPr>
          <w:rFonts w:eastAsia="Times New Roman" w:cs="Arial"/>
          <w:color w:val="000000"/>
          <w:u w:val="single"/>
          <w:lang w:eastAsia="bg-BG"/>
        </w:rPr>
      </w:pPr>
    </w:p>
    <w:p w14:paraId="0DFDAC25" w14:textId="6D0075F3" w:rsidR="00AE4DFB" w:rsidRPr="00AE4DFB" w:rsidRDefault="00AE4DFB" w:rsidP="00AE4DFB">
      <w:pPr>
        <w:spacing w:line="240" w:lineRule="auto"/>
        <w:rPr>
          <w:rFonts w:eastAsia="Times New Roman" w:cs="Arial"/>
          <w:sz w:val="24"/>
          <w:szCs w:val="24"/>
          <w:lang w:eastAsia="bg-BG"/>
        </w:rPr>
      </w:pPr>
      <w:r w:rsidRPr="00AE4DFB">
        <w:rPr>
          <w:rFonts w:eastAsia="Times New Roman" w:cs="Arial"/>
          <w:color w:val="000000"/>
          <w:u w:val="single"/>
          <w:lang w:eastAsia="bg-BG"/>
        </w:rPr>
        <w:t>Табличен списък на нежеланите реакции</w:t>
      </w:r>
    </w:p>
    <w:p w14:paraId="57C1B958" w14:textId="77777777" w:rsidR="00AE4DFB" w:rsidRPr="00AE4DFB" w:rsidRDefault="00AE4DFB" w:rsidP="00AE4DFB">
      <w:pPr>
        <w:spacing w:line="240" w:lineRule="auto"/>
        <w:rPr>
          <w:rFonts w:eastAsia="Times New Roman" w:cs="Arial"/>
          <w:sz w:val="24"/>
          <w:szCs w:val="24"/>
          <w:lang w:eastAsia="bg-BG"/>
        </w:rPr>
      </w:pPr>
      <w:r w:rsidRPr="00AE4DFB">
        <w:rPr>
          <w:rFonts w:eastAsia="Times New Roman" w:cs="Arial"/>
          <w:color w:val="000000"/>
          <w:lang w:eastAsia="bg-BG"/>
        </w:rPr>
        <w:t>Изброените по-долу нежелани реакции са класифицирани по честота и системо-органни класове (СОК). Групирането по честота е дефинирано по следната конвенция: много чести (≥1/10), чести (≥1/100 до &lt;1/10), нечести (≥ 1/1 000 до &lt;1/100). При всяко групиране в зависимост от честотата, нежеланите лекарствени реакции се изброяват в низходящ ред по отношение на тяхната сериозност.</w:t>
      </w:r>
    </w:p>
    <w:p w14:paraId="29063B50" w14:textId="77777777" w:rsidR="00AE4DFB" w:rsidRPr="00AE4DFB" w:rsidRDefault="00AE4DFB" w:rsidP="00AE4DFB">
      <w:pPr>
        <w:rPr>
          <w:rFonts w:eastAsia="Times New Roman" w:cs="Arial"/>
          <w:b/>
          <w:bCs/>
          <w:color w:val="000000"/>
          <w:lang w:eastAsia="bg-BG"/>
        </w:rPr>
      </w:pPr>
      <w:bookmarkStart w:id="1" w:name="bookmark0"/>
    </w:p>
    <w:p w14:paraId="570508C4" w14:textId="02EE6AF3" w:rsidR="0091385D" w:rsidRPr="00AE4DFB" w:rsidRDefault="00AE4DFB" w:rsidP="00AE4DFB">
      <w:pPr>
        <w:rPr>
          <w:rFonts w:cs="Arial"/>
        </w:rPr>
      </w:pPr>
      <w:r w:rsidRPr="00AE4DFB">
        <w:rPr>
          <w:rFonts w:eastAsia="Times New Roman" w:cs="Arial"/>
          <w:b/>
          <w:bCs/>
          <w:color w:val="000000"/>
          <w:lang w:eastAsia="bg-BG"/>
        </w:rPr>
        <w:t>Таблица 1 Нежелани лекарствени реакции, съобщавани при пациенти, лекувани с фулвестрант</w:t>
      </w:r>
      <w:bookmarkEnd w:id="1"/>
      <w:r w:rsidR="00522385">
        <w:rPr>
          <w:rFonts w:eastAsia="Times New Roman" w:cs="Arial"/>
          <w:b/>
          <w:bCs/>
          <w:color w:val="000000"/>
          <w:lang w:eastAsia="bg-BG"/>
        </w:rPr>
        <w:t xml:space="preserve"> като монотерапия</w:t>
      </w:r>
    </w:p>
    <w:p w14:paraId="43E3C48F" w14:textId="5C613932" w:rsidR="0091385D" w:rsidRDefault="0091385D" w:rsidP="0091385D"/>
    <w:tbl>
      <w:tblPr>
        <w:tblStyle w:val="TableGrid"/>
        <w:tblW w:w="0" w:type="auto"/>
        <w:tblLook w:val="04A0" w:firstRow="1" w:lastRow="0" w:firstColumn="1" w:lastColumn="0" w:noHBand="0" w:noVBand="1"/>
      </w:tblPr>
      <w:tblGrid>
        <w:gridCol w:w="3136"/>
        <w:gridCol w:w="3076"/>
        <w:gridCol w:w="3138"/>
      </w:tblGrid>
      <w:tr w:rsidR="009164B2" w14:paraId="2DF8B189" w14:textId="77777777" w:rsidTr="00A34059">
        <w:tc>
          <w:tcPr>
            <w:tcW w:w="9500" w:type="dxa"/>
            <w:gridSpan w:val="3"/>
          </w:tcPr>
          <w:p w14:paraId="1EA152F8" w14:textId="02E1FC5D" w:rsidR="009164B2" w:rsidRPr="009164B2" w:rsidRDefault="009164B2" w:rsidP="0091385D">
            <w:r w:rsidRPr="009164B2">
              <w:rPr>
                <w:b/>
                <w:bCs/>
                <w:szCs w:val="20"/>
              </w:rPr>
              <w:t>Нежелани реакции по системо-органни класове и честота</w:t>
            </w:r>
          </w:p>
        </w:tc>
      </w:tr>
      <w:tr w:rsidR="00AE4DFB" w14:paraId="1090BEF9" w14:textId="77777777" w:rsidTr="00AE4DFB">
        <w:tc>
          <w:tcPr>
            <w:tcW w:w="3166" w:type="dxa"/>
          </w:tcPr>
          <w:p w14:paraId="38BFAC83" w14:textId="435FCCE7" w:rsidR="00AE4DFB" w:rsidRPr="009164B2" w:rsidRDefault="00AE4DFB" w:rsidP="00AE4DFB">
            <w:pPr>
              <w:rPr>
                <w:rFonts w:cs="Arial"/>
              </w:rPr>
            </w:pPr>
            <w:r w:rsidRPr="009164B2">
              <w:rPr>
                <w:rFonts w:cs="Arial"/>
              </w:rPr>
              <w:t>Инфекции и инфестации</w:t>
            </w:r>
          </w:p>
        </w:tc>
        <w:tc>
          <w:tcPr>
            <w:tcW w:w="3167" w:type="dxa"/>
          </w:tcPr>
          <w:p w14:paraId="2C49EBF7" w14:textId="4D44A032" w:rsidR="00AE4DFB" w:rsidRPr="009164B2" w:rsidRDefault="00AE4DFB" w:rsidP="00AE4DFB">
            <w:pPr>
              <w:rPr>
                <w:rFonts w:cs="Arial"/>
              </w:rPr>
            </w:pPr>
            <w:r w:rsidRPr="009164B2">
              <w:rPr>
                <w:rFonts w:cs="Arial"/>
              </w:rPr>
              <w:t>Чести</w:t>
            </w:r>
          </w:p>
        </w:tc>
        <w:tc>
          <w:tcPr>
            <w:tcW w:w="3167" w:type="dxa"/>
          </w:tcPr>
          <w:p w14:paraId="2AEE3C6C" w14:textId="5CC275AE" w:rsidR="00AE4DFB" w:rsidRPr="009164B2" w:rsidRDefault="00AE4DFB" w:rsidP="00AE4DFB">
            <w:pPr>
              <w:rPr>
                <w:rFonts w:cs="Arial"/>
              </w:rPr>
            </w:pPr>
            <w:r w:rsidRPr="009164B2">
              <w:rPr>
                <w:rFonts w:cs="Arial"/>
              </w:rPr>
              <w:t>Инфекции на пикочните пътища</w:t>
            </w:r>
          </w:p>
        </w:tc>
      </w:tr>
      <w:tr w:rsidR="00AE4DFB" w14:paraId="3CD4BA5B" w14:textId="77777777" w:rsidTr="00AE4DFB">
        <w:tc>
          <w:tcPr>
            <w:tcW w:w="3166" w:type="dxa"/>
          </w:tcPr>
          <w:p w14:paraId="1BFB11BA" w14:textId="2B29740C" w:rsidR="00AE4DFB" w:rsidRPr="009164B2" w:rsidRDefault="00AE4DFB" w:rsidP="00AE4DFB">
            <w:pPr>
              <w:rPr>
                <w:rFonts w:cs="Arial"/>
              </w:rPr>
            </w:pPr>
            <w:r w:rsidRPr="009164B2">
              <w:rPr>
                <w:rFonts w:cs="Arial"/>
              </w:rPr>
              <w:t>Нарушения на кръвта и лимфната система</w:t>
            </w:r>
          </w:p>
        </w:tc>
        <w:tc>
          <w:tcPr>
            <w:tcW w:w="3167" w:type="dxa"/>
          </w:tcPr>
          <w:p w14:paraId="09E3DA0D" w14:textId="7055B00C" w:rsidR="00AE4DFB" w:rsidRPr="009164B2" w:rsidRDefault="00AE4DFB" w:rsidP="00AE4DFB">
            <w:pPr>
              <w:rPr>
                <w:rFonts w:cs="Arial"/>
              </w:rPr>
            </w:pPr>
            <w:r w:rsidRPr="009164B2">
              <w:rPr>
                <w:rFonts w:cs="Arial"/>
              </w:rPr>
              <w:t>Чести</w:t>
            </w:r>
          </w:p>
        </w:tc>
        <w:tc>
          <w:tcPr>
            <w:tcW w:w="3167" w:type="dxa"/>
          </w:tcPr>
          <w:p w14:paraId="0530D129" w14:textId="224FA556" w:rsidR="00AE4DFB" w:rsidRPr="009164B2" w:rsidRDefault="00AE4DFB" w:rsidP="00AE4DFB">
            <w:pPr>
              <w:rPr>
                <w:rFonts w:cs="Arial"/>
              </w:rPr>
            </w:pPr>
            <w:r w:rsidRPr="009164B2">
              <w:rPr>
                <w:rFonts w:cs="Arial"/>
              </w:rPr>
              <w:t>Намален брой тромбоцити</w:t>
            </w:r>
            <w:r w:rsidRPr="009164B2">
              <w:rPr>
                <w:rFonts w:cs="Arial"/>
                <w:vertAlign w:val="superscript"/>
                <w:lang w:val="en-US"/>
              </w:rPr>
              <w:t>e</w:t>
            </w:r>
          </w:p>
        </w:tc>
      </w:tr>
      <w:tr w:rsidR="009164B2" w14:paraId="5A76FF16" w14:textId="77777777" w:rsidTr="00AE4DFB">
        <w:tc>
          <w:tcPr>
            <w:tcW w:w="3166" w:type="dxa"/>
            <w:vMerge w:val="restart"/>
          </w:tcPr>
          <w:p w14:paraId="47FE1232" w14:textId="0E3690A3" w:rsidR="009164B2" w:rsidRPr="009164B2" w:rsidRDefault="009164B2" w:rsidP="009164B2">
            <w:pPr>
              <w:rPr>
                <w:rFonts w:cs="Arial"/>
              </w:rPr>
            </w:pPr>
            <w:r w:rsidRPr="009164B2">
              <w:rPr>
                <w:rFonts w:cs="Arial"/>
              </w:rPr>
              <w:t>Нарушения на имунната система</w:t>
            </w:r>
          </w:p>
        </w:tc>
        <w:tc>
          <w:tcPr>
            <w:tcW w:w="3167" w:type="dxa"/>
          </w:tcPr>
          <w:p w14:paraId="790CD988" w14:textId="154E532B" w:rsidR="009164B2" w:rsidRPr="009164B2" w:rsidRDefault="009164B2" w:rsidP="009164B2">
            <w:pPr>
              <w:rPr>
                <w:rFonts w:cs="Arial"/>
              </w:rPr>
            </w:pPr>
            <w:r w:rsidRPr="009164B2">
              <w:rPr>
                <w:rFonts w:cs="Arial"/>
              </w:rPr>
              <w:t>Много чести</w:t>
            </w:r>
          </w:p>
        </w:tc>
        <w:tc>
          <w:tcPr>
            <w:tcW w:w="3167" w:type="dxa"/>
          </w:tcPr>
          <w:p w14:paraId="7D0240A5" w14:textId="78D95C81" w:rsidR="009164B2" w:rsidRPr="009164B2" w:rsidRDefault="009164B2" w:rsidP="009164B2">
            <w:pPr>
              <w:rPr>
                <w:rFonts w:cs="Arial"/>
              </w:rPr>
            </w:pPr>
            <w:r w:rsidRPr="009164B2">
              <w:rPr>
                <w:rFonts w:cs="Arial"/>
              </w:rPr>
              <w:t>Реакции на свръхчувствителност</w:t>
            </w:r>
            <w:r w:rsidRPr="009164B2">
              <w:rPr>
                <w:rFonts w:cs="Arial"/>
                <w:vertAlign w:val="superscript"/>
                <w:lang w:val="en-US"/>
              </w:rPr>
              <w:t>e</w:t>
            </w:r>
          </w:p>
        </w:tc>
      </w:tr>
      <w:tr w:rsidR="009164B2" w14:paraId="61FF4089" w14:textId="77777777" w:rsidTr="00AE4DFB">
        <w:tc>
          <w:tcPr>
            <w:tcW w:w="3166" w:type="dxa"/>
            <w:vMerge/>
          </w:tcPr>
          <w:p w14:paraId="2224E6A8" w14:textId="77777777" w:rsidR="009164B2" w:rsidRPr="009164B2" w:rsidRDefault="009164B2" w:rsidP="009164B2">
            <w:pPr>
              <w:rPr>
                <w:rFonts w:cs="Arial"/>
              </w:rPr>
            </w:pPr>
          </w:p>
        </w:tc>
        <w:tc>
          <w:tcPr>
            <w:tcW w:w="3167" w:type="dxa"/>
          </w:tcPr>
          <w:p w14:paraId="7CB17193" w14:textId="45BEB06E" w:rsidR="009164B2" w:rsidRPr="009164B2" w:rsidRDefault="009164B2" w:rsidP="009164B2">
            <w:pPr>
              <w:rPr>
                <w:rFonts w:cs="Arial"/>
              </w:rPr>
            </w:pPr>
            <w:r w:rsidRPr="009164B2">
              <w:rPr>
                <w:rFonts w:cs="Arial"/>
              </w:rPr>
              <w:t>Нечести</w:t>
            </w:r>
          </w:p>
        </w:tc>
        <w:tc>
          <w:tcPr>
            <w:tcW w:w="3167" w:type="dxa"/>
          </w:tcPr>
          <w:p w14:paraId="3E5F1D99" w14:textId="3F8357A2" w:rsidR="009164B2" w:rsidRPr="009164B2" w:rsidRDefault="009164B2" w:rsidP="009164B2">
            <w:pPr>
              <w:rPr>
                <w:rFonts w:cs="Arial"/>
              </w:rPr>
            </w:pPr>
            <w:r w:rsidRPr="009164B2">
              <w:rPr>
                <w:rFonts w:cs="Arial"/>
              </w:rPr>
              <w:t>Анафилактични реакции</w:t>
            </w:r>
          </w:p>
        </w:tc>
      </w:tr>
      <w:tr w:rsidR="009164B2" w14:paraId="416E10A5" w14:textId="77777777" w:rsidTr="00AE4DFB">
        <w:tc>
          <w:tcPr>
            <w:tcW w:w="3166" w:type="dxa"/>
          </w:tcPr>
          <w:p w14:paraId="185BAC53" w14:textId="5E577ABB" w:rsidR="009164B2" w:rsidRPr="009164B2" w:rsidRDefault="009164B2" w:rsidP="009164B2">
            <w:pPr>
              <w:rPr>
                <w:rFonts w:cs="Arial"/>
              </w:rPr>
            </w:pPr>
            <w:r w:rsidRPr="009164B2">
              <w:rPr>
                <w:rFonts w:cs="Arial"/>
              </w:rPr>
              <w:t>Нарушения на метаболизма и храненето</w:t>
            </w:r>
          </w:p>
        </w:tc>
        <w:tc>
          <w:tcPr>
            <w:tcW w:w="3167" w:type="dxa"/>
          </w:tcPr>
          <w:p w14:paraId="0FEEBCDA" w14:textId="2CC5BC5E" w:rsidR="009164B2" w:rsidRPr="009164B2" w:rsidRDefault="009164B2" w:rsidP="009164B2">
            <w:pPr>
              <w:rPr>
                <w:rFonts w:cs="Arial"/>
              </w:rPr>
            </w:pPr>
            <w:r w:rsidRPr="009164B2">
              <w:rPr>
                <w:rFonts w:cs="Arial"/>
              </w:rPr>
              <w:t>Чести</w:t>
            </w:r>
          </w:p>
        </w:tc>
        <w:tc>
          <w:tcPr>
            <w:tcW w:w="3167" w:type="dxa"/>
          </w:tcPr>
          <w:p w14:paraId="54CFC2B9" w14:textId="38D825CF" w:rsidR="009164B2" w:rsidRPr="009164B2" w:rsidRDefault="009164B2" w:rsidP="009164B2">
            <w:pPr>
              <w:rPr>
                <w:rFonts w:cs="Arial"/>
              </w:rPr>
            </w:pPr>
            <w:r w:rsidRPr="009164B2">
              <w:rPr>
                <w:rFonts w:cs="Arial"/>
              </w:rPr>
              <w:t>Анорексия</w:t>
            </w:r>
            <w:r w:rsidRPr="009164B2">
              <w:rPr>
                <w:rFonts w:cs="Arial"/>
                <w:vertAlign w:val="superscript"/>
              </w:rPr>
              <w:t>а</w:t>
            </w:r>
          </w:p>
        </w:tc>
      </w:tr>
      <w:tr w:rsidR="009164B2" w14:paraId="58152B35" w14:textId="77777777" w:rsidTr="00AE4DFB">
        <w:tc>
          <w:tcPr>
            <w:tcW w:w="3166" w:type="dxa"/>
          </w:tcPr>
          <w:p w14:paraId="368150D3" w14:textId="5D0C36A4" w:rsidR="009164B2" w:rsidRPr="009164B2" w:rsidRDefault="009164B2" w:rsidP="009164B2">
            <w:pPr>
              <w:rPr>
                <w:rFonts w:cs="Arial"/>
              </w:rPr>
            </w:pPr>
            <w:r w:rsidRPr="009164B2">
              <w:rPr>
                <w:rFonts w:cs="Arial"/>
              </w:rPr>
              <w:t>Нарушения на нервната система</w:t>
            </w:r>
          </w:p>
        </w:tc>
        <w:tc>
          <w:tcPr>
            <w:tcW w:w="3167" w:type="dxa"/>
          </w:tcPr>
          <w:p w14:paraId="1A06820D" w14:textId="572F50DD" w:rsidR="009164B2" w:rsidRPr="009164B2" w:rsidRDefault="009164B2" w:rsidP="009164B2">
            <w:pPr>
              <w:rPr>
                <w:rFonts w:cs="Arial"/>
              </w:rPr>
            </w:pPr>
            <w:r w:rsidRPr="009164B2">
              <w:rPr>
                <w:rFonts w:cs="Arial"/>
              </w:rPr>
              <w:t>Чести</w:t>
            </w:r>
          </w:p>
        </w:tc>
        <w:tc>
          <w:tcPr>
            <w:tcW w:w="3167" w:type="dxa"/>
          </w:tcPr>
          <w:p w14:paraId="06B7E692" w14:textId="4D3DFFE2" w:rsidR="009164B2" w:rsidRPr="009164B2" w:rsidRDefault="009164B2" w:rsidP="009164B2">
            <w:pPr>
              <w:rPr>
                <w:rFonts w:cs="Arial"/>
              </w:rPr>
            </w:pPr>
            <w:r w:rsidRPr="009164B2">
              <w:rPr>
                <w:rFonts w:cs="Arial"/>
              </w:rPr>
              <w:t>Главоболие</w:t>
            </w:r>
          </w:p>
        </w:tc>
      </w:tr>
      <w:tr w:rsidR="009164B2" w14:paraId="7DDA2F43" w14:textId="77777777" w:rsidTr="00AE4DFB">
        <w:tc>
          <w:tcPr>
            <w:tcW w:w="3166" w:type="dxa"/>
            <w:vMerge w:val="restart"/>
          </w:tcPr>
          <w:p w14:paraId="3F2764A0" w14:textId="38992232" w:rsidR="009164B2" w:rsidRPr="009164B2" w:rsidRDefault="009164B2" w:rsidP="009164B2">
            <w:pPr>
              <w:rPr>
                <w:rFonts w:cs="Arial"/>
              </w:rPr>
            </w:pPr>
            <w:r w:rsidRPr="009164B2">
              <w:rPr>
                <w:rFonts w:cs="Arial"/>
              </w:rPr>
              <w:t>Съдови нарушения</w:t>
            </w:r>
          </w:p>
        </w:tc>
        <w:tc>
          <w:tcPr>
            <w:tcW w:w="3167" w:type="dxa"/>
          </w:tcPr>
          <w:p w14:paraId="654C15D4" w14:textId="5E8E5385" w:rsidR="009164B2" w:rsidRPr="009164B2" w:rsidRDefault="009164B2" w:rsidP="009164B2">
            <w:pPr>
              <w:rPr>
                <w:rFonts w:cs="Arial"/>
              </w:rPr>
            </w:pPr>
            <w:r w:rsidRPr="009164B2">
              <w:rPr>
                <w:rFonts w:cs="Arial"/>
              </w:rPr>
              <w:t>Много чести</w:t>
            </w:r>
          </w:p>
        </w:tc>
        <w:tc>
          <w:tcPr>
            <w:tcW w:w="3167" w:type="dxa"/>
          </w:tcPr>
          <w:p w14:paraId="32EE5FB3" w14:textId="15270E07" w:rsidR="009164B2" w:rsidRPr="009164B2" w:rsidRDefault="009164B2" w:rsidP="009164B2">
            <w:pPr>
              <w:rPr>
                <w:rFonts w:cs="Arial"/>
              </w:rPr>
            </w:pPr>
            <w:r w:rsidRPr="009164B2">
              <w:rPr>
                <w:rFonts w:cs="Arial"/>
              </w:rPr>
              <w:t>Горещи вълни</w:t>
            </w:r>
            <w:r w:rsidRPr="009164B2">
              <w:rPr>
                <w:rFonts w:cs="Arial"/>
                <w:vertAlign w:val="superscript"/>
                <w:lang w:val="en-US"/>
              </w:rPr>
              <w:t>e</w:t>
            </w:r>
          </w:p>
        </w:tc>
      </w:tr>
      <w:tr w:rsidR="009164B2" w14:paraId="0AFDCDC6" w14:textId="77777777" w:rsidTr="00AE4DFB">
        <w:tc>
          <w:tcPr>
            <w:tcW w:w="3166" w:type="dxa"/>
            <w:vMerge/>
          </w:tcPr>
          <w:p w14:paraId="36542A5B" w14:textId="77777777" w:rsidR="009164B2" w:rsidRPr="009164B2" w:rsidRDefault="009164B2" w:rsidP="009164B2">
            <w:pPr>
              <w:rPr>
                <w:rFonts w:cs="Arial"/>
              </w:rPr>
            </w:pPr>
          </w:p>
        </w:tc>
        <w:tc>
          <w:tcPr>
            <w:tcW w:w="3167" w:type="dxa"/>
          </w:tcPr>
          <w:p w14:paraId="55E9B934" w14:textId="1651EDEC" w:rsidR="009164B2" w:rsidRPr="009164B2" w:rsidRDefault="009164B2" w:rsidP="009164B2">
            <w:pPr>
              <w:rPr>
                <w:rFonts w:cs="Arial"/>
              </w:rPr>
            </w:pPr>
            <w:r w:rsidRPr="009164B2">
              <w:rPr>
                <w:rFonts w:cs="Arial"/>
              </w:rPr>
              <w:t>Чести</w:t>
            </w:r>
          </w:p>
        </w:tc>
        <w:tc>
          <w:tcPr>
            <w:tcW w:w="3167" w:type="dxa"/>
          </w:tcPr>
          <w:p w14:paraId="0272D90F" w14:textId="6021463B" w:rsidR="009164B2" w:rsidRPr="009164B2" w:rsidRDefault="009164B2" w:rsidP="009164B2">
            <w:pPr>
              <w:rPr>
                <w:rFonts w:cs="Arial"/>
              </w:rPr>
            </w:pPr>
            <w:r w:rsidRPr="009164B2">
              <w:rPr>
                <w:rFonts w:cs="Arial"/>
              </w:rPr>
              <w:t>Венозна тромбоемболия</w:t>
            </w:r>
            <w:r w:rsidRPr="009164B2">
              <w:rPr>
                <w:rFonts w:cs="Arial"/>
                <w:vertAlign w:val="superscript"/>
              </w:rPr>
              <w:t>а</w:t>
            </w:r>
          </w:p>
        </w:tc>
      </w:tr>
      <w:tr w:rsidR="009164B2" w14:paraId="16BD9C37" w14:textId="77777777" w:rsidTr="00AE4DFB">
        <w:tc>
          <w:tcPr>
            <w:tcW w:w="3166" w:type="dxa"/>
            <w:vMerge w:val="restart"/>
          </w:tcPr>
          <w:p w14:paraId="45CBD6AF" w14:textId="65C1B23A" w:rsidR="009164B2" w:rsidRPr="009164B2" w:rsidRDefault="009164B2" w:rsidP="009164B2">
            <w:pPr>
              <w:rPr>
                <w:rFonts w:cs="Arial"/>
              </w:rPr>
            </w:pPr>
            <w:r w:rsidRPr="009164B2">
              <w:rPr>
                <w:rFonts w:cs="Arial"/>
              </w:rPr>
              <w:t>Стомашно-чревни нарушения</w:t>
            </w:r>
          </w:p>
        </w:tc>
        <w:tc>
          <w:tcPr>
            <w:tcW w:w="3167" w:type="dxa"/>
          </w:tcPr>
          <w:p w14:paraId="37F7D96C" w14:textId="77903AEB" w:rsidR="009164B2" w:rsidRPr="009164B2" w:rsidRDefault="009164B2" w:rsidP="009164B2">
            <w:pPr>
              <w:rPr>
                <w:rFonts w:cs="Arial"/>
              </w:rPr>
            </w:pPr>
            <w:r w:rsidRPr="009164B2">
              <w:rPr>
                <w:rFonts w:cs="Arial"/>
              </w:rPr>
              <w:t>Много чести</w:t>
            </w:r>
          </w:p>
        </w:tc>
        <w:tc>
          <w:tcPr>
            <w:tcW w:w="3167" w:type="dxa"/>
          </w:tcPr>
          <w:p w14:paraId="3A5CD755" w14:textId="73314261" w:rsidR="009164B2" w:rsidRPr="009164B2" w:rsidRDefault="009164B2" w:rsidP="009164B2">
            <w:pPr>
              <w:rPr>
                <w:rFonts w:cs="Arial"/>
              </w:rPr>
            </w:pPr>
            <w:r w:rsidRPr="009164B2">
              <w:rPr>
                <w:rFonts w:cs="Arial"/>
              </w:rPr>
              <w:t>Гадене</w:t>
            </w:r>
          </w:p>
        </w:tc>
      </w:tr>
      <w:tr w:rsidR="00AE4DFB" w14:paraId="68621204" w14:textId="77777777" w:rsidTr="00AE4DFB">
        <w:tc>
          <w:tcPr>
            <w:tcW w:w="3166" w:type="dxa"/>
            <w:vMerge/>
          </w:tcPr>
          <w:p w14:paraId="031EB6A3" w14:textId="77777777" w:rsidR="00AE4DFB" w:rsidRPr="009164B2" w:rsidRDefault="00AE4DFB" w:rsidP="00AE4DFB">
            <w:pPr>
              <w:rPr>
                <w:rFonts w:cs="Arial"/>
              </w:rPr>
            </w:pPr>
          </w:p>
        </w:tc>
        <w:tc>
          <w:tcPr>
            <w:tcW w:w="3167" w:type="dxa"/>
          </w:tcPr>
          <w:p w14:paraId="4C5137B9" w14:textId="43CC6A91" w:rsidR="00AE4DFB" w:rsidRPr="009164B2" w:rsidRDefault="00AE4DFB" w:rsidP="00AE4DFB">
            <w:pPr>
              <w:rPr>
                <w:rFonts w:cs="Arial"/>
              </w:rPr>
            </w:pPr>
            <w:r w:rsidRPr="009164B2">
              <w:rPr>
                <w:rFonts w:cs="Arial"/>
              </w:rPr>
              <w:t>Чести</w:t>
            </w:r>
          </w:p>
        </w:tc>
        <w:tc>
          <w:tcPr>
            <w:tcW w:w="3167" w:type="dxa"/>
          </w:tcPr>
          <w:p w14:paraId="62D38A00" w14:textId="142102BD" w:rsidR="00AE4DFB" w:rsidRPr="009164B2" w:rsidRDefault="00AE4DFB" w:rsidP="00AE4DFB">
            <w:pPr>
              <w:rPr>
                <w:rFonts w:cs="Arial"/>
              </w:rPr>
            </w:pPr>
            <w:r w:rsidRPr="009164B2">
              <w:rPr>
                <w:rFonts w:cs="Arial"/>
              </w:rPr>
              <w:t>Повръщане, диария</w:t>
            </w:r>
          </w:p>
        </w:tc>
      </w:tr>
      <w:tr w:rsidR="009164B2" w14:paraId="7CFF6F72" w14:textId="77777777" w:rsidTr="00AE4DFB">
        <w:tc>
          <w:tcPr>
            <w:tcW w:w="3166" w:type="dxa"/>
            <w:vMerge w:val="restart"/>
          </w:tcPr>
          <w:p w14:paraId="155A1280" w14:textId="739296B5" w:rsidR="009164B2" w:rsidRPr="009164B2" w:rsidRDefault="009164B2" w:rsidP="009164B2">
            <w:pPr>
              <w:rPr>
                <w:rFonts w:cs="Arial"/>
              </w:rPr>
            </w:pPr>
            <w:r w:rsidRPr="009164B2">
              <w:rPr>
                <w:rFonts w:cs="Arial"/>
              </w:rPr>
              <w:t>Хепатобилиарни нарушения</w:t>
            </w:r>
          </w:p>
        </w:tc>
        <w:tc>
          <w:tcPr>
            <w:tcW w:w="3167" w:type="dxa"/>
          </w:tcPr>
          <w:p w14:paraId="3B847352" w14:textId="4F0C08CB" w:rsidR="009164B2" w:rsidRPr="009164B2" w:rsidRDefault="009164B2" w:rsidP="009164B2">
            <w:pPr>
              <w:rPr>
                <w:rFonts w:cs="Arial"/>
              </w:rPr>
            </w:pPr>
            <w:r w:rsidRPr="009164B2">
              <w:rPr>
                <w:rFonts w:cs="Arial"/>
              </w:rPr>
              <w:t>Много чести</w:t>
            </w:r>
          </w:p>
        </w:tc>
        <w:tc>
          <w:tcPr>
            <w:tcW w:w="3167" w:type="dxa"/>
          </w:tcPr>
          <w:p w14:paraId="6348DAD1" w14:textId="1BBA2B7D" w:rsidR="009164B2" w:rsidRPr="009164B2" w:rsidRDefault="009164B2" w:rsidP="009164B2">
            <w:pPr>
              <w:rPr>
                <w:rFonts w:cs="Arial"/>
              </w:rPr>
            </w:pPr>
            <w:r w:rsidRPr="009164B2">
              <w:rPr>
                <w:rFonts w:cs="Arial"/>
              </w:rPr>
              <w:t>Повишаване на чернодробните ензими (АЛАТ, АСАТ, АФ)</w:t>
            </w:r>
            <w:r w:rsidRPr="009164B2">
              <w:rPr>
                <w:rFonts w:cs="Arial"/>
                <w:vertAlign w:val="superscript"/>
              </w:rPr>
              <w:t>а</w:t>
            </w:r>
          </w:p>
        </w:tc>
      </w:tr>
      <w:tr w:rsidR="009164B2" w14:paraId="5EDFF686" w14:textId="77777777" w:rsidTr="00AE4DFB">
        <w:tc>
          <w:tcPr>
            <w:tcW w:w="3166" w:type="dxa"/>
            <w:vMerge/>
          </w:tcPr>
          <w:p w14:paraId="6E635B5A" w14:textId="77777777" w:rsidR="009164B2" w:rsidRPr="009164B2" w:rsidRDefault="009164B2" w:rsidP="009164B2">
            <w:pPr>
              <w:rPr>
                <w:rFonts w:cs="Arial"/>
              </w:rPr>
            </w:pPr>
          </w:p>
        </w:tc>
        <w:tc>
          <w:tcPr>
            <w:tcW w:w="3167" w:type="dxa"/>
          </w:tcPr>
          <w:p w14:paraId="74B47E1C" w14:textId="502328C9" w:rsidR="009164B2" w:rsidRPr="009164B2" w:rsidRDefault="009164B2" w:rsidP="009164B2">
            <w:pPr>
              <w:rPr>
                <w:rFonts w:cs="Arial"/>
              </w:rPr>
            </w:pPr>
            <w:r w:rsidRPr="009164B2">
              <w:rPr>
                <w:rFonts w:cs="Arial"/>
              </w:rPr>
              <w:t>Чести</w:t>
            </w:r>
          </w:p>
        </w:tc>
        <w:tc>
          <w:tcPr>
            <w:tcW w:w="3167" w:type="dxa"/>
          </w:tcPr>
          <w:p w14:paraId="4B56E019" w14:textId="6FE080B5" w:rsidR="009164B2" w:rsidRPr="009164B2" w:rsidRDefault="009164B2" w:rsidP="009164B2">
            <w:pPr>
              <w:rPr>
                <w:rFonts w:cs="Arial"/>
              </w:rPr>
            </w:pPr>
            <w:r w:rsidRPr="009164B2">
              <w:rPr>
                <w:rFonts w:cs="Arial"/>
              </w:rPr>
              <w:t>Повишен билирубин</w:t>
            </w:r>
            <w:r w:rsidRPr="009164B2">
              <w:rPr>
                <w:rFonts w:cs="Arial"/>
                <w:vertAlign w:val="superscript"/>
              </w:rPr>
              <w:t>а</w:t>
            </w:r>
          </w:p>
        </w:tc>
      </w:tr>
      <w:tr w:rsidR="009164B2" w14:paraId="11BA8F91" w14:textId="77777777" w:rsidTr="00AE4DFB">
        <w:tc>
          <w:tcPr>
            <w:tcW w:w="3166" w:type="dxa"/>
            <w:vMerge/>
          </w:tcPr>
          <w:p w14:paraId="51014B8B" w14:textId="77777777" w:rsidR="009164B2" w:rsidRPr="009164B2" w:rsidRDefault="009164B2" w:rsidP="009164B2">
            <w:pPr>
              <w:rPr>
                <w:rFonts w:cs="Arial"/>
              </w:rPr>
            </w:pPr>
          </w:p>
        </w:tc>
        <w:tc>
          <w:tcPr>
            <w:tcW w:w="3167" w:type="dxa"/>
          </w:tcPr>
          <w:p w14:paraId="39BBFDAC" w14:textId="12B689DB" w:rsidR="009164B2" w:rsidRPr="009164B2" w:rsidRDefault="009164B2" w:rsidP="009164B2">
            <w:pPr>
              <w:rPr>
                <w:rFonts w:cs="Arial"/>
              </w:rPr>
            </w:pPr>
            <w:r w:rsidRPr="009164B2">
              <w:rPr>
                <w:rFonts w:cs="Arial"/>
              </w:rPr>
              <w:t>Нечести</w:t>
            </w:r>
          </w:p>
        </w:tc>
        <w:tc>
          <w:tcPr>
            <w:tcW w:w="3167" w:type="dxa"/>
          </w:tcPr>
          <w:p w14:paraId="7BFF71B8" w14:textId="3557419C" w:rsidR="009164B2" w:rsidRPr="009164B2" w:rsidRDefault="009164B2" w:rsidP="009164B2">
            <w:pPr>
              <w:rPr>
                <w:rFonts w:cs="Arial"/>
              </w:rPr>
            </w:pPr>
            <w:r w:rsidRPr="009164B2">
              <w:rPr>
                <w:rFonts w:cs="Arial"/>
              </w:rPr>
              <w:t>Чернодробна недостатъчност</w:t>
            </w:r>
            <w:proofErr w:type="spellStart"/>
            <w:r w:rsidRPr="009164B2">
              <w:rPr>
                <w:rFonts w:cs="Arial"/>
                <w:vertAlign w:val="superscript"/>
                <w:lang w:val="en-US"/>
              </w:rPr>
              <w:t>c,f</w:t>
            </w:r>
            <w:proofErr w:type="spellEnd"/>
            <w:r w:rsidRPr="009164B2">
              <w:rPr>
                <w:rFonts w:cs="Arial"/>
              </w:rPr>
              <w:t>, хепатит</w:t>
            </w:r>
            <w:r w:rsidRPr="009164B2">
              <w:rPr>
                <w:rFonts w:cs="Arial"/>
                <w:vertAlign w:val="superscript"/>
                <w:lang w:val="en-US"/>
              </w:rPr>
              <w:t>f</w:t>
            </w:r>
            <w:r w:rsidRPr="009164B2">
              <w:rPr>
                <w:rFonts w:cs="Arial"/>
              </w:rPr>
              <w:t>, повишаване на ГГТ</w:t>
            </w:r>
            <w:r w:rsidR="00522385">
              <w:rPr>
                <w:rFonts w:cs="Arial"/>
              </w:rPr>
              <w:t>П</w:t>
            </w:r>
            <w:r w:rsidR="00522385">
              <w:rPr>
                <w:rFonts w:cs="Arial"/>
                <w:vertAlign w:val="superscript"/>
                <w:lang w:val="en-US"/>
              </w:rPr>
              <w:t>f</w:t>
            </w:r>
          </w:p>
        </w:tc>
      </w:tr>
      <w:tr w:rsidR="009164B2" w14:paraId="28A90785" w14:textId="77777777" w:rsidTr="00AE4DFB">
        <w:tc>
          <w:tcPr>
            <w:tcW w:w="3166" w:type="dxa"/>
          </w:tcPr>
          <w:p w14:paraId="3D225A8F" w14:textId="59AC85C1" w:rsidR="009164B2" w:rsidRPr="009164B2" w:rsidRDefault="009164B2" w:rsidP="009164B2">
            <w:pPr>
              <w:rPr>
                <w:rFonts w:cs="Arial"/>
              </w:rPr>
            </w:pPr>
            <w:r w:rsidRPr="009164B2">
              <w:rPr>
                <w:rFonts w:cs="Arial"/>
              </w:rPr>
              <w:t>Нарушения на кожата и подкожната тъкан</w:t>
            </w:r>
          </w:p>
        </w:tc>
        <w:tc>
          <w:tcPr>
            <w:tcW w:w="3167" w:type="dxa"/>
          </w:tcPr>
          <w:p w14:paraId="69F8F238" w14:textId="68F6FF7D" w:rsidR="009164B2" w:rsidRPr="009164B2" w:rsidRDefault="009164B2" w:rsidP="009164B2">
            <w:pPr>
              <w:rPr>
                <w:rFonts w:cs="Arial"/>
              </w:rPr>
            </w:pPr>
            <w:r w:rsidRPr="009164B2">
              <w:rPr>
                <w:rFonts w:cs="Arial"/>
              </w:rPr>
              <w:t>Много чести</w:t>
            </w:r>
          </w:p>
        </w:tc>
        <w:tc>
          <w:tcPr>
            <w:tcW w:w="3167" w:type="dxa"/>
          </w:tcPr>
          <w:p w14:paraId="0E71391F" w14:textId="66B457B8" w:rsidR="009164B2" w:rsidRPr="009164B2" w:rsidRDefault="009164B2" w:rsidP="009164B2">
            <w:pPr>
              <w:rPr>
                <w:rFonts w:cs="Arial"/>
              </w:rPr>
            </w:pPr>
            <w:r w:rsidRPr="009164B2">
              <w:rPr>
                <w:rFonts w:cs="Arial"/>
              </w:rPr>
              <w:t>Обрив</w:t>
            </w:r>
            <w:r w:rsidRPr="009164B2">
              <w:rPr>
                <w:rFonts w:cs="Arial"/>
                <w:vertAlign w:val="superscript"/>
              </w:rPr>
              <w:t>е</w:t>
            </w:r>
          </w:p>
        </w:tc>
      </w:tr>
      <w:tr w:rsidR="009164B2" w14:paraId="7EDF7D1C" w14:textId="77777777" w:rsidTr="00AE4DFB">
        <w:tc>
          <w:tcPr>
            <w:tcW w:w="3166" w:type="dxa"/>
            <w:vMerge w:val="restart"/>
          </w:tcPr>
          <w:p w14:paraId="77924810" w14:textId="4A941B73" w:rsidR="009164B2" w:rsidRPr="009164B2" w:rsidRDefault="009164B2" w:rsidP="009164B2">
            <w:pPr>
              <w:rPr>
                <w:rFonts w:cs="Arial"/>
              </w:rPr>
            </w:pPr>
            <w:r w:rsidRPr="009164B2">
              <w:rPr>
                <w:rFonts w:cs="Arial"/>
              </w:rPr>
              <w:t>Нарушения на мускулно- скелетната система и съединителната тъкан</w:t>
            </w:r>
          </w:p>
        </w:tc>
        <w:tc>
          <w:tcPr>
            <w:tcW w:w="3167" w:type="dxa"/>
          </w:tcPr>
          <w:p w14:paraId="41E38A58" w14:textId="2F960A9B" w:rsidR="009164B2" w:rsidRPr="009164B2" w:rsidRDefault="009164B2" w:rsidP="009164B2">
            <w:pPr>
              <w:rPr>
                <w:rFonts w:cs="Arial"/>
              </w:rPr>
            </w:pPr>
            <w:r w:rsidRPr="009164B2">
              <w:rPr>
                <w:rFonts w:cs="Arial"/>
              </w:rPr>
              <w:t>Много чести</w:t>
            </w:r>
          </w:p>
        </w:tc>
        <w:tc>
          <w:tcPr>
            <w:tcW w:w="3167" w:type="dxa"/>
          </w:tcPr>
          <w:p w14:paraId="513F279C" w14:textId="2A21B134" w:rsidR="009164B2" w:rsidRPr="009164B2" w:rsidRDefault="009164B2" w:rsidP="009164B2">
            <w:pPr>
              <w:rPr>
                <w:rFonts w:cs="Arial"/>
              </w:rPr>
            </w:pPr>
            <w:r w:rsidRPr="009164B2">
              <w:rPr>
                <w:rFonts w:cs="Arial"/>
              </w:rPr>
              <w:t>Ставна и мускулно-скелетна болка</w:t>
            </w:r>
            <w:r w:rsidRPr="009164B2">
              <w:rPr>
                <w:rFonts w:cs="Arial"/>
                <w:vertAlign w:val="superscript"/>
                <w:lang w:val="en-US"/>
              </w:rPr>
              <w:t>d</w:t>
            </w:r>
          </w:p>
        </w:tc>
      </w:tr>
      <w:tr w:rsidR="009164B2" w14:paraId="669D4EC5" w14:textId="77777777" w:rsidTr="00AE4DFB">
        <w:tc>
          <w:tcPr>
            <w:tcW w:w="3166" w:type="dxa"/>
            <w:vMerge/>
          </w:tcPr>
          <w:p w14:paraId="5ECF9B86" w14:textId="77777777" w:rsidR="009164B2" w:rsidRPr="009164B2" w:rsidRDefault="009164B2" w:rsidP="009164B2">
            <w:pPr>
              <w:rPr>
                <w:rFonts w:cs="Arial"/>
              </w:rPr>
            </w:pPr>
          </w:p>
        </w:tc>
        <w:tc>
          <w:tcPr>
            <w:tcW w:w="3167" w:type="dxa"/>
          </w:tcPr>
          <w:p w14:paraId="5D8E435D" w14:textId="6997EA03" w:rsidR="009164B2" w:rsidRPr="009164B2" w:rsidRDefault="009164B2" w:rsidP="009164B2">
            <w:pPr>
              <w:rPr>
                <w:rFonts w:cs="Arial"/>
              </w:rPr>
            </w:pPr>
            <w:r w:rsidRPr="009164B2">
              <w:rPr>
                <w:rFonts w:cs="Arial"/>
              </w:rPr>
              <w:t>Чести</w:t>
            </w:r>
          </w:p>
        </w:tc>
        <w:tc>
          <w:tcPr>
            <w:tcW w:w="3167" w:type="dxa"/>
          </w:tcPr>
          <w:p w14:paraId="35BB1EE7" w14:textId="03F951EE" w:rsidR="009164B2" w:rsidRPr="009164B2" w:rsidRDefault="009164B2" w:rsidP="009164B2">
            <w:pPr>
              <w:rPr>
                <w:rFonts w:cs="Arial"/>
              </w:rPr>
            </w:pPr>
            <w:r w:rsidRPr="009164B2">
              <w:rPr>
                <w:rFonts w:cs="Arial"/>
              </w:rPr>
              <w:t>Болка в гърба</w:t>
            </w:r>
            <w:r w:rsidRPr="009164B2">
              <w:rPr>
                <w:rFonts w:cs="Arial"/>
                <w:vertAlign w:val="superscript"/>
              </w:rPr>
              <w:t>а</w:t>
            </w:r>
          </w:p>
        </w:tc>
      </w:tr>
      <w:tr w:rsidR="009164B2" w14:paraId="531EA648" w14:textId="77777777" w:rsidTr="00AE4DFB">
        <w:tc>
          <w:tcPr>
            <w:tcW w:w="3166" w:type="dxa"/>
            <w:vMerge w:val="restart"/>
          </w:tcPr>
          <w:p w14:paraId="3BE3C704" w14:textId="2EEDD88E" w:rsidR="009164B2" w:rsidRPr="009164B2" w:rsidRDefault="009164B2" w:rsidP="009164B2">
            <w:pPr>
              <w:rPr>
                <w:rFonts w:cs="Arial"/>
              </w:rPr>
            </w:pPr>
            <w:r w:rsidRPr="009164B2">
              <w:rPr>
                <w:rFonts w:cs="Arial"/>
              </w:rPr>
              <w:t>Нарушения на възпроизводителната система и гърдата</w:t>
            </w:r>
          </w:p>
        </w:tc>
        <w:tc>
          <w:tcPr>
            <w:tcW w:w="3167" w:type="dxa"/>
          </w:tcPr>
          <w:p w14:paraId="2C56AA10" w14:textId="0EC8CCF7" w:rsidR="009164B2" w:rsidRPr="009164B2" w:rsidRDefault="009164B2" w:rsidP="009164B2">
            <w:pPr>
              <w:rPr>
                <w:rFonts w:cs="Arial"/>
              </w:rPr>
            </w:pPr>
            <w:r w:rsidRPr="009164B2">
              <w:rPr>
                <w:rFonts w:cs="Arial"/>
              </w:rPr>
              <w:t>Чести</w:t>
            </w:r>
          </w:p>
        </w:tc>
        <w:tc>
          <w:tcPr>
            <w:tcW w:w="3167" w:type="dxa"/>
          </w:tcPr>
          <w:p w14:paraId="13C6F7D7" w14:textId="486BC75E" w:rsidR="009164B2" w:rsidRPr="009164B2" w:rsidRDefault="009164B2" w:rsidP="009164B2">
            <w:pPr>
              <w:rPr>
                <w:rFonts w:cs="Arial"/>
              </w:rPr>
            </w:pPr>
            <w:r w:rsidRPr="009164B2">
              <w:rPr>
                <w:rFonts w:cs="Arial"/>
              </w:rPr>
              <w:t>Вагинално кървене</w:t>
            </w:r>
            <w:r w:rsidRPr="009164B2">
              <w:rPr>
                <w:rFonts w:cs="Arial"/>
                <w:vertAlign w:val="superscript"/>
                <w:lang w:val="en-US"/>
              </w:rPr>
              <w:t>e</w:t>
            </w:r>
          </w:p>
        </w:tc>
      </w:tr>
      <w:tr w:rsidR="009164B2" w14:paraId="4BFCE3DE" w14:textId="77777777" w:rsidTr="00AE4DFB">
        <w:tc>
          <w:tcPr>
            <w:tcW w:w="3166" w:type="dxa"/>
            <w:vMerge/>
          </w:tcPr>
          <w:p w14:paraId="59DDF451" w14:textId="77777777" w:rsidR="009164B2" w:rsidRPr="009164B2" w:rsidRDefault="009164B2" w:rsidP="009164B2">
            <w:pPr>
              <w:rPr>
                <w:rFonts w:cs="Arial"/>
              </w:rPr>
            </w:pPr>
          </w:p>
        </w:tc>
        <w:tc>
          <w:tcPr>
            <w:tcW w:w="3167" w:type="dxa"/>
          </w:tcPr>
          <w:p w14:paraId="32F2B14D" w14:textId="69CC3E5B" w:rsidR="009164B2" w:rsidRPr="009164B2" w:rsidRDefault="009164B2" w:rsidP="009164B2">
            <w:pPr>
              <w:rPr>
                <w:rFonts w:cs="Arial"/>
              </w:rPr>
            </w:pPr>
            <w:r w:rsidRPr="009164B2">
              <w:rPr>
                <w:rFonts w:cs="Arial"/>
              </w:rPr>
              <w:t>Нечести</w:t>
            </w:r>
          </w:p>
        </w:tc>
        <w:tc>
          <w:tcPr>
            <w:tcW w:w="3167" w:type="dxa"/>
          </w:tcPr>
          <w:p w14:paraId="2388A3B4" w14:textId="0357DDD3" w:rsidR="009164B2" w:rsidRPr="009164B2" w:rsidRDefault="009164B2" w:rsidP="009164B2">
            <w:pPr>
              <w:rPr>
                <w:rFonts w:cs="Arial"/>
              </w:rPr>
            </w:pPr>
            <w:r w:rsidRPr="009164B2">
              <w:rPr>
                <w:rFonts w:cs="Arial"/>
              </w:rPr>
              <w:t>Вагинална монилиаза</w:t>
            </w:r>
            <w:r w:rsidRPr="009164B2">
              <w:rPr>
                <w:rFonts w:cs="Arial"/>
                <w:vertAlign w:val="superscript"/>
                <w:lang w:val="en-US"/>
              </w:rPr>
              <w:t>f</w:t>
            </w:r>
            <w:r w:rsidR="00522385">
              <w:rPr>
                <w:rFonts w:cs="Arial"/>
              </w:rPr>
              <w:t>, левкоре</w:t>
            </w:r>
            <w:r w:rsidRPr="009164B2">
              <w:rPr>
                <w:rFonts w:cs="Arial"/>
              </w:rPr>
              <w:t>я</w:t>
            </w:r>
            <w:r w:rsidRPr="009164B2">
              <w:rPr>
                <w:rFonts w:cs="Arial"/>
                <w:vertAlign w:val="superscript"/>
                <w:lang w:val="en-US"/>
              </w:rPr>
              <w:t>f</w:t>
            </w:r>
          </w:p>
        </w:tc>
      </w:tr>
      <w:tr w:rsidR="009164B2" w14:paraId="2438A8F1" w14:textId="77777777" w:rsidTr="00AE4DFB">
        <w:tc>
          <w:tcPr>
            <w:tcW w:w="3166" w:type="dxa"/>
            <w:vMerge w:val="restart"/>
          </w:tcPr>
          <w:p w14:paraId="3FBE8D52" w14:textId="022D37B3" w:rsidR="009164B2" w:rsidRPr="009164B2" w:rsidRDefault="009164B2" w:rsidP="009164B2">
            <w:pPr>
              <w:rPr>
                <w:rFonts w:cs="Arial"/>
              </w:rPr>
            </w:pPr>
            <w:r w:rsidRPr="009164B2">
              <w:rPr>
                <w:rFonts w:cs="Arial"/>
              </w:rPr>
              <w:t>Общи нарушения и ефекти на мястото на приложение</w:t>
            </w:r>
          </w:p>
        </w:tc>
        <w:tc>
          <w:tcPr>
            <w:tcW w:w="3167" w:type="dxa"/>
          </w:tcPr>
          <w:p w14:paraId="0C405C2F" w14:textId="2C123436" w:rsidR="009164B2" w:rsidRPr="009164B2" w:rsidRDefault="009164B2" w:rsidP="009164B2">
            <w:pPr>
              <w:rPr>
                <w:rFonts w:cs="Arial"/>
              </w:rPr>
            </w:pPr>
            <w:r w:rsidRPr="009164B2">
              <w:rPr>
                <w:rFonts w:cs="Arial"/>
              </w:rPr>
              <w:t>Много чести</w:t>
            </w:r>
          </w:p>
        </w:tc>
        <w:tc>
          <w:tcPr>
            <w:tcW w:w="3167" w:type="dxa"/>
          </w:tcPr>
          <w:p w14:paraId="1C1D1EF0" w14:textId="5169D0CF" w:rsidR="009164B2" w:rsidRPr="009164B2" w:rsidRDefault="009164B2" w:rsidP="009164B2">
            <w:pPr>
              <w:rPr>
                <w:rFonts w:cs="Arial"/>
              </w:rPr>
            </w:pPr>
            <w:r w:rsidRPr="009164B2">
              <w:rPr>
                <w:rFonts w:cs="Arial"/>
              </w:rPr>
              <w:t>Астения</w:t>
            </w:r>
            <w:r w:rsidRPr="009164B2">
              <w:rPr>
                <w:rFonts w:cs="Arial"/>
                <w:vertAlign w:val="superscript"/>
              </w:rPr>
              <w:t>а</w:t>
            </w:r>
            <w:r w:rsidRPr="009164B2">
              <w:rPr>
                <w:rFonts w:cs="Arial"/>
              </w:rPr>
              <w:t>, реакции на мястото на инжектиране</w:t>
            </w:r>
            <w:r w:rsidRPr="009164B2">
              <w:rPr>
                <w:rFonts w:cs="Arial"/>
                <w:vertAlign w:val="superscript"/>
                <w:lang w:val="en-US"/>
              </w:rPr>
              <w:t>b</w:t>
            </w:r>
          </w:p>
        </w:tc>
      </w:tr>
      <w:tr w:rsidR="009164B2" w14:paraId="3287630B" w14:textId="77777777" w:rsidTr="00AE4DFB">
        <w:tc>
          <w:tcPr>
            <w:tcW w:w="3166" w:type="dxa"/>
            <w:vMerge/>
          </w:tcPr>
          <w:p w14:paraId="2CB5F188" w14:textId="77777777" w:rsidR="009164B2" w:rsidRPr="009164B2" w:rsidRDefault="009164B2" w:rsidP="009164B2">
            <w:pPr>
              <w:rPr>
                <w:rFonts w:cs="Arial"/>
              </w:rPr>
            </w:pPr>
          </w:p>
        </w:tc>
        <w:tc>
          <w:tcPr>
            <w:tcW w:w="3167" w:type="dxa"/>
          </w:tcPr>
          <w:p w14:paraId="5AFFA8ED" w14:textId="637C8331" w:rsidR="009164B2" w:rsidRPr="009164B2" w:rsidRDefault="009164B2" w:rsidP="009164B2">
            <w:pPr>
              <w:rPr>
                <w:rFonts w:cs="Arial"/>
              </w:rPr>
            </w:pPr>
            <w:r w:rsidRPr="009164B2">
              <w:rPr>
                <w:rFonts w:cs="Arial"/>
              </w:rPr>
              <w:t>Чести</w:t>
            </w:r>
          </w:p>
        </w:tc>
        <w:tc>
          <w:tcPr>
            <w:tcW w:w="3167" w:type="dxa"/>
          </w:tcPr>
          <w:p w14:paraId="1D00609F" w14:textId="6C799132" w:rsidR="009164B2" w:rsidRPr="009164B2" w:rsidRDefault="009164B2" w:rsidP="00522385">
            <w:pPr>
              <w:rPr>
                <w:rFonts w:cs="Arial"/>
              </w:rPr>
            </w:pPr>
            <w:r w:rsidRPr="009164B2">
              <w:rPr>
                <w:rFonts w:cs="Arial"/>
              </w:rPr>
              <w:t>Периферна невропатия</w:t>
            </w:r>
            <w:r w:rsidRPr="009164B2">
              <w:rPr>
                <w:rFonts w:cs="Arial"/>
                <w:vertAlign w:val="superscript"/>
                <w:lang w:val="en-US"/>
              </w:rPr>
              <w:t>e</w:t>
            </w:r>
            <w:r w:rsidR="00522385">
              <w:rPr>
                <w:rFonts w:cs="Arial"/>
              </w:rPr>
              <w:t>, ишиас</w:t>
            </w:r>
            <w:r w:rsidR="00522385">
              <w:rPr>
                <w:rFonts w:cs="Arial"/>
                <w:vertAlign w:val="superscript"/>
                <w:lang w:val="en-US"/>
              </w:rPr>
              <w:t>е</w:t>
            </w:r>
          </w:p>
        </w:tc>
      </w:tr>
      <w:tr w:rsidR="009164B2" w14:paraId="265A05D6" w14:textId="77777777" w:rsidTr="00AE4DFB">
        <w:tc>
          <w:tcPr>
            <w:tcW w:w="3166" w:type="dxa"/>
            <w:vMerge/>
          </w:tcPr>
          <w:p w14:paraId="0EEF6814" w14:textId="77777777" w:rsidR="009164B2" w:rsidRPr="009164B2" w:rsidRDefault="009164B2" w:rsidP="009164B2">
            <w:pPr>
              <w:rPr>
                <w:rFonts w:cs="Arial"/>
              </w:rPr>
            </w:pPr>
          </w:p>
        </w:tc>
        <w:tc>
          <w:tcPr>
            <w:tcW w:w="3167" w:type="dxa"/>
          </w:tcPr>
          <w:p w14:paraId="11787AE5" w14:textId="3AF56250" w:rsidR="009164B2" w:rsidRPr="009164B2" w:rsidRDefault="009164B2" w:rsidP="009164B2">
            <w:pPr>
              <w:rPr>
                <w:rFonts w:cs="Arial"/>
              </w:rPr>
            </w:pPr>
            <w:r w:rsidRPr="009164B2">
              <w:rPr>
                <w:rFonts w:cs="Arial"/>
              </w:rPr>
              <w:t>Нечести</w:t>
            </w:r>
          </w:p>
        </w:tc>
        <w:tc>
          <w:tcPr>
            <w:tcW w:w="3167" w:type="dxa"/>
          </w:tcPr>
          <w:p w14:paraId="72C97D56" w14:textId="77777777" w:rsidR="009164B2" w:rsidRPr="009164B2" w:rsidRDefault="009164B2" w:rsidP="009164B2">
            <w:pPr>
              <w:rPr>
                <w:rFonts w:cs="Arial"/>
              </w:rPr>
            </w:pPr>
          </w:p>
          <w:p w14:paraId="560F5C70" w14:textId="36DA4A1F" w:rsidR="009164B2" w:rsidRPr="009164B2" w:rsidRDefault="009164B2" w:rsidP="009164B2">
            <w:pPr>
              <w:rPr>
                <w:rFonts w:cs="Arial"/>
              </w:rPr>
            </w:pPr>
            <w:r w:rsidRPr="009164B2">
              <w:rPr>
                <w:rFonts w:cs="Arial"/>
              </w:rPr>
              <w:t>Кръвоизлив на мястото на  инжектиране</w:t>
            </w:r>
            <w:r w:rsidRPr="009164B2">
              <w:rPr>
                <w:rFonts w:cs="Arial"/>
                <w:vertAlign w:val="superscript"/>
                <w:lang w:val="en-US"/>
              </w:rPr>
              <w:t>f</w:t>
            </w:r>
            <w:r w:rsidRPr="009164B2">
              <w:rPr>
                <w:rFonts w:cs="Arial"/>
              </w:rPr>
              <w:t>, хематом на мястото на инжектиране</w:t>
            </w:r>
            <w:r w:rsidRPr="009164B2">
              <w:rPr>
                <w:rFonts w:cs="Arial"/>
                <w:vertAlign w:val="superscript"/>
                <w:lang w:val="en-US"/>
              </w:rPr>
              <w:t>f</w:t>
            </w:r>
            <w:r w:rsidRPr="009164B2">
              <w:rPr>
                <w:rFonts w:cs="Arial"/>
              </w:rPr>
              <w:t>, невралгия</w:t>
            </w:r>
            <w:proofErr w:type="spellStart"/>
            <w:r w:rsidRPr="009164B2">
              <w:rPr>
                <w:rFonts w:cs="Arial"/>
                <w:vertAlign w:val="superscript"/>
                <w:lang w:val="en-US"/>
              </w:rPr>
              <w:t>e,f</w:t>
            </w:r>
            <w:proofErr w:type="spellEnd"/>
          </w:p>
        </w:tc>
      </w:tr>
    </w:tbl>
    <w:p w14:paraId="18DC12B3" w14:textId="329B2C91" w:rsidR="00AE4DFB" w:rsidRDefault="00AE4DFB" w:rsidP="0091385D"/>
    <w:p w14:paraId="5396F593" w14:textId="77777777" w:rsidR="009164B2" w:rsidRPr="00194D56" w:rsidRDefault="009164B2" w:rsidP="009164B2">
      <w:pPr>
        <w:spacing w:line="240" w:lineRule="auto"/>
        <w:rPr>
          <w:rFonts w:eastAsia="Times New Roman" w:cs="Arial"/>
          <w:sz w:val="20"/>
          <w:szCs w:val="20"/>
          <w:lang w:eastAsia="bg-BG"/>
        </w:rPr>
      </w:pPr>
      <w:proofErr w:type="gramStart"/>
      <w:r w:rsidRPr="00194D56">
        <w:rPr>
          <w:rFonts w:eastAsia="Times New Roman" w:cs="Arial"/>
          <w:color w:val="000000"/>
          <w:sz w:val="20"/>
          <w:szCs w:val="20"/>
          <w:vertAlign w:val="superscript"/>
          <w:lang w:val="en-US"/>
        </w:rPr>
        <w:t>a</w:t>
      </w:r>
      <w:proofErr w:type="gramEnd"/>
      <w:r w:rsidRPr="00194D56">
        <w:rPr>
          <w:rFonts w:eastAsia="Times New Roman" w:cs="Arial"/>
          <w:color w:val="000000"/>
          <w:sz w:val="20"/>
          <w:szCs w:val="20"/>
          <w:lang w:eastAsia="bg-BG"/>
        </w:rPr>
        <w:t xml:space="preserve"> Включва нежелани лекарствени реакции, за които поради наличие на подлежащо заболяване не може да се определи с точност степента, в която фулвестрант допринася за развитието им.</w:t>
      </w:r>
    </w:p>
    <w:p w14:paraId="2D73CF34" w14:textId="77777777" w:rsidR="009164B2" w:rsidRPr="00194D56" w:rsidRDefault="009164B2" w:rsidP="009164B2">
      <w:pPr>
        <w:spacing w:line="240" w:lineRule="auto"/>
        <w:rPr>
          <w:rFonts w:eastAsia="Times New Roman" w:cs="Arial"/>
          <w:color w:val="000000"/>
          <w:sz w:val="20"/>
          <w:szCs w:val="20"/>
          <w:vertAlign w:val="superscript"/>
          <w:lang w:val="en-US"/>
        </w:rPr>
      </w:pPr>
    </w:p>
    <w:p w14:paraId="6157D820" w14:textId="0879385C" w:rsidR="009164B2" w:rsidRPr="00194D56" w:rsidRDefault="009164B2" w:rsidP="009164B2">
      <w:pPr>
        <w:spacing w:line="240" w:lineRule="auto"/>
        <w:rPr>
          <w:rFonts w:eastAsia="Times New Roman" w:cs="Arial"/>
          <w:sz w:val="20"/>
          <w:szCs w:val="20"/>
          <w:lang w:eastAsia="bg-BG"/>
        </w:rPr>
      </w:pPr>
      <w:r w:rsidRPr="00194D56">
        <w:rPr>
          <w:rFonts w:eastAsia="Times New Roman" w:cs="Arial"/>
          <w:color w:val="000000"/>
          <w:sz w:val="20"/>
          <w:szCs w:val="20"/>
          <w:vertAlign w:val="superscript"/>
          <w:lang w:val="en-US"/>
        </w:rPr>
        <w:t>b</w:t>
      </w:r>
      <w:r w:rsidRPr="00194D56">
        <w:rPr>
          <w:rFonts w:eastAsia="Times New Roman" w:cs="Arial"/>
          <w:color w:val="000000"/>
          <w:sz w:val="20"/>
          <w:szCs w:val="20"/>
          <w:lang w:eastAsia="bg-BG"/>
        </w:rPr>
        <w:t xml:space="preserve"> Терминът “реакции на мястото на инжектиране” не включва термините “кръвоизлив на мястото на инжектиране”, “хематом на мястото на инжектиране”, ишиас, невралгия и периферна невропатия.</w:t>
      </w:r>
    </w:p>
    <w:p w14:paraId="22A713C5" w14:textId="77777777" w:rsidR="009164B2" w:rsidRPr="00194D56" w:rsidRDefault="009164B2" w:rsidP="009164B2">
      <w:pPr>
        <w:spacing w:line="240" w:lineRule="auto"/>
        <w:rPr>
          <w:rFonts w:eastAsia="Times New Roman" w:cs="Arial"/>
          <w:color w:val="000000"/>
          <w:sz w:val="20"/>
          <w:szCs w:val="20"/>
          <w:vertAlign w:val="superscript"/>
          <w:lang w:eastAsia="bg-BG"/>
        </w:rPr>
      </w:pPr>
    </w:p>
    <w:p w14:paraId="020B27A9" w14:textId="4EE0D70E" w:rsidR="009164B2" w:rsidRPr="00194D56" w:rsidRDefault="009164B2" w:rsidP="009164B2">
      <w:pPr>
        <w:spacing w:line="240" w:lineRule="auto"/>
        <w:rPr>
          <w:rFonts w:eastAsia="Times New Roman" w:cs="Arial"/>
          <w:sz w:val="20"/>
          <w:szCs w:val="20"/>
          <w:lang w:eastAsia="bg-BG"/>
        </w:rPr>
      </w:pPr>
      <w:r w:rsidRPr="00194D56">
        <w:rPr>
          <w:rFonts w:eastAsia="Times New Roman" w:cs="Arial"/>
          <w:color w:val="000000"/>
          <w:sz w:val="20"/>
          <w:szCs w:val="20"/>
          <w:vertAlign w:val="superscript"/>
          <w:lang w:eastAsia="bg-BG"/>
        </w:rPr>
        <w:t>с</w:t>
      </w:r>
      <w:r w:rsidRPr="00194D56">
        <w:rPr>
          <w:rFonts w:eastAsia="Times New Roman" w:cs="Arial"/>
          <w:color w:val="000000"/>
          <w:sz w:val="20"/>
          <w:szCs w:val="20"/>
          <w:lang w:eastAsia="bg-BG"/>
        </w:rPr>
        <w:t xml:space="preserve"> Реакцията не е наблюдавана при големите клинични изпитвания </w:t>
      </w:r>
      <w:r w:rsidRPr="00194D56">
        <w:rPr>
          <w:rFonts w:eastAsia="Times New Roman" w:cs="Arial"/>
          <w:color w:val="000000"/>
          <w:sz w:val="20"/>
          <w:szCs w:val="20"/>
          <w:lang w:val="en-US"/>
        </w:rPr>
        <w:t xml:space="preserve">(CONFIRM, FINDER </w:t>
      </w:r>
      <w:r w:rsidRPr="00194D56">
        <w:rPr>
          <w:rFonts w:eastAsia="Times New Roman" w:cs="Arial"/>
          <w:color w:val="000000"/>
          <w:sz w:val="20"/>
          <w:szCs w:val="20"/>
          <w:lang w:eastAsia="bg-BG"/>
        </w:rPr>
        <w:t xml:space="preserve">1, </w:t>
      </w:r>
      <w:r w:rsidRPr="00194D56">
        <w:rPr>
          <w:rFonts w:eastAsia="Times New Roman" w:cs="Arial"/>
          <w:color w:val="000000"/>
          <w:sz w:val="20"/>
          <w:szCs w:val="20"/>
          <w:lang w:val="en-US"/>
        </w:rPr>
        <w:t xml:space="preserve">FINDER </w:t>
      </w:r>
      <w:r w:rsidRPr="00194D56">
        <w:rPr>
          <w:rFonts w:eastAsia="Times New Roman" w:cs="Arial"/>
          <w:color w:val="000000"/>
          <w:sz w:val="20"/>
          <w:szCs w:val="20"/>
          <w:lang w:eastAsia="bg-BG"/>
        </w:rPr>
        <w:t xml:space="preserve">2, </w:t>
      </w:r>
      <w:r w:rsidRPr="00194D56">
        <w:rPr>
          <w:rFonts w:eastAsia="Times New Roman" w:cs="Arial"/>
          <w:color w:val="000000"/>
          <w:sz w:val="20"/>
          <w:szCs w:val="20"/>
          <w:lang w:val="en-US"/>
        </w:rPr>
        <w:t xml:space="preserve">NEWEST). </w:t>
      </w:r>
      <w:r w:rsidRPr="00194D56">
        <w:rPr>
          <w:rFonts w:eastAsia="Times New Roman" w:cs="Arial"/>
          <w:color w:val="000000"/>
          <w:sz w:val="20"/>
          <w:szCs w:val="20"/>
          <w:lang w:eastAsia="bg-BG"/>
        </w:rPr>
        <w:t>Честотата е изчислена посредством горната граница на 95% доверителен интервал за точкова оценка. Изчислен е като 3/560 (където 560 е броят пациенти в големите клинични изпитвания), което попада в категорията “нечести”.</w:t>
      </w:r>
    </w:p>
    <w:p w14:paraId="00FD1E51" w14:textId="1DE9191F" w:rsidR="009164B2" w:rsidRPr="00194D56" w:rsidRDefault="009164B2" w:rsidP="009164B2">
      <w:pPr>
        <w:spacing w:line="240" w:lineRule="auto"/>
        <w:rPr>
          <w:rFonts w:eastAsia="Times New Roman" w:cs="Arial"/>
          <w:sz w:val="20"/>
          <w:szCs w:val="20"/>
          <w:lang w:eastAsia="bg-BG"/>
        </w:rPr>
      </w:pPr>
      <w:proofErr w:type="gramStart"/>
      <w:r w:rsidRPr="00194D56">
        <w:rPr>
          <w:rFonts w:eastAsia="Times New Roman" w:cs="Arial"/>
          <w:color w:val="000000"/>
          <w:sz w:val="20"/>
          <w:szCs w:val="20"/>
          <w:vertAlign w:val="superscript"/>
          <w:lang w:val="en-US"/>
        </w:rPr>
        <w:t>d</w:t>
      </w:r>
      <w:proofErr w:type="gramEnd"/>
      <w:r w:rsidRPr="00194D56">
        <w:rPr>
          <w:rFonts w:eastAsia="Times New Roman" w:cs="Arial"/>
          <w:color w:val="000000"/>
          <w:sz w:val="20"/>
          <w:szCs w:val="20"/>
          <w:lang w:val="en-US"/>
        </w:rPr>
        <w:t xml:space="preserve"> </w:t>
      </w:r>
      <w:r w:rsidRPr="00194D56">
        <w:rPr>
          <w:rFonts w:eastAsia="Times New Roman" w:cs="Arial"/>
          <w:color w:val="000000"/>
          <w:sz w:val="20"/>
          <w:szCs w:val="20"/>
          <w:lang w:eastAsia="bg-BG"/>
        </w:rPr>
        <w:t>Включва: артралгия и по-рядко болка в мускулно-скелетната система, миалгия и болки в крайниците.</w:t>
      </w:r>
    </w:p>
    <w:p w14:paraId="5AFD55F9" w14:textId="77777777" w:rsidR="00194D56" w:rsidRDefault="009164B2" w:rsidP="009164B2">
      <w:pPr>
        <w:spacing w:line="240" w:lineRule="auto"/>
        <w:rPr>
          <w:rFonts w:eastAsia="Times New Roman" w:cs="Arial"/>
          <w:color w:val="000000"/>
          <w:sz w:val="20"/>
          <w:szCs w:val="20"/>
          <w:lang w:val="en-US"/>
        </w:rPr>
      </w:pPr>
      <w:proofErr w:type="gramStart"/>
      <w:r w:rsidRPr="00194D56">
        <w:rPr>
          <w:rFonts w:eastAsia="Times New Roman" w:cs="Arial"/>
          <w:color w:val="000000"/>
          <w:sz w:val="20"/>
          <w:szCs w:val="20"/>
          <w:vertAlign w:val="superscript"/>
          <w:lang w:val="en-US"/>
        </w:rPr>
        <w:t>e</w:t>
      </w:r>
      <w:proofErr w:type="gramEnd"/>
      <w:r w:rsidRPr="00194D56">
        <w:rPr>
          <w:rFonts w:eastAsia="Times New Roman" w:cs="Arial"/>
          <w:color w:val="000000"/>
          <w:sz w:val="20"/>
          <w:szCs w:val="20"/>
          <w:lang w:eastAsia="bg-BG"/>
        </w:rPr>
        <w:t xml:space="preserve"> Категорията за честота е различна при сборните данни за безопасност и при </w:t>
      </w:r>
      <w:r w:rsidRPr="00194D56">
        <w:rPr>
          <w:rFonts w:eastAsia="Times New Roman" w:cs="Arial"/>
          <w:color w:val="000000"/>
          <w:sz w:val="20"/>
          <w:szCs w:val="20"/>
          <w:lang w:val="en-US"/>
        </w:rPr>
        <w:t xml:space="preserve">FALCON. </w:t>
      </w:r>
    </w:p>
    <w:p w14:paraId="0980CB72" w14:textId="03F7F84D" w:rsidR="009164B2" w:rsidRPr="00194D56" w:rsidRDefault="009164B2" w:rsidP="009164B2">
      <w:pPr>
        <w:spacing w:line="240" w:lineRule="auto"/>
        <w:rPr>
          <w:rFonts w:eastAsia="Times New Roman" w:cs="Arial"/>
          <w:sz w:val="20"/>
          <w:szCs w:val="20"/>
          <w:lang w:eastAsia="bg-BG"/>
        </w:rPr>
      </w:pPr>
      <w:proofErr w:type="gramStart"/>
      <w:r w:rsidRPr="00194D56">
        <w:rPr>
          <w:rFonts w:eastAsia="Times New Roman" w:cs="Arial"/>
          <w:color w:val="000000"/>
          <w:sz w:val="20"/>
          <w:szCs w:val="20"/>
          <w:vertAlign w:val="superscript"/>
          <w:lang w:val="en-US"/>
        </w:rPr>
        <w:t>f</w:t>
      </w:r>
      <w:proofErr w:type="gramEnd"/>
      <w:r w:rsidRPr="00194D56">
        <w:rPr>
          <w:rFonts w:eastAsia="Times New Roman" w:cs="Arial"/>
          <w:color w:val="000000"/>
          <w:sz w:val="20"/>
          <w:szCs w:val="20"/>
          <w:lang w:val="en-US"/>
        </w:rPr>
        <w:t xml:space="preserve"> </w:t>
      </w:r>
      <w:r w:rsidRPr="00194D56">
        <w:rPr>
          <w:rFonts w:eastAsia="Times New Roman" w:cs="Arial"/>
          <w:color w:val="000000"/>
          <w:sz w:val="20"/>
          <w:szCs w:val="20"/>
          <w:lang w:eastAsia="bg-BG"/>
        </w:rPr>
        <w:t xml:space="preserve">НЛР не е наблюдавана във </w:t>
      </w:r>
      <w:r w:rsidRPr="00194D56">
        <w:rPr>
          <w:rFonts w:eastAsia="Times New Roman" w:cs="Arial"/>
          <w:color w:val="000000"/>
          <w:sz w:val="20"/>
          <w:szCs w:val="20"/>
          <w:lang w:val="en-US"/>
        </w:rPr>
        <w:t>FALCON.</w:t>
      </w:r>
    </w:p>
    <w:p w14:paraId="13FD57DE" w14:textId="77777777" w:rsidR="009164B2" w:rsidRPr="009164B2" w:rsidRDefault="009164B2" w:rsidP="009164B2">
      <w:pPr>
        <w:spacing w:line="240" w:lineRule="auto"/>
        <w:rPr>
          <w:rFonts w:eastAsia="Times New Roman" w:cs="Arial"/>
          <w:color w:val="000000"/>
          <w:u w:val="single"/>
          <w:lang w:eastAsia="bg-BG"/>
        </w:rPr>
      </w:pPr>
    </w:p>
    <w:p w14:paraId="41C591E1" w14:textId="528C7067" w:rsidR="009164B2" w:rsidRPr="00194D56" w:rsidRDefault="009164B2" w:rsidP="009164B2">
      <w:pPr>
        <w:spacing w:line="240" w:lineRule="auto"/>
        <w:rPr>
          <w:rFonts w:eastAsia="Times New Roman" w:cs="Arial"/>
          <w:sz w:val="24"/>
          <w:szCs w:val="24"/>
          <w:lang w:eastAsia="bg-BG"/>
        </w:rPr>
      </w:pPr>
      <w:r w:rsidRPr="009164B2">
        <w:rPr>
          <w:rFonts w:eastAsia="Times New Roman" w:cs="Arial"/>
          <w:color w:val="000000"/>
          <w:u w:val="single"/>
          <w:lang w:eastAsia="bg-BG"/>
        </w:rPr>
        <w:lastRenderedPageBreak/>
        <w:t>Описание на избрани нежелани реакции</w:t>
      </w:r>
    </w:p>
    <w:p w14:paraId="5F86E6D7" w14:textId="127586EB" w:rsidR="009164B2" w:rsidRPr="009164B2" w:rsidRDefault="009164B2" w:rsidP="009164B2">
      <w:pPr>
        <w:spacing w:line="240" w:lineRule="auto"/>
        <w:rPr>
          <w:rFonts w:eastAsia="Times New Roman" w:cs="Arial"/>
          <w:sz w:val="24"/>
          <w:szCs w:val="24"/>
          <w:lang w:eastAsia="bg-BG"/>
        </w:rPr>
      </w:pPr>
      <w:r w:rsidRPr="009164B2">
        <w:rPr>
          <w:rFonts w:eastAsia="Times New Roman" w:cs="Arial"/>
          <w:color w:val="000000"/>
          <w:lang w:eastAsia="bg-BG"/>
        </w:rPr>
        <w:t xml:space="preserve">Включените по-долу описания се основават на анализа на данните за безопасност, съответно при 228 пациентки, които са получили най-малко една (1) доза фулвестрант, и при 232 пациентки, които са получили най-малко една (1) доза анастрозол, във фаза 3 на проучването </w:t>
      </w:r>
      <w:r w:rsidRPr="009164B2">
        <w:rPr>
          <w:rFonts w:eastAsia="Times New Roman" w:cs="Arial"/>
          <w:color w:val="000000"/>
          <w:lang w:val="en-US"/>
        </w:rPr>
        <w:t>FALCON.</w:t>
      </w:r>
    </w:p>
    <w:p w14:paraId="72629CAA" w14:textId="77777777" w:rsidR="009164B2" w:rsidRPr="009164B2" w:rsidRDefault="009164B2" w:rsidP="009164B2">
      <w:pPr>
        <w:spacing w:line="240" w:lineRule="auto"/>
        <w:rPr>
          <w:rFonts w:eastAsia="Times New Roman" w:cs="Arial"/>
          <w:i/>
          <w:iCs/>
          <w:color w:val="000000"/>
          <w:lang w:eastAsia="bg-BG"/>
        </w:rPr>
      </w:pPr>
    </w:p>
    <w:p w14:paraId="5552B320" w14:textId="7920978B" w:rsidR="009164B2" w:rsidRPr="009164B2" w:rsidRDefault="009164B2" w:rsidP="009164B2">
      <w:pPr>
        <w:spacing w:line="240" w:lineRule="auto"/>
        <w:rPr>
          <w:rFonts w:eastAsia="Times New Roman" w:cs="Arial"/>
          <w:sz w:val="24"/>
          <w:szCs w:val="24"/>
          <w:lang w:eastAsia="bg-BG"/>
        </w:rPr>
      </w:pPr>
      <w:r w:rsidRPr="009164B2">
        <w:rPr>
          <w:rFonts w:eastAsia="Times New Roman" w:cs="Arial"/>
          <w:i/>
          <w:iCs/>
          <w:color w:val="000000"/>
          <w:lang w:eastAsia="bg-BG"/>
        </w:rPr>
        <w:t>Болки в ставите и мускулно-скелетната система</w:t>
      </w:r>
    </w:p>
    <w:p w14:paraId="60AEB77A" w14:textId="29E64FBF" w:rsidR="009164B2" w:rsidRPr="009164B2" w:rsidRDefault="009164B2" w:rsidP="009164B2">
      <w:pPr>
        <w:spacing w:line="240" w:lineRule="auto"/>
        <w:rPr>
          <w:rFonts w:eastAsia="Times New Roman" w:cs="Arial"/>
          <w:sz w:val="24"/>
          <w:szCs w:val="24"/>
          <w:lang w:eastAsia="bg-BG"/>
        </w:rPr>
      </w:pPr>
      <w:r w:rsidRPr="009164B2">
        <w:rPr>
          <w:rFonts w:eastAsia="Times New Roman" w:cs="Arial"/>
          <w:color w:val="000000"/>
          <w:lang w:eastAsia="bg-BG"/>
        </w:rPr>
        <w:t xml:space="preserve">В проучването </w:t>
      </w:r>
      <w:r w:rsidRPr="009164B2">
        <w:rPr>
          <w:rFonts w:eastAsia="Times New Roman" w:cs="Arial"/>
          <w:color w:val="000000"/>
          <w:lang w:val="en-US"/>
        </w:rPr>
        <w:t xml:space="preserve">FALCON, </w:t>
      </w:r>
      <w:r w:rsidRPr="009164B2">
        <w:rPr>
          <w:rFonts w:eastAsia="Times New Roman" w:cs="Arial"/>
          <w:color w:val="000000"/>
          <w:lang w:eastAsia="bg-BG"/>
        </w:rPr>
        <w:t xml:space="preserve">броят на пациентките, които са съобщили като нежелана реакция болки в ставите и мускулно-скелетна система е съответно 65 (31,2 %) и 48 (24,1 %) в рамото на фулвестрант и анастрозол. От 65-те пациентки в рамото на фулвестрант, 40 % (26/65) са съобщили за болки в ставите и мускулно-скелетната система през първия месец на лечението и 66,2 % (43/65) - през първите 3 месеца на лечението. Пациентките не съобщават за нежелани събития от степен ≥ 3 по СТСАЕ или такива, които да налагат </w:t>
      </w:r>
      <w:r w:rsidR="005C3D20">
        <w:rPr>
          <w:rFonts w:eastAsia="Times New Roman" w:cs="Arial"/>
          <w:color w:val="000000"/>
          <w:lang w:eastAsia="bg-BG"/>
        </w:rPr>
        <w:t>понижа</w:t>
      </w:r>
      <w:r w:rsidRPr="009164B2">
        <w:rPr>
          <w:rFonts w:eastAsia="Times New Roman" w:cs="Arial"/>
          <w:color w:val="000000"/>
          <w:lang w:eastAsia="bg-BG"/>
        </w:rPr>
        <w:t>ване на дозата, прекъсване на приема или прекратяване на лечението</w:t>
      </w:r>
      <w:r w:rsidR="005C3D20">
        <w:rPr>
          <w:rFonts w:eastAsia="Times New Roman" w:cs="Arial"/>
          <w:color w:val="000000"/>
          <w:lang w:eastAsia="bg-BG"/>
        </w:rPr>
        <w:t>, вследствие на тези нежелани реакции.</w:t>
      </w:r>
    </w:p>
    <w:p w14:paraId="2CBA7723" w14:textId="77777777" w:rsidR="009164B2" w:rsidRPr="009164B2" w:rsidRDefault="009164B2" w:rsidP="009164B2">
      <w:pPr>
        <w:spacing w:line="240" w:lineRule="auto"/>
        <w:rPr>
          <w:rFonts w:eastAsia="Times New Roman" w:cs="Arial"/>
          <w:i/>
          <w:iCs/>
          <w:color w:val="000000"/>
          <w:lang w:eastAsia="bg-BG"/>
        </w:rPr>
      </w:pPr>
    </w:p>
    <w:p w14:paraId="29C1AFE5" w14:textId="3F3E8286" w:rsidR="009164B2" w:rsidRPr="009164B2" w:rsidRDefault="009164B2" w:rsidP="009164B2">
      <w:pPr>
        <w:spacing w:line="240" w:lineRule="auto"/>
        <w:rPr>
          <w:rFonts w:eastAsia="Times New Roman" w:cs="Arial"/>
          <w:sz w:val="24"/>
          <w:szCs w:val="24"/>
          <w:lang w:eastAsia="bg-BG"/>
        </w:rPr>
      </w:pPr>
      <w:r w:rsidRPr="009164B2">
        <w:rPr>
          <w:rFonts w:eastAsia="Times New Roman" w:cs="Arial"/>
          <w:i/>
          <w:iCs/>
          <w:color w:val="000000"/>
          <w:lang w:eastAsia="bg-BG"/>
        </w:rPr>
        <w:t>Комбиниран</w:t>
      </w:r>
      <w:r w:rsidR="005C3D20">
        <w:rPr>
          <w:rFonts w:eastAsia="Times New Roman" w:cs="Arial"/>
          <w:i/>
          <w:iCs/>
          <w:color w:val="000000"/>
          <w:lang w:eastAsia="bg-BG"/>
        </w:rPr>
        <w:t xml:space="preserve">а терапия </w:t>
      </w:r>
      <w:r w:rsidRPr="009164B2">
        <w:rPr>
          <w:rFonts w:eastAsia="Times New Roman" w:cs="Arial"/>
          <w:i/>
          <w:iCs/>
          <w:color w:val="000000"/>
          <w:lang w:eastAsia="bg-BG"/>
        </w:rPr>
        <w:t>с палбоциклиб</w:t>
      </w:r>
    </w:p>
    <w:p w14:paraId="06859F3D" w14:textId="49250E4A" w:rsidR="009164B2" w:rsidRPr="009164B2" w:rsidRDefault="009164B2" w:rsidP="009164B2">
      <w:pPr>
        <w:spacing w:line="240" w:lineRule="auto"/>
        <w:rPr>
          <w:rFonts w:eastAsia="Times New Roman" w:cs="Arial"/>
          <w:sz w:val="24"/>
          <w:szCs w:val="24"/>
          <w:lang w:eastAsia="bg-BG"/>
        </w:rPr>
      </w:pPr>
      <w:r w:rsidRPr="009164B2">
        <w:rPr>
          <w:rFonts w:eastAsia="Times New Roman" w:cs="Arial"/>
          <w:color w:val="000000"/>
          <w:lang w:eastAsia="bg-BG"/>
        </w:rPr>
        <w:t xml:space="preserve">Обобщеният профил на безопасност на фулвестрант, когато се използва в комбинация с палбоциклиб, </w:t>
      </w:r>
      <w:r w:rsidR="00194D56">
        <w:rPr>
          <w:rFonts w:eastAsia="Times New Roman" w:cs="Arial"/>
          <w:color w:val="000000"/>
          <w:lang w:eastAsia="bg-BG"/>
        </w:rPr>
        <w:t xml:space="preserve">е въз </w:t>
      </w:r>
      <w:r w:rsidRPr="009164B2">
        <w:rPr>
          <w:rFonts w:eastAsia="Times New Roman" w:cs="Arial"/>
          <w:color w:val="000000"/>
          <w:lang w:eastAsia="bg-BG"/>
        </w:rPr>
        <w:t>осн</w:t>
      </w:r>
      <w:r w:rsidR="00194D56">
        <w:rPr>
          <w:rFonts w:eastAsia="Times New Roman" w:cs="Arial"/>
          <w:color w:val="000000"/>
          <w:lang w:eastAsia="bg-BG"/>
        </w:rPr>
        <w:t>ова на данните от 517 пациент</w:t>
      </w:r>
      <w:r w:rsidRPr="009164B2">
        <w:rPr>
          <w:rFonts w:eastAsia="Times New Roman" w:cs="Arial"/>
          <w:color w:val="000000"/>
          <w:lang w:eastAsia="bg-BG"/>
        </w:rPr>
        <w:t xml:space="preserve">и с </w:t>
      </w:r>
      <w:r w:rsidRPr="009164B2">
        <w:rPr>
          <w:rFonts w:eastAsia="Times New Roman" w:cs="Arial"/>
          <w:color w:val="000000"/>
          <w:lang w:val="en-US"/>
        </w:rPr>
        <w:t>HR</w:t>
      </w:r>
      <w:r w:rsidRPr="009164B2">
        <w:rPr>
          <w:rFonts w:eastAsia="Times New Roman" w:cs="Arial"/>
          <w:color w:val="000000"/>
          <w:lang w:eastAsia="bg-BG"/>
        </w:rPr>
        <w:t xml:space="preserve">-положителен, НЕР2-отрицателен авансирал или метастатичен рак на </w:t>
      </w:r>
      <w:r w:rsidR="00194D56">
        <w:rPr>
          <w:rFonts w:eastAsia="Times New Roman" w:cs="Arial"/>
          <w:color w:val="000000"/>
          <w:lang w:eastAsia="bg-BG"/>
        </w:rPr>
        <w:t>млечната жлеза в рандомизирано проучване</w:t>
      </w:r>
      <w:r w:rsidRPr="009164B2">
        <w:rPr>
          <w:rFonts w:eastAsia="Times New Roman" w:cs="Arial"/>
          <w:color w:val="000000"/>
          <w:lang w:eastAsia="bg-BG"/>
        </w:rPr>
        <w:t xml:space="preserve"> Р</w:t>
      </w:r>
      <w:r w:rsidRPr="009164B2">
        <w:rPr>
          <w:rFonts w:eastAsia="Times New Roman" w:cs="Arial"/>
          <w:color w:val="000000"/>
          <w:lang w:val="en-US"/>
        </w:rPr>
        <w:t>ALOM</w:t>
      </w:r>
      <w:r w:rsidR="00194D56">
        <w:rPr>
          <w:rFonts w:eastAsia="Times New Roman" w:cs="Arial"/>
          <w:color w:val="000000"/>
          <w:lang w:eastAsia="bg-BG"/>
        </w:rPr>
        <w:t xml:space="preserve">А3 (вж. точка 5.1). Най-честите (≥20%) </w:t>
      </w:r>
      <w:r w:rsidRPr="009164B2">
        <w:rPr>
          <w:rFonts w:eastAsia="Times New Roman" w:cs="Arial"/>
          <w:color w:val="000000"/>
          <w:lang w:eastAsia="bg-BG"/>
        </w:rPr>
        <w:t xml:space="preserve">нежелани реакции от </w:t>
      </w:r>
      <w:r w:rsidR="00194D56">
        <w:rPr>
          <w:rFonts w:eastAsia="Times New Roman" w:cs="Arial"/>
          <w:color w:val="000000"/>
          <w:lang w:eastAsia="bg-BG"/>
        </w:rPr>
        <w:t>каквато и да е степен</w:t>
      </w:r>
      <w:r w:rsidRPr="009164B2">
        <w:rPr>
          <w:rFonts w:eastAsia="Times New Roman" w:cs="Arial"/>
          <w:color w:val="000000"/>
          <w:lang w:eastAsia="bg-BG"/>
        </w:rPr>
        <w:t xml:space="preserve">, </w:t>
      </w:r>
      <w:r w:rsidR="00194D56">
        <w:rPr>
          <w:rFonts w:eastAsia="Times New Roman" w:cs="Arial"/>
          <w:color w:val="000000"/>
          <w:lang w:eastAsia="bg-BG"/>
        </w:rPr>
        <w:t>съобщение при пациенти, които получават</w:t>
      </w:r>
      <w:r w:rsidRPr="009164B2">
        <w:rPr>
          <w:rFonts w:eastAsia="Times New Roman" w:cs="Arial"/>
          <w:color w:val="000000"/>
          <w:lang w:eastAsia="bg-BG"/>
        </w:rPr>
        <w:t xml:space="preserve"> фулвестрант в ко</w:t>
      </w:r>
      <w:r w:rsidR="00194D56">
        <w:rPr>
          <w:rFonts w:eastAsia="Times New Roman" w:cs="Arial"/>
          <w:color w:val="000000"/>
          <w:lang w:eastAsia="bg-BG"/>
        </w:rPr>
        <w:t xml:space="preserve">мбинация с палбоциклиб, са </w:t>
      </w:r>
      <w:r w:rsidRPr="009164B2">
        <w:rPr>
          <w:rFonts w:eastAsia="Times New Roman" w:cs="Arial"/>
          <w:color w:val="000000"/>
          <w:lang w:eastAsia="bg-BG"/>
        </w:rPr>
        <w:t>неутропения, левкопения, инфекции, умора, гадене, анемия, стоматит, диария, тромбоцитопения и повръщане. Най- честите (≥2%) нежелани реа</w:t>
      </w:r>
      <w:r w:rsidR="00194D56">
        <w:rPr>
          <w:rFonts w:eastAsia="Times New Roman" w:cs="Arial"/>
          <w:color w:val="000000"/>
          <w:lang w:eastAsia="bg-BG"/>
        </w:rPr>
        <w:t xml:space="preserve">кции степен ≥ 3 по СТСАЕ са </w:t>
      </w:r>
      <w:r w:rsidRPr="009164B2">
        <w:rPr>
          <w:rFonts w:eastAsia="Times New Roman" w:cs="Arial"/>
          <w:color w:val="000000"/>
          <w:lang w:eastAsia="bg-BG"/>
        </w:rPr>
        <w:t>неутропения, левкопения, инфекции, анемия, повиш</w:t>
      </w:r>
      <w:r w:rsidR="005C3D20">
        <w:rPr>
          <w:rFonts w:eastAsia="Times New Roman" w:cs="Arial"/>
          <w:color w:val="000000"/>
          <w:lang w:eastAsia="bg-BG"/>
        </w:rPr>
        <w:t>ени стойности на аспартат аминотрансфераза</w:t>
      </w:r>
      <w:r w:rsidRPr="009164B2">
        <w:rPr>
          <w:rFonts w:eastAsia="Times New Roman" w:cs="Arial"/>
          <w:color w:val="000000"/>
          <w:lang w:eastAsia="bg-BG"/>
        </w:rPr>
        <w:t xml:space="preserve"> </w:t>
      </w:r>
      <w:r w:rsidR="005C3D20">
        <w:rPr>
          <w:rFonts w:eastAsia="Times New Roman" w:cs="Arial"/>
          <w:color w:val="000000"/>
          <w:lang w:val="en-US" w:eastAsia="bg-BG"/>
        </w:rPr>
        <w:t>(ASAT)</w:t>
      </w:r>
      <w:r w:rsidRPr="009164B2">
        <w:rPr>
          <w:rFonts w:eastAsia="Times New Roman" w:cs="Arial"/>
          <w:color w:val="000000"/>
          <w:lang w:eastAsia="bg-BG"/>
        </w:rPr>
        <w:t>, тромбоцитопения и умора.</w:t>
      </w:r>
    </w:p>
    <w:p w14:paraId="7FCBFDD6" w14:textId="77777777" w:rsidR="005C3D20" w:rsidRDefault="005C3D20" w:rsidP="009164B2">
      <w:pPr>
        <w:spacing w:line="240" w:lineRule="auto"/>
        <w:rPr>
          <w:rFonts w:eastAsia="Times New Roman" w:cs="Arial"/>
          <w:color w:val="000000"/>
          <w:lang w:eastAsia="bg-BG"/>
        </w:rPr>
      </w:pPr>
    </w:p>
    <w:p w14:paraId="4F3A9FBB" w14:textId="7A118747" w:rsidR="009164B2" w:rsidRPr="009164B2" w:rsidRDefault="005C3D20" w:rsidP="009164B2">
      <w:pPr>
        <w:spacing w:line="240" w:lineRule="auto"/>
        <w:rPr>
          <w:rFonts w:eastAsia="Times New Roman" w:cs="Arial"/>
          <w:sz w:val="24"/>
          <w:szCs w:val="24"/>
          <w:lang w:eastAsia="bg-BG"/>
        </w:rPr>
      </w:pPr>
      <w:r>
        <w:rPr>
          <w:rFonts w:eastAsia="Times New Roman" w:cs="Arial"/>
          <w:color w:val="000000"/>
          <w:lang w:eastAsia="bg-BG"/>
        </w:rPr>
        <w:t>В</w:t>
      </w:r>
      <w:r w:rsidR="009164B2" w:rsidRPr="009164B2">
        <w:rPr>
          <w:rFonts w:eastAsia="Times New Roman" w:cs="Arial"/>
          <w:color w:val="000000"/>
          <w:lang w:eastAsia="bg-BG"/>
        </w:rPr>
        <w:t xml:space="preserve"> Таблица 2 са</w:t>
      </w:r>
      <w:r>
        <w:rPr>
          <w:rFonts w:eastAsia="Times New Roman" w:cs="Arial"/>
          <w:color w:val="000000"/>
          <w:lang w:eastAsia="bg-BG"/>
        </w:rPr>
        <w:t xml:space="preserve"> представени нежеланите реакции</w:t>
      </w:r>
      <w:r w:rsidR="009164B2" w:rsidRPr="009164B2">
        <w:rPr>
          <w:rFonts w:eastAsia="Times New Roman" w:cs="Arial"/>
          <w:color w:val="000000"/>
          <w:lang w:eastAsia="bg-BG"/>
        </w:rPr>
        <w:t xml:space="preserve"> от </w:t>
      </w:r>
      <w:r w:rsidR="009164B2" w:rsidRPr="009164B2">
        <w:rPr>
          <w:rFonts w:eastAsia="Times New Roman" w:cs="Arial"/>
          <w:color w:val="000000"/>
          <w:lang w:val="en-US"/>
        </w:rPr>
        <w:t>PALOMA3.</w:t>
      </w:r>
    </w:p>
    <w:p w14:paraId="170EA818" w14:textId="4FA2C8B5" w:rsidR="009164B2" w:rsidRPr="009164B2" w:rsidRDefault="005C3D20" w:rsidP="009164B2">
      <w:pPr>
        <w:spacing w:line="240" w:lineRule="auto"/>
        <w:rPr>
          <w:rFonts w:eastAsia="Times New Roman" w:cs="Arial"/>
          <w:sz w:val="24"/>
          <w:szCs w:val="24"/>
          <w:lang w:eastAsia="bg-BG"/>
        </w:rPr>
      </w:pPr>
      <w:r>
        <w:rPr>
          <w:rFonts w:eastAsia="Times New Roman" w:cs="Arial"/>
          <w:color w:val="000000"/>
          <w:lang w:eastAsia="bg-BG"/>
        </w:rPr>
        <w:t>Медианата на</w:t>
      </w:r>
      <w:r w:rsidR="009164B2" w:rsidRPr="009164B2">
        <w:rPr>
          <w:rFonts w:eastAsia="Times New Roman" w:cs="Arial"/>
          <w:color w:val="000000"/>
          <w:lang w:eastAsia="bg-BG"/>
        </w:rPr>
        <w:t xml:space="preserve"> продължителност на експозиция</w:t>
      </w:r>
      <w:r>
        <w:rPr>
          <w:rFonts w:eastAsia="Times New Roman" w:cs="Arial"/>
          <w:color w:val="000000"/>
          <w:lang w:eastAsia="bg-BG"/>
        </w:rPr>
        <w:t>та</w:t>
      </w:r>
      <w:r w:rsidR="009164B2" w:rsidRPr="009164B2">
        <w:rPr>
          <w:rFonts w:eastAsia="Times New Roman" w:cs="Arial"/>
          <w:color w:val="000000"/>
          <w:lang w:eastAsia="bg-BG"/>
        </w:rPr>
        <w:t xml:space="preserve"> на фулвестр</w:t>
      </w:r>
      <w:r>
        <w:rPr>
          <w:rFonts w:eastAsia="Times New Roman" w:cs="Arial"/>
          <w:color w:val="000000"/>
          <w:lang w:eastAsia="bg-BG"/>
        </w:rPr>
        <w:t>ант е била 11,2 месеца в рамото на фулвестрант плюс</w:t>
      </w:r>
      <w:r w:rsidR="009164B2" w:rsidRPr="009164B2">
        <w:rPr>
          <w:rFonts w:eastAsia="Times New Roman" w:cs="Arial"/>
          <w:color w:val="000000"/>
          <w:lang w:eastAsia="bg-BG"/>
        </w:rPr>
        <w:t xml:space="preserve"> па</w:t>
      </w:r>
      <w:r>
        <w:rPr>
          <w:rFonts w:eastAsia="Times New Roman" w:cs="Arial"/>
          <w:color w:val="000000"/>
          <w:lang w:eastAsia="bg-BG"/>
        </w:rPr>
        <w:t>лбоциклиб и 4,8 месеца в рамото на фулвестрант плюс</w:t>
      </w:r>
      <w:r w:rsidR="009164B2" w:rsidRPr="009164B2">
        <w:rPr>
          <w:rFonts w:eastAsia="Times New Roman" w:cs="Arial"/>
          <w:color w:val="000000"/>
          <w:lang w:eastAsia="bg-BG"/>
        </w:rPr>
        <w:t xml:space="preserve"> плацебо. </w:t>
      </w:r>
      <w:r>
        <w:rPr>
          <w:rFonts w:eastAsia="Times New Roman" w:cs="Arial"/>
          <w:color w:val="000000"/>
          <w:lang w:eastAsia="bg-BG"/>
        </w:rPr>
        <w:t>Медианата на</w:t>
      </w:r>
      <w:r w:rsidR="009164B2" w:rsidRPr="009164B2">
        <w:rPr>
          <w:rFonts w:eastAsia="Times New Roman" w:cs="Arial"/>
          <w:color w:val="000000"/>
          <w:lang w:eastAsia="bg-BG"/>
        </w:rPr>
        <w:t xml:space="preserve"> продължителност на експозиция</w:t>
      </w:r>
      <w:r>
        <w:rPr>
          <w:rFonts w:eastAsia="Times New Roman" w:cs="Arial"/>
          <w:color w:val="000000"/>
          <w:lang w:eastAsia="bg-BG"/>
        </w:rPr>
        <w:t xml:space="preserve">та на палбоциклиб в рамото на фулвестрант плюс палбоциклиб е </w:t>
      </w:r>
      <w:r w:rsidR="009164B2" w:rsidRPr="009164B2">
        <w:rPr>
          <w:rFonts w:eastAsia="Times New Roman" w:cs="Arial"/>
          <w:color w:val="000000"/>
          <w:lang w:eastAsia="bg-BG"/>
        </w:rPr>
        <w:t>10,8 месеца.</w:t>
      </w:r>
    </w:p>
    <w:p w14:paraId="13244C6D" w14:textId="77777777" w:rsidR="009164B2" w:rsidRPr="009164B2" w:rsidRDefault="009164B2" w:rsidP="009164B2">
      <w:pPr>
        <w:rPr>
          <w:rFonts w:eastAsia="Times New Roman" w:cs="Arial"/>
          <w:b/>
          <w:bCs/>
          <w:color w:val="000000"/>
          <w:lang w:eastAsia="bg-BG"/>
        </w:rPr>
      </w:pPr>
    </w:p>
    <w:p w14:paraId="060973AC" w14:textId="537A3A88" w:rsidR="009164B2" w:rsidRPr="009164B2" w:rsidRDefault="009164B2" w:rsidP="009164B2">
      <w:pPr>
        <w:rPr>
          <w:rFonts w:cs="Arial"/>
        </w:rPr>
      </w:pPr>
      <w:r w:rsidRPr="009164B2">
        <w:rPr>
          <w:rFonts w:eastAsia="Times New Roman" w:cs="Arial"/>
          <w:b/>
          <w:bCs/>
          <w:color w:val="000000"/>
          <w:lang w:eastAsia="bg-BG"/>
        </w:rPr>
        <w:t xml:space="preserve">Таблица 2 Нежелани реакции според данни от изпитването </w:t>
      </w:r>
      <w:r w:rsidRPr="009164B2">
        <w:rPr>
          <w:rFonts w:eastAsia="Times New Roman" w:cs="Arial"/>
          <w:b/>
          <w:bCs/>
          <w:color w:val="000000"/>
          <w:lang w:val="en-US"/>
        </w:rPr>
        <w:t>PALOMA3 (N=517)</w:t>
      </w:r>
    </w:p>
    <w:p w14:paraId="45DAEF59" w14:textId="7EABB023" w:rsidR="00AE4DFB" w:rsidRDefault="00AE4DFB" w:rsidP="0091385D"/>
    <w:tbl>
      <w:tblPr>
        <w:tblStyle w:val="TableGrid"/>
        <w:tblW w:w="0" w:type="auto"/>
        <w:tblLook w:val="04A0" w:firstRow="1" w:lastRow="0" w:firstColumn="1" w:lastColumn="0" w:noHBand="0" w:noVBand="1"/>
      </w:tblPr>
      <w:tblGrid>
        <w:gridCol w:w="2150"/>
        <w:gridCol w:w="1812"/>
        <w:gridCol w:w="1813"/>
        <w:gridCol w:w="1805"/>
        <w:gridCol w:w="1770"/>
      </w:tblGrid>
      <w:tr w:rsidR="00A34059" w14:paraId="30F05556" w14:textId="77777777" w:rsidTr="00522385">
        <w:tc>
          <w:tcPr>
            <w:tcW w:w="2150" w:type="dxa"/>
            <w:vMerge w:val="restart"/>
          </w:tcPr>
          <w:p w14:paraId="1B1AE2A7" w14:textId="77777777" w:rsidR="00A34059" w:rsidRPr="00A34059" w:rsidRDefault="00A34059" w:rsidP="00A34059">
            <w:pPr>
              <w:spacing w:line="240" w:lineRule="auto"/>
              <w:rPr>
                <w:rFonts w:eastAsia="Times New Roman" w:cs="Arial"/>
                <w:lang w:eastAsia="bg-BG"/>
              </w:rPr>
            </w:pPr>
            <w:r w:rsidRPr="00A34059">
              <w:rPr>
                <w:rFonts w:eastAsia="Times New Roman" w:cs="Arial"/>
                <w:b/>
                <w:bCs/>
                <w:color w:val="000000"/>
                <w:lang w:eastAsia="bg-BG"/>
              </w:rPr>
              <w:t>Система-органен клас Честота</w:t>
            </w:r>
          </w:p>
          <w:p w14:paraId="53E19EB9" w14:textId="7175D1E5" w:rsidR="00A34059" w:rsidRPr="00A34059" w:rsidRDefault="00A34059" w:rsidP="00A34059">
            <w:pPr>
              <w:rPr>
                <w:rFonts w:cs="Arial"/>
              </w:rPr>
            </w:pPr>
            <w:r w:rsidRPr="00A34059">
              <w:rPr>
                <w:rFonts w:eastAsia="Times New Roman" w:cs="Arial"/>
                <w:b/>
                <w:bCs/>
                <w:color w:val="000000"/>
                <w:lang w:eastAsia="bg-BG"/>
              </w:rPr>
              <w:t>Предпочитан термин</w:t>
            </w:r>
            <w:r w:rsidRPr="00A34059">
              <w:rPr>
                <w:rFonts w:eastAsia="Times New Roman" w:cs="Arial"/>
                <w:b/>
                <w:bCs/>
                <w:color w:val="000000"/>
                <w:vertAlign w:val="superscript"/>
                <w:lang w:val="en-US"/>
              </w:rPr>
              <w:t>a</w:t>
            </w:r>
          </w:p>
        </w:tc>
        <w:tc>
          <w:tcPr>
            <w:tcW w:w="3625" w:type="dxa"/>
            <w:gridSpan w:val="2"/>
          </w:tcPr>
          <w:p w14:paraId="4F68E785" w14:textId="2E01BB72" w:rsidR="00A34059" w:rsidRPr="00A34059" w:rsidRDefault="00A34059" w:rsidP="00A34059">
            <w:pPr>
              <w:rPr>
                <w:rFonts w:cs="Arial"/>
              </w:rPr>
            </w:pPr>
            <w:r w:rsidRPr="00A34059">
              <w:rPr>
                <w:rFonts w:cs="Arial"/>
                <w:b/>
                <w:bCs/>
              </w:rPr>
              <w:t>Фулвестрант + Палбоциклиб (</w:t>
            </w:r>
            <w:r w:rsidRPr="00A34059">
              <w:rPr>
                <w:rFonts w:cs="Arial"/>
                <w:b/>
                <w:bCs/>
                <w:lang w:val="en-US"/>
              </w:rPr>
              <w:t>N=</w:t>
            </w:r>
            <w:r w:rsidRPr="00A34059">
              <w:rPr>
                <w:rFonts w:cs="Arial"/>
                <w:b/>
                <w:bCs/>
              </w:rPr>
              <w:t>345)</w:t>
            </w:r>
          </w:p>
        </w:tc>
        <w:tc>
          <w:tcPr>
            <w:tcW w:w="3575" w:type="dxa"/>
            <w:gridSpan w:val="2"/>
          </w:tcPr>
          <w:p w14:paraId="7B095AE1" w14:textId="5DD00C7C" w:rsidR="00A34059" w:rsidRPr="00522385" w:rsidRDefault="00522385" w:rsidP="00A34059">
            <w:pPr>
              <w:rPr>
                <w:rFonts w:cs="Arial"/>
                <w:lang w:val="en-US"/>
              </w:rPr>
            </w:pPr>
            <w:r>
              <w:rPr>
                <w:rFonts w:cs="Arial"/>
                <w:b/>
                <w:bCs/>
              </w:rPr>
              <w:t>Ф</w:t>
            </w:r>
            <w:r w:rsidR="00A34059" w:rsidRPr="00A34059">
              <w:rPr>
                <w:rFonts w:cs="Arial"/>
                <w:b/>
                <w:bCs/>
              </w:rPr>
              <w:t xml:space="preserve">улвестрант + плацебо </w:t>
            </w:r>
            <w:r w:rsidR="00A34059" w:rsidRPr="00A34059">
              <w:rPr>
                <w:rFonts w:cs="Arial"/>
                <w:b/>
                <w:bCs/>
              </w:rPr>
              <w:tab/>
            </w:r>
            <w:r w:rsidR="00A34059" w:rsidRPr="00A34059">
              <w:rPr>
                <w:rFonts w:cs="Arial"/>
                <w:b/>
                <w:bCs/>
              </w:rPr>
              <w:tab/>
            </w:r>
            <w:r>
              <w:rPr>
                <w:rFonts w:cs="Arial"/>
                <w:b/>
                <w:bCs/>
                <w:lang w:val="en-US"/>
              </w:rPr>
              <w:t>(N=172)</w:t>
            </w:r>
          </w:p>
        </w:tc>
      </w:tr>
      <w:tr w:rsidR="00522385" w14:paraId="284BC662" w14:textId="77777777" w:rsidTr="00522385">
        <w:tc>
          <w:tcPr>
            <w:tcW w:w="2150" w:type="dxa"/>
            <w:vMerge/>
          </w:tcPr>
          <w:p w14:paraId="0F0697CA" w14:textId="77777777" w:rsidR="00522385" w:rsidRPr="00A34059" w:rsidRDefault="00522385" w:rsidP="00522385">
            <w:pPr>
              <w:rPr>
                <w:rFonts w:cs="Arial"/>
              </w:rPr>
            </w:pPr>
          </w:p>
        </w:tc>
        <w:tc>
          <w:tcPr>
            <w:tcW w:w="1812" w:type="dxa"/>
          </w:tcPr>
          <w:p w14:paraId="0AF9E82B" w14:textId="42ADEE82" w:rsidR="00522385" w:rsidRPr="00A34059" w:rsidRDefault="00522385" w:rsidP="00522385">
            <w:pPr>
              <w:rPr>
                <w:rFonts w:cs="Arial"/>
              </w:rPr>
            </w:pPr>
            <w:r w:rsidRPr="00A34059">
              <w:rPr>
                <w:rFonts w:cs="Arial"/>
                <w:b/>
                <w:bCs/>
              </w:rPr>
              <w:t xml:space="preserve">Всички степени </w:t>
            </w:r>
            <w:r w:rsidRPr="00A34059">
              <w:rPr>
                <w:rFonts w:cs="Arial"/>
                <w:b/>
                <w:bCs/>
                <w:lang w:val="en-US"/>
              </w:rPr>
              <w:t>n</w:t>
            </w:r>
            <w:r w:rsidRPr="00A34059">
              <w:rPr>
                <w:rFonts w:cs="Arial"/>
                <w:b/>
                <w:bCs/>
              </w:rPr>
              <w:t xml:space="preserve"> (%)</w:t>
            </w:r>
          </w:p>
        </w:tc>
        <w:tc>
          <w:tcPr>
            <w:tcW w:w="1813" w:type="dxa"/>
          </w:tcPr>
          <w:p w14:paraId="304C6D8C" w14:textId="25A3CE5D" w:rsidR="00522385" w:rsidRPr="00A34059" w:rsidRDefault="00522385" w:rsidP="00522385">
            <w:pPr>
              <w:rPr>
                <w:rFonts w:cs="Arial"/>
              </w:rPr>
            </w:pPr>
            <w:r w:rsidRPr="00A34059">
              <w:rPr>
                <w:rFonts w:cs="Arial"/>
                <w:b/>
                <w:bCs/>
              </w:rPr>
              <w:t>Степен ≥ 3 п (%)</w:t>
            </w:r>
          </w:p>
        </w:tc>
        <w:tc>
          <w:tcPr>
            <w:tcW w:w="1805" w:type="dxa"/>
          </w:tcPr>
          <w:p w14:paraId="7F1368F9" w14:textId="2AE7698C" w:rsidR="00522385" w:rsidRPr="00A34059" w:rsidRDefault="00522385" w:rsidP="00522385">
            <w:pPr>
              <w:rPr>
                <w:rFonts w:cs="Arial"/>
              </w:rPr>
            </w:pPr>
            <w:r w:rsidRPr="00A34059">
              <w:rPr>
                <w:rFonts w:cs="Arial"/>
                <w:b/>
                <w:bCs/>
              </w:rPr>
              <w:t xml:space="preserve">Всички степени </w:t>
            </w:r>
            <w:r w:rsidRPr="00A34059">
              <w:rPr>
                <w:rFonts w:cs="Arial"/>
                <w:b/>
                <w:bCs/>
                <w:lang w:val="en-US"/>
              </w:rPr>
              <w:t>n</w:t>
            </w:r>
            <w:r w:rsidRPr="00A34059">
              <w:rPr>
                <w:rFonts w:cs="Arial"/>
                <w:b/>
                <w:bCs/>
              </w:rPr>
              <w:t xml:space="preserve"> (%)</w:t>
            </w:r>
          </w:p>
        </w:tc>
        <w:tc>
          <w:tcPr>
            <w:tcW w:w="1770" w:type="dxa"/>
          </w:tcPr>
          <w:p w14:paraId="26AF25D9" w14:textId="560659B6" w:rsidR="00522385" w:rsidRPr="00A34059" w:rsidRDefault="00522385" w:rsidP="00522385">
            <w:pPr>
              <w:rPr>
                <w:rFonts w:cs="Arial"/>
              </w:rPr>
            </w:pPr>
            <w:r w:rsidRPr="00A34059">
              <w:rPr>
                <w:rFonts w:cs="Arial"/>
                <w:b/>
                <w:bCs/>
              </w:rPr>
              <w:t>Степен ≥ 3 п (%)</w:t>
            </w:r>
          </w:p>
        </w:tc>
      </w:tr>
      <w:tr w:rsidR="00522385" w14:paraId="0D914D19" w14:textId="77777777" w:rsidTr="00522385">
        <w:tc>
          <w:tcPr>
            <w:tcW w:w="9350" w:type="dxa"/>
            <w:gridSpan w:val="5"/>
          </w:tcPr>
          <w:p w14:paraId="07B388BC" w14:textId="4BFDECE1" w:rsidR="00522385" w:rsidRPr="00A34059" w:rsidRDefault="00522385" w:rsidP="00522385">
            <w:pPr>
              <w:rPr>
                <w:rFonts w:cs="Arial"/>
              </w:rPr>
            </w:pPr>
            <w:r w:rsidRPr="00A34059">
              <w:rPr>
                <w:rFonts w:cs="Arial"/>
                <w:b/>
                <w:bCs/>
              </w:rPr>
              <w:t>Инфекции и инфестации</w:t>
            </w:r>
          </w:p>
        </w:tc>
      </w:tr>
      <w:tr w:rsidR="00522385" w14:paraId="3DF8F54A" w14:textId="77777777" w:rsidTr="00522385">
        <w:tc>
          <w:tcPr>
            <w:tcW w:w="2150" w:type="dxa"/>
            <w:vAlign w:val="bottom"/>
          </w:tcPr>
          <w:p w14:paraId="1A475F6C" w14:textId="07E49311" w:rsidR="00522385" w:rsidRPr="00A34059" w:rsidRDefault="00522385" w:rsidP="00522385">
            <w:pPr>
              <w:rPr>
                <w:rFonts w:cs="Arial"/>
              </w:rPr>
            </w:pPr>
            <w:r w:rsidRPr="00A34059">
              <w:rPr>
                <w:rFonts w:cs="Arial"/>
                <w:i/>
                <w:iCs/>
              </w:rPr>
              <w:t>Много чести</w:t>
            </w:r>
          </w:p>
        </w:tc>
        <w:tc>
          <w:tcPr>
            <w:tcW w:w="1812" w:type="dxa"/>
          </w:tcPr>
          <w:p w14:paraId="3F247392" w14:textId="77777777" w:rsidR="00522385" w:rsidRPr="00A34059" w:rsidRDefault="00522385" w:rsidP="00522385">
            <w:pPr>
              <w:rPr>
                <w:rFonts w:cs="Arial"/>
              </w:rPr>
            </w:pPr>
          </w:p>
        </w:tc>
        <w:tc>
          <w:tcPr>
            <w:tcW w:w="1813" w:type="dxa"/>
          </w:tcPr>
          <w:p w14:paraId="747290DC" w14:textId="77777777" w:rsidR="00522385" w:rsidRPr="00A34059" w:rsidRDefault="00522385" w:rsidP="00522385">
            <w:pPr>
              <w:rPr>
                <w:rFonts w:cs="Arial"/>
              </w:rPr>
            </w:pPr>
          </w:p>
        </w:tc>
        <w:tc>
          <w:tcPr>
            <w:tcW w:w="1805" w:type="dxa"/>
          </w:tcPr>
          <w:p w14:paraId="6A2C4C8B" w14:textId="77777777" w:rsidR="00522385" w:rsidRPr="00A34059" w:rsidRDefault="00522385" w:rsidP="00522385">
            <w:pPr>
              <w:rPr>
                <w:rFonts w:cs="Arial"/>
              </w:rPr>
            </w:pPr>
          </w:p>
        </w:tc>
        <w:tc>
          <w:tcPr>
            <w:tcW w:w="1770" w:type="dxa"/>
          </w:tcPr>
          <w:p w14:paraId="40815DD1" w14:textId="77777777" w:rsidR="00522385" w:rsidRPr="00A34059" w:rsidRDefault="00522385" w:rsidP="00522385">
            <w:pPr>
              <w:rPr>
                <w:rFonts w:cs="Arial"/>
              </w:rPr>
            </w:pPr>
          </w:p>
        </w:tc>
      </w:tr>
      <w:tr w:rsidR="00522385" w14:paraId="3767708B" w14:textId="77777777" w:rsidTr="00522385">
        <w:tc>
          <w:tcPr>
            <w:tcW w:w="2150" w:type="dxa"/>
            <w:vAlign w:val="bottom"/>
          </w:tcPr>
          <w:p w14:paraId="12E6F3F9" w14:textId="785989EF" w:rsidR="00522385" w:rsidRPr="00522385" w:rsidRDefault="00522385" w:rsidP="00522385">
            <w:pPr>
              <w:rPr>
                <w:rFonts w:cs="Arial"/>
                <w:lang w:val="en-US"/>
              </w:rPr>
            </w:pPr>
            <w:r w:rsidRPr="00A34059">
              <w:rPr>
                <w:rFonts w:cs="Arial"/>
              </w:rPr>
              <w:t>Инфекции</w:t>
            </w:r>
            <w:r>
              <w:rPr>
                <w:rFonts w:cs="Arial"/>
                <w:vertAlign w:val="superscript"/>
                <w:lang w:val="en-US"/>
              </w:rPr>
              <w:t>b</w:t>
            </w:r>
          </w:p>
        </w:tc>
        <w:tc>
          <w:tcPr>
            <w:tcW w:w="1812" w:type="dxa"/>
            <w:vAlign w:val="bottom"/>
          </w:tcPr>
          <w:p w14:paraId="412A5400" w14:textId="51505A20" w:rsidR="00522385" w:rsidRPr="00A34059" w:rsidRDefault="00522385" w:rsidP="00522385">
            <w:pPr>
              <w:rPr>
                <w:rFonts w:cs="Arial"/>
              </w:rPr>
            </w:pPr>
            <w:r w:rsidRPr="00A34059">
              <w:rPr>
                <w:rFonts w:cs="Arial"/>
              </w:rPr>
              <w:t>188 (54,5)</w:t>
            </w:r>
          </w:p>
        </w:tc>
        <w:tc>
          <w:tcPr>
            <w:tcW w:w="1813" w:type="dxa"/>
            <w:vAlign w:val="bottom"/>
          </w:tcPr>
          <w:p w14:paraId="0FE554DA" w14:textId="129E67BA" w:rsidR="00522385" w:rsidRPr="00A34059" w:rsidRDefault="00522385" w:rsidP="00522385">
            <w:pPr>
              <w:rPr>
                <w:rFonts w:cs="Arial"/>
              </w:rPr>
            </w:pPr>
            <w:r w:rsidRPr="00A34059">
              <w:rPr>
                <w:rFonts w:cs="Arial"/>
              </w:rPr>
              <w:t>19 (5,5)</w:t>
            </w:r>
          </w:p>
        </w:tc>
        <w:tc>
          <w:tcPr>
            <w:tcW w:w="1805" w:type="dxa"/>
            <w:vAlign w:val="bottom"/>
          </w:tcPr>
          <w:p w14:paraId="6BF4E24B" w14:textId="61FE05D6" w:rsidR="00522385" w:rsidRPr="00A34059" w:rsidRDefault="00522385" w:rsidP="00522385">
            <w:pPr>
              <w:rPr>
                <w:rFonts w:cs="Arial"/>
              </w:rPr>
            </w:pPr>
            <w:r w:rsidRPr="00A34059">
              <w:rPr>
                <w:rFonts w:cs="Arial"/>
              </w:rPr>
              <w:t>60 (34,9)</w:t>
            </w:r>
          </w:p>
        </w:tc>
        <w:tc>
          <w:tcPr>
            <w:tcW w:w="1770" w:type="dxa"/>
            <w:vAlign w:val="bottom"/>
          </w:tcPr>
          <w:p w14:paraId="2C9A52CE" w14:textId="6932D694" w:rsidR="00522385" w:rsidRPr="00A34059" w:rsidRDefault="00522385" w:rsidP="00522385">
            <w:pPr>
              <w:rPr>
                <w:rFonts w:cs="Arial"/>
              </w:rPr>
            </w:pPr>
            <w:r w:rsidRPr="00A34059">
              <w:rPr>
                <w:rFonts w:cs="Arial"/>
                <w:i/>
                <w:iCs/>
              </w:rPr>
              <w:t>6 (3,5)</w:t>
            </w:r>
          </w:p>
        </w:tc>
      </w:tr>
      <w:tr w:rsidR="00522385" w14:paraId="156195A3" w14:textId="77777777" w:rsidTr="00522385">
        <w:tc>
          <w:tcPr>
            <w:tcW w:w="9350" w:type="dxa"/>
            <w:gridSpan w:val="5"/>
          </w:tcPr>
          <w:p w14:paraId="7A11BBE1" w14:textId="424AE3B4" w:rsidR="00522385" w:rsidRPr="00A34059" w:rsidRDefault="00522385" w:rsidP="00522385">
            <w:pPr>
              <w:rPr>
                <w:rFonts w:cs="Arial"/>
              </w:rPr>
            </w:pPr>
            <w:r w:rsidRPr="00A34059">
              <w:rPr>
                <w:rFonts w:cs="Arial"/>
                <w:b/>
                <w:bCs/>
              </w:rPr>
              <w:t>Нарушения на кръвта и лимфната система</w:t>
            </w:r>
          </w:p>
        </w:tc>
      </w:tr>
      <w:tr w:rsidR="00522385" w14:paraId="3FC50BDD" w14:textId="77777777" w:rsidTr="00522385">
        <w:tc>
          <w:tcPr>
            <w:tcW w:w="2150" w:type="dxa"/>
            <w:vAlign w:val="bottom"/>
          </w:tcPr>
          <w:p w14:paraId="5BB63B18" w14:textId="01816D00" w:rsidR="00522385" w:rsidRPr="00A34059" w:rsidRDefault="00522385" w:rsidP="00522385">
            <w:pPr>
              <w:rPr>
                <w:rFonts w:cs="Arial"/>
              </w:rPr>
            </w:pPr>
            <w:r w:rsidRPr="00A34059">
              <w:rPr>
                <w:rFonts w:cs="Arial"/>
                <w:i/>
                <w:iCs/>
              </w:rPr>
              <w:t>Много чести</w:t>
            </w:r>
          </w:p>
        </w:tc>
        <w:tc>
          <w:tcPr>
            <w:tcW w:w="1812" w:type="dxa"/>
          </w:tcPr>
          <w:p w14:paraId="7906005A" w14:textId="77777777" w:rsidR="00522385" w:rsidRPr="00A34059" w:rsidRDefault="00522385" w:rsidP="00522385">
            <w:pPr>
              <w:rPr>
                <w:rFonts w:cs="Arial"/>
              </w:rPr>
            </w:pPr>
          </w:p>
        </w:tc>
        <w:tc>
          <w:tcPr>
            <w:tcW w:w="1813" w:type="dxa"/>
          </w:tcPr>
          <w:p w14:paraId="76486777" w14:textId="77777777" w:rsidR="00522385" w:rsidRPr="00A34059" w:rsidRDefault="00522385" w:rsidP="00522385">
            <w:pPr>
              <w:rPr>
                <w:rFonts w:cs="Arial"/>
              </w:rPr>
            </w:pPr>
          </w:p>
        </w:tc>
        <w:tc>
          <w:tcPr>
            <w:tcW w:w="1805" w:type="dxa"/>
          </w:tcPr>
          <w:p w14:paraId="52B63A4A" w14:textId="77777777" w:rsidR="00522385" w:rsidRPr="00A34059" w:rsidRDefault="00522385" w:rsidP="00522385">
            <w:pPr>
              <w:rPr>
                <w:rFonts w:cs="Arial"/>
              </w:rPr>
            </w:pPr>
          </w:p>
        </w:tc>
        <w:tc>
          <w:tcPr>
            <w:tcW w:w="1770" w:type="dxa"/>
          </w:tcPr>
          <w:p w14:paraId="33E6FEAD" w14:textId="77777777" w:rsidR="00522385" w:rsidRPr="00A34059" w:rsidRDefault="00522385" w:rsidP="00522385">
            <w:pPr>
              <w:rPr>
                <w:rFonts w:cs="Arial"/>
              </w:rPr>
            </w:pPr>
          </w:p>
        </w:tc>
      </w:tr>
      <w:tr w:rsidR="00522385" w14:paraId="0DEC03BD" w14:textId="77777777" w:rsidTr="00522385">
        <w:tc>
          <w:tcPr>
            <w:tcW w:w="2150" w:type="dxa"/>
            <w:vAlign w:val="bottom"/>
          </w:tcPr>
          <w:p w14:paraId="0564EF09" w14:textId="094A276A" w:rsidR="00522385" w:rsidRPr="00A34059" w:rsidRDefault="00522385" w:rsidP="00522385">
            <w:pPr>
              <w:rPr>
                <w:rFonts w:cs="Arial"/>
              </w:rPr>
            </w:pPr>
            <w:r w:rsidRPr="00A34059">
              <w:rPr>
                <w:rFonts w:cs="Arial"/>
              </w:rPr>
              <w:t>Неутропения</w:t>
            </w:r>
          </w:p>
        </w:tc>
        <w:tc>
          <w:tcPr>
            <w:tcW w:w="1812" w:type="dxa"/>
            <w:vAlign w:val="bottom"/>
          </w:tcPr>
          <w:p w14:paraId="0C32E644" w14:textId="60AAB2E3" w:rsidR="00522385" w:rsidRPr="00A34059" w:rsidRDefault="00522385" w:rsidP="00522385">
            <w:pPr>
              <w:rPr>
                <w:rFonts w:cs="Arial"/>
              </w:rPr>
            </w:pPr>
            <w:r w:rsidRPr="00A34059">
              <w:rPr>
                <w:rFonts w:cs="Arial"/>
              </w:rPr>
              <w:t>290 (84,1)</w:t>
            </w:r>
          </w:p>
        </w:tc>
        <w:tc>
          <w:tcPr>
            <w:tcW w:w="1813" w:type="dxa"/>
            <w:vAlign w:val="bottom"/>
          </w:tcPr>
          <w:p w14:paraId="17B888CF" w14:textId="0F9DA382" w:rsidR="00522385" w:rsidRPr="00A34059" w:rsidRDefault="00522385" w:rsidP="00522385">
            <w:pPr>
              <w:rPr>
                <w:rFonts w:cs="Arial"/>
              </w:rPr>
            </w:pPr>
            <w:r w:rsidRPr="00A34059">
              <w:rPr>
                <w:rFonts w:cs="Arial"/>
              </w:rPr>
              <w:t>240 (69,6)</w:t>
            </w:r>
          </w:p>
        </w:tc>
        <w:tc>
          <w:tcPr>
            <w:tcW w:w="1805" w:type="dxa"/>
            <w:vAlign w:val="bottom"/>
          </w:tcPr>
          <w:p w14:paraId="1D653954" w14:textId="2D965B10" w:rsidR="00522385" w:rsidRPr="00A34059" w:rsidRDefault="00522385" w:rsidP="00522385">
            <w:pPr>
              <w:rPr>
                <w:rFonts w:cs="Arial"/>
              </w:rPr>
            </w:pPr>
            <w:r w:rsidRPr="00A34059">
              <w:rPr>
                <w:rFonts w:cs="Arial"/>
              </w:rPr>
              <w:t>6(3,5)</w:t>
            </w:r>
          </w:p>
        </w:tc>
        <w:tc>
          <w:tcPr>
            <w:tcW w:w="1770" w:type="dxa"/>
            <w:vAlign w:val="bottom"/>
          </w:tcPr>
          <w:p w14:paraId="4F5513F8" w14:textId="7C304E6C" w:rsidR="00522385" w:rsidRPr="00A34059" w:rsidRDefault="00522385" w:rsidP="00522385">
            <w:pPr>
              <w:rPr>
                <w:rFonts w:cs="Arial"/>
              </w:rPr>
            </w:pPr>
            <w:r w:rsidRPr="00A34059">
              <w:rPr>
                <w:rFonts w:cs="Arial"/>
              </w:rPr>
              <w:t>0</w:t>
            </w:r>
          </w:p>
        </w:tc>
      </w:tr>
      <w:tr w:rsidR="00522385" w14:paraId="4B05069A" w14:textId="77777777" w:rsidTr="00522385">
        <w:tc>
          <w:tcPr>
            <w:tcW w:w="2150" w:type="dxa"/>
            <w:vAlign w:val="bottom"/>
          </w:tcPr>
          <w:p w14:paraId="325819B1" w14:textId="566C91F5" w:rsidR="00522385" w:rsidRPr="00522385" w:rsidRDefault="00522385" w:rsidP="00522385">
            <w:pPr>
              <w:rPr>
                <w:rFonts w:cs="Arial"/>
                <w:lang w:val="en-US"/>
              </w:rPr>
            </w:pPr>
            <w:r w:rsidRPr="00A34059">
              <w:rPr>
                <w:rFonts w:cs="Arial"/>
              </w:rPr>
              <w:t>Левкопения</w:t>
            </w:r>
            <w:r>
              <w:rPr>
                <w:rFonts w:cs="Arial"/>
                <w:vertAlign w:val="superscript"/>
                <w:lang w:val="en-US"/>
              </w:rPr>
              <w:t>d</w:t>
            </w:r>
          </w:p>
        </w:tc>
        <w:tc>
          <w:tcPr>
            <w:tcW w:w="1812" w:type="dxa"/>
            <w:vAlign w:val="bottom"/>
          </w:tcPr>
          <w:p w14:paraId="78DE5F55" w14:textId="28995B66" w:rsidR="00522385" w:rsidRPr="00A34059" w:rsidRDefault="00522385" w:rsidP="00522385">
            <w:pPr>
              <w:rPr>
                <w:rFonts w:cs="Arial"/>
              </w:rPr>
            </w:pPr>
            <w:r w:rsidRPr="00A34059">
              <w:rPr>
                <w:rFonts w:cs="Arial"/>
              </w:rPr>
              <w:t>207 (60,0)</w:t>
            </w:r>
          </w:p>
        </w:tc>
        <w:tc>
          <w:tcPr>
            <w:tcW w:w="1813" w:type="dxa"/>
            <w:vAlign w:val="bottom"/>
          </w:tcPr>
          <w:p w14:paraId="05FC3D63" w14:textId="1E542C20" w:rsidR="00522385" w:rsidRPr="00A34059" w:rsidRDefault="00522385" w:rsidP="00522385">
            <w:pPr>
              <w:rPr>
                <w:rFonts w:cs="Arial"/>
              </w:rPr>
            </w:pPr>
            <w:r w:rsidRPr="00A34059">
              <w:rPr>
                <w:rFonts w:cs="Arial"/>
              </w:rPr>
              <w:t>132(38,3)</w:t>
            </w:r>
          </w:p>
        </w:tc>
        <w:tc>
          <w:tcPr>
            <w:tcW w:w="1805" w:type="dxa"/>
            <w:vAlign w:val="bottom"/>
          </w:tcPr>
          <w:p w14:paraId="38CBBC08" w14:textId="1E2D99D3" w:rsidR="00522385" w:rsidRPr="00A34059" w:rsidRDefault="00522385" w:rsidP="00522385">
            <w:pPr>
              <w:rPr>
                <w:rFonts w:cs="Arial"/>
              </w:rPr>
            </w:pPr>
            <w:r w:rsidRPr="00A34059">
              <w:rPr>
                <w:rFonts w:cs="Arial"/>
              </w:rPr>
              <w:t>9(5,2)</w:t>
            </w:r>
          </w:p>
        </w:tc>
        <w:tc>
          <w:tcPr>
            <w:tcW w:w="1770" w:type="dxa"/>
            <w:vAlign w:val="bottom"/>
          </w:tcPr>
          <w:p w14:paraId="7AF95A2A" w14:textId="5672F118" w:rsidR="00522385" w:rsidRPr="00A34059" w:rsidRDefault="00522385" w:rsidP="00522385">
            <w:pPr>
              <w:rPr>
                <w:rFonts w:cs="Arial"/>
              </w:rPr>
            </w:pPr>
            <w:r w:rsidRPr="00A34059">
              <w:rPr>
                <w:rFonts w:cs="Arial"/>
              </w:rPr>
              <w:t>1 (0,6)</w:t>
            </w:r>
          </w:p>
        </w:tc>
      </w:tr>
      <w:tr w:rsidR="00522385" w14:paraId="33D77E85" w14:textId="77777777" w:rsidTr="00522385">
        <w:tc>
          <w:tcPr>
            <w:tcW w:w="2150" w:type="dxa"/>
            <w:vAlign w:val="bottom"/>
          </w:tcPr>
          <w:p w14:paraId="1ADB19D7" w14:textId="6BF69DF3" w:rsidR="00522385" w:rsidRPr="00522385" w:rsidRDefault="00522385" w:rsidP="00522385">
            <w:pPr>
              <w:rPr>
                <w:rFonts w:cs="Arial"/>
                <w:lang w:val="en-US"/>
              </w:rPr>
            </w:pPr>
            <w:r w:rsidRPr="00A34059">
              <w:rPr>
                <w:rFonts w:cs="Arial"/>
              </w:rPr>
              <w:t>Анемия</w:t>
            </w:r>
            <w:r>
              <w:rPr>
                <w:rFonts w:cs="Arial"/>
                <w:vertAlign w:val="superscript"/>
                <w:lang w:val="en-US"/>
              </w:rPr>
              <w:t>e</w:t>
            </w:r>
          </w:p>
        </w:tc>
        <w:tc>
          <w:tcPr>
            <w:tcW w:w="1812" w:type="dxa"/>
            <w:vAlign w:val="bottom"/>
          </w:tcPr>
          <w:p w14:paraId="627B030D" w14:textId="6BE3663D" w:rsidR="00522385" w:rsidRPr="00A34059" w:rsidRDefault="00522385" w:rsidP="00522385">
            <w:pPr>
              <w:rPr>
                <w:rFonts w:cs="Arial"/>
              </w:rPr>
            </w:pPr>
            <w:r w:rsidRPr="00A34059">
              <w:rPr>
                <w:rFonts w:cs="Arial"/>
              </w:rPr>
              <w:t>109(31,6)</w:t>
            </w:r>
          </w:p>
        </w:tc>
        <w:tc>
          <w:tcPr>
            <w:tcW w:w="1813" w:type="dxa"/>
            <w:vAlign w:val="bottom"/>
          </w:tcPr>
          <w:p w14:paraId="24310189" w14:textId="0DD63237" w:rsidR="00522385" w:rsidRPr="00A34059" w:rsidRDefault="00522385" w:rsidP="00522385">
            <w:pPr>
              <w:rPr>
                <w:rFonts w:cs="Arial"/>
              </w:rPr>
            </w:pPr>
            <w:r w:rsidRPr="00A34059">
              <w:rPr>
                <w:rFonts w:cs="Arial"/>
              </w:rPr>
              <w:t>15(4,3)</w:t>
            </w:r>
          </w:p>
        </w:tc>
        <w:tc>
          <w:tcPr>
            <w:tcW w:w="1805" w:type="dxa"/>
            <w:vAlign w:val="bottom"/>
          </w:tcPr>
          <w:p w14:paraId="0714A942" w14:textId="6D512BCA" w:rsidR="00522385" w:rsidRPr="00A34059" w:rsidRDefault="00522385" w:rsidP="00522385">
            <w:pPr>
              <w:rPr>
                <w:rFonts w:cs="Arial"/>
              </w:rPr>
            </w:pPr>
            <w:r w:rsidRPr="00A34059">
              <w:rPr>
                <w:rFonts w:cs="Arial"/>
              </w:rPr>
              <w:t>24 (14,0)</w:t>
            </w:r>
          </w:p>
        </w:tc>
        <w:tc>
          <w:tcPr>
            <w:tcW w:w="1770" w:type="dxa"/>
            <w:vAlign w:val="bottom"/>
          </w:tcPr>
          <w:p w14:paraId="3EADFD34" w14:textId="5E09CCFB" w:rsidR="00522385" w:rsidRPr="00A34059" w:rsidRDefault="00522385" w:rsidP="00522385">
            <w:pPr>
              <w:rPr>
                <w:rFonts w:cs="Arial"/>
              </w:rPr>
            </w:pPr>
            <w:r w:rsidRPr="00A34059">
              <w:rPr>
                <w:rFonts w:cs="Arial"/>
              </w:rPr>
              <w:t>4(2,3)</w:t>
            </w:r>
          </w:p>
        </w:tc>
      </w:tr>
      <w:tr w:rsidR="00522385" w14:paraId="7253108E" w14:textId="77777777" w:rsidTr="00522385">
        <w:tc>
          <w:tcPr>
            <w:tcW w:w="2150" w:type="dxa"/>
            <w:vAlign w:val="bottom"/>
          </w:tcPr>
          <w:p w14:paraId="6D1D8ADB" w14:textId="1E79FEC2" w:rsidR="00522385" w:rsidRPr="00522385" w:rsidRDefault="00522385" w:rsidP="00522385">
            <w:pPr>
              <w:rPr>
                <w:rFonts w:cs="Arial"/>
                <w:lang w:val="en-US"/>
              </w:rPr>
            </w:pPr>
            <w:r w:rsidRPr="00A34059">
              <w:rPr>
                <w:rFonts w:cs="Arial"/>
              </w:rPr>
              <w:t>Тромбоцитопения</w:t>
            </w:r>
            <w:r>
              <w:rPr>
                <w:rFonts w:cs="Arial"/>
                <w:vertAlign w:val="superscript"/>
                <w:lang w:val="en-US"/>
              </w:rPr>
              <w:t>f</w:t>
            </w:r>
          </w:p>
        </w:tc>
        <w:tc>
          <w:tcPr>
            <w:tcW w:w="1812" w:type="dxa"/>
            <w:vAlign w:val="bottom"/>
          </w:tcPr>
          <w:p w14:paraId="2164EBE5" w14:textId="42A17917" w:rsidR="00522385" w:rsidRPr="00A34059" w:rsidRDefault="00522385" w:rsidP="00522385">
            <w:pPr>
              <w:rPr>
                <w:rFonts w:cs="Arial"/>
              </w:rPr>
            </w:pPr>
            <w:r w:rsidRPr="00A34059">
              <w:rPr>
                <w:rFonts w:cs="Arial"/>
              </w:rPr>
              <w:t>88 (25,5)</w:t>
            </w:r>
          </w:p>
        </w:tc>
        <w:tc>
          <w:tcPr>
            <w:tcW w:w="1813" w:type="dxa"/>
            <w:vAlign w:val="bottom"/>
          </w:tcPr>
          <w:p w14:paraId="37BA7F3E" w14:textId="47AF32A9" w:rsidR="00522385" w:rsidRPr="00A34059" w:rsidRDefault="00522385" w:rsidP="00522385">
            <w:pPr>
              <w:rPr>
                <w:rFonts w:cs="Arial"/>
              </w:rPr>
            </w:pPr>
            <w:r w:rsidRPr="00A34059">
              <w:rPr>
                <w:rFonts w:cs="Arial"/>
              </w:rPr>
              <w:t>10(29)</w:t>
            </w:r>
          </w:p>
        </w:tc>
        <w:tc>
          <w:tcPr>
            <w:tcW w:w="1805" w:type="dxa"/>
            <w:vAlign w:val="bottom"/>
          </w:tcPr>
          <w:p w14:paraId="08B03934" w14:textId="273745ED" w:rsidR="00522385" w:rsidRPr="00A34059" w:rsidRDefault="00522385" w:rsidP="00522385">
            <w:pPr>
              <w:rPr>
                <w:rFonts w:cs="Arial"/>
              </w:rPr>
            </w:pPr>
            <w:r w:rsidRPr="00A34059">
              <w:rPr>
                <w:rFonts w:cs="Arial"/>
              </w:rPr>
              <w:t>0</w:t>
            </w:r>
          </w:p>
        </w:tc>
        <w:tc>
          <w:tcPr>
            <w:tcW w:w="1770" w:type="dxa"/>
            <w:vAlign w:val="bottom"/>
          </w:tcPr>
          <w:p w14:paraId="6B8F44E6" w14:textId="0E826859" w:rsidR="00522385" w:rsidRPr="00A34059" w:rsidRDefault="00522385" w:rsidP="00522385">
            <w:pPr>
              <w:rPr>
                <w:rFonts w:cs="Arial"/>
              </w:rPr>
            </w:pPr>
            <w:r w:rsidRPr="00A34059">
              <w:rPr>
                <w:rFonts w:cs="Arial"/>
              </w:rPr>
              <w:t>0</w:t>
            </w:r>
          </w:p>
        </w:tc>
      </w:tr>
      <w:tr w:rsidR="00522385" w14:paraId="40CA9DC5" w14:textId="77777777" w:rsidTr="00522385">
        <w:tc>
          <w:tcPr>
            <w:tcW w:w="2150" w:type="dxa"/>
            <w:vAlign w:val="bottom"/>
          </w:tcPr>
          <w:p w14:paraId="77AF1217" w14:textId="3BE9CA3E" w:rsidR="00522385" w:rsidRPr="00A34059" w:rsidRDefault="00522385" w:rsidP="00522385">
            <w:pPr>
              <w:rPr>
                <w:rFonts w:cs="Arial"/>
              </w:rPr>
            </w:pPr>
            <w:r w:rsidRPr="00A34059">
              <w:rPr>
                <w:rFonts w:cs="Arial"/>
                <w:i/>
                <w:iCs/>
              </w:rPr>
              <w:t>Нечести</w:t>
            </w:r>
          </w:p>
        </w:tc>
        <w:tc>
          <w:tcPr>
            <w:tcW w:w="1812" w:type="dxa"/>
          </w:tcPr>
          <w:p w14:paraId="1255FBF6" w14:textId="77777777" w:rsidR="00522385" w:rsidRPr="00A34059" w:rsidRDefault="00522385" w:rsidP="00522385">
            <w:pPr>
              <w:rPr>
                <w:rFonts w:cs="Arial"/>
              </w:rPr>
            </w:pPr>
          </w:p>
        </w:tc>
        <w:tc>
          <w:tcPr>
            <w:tcW w:w="1813" w:type="dxa"/>
          </w:tcPr>
          <w:p w14:paraId="07AFCCBC" w14:textId="77777777" w:rsidR="00522385" w:rsidRPr="00A34059" w:rsidRDefault="00522385" w:rsidP="00522385">
            <w:pPr>
              <w:rPr>
                <w:rFonts w:cs="Arial"/>
              </w:rPr>
            </w:pPr>
          </w:p>
        </w:tc>
        <w:tc>
          <w:tcPr>
            <w:tcW w:w="1805" w:type="dxa"/>
          </w:tcPr>
          <w:p w14:paraId="7E4DFCE5" w14:textId="77777777" w:rsidR="00522385" w:rsidRPr="00A34059" w:rsidRDefault="00522385" w:rsidP="00522385">
            <w:pPr>
              <w:rPr>
                <w:rFonts w:cs="Arial"/>
              </w:rPr>
            </w:pPr>
          </w:p>
        </w:tc>
        <w:tc>
          <w:tcPr>
            <w:tcW w:w="1770" w:type="dxa"/>
          </w:tcPr>
          <w:p w14:paraId="10EBCAAA" w14:textId="77777777" w:rsidR="00522385" w:rsidRPr="00A34059" w:rsidRDefault="00522385" w:rsidP="00522385">
            <w:pPr>
              <w:rPr>
                <w:rFonts w:cs="Arial"/>
              </w:rPr>
            </w:pPr>
          </w:p>
        </w:tc>
      </w:tr>
      <w:tr w:rsidR="00522385" w14:paraId="13E16313" w14:textId="77777777" w:rsidTr="00522385">
        <w:tc>
          <w:tcPr>
            <w:tcW w:w="2150" w:type="dxa"/>
            <w:vAlign w:val="bottom"/>
          </w:tcPr>
          <w:p w14:paraId="38136961" w14:textId="130070F0" w:rsidR="00522385" w:rsidRPr="00A34059" w:rsidRDefault="00522385" w:rsidP="00522385">
            <w:pPr>
              <w:rPr>
                <w:rFonts w:cs="Arial"/>
              </w:rPr>
            </w:pPr>
            <w:r w:rsidRPr="00A34059">
              <w:rPr>
                <w:rFonts w:cs="Arial"/>
              </w:rPr>
              <w:lastRenderedPageBreak/>
              <w:t>Фебрилна неутропения</w:t>
            </w:r>
          </w:p>
        </w:tc>
        <w:tc>
          <w:tcPr>
            <w:tcW w:w="1812" w:type="dxa"/>
            <w:vAlign w:val="bottom"/>
          </w:tcPr>
          <w:p w14:paraId="5BBE8DC5" w14:textId="12F95473" w:rsidR="00522385" w:rsidRPr="00A34059" w:rsidRDefault="00522385" w:rsidP="00522385">
            <w:pPr>
              <w:rPr>
                <w:rFonts w:cs="Arial"/>
              </w:rPr>
            </w:pPr>
            <w:r w:rsidRPr="00A34059">
              <w:rPr>
                <w:rFonts w:cs="Arial"/>
              </w:rPr>
              <w:t>3 (0,9)</w:t>
            </w:r>
          </w:p>
        </w:tc>
        <w:tc>
          <w:tcPr>
            <w:tcW w:w="1813" w:type="dxa"/>
            <w:vAlign w:val="bottom"/>
          </w:tcPr>
          <w:p w14:paraId="3851AF1C" w14:textId="0229682B" w:rsidR="00522385" w:rsidRPr="00A34059" w:rsidRDefault="00522385" w:rsidP="00522385">
            <w:pPr>
              <w:rPr>
                <w:rFonts w:cs="Arial"/>
              </w:rPr>
            </w:pPr>
            <w:r w:rsidRPr="00A34059">
              <w:rPr>
                <w:rFonts w:cs="Arial"/>
              </w:rPr>
              <w:t>3 (0,9)</w:t>
            </w:r>
          </w:p>
        </w:tc>
        <w:tc>
          <w:tcPr>
            <w:tcW w:w="1805" w:type="dxa"/>
            <w:vAlign w:val="bottom"/>
          </w:tcPr>
          <w:p w14:paraId="30B79845" w14:textId="098DE96E" w:rsidR="00522385" w:rsidRPr="00A34059" w:rsidRDefault="00522385" w:rsidP="00522385">
            <w:pPr>
              <w:rPr>
                <w:rFonts w:cs="Arial"/>
              </w:rPr>
            </w:pPr>
            <w:r w:rsidRPr="00A34059">
              <w:rPr>
                <w:rFonts w:cs="Arial"/>
              </w:rPr>
              <w:t>0</w:t>
            </w:r>
          </w:p>
        </w:tc>
        <w:tc>
          <w:tcPr>
            <w:tcW w:w="1770" w:type="dxa"/>
            <w:vAlign w:val="bottom"/>
          </w:tcPr>
          <w:p w14:paraId="0E595368" w14:textId="2440D018" w:rsidR="00522385" w:rsidRPr="00A34059" w:rsidRDefault="00522385" w:rsidP="00522385">
            <w:pPr>
              <w:rPr>
                <w:rFonts w:cs="Arial"/>
              </w:rPr>
            </w:pPr>
            <w:r w:rsidRPr="00A34059">
              <w:rPr>
                <w:rFonts w:cs="Arial"/>
              </w:rPr>
              <w:t>0</w:t>
            </w:r>
          </w:p>
        </w:tc>
      </w:tr>
      <w:tr w:rsidR="00522385" w14:paraId="14128382" w14:textId="77777777" w:rsidTr="00522385">
        <w:tc>
          <w:tcPr>
            <w:tcW w:w="9350" w:type="dxa"/>
            <w:gridSpan w:val="5"/>
          </w:tcPr>
          <w:p w14:paraId="1C0F5A93" w14:textId="420563FF" w:rsidR="00522385" w:rsidRPr="00A34059" w:rsidRDefault="00522385" w:rsidP="00522385">
            <w:pPr>
              <w:rPr>
                <w:rFonts w:cs="Arial"/>
              </w:rPr>
            </w:pPr>
            <w:r w:rsidRPr="00A34059">
              <w:rPr>
                <w:rFonts w:cs="Arial"/>
                <w:b/>
                <w:bCs/>
              </w:rPr>
              <w:t>Нарушения на метаболизма и храненето</w:t>
            </w:r>
          </w:p>
        </w:tc>
      </w:tr>
      <w:tr w:rsidR="00522385" w14:paraId="297628DE" w14:textId="77777777" w:rsidTr="00522385">
        <w:tc>
          <w:tcPr>
            <w:tcW w:w="2150" w:type="dxa"/>
            <w:vAlign w:val="bottom"/>
          </w:tcPr>
          <w:p w14:paraId="254BDE5B" w14:textId="049E6E5D" w:rsidR="00522385" w:rsidRPr="00A34059" w:rsidRDefault="00522385" w:rsidP="00522385">
            <w:pPr>
              <w:rPr>
                <w:rFonts w:cs="Arial"/>
              </w:rPr>
            </w:pPr>
            <w:r w:rsidRPr="00A34059">
              <w:rPr>
                <w:rFonts w:cs="Arial"/>
                <w:i/>
                <w:iCs/>
              </w:rPr>
              <w:t>Много чести</w:t>
            </w:r>
          </w:p>
        </w:tc>
        <w:tc>
          <w:tcPr>
            <w:tcW w:w="1812" w:type="dxa"/>
          </w:tcPr>
          <w:p w14:paraId="6A9E1183" w14:textId="77777777" w:rsidR="00522385" w:rsidRPr="00A34059" w:rsidRDefault="00522385" w:rsidP="00522385">
            <w:pPr>
              <w:rPr>
                <w:rFonts w:cs="Arial"/>
              </w:rPr>
            </w:pPr>
          </w:p>
        </w:tc>
        <w:tc>
          <w:tcPr>
            <w:tcW w:w="1813" w:type="dxa"/>
          </w:tcPr>
          <w:p w14:paraId="4D12C13B" w14:textId="77777777" w:rsidR="00522385" w:rsidRPr="00A34059" w:rsidRDefault="00522385" w:rsidP="00522385">
            <w:pPr>
              <w:rPr>
                <w:rFonts w:cs="Arial"/>
              </w:rPr>
            </w:pPr>
          </w:p>
        </w:tc>
        <w:tc>
          <w:tcPr>
            <w:tcW w:w="1805" w:type="dxa"/>
          </w:tcPr>
          <w:p w14:paraId="638BCAD3" w14:textId="77777777" w:rsidR="00522385" w:rsidRPr="00A34059" w:rsidRDefault="00522385" w:rsidP="00522385">
            <w:pPr>
              <w:rPr>
                <w:rFonts w:cs="Arial"/>
              </w:rPr>
            </w:pPr>
          </w:p>
        </w:tc>
        <w:tc>
          <w:tcPr>
            <w:tcW w:w="1770" w:type="dxa"/>
          </w:tcPr>
          <w:p w14:paraId="04F0EB0E" w14:textId="77777777" w:rsidR="00522385" w:rsidRPr="00A34059" w:rsidRDefault="00522385" w:rsidP="00522385">
            <w:pPr>
              <w:rPr>
                <w:rFonts w:cs="Arial"/>
              </w:rPr>
            </w:pPr>
          </w:p>
        </w:tc>
      </w:tr>
      <w:tr w:rsidR="00522385" w14:paraId="4EA743BF" w14:textId="77777777" w:rsidTr="00522385">
        <w:tc>
          <w:tcPr>
            <w:tcW w:w="2150" w:type="dxa"/>
            <w:vAlign w:val="bottom"/>
          </w:tcPr>
          <w:p w14:paraId="350A89A4" w14:textId="4CFC97C3" w:rsidR="00522385" w:rsidRPr="00A34059" w:rsidRDefault="00522385" w:rsidP="00522385">
            <w:pPr>
              <w:rPr>
                <w:rFonts w:cs="Arial"/>
              </w:rPr>
            </w:pPr>
            <w:r w:rsidRPr="00A34059">
              <w:rPr>
                <w:rFonts w:cs="Arial"/>
              </w:rPr>
              <w:t>Намален апетит</w:t>
            </w:r>
          </w:p>
        </w:tc>
        <w:tc>
          <w:tcPr>
            <w:tcW w:w="1812" w:type="dxa"/>
            <w:vAlign w:val="bottom"/>
          </w:tcPr>
          <w:p w14:paraId="704F2CDF" w14:textId="1156F39A" w:rsidR="00522385" w:rsidRPr="00A34059" w:rsidRDefault="00522385" w:rsidP="00522385">
            <w:pPr>
              <w:rPr>
                <w:rFonts w:cs="Arial"/>
              </w:rPr>
            </w:pPr>
            <w:r w:rsidRPr="00A34059">
              <w:rPr>
                <w:rFonts w:cs="Arial"/>
              </w:rPr>
              <w:t>60 (17,4)</w:t>
            </w:r>
          </w:p>
        </w:tc>
        <w:tc>
          <w:tcPr>
            <w:tcW w:w="1813" w:type="dxa"/>
            <w:vAlign w:val="bottom"/>
          </w:tcPr>
          <w:p w14:paraId="28794E1D" w14:textId="4FCC13AA" w:rsidR="00522385" w:rsidRPr="00A34059" w:rsidRDefault="00522385" w:rsidP="00522385">
            <w:pPr>
              <w:rPr>
                <w:rFonts w:cs="Arial"/>
              </w:rPr>
            </w:pPr>
            <w:r w:rsidRPr="00A34059">
              <w:rPr>
                <w:rFonts w:cs="Arial"/>
              </w:rPr>
              <w:t>4(1,2)</w:t>
            </w:r>
          </w:p>
        </w:tc>
        <w:tc>
          <w:tcPr>
            <w:tcW w:w="1805" w:type="dxa"/>
            <w:vAlign w:val="bottom"/>
          </w:tcPr>
          <w:p w14:paraId="50B685FA" w14:textId="631B4DDA" w:rsidR="00522385" w:rsidRPr="00A34059" w:rsidRDefault="00522385" w:rsidP="00522385">
            <w:pPr>
              <w:rPr>
                <w:rFonts w:cs="Arial"/>
              </w:rPr>
            </w:pPr>
            <w:r w:rsidRPr="00A34059">
              <w:rPr>
                <w:rFonts w:cs="Arial"/>
              </w:rPr>
              <w:t>18(10,5)</w:t>
            </w:r>
          </w:p>
        </w:tc>
        <w:tc>
          <w:tcPr>
            <w:tcW w:w="1770" w:type="dxa"/>
            <w:vAlign w:val="bottom"/>
          </w:tcPr>
          <w:p w14:paraId="053EA0B0" w14:textId="29869005" w:rsidR="00522385" w:rsidRPr="00A34059" w:rsidRDefault="00522385" w:rsidP="00522385">
            <w:pPr>
              <w:rPr>
                <w:rFonts w:cs="Arial"/>
              </w:rPr>
            </w:pPr>
            <w:r w:rsidRPr="00A34059">
              <w:rPr>
                <w:rFonts w:cs="Arial"/>
              </w:rPr>
              <w:t>1 (0,6)</w:t>
            </w:r>
          </w:p>
        </w:tc>
      </w:tr>
      <w:tr w:rsidR="00522385" w14:paraId="701BCBB3" w14:textId="77777777" w:rsidTr="00522385">
        <w:tc>
          <w:tcPr>
            <w:tcW w:w="9350" w:type="dxa"/>
            <w:gridSpan w:val="5"/>
          </w:tcPr>
          <w:p w14:paraId="7E7BD809" w14:textId="3A97AC27" w:rsidR="00522385" w:rsidRPr="00A34059" w:rsidRDefault="00522385" w:rsidP="00522385">
            <w:pPr>
              <w:rPr>
                <w:rFonts w:cs="Arial"/>
              </w:rPr>
            </w:pPr>
            <w:r w:rsidRPr="00A34059">
              <w:rPr>
                <w:rFonts w:cs="Arial"/>
                <w:b/>
                <w:bCs/>
              </w:rPr>
              <w:t>Нарушения на нервната система</w:t>
            </w:r>
          </w:p>
        </w:tc>
      </w:tr>
      <w:tr w:rsidR="00522385" w14:paraId="0E1B6E4C" w14:textId="77777777" w:rsidTr="00522385">
        <w:tc>
          <w:tcPr>
            <w:tcW w:w="2150" w:type="dxa"/>
            <w:vAlign w:val="bottom"/>
          </w:tcPr>
          <w:p w14:paraId="75628ABC" w14:textId="10ACFA5A" w:rsidR="00522385" w:rsidRPr="00A34059" w:rsidRDefault="00522385" w:rsidP="00522385">
            <w:pPr>
              <w:rPr>
                <w:rFonts w:cs="Arial"/>
              </w:rPr>
            </w:pPr>
            <w:r w:rsidRPr="00A34059">
              <w:rPr>
                <w:rFonts w:cs="Arial"/>
                <w:i/>
                <w:iCs/>
              </w:rPr>
              <w:t>Чести</w:t>
            </w:r>
          </w:p>
        </w:tc>
        <w:tc>
          <w:tcPr>
            <w:tcW w:w="1812" w:type="dxa"/>
          </w:tcPr>
          <w:p w14:paraId="6071401C" w14:textId="77777777" w:rsidR="00522385" w:rsidRPr="00A34059" w:rsidRDefault="00522385" w:rsidP="00522385">
            <w:pPr>
              <w:rPr>
                <w:rFonts w:cs="Arial"/>
              </w:rPr>
            </w:pPr>
          </w:p>
        </w:tc>
        <w:tc>
          <w:tcPr>
            <w:tcW w:w="1813" w:type="dxa"/>
          </w:tcPr>
          <w:p w14:paraId="73B56F13" w14:textId="77777777" w:rsidR="00522385" w:rsidRPr="00A34059" w:rsidRDefault="00522385" w:rsidP="00522385">
            <w:pPr>
              <w:rPr>
                <w:rFonts w:cs="Arial"/>
              </w:rPr>
            </w:pPr>
          </w:p>
        </w:tc>
        <w:tc>
          <w:tcPr>
            <w:tcW w:w="1805" w:type="dxa"/>
          </w:tcPr>
          <w:p w14:paraId="1273243E" w14:textId="77777777" w:rsidR="00522385" w:rsidRPr="00A34059" w:rsidRDefault="00522385" w:rsidP="00522385">
            <w:pPr>
              <w:rPr>
                <w:rFonts w:cs="Arial"/>
              </w:rPr>
            </w:pPr>
          </w:p>
        </w:tc>
        <w:tc>
          <w:tcPr>
            <w:tcW w:w="1770" w:type="dxa"/>
          </w:tcPr>
          <w:p w14:paraId="66420735" w14:textId="77777777" w:rsidR="00522385" w:rsidRPr="00A34059" w:rsidRDefault="00522385" w:rsidP="00522385">
            <w:pPr>
              <w:rPr>
                <w:rFonts w:cs="Arial"/>
              </w:rPr>
            </w:pPr>
          </w:p>
        </w:tc>
      </w:tr>
      <w:tr w:rsidR="00522385" w14:paraId="565ECC5E" w14:textId="77777777" w:rsidTr="00522385">
        <w:tc>
          <w:tcPr>
            <w:tcW w:w="2150" w:type="dxa"/>
            <w:vAlign w:val="bottom"/>
          </w:tcPr>
          <w:p w14:paraId="4D631E9E" w14:textId="570D162D" w:rsidR="00522385" w:rsidRPr="00A34059" w:rsidRDefault="00522385" w:rsidP="00522385">
            <w:pPr>
              <w:rPr>
                <w:rFonts w:cs="Arial"/>
              </w:rPr>
            </w:pPr>
            <w:r w:rsidRPr="00A34059">
              <w:rPr>
                <w:rFonts w:cs="Arial"/>
              </w:rPr>
              <w:t>Дисгеузия</w:t>
            </w:r>
          </w:p>
        </w:tc>
        <w:tc>
          <w:tcPr>
            <w:tcW w:w="1812" w:type="dxa"/>
            <w:vAlign w:val="bottom"/>
          </w:tcPr>
          <w:p w14:paraId="6E9A7866" w14:textId="2C18A121" w:rsidR="00522385" w:rsidRPr="00A34059" w:rsidRDefault="00522385" w:rsidP="00522385">
            <w:pPr>
              <w:rPr>
                <w:rFonts w:cs="Arial"/>
              </w:rPr>
            </w:pPr>
            <w:r w:rsidRPr="00A34059">
              <w:rPr>
                <w:rFonts w:cs="Arial"/>
              </w:rPr>
              <w:t>27 (7,8)</w:t>
            </w:r>
          </w:p>
        </w:tc>
        <w:tc>
          <w:tcPr>
            <w:tcW w:w="1813" w:type="dxa"/>
            <w:vAlign w:val="bottom"/>
          </w:tcPr>
          <w:p w14:paraId="3709DB90" w14:textId="47EA2E3A" w:rsidR="00522385" w:rsidRPr="00A34059" w:rsidRDefault="00522385" w:rsidP="00522385">
            <w:pPr>
              <w:rPr>
                <w:rFonts w:cs="Arial"/>
              </w:rPr>
            </w:pPr>
            <w:r w:rsidRPr="00A34059">
              <w:rPr>
                <w:rFonts w:cs="Arial"/>
              </w:rPr>
              <w:t>0</w:t>
            </w:r>
          </w:p>
        </w:tc>
        <w:tc>
          <w:tcPr>
            <w:tcW w:w="1805" w:type="dxa"/>
            <w:vAlign w:val="bottom"/>
          </w:tcPr>
          <w:p w14:paraId="1038FC8E" w14:textId="7DFC4C98" w:rsidR="00522385" w:rsidRPr="00A34059" w:rsidRDefault="00522385" w:rsidP="00522385">
            <w:pPr>
              <w:rPr>
                <w:rFonts w:cs="Arial"/>
              </w:rPr>
            </w:pPr>
            <w:r w:rsidRPr="00A34059">
              <w:rPr>
                <w:rFonts w:cs="Arial"/>
              </w:rPr>
              <w:t>6(3,5)</w:t>
            </w:r>
          </w:p>
        </w:tc>
        <w:tc>
          <w:tcPr>
            <w:tcW w:w="1770" w:type="dxa"/>
            <w:vAlign w:val="bottom"/>
          </w:tcPr>
          <w:p w14:paraId="753D93DF" w14:textId="53136824" w:rsidR="00522385" w:rsidRPr="00A34059" w:rsidRDefault="00522385" w:rsidP="00522385">
            <w:pPr>
              <w:rPr>
                <w:rFonts w:cs="Arial"/>
              </w:rPr>
            </w:pPr>
            <w:r w:rsidRPr="00A34059">
              <w:rPr>
                <w:rFonts w:cs="Arial"/>
              </w:rPr>
              <w:t>0</w:t>
            </w:r>
          </w:p>
        </w:tc>
      </w:tr>
      <w:tr w:rsidR="00522385" w14:paraId="66CF605D" w14:textId="77777777" w:rsidTr="00522385">
        <w:tc>
          <w:tcPr>
            <w:tcW w:w="9350" w:type="dxa"/>
            <w:gridSpan w:val="5"/>
          </w:tcPr>
          <w:p w14:paraId="45624A76" w14:textId="14C83EF2" w:rsidR="00522385" w:rsidRPr="00A34059" w:rsidRDefault="00522385" w:rsidP="00522385">
            <w:pPr>
              <w:rPr>
                <w:rFonts w:cs="Arial"/>
              </w:rPr>
            </w:pPr>
            <w:r w:rsidRPr="00A34059">
              <w:rPr>
                <w:rFonts w:cs="Arial"/>
                <w:b/>
                <w:bCs/>
              </w:rPr>
              <w:t>Нарушения на очите</w:t>
            </w:r>
          </w:p>
        </w:tc>
      </w:tr>
      <w:tr w:rsidR="00522385" w14:paraId="0FA0EE9C" w14:textId="77777777" w:rsidTr="00522385">
        <w:tc>
          <w:tcPr>
            <w:tcW w:w="2150" w:type="dxa"/>
            <w:vAlign w:val="bottom"/>
          </w:tcPr>
          <w:p w14:paraId="3CB0C546" w14:textId="5EEFC3C9" w:rsidR="00522385" w:rsidRPr="00A34059" w:rsidRDefault="00522385" w:rsidP="00522385">
            <w:pPr>
              <w:rPr>
                <w:rFonts w:cs="Arial"/>
              </w:rPr>
            </w:pPr>
            <w:r w:rsidRPr="00A34059">
              <w:rPr>
                <w:rFonts w:cs="Arial"/>
                <w:i/>
                <w:iCs/>
              </w:rPr>
              <w:t>Чести</w:t>
            </w:r>
          </w:p>
        </w:tc>
        <w:tc>
          <w:tcPr>
            <w:tcW w:w="1812" w:type="dxa"/>
          </w:tcPr>
          <w:p w14:paraId="648CE113" w14:textId="77777777" w:rsidR="00522385" w:rsidRPr="00A34059" w:rsidRDefault="00522385" w:rsidP="00522385">
            <w:pPr>
              <w:rPr>
                <w:rFonts w:cs="Arial"/>
              </w:rPr>
            </w:pPr>
          </w:p>
        </w:tc>
        <w:tc>
          <w:tcPr>
            <w:tcW w:w="1813" w:type="dxa"/>
          </w:tcPr>
          <w:p w14:paraId="0BA37D28" w14:textId="77777777" w:rsidR="00522385" w:rsidRPr="00A34059" w:rsidRDefault="00522385" w:rsidP="00522385">
            <w:pPr>
              <w:rPr>
                <w:rFonts w:cs="Arial"/>
              </w:rPr>
            </w:pPr>
          </w:p>
        </w:tc>
        <w:tc>
          <w:tcPr>
            <w:tcW w:w="1805" w:type="dxa"/>
          </w:tcPr>
          <w:p w14:paraId="1A05268C" w14:textId="77777777" w:rsidR="00522385" w:rsidRPr="00A34059" w:rsidRDefault="00522385" w:rsidP="00522385">
            <w:pPr>
              <w:rPr>
                <w:rFonts w:cs="Arial"/>
              </w:rPr>
            </w:pPr>
          </w:p>
        </w:tc>
        <w:tc>
          <w:tcPr>
            <w:tcW w:w="1770" w:type="dxa"/>
          </w:tcPr>
          <w:p w14:paraId="52A4997B" w14:textId="77777777" w:rsidR="00522385" w:rsidRPr="00A34059" w:rsidRDefault="00522385" w:rsidP="00522385">
            <w:pPr>
              <w:rPr>
                <w:rFonts w:cs="Arial"/>
              </w:rPr>
            </w:pPr>
          </w:p>
        </w:tc>
      </w:tr>
      <w:tr w:rsidR="00522385" w14:paraId="639EAD8C" w14:textId="77777777" w:rsidTr="00522385">
        <w:tc>
          <w:tcPr>
            <w:tcW w:w="2150" w:type="dxa"/>
            <w:vAlign w:val="bottom"/>
          </w:tcPr>
          <w:p w14:paraId="2BEE91DE" w14:textId="2F36DFE5" w:rsidR="00522385" w:rsidRPr="00A34059" w:rsidRDefault="00522385" w:rsidP="00522385">
            <w:pPr>
              <w:rPr>
                <w:rFonts w:cs="Arial"/>
              </w:rPr>
            </w:pPr>
            <w:r w:rsidRPr="00A34059">
              <w:rPr>
                <w:rFonts w:cs="Arial"/>
              </w:rPr>
              <w:t>Повишена лакримация</w:t>
            </w:r>
          </w:p>
        </w:tc>
        <w:tc>
          <w:tcPr>
            <w:tcW w:w="1812" w:type="dxa"/>
            <w:vAlign w:val="bottom"/>
          </w:tcPr>
          <w:p w14:paraId="7A5EB827" w14:textId="673820EA" w:rsidR="00522385" w:rsidRPr="00A34059" w:rsidRDefault="00522385" w:rsidP="00522385">
            <w:pPr>
              <w:rPr>
                <w:rFonts w:cs="Arial"/>
              </w:rPr>
            </w:pPr>
            <w:r w:rsidRPr="00A34059">
              <w:rPr>
                <w:rFonts w:cs="Arial"/>
              </w:rPr>
              <w:t>25 (7,2)</w:t>
            </w:r>
          </w:p>
        </w:tc>
        <w:tc>
          <w:tcPr>
            <w:tcW w:w="1813" w:type="dxa"/>
            <w:vAlign w:val="bottom"/>
          </w:tcPr>
          <w:p w14:paraId="1ECBAD73" w14:textId="6F53B135" w:rsidR="00522385" w:rsidRPr="00A34059" w:rsidRDefault="00522385" w:rsidP="00522385">
            <w:pPr>
              <w:rPr>
                <w:rFonts w:cs="Arial"/>
              </w:rPr>
            </w:pPr>
            <w:r w:rsidRPr="00A34059">
              <w:rPr>
                <w:rFonts w:cs="Arial"/>
              </w:rPr>
              <w:t>0</w:t>
            </w:r>
          </w:p>
        </w:tc>
        <w:tc>
          <w:tcPr>
            <w:tcW w:w="1805" w:type="dxa"/>
            <w:vAlign w:val="bottom"/>
          </w:tcPr>
          <w:p w14:paraId="06C9E33B" w14:textId="78C23649" w:rsidR="00522385" w:rsidRPr="00A34059" w:rsidRDefault="00522385" w:rsidP="00522385">
            <w:pPr>
              <w:rPr>
                <w:rFonts w:cs="Arial"/>
              </w:rPr>
            </w:pPr>
            <w:r w:rsidRPr="00A34059">
              <w:rPr>
                <w:rFonts w:cs="Arial"/>
              </w:rPr>
              <w:t>2(1,2)</w:t>
            </w:r>
          </w:p>
        </w:tc>
        <w:tc>
          <w:tcPr>
            <w:tcW w:w="1770" w:type="dxa"/>
            <w:vAlign w:val="bottom"/>
          </w:tcPr>
          <w:p w14:paraId="0A1F08BB" w14:textId="4DA98E6C" w:rsidR="00522385" w:rsidRPr="00A34059" w:rsidRDefault="00522385" w:rsidP="00522385">
            <w:pPr>
              <w:rPr>
                <w:rFonts w:cs="Arial"/>
              </w:rPr>
            </w:pPr>
            <w:r w:rsidRPr="00A34059">
              <w:rPr>
                <w:rFonts w:cs="Arial"/>
              </w:rPr>
              <w:t>0</w:t>
            </w:r>
          </w:p>
        </w:tc>
      </w:tr>
      <w:tr w:rsidR="00522385" w14:paraId="10B1884E" w14:textId="77777777" w:rsidTr="00522385">
        <w:tc>
          <w:tcPr>
            <w:tcW w:w="2150" w:type="dxa"/>
            <w:vAlign w:val="bottom"/>
          </w:tcPr>
          <w:p w14:paraId="5974B5DD" w14:textId="7CC9A178" w:rsidR="00522385" w:rsidRPr="00A34059" w:rsidRDefault="00522385" w:rsidP="00522385">
            <w:pPr>
              <w:rPr>
                <w:rFonts w:cs="Arial"/>
              </w:rPr>
            </w:pPr>
            <w:r w:rsidRPr="00A34059">
              <w:rPr>
                <w:rFonts w:cs="Arial"/>
              </w:rPr>
              <w:t>Замъглено зрение</w:t>
            </w:r>
          </w:p>
        </w:tc>
        <w:tc>
          <w:tcPr>
            <w:tcW w:w="1812" w:type="dxa"/>
            <w:vAlign w:val="bottom"/>
          </w:tcPr>
          <w:p w14:paraId="6D71CF9A" w14:textId="5E44696F" w:rsidR="00522385" w:rsidRPr="00A34059" w:rsidRDefault="00522385" w:rsidP="00522385">
            <w:pPr>
              <w:rPr>
                <w:rFonts w:cs="Arial"/>
              </w:rPr>
            </w:pPr>
            <w:r w:rsidRPr="00A34059">
              <w:rPr>
                <w:rFonts w:cs="Arial"/>
              </w:rPr>
              <w:t>24 (7,0)</w:t>
            </w:r>
          </w:p>
        </w:tc>
        <w:tc>
          <w:tcPr>
            <w:tcW w:w="1813" w:type="dxa"/>
            <w:vAlign w:val="bottom"/>
          </w:tcPr>
          <w:p w14:paraId="42362B80" w14:textId="018DB672" w:rsidR="00522385" w:rsidRPr="00A34059" w:rsidRDefault="00522385" w:rsidP="00522385">
            <w:pPr>
              <w:rPr>
                <w:rFonts w:cs="Arial"/>
              </w:rPr>
            </w:pPr>
            <w:r w:rsidRPr="00A34059">
              <w:rPr>
                <w:rFonts w:cs="Arial"/>
              </w:rPr>
              <w:t>0</w:t>
            </w:r>
          </w:p>
        </w:tc>
        <w:tc>
          <w:tcPr>
            <w:tcW w:w="1805" w:type="dxa"/>
            <w:vAlign w:val="bottom"/>
          </w:tcPr>
          <w:p w14:paraId="332F9E59" w14:textId="349CF534" w:rsidR="00522385" w:rsidRPr="00A34059" w:rsidRDefault="00522385" w:rsidP="00522385">
            <w:pPr>
              <w:rPr>
                <w:rFonts w:cs="Arial"/>
              </w:rPr>
            </w:pPr>
            <w:r w:rsidRPr="00A34059">
              <w:rPr>
                <w:rFonts w:cs="Arial"/>
              </w:rPr>
              <w:t>3 (1,7)</w:t>
            </w:r>
          </w:p>
        </w:tc>
        <w:tc>
          <w:tcPr>
            <w:tcW w:w="1770" w:type="dxa"/>
            <w:vAlign w:val="bottom"/>
          </w:tcPr>
          <w:p w14:paraId="44DA95CC" w14:textId="047791CE" w:rsidR="00522385" w:rsidRPr="00A34059" w:rsidRDefault="00522385" w:rsidP="00522385">
            <w:pPr>
              <w:rPr>
                <w:rFonts w:cs="Arial"/>
              </w:rPr>
            </w:pPr>
            <w:r w:rsidRPr="00A34059">
              <w:rPr>
                <w:rFonts w:cs="Arial"/>
              </w:rPr>
              <w:t>0</w:t>
            </w:r>
          </w:p>
        </w:tc>
      </w:tr>
      <w:tr w:rsidR="00522385" w14:paraId="1EE7B267" w14:textId="77777777" w:rsidTr="00522385">
        <w:tc>
          <w:tcPr>
            <w:tcW w:w="2150" w:type="dxa"/>
            <w:vAlign w:val="bottom"/>
          </w:tcPr>
          <w:p w14:paraId="05C6DFF9" w14:textId="7A213681" w:rsidR="00522385" w:rsidRPr="00A34059" w:rsidRDefault="00522385" w:rsidP="00522385">
            <w:pPr>
              <w:rPr>
                <w:rFonts w:cs="Arial"/>
              </w:rPr>
            </w:pPr>
            <w:r w:rsidRPr="00A34059">
              <w:rPr>
                <w:rFonts w:cs="Arial"/>
              </w:rPr>
              <w:t>Сухо око</w:t>
            </w:r>
          </w:p>
        </w:tc>
        <w:tc>
          <w:tcPr>
            <w:tcW w:w="1812" w:type="dxa"/>
            <w:vAlign w:val="bottom"/>
          </w:tcPr>
          <w:p w14:paraId="398AF972" w14:textId="6734F0EE" w:rsidR="00522385" w:rsidRPr="00A34059" w:rsidRDefault="00522385" w:rsidP="00522385">
            <w:pPr>
              <w:rPr>
                <w:rFonts w:cs="Arial"/>
              </w:rPr>
            </w:pPr>
            <w:r w:rsidRPr="00A34059">
              <w:rPr>
                <w:rFonts w:cs="Arial"/>
              </w:rPr>
              <w:t>15 (4,3)</w:t>
            </w:r>
          </w:p>
        </w:tc>
        <w:tc>
          <w:tcPr>
            <w:tcW w:w="1813" w:type="dxa"/>
            <w:vAlign w:val="bottom"/>
          </w:tcPr>
          <w:p w14:paraId="239067C7" w14:textId="750BB8A5" w:rsidR="00522385" w:rsidRPr="00A34059" w:rsidRDefault="00522385" w:rsidP="00522385">
            <w:pPr>
              <w:rPr>
                <w:rFonts w:cs="Arial"/>
              </w:rPr>
            </w:pPr>
            <w:r w:rsidRPr="00A34059">
              <w:rPr>
                <w:rFonts w:cs="Arial"/>
              </w:rPr>
              <w:t>0</w:t>
            </w:r>
          </w:p>
        </w:tc>
        <w:tc>
          <w:tcPr>
            <w:tcW w:w="1805" w:type="dxa"/>
            <w:vAlign w:val="bottom"/>
          </w:tcPr>
          <w:p w14:paraId="75E9FD34" w14:textId="5DB77824" w:rsidR="00522385" w:rsidRPr="00A34059" w:rsidRDefault="00522385" w:rsidP="00522385">
            <w:pPr>
              <w:rPr>
                <w:rFonts w:cs="Arial"/>
              </w:rPr>
            </w:pPr>
            <w:r w:rsidRPr="00A34059">
              <w:rPr>
                <w:rFonts w:cs="Arial"/>
              </w:rPr>
              <w:t>3 (1,7)</w:t>
            </w:r>
          </w:p>
        </w:tc>
        <w:tc>
          <w:tcPr>
            <w:tcW w:w="1770" w:type="dxa"/>
            <w:vAlign w:val="bottom"/>
          </w:tcPr>
          <w:p w14:paraId="2CA3B1C6" w14:textId="6288F3FD" w:rsidR="00522385" w:rsidRPr="00A34059" w:rsidRDefault="00522385" w:rsidP="00522385">
            <w:pPr>
              <w:rPr>
                <w:rFonts w:cs="Arial"/>
              </w:rPr>
            </w:pPr>
            <w:r w:rsidRPr="00A34059">
              <w:rPr>
                <w:rFonts w:cs="Arial"/>
              </w:rPr>
              <w:t>0</w:t>
            </w:r>
          </w:p>
        </w:tc>
      </w:tr>
      <w:tr w:rsidR="00522385" w14:paraId="550E4AA1" w14:textId="77777777" w:rsidTr="00522385">
        <w:tc>
          <w:tcPr>
            <w:tcW w:w="9350" w:type="dxa"/>
            <w:gridSpan w:val="5"/>
          </w:tcPr>
          <w:p w14:paraId="5317D9E0" w14:textId="0B713D78" w:rsidR="00522385" w:rsidRPr="00A34059" w:rsidRDefault="00522385" w:rsidP="00522385">
            <w:pPr>
              <w:rPr>
                <w:rFonts w:cs="Arial"/>
              </w:rPr>
            </w:pPr>
            <w:r w:rsidRPr="00A34059">
              <w:rPr>
                <w:rFonts w:cs="Arial"/>
                <w:b/>
                <w:bCs/>
              </w:rPr>
              <w:t>Респираторни, гръдни и медиастинални нарушения</w:t>
            </w:r>
          </w:p>
        </w:tc>
      </w:tr>
      <w:tr w:rsidR="00522385" w14:paraId="01849CDA" w14:textId="77777777" w:rsidTr="00522385">
        <w:tc>
          <w:tcPr>
            <w:tcW w:w="2150" w:type="dxa"/>
            <w:vAlign w:val="bottom"/>
          </w:tcPr>
          <w:p w14:paraId="2051DDAE" w14:textId="4D262F5E" w:rsidR="00522385" w:rsidRPr="00A34059" w:rsidRDefault="00522385" w:rsidP="00522385">
            <w:pPr>
              <w:rPr>
                <w:rFonts w:cs="Arial"/>
              </w:rPr>
            </w:pPr>
            <w:r w:rsidRPr="00A34059">
              <w:rPr>
                <w:rFonts w:cs="Arial"/>
                <w:i/>
                <w:iCs/>
              </w:rPr>
              <w:t>Чести</w:t>
            </w:r>
          </w:p>
        </w:tc>
        <w:tc>
          <w:tcPr>
            <w:tcW w:w="1812" w:type="dxa"/>
          </w:tcPr>
          <w:p w14:paraId="7FB211DB" w14:textId="77777777" w:rsidR="00522385" w:rsidRPr="00A34059" w:rsidRDefault="00522385" w:rsidP="00522385">
            <w:pPr>
              <w:rPr>
                <w:rFonts w:cs="Arial"/>
              </w:rPr>
            </w:pPr>
          </w:p>
        </w:tc>
        <w:tc>
          <w:tcPr>
            <w:tcW w:w="1813" w:type="dxa"/>
          </w:tcPr>
          <w:p w14:paraId="6D6400DB" w14:textId="77777777" w:rsidR="00522385" w:rsidRPr="00A34059" w:rsidRDefault="00522385" w:rsidP="00522385">
            <w:pPr>
              <w:rPr>
                <w:rFonts w:cs="Arial"/>
              </w:rPr>
            </w:pPr>
          </w:p>
        </w:tc>
        <w:tc>
          <w:tcPr>
            <w:tcW w:w="1805" w:type="dxa"/>
          </w:tcPr>
          <w:p w14:paraId="3081CCF7" w14:textId="77777777" w:rsidR="00522385" w:rsidRPr="00A34059" w:rsidRDefault="00522385" w:rsidP="00522385">
            <w:pPr>
              <w:rPr>
                <w:rFonts w:cs="Arial"/>
              </w:rPr>
            </w:pPr>
          </w:p>
        </w:tc>
        <w:tc>
          <w:tcPr>
            <w:tcW w:w="1770" w:type="dxa"/>
          </w:tcPr>
          <w:p w14:paraId="7EA0FFDC" w14:textId="77777777" w:rsidR="00522385" w:rsidRPr="00A34059" w:rsidRDefault="00522385" w:rsidP="00522385">
            <w:pPr>
              <w:rPr>
                <w:rFonts w:cs="Arial"/>
              </w:rPr>
            </w:pPr>
          </w:p>
        </w:tc>
      </w:tr>
      <w:tr w:rsidR="00522385" w14:paraId="3FB8C6A1" w14:textId="77777777" w:rsidTr="00522385">
        <w:tc>
          <w:tcPr>
            <w:tcW w:w="2150" w:type="dxa"/>
            <w:vAlign w:val="bottom"/>
          </w:tcPr>
          <w:p w14:paraId="57820979" w14:textId="4CF40A7B" w:rsidR="00522385" w:rsidRPr="00A34059" w:rsidRDefault="00522385" w:rsidP="00522385">
            <w:pPr>
              <w:rPr>
                <w:rFonts w:cs="Arial"/>
              </w:rPr>
            </w:pPr>
            <w:r w:rsidRPr="00A34059">
              <w:rPr>
                <w:rFonts w:cs="Arial"/>
              </w:rPr>
              <w:t>Епистаксис</w:t>
            </w:r>
          </w:p>
        </w:tc>
        <w:tc>
          <w:tcPr>
            <w:tcW w:w="1812" w:type="dxa"/>
            <w:vAlign w:val="bottom"/>
          </w:tcPr>
          <w:p w14:paraId="32B23C3A" w14:textId="4942E8A6" w:rsidR="00522385" w:rsidRPr="00A34059" w:rsidRDefault="00522385" w:rsidP="00522385">
            <w:pPr>
              <w:rPr>
                <w:rFonts w:cs="Arial"/>
              </w:rPr>
            </w:pPr>
            <w:r w:rsidRPr="00A34059">
              <w:rPr>
                <w:rFonts w:cs="Arial"/>
              </w:rPr>
              <w:t>25 (7,2)</w:t>
            </w:r>
          </w:p>
        </w:tc>
        <w:tc>
          <w:tcPr>
            <w:tcW w:w="1813" w:type="dxa"/>
            <w:vAlign w:val="bottom"/>
          </w:tcPr>
          <w:p w14:paraId="7ABD5722" w14:textId="26E40B96" w:rsidR="00522385" w:rsidRPr="00A34059" w:rsidRDefault="00522385" w:rsidP="00522385">
            <w:pPr>
              <w:rPr>
                <w:rFonts w:cs="Arial"/>
              </w:rPr>
            </w:pPr>
            <w:r w:rsidRPr="00A34059">
              <w:rPr>
                <w:rFonts w:cs="Arial"/>
              </w:rPr>
              <w:t>0</w:t>
            </w:r>
          </w:p>
        </w:tc>
        <w:tc>
          <w:tcPr>
            <w:tcW w:w="1805" w:type="dxa"/>
            <w:vAlign w:val="bottom"/>
          </w:tcPr>
          <w:p w14:paraId="4CC499EE" w14:textId="159D46D2" w:rsidR="00522385" w:rsidRPr="00A34059" w:rsidRDefault="00522385" w:rsidP="00522385">
            <w:pPr>
              <w:rPr>
                <w:rFonts w:cs="Arial"/>
              </w:rPr>
            </w:pPr>
            <w:r w:rsidRPr="00A34059">
              <w:rPr>
                <w:rFonts w:cs="Arial"/>
              </w:rPr>
              <w:t>4(2,3)</w:t>
            </w:r>
          </w:p>
        </w:tc>
        <w:tc>
          <w:tcPr>
            <w:tcW w:w="1770" w:type="dxa"/>
            <w:vAlign w:val="bottom"/>
          </w:tcPr>
          <w:p w14:paraId="2D520C90" w14:textId="4DB2AB26" w:rsidR="00522385" w:rsidRPr="00A34059" w:rsidRDefault="00522385" w:rsidP="00522385">
            <w:pPr>
              <w:rPr>
                <w:rFonts w:cs="Arial"/>
              </w:rPr>
            </w:pPr>
            <w:r w:rsidRPr="00A34059">
              <w:rPr>
                <w:rFonts w:cs="Arial"/>
              </w:rPr>
              <w:t>0</w:t>
            </w:r>
          </w:p>
        </w:tc>
      </w:tr>
      <w:tr w:rsidR="00522385" w14:paraId="0A922ECC" w14:textId="77777777" w:rsidTr="00522385">
        <w:tc>
          <w:tcPr>
            <w:tcW w:w="9350" w:type="dxa"/>
            <w:gridSpan w:val="5"/>
          </w:tcPr>
          <w:p w14:paraId="129F7683" w14:textId="737F1401" w:rsidR="00522385" w:rsidRPr="00A34059" w:rsidRDefault="00522385" w:rsidP="00522385">
            <w:pPr>
              <w:rPr>
                <w:rFonts w:cs="Arial"/>
              </w:rPr>
            </w:pPr>
            <w:r w:rsidRPr="00A34059">
              <w:rPr>
                <w:rFonts w:cs="Arial"/>
                <w:b/>
                <w:bCs/>
              </w:rPr>
              <w:t>Стомашно-чревни нарушения</w:t>
            </w:r>
          </w:p>
        </w:tc>
      </w:tr>
      <w:tr w:rsidR="00522385" w14:paraId="181475FF" w14:textId="77777777" w:rsidTr="00522385">
        <w:tc>
          <w:tcPr>
            <w:tcW w:w="2150" w:type="dxa"/>
            <w:vAlign w:val="bottom"/>
          </w:tcPr>
          <w:p w14:paraId="251A0C39" w14:textId="471D8C8B" w:rsidR="00522385" w:rsidRPr="00A34059" w:rsidRDefault="00522385" w:rsidP="00522385">
            <w:pPr>
              <w:rPr>
                <w:rFonts w:cs="Arial"/>
              </w:rPr>
            </w:pPr>
            <w:r w:rsidRPr="00A34059">
              <w:rPr>
                <w:rFonts w:cs="Arial"/>
                <w:i/>
                <w:iCs/>
              </w:rPr>
              <w:t>Много чести</w:t>
            </w:r>
          </w:p>
        </w:tc>
        <w:tc>
          <w:tcPr>
            <w:tcW w:w="1812" w:type="dxa"/>
          </w:tcPr>
          <w:p w14:paraId="73539E73" w14:textId="77777777" w:rsidR="00522385" w:rsidRPr="00A34059" w:rsidRDefault="00522385" w:rsidP="00522385">
            <w:pPr>
              <w:rPr>
                <w:rFonts w:cs="Arial"/>
              </w:rPr>
            </w:pPr>
          </w:p>
        </w:tc>
        <w:tc>
          <w:tcPr>
            <w:tcW w:w="1813" w:type="dxa"/>
          </w:tcPr>
          <w:p w14:paraId="69F2A75F" w14:textId="77777777" w:rsidR="00522385" w:rsidRPr="00A34059" w:rsidRDefault="00522385" w:rsidP="00522385">
            <w:pPr>
              <w:rPr>
                <w:rFonts w:cs="Arial"/>
              </w:rPr>
            </w:pPr>
          </w:p>
        </w:tc>
        <w:tc>
          <w:tcPr>
            <w:tcW w:w="1805" w:type="dxa"/>
          </w:tcPr>
          <w:p w14:paraId="1D0BE29F" w14:textId="77777777" w:rsidR="00522385" w:rsidRPr="00A34059" w:rsidRDefault="00522385" w:rsidP="00522385">
            <w:pPr>
              <w:rPr>
                <w:rFonts w:cs="Arial"/>
              </w:rPr>
            </w:pPr>
          </w:p>
        </w:tc>
        <w:tc>
          <w:tcPr>
            <w:tcW w:w="1770" w:type="dxa"/>
          </w:tcPr>
          <w:p w14:paraId="6C01B1F2" w14:textId="77777777" w:rsidR="00522385" w:rsidRPr="00A34059" w:rsidRDefault="00522385" w:rsidP="00522385">
            <w:pPr>
              <w:rPr>
                <w:rFonts w:cs="Arial"/>
              </w:rPr>
            </w:pPr>
          </w:p>
        </w:tc>
      </w:tr>
      <w:tr w:rsidR="00522385" w14:paraId="45621F2B" w14:textId="77777777" w:rsidTr="00522385">
        <w:tc>
          <w:tcPr>
            <w:tcW w:w="2150" w:type="dxa"/>
            <w:vAlign w:val="bottom"/>
          </w:tcPr>
          <w:p w14:paraId="63FF6C76" w14:textId="53A58623" w:rsidR="00522385" w:rsidRPr="00A34059" w:rsidRDefault="00522385" w:rsidP="00522385">
            <w:pPr>
              <w:rPr>
                <w:rFonts w:cs="Arial"/>
              </w:rPr>
            </w:pPr>
            <w:r w:rsidRPr="00A34059">
              <w:rPr>
                <w:rFonts w:cs="Arial"/>
              </w:rPr>
              <w:t>Гадене</w:t>
            </w:r>
          </w:p>
        </w:tc>
        <w:tc>
          <w:tcPr>
            <w:tcW w:w="1812" w:type="dxa"/>
            <w:vAlign w:val="bottom"/>
          </w:tcPr>
          <w:p w14:paraId="58F0C6E1" w14:textId="1017DE29" w:rsidR="00522385" w:rsidRPr="00A34059" w:rsidRDefault="00522385" w:rsidP="00522385">
            <w:pPr>
              <w:rPr>
                <w:rFonts w:cs="Arial"/>
              </w:rPr>
            </w:pPr>
            <w:r w:rsidRPr="00A34059">
              <w:rPr>
                <w:rFonts w:cs="Arial"/>
              </w:rPr>
              <w:t>124 (35,9)</w:t>
            </w:r>
          </w:p>
        </w:tc>
        <w:tc>
          <w:tcPr>
            <w:tcW w:w="1813" w:type="dxa"/>
            <w:vAlign w:val="bottom"/>
          </w:tcPr>
          <w:p w14:paraId="280A81AD" w14:textId="7EB27E84" w:rsidR="00522385" w:rsidRPr="00A34059" w:rsidRDefault="00522385" w:rsidP="00522385">
            <w:pPr>
              <w:rPr>
                <w:rFonts w:cs="Arial"/>
              </w:rPr>
            </w:pPr>
            <w:r w:rsidRPr="00A34059">
              <w:rPr>
                <w:rFonts w:cs="Arial"/>
              </w:rPr>
              <w:t>2 (0,6)</w:t>
            </w:r>
          </w:p>
        </w:tc>
        <w:tc>
          <w:tcPr>
            <w:tcW w:w="1805" w:type="dxa"/>
            <w:vAlign w:val="bottom"/>
          </w:tcPr>
          <w:p w14:paraId="361D9ED1" w14:textId="20AC93ED" w:rsidR="00522385" w:rsidRPr="00A34059" w:rsidRDefault="00522385" w:rsidP="00522385">
            <w:pPr>
              <w:rPr>
                <w:rFonts w:cs="Arial"/>
              </w:rPr>
            </w:pPr>
            <w:r w:rsidRPr="00A34059">
              <w:rPr>
                <w:rFonts w:cs="Arial"/>
              </w:rPr>
              <w:t>53 (30,8)</w:t>
            </w:r>
          </w:p>
        </w:tc>
        <w:tc>
          <w:tcPr>
            <w:tcW w:w="1770" w:type="dxa"/>
            <w:vAlign w:val="bottom"/>
          </w:tcPr>
          <w:p w14:paraId="29629104" w14:textId="17B3BC3F" w:rsidR="00522385" w:rsidRPr="00A34059" w:rsidRDefault="00522385" w:rsidP="00522385">
            <w:pPr>
              <w:rPr>
                <w:rFonts w:cs="Arial"/>
              </w:rPr>
            </w:pPr>
            <w:r w:rsidRPr="00A34059">
              <w:rPr>
                <w:rFonts w:cs="Arial"/>
              </w:rPr>
              <w:t>1 (0,6)</w:t>
            </w:r>
          </w:p>
        </w:tc>
      </w:tr>
      <w:tr w:rsidR="00522385" w14:paraId="0164DD42" w14:textId="77777777" w:rsidTr="00522385">
        <w:tc>
          <w:tcPr>
            <w:tcW w:w="2150" w:type="dxa"/>
            <w:vAlign w:val="bottom"/>
          </w:tcPr>
          <w:p w14:paraId="605290DB" w14:textId="24AC4321" w:rsidR="00522385" w:rsidRPr="00522385" w:rsidRDefault="00522385" w:rsidP="00522385">
            <w:pPr>
              <w:rPr>
                <w:rFonts w:cs="Arial"/>
                <w:lang w:val="en-US"/>
              </w:rPr>
            </w:pPr>
            <w:r w:rsidRPr="00A34059">
              <w:rPr>
                <w:rFonts w:cs="Arial"/>
              </w:rPr>
              <w:t>Стоматит</w:t>
            </w:r>
            <w:r>
              <w:rPr>
                <w:rFonts w:cs="Arial"/>
                <w:vertAlign w:val="superscript"/>
                <w:lang w:val="en-US"/>
              </w:rPr>
              <w:t>g</w:t>
            </w:r>
          </w:p>
        </w:tc>
        <w:tc>
          <w:tcPr>
            <w:tcW w:w="1812" w:type="dxa"/>
            <w:vAlign w:val="bottom"/>
          </w:tcPr>
          <w:p w14:paraId="5A8C1266" w14:textId="518761FE" w:rsidR="00522385" w:rsidRPr="00A34059" w:rsidRDefault="00522385" w:rsidP="00522385">
            <w:pPr>
              <w:rPr>
                <w:rFonts w:cs="Arial"/>
              </w:rPr>
            </w:pPr>
            <w:r w:rsidRPr="00A34059">
              <w:rPr>
                <w:rFonts w:cs="Arial"/>
              </w:rPr>
              <w:t>104 (30,1)</w:t>
            </w:r>
          </w:p>
        </w:tc>
        <w:tc>
          <w:tcPr>
            <w:tcW w:w="1813" w:type="dxa"/>
            <w:vAlign w:val="bottom"/>
          </w:tcPr>
          <w:p w14:paraId="4AAAC206" w14:textId="51C73CC4" w:rsidR="00522385" w:rsidRPr="00A34059" w:rsidRDefault="00522385" w:rsidP="00522385">
            <w:pPr>
              <w:rPr>
                <w:rFonts w:cs="Arial"/>
              </w:rPr>
            </w:pPr>
            <w:r w:rsidRPr="00A34059">
              <w:rPr>
                <w:rFonts w:cs="Arial"/>
              </w:rPr>
              <w:t>3 (0,9)</w:t>
            </w:r>
          </w:p>
        </w:tc>
        <w:tc>
          <w:tcPr>
            <w:tcW w:w="1805" w:type="dxa"/>
            <w:vAlign w:val="bottom"/>
          </w:tcPr>
          <w:p w14:paraId="13E23A65" w14:textId="63730FD4" w:rsidR="00522385" w:rsidRPr="00A34059" w:rsidRDefault="00522385" w:rsidP="00522385">
            <w:pPr>
              <w:rPr>
                <w:rFonts w:cs="Arial"/>
              </w:rPr>
            </w:pPr>
            <w:r w:rsidRPr="00A34059">
              <w:rPr>
                <w:rFonts w:cs="Arial"/>
              </w:rPr>
              <w:t>24 (14,0)</w:t>
            </w:r>
          </w:p>
        </w:tc>
        <w:tc>
          <w:tcPr>
            <w:tcW w:w="1770" w:type="dxa"/>
            <w:vAlign w:val="bottom"/>
          </w:tcPr>
          <w:p w14:paraId="68E702D7" w14:textId="5033360B" w:rsidR="00522385" w:rsidRPr="00A34059" w:rsidRDefault="00522385" w:rsidP="00522385">
            <w:pPr>
              <w:rPr>
                <w:rFonts w:cs="Arial"/>
              </w:rPr>
            </w:pPr>
            <w:r w:rsidRPr="00A34059">
              <w:rPr>
                <w:rFonts w:cs="Arial"/>
              </w:rPr>
              <w:t>0</w:t>
            </w:r>
          </w:p>
        </w:tc>
      </w:tr>
      <w:tr w:rsidR="00522385" w14:paraId="023842B5" w14:textId="77777777" w:rsidTr="00522385">
        <w:tc>
          <w:tcPr>
            <w:tcW w:w="2150" w:type="dxa"/>
            <w:vAlign w:val="bottom"/>
          </w:tcPr>
          <w:p w14:paraId="1588D6B7" w14:textId="57AD31C4" w:rsidR="00522385" w:rsidRPr="00A34059" w:rsidRDefault="00522385" w:rsidP="00522385">
            <w:pPr>
              <w:rPr>
                <w:rFonts w:cs="Arial"/>
              </w:rPr>
            </w:pPr>
            <w:r w:rsidRPr="00A34059">
              <w:rPr>
                <w:rFonts w:cs="Arial"/>
              </w:rPr>
              <w:t>Диария</w:t>
            </w:r>
          </w:p>
        </w:tc>
        <w:tc>
          <w:tcPr>
            <w:tcW w:w="1812" w:type="dxa"/>
            <w:vAlign w:val="bottom"/>
          </w:tcPr>
          <w:p w14:paraId="3DA1E4A0" w14:textId="2A5B0A04" w:rsidR="00522385" w:rsidRPr="00A34059" w:rsidRDefault="00522385" w:rsidP="00522385">
            <w:pPr>
              <w:rPr>
                <w:rFonts w:cs="Arial"/>
              </w:rPr>
            </w:pPr>
            <w:r w:rsidRPr="00A34059">
              <w:rPr>
                <w:rFonts w:cs="Arial"/>
              </w:rPr>
              <w:t>94 (27,2)</w:t>
            </w:r>
          </w:p>
        </w:tc>
        <w:tc>
          <w:tcPr>
            <w:tcW w:w="1813" w:type="dxa"/>
            <w:vAlign w:val="bottom"/>
          </w:tcPr>
          <w:p w14:paraId="06CCB1AC" w14:textId="019BFED1" w:rsidR="00522385" w:rsidRPr="00A34059" w:rsidRDefault="00522385" w:rsidP="00522385">
            <w:pPr>
              <w:rPr>
                <w:rFonts w:cs="Arial"/>
              </w:rPr>
            </w:pPr>
            <w:r w:rsidRPr="00A34059">
              <w:rPr>
                <w:rFonts w:cs="Arial"/>
              </w:rPr>
              <w:t>0</w:t>
            </w:r>
          </w:p>
        </w:tc>
        <w:tc>
          <w:tcPr>
            <w:tcW w:w="1805" w:type="dxa"/>
            <w:vAlign w:val="bottom"/>
          </w:tcPr>
          <w:p w14:paraId="75C8BFB0" w14:textId="588B56B7" w:rsidR="00522385" w:rsidRPr="00A34059" w:rsidRDefault="00522385" w:rsidP="00522385">
            <w:pPr>
              <w:rPr>
                <w:rFonts w:cs="Arial"/>
              </w:rPr>
            </w:pPr>
            <w:r w:rsidRPr="00A34059">
              <w:rPr>
                <w:rFonts w:cs="Arial"/>
              </w:rPr>
              <w:t>35 (20,3)</w:t>
            </w:r>
          </w:p>
        </w:tc>
        <w:tc>
          <w:tcPr>
            <w:tcW w:w="1770" w:type="dxa"/>
            <w:vAlign w:val="bottom"/>
          </w:tcPr>
          <w:p w14:paraId="316EC996" w14:textId="748A8C8F" w:rsidR="00522385" w:rsidRPr="00A34059" w:rsidRDefault="00522385" w:rsidP="00522385">
            <w:pPr>
              <w:rPr>
                <w:rFonts w:cs="Arial"/>
              </w:rPr>
            </w:pPr>
            <w:r w:rsidRPr="00A34059">
              <w:rPr>
                <w:rFonts w:cs="Arial"/>
              </w:rPr>
              <w:t>2(1,2)</w:t>
            </w:r>
          </w:p>
        </w:tc>
      </w:tr>
      <w:tr w:rsidR="00522385" w14:paraId="131B5127" w14:textId="77777777" w:rsidTr="00522385">
        <w:tc>
          <w:tcPr>
            <w:tcW w:w="2150" w:type="dxa"/>
            <w:vAlign w:val="bottom"/>
          </w:tcPr>
          <w:p w14:paraId="4363CA9B" w14:textId="023F4CB4" w:rsidR="00522385" w:rsidRPr="00A34059" w:rsidRDefault="00522385" w:rsidP="00522385">
            <w:pPr>
              <w:rPr>
                <w:rFonts w:cs="Arial"/>
              </w:rPr>
            </w:pPr>
            <w:r w:rsidRPr="00A34059">
              <w:rPr>
                <w:rFonts w:cs="Arial"/>
              </w:rPr>
              <w:t>Повръщане</w:t>
            </w:r>
          </w:p>
        </w:tc>
        <w:tc>
          <w:tcPr>
            <w:tcW w:w="1812" w:type="dxa"/>
            <w:vAlign w:val="bottom"/>
          </w:tcPr>
          <w:p w14:paraId="666086A2" w14:textId="516E4784" w:rsidR="00522385" w:rsidRPr="00A34059" w:rsidRDefault="00522385" w:rsidP="00522385">
            <w:pPr>
              <w:rPr>
                <w:rFonts w:cs="Arial"/>
              </w:rPr>
            </w:pPr>
            <w:r w:rsidRPr="00A34059">
              <w:rPr>
                <w:rFonts w:cs="Arial"/>
              </w:rPr>
              <w:t>75 (21,7)</w:t>
            </w:r>
          </w:p>
        </w:tc>
        <w:tc>
          <w:tcPr>
            <w:tcW w:w="1813" w:type="dxa"/>
            <w:vAlign w:val="bottom"/>
          </w:tcPr>
          <w:p w14:paraId="2019DC08" w14:textId="0EBA80A7" w:rsidR="00522385" w:rsidRPr="00A34059" w:rsidRDefault="00522385" w:rsidP="00522385">
            <w:pPr>
              <w:rPr>
                <w:rFonts w:cs="Arial"/>
              </w:rPr>
            </w:pPr>
            <w:r w:rsidRPr="00A34059">
              <w:rPr>
                <w:rFonts w:cs="Arial"/>
              </w:rPr>
              <w:t>2 (0,6)</w:t>
            </w:r>
          </w:p>
        </w:tc>
        <w:tc>
          <w:tcPr>
            <w:tcW w:w="1805" w:type="dxa"/>
            <w:vAlign w:val="bottom"/>
          </w:tcPr>
          <w:p w14:paraId="1B1AD6F5" w14:textId="23E64E27" w:rsidR="00522385" w:rsidRPr="00A34059" w:rsidRDefault="00522385" w:rsidP="00522385">
            <w:pPr>
              <w:rPr>
                <w:rFonts w:cs="Arial"/>
              </w:rPr>
            </w:pPr>
            <w:r w:rsidRPr="00A34059">
              <w:rPr>
                <w:rFonts w:cs="Arial"/>
              </w:rPr>
              <w:t>28(16,3)</w:t>
            </w:r>
          </w:p>
        </w:tc>
        <w:tc>
          <w:tcPr>
            <w:tcW w:w="1770" w:type="dxa"/>
            <w:vAlign w:val="bottom"/>
          </w:tcPr>
          <w:p w14:paraId="6FB52362" w14:textId="5550EC95" w:rsidR="00522385" w:rsidRPr="00A34059" w:rsidRDefault="00522385" w:rsidP="00522385">
            <w:pPr>
              <w:rPr>
                <w:rFonts w:cs="Arial"/>
              </w:rPr>
            </w:pPr>
            <w:r w:rsidRPr="00A34059">
              <w:rPr>
                <w:rFonts w:cs="Arial"/>
              </w:rPr>
              <w:t>1 (0,6)</w:t>
            </w:r>
          </w:p>
        </w:tc>
      </w:tr>
      <w:tr w:rsidR="00522385" w14:paraId="7C6D0B89" w14:textId="77777777" w:rsidTr="00522385">
        <w:tc>
          <w:tcPr>
            <w:tcW w:w="9350" w:type="dxa"/>
            <w:gridSpan w:val="5"/>
          </w:tcPr>
          <w:p w14:paraId="2D0D907E" w14:textId="17F35063" w:rsidR="00522385" w:rsidRPr="00A34059" w:rsidRDefault="00522385" w:rsidP="00522385">
            <w:pPr>
              <w:rPr>
                <w:rFonts w:cs="Arial"/>
              </w:rPr>
            </w:pPr>
            <w:r w:rsidRPr="00A34059">
              <w:rPr>
                <w:rFonts w:cs="Arial"/>
                <w:b/>
                <w:bCs/>
              </w:rPr>
              <w:t>Нарушения на кожата и подкожната тъкан</w:t>
            </w:r>
          </w:p>
        </w:tc>
      </w:tr>
      <w:tr w:rsidR="00522385" w14:paraId="1F522212" w14:textId="77777777" w:rsidTr="00522385">
        <w:tc>
          <w:tcPr>
            <w:tcW w:w="2150" w:type="dxa"/>
            <w:vAlign w:val="bottom"/>
          </w:tcPr>
          <w:p w14:paraId="7E6077D5" w14:textId="362FAE5B" w:rsidR="00522385" w:rsidRPr="00A34059" w:rsidRDefault="00522385" w:rsidP="00522385">
            <w:pPr>
              <w:rPr>
                <w:rFonts w:cs="Arial"/>
              </w:rPr>
            </w:pPr>
            <w:r w:rsidRPr="00A34059">
              <w:rPr>
                <w:rFonts w:cs="Arial"/>
                <w:i/>
                <w:iCs/>
              </w:rPr>
              <w:t>Много чести</w:t>
            </w:r>
          </w:p>
        </w:tc>
        <w:tc>
          <w:tcPr>
            <w:tcW w:w="1812" w:type="dxa"/>
          </w:tcPr>
          <w:p w14:paraId="55E22A54" w14:textId="77777777" w:rsidR="00522385" w:rsidRPr="00A34059" w:rsidRDefault="00522385" w:rsidP="00522385">
            <w:pPr>
              <w:rPr>
                <w:rFonts w:cs="Arial"/>
              </w:rPr>
            </w:pPr>
          </w:p>
        </w:tc>
        <w:tc>
          <w:tcPr>
            <w:tcW w:w="1813" w:type="dxa"/>
          </w:tcPr>
          <w:p w14:paraId="607EAD68" w14:textId="77777777" w:rsidR="00522385" w:rsidRPr="00A34059" w:rsidRDefault="00522385" w:rsidP="00522385">
            <w:pPr>
              <w:rPr>
                <w:rFonts w:cs="Arial"/>
              </w:rPr>
            </w:pPr>
          </w:p>
        </w:tc>
        <w:tc>
          <w:tcPr>
            <w:tcW w:w="1805" w:type="dxa"/>
          </w:tcPr>
          <w:p w14:paraId="76CF6743" w14:textId="77777777" w:rsidR="00522385" w:rsidRPr="00A34059" w:rsidRDefault="00522385" w:rsidP="00522385">
            <w:pPr>
              <w:rPr>
                <w:rFonts w:cs="Arial"/>
              </w:rPr>
            </w:pPr>
          </w:p>
        </w:tc>
        <w:tc>
          <w:tcPr>
            <w:tcW w:w="1770" w:type="dxa"/>
          </w:tcPr>
          <w:p w14:paraId="0DB9788B" w14:textId="77777777" w:rsidR="00522385" w:rsidRPr="00A34059" w:rsidRDefault="00522385" w:rsidP="00522385">
            <w:pPr>
              <w:rPr>
                <w:rFonts w:cs="Arial"/>
              </w:rPr>
            </w:pPr>
          </w:p>
        </w:tc>
      </w:tr>
      <w:tr w:rsidR="00522385" w14:paraId="73775BC1" w14:textId="77777777" w:rsidTr="00522385">
        <w:tc>
          <w:tcPr>
            <w:tcW w:w="2150" w:type="dxa"/>
            <w:vAlign w:val="bottom"/>
          </w:tcPr>
          <w:p w14:paraId="2CF1E182" w14:textId="5E409CDE" w:rsidR="00522385" w:rsidRPr="00A34059" w:rsidRDefault="00522385" w:rsidP="00522385">
            <w:pPr>
              <w:rPr>
                <w:rFonts w:cs="Arial"/>
              </w:rPr>
            </w:pPr>
            <w:r w:rsidRPr="00A34059">
              <w:rPr>
                <w:rFonts w:cs="Arial"/>
              </w:rPr>
              <w:t>Алопеция</w:t>
            </w:r>
          </w:p>
        </w:tc>
        <w:tc>
          <w:tcPr>
            <w:tcW w:w="1812" w:type="dxa"/>
            <w:vAlign w:val="bottom"/>
          </w:tcPr>
          <w:p w14:paraId="56651151" w14:textId="6FCED93F" w:rsidR="00522385" w:rsidRPr="00A34059" w:rsidRDefault="00522385" w:rsidP="00522385">
            <w:pPr>
              <w:rPr>
                <w:rFonts w:cs="Arial"/>
              </w:rPr>
            </w:pPr>
            <w:r w:rsidRPr="00A34059">
              <w:rPr>
                <w:rFonts w:cs="Arial"/>
              </w:rPr>
              <w:t>67 (19,4)</w:t>
            </w:r>
          </w:p>
        </w:tc>
        <w:tc>
          <w:tcPr>
            <w:tcW w:w="1813" w:type="dxa"/>
            <w:vAlign w:val="bottom"/>
          </w:tcPr>
          <w:p w14:paraId="7E562923" w14:textId="0E675BD6" w:rsidR="00522385" w:rsidRPr="00A34059" w:rsidRDefault="00522385" w:rsidP="00522385">
            <w:pPr>
              <w:rPr>
                <w:rFonts w:cs="Arial"/>
              </w:rPr>
            </w:pPr>
            <w:r w:rsidRPr="00A34059">
              <w:rPr>
                <w:rFonts w:cs="Arial"/>
                <w:lang w:val="en-US"/>
              </w:rPr>
              <w:t>N</w:t>
            </w:r>
            <w:r>
              <w:rPr>
                <w:rFonts w:cs="Arial"/>
                <w:lang w:val="en-US"/>
              </w:rPr>
              <w:t>/</w:t>
            </w:r>
            <w:r w:rsidRPr="00A34059">
              <w:rPr>
                <w:rFonts w:cs="Arial"/>
                <w:lang w:val="en-US"/>
              </w:rPr>
              <w:t>A</w:t>
            </w:r>
          </w:p>
        </w:tc>
        <w:tc>
          <w:tcPr>
            <w:tcW w:w="1805" w:type="dxa"/>
            <w:vAlign w:val="bottom"/>
          </w:tcPr>
          <w:p w14:paraId="4A752651" w14:textId="2B224E8E" w:rsidR="00522385" w:rsidRPr="00A34059" w:rsidRDefault="00522385" w:rsidP="00522385">
            <w:pPr>
              <w:rPr>
                <w:rFonts w:cs="Arial"/>
              </w:rPr>
            </w:pPr>
            <w:r w:rsidRPr="00A34059">
              <w:rPr>
                <w:rFonts w:cs="Arial"/>
              </w:rPr>
              <w:t>11 (6,4)</w:t>
            </w:r>
          </w:p>
        </w:tc>
        <w:tc>
          <w:tcPr>
            <w:tcW w:w="1770" w:type="dxa"/>
            <w:vAlign w:val="bottom"/>
          </w:tcPr>
          <w:p w14:paraId="0B4BBBFC" w14:textId="58AD60CC" w:rsidR="00522385" w:rsidRPr="00A34059" w:rsidRDefault="00522385" w:rsidP="00522385">
            <w:pPr>
              <w:rPr>
                <w:rFonts w:cs="Arial"/>
              </w:rPr>
            </w:pPr>
            <w:r w:rsidRPr="00A34059">
              <w:rPr>
                <w:rFonts w:cs="Arial"/>
                <w:lang w:val="en-US"/>
              </w:rPr>
              <w:t>N</w:t>
            </w:r>
            <w:r>
              <w:rPr>
                <w:rFonts w:cs="Arial"/>
                <w:lang w:val="en-US"/>
              </w:rPr>
              <w:t>/</w:t>
            </w:r>
            <w:r w:rsidRPr="00A34059">
              <w:rPr>
                <w:rFonts w:cs="Arial"/>
                <w:lang w:val="en-US"/>
              </w:rPr>
              <w:t>A</w:t>
            </w:r>
          </w:p>
        </w:tc>
      </w:tr>
      <w:tr w:rsidR="00522385" w14:paraId="6707C0E9" w14:textId="77777777" w:rsidTr="00522385">
        <w:tc>
          <w:tcPr>
            <w:tcW w:w="2150" w:type="dxa"/>
            <w:vAlign w:val="bottom"/>
          </w:tcPr>
          <w:p w14:paraId="4507F792" w14:textId="69CEEF33" w:rsidR="00522385" w:rsidRPr="00A34059" w:rsidRDefault="00522385" w:rsidP="00522385">
            <w:pPr>
              <w:rPr>
                <w:rFonts w:cs="Arial"/>
              </w:rPr>
            </w:pPr>
            <w:r w:rsidRPr="00A34059">
              <w:rPr>
                <w:rFonts w:cs="Arial"/>
              </w:rPr>
              <w:t>Обрив</w:t>
            </w:r>
            <w:r w:rsidRPr="00A34059">
              <w:rPr>
                <w:rFonts w:cs="Arial"/>
                <w:vertAlign w:val="superscript"/>
              </w:rPr>
              <w:t>з</w:t>
            </w:r>
          </w:p>
        </w:tc>
        <w:tc>
          <w:tcPr>
            <w:tcW w:w="1812" w:type="dxa"/>
            <w:vAlign w:val="bottom"/>
          </w:tcPr>
          <w:p w14:paraId="5DB16AA3" w14:textId="42BB6D64" w:rsidR="00522385" w:rsidRPr="00A34059" w:rsidRDefault="00522385" w:rsidP="00522385">
            <w:pPr>
              <w:rPr>
                <w:rFonts w:cs="Arial"/>
              </w:rPr>
            </w:pPr>
            <w:r w:rsidRPr="00A34059">
              <w:rPr>
                <w:rFonts w:cs="Arial"/>
              </w:rPr>
              <w:t>63(18,3)</w:t>
            </w:r>
          </w:p>
        </w:tc>
        <w:tc>
          <w:tcPr>
            <w:tcW w:w="1813" w:type="dxa"/>
            <w:vAlign w:val="bottom"/>
          </w:tcPr>
          <w:p w14:paraId="7A54DDCE" w14:textId="2B606474" w:rsidR="00522385" w:rsidRPr="00A34059" w:rsidRDefault="00522385" w:rsidP="00522385">
            <w:pPr>
              <w:rPr>
                <w:rFonts w:cs="Arial"/>
              </w:rPr>
            </w:pPr>
            <w:r w:rsidRPr="00A34059">
              <w:rPr>
                <w:rFonts w:cs="Arial"/>
              </w:rPr>
              <w:t>3 (0,9)</w:t>
            </w:r>
          </w:p>
        </w:tc>
        <w:tc>
          <w:tcPr>
            <w:tcW w:w="1805" w:type="dxa"/>
            <w:vAlign w:val="bottom"/>
          </w:tcPr>
          <w:p w14:paraId="24CE2BF0" w14:textId="2BFA88CA" w:rsidR="00522385" w:rsidRPr="00A34059" w:rsidRDefault="00522385" w:rsidP="00522385">
            <w:pPr>
              <w:rPr>
                <w:rFonts w:cs="Arial"/>
              </w:rPr>
            </w:pPr>
            <w:r w:rsidRPr="00A34059">
              <w:rPr>
                <w:rFonts w:cs="Arial"/>
              </w:rPr>
              <w:t>10(5,8)</w:t>
            </w:r>
          </w:p>
        </w:tc>
        <w:tc>
          <w:tcPr>
            <w:tcW w:w="1770" w:type="dxa"/>
            <w:vAlign w:val="bottom"/>
          </w:tcPr>
          <w:p w14:paraId="147852A8" w14:textId="455E6E45" w:rsidR="00522385" w:rsidRPr="00A34059" w:rsidRDefault="00522385" w:rsidP="00522385">
            <w:pPr>
              <w:rPr>
                <w:rFonts w:cs="Arial"/>
              </w:rPr>
            </w:pPr>
            <w:r w:rsidRPr="00A34059">
              <w:rPr>
                <w:rFonts w:cs="Arial"/>
              </w:rPr>
              <w:t>0</w:t>
            </w:r>
          </w:p>
        </w:tc>
      </w:tr>
      <w:tr w:rsidR="00522385" w14:paraId="53292703" w14:textId="77777777" w:rsidTr="00522385">
        <w:tc>
          <w:tcPr>
            <w:tcW w:w="2150" w:type="dxa"/>
            <w:vAlign w:val="bottom"/>
          </w:tcPr>
          <w:p w14:paraId="2F80883B" w14:textId="52B93272" w:rsidR="00522385" w:rsidRPr="00A34059" w:rsidRDefault="00522385" w:rsidP="00522385">
            <w:pPr>
              <w:rPr>
                <w:rFonts w:cs="Arial"/>
              </w:rPr>
            </w:pPr>
            <w:r w:rsidRPr="00A34059">
              <w:rPr>
                <w:rFonts w:cs="Arial"/>
                <w:i/>
                <w:iCs/>
              </w:rPr>
              <w:t>Чести</w:t>
            </w:r>
          </w:p>
        </w:tc>
        <w:tc>
          <w:tcPr>
            <w:tcW w:w="1812" w:type="dxa"/>
          </w:tcPr>
          <w:p w14:paraId="70F71440" w14:textId="77777777" w:rsidR="00522385" w:rsidRPr="00A34059" w:rsidRDefault="00522385" w:rsidP="00522385">
            <w:pPr>
              <w:rPr>
                <w:rFonts w:cs="Arial"/>
              </w:rPr>
            </w:pPr>
          </w:p>
        </w:tc>
        <w:tc>
          <w:tcPr>
            <w:tcW w:w="1813" w:type="dxa"/>
          </w:tcPr>
          <w:p w14:paraId="51D0CCC4" w14:textId="77777777" w:rsidR="00522385" w:rsidRPr="00A34059" w:rsidRDefault="00522385" w:rsidP="00522385">
            <w:pPr>
              <w:rPr>
                <w:rFonts w:cs="Arial"/>
              </w:rPr>
            </w:pPr>
          </w:p>
        </w:tc>
        <w:tc>
          <w:tcPr>
            <w:tcW w:w="1805" w:type="dxa"/>
          </w:tcPr>
          <w:p w14:paraId="524C5C3C" w14:textId="77777777" w:rsidR="00522385" w:rsidRPr="00A34059" w:rsidRDefault="00522385" w:rsidP="00522385">
            <w:pPr>
              <w:rPr>
                <w:rFonts w:cs="Arial"/>
              </w:rPr>
            </w:pPr>
          </w:p>
        </w:tc>
        <w:tc>
          <w:tcPr>
            <w:tcW w:w="1770" w:type="dxa"/>
          </w:tcPr>
          <w:p w14:paraId="567B4C40" w14:textId="77777777" w:rsidR="00522385" w:rsidRPr="00A34059" w:rsidRDefault="00522385" w:rsidP="00522385">
            <w:pPr>
              <w:rPr>
                <w:rFonts w:cs="Arial"/>
              </w:rPr>
            </w:pPr>
          </w:p>
        </w:tc>
      </w:tr>
      <w:tr w:rsidR="00522385" w14:paraId="23C30523" w14:textId="77777777" w:rsidTr="00522385">
        <w:tc>
          <w:tcPr>
            <w:tcW w:w="2150" w:type="dxa"/>
            <w:vAlign w:val="bottom"/>
          </w:tcPr>
          <w:p w14:paraId="6CCA9047" w14:textId="25D1100A" w:rsidR="00522385" w:rsidRPr="00A34059" w:rsidRDefault="00522385" w:rsidP="00522385">
            <w:pPr>
              <w:rPr>
                <w:rFonts w:cs="Arial"/>
              </w:rPr>
            </w:pPr>
            <w:r w:rsidRPr="00A34059">
              <w:rPr>
                <w:rFonts w:cs="Arial"/>
              </w:rPr>
              <w:t>Суха кожа</w:t>
            </w:r>
          </w:p>
        </w:tc>
        <w:tc>
          <w:tcPr>
            <w:tcW w:w="1812" w:type="dxa"/>
            <w:vAlign w:val="bottom"/>
          </w:tcPr>
          <w:p w14:paraId="320DED1A" w14:textId="60611431" w:rsidR="00522385" w:rsidRPr="00A34059" w:rsidRDefault="00522385" w:rsidP="00522385">
            <w:pPr>
              <w:rPr>
                <w:rFonts w:cs="Arial"/>
              </w:rPr>
            </w:pPr>
            <w:r w:rsidRPr="00A34059">
              <w:rPr>
                <w:rFonts w:cs="Arial"/>
              </w:rPr>
              <w:t>28 (8,1)</w:t>
            </w:r>
          </w:p>
        </w:tc>
        <w:tc>
          <w:tcPr>
            <w:tcW w:w="1813" w:type="dxa"/>
            <w:vAlign w:val="bottom"/>
          </w:tcPr>
          <w:p w14:paraId="5B4DDB48" w14:textId="07507D5C" w:rsidR="00522385" w:rsidRPr="00A34059" w:rsidRDefault="00522385" w:rsidP="00522385">
            <w:pPr>
              <w:rPr>
                <w:rFonts w:cs="Arial"/>
              </w:rPr>
            </w:pPr>
            <w:r w:rsidRPr="00A34059">
              <w:rPr>
                <w:rFonts w:cs="Arial"/>
              </w:rPr>
              <w:t>0</w:t>
            </w:r>
          </w:p>
        </w:tc>
        <w:tc>
          <w:tcPr>
            <w:tcW w:w="1805" w:type="dxa"/>
            <w:vAlign w:val="bottom"/>
          </w:tcPr>
          <w:p w14:paraId="54E23504" w14:textId="35E5F8EE" w:rsidR="00522385" w:rsidRPr="00A34059" w:rsidRDefault="00522385" w:rsidP="00522385">
            <w:pPr>
              <w:rPr>
                <w:rFonts w:cs="Arial"/>
              </w:rPr>
            </w:pPr>
            <w:r w:rsidRPr="00A34059">
              <w:rPr>
                <w:rFonts w:cs="Arial"/>
              </w:rPr>
              <w:t>3 (1,7)</w:t>
            </w:r>
          </w:p>
        </w:tc>
        <w:tc>
          <w:tcPr>
            <w:tcW w:w="1770" w:type="dxa"/>
            <w:vAlign w:val="bottom"/>
          </w:tcPr>
          <w:p w14:paraId="0518CED2" w14:textId="528B9960" w:rsidR="00522385" w:rsidRPr="00A34059" w:rsidRDefault="00522385" w:rsidP="00522385">
            <w:pPr>
              <w:rPr>
                <w:rFonts w:cs="Arial"/>
              </w:rPr>
            </w:pPr>
            <w:r w:rsidRPr="00A34059">
              <w:rPr>
                <w:rFonts w:cs="Arial"/>
              </w:rPr>
              <w:t>0</w:t>
            </w:r>
          </w:p>
        </w:tc>
      </w:tr>
      <w:tr w:rsidR="00522385" w14:paraId="58C73B69" w14:textId="77777777" w:rsidTr="00522385">
        <w:tc>
          <w:tcPr>
            <w:tcW w:w="9350" w:type="dxa"/>
            <w:gridSpan w:val="5"/>
          </w:tcPr>
          <w:p w14:paraId="5F624A3F" w14:textId="1F9A7A72" w:rsidR="00522385" w:rsidRPr="00A34059" w:rsidRDefault="00522385" w:rsidP="00522385">
            <w:pPr>
              <w:rPr>
                <w:rFonts w:cs="Arial"/>
              </w:rPr>
            </w:pPr>
            <w:r w:rsidRPr="00A34059">
              <w:rPr>
                <w:rFonts w:cs="Arial"/>
                <w:b/>
                <w:bCs/>
              </w:rPr>
              <w:t>Общи нарушения и ефекти на мястото на приложение</w:t>
            </w:r>
          </w:p>
        </w:tc>
      </w:tr>
      <w:tr w:rsidR="00522385" w14:paraId="5F6EF4E2" w14:textId="77777777" w:rsidTr="00522385">
        <w:tc>
          <w:tcPr>
            <w:tcW w:w="2150" w:type="dxa"/>
            <w:vAlign w:val="bottom"/>
          </w:tcPr>
          <w:p w14:paraId="6E3F13E4" w14:textId="3F27ABA5" w:rsidR="00522385" w:rsidRPr="00A34059" w:rsidRDefault="00522385" w:rsidP="00522385">
            <w:pPr>
              <w:rPr>
                <w:rFonts w:cs="Arial"/>
              </w:rPr>
            </w:pPr>
            <w:r w:rsidRPr="00A34059">
              <w:rPr>
                <w:rFonts w:cs="Arial"/>
                <w:i/>
                <w:iCs/>
              </w:rPr>
              <w:t>Много чести</w:t>
            </w:r>
          </w:p>
        </w:tc>
        <w:tc>
          <w:tcPr>
            <w:tcW w:w="1812" w:type="dxa"/>
          </w:tcPr>
          <w:p w14:paraId="04EB0F7D" w14:textId="77777777" w:rsidR="00522385" w:rsidRPr="00A34059" w:rsidRDefault="00522385" w:rsidP="00522385">
            <w:pPr>
              <w:rPr>
                <w:rFonts w:cs="Arial"/>
              </w:rPr>
            </w:pPr>
          </w:p>
        </w:tc>
        <w:tc>
          <w:tcPr>
            <w:tcW w:w="1813" w:type="dxa"/>
          </w:tcPr>
          <w:p w14:paraId="48BDD30D" w14:textId="77777777" w:rsidR="00522385" w:rsidRPr="00A34059" w:rsidRDefault="00522385" w:rsidP="00522385">
            <w:pPr>
              <w:rPr>
                <w:rFonts w:cs="Arial"/>
              </w:rPr>
            </w:pPr>
          </w:p>
        </w:tc>
        <w:tc>
          <w:tcPr>
            <w:tcW w:w="1805" w:type="dxa"/>
          </w:tcPr>
          <w:p w14:paraId="35566CBF" w14:textId="77777777" w:rsidR="00522385" w:rsidRPr="00A34059" w:rsidRDefault="00522385" w:rsidP="00522385">
            <w:pPr>
              <w:rPr>
                <w:rFonts w:cs="Arial"/>
              </w:rPr>
            </w:pPr>
          </w:p>
        </w:tc>
        <w:tc>
          <w:tcPr>
            <w:tcW w:w="1770" w:type="dxa"/>
          </w:tcPr>
          <w:p w14:paraId="4F9698C1" w14:textId="77777777" w:rsidR="00522385" w:rsidRPr="00A34059" w:rsidRDefault="00522385" w:rsidP="00522385">
            <w:pPr>
              <w:rPr>
                <w:rFonts w:cs="Arial"/>
              </w:rPr>
            </w:pPr>
          </w:p>
        </w:tc>
      </w:tr>
      <w:tr w:rsidR="00522385" w14:paraId="5EF54262" w14:textId="77777777" w:rsidTr="00522385">
        <w:tc>
          <w:tcPr>
            <w:tcW w:w="2150" w:type="dxa"/>
            <w:vAlign w:val="bottom"/>
          </w:tcPr>
          <w:p w14:paraId="3EB57AF6" w14:textId="6FF0ADD5" w:rsidR="00522385" w:rsidRPr="00A34059" w:rsidRDefault="00522385" w:rsidP="00522385">
            <w:pPr>
              <w:rPr>
                <w:rFonts w:cs="Arial"/>
              </w:rPr>
            </w:pPr>
            <w:r w:rsidRPr="00A34059">
              <w:rPr>
                <w:rFonts w:cs="Arial"/>
              </w:rPr>
              <w:t>Умора</w:t>
            </w:r>
          </w:p>
        </w:tc>
        <w:tc>
          <w:tcPr>
            <w:tcW w:w="1812" w:type="dxa"/>
            <w:vAlign w:val="bottom"/>
          </w:tcPr>
          <w:p w14:paraId="533B08AE" w14:textId="7F49BCDC" w:rsidR="00522385" w:rsidRPr="00A34059" w:rsidRDefault="00522385" w:rsidP="00522385">
            <w:pPr>
              <w:rPr>
                <w:rFonts w:cs="Arial"/>
              </w:rPr>
            </w:pPr>
            <w:r w:rsidRPr="00A34059">
              <w:rPr>
                <w:rFonts w:cs="Arial"/>
              </w:rPr>
              <w:t>152(44,1)</w:t>
            </w:r>
          </w:p>
        </w:tc>
        <w:tc>
          <w:tcPr>
            <w:tcW w:w="1813" w:type="dxa"/>
            <w:vAlign w:val="bottom"/>
          </w:tcPr>
          <w:p w14:paraId="1AC8E8D5" w14:textId="4ADF471F" w:rsidR="00522385" w:rsidRPr="00A34059" w:rsidRDefault="00522385" w:rsidP="00522385">
            <w:pPr>
              <w:rPr>
                <w:rFonts w:cs="Arial"/>
              </w:rPr>
            </w:pPr>
            <w:r w:rsidRPr="00A34059">
              <w:rPr>
                <w:rFonts w:cs="Arial"/>
              </w:rPr>
              <w:t>9(2,6)</w:t>
            </w:r>
          </w:p>
        </w:tc>
        <w:tc>
          <w:tcPr>
            <w:tcW w:w="1805" w:type="dxa"/>
            <w:vAlign w:val="bottom"/>
          </w:tcPr>
          <w:p w14:paraId="28990341" w14:textId="72B84C32" w:rsidR="00522385" w:rsidRPr="00A34059" w:rsidRDefault="00522385" w:rsidP="00522385">
            <w:pPr>
              <w:rPr>
                <w:rFonts w:cs="Arial"/>
              </w:rPr>
            </w:pPr>
            <w:r w:rsidRPr="00A34059">
              <w:rPr>
                <w:rFonts w:cs="Arial"/>
              </w:rPr>
              <w:t>54(31,4)</w:t>
            </w:r>
          </w:p>
        </w:tc>
        <w:tc>
          <w:tcPr>
            <w:tcW w:w="1770" w:type="dxa"/>
          </w:tcPr>
          <w:p w14:paraId="111EA038" w14:textId="23501580" w:rsidR="00522385" w:rsidRPr="00A34059" w:rsidRDefault="00522385" w:rsidP="00522385">
            <w:pPr>
              <w:rPr>
                <w:rFonts w:cs="Arial"/>
              </w:rPr>
            </w:pPr>
            <w:r w:rsidRPr="00A34059">
              <w:rPr>
                <w:rFonts w:cs="Arial"/>
                <w:lang w:val="en-US"/>
              </w:rPr>
              <w:t>2 (1,2)</w:t>
            </w:r>
          </w:p>
        </w:tc>
      </w:tr>
      <w:tr w:rsidR="00522385" w14:paraId="101BCDD7" w14:textId="77777777" w:rsidTr="00522385">
        <w:tc>
          <w:tcPr>
            <w:tcW w:w="2150" w:type="dxa"/>
            <w:vAlign w:val="bottom"/>
          </w:tcPr>
          <w:p w14:paraId="020092BB" w14:textId="52558260" w:rsidR="00522385" w:rsidRPr="00A34059" w:rsidRDefault="00522385" w:rsidP="00522385">
            <w:pPr>
              <w:rPr>
                <w:rFonts w:cs="Arial"/>
              </w:rPr>
            </w:pPr>
            <w:r w:rsidRPr="00A34059">
              <w:rPr>
                <w:rFonts w:cs="Arial"/>
              </w:rPr>
              <w:t>Пирексия</w:t>
            </w:r>
          </w:p>
        </w:tc>
        <w:tc>
          <w:tcPr>
            <w:tcW w:w="1812" w:type="dxa"/>
            <w:vAlign w:val="bottom"/>
          </w:tcPr>
          <w:p w14:paraId="6B09BD56" w14:textId="35778387" w:rsidR="00522385" w:rsidRPr="00A34059" w:rsidRDefault="00522385" w:rsidP="00522385">
            <w:pPr>
              <w:rPr>
                <w:rFonts w:cs="Arial"/>
              </w:rPr>
            </w:pPr>
            <w:r w:rsidRPr="00A34059">
              <w:rPr>
                <w:rFonts w:cs="Arial"/>
              </w:rPr>
              <w:t>47(13,6)</w:t>
            </w:r>
          </w:p>
        </w:tc>
        <w:tc>
          <w:tcPr>
            <w:tcW w:w="1813" w:type="dxa"/>
            <w:vAlign w:val="bottom"/>
          </w:tcPr>
          <w:p w14:paraId="6FB18F4B" w14:textId="44FDA60A" w:rsidR="00522385" w:rsidRPr="00A34059" w:rsidRDefault="00522385" w:rsidP="00522385">
            <w:pPr>
              <w:rPr>
                <w:rFonts w:cs="Arial"/>
              </w:rPr>
            </w:pPr>
            <w:r w:rsidRPr="00A34059">
              <w:rPr>
                <w:rFonts w:cs="Arial"/>
              </w:rPr>
              <w:t>1 (0,3)</w:t>
            </w:r>
          </w:p>
        </w:tc>
        <w:tc>
          <w:tcPr>
            <w:tcW w:w="1805" w:type="dxa"/>
          </w:tcPr>
          <w:p w14:paraId="09D3152E" w14:textId="51D798DC" w:rsidR="00522385" w:rsidRPr="00A34059" w:rsidRDefault="00522385" w:rsidP="00522385">
            <w:pPr>
              <w:rPr>
                <w:rFonts w:cs="Arial"/>
              </w:rPr>
            </w:pPr>
            <w:r w:rsidRPr="00A34059">
              <w:rPr>
                <w:rFonts w:cs="Arial"/>
                <w:lang w:val="en-US"/>
              </w:rPr>
              <w:t>10 (5,8)</w:t>
            </w:r>
          </w:p>
        </w:tc>
        <w:tc>
          <w:tcPr>
            <w:tcW w:w="1770" w:type="dxa"/>
          </w:tcPr>
          <w:p w14:paraId="01E02C9A" w14:textId="77777777" w:rsidR="00522385" w:rsidRPr="00A34059" w:rsidRDefault="00522385" w:rsidP="00522385">
            <w:pPr>
              <w:rPr>
                <w:rFonts w:cs="Arial"/>
              </w:rPr>
            </w:pPr>
          </w:p>
        </w:tc>
      </w:tr>
      <w:tr w:rsidR="00522385" w14:paraId="2B93798C" w14:textId="77777777" w:rsidTr="00522385">
        <w:tc>
          <w:tcPr>
            <w:tcW w:w="2150" w:type="dxa"/>
            <w:vAlign w:val="bottom"/>
          </w:tcPr>
          <w:p w14:paraId="15B465EF" w14:textId="571017D9" w:rsidR="00522385" w:rsidRPr="00A34059" w:rsidRDefault="00522385" w:rsidP="00522385">
            <w:pPr>
              <w:rPr>
                <w:rFonts w:cs="Arial"/>
              </w:rPr>
            </w:pPr>
            <w:r w:rsidRPr="00A34059">
              <w:rPr>
                <w:rFonts w:cs="Arial"/>
                <w:i/>
                <w:iCs/>
              </w:rPr>
              <w:t>Чести</w:t>
            </w:r>
          </w:p>
        </w:tc>
        <w:tc>
          <w:tcPr>
            <w:tcW w:w="1812" w:type="dxa"/>
          </w:tcPr>
          <w:p w14:paraId="44B74E7A" w14:textId="77777777" w:rsidR="00522385" w:rsidRPr="00A34059" w:rsidRDefault="00522385" w:rsidP="00522385">
            <w:pPr>
              <w:rPr>
                <w:rFonts w:cs="Arial"/>
              </w:rPr>
            </w:pPr>
          </w:p>
        </w:tc>
        <w:tc>
          <w:tcPr>
            <w:tcW w:w="1813" w:type="dxa"/>
          </w:tcPr>
          <w:p w14:paraId="474A7131" w14:textId="77777777" w:rsidR="00522385" w:rsidRPr="00A34059" w:rsidRDefault="00522385" w:rsidP="00522385">
            <w:pPr>
              <w:rPr>
                <w:rFonts w:cs="Arial"/>
              </w:rPr>
            </w:pPr>
          </w:p>
        </w:tc>
        <w:tc>
          <w:tcPr>
            <w:tcW w:w="1805" w:type="dxa"/>
          </w:tcPr>
          <w:p w14:paraId="0DE53A99" w14:textId="77777777" w:rsidR="00522385" w:rsidRPr="00A34059" w:rsidRDefault="00522385" w:rsidP="00522385">
            <w:pPr>
              <w:rPr>
                <w:rFonts w:cs="Arial"/>
              </w:rPr>
            </w:pPr>
          </w:p>
        </w:tc>
        <w:tc>
          <w:tcPr>
            <w:tcW w:w="1770" w:type="dxa"/>
          </w:tcPr>
          <w:p w14:paraId="2E05B23C" w14:textId="77777777" w:rsidR="00522385" w:rsidRPr="00A34059" w:rsidRDefault="00522385" w:rsidP="00522385">
            <w:pPr>
              <w:rPr>
                <w:rFonts w:cs="Arial"/>
              </w:rPr>
            </w:pPr>
          </w:p>
        </w:tc>
      </w:tr>
      <w:tr w:rsidR="00522385" w14:paraId="177D107C" w14:textId="77777777" w:rsidTr="00522385">
        <w:tc>
          <w:tcPr>
            <w:tcW w:w="2150" w:type="dxa"/>
            <w:vAlign w:val="bottom"/>
          </w:tcPr>
          <w:p w14:paraId="53AAA9DA" w14:textId="1F6FB733" w:rsidR="00522385" w:rsidRPr="00A34059" w:rsidRDefault="00522385" w:rsidP="00522385">
            <w:pPr>
              <w:rPr>
                <w:rFonts w:cs="Arial"/>
              </w:rPr>
            </w:pPr>
            <w:r w:rsidRPr="00A34059">
              <w:rPr>
                <w:rFonts w:cs="Arial"/>
              </w:rPr>
              <w:t>Астения</w:t>
            </w:r>
          </w:p>
        </w:tc>
        <w:tc>
          <w:tcPr>
            <w:tcW w:w="1812" w:type="dxa"/>
            <w:vAlign w:val="bottom"/>
          </w:tcPr>
          <w:p w14:paraId="554300A9" w14:textId="1BD3F16D" w:rsidR="00522385" w:rsidRPr="00A34059" w:rsidRDefault="00522385" w:rsidP="00522385">
            <w:pPr>
              <w:rPr>
                <w:rFonts w:cs="Arial"/>
              </w:rPr>
            </w:pPr>
            <w:r w:rsidRPr="00A34059">
              <w:rPr>
                <w:rFonts w:cs="Arial"/>
              </w:rPr>
              <w:t>27 (7,8)</w:t>
            </w:r>
          </w:p>
        </w:tc>
        <w:tc>
          <w:tcPr>
            <w:tcW w:w="1813" w:type="dxa"/>
            <w:vAlign w:val="bottom"/>
          </w:tcPr>
          <w:p w14:paraId="067D45E4" w14:textId="2CE1AA88" w:rsidR="00522385" w:rsidRPr="00A34059" w:rsidRDefault="00522385" w:rsidP="00522385">
            <w:pPr>
              <w:rPr>
                <w:rFonts w:cs="Arial"/>
              </w:rPr>
            </w:pPr>
            <w:r w:rsidRPr="00A34059">
              <w:rPr>
                <w:rFonts w:cs="Arial"/>
              </w:rPr>
              <w:t>1 (0,3)</w:t>
            </w:r>
          </w:p>
        </w:tc>
        <w:tc>
          <w:tcPr>
            <w:tcW w:w="1805" w:type="dxa"/>
          </w:tcPr>
          <w:p w14:paraId="0EEEDDEC" w14:textId="6857E544" w:rsidR="00522385" w:rsidRPr="00A34059" w:rsidRDefault="00522385" w:rsidP="00522385">
            <w:pPr>
              <w:rPr>
                <w:rFonts w:cs="Arial"/>
              </w:rPr>
            </w:pPr>
            <w:r w:rsidRPr="00A34059">
              <w:rPr>
                <w:rFonts w:cs="Arial"/>
                <w:lang w:val="en-US"/>
              </w:rPr>
              <w:t>13 (7,6)</w:t>
            </w:r>
          </w:p>
        </w:tc>
        <w:tc>
          <w:tcPr>
            <w:tcW w:w="1770" w:type="dxa"/>
          </w:tcPr>
          <w:p w14:paraId="7CC47302" w14:textId="0F0354F2" w:rsidR="00522385" w:rsidRPr="00A34059" w:rsidRDefault="00522385" w:rsidP="00522385">
            <w:pPr>
              <w:rPr>
                <w:rFonts w:cs="Arial"/>
              </w:rPr>
            </w:pPr>
            <w:r w:rsidRPr="00A34059">
              <w:rPr>
                <w:rFonts w:cs="Arial"/>
                <w:lang w:val="en-US"/>
              </w:rPr>
              <w:t>2 (1,2)</w:t>
            </w:r>
          </w:p>
        </w:tc>
      </w:tr>
      <w:tr w:rsidR="00522385" w14:paraId="4492D608" w14:textId="77777777" w:rsidTr="00522385">
        <w:tc>
          <w:tcPr>
            <w:tcW w:w="9350" w:type="dxa"/>
            <w:gridSpan w:val="5"/>
          </w:tcPr>
          <w:p w14:paraId="74CF0229" w14:textId="5B81AB67" w:rsidR="00522385" w:rsidRPr="00A34059" w:rsidRDefault="00522385" w:rsidP="00522385">
            <w:pPr>
              <w:rPr>
                <w:rFonts w:cs="Arial"/>
              </w:rPr>
            </w:pPr>
            <w:r w:rsidRPr="00A34059">
              <w:rPr>
                <w:rFonts w:cs="Arial"/>
                <w:b/>
                <w:bCs/>
              </w:rPr>
              <w:t>Изследвания</w:t>
            </w:r>
          </w:p>
        </w:tc>
      </w:tr>
      <w:tr w:rsidR="00522385" w14:paraId="59B03EB3" w14:textId="77777777" w:rsidTr="00522385">
        <w:tc>
          <w:tcPr>
            <w:tcW w:w="2150" w:type="dxa"/>
          </w:tcPr>
          <w:p w14:paraId="5029C38D" w14:textId="0C28D047" w:rsidR="00522385" w:rsidRPr="00A34059" w:rsidRDefault="00522385" w:rsidP="00522385">
            <w:pPr>
              <w:rPr>
                <w:rFonts w:cs="Arial"/>
              </w:rPr>
            </w:pPr>
            <w:r w:rsidRPr="00A34059">
              <w:rPr>
                <w:rFonts w:cs="Arial"/>
                <w:i/>
                <w:iCs/>
              </w:rPr>
              <w:t>Много чести</w:t>
            </w:r>
          </w:p>
        </w:tc>
        <w:tc>
          <w:tcPr>
            <w:tcW w:w="1812" w:type="dxa"/>
          </w:tcPr>
          <w:p w14:paraId="6D3FDF79" w14:textId="77777777" w:rsidR="00522385" w:rsidRPr="00A34059" w:rsidRDefault="00522385" w:rsidP="00522385">
            <w:pPr>
              <w:rPr>
                <w:rFonts w:cs="Arial"/>
              </w:rPr>
            </w:pPr>
          </w:p>
        </w:tc>
        <w:tc>
          <w:tcPr>
            <w:tcW w:w="1813" w:type="dxa"/>
          </w:tcPr>
          <w:p w14:paraId="466D0A56" w14:textId="77777777" w:rsidR="00522385" w:rsidRPr="00A34059" w:rsidRDefault="00522385" w:rsidP="00522385">
            <w:pPr>
              <w:rPr>
                <w:rFonts w:cs="Arial"/>
              </w:rPr>
            </w:pPr>
          </w:p>
        </w:tc>
        <w:tc>
          <w:tcPr>
            <w:tcW w:w="1805" w:type="dxa"/>
          </w:tcPr>
          <w:p w14:paraId="603255F0" w14:textId="77777777" w:rsidR="00522385" w:rsidRPr="00A34059" w:rsidRDefault="00522385" w:rsidP="00522385">
            <w:pPr>
              <w:rPr>
                <w:rFonts w:cs="Arial"/>
              </w:rPr>
            </w:pPr>
          </w:p>
        </w:tc>
        <w:tc>
          <w:tcPr>
            <w:tcW w:w="1770" w:type="dxa"/>
          </w:tcPr>
          <w:p w14:paraId="0617CA15" w14:textId="77777777" w:rsidR="00522385" w:rsidRPr="00A34059" w:rsidRDefault="00522385" w:rsidP="00522385">
            <w:pPr>
              <w:rPr>
                <w:rFonts w:cs="Arial"/>
              </w:rPr>
            </w:pPr>
          </w:p>
        </w:tc>
      </w:tr>
      <w:tr w:rsidR="00522385" w14:paraId="6AF9C572" w14:textId="77777777" w:rsidTr="00522385">
        <w:tc>
          <w:tcPr>
            <w:tcW w:w="2150" w:type="dxa"/>
          </w:tcPr>
          <w:p w14:paraId="59624646" w14:textId="56827806" w:rsidR="00522385" w:rsidRPr="00A34059" w:rsidRDefault="00522385" w:rsidP="00522385">
            <w:pPr>
              <w:rPr>
                <w:rFonts w:cs="Arial"/>
              </w:rPr>
            </w:pPr>
            <w:r w:rsidRPr="00A34059">
              <w:rPr>
                <w:rFonts w:cs="Arial"/>
              </w:rPr>
              <w:t xml:space="preserve">Повишени </w:t>
            </w:r>
            <w:r w:rsidRPr="005C3D20">
              <w:rPr>
                <w:rFonts w:eastAsia="Times New Roman" w:cs="Arial"/>
                <w:color w:val="000000"/>
                <w:sz w:val="20"/>
                <w:szCs w:val="20"/>
                <w:lang w:eastAsia="bg-BG"/>
              </w:rPr>
              <w:t>AST</w:t>
            </w:r>
          </w:p>
        </w:tc>
        <w:tc>
          <w:tcPr>
            <w:tcW w:w="1812" w:type="dxa"/>
          </w:tcPr>
          <w:p w14:paraId="2A2EBED4" w14:textId="47FA2985" w:rsidR="00522385" w:rsidRPr="00A34059" w:rsidRDefault="00522385" w:rsidP="00522385">
            <w:pPr>
              <w:rPr>
                <w:rFonts w:cs="Arial"/>
              </w:rPr>
            </w:pPr>
            <w:r w:rsidRPr="00A34059">
              <w:rPr>
                <w:rFonts w:cs="Arial"/>
              </w:rPr>
              <w:t>40(11,6)</w:t>
            </w:r>
          </w:p>
        </w:tc>
        <w:tc>
          <w:tcPr>
            <w:tcW w:w="1813" w:type="dxa"/>
          </w:tcPr>
          <w:p w14:paraId="5E5B84DC" w14:textId="6317C069" w:rsidR="00522385" w:rsidRPr="00A34059" w:rsidRDefault="00522385" w:rsidP="00522385">
            <w:pPr>
              <w:rPr>
                <w:rFonts w:cs="Arial"/>
              </w:rPr>
            </w:pPr>
            <w:r w:rsidRPr="00A34059">
              <w:rPr>
                <w:rFonts w:cs="Arial"/>
              </w:rPr>
              <w:t>11 (3,2)</w:t>
            </w:r>
          </w:p>
        </w:tc>
        <w:tc>
          <w:tcPr>
            <w:tcW w:w="1805" w:type="dxa"/>
          </w:tcPr>
          <w:p w14:paraId="7804CE73" w14:textId="213D67F8" w:rsidR="00522385" w:rsidRPr="00A34059" w:rsidRDefault="00522385" w:rsidP="00522385">
            <w:pPr>
              <w:rPr>
                <w:rFonts w:cs="Arial"/>
              </w:rPr>
            </w:pPr>
            <w:r w:rsidRPr="00A34059">
              <w:rPr>
                <w:rFonts w:cs="Arial"/>
              </w:rPr>
              <w:t>13 (7,6)</w:t>
            </w:r>
          </w:p>
        </w:tc>
        <w:tc>
          <w:tcPr>
            <w:tcW w:w="1770" w:type="dxa"/>
          </w:tcPr>
          <w:p w14:paraId="6B710C82" w14:textId="4BCA572E" w:rsidR="00522385" w:rsidRPr="00A34059" w:rsidRDefault="00522385" w:rsidP="00522385">
            <w:pPr>
              <w:rPr>
                <w:rFonts w:cs="Arial"/>
              </w:rPr>
            </w:pPr>
            <w:r w:rsidRPr="00A34059">
              <w:rPr>
                <w:rFonts w:cs="Arial"/>
              </w:rPr>
              <w:t>4(2,3)</w:t>
            </w:r>
          </w:p>
        </w:tc>
      </w:tr>
      <w:tr w:rsidR="00522385" w14:paraId="1CFB6732" w14:textId="77777777" w:rsidTr="00522385">
        <w:tc>
          <w:tcPr>
            <w:tcW w:w="2150" w:type="dxa"/>
          </w:tcPr>
          <w:p w14:paraId="0B1887C0" w14:textId="2C7F617E" w:rsidR="00522385" w:rsidRPr="00A34059" w:rsidRDefault="00522385" w:rsidP="00522385">
            <w:pPr>
              <w:rPr>
                <w:rFonts w:cs="Arial"/>
              </w:rPr>
            </w:pPr>
            <w:r w:rsidRPr="00A34059">
              <w:rPr>
                <w:rFonts w:cs="Arial"/>
                <w:i/>
                <w:iCs/>
              </w:rPr>
              <w:t>Чести</w:t>
            </w:r>
          </w:p>
        </w:tc>
        <w:tc>
          <w:tcPr>
            <w:tcW w:w="1812" w:type="dxa"/>
          </w:tcPr>
          <w:p w14:paraId="471C826D" w14:textId="77777777" w:rsidR="00522385" w:rsidRPr="00A34059" w:rsidRDefault="00522385" w:rsidP="00522385">
            <w:pPr>
              <w:rPr>
                <w:rFonts w:cs="Arial"/>
              </w:rPr>
            </w:pPr>
          </w:p>
        </w:tc>
        <w:tc>
          <w:tcPr>
            <w:tcW w:w="1813" w:type="dxa"/>
          </w:tcPr>
          <w:p w14:paraId="2BC479D9" w14:textId="77777777" w:rsidR="00522385" w:rsidRPr="00A34059" w:rsidRDefault="00522385" w:rsidP="00522385">
            <w:pPr>
              <w:rPr>
                <w:rFonts w:cs="Arial"/>
              </w:rPr>
            </w:pPr>
          </w:p>
        </w:tc>
        <w:tc>
          <w:tcPr>
            <w:tcW w:w="1805" w:type="dxa"/>
          </w:tcPr>
          <w:p w14:paraId="2B83430A" w14:textId="77777777" w:rsidR="00522385" w:rsidRPr="00A34059" w:rsidRDefault="00522385" w:rsidP="00522385">
            <w:pPr>
              <w:rPr>
                <w:rFonts w:cs="Arial"/>
              </w:rPr>
            </w:pPr>
          </w:p>
        </w:tc>
        <w:tc>
          <w:tcPr>
            <w:tcW w:w="1770" w:type="dxa"/>
          </w:tcPr>
          <w:p w14:paraId="65AF9BDD" w14:textId="77777777" w:rsidR="00522385" w:rsidRPr="00A34059" w:rsidRDefault="00522385" w:rsidP="00522385">
            <w:pPr>
              <w:rPr>
                <w:rFonts w:cs="Arial"/>
              </w:rPr>
            </w:pPr>
          </w:p>
        </w:tc>
      </w:tr>
      <w:tr w:rsidR="00522385" w14:paraId="67C48CC1" w14:textId="77777777" w:rsidTr="00522385">
        <w:tc>
          <w:tcPr>
            <w:tcW w:w="2150" w:type="dxa"/>
          </w:tcPr>
          <w:p w14:paraId="73B2B0F1" w14:textId="6F5C3588" w:rsidR="00522385" w:rsidRPr="00A34059" w:rsidRDefault="00522385" w:rsidP="00522385">
            <w:pPr>
              <w:rPr>
                <w:rFonts w:cs="Arial"/>
              </w:rPr>
            </w:pPr>
            <w:r w:rsidRPr="00A34059">
              <w:rPr>
                <w:rFonts w:cs="Arial"/>
              </w:rPr>
              <w:t xml:space="preserve">Повишени </w:t>
            </w:r>
            <w:r w:rsidRPr="005C3D20">
              <w:rPr>
                <w:rFonts w:eastAsia="Times New Roman" w:cs="Arial"/>
                <w:color w:val="000000"/>
                <w:sz w:val="20"/>
                <w:szCs w:val="20"/>
                <w:lang w:val="en-US"/>
              </w:rPr>
              <w:t>ALT</w:t>
            </w:r>
          </w:p>
        </w:tc>
        <w:tc>
          <w:tcPr>
            <w:tcW w:w="1812" w:type="dxa"/>
          </w:tcPr>
          <w:p w14:paraId="293B0E34" w14:textId="0549CDFF" w:rsidR="00522385" w:rsidRPr="00A34059" w:rsidRDefault="00522385" w:rsidP="00522385">
            <w:pPr>
              <w:rPr>
                <w:rFonts w:cs="Arial"/>
              </w:rPr>
            </w:pPr>
            <w:r w:rsidRPr="00A34059">
              <w:rPr>
                <w:rFonts w:cs="Arial"/>
              </w:rPr>
              <w:t>30(8,7)</w:t>
            </w:r>
          </w:p>
        </w:tc>
        <w:tc>
          <w:tcPr>
            <w:tcW w:w="1813" w:type="dxa"/>
          </w:tcPr>
          <w:p w14:paraId="599CB615" w14:textId="7B7058D8" w:rsidR="00522385" w:rsidRPr="00A34059" w:rsidRDefault="00522385" w:rsidP="00522385">
            <w:pPr>
              <w:rPr>
                <w:rFonts w:cs="Arial"/>
              </w:rPr>
            </w:pPr>
            <w:r w:rsidRPr="00A34059">
              <w:rPr>
                <w:rFonts w:cs="Arial"/>
              </w:rPr>
              <w:t>7 (2,0)</w:t>
            </w:r>
          </w:p>
        </w:tc>
        <w:tc>
          <w:tcPr>
            <w:tcW w:w="1805" w:type="dxa"/>
          </w:tcPr>
          <w:p w14:paraId="6C02319F" w14:textId="200D52ED" w:rsidR="00522385" w:rsidRPr="00A34059" w:rsidRDefault="00522385" w:rsidP="00522385">
            <w:pPr>
              <w:rPr>
                <w:rFonts w:cs="Arial"/>
              </w:rPr>
            </w:pPr>
            <w:r w:rsidRPr="00A34059">
              <w:rPr>
                <w:rFonts w:cs="Arial"/>
              </w:rPr>
              <w:t>10(5,8)</w:t>
            </w:r>
          </w:p>
        </w:tc>
        <w:tc>
          <w:tcPr>
            <w:tcW w:w="1770" w:type="dxa"/>
          </w:tcPr>
          <w:p w14:paraId="2B36937B" w14:textId="3A331CB3" w:rsidR="00522385" w:rsidRPr="00A34059" w:rsidRDefault="00522385" w:rsidP="00522385">
            <w:pPr>
              <w:rPr>
                <w:rFonts w:cs="Arial"/>
              </w:rPr>
            </w:pPr>
            <w:r w:rsidRPr="00A34059">
              <w:rPr>
                <w:rFonts w:cs="Arial"/>
              </w:rPr>
              <w:t>1 (0,6)</w:t>
            </w:r>
          </w:p>
        </w:tc>
      </w:tr>
    </w:tbl>
    <w:p w14:paraId="0FB9A69D" w14:textId="1FEA8355" w:rsidR="00A34059" w:rsidRPr="005C3D20" w:rsidRDefault="005C3D20" w:rsidP="00A34059">
      <w:pPr>
        <w:spacing w:line="240" w:lineRule="auto"/>
        <w:rPr>
          <w:rFonts w:eastAsia="Times New Roman" w:cs="Arial"/>
          <w:sz w:val="20"/>
          <w:szCs w:val="20"/>
          <w:lang w:eastAsia="bg-BG"/>
        </w:rPr>
      </w:pPr>
      <w:r w:rsidRPr="005C3D20">
        <w:rPr>
          <w:rFonts w:eastAsia="Times New Roman" w:cs="Arial"/>
          <w:color w:val="000000"/>
          <w:sz w:val="20"/>
          <w:szCs w:val="20"/>
          <w:lang w:val="en-US"/>
        </w:rPr>
        <w:t>ALT =</w:t>
      </w:r>
      <w:r w:rsidR="00A34059" w:rsidRPr="005C3D20">
        <w:rPr>
          <w:rFonts w:eastAsia="Times New Roman" w:cs="Arial"/>
          <w:color w:val="000000"/>
          <w:sz w:val="20"/>
          <w:szCs w:val="20"/>
          <w:lang w:val="en-US"/>
        </w:rPr>
        <w:t xml:space="preserve"> </w:t>
      </w:r>
      <w:r w:rsidRPr="005C3D20">
        <w:rPr>
          <w:rFonts w:eastAsia="Times New Roman" w:cs="Arial"/>
          <w:color w:val="000000"/>
          <w:sz w:val="20"/>
          <w:szCs w:val="20"/>
          <w:lang w:eastAsia="bg-BG"/>
        </w:rPr>
        <w:t>аланин аминотрансфераза; AST =</w:t>
      </w:r>
      <w:r w:rsidR="00A34059" w:rsidRPr="005C3D20">
        <w:rPr>
          <w:rFonts w:eastAsia="Times New Roman" w:cs="Arial"/>
          <w:color w:val="000000"/>
          <w:sz w:val="20"/>
          <w:szCs w:val="20"/>
          <w:lang w:eastAsia="bg-BG"/>
        </w:rPr>
        <w:t xml:space="preserve"> аспартат аминотрансфераза; </w:t>
      </w:r>
      <w:r w:rsidR="00A34059" w:rsidRPr="005C3D20">
        <w:rPr>
          <w:rFonts w:eastAsia="Times New Roman" w:cs="Arial"/>
          <w:color w:val="000000"/>
          <w:sz w:val="20"/>
          <w:szCs w:val="20"/>
          <w:lang w:val="en-US"/>
        </w:rPr>
        <w:t xml:space="preserve">N/n </w:t>
      </w:r>
      <w:r w:rsidRPr="005C3D20">
        <w:rPr>
          <w:rFonts w:eastAsia="Times New Roman" w:cs="Arial"/>
          <w:color w:val="000000"/>
          <w:sz w:val="20"/>
          <w:szCs w:val="20"/>
          <w:lang w:eastAsia="bg-BG"/>
        </w:rPr>
        <w:t>=</w:t>
      </w:r>
      <w:r w:rsidR="00A34059" w:rsidRPr="005C3D20">
        <w:rPr>
          <w:rFonts w:eastAsia="Times New Roman" w:cs="Arial"/>
          <w:color w:val="000000"/>
          <w:sz w:val="20"/>
          <w:szCs w:val="20"/>
          <w:lang w:eastAsia="bg-BG"/>
        </w:rPr>
        <w:t xml:space="preserve"> брой пациенти, </w:t>
      </w:r>
      <w:r w:rsidR="00A34059" w:rsidRPr="005C3D20">
        <w:rPr>
          <w:rFonts w:eastAsia="Times New Roman" w:cs="Arial"/>
          <w:color w:val="000000"/>
          <w:sz w:val="20"/>
          <w:szCs w:val="20"/>
          <w:lang w:val="en-US"/>
        </w:rPr>
        <w:t>N</w:t>
      </w:r>
      <w:r w:rsidRPr="005C3D20">
        <w:rPr>
          <w:rFonts w:eastAsia="Times New Roman" w:cs="Arial"/>
          <w:color w:val="000000"/>
          <w:sz w:val="20"/>
          <w:szCs w:val="20"/>
          <w:lang w:val="en-US"/>
        </w:rPr>
        <w:t>/</w:t>
      </w:r>
      <w:r w:rsidR="00A34059" w:rsidRPr="005C3D20">
        <w:rPr>
          <w:rFonts w:eastAsia="Times New Roman" w:cs="Arial"/>
          <w:color w:val="000000"/>
          <w:sz w:val="20"/>
          <w:szCs w:val="20"/>
          <w:lang w:val="en-US"/>
        </w:rPr>
        <w:t>A</w:t>
      </w:r>
      <w:r w:rsidRPr="005C3D20">
        <w:rPr>
          <w:rFonts w:eastAsia="Times New Roman" w:cs="Arial"/>
          <w:color w:val="000000"/>
          <w:sz w:val="20"/>
          <w:szCs w:val="20"/>
          <w:lang w:val="en-US"/>
        </w:rPr>
        <w:t xml:space="preserve"> </w:t>
      </w:r>
      <w:r w:rsidRPr="005C3D20">
        <w:rPr>
          <w:rFonts w:eastAsia="Times New Roman" w:cs="Arial"/>
          <w:color w:val="000000"/>
          <w:sz w:val="20"/>
          <w:szCs w:val="20"/>
          <w:lang w:eastAsia="bg-BG"/>
        </w:rPr>
        <w:t>=</w:t>
      </w:r>
      <w:r w:rsidR="00A34059" w:rsidRPr="005C3D20">
        <w:rPr>
          <w:rFonts w:eastAsia="Times New Roman" w:cs="Arial"/>
          <w:color w:val="000000"/>
          <w:sz w:val="20"/>
          <w:szCs w:val="20"/>
          <w:lang w:eastAsia="bg-BG"/>
        </w:rPr>
        <w:t xml:space="preserve"> неприложимо.</w:t>
      </w:r>
    </w:p>
    <w:p w14:paraId="60398955" w14:textId="77777777" w:rsidR="00A34059" w:rsidRPr="005C3D20" w:rsidRDefault="00A34059" w:rsidP="00A34059">
      <w:pPr>
        <w:spacing w:line="240" w:lineRule="auto"/>
        <w:rPr>
          <w:rFonts w:eastAsia="Times New Roman" w:cs="Arial"/>
          <w:sz w:val="20"/>
          <w:szCs w:val="20"/>
          <w:lang w:eastAsia="bg-BG"/>
        </w:rPr>
      </w:pPr>
      <w:r w:rsidRPr="005C3D20">
        <w:rPr>
          <w:rFonts w:eastAsia="Times New Roman" w:cs="Arial"/>
          <w:color w:val="000000"/>
          <w:sz w:val="20"/>
          <w:szCs w:val="20"/>
          <w:vertAlign w:val="superscript"/>
          <w:lang w:eastAsia="bg-BG"/>
        </w:rPr>
        <w:t>а</w:t>
      </w:r>
      <w:r w:rsidRPr="005C3D20">
        <w:rPr>
          <w:rFonts w:eastAsia="Times New Roman" w:cs="Arial"/>
          <w:color w:val="000000"/>
          <w:sz w:val="20"/>
          <w:szCs w:val="20"/>
          <w:lang w:eastAsia="bg-BG"/>
        </w:rPr>
        <w:t xml:space="preserve"> Предпочитаните термини (ПТ) са изброени съгласно </w:t>
      </w:r>
      <w:proofErr w:type="spellStart"/>
      <w:r w:rsidRPr="005C3D20">
        <w:rPr>
          <w:rFonts w:eastAsia="Times New Roman" w:cs="Arial"/>
          <w:color w:val="000000"/>
          <w:sz w:val="20"/>
          <w:szCs w:val="20"/>
          <w:lang w:val="en-US"/>
        </w:rPr>
        <w:t>MedDRA</w:t>
      </w:r>
      <w:proofErr w:type="spellEnd"/>
      <w:r w:rsidRPr="005C3D20">
        <w:rPr>
          <w:rFonts w:eastAsia="Times New Roman" w:cs="Arial"/>
          <w:color w:val="000000"/>
          <w:sz w:val="20"/>
          <w:szCs w:val="20"/>
          <w:lang w:val="en-US"/>
        </w:rPr>
        <w:t xml:space="preserve"> </w:t>
      </w:r>
      <w:r w:rsidRPr="005C3D20">
        <w:rPr>
          <w:rFonts w:eastAsia="Times New Roman" w:cs="Arial"/>
          <w:color w:val="000000"/>
          <w:sz w:val="20"/>
          <w:szCs w:val="20"/>
          <w:lang w:eastAsia="bg-BG"/>
        </w:rPr>
        <w:t>17.1.</w:t>
      </w:r>
    </w:p>
    <w:p w14:paraId="111B09CC" w14:textId="77777777" w:rsidR="005C3D20" w:rsidRPr="005C3D20" w:rsidRDefault="005C3D20" w:rsidP="00A34059">
      <w:pPr>
        <w:spacing w:line="240" w:lineRule="auto"/>
        <w:rPr>
          <w:rFonts w:eastAsia="Times New Roman" w:cs="Arial"/>
          <w:color w:val="000000"/>
          <w:sz w:val="20"/>
          <w:szCs w:val="20"/>
          <w:lang w:eastAsia="bg-BG"/>
        </w:rPr>
      </w:pPr>
      <w:r w:rsidRPr="005C3D20">
        <w:rPr>
          <w:rFonts w:eastAsia="Times New Roman" w:cs="Arial"/>
          <w:color w:val="000000"/>
          <w:sz w:val="20"/>
          <w:szCs w:val="20"/>
          <w:vertAlign w:val="superscript"/>
          <w:lang w:eastAsia="bg-BG"/>
        </w:rPr>
        <w:t>б</w:t>
      </w:r>
      <w:r w:rsidR="00A34059" w:rsidRPr="005C3D20">
        <w:rPr>
          <w:rFonts w:eastAsia="Times New Roman" w:cs="Arial"/>
          <w:color w:val="000000"/>
          <w:sz w:val="20"/>
          <w:szCs w:val="20"/>
          <w:lang w:eastAsia="bg-BG"/>
        </w:rPr>
        <w:t xml:space="preserve"> „Инфекции“ включва всички ПТ. които са част от системо-органния клас „Инфекции и инфестации“. </w:t>
      </w:r>
    </w:p>
    <w:p w14:paraId="1A5679D7" w14:textId="0236F328" w:rsidR="00A34059" w:rsidRPr="005C3D20" w:rsidRDefault="005C3D20" w:rsidP="00A34059">
      <w:pPr>
        <w:spacing w:line="240" w:lineRule="auto"/>
        <w:rPr>
          <w:rFonts w:eastAsia="Times New Roman" w:cs="Arial"/>
          <w:sz w:val="20"/>
          <w:szCs w:val="20"/>
          <w:lang w:eastAsia="bg-BG"/>
        </w:rPr>
      </w:pPr>
      <w:r w:rsidRPr="005C3D20">
        <w:rPr>
          <w:rFonts w:eastAsia="Times New Roman" w:cs="Arial"/>
          <w:color w:val="000000"/>
          <w:sz w:val="20"/>
          <w:szCs w:val="20"/>
          <w:vertAlign w:val="superscript"/>
          <w:lang w:eastAsia="bg-BG"/>
        </w:rPr>
        <w:t>в</w:t>
      </w:r>
      <w:r w:rsidR="00A34059" w:rsidRPr="005C3D20">
        <w:rPr>
          <w:rFonts w:eastAsia="Times New Roman" w:cs="Arial"/>
          <w:color w:val="000000"/>
          <w:sz w:val="20"/>
          <w:szCs w:val="20"/>
          <w:lang w:eastAsia="bg-BG"/>
        </w:rPr>
        <w:t xml:space="preserve"> „Неутропения“ включва следните ПТ: неутропения, намален брой на неутрофилите.</w:t>
      </w:r>
    </w:p>
    <w:p w14:paraId="028CFF88" w14:textId="54D322AE" w:rsidR="00A34059" w:rsidRPr="005C3D20" w:rsidRDefault="005C3D20" w:rsidP="00A34059">
      <w:pPr>
        <w:spacing w:line="240" w:lineRule="auto"/>
        <w:rPr>
          <w:rFonts w:eastAsia="Times New Roman" w:cs="Arial"/>
          <w:sz w:val="20"/>
          <w:szCs w:val="20"/>
          <w:lang w:eastAsia="bg-BG"/>
        </w:rPr>
      </w:pPr>
      <w:proofErr w:type="gramStart"/>
      <w:r w:rsidRPr="005C3D20">
        <w:rPr>
          <w:rFonts w:eastAsia="Times New Roman" w:cs="Arial"/>
          <w:color w:val="000000"/>
          <w:sz w:val="20"/>
          <w:szCs w:val="20"/>
          <w:vertAlign w:val="superscript"/>
          <w:lang w:val="en-US"/>
        </w:rPr>
        <w:lastRenderedPageBreak/>
        <w:t>г</w:t>
      </w:r>
      <w:proofErr w:type="gramEnd"/>
      <w:r w:rsidR="00A34059" w:rsidRPr="005C3D20">
        <w:rPr>
          <w:rFonts w:eastAsia="Times New Roman" w:cs="Arial"/>
          <w:color w:val="000000"/>
          <w:sz w:val="20"/>
          <w:szCs w:val="20"/>
          <w:lang w:eastAsia="bg-BG"/>
        </w:rPr>
        <w:t xml:space="preserve">, Левкопения“ включва следните ПТ: левкопения, намален брой на левкоцитите. </w:t>
      </w:r>
      <w:r w:rsidRPr="005C3D20">
        <w:rPr>
          <w:rFonts w:eastAsia="Times New Roman" w:cs="Arial"/>
          <w:color w:val="000000"/>
          <w:sz w:val="20"/>
          <w:szCs w:val="20"/>
          <w:vertAlign w:val="superscript"/>
          <w:lang w:eastAsia="bg-BG"/>
        </w:rPr>
        <w:t>д</w:t>
      </w:r>
      <w:r w:rsidR="00A34059" w:rsidRPr="005C3D20">
        <w:rPr>
          <w:rFonts w:eastAsia="Times New Roman" w:cs="Arial"/>
          <w:color w:val="000000"/>
          <w:sz w:val="20"/>
          <w:szCs w:val="20"/>
          <w:lang w:eastAsia="bg-BG"/>
        </w:rPr>
        <w:t>„Анемия“ включва следните ПТ: анемия, понижен хемоглобин, понижен хематокрит.</w:t>
      </w:r>
    </w:p>
    <w:p w14:paraId="6E9BEB9F" w14:textId="77777777" w:rsidR="005C3D20" w:rsidRPr="005C3D20" w:rsidRDefault="005C3D20" w:rsidP="00A34059">
      <w:pPr>
        <w:spacing w:line="240" w:lineRule="auto"/>
        <w:rPr>
          <w:rFonts w:eastAsia="Times New Roman" w:cs="Arial"/>
          <w:color w:val="000000"/>
          <w:sz w:val="20"/>
          <w:szCs w:val="20"/>
          <w:lang w:eastAsia="bg-BG"/>
        </w:rPr>
      </w:pPr>
      <w:proofErr w:type="gramStart"/>
      <w:r w:rsidRPr="005C3D20">
        <w:rPr>
          <w:rFonts w:eastAsia="Times New Roman" w:cs="Arial"/>
          <w:color w:val="000000"/>
          <w:sz w:val="20"/>
          <w:szCs w:val="20"/>
          <w:vertAlign w:val="superscript"/>
          <w:lang w:val="en-US"/>
        </w:rPr>
        <w:t>е</w:t>
      </w:r>
      <w:proofErr w:type="gramEnd"/>
      <w:r w:rsidR="00A34059" w:rsidRPr="005C3D20">
        <w:rPr>
          <w:rFonts w:eastAsia="Times New Roman" w:cs="Arial"/>
          <w:color w:val="000000"/>
          <w:sz w:val="20"/>
          <w:szCs w:val="20"/>
          <w:lang w:val="en-US"/>
        </w:rPr>
        <w:t xml:space="preserve"> </w:t>
      </w:r>
      <w:r w:rsidR="00A34059" w:rsidRPr="005C3D20">
        <w:rPr>
          <w:rFonts w:eastAsia="Times New Roman" w:cs="Arial"/>
          <w:color w:val="000000"/>
          <w:sz w:val="20"/>
          <w:szCs w:val="20"/>
          <w:lang w:eastAsia="bg-BG"/>
        </w:rPr>
        <w:t>„Тромбоцитопения“ включва следните ПТ: тромбоцитопения,</w:t>
      </w:r>
      <w:r w:rsidRPr="005C3D20">
        <w:rPr>
          <w:rFonts w:eastAsia="Times New Roman" w:cs="Arial"/>
          <w:color w:val="000000"/>
          <w:sz w:val="20"/>
          <w:szCs w:val="20"/>
          <w:lang w:eastAsia="bg-BG"/>
        </w:rPr>
        <w:t xml:space="preserve"> намален брой на тромбоцитите. </w:t>
      </w:r>
    </w:p>
    <w:p w14:paraId="7633B063" w14:textId="27D69842" w:rsidR="00A34059" w:rsidRPr="005C3D20" w:rsidRDefault="005C3D20" w:rsidP="00A34059">
      <w:pPr>
        <w:spacing w:line="240" w:lineRule="auto"/>
        <w:rPr>
          <w:rFonts w:eastAsia="Times New Roman" w:cs="Arial"/>
          <w:sz w:val="20"/>
          <w:szCs w:val="20"/>
          <w:lang w:eastAsia="bg-BG"/>
        </w:rPr>
      </w:pPr>
      <w:r w:rsidRPr="005C3D20">
        <w:rPr>
          <w:rFonts w:eastAsia="Times New Roman" w:cs="Arial"/>
          <w:color w:val="000000"/>
          <w:sz w:val="20"/>
          <w:szCs w:val="20"/>
          <w:vertAlign w:val="superscript"/>
          <w:lang w:eastAsia="bg-BG"/>
        </w:rPr>
        <w:t>ж</w:t>
      </w:r>
      <w:r w:rsidR="00A34059" w:rsidRPr="005C3D20">
        <w:rPr>
          <w:rFonts w:eastAsia="Times New Roman" w:cs="Arial"/>
          <w:color w:val="000000"/>
          <w:sz w:val="20"/>
          <w:szCs w:val="20"/>
          <w:lang w:eastAsia="bg-BG"/>
        </w:rPr>
        <w:t xml:space="preserve"> „Стоматит“ включва следните ПТ: афтозен стоматит, хейлит, глосит, глосодиния, язви в устата, възпаление на лигавиците, болка в устата, орофарингеален дискомфорт, орофариенгеална болка, стоматит.</w:t>
      </w:r>
    </w:p>
    <w:p w14:paraId="3802B7B6" w14:textId="7E0274EB" w:rsidR="00A34059" w:rsidRPr="005C3D20" w:rsidRDefault="005C3D20" w:rsidP="00A34059">
      <w:pPr>
        <w:spacing w:line="240" w:lineRule="auto"/>
        <w:rPr>
          <w:rFonts w:eastAsia="Times New Roman" w:cs="Arial"/>
          <w:sz w:val="20"/>
          <w:szCs w:val="20"/>
          <w:lang w:eastAsia="bg-BG"/>
        </w:rPr>
      </w:pPr>
      <w:r w:rsidRPr="005C3D20">
        <w:rPr>
          <w:rFonts w:eastAsia="Times New Roman" w:cs="Arial"/>
          <w:color w:val="000000"/>
          <w:sz w:val="20"/>
          <w:szCs w:val="20"/>
          <w:vertAlign w:val="superscript"/>
        </w:rPr>
        <w:t>з</w:t>
      </w:r>
      <w:r w:rsidR="00A34059" w:rsidRPr="005C3D20">
        <w:rPr>
          <w:rFonts w:eastAsia="Times New Roman" w:cs="Arial"/>
          <w:color w:val="000000"/>
          <w:sz w:val="20"/>
          <w:szCs w:val="20"/>
          <w:lang w:val="en-US"/>
        </w:rPr>
        <w:t xml:space="preserve"> </w:t>
      </w:r>
      <w:r w:rsidR="00A34059" w:rsidRPr="005C3D20">
        <w:rPr>
          <w:rFonts w:eastAsia="Times New Roman" w:cs="Arial"/>
          <w:color w:val="000000"/>
          <w:sz w:val="20"/>
          <w:szCs w:val="20"/>
          <w:lang w:eastAsia="bg-BG"/>
        </w:rPr>
        <w:t>„Обрив“ включва следните ПТ: обрив, макулолпапулозен обрив, сърбящ обрив, еритематозен обрив, папулозен обрив, дерматит, акнеиформен дерматит, токсичен кожен обрив.</w:t>
      </w:r>
    </w:p>
    <w:p w14:paraId="703A0BDE" w14:textId="77777777" w:rsidR="00A34059" w:rsidRPr="00A34059" w:rsidRDefault="00A34059" w:rsidP="00A34059">
      <w:pPr>
        <w:spacing w:line="240" w:lineRule="auto"/>
        <w:rPr>
          <w:rFonts w:eastAsia="Times New Roman" w:cs="Arial"/>
          <w:color w:val="000000"/>
          <w:u w:val="single"/>
          <w:lang w:eastAsia="bg-BG"/>
        </w:rPr>
      </w:pPr>
    </w:p>
    <w:p w14:paraId="5B4E8154" w14:textId="73B1348D" w:rsidR="00A34059" w:rsidRPr="00A34059" w:rsidRDefault="00A34059" w:rsidP="00A34059">
      <w:pPr>
        <w:spacing w:line="240" w:lineRule="auto"/>
        <w:rPr>
          <w:rFonts w:eastAsia="Times New Roman" w:cs="Arial"/>
          <w:lang w:eastAsia="bg-BG"/>
        </w:rPr>
      </w:pPr>
      <w:r w:rsidRPr="00A34059">
        <w:rPr>
          <w:rFonts w:eastAsia="Times New Roman" w:cs="Arial"/>
          <w:color w:val="000000"/>
          <w:u w:val="single"/>
          <w:lang w:eastAsia="bg-BG"/>
        </w:rPr>
        <w:t>Описание на избрани нежелани реакции</w:t>
      </w:r>
    </w:p>
    <w:p w14:paraId="6DC466E7" w14:textId="77777777" w:rsidR="00A34059" w:rsidRPr="00A34059" w:rsidRDefault="00A34059" w:rsidP="00A34059">
      <w:pPr>
        <w:spacing w:line="240" w:lineRule="auto"/>
        <w:rPr>
          <w:rFonts w:eastAsia="Times New Roman" w:cs="Arial"/>
          <w:lang w:eastAsia="bg-BG"/>
        </w:rPr>
      </w:pPr>
      <w:r w:rsidRPr="00A34059">
        <w:rPr>
          <w:rFonts w:eastAsia="Times New Roman" w:cs="Arial"/>
          <w:i/>
          <w:iCs/>
          <w:color w:val="000000"/>
          <w:lang w:eastAsia="bg-BG"/>
        </w:rPr>
        <w:t>Неутропения</w:t>
      </w:r>
    </w:p>
    <w:p w14:paraId="22ACA1A2" w14:textId="29590CFB" w:rsidR="00A34059" w:rsidRPr="00A34059" w:rsidRDefault="00A34059" w:rsidP="00A34059">
      <w:pPr>
        <w:spacing w:line="240" w:lineRule="auto"/>
        <w:rPr>
          <w:rFonts w:eastAsia="Times New Roman" w:cs="Arial"/>
          <w:lang w:eastAsia="bg-BG"/>
        </w:rPr>
      </w:pPr>
      <w:r w:rsidRPr="00A34059">
        <w:rPr>
          <w:rFonts w:eastAsia="Times New Roman" w:cs="Arial"/>
          <w:color w:val="000000"/>
          <w:lang w:eastAsia="bg-BG"/>
        </w:rPr>
        <w:t xml:space="preserve">При пациентки, получаващи фулвестрант в комбинация с палбоциклиб в </w:t>
      </w:r>
      <w:r w:rsidRPr="00A34059">
        <w:rPr>
          <w:rFonts w:eastAsia="Times New Roman" w:cs="Arial"/>
          <w:color w:val="000000"/>
          <w:lang w:val="en-US"/>
        </w:rPr>
        <w:t xml:space="preserve">PALOMA3 </w:t>
      </w:r>
      <w:r w:rsidRPr="00A34059">
        <w:rPr>
          <w:rFonts w:eastAsia="Times New Roman" w:cs="Arial"/>
          <w:color w:val="000000"/>
          <w:lang w:eastAsia="bg-BG"/>
        </w:rPr>
        <w:t>изпитванет</w:t>
      </w:r>
      <w:r w:rsidR="005C3D20">
        <w:rPr>
          <w:rFonts w:eastAsia="Times New Roman" w:cs="Arial"/>
          <w:color w:val="000000"/>
          <w:lang w:eastAsia="bg-BG"/>
        </w:rPr>
        <w:t xml:space="preserve">о, е съобщавана неутропения от каквато и да е степен при 290 (84,1%) пациенти; </w:t>
      </w:r>
      <w:r w:rsidRPr="00A34059">
        <w:rPr>
          <w:rFonts w:eastAsia="Times New Roman" w:cs="Arial"/>
          <w:color w:val="000000"/>
          <w:lang w:eastAsia="bg-BG"/>
        </w:rPr>
        <w:t xml:space="preserve">неутропения от степен 3 </w:t>
      </w:r>
      <w:r w:rsidR="005C3D20">
        <w:rPr>
          <w:rFonts w:eastAsia="Times New Roman" w:cs="Arial"/>
          <w:color w:val="000000"/>
          <w:lang w:eastAsia="bg-BG"/>
        </w:rPr>
        <w:t>с</w:t>
      </w:r>
      <w:r w:rsidRPr="00A34059">
        <w:rPr>
          <w:rFonts w:eastAsia="Times New Roman" w:cs="Arial"/>
          <w:color w:val="000000"/>
          <w:lang w:eastAsia="bg-BG"/>
        </w:rPr>
        <w:t>е съобщ</w:t>
      </w:r>
      <w:r w:rsidR="005C3D20">
        <w:rPr>
          <w:rFonts w:eastAsia="Times New Roman" w:cs="Arial"/>
          <w:color w:val="000000"/>
          <w:lang w:eastAsia="bg-BG"/>
        </w:rPr>
        <w:t>ава</w:t>
      </w:r>
      <w:r w:rsidRPr="00A34059">
        <w:rPr>
          <w:rFonts w:eastAsia="Times New Roman" w:cs="Arial"/>
          <w:color w:val="000000"/>
          <w:lang w:eastAsia="bg-BG"/>
        </w:rPr>
        <w:t xml:space="preserve"> при 200 (58,</w:t>
      </w:r>
      <w:r w:rsidR="005C3D20">
        <w:rPr>
          <w:rFonts w:eastAsia="Times New Roman" w:cs="Arial"/>
          <w:color w:val="000000"/>
          <w:lang w:eastAsia="bg-BG"/>
        </w:rPr>
        <w:t xml:space="preserve">0%) пациентки, а неутропения </w:t>
      </w:r>
      <w:r w:rsidRPr="00A34059">
        <w:rPr>
          <w:rFonts w:eastAsia="Times New Roman" w:cs="Arial"/>
          <w:color w:val="000000"/>
          <w:lang w:eastAsia="bg-BG"/>
        </w:rPr>
        <w:t xml:space="preserve">степен 4 </w:t>
      </w:r>
      <w:r w:rsidR="005C3D20">
        <w:rPr>
          <w:rFonts w:eastAsia="Times New Roman" w:cs="Arial"/>
          <w:color w:val="000000"/>
          <w:lang w:eastAsia="bg-BG"/>
        </w:rPr>
        <w:t>с</w:t>
      </w:r>
      <w:r w:rsidRPr="00A34059">
        <w:rPr>
          <w:rFonts w:eastAsia="Times New Roman" w:cs="Arial"/>
          <w:color w:val="000000"/>
          <w:lang w:eastAsia="bg-BG"/>
        </w:rPr>
        <w:t>е съобщ</w:t>
      </w:r>
      <w:r w:rsidR="005C3D20">
        <w:rPr>
          <w:rFonts w:eastAsia="Times New Roman" w:cs="Arial"/>
          <w:color w:val="000000"/>
          <w:lang w:eastAsia="bg-BG"/>
        </w:rPr>
        <w:t>ава</w:t>
      </w:r>
      <w:r w:rsidRPr="00A34059">
        <w:rPr>
          <w:rFonts w:eastAsia="Times New Roman" w:cs="Arial"/>
          <w:color w:val="000000"/>
          <w:lang w:eastAsia="bg-BG"/>
        </w:rPr>
        <w:t xml:space="preserve"> при 40 (11,6%) пацие</w:t>
      </w:r>
      <w:r w:rsidR="005C3D20">
        <w:rPr>
          <w:rFonts w:eastAsia="Times New Roman" w:cs="Arial"/>
          <w:color w:val="000000"/>
          <w:lang w:eastAsia="bg-BG"/>
        </w:rPr>
        <w:t>нти. В рамото</w:t>
      </w:r>
      <w:r w:rsidRPr="00A34059">
        <w:rPr>
          <w:rFonts w:eastAsia="Times New Roman" w:cs="Arial"/>
          <w:color w:val="000000"/>
          <w:lang w:eastAsia="bg-BG"/>
        </w:rPr>
        <w:t xml:space="preserve"> на фулвестрант + плацебо (</w:t>
      </w:r>
      <w:r w:rsidRPr="00A34059">
        <w:rPr>
          <w:rFonts w:eastAsia="Times New Roman" w:cs="Arial"/>
          <w:color w:val="000000"/>
          <w:lang w:val="en-US"/>
        </w:rPr>
        <w:t>n</w:t>
      </w:r>
      <w:r w:rsidRPr="00A34059">
        <w:rPr>
          <w:rFonts w:eastAsia="Times New Roman" w:cs="Arial"/>
          <w:color w:val="000000"/>
          <w:lang w:eastAsia="bg-BG"/>
        </w:rPr>
        <w:t xml:space="preserve">=172), неутропения от </w:t>
      </w:r>
      <w:r w:rsidR="00256EBB">
        <w:rPr>
          <w:rFonts w:eastAsia="Times New Roman" w:cs="Arial"/>
          <w:color w:val="000000"/>
          <w:lang w:eastAsia="bg-BG"/>
        </w:rPr>
        <w:t>каквато и да е</w:t>
      </w:r>
      <w:r w:rsidRPr="00A34059">
        <w:rPr>
          <w:rFonts w:eastAsia="Times New Roman" w:cs="Arial"/>
          <w:color w:val="000000"/>
          <w:lang w:eastAsia="bg-BG"/>
        </w:rPr>
        <w:t xml:space="preserve"> степен </w:t>
      </w:r>
      <w:r w:rsidR="00256EBB">
        <w:rPr>
          <w:rFonts w:eastAsia="Times New Roman" w:cs="Arial"/>
          <w:color w:val="000000"/>
          <w:lang w:eastAsia="bg-BG"/>
        </w:rPr>
        <w:t>е съобщена при 6 (3,5%) пациент</w:t>
      </w:r>
      <w:r w:rsidRPr="00A34059">
        <w:rPr>
          <w:rFonts w:eastAsia="Times New Roman" w:cs="Arial"/>
          <w:color w:val="000000"/>
          <w:lang w:eastAsia="bg-BG"/>
        </w:rPr>
        <w:t>и. Н</w:t>
      </w:r>
      <w:r w:rsidR="00256EBB">
        <w:rPr>
          <w:rFonts w:eastAsia="Times New Roman" w:cs="Arial"/>
          <w:color w:val="000000"/>
          <w:lang w:eastAsia="bg-BG"/>
        </w:rPr>
        <w:t xml:space="preserve">яма съобщения за неутропения </w:t>
      </w:r>
      <w:r w:rsidRPr="00A34059">
        <w:rPr>
          <w:rFonts w:eastAsia="Times New Roman" w:cs="Arial"/>
          <w:color w:val="000000"/>
          <w:lang w:eastAsia="bg-BG"/>
        </w:rPr>
        <w:t xml:space="preserve">степен 3 и 4 в </w:t>
      </w:r>
      <w:r w:rsidR="00256EBB">
        <w:rPr>
          <w:rFonts w:eastAsia="Times New Roman" w:cs="Arial"/>
          <w:color w:val="000000"/>
          <w:lang w:eastAsia="bg-BG"/>
        </w:rPr>
        <w:t>рамото</w:t>
      </w:r>
      <w:r w:rsidRPr="00A34059">
        <w:rPr>
          <w:rFonts w:eastAsia="Times New Roman" w:cs="Arial"/>
          <w:color w:val="000000"/>
          <w:lang w:eastAsia="bg-BG"/>
        </w:rPr>
        <w:t xml:space="preserve"> на фулвестрант + плацебо.</w:t>
      </w:r>
    </w:p>
    <w:p w14:paraId="0261BB01" w14:textId="77777777" w:rsidR="00A34059" w:rsidRPr="00A34059" w:rsidRDefault="00A34059" w:rsidP="00A34059">
      <w:pPr>
        <w:spacing w:line="240" w:lineRule="auto"/>
        <w:rPr>
          <w:rFonts w:eastAsia="Times New Roman" w:cs="Arial"/>
          <w:color w:val="000000"/>
          <w:lang w:eastAsia="bg-BG"/>
        </w:rPr>
      </w:pPr>
    </w:p>
    <w:p w14:paraId="53C1851D" w14:textId="500B131D" w:rsidR="00A34059" w:rsidRPr="00A34059" w:rsidRDefault="00256EBB" w:rsidP="00A34059">
      <w:pPr>
        <w:spacing w:line="240" w:lineRule="auto"/>
        <w:rPr>
          <w:rFonts w:eastAsia="Times New Roman" w:cs="Arial"/>
          <w:lang w:eastAsia="bg-BG"/>
        </w:rPr>
      </w:pPr>
      <w:r>
        <w:rPr>
          <w:rFonts w:eastAsia="Times New Roman" w:cs="Arial"/>
          <w:color w:val="000000"/>
          <w:lang w:eastAsia="bg-BG"/>
        </w:rPr>
        <w:t>При пациент</w:t>
      </w:r>
      <w:r w:rsidR="00A34059" w:rsidRPr="00A34059">
        <w:rPr>
          <w:rFonts w:eastAsia="Times New Roman" w:cs="Arial"/>
          <w:color w:val="000000"/>
          <w:lang w:eastAsia="bg-BG"/>
        </w:rPr>
        <w:t>и, получаващи фулвестрант в комбинация с палбоци</w:t>
      </w:r>
      <w:r>
        <w:rPr>
          <w:rFonts w:eastAsia="Times New Roman" w:cs="Arial"/>
          <w:color w:val="000000"/>
          <w:lang w:eastAsia="bg-BG"/>
        </w:rPr>
        <w:t>клиб, медианата на</w:t>
      </w:r>
      <w:r w:rsidR="00A34059" w:rsidRPr="00A34059">
        <w:rPr>
          <w:rFonts w:eastAsia="Times New Roman" w:cs="Arial"/>
          <w:color w:val="000000"/>
          <w:lang w:eastAsia="bg-BG"/>
        </w:rPr>
        <w:t xml:space="preserve"> време</w:t>
      </w:r>
      <w:r>
        <w:rPr>
          <w:rFonts w:eastAsia="Times New Roman" w:cs="Arial"/>
          <w:color w:val="000000"/>
          <w:lang w:eastAsia="bg-BG"/>
        </w:rPr>
        <w:t>то</w:t>
      </w:r>
      <w:r w:rsidR="00A34059" w:rsidRPr="00A34059">
        <w:rPr>
          <w:rFonts w:eastAsia="Times New Roman" w:cs="Arial"/>
          <w:color w:val="000000"/>
          <w:lang w:eastAsia="bg-BG"/>
        </w:rPr>
        <w:t xml:space="preserve"> до първи</w:t>
      </w:r>
      <w:r>
        <w:rPr>
          <w:rFonts w:eastAsia="Times New Roman" w:cs="Arial"/>
          <w:color w:val="000000"/>
          <w:lang w:eastAsia="bg-BG"/>
        </w:rPr>
        <w:t xml:space="preserve">я епизод на неутропения от каквато и да е степен е </w:t>
      </w:r>
      <w:r w:rsidR="00A34059" w:rsidRPr="00A34059">
        <w:rPr>
          <w:rFonts w:eastAsia="Times New Roman" w:cs="Arial"/>
          <w:color w:val="000000"/>
          <w:lang w:eastAsia="bg-BG"/>
        </w:rPr>
        <w:t>15 дни (д</w:t>
      </w:r>
      <w:r>
        <w:rPr>
          <w:rFonts w:eastAsia="Times New Roman" w:cs="Arial"/>
          <w:color w:val="000000"/>
          <w:lang w:eastAsia="bg-BG"/>
        </w:rPr>
        <w:t>иапазон: 13-512 дни), а медианата на</w:t>
      </w:r>
      <w:r w:rsidR="00A34059" w:rsidRPr="00A34059">
        <w:rPr>
          <w:rFonts w:eastAsia="Times New Roman" w:cs="Arial"/>
          <w:color w:val="000000"/>
          <w:lang w:eastAsia="bg-BG"/>
        </w:rPr>
        <w:t xml:space="preserve"> продължителност</w:t>
      </w:r>
      <w:r>
        <w:rPr>
          <w:rFonts w:eastAsia="Times New Roman" w:cs="Arial"/>
          <w:color w:val="000000"/>
          <w:lang w:eastAsia="bg-BG"/>
        </w:rPr>
        <w:t xml:space="preserve">та на неутропения </w:t>
      </w:r>
      <w:r w:rsidR="00A34059" w:rsidRPr="00A34059">
        <w:rPr>
          <w:rFonts w:eastAsia="Times New Roman" w:cs="Arial"/>
          <w:color w:val="000000"/>
          <w:lang w:eastAsia="bg-BG"/>
        </w:rPr>
        <w:t>степен ≥</w:t>
      </w:r>
      <w:r w:rsidR="00A34059" w:rsidRPr="00A34059">
        <w:rPr>
          <w:rFonts w:eastAsia="Times New Roman" w:cs="Arial"/>
          <w:color w:val="000000"/>
          <w:lang w:val="en-US"/>
        </w:rPr>
        <w:t xml:space="preserve"> </w:t>
      </w:r>
      <w:r>
        <w:rPr>
          <w:rFonts w:eastAsia="Times New Roman" w:cs="Arial"/>
          <w:color w:val="000000"/>
          <w:lang w:eastAsia="bg-BG"/>
        </w:rPr>
        <w:t xml:space="preserve">3 е </w:t>
      </w:r>
      <w:r w:rsidR="00A34059" w:rsidRPr="00A34059">
        <w:rPr>
          <w:rFonts w:eastAsia="Times New Roman" w:cs="Arial"/>
          <w:color w:val="000000"/>
          <w:lang w:eastAsia="bg-BG"/>
        </w:rPr>
        <w:t xml:space="preserve">16 дни. Фебрилна неутропения </w:t>
      </w:r>
      <w:r>
        <w:rPr>
          <w:rFonts w:eastAsia="Times New Roman" w:cs="Arial"/>
          <w:color w:val="000000"/>
          <w:lang w:eastAsia="bg-BG"/>
        </w:rPr>
        <w:t>се съобщава при 3 (0,9%) от пациент</w:t>
      </w:r>
      <w:r w:rsidR="00A34059" w:rsidRPr="00A34059">
        <w:rPr>
          <w:rFonts w:eastAsia="Times New Roman" w:cs="Arial"/>
          <w:color w:val="000000"/>
          <w:lang w:eastAsia="bg-BG"/>
        </w:rPr>
        <w:t>ите, получаващи фулвестрант в комбинация с палбоциклиб.</w:t>
      </w:r>
    </w:p>
    <w:p w14:paraId="1064522D" w14:textId="77777777" w:rsidR="00A34059" w:rsidRPr="00A34059" w:rsidRDefault="00A34059" w:rsidP="00A34059">
      <w:pPr>
        <w:spacing w:line="240" w:lineRule="auto"/>
        <w:rPr>
          <w:rFonts w:eastAsia="Times New Roman" w:cs="Arial"/>
          <w:color w:val="000000"/>
          <w:u w:val="single"/>
          <w:lang w:eastAsia="bg-BG"/>
        </w:rPr>
      </w:pPr>
    </w:p>
    <w:p w14:paraId="421C8B64" w14:textId="4743D58D" w:rsidR="00A34059" w:rsidRPr="00A34059" w:rsidRDefault="00A34059" w:rsidP="00A34059">
      <w:pPr>
        <w:spacing w:line="240" w:lineRule="auto"/>
        <w:rPr>
          <w:rFonts w:eastAsia="Times New Roman" w:cs="Arial"/>
          <w:lang w:eastAsia="bg-BG"/>
        </w:rPr>
      </w:pPr>
      <w:r w:rsidRPr="00A34059">
        <w:rPr>
          <w:rFonts w:eastAsia="Times New Roman" w:cs="Arial"/>
          <w:color w:val="000000"/>
          <w:u w:val="single"/>
          <w:lang w:eastAsia="bg-BG"/>
        </w:rPr>
        <w:t>Съобщаване на подозирани нежелани реакции</w:t>
      </w:r>
    </w:p>
    <w:p w14:paraId="19C22716" w14:textId="6B2D5243" w:rsidR="009164B2" w:rsidRPr="00A34059" w:rsidRDefault="00A34059" w:rsidP="00A34059">
      <w:pPr>
        <w:rPr>
          <w:rFonts w:cs="Arial"/>
        </w:rPr>
      </w:pPr>
      <w:r w:rsidRPr="00A34059">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w:t>
      </w:r>
      <w:r w:rsidR="00256EBB">
        <w:rPr>
          <w:rFonts w:eastAsia="Times New Roman" w:cs="Arial"/>
          <w:color w:val="000000"/>
          <w:lang w:eastAsia="bg-BG"/>
        </w:rPr>
        <w:t>Изпълнителна</w:t>
      </w:r>
      <w:r w:rsidRPr="00A34059">
        <w:rPr>
          <w:rFonts w:eastAsia="Times New Roman" w:cs="Arial"/>
          <w:color w:val="000000"/>
          <w:lang w:eastAsia="bg-BG"/>
        </w:rPr>
        <w:t xml:space="preserve"> агенция по лекарствата, ул. „Дамян Груев“ № 8, 1303 София, тел.: +35928903417, уебсайт: </w:t>
      </w:r>
      <w:r w:rsidRPr="00A34059">
        <w:rPr>
          <w:rFonts w:eastAsia="Times New Roman" w:cs="Arial"/>
          <w:lang w:eastAsia="bg-BG"/>
        </w:rPr>
        <w:fldChar w:fldCharType="begin"/>
      </w:r>
      <w:r w:rsidRPr="00A34059">
        <w:rPr>
          <w:rFonts w:eastAsia="Times New Roman" w:cs="Arial"/>
          <w:lang w:eastAsia="bg-BG"/>
        </w:rPr>
        <w:instrText xml:space="preserve"> HYPERLINK "http://www.bda.bg" </w:instrText>
      </w:r>
      <w:r w:rsidRPr="00A34059">
        <w:rPr>
          <w:rFonts w:eastAsia="Times New Roman" w:cs="Arial"/>
          <w:lang w:eastAsia="bg-BG"/>
        </w:rPr>
        <w:fldChar w:fldCharType="separate"/>
      </w:r>
      <w:r w:rsidRPr="00A34059">
        <w:rPr>
          <w:rFonts w:eastAsia="Times New Roman" w:cs="Arial"/>
          <w:color w:val="000000"/>
          <w:u w:val="single"/>
          <w:lang w:val="en-US"/>
        </w:rPr>
        <w:t>www.bda.bg</w:t>
      </w:r>
      <w:r w:rsidRPr="00A34059">
        <w:rPr>
          <w:rFonts w:eastAsia="Times New Roman" w:cs="Arial"/>
          <w:lang w:eastAsia="bg-BG"/>
        </w:rPr>
        <w:fldChar w:fldCharType="end"/>
      </w:r>
      <w:r w:rsidRPr="00A34059">
        <w:rPr>
          <w:rFonts w:eastAsia="Times New Roman" w:cs="Arial"/>
          <w:color w:val="000000"/>
          <w:lang w:val="en-US"/>
        </w:rPr>
        <w:t>.</w:t>
      </w:r>
    </w:p>
    <w:p w14:paraId="2B490CB7" w14:textId="77777777" w:rsidR="00A34059" w:rsidRPr="0091385D" w:rsidRDefault="00A34059" w:rsidP="0091385D"/>
    <w:p w14:paraId="0A023CE0" w14:textId="13F87CFD" w:rsidR="00CF77F7" w:rsidRDefault="002C50EE" w:rsidP="004A448E">
      <w:pPr>
        <w:pStyle w:val="Heading2"/>
      </w:pPr>
      <w:r>
        <w:t>4.9. Предозиране</w:t>
      </w:r>
    </w:p>
    <w:p w14:paraId="3EDFC3FC" w14:textId="296E7EBA" w:rsidR="0091385D" w:rsidRDefault="0091385D" w:rsidP="0091385D"/>
    <w:p w14:paraId="0F0079CB" w14:textId="6EFC1E12" w:rsidR="0091385D" w:rsidRDefault="00256EBB" w:rsidP="0091385D">
      <w:r>
        <w:t>При хора има изолирани</w:t>
      </w:r>
      <w:r w:rsidR="00A34059">
        <w:t xml:space="preserve"> съобщения за пр</w:t>
      </w:r>
      <w:r>
        <w:t>едозиране с фулвестрант</w:t>
      </w:r>
      <w:r w:rsidR="00A34059">
        <w:t xml:space="preserve">. При </w:t>
      </w:r>
      <w:r>
        <w:t xml:space="preserve">настъпване на </w:t>
      </w:r>
      <w:r w:rsidR="00A34059">
        <w:t>предозиране се препоръчва симптоматичн</w:t>
      </w:r>
      <w:r>
        <w:t>о поддържащо лечение. Проучванията върху животни предполагат</w:t>
      </w:r>
      <w:r w:rsidR="00A34059">
        <w:t>, че няма други ефекти освен отнесените директно или индиректно към антиестрогенната активност при високи дози на фулвестрант (вж. точка 5.3).</w:t>
      </w:r>
    </w:p>
    <w:p w14:paraId="48FF1584" w14:textId="77777777" w:rsidR="0091385D" w:rsidRPr="0091385D" w:rsidRDefault="0091385D" w:rsidP="0091385D"/>
    <w:p w14:paraId="02081B24" w14:textId="7CE94171" w:rsidR="00395555" w:rsidRDefault="002C50EE" w:rsidP="008A6AF2">
      <w:pPr>
        <w:pStyle w:val="Heading1"/>
      </w:pPr>
      <w:r>
        <w:t>5. ФАРМАКОЛОГИЧНИ СВОЙСТВА</w:t>
      </w:r>
    </w:p>
    <w:p w14:paraId="1B8079C0" w14:textId="77777777" w:rsidR="0091385D" w:rsidRPr="0091385D" w:rsidRDefault="0091385D" w:rsidP="0091385D"/>
    <w:p w14:paraId="32B6DE66" w14:textId="2ACB6B3B" w:rsidR="00CF77F7" w:rsidRDefault="002C50EE" w:rsidP="004A448E">
      <w:pPr>
        <w:pStyle w:val="Heading2"/>
      </w:pPr>
      <w:r>
        <w:t>5.1. Фармакодинамични свойства</w:t>
      </w:r>
    </w:p>
    <w:p w14:paraId="58DD7DEA" w14:textId="44345EC9" w:rsidR="0091385D" w:rsidRDefault="0091385D" w:rsidP="0091385D"/>
    <w:p w14:paraId="30990113" w14:textId="77777777" w:rsidR="00A34059" w:rsidRPr="00A34059" w:rsidRDefault="00A34059" w:rsidP="00A34059">
      <w:pPr>
        <w:spacing w:line="240" w:lineRule="auto"/>
        <w:rPr>
          <w:rFonts w:eastAsia="Times New Roman" w:cs="Arial"/>
          <w:lang w:eastAsia="bg-BG"/>
        </w:rPr>
      </w:pPr>
      <w:r w:rsidRPr="00A34059">
        <w:rPr>
          <w:rFonts w:eastAsia="Times New Roman" w:cs="Arial"/>
          <w:color w:val="000000"/>
          <w:lang w:eastAsia="bg-BG"/>
        </w:rPr>
        <w:t>Фармакотерапевтична група: Ендокринна терапия, Антиестрогени, АТС код:</w:t>
      </w:r>
      <w:r w:rsidRPr="00A34059">
        <w:rPr>
          <w:rFonts w:eastAsia="Times New Roman" w:cs="Arial"/>
          <w:color w:val="000000"/>
          <w:lang w:val="en-US"/>
        </w:rPr>
        <w:t xml:space="preserve"> L02BA03</w:t>
      </w:r>
    </w:p>
    <w:p w14:paraId="43D7F2B4" w14:textId="77777777" w:rsidR="00A34059" w:rsidRPr="00A34059" w:rsidRDefault="00A34059" w:rsidP="00A34059">
      <w:pPr>
        <w:rPr>
          <w:rFonts w:eastAsia="Times New Roman" w:cs="Arial"/>
          <w:color w:val="000000"/>
          <w:u w:val="single"/>
          <w:lang w:eastAsia="bg-BG"/>
        </w:rPr>
      </w:pPr>
    </w:p>
    <w:p w14:paraId="28252AA0" w14:textId="20CBC1D6" w:rsidR="0091385D" w:rsidRPr="00A34059" w:rsidRDefault="00A34059" w:rsidP="00A34059">
      <w:pPr>
        <w:rPr>
          <w:rFonts w:cs="Arial"/>
        </w:rPr>
      </w:pPr>
      <w:r w:rsidRPr="00A34059">
        <w:rPr>
          <w:rFonts w:eastAsia="Times New Roman" w:cs="Arial"/>
          <w:color w:val="000000"/>
          <w:u w:val="single"/>
          <w:lang w:eastAsia="bg-BG"/>
        </w:rPr>
        <w:t>Механизъм на действие и фармакодинамнчни ефекти</w:t>
      </w:r>
    </w:p>
    <w:p w14:paraId="6133FC61" w14:textId="68439228" w:rsidR="00A34059" w:rsidRPr="00A34059" w:rsidRDefault="00A34059" w:rsidP="00A34059">
      <w:pPr>
        <w:spacing w:line="240" w:lineRule="auto"/>
        <w:rPr>
          <w:rFonts w:eastAsia="Times New Roman" w:cs="Arial"/>
          <w:lang w:eastAsia="bg-BG"/>
        </w:rPr>
      </w:pPr>
      <w:r w:rsidRPr="00A34059">
        <w:rPr>
          <w:rFonts w:eastAsia="Times New Roman" w:cs="Arial"/>
          <w:color w:val="000000"/>
          <w:lang w:eastAsia="bg-BG"/>
        </w:rPr>
        <w:lastRenderedPageBreak/>
        <w:t>Фулвестрант е конкурентен антагонист на естрогеновите рецептори (ЕР) с афинитет, сравним с този на естрадиол. Фулвестрант блокира трофичните действия на естрогените, без да има парциално агонистично (естрогеноподобно) действие. Механизмът му на действие е свързан с понижение на нивата на естроген-рецепторния протеин.</w:t>
      </w:r>
    </w:p>
    <w:p w14:paraId="2265FE71" w14:textId="77777777" w:rsidR="00A34059" w:rsidRPr="00A34059" w:rsidRDefault="00A34059" w:rsidP="00A34059">
      <w:pPr>
        <w:spacing w:line="240" w:lineRule="auto"/>
        <w:rPr>
          <w:rFonts w:eastAsia="Times New Roman" w:cs="Arial"/>
          <w:lang w:eastAsia="bg-BG"/>
        </w:rPr>
      </w:pPr>
      <w:r w:rsidRPr="00A34059">
        <w:rPr>
          <w:rFonts w:eastAsia="Times New Roman" w:cs="Arial"/>
          <w:color w:val="000000"/>
          <w:lang w:eastAsia="bg-BG"/>
        </w:rPr>
        <w:t xml:space="preserve">Клиничните изпитвания при постменопаузални жени с първичен рак на гърдата показват, че фулвестрант значително понижава ЕР протеина при ЕР позитивни тумори в сравнение с плацебо. Също така налице е значително понижение на експресията на прогестероновия рецептор, което е в съответствие с липсата на присъщи естроген-агонистични ефекти. Също така има данни, че фулвестрант 500 </w:t>
      </w:r>
      <w:r w:rsidRPr="00A34059">
        <w:rPr>
          <w:rFonts w:eastAsia="Times New Roman" w:cs="Arial"/>
          <w:color w:val="000000"/>
          <w:lang w:val="en-US"/>
        </w:rPr>
        <w:t xml:space="preserve">mg, </w:t>
      </w:r>
      <w:r w:rsidRPr="00A34059">
        <w:rPr>
          <w:rFonts w:eastAsia="Times New Roman" w:cs="Arial"/>
          <w:color w:val="000000"/>
          <w:lang w:eastAsia="bg-BG"/>
        </w:rPr>
        <w:t xml:space="preserve">приложен при пациенти в менопауза с тумори на гърдата в условията на неоадювантно лечение, потиска експресията на ЕР и на маркера на пролиферация </w:t>
      </w:r>
      <w:r w:rsidRPr="00A34059">
        <w:rPr>
          <w:rFonts w:eastAsia="Times New Roman" w:cs="Arial"/>
          <w:color w:val="000000"/>
          <w:lang w:val="en-US"/>
        </w:rPr>
        <w:t xml:space="preserve">Ki67 </w:t>
      </w:r>
      <w:r w:rsidRPr="00A34059">
        <w:rPr>
          <w:rFonts w:eastAsia="Times New Roman" w:cs="Arial"/>
          <w:color w:val="000000"/>
          <w:lang w:eastAsia="bg-BG"/>
        </w:rPr>
        <w:t xml:space="preserve">в по-голяма степен, отколкото фулвестрант 250 </w:t>
      </w:r>
      <w:r w:rsidRPr="00A34059">
        <w:rPr>
          <w:rFonts w:eastAsia="Times New Roman" w:cs="Arial"/>
          <w:color w:val="000000"/>
          <w:lang w:val="en-US"/>
        </w:rPr>
        <w:t>mg.</w:t>
      </w:r>
    </w:p>
    <w:p w14:paraId="3FB6AEE7" w14:textId="77777777" w:rsidR="00A34059" w:rsidRPr="00A34059" w:rsidRDefault="00A34059" w:rsidP="00A34059">
      <w:pPr>
        <w:spacing w:line="240" w:lineRule="auto"/>
        <w:rPr>
          <w:rFonts w:eastAsia="Times New Roman" w:cs="Arial"/>
          <w:color w:val="000000"/>
          <w:u w:val="single"/>
          <w:lang w:eastAsia="bg-BG"/>
        </w:rPr>
      </w:pPr>
    </w:p>
    <w:p w14:paraId="3DDEE96D" w14:textId="1E37048F" w:rsidR="00A34059" w:rsidRPr="00A34059" w:rsidRDefault="00A34059" w:rsidP="00A34059">
      <w:pPr>
        <w:spacing w:line="240" w:lineRule="auto"/>
        <w:rPr>
          <w:rFonts w:eastAsia="Times New Roman" w:cs="Arial"/>
          <w:lang w:eastAsia="bg-BG"/>
        </w:rPr>
      </w:pPr>
      <w:r w:rsidRPr="00A34059">
        <w:rPr>
          <w:rFonts w:eastAsia="Times New Roman" w:cs="Arial"/>
          <w:color w:val="000000"/>
          <w:u w:val="single"/>
          <w:lang w:eastAsia="bg-BG"/>
        </w:rPr>
        <w:t>Клинична безопасност и ефикасност при авансирал рак на гърдата</w:t>
      </w:r>
    </w:p>
    <w:p w14:paraId="7AA16F48" w14:textId="77777777" w:rsidR="00A34059" w:rsidRPr="00A34059" w:rsidRDefault="00A34059" w:rsidP="00A34059">
      <w:pPr>
        <w:spacing w:line="240" w:lineRule="auto"/>
        <w:rPr>
          <w:rFonts w:eastAsia="Times New Roman" w:cs="Arial"/>
          <w:i/>
          <w:iCs/>
          <w:color w:val="000000"/>
          <w:lang w:eastAsia="bg-BG"/>
        </w:rPr>
      </w:pPr>
    </w:p>
    <w:p w14:paraId="2BADD32A" w14:textId="0F0980DE" w:rsidR="00A34059" w:rsidRPr="00A34059" w:rsidRDefault="00A34059" w:rsidP="00A34059">
      <w:pPr>
        <w:spacing w:line="240" w:lineRule="auto"/>
        <w:rPr>
          <w:rFonts w:eastAsia="Times New Roman" w:cs="Arial"/>
          <w:lang w:eastAsia="bg-BG"/>
        </w:rPr>
      </w:pPr>
      <w:r w:rsidRPr="00A34059">
        <w:rPr>
          <w:rFonts w:eastAsia="Times New Roman" w:cs="Arial"/>
          <w:i/>
          <w:iCs/>
          <w:color w:val="000000"/>
          <w:lang w:eastAsia="bg-BG"/>
        </w:rPr>
        <w:t>Монотерапия</w:t>
      </w:r>
    </w:p>
    <w:p w14:paraId="468AC08F" w14:textId="2CEBEC09" w:rsidR="00A34059" w:rsidRPr="00A34059" w:rsidRDefault="00256EBB" w:rsidP="00A34059">
      <w:pPr>
        <w:spacing w:line="240" w:lineRule="auto"/>
        <w:rPr>
          <w:rFonts w:eastAsia="Times New Roman" w:cs="Arial"/>
          <w:lang w:eastAsia="bg-BG"/>
        </w:rPr>
      </w:pPr>
      <w:r>
        <w:rPr>
          <w:rFonts w:eastAsia="Times New Roman" w:cs="Arial"/>
          <w:color w:val="000000"/>
          <w:lang w:eastAsia="bg-BG"/>
        </w:rPr>
        <w:t>Клинично проучване фаза 3 е приключило</w:t>
      </w:r>
      <w:r w:rsidR="00A34059" w:rsidRPr="00A34059">
        <w:rPr>
          <w:rFonts w:eastAsia="Times New Roman" w:cs="Arial"/>
          <w:color w:val="000000"/>
          <w:lang w:eastAsia="bg-BG"/>
        </w:rPr>
        <w:t xml:space="preserve"> при 736 постменопаузални жени с авансирал рак на гърдата с рецидив по време на или след адювантна ендокринна терапия, или с прогресия след ендокринна терапия за авансирало заболяване. Проучването включва 423 пациенти, които са имали рецидив или прогресия по време на антиестрогенова терапия (АЕ-подгрупа) и 313 пациенти, които са имали рецидив или прогресия по време на терапия с ароматазен инхибитор (АИ-подгрупа). </w:t>
      </w:r>
      <w:r>
        <w:rPr>
          <w:rFonts w:eastAsia="Times New Roman" w:cs="Arial"/>
          <w:color w:val="000000"/>
          <w:lang w:eastAsia="bg-BG"/>
        </w:rPr>
        <w:t>Това проучване</w:t>
      </w:r>
      <w:r w:rsidR="00A34059" w:rsidRPr="00A34059">
        <w:rPr>
          <w:rFonts w:eastAsia="Times New Roman" w:cs="Arial"/>
          <w:color w:val="000000"/>
          <w:lang w:eastAsia="bg-BG"/>
        </w:rPr>
        <w:t xml:space="preserve"> сравнява ефикасността и безопасността на 500 </w:t>
      </w:r>
      <w:r w:rsidR="00A34059" w:rsidRPr="00A34059">
        <w:rPr>
          <w:rFonts w:eastAsia="Times New Roman" w:cs="Arial"/>
          <w:color w:val="000000"/>
          <w:lang w:val="en-US"/>
        </w:rPr>
        <w:t>mg</w:t>
      </w:r>
      <w:r>
        <w:rPr>
          <w:rFonts w:eastAsia="Times New Roman" w:cs="Arial"/>
          <w:color w:val="000000"/>
        </w:rPr>
        <w:t xml:space="preserve"> </w:t>
      </w:r>
      <w:r w:rsidRPr="00A34059">
        <w:rPr>
          <w:rFonts w:eastAsia="Times New Roman" w:cs="Arial"/>
          <w:color w:val="000000"/>
          <w:lang w:eastAsia="bg-BG"/>
        </w:rPr>
        <w:t>фулвестрант</w:t>
      </w:r>
      <w:r w:rsidR="00A34059" w:rsidRPr="00A34059">
        <w:rPr>
          <w:rFonts w:eastAsia="Times New Roman" w:cs="Arial"/>
          <w:color w:val="000000"/>
          <w:lang w:val="en-US"/>
        </w:rPr>
        <w:t xml:space="preserve"> </w:t>
      </w:r>
      <w:r w:rsidR="00A34059" w:rsidRPr="00A34059">
        <w:rPr>
          <w:rFonts w:eastAsia="Times New Roman" w:cs="Arial"/>
          <w:color w:val="000000"/>
          <w:lang w:eastAsia="bg-BG"/>
        </w:rPr>
        <w:t>(</w:t>
      </w:r>
      <w:r w:rsidR="00A34059" w:rsidRPr="00A34059">
        <w:rPr>
          <w:rFonts w:eastAsia="Times New Roman" w:cs="Arial"/>
          <w:color w:val="000000"/>
          <w:lang w:val="en-US"/>
        </w:rPr>
        <w:t>n</w:t>
      </w:r>
      <w:r w:rsidR="00A34059" w:rsidRPr="00A34059">
        <w:rPr>
          <w:rFonts w:eastAsia="Times New Roman" w:cs="Arial"/>
          <w:color w:val="000000"/>
          <w:lang w:eastAsia="bg-BG"/>
        </w:rPr>
        <w:t xml:space="preserve">=362) с тези на 250 </w:t>
      </w:r>
      <w:r w:rsidR="00A34059" w:rsidRPr="00A34059">
        <w:rPr>
          <w:rFonts w:eastAsia="Times New Roman" w:cs="Arial"/>
          <w:color w:val="000000"/>
          <w:lang w:val="en-US"/>
        </w:rPr>
        <w:t>mg</w:t>
      </w:r>
      <w:r>
        <w:rPr>
          <w:rFonts w:eastAsia="Times New Roman" w:cs="Arial"/>
          <w:color w:val="000000"/>
        </w:rPr>
        <w:t xml:space="preserve"> </w:t>
      </w:r>
      <w:r w:rsidRPr="00A34059">
        <w:rPr>
          <w:rFonts w:eastAsia="Times New Roman" w:cs="Arial"/>
          <w:color w:val="000000"/>
          <w:lang w:eastAsia="bg-BG"/>
        </w:rPr>
        <w:t>фулвестрант</w:t>
      </w:r>
      <w:r w:rsidR="00A34059" w:rsidRPr="00A34059">
        <w:rPr>
          <w:rFonts w:eastAsia="Times New Roman" w:cs="Arial"/>
          <w:color w:val="000000"/>
          <w:lang w:val="en-US"/>
        </w:rPr>
        <w:t xml:space="preserve"> </w:t>
      </w:r>
      <w:r w:rsidR="00A34059" w:rsidRPr="00A34059">
        <w:rPr>
          <w:rFonts w:eastAsia="Times New Roman" w:cs="Arial"/>
          <w:color w:val="000000"/>
          <w:lang w:eastAsia="bg-BG"/>
        </w:rPr>
        <w:t>(</w:t>
      </w:r>
      <w:r w:rsidR="00A34059" w:rsidRPr="00A34059">
        <w:rPr>
          <w:rFonts w:eastAsia="Times New Roman" w:cs="Arial"/>
          <w:color w:val="000000"/>
          <w:lang w:val="en-US"/>
        </w:rPr>
        <w:t>n</w:t>
      </w:r>
      <w:r w:rsidR="00A34059" w:rsidRPr="00A34059">
        <w:rPr>
          <w:rFonts w:eastAsia="Times New Roman" w:cs="Arial"/>
          <w:color w:val="000000"/>
          <w:lang w:eastAsia="bg-BG"/>
        </w:rPr>
        <w:t>=374). Първичната крайна точка е преживяемост</w:t>
      </w:r>
      <w:r w:rsidR="00D26BBC">
        <w:rPr>
          <w:rFonts w:eastAsia="Times New Roman" w:cs="Arial"/>
          <w:color w:val="000000"/>
          <w:lang w:eastAsia="bg-BG"/>
        </w:rPr>
        <w:t xml:space="preserve"> без прогресия</w:t>
      </w:r>
      <w:r w:rsidR="00A34059" w:rsidRPr="00A34059">
        <w:rPr>
          <w:rFonts w:eastAsia="Times New Roman" w:cs="Arial"/>
          <w:color w:val="000000"/>
          <w:lang w:eastAsia="bg-BG"/>
        </w:rPr>
        <w:t xml:space="preserve"> (ПБП), а ключовите вторични крайни точки за ефикасност включват степен на обективно повлияване (СОП), степен на клинична полза (СКП) и обща преживяемост (ОП). Резултатите от </w:t>
      </w:r>
      <w:r w:rsidR="00D26BBC">
        <w:rPr>
          <w:rFonts w:eastAsia="Times New Roman" w:cs="Arial"/>
          <w:color w:val="000000"/>
          <w:lang w:eastAsia="bg-BG"/>
        </w:rPr>
        <w:t>проуч</w:t>
      </w:r>
      <w:r w:rsidR="00A34059" w:rsidRPr="00A34059">
        <w:rPr>
          <w:rFonts w:eastAsia="Times New Roman" w:cs="Arial"/>
          <w:color w:val="000000"/>
          <w:lang w:eastAsia="bg-BG"/>
        </w:rPr>
        <w:t xml:space="preserve">ването </w:t>
      </w:r>
      <w:r w:rsidR="00A34059" w:rsidRPr="00A34059">
        <w:rPr>
          <w:rFonts w:eastAsia="Times New Roman" w:cs="Arial"/>
          <w:color w:val="000000"/>
          <w:lang w:val="en-US"/>
        </w:rPr>
        <w:t xml:space="preserve">CONFIRM </w:t>
      </w:r>
      <w:r w:rsidR="00A34059" w:rsidRPr="00A34059">
        <w:rPr>
          <w:rFonts w:eastAsia="Times New Roman" w:cs="Arial"/>
          <w:color w:val="000000"/>
          <w:lang w:eastAsia="bg-BG"/>
        </w:rPr>
        <w:t>по отношение на ефикасността са обобщени в Таблица 3.</w:t>
      </w:r>
    </w:p>
    <w:p w14:paraId="3B58FB48" w14:textId="77777777" w:rsidR="00A34059" w:rsidRPr="00A34059" w:rsidRDefault="00A34059" w:rsidP="00A34059">
      <w:pPr>
        <w:spacing w:line="240" w:lineRule="auto"/>
        <w:rPr>
          <w:rFonts w:eastAsia="Times New Roman" w:cs="Arial"/>
          <w:b/>
          <w:bCs/>
          <w:color w:val="000000"/>
          <w:lang w:eastAsia="bg-BG"/>
        </w:rPr>
      </w:pPr>
    </w:p>
    <w:p w14:paraId="36152471" w14:textId="18041A7C" w:rsidR="0091385D" w:rsidRPr="00A34059" w:rsidRDefault="00A34059" w:rsidP="00A34059">
      <w:pPr>
        <w:spacing w:line="240" w:lineRule="auto"/>
        <w:rPr>
          <w:rFonts w:eastAsia="Times New Roman" w:cs="Arial"/>
          <w:lang w:eastAsia="bg-BG"/>
        </w:rPr>
      </w:pPr>
      <w:r w:rsidRPr="00A34059">
        <w:rPr>
          <w:rFonts w:eastAsia="Times New Roman" w:cs="Arial"/>
          <w:b/>
          <w:bCs/>
          <w:color w:val="000000"/>
          <w:lang w:eastAsia="bg-BG"/>
        </w:rPr>
        <w:t>Таблица 3</w:t>
      </w:r>
      <w:r w:rsidRPr="00A34059">
        <w:rPr>
          <w:rFonts w:eastAsia="Times New Roman" w:cs="Arial"/>
          <w:b/>
          <w:bCs/>
          <w:color w:val="000000"/>
          <w:lang w:eastAsia="bg-BG"/>
        </w:rPr>
        <w:tab/>
        <w:t>Обобщени резултати по отношение на първичната крайна точка (ПБП) и</w:t>
      </w:r>
      <w:r>
        <w:rPr>
          <w:rFonts w:eastAsia="Times New Roman" w:cs="Arial"/>
          <w:lang w:eastAsia="bg-BG"/>
        </w:rPr>
        <w:t xml:space="preserve"> </w:t>
      </w:r>
      <w:r w:rsidRPr="00A34059">
        <w:rPr>
          <w:rFonts w:eastAsia="Times New Roman" w:cs="Arial"/>
          <w:b/>
          <w:bCs/>
          <w:color w:val="000000"/>
          <w:lang w:eastAsia="bg-BG"/>
        </w:rPr>
        <w:t xml:space="preserve">ключовите вторични крайни точки за ефикасност в изпитването </w:t>
      </w:r>
      <w:r w:rsidRPr="00A34059">
        <w:rPr>
          <w:rFonts w:eastAsia="Times New Roman" w:cs="Arial"/>
          <w:b/>
          <w:bCs/>
          <w:color w:val="000000"/>
          <w:lang w:val="en-US"/>
        </w:rPr>
        <w:t>CONFIRM</w:t>
      </w:r>
    </w:p>
    <w:p w14:paraId="20A382CA" w14:textId="6ED7910E" w:rsidR="00A34059" w:rsidRDefault="00A34059" w:rsidP="0091385D"/>
    <w:tbl>
      <w:tblPr>
        <w:tblStyle w:val="TableGrid"/>
        <w:tblW w:w="0" w:type="auto"/>
        <w:tblLook w:val="04A0" w:firstRow="1" w:lastRow="0" w:firstColumn="1" w:lastColumn="0" w:noHBand="0" w:noVBand="1"/>
      </w:tblPr>
      <w:tblGrid>
        <w:gridCol w:w="1732"/>
        <w:gridCol w:w="1651"/>
        <w:gridCol w:w="1651"/>
        <w:gridCol w:w="1426"/>
        <w:gridCol w:w="1436"/>
        <w:gridCol w:w="1454"/>
      </w:tblGrid>
      <w:tr w:rsidR="00022F4A" w14:paraId="08FF4F47" w14:textId="77777777" w:rsidTr="00C4122B">
        <w:tc>
          <w:tcPr>
            <w:tcW w:w="1594" w:type="dxa"/>
          </w:tcPr>
          <w:p w14:paraId="7AB7213A" w14:textId="77777777" w:rsidR="00022F4A" w:rsidRPr="00B13840" w:rsidRDefault="00022F4A" w:rsidP="00022F4A">
            <w:pPr>
              <w:rPr>
                <w:b/>
                <w:bCs/>
              </w:rPr>
            </w:pPr>
            <w:r w:rsidRPr="00B13840">
              <w:rPr>
                <w:b/>
                <w:bCs/>
              </w:rPr>
              <w:t xml:space="preserve">Променлива </w:t>
            </w:r>
          </w:p>
          <w:p w14:paraId="579AF735" w14:textId="77777777" w:rsidR="00022F4A" w:rsidRPr="00B13840" w:rsidRDefault="00022F4A" w:rsidP="00022F4A">
            <w:pPr>
              <w:rPr>
                <w:b/>
                <w:bCs/>
              </w:rPr>
            </w:pPr>
          </w:p>
          <w:p w14:paraId="3FF88717" w14:textId="5E82B65D" w:rsidR="00022F4A" w:rsidRPr="00B13840" w:rsidRDefault="00022F4A" w:rsidP="00022F4A">
            <w:r w:rsidRPr="00B13840">
              <w:rPr>
                <w:b/>
                <w:bCs/>
              </w:rPr>
              <w:t>Метод на оценка; терапевтично сравнение</w:t>
            </w:r>
          </w:p>
        </w:tc>
        <w:tc>
          <w:tcPr>
            <w:tcW w:w="1550" w:type="dxa"/>
          </w:tcPr>
          <w:p w14:paraId="3C635000" w14:textId="188B748F" w:rsidR="00022F4A" w:rsidRPr="00B13840" w:rsidRDefault="00022F4A" w:rsidP="00022F4A">
            <w:r w:rsidRPr="00B13840">
              <w:rPr>
                <w:b/>
                <w:bCs/>
              </w:rPr>
              <w:t xml:space="preserve">Фулвестрант 500 </w:t>
            </w:r>
            <w:r w:rsidRPr="00B13840">
              <w:rPr>
                <w:b/>
                <w:bCs/>
                <w:lang w:val="en-US"/>
              </w:rPr>
              <w:t>mg (N=362)</w:t>
            </w:r>
          </w:p>
        </w:tc>
        <w:tc>
          <w:tcPr>
            <w:tcW w:w="1551" w:type="dxa"/>
          </w:tcPr>
          <w:p w14:paraId="4900F740" w14:textId="3903602D" w:rsidR="00022F4A" w:rsidRPr="00B13840" w:rsidRDefault="00022F4A" w:rsidP="00022F4A">
            <w:r w:rsidRPr="00B13840">
              <w:rPr>
                <w:b/>
                <w:bCs/>
              </w:rPr>
              <w:t xml:space="preserve">Фулвестрант 250 </w:t>
            </w:r>
            <w:r w:rsidRPr="00B13840">
              <w:rPr>
                <w:b/>
                <w:bCs/>
                <w:lang w:val="en-US"/>
              </w:rPr>
              <w:t>mg (N=374)</w:t>
            </w:r>
          </w:p>
        </w:tc>
        <w:tc>
          <w:tcPr>
            <w:tcW w:w="4655" w:type="dxa"/>
            <w:gridSpan w:val="3"/>
            <w:vAlign w:val="bottom"/>
          </w:tcPr>
          <w:p w14:paraId="123358B5" w14:textId="77777777" w:rsidR="00022F4A" w:rsidRPr="00B13840" w:rsidRDefault="00022F4A" w:rsidP="00022F4A">
            <w:pPr>
              <w:rPr>
                <w:b/>
                <w:bCs/>
                <w:u w:val="single"/>
                <w:lang w:val="en-US"/>
              </w:rPr>
            </w:pPr>
            <w:r w:rsidRPr="00B13840">
              <w:rPr>
                <w:b/>
                <w:bCs/>
              </w:rPr>
              <w:t>Сравнение между групите</w:t>
            </w:r>
            <w:r w:rsidRPr="00B13840">
              <w:rPr>
                <w:b/>
                <w:bCs/>
                <w:lang w:val="en-US"/>
              </w:rPr>
              <w:t xml:space="preserve"> </w:t>
            </w:r>
            <w:r w:rsidRPr="00B13840">
              <w:rPr>
                <w:b/>
                <w:bCs/>
                <w:u w:val="single"/>
                <w:lang w:val="en-US"/>
              </w:rPr>
              <w:t>(</w:t>
            </w:r>
            <w:r w:rsidRPr="00B13840">
              <w:rPr>
                <w:b/>
                <w:bCs/>
                <w:u w:val="single"/>
              </w:rPr>
              <w:t>фулвестрант</w:t>
            </w:r>
            <w:r w:rsidRPr="00B13840">
              <w:rPr>
                <w:b/>
                <w:bCs/>
                <w:u w:val="single"/>
                <w:lang w:val="en-US"/>
              </w:rPr>
              <w:t xml:space="preserve"> 500 mg/</w:t>
            </w:r>
            <w:r w:rsidRPr="00B13840">
              <w:rPr>
                <w:b/>
                <w:bCs/>
                <w:u w:val="single"/>
              </w:rPr>
              <w:t xml:space="preserve">фулвестрант </w:t>
            </w:r>
            <w:r w:rsidR="00B13840" w:rsidRPr="00B13840">
              <w:rPr>
                <w:b/>
                <w:bCs/>
                <w:u w:val="single"/>
              </w:rPr>
              <w:t>250</w:t>
            </w:r>
            <w:r w:rsidR="00B13840" w:rsidRPr="00B13840">
              <w:rPr>
                <w:b/>
                <w:bCs/>
                <w:u w:val="single"/>
                <w:lang w:val="en-US"/>
              </w:rPr>
              <w:t xml:space="preserve"> mg)</w:t>
            </w:r>
          </w:p>
          <w:p w14:paraId="3C5B25C7" w14:textId="77777777" w:rsidR="00B13840" w:rsidRPr="00B13840" w:rsidRDefault="00B13840" w:rsidP="00022F4A">
            <w:pPr>
              <w:rPr>
                <w:b/>
                <w:bCs/>
                <w:u w:val="single"/>
                <w:lang w:val="en-US"/>
              </w:rPr>
            </w:pPr>
          </w:p>
          <w:p w14:paraId="1872D919" w14:textId="584E0D41" w:rsidR="00B13840" w:rsidRPr="00B13840" w:rsidRDefault="00B13840" w:rsidP="00022F4A">
            <w:r w:rsidRPr="00B13840">
              <w:rPr>
                <w:b/>
                <w:bCs/>
                <w:u w:val="single"/>
              </w:rPr>
              <w:t xml:space="preserve">Коеф. на риска   </w:t>
            </w:r>
            <w:r w:rsidRPr="00B13840">
              <w:rPr>
                <w:b/>
                <w:bCs/>
                <w:u w:val="single"/>
                <w:lang w:val="en-US"/>
              </w:rPr>
              <w:t>95% CI   p-</w:t>
            </w:r>
            <w:r w:rsidRPr="00B13840">
              <w:rPr>
                <w:b/>
                <w:bCs/>
                <w:u w:val="single"/>
              </w:rPr>
              <w:t>стойност</w:t>
            </w:r>
          </w:p>
        </w:tc>
      </w:tr>
      <w:tr w:rsidR="00022F4A" w14:paraId="315A5A2E" w14:textId="77777777" w:rsidTr="00022F4A">
        <w:tc>
          <w:tcPr>
            <w:tcW w:w="1594" w:type="dxa"/>
          </w:tcPr>
          <w:p w14:paraId="1FAEA4F2" w14:textId="77777777" w:rsidR="00022F4A" w:rsidRPr="00B13840" w:rsidRDefault="00022F4A" w:rsidP="00022F4A">
            <w:pPr>
              <w:rPr>
                <w:b/>
                <w:bCs/>
              </w:rPr>
            </w:pPr>
            <w:r w:rsidRPr="00B13840">
              <w:rPr>
                <w:b/>
                <w:bCs/>
              </w:rPr>
              <w:t>ПБП</w:t>
            </w:r>
          </w:p>
          <w:p w14:paraId="706E1733" w14:textId="77777777" w:rsidR="00022F4A" w:rsidRPr="00B13840" w:rsidRDefault="00022F4A" w:rsidP="00022F4A">
            <w:pPr>
              <w:rPr>
                <w:b/>
                <w:bCs/>
              </w:rPr>
            </w:pPr>
          </w:p>
          <w:p w14:paraId="78493AC4" w14:textId="09FAAA90" w:rsidR="00022F4A" w:rsidRPr="00B13840" w:rsidRDefault="00022F4A" w:rsidP="00022F4A">
            <w:r w:rsidRPr="00B13840">
              <w:rPr>
                <w:b/>
                <w:bCs/>
              </w:rPr>
              <w:t>Медиана по К-М</w:t>
            </w:r>
          </w:p>
          <w:p w14:paraId="346668FB" w14:textId="77777777" w:rsidR="00022F4A" w:rsidRPr="00B13840" w:rsidRDefault="00022F4A" w:rsidP="00022F4A">
            <w:pPr>
              <w:rPr>
                <w:b/>
                <w:bCs/>
              </w:rPr>
            </w:pPr>
            <w:r w:rsidRPr="00B13840">
              <w:rPr>
                <w:b/>
                <w:bCs/>
              </w:rPr>
              <w:t xml:space="preserve">в месеци; коеф. на риска </w:t>
            </w:r>
          </w:p>
          <w:p w14:paraId="4F17938D" w14:textId="77777777" w:rsidR="00022F4A" w:rsidRPr="00B13840" w:rsidRDefault="00022F4A" w:rsidP="00022F4A">
            <w:pPr>
              <w:rPr>
                <w:b/>
                <w:bCs/>
              </w:rPr>
            </w:pPr>
          </w:p>
          <w:p w14:paraId="5CC4CA6D" w14:textId="77777777" w:rsidR="00022F4A" w:rsidRPr="00B13840" w:rsidRDefault="00022F4A" w:rsidP="00022F4A">
            <w:pPr>
              <w:rPr>
                <w:b/>
                <w:bCs/>
              </w:rPr>
            </w:pPr>
            <w:r w:rsidRPr="00B13840">
              <w:rPr>
                <w:b/>
                <w:bCs/>
              </w:rPr>
              <w:t xml:space="preserve">Общо пациенти </w:t>
            </w:r>
          </w:p>
          <w:p w14:paraId="329B4FFD" w14:textId="3470EE47" w:rsidR="00022F4A" w:rsidRPr="00B13840" w:rsidRDefault="00022F4A" w:rsidP="00022F4A">
            <w:pPr>
              <w:rPr>
                <w:b/>
                <w:bCs/>
              </w:rPr>
            </w:pPr>
            <w:r w:rsidRPr="00B13840">
              <w:rPr>
                <w:b/>
                <w:bCs/>
              </w:rPr>
              <w:lastRenderedPageBreak/>
              <w:t xml:space="preserve">-АЕ подгрупа (n=423) </w:t>
            </w:r>
          </w:p>
          <w:p w14:paraId="6B71E192" w14:textId="77777777" w:rsidR="00B13840" w:rsidRPr="00B13840" w:rsidRDefault="00B13840" w:rsidP="00022F4A">
            <w:pPr>
              <w:rPr>
                <w:b/>
                <w:bCs/>
              </w:rPr>
            </w:pPr>
          </w:p>
          <w:p w14:paraId="45911D4D" w14:textId="577E0DEB" w:rsidR="00022F4A" w:rsidRPr="00B13840" w:rsidRDefault="00022F4A" w:rsidP="00022F4A">
            <w:r w:rsidRPr="00B13840">
              <w:rPr>
                <w:b/>
                <w:bCs/>
                <w:lang w:val="en-US"/>
              </w:rPr>
              <w:t xml:space="preserve">-AI </w:t>
            </w:r>
            <w:r w:rsidRPr="00B13840">
              <w:rPr>
                <w:b/>
                <w:bCs/>
              </w:rPr>
              <w:t>подгрупа (n</w:t>
            </w:r>
            <w:r w:rsidR="00B13840">
              <w:rPr>
                <w:b/>
                <w:bCs/>
              </w:rPr>
              <w:t>=313)</w:t>
            </w:r>
          </w:p>
        </w:tc>
        <w:tc>
          <w:tcPr>
            <w:tcW w:w="1550" w:type="dxa"/>
            <w:vAlign w:val="bottom"/>
          </w:tcPr>
          <w:p w14:paraId="392C336C" w14:textId="77777777" w:rsidR="00022F4A" w:rsidRPr="00B13840" w:rsidRDefault="00022F4A" w:rsidP="00022F4A">
            <w:r w:rsidRPr="00B13840">
              <w:lastRenderedPageBreak/>
              <w:t>6,5</w:t>
            </w:r>
          </w:p>
          <w:p w14:paraId="6FBD971D" w14:textId="77777777" w:rsidR="00022F4A" w:rsidRPr="00B13840" w:rsidRDefault="00022F4A" w:rsidP="00022F4A">
            <w:r w:rsidRPr="00B13840">
              <w:t>8,6</w:t>
            </w:r>
          </w:p>
          <w:p w14:paraId="6B1DE9E3" w14:textId="575B2E6B" w:rsidR="00022F4A" w:rsidRPr="00B13840" w:rsidRDefault="00022F4A" w:rsidP="00022F4A">
            <w:r w:rsidRPr="00B13840">
              <w:t>5,4</w:t>
            </w:r>
          </w:p>
        </w:tc>
        <w:tc>
          <w:tcPr>
            <w:tcW w:w="1551" w:type="dxa"/>
            <w:vAlign w:val="bottom"/>
          </w:tcPr>
          <w:p w14:paraId="60109483" w14:textId="77777777" w:rsidR="00022F4A" w:rsidRPr="00B13840" w:rsidRDefault="00022F4A" w:rsidP="00022F4A">
            <w:r w:rsidRPr="00B13840">
              <w:t>5,5</w:t>
            </w:r>
          </w:p>
          <w:p w14:paraId="771E5707" w14:textId="77777777" w:rsidR="00022F4A" w:rsidRPr="00B13840" w:rsidRDefault="00022F4A" w:rsidP="00022F4A">
            <w:r w:rsidRPr="00B13840">
              <w:t>5,8</w:t>
            </w:r>
          </w:p>
          <w:p w14:paraId="75A29E46" w14:textId="61FDA7E5" w:rsidR="00022F4A" w:rsidRPr="00B13840" w:rsidRDefault="00022F4A" w:rsidP="00022F4A">
            <w:r w:rsidRPr="00B13840">
              <w:t>4,1</w:t>
            </w:r>
          </w:p>
        </w:tc>
        <w:tc>
          <w:tcPr>
            <w:tcW w:w="1551" w:type="dxa"/>
            <w:vAlign w:val="bottom"/>
          </w:tcPr>
          <w:p w14:paraId="5B1EDBE0" w14:textId="77777777" w:rsidR="00022F4A" w:rsidRPr="00B13840" w:rsidRDefault="00022F4A" w:rsidP="00022F4A">
            <w:r w:rsidRPr="00B13840">
              <w:t>0,80</w:t>
            </w:r>
          </w:p>
          <w:p w14:paraId="49E5F87E" w14:textId="77777777" w:rsidR="00022F4A" w:rsidRPr="00B13840" w:rsidRDefault="00022F4A" w:rsidP="00022F4A">
            <w:r w:rsidRPr="00B13840">
              <w:t>0,76</w:t>
            </w:r>
          </w:p>
          <w:p w14:paraId="7A9EEA86" w14:textId="167AC4A1" w:rsidR="00022F4A" w:rsidRPr="00B13840" w:rsidRDefault="00022F4A" w:rsidP="00022F4A">
            <w:r w:rsidRPr="00B13840">
              <w:t>0,85</w:t>
            </w:r>
          </w:p>
        </w:tc>
        <w:tc>
          <w:tcPr>
            <w:tcW w:w="1552" w:type="dxa"/>
          </w:tcPr>
          <w:p w14:paraId="139E66C4" w14:textId="77777777" w:rsidR="00022F4A" w:rsidRPr="00B13840" w:rsidRDefault="00B13840" w:rsidP="00022F4A">
            <w:r w:rsidRPr="00B13840">
              <w:t>0,68   0,94</w:t>
            </w:r>
          </w:p>
          <w:p w14:paraId="1BF8FA7D" w14:textId="77777777" w:rsidR="00B13840" w:rsidRPr="00B13840" w:rsidRDefault="00B13840" w:rsidP="00022F4A">
            <w:r w:rsidRPr="00B13840">
              <w:t>0,62   0,94</w:t>
            </w:r>
          </w:p>
          <w:p w14:paraId="3D9803B3" w14:textId="65FFB7F1" w:rsidR="00B13840" w:rsidRPr="00B13840" w:rsidRDefault="00B13840" w:rsidP="00022F4A">
            <w:r w:rsidRPr="00B13840">
              <w:t>0,67   1,08</w:t>
            </w:r>
          </w:p>
        </w:tc>
        <w:tc>
          <w:tcPr>
            <w:tcW w:w="1552" w:type="dxa"/>
          </w:tcPr>
          <w:p w14:paraId="0F396A45" w14:textId="77777777" w:rsidR="00022F4A" w:rsidRPr="00B13840" w:rsidRDefault="00B13840" w:rsidP="00022F4A">
            <w:r w:rsidRPr="00B13840">
              <w:t>0,006</w:t>
            </w:r>
          </w:p>
          <w:p w14:paraId="58D69530" w14:textId="77777777" w:rsidR="00B13840" w:rsidRPr="00B13840" w:rsidRDefault="00B13840" w:rsidP="00022F4A">
            <w:r w:rsidRPr="00B13840">
              <w:t>0,013</w:t>
            </w:r>
          </w:p>
          <w:p w14:paraId="0BD2CEF6" w14:textId="573C03F7" w:rsidR="00B13840" w:rsidRPr="00B13840" w:rsidRDefault="00B13840" w:rsidP="00022F4A">
            <w:r w:rsidRPr="00B13840">
              <w:t>0,105</w:t>
            </w:r>
          </w:p>
        </w:tc>
      </w:tr>
      <w:tr w:rsidR="00B13840" w14:paraId="2FBC83ED" w14:textId="77777777" w:rsidTr="00022F4A">
        <w:tc>
          <w:tcPr>
            <w:tcW w:w="1594" w:type="dxa"/>
          </w:tcPr>
          <w:p w14:paraId="582AC548" w14:textId="77777777" w:rsidR="00B13840" w:rsidRDefault="00B13840" w:rsidP="00022F4A">
            <w:pPr>
              <w:rPr>
                <w:b/>
                <w:bCs/>
                <w:vertAlign w:val="superscript"/>
                <w:lang w:val="en-US"/>
              </w:rPr>
            </w:pPr>
            <w:r>
              <w:rPr>
                <w:b/>
                <w:bCs/>
              </w:rPr>
              <w:t>ОП</w:t>
            </w:r>
            <w:r w:rsidRPr="00B13840">
              <w:rPr>
                <w:b/>
                <w:bCs/>
                <w:vertAlign w:val="superscript"/>
                <w:lang w:val="en-US"/>
              </w:rPr>
              <w:t>b</w:t>
            </w:r>
          </w:p>
          <w:p w14:paraId="3FB2CD45" w14:textId="77777777" w:rsidR="00B13840" w:rsidRDefault="00B13840" w:rsidP="00022F4A">
            <w:pPr>
              <w:rPr>
                <w:b/>
                <w:bCs/>
                <w:vertAlign w:val="superscript"/>
                <w:lang w:val="en-US"/>
              </w:rPr>
            </w:pPr>
          </w:p>
          <w:p w14:paraId="3CC7FEB5" w14:textId="77777777" w:rsidR="00B13840" w:rsidRDefault="00B13840" w:rsidP="00022F4A">
            <w:pPr>
              <w:rPr>
                <w:b/>
                <w:bCs/>
              </w:rPr>
            </w:pPr>
            <w:r>
              <w:rPr>
                <w:b/>
                <w:bCs/>
              </w:rPr>
              <w:t>Медиана по К-М в месеци</w:t>
            </w:r>
            <w:r>
              <w:rPr>
                <w:b/>
                <w:bCs/>
                <w:lang w:val="en-US"/>
              </w:rPr>
              <w:t>;</w:t>
            </w:r>
            <w:r>
              <w:rPr>
                <w:b/>
                <w:bCs/>
              </w:rPr>
              <w:t xml:space="preserve"> коеф. на риска</w:t>
            </w:r>
          </w:p>
          <w:p w14:paraId="64AEFB98" w14:textId="00D6E05C" w:rsidR="00B13840" w:rsidRDefault="00B13840" w:rsidP="00022F4A">
            <w:pPr>
              <w:rPr>
                <w:b/>
                <w:bCs/>
              </w:rPr>
            </w:pPr>
          </w:p>
          <w:p w14:paraId="4CFEC43B" w14:textId="77777777" w:rsidR="00B13840" w:rsidRPr="00B13840" w:rsidRDefault="00B13840" w:rsidP="00B13840">
            <w:pPr>
              <w:rPr>
                <w:b/>
                <w:bCs/>
              </w:rPr>
            </w:pPr>
            <w:r w:rsidRPr="00B13840">
              <w:rPr>
                <w:b/>
                <w:bCs/>
              </w:rPr>
              <w:t xml:space="preserve">-АЕ подгрупа (n=423) </w:t>
            </w:r>
          </w:p>
          <w:p w14:paraId="64BADB9B" w14:textId="77777777" w:rsidR="00B13840" w:rsidRPr="00B13840" w:rsidRDefault="00B13840" w:rsidP="00B13840">
            <w:pPr>
              <w:rPr>
                <w:b/>
                <w:bCs/>
              </w:rPr>
            </w:pPr>
          </w:p>
          <w:p w14:paraId="4E69D435" w14:textId="6F87B0C8" w:rsidR="00B13840" w:rsidRDefault="00B13840" w:rsidP="00B13840">
            <w:pPr>
              <w:rPr>
                <w:b/>
                <w:bCs/>
              </w:rPr>
            </w:pPr>
            <w:r w:rsidRPr="00B13840">
              <w:rPr>
                <w:b/>
                <w:bCs/>
                <w:lang w:val="en-US"/>
              </w:rPr>
              <w:t xml:space="preserve">-AI </w:t>
            </w:r>
            <w:r w:rsidRPr="00B13840">
              <w:rPr>
                <w:b/>
                <w:bCs/>
              </w:rPr>
              <w:t>подгрупа (n</w:t>
            </w:r>
            <w:r>
              <w:rPr>
                <w:b/>
                <w:bCs/>
              </w:rPr>
              <w:t>=313)</w:t>
            </w:r>
          </w:p>
          <w:p w14:paraId="06B805C9" w14:textId="487FAA24" w:rsidR="00B13840" w:rsidRPr="00B13840" w:rsidRDefault="00B13840" w:rsidP="00022F4A">
            <w:pPr>
              <w:rPr>
                <w:b/>
                <w:bCs/>
              </w:rPr>
            </w:pPr>
          </w:p>
        </w:tc>
        <w:tc>
          <w:tcPr>
            <w:tcW w:w="1550" w:type="dxa"/>
            <w:vAlign w:val="bottom"/>
          </w:tcPr>
          <w:p w14:paraId="6E7B16F4" w14:textId="77777777" w:rsidR="00B13840" w:rsidRDefault="00B13840" w:rsidP="00022F4A">
            <w:r>
              <w:t>26,4</w:t>
            </w:r>
          </w:p>
          <w:p w14:paraId="4D01ADB6" w14:textId="77777777" w:rsidR="00B13840" w:rsidRDefault="00B13840" w:rsidP="00022F4A">
            <w:r>
              <w:t>30,6</w:t>
            </w:r>
          </w:p>
          <w:p w14:paraId="5CC2A584" w14:textId="18DC1DA0" w:rsidR="00B13840" w:rsidRPr="00B13840" w:rsidRDefault="00B13840" w:rsidP="00022F4A">
            <w:r>
              <w:t>24,1</w:t>
            </w:r>
          </w:p>
        </w:tc>
        <w:tc>
          <w:tcPr>
            <w:tcW w:w="1551" w:type="dxa"/>
            <w:vAlign w:val="bottom"/>
          </w:tcPr>
          <w:p w14:paraId="5A2893E1" w14:textId="77777777" w:rsidR="00B13840" w:rsidRDefault="00B13840" w:rsidP="00022F4A">
            <w:r>
              <w:t>22,3</w:t>
            </w:r>
          </w:p>
          <w:p w14:paraId="1A45A003" w14:textId="77777777" w:rsidR="00B13840" w:rsidRDefault="00B13840" w:rsidP="00022F4A">
            <w:r>
              <w:t>23,9</w:t>
            </w:r>
          </w:p>
          <w:p w14:paraId="3254AD51" w14:textId="0D151255" w:rsidR="00B13840" w:rsidRPr="00B13840" w:rsidRDefault="00B13840" w:rsidP="00022F4A">
            <w:r>
              <w:t>20,8</w:t>
            </w:r>
          </w:p>
        </w:tc>
        <w:tc>
          <w:tcPr>
            <w:tcW w:w="1551" w:type="dxa"/>
            <w:vAlign w:val="bottom"/>
          </w:tcPr>
          <w:p w14:paraId="1EB43B40" w14:textId="77777777" w:rsidR="00B13840" w:rsidRDefault="00B13840" w:rsidP="00022F4A">
            <w:r>
              <w:t>0,81</w:t>
            </w:r>
          </w:p>
          <w:p w14:paraId="5D23D13E" w14:textId="77777777" w:rsidR="00B13840" w:rsidRDefault="00B13840" w:rsidP="00022F4A">
            <w:r>
              <w:t>0,79</w:t>
            </w:r>
          </w:p>
          <w:p w14:paraId="7589D9A2" w14:textId="225292C5" w:rsidR="00B13840" w:rsidRPr="00B13840" w:rsidRDefault="00B13840" w:rsidP="00022F4A">
            <w:r>
              <w:t>0,86</w:t>
            </w:r>
          </w:p>
        </w:tc>
        <w:tc>
          <w:tcPr>
            <w:tcW w:w="1552" w:type="dxa"/>
          </w:tcPr>
          <w:p w14:paraId="5240D864" w14:textId="34806056" w:rsidR="00B13840" w:rsidRPr="00B13840" w:rsidRDefault="00B13840" w:rsidP="00022F4A">
            <w:r>
              <w:t>0,69</w:t>
            </w:r>
            <w:r>
              <w:rPr>
                <w:lang w:val="en-US"/>
              </w:rPr>
              <w:t>; 0</w:t>
            </w:r>
            <w:r>
              <w:t>,96</w:t>
            </w:r>
          </w:p>
          <w:p w14:paraId="5FFC0E2D" w14:textId="04837855" w:rsidR="00B13840" w:rsidRPr="00B13840" w:rsidRDefault="00B13840" w:rsidP="00022F4A">
            <w:r>
              <w:t>0,63</w:t>
            </w:r>
            <w:r>
              <w:rPr>
                <w:lang w:val="en-US"/>
              </w:rPr>
              <w:t>;</w:t>
            </w:r>
            <w:r>
              <w:t xml:space="preserve"> 0,99</w:t>
            </w:r>
          </w:p>
          <w:p w14:paraId="446F1A8E" w14:textId="1CA971C8" w:rsidR="00B13840" w:rsidRPr="00B13840" w:rsidRDefault="00B13840" w:rsidP="00022F4A">
            <w:r>
              <w:t>0,67</w:t>
            </w:r>
            <w:r>
              <w:rPr>
                <w:lang w:val="en-US"/>
              </w:rPr>
              <w:t>;</w:t>
            </w:r>
            <w:r>
              <w:t xml:space="preserve"> 1,11</w:t>
            </w:r>
          </w:p>
        </w:tc>
        <w:tc>
          <w:tcPr>
            <w:tcW w:w="1552" w:type="dxa"/>
          </w:tcPr>
          <w:p w14:paraId="422B2C0F" w14:textId="0EE327E0" w:rsidR="00B13840" w:rsidRPr="00B13840" w:rsidRDefault="00B13840" w:rsidP="00022F4A">
            <w:pPr>
              <w:rPr>
                <w:lang w:val="en-US"/>
              </w:rPr>
            </w:pPr>
            <w:r>
              <w:t>0,016</w:t>
            </w:r>
            <w:r w:rsidRPr="00B13840">
              <w:rPr>
                <w:vertAlign w:val="superscript"/>
                <w:lang w:val="en-US"/>
              </w:rPr>
              <w:t>c</w:t>
            </w:r>
          </w:p>
          <w:p w14:paraId="74A29B10" w14:textId="3B7D7E93" w:rsidR="00B13840" w:rsidRPr="00B13840" w:rsidRDefault="00B13840" w:rsidP="00022F4A">
            <w:pPr>
              <w:rPr>
                <w:lang w:val="en-US"/>
              </w:rPr>
            </w:pPr>
            <w:r>
              <w:t>0,038</w:t>
            </w:r>
            <w:r w:rsidRPr="00B13840">
              <w:rPr>
                <w:vertAlign w:val="superscript"/>
                <w:lang w:val="en-US"/>
              </w:rPr>
              <w:t>c</w:t>
            </w:r>
          </w:p>
          <w:p w14:paraId="755A996B" w14:textId="586DB1F4" w:rsidR="00B13840" w:rsidRPr="00B13840" w:rsidRDefault="00B13840" w:rsidP="00022F4A">
            <w:pPr>
              <w:rPr>
                <w:lang w:val="en-US"/>
              </w:rPr>
            </w:pPr>
            <w:r>
              <w:t>0,241</w:t>
            </w:r>
            <w:r w:rsidRPr="00B13840">
              <w:rPr>
                <w:vertAlign w:val="superscript"/>
                <w:lang w:val="en-US"/>
              </w:rPr>
              <w:t>c</w:t>
            </w:r>
          </w:p>
        </w:tc>
      </w:tr>
    </w:tbl>
    <w:p w14:paraId="2EBE7A3C" w14:textId="267FDD64" w:rsidR="00852A5A" w:rsidRDefault="00852A5A" w:rsidP="0091385D"/>
    <w:tbl>
      <w:tblPr>
        <w:tblStyle w:val="TableGrid"/>
        <w:tblW w:w="0" w:type="auto"/>
        <w:tblLook w:val="04A0" w:firstRow="1" w:lastRow="0" w:firstColumn="1" w:lastColumn="0" w:noHBand="0" w:noVBand="1"/>
      </w:tblPr>
      <w:tblGrid>
        <w:gridCol w:w="2394"/>
        <w:gridCol w:w="718"/>
        <w:gridCol w:w="933"/>
        <w:gridCol w:w="759"/>
        <w:gridCol w:w="558"/>
        <w:gridCol w:w="950"/>
        <w:gridCol w:w="1518"/>
        <w:gridCol w:w="468"/>
        <w:gridCol w:w="982"/>
        <w:gridCol w:w="70"/>
      </w:tblGrid>
      <w:tr w:rsidR="00852A5A" w14:paraId="57847B0F" w14:textId="77777777" w:rsidTr="00852A5A">
        <w:tc>
          <w:tcPr>
            <w:tcW w:w="2477" w:type="dxa"/>
          </w:tcPr>
          <w:p w14:paraId="57F1A498" w14:textId="1F45D621" w:rsidR="00852A5A" w:rsidRPr="00852A5A" w:rsidRDefault="00852A5A" w:rsidP="00852A5A">
            <w:r w:rsidRPr="00852A5A">
              <w:rPr>
                <w:b/>
                <w:bCs/>
              </w:rPr>
              <w:t>Променлива Метод на оценка; терапевтично сравнение</w:t>
            </w:r>
          </w:p>
        </w:tc>
        <w:tc>
          <w:tcPr>
            <w:tcW w:w="1651" w:type="dxa"/>
            <w:gridSpan w:val="2"/>
          </w:tcPr>
          <w:p w14:paraId="6C442DB6" w14:textId="55346C28" w:rsidR="00852A5A" w:rsidRPr="00852A5A" w:rsidRDefault="00852A5A" w:rsidP="00852A5A">
            <w:r w:rsidRPr="00852A5A">
              <w:rPr>
                <w:b/>
                <w:bCs/>
              </w:rPr>
              <w:t xml:space="preserve">Фулвестрант 500 </w:t>
            </w:r>
            <w:r w:rsidRPr="00852A5A">
              <w:rPr>
                <w:b/>
                <w:bCs/>
                <w:lang w:val="en-US"/>
              </w:rPr>
              <w:t>mg (N=362)</w:t>
            </w:r>
          </w:p>
        </w:tc>
        <w:tc>
          <w:tcPr>
            <w:tcW w:w="1321" w:type="dxa"/>
            <w:gridSpan w:val="2"/>
          </w:tcPr>
          <w:p w14:paraId="0E9A9ECC" w14:textId="57260EE6" w:rsidR="00852A5A" w:rsidRPr="00852A5A" w:rsidRDefault="00852A5A" w:rsidP="00852A5A">
            <w:r w:rsidRPr="00852A5A">
              <w:rPr>
                <w:b/>
                <w:bCs/>
              </w:rPr>
              <w:t xml:space="preserve">Фулвестр ант 250 </w:t>
            </w:r>
            <w:r w:rsidRPr="00852A5A">
              <w:rPr>
                <w:b/>
                <w:bCs/>
                <w:lang w:val="en-US"/>
              </w:rPr>
              <w:t>mg (N=374)</w:t>
            </w:r>
          </w:p>
        </w:tc>
        <w:tc>
          <w:tcPr>
            <w:tcW w:w="3013" w:type="dxa"/>
            <w:gridSpan w:val="3"/>
            <w:vAlign w:val="bottom"/>
          </w:tcPr>
          <w:p w14:paraId="34DCA344" w14:textId="77777777" w:rsidR="00852A5A" w:rsidRPr="00852A5A" w:rsidRDefault="00852A5A" w:rsidP="00852A5A">
            <w:r w:rsidRPr="00852A5A">
              <w:rPr>
                <w:b/>
                <w:bCs/>
              </w:rPr>
              <w:t xml:space="preserve">Сравнение между групите (Фулвестрант 500 </w:t>
            </w:r>
            <w:r w:rsidRPr="00852A5A">
              <w:rPr>
                <w:b/>
                <w:bCs/>
                <w:lang w:val="en-US"/>
              </w:rPr>
              <w:t>mg</w:t>
            </w:r>
            <w:r w:rsidRPr="00852A5A">
              <w:rPr>
                <w:b/>
                <w:bCs/>
              </w:rPr>
              <w:t xml:space="preserve">/Фулвестрант 250 </w:t>
            </w:r>
            <w:r w:rsidRPr="00852A5A">
              <w:rPr>
                <w:b/>
                <w:bCs/>
                <w:lang w:val="en-US"/>
              </w:rPr>
              <w:t xml:space="preserve">mg) </w:t>
            </w:r>
            <w:r w:rsidRPr="00852A5A">
              <w:rPr>
                <w:b/>
                <w:bCs/>
              </w:rPr>
              <w:t>Абсолютна разлика в %</w:t>
            </w:r>
          </w:p>
          <w:p w14:paraId="7B917C71" w14:textId="4280B689" w:rsidR="00852A5A" w:rsidRPr="00852A5A" w:rsidRDefault="00852A5A" w:rsidP="00852A5A"/>
          <w:p w14:paraId="691C4905" w14:textId="49731624" w:rsidR="00852A5A" w:rsidRPr="00B47ABB" w:rsidRDefault="00852A5A" w:rsidP="00B47ABB">
            <w:pPr>
              <w:jc w:val="right"/>
              <w:rPr>
                <w:lang w:val="en-US"/>
              </w:rPr>
            </w:pPr>
            <w:r w:rsidRPr="00852A5A">
              <w:rPr>
                <w:b/>
                <w:bCs/>
              </w:rPr>
              <w:t>95%</w:t>
            </w:r>
            <w:r w:rsidRPr="00852A5A">
              <w:rPr>
                <w:b/>
                <w:bCs/>
                <w:lang w:val="en-US"/>
              </w:rPr>
              <w:t xml:space="preserve"> </w:t>
            </w:r>
            <w:r w:rsidR="00B47ABB">
              <w:rPr>
                <w:b/>
                <w:bCs/>
                <w:lang w:val="en-US"/>
              </w:rPr>
              <w:t>CI</w:t>
            </w:r>
          </w:p>
        </w:tc>
        <w:tc>
          <w:tcPr>
            <w:tcW w:w="1114" w:type="dxa"/>
            <w:gridSpan w:val="2"/>
          </w:tcPr>
          <w:p w14:paraId="7D2A36C7" w14:textId="77777777" w:rsidR="00852A5A" w:rsidRDefault="00852A5A" w:rsidP="00852A5A"/>
        </w:tc>
      </w:tr>
      <w:tr w:rsidR="00852A5A" w:rsidRPr="00852A5A" w14:paraId="407A1904" w14:textId="77777777" w:rsidTr="00852A5A">
        <w:trPr>
          <w:gridAfter w:val="7"/>
          <w:wAfter w:w="5448" w:type="dxa"/>
        </w:trPr>
        <w:tc>
          <w:tcPr>
            <w:tcW w:w="4128" w:type="dxa"/>
            <w:gridSpan w:val="3"/>
          </w:tcPr>
          <w:p w14:paraId="31BB13F9" w14:textId="77777777" w:rsidR="00852A5A" w:rsidRPr="00852A5A" w:rsidRDefault="00852A5A" w:rsidP="00852A5A">
            <w:pPr>
              <w:spacing w:line="240" w:lineRule="auto"/>
              <w:rPr>
                <w:rFonts w:eastAsia="Times New Roman" w:cs="Arial"/>
                <w:lang w:eastAsia="bg-BG"/>
              </w:rPr>
            </w:pPr>
            <w:r w:rsidRPr="00852A5A">
              <w:rPr>
                <w:rFonts w:eastAsia="Times New Roman" w:cs="Arial"/>
                <w:b/>
                <w:bCs/>
                <w:color w:val="000000"/>
                <w:lang w:val="en-US"/>
              </w:rPr>
              <w:t>CO</w:t>
            </w:r>
            <w:r w:rsidRPr="00852A5A">
              <w:rPr>
                <w:rFonts w:eastAsia="Times New Roman" w:cs="Arial"/>
                <w:b/>
                <w:bCs/>
                <w:color w:val="000000"/>
                <w:lang w:eastAsia="bg-BG"/>
              </w:rPr>
              <w:t>П</w:t>
            </w:r>
            <w:r w:rsidRPr="00852A5A">
              <w:rPr>
                <w:rFonts w:eastAsia="Times New Roman" w:cs="Arial"/>
                <w:b/>
                <w:bCs/>
                <w:color w:val="000000"/>
                <w:vertAlign w:val="superscript"/>
                <w:lang w:val="en-US"/>
              </w:rPr>
              <w:t>d</w:t>
            </w:r>
            <w:r w:rsidRPr="00852A5A">
              <w:rPr>
                <w:rFonts w:eastAsia="Times New Roman" w:cs="Arial"/>
                <w:b/>
                <w:bCs/>
                <w:color w:val="000000"/>
                <w:lang w:val="en-US"/>
              </w:rPr>
              <w:tab/>
            </w:r>
            <w:r w:rsidRPr="00852A5A">
              <w:rPr>
                <w:rFonts w:eastAsia="Times New Roman" w:cs="Arial"/>
                <w:b/>
                <w:bCs/>
                <w:color w:val="000000"/>
                <w:lang w:eastAsia="bg-BG"/>
              </w:rPr>
              <w:t>% пациенти</w:t>
            </w:r>
          </w:p>
          <w:p w14:paraId="70FA0DB2" w14:textId="77777777" w:rsidR="00852A5A" w:rsidRPr="00852A5A" w:rsidRDefault="00852A5A" w:rsidP="00852A5A">
            <w:pPr>
              <w:spacing w:line="240" w:lineRule="auto"/>
              <w:rPr>
                <w:rFonts w:eastAsia="Times New Roman" w:cs="Arial"/>
                <w:lang w:eastAsia="bg-BG"/>
              </w:rPr>
            </w:pPr>
            <w:r w:rsidRPr="00852A5A">
              <w:rPr>
                <w:rFonts w:eastAsia="Times New Roman" w:cs="Arial"/>
                <w:b/>
                <w:bCs/>
                <w:color w:val="000000"/>
                <w:lang w:eastAsia="bg-BG"/>
              </w:rPr>
              <w:t>с ОО;</w:t>
            </w:r>
          </w:p>
          <w:p w14:paraId="3C22256E" w14:textId="77777777" w:rsidR="00852A5A" w:rsidRPr="00852A5A" w:rsidRDefault="00852A5A" w:rsidP="00852A5A">
            <w:pPr>
              <w:rPr>
                <w:rFonts w:cs="Arial"/>
                <w:b/>
                <w:bCs/>
              </w:rPr>
            </w:pPr>
          </w:p>
        </w:tc>
      </w:tr>
      <w:tr w:rsidR="00852A5A" w14:paraId="069BD16E" w14:textId="77777777" w:rsidTr="00852A5A">
        <w:trPr>
          <w:gridAfter w:val="1"/>
          <w:wAfter w:w="77" w:type="dxa"/>
        </w:trPr>
        <w:tc>
          <w:tcPr>
            <w:tcW w:w="3195" w:type="dxa"/>
            <w:gridSpan w:val="2"/>
          </w:tcPr>
          <w:p w14:paraId="30D55F13" w14:textId="35EC429B" w:rsidR="00852A5A" w:rsidRPr="00852A5A" w:rsidRDefault="00852A5A" w:rsidP="00852A5A">
            <w:pPr>
              <w:jc w:val="right"/>
              <w:rPr>
                <w:rFonts w:cs="Arial"/>
              </w:rPr>
            </w:pPr>
            <w:r w:rsidRPr="00852A5A">
              <w:rPr>
                <w:rFonts w:cs="Arial"/>
                <w:b/>
                <w:bCs/>
              </w:rPr>
              <w:t>абсолютна</w:t>
            </w:r>
          </w:p>
        </w:tc>
        <w:tc>
          <w:tcPr>
            <w:tcW w:w="1692" w:type="dxa"/>
            <w:gridSpan w:val="2"/>
          </w:tcPr>
          <w:p w14:paraId="04AD32D3" w14:textId="77777777" w:rsidR="00852A5A" w:rsidRPr="00852A5A" w:rsidRDefault="00852A5A" w:rsidP="00852A5A">
            <w:pPr>
              <w:rPr>
                <w:rFonts w:cs="Arial"/>
              </w:rPr>
            </w:pPr>
          </w:p>
        </w:tc>
        <w:tc>
          <w:tcPr>
            <w:tcW w:w="1560" w:type="dxa"/>
            <w:gridSpan w:val="2"/>
          </w:tcPr>
          <w:p w14:paraId="038370BE" w14:textId="77777777" w:rsidR="00852A5A" w:rsidRPr="00852A5A" w:rsidRDefault="00852A5A" w:rsidP="00852A5A">
            <w:pPr>
              <w:rPr>
                <w:rFonts w:cs="Arial"/>
              </w:rPr>
            </w:pPr>
          </w:p>
        </w:tc>
        <w:tc>
          <w:tcPr>
            <w:tcW w:w="1547" w:type="dxa"/>
          </w:tcPr>
          <w:p w14:paraId="6488E351" w14:textId="77777777" w:rsidR="00852A5A" w:rsidRPr="00852A5A" w:rsidRDefault="00852A5A" w:rsidP="00852A5A">
            <w:pPr>
              <w:rPr>
                <w:rFonts w:cs="Arial"/>
              </w:rPr>
            </w:pPr>
          </w:p>
        </w:tc>
        <w:tc>
          <w:tcPr>
            <w:tcW w:w="1505" w:type="dxa"/>
            <w:gridSpan w:val="2"/>
          </w:tcPr>
          <w:p w14:paraId="72858067" w14:textId="77777777" w:rsidR="00852A5A" w:rsidRPr="00852A5A" w:rsidRDefault="00852A5A" w:rsidP="00852A5A">
            <w:pPr>
              <w:rPr>
                <w:rFonts w:cs="Arial"/>
              </w:rPr>
            </w:pPr>
          </w:p>
        </w:tc>
      </w:tr>
      <w:tr w:rsidR="00852A5A" w14:paraId="23CBFEA5" w14:textId="77777777" w:rsidTr="008C464A">
        <w:trPr>
          <w:gridAfter w:val="1"/>
          <w:wAfter w:w="77" w:type="dxa"/>
        </w:trPr>
        <w:tc>
          <w:tcPr>
            <w:tcW w:w="3195" w:type="dxa"/>
            <w:gridSpan w:val="2"/>
          </w:tcPr>
          <w:p w14:paraId="6FF461C6" w14:textId="43C40D2C" w:rsidR="00852A5A" w:rsidRPr="00852A5A" w:rsidRDefault="00852A5A" w:rsidP="00852A5A">
            <w:pPr>
              <w:jc w:val="right"/>
              <w:rPr>
                <w:rFonts w:cs="Arial"/>
              </w:rPr>
            </w:pPr>
            <w:r w:rsidRPr="00852A5A">
              <w:rPr>
                <w:rFonts w:cs="Arial"/>
                <w:b/>
                <w:bCs/>
              </w:rPr>
              <w:t>разлика в %</w:t>
            </w:r>
          </w:p>
        </w:tc>
        <w:tc>
          <w:tcPr>
            <w:tcW w:w="1692" w:type="dxa"/>
            <w:gridSpan w:val="2"/>
          </w:tcPr>
          <w:p w14:paraId="0D57DFFF" w14:textId="77777777" w:rsidR="00852A5A" w:rsidRPr="00852A5A" w:rsidRDefault="00852A5A" w:rsidP="00852A5A">
            <w:pPr>
              <w:rPr>
                <w:rFonts w:cs="Arial"/>
              </w:rPr>
            </w:pPr>
          </w:p>
        </w:tc>
        <w:tc>
          <w:tcPr>
            <w:tcW w:w="1560" w:type="dxa"/>
            <w:gridSpan w:val="2"/>
          </w:tcPr>
          <w:p w14:paraId="7F38DEDF" w14:textId="77777777" w:rsidR="00852A5A" w:rsidRPr="00852A5A" w:rsidRDefault="00852A5A" w:rsidP="00852A5A">
            <w:pPr>
              <w:rPr>
                <w:rFonts w:cs="Arial"/>
              </w:rPr>
            </w:pPr>
          </w:p>
        </w:tc>
        <w:tc>
          <w:tcPr>
            <w:tcW w:w="1547" w:type="dxa"/>
          </w:tcPr>
          <w:p w14:paraId="43CB1BC7" w14:textId="77777777" w:rsidR="00852A5A" w:rsidRPr="00852A5A" w:rsidRDefault="00852A5A" w:rsidP="00852A5A">
            <w:pPr>
              <w:rPr>
                <w:rFonts w:cs="Arial"/>
              </w:rPr>
            </w:pPr>
          </w:p>
        </w:tc>
        <w:tc>
          <w:tcPr>
            <w:tcW w:w="1505" w:type="dxa"/>
            <w:gridSpan w:val="2"/>
          </w:tcPr>
          <w:p w14:paraId="61F58A6A" w14:textId="77777777" w:rsidR="00852A5A" w:rsidRPr="00852A5A" w:rsidRDefault="00852A5A" w:rsidP="00852A5A">
            <w:pPr>
              <w:rPr>
                <w:rFonts w:cs="Arial"/>
              </w:rPr>
            </w:pPr>
          </w:p>
        </w:tc>
      </w:tr>
      <w:tr w:rsidR="00852A5A" w14:paraId="002B0392" w14:textId="77777777" w:rsidTr="008C464A">
        <w:trPr>
          <w:gridAfter w:val="1"/>
          <w:wAfter w:w="77" w:type="dxa"/>
        </w:trPr>
        <w:tc>
          <w:tcPr>
            <w:tcW w:w="3195" w:type="dxa"/>
            <w:gridSpan w:val="2"/>
          </w:tcPr>
          <w:p w14:paraId="3E011CA1" w14:textId="533A3B28" w:rsidR="00852A5A" w:rsidRPr="00852A5A" w:rsidRDefault="00852A5A" w:rsidP="00852A5A">
            <w:pPr>
              <w:rPr>
                <w:rFonts w:cs="Arial"/>
              </w:rPr>
            </w:pPr>
            <w:r w:rsidRPr="00852A5A">
              <w:rPr>
                <w:rFonts w:cs="Arial"/>
                <w:b/>
                <w:bCs/>
              </w:rPr>
              <w:t>Общо пациенти</w:t>
            </w:r>
          </w:p>
        </w:tc>
        <w:tc>
          <w:tcPr>
            <w:tcW w:w="1692" w:type="dxa"/>
            <w:gridSpan w:val="2"/>
          </w:tcPr>
          <w:p w14:paraId="4BB422BB" w14:textId="7BFC5621" w:rsidR="00852A5A" w:rsidRPr="00852A5A" w:rsidRDefault="00852A5A" w:rsidP="00852A5A">
            <w:pPr>
              <w:rPr>
                <w:rFonts w:cs="Arial"/>
              </w:rPr>
            </w:pPr>
            <w:r w:rsidRPr="00852A5A">
              <w:rPr>
                <w:rFonts w:cs="Arial"/>
                <w:b/>
                <w:bCs/>
              </w:rPr>
              <w:t>13,8</w:t>
            </w:r>
          </w:p>
        </w:tc>
        <w:tc>
          <w:tcPr>
            <w:tcW w:w="1560" w:type="dxa"/>
            <w:gridSpan w:val="2"/>
          </w:tcPr>
          <w:p w14:paraId="58A53C65" w14:textId="1A811FB5" w:rsidR="00852A5A" w:rsidRPr="00852A5A" w:rsidRDefault="00852A5A" w:rsidP="00852A5A">
            <w:pPr>
              <w:rPr>
                <w:rFonts w:cs="Arial"/>
              </w:rPr>
            </w:pPr>
            <w:r w:rsidRPr="00852A5A">
              <w:rPr>
                <w:rFonts w:cs="Arial"/>
                <w:b/>
                <w:bCs/>
              </w:rPr>
              <w:t>14,6</w:t>
            </w:r>
          </w:p>
        </w:tc>
        <w:tc>
          <w:tcPr>
            <w:tcW w:w="1547" w:type="dxa"/>
          </w:tcPr>
          <w:p w14:paraId="560ACE13" w14:textId="66AA35FF" w:rsidR="00852A5A" w:rsidRPr="00852A5A" w:rsidRDefault="00852A5A" w:rsidP="00852A5A">
            <w:pPr>
              <w:rPr>
                <w:rFonts w:cs="Arial"/>
              </w:rPr>
            </w:pPr>
            <w:r w:rsidRPr="00852A5A">
              <w:rPr>
                <w:rFonts w:cs="Arial"/>
                <w:b/>
                <w:bCs/>
              </w:rPr>
              <w:t>-0,8</w:t>
            </w:r>
          </w:p>
        </w:tc>
        <w:tc>
          <w:tcPr>
            <w:tcW w:w="1505" w:type="dxa"/>
            <w:gridSpan w:val="2"/>
          </w:tcPr>
          <w:p w14:paraId="77909181" w14:textId="2AE67046" w:rsidR="00852A5A" w:rsidRPr="00852A5A" w:rsidRDefault="00852A5A" w:rsidP="00852A5A">
            <w:pPr>
              <w:rPr>
                <w:rFonts w:cs="Arial"/>
              </w:rPr>
            </w:pPr>
            <w:r w:rsidRPr="00852A5A">
              <w:rPr>
                <w:rFonts w:cs="Arial"/>
                <w:b/>
                <w:bCs/>
              </w:rPr>
              <w:t>-5,8,6,3</w:t>
            </w:r>
          </w:p>
        </w:tc>
      </w:tr>
      <w:tr w:rsidR="00852A5A" w14:paraId="2521404E" w14:textId="77777777" w:rsidTr="008C464A">
        <w:trPr>
          <w:gridAfter w:val="1"/>
          <w:wAfter w:w="77" w:type="dxa"/>
        </w:trPr>
        <w:tc>
          <w:tcPr>
            <w:tcW w:w="3195" w:type="dxa"/>
            <w:gridSpan w:val="2"/>
          </w:tcPr>
          <w:p w14:paraId="3551DEE8" w14:textId="656DF1D6" w:rsidR="00852A5A" w:rsidRPr="00852A5A" w:rsidRDefault="00852A5A" w:rsidP="00852A5A">
            <w:pPr>
              <w:rPr>
                <w:rFonts w:cs="Arial"/>
              </w:rPr>
            </w:pPr>
            <w:r w:rsidRPr="00852A5A">
              <w:rPr>
                <w:rFonts w:cs="Arial"/>
                <w:b/>
                <w:bCs/>
              </w:rPr>
              <w:t>- АЕ подгрупа (</w:t>
            </w:r>
            <w:r w:rsidRPr="00852A5A">
              <w:rPr>
                <w:rFonts w:cs="Arial"/>
                <w:b/>
                <w:bCs/>
                <w:lang w:val="en-US"/>
              </w:rPr>
              <w:t>n</w:t>
            </w:r>
            <w:r w:rsidRPr="00852A5A">
              <w:rPr>
                <w:rFonts w:cs="Arial"/>
                <w:b/>
                <w:bCs/>
              </w:rPr>
              <w:t>=296)</w:t>
            </w:r>
          </w:p>
        </w:tc>
        <w:tc>
          <w:tcPr>
            <w:tcW w:w="1692" w:type="dxa"/>
            <w:gridSpan w:val="2"/>
          </w:tcPr>
          <w:p w14:paraId="20E14A42" w14:textId="45E398BA" w:rsidR="00852A5A" w:rsidRPr="00852A5A" w:rsidRDefault="00852A5A" w:rsidP="00852A5A">
            <w:pPr>
              <w:rPr>
                <w:rFonts w:cs="Arial"/>
              </w:rPr>
            </w:pPr>
            <w:r w:rsidRPr="00852A5A">
              <w:rPr>
                <w:rFonts w:cs="Arial"/>
                <w:b/>
                <w:bCs/>
              </w:rPr>
              <w:t>18,1</w:t>
            </w:r>
          </w:p>
        </w:tc>
        <w:tc>
          <w:tcPr>
            <w:tcW w:w="1560" w:type="dxa"/>
            <w:gridSpan w:val="2"/>
          </w:tcPr>
          <w:p w14:paraId="7DEA845A" w14:textId="4766E652" w:rsidR="00852A5A" w:rsidRPr="00852A5A" w:rsidRDefault="00852A5A" w:rsidP="00852A5A">
            <w:pPr>
              <w:rPr>
                <w:rFonts w:cs="Arial"/>
              </w:rPr>
            </w:pPr>
            <w:r w:rsidRPr="00852A5A">
              <w:rPr>
                <w:rFonts w:cs="Arial"/>
                <w:b/>
                <w:bCs/>
              </w:rPr>
              <w:t>19,1</w:t>
            </w:r>
          </w:p>
        </w:tc>
        <w:tc>
          <w:tcPr>
            <w:tcW w:w="1547" w:type="dxa"/>
          </w:tcPr>
          <w:p w14:paraId="28E465FF" w14:textId="519EADF5" w:rsidR="00852A5A" w:rsidRPr="00852A5A" w:rsidRDefault="00852A5A" w:rsidP="00852A5A">
            <w:pPr>
              <w:rPr>
                <w:rFonts w:cs="Arial"/>
              </w:rPr>
            </w:pPr>
            <w:r w:rsidRPr="00852A5A">
              <w:rPr>
                <w:rFonts w:cs="Arial"/>
                <w:b/>
                <w:bCs/>
              </w:rPr>
              <w:t>-1,0</w:t>
            </w:r>
          </w:p>
        </w:tc>
        <w:tc>
          <w:tcPr>
            <w:tcW w:w="1505" w:type="dxa"/>
            <w:gridSpan w:val="2"/>
          </w:tcPr>
          <w:p w14:paraId="5D29BC14" w14:textId="4F84657F" w:rsidR="00852A5A" w:rsidRPr="00852A5A" w:rsidRDefault="00852A5A" w:rsidP="00852A5A">
            <w:pPr>
              <w:rPr>
                <w:rFonts w:cs="Arial"/>
              </w:rPr>
            </w:pPr>
            <w:r w:rsidRPr="00852A5A">
              <w:rPr>
                <w:rFonts w:cs="Arial"/>
                <w:b/>
                <w:bCs/>
              </w:rPr>
              <w:t>-8,2,9,3</w:t>
            </w:r>
          </w:p>
        </w:tc>
      </w:tr>
      <w:tr w:rsidR="00852A5A" w14:paraId="4C62947D" w14:textId="77777777" w:rsidTr="008C464A">
        <w:trPr>
          <w:gridAfter w:val="1"/>
          <w:wAfter w:w="77" w:type="dxa"/>
        </w:trPr>
        <w:tc>
          <w:tcPr>
            <w:tcW w:w="3195" w:type="dxa"/>
            <w:gridSpan w:val="2"/>
          </w:tcPr>
          <w:p w14:paraId="093CC463" w14:textId="25369CA5" w:rsidR="00852A5A" w:rsidRPr="00852A5A" w:rsidRDefault="00852A5A" w:rsidP="00852A5A">
            <w:pPr>
              <w:rPr>
                <w:rFonts w:cs="Arial"/>
              </w:rPr>
            </w:pPr>
            <w:r w:rsidRPr="00852A5A">
              <w:rPr>
                <w:rFonts w:cs="Arial"/>
                <w:b/>
                <w:bCs/>
              </w:rPr>
              <w:t>АИ подгрупа (</w:t>
            </w:r>
            <w:r w:rsidRPr="00852A5A">
              <w:rPr>
                <w:rFonts w:cs="Arial"/>
                <w:b/>
                <w:bCs/>
                <w:lang w:val="en-US"/>
              </w:rPr>
              <w:t>n</w:t>
            </w:r>
            <w:r w:rsidRPr="00852A5A">
              <w:rPr>
                <w:rFonts w:cs="Arial"/>
                <w:b/>
                <w:bCs/>
              </w:rPr>
              <w:t>=205)</w:t>
            </w:r>
            <w:r w:rsidRPr="00852A5A">
              <w:rPr>
                <w:rFonts w:cs="Arial"/>
                <w:b/>
                <w:bCs/>
                <w:vertAlign w:val="superscript"/>
                <w:lang w:val="en-US"/>
              </w:rPr>
              <w:t>a</w:t>
            </w:r>
          </w:p>
        </w:tc>
        <w:tc>
          <w:tcPr>
            <w:tcW w:w="1692" w:type="dxa"/>
            <w:gridSpan w:val="2"/>
          </w:tcPr>
          <w:p w14:paraId="7B46C6BA" w14:textId="3B2421CF" w:rsidR="00852A5A" w:rsidRPr="00852A5A" w:rsidRDefault="00852A5A" w:rsidP="00852A5A">
            <w:pPr>
              <w:rPr>
                <w:rFonts w:cs="Arial"/>
              </w:rPr>
            </w:pPr>
            <w:r w:rsidRPr="00852A5A">
              <w:rPr>
                <w:rFonts w:cs="Arial"/>
                <w:b/>
                <w:bCs/>
              </w:rPr>
              <w:t>7,3</w:t>
            </w:r>
          </w:p>
        </w:tc>
        <w:tc>
          <w:tcPr>
            <w:tcW w:w="1560" w:type="dxa"/>
            <w:gridSpan w:val="2"/>
          </w:tcPr>
          <w:p w14:paraId="6542D9AF" w14:textId="7431E10E" w:rsidR="00852A5A" w:rsidRPr="00852A5A" w:rsidRDefault="00852A5A" w:rsidP="00852A5A">
            <w:pPr>
              <w:rPr>
                <w:rFonts w:cs="Arial"/>
              </w:rPr>
            </w:pPr>
            <w:r w:rsidRPr="00852A5A">
              <w:rPr>
                <w:rFonts w:cs="Arial"/>
                <w:b/>
                <w:bCs/>
              </w:rPr>
              <w:t>8,3</w:t>
            </w:r>
          </w:p>
        </w:tc>
        <w:tc>
          <w:tcPr>
            <w:tcW w:w="1547" w:type="dxa"/>
          </w:tcPr>
          <w:p w14:paraId="50A60230" w14:textId="3893D4A4" w:rsidR="00852A5A" w:rsidRPr="00852A5A" w:rsidRDefault="00852A5A" w:rsidP="00852A5A">
            <w:pPr>
              <w:rPr>
                <w:rFonts w:cs="Arial"/>
              </w:rPr>
            </w:pPr>
            <w:r w:rsidRPr="00852A5A">
              <w:rPr>
                <w:rFonts w:cs="Arial"/>
                <w:b/>
                <w:bCs/>
              </w:rPr>
              <w:t>-1,0</w:t>
            </w:r>
          </w:p>
        </w:tc>
        <w:tc>
          <w:tcPr>
            <w:tcW w:w="1505" w:type="dxa"/>
            <w:gridSpan w:val="2"/>
          </w:tcPr>
          <w:p w14:paraId="0BAECFB2" w14:textId="1A51697A" w:rsidR="00852A5A" w:rsidRPr="00852A5A" w:rsidRDefault="00852A5A" w:rsidP="00852A5A">
            <w:pPr>
              <w:rPr>
                <w:rFonts w:cs="Arial"/>
              </w:rPr>
            </w:pPr>
            <w:r w:rsidRPr="00852A5A">
              <w:rPr>
                <w:rFonts w:cs="Arial"/>
                <w:b/>
                <w:bCs/>
              </w:rPr>
              <w:t>-5,5, 9,8</w:t>
            </w:r>
          </w:p>
        </w:tc>
      </w:tr>
      <w:tr w:rsidR="00852A5A" w14:paraId="2D2C3B37" w14:textId="77777777" w:rsidTr="008C464A">
        <w:trPr>
          <w:gridAfter w:val="1"/>
          <w:wAfter w:w="77" w:type="dxa"/>
        </w:trPr>
        <w:tc>
          <w:tcPr>
            <w:tcW w:w="3195" w:type="dxa"/>
            <w:gridSpan w:val="2"/>
          </w:tcPr>
          <w:p w14:paraId="52AB1A2C" w14:textId="4069EC73" w:rsidR="00852A5A" w:rsidRPr="00852A5A" w:rsidRDefault="00852A5A" w:rsidP="00852A5A">
            <w:pPr>
              <w:jc w:val="right"/>
              <w:rPr>
                <w:rFonts w:cs="Arial"/>
              </w:rPr>
            </w:pPr>
            <w:r w:rsidRPr="00852A5A">
              <w:rPr>
                <w:rFonts w:cs="Arial"/>
                <w:b/>
                <w:bCs/>
              </w:rPr>
              <w:t>СКП</w:t>
            </w:r>
            <w:r w:rsidRPr="00852A5A">
              <w:rPr>
                <w:rFonts w:cs="Arial"/>
                <w:b/>
                <w:bCs/>
                <w:vertAlign w:val="superscript"/>
              </w:rPr>
              <w:t>е</w:t>
            </w:r>
            <w:r w:rsidRPr="00852A5A">
              <w:rPr>
                <w:rFonts w:cs="Arial"/>
                <w:b/>
                <w:bCs/>
              </w:rPr>
              <w:tab/>
              <w:t>% пациенти</w:t>
            </w:r>
          </w:p>
        </w:tc>
        <w:tc>
          <w:tcPr>
            <w:tcW w:w="1692" w:type="dxa"/>
            <w:gridSpan w:val="2"/>
          </w:tcPr>
          <w:p w14:paraId="0917DF08" w14:textId="77777777" w:rsidR="00852A5A" w:rsidRPr="00852A5A" w:rsidRDefault="00852A5A" w:rsidP="00852A5A">
            <w:pPr>
              <w:rPr>
                <w:rFonts w:cs="Arial"/>
              </w:rPr>
            </w:pPr>
          </w:p>
        </w:tc>
        <w:tc>
          <w:tcPr>
            <w:tcW w:w="1560" w:type="dxa"/>
            <w:gridSpan w:val="2"/>
          </w:tcPr>
          <w:p w14:paraId="73D3EF99" w14:textId="77777777" w:rsidR="00852A5A" w:rsidRPr="00852A5A" w:rsidRDefault="00852A5A" w:rsidP="00852A5A">
            <w:pPr>
              <w:rPr>
                <w:rFonts w:cs="Arial"/>
              </w:rPr>
            </w:pPr>
          </w:p>
        </w:tc>
        <w:tc>
          <w:tcPr>
            <w:tcW w:w="1547" w:type="dxa"/>
          </w:tcPr>
          <w:p w14:paraId="249BBB8B" w14:textId="77777777" w:rsidR="00852A5A" w:rsidRPr="00852A5A" w:rsidRDefault="00852A5A" w:rsidP="00852A5A">
            <w:pPr>
              <w:rPr>
                <w:rFonts w:cs="Arial"/>
              </w:rPr>
            </w:pPr>
          </w:p>
        </w:tc>
        <w:tc>
          <w:tcPr>
            <w:tcW w:w="1505" w:type="dxa"/>
            <w:gridSpan w:val="2"/>
          </w:tcPr>
          <w:p w14:paraId="057679D3" w14:textId="77777777" w:rsidR="00852A5A" w:rsidRPr="00852A5A" w:rsidRDefault="00852A5A" w:rsidP="00852A5A">
            <w:pPr>
              <w:rPr>
                <w:rFonts w:cs="Arial"/>
              </w:rPr>
            </w:pPr>
          </w:p>
        </w:tc>
      </w:tr>
      <w:tr w:rsidR="00852A5A" w14:paraId="7348CB7D" w14:textId="77777777" w:rsidTr="008C464A">
        <w:trPr>
          <w:gridAfter w:val="1"/>
          <w:wAfter w:w="77" w:type="dxa"/>
        </w:trPr>
        <w:tc>
          <w:tcPr>
            <w:tcW w:w="3195" w:type="dxa"/>
            <w:gridSpan w:val="2"/>
          </w:tcPr>
          <w:p w14:paraId="36FEFE2B" w14:textId="09CDA3B3" w:rsidR="00852A5A" w:rsidRPr="00852A5A" w:rsidRDefault="00852A5A" w:rsidP="00852A5A">
            <w:pPr>
              <w:jc w:val="right"/>
              <w:rPr>
                <w:rFonts w:cs="Arial"/>
              </w:rPr>
            </w:pPr>
            <w:r w:rsidRPr="00852A5A">
              <w:rPr>
                <w:rFonts w:cs="Arial"/>
                <w:b/>
                <w:bCs/>
              </w:rPr>
              <w:t>с КП;</w:t>
            </w:r>
          </w:p>
        </w:tc>
        <w:tc>
          <w:tcPr>
            <w:tcW w:w="1692" w:type="dxa"/>
            <w:gridSpan w:val="2"/>
          </w:tcPr>
          <w:p w14:paraId="6F699701" w14:textId="77777777" w:rsidR="00852A5A" w:rsidRPr="00852A5A" w:rsidRDefault="00852A5A" w:rsidP="00852A5A">
            <w:pPr>
              <w:rPr>
                <w:rFonts w:cs="Arial"/>
              </w:rPr>
            </w:pPr>
          </w:p>
        </w:tc>
        <w:tc>
          <w:tcPr>
            <w:tcW w:w="1560" w:type="dxa"/>
            <w:gridSpan w:val="2"/>
          </w:tcPr>
          <w:p w14:paraId="40D2E3F8" w14:textId="77777777" w:rsidR="00852A5A" w:rsidRPr="00852A5A" w:rsidRDefault="00852A5A" w:rsidP="00852A5A">
            <w:pPr>
              <w:rPr>
                <w:rFonts w:cs="Arial"/>
              </w:rPr>
            </w:pPr>
          </w:p>
        </w:tc>
        <w:tc>
          <w:tcPr>
            <w:tcW w:w="1547" w:type="dxa"/>
          </w:tcPr>
          <w:p w14:paraId="75807C6E" w14:textId="77777777" w:rsidR="00852A5A" w:rsidRPr="00852A5A" w:rsidRDefault="00852A5A" w:rsidP="00852A5A">
            <w:pPr>
              <w:rPr>
                <w:rFonts w:cs="Arial"/>
              </w:rPr>
            </w:pPr>
          </w:p>
        </w:tc>
        <w:tc>
          <w:tcPr>
            <w:tcW w:w="1505" w:type="dxa"/>
            <w:gridSpan w:val="2"/>
          </w:tcPr>
          <w:p w14:paraId="5D3271E8" w14:textId="77777777" w:rsidR="00852A5A" w:rsidRPr="00852A5A" w:rsidRDefault="00852A5A" w:rsidP="00852A5A">
            <w:pPr>
              <w:rPr>
                <w:rFonts w:cs="Arial"/>
              </w:rPr>
            </w:pPr>
          </w:p>
        </w:tc>
      </w:tr>
      <w:tr w:rsidR="00852A5A" w14:paraId="6BBB866E" w14:textId="77777777" w:rsidTr="008C464A">
        <w:trPr>
          <w:gridAfter w:val="1"/>
          <w:wAfter w:w="77" w:type="dxa"/>
        </w:trPr>
        <w:tc>
          <w:tcPr>
            <w:tcW w:w="3195" w:type="dxa"/>
            <w:gridSpan w:val="2"/>
          </w:tcPr>
          <w:p w14:paraId="5E2C7C21" w14:textId="431E71C8" w:rsidR="00852A5A" w:rsidRPr="00852A5A" w:rsidRDefault="00852A5A" w:rsidP="00852A5A">
            <w:pPr>
              <w:jc w:val="right"/>
              <w:rPr>
                <w:rFonts w:cs="Arial"/>
              </w:rPr>
            </w:pPr>
            <w:r w:rsidRPr="00852A5A">
              <w:rPr>
                <w:rFonts w:cs="Arial"/>
                <w:b/>
                <w:bCs/>
              </w:rPr>
              <w:t>абсолютна</w:t>
            </w:r>
          </w:p>
        </w:tc>
        <w:tc>
          <w:tcPr>
            <w:tcW w:w="1692" w:type="dxa"/>
            <w:gridSpan w:val="2"/>
          </w:tcPr>
          <w:p w14:paraId="6BA2E28A" w14:textId="77777777" w:rsidR="00852A5A" w:rsidRPr="00852A5A" w:rsidRDefault="00852A5A" w:rsidP="00852A5A">
            <w:pPr>
              <w:rPr>
                <w:rFonts w:cs="Arial"/>
              </w:rPr>
            </w:pPr>
          </w:p>
        </w:tc>
        <w:tc>
          <w:tcPr>
            <w:tcW w:w="1560" w:type="dxa"/>
            <w:gridSpan w:val="2"/>
          </w:tcPr>
          <w:p w14:paraId="62D9BF31" w14:textId="77777777" w:rsidR="00852A5A" w:rsidRPr="00852A5A" w:rsidRDefault="00852A5A" w:rsidP="00852A5A">
            <w:pPr>
              <w:rPr>
                <w:rFonts w:cs="Arial"/>
              </w:rPr>
            </w:pPr>
          </w:p>
        </w:tc>
        <w:tc>
          <w:tcPr>
            <w:tcW w:w="1547" w:type="dxa"/>
          </w:tcPr>
          <w:p w14:paraId="5688ACC4" w14:textId="77777777" w:rsidR="00852A5A" w:rsidRPr="00852A5A" w:rsidRDefault="00852A5A" w:rsidP="00852A5A">
            <w:pPr>
              <w:rPr>
                <w:rFonts w:cs="Arial"/>
              </w:rPr>
            </w:pPr>
          </w:p>
        </w:tc>
        <w:tc>
          <w:tcPr>
            <w:tcW w:w="1505" w:type="dxa"/>
            <w:gridSpan w:val="2"/>
          </w:tcPr>
          <w:p w14:paraId="5458BF9B" w14:textId="77777777" w:rsidR="00852A5A" w:rsidRPr="00852A5A" w:rsidRDefault="00852A5A" w:rsidP="00852A5A">
            <w:pPr>
              <w:rPr>
                <w:rFonts w:cs="Arial"/>
              </w:rPr>
            </w:pPr>
          </w:p>
        </w:tc>
      </w:tr>
      <w:tr w:rsidR="00852A5A" w14:paraId="17D277F3" w14:textId="77777777" w:rsidTr="008C464A">
        <w:trPr>
          <w:gridAfter w:val="1"/>
          <w:wAfter w:w="77" w:type="dxa"/>
        </w:trPr>
        <w:tc>
          <w:tcPr>
            <w:tcW w:w="3195" w:type="dxa"/>
            <w:gridSpan w:val="2"/>
          </w:tcPr>
          <w:p w14:paraId="5672898E" w14:textId="01FFD157" w:rsidR="00852A5A" w:rsidRPr="00852A5A" w:rsidRDefault="00852A5A" w:rsidP="00852A5A">
            <w:pPr>
              <w:jc w:val="right"/>
              <w:rPr>
                <w:rFonts w:cs="Arial"/>
              </w:rPr>
            </w:pPr>
            <w:r w:rsidRPr="00852A5A">
              <w:rPr>
                <w:rFonts w:cs="Arial"/>
                <w:b/>
                <w:bCs/>
              </w:rPr>
              <w:t>разлика в %</w:t>
            </w:r>
          </w:p>
        </w:tc>
        <w:tc>
          <w:tcPr>
            <w:tcW w:w="1692" w:type="dxa"/>
            <w:gridSpan w:val="2"/>
          </w:tcPr>
          <w:p w14:paraId="0313E874" w14:textId="77777777" w:rsidR="00852A5A" w:rsidRPr="00852A5A" w:rsidRDefault="00852A5A" w:rsidP="00852A5A">
            <w:pPr>
              <w:rPr>
                <w:rFonts w:cs="Arial"/>
              </w:rPr>
            </w:pPr>
          </w:p>
        </w:tc>
        <w:tc>
          <w:tcPr>
            <w:tcW w:w="1560" w:type="dxa"/>
            <w:gridSpan w:val="2"/>
          </w:tcPr>
          <w:p w14:paraId="2DC951C7" w14:textId="77777777" w:rsidR="00852A5A" w:rsidRPr="00852A5A" w:rsidRDefault="00852A5A" w:rsidP="00852A5A">
            <w:pPr>
              <w:rPr>
                <w:rFonts w:cs="Arial"/>
              </w:rPr>
            </w:pPr>
          </w:p>
        </w:tc>
        <w:tc>
          <w:tcPr>
            <w:tcW w:w="1547" w:type="dxa"/>
          </w:tcPr>
          <w:p w14:paraId="1F531C82" w14:textId="77777777" w:rsidR="00852A5A" w:rsidRPr="00852A5A" w:rsidRDefault="00852A5A" w:rsidP="00852A5A">
            <w:pPr>
              <w:rPr>
                <w:rFonts w:cs="Arial"/>
              </w:rPr>
            </w:pPr>
          </w:p>
        </w:tc>
        <w:tc>
          <w:tcPr>
            <w:tcW w:w="1505" w:type="dxa"/>
            <w:gridSpan w:val="2"/>
          </w:tcPr>
          <w:p w14:paraId="52797035" w14:textId="77777777" w:rsidR="00852A5A" w:rsidRPr="00852A5A" w:rsidRDefault="00852A5A" w:rsidP="00852A5A">
            <w:pPr>
              <w:rPr>
                <w:rFonts w:cs="Arial"/>
              </w:rPr>
            </w:pPr>
          </w:p>
        </w:tc>
      </w:tr>
      <w:tr w:rsidR="00852A5A" w14:paraId="4EDA7689" w14:textId="77777777" w:rsidTr="008C464A">
        <w:trPr>
          <w:gridAfter w:val="1"/>
          <w:wAfter w:w="77" w:type="dxa"/>
        </w:trPr>
        <w:tc>
          <w:tcPr>
            <w:tcW w:w="3195" w:type="dxa"/>
            <w:gridSpan w:val="2"/>
          </w:tcPr>
          <w:p w14:paraId="26528B50" w14:textId="4E0E9540" w:rsidR="00852A5A" w:rsidRPr="00852A5A" w:rsidRDefault="00852A5A" w:rsidP="00852A5A">
            <w:pPr>
              <w:rPr>
                <w:rFonts w:cs="Arial"/>
              </w:rPr>
            </w:pPr>
            <w:r w:rsidRPr="00852A5A">
              <w:rPr>
                <w:rFonts w:cs="Arial"/>
                <w:b/>
                <w:bCs/>
              </w:rPr>
              <w:t>Общо пациенти</w:t>
            </w:r>
          </w:p>
        </w:tc>
        <w:tc>
          <w:tcPr>
            <w:tcW w:w="1692" w:type="dxa"/>
            <w:gridSpan w:val="2"/>
          </w:tcPr>
          <w:p w14:paraId="47B73A8E" w14:textId="20809D42" w:rsidR="00852A5A" w:rsidRPr="00852A5A" w:rsidRDefault="00852A5A" w:rsidP="00852A5A">
            <w:pPr>
              <w:rPr>
                <w:rFonts w:cs="Arial"/>
              </w:rPr>
            </w:pPr>
            <w:r w:rsidRPr="00852A5A">
              <w:rPr>
                <w:rFonts w:cs="Arial"/>
                <w:b/>
                <w:bCs/>
              </w:rPr>
              <w:t>45,6</w:t>
            </w:r>
          </w:p>
        </w:tc>
        <w:tc>
          <w:tcPr>
            <w:tcW w:w="1560" w:type="dxa"/>
            <w:gridSpan w:val="2"/>
          </w:tcPr>
          <w:p w14:paraId="5B4E2E2E" w14:textId="011DB1C4" w:rsidR="00852A5A" w:rsidRPr="00852A5A" w:rsidRDefault="00852A5A" w:rsidP="00852A5A">
            <w:pPr>
              <w:rPr>
                <w:rFonts w:cs="Arial"/>
              </w:rPr>
            </w:pPr>
            <w:r w:rsidRPr="00852A5A">
              <w:rPr>
                <w:rFonts w:cs="Arial"/>
                <w:b/>
                <w:bCs/>
              </w:rPr>
              <w:t>39,6</w:t>
            </w:r>
          </w:p>
        </w:tc>
        <w:tc>
          <w:tcPr>
            <w:tcW w:w="1547" w:type="dxa"/>
          </w:tcPr>
          <w:p w14:paraId="614E7752" w14:textId="6B3955F0" w:rsidR="00852A5A" w:rsidRPr="00852A5A" w:rsidRDefault="00852A5A" w:rsidP="00852A5A">
            <w:pPr>
              <w:rPr>
                <w:rFonts w:cs="Arial"/>
              </w:rPr>
            </w:pPr>
            <w:r w:rsidRPr="00852A5A">
              <w:rPr>
                <w:rFonts w:cs="Arial"/>
                <w:b/>
                <w:bCs/>
              </w:rPr>
              <w:t>6,0</w:t>
            </w:r>
          </w:p>
        </w:tc>
        <w:tc>
          <w:tcPr>
            <w:tcW w:w="1505" w:type="dxa"/>
            <w:gridSpan w:val="2"/>
          </w:tcPr>
          <w:p w14:paraId="1A44721D" w14:textId="11A2B8B3" w:rsidR="00852A5A" w:rsidRPr="00852A5A" w:rsidRDefault="00852A5A" w:rsidP="00852A5A">
            <w:pPr>
              <w:rPr>
                <w:rFonts w:cs="Arial"/>
              </w:rPr>
            </w:pPr>
            <w:r w:rsidRPr="00852A5A">
              <w:rPr>
                <w:rFonts w:cs="Arial"/>
                <w:b/>
                <w:bCs/>
              </w:rPr>
              <w:t>-1,1,13,3</w:t>
            </w:r>
          </w:p>
        </w:tc>
      </w:tr>
      <w:tr w:rsidR="00852A5A" w14:paraId="4634831D" w14:textId="77777777" w:rsidTr="008C464A">
        <w:trPr>
          <w:gridAfter w:val="1"/>
          <w:wAfter w:w="77" w:type="dxa"/>
        </w:trPr>
        <w:tc>
          <w:tcPr>
            <w:tcW w:w="3195" w:type="dxa"/>
            <w:gridSpan w:val="2"/>
          </w:tcPr>
          <w:p w14:paraId="27A55177" w14:textId="2A94683F" w:rsidR="00852A5A" w:rsidRPr="00852A5A" w:rsidRDefault="00852A5A" w:rsidP="00852A5A">
            <w:pPr>
              <w:rPr>
                <w:rFonts w:cs="Arial"/>
              </w:rPr>
            </w:pPr>
            <w:r w:rsidRPr="00852A5A">
              <w:rPr>
                <w:rFonts w:cs="Arial"/>
                <w:b/>
                <w:bCs/>
              </w:rPr>
              <w:t>- АЕ подгрупа (</w:t>
            </w:r>
            <w:r w:rsidRPr="00852A5A">
              <w:rPr>
                <w:rFonts w:cs="Arial"/>
                <w:b/>
                <w:bCs/>
                <w:lang w:val="en-US"/>
              </w:rPr>
              <w:t>n</w:t>
            </w:r>
            <w:r w:rsidRPr="00852A5A">
              <w:rPr>
                <w:rFonts w:cs="Arial"/>
                <w:b/>
                <w:bCs/>
              </w:rPr>
              <w:t>=423)</w:t>
            </w:r>
          </w:p>
        </w:tc>
        <w:tc>
          <w:tcPr>
            <w:tcW w:w="1692" w:type="dxa"/>
            <w:gridSpan w:val="2"/>
          </w:tcPr>
          <w:p w14:paraId="0C331315" w14:textId="1A6FFBBA" w:rsidR="00852A5A" w:rsidRPr="00852A5A" w:rsidRDefault="00852A5A" w:rsidP="00852A5A">
            <w:pPr>
              <w:rPr>
                <w:rFonts w:cs="Arial"/>
              </w:rPr>
            </w:pPr>
            <w:r w:rsidRPr="00852A5A">
              <w:rPr>
                <w:rFonts w:cs="Arial"/>
                <w:b/>
                <w:bCs/>
              </w:rPr>
              <w:t>52,4</w:t>
            </w:r>
          </w:p>
        </w:tc>
        <w:tc>
          <w:tcPr>
            <w:tcW w:w="1560" w:type="dxa"/>
            <w:gridSpan w:val="2"/>
          </w:tcPr>
          <w:p w14:paraId="1E6FBFBB" w14:textId="5518C2F2" w:rsidR="00852A5A" w:rsidRPr="00852A5A" w:rsidRDefault="00852A5A" w:rsidP="00852A5A">
            <w:pPr>
              <w:rPr>
                <w:rFonts w:cs="Arial"/>
              </w:rPr>
            </w:pPr>
            <w:r w:rsidRPr="00852A5A">
              <w:rPr>
                <w:rFonts w:cs="Arial"/>
                <w:b/>
                <w:bCs/>
              </w:rPr>
              <w:t>45,1</w:t>
            </w:r>
          </w:p>
        </w:tc>
        <w:tc>
          <w:tcPr>
            <w:tcW w:w="1547" w:type="dxa"/>
          </w:tcPr>
          <w:p w14:paraId="401B3E21" w14:textId="31FB967B" w:rsidR="00852A5A" w:rsidRPr="00852A5A" w:rsidRDefault="00852A5A" w:rsidP="00852A5A">
            <w:pPr>
              <w:rPr>
                <w:rFonts w:cs="Arial"/>
              </w:rPr>
            </w:pPr>
            <w:r w:rsidRPr="00852A5A">
              <w:rPr>
                <w:rFonts w:cs="Arial"/>
                <w:b/>
                <w:bCs/>
              </w:rPr>
              <w:t>7,3</w:t>
            </w:r>
          </w:p>
        </w:tc>
        <w:tc>
          <w:tcPr>
            <w:tcW w:w="1505" w:type="dxa"/>
            <w:gridSpan w:val="2"/>
          </w:tcPr>
          <w:p w14:paraId="702B3F9E" w14:textId="1BC8BAFC" w:rsidR="00852A5A" w:rsidRPr="00852A5A" w:rsidRDefault="00852A5A" w:rsidP="00852A5A">
            <w:pPr>
              <w:rPr>
                <w:rFonts w:cs="Arial"/>
              </w:rPr>
            </w:pPr>
            <w:r w:rsidRPr="00852A5A">
              <w:rPr>
                <w:rFonts w:cs="Arial"/>
                <w:b/>
                <w:bCs/>
              </w:rPr>
              <w:t>-2,2, 16,6</w:t>
            </w:r>
          </w:p>
        </w:tc>
      </w:tr>
      <w:tr w:rsidR="00852A5A" w14:paraId="7FEEBA2E" w14:textId="77777777" w:rsidTr="008C464A">
        <w:trPr>
          <w:gridAfter w:val="1"/>
          <w:wAfter w:w="77" w:type="dxa"/>
        </w:trPr>
        <w:tc>
          <w:tcPr>
            <w:tcW w:w="3195" w:type="dxa"/>
            <w:gridSpan w:val="2"/>
          </w:tcPr>
          <w:p w14:paraId="1F423357" w14:textId="7EBA2844" w:rsidR="00852A5A" w:rsidRPr="00852A5A" w:rsidRDefault="00852A5A" w:rsidP="00852A5A">
            <w:pPr>
              <w:rPr>
                <w:rFonts w:cs="Arial"/>
              </w:rPr>
            </w:pPr>
            <w:r w:rsidRPr="00852A5A">
              <w:rPr>
                <w:rFonts w:cs="Arial"/>
                <w:b/>
                <w:bCs/>
              </w:rPr>
              <w:t>АИ подгрупа (</w:t>
            </w:r>
            <w:r w:rsidRPr="00852A5A">
              <w:rPr>
                <w:rFonts w:cs="Arial"/>
                <w:b/>
                <w:bCs/>
                <w:lang w:val="en-US"/>
              </w:rPr>
              <w:t>n</w:t>
            </w:r>
            <w:r w:rsidRPr="00852A5A">
              <w:rPr>
                <w:rFonts w:cs="Arial"/>
                <w:b/>
                <w:bCs/>
              </w:rPr>
              <w:t>=313)</w:t>
            </w:r>
            <w:r w:rsidRPr="00852A5A">
              <w:rPr>
                <w:rFonts w:cs="Arial"/>
                <w:b/>
                <w:bCs/>
                <w:vertAlign w:val="superscript"/>
                <w:lang w:val="en-US"/>
              </w:rPr>
              <w:t>a</w:t>
            </w:r>
          </w:p>
        </w:tc>
        <w:tc>
          <w:tcPr>
            <w:tcW w:w="1692" w:type="dxa"/>
            <w:gridSpan w:val="2"/>
          </w:tcPr>
          <w:p w14:paraId="49B86400" w14:textId="46A7A6EC" w:rsidR="00852A5A" w:rsidRPr="00852A5A" w:rsidRDefault="00852A5A" w:rsidP="00852A5A">
            <w:pPr>
              <w:rPr>
                <w:rFonts w:cs="Arial"/>
              </w:rPr>
            </w:pPr>
            <w:r w:rsidRPr="00852A5A">
              <w:rPr>
                <w:rFonts w:cs="Arial"/>
                <w:b/>
                <w:bCs/>
              </w:rPr>
              <w:t>36,2</w:t>
            </w:r>
          </w:p>
        </w:tc>
        <w:tc>
          <w:tcPr>
            <w:tcW w:w="1560" w:type="dxa"/>
            <w:gridSpan w:val="2"/>
          </w:tcPr>
          <w:p w14:paraId="41E13435" w14:textId="28BB8D11" w:rsidR="00852A5A" w:rsidRPr="00852A5A" w:rsidRDefault="00852A5A" w:rsidP="00852A5A">
            <w:pPr>
              <w:rPr>
                <w:rFonts w:cs="Arial"/>
              </w:rPr>
            </w:pPr>
            <w:r w:rsidRPr="00852A5A">
              <w:rPr>
                <w:rFonts w:cs="Arial"/>
                <w:b/>
                <w:bCs/>
              </w:rPr>
              <w:t>32,3</w:t>
            </w:r>
          </w:p>
        </w:tc>
        <w:tc>
          <w:tcPr>
            <w:tcW w:w="1547" w:type="dxa"/>
          </w:tcPr>
          <w:p w14:paraId="779CB7C8" w14:textId="3E1F9D24" w:rsidR="00852A5A" w:rsidRPr="00852A5A" w:rsidRDefault="00852A5A" w:rsidP="00852A5A">
            <w:pPr>
              <w:rPr>
                <w:rFonts w:cs="Arial"/>
              </w:rPr>
            </w:pPr>
            <w:r w:rsidRPr="00852A5A">
              <w:rPr>
                <w:rFonts w:cs="Arial"/>
                <w:b/>
                <w:bCs/>
              </w:rPr>
              <w:t>3,9</w:t>
            </w:r>
          </w:p>
        </w:tc>
        <w:tc>
          <w:tcPr>
            <w:tcW w:w="1505" w:type="dxa"/>
            <w:gridSpan w:val="2"/>
          </w:tcPr>
          <w:p w14:paraId="52436E63" w14:textId="5DDC515B" w:rsidR="00852A5A" w:rsidRPr="00852A5A" w:rsidRDefault="00852A5A" w:rsidP="00852A5A">
            <w:pPr>
              <w:rPr>
                <w:rFonts w:cs="Arial"/>
              </w:rPr>
            </w:pPr>
            <w:r w:rsidRPr="00852A5A">
              <w:rPr>
                <w:rFonts w:cs="Arial"/>
                <w:b/>
                <w:bCs/>
              </w:rPr>
              <w:t>-6,1, 15,2</w:t>
            </w:r>
          </w:p>
        </w:tc>
      </w:tr>
    </w:tbl>
    <w:p w14:paraId="7A8C8684" w14:textId="71CAEE82" w:rsidR="00852A5A" w:rsidRPr="00D26BBC" w:rsidRDefault="00852A5A" w:rsidP="00852A5A">
      <w:pPr>
        <w:spacing w:line="240" w:lineRule="auto"/>
        <w:rPr>
          <w:rFonts w:eastAsia="Times New Roman" w:cs="Arial"/>
          <w:sz w:val="20"/>
          <w:szCs w:val="20"/>
          <w:lang w:eastAsia="bg-BG"/>
        </w:rPr>
      </w:pPr>
      <w:r w:rsidRPr="00D26BBC">
        <w:rPr>
          <w:rFonts w:eastAsia="Times New Roman" w:cs="Arial"/>
          <w:color w:val="000000"/>
          <w:sz w:val="20"/>
          <w:szCs w:val="20"/>
          <w:lang w:eastAsia="bg-BG"/>
        </w:rPr>
        <w:t>а.</w:t>
      </w:r>
      <w:r w:rsidRPr="00D26BBC">
        <w:rPr>
          <w:rFonts w:eastAsia="Times New Roman" w:cs="Arial"/>
          <w:color w:val="000000"/>
          <w:sz w:val="20"/>
          <w:szCs w:val="20"/>
          <w:lang w:eastAsia="bg-BG"/>
        </w:rPr>
        <w:tab/>
        <w:t>Фулвестрант е показан при пациенти, които са имали рецидив или прогресия по време на антиестрогенова терапия. Резултатите от АИ-подгрупа не са убедителни.</w:t>
      </w:r>
    </w:p>
    <w:p w14:paraId="7C116FC8" w14:textId="77777777" w:rsidR="00852A5A" w:rsidRPr="00D26BBC" w:rsidRDefault="00852A5A" w:rsidP="00852A5A">
      <w:pPr>
        <w:spacing w:line="240" w:lineRule="auto"/>
        <w:rPr>
          <w:rFonts w:eastAsia="Times New Roman" w:cs="Arial"/>
          <w:sz w:val="20"/>
          <w:szCs w:val="20"/>
          <w:lang w:eastAsia="bg-BG"/>
        </w:rPr>
      </w:pPr>
      <w:proofErr w:type="gramStart"/>
      <w:r w:rsidRPr="00D26BBC">
        <w:rPr>
          <w:rFonts w:eastAsia="Times New Roman" w:cs="Arial"/>
          <w:color w:val="000000"/>
          <w:sz w:val="20"/>
          <w:szCs w:val="20"/>
          <w:lang w:val="en-US"/>
        </w:rPr>
        <w:t>b</w:t>
      </w:r>
      <w:proofErr w:type="gramEnd"/>
      <w:r w:rsidRPr="00D26BBC">
        <w:rPr>
          <w:rFonts w:eastAsia="Times New Roman" w:cs="Arial"/>
          <w:color w:val="000000"/>
          <w:sz w:val="20"/>
          <w:szCs w:val="20"/>
          <w:lang w:eastAsia="bg-BG"/>
        </w:rPr>
        <w:t>.</w:t>
      </w:r>
      <w:r w:rsidRPr="00D26BBC">
        <w:rPr>
          <w:rFonts w:eastAsia="Times New Roman" w:cs="Arial"/>
          <w:color w:val="000000"/>
          <w:sz w:val="20"/>
          <w:szCs w:val="20"/>
          <w:lang w:eastAsia="bg-BG"/>
        </w:rPr>
        <w:tab/>
        <w:t>Представените за ОП данни са от окончателните анализи за преживяемост при готовност 75%.</w:t>
      </w:r>
    </w:p>
    <w:p w14:paraId="43FA5959" w14:textId="77777777" w:rsidR="00852A5A" w:rsidRPr="00D26BBC" w:rsidRDefault="00852A5A" w:rsidP="00852A5A">
      <w:pPr>
        <w:spacing w:line="240" w:lineRule="auto"/>
        <w:rPr>
          <w:rFonts w:eastAsia="Times New Roman" w:cs="Arial"/>
          <w:sz w:val="20"/>
          <w:szCs w:val="20"/>
          <w:lang w:eastAsia="bg-BG"/>
        </w:rPr>
      </w:pPr>
      <w:r w:rsidRPr="00D26BBC">
        <w:rPr>
          <w:rFonts w:eastAsia="Times New Roman" w:cs="Arial"/>
          <w:color w:val="000000"/>
          <w:sz w:val="20"/>
          <w:szCs w:val="20"/>
          <w:lang w:eastAsia="bg-BG"/>
        </w:rPr>
        <w:lastRenderedPageBreak/>
        <w:t>с.</w:t>
      </w:r>
      <w:r w:rsidRPr="00D26BBC">
        <w:rPr>
          <w:rFonts w:eastAsia="Times New Roman" w:cs="Arial"/>
          <w:color w:val="000000"/>
          <w:sz w:val="20"/>
          <w:szCs w:val="20"/>
          <w:lang w:eastAsia="bg-BG"/>
        </w:rPr>
        <w:tab/>
        <w:t>Номиналната р-стойност без да се прави уточнение за различията при сравнение между първоначалните анализи за обща преживяемост при готовност 50% и обновените анализи за преживяемост при готовност 75%.</w:t>
      </w:r>
    </w:p>
    <w:p w14:paraId="76427163" w14:textId="77777777" w:rsidR="00852A5A" w:rsidRPr="00D26BBC" w:rsidRDefault="00852A5A" w:rsidP="00852A5A">
      <w:pPr>
        <w:spacing w:line="240" w:lineRule="auto"/>
        <w:rPr>
          <w:rFonts w:eastAsia="Times New Roman" w:cs="Arial"/>
          <w:sz w:val="20"/>
          <w:szCs w:val="20"/>
          <w:lang w:eastAsia="bg-BG"/>
        </w:rPr>
      </w:pPr>
      <w:proofErr w:type="gramStart"/>
      <w:r w:rsidRPr="00D26BBC">
        <w:rPr>
          <w:rFonts w:eastAsia="Times New Roman" w:cs="Arial"/>
          <w:color w:val="000000"/>
          <w:sz w:val="20"/>
          <w:szCs w:val="20"/>
          <w:lang w:val="en-US"/>
        </w:rPr>
        <w:t>d</w:t>
      </w:r>
      <w:proofErr w:type="gramEnd"/>
      <w:r w:rsidRPr="00D26BBC">
        <w:rPr>
          <w:rFonts w:eastAsia="Times New Roman" w:cs="Arial"/>
          <w:color w:val="000000"/>
          <w:sz w:val="20"/>
          <w:szCs w:val="20"/>
          <w:lang w:val="en-US"/>
        </w:rPr>
        <w:t>.</w:t>
      </w:r>
      <w:r w:rsidRPr="00D26BBC">
        <w:rPr>
          <w:rFonts w:eastAsia="Times New Roman" w:cs="Arial"/>
          <w:color w:val="000000"/>
          <w:sz w:val="20"/>
          <w:szCs w:val="20"/>
          <w:lang w:eastAsia="bg-BG"/>
        </w:rPr>
        <w:tab/>
        <w:t xml:space="preserve">СОП е оценена при пациентите, при които е било възможно да се оцени повлияването на изходно ниво (т.е. при пациентите с възможност за количествена оценка на болестта на изходно ниво: 240 пациенти в групата на фулвестрант 500 </w:t>
      </w:r>
      <w:r w:rsidRPr="00D26BBC">
        <w:rPr>
          <w:rFonts w:eastAsia="Times New Roman" w:cs="Arial"/>
          <w:color w:val="000000"/>
          <w:sz w:val="20"/>
          <w:szCs w:val="20"/>
          <w:lang w:val="en-US"/>
        </w:rPr>
        <w:t xml:space="preserve">mg </w:t>
      </w:r>
      <w:r w:rsidRPr="00D26BBC">
        <w:rPr>
          <w:rFonts w:eastAsia="Times New Roman" w:cs="Arial"/>
          <w:color w:val="000000"/>
          <w:sz w:val="20"/>
          <w:szCs w:val="20"/>
          <w:lang w:eastAsia="bg-BG"/>
        </w:rPr>
        <w:t xml:space="preserve">и 261 пациенти в групата на фулвестрант 250 </w:t>
      </w:r>
      <w:r w:rsidRPr="00D26BBC">
        <w:rPr>
          <w:rFonts w:eastAsia="Times New Roman" w:cs="Arial"/>
          <w:color w:val="000000"/>
          <w:sz w:val="20"/>
          <w:szCs w:val="20"/>
          <w:lang w:val="en-US"/>
        </w:rPr>
        <w:t>mg).</w:t>
      </w:r>
    </w:p>
    <w:p w14:paraId="1770C73D" w14:textId="0062A6E3" w:rsidR="00852A5A" w:rsidRPr="00D26BBC" w:rsidRDefault="00852A5A" w:rsidP="00852A5A">
      <w:pPr>
        <w:spacing w:line="240" w:lineRule="auto"/>
        <w:rPr>
          <w:rFonts w:eastAsia="Times New Roman" w:cs="Arial"/>
          <w:sz w:val="20"/>
          <w:szCs w:val="20"/>
          <w:lang w:eastAsia="bg-BG"/>
        </w:rPr>
      </w:pPr>
      <w:r w:rsidRPr="00D26BBC">
        <w:rPr>
          <w:rFonts w:eastAsia="Times New Roman" w:cs="Arial"/>
          <w:color w:val="000000"/>
          <w:sz w:val="20"/>
          <w:szCs w:val="20"/>
          <w:lang w:eastAsia="bg-BG"/>
        </w:rPr>
        <w:t>е.</w:t>
      </w:r>
      <w:r w:rsidRPr="00D26BBC">
        <w:rPr>
          <w:rFonts w:eastAsia="Times New Roman" w:cs="Arial"/>
          <w:color w:val="000000"/>
          <w:sz w:val="20"/>
          <w:szCs w:val="20"/>
          <w:lang w:eastAsia="bg-BG"/>
        </w:rPr>
        <w:tab/>
        <w:t>Пациенти с най-добро обективно повлияване на пълно повлияване, частично повлияване или стабилно заболяване &gt;24 седмици.</w:t>
      </w:r>
    </w:p>
    <w:p w14:paraId="4B97656F" w14:textId="1318DC34" w:rsidR="00852A5A" w:rsidRPr="00D26BBC" w:rsidRDefault="00852A5A" w:rsidP="00852A5A">
      <w:pPr>
        <w:spacing w:line="240" w:lineRule="auto"/>
        <w:rPr>
          <w:rFonts w:eastAsia="Times New Roman" w:cs="Arial"/>
          <w:sz w:val="20"/>
          <w:szCs w:val="20"/>
          <w:lang w:eastAsia="bg-BG"/>
        </w:rPr>
      </w:pPr>
      <w:r w:rsidRPr="00D26BBC">
        <w:rPr>
          <w:rFonts w:eastAsia="Times New Roman" w:cs="Arial"/>
          <w:color w:val="000000"/>
          <w:sz w:val="20"/>
          <w:szCs w:val="20"/>
          <w:lang w:eastAsia="bg-BG"/>
        </w:rPr>
        <w:t xml:space="preserve">ПБП: свободна от прогресия преживяемост; СОП: степен на обективно повлияване; ОО: обективен отговор; СКП: степен на клинична полза; КП: клинична полза; ОП: обща преживяемост; К-М: Каплан Майер: </w:t>
      </w:r>
      <w:r w:rsidR="00B47ABB" w:rsidRPr="00B47ABB">
        <w:rPr>
          <w:rFonts w:eastAsia="Times New Roman" w:cs="Arial"/>
          <w:color w:val="000000"/>
          <w:sz w:val="20"/>
          <w:szCs w:val="20"/>
          <w:lang w:val="en-US" w:eastAsia="bg-BG"/>
        </w:rPr>
        <w:t>CI</w:t>
      </w:r>
      <w:r w:rsidR="00B47ABB" w:rsidRPr="00D26BBC">
        <w:rPr>
          <w:rFonts w:eastAsia="Times New Roman" w:cs="Arial"/>
          <w:color w:val="000000"/>
          <w:sz w:val="20"/>
          <w:szCs w:val="20"/>
          <w:lang w:eastAsia="bg-BG"/>
        </w:rPr>
        <w:t xml:space="preserve"> </w:t>
      </w:r>
      <w:r w:rsidRPr="00D26BBC">
        <w:rPr>
          <w:rFonts w:eastAsia="Times New Roman" w:cs="Arial"/>
          <w:color w:val="000000"/>
          <w:sz w:val="20"/>
          <w:szCs w:val="20"/>
          <w:lang w:eastAsia="bg-BG"/>
        </w:rPr>
        <w:t>доверителен интервал; АИ: ароматазен инхибитор; АЕ:антиестроген.</w:t>
      </w:r>
    </w:p>
    <w:p w14:paraId="445148C3" w14:textId="77777777" w:rsidR="00852A5A" w:rsidRPr="00852A5A" w:rsidRDefault="00852A5A" w:rsidP="00852A5A">
      <w:pPr>
        <w:spacing w:line="240" w:lineRule="auto"/>
        <w:rPr>
          <w:rFonts w:eastAsia="Times New Roman" w:cs="Arial"/>
          <w:color w:val="000000"/>
          <w:lang w:eastAsia="bg-BG"/>
        </w:rPr>
      </w:pPr>
    </w:p>
    <w:p w14:paraId="526955DB" w14:textId="44E6EB3F" w:rsidR="00852A5A" w:rsidRPr="00852A5A" w:rsidRDefault="00852A5A" w:rsidP="00852A5A">
      <w:pPr>
        <w:spacing w:line="240" w:lineRule="auto"/>
        <w:rPr>
          <w:rFonts w:eastAsia="Times New Roman" w:cs="Arial"/>
          <w:sz w:val="24"/>
          <w:szCs w:val="24"/>
          <w:lang w:eastAsia="bg-BG"/>
        </w:rPr>
      </w:pPr>
      <w:r w:rsidRPr="00852A5A">
        <w:rPr>
          <w:rFonts w:eastAsia="Times New Roman" w:cs="Arial"/>
          <w:color w:val="000000"/>
          <w:lang w:eastAsia="bg-BG"/>
        </w:rPr>
        <w:t>Едно рандомизирано, двойно-сляпо, контролирано с двойно плацебо, многоце</w:t>
      </w:r>
      <w:r w:rsidR="00D26BBC">
        <w:rPr>
          <w:rFonts w:eastAsia="Times New Roman" w:cs="Arial"/>
          <w:color w:val="000000"/>
          <w:lang w:eastAsia="bg-BG"/>
        </w:rPr>
        <w:t xml:space="preserve">нгрово проучване фаза 3 с </w:t>
      </w:r>
      <w:r w:rsidRPr="00852A5A">
        <w:rPr>
          <w:rFonts w:eastAsia="Times New Roman" w:cs="Arial"/>
          <w:color w:val="000000"/>
          <w:lang w:eastAsia="bg-BG"/>
        </w:rPr>
        <w:t xml:space="preserve">500 </w:t>
      </w:r>
      <w:r w:rsidRPr="00852A5A">
        <w:rPr>
          <w:rFonts w:eastAsia="Times New Roman" w:cs="Arial"/>
          <w:color w:val="000000"/>
          <w:lang w:val="en-US"/>
        </w:rPr>
        <w:t>mg</w:t>
      </w:r>
      <w:r w:rsidR="00D26BBC">
        <w:rPr>
          <w:rFonts w:eastAsia="Times New Roman" w:cs="Arial"/>
          <w:color w:val="000000"/>
        </w:rPr>
        <w:t xml:space="preserve"> </w:t>
      </w:r>
      <w:r w:rsidR="00D26BBC" w:rsidRPr="00A34059">
        <w:rPr>
          <w:rFonts w:eastAsia="Times New Roman" w:cs="Arial"/>
          <w:color w:val="000000"/>
          <w:lang w:eastAsia="bg-BG"/>
        </w:rPr>
        <w:t>фулвестрант</w:t>
      </w:r>
      <w:r w:rsidRPr="00852A5A">
        <w:rPr>
          <w:rFonts w:eastAsia="Times New Roman" w:cs="Arial"/>
          <w:color w:val="000000"/>
          <w:lang w:val="en-US"/>
        </w:rPr>
        <w:t xml:space="preserve"> </w:t>
      </w:r>
      <w:r w:rsidR="00D26BBC">
        <w:rPr>
          <w:rFonts w:eastAsia="Times New Roman" w:cs="Arial"/>
          <w:color w:val="000000"/>
          <w:lang w:eastAsia="bg-BG"/>
        </w:rPr>
        <w:t>спрямо</w:t>
      </w:r>
      <w:r w:rsidRPr="00852A5A">
        <w:rPr>
          <w:rFonts w:eastAsia="Times New Roman" w:cs="Arial"/>
          <w:color w:val="000000"/>
          <w:lang w:eastAsia="bg-BG"/>
        </w:rPr>
        <w:t xml:space="preserve"> 1 </w:t>
      </w:r>
      <w:r w:rsidRPr="00852A5A">
        <w:rPr>
          <w:rFonts w:eastAsia="Times New Roman" w:cs="Arial"/>
          <w:color w:val="000000"/>
          <w:lang w:val="en-US"/>
        </w:rPr>
        <w:t>mg</w:t>
      </w:r>
      <w:r w:rsidR="00D26BBC">
        <w:rPr>
          <w:rFonts w:eastAsia="Times New Roman" w:cs="Arial"/>
          <w:color w:val="000000"/>
        </w:rPr>
        <w:t xml:space="preserve"> </w:t>
      </w:r>
      <w:r w:rsidR="00D26BBC" w:rsidRPr="00852A5A">
        <w:rPr>
          <w:rFonts w:eastAsia="Times New Roman" w:cs="Arial"/>
          <w:color w:val="000000"/>
          <w:lang w:eastAsia="bg-BG"/>
        </w:rPr>
        <w:t>анастрозол</w:t>
      </w:r>
      <w:r w:rsidRPr="00852A5A">
        <w:rPr>
          <w:rFonts w:eastAsia="Times New Roman" w:cs="Arial"/>
          <w:color w:val="000000"/>
          <w:lang w:val="en-US"/>
        </w:rPr>
        <w:t xml:space="preserve"> </w:t>
      </w:r>
      <w:r w:rsidRPr="00852A5A">
        <w:rPr>
          <w:rFonts w:eastAsia="Times New Roman" w:cs="Arial"/>
          <w:color w:val="000000"/>
          <w:lang w:eastAsia="bg-BG"/>
        </w:rPr>
        <w:t xml:space="preserve">е проведено при постменопаузални жени с </w:t>
      </w:r>
      <w:r w:rsidRPr="00852A5A">
        <w:rPr>
          <w:rFonts w:eastAsia="Times New Roman" w:cs="Arial"/>
          <w:color w:val="000000"/>
          <w:lang w:val="en-US"/>
        </w:rPr>
        <w:t>ER</w:t>
      </w:r>
      <w:r w:rsidRPr="00852A5A">
        <w:rPr>
          <w:rFonts w:eastAsia="Times New Roman" w:cs="Arial"/>
          <w:color w:val="000000"/>
          <w:lang w:eastAsia="bg-BG"/>
        </w:rPr>
        <w:t xml:space="preserve">-позитивен и/или </w:t>
      </w:r>
      <w:proofErr w:type="spellStart"/>
      <w:r w:rsidRPr="00852A5A">
        <w:rPr>
          <w:rFonts w:eastAsia="Times New Roman" w:cs="Arial"/>
          <w:color w:val="000000"/>
          <w:lang w:val="en-US"/>
        </w:rPr>
        <w:t>PgR</w:t>
      </w:r>
      <w:proofErr w:type="spellEnd"/>
      <w:r w:rsidRPr="00852A5A">
        <w:rPr>
          <w:rFonts w:eastAsia="Times New Roman" w:cs="Arial"/>
          <w:color w:val="000000"/>
          <w:lang w:eastAsia="bg-BG"/>
        </w:rPr>
        <w:t>-позитивен локално авансирал или метастатичен ра</w:t>
      </w:r>
      <w:r w:rsidR="00D26BBC">
        <w:rPr>
          <w:rFonts w:eastAsia="Times New Roman" w:cs="Arial"/>
          <w:color w:val="000000"/>
          <w:lang w:eastAsia="bg-BG"/>
        </w:rPr>
        <w:t>к на млечната жлеза, които преди това</w:t>
      </w:r>
      <w:r w:rsidRPr="00852A5A">
        <w:rPr>
          <w:rFonts w:eastAsia="Times New Roman" w:cs="Arial"/>
          <w:color w:val="000000"/>
          <w:lang w:eastAsia="bg-BG"/>
        </w:rPr>
        <w:t xml:space="preserve"> не са били лекувани с хормонална терапия. Общо 462 пациентки са рандомизирани в съотношение 1:1 да получ</w:t>
      </w:r>
      <w:r w:rsidR="00D26BBC">
        <w:rPr>
          <w:rFonts w:eastAsia="Times New Roman" w:cs="Arial"/>
          <w:color w:val="000000"/>
          <w:lang w:eastAsia="bg-BG"/>
        </w:rPr>
        <w:t xml:space="preserve">ават последователно </w:t>
      </w:r>
      <w:r w:rsidR="00D26BBC" w:rsidRPr="00852A5A">
        <w:rPr>
          <w:rFonts w:eastAsia="Times New Roman" w:cs="Arial"/>
          <w:color w:val="000000"/>
          <w:lang w:eastAsia="bg-BG"/>
        </w:rPr>
        <w:t xml:space="preserve">500 </w:t>
      </w:r>
      <w:r w:rsidR="00D26BBC" w:rsidRPr="00852A5A">
        <w:rPr>
          <w:rFonts w:eastAsia="Times New Roman" w:cs="Arial"/>
          <w:color w:val="000000"/>
          <w:lang w:val="en-US"/>
        </w:rPr>
        <w:t>mg</w:t>
      </w:r>
      <w:r w:rsidR="00D26BBC">
        <w:rPr>
          <w:rFonts w:eastAsia="Times New Roman" w:cs="Arial"/>
          <w:color w:val="000000"/>
        </w:rPr>
        <w:t xml:space="preserve"> </w:t>
      </w:r>
      <w:r w:rsidR="00D26BBC" w:rsidRPr="00A34059">
        <w:rPr>
          <w:rFonts w:eastAsia="Times New Roman" w:cs="Arial"/>
          <w:color w:val="000000"/>
          <w:lang w:eastAsia="bg-BG"/>
        </w:rPr>
        <w:t>фулвестрант</w:t>
      </w:r>
      <w:r w:rsidR="00D26BBC" w:rsidRPr="00852A5A">
        <w:rPr>
          <w:rFonts w:eastAsia="Times New Roman" w:cs="Arial"/>
          <w:color w:val="000000"/>
          <w:lang w:val="en-US"/>
        </w:rPr>
        <w:t xml:space="preserve"> </w:t>
      </w:r>
      <w:r w:rsidRPr="00852A5A">
        <w:rPr>
          <w:rFonts w:eastAsia="Times New Roman" w:cs="Arial"/>
          <w:color w:val="000000"/>
          <w:lang w:eastAsia="bg-BG"/>
        </w:rPr>
        <w:t xml:space="preserve">или 1 </w:t>
      </w:r>
      <w:r w:rsidRPr="00852A5A">
        <w:rPr>
          <w:rFonts w:eastAsia="Times New Roman" w:cs="Arial"/>
          <w:color w:val="000000"/>
          <w:lang w:val="en-US"/>
        </w:rPr>
        <w:t>mg</w:t>
      </w:r>
      <w:r w:rsidR="00D26BBC">
        <w:rPr>
          <w:rFonts w:eastAsia="Times New Roman" w:cs="Arial"/>
          <w:color w:val="000000"/>
        </w:rPr>
        <w:t xml:space="preserve"> </w:t>
      </w:r>
      <w:r w:rsidR="00D26BBC" w:rsidRPr="00852A5A">
        <w:rPr>
          <w:rFonts w:eastAsia="Times New Roman" w:cs="Arial"/>
          <w:color w:val="000000"/>
          <w:lang w:eastAsia="bg-BG"/>
        </w:rPr>
        <w:t>анастрозол</w:t>
      </w:r>
      <w:r w:rsidRPr="00852A5A">
        <w:rPr>
          <w:rFonts w:eastAsia="Times New Roman" w:cs="Arial"/>
          <w:color w:val="000000"/>
          <w:lang w:val="en-US"/>
        </w:rPr>
        <w:t>.</w:t>
      </w:r>
      <w:r w:rsidR="00D26BBC">
        <w:rPr>
          <w:rFonts w:eastAsia="Times New Roman" w:cs="Arial"/>
          <w:sz w:val="24"/>
          <w:szCs w:val="24"/>
          <w:lang w:eastAsia="bg-BG"/>
        </w:rPr>
        <w:t xml:space="preserve"> </w:t>
      </w:r>
      <w:r w:rsidRPr="00852A5A">
        <w:rPr>
          <w:rFonts w:eastAsia="Times New Roman" w:cs="Arial"/>
          <w:color w:val="000000"/>
          <w:lang w:eastAsia="bg-BG"/>
        </w:rPr>
        <w:t>Рандомизацията е стратифицирана по типа на заболяването (локално авансирал или метастатичен), предходна химиотерапия за авансирало и подлежащо на измерване заболяване.</w:t>
      </w:r>
    </w:p>
    <w:p w14:paraId="1AD639B4" w14:textId="77777777" w:rsidR="00852A5A" w:rsidRPr="00852A5A" w:rsidRDefault="00852A5A" w:rsidP="00852A5A">
      <w:pPr>
        <w:spacing w:line="240" w:lineRule="auto"/>
        <w:rPr>
          <w:rFonts w:eastAsia="Times New Roman" w:cs="Arial"/>
          <w:color w:val="000000"/>
          <w:lang w:eastAsia="bg-BG"/>
        </w:rPr>
      </w:pPr>
    </w:p>
    <w:p w14:paraId="2E0F99BC" w14:textId="174A5CC9" w:rsidR="00852A5A" w:rsidRPr="00852A5A" w:rsidRDefault="00852A5A" w:rsidP="00852A5A">
      <w:pPr>
        <w:spacing w:line="240" w:lineRule="auto"/>
        <w:rPr>
          <w:rFonts w:eastAsia="Times New Roman" w:cs="Arial"/>
          <w:sz w:val="24"/>
          <w:szCs w:val="24"/>
          <w:lang w:eastAsia="bg-BG"/>
        </w:rPr>
      </w:pPr>
      <w:r w:rsidRPr="00852A5A">
        <w:rPr>
          <w:rFonts w:eastAsia="Times New Roman" w:cs="Arial"/>
          <w:color w:val="000000"/>
          <w:lang w:eastAsia="bg-BG"/>
        </w:rPr>
        <w:t xml:space="preserve">Първичната крайна точка за ефикасност на проучването е оценената от изследователя преживяемост без прогресия (ПБП), оценена съобразно с </w:t>
      </w:r>
      <w:r w:rsidRPr="00852A5A">
        <w:rPr>
          <w:rFonts w:eastAsia="Times New Roman" w:cs="Arial"/>
          <w:color w:val="000000"/>
          <w:lang w:val="en-US"/>
        </w:rPr>
        <w:t xml:space="preserve">RECIST </w:t>
      </w:r>
      <w:r w:rsidRPr="00852A5A">
        <w:rPr>
          <w:rFonts w:eastAsia="Times New Roman" w:cs="Arial"/>
          <w:color w:val="000000"/>
          <w:lang w:eastAsia="bg-BG"/>
        </w:rPr>
        <w:t xml:space="preserve">1.1 (Критерии за оценка на повлияването при солидни тумори </w:t>
      </w:r>
      <w:r w:rsidRPr="00852A5A">
        <w:rPr>
          <w:rFonts w:eastAsia="Times New Roman" w:cs="Arial"/>
          <w:color w:val="000000"/>
          <w:lang w:val="en-US"/>
        </w:rPr>
        <w:t xml:space="preserve">[Response Evaluation Criteria in Solid </w:t>
      </w:r>
      <w:proofErr w:type="spellStart"/>
      <w:r w:rsidRPr="00852A5A">
        <w:rPr>
          <w:rFonts w:eastAsia="Times New Roman" w:cs="Arial"/>
          <w:color w:val="000000"/>
          <w:lang w:val="en-US"/>
        </w:rPr>
        <w:t>Tumours</w:t>
      </w:r>
      <w:proofErr w:type="spellEnd"/>
      <w:r w:rsidRPr="00852A5A">
        <w:rPr>
          <w:rFonts w:eastAsia="Times New Roman" w:cs="Arial"/>
          <w:color w:val="000000"/>
          <w:lang w:val="en-US"/>
        </w:rPr>
        <w:t xml:space="preserve">]). </w:t>
      </w:r>
      <w:r w:rsidRPr="00852A5A">
        <w:rPr>
          <w:rFonts w:eastAsia="Times New Roman" w:cs="Arial"/>
          <w:color w:val="000000"/>
          <w:lang w:eastAsia="bg-BG"/>
        </w:rPr>
        <w:t>Ключовите вторични точки за ефикасност включват обща преживяемост (ОП) и степен на обективно повлияване (СОП).</w:t>
      </w:r>
    </w:p>
    <w:p w14:paraId="1E55E897" w14:textId="77777777" w:rsidR="00852A5A" w:rsidRPr="00852A5A" w:rsidRDefault="00852A5A" w:rsidP="00852A5A">
      <w:pPr>
        <w:spacing w:line="240" w:lineRule="auto"/>
        <w:rPr>
          <w:rFonts w:eastAsia="Times New Roman" w:cs="Arial"/>
          <w:color w:val="000000"/>
          <w:lang w:eastAsia="bg-BG"/>
        </w:rPr>
      </w:pPr>
    </w:p>
    <w:p w14:paraId="27899FB5" w14:textId="4D96B4BD" w:rsidR="00852A5A" w:rsidRPr="00852A5A" w:rsidRDefault="00852A5A" w:rsidP="00852A5A">
      <w:pPr>
        <w:spacing w:line="240" w:lineRule="auto"/>
        <w:rPr>
          <w:rFonts w:eastAsia="Times New Roman" w:cs="Arial"/>
          <w:sz w:val="24"/>
          <w:szCs w:val="24"/>
          <w:lang w:eastAsia="bg-BG"/>
        </w:rPr>
      </w:pPr>
      <w:r w:rsidRPr="00852A5A">
        <w:rPr>
          <w:rFonts w:eastAsia="Times New Roman" w:cs="Arial"/>
          <w:color w:val="000000"/>
          <w:lang w:eastAsia="bg-BG"/>
        </w:rPr>
        <w:t xml:space="preserve">При пациентките, включени в това изпитване, </w:t>
      </w:r>
      <w:r w:rsidR="00D26BBC">
        <w:rPr>
          <w:rFonts w:eastAsia="Times New Roman" w:cs="Arial"/>
          <w:color w:val="000000"/>
          <w:lang w:eastAsia="bg-BG"/>
        </w:rPr>
        <w:t xml:space="preserve">медианата на </w:t>
      </w:r>
      <w:r w:rsidRPr="00852A5A">
        <w:rPr>
          <w:rFonts w:eastAsia="Times New Roman" w:cs="Arial"/>
          <w:color w:val="000000"/>
          <w:lang w:eastAsia="bg-BG"/>
        </w:rPr>
        <w:t>възраст</w:t>
      </w:r>
      <w:r w:rsidR="00D26BBC">
        <w:rPr>
          <w:rFonts w:eastAsia="Times New Roman" w:cs="Arial"/>
          <w:color w:val="000000"/>
          <w:lang w:eastAsia="bg-BG"/>
        </w:rPr>
        <w:t>та</w:t>
      </w:r>
      <w:r w:rsidRPr="00852A5A">
        <w:rPr>
          <w:rFonts w:eastAsia="Times New Roman" w:cs="Arial"/>
          <w:color w:val="000000"/>
          <w:lang w:eastAsia="bg-BG"/>
        </w:rPr>
        <w:t xml:space="preserve"> е 63 години (диапазон 36 - 90 години). По-голямата част от пациентките (87,0 %) имат метастатично заболяване на изходно ниво. Петдесет и пет процента (55,0 %) от пациентките имат висцерални метастази на изходно ниво. Общо 17,1 % от пациентките са приемали предшестващ химиотерапевтичен режим за лечение на авансирало заболяване; 84,2 % от пациентите имат измер</w:t>
      </w:r>
      <w:r w:rsidR="00D26BBC">
        <w:rPr>
          <w:rFonts w:eastAsia="Times New Roman" w:cs="Arial"/>
          <w:color w:val="000000"/>
          <w:lang w:eastAsia="bg-BG"/>
        </w:rPr>
        <w:t>имо</w:t>
      </w:r>
      <w:r w:rsidRPr="00852A5A">
        <w:rPr>
          <w:rFonts w:eastAsia="Times New Roman" w:cs="Arial"/>
          <w:color w:val="000000"/>
          <w:lang w:eastAsia="bg-BG"/>
        </w:rPr>
        <w:t xml:space="preserve"> заболяване.</w:t>
      </w:r>
    </w:p>
    <w:p w14:paraId="0B8C95C5" w14:textId="77777777" w:rsidR="00852A5A" w:rsidRPr="00852A5A" w:rsidRDefault="00852A5A" w:rsidP="00852A5A">
      <w:pPr>
        <w:rPr>
          <w:rFonts w:eastAsia="Times New Roman" w:cs="Arial"/>
          <w:color w:val="000000"/>
          <w:lang w:eastAsia="bg-BG"/>
        </w:rPr>
      </w:pPr>
    </w:p>
    <w:p w14:paraId="2C26840A" w14:textId="50D1626F" w:rsidR="00C838E4" w:rsidRPr="00C838E4" w:rsidRDefault="00852A5A" w:rsidP="00C838E4">
      <w:pPr>
        <w:rPr>
          <w:rFonts w:ascii="Times New Roman" w:eastAsia="Times New Roman" w:hAnsi="Times New Roman" w:cs="Times New Roman"/>
          <w:sz w:val="24"/>
          <w:szCs w:val="24"/>
          <w:lang w:eastAsia="bg-BG"/>
        </w:rPr>
      </w:pPr>
      <w:r w:rsidRPr="00852A5A">
        <w:rPr>
          <w:rFonts w:eastAsia="Times New Roman" w:cs="Arial"/>
          <w:color w:val="000000"/>
          <w:lang w:eastAsia="bg-BG"/>
        </w:rPr>
        <w:t>Съответстващи резултати се наблюдават в по-голямата част от предварително определение с подгрупи пациентки. В подгрупата пациентки, при които заболяването е ограничено до невисцерални метастази (</w:t>
      </w:r>
      <w:r w:rsidRPr="00852A5A">
        <w:rPr>
          <w:rFonts w:eastAsia="Times New Roman" w:cs="Arial"/>
          <w:color w:val="000000"/>
          <w:lang w:val="en-US" w:eastAsia="bg-BG"/>
        </w:rPr>
        <w:t>n</w:t>
      </w:r>
      <w:r w:rsidRPr="00852A5A">
        <w:rPr>
          <w:rFonts w:eastAsia="Times New Roman" w:cs="Arial"/>
          <w:color w:val="000000"/>
          <w:lang w:eastAsia="bg-BG"/>
        </w:rPr>
        <w:t xml:space="preserve">=208), коефициентът на риск </w:t>
      </w:r>
      <w:r w:rsidRPr="00852A5A">
        <w:rPr>
          <w:rFonts w:eastAsia="Times New Roman" w:cs="Arial"/>
          <w:color w:val="000000"/>
          <w:lang w:val="en-US"/>
        </w:rPr>
        <w:t xml:space="preserve">(HR) </w:t>
      </w:r>
      <w:r w:rsidRPr="00852A5A">
        <w:rPr>
          <w:rFonts w:eastAsia="Times New Roman" w:cs="Arial"/>
          <w:color w:val="000000"/>
          <w:lang w:eastAsia="bg-BG"/>
        </w:rPr>
        <w:t xml:space="preserve">е 0,592 (95 % </w:t>
      </w:r>
      <w:r w:rsidR="00B47ABB" w:rsidRPr="008A0E10">
        <w:rPr>
          <w:rFonts w:eastAsia="Times New Roman" w:cs="Arial"/>
          <w:color w:val="000000"/>
          <w:lang w:val="en-US" w:eastAsia="bg-BG"/>
        </w:rPr>
        <w:t>CI</w:t>
      </w:r>
      <w:r w:rsidRPr="00852A5A">
        <w:rPr>
          <w:rFonts w:eastAsia="Times New Roman" w:cs="Arial"/>
          <w:color w:val="000000"/>
          <w:lang w:eastAsia="bg-BG"/>
        </w:rPr>
        <w:t>;</w:t>
      </w:r>
      <w:r w:rsidRPr="00852A5A">
        <w:rPr>
          <w:rFonts w:eastAsia="Times New Roman" w:cs="Arial"/>
          <w:color w:val="000000"/>
          <w:lang w:val="en-US"/>
        </w:rPr>
        <w:t xml:space="preserve"> 0,419, 0,837 </w:t>
      </w:r>
      <w:r w:rsidRPr="00852A5A">
        <w:rPr>
          <w:rFonts w:eastAsia="Times New Roman" w:cs="Arial"/>
          <w:color w:val="000000"/>
          <w:lang w:eastAsia="bg-BG"/>
        </w:rPr>
        <w:t>в</w:t>
      </w:r>
      <w:r w:rsidR="00C838E4">
        <w:rPr>
          <w:rFonts w:eastAsia="Times New Roman" w:cs="Arial"/>
          <w:color w:val="000000"/>
          <w:lang w:val="en-US" w:eastAsia="bg-BG"/>
        </w:rPr>
        <w:t xml:space="preserve"> </w:t>
      </w:r>
      <w:r w:rsidR="00C838E4" w:rsidRPr="00B65011">
        <w:rPr>
          <w:rFonts w:eastAsia="Times New Roman" w:cs="Arial"/>
          <w:color w:val="000000"/>
          <w:lang w:eastAsia="bg-BG"/>
        </w:rPr>
        <w:t xml:space="preserve">рамото на фулвестрант, в сравнение с рамото на анастрозол. В подгрупата на пациентките с висцерални метастази </w:t>
      </w:r>
      <w:r w:rsidR="00C838E4" w:rsidRPr="00B65011">
        <w:rPr>
          <w:rFonts w:eastAsia="Times New Roman" w:cs="Arial"/>
          <w:color w:val="000000"/>
          <w:lang w:val="en-US"/>
        </w:rPr>
        <w:t xml:space="preserve">(n=254), HR </w:t>
      </w:r>
      <w:r w:rsidR="00C838E4" w:rsidRPr="00B65011">
        <w:rPr>
          <w:rFonts w:eastAsia="Times New Roman" w:cs="Arial"/>
          <w:color w:val="000000"/>
          <w:lang w:eastAsia="bg-BG"/>
        </w:rPr>
        <w:t xml:space="preserve">е 0,993 (95 % </w:t>
      </w:r>
      <w:r w:rsidR="00B47ABB" w:rsidRPr="008A0E10">
        <w:rPr>
          <w:rFonts w:eastAsia="Times New Roman" w:cs="Arial"/>
          <w:color w:val="000000"/>
          <w:lang w:val="en-US" w:eastAsia="bg-BG"/>
        </w:rPr>
        <w:t>CI</w:t>
      </w:r>
      <w:r w:rsidR="00C838E4" w:rsidRPr="00B65011">
        <w:rPr>
          <w:rFonts w:eastAsia="Times New Roman" w:cs="Arial"/>
          <w:color w:val="000000"/>
          <w:lang w:eastAsia="bg-BG"/>
        </w:rPr>
        <w:t xml:space="preserve">: 0,740; 1,331) в рамото на фулвестрант, в сравнение с рамото на анастрозол. Резултатите за ефикасност от проучването </w:t>
      </w:r>
      <w:r w:rsidR="00C838E4" w:rsidRPr="00B65011">
        <w:rPr>
          <w:rFonts w:eastAsia="Times New Roman" w:cs="Arial"/>
          <w:color w:val="000000"/>
          <w:lang w:val="en-US"/>
        </w:rPr>
        <w:t xml:space="preserve">FALCON </w:t>
      </w:r>
      <w:r w:rsidR="00D26BBC">
        <w:rPr>
          <w:rFonts w:eastAsia="Times New Roman" w:cs="Arial"/>
          <w:color w:val="000000"/>
          <w:lang w:eastAsia="bg-BG"/>
        </w:rPr>
        <w:t>са представени в таблица 4 и ф</w:t>
      </w:r>
      <w:r w:rsidR="00C838E4" w:rsidRPr="00B65011">
        <w:rPr>
          <w:rFonts w:eastAsia="Times New Roman" w:cs="Arial"/>
          <w:color w:val="000000"/>
          <w:lang w:eastAsia="bg-BG"/>
        </w:rPr>
        <w:t>игура 1.</w:t>
      </w:r>
    </w:p>
    <w:p w14:paraId="7F524367" w14:textId="77777777" w:rsidR="00C838E4" w:rsidRDefault="00C838E4" w:rsidP="00C838E4">
      <w:pPr>
        <w:rPr>
          <w:rFonts w:ascii="Times New Roman" w:eastAsia="Times New Roman" w:hAnsi="Times New Roman" w:cs="Times New Roman"/>
          <w:b/>
          <w:bCs/>
          <w:color w:val="000000"/>
          <w:lang w:eastAsia="bg-BG"/>
        </w:rPr>
      </w:pPr>
    </w:p>
    <w:p w14:paraId="58BDCFC1" w14:textId="214215FD" w:rsidR="00852A5A" w:rsidRPr="00B65011" w:rsidRDefault="00C838E4" w:rsidP="00C838E4">
      <w:pPr>
        <w:rPr>
          <w:rFonts w:cs="Arial"/>
          <w:lang w:val="en-US"/>
        </w:rPr>
      </w:pPr>
      <w:r w:rsidRPr="00B65011">
        <w:rPr>
          <w:rFonts w:eastAsia="Times New Roman" w:cs="Arial"/>
          <w:b/>
          <w:bCs/>
          <w:color w:val="000000"/>
          <w:lang w:eastAsia="bg-BG"/>
        </w:rPr>
        <w:t xml:space="preserve">Таблица 4 Обобщени резултати за първичната крайна точка за ефикасност (ПБП) и ключовите вторични крайни точки (оценка на изследователя, всички рандомизнрани пациентки) — изпитване </w:t>
      </w:r>
      <w:r w:rsidRPr="00B65011">
        <w:rPr>
          <w:rFonts w:eastAsia="Times New Roman" w:cs="Arial"/>
          <w:b/>
          <w:bCs/>
          <w:color w:val="000000"/>
          <w:lang w:val="en-US"/>
        </w:rPr>
        <w:t>FALCON</w:t>
      </w:r>
      <w:r w:rsidRPr="00B65011">
        <w:rPr>
          <w:rFonts w:eastAsia="Times New Roman" w:cs="Arial"/>
          <w:color w:val="000000"/>
          <w:lang w:val="en-US" w:eastAsia="bg-BG"/>
        </w:rPr>
        <w:t xml:space="preserve"> </w:t>
      </w:r>
    </w:p>
    <w:p w14:paraId="7B24D218" w14:textId="11F0C4FA" w:rsidR="00A34059" w:rsidRDefault="00A34059" w:rsidP="0091385D"/>
    <w:tbl>
      <w:tblPr>
        <w:tblStyle w:val="TableGrid"/>
        <w:tblW w:w="0" w:type="auto"/>
        <w:tblLook w:val="04A0" w:firstRow="1" w:lastRow="0" w:firstColumn="1" w:lastColumn="0" w:noHBand="0" w:noVBand="1"/>
      </w:tblPr>
      <w:tblGrid>
        <w:gridCol w:w="3119"/>
        <w:gridCol w:w="3118"/>
        <w:gridCol w:w="3113"/>
      </w:tblGrid>
      <w:tr w:rsidR="00C838E4" w14:paraId="59DDE5A8" w14:textId="77777777" w:rsidTr="00C838E4">
        <w:tc>
          <w:tcPr>
            <w:tcW w:w="3166" w:type="dxa"/>
          </w:tcPr>
          <w:p w14:paraId="61F931BC" w14:textId="77777777" w:rsidR="00C838E4" w:rsidRPr="00C838E4" w:rsidRDefault="00C838E4" w:rsidP="00C838E4">
            <w:pPr>
              <w:rPr>
                <w:rFonts w:cs="Arial"/>
              </w:rPr>
            </w:pPr>
          </w:p>
        </w:tc>
        <w:tc>
          <w:tcPr>
            <w:tcW w:w="3167" w:type="dxa"/>
          </w:tcPr>
          <w:p w14:paraId="1E9FECDA" w14:textId="77777777" w:rsidR="00B47ABB" w:rsidRDefault="00C838E4" w:rsidP="00C838E4">
            <w:pPr>
              <w:rPr>
                <w:rFonts w:cs="Arial"/>
                <w:b/>
                <w:bCs/>
              </w:rPr>
            </w:pPr>
            <w:r w:rsidRPr="00C838E4">
              <w:rPr>
                <w:rFonts w:cs="Arial"/>
                <w:b/>
                <w:bCs/>
              </w:rPr>
              <w:t xml:space="preserve">Фулвестрант </w:t>
            </w:r>
          </w:p>
          <w:p w14:paraId="49422826" w14:textId="77777777" w:rsidR="00B47ABB" w:rsidRDefault="00C838E4" w:rsidP="00C838E4">
            <w:pPr>
              <w:rPr>
                <w:rFonts w:cs="Arial"/>
                <w:b/>
                <w:bCs/>
                <w:lang w:val="en-US"/>
              </w:rPr>
            </w:pPr>
            <w:r w:rsidRPr="00C838E4">
              <w:rPr>
                <w:rFonts w:cs="Arial"/>
                <w:b/>
                <w:bCs/>
              </w:rPr>
              <w:t xml:space="preserve">500 </w:t>
            </w:r>
            <w:r w:rsidRPr="00C838E4">
              <w:rPr>
                <w:rFonts w:cs="Arial"/>
                <w:b/>
                <w:bCs/>
                <w:lang w:val="en-US"/>
              </w:rPr>
              <w:t xml:space="preserve">mg </w:t>
            </w:r>
          </w:p>
          <w:p w14:paraId="2FF5DFF3" w14:textId="57FE1395" w:rsidR="00C838E4" w:rsidRPr="00C838E4" w:rsidRDefault="00C838E4" w:rsidP="00C838E4">
            <w:pPr>
              <w:rPr>
                <w:rFonts w:cs="Arial"/>
              </w:rPr>
            </w:pPr>
            <w:r w:rsidRPr="00C838E4">
              <w:rPr>
                <w:rFonts w:cs="Arial"/>
                <w:b/>
                <w:bCs/>
                <w:lang w:val="en-US"/>
              </w:rPr>
              <w:t>(N=230)</w:t>
            </w:r>
          </w:p>
        </w:tc>
        <w:tc>
          <w:tcPr>
            <w:tcW w:w="3167" w:type="dxa"/>
          </w:tcPr>
          <w:p w14:paraId="6B55DCA2" w14:textId="77777777" w:rsidR="00B47ABB" w:rsidRDefault="00C838E4" w:rsidP="00C838E4">
            <w:pPr>
              <w:rPr>
                <w:rFonts w:cs="Arial"/>
                <w:b/>
                <w:bCs/>
              </w:rPr>
            </w:pPr>
            <w:r w:rsidRPr="00C838E4">
              <w:rPr>
                <w:rFonts w:cs="Arial"/>
                <w:b/>
                <w:bCs/>
              </w:rPr>
              <w:t xml:space="preserve">Анастрозол </w:t>
            </w:r>
          </w:p>
          <w:p w14:paraId="67A3FF9A" w14:textId="77777777" w:rsidR="00B47ABB" w:rsidRDefault="00C838E4" w:rsidP="00C838E4">
            <w:pPr>
              <w:rPr>
                <w:rFonts w:cs="Arial"/>
                <w:b/>
                <w:bCs/>
              </w:rPr>
            </w:pPr>
            <w:r w:rsidRPr="00C838E4">
              <w:rPr>
                <w:rFonts w:cs="Arial"/>
                <w:b/>
                <w:bCs/>
              </w:rPr>
              <w:t xml:space="preserve">1 </w:t>
            </w:r>
            <w:r w:rsidRPr="00C838E4">
              <w:rPr>
                <w:rFonts w:cs="Arial"/>
                <w:b/>
                <w:bCs/>
                <w:lang w:val="en-US"/>
              </w:rPr>
              <w:t xml:space="preserve">mg </w:t>
            </w:r>
            <w:r w:rsidRPr="00C838E4">
              <w:rPr>
                <w:rFonts w:cs="Arial"/>
                <w:b/>
                <w:bCs/>
              </w:rPr>
              <w:tab/>
            </w:r>
            <w:r w:rsidRPr="00C838E4">
              <w:rPr>
                <w:rFonts w:cs="Arial"/>
                <w:b/>
                <w:bCs/>
              </w:rPr>
              <w:tab/>
            </w:r>
          </w:p>
          <w:p w14:paraId="069D4147" w14:textId="0A0B1EA9" w:rsidR="00C838E4" w:rsidRPr="00C838E4" w:rsidRDefault="00C838E4" w:rsidP="00C838E4">
            <w:pPr>
              <w:rPr>
                <w:rFonts w:cs="Arial"/>
              </w:rPr>
            </w:pPr>
            <w:r w:rsidRPr="00C838E4">
              <w:rPr>
                <w:rFonts w:cs="Arial"/>
                <w:b/>
                <w:bCs/>
                <w:lang w:val="en-US"/>
              </w:rPr>
              <w:t>(N=232)</w:t>
            </w:r>
            <w:r w:rsidRPr="00C838E4">
              <w:rPr>
                <w:rFonts w:cs="Arial"/>
                <w:b/>
                <w:bCs/>
              </w:rPr>
              <w:tab/>
            </w:r>
          </w:p>
        </w:tc>
      </w:tr>
      <w:tr w:rsidR="00C838E4" w14:paraId="626C7113" w14:textId="77777777" w:rsidTr="008C464A">
        <w:tc>
          <w:tcPr>
            <w:tcW w:w="9500" w:type="dxa"/>
            <w:gridSpan w:val="3"/>
          </w:tcPr>
          <w:p w14:paraId="0C16D169" w14:textId="4A2E120B" w:rsidR="00C838E4" w:rsidRPr="00C838E4" w:rsidRDefault="00C838E4" w:rsidP="0091385D">
            <w:pPr>
              <w:rPr>
                <w:rFonts w:cs="Arial"/>
              </w:rPr>
            </w:pPr>
            <w:r w:rsidRPr="00C838E4">
              <w:rPr>
                <w:rFonts w:cs="Arial"/>
                <w:b/>
                <w:bCs/>
              </w:rPr>
              <w:t>Преживяемост без прогресия</w:t>
            </w:r>
          </w:p>
        </w:tc>
      </w:tr>
      <w:tr w:rsidR="00C838E4" w14:paraId="70FB510E" w14:textId="77777777" w:rsidTr="00C838E4">
        <w:tc>
          <w:tcPr>
            <w:tcW w:w="3166" w:type="dxa"/>
          </w:tcPr>
          <w:p w14:paraId="753ACE20" w14:textId="2A92943F" w:rsidR="00C838E4" w:rsidRPr="00C838E4" w:rsidRDefault="00C838E4" w:rsidP="00C838E4">
            <w:pPr>
              <w:rPr>
                <w:rFonts w:cs="Arial"/>
              </w:rPr>
            </w:pPr>
            <w:r w:rsidRPr="00C838E4">
              <w:rPr>
                <w:rFonts w:cs="Arial"/>
                <w:b/>
                <w:bCs/>
              </w:rPr>
              <w:lastRenderedPageBreak/>
              <w:t>Брой случаи на ПБП (%)</w:t>
            </w:r>
          </w:p>
        </w:tc>
        <w:tc>
          <w:tcPr>
            <w:tcW w:w="3167" w:type="dxa"/>
          </w:tcPr>
          <w:p w14:paraId="6C0294DD" w14:textId="731234B8" w:rsidR="00C838E4" w:rsidRPr="00C838E4" w:rsidRDefault="00C838E4" w:rsidP="00C838E4">
            <w:pPr>
              <w:rPr>
                <w:rFonts w:cs="Arial"/>
              </w:rPr>
            </w:pPr>
            <w:r w:rsidRPr="00C838E4">
              <w:rPr>
                <w:rFonts w:cs="Arial"/>
                <w:b/>
                <w:bCs/>
              </w:rPr>
              <w:t>143 (624%)</w:t>
            </w:r>
          </w:p>
        </w:tc>
        <w:tc>
          <w:tcPr>
            <w:tcW w:w="3167" w:type="dxa"/>
          </w:tcPr>
          <w:p w14:paraId="3A15CA36" w14:textId="1C7D6EF5" w:rsidR="00C838E4" w:rsidRPr="00C838E4" w:rsidRDefault="00C838E4" w:rsidP="00C838E4">
            <w:pPr>
              <w:rPr>
                <w:rFonts w:cs="Arial"/>
              </w:rPr>
            </w:pPr>
            <w:r w:rsidRPr="00C838E4">
              <w:rPr>
                <w:rFonts w:cs="Arial"/>
                <w:b/>
                <w:bCs/>
              </w:rPr>
              <w:t>166 (71,6%)</w:t>
            </w:r>
          </w:p>
        </w:tc>
      </w:tr>
      <w:tr w:rsidR="00C838E4" w14:paraId="25AC4C10" w14:textId="77777777" w:rsidTr="008C464A">
        <w:tc>
          <w:tcPr>
            <w:tcW w:w="3166" w:type="dxa"/>
          </w:tcPr>
          <w:p w14:paraId="74618550" w14:textId="02AC4B73" w:rsidR="00C838E4" w:rsidRPr="00C838E4" w:rsidRDefault="00C838E4" w:rsidP="00B47ABB">
            <w:pPr>
              <w:rPr>
                <w:rFonts w:cs="Arial"/>
              </w:rPr>
            </w:pPr>
            <w:r w:rsidRPr="00C838E4">
              <w:rPr>
                <w:rFonts w:cs="Arial"/>
                <w:b/>
                <w:bCs/>
              </w:rPr>
              <w:t xml:space="preserve">Коефициент на риск за ПБП (95 % </w:t>
            </w:r>
            <w:r w:rsidR="00B47ABB">
              <w:rPr>
                <w:rFonts w:cs="Arial"/>
                <w:b/>
                <w:bCs/>
                <w:lang w:val="en-US"/>
              </w:rPr>
              <w:t>CI</w:t>
            </w:r>
            <w:r w:rsidRPr="00C838E4">
              <w:rPr>
                <w:rFonts w:cs="Arial"/>
                <w:b/>
                <w:bCs/>
              </w:rPr>
              <w:t>) и р-стойност</w:t>
            </w:r>
          </w:p>
        </w:tc>
        <w:tc>
          <w:tcPr>
            <w:tcW w:w="6334" w:type="dxa"/>
            <w:gridSpan w:val="2"/>
          </w:tcPr>
          <w:p w14:paraId="2FACB2C9" w14:textId="77777777" w:rsidR="00C838E4" w:rsidRPr="00C838E4" w:rsidRDefault="00C838E4" w:rsidP="00C838E4">
            <w:pPr>
              <w:spacing w:line="240" w:lineRule="auto"/>
              <w:jc w:val="center"/>
              <w:rPr>
                <w:rFonts w:eastAsia="Times New Roman" w:cs="Arial"/>
                <w:lang w:eastAsia="bg-BG"/>
              </w:rPr>
            </w:pPr>
            <w:r w:rsidRPr="00C838E4">
              <w:rPr>
                <w:rFonts w:eastAsia="Times New Roman" w:cs="Arial"/>
                <w:b/>
                <w:bCs/>
                <w:color w:val="000000"/>
                <w:lang w:val="en-US"/>
              </w:rPr>
              <w:t xml:space="preserve">HR </w:t>
            </w:r>
            <w:r w:rsidRPr="00C838E4">
              <w:rPr>
                <w:rFonts w:eastAsia="Times New Roman" w:cs="Arial"/>
                <w:b/>
                <w:bCs/>
                <w:color w:val="000000"/>
                <w:lang w:eastAsia="bg-BG"/>
              </w:rPr>
              <w:t>0,797 (0,637 - 0,999)</w:t>
            </w:r>
          </w:p>
          <w:p w14:paraId="4033FE37" w14:textId="0F539659" w:rsidR="00C838E4" w:rsidRPr="00C838E4" w:rsidRDefault="00C838E4" w:rsidP="00C838E4">
            <w:pPr>
              <w:jc w:val="center"/>
              <w:rPr>
                <w:rFonts w:cs="Arial"/>
              </w:rPr>
            </w:pPr>
            <w:r w:rsidRPr="00C838E4">
              <w:rPr>
                <w:rFonts w:eastAsia="Times New Roman" w:cs="Arial"/>
                <w:b/>
                <w:bCs/>
                <w:color w:val="000000"/>
                <w:lang w:eastAsia="bg-BG"/>
              </w:rPr>
              <w:t>р=0,0486</w:t>
            </w:r>
          </w:p>
        </w:tc>
      </w:tr>
      <w:tr w:rsidR="00C838E4" w14:paraId="6C2502B0" w14:textId="77777777" w:rsidTr="00C838E4">
        <w:tc>
          <w:tcPr>
            <w:tcW w:w="3166" w:type="dxa"/>
          </w:tcPr>
          <w:p w14:paraId="5DEED19C" w14:textId="67A98464" w:rsidR="00C838E4" w:rsidRPr="00C838E4" w:rsidRDefault="00C838E4" w:rsidP="00B47ABB">
            <w:pPr>
              <w:rPr>
                <w:rFonts w:cs="Arial"/>
              </w:rPr>
            </w:pPr>
            <w:r w:rsidRPr="00C838E4">
              <w:rPr>
                <w:rFonts w:cs="Arial"/>
                <w:b/>
                <w:bCs/>
              </w:rPr>
              <w:t>Медиана на ПБП [месеци (95%</w:t>
            </w:r>
            <w:r w:rsidR="00B47ABB">
              <w:rPr>
                <w:rFonts w:cs="Arial"/>
                <w:b/>
                <w:bCs/>
                <w:lang w:val="en-US"/>
              </w:rPr>
              <w:t xml:space="preserve"> CI</w:t>
            </w:r>
            <w:r w:rsidR="00B47ABB">
              <w:rPr>
                <w:rFonts w:cs="Arial"/>
                <w:b/>
                <w:bCs/>
              </w:rPr>
              <w:t>)]</w:t>
            </w:r>
          </w:p>
        </w:tc>
        <w:tc>
          <w:tcPr>
            <w:tcW w:w="3167" w:type="dxa"/>
          </w:tcPr>
          <w:p w14:paraId="2DEC38AC" w14:textId="0D7EE864" w:rsidR="00C838E4" w:rsidRPr="00C838E4" w:rsidRDefault="00C838E4" w:rsidP="00C838E4">
            <w:pPr>
              <w:rPr>
                <w:rFonts w:cs="Arial"/>
              </w:rPr>
            </w:pPr>
            <w:r w:rsidRPr="00C838E4">
              <w:rPr>
                <w:rFonts w:cs="Arial"/>
                <w:b/>
                <w:bCs/>
              </w:rPr>
              <w:t>16,6 (13,8; 21,0)</w:t>
            </w:r>
          </w:p>
        </w:tc>
        <w:tc>
          <w:tcPr>
            <w:tcW w:w="3167" w:type="dxa"/>
          </w:tcPr>
          <w:p w14:paraId="5A46E0A5" w14:textId="58A60A9C" w:rsidR="00C838E4" w:rsidRPr="00C838E4" w:rsidRDefault="00C838E4" w:rsidP="00C838E4">
            <w:pPr>
              <w:rPr>
                <w:rFonts w:cs="Arial"/>
              </w:rPr>
            </w:pPr>
            <w:r w:rsidRPr="00C838E4">
              <w:rPr>
                <w:rFonts w:cs="Arial"/>
                <w:b/>
                <w:bCs/>
              </w:rPr>
              <w:t>13,8 (12,0; 16,6)</w:t>
            </w:r>
          </w:p>
        </w:tc>
      </w:tr>
      <w:tr w:rsidR="00C838E4" w14:paraId="7AE2A14C" w14:textId="77777777" w:rsidTr="00C838E4">
        <w:tc>
          <w:tcPr>
            <w:tcW w:w="3166" w:type="dxa"/>
          </w:tcPr>
          <w:p w14:paraId="62E51797" w14:textId="378C4E67" w:rsidR="00C838E4" w:rsidRPr="00C838E4" w:rsidRDefault="00C838E4" w:rsidP="00C838E4">
            <w:pPr>
              <w:rPr>
                <w:rFonts w:cs="Arial"/>
              </w:rPr>
            </w:pPr>
            <w:r w:rsidRPr="00C838E4">
              <w:rPr>
                <w:rFonts w:cs="Arial"/>
                <w:b/>
                <w:bCs/>
              </w:rPr>
              <w:t>Брой случаи на ОП*</w:t>
            </w:r>
          </w:p>
        </w:tc>
        <w:tc>
          <w:tcPr>
            <w:tcW w:w="3167" w:type="dxa"/>
          </w:tcPr>
          <w:p w14:paraId="09C6ED3A" w14:textId="74F1EB0B" w:rsidR="00C838E4" w:rsidRPr="00C838E4" w:rsidRDefault="00C838E4" w:rsidP="00C838E4">
            <w:pPr>
              <w:rPr>
                <w:rFonts w:cs="Arial"/>
              </w:rPr>
            </w:pPr>
            <w:r w:rsidRPr="00C838E4">
              <w:rPr>
                <w:rFonts w:cs="Arial"/>
                <w:b/>
                <w:bCs/>
              </w:rPr>
              <w:t>67 (29,1 %)</w:t>
            </w:r>
          </w:p>
        </w:tc>
        <w:tc>
          <w:tcPr>
            <w:tcW w:w="3167" w:type="dxa"/>
          </w:tcPr>
          <w:p w14:paraId="2F8776BB" w14:textId="6E6311BB" w:rsidR="00C838E4" w:rsidRPr="00C838E4" w:rsidRDefault="00C838E4" w:rsidP="00C838E4">
            <w:pPr>
              <w:rPr>
                <w:rFonts w:cs="Arial"/>
              </w:rPr>
            </w:pPr>
            <w:r w:rsidRPr="00C838E4">
              <w:rPr>
                <w:rFonts w:cs="Arial"/>
                <w:b/>
                <w:bCs/>
              </w:rPr>
              <w:t>75(32</w:t>
            </w:r>
            <w:r w:rsidR="00D006DD">
              <w:rPr>
                <w:rFonts w:cs="Arial"/>
                <w:b/>
                <w:bCs/>
              </w:rPr>
              <w:t>,</w:t>
            </w:r>
            <w:bookmarkStart w:id="2" w:name="_GoBack"/>
            <w:bookmarkEnd w:id="2"/>
            <w:r w:rsidRPr="00C838E4">
              <w:rPr>
                <w:rFonts w:cs="Arial"/>
                <w:b/>
                <w:bCs/>
              </w:rPr>
              <w:t>3%)</w:t>
            </w:r>
          </w:p>
        </w:tc>
      </w:tr>
      <w:tr w:rsidR="00C838E4" w14:paraId="5F590B0F" w14:textId="77777777" w:rsidTr="008C464A">
        <w:tc>
          <w:tcPr>
            <w:tcW w:w="3166" w:type="dxa"/>
          </w:tcPr>
          <w:p w14:paraId="6352D7BE" w14:textId="146BABBF" w:rsidR="00C838E4" w:rsidRPr="00C838E4" w:rsidRDefault="00C838E4" w:rsidP="00B47ABB">
            <w:pPr>
              <w:rPr>
                <w:rFonts w:cs="Arial"/>
              </w:rPr>
            </w:pPr>
            <w:r w:rsidRPr="00C838E4">
              <w:rPr>
                <w:rFonts w:cs="Arial"/>
                <w:b/>
                <w:bCs/>
              </w:rPr>
              <w:t xml:space="preserve">Коефициент на риск за ОП (95 % </w:t>
            </w:r>
            <w:r w:rsidR="00B47ABB">
              <w:rPr>
                <w:rFonts w:cs="Arial"/>
                <w:b/>
                <w:bCs/>
                <w:lang w:val="en-US"/>
              </w:rPr>
              <w:t>CI</w:t>
            </w:r>
            <w:r w:rsidRPr="00C838E4">
              <w:rPr>
                <w:rFonts w:cs="Arial"/>
                <w:b/>
                <w:bCs/>
              </w:rPr>
              <w:t>) и р-стойност</w:t>
            </w:r>
          </w:p>
        </w:tc>
        <w:tc>
          <w:tcPr>
            <w:tcW w:w="6334" w:type="dxa"/>
            <w:gridSpan w:val="2"/>
          </w:tcPr>
          <w:p w14:paraId="5423D8B2" w14:textId="14BB9932" w:rsidR="00C838E4" w:rsidRPr="00C838E4" w:rsidRDefault="00C838E4" w:rsidP="00C838E4">
            <w:pPr>
              <w:jc w:val="center"/>
              <w:rPr>
                <w:rFonts w:cs="Arial"/>
                <w:b/>
                <w:bCs/>
              </w:rPr>
            </w:pPr>
            <w:r w:rsidRPr="00C838E4">
              <w:rPr>
                <w:rFonts w:cs="Arial"/>
                <w:b/>
                <w:bCs/>
                <w:lang w:val="en-US"/>
              </w:rPr>
              <w:t xml:space="preserve">HR </w:t>
            </w:r>
            <w:r w:rsidRPr="00C838E4">
              <w:rPr>
                <w:rFonts w:cs="Arial"/>
                <w:b/>
                <w:bCs/>
              </w:rPr>
              <w:t>0,875 (0,629-1417)</w:t>
            </w:r>
          </w:p>
          <w:p w14:paraId="2DCE5329" w14:textId="7955301E" w:rsidR="00C838E4" w:rsidRPr="00C838E4" w:rsidRDefault="00C838E4" w:rsidP="00C838E4">
            <w:pPr>
              <w:jc w:val="center"/>
              <w:rPr>
                <w:rFonts w:cs="Arial"/>
              </w:rPr>
            </w:pPr>
            <w:r w:rsidRPr="00C838E4">
              <w:rPr>
                <w:rFonts w:cs="Arial"/>
                <w:b/>
                <w:bCs/>
              </w:rPr>
              <w:t>р=0,4277</w:t>
            </w:r>
          </w:p>
        </w:tc>
      </w:tr>
      <w:tr w:rsidR="00C838E4" w14:paraId="542221C4" w14:textId="77777777" w:rsidTr="00C838E4">
        <w:tc>
          <w:tcPr>
            <w:tcW w:w="3166" w:type="dxa"/>
          </w:tcPr>
          <w:p w14:paraId="760A1D01" w14:textId="0B48E048" w:rsidR="00C838E4" w:rsidRPr="00C838E4" w:rsidRDefault="00C838E4" w:rsidP="00C838E4">
            <w:pPr>
              <w:rPr>
                <w:rFonts w:cs="Arial"/>
              </w:rPr>
            </w:pPr>
            <w:r w:rsidRPr="00C838E4">
              <w:rPr>
                <w:rFonts w:cs="Arial"/>
                <w:b/>
                <w:bCs/>
              </w:rPr>
              <w:t>СОП**</w:t>
            </w:r>
          </w:p>
        </w:tc>
        <w:tc>
          <w:tcPr>
            <w:tcW w:w="3167" w:type="dxa"/>
          </w:tcPr>
          <w:p w14:paraId="7D07B867" w14:textId="3CAD4E5F" w:rsidR="00C838E4" w:rsidRPr="00C838E4" w:rsidRDefault="00C838E4" w:rsidP="00C838E4">
            <w:pPr>
              <w:rPr>
                <w:rFonts w:cs="Arial"/>
              </w:rPr>
            </w:pPr>
            <w:r w:rsidRPr="00C838E4">
              <w:rPr>
                <w:rFonts w:cs="Arial"/>
                <w:b/>
                <w:bCs/>
              </w:rPr>
              <w:t>89 (46,1 %)</w:t>
            </w:r>
          </w:p>
        </w:tc>
        <w:tc>
          <w:tcPr>
            <w:tcW w:w="3167" w:type="dxa"/>
          </w:tcPr>
          <w:p w14:paraId="2C3A502A" w14:textId="5FA46395" w:rsidR="00C838E4" w:rsidRPr="00C838E4" w:rsidRDefault="00C838E4" w:rsidP="00C838E4">
            <w:pPr>
              <w:rPr>
                <w:rFonts w:cs="Arial"/>
              </w:rPr>
            </w:pPr>
            <w:r w:rsidRPr="00C838E4">
              <w:rPr>
                <w:rFonts w:cs="Arial"/>
                <w:b/>
                <w:bCs/>
              </w:rPr>
              <w:t>88(44,9%)</w:t>
            </w:r>
          </w:p>
        </w:tc>
      </w:tr>
      <w:tr w:rsidR="00C838E4" w14:paraId="6D25A9E8" w14:textId="77777777" w:rsidTr="008C464A">
        <w:tc>
          <w:tcPr>
            <w:tcW w:w="3166" w:type="dxa"/>
          </w:tcPr>
          <w:p w14:paraId="3C76331F" w14:textId="05D0EA26" w:rsidR="00C838E4" w:rsidRPr="00C838E4" w:rsidRDefault="00C838E4" w:rsidP="00C838E4">
            <w:pPr>
              <w:rPr>
                <w:rFonts w:cs="Arial"/>
              </w:rPr>
            </w:pPr>
            <w:r w:rsidRPr="00C838E4">
              <w:rPr>
                <w:rFonts w:cs="Arial"/>
                <w:b/>
                <w:bCs/>
              </w:rPr>
              <w:t>Съотношение на шансовете за СОП (95 % ДИ) и р- стойност</w:t>
            </w:r>
          </w:p>
        </w:tc>
        <w:tc>
          <w:tcPr>
            <w:tcW w:w="6334" w:type="dxa"/>
            <w:gridSpan w:val="2"/>
          </w:tcPr>
          <w:p w14:paraId="65B225A1" w14:textId="55C266A5" w:rsidR="00C838E4" w:rsidRPr="00C838E4" w:rsidRDefault="00B47ABB" w:rsidP="00C838E4">
            <w:pPr>
              <w:jc w:val="center"/>
              <w:rPr>
                <w:rFonts w:cs="Arial"/>
                <w:b/>
                <w:bCs/>
              </w:rPr>
            </w:pPr>
            <w:r>
              <w:rPr>
                <w:rFonts w:cs="Arial"/>
                <w:b/>
                <w:bCs/>
              </w:rPr>
              <w:t>ОR</w:t>
            </w:r>
            <w:r w:rsidR="00C838E4" w:rsidRPr="00C838E4">
              <w:rPr>
                <w:rFonts w:cs="Arial"/>
                <w:b/>
                <w:bCs/>
              </w:rPr>
              <w:t xml:space="preserve"> 1,074 (0,716 -1,614)</w:t>
            </w:r>
          </w:p>
          <w:p w14:paraId="5105F8C6" w14:textId="77BB40CE" w:rsidR="00C838E4" w:rsidRPr="00C838E4" w:rsidRDefault="00C838E4" w:rsidP="00C838E4">
            <w:pPr>
              <w:jc w:val="center"/>
              <w:rPr>
                <w:rFonts w:cs="Arial"/>
              </w:rPr>
            </w:pPr>
            <w:r w:rsidRPr="00C838E4">
              <w:rPr>
                <w:rFonts w:cs="Arial"/>
                <w:b/>
                <w:bCs/>
              </w:rPr>
              <w:t>р=0,7290</w:t>
            </w:r>
          </w:p>
        </w:tc>
      </w:tr>
      <w:tr w:rsidR="00C838E4" w14:paraId="236CA94F" w14:textId="77777777" w:rsidTr="00C838E4">
        <w:tc>
          <w:tcPr>
            <w:tcW w:w="3166" w:type="dxa"/>
          </w:tcPr>
          <w:p w14:paraId="58F40B49" w14:textId="627C4450" w:rsidR="00C838E4" w:rsidRPr="00C838E4" w:rsidRDefault="00C838E4" w:rsidP="00C838E4">
            <w:pPr>
              <w:rPr>
                <w:rFonts w:cs="Arial"/>
              </w:rPr>
            </w:pPr>
            <w:r w:rsidRPr="00C838E4">
              <w:rPr>
                <w:rFonts w:cs="Arial"/>
                <w:b/>
                <w:bCs/>
              </w:rPr>
              <w:t>Медиана на ПП (месеци)</w:t>
            </w:r>
          </w:p>
        </w:tc>
        <w:tc>
          <w:tcPr>
            <w:tcW w:w="3167" w:type="dxa"/>
          </w:tcPr>
          <w:p w14:paraId="2561DFD7" w14:textId="04E99F8E" w:rsidR="00C838E4" w:rsidRPr="00C838E4" w:rsidRDefault="00C838E4" w:rsidP="00C838E4">
            <w:pPr>
              <w:rPr>
                <w:rFonts w:cs="Arial"/>
              </w:rPr>
            </w:pPr>
            <w:r w:rsidRPr="00C838E4">
              <w:rPr>
                <w:rFonts w:cs="Arial"/>
                <w:b/>
                <w:bCs/>
              </w:rPr>
              <w:t>20,0</w:t>
            </w:r>
          </w:p>
        </w:tc>
        <w:tc>
          <w:tcPr>
            <w:tcW w:w="3167" w:type="dxa"/>
          </w:tcPr>
          <w:p w14:paraId="36D4F94C" w14:textId="017DC4CC" w:rsidR="00C838E4" w:rsidRPr="00C838E4" w:rsidRDefault="00C838E4" w:rsidP="00C838E4">
            <w:pPr>
              <w:rPr>
                <w:rFonts w:cs="Arial"/>
              </w:rPr>
            </w:pPr>
            <w:r w:rsidRPr="00C838E4">
              <w:rPr>
                <w:rFonts w:cs="Arial"/>
                <w:b/>
                <w:bCs/>
              </w:rPr>
              <w:t>13,2</w:t>
            </w:r>
          </w:p>
        </w:tc>
      </w:tr>
      <w:tr w:rsidR="00C838E4" w14:paraId="6F17A091" w14:textId="77777777" w:rsidTr="00C838E4">
        <w:tc>
          <w:tcPr>
            <w:tcW w:w="3166" w:type="dxa"/>
          </w:tcPr>
          <w:p w14:paraId="1AA8073B" w14:textId="44AF659E" w:rsidR="00C838E4" w:rsidRPr="00C838E4" w:rsidRDefault="00C838E4" w:rsidP="00C838E4">
            <w:pPr>
              <w:rPr>
                <w:rFonts w:cs="Arial"/>
              </w:rPr>
            </w:pPr>
            <w:r w:rsidRPr="00C838E4">
              <w:rPr>
                <w:rFonts w:cs="Arial"/>
                <w:b/>
                <w:bCs/>
              </w:rPr>
              <w:t>СКП</w:t>
            </w:r>
          </w:p>
        </w:tc>
        <w:tc>
          <w:tcPr>
            <w:tcW w:w="3167" w:type="dxa"/>
          </w:tcPr>
          <w:p w14:paraId="3B2A1982" w14:textId="3EE8782C" w:rsidR="00C838E4" w:rsidRPr="00C838E4" w:rsidRDefault="00C838E4" w:rsidP="00C838E4">
            <w:pPr>
              <w:rPr>
                <w:rFonts w:cs="Arial"/>
              </w:rPr>
            </w:pPr>
            <w:r w:rsidRPr="00C838E4">
              <w:rPr>
                <w:rFonts w:cs="Arial"/>
                <w:b/>
                <w:bCs/>
              </w:rPr>
              <w:t>180 (78,3 %)</w:t>
            </w:r>
          </w:p>
        </w:tc>
        <w:tc>
          <w:tcPr>
            <w:tcW w:w="3167" w:type="dxa"/>
          </w:tcPr>
          <w:p w14:paraId="5921571C" w14:textId="19B48F41" w:rsidR="00C838E4" w:rsidRPr="00C838E4" w:rsidRDefault="00C838E4" w:rsidP="00C838E4">
            <w:pPr>
              <w:rPr>
                <w:rFonts w:cs="Arial"/>
              </w:rPr>
            </w:pPr>
            <w:r w:rsidRPr="00C838E4">
              <w:rPr>
                <w:rFonts w:cs="Arial"/>
                <w:b/>
                <w:bCs/>
              </w:rPr>
              <w:t>172 (74,1 %)</w:t>
            </w:r>
          </w:p>
        </w:tc>
      </w:tr>
      <w:tr w:rsidR="00C838E4" w14:paraId="46B06349" w14:textId="77777777" w:rsidTr="008C464A">
        <w:tc>
          <w:tcPr>
            <w:tcW w:w="3166" w:type="dxa"/>
          </w:tcPr>
          <w:p w14:paraId="7877BAE1" w14:textId="7320CCD9" w:rsidR="00C838E4" w:rsidRPr="00C838E4" w:rsidRDefault="00C838E4" w:rsidP="00B47ABB">
            <w:pPr>
              <w:rPr>
                <w:rFonts w:cs="Arial"/>
              </w:rPr>
            </w:pPr>
            <w:r w:rsidRPr="00C838E4">
              <w:rPr>
                <w:rFonts w:cs="Arial"/>
                <w:b/>
                <w:bCs/>
              </w:rPr>
              <w:t xml:space="preserve">Съотношение на шансовете за СКП (95 % </w:t>
            </w:r>
            <w:r w:rsidR="00B47ABB">
              <w:rPr>
                <w:rFonts w:cs="Arial"/>
                <w:b/>
                <w:bCs/>
                <w:lang w:val="en-US"/>
              </w:rPr>
              <w:t>CI</w:t>
            </w:r>
            <w:r w:rsidRPr="00C838E4">
              <w:rPr>
                <w:rFonts w:cs="Arial"/>
                <w:b/>
                <w:bCs/>
              </w:rPr>
              <w:t>) и р- стойност</w:t>
            </w:r>
          </w:p>
        </w:tc>
        <w:tc>
          <w:tcPr>
            <w:tcW w:w="6334" w:type="dxa"/>
            <w:gridSpan w:val="2"/>
          </w:tcPr>
          <w:p w14:paraId="18A7A2AF" w14:textId="7218C45A" w:rsidR="00C838E4" w:rsidRPr="00C838E4" w:rsidRDefault="00C838E4" w:rsidP="00C838E4">
            <w:pPr>
              <w:jc w:val="center"/>
              <w:rPr>
                <w:rFonts w:cs="Arial"/>
                <w:b/>
                <w:bCs/>
              </w:rPr>
            </w:pPr>
            <w:r w:rsidRPr="00C838E4">
              <w:rPr>
                <w:rFonts w:cs="Arial"/>
                <w:b/>
                <w:bCs/>
              </w:rPr>
              <w:t>Обективно повлияване 1,253 (0,815 -1,932)</w:t>
            </w:r>
          </w:p>
          <w:p w14:paraId="2BF3E54C" w14:textId="724693F9" w:rsidR="00C838E4" w:rsidRPr="00C838E4" w:rsidRDefault="00C838E4" w:rsidP="00C838E4">
            <w:pPr>
              <w:jc w:val="center"/>
              <w:rPr>
                <w:rFonts w:cs="Arial"/>
              </w:rPr>
            </w:pPr>
            <w:r w:rsidRPr="00C838E4">
              <w:rPr>
                <w:rFonts w:cs="Arial"/>
                <w:b/>
                <w:bCs/>
              </w:rPr>
              <w:t>р=0,3045</w:t>
            </w:r>
          </w:p>
        </w:tc>
      </w:tr>
    </w:tbl>
    <w:p w14:paraId="215B576C" w14:textId="6D4B91D6" w:rsidR="00C838E4" w:rsidRPr="009419BC" w:rsidRDefault="00C838E4" w:rsidP="00C838E4">
      <w:pPr>
        <w:spacing w:line="240" w:lineRule="auto"/>
        <w:rPr>
          <w:rFonts w:eastAsia="Times New Roman" w:cs="Arial"/>
          <w:sz w:val="20"/>
          <w:szCs w:val="20"/>
          <w:lang w:eastAsia="bg-BG"/>
        </w:rPr>
      </w:pPr>
      <w:r w:rsidRPr="009419BC">
        <w:rPr>
          <w:rFonts w:eastAsia="Times New Roman" w:cs="Arial"/>
          <w:b/>
          <w:bCs/>
          <w:color w:val="000000"/>
          <w:sz w:val="20"/>
          <w:szCs w:val="20"/>
          <w:lang w:eastAsia="bg-BG"/>
        </w:rPr>
        <w:t>*(31% от планираното време на проследяване)-неокончателен анализ на ОП</w:t>
      </w:r>
    </w:p>
    <w:p w14:paraId="19D1DA23" w14:textId="0E9FF17D" w:rsidR="00C838E4" w:rsidRPr="009419BC" w:rsidRDefault="00C838E4" w:rsidP="00C838E4">
      <w:pPr>
        <w:rPr>
          <w:rFonts w:cs="Arial"/>
          <w:sz w:val="20"/>
          <w:szCs w:val="20"/>
        </w:rPr>
      </w:pPr>
      <w:r w:rsidRPr="009419BC">
        <w:rPr>
          <w:rFonts w:eastAsia="Times New Roman" w:cs="Arial"/>
          <w:b/>
          <w:bCs/>
          <w:color w:val="000000"/>
          <w:sz w:val="20"/>
          <w:szCs w:val="20"/>
          <w:lang w:eastAsia="bg-BG"/>
        </w:rPr>
        <w:t>**при пациенти с измеримо заболяване</w:t>
      </w:r>
    </w:p>
    <w:p w14:paraId="6BF5FA6D" w14:textId="6DBB0BEA" w:rsidR="00C838E4" w:rsidRDefault="00C838E4" w:rsidP="0091385D"/>
    <w:p w14:paraId="3BC4F5B0" w14:textId="0182CD37" w:rsidR="00C838E4" w:rsidRDefault="00C838E4" w:rsidP="0091385D">
      <w:r>
        <w:rPr>
          <w:noProof/>
          <w:lang w:eastAsia="bg-BG"/>
        </w:rPr>
        <w:drawing>
          <wp:inline distT="0" distB="0" distL="0" distR="0" wp14:anchorId="12076EE1" wp14:editId="17C4F6CA">
            <wp:extent cx="4991797" cy="35247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снимка2.png"/>
                    <pic:cNvPicPr/>
                  </pic:nvPicPr>
                  <pic:blipFill>
                    <a:blip r:embed="rId5">
                      <a:extLst>
                        <a:ext uri="{28A0092B-C50C-407E-A947-70E740481C1C}">
                          <a14:useLocalDpi xmlns:a14="http://schemas.microsoft.com/office/drawing/2010/main" val="0"/>
                        </a:ext>
                      </a:extLst>
                    </a:blip>
                    <a:stretch>
                      <a:fillRect/>
                    </a:stretch>
                  </pic:blipFill>
                  <pic:spPr>
                    <a:xfrm>
                      <a:off x="0" y="0"/>
                      <a:ext cx="4991797" cy="3524742"/>
                    </a:xfrm>
                    <a:prstGeom prst="rect">
                      <a:avLst/>
                    </a:prstGeom>
                  </pic:spPr>
                </pic:pic>
              </a:graphicData>
            </a:graphic>
          </wp:inline>
        </w:drawing>
      </w:r>
    </w:p>
    <w:p w14:paraId="697497D9" w14:textId="7A3C6FF5" w:rsidR="00C838E4" w:rsidRDefault="00C838E4" w:rsidP="0091385D"/>
    <w:p w14:paraId="0A18028B" w14:textId="4387F52C" w:rsidR="00C838E4" w:rsidRPr="00C838E4" w:rsidRDefault="00C838E4" w:rsidP="00C838E4">
      <w:pPr>
        <w:spacing w:line="240" w:lineRule="auto"/>
        <w:rPr>
          <w:rFonts w:eastAsia="Times New Roman" w:cs="Arial"/>
          <w:sz w:val="24"/>
          <w:szCs w:val="24"/>
          <w:lang w:eastAsia="bg-BG"/>
        </w:rPr>
      </w:pPr>
      <w:r w:rsidRPr="00C838E4">
        <w:rPr>
          <w:rFonts w:eastAsia="Times New Roman" w:cs="Arial"/>
          <w:color w:val="000000"/>
          <w:lang w:eastAsia="bg-BG"/>
        </w:rPr>
        <w:t xml:space="preserve">Две </w:t>
      </w:r>
      <w:r w:rsidR="009419BC">
        <w:rPr>
          <w:rFonts w:eastAsia="Times New Roman" w:cs="Arial"/>
          <w:color w:val="000000"/>
          <w:lang w:eastAsia="bg-BG"/>
        </w:rPr>
        <w:t>клинични проучвания във фаза 3</w:t>
      </w:r>
      <w:r w:rsidRPr="00C838E4">
        <w:rPr>
          <w:rFonts w:eastAsia="Times New Roman" w:cs="Arial"/>
          <w:color w:val="000000"/>
          <w:lang w:eastAsia="bg-BG"/>
        </w:rPr>
        <w:t xml:space="preserve"> са приключили при общо 851 постменопаузални жени с авансирал рак на гърдата, които са имали рецидив на заболяването по време на или след адювантна ендокринна терапия или при прогресия след ендокринна терапия за напреднало заболяване. Седемд</w:t>
      </w:r>
      <w:r w:rsidR="009419BC">
        <w:rPr>
          <w:rFonts w:eastAsia="Times New Roman" w:cs="Arial"/>
          <w:color w:val="000000"/>
          <w:lang w:eastAsia="bg-BG"/>
        </w:rPr>
        <w:t>есет и седем процента (77%) от проуч</w:t>
      </w:r>
      <w:r w:rsidRPr="00C838E4">
        <w:rPr>
          <w:rFonts w:eastAsia="Times New Roman" w:cs="Arial"/>
          <w:color w:val="000000"/>
          <w:lang w:eastAsia="bg-BG"/>
        </w:rPr>
        <w:t>ваната популация са имали естроген- реце</w:t>
      </w:r>
      <w:r w:rsidR="009419BC">
        <w:rPr>
          <w:rFonts w:eastAsia="Times New Roman" w:cs="Arial"/>
          <w:color w:val="000000"/>
          <w:lang w:eastAsia="bg-BG"/>
        </w:rPr>
        <w:t>птор позитивен рак на гърдата. Тези п</w:t>
      </w:r>
      <w:r w:rsidRPr="00C838E4">
        <w:rPr>
          <w:rFonts w:eastAsia="Times New Roman" w:cs="Arial"/>
          <w:color w:val="000000"/>
          <w:lang w:eastAsia="bg-BG"/>
        </w:rPr>
        <w:t>роу</w:t>
      </w:r>
      <w:r w:rsidR="009419BC">
        <w:rPr>
          <w:rFonts w:eastAsia="Times New Roman" w:cs="Arial"/>
          <w:color w:val="000000"/>
          <w:lang w:eastAsia="bg-BG"/>
        </w:rPr>
        <w:t>чвания</w:t>
      </w:r>
      <w:r w:rsidRPr="00C838E4">
        <w:rPr>
          <w:rFonts w:eastAsia="Times New Roman" w:cs="Arial"/>
          <w:color w:val="000000"/>
          <w:lang w:eastAsia="bg-BG"/>
        </w:rPr>
        <w:t xml:space="preserve"> сравняват </w:t>
      </w:r>
      <w:r w:rsidRPr="00C838E4">
        <w:rPr>
          <w:rFonts w:eastAsia="Times New Roman" w:cs="Arial"/>
          <w:color w:val="000000"/>
          <w:lang w:eastAsia="bg-BG"/>
        </w:rPr>
        <w:lastRenderedPageBreak/>
        <w:t xml:space="preserve">безопасността и ефикасността на месечното прилагане на фулвестрант 250 </w:t>
      </w:r>
      <w:r w:rsidRPr="00C838E4">
        <w:rPr>
          <w:rFonts w:eastAsia="Times New Roman" w:cs="Arial"/>
          <w:color w:val="000000"/>
          <w:lang w:val="en-US"/>
        </w:rPr>
        <w:t xml:space="preserve">mg </w:t>
      </w:r>
      <w:r w:rsidRPr="00C838E4">
        <w:rPr>
          <w:rFonts w:eastAsia="Times New Roman" w:cs="Arial"/>
          <w:color w:val="000000"/>
          <w:lang w:eastAsia="bg-BG"/>
        </w:rPr>
        <w:t xml:space="preserve">срещу ежедневното прилагане на 1 </w:t>
      </w:r>
      <w:r w:rsidRPr="00C838E4">
        <w:rPr>
          <w:rFonts w:eastAsia="Times New Roman" w:cs="Arial"/>
          <w:color w:val="000000"/>
          <w:lang w:val="en-US"/>
        </w:rPr>
        <w:t xml:space="preserve">mg </w:t>
      </w:r>
      <w:r w:rsidRPr="00C838E4">
        <w:rPr>
          <w:rFonts w:eastAsia="Times New Roman" w:cs="Arial"/>
          <w:color w:val="000000"/>
          <w:lang w:eastAsia="bg-BG"/>
        </w:rPr>
        <w:t xml:space="preserve">анастрозол (ароматазен инхибитор). Като цяло, фулвестрант в доза 250 </w:t>
      </w:r>
      <w:r w:rsidRPr="00C838E4">
        <w:rPr>
          <w:rFonts w:eastAsia="Times New Roman" w:cs="Arial"/>
          <w:color w:val="000000"/>
          <w:lang w:val="en-US"/>
        </w:rPr>
        <w:t xml:space="preserve">mg </w:t>
      </w:r>
      <w:r w:rsidRPr="00C838E4">
        <w:rPr>
          <w:rFonts w:eastAsia="Times New Roman" w:cs="Arial"/>
          <w:color w:val="000000"/>
          <w:lang w:eastAsia="bg-BG"/>
        </w:rPr>
        <w:t>месечно е толкова ефикасен, колкото анастрозол по отношение на свободната от прогресия преживяемост, обективен отговор и време на преживяване. Няма статистически значими разлики при всеки от тези крайни точки за оценка между двете терапевтични групи. Първичната крайна точка е свободната от прогресия преживяемост.</w:t>
      </w:r>
      <w:r w:rsidR="009419BC">
        <w:rPr>
          <w:rFonts w:eastAsia="Times New Roman" w:cs="Arial"/>
          <w:color w:val="000000"/>
          <w:lang w:eastAsia="bg-BG"/>
        </w:rPr>
        <w:t xml:space="preserve"> Комбинираният анализ на двете проучвания</w:t>
      </w:r>
      <w:r w:rsidRPr="00C838E4">
        <w:rPr>
          <w:rFonts w:eastAsia="Times New Roman" w:cs="Arial"/>
          <w:color w:val="000000"/>
          <w:lang w:eastAsia="bg-BG"/>
        </w:rPr>
        <w:t xml:space="preserve"> показва, че заболяването е прогресирало при 83% от получавалите фулвестрант пациенти, в сравнение с 85% от получавалите анастрозол пациенти. Комбинираният анализ на двете проучвания показва, че коефициентът на риск за свободната от прогресия преживяемост при фулвестрант 250 </w:t>
      </w:r>
      <w:r w:rsidRPr="00C838E4">
        <w:rPr>
          <w:rFonts w:eastAsia="Times New Roman" w:cs="Arial"/>
          <w:color w:val="000000"/>
          <w:lang w:val="en-US"/>
        </w:rPr>
        <w:t xml:space="preserve">mg </w:t>
      </w:r>
      <w:r w:rsidRPr="00C838E4">
        <w:rPr>
          <w:rFonts w:eastAsia="Times New Roman" w:cs="Arial"/>
          <w:color w:val="000000"/>
          <w:lang w:eastAsia="bg-BG"/>
        </w:rPr>
        <w:t xml:space="preserve">спрямо анастрозол е 0,95 (95% ДИ 0,82 до 1,10). При фулвестрант 250 </w:t>
      </w:r>
      <w:r w:rsidRPr="00C838E4">
        <w:rPr>
          <w:rFonts w:eastAsia="Times New Roman" w:cs="Arial"/>
          <w:color w:val="000000"/>
          <w:lang w:val="en-US"/>
        </w:rPr>
        <w:t xml:space="preserve">mg </w:t>
      </w:r>
      <w:r w:rsidRPr="00C838E4">
        <w:rPr>
          <w:rFonts w:eastAsia="Times New Roman" w:cs="Arial"/>
          <w:color w:val="000000"/>
          <w:lang w:eastAsia="bg-BG"/>
        </w:rPr>
        <w:t xml:space="preserve">обективното повлияване е 19,2% в сравнение с 16,5% при анастрозол. Медианата на времето на преживяване е 27,4 месеца за лекуваните с фулвестрант пациенти и 27,6 месеца за лекуваните с анастрозол пациенти. Коефициентът на риск за фулвестрант 250 </w:t>
      </w:r>
      <w:r w:rsidRPr="00C838E4">
        <w:rPr>
          <w:rFonts w:eastAsia="Times New Roman" w:cs="Arial"/>
          <w:color w:val="000000"/>
          <w:lang w:val="en-US"/>
        </w:rPr>
        <w:t xml:space="preserve">mg </w:t>
      </w:r>
      <w:r w:rsidRPr="00C838E4">
        <w:rPr>
          <w:rFonts w:eastAsia="Times New Roman" w:cs="Arial"/>
          <w:color w:val="000000"/>
          <w:lang w:eastAsia="bg-BG"/>
        </w:rPr>
        <w:t>спрямо анастрозол по показателя “време на преживяване” е 1,01 (95% ДИ 0,86 до 1,19).</w:t>
      </w:r>
    </w:p>
    <w:p w14:paraId="4CF3125E" w14:textId="77777777" w:rsidR="00C838E4" w:rsidRPr="00C838E4" w:rsidRDefault="00C838E4" w:rsidP="00C838E4">
      <w:pPr>
        <w:spacing w:line="240" w:lineRule="auto"/>
        <w:rPr>
          <w:rFonts w:eastAsia="Times New Roman" w:cs="Arial"/>
          <w:i/>
          <w:iCs/>
          <w:color w:val="000000"/>
          <w:lang w:eastAsia="bg-BG"/>
        </w:rPr>
      </w:pPr>
    </w:p>
    <w:p w14:paraId="56264F9C" w14:textId="3469767B" w:rsidR="00C838E4" w:rsidRPr="00C838E4" w:rsidRDefault="00C838E4" w:rsidP="00C838E4">
      <w:pPr>
        <w:spacing w:line="240" w:lineRule="auto"/>
        <w:rPr>
          <w:rFonts w:eastAsia="Times New Roman" w:cs="Arial"/>
          <w:sz w:val="24"/>
          <w:szCs w:val="24"/>
          <w:lang w:eastAsia="bg-BG"/>
        </w:rPr>
      </w:pPr>
      <w:r w:rsidRPr="00C838E4">
        <w:rPr>
          <w:rFonts w:eastAsia="Times New Roman" w:cs="Arial"/>
          <w:i/>
          <w:iCs/>
          <w:color w:val="000000"/>
          <w:lang w:eastAsia="bg-BG"/>
        </w:rPr>
        <w:t>Комбинирано лечение с палбоциклиб</w:t>
      </w:r>
    </w:p>
    <w:p w14:paraId="7B9FFC44" w14:textId="777325C5" w:rsidR="00C838E4" w:rsidRPr="00C838E4" w:rsidRDefault="009419BC" w:rsidP="00C838E4">
      <w:pPr>
        <w:rPr>
          <w:rFonts w:cs="Arial"/>
        </w:rPr>
      </w:pPr>
      <w:r>
        <w:rPr>
          <w:rFonts w:eastAsia="Times New Roman" w:cs="Arial"/>
          <w:color w:val="000000"/>
          <w:lang w:eastAsia="bg-BG"/>
        </w:rPr>
        <w:t>Фаза 3, м</w:t>
      </w:r>
      <w:r w:rsidR="00C838E4" w:rsidRPr="00C838E4">
        <w:rPr>
          <w:rFonts w:eastAsia="Times New Roman" w:cs="Arial"/>
          <w:color w:val="000000"/>
          <w:lang w:eastAsia="bg-BG"/>
        </w:rPr>
        <w:t>еждун</w:t>
      </w:r>
      <w:r>
        <w:rPr>
          <w:rFonts w:eastAsia="Times New Roman" w:cs="Arial"/>
          <w:color w:val="000000"/>
          <w:lang w:eastAsia="bg-BG"/>
        </w:rPr>
        <w:t>ародно, ран</w:t>
      </w:r>
      <w:r w:rsidR="00C838E4" w:rsidRPr="00C838E4">
        <w:rPr>
          <w:rFonts w:eastAsia="Times New Roman" w:cs="Arial"/>
          <w:color w:val="000000"/>
          <w:lang w:eastAsia="bg-BG"/>
        </w:rPr>
        <w:t xml:space="preserve">домизирано, двойно-сляпо, паралелно-групово, многоценгрово изпитване на </w:t>
      </w:r>
      <w:r w:rsidRPr="00C838E4">
        <w:rPr>
          <w:rFonts w:eastAsia="Times New Roman" w:cs="Arial"/>
          <w:color w:val="000000"/>
          <w:lang w:eastAsia="bg-BG"/>
        </w:rPr>
        <w:t xml:space="preserve">500 </w:t>
      </w:r>
      <w:r w:rsidRPr="00C838E4">
        <w:rPr>
          <w:rFonts w:eastAsia="Times New Roman" w:cs="Arial"/>
          <w:color w:val="000000"/>
          <w:lang w:val="en-US"/>
        </w:rPr>
        <w:t xml:space="preserve">mg </w:t>
      </w:r>
      <w:r>
        <w:rPr>
          <w:rFonts w:eastAsia="Times New Roman" w:cs="Arial"/>
          <w:color w:val="000000"/>
        </w:rPr>
        <w:t xml:space="preserve"> </w:t>
      </w:r>
      <w:r w:rsidR="00C838E4" w:rsidRPr="00C838E4">
        <w:rPr>
          <w:rFonts w:eastAsia="Times New Roman" w:cs="Arial"/>
          <w:color w:val="000000"/>
          <w:lang w:eastAsia="bg-BG"/>
        </w:rPr>
        <w:t xml:space="preserve">фулвестрант </w:t>
      </w:r>
      <w:r>
        <w:rPr>
          <w:rFonts w:eastAsia="Times New Roman" w:cs="Arial"/>
          <w:color w:val="000000"/>
          <w:lang w:eastAsia="bg-BG"/>
        </w:rPr>
        <w:t xml:space="preserve">плюс </w:t>
      </w:r>
      <w:r w:rsidRPr="00C838E4">
        <w:rPr>
          <w:rFonts w:eastAsia="Times New Roman" w:cs="Arial"/>
          <w:color w:val="000000"/>
          <w:lang w:eastAsia="bg-BG"/>
        </w:rPr>
        <w:t xml:space="preserve">125 </w:t>
      </w:r>
      <w:r w:rsidRPr="00C838E4">
        <w:rPr>
          <w:rFonts w:eastAsia="Times New Roman" w:cs="Arial"/>
          <w:color w:val="000000"/>
          <w:lang w:val="en-US"/>
        </w:rPr>
        <w:t xml:space="preserve">mg </w:t>
      </w:r>
      <w:r>
        <w:rPr>
          <w:rFonts w:eastAsia="Times New Roman" w:cs="Arial"/>
          <w:color w:val="000000"/>
          <w:lang w:eastAsia="bg-BG"/>
        </w:rPr>
        <w:t>палбоциклиб</w:t>
      </w:r>
      <w:r w:rsidR="00C838E4" w:rsidRPr="00C838E4">
        <w:rPr>
          <w:rFonts w:eastAsia="Times New Roman" w:cs="Arial"/>
          <w:color w:val="000000"/>
          <w:lang w:val="en-US"/>
        </w:rPr>
        <w:t xml:space="preserve"> </w:t>
      </w:r>
      <w:r>
        <w:rPr>
          <w:rFonts w:eastAsia="Times New Roman" w:cs="Arial"/>
          <w:color w:val="000000"/>
          <w:lang w:eastAsia="bg-BG"/>
        </w:rPr>
        <w:t>спрямо</w:t>
      </w:r>
      <w:r w:rsidR="00C838E4" w:rsidRPr="00C838E4">
        <w:rPr>
          <w:rFonts w:eastAsia="Times New Roman" w:cs="Arial"/>
          <w:color w:val="000000"/>
          <w:lang w:eastAsia="bg-BG"/>
        </w:rPr>
        <w:t xml:space="preserve"> </w:t>
      </w:r>
      <w:r w:rsidRPr="00C838E4">
        <w:rPr>
          <w:rFonts w:eastAsia="Times New Roman" w:cs="Arial"/>
          <w:color w:val="000000"/>
          <w:lang w:eastAsia="bg-BG"/>
        </w:rPr>
        <w:t xml:space="preserve">500 </w:t>
      </w:r>
      <w:r w:rsidRPr="00C838E4">
        <w:rPr>
          <w:rFonts w:eastAsia="Times New Roman" w:cs="Arial"/>
          <w:color w:val="000000"/>
          <w:lang w:val="en-US"/>
        </w:rPr>
        <w:t>mg</w:t>
      </w:r>
      <w:r>
        <w:rPr>
          <w:rFonts w:eastAsia="Times New Roman" w:cs="Arial"/>
          <w:color w:val="000000"/>
          <w:lang w:eastAsia="bg-BG"/>
        </w:rPr>
        <w:t xml:space="preserve"> </w:t>
      </w:r>
      <w:r w:rsidR="00C838E4" w:rsidRPr="00C838E4">
        <w:rPr>
          <w:rFonts w:eastAsia="Times New Roman" w:cs="Arial"/>
          <w:color w:val="000000"/>
          <w:lang w:eastAsia="bg-BG"/>
        </w:rPr>
        <w:t xml:space="preserve">фулвестрант плацебо е проведено при жени с </w:t>
      </w:r>
      <w:r w:rsidR="00C838E4" w:rsidRPr="00C838E4">
        <w:rPr>
          <w:rFonts w:eastAsia="Times New Roman" w:cs="Arial"/>
          <w:color w:val="000000"/>
          <w:lang w:val="en-US"/>
        </w:rPr>
        <w:t>HR</w:t>
      </w:r>
      <w:r w:rsidR="00C838E4" w:rsidRPr="00C838E4">
        <w:rPr>
          <w:rFonts w:eastAsia="Times New Roman" w:cs="Arial"/>
          <w:color w:val="000000"/>
          <w:lang w:eastAsia="bg-BG"/>
        </w:rPr>
        <w:t xml:space="preserve">-положителен, </w:t>
      </w:r>
      <w:r w:rsidR="00C838E4" w:rsidRPr="00C838E4">
        <w:rPr>
          <w:rFonts w:eastAsia="Times New Roman" w:cs="Arial"/>
          <w:color w:val="000000"/>
          <w:lang w:val="en-US"/>
        </w:rPr>
        <w:t>HER2-</w:t>
      </w:r>
      <w:r w:rsidR="00C838E4" w:rsidRPr="00C838E4">
        <w:rPr>
          <w:rFonts w:eastAsia="Times New Roman" w:cs="Arial"/>
          <w:color w:val="000000"/>
          <w:lang w:eastAsia="bg-BG"/>
        </w:rPr>
        <w:t>отрицателен локално авансирал рак на млечната жлеза, неподлежащ на резекция или лъчетерапия с лечебна цел или метастатичен рак на млечна жлеза, независимо от техния менопаузален статус, чието заболяване е прогресирало</w:t>
      </w:r>
      <w:r w:rsidR="00C838E4" w:rsidRPr="00C838E4">
        <w:rPr>
          <w:rFonts w:eastAsia="Times New Roman" w:cs="Arial"/>
          <w:i/>
          <w:iCs/>
          <w:color w:val="000000"/>
          <w:lang w:eastAsia="bg-BG"/>
        </w:rPr>
        <w:t xml:space="preserve"> </w:t>
      </w:r>
      <w:r w:rsidR="00C838E4" w:rsidRPr="00C838E4">
        <w:rPr>
          <w:rFonts w:eastAsia="Times New Roman" w:cs="Arial"/>
          <w:color w:val="000000"/>
          <w:lang w:eastAsia="bg-BG"/>
        </w:rPr>
        <w:t>след предходна ендокринна терапия при (нео)</w:t>
      </w:r>
      <w:r>
        <w:rPr>
          <w:rFonts w:eastAsia="Times New Roman" w:cs="Arial"/>
          <w:color w:val="000000"/>
          <w:lang w:eastAsia="bg-BG"/>
        </w:rPr>
        <w:t xml:space="preserve"> </w:t>
      </w:r>
      <w:r w:rsidR="00C838E4" w:rsidRPr="00C838E4">
        <w:rPr>
          <w:rFonts w:eastAsia="Times New Roman" w:cs="Arial"/>
          <w:color w:val="000000"/>
          <w:lang w:eastAsia="bg-BG"/>
        </w:rPr>
        <w:t>адювантна терапия или метастатично заболяване.</w:t>
      </w:r>
    </w:p>
    <w:p w14:paraId="156AA1C6" w14:textId="24147724" w:rsidR="00C838E4" w:rsidRPr="00C838E4" w:rsidRDefault="00C838E4" w:rsidP="0091385D">
      <w:pPr>
        <w:rPr>
          <w:rFonts w:cs="Arial"/>
        </w:rPr>
      </w:pPr>
    </w:p>
    <w:p w14:paraId="2FBD37A6" w14:textId="11933C51" w:rsidR="00C838E4" w:rsidRPr="00C838E4" w:rsidRDefault="009419BC" w:rsidP="00C838E4">
      <w:pPr>
        <w:spacing w:line="240" w:lineRule="auto"/>
        <w:rPr>
          <w:rFonts w:eastAsia="Times New Roman" w:cs="Arial"/>
          <w:sz w:val="24"/>
          <w:szCs w:val="24"/>
          <w:lang w:eastAsia="bg-BG"/>
        </w:rPr>
      </w:pPr>
      <w:r>
        <w:rPr>
          <w:rFonts w:eastAsia="Times New Roman" w:cs="Arial"/>
          <w:color w:val="000000"/>
          <w:lang w:eastAsia="bg-BG"/>
        </w:rPr>
        <w:t>Общо 521 пре-</w:t>
      </w:r>
      <w:r w:rsidR="00C838E4" w:rsidRPr="00C838E4">
        <w:rPr>
          <w:rFonts w:eastAsia="Times New Roman" w:cs="Arial"/>
          <w:color w:val="000000"/>
          <w:lang w:eastAsia="bg-BG"/>
        </w:rPr>
        <w:t>/пери</w:t>
      </w:r>
      <w:r>
        <w:rPr>
          <w:rFonts w:eastAsia="Times New Roman" w:cs="Arial"/>
          <w:color w:val="000000"/>
          <w:lang w:eastAsia="bg-BG"/>
        </w:rPr>
        <w:t>- и пост</w:t>
      </w:r>
      <w:r w:rsidR="00C838E4" w:rsidRPr="00C838E4">
        <w:rPr>
          <w:rFonts w:eastAsia="Times New Roman" w:cs="Arial"/>
          <w:color w:val="000000"/>
          <w:lang w:eastAsia="bg-BG"/>
        </w:rPr>
        <w:t>менопауза</w:t>
      </w:r>
      <w:r>
        <w:rPr>
          <w:rFonts w:eastAsia="Times New Roman" w:cs="Arial"/>
          <w:color w:val="000000"/>
          <w:lang w:eastAsia="bg-BG"/>
        </w:rPr>
        <w:t>лни жени</w:t>
      </w:r>
      <w:r w:rsidR="00C838E4" w:rsidRPr="00C838E4">
        <w:rPr>
          <w:rFonts w:eastAsia="Times New Roman" w:cs="Arial"/>
          <w:color w:val="000000"/>
          <w:lang w:eastAsia="bg-BG"/>
        </w:rPr>
        <w:t>, при които е настъпила прогресия по време на или в рамките на 12 месеца от завършването на адювантната ендокринна терапия или по време на или в рамките на 1 месец от предходна ендокринна терапия за авансирало заболяване, са рандомизирани в съотношение 2:1 на фулвестрант плюс палбоциклиб или фулвестрант плюс плацебо и са стратифицирани по документирана чувствителност към предходна хормонална терапия, менопаузален статус при включване в проучването (</w:t>
      </w:r>
      <w:r>
        <w:rPr>
          <w:rFonts w:eastAsia="Times New Roman" w:cs="Arial"/>
          <w:color w:val="000000"/>
          <w:lang w:eastAsia="bg-BG"/>
        </w:rPr>
        <w:t>пре-</w:t>
      </w:r>
      <w:r w:rsidRPr="00C838E4">
        <w:rPr>
          <w:rFonts w:eastAsia="Times New Roman" w:cs="Arial"/>
          <w:color w:val="000000"/>
          <w:lang w:eastAsia="bg-BG"/>
        </w:rPr>
        <w:t>/пери</w:t>
      </w:r>
      <w:r>
        <w:rPr>
          <w:rFonts w:eastAsia="Times New Roman" w:cs="Arial"/>
          <w:color w:val="000000"/>
          <w:lang w:eastAsia="bg-BG"/>
        </w:rPr>
        <w:t>- спрямо пост</w:t>
      </w:r>
      <w:r w:rsidRPr="00C838E4">
        <w:rPr>
          <w:rFonts w:eastAsia="Times New Roman" w:cs="Arial"/>
          <w:color w:val="000000"/>
          <w:lang w:eastAsia="bg-BG"/>
        </w:rPr>
        <w:t>менопауза</w:t>
      </w:r>
      <w:r>
        <w:rPr>
          <w:rFonts w:eastAsia="Times New Roman" w:cs="Arial"/>
          <w:color w:val="000000"/>
          <w:lang w:eastAsia="bg-BG"/>
        </w:rPr>
        <w:t>лни</w:t>
      </w:r>
      <w:r>
        <w:rPr>
          <w:rFonts w:eastAsia="Times New Roman" w:cs="Arial"/>
          <w:color w:val="000000"/>
          <w:lang w:val="en-US" w:eastAsia="bg-BG"/>
        </w:rPr>
        <w:t>)</w:t>
      </w:r>
      <w:r>
        <w:rPr>
          <w:rFonts w:eastAsia="Times New Roman" w:cs="Arial"/>
          <w:color w:val="000000"/>
          <w:lang w:eastAsia="bg-BG"/>
        </w:rPr>
        <w:t xml:space="preserve"> и наличие на висцерално разпространение</w:t>
      </w:r>
      <w:r w:rsidR="00C838E4" w:rsidRPr="00C838E4">
        <w:rPr>
          <w:rFonts w:eastAsia="Times New Roman" w:cs="Arial"/>
          <w:color w:val="000000"/>
          <w:lang w:eastAsia="bg-BG"/>
        </w:rPr>
        <w:t xml:space="preserve">. </w:t>
      </w:r>
      <w:r w:rsidR="001D1A3E">
        <w:rPr>
          <w:rFonts w:eastAsia="Times New Roman" w:cs="Arial"/>
          <w:color w:val="000000"/>
          <w:lang w:eastAsia="bg-BG"/>
        </w:rPr>
        <w:t>пре-</w:t>
      </w:r>
      <w:r w:rsidR="001D1A3E" w:rsidRPr="00C838E4">
        <w:rPr>
          <w:rFonts w:eastAsia="Times New Roman" w:cs="Arial"/>
          <w:color w:val="000000"/>
          <w:lang w:eastAsia="bg-BG"/>
        </w:rPr>
        <w:t>/перименопауза</w:t>
      </w:r>
      <w:r w:rsidR="001D1A3E">
        <w:rPr>
          <w:rFonts w:eastAsia="Times New Roman" w:cs="Arial"/>
          <w:color w:val="000000"/>
          <w:lang w:eastAsia="bg-BG"/>
        </w:rPr>
        <w:t>лни жени</w:t>
      </w:r>
      <w:r w:rsidR="001D1A3E" w:rsidRPr="00C838E4">
        <w:rPr>
          <w:rFonts w:eastAsia="Times New Roman" w:cs="Arial"/>
          <w:color w:val="000000"/>
          <w:lang w:eastAsia="bg-BG"/>
        </w:rPr>
        <w:t xml:space="preserve"> </w:t>
      </w:r>
      <w:r w:rsidR="00C838E4" w:rsidRPr="00C838E4">
        <w:rPr>
          <w:rFonts w:eastAsia="Times New Roman" w:cs="Arial"/>
          <w:color w:val="000000"/>
          <w:lang w:eastAsia="bg-BG"/>
        </w:rPr>
        <w:t xml:space="preserve">получават </w:t>
      </w:r>
      <w:r w:rsidR="00C838E4" w:rsidRPr="00C838E4">
        <w:rPr>
          <w:rFonts w:eastAsia="Times New Roman" w:cs="Arial"/>
          <w:color w:val="000000"/>
          <w:lang w:val="en-US"/>
        </w:rPr>
        <w:t xml:space="preserve">LHRH </w:t>
      </w:r>
      <w:r w:rsidR="001D1A3E">
        <w:rPr>
          <w:rFonts w:eastAsia="Times New Roman" w:cs="Arial"/>
          <w:color w:val="000000"/>
          <w:lang w:eastAsia="bg-BG"/>
        </w:rPr>
        <w:t>агониста гозерелин. Пациенти с авансирало/метастатич</w:t>
      </w:r>
      <w:r w:rsidR="00C838E4" w:rsidRPr="00C838E4">
        <w:rPr>
          <w:rFonts w:eastAsia="Times New Roman" w:cs="Arial"/>
          <w:color w:val="000000"/>
          <w:lang w:eastAsia="bg-BG"/>
        </w:rPr>
        <w:t>но заболяване, симптоматични, с висцерално разпространение, изложени на риск от животозастрашаващи усложнения в краткосрочен план (включително пациенти с масивни неконтролирани изливи [плев</w:t>
      </w:r>
      <w:r w:rsidR="001D1A3E">
        <w:rPr>
          <w:rFonts w:eastAsia="Times New Roman" w:cs="Arial"/>
          <w:color w:val="000000"/>
          <w:lang w:eastAsia="bg-BG"/>
        </w:rPr>
        <w:t>рален, перикарден, перитонеален</w:t>
      </w:r>
      <w:r w:rsidR="001D1A3E">
        <w:rPr>
          <w:rFonts w:eastAsia="Times New Roman" w:cs="Arial"/>
          <w:color w:val="000000"/>
          <w:lang w:val="en-US" w:eastAsia="bg-BG"/>
        </w:rPr>
        <w:t>]</w:t>
      </w:r>
      <w:r w:rsidR="001D1A3E">
        <w:rPr>
          <w:rFonts w:eastAsia="Times New Roman" w:cs="Arial"/>
          <w:color w:val="000000"/>
          <w:lang w:eastAsia="bg-BG"/>
        </w:rPr>
        <w:t>, белодробeн лимфангит и чернодробно засягане над 50</w:t>
      </w:r>
      <w:r w:rsidR="001D1A3E">
        <w:rPr>
          <w:rFonts w:eastAsia="Times New Roman" w:cs="Arial"/>
          <w:color w:val="000000"/>
          <w:lang w:val="en-US" w:eastAsia="bg-BG"/>
        </w:rPr>
        <w:t>%),</w:t>
      </w:r>
      <w:r w:rsidR="00C838E4" w:rsidRPr="00C838E4">
        <w:rPr>
          <w:rFonts w:eastAsia="Times New Roman" w:cs="Arial"/>
          <w:color w:val="000000"/>
          <w:lang w:eastAsia="bg-BG"/>
        </w:rPr>
        <w:t xml:space="preserve"> не са отговаряли на условията за включване в </w:t>
      </w:r>
      <w:r w:rsidR="001D1A3E">
        <w:rPr>
          <w:rFonts w:eastAsia="Times New Roman" w:cs="Arial"/>
          <w:color w:val="000000"/>
          <w:lang w:eastAsia="bg-BG"/>
        </w:rPr>
        <w:t>проуч</w:t>
      </w:r>
      <w:r w:rsidR="00C838E4" w:rsidRPr="00C838E4">
        <w:rPr>
          <w:rFonts w:eastAsia="Times New Roman" w:cs="Arial"/>
          <w:color w:val="000000"/>
          <w:lang w:eastAsia="bg-BG"/>
        </w:rPr>
        <w:t>ването.</w:t>
      </w:r>
    </w:p>
    <w:p w14:paraId="4ED6E7C4" w14:textId="77777777" w:rsidR="00C838E4" w:rsidRPr="00C838E4" w:rsidRDefault="00C838E4" w:rsidP="00C838E4">
      <w:pPr>
        <w:spacing w:line="240" w:lineRule="auto"/>
        <w:rPr>
          <w:rFonts w:eastAsia="Times New Roman" w:cs="Arial"/>
          <w:color w:val="000000"/>
          <w:lang w:eastAsia="bg-BG"/>
        </w:rPr>
      </w:pPr>
    </w:p>
    <w:p w14:paraId="090CB5F9" w14:textId="67B12026" w:rsidR="00C838E4" w:rsidRPr="00C838E4" w:rsidRDefault="001D1A3E" w:rsidP="00C838E4">
      <w:pPr>
        <w:spacing w:line="240" w:lineRule="auto"/>
        <w:rPr>
          <w:rFonts w:eastAsia="Times New Roman" w:cs="Arial"/>
          <w:sz w:val="24"/>
          <w:szCs w:val="24"/>
          <w:lang w:eastAsia="bg-BG"/>
        </w:rPr>
      </w:pPr>
      <w:r>
        <w:rPr>
          <w:rFonts w:eastAsia="Times New Roman" w:cs="Arial"/>
          <w:color w:val="000000"/>
          <w:lang w:eastAsia="bg-BG"/>
        </w:rPr>
        <w:t>Пациент</w:t>
      </w:r>
      <w:r w:rsidR="00C838E4" w:rsidRPr="00C838E4">
        <w:rPr>
          <w:rFonts w:eastAsia="Times New Roman" w:cs="Arial"/>
          <w:color w:val="000000"/>
          <w:lang w:eastAsia="bg-BG"/>
        </w:rPr>
        <w:t>ите продължават да получават определеното лечение до обективна прогресия на заболяването, влошаване на симптомите, неприемлива токсичност, смърт или оттегляне на съгласието, което възникне първо. Не се допуска кръстосване между терапевтичните рамена.</w:t>
      </w:r>
    </w:p>
    <w:p w14:paraId="678F113C" w14:textId="77777777" w:rsidR="00C838E4" w:rsidRPr="00C838E4" w:rsidRDefault="00C838E4" w:rsidP="00C838E4">
      <w:pPr>
        <w:spacing w:line="240" w:lineRule="auto"/>
        <w:rPr>
          <w:rFonts w:eastAsia="Times New Roman" w:cs="Arial"/>
          <w:color w:val="000000"/>
          <w:lang w:eastAsia="bg-BG"/>
        </w:rPr>
      </w:pPr>
    </w:p>
    <w:p w14:paraId="5D4C3FC6" w14:textId="77777777" w:rsidR="001D1A3E" w:rsidRDefault="00C838E4" w:rsidP="00C838E4">
      <w:pPr>
        <w:spacing w:line="240" w:lineRule="auto"/>
        <w:rPr>
          <w:rFonts w:eastAsia="Times New Roman" w:cs="Arial"/>
          <w:color w:val="000000"/>
          <w:lang w:eastAsia="bg-BG"/>
        </w:rPr>
      </w:pPr>
      <w:r w:rsidRPr="00C838E4">
        <w:rPr>
          <w:rFonts w:eastAsia="Times New Roman" w:cs="Arial"/>
          <w:color w:val="000000"/>
          <w:lang w:eastAsia="bg-BG"/>
        </w:rPr>
        <w:t>Изходните демографски и прогностични характеристики на пациентите в рамото с фулвест</w:t>
      </w:r>
      <w:r w:rsidR="001D1A3E">
        <w:rPr>
          <w:rFonts w:eastAsia="Times New Roman" w:cs="Arial"/>
          <w:color w:val="000000"/>
          <w:lang w:eastAsia="bg-BG"/>
        </w:rPr>
        <w:t>рант плюс палбоциклиб и рамото на</w:t>
      </w:r>
      <w:r w:rsidRPr="00C838E4">
        <w:rPr>
          <w:rFonts w:eastAsia="Times New Roman" w:cs="Arial"/>
          <w:color w:val="000000"/>
          <w:lang w:eastAsia="bg-BG"/>
        </w:rPr>
        <w:t xml:space="preserve"> фулвестрант плюс плацебо са сход</w:t>
      </w:r>
      <w:r w:rsidR="001D1A3E">
        <w:rPr>
          <w:rFonts w:eastAsia="Times New Roman" w:cs="Arial"/>
          <w:color w:val="000000"/>
          <w:lang w:eastAsia="bg-BG"/>
        </w:rPr>
        <w:t>ни. Средната възраст на пациенти</w:t>
      </w:r>
      <w:r w:rsidRPr="00C838E4">
        <w:rPr>
          <w:rFonts w:eastAsia="Times New Roman" w:cs="Arial"/>
          <w:color w:val="000000"/>
          <w:lang w:eastAsia="bg-BG"/>
        </w:rPr>
        <w:t>ите, включени в това проучване, е 57 години (диапазон 29 - 88). Във всяко терапе</w:t>
      </w:r>
      <w:r w:rsidR="001D1A3E">
        <w:rPr>
          <w:rFonts w:eastAsia="Times New Roman" w:cs="Arial"/>
          <w:color w:val="000000"/>
          <w:lang w:eastAsia="bg-BG"/>
        </w:rPr>
        <w:t>втично рамо повечето от пациент</w:t>
      </w:r>
      <w:r w:rsidRPr="00C838E4">
        <w:rPr>
          <w:rFonts w:eastAsia="Times New Roman" w:cs="Arial"/>
          <w:color w:val="000000"/>
          <w:lang w:eastAsia="bg-BG"/>
        </w:rPr>
        <w:t xml:space="preserve">ите са от европеидната раса, имат </w:t>
      </w:r>
      <w:r w:rsidRPr="00C838E4">
        <w:rPr>
          <w:rFonts w:eastAsia="Times New Roman" w:cs="Arial"/>
          <w:color w:val="000000"/>
          <w:lang w:eastAsia="bg-BG"/>
        </w:rPr>
        <w:lastRenderedPageBreak/>
        <w:t xml:space="preserve">документирана чувствителност към предходна хормонална терапия и са постменопаузални. </w:t>
      </w:r>
    </w:p>
    <w:p w14:paraId="47ADBCB1" w14:textId="1E5A4BA6" w:rsidR="00C838E4" w:rsidRPr="00C838E4" w:rsidRDefault="001D1A3E" w:rsidP="00C838E4">
      <w:pPr>
        <w:spacing w:line="240" w:lineRule="auto"/>
        <w:rPr>
          <w:rFonts w:eastAsia="Times New Roman" w:cs="Arial"/>
          <w:sz w:val="24"/>
          <w:szCs w:val="24"/>
          <w:lang w:eastAsia="bg-BG"/>
        </w:rPr>
      </w:pPr>
      <w:r>
        <w:rPr>
          <w:rFonts w:eastAsia="Times New Roman" w:cs="Arial"/>
          <w:color w:val="000000"/>
          <w:lang w:eastAsia="bg-BG"/>
        </w:rPr>
        <w:t>Приблизително 20% от пациенти</w:t>
      </w:r>
      <w:r w:rsidR="00C838E4" w:rsidRPr="00C838E4">
        <w:rPr>
          <w:rFonts w:eastAsia="Times New Roman" w:cs="Arial"/>
          <w:color w:val="000000"/>
          <w:lang w:eastAsia="bg-BG"/>
        </w:rPr>
        <w:t>ите са</w:t>
      </w:r>
      <w:r>
        <w:rPr>
          <w:rFonts w:eastAsia="Times New Roman" w:cs="Arial"/>
          <w:color w:val="000000"/>
          <w:lang w:eastAsia="bg-BG"/>
        </w:rPr>
        <w:t xml:space="preserve"> </w:t>
      </w:r>
      <w:r w:rsidR="00C838E4" w:rsidRPr="00C838E4">
        <w:rPr>
          <w:rFonts w:eastAsia="Times New Roman" w:cs="Arial"/>
          <w:color w:val="000000"/>
          <w:lang w:eastAsia="bg-BG"/>
        </w:rPr>
        <w:t>пре</w:t>
      </w:r>
      <w:r>
        <w:rPr>
          <w:rFonts w:eastAsia="Times New Roman" w:cs="Arial"/>
          <w:color w:val="000000"/>
          <w:lang w:eastAsia="bg-BG"/>
        </w:rPr>
        <w:t>-</w:t>
      </w:r>
      <w:r w:rsidR="00C838E4" w:rsidRPr="00C838E4">
        <w:rPr>
          <w:rFonts w:eastAsia="Times New Roman" w:cs="Arial"/>
          <w:color w:val="000000"/>
          <w:lang w:eastAsia="bg-BG"/>
        </w:rPr>
        <w:t>/перименопауза</w:t>
      </w:r>
      <w:r>
        <w:rPr>
          <w:rFonts w:eastAsia="Times New Roman" w:cs="Arial"/>
          <w:color w:val="000000"/>
          <w:lang w:eastAsia="bg-BG"/>
        </w:rPr>
        <w:t>лни. Всички пациент</w:t>
      </w:r>
      <w:r w:rsidR="00C838E4" w:rsidRPr="00C838E4">
        <w:rPr>
          <w:rFonts w:eastAsia="Times New Roman" w:cs="Arial"/>
          <w:color w:val="000000"/>
          <w:lang w:eastAsia="bg-BG"/>
        </w:rPr>
        <w:t>и са получавали предходна сист</w:t>
      </w:r>
      <w:r>
        <w:rPr>
          <w:rFonts w:eastAsia="Times New Roman" w:cs="Arial"/>
          <w:color w:val="000000"/>
          <w:lang w:eastAsia="bg-BG"/>
        </w:rPr>
        <w:t>емна терапия и повечето пациент</w:t>
      </w:r>
      <w:r w:rsidR="00C838E4" w:rsidRPr="00C838E4">
        <w:rPr>
          <w:rFonts w:eastAsia="Times New Roman" w:cs="Arial"/>
          <w:color w:val="000000"/>
          <w:lang w:eastAsia="bg-BG"/>
        </w:rPr>
        <w:t xml:space="preserve">и във всяко терапевтично рамо са получавали предходен химиотерапевтичен режим за своята основна диагноза. Повече от половината (62%) имат функционален статус 0 по скалата на Източната кооперативна група по онкология </w:t>
      </w:r>
      <w:r w:rsidR="00C838E4" w:rsidRPr="00C838E4">
        <w:rPr>
          <w:rFonts w:eastAsia="Times New Roman" w:cs="Arial"/>
          <w:color w:val="000000"/>
          <w:lang w:val="en-US"/>
        </w:rPr>
        <w:t xml:space="preserve">(ECOG), </w:t>
      </w:r>
      <w:r>
        <w:rPr>
          <w:rFonts w:eastAsia="Times New Roman" w:cs="Arial"/>
          <w:color w:val="000000"/>
          <w:lang w:eastAsia="bg-BG"/>
        </w:rPr>
        <w:t>60% са с</w:t>
      </w:r>
      <w:r w:rsidR="00C838E4" w:rsidRPr="00C838E4">
        <w:rPr>
          <w:rFonts w:eastAsia="Times New Roman" w:cs="Arial"/>
          <w:color w:val="000000"/>
          <w:lang w:eastAsia="bg-BG"/>
        </w:rPr>
        <w:t xml:space="preserve"> висцерални метастази, а 60% са получавали повече от 1 предходен хормонален режим за своята основна диагноза.</w:t>
      </w:r>
    </w:p>
    <w:p w14:paraId="3E3D8BCB" w14:textId="77777777" w:rsidR="00C838E4" w:rsidRPr="00C838E4" w:rsidRDefault="00C838E4" w:rsidP="00C838E4">
      <w:pPr>
        <w:spacing w:line="240" w:lineRule="auto"/>
        <w:rPr>
          <w:rFonts w:eastAsia="Times New Roman" w:cs="Arial"/>
          <w:color w:val="000000"/>
          <w:lang w:eastAsia="bg-BG"/>
        </w:rPr>
      </w:pPr>
    </w:p>
    <w:p w14:paraId="6F2CA4B8" w14:textId="7BBCE4FA" w:rsidR="00C838E4" w:rsidRPr="00C838E4" w:rsidRDefault="00C838E4" w:rsidP="00C838E4">
      <w:pPr>
        <w:spacing w:line="240" w:lineRule="auto"/>
        <w:rPr>
          <w:rFonts w:eastAsia="Times New Roman" w:cs="Arial"/>
          <w:sz w:val="24"/>
          <w:szCs w:val="24"/>
          <w:lang w:eastAsia="bg-BG"/>
        </w:rPr>
      </w:pPr>
      <w:r w:rsidRPr="00C838E4">
        <w:rPr>
          <w:rFonts w:eastAsia="Times New Roman" w:cs="Arial"/>
          <w:color w:val="000000"/>
          <w:lang w:eastAsia="bg-BG"/>
        </w:rPr>
        <w:t xml:space="preserve">Първичната крайна точка на </w:t>
      </w:r>
      <w:r w:rsidR="001D1A3E">
        <w:rPr>
          <w:rFonts w:eastAsia="Times New Roman" w:cs="Arial"/>
          <w:color w:val="000000"/>
          <w:lang w:eastAsia="bg-BG"/>
        </w:rPr>
        <w:t>проуч</w:t>
      </w:r>
      <w:r w:rsidRPr="00C838E4">
        <w:rPr>
          <w:rFonts w:eastAsia="Times New Roman" w:cs="Arial"/>
          <w:color w:val="000000"/>
          <w:lang w:eastAsia="bg-BG"/>
        </w:rPr>
        <w:t>ването е оценена</w:t>
      </w:r>
      <w:r w:rsidR="001D1A3E">
        <w:rPr>
          <w:rFonts w:eastAsia="Times New Roman" w:cs="Arial"/>
          <w:color w:val="000000"/>
          <w:lang w:eastAsia="bg-BG"/>
        </w:rPr>
        <w:t>та</w:t>
      </w:r>
      <w:r w:rsidRPr="00C838E4">
        <w:rPr>
          <w:rFonts w:eastAsia="Times New Roman" w:cs="Arial"/>
          <w:color w:val="000000"/>
          <w:lang w:eastAsia="bg-BG"/>
        </w:rPr>
        <w:t xml:space="preserve"> от изследователя </w:t>
      </w:r>
      <w:r w:rsidR="001D1A3E">
        <w:rPr>
          <w:rFonts w:eastAsia="Times New Roman" w:cs="Arial"/>
          <w:color w:val="000000"/>
          <w:lang w:eastAsia="bg-BG"/>
        </w:rPr>
        <w:t>ПБП</w:t>
      </w:r>
      <w:r w:rsidRPr="00C838E4">
        <w:rPr>
          <w:rFonts w:eastAsia="Times New Roman" w:cs="Arial"/>
          <w:color w:val="000000"/>
          <w:lang w:eastAsia="bg-BG"/>
        </w:rPr>
        <w:t xml:space="preserve">, </w:t>
      </w:r>
      <w:r w:rsidR="00B836BA">
        <w:rPr>
          <w:rFonts w:eastAsia="Times New Roman" w:cs="Arial"/>
          <w:color w:val="000000"/>
          <w:lang w:eastAsia="bg-BG"/>
        </w:rPr>
        <w:t xml:space="preserve">оценена </w:t>
      </w:r>
      <w:r w:rsidRPr="00C838E4">
        <w:rPr>
          <w:rFonts w:eastAsia="Times New Roman" w:cs="Arial"/>
          <w:color w:val="000000"/>
          <w:lang w:eastAsia="bg-BG"/>
        </w:rPr>
        <w:t xml:space="preserve">съгласно </w:t>
      </w:r>
      <w:r w:rsidRPr="00C838E4">
        <w:rPr>
          <w:rFonts w:eastAsia="Times New Roman" w:cs="Arial"/>
          <w:color w:val="000000"/>
          <w:lang w:val="en-US"/>
        </w:rPr>
        <w:t xml:space="preserve">RECIST </w:t>
      </w:r>
      <w:r w:rsidRPr="00C838E4">
        <w:rPr>
          <w:rFonts w:eastAsia="Times New Roman" w:cs="Arial"/>
          <w:color w:val="000000"/>
          <w:lang w:eastAsia="bg-BG"/>
        </w:rPr>
        <w:t xml:space="preserve">1.1. Поддържащите анализи на ПБП са базирани на независима централна оценка на рентгеново изследване. Вторичните крайни точки включват </w:t>
      </w:r>
      <w:r w:rsidR="00B836BA">
        <w:rPr>
          <w:rFonts w:eastAsia="Times New Roman" w:cs="Arial"/>
          <w:color w:val="000000"/>
          <w:lang w:eastAsia="bg-BG"/>
        </w:rPr>
        <w:t>обективен отговор</w:t>
      </w:r>
      <w:r w:rsidRPr="00C838E4">
        <w:rPr>
          <w:rFonts w:eastAsia="Times New Roman" w:cs="Arial"/>
          <w:color w:val="000000"/>
          <w:lang w:eastAsia="bg-BG"/>
        </w:rPr>
        <w:t xml:space="preserve">, </w:t>
      </w:r>
      <w:r w:rsidR="00B836BA">
        <w:rPr>
          <w:rFonts w:eastAsia="Times New Roman" w:cs="Arial"/>
          <w:color w:val="000000"/>
          <w:lang w:eastAsia="bg-BG"/>
        </w:rPr>
        <w:t>С</w:t>
      </w:r>
      <w:r w:rsidRPr="00C838E4">
        <w:rPr>
          <w:rFonts w:eastAsia="Times New Roman" w:cs="Arial"/>
          <w:color w:val="000000"/>
          <w:lang w:eastAsia="bg-BG"/>
        </w:rPr>
        <w:t>КП, обща преживяемост (ОП), безопасност и време до влошаване (БВБ) при крайна точка болка.</w:t>
      </w:r>
    </w:p>
    <w:p w14:paraId="4E0D493C" w14:textId="77777777" w:rsidR="00C838E4" w:rsidRPr="00C838E4" w:rsidRDefault="00C838E4" w:rsidP="00C838E4">
      <w:pPr>
        <w:spacing w:line="240" w:lineRule="auto"/>
        <w:rPr>
          <w:rFonts w:eastAsia="Times New Roman" w:cs="Arial"/>
          <w:color w:val="000000"/>
          <w:lang w:eastAsia="bg-BG"/>
        </w:rPr>
      </w:pPr>
    </w:p>
    <w:p w14:paraId="1EB81F8E" w14:textId="54123645" w:rsidR="00C838E4" w:rsidRPr="00B836BA" w:rsidRDefault="00B836BA" w:rsidP="00C838E4">
      <w:pPr>
        <w:spacing w:line="240" w:lineRule="auto"/>
        <w:rPr>
          <w:rFonts w:eastAsia="Times New Roman" w:cs="Arial"/>
          <w:color w:val="000000"/>
          <w:lang w:eastAsia="bg-BG"/>
        </w:rPr>
      </w:pPr>
      <w:r>
        <w:rPr>
          <w:rFonts w:eastAsia="Times New Roman" w:cs="Arial"/>
          <w:color w:val="000000"/>
          <w:lang w:eastAsia="bg-BG"/>
        </w:rPr>
        <w:t>Проуч</w:t>
      </w:r>
      <w:r w:rsidR="00C838E4" w:rsidRPr="00C838E4">
        <w:rPr>
          <w:rFonts w:eastAsia="Times New Roman" w:cs="Arial"/>
          <w:color w:val="000000"/>
          <w:lang w:eastAsia="bg-BG"/>
        </w:rPr>
        <w:t>ването постига първичната крайна точка за удължаване на оценена от изследователя ПБП при междинния анализ, проведен при 82% от планираните ПБП събития; резултатите преминават предварително опред</w:t>
      </w:r>
      <w:r>
        <w:rPr>
          <w:rFonts w:eastAsia="Times New Roman" w:cs="Arial"/>
          <w:color w:val="000000"/>
          <w:lang w:eastAsia="bg-BG"/>
        </w:rPr>
        <w:t>елената граница на ефикасност на</w:t>
      </w:r>
      <w:r w:rsidR="00C838E4" w:rsidRPr="00C838E4">
        <w:rPr>
          <w:rFonts w:eastAsia="Times New Roman" w:cs="Arial"/>
          <w:color w:val="000000"/>
          <w:lang w:eastAsia="bg-BG"/>
        </w:rPr>
        <w:t xml:space="preserve"> </w:t>
      </w:r>
      <w:proofErr w:type="spellStart"/>
      <w:r w:rsidR="00C838E4" w:rsidRPr="00C838E4">
        <w:rPr>
          <w:rFonts w:eastAsia="Times New Roman" w:cs="Arial"/>
          <w:color w:val="000000"/>
          <w:lang w:val="en-US"/>
        </w:rPr>
        <w:t>Haybittle-Peto</w:t>
      </w:r>
      <w:proofErr w:type="spellEnd"/>
      <w:r w:rsidR="00C838E4" w:rsidRPr="00C838E4">
        <w:rPr>
          <w:rFonts w:eastAsia="Times New Roman" w:cs="Arial"/>
          <w:color w:val="000000"/>
          <w:lang w:val="en-US"/>
        </w:rPr>
        <w:t xml:space="preserve"> </w:t>
      </w:r>
      <w:r w:rsidR="00C838E4" w:rsidRPr="00C838E4">
        <w:rPr>
          <w:rFonts w:eastAsia="Times New Roman" w:cs="Arial"/>
          <w:color w:val="000000"/>
          <w:lang w:eastAsia="bg-BG"/>
        </w:rPr>
        <w:t xml:space="preserve">(α = 0,00135), демонстрирайки статистически значимо удължаване на ПБП и клинично значим терапевтичен ефект. По-актуални данни </w:t>
      </w:r>
      <w:r>
        <w:rPr>
          <w:rFonts w:eastAsia="Times New Roman" w:cs="Arial"/>
          <w:color w:val="000000"/>
          <w:lang w:eastAsia="bg-BG"/>
        </w:rPr>
        <w:t>за ефикасност са представени в т</w:t>
      </w:r>
      <w:r w:rsidR="00C838E4" w:rsidRPr="00C838E4">
        <w:rPr>
          <w:rFonts w:eastAsia="Times New Roman" w:cs="Arial"/>
          <w:color w:val="000000"/>
          <w:lang w:eastAsia="bg-BG"/>
        </w:rPr>
        <w:t>аблица 5.</w:t>
      </w:r>
    </w:p>
    <w:p w14:paraId="1B390DCA" w14:textId="77777777" w:rsidR="00B836BA" w:rsidRDefault="00B836BA" w:rsidP="00C838E4">
      <w:pPr>
        <w:spacing w:line="240" w:lineRule="auto"/>
        <w:rPr>
          <w:rFonts w:eastAsia="Times New Roman" w:cs="Arial"/>
          <w:color w:val="000000"/>
          <w:lang w:eastAsia="bg-BG"/>
        </w:rPr>
      </w:pPr>
    </w:p>
    <w:p w14:paraId="189F560B" w14:textId="08E185CD" w:rsidR="00C838E4" w:rsidRPr="00C838E4" w:rsidRDefault="00C838E4" w:rsidP="00C838E4">
      <w:pPr>
        <w:spacing w:line="240" w:lineRule="auto"/>
        <w:rPr>
          <w:rFonts w:eastAsia="Times New Roman" w:cs="Arial"/>
          <w:sz w:val="24"/>
          <w:szCs w:val="24"/>
          <w:lang w:eastAsia="bg-BG"/>
        </w:rPr>
      </w:pPr>
      <w:r w:rsidRPr="00C838E4">
        <w:rPr>
          <w:rFonts w:eastAsia="Times New Roman" w:cs="Arial"/>
          <w:color w:val="000000"/>
          <w:lang w:eastAsia="bg-BG"/>
        </w:rPr>
        <w:t>След средно време за проследяване от 45 месеца, окончателният анализ на ОП е извършен въз основа на 310 събития (60% от рандомизираните пациенти). Наблюдава</w:t>
      </w:r>
      <w:r w:rsidR="00B836BA">
        <w:rPr>
          <w:rFonts w:eastAsia="Times New Roman" w:cs="Arial"/>
          <w:color w:val="000000"/>
          <w:lang w:eastAsia="bg-BG"/>
        </w:rPr>
        <w:t xml:space="preserve">на </w:t>
      </w:r>
      <w:r w:rsidRPr="00C838E4">
        <w:rPr>
          <w:rFonts w:eastAsia="Times New Roman" w:cs="Arial"/>
          <w:color w:val="000000"/>
          <w:lang w:eastAsia="bg-BG"/>
        </w:rPr>
        <w:t>е 6,9-месечна разлика в средната ОП в рамото на палбоциклиб плюс фулвестрант в сравнение с плацебо плюс фулвестрант; този резултат не е статистически значим при предварително определено ниво на значимост от 0,0235 (еднос</w:t>
      </w:r>
      <w:r w:rsidR="00B836BA">
        <w:rPr>
          <w:rFonts w:eastAsia="Times New Roman" w:cs="Arial"/>
          <w:color w:val="000000"/>
          <w:lang w:eastAsia="bg-BG"/>
        </w:rPr>
        <w:t xml:space="preserve">транно). В рамото с </w:t>
      </w:r>
      <w:r w:rsidRPr="00C838E4">
        <w:rPr>
          <w:rFonts w:eastAsia="Times New Roman" w:cs="Arial"/>
          <w:color w:val="000000"/>
          <w:lang w:eastAsia="bg-BG"/>
        </w:rPr>
        <w:t xml:space="preserve">плацебо плюс фулвестрант, 15,5% от рандомизираните пациенти са получавали палбоциклиб и други </w:t>
      </w:r>
      <w:r w:rsidRPr="00C838E4">
        <w:rPr>
          <w:rFonts w:eastAsia="Times New Roman" w:cs="Arial"/>
          <w:color w:val="000000"/>
          <w:lang w:val="en-US"/>
        </w:rPr>
        <w:t xml:space="preserve">CDK </w:t>
      </w:r>
      <w:r w:rsidRPr="00C838E4">
        <w:rPr>
          <w:rFonts w:eastAsia="Times New Roman" w:cs="Arial"/>
          <w:color w:val="000000"/>
          <w:lang w:eastAsia="bg-BG"/>
        </w:rPr>
        <w:t>инхибитори като последващи лечения след прогресията.</w:t>
      </w:r>
    </w:p>
    <w:p w14:paraId="222C44A5" w14:textId="77777777" w:rsidR="00B836BA" w:rsidRDefault="00B836BA" w:rsidP="00C838E4">
      <w:pPr>
        <w:spacing w:line="240" w:lineRule="auto"/>
        <w:rPr>
          <w:rFonts w:eastAsia="Times New Roman" w:cs="Arial"/>
          <w:color w:val="000000"/>
          <w:lang w:eastAsia="bg-BG"/>
        </w:rPr>
      </w:pPr>
    </w:p>
    <w:p w14:paraId="33B4941A" w14:textId="4ED6D167" w:rsidR="00C838E4" w:rsidRPr="00C838E4" w:rsidRDefault="00C838E4" w:rsidP="00C838E4">
      <w:pPr>
        <w:spacing w:line="240" w:lineRule="auto"/>
        <w:rPr>
          <w:rFonts w:eastAsia="Times New Roman" w:cs="Arial"/>
          <w:sz w:val="24"/>
          <w:szCs w:val="24"/>
          <w:lang w:eastAsia="bg-BG"/>
        </w:rPr>
      </w:pPr>
      <w:r w:rsidRPr="00C838E4">
        <w:rPr>
          <w:rFonts w:eastAsia="Times New Roman" w:cs="Arial"/>
          <w:color w:val="000000"/>
          <w:lang w:eastAsia="bg-BG"/>
        </w:rPr>
        <w:t xml:space="preserve">Резултатите от оценката на изследователя за ПБП и крайните данни за ОП от </w:t>
      </w:r>
      <w:r w:rsidRPr="00C838E4">
        <w:rPr>
          <w:rFonts w:eastAsia="Times New Roman" w:cs="Arial"/>
          <w:color w:val="000000"/>
          <w:lang w:val="en-US"/>
        </w:rPr>
        <w:t xml:space="preserve">PALOMA3 </w:t>
      </w:r>
      <w:r w:rsidRPr="00C838E4">
        <w:rPr>
          <w:rFonts w:eastAsia="Times New Roman" w:cs="Arial"/>
          <w:color w:val="000000"/>
          <w:lang w:eastAsia="bg-BG"/>
        </w:rPr>
        <w:t xml:space="preserve">проучването са представени в таблица 5. Съответните графики на </w:t>
      </w:r>
      <w:r w:rsidRPr="00C838E4">
        <w:rPr>
          <w:rFonts w:eastAsia="Times New Roman" w:cs="Arial"/>
          <w:color w:val="000000"/>
          <w:lang w:val="en-US"/>
        </w:rPr>
        <w:t xml:space="preserve">Kaplan- Meier </w:t>
      </w:r>
      <w:r w:rsidRPr="00C838E4">
        <w:rPr>
          <w:rFonts w:eastAsia="Times New Roman" w:cs="Arial"/>
          <w:color w:val="000000"/>
          <w:lang w:eastAsia="bg-BG"/>
        </w:rPr>
        <w:t>са  показани съответно на фигури 2 и 3.</w:t>
      </w:r>
    </w:p>
    <w:p w14:paraId="24B19C39" w14:textId="77777777" w:rsidR="00C838E4" w:rsidRPr="00C838E4" w:rsidRDefault="00C838E4" w:rsidP="00C838E4">
      <w:pPr>
        <w:rPr>
          <w:rFonts w:eastAsia="Times New Roman" w:cs="Arial"/>
          <w:b/>
          <w:bCs/>
          <w:color w:val="000000"/>
          <w:lang w:eastAsia="bg-BG"/>
        </w:rPr>
      </w:pPr>
    </w:p>
    <w:p w14:paraId="402B757F" w14:textId="25861A74" w:rsidR="00C838E4" w:rsidRPr="00C838E4" w:rsidRDefault="00C838E4" w:rsidP="00C838E4">
      <w:pPr>
        <w:rPr>
          <w:rFonts w:cs="Arial"/>
        </w:rPr>
      </w:pPr>
      <w:r w:rsidRPr="00C838E4">
        <w:rPr>
          <w:rFonts w:eastAsia="Times New Roman" w:cs="Arial"/>
          <w:b/>
          <w:bCs/>
          <w:color w:val="000000"/>
          <w:lang w:eastAsia="bg-BG"/>
        </w:rPr>
        <w:t xml:space="preserve">Таблица 5 Резултати за ефикасността - </w:t>
      </w:r>
      <w:r w:rsidRPr="00C838E4">
        <w:rPr>
          <w:rFonts w:eastAsia="Times New Roman" w:cs="Arial"/>
          <w:b/>
          <w:bCs/>
          <w:color w:val="000000"/>
          <w:lang w:val="en-US"/>
        </w:rPr>
        <w:t xml:space="preserve">PALOMA3 </w:t>
      </w:r>
      <w:r w:rsidRPr="00C838E4">
        <w:rPr>
          <w:rFonts w:eastAsia="Times New Roman" w:cs="Arial"/>
          <w:b/>
          <w:bCs/>
          <w:color w:val="000000"/>
          <w:lang w:eastAsia="bg-BG"/>
        </w:rPr>
        <w:t>изпитване (оценка на изследователя, всички рандомизирани пациенти)</w:t>
      </w:r>
      <w:r w:rsidRPr="00C838E4">
        <w:rPr>
          <w:rFonts w:eastAsia="Times New Roman" w:cs="Arial"/>
          <w:b/>
          <w:bCs/>
          <w:color w:val="000000"/>
          <w:lang w:eastAsia="bg-BG"/>
        </w:rPr>
        <w:tab/>
      </w:r>
    </w:p>
    <w:tbl>
      <w:tblPr>
        <w:tblStyle w:val="TableGrid"/>
        <w:tblW w:w="0" w:type="auto"/>
        <w:tblLook w:val="04A0" w:firstRow="1" w:lastRow="0" w:firstColumn="1" w:lastColumn="0" w:noHBand="0" w:noVBand="1"/>
      </w:tblPr>
      <w:tblGrid>
        <w:gridCol w:w="3120"/>
        <w:gridCol w:w="3115"/>
        <w:gridCol w:w="3115"/>
      </w:tblGrid>
      <w:tr w:rsidR="00C838E4" w14:paraId="568DFEA0" w14:textId="77777777" w:rsidTr="008C464A">
        <w:tc>
          <w:tcPr>
            <w:tcW w:w="3166" w:type="dxa"/>
            <w:vMerge w:val="restart"/>
          </w:tcPr>
          <w:p w14:paraId="21B93AC8" w14:textId="77777777" w:rsidR="00C838E4" w:rsidRPr="0022136D" w:rsidRDefault="00C838E4" w:rsidP="0091385D"/>
        </w:tc>
        <w:tc>
          <w:tcPr>
            <w:tcW w:w="6334" w:type="dxa"/>
            <w:gridSpan w:val="2"/>
          </w:tcPr>
          <w:p w14:paraId="252F0AB7" w14:textId="18BAE6C0" w:rsidR="00C838E4" w:rsidRPr="0022136D" w:rsidRDefault="00C838E4" w:rsidP="00C838E4">
            <w:pPr>
              <w:jc w:val="center"/>
              <w:rPr>
                <w:b/>
                <w:bCs/>
                <w:szCs w:val="20"/>
              </w:rPr>
            </w:pPr>
            <w:r w:rsidRPr="0022136D">
              <w:rPr>
                <w:b/>
                <w:bCs/>
                <w:szCs w:val="20"/>
              </w:rPr>
              <w:t>Актуализиран анализ</w:t>
            </w:r>
          </w:p>
          <w:p w14:paraId="52886B6C" w14:textId="6234F886" w:rsidR="00C838E4" w:rsidRPr="0022136D" w:rsidRDefault="00C838E4" w:rsidP="00C838E4">
            <w:pPr>
              <w:jc w:val="center"/>
            </w:pPr>
            <w:r w:rsidRPr="0022136D">
              <w:rPr>
                <w:b/>
                <w:bCs/>
                <w:szCs w:val="20"/>
              </w:rPr>
              <w:t>(крайна дата за събиране на данни: 23 октомври 2015)</w:t>
            </w:r>
          </w:p>
        </w:tc>
      </w:tr>
      <w:tr w:rsidR="00C838E4" w14:paraId="018BA548" w14:textId="77777777" w:rsidTr="00C838E4">
        <w:tc>
          <w:tcPr>
            <w:tcW w:w="3166" w:type="dxa"/>
            <w:vMerge/>
          </w:tcPr>
          <w:p w14:paraId="206E2BA6" w14:textId="77777777" w:rsidR="00C838E4" w:rsidRPr="0022136D" w:rsidRDefault="00C838E4" w:rsidP="00C838E4"/>
        </w:tc>
        <w:tc>
          <w:tcPr>
            <w:tcW w:w="3167" w:type="dxa"/>
          </w:tcPr>
          <w:p w14:paraId="3D8D4BE2" w14:textId="7AC1A726" w:rsidR="00C838E4" w:rsidRPr="0022136D" w:rsidRDefault="00C838E4" w:rsidP="00C838E4">
            <w:r w:rsidRPr="0022136D">
              <w:rPr>
                <w:b/>
                <w:bCs/>
                <w:szCs w:val="20"/>
              </w:rPr>
              <w:t xml:space="preserve">Фулвестрант плюс палбоциклиб </w:t>
            </w:r>
            <w:r w:rsidRPr="0022136D">
              <w:rPr>
                <w:b/>
                <w:bCs/>
                <w:szCs w:val="20"/>
                <w:lang w:val="en-US"/>
              </w:rPr>
              <w:t>(N=347)</w:t>
            </w:r>
          </w:p>
        </w:tc>
        <w:tc>
          <w:tcPr>
            <w:tcW w:w="3167" w:type="dxa"/>
          </w:tcPr>
          <w:p w14:paraId="70A4E900" w14:textId="72366818" w:rsidR="00C838E4" w:rsidRPr="0022136D" w:rsidRDefault="00C838E4" w:rsidP="00C838E4">
            <w:pPr>
              <w:rPr>
                <w:b/>
              </w:rPr>
            </w:pPr>
            <w:r w:rsidRPr="0022136D">
              <w:rPr>
                <w:b/>
                <w:szCs w:val="20"/>
              </w:rPr>
              <w:t xml:space="preserve">Фулвестрант плюс плацебо </w:t>
            </w:r>
            <w:r w:rsidRPr="0022136D">
              <w:rPr>
                <w:b/>
                <w:szCs w:val="20"/>
                <w:lang w:val="en-US"/>
              </w:rPr>
              <w:t>(N=174)</w:t>
            </w:r>
          </w:p>
        </w:tc>
      </w:tr>
      <w:tr w:rsidR="00C838E4" w14:paraId="3BA6BDBC" w14:textId="77777777" w:rsidTr="008C464A">
        <w:tc>
          <w:tcPr>
            <w:tcW w:w="3166" w:type="dxa"/>
          </w:tcPr>
          <w:p w14:paraId="65506D6E" w14:textId="173E8537" w:rsidR="00C838E4" w:rsidRPr="0022136D" w:rsidRDefault="008A0E10" w:rsidP="00C838E4">
            <w:r>
              <w:rPr>
                <w:b/>
                <w:bCs/>
                <w:szCs w:val="20"/>
              </w:rPr>
              <w:t xml:space="preserve">Преживяемост без прогресия </w:t>
            </w:r>
          </w:p>
        </w:tc>
        <w:tc>
          <w:tcPr>
            <w:tcW w:w="6334" w:type="dxa"/>
            <w:gridSpan w:val="2"/>
          </w:tcPr>
          <w:p w14:paraId="14207149" w14:textId="77777777" w:rsidR="00C838E4" w:rsidRPr="0022136D" w:rsidRDefault="00C838E4" w:rsidP="00C838E4"/>
        </w:tc>
      </w:tr>
      <w:tr w:rsidR="00C838E4" w14:paraId="52D06C9C" w14:textId="77777777" w:rsidTr="008C464A">
        <w:tc>
          <w:tcPr>
            <w:tcW w:w="3166" w:type="dxa"/>
            <w:vAlign w:val="bottom"/>
          </w:tcPr>
          <w:p w14:paraId="06C9A254" w14:textId="79685AC3" w:rsidR="00C838E4" w:rsidRPr="0022136D" w:rsidRDefault="00B836BA" w:rsidP="00C838E4">
            <w:r>
              <w:rPr>
                <w:szCs w:val="20"/>
              </w:rPr>
              <w:t xml:space="preserve">Средно [месеци (95% </w:t>
            </w:r>
            <w:r>
              <w:rPr>
                <w:rFonts w:eastAsia="Times New Roman" w:cs="Arial"/>
                <w:color w:val="000000"/>
                <w:szCs w:val="20"/>
                <w:lang w:val="en-US" w:eastAsia="bg-BG"/>
              </w:rPr>
              <w:t>CI</w:t>
            </w:r>
            <w:r w:rsidR="00C838E4" w:rsidRPr="0022136D">
              <w:rPr>
                <w:szCs w:val="20"/>
              </w:rPr>
              <w:t>)]</w:t>
            </w:r>
          </w:p>
        </w:tc>
        <w:tc>
          <w:tcPr>
            <w:tcW w:w="3167" w:type="dxa"/>
            <w:vAlign w:val="bottom"/>
          </w:tcPr>
          <w:p w14:paraId="00651981" w14:textId="61BC36FF" w:rsidR="00C838E4" w:rsidRPr="0022136D" w:rsidRDefault="00C838E4" w:rsidP="00C838E4">
            <w:r w:rsidRPr="0022136D">
              <w:rPr>
                <w:szCs w:val="20"/>
              </w:rPr>
              <w:t>11,2</w:t>
            </w:r>
            <w:r w:rsidRPr="0022136D">
              <w:rPr>
                <w:szCs w:val="20"/>
                <w:lang w:val="en-US"/>
              </w:rPr>
              <w:t xml:space="preserve"> </w:t>
            </w:r>
            <w:r w:rsidRPr="0022136D">
              <w:rPr>
                <w:szCs w:val="20"/>
              </w:rPr>
              <w:t>(9,5,12,9)</w:t>
            </w:r>
          </w:p>
        </w:tc>
        <w:tc>
          <w:tcPr>
            <w:tcW w:w="3167" w:type="dxa"/>
            <w:vAlign w:val="bottom"/>
          </w:tcPr>
          <w:p w14:paraId="41902B0D" w14:textId="0C96C1A9" w:rsidR="00C838E4" w:rsidRPr="0022136D" w:rsidRDefault="00C838E4" w:rsidP="00C838E4">
            <w:r w:rsidRPr="0022136D">
              <w:rPr>
                <w:szCs w:val="20"/>
              </w:rPr>
              <w:t>4,6 (3,5, 5,6)</w:t>
            </w:r>
          </w:p>
        </w:tc>
      </w:tr>
      <w:tr w:rsidR="00C838E4" w14:paraId="27CAFD5C" w14:textId="77777777" w:rsidTr="008C464A">
        <w:tc>
          <w:tcPr>
            <w:tcW w:w="3166" w:type="dxa"/>
          </w:tcPr>
          <w:p w14:paraId="20E39190" w14:textId="61389F4F" w:rsidR="00C838E4" w:rsidRPr="0022136D" w:rsidRDefault="00C838E4" w:rsidP="00C838E4">
            <w:r w:rsidRPr="0022136D">
              <w:rPr>
                <w:szCs w:val="20"/>
              </w:rPr>
              <w:t>Коефициент на риск (95%</w:t>
            </w:r>
            <w:r w:rsidR="00B836BA">
              <w:rPr>
                <w:szCs w:val="20"/>
                <w:lang w:val="en-US"/>
              </w:rPr>
              <w:t xml:space="preserve"> </w:t>
            </w:r>
            <w:r w:rsidR="00B836BA">
              <w:rPr>
                <w:rFonts w:eastAsia="Times New Roman" w:cs="Arial"/>
                <w:color w:val="000000"/>
                <w:szCs w:val="20"/>
                <w:lang w:val="en-US" w:eastAsia="bg-BG"/>
              </w:rPr>
              <w:t xml:space="preserve">CI </w:t>
            </w:r>
            <w:r w:rsidRPr="0022136D">
              <w:rPr>
                <w:szCs w:val="20"/>
              </w:rPr>
              <w:t>)и</w:t>
            </w:r>
            <w:r w:rsidR="00B836BA">
              <w:rPr>
                <w:szCs w:val="20"/>
                <w:lang w:val="en-US"/>
              </w:rPr>
              <w:t xml:space="preserve"> </w:t>
            </w:r>
            <w:r w:rsidR="00B836BA">
              <w:rPr>
                <w:szCs w:val="20"/>
              </w:rPr>
              <w:t>р-</w:t>
            </w:r>
            <w:r w:rsidRPr="0022136D">
              <w:rPr>
                <w:szCs w:val="20"/>
              </w:rPr>
              <w:t>стойност</w:t>
            </w:r>
          </w:p>
        </w:tc>
        <w:tc>
          <w:tcPr>
            <w:tcW w:w="6334" w:type="dxa"/>
            <w:gridSpan w:val="2"/>
          </w:tcPr>
          <w:p w14:paraId="12F3A343" w14:textId="59942EF3" w:rsidR="00C838E4" w:rsidRPr="0022136D" w:rsidRDefault="00C838E4" w:rsidP="00C838E4">
            <w:pPr>
              <w:jc w:val="center"/>
            </w:pPr>
            <w:r w:rsidRPr="0022136D">
              <w:rPr>
                <w:szCs w:val="20"/>
              </w:rPr>
              <w:t>0,497 (0,398,0,620), р &lt;0,000001</w:t>
            </w:r>
          </w:p>
        </w:tc>
      </w:tr>
      <w:tr w:rsidR="00C838E4" w14:paraId="53C62C64" w14:textId="77777777" w:rsidTr="008C464A">
        <w:tc>
          <w:tcPr>
            <w:tcW w:w="9500" w:type="dxa"/>
            <w:gridSpan w:val="3"/>
          </w:tcPr>
          <w:p w14:paraId="38A602CC" w14:textId="22535E8A" w:rsidR="00C838E4" w:rsidRPr="0022136D" w:rsidRDefault="00C838E4" w:rsidP="0091385D">
            <w:r w:rsidRPr="0022136D">
              <w:rPr>
                <w:b/>
                <w:bCs/>
                <w:szCs w:val="20"/>
              </w:rPr>
              <w:t>Вторични крайни точки за ефикасност*</w:t>
            </w:r>
          </w:p>
        </w:tc>
      </w:tr>
      <w:tr w:rsidR="00C838E4" w14:paraId="784948B0" w14:textId="77777777" w:rsidTr="008C464A">
        <w:tc>
          <w:tcPr>
            <w:tcW w:w="3166" w:type="dxa"/>
            <w:vAlign w:val="bottom"/>
          </w:tcPr>
          <w:p w14:paraId="74A1E1D3" w14:textId="57CF5320" w:rsidR="00C838E4" w:rsidRPr="0022136D" w:rsidRDefault="008A0E10" w:rsidP="00C838E4">
            <w:r>
              <w:rPr>
                <w:rFonts w:eastAsia="Times New Roman" w:cs="Arial"/>
                <w:color w:val="000000"/>
                <w:szCs w:val="20"/>
                <w:lang w:eastAsia="bg-BG"/>
              </w:rPr>
              <w:t>Обективен отговор</w:t>
            </w:r>
            <w:r w:rsidR="00B836BA">
              <w:rPr>
                <w:szCs w:val="20"/>
              </w:rPr>
              <w:t xml:space="preserve"> [% (95% </w:t>
            </w:r>
            <w:r w:rsidR="00B836BA">
              <w:rPr>
                <w:rFonts w:eastAsia="Times New Roman" w:cs="Arial"/>
                <w:color w:val="000000"/>
                <w:szCs w:val="20"/>
                <w:lang w:val="en-US" w:eastAsia="bg-BG"/>
              </w:rPr>
              <w:t>CI</w:t>
            </w:r>
            <w:r w:rsidR="00C838E4" w:rsidRPr="0022136D">
              <w:rPr>
                <w:szCs w:val="20"/>
              </w:rPr>
              <w:t>)]</w:t>
            </w:r>
          </w:p>
        </w:tc>
        <w:tc>
          <w:tcPr>
            <w:tcW w:w="3167" w:type="dxa"/>
            <w:vAlign w:val="bottom"/>
          </w:tcPr>
          <w:p w14:paraId="01615245" w14:textId="021095A6" w:rsidR="00C838E4" w:rsidRPr="0022136D" w:rsidRDefault="00C838E4" w:rsidP="00C838E4">
            <w:r w:rsidRPr="0022136D">
              <w:rPr>
                <w:szCs w:val="20"/>
              </w:rPr>
              <w:t>26,2(21,7,31,2)</w:t>
            </w:r>
          </w:p>
        </w:tc>
        <w:tc>
          <w:tcPr>
            <w:tcW w:w="3167" w:type="dxa"/>
            <w:vAlign w:val="bottom"/>
          </w:tcPr>
          <w:p w14:paraId="0D9DC2DD" w14:textId="5149AF63" w:rsidR="00C838E4" w:rsidRPr="0022136D" w:rsidRDefault="00C838E4" w:rsidP="00C838E4">
            <w:r w:rsidRPr="0022136D">
              <w:rPr>
                <w:szCs w:val="20"/>
              </w:rPr>
              <w:t>13,8(9,0,19,8)</w:t>
            </w:r>
          </w:p>
        </w:tc>
      </w:tr>
      <w:tr w:rsidR="00C838E4" w14:paraId="436FD5BB" w14:textId="77777777" w:rsidTr="008C464A">
        <w:tc>
          <w:tcPr>
            <w:tcW w:w="3166" w:type="dxa"/>
            <w:vAlign w:val="bottom"/>
          </w:tcPr>
          <w:p w14:paraId="2E767A51" w14:textId="6EB6FB86" w:rsidR="00C838E4" w:rsidRPr="0022136D" w:rsidRDefault="008A0E10" w:rsidP="00C838E4">
            <w:r>
              <w:rPr>
                <w:rFonts w:eastAsia="Times New Roman" w:cs="Arial"/>
                <w:color w:val="000000"/>
                <w:szCs w:val="20"/>
                <w:lang w:eastAsia="bg-BG"/>
              </w:rPr>
              <w:lastRenderedPageBreak/>
              <w:t>Обективен отговор</w:t>
            </w:r>
            <w:r w:rsidR="00C838E4" w:rsidRPr="0022136D">
              <w:rPr>
                <w:szCs w:val="20"/>
              </w:rPr>
              <w:t xml:space="preserve"> (измеримо заболяване) [%(95%ДИ)]</w:t>
            </w:r>
          </w:p>
        </w:tc>
        <w:tc>
          <w:tcPr>
            <w:tcW w:w="3167" w:type="dxa"/>
          </w:tcPr>
          <w:p w14:paraId="123F46BA" w14:textId="589574C7" w:rsidR="00C838E4" w:rsidRPr="0022136D" w:rsidRDefault="00C838E4" w:rsidP="00C838E4">
            <w:r w:rsidRPr="0022136D">
              <w:rPr>
                <w:szCs w:val="20"/>
              </w:rPr>
              <w:t>33,7 (28,1,39,7)</w:t>
            </w:r>
          </w:p>
        </w:tc>
        <w:tc>
          <w:tcPr>
            <w:tcW w:w="3167" w:type="dxa"/>
          </w:tcPr>
          <w:p w14:paraId="2089041F" w14:textId="78ADED33" w:rsidR="00C838E4" w:rsidRPr="0022136D" w:rsidRDefault="00C838E4" w:rsidP="00C838E4">
            <w:r w:rsidRPr="0022136D">
              <w:rPr>
                <w:szCs w:val="20"/>
              </w:rPr>
              <w:t>17,4(11,5,24,8)</w:t>
            </w:r>
          </w:p>
        </w:tc>
      </w:tr>
      <w:tr w:rsidR="00C838E4" w14:paraId="737F7446" w14:textId="77777777" w:rsidTr="00C838E4">
        <w:tc>
          <w:tcPr>
            <w:tcW w:w="3166" w:type="dxa"/>
          </w:tcPr>
          <w:p w14:paraId="346730D0" w14:textId="6B9DF1CB" w:rsidR="00C838E4" w:rsidRPr="0022136D" w:rsidRDefault="00B836BA" w:rsidP="00C838E4">
            <w:r>
              <w:rPr>
                <w:szCs w:val="20"/>
              </w:rPr>
              <w:t xml:space="preserve">СКП [% (95% </w:t>
            </w:r>
            <w:r>
              <w:rPr>
                <w:rFonts w:eastAsia="Times New Roman" w:cs="Arial"/>
                <w:color w:val="000000"/>
                <w:szCs w:val="20"/>
                <w:lang w:val="en-US" w:eastAsia="bg-BG"/>
              </w:rPr>
              <w:t>CI</w:t>
            </w:r>
            <w:r w:rsidR="00C838E4" w:rsidRPr="0022136D">
              <w:rPr>
                <w:szCs w:val="20"/>
              </w:rPr>
              <w:t>)]</w:t>
            </w:r>
          </w:p>
        </w:tc>
        <w:tc>
          <w:tcPr>
            <w:tcW w:w="3167" w:type="dxa"/>
          </w:tcPr>
          <w:p w14:paraId="75C87925" w14:textId="7F0C8F4B" w:rsidR="00C838E4" w:rsidRPr="0022136D" w:rsidRDefault="00C838E4" w:rsidP="00C838E4">
            <w:r w:rsidRPr="0022136D">
              <w:rPr>
                <w:szCs w:val="20"/>
              </w:rPr>
              <w:t>68,0 (62,8, 72,9)</w:t>
            </w:r>
          </w:p>
        </w:tc>
        <w:tc>
          <w:tcPr>
            <w:tcW w:w="3167" w:type="dxa"/>
          </w:tcPr>
          <w:p w14:paraId="26DC7BA0" w14:textId="1FE22AAE" w:rsidR="00C838E4" w:rsidRPr="0022136D" w:rsidRDefault="00C838E4" w:rsidP="00C838E4">
            <w:r w:rsidRPr="0022136D">
              <w:rPr>
                <w:szCs w:val="20"/>
              </w:rPr>
              <w:t>39,7 (32,3,47,3)</w:t>
            </w:r>
          </w:p>
        </w:tc>
      </w:tr>
      <w:tr w:rsidR="00C838E4" w14:paraId="04EA6AAF" w14:textId="77777777" w:rsidTr="00C838E4">
        <w:tc>
          <w:tcPr>
            <w:tcW w:w="3166" w:type="dxa"/>
          </w:tcPr>
          <w:p w14:paraId="7B9CA8BF" w14:textId="77EFE8E4" w:rsidR="00C838E4" w:rsidRPr="0022136D" w:rsidRDefault="00C838E4" w:rsidP="00C838E4">
            <w:r w:rsidRPr="0022136D">
              <w:rPr>
                <w:b/>
                <w:bCs/>
                <w:szCs w:val="20"/>
              </w:rPr>
              <w:t>Крайна обща преживяемост (ОП) (13 април 2018-крайна дата за данните)</w:t>
            </w:r>
          </w:p>
        </w:tc>
        <w:tc>
          <w:tcPr>
            <w:tcW w:w="3167" w:type="dxa"/>
          </w:tcPr>
          <w:p w14:paraId="4402A963" w14:textId="77777777" w:rsidR="00C838E4" w:rsidRPr="0022136D" w:rsidRDefault="00C838E4" w:rsidP="00C838E4"/>
        </w:tc>
        <w:tc>
          <w:tcPr>
            <w:tcW w:w="3167" w:type="dxa"/>
          </w:tcPr>
          <w:p w14:paraId="35291A80" w14:textId="77777777" w:rsidR="00C838E4" w:rsidRPr="0022136D" w:rsidRDefault="00C838E4" w:rsidP="00C838E4"/>
        </w:tc>
      </w:tr>
      <w:tr w:rsidR="00C838E4" w14:paraId="300B5C9B" w14:textId="77777777" w:rsidTr="008C464A">
        <w:tc>
          <w:tcPr>
            <w:tcW w:w="3166" w:type="dxa"/>
            <w:vAlign w:val="bottom"/>
          </w:tcPr>
          <w:p w14:paraId="300B684F" w14:textId="49C67A13" w:rsidR="00C838E4" w:rsidRPr="0022136D" w:rsidRDefault="00C838E4" w:rsidP="00C838E4">
            <w:r w:rsidRPr="0022136D">
              <w:rPr>
                <w:szCs w:val="20"/>
              </w:rPr>
              <w:t>Брой събития (%)</w:t>
            </w:r>
          </w:p>
        </w:tc>
        <w:tc>
          <w:tcPr>
            <w:tcW w:w="3167" w:type="dxa"/>
            <w:vAlign w:val="bottom"/>
          </w:tcPr>
          <w:p w14:paraId="40AD6309" w14:textId="5E45FF7F" w:rsidR="00C838E4" w:rsidRPr="0022136D" w:rsidRDefault="00C838E4" w:rsidP="00C838E4">
            <w:r w:rsidRPr="0022136D">
              <w:rPr>
                <w:szCs w:val="20"/>
              </w:rPr>
              <w:t>201 (57,9)</w:t>
            </w:r>
          </w:p>
        </w:tc>
        <w:tc>
          <w:tcPr>
            <w:tcW w:w="3167" w:type="dxa"/>
            <w:vAlign w:val="bottom"/>
          </w:tcPr>
          <w:p w14:paraId="56BD1CEC" w14:textId="3E6787C0" w:rsidR="00C838E4" w:rsidRPr="0022136D" w:rsidRDefault="00C838E4" w:rsidP="00C838E4">
            <w:r w:rsidRPr="0022136D">
              <w:rPr>
                <w:szCs w:val="20"/>
              </w:rPr>
              <w:t>109(62,6)</w:t>
            </w:r>
          </w:p>
        </w:tc>
      </w:tr>
      <w:tr w:rsidR="00C838E4" w14:paraId="0A228166" w14:textId="77777777" w:rsidTr="008C464A">
        <w:tc>
          <w:tcPr>
            <w:tcW w:w="3166" w:type="dxa"/>
            <w:vAlign w:val="bottom"/>
          </w:tcPr>
          <w:p w14:paraId="3EEC7C1A" w14:textId="12733FF4" w:rsidR="00C838E4" w:rsidRPr="0022136D" w:rsidRDefault="00B836BA" w:rsidP="00C838E4">
            <w:r>
              <w:rPr>
                <w:szCs w:val="20"/>
              </w:rPr>
              <w:t xml:space="preserve">Медиана (месеци (95% </w:t>
            </w:r>
            <w:r>
              <w:rPr>
                <w:rFonts w:eastAsia="Times New Roman" w:cs="Arial"/>
                <w:color w:val="000000"/>
                <w:szCs w:val="20"/>
                <w:lang w:val="en-US" w:eastAsia="bg-BG"/>
              </w:rPr>
              <w:t>CI</w:t>
            </w:r>
            <w:r w:rsidR="00C838E4" w:rsidRPr="0022136D">
              <w:rPr>
                <w:szCs w:val="20"/>
              </w:rPr>
              <w:t>)</w:t>
            </w:r>
          </w:p>
        </w:tc>
        <w:tc>
          <w:tcPr>
            <w:tcW w:w="3167" w:type="dxa"/>
            <w:vAlign w:val="bottom"/>
          </w:tcPr>
          <w:p w14:paraId="1161CA77" w14:textId="4AFBD51E" w:rsidR="00C838E4" w:rsidRPr="0022136D" w:rsidRDefault="00C838E4" w:rsidP="00C838E4">
            <w:r w:rsidRPr="0022136D">
              <w:rPr>
                <w:szCs w:val="20"/>
              </w:rPr>
              <w:t>34,9 (28,8,40,0)</w:t>
            </w:r>
          </w:p>
        </w:tc>
        <w:tc>
          <w:tcPr>
            <w:tcW w:w="3167" w:type="dxa"/>
            <w:vAlign w:val="bottom"/>
          </w:tcPr>
          <w:p w14:paraId="6FA0E29D" w14:textId="3A2BBBFC" w:rsidR="00C838E4" w:rsidRPr="0022136D" w:rsidRDefault="00C838E4" w:rsidP="00C838E4">
            <w:r w:rsidRPr="0022136D">
              <w:rPr>
                <w:szCs w:val="20"/>
              </w:rPr>
              <w:t>28,0(23,6,34,6)</w:t>
            </w:r>
          </w:p>
        </w:tc>
      </w:tr>
      <w:tr w:rsidR="00C838E4" w14:paraId="592C9114" w14:textId="77777777" w:rsidTr="008C464A">
        <w:tc>
          <w:tcPr>
            <w:tcW w:w="3166" w:type="dxa"/>
          </w:tcPr>
          <w:p w14:paraId="68CAC9F1" w14:textId="1352341C" w:rsidR="00C838E4" w:rsidRPr="0022136D" w:rsidRDefault="00B836BA" w:rsidP="0091385D">
            <w:r>
              <w:rPr>
                <w:szCs w:val="20"/>
              </w:rPr>
              <w:t xml:space="preserve">Коефициент на риск (95% </w:t>
            </w:r>
            <w:r>
              <w:rPr>
                <w:rFonts w:eastAsia="Times New Roman" w:cs="Arial"/>
                <w:color w:val="000000"/>
                <w:szCs w:val="20"/>
                <w:lang w:val="en-US" w:eastAsia="bg-BG"/>
              </w:rPr>
              <w:t>CI</w:t>
            </w:r>
            <w:r w:rsidR="00C838E4" w:rsidRPr="0022136D">
              <w:rPr>
                <w:szCs w:val="20"/>
              </w:rPr>
              <w:t>) и р-стойност*</w:t>
            </w:r>
          </w:p>
        </w:tc>
        <w:tc>
          <w:tcPr>
            <w:tcW w:w="6334" w:type="dxa"/>
            <w:gridSpan w:val="2"/>
          </w:tcPr>
          <w:p w14:paraId="76C26B23" w14:textId="1B950305" w:rsidR="00C838E4" w:rsidRPr="0022136D" w:rsidRDefault="00C838E4" w:rsidP="00C838E4">
            <w:pPr>
              <w:jc w:val="center"/>
              <w:rPr>
                <w:szCs w:val="20"/>
              </w:rPr>
            </w:pPr>
            <w:r w:rsidRPr="0022136D">
              <w:rPr>
                <w:szCs w:val="20"/>
              </w:rPr>
              <w:t>0,814 (0,644,1.029)</w:t>
            </w:r>
          </w:p>
          <w:p w14:paraId="3AF4B766" w14:textId="57EB3E50" w:rsidR="00C838E4" w:rsidRPr="0022136D" w:rsidRDefault="00C838E4" w:rsidP="00C838E4">
            <w:pPr>
              <w:jc w:val="center"/>
            </w:pPr>
            <w:r w:rsidRPr="0022136D">
              <w:rPr>
                <w:szCs w:val="20"/>
              </w:rPr>
              <w:t>р=0,0429*</w:t>
            </w:r>
          </w:p>
        </w:tc>
      </w:tr>
    </w:tbl>
    <w:p w14:paraId="1B6CF45C" w14:textId="773745C8" w:rsidR="0022136D" w:rsidRPr="008A0E10" w:rsidRDefault="00B836BA" w:rsidP="0022136D">
      <w:pPr>
        <w:spacing w:line="240" w:lineRule="auto"/>
        <w:rPr>
          <w:rFonts w:eastAsia="Times New Roman" w:cs="Arial"/>
          <w:sz w:val="20"/>
          <w:szCs w:val="20"/>
          <w:lang w:eastAsia="bg-BG"/>
        </w:rPr>
      </w:pPr>
      <w:r w:rsidRPr="008A0E10">
        <w:rPr>
          <w:rFonts w:eastAsia="Times New Roman" w:cs="Arial"/>
          <w:color w:val="000000"/>
          <w:sz w:val="20"/>
          <w:szCs w:val="20"/>
          <w:lang w:val="en-US" w:eastAsia="bg-BG"/>
        </w:rPr>
        <w:t xml:space="preserve">CBR </w:t>
      </w:r>
      <w:r w:rsidRPr="008A0E10">
        <w:rPr>
          <w:rFonts w:eastAsia="Times New Roman" w:cs="Arial"/>
          <w:color w:val="000000"/>
          <w:sz w:val="20"/>
          <w:szCs w:val="20"/>
          <w:lang w:eastAsia="bg-BG"/>
        </w:rPr>
        <w:t xml:space="preserve">= </w:t>
      </w:r>
      <w:r w:rsidR="0022136D" w:rsidRPr="008A0E10">
        <w:rPr>
          <w:rFonts w:eastAsia="Times New Roman" w:cs="Arial"/>
          <w:color w:val="000000"/>
          <w:sz w:val="20"/>
          <w:szCs w:val="20"/>
          <w:lang w:eastAsia="bg-BG"/>
        </w:rPr>
        <w:t xml:space="preserve">клинична полза; </w:t>
      </w:r>
      <w:r w:rsidRPr="008A0E10">
        <w:rPr>
          <w:rFonts w:eastAsia="Times New Roman" w:cs="Arial"/>
          <w:color w:val="000000"/>
          <w:sz w:val="20"/>
          <w:szCs w:val="20"/>
          <w:lang w:val="en-US" w:eastAsia="bg-BG"/>
        </w:rPr>
        <w:t>CI</w:t>
      </w:r>
      <w:r w:rsidR="0022136D" w:rsidRPr="008A0E10">
        <w:rPr>
          <w:rFonts w:eastAsia="Times New Roman" w:cs="Arial"/>
          <w:color w:val="000000"/>
          <w:sz w:val="20"/>
          <w:szCs w:val="20"/>
          <w:lang w:eastAsia="bg-BG"/>
        </w:rPr>
        <w:t>=доверител</w:t>
      </w:r>
      <w:r w:rsidRPr="008A0E10">
        <w:rPr>
          <w:rFonts w:eastAsia="Times New Roman" w:cs="Arial"/>
          <w:color w:val="000000"/>
          <w:sz w:val="20"/>
          <w:szCs w:val="20"/>
          <w:lang w:eastAsia="bg-BG"/>
        </w:rPr>
        <w:t xml:space="preserve">ен интервал; </w:t>
      </w:r>
      <w:r w:rsidRPr="008A0E10">
        <w:rPr>
          <w:rFonts w:eastAsia="Times New Roman" w:cs="Arial"/>
          <w:color w:val="000000"/>
          <w:sz w:val="20"/>
          <w:szCs w:val="20"/>
          <w:lang w:val="en-US" w:eastAsia="bg-BG"/>
        </w:rPr>
        <w:t>N</w:t>
      </w:r>
      <w:r w:rsidRPr="008A0E10">
        <w:rPr>
          <w:rFonts w:eastAsia="Times New Roman" w:cs="Arial"/>
          <w:color w:val="000000"/>
          <w:sz w:val="20"/>
          <w:szCs w:val="20"/>
          <w:lang w:eastAsia="bg-BG"/>
        </w:rPr>
        <w:t>=брой пациенти; ОR</w:t>
      </w:r>
      <w:r w:rsidR="0022136D" w:rsidRPr="008A0E10">
        <w:rPr>
          <w:rFonts w:eastAsia="Times New Roman" w:cs="Arial"/>
          <w:color w:val="000000"/>
          <w:sz w:val="20"/>
          <w:szCs w:val="20"/>
          <w:lang w:eastAsia="bg-BG"/>
        </w:rPr>
        <w:t>=обективен отговор; Резултатите от вторичните крайни точки се основават на потвърдени и непотвърдени отговори съгласно</w:t>
      </w:r>
    </w:p>
    <w:p w14:paraId="3DE73E6B" w14:textId="77777777" w:rsidR="0022136D" w:rsidRPr="008A0E10" w:rsidRDefault="0022136D" w:rsidP="0022136D">
      <w:pPr>
        <w:spacing w:line="240" w:lineRule="auto"/>
        <w:rPr>
          <w:rFonts w:eastAsia="Times New Roman" w:cs="Arial"/>
          <w:sz w:val="20"/>
          <w:szCs w:val="20"/>
          <w:lang w:eastAsia="bg-BG"/>
        </w:rPr>
      </w:pPr>
      <w:r w:rsidRPr="008A0E10">
        <w:rPr>
          <w:rFonts w:eastAsia="Times New Roman" w:cs="Arial"/>
          <w:color w:val="000000"/>
          <w:sz w:val="20"/>
          <w:szCs w:val="20"/>
          <w:lang w:val="en-US"/>
        </w:rPr>
        <w:t>RECIST1.1.</w:t>
      </w:r>
    </w:p>
    <w:p w14:paraId="6B527645" w14:textId="77777777" w:rsidR="0022136D" w:rsidRPr="008A0E10" w:rsidRDefault="0022136D" w:rsidP="0022136D">
      <w:pPr>
        <w:spacing w:line="240" w:lineRule="auto"/>
        <w:rPr>
          <w:rFonts w:eastAsia="Times New Roman" w:cs="Arial"/>
          <w:sz w:val="20"/>
          <w:szCs w:val="20"/>
          <w:lang w:eastAsia="bg-BG"/>
        </w:rPr>
      </w:pPr>
      <w:r w:rsidRPr="008A0E10">
        <w:rPr>
          <w:rFonts w:eastAsia="Times New Roman" w:cs="Arial"/>
          <w:color w:val="000000"/>
          <w:sz w:val="20"/>
          <w:szCs w:val="20"/>
          <w:lang w:eastAsia="bg-BG"/>
        </w:rPr>
        <w:t>* Не е статистически значимо</w:t>
      </w:r>
    </w:p>
    <w:p w14:paraId="3AAF6CBF" w14:textId="7F6CD55E" w:rsidR="0022136D" w:rsidRPr="008A0E10" w:rsidRDefault="0022136D" w:rsidP="0022136D">
      <w:pPr>
        <w:rPr>
          <w:rFonts w:cs="Arial"/>
          <w:sz w:val="20"/>
          <w:szCs w:val="20"/>
        </w:rPr>
      </w:pPr>
      <w:proofErr w:type="gramStart"/>
      <w:r w:rsidRPr="008A0E10">
        <w:rPr>
          <w:rFonts w:eastAsia="Times New Roman" w:cs="Arial"/>
          <w:color w:val="000000"/>
          <w:sz w:val="20"/>
          <w:szCs w:val="20"/>
          <w:lang w:val="en-US"/>
        </w:rPr>
        <w:t>t</w:t>
      </w:r>
      <w:proofErr w:type="gramEnd"/>
      <w:r w:rsidRPr="008A0E10">
        <w:rPr>
          <w:rFonts w:eastAsia="Times New Roman" w:cs="Arial"/>
          <w:color w:val="000000"/>
          <w:sz w:val="20"/>
          <w:szCs w:val="20"/>
          <w:lang w:val="en-US"/>
        </w:rPr>
        <w:t xml:space="preserve"> </w:t>
      </w:r>
      <w:r w:rsidR="008A0E10" w:rsidRPr="008A0E10">
        <w:rPr>
          <w:rFonts w:eastAsia="Times New Roman" w:cs="Arial"/>
          <w:color w:val="000000"/>
          <w:sz w:val="20"/>
          <w:szCs w:val="20"/>
          <w:lang w:eastAsia="bg-BG"/>
        </w:rPr>
        <w:t>Едностранна р-</w:t>
      </w:r>
      <w:r w:rsidRPr="008A0E10">
        <w:rPr>
          <w:rFonts w:eastAsia="Times New Roman" w:cs="Arial"/>
          <w:color w:val="000000"/>
          <w:sz w:val="20"/>
          <w:szCs w:val="20"/>
          <w:lang w:eastAsia="bg-BG"/>
        </w:rPr>
        <w:t xml:space="preserve">стойност от </w:t>
      </w:r>
      <w:r w:rsidRPr="008A0E10">
        <w:rPr>
          <w:rFonts w:eastAsia="Times New Roman" w:cs="Arial"/>
          <w:color w:val="000000"/>
          <w:sz w:val="20"/>
          <w:szCs w:val="20"/>
          <w:lang w:val="en-US"/>
        </w:rPr>
        <w:t xml:space="preserve">log-rank </w:t>
      </w:r>
      <w:r w:rsidRPr="008A0E10">
        <w:rPr>
          <w:rFonts w:eastAsia="Times New Roman" w:cs="Arial"/>
          <w:color w:val="000000"/>
          <w:sz w:val="20"/>
          <w:szCs w:val="20"/>
          <w:lang w:eastAsia="bg-BG"/>
        </w:rPr>
        <w:t>теста, стратифициран от наличието на висцерални метастази и чувствителност към предходна ендокринна терапия при рандомизация.</w:t>
      </w:r>
    </w:p>
    <w:p w14:paraId="02035AEB" w14:textId="067BB4F7" w:rsidR="00C838E4" w:rsidRDefault="00C838E4" w:rsidP="0091385D"/>
    <w:p w14:paraId="52DA2BD7" w14:textId="3DF19BE3" w:rsidR="0022136D" w:rsidRDefault="0022136D" w:rsidP="0091385D">
      <w:r>
        <w:rPr>
          <w:noProof/>
          <w:lang w:eastAsia="bg-BG"/>
        </w:rPr>
        <w:drawing>
          <wp:inline distT="0" distB="0" distL="0" distR="0" wp14:anchorId="78F6164C" wp14:editId="2351B8C2">
            <wp:extent cx="4801270" cy="5620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снимка3.png"/>
                    <pic:cNvPicPr/>
                  </pic:nvPicPr>
                  <pic:blipFill>
                    <a:blip r:embed="rId6">
                      <a:extLst>
                        <a:ext uri="{28A0092B-C50C-407E-A947-70E740481C1C}">
                          <a14:useLocalDpi xmlns:a14="http://schemas.microsoft.com/office/drawing/2010/main" val="0"/>
                        </a:ext>
                      </a:extLst>
                    </a:blip>
                    <a:stretch>
                      <a:fillRect/>
                    </a:stretch>
                  </pic:blipFill>
                  <pic:spPr>
                    <a:xfrm>
                      <a:off x="0" y="0"/>
                      <a:ext cx="4801270" cy="562053"/>
                    </a:xfrm>
                    <a:prstGeom prst="rect">
                      <a:avLst/>
                    </a:prstGeom>
                  </pic:spPr>
                </pic:pic>
              </a:graphicData>
            </a:graphic>
          </wp:inline>
        </w:drawing>
      </w:r>
    </w:p>
    <w:p w14:paraId="5FC4DE36" w14:textId="059DABD3" w:rsidR="0022136D" w:rsidRDefault="0022136D" w:rsidP="0091385D">
      <w:r>
        <w:rPr>
          <w:noProof/>
          <w:lang w:eastAsia="bg-BG"/>
        </w:rPr>
        <w:drawing>
          <wp:inline distT="0" distB="0" distL="0" distR="0" wp14:anchorId="27B6DA65" wp14:editId="6CD2A49F">
            <wp:extent cx="3781953" cy="233395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снимка4.png"/>
                    <pic:cNvPicPr/>
                  </pic:nvPicPr>
                  <pic:blipFill>
                    <a:blip r:embed="rId7">
                      <a:extLst>
                        <a:ext uri="{28A0092B-C50C-407E-A947-70E740481C1C}">
                          <a14:useLocalDpi xmlns:a14="http://schemas.microsoft.com/office/drawing/2010/main" val="0"/>
                        </a:ext>
                      </a:extLst>
                    </a:blip>
                    <a:stretch>
                      <a:fillRect/>
                    </a:stretch>
                  </pic:blipFill>
                  <pic:spPr>
                    <a:xfrm>
                      <a:off x="0" y="0"/>
                      <a:ext cx="3781953" cy="2333951"/>
                    </a:xfrm>
                    <a:prstGeom prst="rect">
                      <a:avLst/>
                    </a:prstGeom>
                  </pic:spPr>
                </pic:pic>
              </a:graphicData>
            </a:graphic>
          </wp:inline>
        </w:drawing>
      </w:r>
    </w:p>
    <w:p w14:paraId="0CD56A50" w14:textId="77777777" w:rsidR="0022136D" w:rsidRDefault="0022136D" w:rsidP="0091385D"/>
    <w:p w14:paraId="09ADD0FD" w14:textId="270E3DD7" w:rsidR="0022136D" w:rsidRDefault="0022136D" w:rsidP="0091385D">
      <w:r>
        <w:rPr>
          <w:noProof/>
          <w:lang w:eastAsia="bg-BG"/>
        </w:rPr>
        <w:drawing>
          <wp:inline distT="0" distB="0" distL="0" distR="0" wp14:anchorId="686732A0" wp14:editId="696C9504">
            <wp:extent cx="4239217" cy="100979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снимка5.png"/>
                    <pic:cNvPicPr/>
                  </pic:nvPicPr>
                  <pic:blipFill>
                    <a:blip r:embed="rId8">
                      <a:extLst>
                        <a:ext uri="{28A0092B-C50C-407E-A947-70E740481C1C}">
                          <a14:useLocalDpi xmlns:a14="http://schemas.microsoft.com/office/drawing/2010/main" val="0"/>
                        </a:ext>
                      </a:extLst>
                    </a:blip>
                    <a:stretch>
                      <a:fillRect/>
                    </a:stretch>
                  </pic:blipFill>
                  <pic:spPr>
                    <a:xfrm>
                      <a:off x="0" y="0"/>
                      <a:ext cx="4239217" cy="1009791"/>
                    </a:xfrm>
                    <a:prstGeom prst="rect">
                      <a:avLst/>
                    </a:prstGeom>
                  </pic:spPr>
                </pic:pic>
              </a:graphicData>
            </a:graphic>
          </wp:inline>
        </w:drawing>
      </w:r>
    </w:p>
    <w:p w14:paraId="3E9AA911" w14:textId="2CA07E17" w:rsidR="0022136D" w:rsidRDefault="0022136D" w:rsidP="0091385D">
      <w:r>
        <w:t>Наблюдаван е намален риск от прогресия на заболяването или смърт в рамото с фулвестрант плюс палбоциклиб във всички отделни подгрупи пациентки, дефинирани по стратификационните фактори и изходните характерис</w:t>
      </w:r>
      <w:r w:rsidR="008A0E10">
        <w:t xml:space="preserve">тики. Това е видно при </w:t>
      </w:r>
      <w:r>
        <w:t>пре</w:t>
      </w:r>
      <w:r w:rsidR="008A0E10">
        <w:t>-</w:t>
      </w:r>
      <w:r>
        <w:t>/перименопауза</w:t>
      </w:r>
      <w:r w:rsidR="008A0E10">
        <w:t>лни жени</w:t>
      </w:r>
      <w:r>
        <w:t xml:space="preserve"> </w:t>
      </w:r>
      <w:r>
        <w:rPr>
          <w:lang w:val="en-US"/>
        </w:rPr>
        <w:t xml:space="preserve">(HR </w:t>
      </w:r>
      <w:r w:rsidR="008A0E10">
        <w:t xml:space="preserve">0,46 [95% </w:t>
      </w:r>
      <w:r w:rsidR="008A0E10" w:rsidRPr="008A0E10">
        <w:rPr>
          <w:rFonts w:eastAsia="Times New Roman" w:cs="Arial"/>
          <w:color w:val="000000"/>
          <w:lang w:val="en-US" w:eastAsia="bg-BG"/>
        </w:rPr>
        <w:t>CI</w:t>
      </w:r>
      <w:r>
        <w:t xml:space="preserve">: 0,28 - 0,75]) и постменопаузални жени </w:t>
      </w:r>
      <w:r>
        <w:rPr>
          <w:lang w:val="en-US"/>
        </w:rPr>
        <w:t xml:space="preserve">(HR </w:t>
      </w:r>
      <w:r>
        <w:lastRenderedPageBreak/>
        <w:t>0,52 [</w:t>
      </w:r>
      <w:r w:rsidR="008A0E10">
        <w:t xml:space="preserve">95% </w:t>
      </w:r>
      <w:r w:rsidR="008A0E10" w:rsidRPr="008A0E10">
        <w:rPr>
          <w:rFonts w:eastAsia="Times New Roman" w:cs="Arial"/>
          <w:color w:val="000000"/>
          <w:lang w:val="en-US" w:eastAsia="bg-BG"/>
        </w:rPr>
        <w:t>CI</w:t>
      </w:r>
      <w:r w:rsidR="008A0E10">
        <w:t>: 0,40 - 0,66]) и пациент</w:t>
      </w:r>
      <w:r>
        <w:t>и</w:t>
      </w:r>
      <w:r w:rsidR="008A0E10">
        <w:t xml:space="preserve"> с висцерално метастатично заболяване</w:t>
      </w:r>
      <w:r>
        <w:t xml:space="preserve"> </w:t>
      </w:r>
      <w:r>
        <w:rPr>
          <w:lang w:val="en-US"/>
        </w:rPr>
        <w:t xml:space="preserve">(HR </w:t>
      </w:r>
      <w:r w:rsidR="008A0E10">
        <w:t xml:space="preserve">0,50 [95% </w:t>
      </w:r>
      <w:r w:rsidR="008A0E10" w:rsidRPr="008A0E10">
        <w:rPr>
          <w:rFonts w:eastAsia="Times New Roman" w:cs="Arial"/>
          <w:color w:val="000000"/>
          <w:lang w:val="en-US" w:eastAsia="bg-BG"/>
        </w:rPr>
        <w:t>CI</w:t>
      </w:r>
      <w:r>
        <w:t>: 0,38 - 0,65]) и невисцералн</w:t>
      </w:r>
      <w:r w:rsidR="008A0E10">
        <w:t xml:space="preserve">о метастатично заболяване </w:t>
      </w:r>
      <w:r>
        <w:rPr>
          <w:lang w:val="en-US"/>
        </w:rPr>
        <w:t xml:space="preserve">(HR </w:t>
      </w:r>
      <w:r w:rsidR="008A0E10">
        <w:t xml:space="preserve">0,48 [95% </w:t>
      </w:r>
      <w:r w:rsidR="008A0E10" w:rsidRPr="008A0E10">
        <w:rPr>
          <w:rFonts w:eastAsia="Times New Roman" w:cs="Arial"/>
          <w:color w:val="000000"/>
          <w:lang w:val="en-US" w:eastAsia="bg-BG"/>
        </w:rPr>
        <w:t>CI</w:t>
      </w:r>
      <w:r>
        <w:t>: 0,33 - 0,71]). Полза също е установена независимо от линиите на предходна терапия в случай на метастази, независимо дали</w:t>
      </w:r>
      <w:r w:rsidR="008A0E10">
        <w:t xml:space="preserve"> линиите са</w:t>
      </w:r>
      <w:r>
        <w:t xml:space="preserve"> 0 </w:t>
      </w:r>
      <w:r>
        <w:rPr>
          <w:lang w:val="en-US"/>
        </w:rPr>
        <w:t xml:space="preserve">(HR </w:t>
      </w:r>
      <w:r w:rsidR="008A0E10">
        <w:t xml:space="preserve">0,59 [95% </w:t>
      </w:r>
      <w:r w:rsidR="008A0E10" w:rsidRPr="008A0E10">
        <w:rPr>
          <w:rFonts w:eastAsia="Times New Roman" w:cs="Arial"/>
          <w:color w:val="000000"/>
          <w:lang w:val="en-US" w:eastAsia="bg-BG"/>
        </w:rPr>
        <w:t>CI</w:t>
      </w:r>
      <w:r>
        <w:t xml:space="preserve">: 0,37 - 0,93]), 1 </w:t>
      </w:r>
      <w:r>
        <w:rPr>
          <w:lang w:val="en-US"/>
        </w:rPr>
        <w:t xml:space="preserve">(HR </w:t>
      </w:r>
      <w:r w:rsidR="008A0E10">
        <w:t xml:space="preserve">0,46 [95% </w:t>
      </w:r>
      <w:r w:rsidR="008A0E10" w:rsidRPr="008A0E10">
        <w:rPr>
          <w:rFonts w:eastAsia="Times New Roman" w:cs="Arial"/>
          <w:color w:val="000000"/>
          <w:lang w:val="en-US" w:eastAsia="bg-BG"/>
        </w:rPr>
        <w:t>CI</w:t>
      </w:r>
      <w:r>
        <w:t xml:space="preserve">: 0,32 - 0,64]), 2 </w:t>
      </w:r>
      <w:r>
        <w:rPr>
          <w:lang w:val="en-US"/>
        </w:rPr>
        <w:t xml:space="preserve">(HR </w:t>
      </w:r>
      <w:r w:rsidR="008A0E10">
        <w:t xml:space="preserve">0,48 [95% </w:t>
      </w:r>
      <w:r w:rsidR="008A0E10" w:rsidRPr="008A0E10">
        <w:rPr>
          <w:rFonts w:eastAsia="Times New Roman" w:cs="Arial"/>
          <w:color w:val="000000"/>
          <w:lang w:val="en-US" w:eastAsia="bg-BG"/>
        </w:rPr>
        <w:t>CI</w:t>
      </w:r>
      <w:r>
        <w:t xml:space="preserve">: 0,30 - 0,76]) или ≥ 3 линии </w:t>
      </w:r>
      <w:r>
        <w:rPr>
          <w:lang w:val="en-US"/>
        </w:rPr>
        <w:t xml:space="preserve">(HR </w:t>
      </w:r>
      <w:r w:rsidR="008A0E10">
        <w:t xml:space="preserve">0,59 [95% </w:t>
      </w:r>
      <w:r w:rsidR="008A0E10" w:rsidRPr="008A0E10">
        <w:rPr>
          <w:rFonts w:eastAsia="Times New Roman" w:cs="Arial"/>
          <w:color w:val="000000"/>
          <w:lang w:val="en-US" w:eastAsia="bg-BG"/>
        </w:rPr>
        <w:t>CI</w:t>
      </w:r>
      <w:r>
        <w:t>: 0,28 - 1,22]).</w:t>
      </w:r>
    </w:p>
    <w:p w14:paraId="09E4797A" w14:textId="1D14FE83" w:rsidR="0022136D" w:rsidRDefault="0022136D" w:rsidP="0091385D"/>
    <w:p w14:paraId="49749C1D" w14:textId="2766A4B1" w:rsidR="0022136D" w:rsidRDefault="0022136D" w:rsidP="0091385D">
      <w:r>
        <w:rPr>
          <w:noProof/>
          <w:lang w:eastAsia="bg-BG"/>
        </w:rPr>
        <w:drawing>
          <wp:inline distT="0" distB="0" distL="0" distR="0" wp14:anchorId="27C8EDC6" wp14:editId="2C55A86F">
            <wp:extent cx="4706007" cy="288647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снимка6.png"/>
                    <pic:cNvPicPr/>
                  </pic:nvPicPr>
                  <pic:blipFill>
                    <a:blip r:embed="rId9">
                      <a:extLst>
                        <a:ext uri="{28A0092B-C50C-407E-A947-70E740481C1C}">
                          <a14:useLocalDpi xmlns:a14="http://schemas.microsoft.com/office/drawing/2010/main" val="0"/>
                        </a:ext>
                      </a:extLst>
                    </a:blip>
                    <a:stretch>
                      <a:fillRect/>
                    </a:stretch>
                  </pic:blipFill>
                  <pic:spPr>
                    <a:xfrm>
                      <a:off x="0" y="0"/>
                      <a:ext cx="4706007" cy="2886478"/>
                    </a:xfrm>
                    <a:prstGeom prst="rect">
                      <a:avLst/>
                    </a:prstGeom>
                  </pic:spPr>
                </pic:pic>
              </a:graphicData>
            </a:graphic>
          </wp:inline>
        </w:drawing>
      </w:r>
    </w:p>
    <w:p w14:paraId="63AAF800" w14:textId="6D2B7F11" w:rsidR="0022136D" w:rsidRDefault="0022136D" w:rsidP="0091385D"/>
    <w:p w14:paraId="75E1782E" w14:textId="77777777" w:rsidR="0022136D" w:rsidRPr="0022136D" w:rsidRDefault="0022136D" w:rsidP="0022136D">
      <w:pPr>
        <w:spacing w:line="240" w:lineRule="auto"/>
        <w:rPr>
          <w:rFonts w:eastAsia="Times New Roman" w:cs="Arial"/>
          <w:sz w:val="24"/>
          <w:szCs w:val="24"/>
          <w:lang w:eastAsia="bg-BG"/>
        </w:rPr>
      </w:pPr>
      <w:r w:rsidRPr="0022136D">
        <w:rPr>
          <w:rFonts w:eastAsia="Times New Roman" w:cs="Arial"/>
          <w:color w:val="000000"/>
          <w:lang w:val="en-US"/>
        </w:rPr>
        <w:t xml:space="preserve">FUL= </w:t>
      </w:r>
      <w:r w:rsidRPr="0022136D">
        <w:rPr>
          <w:rFonts w:eastAsia="Times New Roman" w:cs="Arial"/>
          <w:color w:val="000000"/>
          <w:lang w:eastAsia="bg-BG"/>
        </w:rPr>
        <w:t>фулвестрант; РАЕ=палбоциклиб; РСВ=плацебо</w:t>
      </w:r>
    </w:p>
    <w:p w14:paraId="446230F2" w14:textId="77777777" w:rsidR="0022136D" w:rsidRPr="0022136D" w:rsidRDefault="0022136D" w:rsidP="0022136D">
      <w:pPr>
        <w:spacing w:line="240" w:lineRule="auto"/>
        <w:rPr>
          <w:rFonts w:eastAsia="Times New Roman" w:cs="Arial"/>
          <w:color w:val="000000"/>
          <w:lang w:eastAsia="bg-BG"/>
        </w:rPr>
      </w:pPr>
    </w:p>
    <w:p w14:paraId="65CC72CC" w14:textId="5E2D6A15" w:rsidR="0022136D" w:rsidRPr="0022136D" w:rsidRDefault="0022136D" w:rsidP="0022136D">
      <w:pPr>
        <w:spacing w:line="240" w:lineRule="auto"/>
        <w:rPr>
          <w:rFonts w:eastAsia="Times New Roman" w:cs="Arial"/>
          <w:sz w:val="24"/>
          <w:szCs w:val="24"/>
          <w:lang w:eastAsia="bg-BG"/>
        </w:rPr>
      </w:pPr>
      <w:r w:rsidRPr="0022136D">
        <w:rPr>
          <w:rFonts w:eastAsia="Times New Roman" w:cs="Arial"/>
          <w:color w:val="000000"/>
          <w:lang w:eastAsia="bg-BG"/>
        </w:rPr>
        <w:t xml:space="preserve">Допълнителни </w:t>
      </w:r>
      <w:r w:rsidR="008A0E10">
        <w:rPr>
          <w:rFonts w:eastAsia="Times New Roman" w:cs="Arial"/>
          <w:color w:val="000000"/>
          <w:lang w:eastAsia="bg-BG"/>
        </w:rPr>
        <w:t>показатели за ефикасност (обективен отговор и време до туморен отговор</w:t>
      </w:r>
      <w:r w:rsidRPr="0022136D">
        <w:rPr>
          <w:rFonts w:eastAsia="Times New Roman" w:cs="Arial"/>
          <w:color w:val="000000"/>
          <w:lang w:eastAsia="bg-BG"/>
        </w:rPr>
        <w:t>), оценени при подгрупите пациенти със или без висцерално заболяване, са показани в Таблица 6.</w:t>
      </w:r>
    </w:p>
    <w:p w14:paraId="4712FD0D" w14:textId="77777777" w:rsidR="0022136D" w:rsidRPr="0022136D" w:rsidRDefault="0022136D" w:rsidP="0022136D">
      <w:pPr>
        <w:rPr>
          <w:rFonts w:eastAsia="Times New Roman" w:cs="Arial"/>
          <w:b/>
          <w:bCs/>
          <w:color w:val="000000"/>
          <w:lang w:eastAsia="bg-BG"/>
        </w:rPr>
      </w:pPr>
    </w:p>
    <w:p w14:paraId="38B699B9" w14:textId="05FC9CAB" w:rsidR="0022136D" w:rsidRPr="0022136D" w:rsidRDefault="0022136D" w:rsidP="0022136D">
      <w:pPr>
        <w:rPr>
          <w:rFonts w:cs="Arial"/>
        </w:rPr>
      </w:pPr>
      <w:r w:rsidRPr="0022136D">
        <w:rPr>
          <w:rFonts w:eastAsia="Times New Roman" w:cs="Arial"/>
          <w:b/>
          <w:bCs/>
          <w:color w:val="000000"/>
          <w:lang w:eastAsia="bg-BG"/>
        </w:rPr>
        <w:t xml:space="preserve">Таблица 6 Резултати за ефикасност при висцерално и невнсцерално заболяване от изпитването </w:t>
      </w:r>
      <w:r w:rsidRPr="0022136D">
        <w:rPr>
          <w:rFonts w:eastAsia="Times New Roman" w:cs="Arial"/>
          <w:b/>
          <w:bCs/>
          <w:color w:val="000000"/>
          <w:lang w:val="en-US"/>
        </w:rPr>
        <w:t xml:space="preserve">PALOMA3 </w:t>
      </w:r>
      <w:r w:rsidRPr="0022136D">
        <w:rPr>
          <w:rFonts w:eastAsia="Times New Roman" w:cs="Arial"/>
          <w:b/>
          <w:bCs/>
          <w:color w:val="000000"/>
          <w:lang w:eastAsia="bg-BG"/>
        </w:rPr>
        <w:t>(всички рандомизирани пациентки)</w:t>
      </w:r>
    </w:p>
    <w:p w14:paraId="7DA6125F" w14:textId="3E82A6A7" w:rsidR="0022136D" w:rsidRDefault="0022136D" w:rsidP="0091385D"/>
    <w:tbl>
      <w:tblPr>
        <w:tblStyle w:val="TableGrid"/>
        <w:tblW w:w="0" w:type="auto"/>
        <w:tblLook w:val="04A0" w:firstRow="1" w:lastRow="0" w:firstColumn="1" w:lastColumn="0" w:noHBand="0" w:noVBand="1"/>
      </w:tblPr>
      <w:tblGrid>
        <w:gridCol w:w="1854"/>
        <w:gridCol w:w="1875"/>
        <w:gridCol w:w="1873"/>
        <w:gridCol w:w="1875"/>
        <w:gridCol w:w="1873"/>
      </w:tblGrid>
      <w:tr w:rsidR="0022136D" w:rsidRPr="0022136D" w14:paraId="743ECDA0" w14:textId="77777777" w:rsidTr="008C464A">
        <w:tc>
          <w:tcPr>
            <w:tcW w:w="1900" w:type="dxa"/>
          </w:tcPr>
          <w:p w14:paraId="2388173B" w14:textId="77777777" w:rsidR="0022136D" w:rsidRPr="0022136D" w:rsidRDefault="0022136D" w:rsidP="0022136D">
            <w:pPr>
              <w:rPr>
                <w:rFonts w:cs="Arial"/>
              </w:rPr>
            </w:pPr>
          </w:p>
        </w:tc>
        <w:tc>
          <w:tcPr>
            <w:tcW w:w="3800" w:type="dxa"/>
            <w:gridSpan w:val="2"/>
          </w:tcPr>
          <w:p w14:paraId="2DCF5C3F" w14:textId="265B69CF" w:rsidR="0022136D" w:rsidRPr="0022136D" w:rsidRDefault="0022136D" w:rsidP="00722B5E">
            <w:pPr>
              <w:jc w:val="center"/>
              <w:rPr>
                <w:rFonts w:cs="Arial"/>
              </w:rPr>
            </w:pPr>
            <w:r w:rsidRPr="0022136D">
              <w:rPr>
                <w:rFonts w:cs="Arial"/>
                <w:b/>
                <w:bCs/>
              </w:rPr>
              <w:t>Висцерално заболяване</w:t>
            </w:r>
          </w:p>
        </w:tc>
        <w:tc>
          <w:tcPr>
            <w:tcW w:w="3800" w:type="dxa"/>
            <w:gridSpan w:val="2"/>
          </w:tcPr>
          <w:p w14:paraId="72DF1BEA" w14:textId="1BF6E971" w:rsidR="0022136D" w:rsidRPr="0022136D" w:rsidRDefault="0022136D" w:rsidP="00722B5E">
            <w:pPr>
              <w:jc w:val="center"/>
              <w:rPr>
                <w:rFonts w:cs="Arial"/>
              </w:rPr>
            </w:pPr>
            <w:r w:rsidRPr="0022136D">
              <w:rPr>
                <w:rFonts w:cs="Arial"/>
                <w:b/>
                <w:bCs/>
              </w:rPr>
              <w:t>Невисцерално заболяване</w:t>
            </w:r>
          </w:p>
        </w:tc>
      </w:tr>
      <w:tr w:rsidR="0022136D" w:rsidRPr="0022136D" w14:paraId="331DC17D" w14:textId="77777777" w:rsidTr="0022136D">
        <w:tc>
          <w:tcPr>
            <w:tcW w:w="1900" w:type="dxa"/>
          </w:tcPr>
          <w:p w14:paraId="28636970" w14:textId="77777777" w:rsidR="0022136D" w:rsidRPr="0022136D" w:rsidRDefault="0022136D" w:rsidP="0022136D">
            <w:pPr>
              <w:rPr>
                <w:rFonts w:cs="Arial"/>
              </w:rPr>
            </w:pPr>
          </w:p>
        </w:tc>
        <w:tc>
          <w:tcPr>
            <w:tcW w:w="1900" w:type="dxa"/>
          </w:tcPr>
          <w:p w14:paraId="08D0C056" w14:textId="7F8EA509" w:rsidR="0022136D" w:rsidRPr="0022136D" w:rsidRDefault="0022136D" w:rsidP="00722B5E">
            <w:pPr>
              <w:jc w:val="center"/>
              <w:rPr>
                <w:rFonts w:cs="Arial"/>
              </w:rPr>
            </w:pPr>
            <w:r w:rsidRPr="0022136D">
              <w:rPr>
                <w:rFonts w:cs="Arial"/>
                <w:b/>
                <w:bCs/>
              </w:rPr>
              <w:t xml:space="preserve">Фулвестрант плюс палбоциклиб </w:t>
            </w:r>
            <w:r w:rsidRPr="0022136D">
              <w:rPr>
                <w:rFonts w:cs="Arial"/>
                <w:b/>
                <w:bCs/>
                <w:lang w:val="en-US"/>
              </w:rPr>
              <w:t>(N=206)</w:t>
            </w:r>
          </w:p>
        </w:tc>
        <w:tc>
          <w:tcPr>
            <w:tcW w:w="1900" w:type="dxa"/>
          </w:tcPr>
          <w:p w14:paraId="4B6F6421" w14:textId="1E5E43E1" w:rsidR="0022136D" w:rsidRPr="0022136D" w:rsidRDefault="0022136D" w:rsidP="00722B5E">
            <w:pPr>
              <w:jc w:val="center"/>
              <w:rPr>
                <w:rFonts w:cs="Arial"/>
              </w:rPr>
            </w:pPr>
            <w:r w:rsidRPr="0022136D">
              <w:rPr>
                <w:rFonts w:cs="Arial"/>
                <w:b/>
                <w:bCs/>
              </w:rPr>
              <w:t xml:space="preserve">Фулвестрант плюс плацебо </w:t>
            </w:r>
            <w:r w:rsidRPr="0022136D">
              <w:rPr>
                <w:rFonts w:cs="Arial"/>
                <w:b/>
                <w:bCs/>
                <w:lang w:val="en-US"/>
              </w:rPr>
              <w:t>(N=105)</w:t>
            </w:r>
          </w:p>
        </w:tc>
        <w:tc>
          <w:tcPr>
            <w:tcW w:w="1900" w:type="dxa"/>
          </w:tcPr>
          <w:p w14:paraId="0B612B5F" w14:textId="215EE116" w:rsidR="0022136D" w:rsidRPr="0022136D" w:rsidRDefault="0022136D" w:rsidP="00722B5E">
            <w:pPr>
              <w:jc w:val="center"/>
              <w:rPr>
                <w:rFonts w:cs="Arial"/>
              </w:rPr>
            </w:pPr>
            <w:r w:rsidRPr="0022136D">
              <w:rPr>
                <w:rFonts w:cs="Arial"/>
                <w:b/>
                <w:bCs/>
              </w:rPr>
              <w:t xml:space="preserve">Фулвестрант плюс палбоциклиб </w:t>
            </w:r>
            <w:r w:rsidRPr="0022136D">
              <w:rPr>
                <w:rFonts w:cs="Arial"/>
                <w:b/>
                <w:bCs/>
                <w:lang w:val="en-US"/>
              </w:rPr>
              <w:t>(N=141)</w:t>
            </w:r>
          </w:p>
        </w:tc>
        <w:tc>
          <w:tcPr>
            <w:tcW w:w="1900" w:type="dxa"/>
          </w:tcPr>
          <w:p w14:paraId="29C985C6" w14:textId="4FEDD45F" w:rsidR="0022136D" w:rsidRPr="0022136D" w:rsidRDefault="0022136D" w:rsidP="00722B5E">
            <w:pPr>
              <w:jc w:val="center"/>
              <w:rPr>
                <w:rFonts w:cs="Arial"/>
              </w:rPr>
            </w:pPr>
            <w:r w:rsidRPr="0022136D">
              <w:rPr>
                <w:rFonts w:cs="Arial"/>
                <w:b/>
                <w:bCs/>
              </w:rPr>
              <w:t xml:space="preserve">Фулвестрант плюс плацебо </w:t>
            </w:r>
            <w:r w:rsidRPr="0022136D">
              <w:rPr>
                <w:rFonts w:cs="Arial"/>
                <w:b/>
                <w:bCs/>
                <w:lang w:val="en-US"/>
              </w:rPr>
              <w:t>(N=69)</w:t>
            </w:r>
          </w:p>
        </w:tc>
      </w:tr>
      <w:tr w:rsidR="0022136D" w:rsidRPr="0022136D" w14:paraId="6D90E59E" w14:textId="77777777" w:rsidTr="0022136D">
        <w:tc>
          <w:tcPr>
            <w:tcW w:w="1900" w:type="dxa"/>
          </w:tcPr>
          <w:p w14:paraId="71F91002" w14:textId="73B6F81C" w:rsidR="0022136D" w:rsidRPr="0022136D" w:rsidRDefault="00722B5E" w:rsidP="0022136D">
            <w:pPr>
              <w:rPr>
                <w:rFonts w:cs="Arial"/>
              </w:rPr>
            </w:pPr>
            <w:r>
              <w:rPr>
                <w:rFonts w:eastAsia="Times New Roman" w:cs="Arial"/>
                <w:color w:val="000000"/>
                <w:lang w:val="en-US" w:eastAsia="bg-BG"/>
              </w:rPr>
              <w:t>OR</w:t>
            </w:r>
            <w:r w:rsidR="0022136D" w:rsidRPr="0022136D">
              <w:rPr>
                <w:rFonts w:cs="Arial"/>
                <w:b/>
                <w:bCs/>
              </w:rPr>
              <w:t xml:space="preserve"> [% (95%</w:t>
            </w:r>
          </w:p>
          <w:p w14:paraId="1794B9F8" w14:textId="7AE81236" w:rsidR="0022136D" w:rsidRPr="0022136D" w:rsidRDefault="0022136D" w:rsidP="0022136D">
            <w:pPr>
              <w:rPr>
                <w:rFonts w:cs="Arial"/>
              </w:rPr>
            </w:pPr>
            <w:r w:rsidRPr="0022136D">
              <w:rPr>
                <w:rFonts w:cs="Arial"/>
                <w:b/>
                <w:bCs/>
              </w:rPr>
              <w:t>ДИ)1</w:t>
            </w:r>
          </w:p>
        </w:tc>
        <w:tc>
          <w:tcPr>
            <w:tcW w:w="1900" w:type="dxa"/>
          </w:tcPr>
          <w:p w14:paraId="463BFBFE" w14:textId="77777777" w:rsidR="00722B5E" w:rsidRDefault="0022136D" w:rsidP="00722B5E">
            <w:pPr>
              <w:jc w:val="center"/>
              <w:rPr>
                <w:rFonts w:cs="Arial"/>
              </w:rPr>
            </w:pPr>
            <w:r w:rsidRPr="0022136D">
              <w:rPr>
                <w:rFonts w:cs="Arial"/>
              </w:rPr>
              <w:t>35,0</w:t>
            </w:r>
          </w:p>
          <w:p w14:paraId="3FAF259A" w14:textId="3F796AC6" w:rsidR="0022136D" w:rsidRPr="0022136D" w:rsidRDefault="0022136D" w:rsidP="00722B5E">
            <w:pPr>
              <w:jc w:val="center"/>
              <w:rPr>
                <w:rFonts w:cs="Arial"/>
              </w:rPr>
            </w:pPr>
            <w:r w:rsidRPr="0022136D">
              <w:rPr>
                <w:rFonts w:cs="Arial"/>
              </w:rPr>
              <w:t>(28,5,41,9)</w:t>
            </w:r>
          </w:p>
        </w:tc>
        <w:tc>
          <w:tcPr>
            <w:tcW w:w="1900" w:type="dxa"/>
          </w:tcPr>
          <w:p w14:paraId="5907E134" w14:textId="79D035B0" w:rsidR="00722B5E" w:rsidRDefault="0022136D" w:rsidP="00722B5E">
            <w:pPr>
              <w:jc w:val="center"/>
              <w:rPr>
                <w:rFonts w:cs="Arial"/>
              </w:rPr>
            </w:pPr>
            <w:r w:rsidRPr="0022136D">
              <w:rPr>
                <w:rFonts w:cs="Arial"/>
              </w:rPr>
              <w:t>13,3</w:t>
            </w:r>
          </w:p>
          <w:p w14:paraId="3D425BDD" w14:textId="19CD7362" w:rsidR="0022136D" w:rsidRPr="0022136D" w:rsidRDefault="0022136D" w:rsidP="00722B5E">
            <w:pPr>
              <w:jc w:val="center"/>
              <w:rPr>
                <w:rFonts w:cs="Arial"/>
              </w:rPr>
            </w:pPr>
            <w:r w:rsidRPr="0022136D">
              <w:rPr>
                <w:rFonts w:cs="Arial"/>
              </w:rPr>
              <w:t>(7,5,</w:t>
            </w:r>
            <w:r w:rsidR="00722B5E">
              <w:rPr>
                <w:rFonts w:cs="Arial"/>
              </w:rPr>
              <w:t xml:space="preserve"> </w:t>
            </w:r>
            <w:r w:rsidRPr="0022136D">
              <w:rPr>
                <w:rFonts w:cs="Arial"/>
              </w:rPr>
              <w:t>21,4)</w:t>
            </w:r>
          </w:p>
        </w:tc>
        <w:tc>
          <w:tcPr>
            <w:tcW w:w="1900" w:type="dxa"/>
          </w:tcPr>
          <w:p w14:paraId="5D09E9A2" w14:textId="43A89EE4" w:rsidR="00722B5E" w:rsidRDefault="0022136D" w:rsidP="00722B5E">
            <w:pPr>
              <w:jc w:val="center"/>
              <w:rPr>
                <w:rFonts w:cs="Arial"/>
              </w:rPr>
            </w:pPr>
            <w:r w:rsidRPr="0022136D">
              <w:rPr>
                <w:rFonts w:cs="Arial"/>
              </w:rPr>
              <w:t>13,5</w:t>
            </w:r>
          </w:p>
          <w:p w14:paraId="35CAFBBC" w14:textId="0C85DE26" w:rsidR="0022136D" w:rsidRPr="0022136D" w:rsidRDefault="00722B5E" w:rsidP="00722B5E">
            <w:pPr>
              <w:jc w:val="center"/>
              <w:rPr>
                <w:rFonts w:cs="Arial"/>
              </w:rPr>
            </w:pPr>
            <w:r>
              <w:rPr>
                <w:rFonts w:cs="Arial"/>
              </w:rPr>
              <w:t xml:space="preserve">(8,3, </w:t>
            </w:r>
            <w:r w:rsidR="0022136D" w:rsidRPr="0022136D">
              <w:rPr>
                <w:rFonts w:cs="Arial"/>
              </w:rPr>
              <w:t>2</w:t>
            </w:r>
            <w:r>
              <w:rPr>
                <w:rFonts w:cs="Arial"/>
              </w:rPr>
              <w:t>0,2</w:t>
            </w:r>
            <w:r w:rsidR="0022136D" w:rsidRPr="0022136D">
              <w:rPr>
                <w:rFonts w:cs="Arial"/>
              </w:rPr>
              <w:t>)</w:t>
            </w:r>
          </w:p>
        </w:tc>
        <w:tc>
          <w:tcPr>
            <w:tcW w:w="1900" w:type="dxa"/>
          </w:tcPr>
          <w:p w14:paraId="7AA5CB20" w14:textId="77777777" w:rsidR="0022136D" w:rsidRPr="0022136D" w:rsidRDefault="0022136D" w:rsidP="00722B5E">
            <w:pPr>
              <w:jc w:val="center"/>
              <w:rPr>
                <w:rFonts w:cs="Arial"/>
              </w:rPr>
            </w:pPr>
            <w:r w:rsidRPr="0022136D">
              <w:rPr>
                <w:rFonts w:cs="Arial"/>
              </w:rPr>
              <w:t>14,5</w:t>
            </w:r>
          </w:p>
          <w:p w14:paraId="47283BF4" w14:textId="36E477B5" w:rsidR="0022136D" w:rsidRPr="0022136D" w:rsidRDefault="0022136D" w:rsidP="00722B5E">
            <w:pPr>
              <w:jc w:val="center"/>
              <w:rPr>
                <w:rFonts w:cs="Arial"/>
              </w:rPr>
            </w:pPr>
            <w:r w:rsidRPr="0022136D">
              <w:rPr>
                <w:rFonts w:cs="Arial"/>
              </w:rPr>
              <w:t>(7,2,</w:t>
            </w:r>
            <w:r w:rsidR="00722B5E">
              <w:rPr>
                <w:rFonts w:cs="Arial"/>
              </w:rPr>
              <w:t xml:space="preserve"> </w:t>
            </w:r>
            <w:r w:rsidRPr="0022136D">
              <w:rPr>
                <w:rFonts w:cs="Arial"/>
              </w:rPr>
              <w:t>25,0)</w:t>
            </w:r>
          </w:p>
        </w:tc>
      </w:tr>
      <w:tr w:rsidR="0022136D" w:rsidRPr="0022136D" w14:paraId="77011E7B" w14:textId="77777777" w:rsidTr="0022136D">
        <w:tc>
          <w:tcPr>
            <w:tcW w:w="1900" w:type="dxa"/>
          </w:tcPr>
          <w:p w14:paraId="6AC5C067" w14:textId="423B9F3F" w:rsidR="0022136D" w:rsidRPr="0022136D" w:rsidRDefault="00722B5E" w:rsidP="0022136D">
            <w:pPr>
              <w:rPr>
                <w:rFonts w:cs="Arial"/>
              </w:rPr>
            </w:pPr>
            <w:r>
              <w:rPr>
                <w:rFonts w:eastAsia="Times New Roman" w:cs="Arial"/>
                <w:color w:val="000000"/>
                <w:lang w:val="en-US" w:eastAsia="bg-BG"/>
              </w:rPr>
              <w:t>TTR</w:t>
            </w:r>
            <w:r w:rsidRPr="0022136D">
              <w:rPr>
                <w:rFonts w:cs="Arial"/>
                <w:b/>
                <w:bCs/>
              </w:rPr>
              <w:t xml:space="preserve"> </w:t>
            </w:r>
            <w:r>
              <w:rPr>
                <w:rFonts w:cs="Arial"/>
                <w:b/>
                <w:bCs/>
              </w:rPr>
              <w:t>*, Медиана</w:t>
            </w:r>
            <w:r w:rsidR="0022136D" w:rsidRPr="0022136D">
              <w:rPr>
                <w:rFonts w:cs="Arial"/>
                <w:b/>
                <w:bCs/>
              </w:rPr>
              <w:t xml:space="preserve"> [месеци (диапазон)]</w:t>
            </w:r>
          </w:p>
        </w:tc>
        <w:tc>
          <w:tcPr>
            <w:tcW w:w="1900" w:type="dxa"/>
          </w:tcPr>
          <w:p w14:paraId="681722BD" w14:textId="75D11D4A" w:rsidR="00722B5E" w:rsidRDefault="0022136D" w:rsidP="00722B5E">
            <w:pPr>
              <w:jc w:val="center"/>
              <w:rPr>
                <w:rFonts w:cs="Arial"/>
              </w:rPr>
            </w:pPr>
            <w:r w:rsidRPr="0022136D">
              <w:rPr>
                <w:rFonts w:cs="Arial"/>
              </w:rPr>
              <w:t>3,8</w:t>
            </w:r>
          </w:p>
          <w:p w14:paraId="3F731FBC" w14:textId="04591213" w:rsidR="0022136D" w:rsidRPr="0022136D" w:rsidRDefault="0022136D" w:rsidP="00722B5E">
            <w:pPr>
              <w:jc w:val="center"/>
              <w:rPr>
                <w:rFonts w:cs="Arial"/>
              </w:rPr>
            </w:pPr>
            <w:r w:rsidRPr="0022136D">
              <w:rPr>
                <w:rFonts w:cs="Arial"/>
              </w:rPr>
              <w:t>(3,5, 16,7)</w:t>
            </w:r>
          </w:p>
        </w:tc>
        <w:tc>
          <w:tcPr>
            <w:tcW w:w="1900" w:type="dxa"/>
          </w:tcPr>
          <w:p w14:paraId="1A0ACC13" w14:textId="725D851C" w:rsidR="00722B5E" w:rsidRDefault="0022136D" w:rsidP="00722B5E">
            <w:pPr>
              <w:jc w:val="center"/>
              <w:rPr>
                <w:rFonts w:cs="Arial"/>
              </w:rPr>
            </w:pPr>
            <w:r w:rsidRPr="0022136D">
              <w:rPr>
                <w:rFonts w:cs="Arial"/>
              </w:rPr>
              <w:t>5,4</w:t>
            </w:r>
          </w:p>
          <w:p w14:paraId="3E9553ED" w14:textId="1E5766AD" w:rsidR="0022136D" w:rsidRPr="0022136D" w:rsidRDefault="0022136D" w:rsidP="00722B5E">
            <w:pPr>
              <w:jc w:val="center"/>
              <w:rPr>
                <w:rFonts w:cs="Arial"/>
              </w:rPr>
            </w:pPr>
            <w:r w:rsidRPr="0022136D">
              <w:rPr>
                <w:rFonts w:cs="Arial"/>
              </w:rPr>
              <w:t>(3,5,16,7)</w:t>
            </w:r>
          </w:p>
        </w:tc>
        <w:tc>
          <w:tcPr>
            <w:tcW w:w="1900" w:type="dxa"/>
          </w:tcPr>
          <w:p w14:paraId="7A54FD57" w14:textId="08C86C4D" w:rsidR="00722B5E" w:rsidRDefault="0022136D" w:rsidP="00722B5E">
            <w:pPr>
              <w:jc w:val="center"/>
              <w:rPr>
                <w:rFonts w:cs="Arial"/>
              </w:rPr>
            </w:pPr>
            <w:r w:rsidRPr="0022136D">
              <w:rPr>
                <w:rFonts w:cs="Arial"/>
              </w:rPr>
              <w:t>3,7</w:t>
            </w:r>
          </w:p>
          <w:p w14:paraId="01C182C5" w14:textId="2987DF7A" w:rsidR="0022136D" w:rsidRPr="0022136D" w:rsidRDefault="0022136D" w:rsidP="00722B5E">
            <w:pPr>
              <w:jc w:val="center"/>
              <w:rPr>
                <w:rFonts w:cs="Arial"/>
              </w:rPr>
            </w:pPr>
            <w:r w:rsidRPr="0022136D">
              <w:rPr>
                <w:rFonts w:cs="Arial"/>
              </w:rPr>
              <w:t>(1,9,</w:t>
            </w:r>
            <w:r w:rsidR="00722B5E">
              <w:rPr>
                <w:rFonts w:cs="Arial"/>
              </w:rPr>
              <w:t xml:space="preserve"> </w:t>
            </w:r>
            <w:r w:rsidRPr="0022136D">
              <w:rPr>
                <w:rFonts w:cs="Arial"/>
              </w:rPr>
              <w:t>13,7)</w:t>
            </w:r>
          </w:p>
        </w:tc>
        <w:tc>
          <w:tcPr>
            <w:tcW w:w="1900" w:type="dxa"/>
          </w:tcPr>
          <w:p w14:paraId="4B814738" w14:textId="0BEF7375" w:rsidR="00722B5E" w:rsidRDefault="0022136D" w:rsidP="00722B5E">
            <w:pPr>
              <w:jc w:val="center"/>
              <w:rPr>
                <w:rFonts w:cs="Arial"/>
              </w:rPr>
            </w:pPr>
            <w:r w:rsidRPr="0022136D">
              <w:rPr>
                <w:rFonts w:cs="Arial"/>
              </w:rPr>
              <w:t>3,6</w:t>
            </w:r>
          </w:p>
          <w:p w14:paraId="77C2609B" w14:textId="60522C7B" w:rsidR="0022136D" w:rsidRPr="0022136D" w:rsidRDefault="0022136D" w:rsidP="00722B5E">
            <w:pPr>
              <w:jc w:val="center"/>
              <w:rPr>
                <w:rFonts w:cs="Arial"/>
              </w:rPr>
            </w:pPr>
            <w:r w:rsidRPr="0022136D">
              <w:rPr>
                <w:rFonts w:cs="Arial"/>
              </w:rPr>
              <w:t>(3,4, 3,7)</w:t>
            </w:r>
          </w:p>
        </w:tc>
      </w:tr>
    </w:tbl>
    <w:p w14:paraId="50C953FC" w14:textId="0F4B9B65" w:rsidR="0022136D" w:rsidRPr="0022136D" w:rsidRDefault="0022136D" w:rsidP="0022136D">
      <w:pPr>
        <w:spacing w:line="240" w:lineRule="auto"/>
        <w:rPr>
          <w:rFonts w:eastAsia="Times New Roman" w:cs="Arial"/>
          <w:lang w:eastAsia="bg-BG"/>
        </w:rPr>
      </w:pPr>
      <w:r w:rsidRPr="0022136D">
        <w:rPr>
          <w:rFonts w:eastAsia="Times New Roman" w:cs="Arial"/>
          <w:color w:val="000000"/>
          <w:lang w:eastAsia="bg-BG"/>
        </w:rPr>
        <w:t>*Крайни точки за отговор, базирани на потвърдени и непотвърдени отговори</w:t>
      </w:r>
    </w:p>
    <w:p w14:paraId="56A7C895" w14:textId="6750B7E9" w:rsidR="0022136D" w:rsidRPr="0022136D" w:rsidRDefault="008A0E10" w:rsidP="0022136D">
      <w:pPr>
        <w:spacing w:line="240" w:lineRule="auto"/>
        <w:rPr>
          <w:rFonts w:eastAsia="Times New Roman" w:cs="Arial"/>
          <w:lang w:eastAsia="bg-BG"/>
        </w:rPr>
      </w:pPr>
      <w:r>
        <w:rPr>
          <w:rFonts w:eastAsia="Times New Roman" w:cs="Arial"/>
          <w:color w:val="000000"/>
          <w:lang w:val="en-US"/>
        </w:rPr>
        <w:t>N=</w:t>
      </w:r>
      <w:r>
        <w:rPr>
          <w:rFonts w:eastAsia="Times New Roman" w:cs="Arial"/>
          <w:color w:val="000000"/>
        </w:rPr>
        <w:t>брой</w:t>
      </w:r>
      <w:r w:rsidR="0022136D" w:rsidRPr="0022136D">
        <w:rPr>
          <w:rFonts w:eastAsia="Times New Roman" w:cs="Arial"/>
          <w:color w:val="000000"/>
          <w:lang w:val="en-US"/>
        </w:rPr>
        <w:t xml:space="preserve"> </w:t>
      </w:r>
      <w:r w:rsidR="0022136D" w:rsidRPr="0022136D">
        <w:rPr>
          <w:rFonts w:eastAsia="Times New Roman" w:cs="Arial"/>
          <w:color w:val="000000"/>
          <w:lang w:eastAsia="bg-BG"/>
        </w:rPr>
        <w:t>паци</w:t>
      </w:r>
      <w:r>
        <w:rPr>
          <w:rFonts w:eastAsia="Times New Roman" w:cs="Arial"/>
          <w:color w:val="000000"/>
          <w:lang w:eastAsia="bg-BG"/>
        </w:rPr>
        <w:t xml:space="preserve">енти; </w:t>
      </w:r>
      <w:r>
        <w:rPr>
          <w:rFonts w:eastAsia="Times New Roman" w:cs="Arial"/>
          <w:color w:val="000000"/>
          <w:lang w:val="en-US" w:eastAsia="bg-BG"/>
        </w:rPr>
        <w:t>CI</w:t>
      </w:r>
      <w:r>
        <w:rPr>
          <w:rFonts w:eastAsia="Times New Roman" w:cs="Arial"/>
          <w:color w:val="000000"/>
          <w:lang w:eastAsia="bg-BG"/>
        </w:rPr>
        <w:t xml:space="preserve">=доверителен интервал; </w:t>
      </w:r>
      <w:r>
        <w:rPr>
          <w:rFonts w:eastAsia="Times New Roman" w:cs="Arial"/>
          <w:color w:val="000000"/>
          <w:lang w:val="en-US" w:eastAsia="bg-BG"/>
        </w:rPr>
        <w:t>OR</w:t>
      </w:r>
      <w:r w:rsidR="0022136D" w:rsidRPr="0022136D">
        <w:rPr>
          <w:rFonts w:eastAsia="Times New Roman" w:cs="Arial"/>
          <w:color w:val="000000"/>
          <w:lang w:eastAsia="bg-BG"/>
        </w:rPr>
        <w:t xml:space="preserve">=обективен отговор; </w:t>
      </w:r>
      <w:r>
        <w:rPr>
          <w:rFonts w:eastAsia="Times New Roman" w:cs="Arial"/>
          <w:color w:val="000000"/>
          <w:lang w:val="en-US" w:eastAsia="bg-BG"/>
        </w:rPr>
        <w:t>TTR</w:t>
      </w:r>
      <w:r>
        <w:rPr>
          <w:rFonts w:eastAsia="Times New Roman" w:cs="Arial"/>
          <w:color w:val="000000"/>
          <w:lang w:eastAsia="bg-BG"/>
        </w:rPr>
        <w:t xml:space="preserve"> = </w:t>
      </w:r>
      <w:r w:rsidR="00722B5E">
        <w:rPr>
          <w:rFonts w:eastAsia="Times New Roman" w:cs="Arial"/>
          <w:color w:val="000000"/>
          <w:lang w:eastAsia="bg-BG"/>
        </w:rPr>
        <w:t>време до първи</w:t>
      </w:r>
      <w:r w:rsidR="0022136D" w:rsidRPr="0022136D">
        <w:rPr>
          <w:rFonts w:eastAsia="Times New Roman" w:cs="Arial"/>
          <w:color w:val="000000"/>
          <w:lang w:eastAsia="bg-BG"/>
        </w:rPr>
        <w:t xml:space="preserve"> туморен </w:t>
      </w:r>
      <w:r w:rsidR="0022136D" w:rsidRPr="00722B5E">
        <w:rPr>
          <w:rFonts w:eastAsia="Times New Roman" w:cs="Arial"/>
          <w:iCs/>
          <w:color w:val="000000"/>
          <w:lang w:eastAsia="bg-BG"/>
        </w:rPr>
        <w:t>отговор</w:t>
      </w:r>
    </w:p>
    <w:p w14:paraId="532BF4F6" w14:textId="77777777" w:rsidR="0022136D" w:rsidRPr="0022136D" w:rsidRDefault="0022136D" w:rsidP="0022136D">
      <w:pPr>
        <w:rPr>
          <w:rFonts w:eastAsia="Times New Roman" w:cs="Arial"/>
          <w:color w:val="000000"/>
          <w:lang w:eastAsia="bg-BG"/>
        </w:rPr>
      </w:pPr>
    </w:p>
    <w:p w14:paraId="2DD4854F" w14:textId="32C630A9" w:rsidR="0022136D" w:rsidRPr="0022136D" w:rsidRDefault="00722B5E" w:rsidP="0022136D">
      <w:pPr>
        <w:rPr>
          <w:rFonts w:eastAsia="Times New Roman" w:cs="Arial"/>
          <w:smallCaps/>
          <w:color w:val="000000"/>
          <w:lang w:eastAsia="bg-BG"/>
        </w:rPr>
      </w:pPr>
      <w:r>
        <w:rPr>
          <w:rFonts w:eastAsia="Times New Roman" w:cs="Arial"/>
          <w:color w:val="000000"/>
          <w:lang w:eastAsia="bg-BG"/>
        </w:rPr>
        <w:t>Съобщените от пациент</w:t>
      </w:r>
      <w:r w:rsidR="0022136D" w:rsidRPr="0022136D">
        <w:rPr>
          <w:rFonts w:eastAsia="Times New Roman" w:cs="Arial"/>
          <w:color w:val="000000"/>
          <w:lang w:eastAsia="bg-BG"/>
        </w:rPr>
        <w:t xml:space="preserve">ите симптоми са оценени чрез въпросника на Европейска организация за изследване и лечение на рака </w:t>
      </w:r>
      <w:r w:rsidR="0022136D" w:rsidRPr="0022136D">
        <w:rPr>
          <w:rFonts w:eastAsia="Times New Roman" w:cs="Arial"/>
          <w:color w:val="000000"/>
          <w:lang w:val="en-US"/>
        </w:rPr>
        <w:t xml:space="preserve">(European Organization for Research and Treatment of Cancer, EORTC) </w:t>
      </w:r>
      <w:r w:rsidR="0022136D" w:rsidRPr="0022136D">
        <w:rPr>
          <w:rFonts w:eastAsia="Times New Roman" w:cs="Arial"/>
          <w:color w:val="000000"/>
          <w:lang w:eastAsia="bg-BG"/>
        </w:rPr>
        <w:t xml:space="preserve">за качество на живот </w:t>
      </w:r>
      <w:r w:rsidR="0022136D" w:rsidRPr="0022136D">
        <w:rPr>
          <w:rFonts w:eastAsia="Times New Roman" w:cs="Arial"/>
          <w:color w:val="000000"/>
          <w:lang w:val="en-US"/>
        </w:rPr>
        <w:t xml:space="preserve">(quality of life questionnaire, </w:t>
      </w:r>
      <w:r w:rsidR="0022136D" w:rsidRPr="0022136D">
        <w:rPr>
          <w:rFonts w:eastAsia="Times New Roman" w:cs="Arial"/>
          <w:i/>
          <w:iCs/>
          <w:color w:val="000000"/>
          <w:lang w:val="en-US"/>
        </w:rPr>
        <w:t>QLQ)-C30</w:t>
      </w:r>
      <w:r w:rsidR="0022136D" w:rsidRPr="0022136D">
        <w:rPr>
          <w:rFonts w:eastAsia="Times New Roman" w:cs="Arial"/>
          <w:color w:val="000000"/>
          <w:lang w:val="en-US"/>
        </w:rPr>
        <w:t xml:space="preserve"> </w:t>
      </w:r>
      <w:r w:rsidR="0022136D" w:rsidRPr="0022136D">
        <w:rPr>
          <w:rFonts w:eastAsia="Times New Roman" w:cs="Arial"/>
          <w:color w:val="000000"/>
          <w:lang w:eastAsia="bg-BG"/>
        </w:rPr>
        <w:t xml:space="preserve">и неговия модул за рак на млечната жлеза </w:t>
      </w:r>
      <w:r w:rsidR="0022136D" w:rsidRPr="0022136D">
        <w:rPr>
          <w:rFonts w:eastAsia="Times New Roman" w:cs="Arial"/>
          <w:color w:val="000000"/>
          <w:lang w:val="en-US"/>
        </w:rPr>
        <w:t xml:space="preserve">(Breast Cancer Module) (EORTC QLQ-BR23). </w:t>
      </w:r>
      <w:r w:rsidR="0022136D" w:rsidRPr="0022136D">
        <w:rPr>
          <w:rFonts w:eastAsia="Times New Roman" w:cs="Arial"/>
          <w:color w:val="000000"/>
          <w:lang w:eastAsia="bg-BG"/>
        </w:rPr>
        <w:t xml:space="preserve">Общо </w:t>
      </w:r>
      <w:r w:rsidR="0022136D" w:rsidRPr="0022136D">
        <w:rPr>
          <w:rFonts w:eastAsia="Times New Roman" w:cs="Arial"/>
          <w:color w:val="000000"/>
          <w:lang w:val="en-US"/>
        </w:rPr>
        <w:t xml:space="preserve">335 </w:t>
      </w:r>
      <w:r>
        <w:rPr>
          <w:rFonts w:eastAsia="Times New Roman" w:cs="Arial"/>
          <w:color w:val="000000"/>
          <w:lang w:eastAsia="bg-BG"/>
        </w:rPr>
        <w:t>пациентки в рамото на</w:t>
      </w:r>
      <w:r w:rsidR="0022136D" w:rsidRPr="0022136D">
        <w:rPr>
          <w:rFonts w:eastAsia="Times New Roman" w:cs="Arial"/>
          <w:color w:val="000000"/>
          <w:lang w:eastAsia="bg-BG"/>
        </w:rPr>
        <w:t xml:space="preserve"> фулвестрант</w:t>
      </w:r>
      <w:r>
        <w:rPr>
          <w:rFonts w:eastAsia="Times New Roman" w:cs="Arial"/>
          <w:color w:val="000000"/>
          <w:lang w:eastAsia="bg-BG"/>
        </w:rPr>
        <w:t xml:space="preserve"> плюс палбоциклиб и 166 пациент</w:t>
      </w:r>
      <w:r w:rsidR="0022136D" w:rsidRPr="0022136D">
        <w:rPr>
          <w:rFonts w:eastAsia="Times New Roman" w:cs="Arial"/>
          <w:color w:val="000000"/>
          <w:lang w:eastAsia="bg-BG"/>
        </w:rPr>
        <w:t xml:space="preserve">и в рамото </w:t>
      </w:r>
      <w:r>
        <w:rPr>
          <w:rFonts w:eastAsia="Times New Roman" w:cs="Arial"/>
          <w:color w:val="000000"/>
          <w:lang w:eastAsia="bg-BG"/>
        </w:rPr>
        <w:t xml:space="preserve">на </w:t>
      </w:r>
      <w:r w:rsidR="0022136D" w:rsidRPr="0022136D">
        <w:rPr>
          <w:rFonts w:eastAsia="Times New Roman" w:cs="Arial"/>
          <w:color w:val="000000"/>
          <w:lang w:eastAsia="bg-BG"/>
        </w:rPr>
        <w:t>фулвестрант плюс плацебо са попълнили въпросника на изходно ниво и при поне едно посещение след изходно ниво.</w:t>
      </w:r>
      <w:r w:rsidR="0022136D" w:rsidRPr="0022136D">
        <w:rPr>
          <w:rFonts w:eastAsia="Times New Roman" w:cs="Arial"/>
          <w:smallCaps/>
          <w:color w:val="000000"/>
          <w:lang w:eastAsia="bg-BG"/>
        </w:rPr>
        <w:t xml:space="preserve"> </w:t>
      </w:r>
    </w:p>
    <w:p w14:paraId="39DC8197" w14:textId="77777777" w:rsidR="0022136D" w:rsidRPr="0022136D" w:rsidRDefault="0022136D" w:rsidP="0022136D">
      <w:pPr>
        <w:rPr>
          <w:rFonts w:eastAsia="Times New Roman" w:cs="Arial"/>
          <w:smallCaps/>
          <w:color w:val="000000"/>
          <w:lang w:eastAsia="bg-BG"/>
        </w:rPr>
      </w:pPr>
    </w:p>
    <w:p w14:paraId="2D76B981" w14:textId="793E2263" w:rsidR="0022136D" w:rsidRPr="0022136D" w:rsidRDefault="0022136D" w:rsidP="0022136D">
      <w:pPr>
        <w:rPr>
          <w:rFonts w:ascii="Times New Roman" w:eastAsia="Times New Roman" w:hAnsi="Times New Roman" w:cs="Times New Roman"/>
          <w:sz w:val="24"/>
          <w:szCs w:val="24"/>
          <w:lang w:eastAsia="bg-BG"/>
        </w:rPr>
      </w:pPr>
      <w:r w:rsidRPr="0022136D">
        <w:rPr>
          <w:rFonts w:eastAsia="Times New Roman" w:cs="Arial"/>
          <w:color w:val="000000"/>
          <w:lang w:eastAsia="bg-BG"/>
        </w:rPr>
        <w:t>Времето до влошаване е предварително определено като времето между изходното ниво и първата проява на увеличение ≥ 10 точки спрямо изходното ниво в скоровете на симптома болка. Добавянето на палбоциклиб към фулвестрант води до полза по отношение на симптомите чрез значително удължаване на вр</w:t>
      </w:r>
      <w:r>
        <w:rPr>
          <w:rFonts w:eastAsia="Times New Roman" w:cs="Arial"/>
          <w:color w:val="000000"/>
          <w:lang w:eastAsia="bg-BG"/>
        </w:rPr>
        <w:t>емето до влошаване на симптома б</w:t>
      </w:r>
      <w:r w:rsidRPr="0022136D">
        <w:rPr>
          <w:rFonts w:eastAsia="Times New Roman" w:cs="Arial"/>
          <w:color w:val="000000"/>
          <w:lang w:eastAsia="bg-BG"/>
        </w:rPr>
        <w:t>олка в</w:t>
      </w:r>
      <w:r>
        <w:rPr>
          <w:rFonts w:eastAsia="Times New Roman" w:cs="Arial"/>
          <w:color w:val="000000"/>
          <w:lang w:eastAsia="bg-BG"/>
        </w:rPr>
        <w:t xml:space="preserve"> </w:t>
      </w:r>
      <w:r w:rsidRPr="0022136D">
        <w:rPr>
          <w:rFonts w:eastAsia="Times New Roman" w:cs="Arial"/>
          <w:color w:val="000000"/>
          <w:lang w:eastAsia="bg-BG"/>
        </w:rPr>
        <w:t xml:space="preserve">сравнение с фулвестрант плюс плацебо (средно 8,0 месеца спрямо 2,8 месеца; </w:t>
      </w:r>
      <w:r w:rsidRPr="0022136D">
        <w:rPr>
          <w:rFonts w:eastAsia="Times New Roman" w:cs="Arial"/>
          <w:color w:val="000000"/>
          <w:lang w:val="en-US"/>
        </w:rPr>
        <w:t xml:space="preserve">HR </w:t>
      </w:r>
      <w:r w:rsidR="00722B5E">
        <w:rPr>
          <w:rFonts w:eastAsia="Times New Roman" w:cs="Arial"/>
          <w:color w:val="000000"/>
          <w:lang w:eastAsia="bg-BG"/>
        </w:rPr>
        <w:t xml:space="preserve">0,64 [95% </w:t>
      </w:r>
      <w:r w:rsidR="00722B5E">
        <w:rPr>
          <w:rFonts w:eastAsia="Times New Roman" w:cs="Arial"/>
          <w:color w:val="000000"/>
          <w:lang w:val="en-US" w:eastAsia="bg-BG"/>
        </w:rPr>
        <w:t>CI</w:t>
      </w:r>
      <w:r w:rsidRPr="0022136D">
        <w:rPr>
          <w:rFonts w:eastAsia="Times New Roman" w:cs="Arial"/>
          <w:color w:val="000000"/>
          <w:lang w:eastAsia="bg-BG"/>
        </w:rPr>
        <w:t xml:space="preserve"> 0,49, 0,85]; р &lt; 0,001).</w:t>
      </w:r>
    </w:p>
    <w:p w14:paraId="09026A80" w14:textId="77777777" w:rsidR="0022136D" w:rsidRDefault="0022136D" w:rsidP="0022136D">
      <w:pPr>
        <w:spacing w:line="240" w:lineRule="auto"/>
        <w:rPr>
          <w:rFonts w:ascii="Times New Roman" w:eastAsia="Times New Roman" w:hAnsi="Times New Roman" w:cs="Times New Roman"/>
          <w:i/>
          <w:iCs/>
          <w:color w:val="000000"/>
          <w:lang w:eastAsia="bg-BG"/>
        </w:rPr>
      </w:pPr>
    </w:p>
    <w:p w14:paraId="3EB7485B" w14:textId="2E0B77DF" w:rsidR="0022136D" w:rsidRPr="0022136D" w:rsidRDefault="0022136D" w:rsidP="0022136D">
      <w:pPr>
        <w:spacing w:line="240" w:lineRule="auto"/>
        <w:rPr>
          <w:rFonts w:eastAsia="Times New Roman" w:cs="Arial"/>
          <w:sz w:val="24"/>
          <w:szCs w:val="24"/>
          <w:lang w:eastAsia="bg-BG"/>
        </w:rPr>
      </w:pPr>
      <w:r w:rsidRPr="0022136D">
        <w:rPr>
          <w:rFonts w:eastAsia="Times New Roman" w:cs="Arial"/>
          <w:i/>
          <w:iCs/>
          <w:color w:val="000000"/>
          <w:lang w:eastAsia="bg-BG"/>
        </w:rPr>
        <w:t>Ефекти върху постменопаузалния ендометриум</w:t>
      </w:r>
    </w:p>
    <w:p w14:paraId="185F9145" w14:textId="20A22662" w:rsidR="0022136D" w:rsidRPr="0022136D" w:rsidRDefault="0022136D" w:rsidP="0022136D">
      <w:pPr>
        <w:spacing w:line="240" w:lineRule="auto"/>
        <w:rPr>
          <w:rFonts w:eastAsia="Times New Roman" w:cs="Arial"/>
          <w:sz w:val="24"/>
          <w:szCs w:val="24"/>
          <w:lang w:eastAsia="bg-BG"/>
        </w:rPr>
      </w:pPr>
      <w:r w:rsidRPr="0022136D">
        <w:rPr>
          <w:rFonts w:eastAsia="Times New Roman" w:cs="Arial"/>
          <w:color w:val="000000"/>
          <w:lang w:eastAsia="bg-BG"/>
        </w:rPr>
        <w:t>Предклиничните данни не предполагат стимулиращ ефект на фулвестрант върху постменопаузалния ендометриум (вж. точка 5</w:t>
      </w:r>
      <w:r w:rsidR="00722B5E">
        <w:rPr>
          <w:rFonts w:eastAsia="Times New Roman" w:cs="Arial"/>
          <w:color w:val="000000"/>
          <w:lang w:val="en-US" w:eastAsia="bg-BG"/>
        </w:rPr>
        <w:t>.</w:t>
      </w:r>
      <w:r w:rsidRPr="0022136D">
        <w:rPr>
          <w:rFonts w:eastAsia="Times New Roman" w:cs="Arial"/>
          <w:color w:val="000000"/>
          <w:lang w:eastAsia="bg-BG"/>
        </w:rPr>
        <w:t>3</w:t>
      </w:r>
      <w:r w:rsidR="00722B5E">
        <w:rPr>
          <w:rFonts w:eastAsia="Times New Roman" w:cs="Arial"/>
          <w:color w:val="000000"/>
          <w:lang w:val="en-US" w:eastAsia="bg-BG"/>
        </w:rPr>
        <w:t>.</w:t>
      </w:r>
      <w:r w:rsidRPr="0022136D">
        <w:rPr>
          <w:rFonts w:eastAsia="Times New Roman" w:cs="Arial"/>
          <w:color w:val="000000"/>
          <w:lang w:eastAsia="bg-BG"/>
        </w:rPr>
        <w:t xml:space="preserve">). Двуседмично проучване при здрави постменопаузални </w:t>
      </w:r>
      <w:r w:rsidR="00C23C68">
        <w:rPr>
          <w:rFonts w:eastAsia="Times New Roman" w:cs="Arial"/>
          <w:color w:val="000000"/>
          <w:lang w:eastAsia="bg-BG"/>
        </w:rPr>
        <w:t xml:space="preserve">жени доброволци, лекувани с 20 </w:t>
      </w:r>
      <w:r w:rsidR="00C23C68" w:rsidRPr="00C23C68">
        <w:rPr>
          <w:rFonts w:cs="Arial"/>
          <w:color w:val="202122"/>
          <w:shd w:val="clear" w:color="auto" w:fill="F8F9FA"/>
        </w:rPr>
        <w:t>μ</w:t>
      </w:r>
      <w:r w:rsidR="00C23C68" w:rsidRPr="00C23C68">
        <w:rPr>
          <w:rFonts w:cs="Arial"/>
          <w:color w:val="202122"/>
          <w:shd w:val="clear" w:color="auto" w:fill="F8F9FA"/>
          <w:lang w:val="en-US"/>
        </w:rPr>
        <w:t>g</w:t>
      </w:r>
      <w:r w:rsidRPr="0022136D">
        <w:rPr>
          <w:rFonts w:eastAsia="Times New Roman" w:cs="Arial"/>
          <w:color w:val="000000"/>
          <w:lang w:eastAsia="bg-BG"/>
        </w:rPr>
        <w:t xml:space="preserve"> етинилестрадиол дневно показва, че предварителна терапия с фулвестрант 250 </w:t>
      </w:r>
      <w:r w:rsidRPr="0022136D">
        <w:rPr>
          <w:rFonts w:eastAsia="Times New Roman" w:cs="Arial"/>
          <w:color w:val="000000"/>
          <w:lang w:val="en-US"/>
        </w:rPr>
        <w:t xml:space="preserve">mg </w:t>
      </w:r>
      <w:r w:rsidRPr="0022136D">
        <w:rPr>
          <w:rFonts w:eastAsia="Times New Roman" w:cs="Arial"/>
          <w:color w:val="000000"/>
          <w:lang w:eastAsia="bg-BG"/>
        </w:rPr>
        <w:t>води до значително понижена стимулация на постменопаузалния ендометриум в сравнение с предварително третиране с плацебо, установено чрез ултразвуково измерване на дебелината на ендометриума.</w:t>
      </w:r>
    </w:p>
    <w:p w14:paraId="4C4C815C" w14:textId="77777777" w:rsidR="0022136D" w:rsidRPr="0022136D" w:rsidRDefault="0022136D" w:rsidP="0022136D">
      <w:pPr>
        <w:spacing w:line="240" w:lineRule="auto"/>
        <w:rPr>
          <w:rFonts w:eastAsia="Times New Roman" w:cs="Arial"/>
          <w:color w:val="000000"/>
          <w:lang w:eastAsia="bg-BG"/>
        </w:rPr>
      </w:pPr>
    </w:p>
    <w:p w14:paraId="2554BF1D" w14:textId="06F0507D" w:rsidR="0022136D" w:rsidRPr="0022136D" w:rsidRDefault="0022136D" w:rsidP="0022136D">
      <w:pPr>
        <w:spacing w:line="240" w:lineRule="auto"/>
        <w:rPr>
          <w:rFonts w:eastAsia="Times New Roman" w:cs="Arial"/>
          <w:sz w:val="24"/>
          <w:szCs w:val="24"/>
          <w:lang w:eastAsia="bg-BG"/>
        </w:rPr>
      </w:pPr>
      <w:r w:rsidRPr="0022136D">
        <w:rPr>
          <w:rFonts w:eastAsia="Times New Roman" w:cs="Arial"/>
          <w:color w:val="000000"/>
          <w:lang w:eastAsia="bg-BG"/>
        </w:rPr>
        <w:t xml:space="preserve">Неоадювантното лечение с продължителност до 16 седмици при пациентки с рак на гърдата с фулвестрант 500 </w:t>
      </w:r>
      <w:r w:rsidRPr="0022136D">
        <w:rPr>
          <w:rFonts w:eastAsia="Times New Roman" w:cs="Arial"/>
          <w:color w:val="000000"/>
          <w:lang w:val="en-US"/>
        </w:rPr>
        <w:t xml:space="preserve">mg </w:t>
      </w:r>
      <w:r w:rsidRPr="0022136D">
        <w:rPr>
          <w:rFonts w:eastAsia="Times New Roman" w:cs="Arial"/>
          <w:color w:val="000000"/>
          <w:lang w:eastAsia="bg-BG"/>
        </w:rPr>
        <w:t xml:space="preserve">или фулвестрант 250 </w:t>
      </w:r>
      <w:r w:rsidRPr="0022136D">
        <w:rPr>
          <w:rFonts w:eastAsia="Times New Roman" w:cs="Arial"/>
          <w:color w:val="000000"/>
          <w:lang w:val="en-US"/>
        </w:rPr>
        <w:t xml:space="preserve">mg </w:t>
      </w:r>
      <w:r w:rsidRPr="0022136D">
        <w:rPr>
          <w:rFonts w:eastAsia="Times New Roman" w:cs="Arial"/>
          <w:color w:val="000000"/>
          <w:lang w:eastAsia="bg-BG"/>
        </w:rPr>
        <w:t>не води до значими промени в дебелината на ендометриума, което говори за липса на агонизъм. Няма данни за нежелани реакции по отношение на ендометриума при проучваните пациенти с рак на гърдата. Няма данни по отношение на морфологията на ендометриума.</w:t>
      </w:r>
    </w:p>
    <w:p w14:paraId="2270FE33" w14:textId="77777777" w:rsidR="0022136D" w:rsidRPr="0022136D" w:rsidRDefault="0022136D" w:rsidP="0022136D">
      <w:pPr>
        <w:spacing w:line="240" w:lineRule="auto"/>
        <w:rPr>
          <w:rFonts w:eastAsia="Times New Roman" w:cs="Arial"/>
          <w:color w:val="000000"/>
          <w:lang w:eastAsia="bg-BG"/>
        </w:rPr>
      </w:pPr>
    </w:p>
    <w:p w14:paraId="3F34741B" w14:textId="3CBC64BA" w:rsidR="0022136D" w:rsidRPr="0022136D" w:rsidRDefault="0022136D" w:rsidP="0022136D">
      <w:pPr>
        <w:spacing w:line="240" w:lineRule="auto"/>
        <w:rPr>
          <w:rFonts w:eastAsia="Times New Roman" w:cs="Arial"/>
          <w:sz w:val="24"/>
          <w:szCs w:val="24"/>
          <w:lang w:eastAsia="bg-BG"/>
        </w:rPr>
      </w:pPr>
      <w:r w:rsidRPr="0022136D">
        <w:rPr>
          <w:rFonts w:eastAsia="Times New Roman" w:cs="Arial"/>
          <w:color w:val="000000"/>
          <w:lang w:eastAsia="bg-BG"/>
        </w:rPr>
        <w:t>При две краткосрочни проучвания (1 и 12 седмици) при пременопаузални пациентки с доброкачествено гинекологично заболяване, между групите на фулвестрант и плацебо не са наблюдавани значими разлики в ехографски измерената дебелина на ендометриума.</w:t>
      </w:r>
    </w:p>
    <w:p w14:paraId="6565A177" w14:textId="77777777" w:rsidR="0022136D" w:rsidRPr="0022136D" w:rsidRDefault="0022136D" w:rsidP="0022136D">
      <w:pPr>
        <w:spacing w:line="240" w:lineRule="auto"/>
        <w:rPr>
          <w:rFonts w:eastAsia="Times New Roman" w:cs="Arial"/>
          <w:i/>
          <w:iCs/>
          <w:color w:val="000000"/>
          <w:lang w:eastAsia="bg-BG"/>
        </w:rPr>
      </w:pPr>
    </w:p>
    <w:p w14:paraId="5A570EF7" w14:textId="59672790" w:rsidR="0022136D" w:rsidRPr="0022136D" w:rsidRDefault="0022136D" w:rsidP="0022136D">
      <w:pPr>
        <w:spacing w:line="240" w:lineRule="auto"/>
        <w:rPr>
          <w:rFonts w:eastAsia="Times New Roman" w:cs="Arial"/>
          <w:sz w:val="24"/>
          <w:szCs w:val="24"/>
          <w:lang w:eastAsia="bg-BG"/>
        </w:rPr>
      </w:pPr>
      <w:r w:rsidRPr="0022136D">
        <w:rPr>
          <w:rFonts w:eastAsia="Times New Roman" w:cs="Arial"/>
          <w:i/>
          <w:iCs/>
          <w:color w:val="000000"/>
          <w:lang w:eastAsia="bg-BG"/>
        </w:rPr>
        <w:t>Ефекти върху костите</w:t>
      </w:r>
    </w:p>
    <w:p w14:paraId="58E60DCB" w14:textId="77777777" w:rsidR="0022136D" w:rsidRPr="0022136D" w:rsidRDefault="0022136D" w:rsidP="0022136D">
      <w:pPr>
        <w:spacing w:line="240" w:lineRule="auto"/>
        <w:rPr>
          <w:rFonts w:eastAsia="Times New Roman" w:cs="Arial"/>
          <w:sz w:val="24"/>
          <w:szCs w:val="24"/>
          <w:lang w:eastAsia="bg-BG"/>
        </w:rPr>
      </w:pPr>
      <w:r w:rsidRPr="0022136D">
        <w:rPr>
          <w:rFonts w:eastAsia="Times New Roman" w:cs="Arial"/>
          <w:color w:val="000000"/>
          <w:lang w:eastAsia="bg-BG"/>
        </w:rPr>
        <w:t xml:space="preserve">Няма дългосрочни клинични данни за ефекта на фулвестрант върху костите. Неоадювантното лечение с продължителност до 16 седмици при пациенти с рак на гърдата с фулвестрант 500 </w:t>
      </w:r>
      <w:r w:rsidRPr="0022136D">
        <w:rPr>
          <w:rFonts w:eastAsia="Times New Roman" w:cs="Arial"/>
          <w:color w:val="000000"/>
          <w:lang w:val="en-US"/>
        </w:rPr>
        <w:t xml:space="preserve">mg </w:t>
      </w:r>
      <w:r w:rsidRPr="0022136D">
        <w:rPr>
          <w:rFonts w:eastAsia="Times New Roman" w:cs="Arial"/>
          <w:color w:val="000000"/>
          <w:lang w:eastAsia="bg-BG"/>
        </w:rPr>
        <w:t xml:space="preserve">или фулвестрант 250 </w:t>
      </w:r>
      <w:r w:rsidRPr="0022136D">
        <w:rPr>
          <w:rFonts w:eastAsia="Times New Roman" w:cs="Arial"/>
          <w:color w:val="000000"/>
          <w:lang w:val="en-US"/>
        </w:rPr>
        <w:t xml:space="preserve">mg </w:t>
      </w:r>
      <w:r w:rsidRPr="0022136D">
        <w:rPr>
          <w:rFonts w:eastAsia="Times New Roman" w:cs="Arial"/>
          <w:color w:val="000000"/>
          <w:lang w:eastAsia="bg-BG"/>
        </w:rPr>
        <w:t>не води до клинично значими промени в стойностите на серумните маркери на костния обмен.</w:t>
      </w:r>
    </w:p>
    <w:p w14:paraId="2429246D" w14:textId="77777777" w:rsidR="0022136D" w:rsidRPr="0022136D" w:rsidRDefault="0022136D" w:rsidP="0022136D">
      <w:pPr>
        <w:spacing w:line="240" w:lineRule="auto"/>
        <w:rPr>
          <w:rFonts w:eastAsia="Times New Roman" w:cs="Arial"/>
          <w:color w:val="000000"/>
          <w:u w:val="single"/>
          <w:lang w:eastAsia="bg-BG"/>
        </w:rPr>
      </w:pPr>
    </w:p>
    <w:p w14:paraId="0CAC0C73" w14:textId="34365A0B" w:rsidR="0022136D" w:rsidRPr="0022136D" w:rsidRDefault="0022136D" w:rsidP="0022136D">
      <w:pPr>
        <w:spacing w:line="240" w:lineRule="auto"/>
        <w:rPr>
          <w:rFonts w:eastAsia="Times New Roman" w:cs="Arial"/>
          <w:sz w:val="24"/>
          <w:szCs w:val="24"/>
          <w:lang w:eastAsia="bg-BG"/>
        </w:rPr>
      </w:pPr>
      <w:r w:rsidRPr="0022136D">
        <w:rPr>
          <w:rFonts w:eastAsia="Times New Roman" w:cs="Arial"/>
          <w:color w:val="000000"/>
          <w:u w:val="single"/>
          <w:lang w:eastAsia="bg-BG"/>
        </w:rPr>
        <w:t>Педиатрична популация</w:t>
      </w:r>
    </w:p>
    <w:p w14:paraId="3F665A3D" w14:textId="72EFCEE8" w:rsidR="0022136D" w:rsidRPr="0022136D" w:rsidRDefault="0022136D" w:rsidP="0022136D">
      <w:pPr>
        <w:spacing w:line="240" w:lineRule="auto"/>
        <w:rPr>
          <w:rFonts w:eastAsia="Times New Roman" w:cs="Arial"/>
          <w:sz w:val="24"/>
          <w:szCs w:val="24"/>
          <w:lang w:eastAsia="bg-BG"/>
        </w:rPr>
      </w:pPr>
      <w:r w:rsidRPr="0022136D">
        <w:rPr>
          <w:rFonts w:eastAsia="Times New Roman" w:cs="Arial"/>
          <w:color w:val="000000"/>
          <w:lang w:eastAsia="bg-BG"/>
        </w:rPr>
        <w:t xml:space="preserve">Фулвестрант не е показан за употреба при деца. Европейската агенция по лекарствата освобождава от задължението за предоставяне на резултатите от проучванията с </w:t>
      </w:r>
      <w:r w:rsidR="00C23C68">
        <w:rPr>
          <w:rFonts w:eastAsia="Times New Roman" w:cs="Arial"/>
          <w:color w:val="000000"/>
          <w:lang w:eastAsia="bg-BG"/>
        </w:rPr>
        <w:t>референтния лекарствен продукт, съдържащ фулвестрант</w:t>
      </w:r>
      <w:r w:rsidRPr="0022136D">
        <w:rPr>
          <w:rFonts w:eastAsia="Times New Roman" w:cs="Arial"/>
          <w:color w:val="000000"/>
          <w:lang w:eastAsia="bg-BG"/>
        </w:rPr>
        <w:t xml:space="preserve"> във всички подгрупи на педиатричната популация за рак на гърдата (вж. точка 4.2 за информация относно педиатричната употреба).</w:t>
      </w:r>
    </w:p>
    <w:p w14:paraId="402747C9" w14:textId="77777777" w:rsidR="00C23C68" w:rsidRDefault="00C23C68" w:rsidP="0022136D">
      <w:pPr>
        <w:rPr>
          <w:rFonts w:eastAsia="Times New Roman" w:cs="Arial"/>
          <w:color w:val="000000"/>
          <w:lang w:eastAsia="bg-BG"/>
        </w:rPr>
      </w:pPr>
    </w:p>
    <w:p w14:paraId="01F0EF11" w14:textId="692EB6CA" w:rsidR="0022136D" w:rsidRPr="0022136D" w:rsidRDefault="0022136D" w:rsidP="0022136D">
      <w:pPr>
        <w:rPr>
          <w:rFonts w:cs="Arial"/>
        </w:rPr>
      </w:pPr>
      <w:r w:rsidRPr="0022136D">
        <w:rPr>
          <w:rFonts w:eastAsia="Times New Roman" w:cs="Arial"/>
          <w:color w:val="000000"/>
          <w:lang w:eastAsia="bg-BG"/>
        </w:rPr>
        <w:t xml:space="preserve">Открито, фаза II проучване проследява безопасността, ефикасността и фармакокинетиката на фулвестрант при 30 момичета на възраст от 1 до 8 години с прогресивен преждевременен пубертет, свързан със синдром на </w:t>
      </w:r>
      <w:r w:rsidRPr="0022136D">
        <w:rPr>
          <w:rFonts w:eastAsia="Times New Roman" w:cs="Arial"/>
          <w:color w:val="000000"/>
          <w:lang w:val="en-US"/>
        </w:rPr>
        <w:t xml:space="preserve">McCune Albright (MAS). </w:t>
      </w:r>
      <w:r w:rsidRPr="0022136D">
        <w:rPr>
          <w:rFonts w:eastAsia="Times New Roman" w:cs="Arial"/>
          <w:color w:val="000000"/>
          <w:lang w:eastAsia="bg-BG"/>
        </w:rPr>
        <w:lastRenderedPageBreak/>
        <w:t xml:space="preserve">Педиатричните пациенти са получавали 4 </w:t>
      </w:r>
      <w:r w:rsidRPr="0022136D">
        <w:rPr>
          <w:rFonts w:eastAsia="Times New Roman" w:cs="Arial"/>
          <w:color w:val="000000"/>
          <w:lang w:val="en-US"/>
        </w:rPr>
        <w:t xml:space="preserve">mg/kg </w:t>
      </w:r>
      <w:r w:rsidRPr="0022136D">
        <w:rPr>
          <w:rFonts w:eastAsia="Times New Roman" w:cs="Arial"/>
          <w:color w:val="000000"/>
          <w:lang w:eastAsia="bg-BG"/>
        </w:rPr>
        <w:t xml:space="preserve">месечна интрамускулна доза фулвестрант. Това 12-месечно проучване е проследило набор от крайни точки на </w:t>
      </w:r>
      <w:r w:rsidRPr="0022136D">
        <w:rPr>
          <w:rFonts w:eastAsia="Times New Roman" w:cs="Arial"/>
          <w:color w:val="000000"/>
          <w:lang w:val="en-US"/>
        </w:rPr>
        <w:t xml:space="preserve">MAS </w:t>
      </w:r>
      <w:r w:rsidRPr="0022136D">
        <w:rPr>
          <w:rFonts w:eastAsia="Times New Roman" w:cs="Arial"/>
          <w:color w:val="000000"/>
          <w:lang w:eastAsia="bg-BG"/>
        </w:rPr>
        <w:t>и показва редуциране честотата на вагинално кървене и редуциране скоростта на увеличаване на костната възраст. Най-ниските плазмени концентрации на фулвестрант в стационарно състояние при деца в това проучване са съизмерими с тези при възрастни (вж. точка 5.2). Няма нови съображения за безопасността, възникнали в резултат на това малко проучване, но все още не са налични 5-годишните данни.</w:t>
      </w:r>
    </w:p>
    <w:p w14:paraId="7293438A" w14:textId="77777777" w:rsidR="0022136D" w:rsidRPr="0091385D" w:rsidRDefault="0022136D" w:rsidP="0091385D"/>
    <w:p w14:paraId="35F84B81" w14:textId="6423E5BB" w:rsidR="00CF77F7" w:rsidRDefault="002C50EE" w:rsidP="004A448E">
      <w:pPr>
        <w:pStyle w:val="Heading2"/>
      </w:pPr>
      <w:r>
        <w:t>5.2. Фармакокинетични свойства</w:t>
      </w:r>
    </w:p>
    <w:p w14:paraId="5031193D" w14:textId="06A21EFE" w:rsidR="0091385D" w:rsidRDefault="0091385D" w:rsidP="0091385D"/>
    <w:p w14:paraId="4F992938" w14:textId="0E838043" w:rsidR="0022136D" w:rsidRPr="0022136D" w:rsidRDefault="0022136D" w:rsidP="0022136D">
      <w:pPr>
        <w:pStyle w:val="Heading3"/>
        <w:rPr>
          <w:rFonts w:eastAsia="Times New Roman"/>
          <w:u w:val="single"/>
          <w:lang w:eastAsia="bg-BG"/>
        </w:rPr>
      </w:pPr>
      <w:r w:rsidRPr="0022136D">
        <w:rPr>
          <w:rFonts w:eastAsia="Times New Roman"/>
          <w:u w:val="single"/>
          <w:lang w:eastAsia="bg-BG"/>
        </w:rPr>
        <w:t>Абсорбция</w:t>
      </w:r>
    </w:p>
    <w:p w14:paraId="41CF21E9" w14:textId="77777777" w:rsidR="0022136D" w:rsidRPr="0022136D" w:rsidRDefault="0022136D" w:rsidP="0022136D">
      <w:pPr>
        <w:spacing w:line="240" w:lineRule="auto"/>
        <w:rPr>
          <w:rFonts w:eastAsia="Times New Roman" w:cs="Arial"/>
          <w:sz w:val="24"/>
          <w:szCs w:val="24"/>
          <w:lang w:eastAsia="bg-BG"/>
        </w:rPr>
      </w:pPr>
      <w:r w:rsidRPr="0022136D">
        <w:rPr>
          <w:rFonts w:eastAsia="Times New Roman" w:cs="Arial"/>
          <w:color w:val="000000"/>
          <w:lang w:eastAsia="bg-BG"/>
        </w:rPr>
        <w:t>След приложение на дългодействащия фулвестрант като интрамускулна инжекция, фулвестрант се резорбира бавно, а максималните плазмени концентрации (С</w:t>
      </w:r>
      <w:r w:rsidRPr="0022136D">
        <w:rPr>
          <w:rFonts w:eastAsia="Times New Roman" w:cs="Arial"/>
          <w:color w:val="000000"/>
          <w:vertAlign w:val="subscript"/>
          <w:lang w:val="en-US"/>
        </w:rPr>
        <w:t>max</w:t>
      </w:r>
      <w:r w:rsidRPr="0022136D">
        <w:rPr>
          <w:rFonts w:eastAsia="Times New Roman" w:cs="Arial"/>
          <w:color w:val="000000"/>
          <w:lang w:eastAsia="bg-BG"/>
        </w:rPr>
        <w:t xml:space="preserve">) се достигат след около 5 дни. При приложение на фулвестрант 500 </w:t>
      </w:r>
      <w:r w:rsidRPr="0022136D">
        <w:rPr>
          <w:rFonts w:eastAsia="Times New Roman" w:cs="Arial"/>
          <w:color w:val="000000"/>
          <w:lang w:val="en-US"/>
        </w:rPr>
        <w:t xml:space="preserve">mg </w:t>
      </w:r>
      <w:r w:rsidRPr="0022136D">
        <w:rPr>
          <w:rFonts w:eastAsia="Times New Roman" w:cs="Arial"/>
          <w:color w:val="000000"/>
          <w:lang w:eastAsia="bg-BG"/>
        </w:rPr>
        <w:t xml:space="preserve">още през първия месец се достигат експозиции, равни на или близки до тези при стационарно състояние (средни </w:t>
      </w:r>
      <w:r w:rsidRPr="0022136D">
        <w:rPr>
          <w:rFonts w:eastAsia="Times New Roman" w:cs="Arial"/>
          <w:color w:val="000000"/>
          <w:lang w:val="en-US"/>
        </w:rPr>
        <w:t xml:space="preserve">[CV]: </w:t>
      </w:r>
      <w:r w:rsidRPr="0022136D">
        <w:rPr>
          <w:rFonts w:eastAsia="Times New Roman" w:cs="Arial"/>
          <w:color w:val="000000"/>
          <w:lang w:eastAsia="bg-BG"/>
        </w:rPr>
        <w:t xml:space="preserve">съответно </w:t>
      </w:r>
      <w:r w:rsidRPr="0022136D">
        <w:rPr>
          <w:rFonts w:eastAsia="Times New Roman" w:cs="Arial"/>
          <w:color w:val="000000"/>
          <w:lang w:val="en-US"/>
        </w:rPr>
        <w:t xml:space="preserve">AUC </w:t>
      </w:r>
      <w:r w:rsidRPr="0022136D">
        <w:rPr>
          <w:rFonts w:eastAsia="Times New Roman" w:cs="Arial"/>
          <w:color w:val="000000"/>
          <w:lang w:eastAsia="bg-BG"/>
        </w:rPr>
        <w:t xml:space="preserve">475 [33,4%] </w:t>
      </w:r>
      <w:r w:rsidRPr="0022136D">
        <w:rPr>
          <w:rFonts w:eastAsia="Times New Roman" w:cs="Arial"/>
          <w:color w:val="000000"/>
          <w:lang w:val="en-US"/>
        </w:rPr>
        <w:t xml:space="preserve">ng </w:t>
      </w:r>
      <w:r w:rsidRPr="0022136D">
        <w:rPr>
          <w:rFonts w:eastAsia="Times New Roman" w:cs="Arial"/>
          <w:color w:val="000000"/>
          <w:lang w:eastAsia="bg-BG"/>
        </w:rPr>
        <w:t>дни</w:t>
      </w:r>
      <w:r w:rsidRPr="0022136D">
        <w:rPr>
          <w:rFonts w:eastAsia="Times New Roman" w:cs="Arial"/>
          <w:color w:val="000000"/>
          <w:lang w:val="en-US"/>
        </w:rPr>
        <w:t xml:space="preserve">/ml, </w:t>
      </w:r>
      <w:proofErr w:type="spellStart"/>
      <w:r w:rsidRPr="0022136D">
        <w:rPr>
          <w:rFonts w:eastAsia="Times New Roman" w:cs="Arial"/>
          <w:color w:val="000000"/>
          <w:lang w:val="en-US"/>
        </w:rPr>
        <w:t>Cmax</w:t>
      </w:r>
      <w:proofErr w:type="spellEnd"/>
      <w:r w:rsidRPr="0022136D">
        <w:rPr>
          <w:rFonts w:eastAsia="Times New Roman" w:cs="Arial"/>
          <w:color w:val="000000"/>
          <w:lang w:val="en-US"/>
        </w:rPr>
        <w:t xml:space="preserve"> 25,l </w:t>
      </w:r>
      <w:r w:rsidRPr="0022136D">
        <w:rPr>
          <w:rFonts w:eastAsia="Times New Roman" w:cs="Arial"/>
          <w:color w:val="000000"/>
          <w:lang w:eastAsia="bg-BG"/>
        </w:rPr>
        <w:t xml:space="preserve">[35,1%] </w:t>
      </w:r>
      <w:r w:rsidRPr="0022136D">
        <w:rPr>
          <w:rFonts w:eastAsia="Times New Roman" w:cs="Arial"/>
          <w:color w:val="000000"/>
          <w:lang w:val="en-US"/>
        </w:rPr>
        <w:t xml:space="preserve">ng/ml, </w:t>
      </w:r>
      <w:proofErr w:type="spellStart"/>
      <w:r w:rsidRPr="0022136D">
        <w:rPr>
          <w:rFonts w:eastAsia="Times New Roman" w:cs="Arial"/>
          <w:color w:val="000000"/>
          <w:lang w:val="en-US"/>
        </w:rPr>
        <w:t>Cmin</w:t>
      </w:r>
      <w:proofErr w:type="spellEnd"/>
      <w:r w:rsidRPr="0022136D">
        <w:rPr>
          <w:rFonts w:eastAsia="Times New Roman" w:cs="Arial"/>
          <w:color w:val="000000"/>
          <w:lang w:val="en-US"/>
        </w:rPr>
        <w:t xml:space="preserve"> 16,3 [25,9%] ng/ml). </w:t>
      </w:r>
      <w:r w:rsidRPr="0022136D">
        <w:rPr>
          <w:rFonts w:eastAsia="Times New Roman" w:cs="Arial"/>
          <w:color w:val="000000"/>
          <w:lang w:eastAsia="bg-BG"/>
        </w:rPr>
        <w:t>При стационарно състояние плазмената концентрация на фулвестрант се поддържа в сравнително тесен диапазон</w:t>
      </w:r>
      <w:r w:rsidRPr="00C23C68">
        <w:rPr>
          <w:rFonts w:eastAsia="Times New Roman" w:cs="Arial"/>
          <w:color w:val="000000"/>
          <w:lang w:eastAsia="bg-BG"/>
        </w:rPr>
        <w:t xml:space="preserve"> </w:t>
      </w:r>
      <w:r w:rsidRPr="0022136D">
        <w:rPr>
          <w:rFonts w:eastAsia="Times New Roman" w:cs="Arial"/>
          <w:color w:val="000000"/>
          <w:lang w:eastAsia="bg-BG"/>
        </w:rPr>
        <w:t xml:space="preserve">с приблизително до 3-кратна разлика между максималните и най-ниските концентрации. След интрамускулно приложение, експозицията е приблизително пропорционална на дозата в дозовия диапазон от 50 до 500 </w:t>
      </w:r>
      <w:r w:rsidRPr="0022136D">
        <w:rPr>
          <w:rFonts w:eastAsia="Times New Roman" w:cs="Arial"/>
          <w:color w:val="000000"/>
          <w:lang w:val="en-US"/>
        </w:rPr>
        <w:t>mg.</w:t>
      </w:r>
    </w:p>
    <w:p w14:paraId="4254B5F2" w14:textId="77777777" w:rsidR="0022136D" w:rsidRPr="0022136D" w:rsidRDefault="0022136D" w:rsidP="0022136D">
      <w:pPr>
        <w:spacing w:line="240" w:lineRule="auto"/>
        <w:rPr>
          <w:rFonts w:eastAsia="Times New Roman" w:cs="Arial"/>
          <w:sz w:val="24"/>
          <w:szCs w:val="24"/>
          <w:lang w:eastAsia="bg-BG"/>
        </w:rPr>
      </w:pPr>
    </w:p>
    <w:p w14:paraId="148BA3FC" w14:textId="46D4D7A3" w:rsidR="0091385D" w:rsidRPr="0022136D" w:rsidRDefault="0022136D" w:rsidP="0022136D">
      <w:pPr>
        <w:pStyle w:val="Heading3"/>
        <w:rPr>
          <w:u w:val="single"/>
        </w:rPr>
      </w:pPr>
      <w:r w:rsidRPr="0022136D">
        <w:rPr>
          <w:rFonts w:eastAsia="Times New Roman"/>
          <w:u w:val="single"/>
          <w:lang w:eastAsia="bg-BG"/>
        </w:rPr>
        <w:t>Разпределение</w:t>
      </w:r>
    </w:p>
    <w:p w14:paraId="6FA80B27" w14:textId="77777777" w:rsidR="0022136D" w:rsidRPr="0022136D" w:rsidRDefault="0022136D" w:rsidP="0022136D">
      <w:pPr>
        <w:spacing w:line="240" w:lineRule="auto"/>
        <w:rPr>
          <w:rFonts w:eastAsia="Times New Roman" w:cs="Arial"/>
          <w:sz w:val="24"/>
          <w:szCs w:val="24"/>
          <w:lang w:eastAsia="bg-BG"/>
        </w:rPr>
      </w:pPr>
      <w:r w:rsidRPr="0022136D">
        <w:rPr>
          <w:rFonts w:eastAsia="Times New Roman" w:cs="Arial"/>
          <w:color w:val="000000"/>
          <w:lang w:eastAsia="bg-BG"/>
        </w:rPr>
        <w:t xml:space="preserve">Фулвестрант има бързо и широко разпределение. Големият привиден обем на разпределение </w:t>
      </w:r>
      <w:r w:rsidRPr="0022136D">
        <w:rPr>
          <w:rFonts w:eastAsia="Times New Roman" w:cs="Arial"/>
          <w:color w:val="000000"/>
          <w:lang w:val="en-US"/>
        </w:rPr>
        <w:t>(</w:t>
      </w:r>
      <w:proofErr w:type="spellStart"/>
      <w:r w:rsidRPr="0022136D">
        <w:rPr>
          <w:rFonts w:eastAsia="Times New Roman" w:cs="Arial"/>
          <w:color w:val="000000"/>
          <w:lang w:val="en-US"/>
        </w:rPr>
        <w:t>Vdss</w:t>
      </w:r>
      <w:proofErr w:type="spellEnd"/>
      <w:r w:rsidRPr="0022136D">
        <w:rPr>
          <w:rFonts w:eastAsia="Times New Roman" w:cs="Arial"/>
          <w:color w:val="000000"/>
          <w:lang w:val="en-US"/>
        </w:rPr>
        <w:t xml:space="preserve">) </w:t>
      </w:r>
      <w:r w:rsidRPr="0022136D">
        <w:rPr>
          <w:rFonts w:eastAsia="Times New Roman" w:cs="Arial"/>
          <w:color w:val="000000"/>
          <w:lang w:eastAsia="bg-BG"/>
        </w:rPr>
        <w:t xml:space="preserve">при стационарно състояние - приблизително 3 до 5 </w:t>
      </w:r>
      <w:r w:rsidRPr="0022136D">
        <w:rPr>
          <w:rFonts w:eastAsia="Times New Roman" w:cs="Arial"/>
          <w:color w:val="000000"/>
          <w:lang w:val="en-US"/>
        </w:rPr>
        <w:t xml:space="preserve">l/kg, </w:t>
      </w:r>
      <w:r w:rsidRPr="0022136D">
        <w:rPr>
          <w:rFonts w:eastAsia="Times New Roman" w:cs="Arial"/>
          <w:color w:val="000000"/>
          <w:lang w:eastAsia="bg-BG"/>
        </w:rPr>
        <w:t xml:space="preserve">предполага, че разпределението е главно екстраваскуларно. Фулвестрант се свързва в голяма степен (99%) с плазмените протеини. Липопротеините с много ниска плътност </w:t>
      </w:r>
      <w:r w:rsidRPr="0022136D">
        <w:rPr>
          <w:rFonts w:eastAsia="Times New Roman" w:cs="Arial"/>
          <w:color w:val="000000"/>
          <w:lang w:val="en-US"/>
        </w:rPr>
        <w:t xml:space="preserve">(VLDL), </w:t>
      </w:r>
      <w:r w:rsidRPr="0022136D">
        <w:rPr>
          <w:rFonts w:eastAsia="Times New Roman" w:cs="Arial"/>
          <w:color w:val="000000"/>
          <w:lang w:eastAsia="bg-BG"/>
        </w:rPr>
        <w:t xml:space="preserve">липопротеините с ниска плътност </w:t>
      </w:r>
      <w:r w:rsidRPr="0022136D">
        <w:rPr>
          <w:rFonts w:eastAsia="Times New Roman" w:cs="Arial"/>
          <w:color w:val="000000"/>
          <w:lang w:val="en-US"/>
        </w:rPr>
        <w:t xml:space="preserve">(LDL) </w:t>
      </w:r>
      <w:r w:rsidRPr="0022136D">
        <w:rPr>
          <w:rFonts w:eastAsia="Times New Roman" w:cs="Arial"/>
          <w:color w:val="000000"/>
          <w:lang w:eastAsia="bg-BG"/>
        </w:rPr>
        <w:t xml:space="preserve">и липопротеините с висока плътност </w:t>
      </w:r>
      <w:r w:rsidRPr="0022136D">
        <w:rPr>
          <w:rFonts w:eastAsia="Times New Roman" w:cs="Arial"/>
          <w:color w:val="000000"/>
          <w:lang w:val="en-US"/>
        </w:rPr>
        <w:t xml:space="preserve">(HDL) </w:t>
      </w:r>
      <w:r w:rsidRPr="0022136D">
        <w:rPr>
          <w:rFonts w:eastAsia="Times New Roman" w:cs="Arial"/>
          <w:color w:val="000000"/>
          <w:lang w:eastAsia="bg-BG"/>
        </w:rPr>
        <w:t xml:space="preserve">са главните свързващи компоненти. Не са проведени проучвания за взаимодействия на конкурентно свързване към протеини. Не е определена ролята на свързващия половите хормони глобулин </w:t>
      </w:r>
      <w:r w:rsidRPr="0022136D">
        <w:rPr>
          <w:rFonts w:eastAsia="Times New Roman" w:cs="Arial"/>
          <w:color w:val="000000"/>
          <w:lang w:val="en-US"/>
        </w:rPr>
        <w:t>(SHBG).</w:t>
      </w:r>
    </w:p>
    <w:p w14:paraId="60EE637F" w14:textId="77777777" w:rsidR="0022136D" w:rsidRPr="0022136D" w:rsidRDefault="0022136D" w:rsidP="0022136D">
      <w:pPr>
        <w:spacing w:line="240" w:lineRule="auto"/>
        <w:rPr>
          <w:rFonts w:eastAsia="Times New Roman" w:cs="Arial"/>
          <w:color w:val="000000"/>
          <w:u w:val="single"/>
          <w:lang w:eastAsia="bg-BG"/>
        </w:rPr>
      </w:pPr>
    </w:p>
    <w:p w14:paraId="1CC0D9FF" w14:textId="5671A5B1" w:rsidR="0022136D" w:rsidRPr="0022136D" w:rsidRDefault="0022136D" w:rsidP="0022136D">
      <w:pPr>
        <w:pStyle w:val="Heading3"/>
        <w:rPr>
          <w:rFonts w:eastAsia="Times New Roman"/>
          <w:u w:val="single"/>
          <w:lang w:eastAsia="bg-BG"/>
        </w:rPr>
      </w:pPr>
      <w:r w:rsidRPr="0022136D">
        <w:rPr>
          <w:rFonts w:eastAsia="Times New Roman"/>
          <w:u w:val="single"/>
          <w:lang w:eastAsia="bg-BG"/>
        </w:rPr>
        <w:t>Биотрансформация</w:t>
      </w:r>
    </w:p>
    <w:p w14:paraId="2D77C4CF" w14:textId="77777777" w:rsidR="0022136D" w:rsidRPr="0022136D" w:rsidRDefault="0022136D" w:rsidP="0022136D">
      <w:pPr>
        <w:spacing w:line="240" w:lineRule="auto"/>
        <w:rPr>
          <w:rFonts w:eastAsia="Times New Roman" w:cs="Arial"/>
          <w:sz w:val="24"/>
          <w:szCs w:val="24"/>
          <w:lang w:eastAsia="bg-BG"/>
        </w:rPr>
      </w:pPr>
      <w:r w:rsidRPr="0022136D">
        <w:rPr>
          <w:rFonts w:eastAsia="Times New Roman" w:cs="Arial"/>
          <w:color w:val="000000"/>
          <w:lang w:eastAsia="bg-BG"/>
        </w:rPr>
        <w:t xml:space="preserve">Метаболизмът на фулвестрант не е установен напълно, но включва комбинации от няколко възможни пътища на биотрансформация, аналогични на тези при ендогенните стероиди. Идентифицираните метаболити (включително 17-кето, сулфон, З-сулфат, 3- и 17-глюкоронидни метаболити) са или по-малко активни или проявяват сходна на фулвестрант активност при антиестрогенните модели. Проучванията, използващи препарати от човешки черен дроб и рекомбинантни човешки ензими показват, че </w:t>
      </w:r>
      <w:r w:rsidRPr="0022136D">
        <w:rPr>
          <w:rFonts w:eastAsia="Times New Roman" w:cs="Arial"/>
          <w:color w:val="000000"/>
          <w:lang w:val="en-US"/>
        </w:rPr>
        <w:t xml:space="preserve">CYP </w:t>
      </w:r>
      <w:r w:rsidRPr="0022136D">
        <w:rPr>
          <w:rFonts w:eastAsia="Times New Roman" w:cs="Arial"/>
          <w:color w:val="000000"/>
          <w:lang w:eastAsia="bg-BG"/>
        </w:rPr>
        <w:t xml:space="preserve">ЗА4 е единственият Р450 изоензим включен в оксидацията на фулвестрант. Все пак изглежда, че други пътища, които не са свързани с Р450, доминират повече </w:t>
      </w:r>
      <w:r w:rsidRPr="0022136D">
        <w:rPr>
          <w:rFonts w:eastAsia="Times New Roman" w:cs="Arial"/>
          <w:i/>
          <w:iCs/>
          <w:color w:val="000000"/>
          <w:lang w:val="en-US"/>
        </w:rPr>
        <w:t>in vivo. In vitro</w:t>
      </w:r>
      <w:r w:rsidRPr="0022136D">
        <w:rPr>
          <w:rFonts w:eastAsia="Times New Roman" w:cs="Arial"/>
          <w:color w:val="000000"/>
          <w:lang w:val="en-US"/>
        </w:rPr>
        <w:t xml:space="preserve"> </w:t>
      </w:r>
      <w:r w:rsidRPr="0022136D">
        <w:rPr>
          <w:rFonts w:eastAsia="Times New Roman" w:cs="Arial"/>
          <w:color w:val="000000"/>
          <w:lang w:eastAsia="bg-BG"/>
        </w:rPr>
        <w:t xml:space="preserve">данните предполагат, че флувестант не инхибира </w:t>
      </w:r>
      <w:r w:rsidRPr="0022136D">
        <w:rPr>
          <w:rFonts w:eastAsia="Times New Roman" w:cs="Arial"/>
          <w:color w:val="000000"/>
          <w:lang w:val="en-US"/>
        </w:rPr>
        <w:t xml:space="preserve">CYP </w:t>
      </w:r>
      <w:r w:rsidRPr="0022136D">
        <w:rPr>
          <w:rFonts w:eastAsia="Times New Roman" w:cs="Arial"/>
          <w:color w:val="000000"/>
          <w:lang w:eastAsia="bg-BG"/>
        </w:rPr>
        <w:t>ЗА4 изоензимиге.</w:t>
      </w:r>
    </w:p>
    <w:p w14:paraId="540B7418" w14:textId="77777777" w:rsidR="0022136D" w:rsidRPr="0022136D" w:rsidRDefault="0022136D" w:rsidP="0022136D">
      <w:pPr>
        <w:spacing w:line="240" w:lineRule="auto"/>
        <w:rPr>
          <w:rFonts w:eastAsia="Times New Roman" w:cs="Arial"/>
          <w:color w:val="000000"/>
          <w:u w:val="single"/>
          <w:lang w:eastAsia="bg-BG"/>
        </w:rPr>
      </w:pPr>
    </w:p>
    <w:p w14:paraId="66C60360" w14:textId="34E86F88" w:rsidR="0022136D" w:rsidRPr="0022136D" w:rsidRDefault="0022136D" w:rsidP="0022136D">
      <w:pPr>
        <w:pStyle w:val="Heading3"/>
        <w:rPr>
          <w:rFonts w:eastAsia="Times New Roman"/>
          <w:u w:val="single"/>
          <w:lang w:eastAsia="bg-BG"/>
        </w:rPr>
      </w:pPr>
      <w:r w:rsidRPr="0022136D">
        <w:rPr>
          <w:rFonts w:eastAsia="Times New Roman"/>
          <w:u w:val="single"/>
          <w:lang w:eastAsia="bg-BG"/>
        </w:rPr>
        <w:t>Елиминиране</w:t>
      </w:r>
    </w:p>
    <w:p w14:paraId="557C7355" w14:textId="77777777" w:rsidR="0022136D" w:rsidRPr="0022136D" w:rsidRDefault="0022136D" w:rsidP="0022136D">
      <w:pPr>
        <w:spacing w:line="240" w:lineRule="auto"/>
        <w:rPr>
          <w:rFonts w:eastAsia="Times New Roman" w:cs="Arial"/>
          <w:sz w:val="24"/>
          <w:szCs w:val="24"/>
          <w:lang w:eastAsia="bg-BG"/>
        </w:rPr>
      </w:pPr>
      <w:r w:rsidRPr="0022136D">
        <w:rPr>
          <w:rFonts w:eastAsia="Times New Roman" w:cs="Arial"/>
          <w:color w:val="000000"/>
          <w:lang w:eastAsia="bg-BG"/>
        </w:rPr>
        <w:t xml:space="preserve">Фулвестрант се елиминира главно под формата на метаболити. Основният път на екскреция е чрез фецеса с по-малко от 1% екскреция в урината. Фулвестрант има висок клирънс, 11±1,7 </w:t>
      </w:r>
      <w:r w:rsidRPr="0022136D">
        <w:rPr>
          <w:rFonts w:eastAsia="Times New Roman" w:cs="Arial"/>
          <w:color w:val="000000"/>
          <w:lang w:val="en-US"/>
        </w:rPr>
        <w:t xml:space="preserve">ml/min/kg, </w:t>
      </w:r>
      <w:r w:rsidRPr="0022136D">
        <w:rPr>
          <w:rFonts w:eastAsia="Times New Roman" w:cs="Arial"/>
          <w:color w:val="000000"/>
          <w:lang w:eastAsia="bg-BG"/>
        </w:rPr>
        <w:t xml:space="preserve">предполагащ висока степен на чернодробна екскреция. </w:t>
      </w:r>
      <w:r w:rsidRPr="0022136D">
        <w:rPr>
          <w:rFonts w:eastAsia="Times New Roman" w:cs="Arial"/>
          <w:color w:val="000000"/>
          <w:lang w:eastAsia="bg-BG"/>
        </w:rPr>
        <w:lastRenderedPageBreak/>
        <w:t xml:space="preserve">Терминалният полуживот </w:t>
      </w:r>
      <w:r w:rsidRPr="0022136D">
        <w:rPr>
          <w:rFonts w:eastAsia="Times New Roman" w:cs="Arial"/>
          <w:color w:val="000000"/>
          <w:lang w:val="en-US"/>
        </w:rPr>
        <w:t>(t</w:t>
      </w:r>
      <w:r w:rsidRPr="0022136D">
        <w:rPr>
          <w:rFonts w:eastAsia="Times New Roman" w:cs="Arial"/>
          <w:color w:val="000000"/>
          <w:vertAlign w:val="subscript"/>
          <w:lang w:val="en-US"/>
        </w:rPr>
        <w:t>1/2</w:t>
      </w:r>
      <w:r w:rsidRPr="0022136D">
        <w:rPr>
          <w:rFonts w:eastAsia="Times New Roman" w:cs="Arial"/>
          <w:color w:val="000000"/>
          <w:lang w:eastAsia="bg-BG"/>
        </w:rPr>
        <w:t>) след интрамускулно приложение се определя от скоростта на абсорбция и се оценява на 50 дни.</w:t>
      </w:r>
    </w:p>
    <w:p w14:paraId="4B9F2F5A" w14:textId="77777777" w:rsidR="0022136D" w:rsidRPr="0022136D" w:rsidRDefault="0022136D" w:rsidP="0022136D">
      <w:pPr>
        <w:spacing w:line="240" w:lineRule="auto"/>
        <w:rPr>
          <w:rFonts w:eastAsia="Times New Roman" w:cs="Arial"/>
          <w:color w:val="000000"/>
          <w:u w:val="single"/>
          <w:lang w:eastAsia="bg-BG"/>
        </w:rPr>
      </w:pPr>
    </w:p>
    <w:p w14:paraId="22616E94" w14:textId="66F7CDCD" w:rsidR="0022136D" w:rsidRPr="0022136D" w:rsidRDefault="0022136D" w:rsidP="0022136D">
      <w:pPr>
        <w:pStyle w:val="Heading3"/>
        <w:rPr>
          <w:rFonts w:eastAsia="Times New Roman"/>
          <w:u w:val="single"/>
          <w:lang w:eastAsia="bg-BG"/>
        </w:rPr>
      </w:pPr>
      <w:r w:rsidRPr="0022136D">
        <w:rPr>
          <w:rFonts w:eastAsia="Times New Roman"/>
          <w:u w:val="single"/>
          <w:lang w:eastAsia="bg-BG"/>
        </w:rPr>
        <w:t>Специални популации</w:t>
      </w:r>
    </w:p>
    <w:p w14:paraId="0EDBF06C" w14:textId="6BC992E1" w:rsidR="0022136D" w:rsidRPr="0022136D" w:rsidRDefault="0022136D" w:rsidP="0022136D">
      <w:pPr>
        <w:spacing w:line="240" w:lineRule="auto"/>
        <w:rPr>
          <w:rFonts w:eastAsia="Times New Roman" w:cs="Arial"/>
          <w:sz w:val="24"/>
          <w:szCs w:val="24"/>
          <w:lang w:eastAsia="bg-BG"/>
        </w:rPr>
      </w:pPr>
      <w:r w:rsidRPr="0022136D">
        <w:rPr>
          <w:rFonts w:eastAsia="Times New Roman" w:cs="Arial"/>
          <w:color w:val="000000"/>
          <w:lang w:eastAsia="bg-BG"/>
        </w:rPr>
        <w:t>При популационен фармакокинетичен анализ н</w:t>
      </w:r>
      <w:r w:rsidR="00913683">
        <w:rPr>
          <w:rFonts w:eastAsia="Times New Roman" w:cs="Arial"/>
          <w:color w:val="000000"/>
          <w:lang w:eastAsia="bg-BG"/>
        </w:rPr>
        <w:t xml:space="preserve">а данни от изпитвания във фаза </w:t>
      </w:r>
      <w:r w:rsidR="00913683" w:rsidRPr="00913683">
        <w:rPr>
          <w:rFonts w:cs="Arial"/>
          <w:color w:val="202124"/>
          <w:shd w:val="clear" w:color="auto" w:fill="FFFFFF"/>
        </w:rPr>
        <w:t>III</w:t>
      </w:r>
      <w:r w:rsidRPr="0022136D">
        <w:rPr>
          <w:rFonts w:eastAsia="Times New Roman" w:cs="Arial"/>
          <w:color w:val="000000"/>
          <w:lang w:eastAsia="bg-BG"/>
        </w:rPr>
        <w:t xml:space="preserve"> не са установени разлики във фармакокинетичния профил на фулвестрант по отношение на възраст (диапазон 33 до 89 години), тегло (40-127 </w:t>
      </w:r>
      <w:r w:rsidRPr="0022136D">
        <w:rPr>
          <w:rFonts w:eastAsia="Times New Roman" w:cs="Arial"/>
          <w:color w:val="000000"/>
          <w:lang w:val="en-US"/>
        </w:rPr>
        <w:t xml:space="preserve">kg) </w:t>
      </w:r>
      <w:r w:rsidRPr="0022136D">
        <w:rPr>
          <w:rFonts w:eastAsia="Times New Roman" w:cs="Arial"/>
          <w:color w:val="000000"/>
          <w:lang w:eastAsia="bg-BG"/>
        </w:rPr>
        <w:t>или раса.</w:t>
      </w:r>
    </w:p>
    <w:p w14:paraId="34561F34" w14:textId="77777777" w:rsidR="0022136D" w:rsidRPr="0022136D" w:rsidRDefault="0022136D" w:rsidP="0022136D">
      <w:pPr>
        <w:spacing w:line="240" w:lineRule="auto"/>
        <w:rPr>
          <w:rFonts w:eastAsia="Times New Roman" w:cs="Arial"/>
          <w:i/>
          <w:iCs/>
          <w:color w:val="000000"/>
          <w:lang w:eastAsia="bg-BG"/>
        </w:rPr>
      </w:pPr>
    </w:p>
    <w:p w14:paraId="26A30BBE" w14:textId="03E99DC4" w:rsidR="0022136D" w:rsidRPr="0022136D" w:rsidRDefault="0022136D" w:rsidP="0022136D">
      <w:pPr>
        <w:spacing w:line="240" w:lineRule="auto"/>
        <w:rPr>
          <w:rFonts w:eastAsia="Times New Roman" w:cs="Arial"/>
          <w:sz w:val="24"/>
          <w:szCs w:val="24"/>
          <w:lang w:eastAsia="bg-BG"/>
        </w:rPr>
      </w:pPr>
      <w:r w:rsidRPr="0022136D">
        <w:rPr>
          <w:rFonts w:eastAsia="Times New Roman" w:cs="Arial"/>
          <w:i/>
          <w:iCs/>
          <w:color w:val="000000"/>
          <w:lang w:eastAsia="bg-BG"/>
        </w:rPr>
        <w:t>Бъбречно увреждане</w:t>
      </w:r>
    </w:p>
    <w:p w14:paraId="58064DD1" w14:textId="77777777" w:rsidR="0022136D" w:rsidRPr="0022136D" w:rsidRDefault="0022136D" w:rsidP="0022136D">
      <w:pPr>
        <w:spacing w:line="240" w:lineRule="auto"/>
        <w:rPr>
          <w:rFonts w:eastAsia="Times New Roman" w:cs="Arial"/>
          <w:sz w:val="24"/>
          <w:szCs w:val="24"/>
          <w:lang w:eastAsia="bg-BG"/>
        </w:rPr>
      </w:pPr>
      <w:r w:rsidRPr="0022136D">
        <w:rPr>
          <w:rFonts w:eastAsia="Times New Roman" w:cs="Arial"/>
          <w:color w:val="000000"/>
          <w:lang w:eastAsia="bg-BG"/>
        </w:rPr>
        <w:t>Леко до умерено нарушение на бъбречната функция не повлиява фармакокинетиката на фулвестрант до клинично значима степен.</w:t>
      </w:r>
    </w:p>
    <w:p w14:paraId="14650E7D" w14:textId="77777777" w:rsidR="0022136D" w:rsidRPr="0022136D" w:rsidRDefault="0022136D" w:rsidP="0022136D">
      <w:pPr>
        <w:spacing w:line="240" w:lineRule="auto"/>
        <w:rPr>
          <w:rFonts w:eastAsia="Times New Roman" w:cs="Arial"/>
          <w:i/>
          <w:iCs/>
          <w:color w:val="000000"/>
          <w:lang w:eastAsia="bg-BG"/>
        </w:rPr>
      </w:pPr>
    </w:p>
    <w:p w14:paraId="04E423F2" w14:textId="7AF7EDA7" w:rsidR="0022136D" w:rsidRPr="0022136D" w:rsidRDefault="0022136D" w:rsidP="0022136D">
      <w:pPr>
        <w:spacing w:line="240" w:lineRule="auto"/>
        <w:rPr>
          <w:rFonts w:eastAsia="Times New Roman" w:cs="Arial"/>
          <w:sz w:val="24"/>
          <w:szCs w:val="24"/>
          <w:lang w:eastAsia="bg-BG"/>
        </w:rPr>
      </w:pPr>
      <w:r w:rsidRPr="0022136D">
        <w:rPr>
          <w:rFonts w:eastAsia="Times New Roman" w:cs="Arial"/>
          <w:i/>
          <w:iCs/>
          <w:color w:val="000000"/>
          <w:lang w:eastAsia="bg-BG"/>
        </w:rPr>
        <w:t>Чернодробно увреждане</w:t>
      </w:r>
    </w:p>
    <w:p w14:paraId="3F43A64C" w14:textId="77777777" w:rsidR="0022136D" w:rsidRPr="0022136D" w:rsidRDefault="0022136D" w:rsidP="0022136D">
      <w:pPr>
        <w:spacing w:line="240" w:lineRule="auto"/>
        <w:rPr>
          <w:rFonts w:eastAsia="Times New Roman" w:cs="Arial"/>
          <w:sz w:val="24"/>
          <w:szCs w:val="24"/>
          <w:lang w:eastAsia="bg-BG"/>
        </w:rPr>
      </w:pPr>
      <w:r w:rsidRPr="0022136D">
        <w:rPr>
          <w:rFonts w:eastAsia="Times New Roman" w:cs="Arial"/>
          <w:color w:val="000000"/>
          <w:lang w:eastAsia="bg-BG"/>
        </w:rPr>
        <w:t xml:space="preserve">Фармакокинетиката на фулвестрант е оценена в клинично изпитване с еднократна доза при жени с лека до умерена чернодробна недостатъчност (клас А и В по </w:t>
      </w:r>
      <w:r w:rsidRPr="0022136D">
        <w:rPr>
          <w:rFonts w:eastAsia="Times New Roman" w:cs="Arial"/>
          <w:color w:val="000000"/>
          <w:lang w:val="en-US"/>
        </w:rPr>
        <w:t xml:space="preserve">Child Pugh). </w:t>
      </w:r>
      <w:r w:rsidRPr="0022136D">
        <w:rPr>
          <w:rFonts w:eastAsia="Times New Roman" w:cs="Arial"/>
          <w:color w:val="000000"/>
          <w:lang w:eastAsia="bg-BG"/>
        </w:rPr>
        <w:t xml:space="preserve">Приложена е интрамускулно висока Доза с краткотрайно въвеждане. Наблюдавано е до 2,5 пъти повишение на </w:t>
      </w:r>
      <w:r w:rsidRPr="0022136D">
        <w:rPr>
          <w:rFonts w:eastAsia="Times New Roman" w:cs="Arial"/>
          <w:color w:val="000000"/>
          <w:lang w:val="en-US"/>
        </w:rPr>
        <w:t xml:space="preserve">AUC </w:t>
      </w:r>
      <w:r w:rsidRPr="0022136D">
        <w:rPr>
          <w:rFonts w:eastAsia="Times New Roman" w:cs="Arial"/>
          <w:color w:val="000000"/>
          <w:lang w:eastAsia="bg-BG"/>
        </w:rPr>
        <w:t xml:space="preserve">при лица с чернодробно увреждане в сравнение със здрави жени. При пациенти, на които е приложен фулвестрант, подобно повишение на експозицията се очаква да бъде добре толерирано. Жени с тежка чернодробна недостатъчност (клас С по </w:t>
      </w:r>
      <w:r w:rsidRPr="0022136D">
        <w:rPr>
          <w:rFonts w:eastAsia="Times New Roman" w:cs="Arial"/>
          <w:color w:val="000000"/>
          <w:lang w:val="en-US"/>
        </w:rPr>
        <w:t xml:space="preserve">Child Pugh) </w:t>
      </w:r>
      <w:r w:rsidRPr="0022136D">
        <w:rPr>
          <w:rFonts w:eastAsia="Times New Roman" w:cs="Arial"/>
          <w:color w:val="000000"/>
          <w:lang w:eastAsia="bg-BG"/>
        </w:rPr>
        <w:t>не са оценявани.</w:t>
      </w:r>
    </w:p>
    <w:p w14:paraId="2A192D5B" w14:textId="77777777" w:rsidR="0022136D" w:rsidRPr="0022136D" w:rsidRDefault="0022136D" w:rsidP="0022136D">
      <w:pPr>
        <w:spacing w:line="240" w:lineRule="auto"/>
        <w:rPr>
          <w:rFonts w:eastAsia="Times New Roman" w:cs="Arial"/>
          <w:i/>
          <w:iCs/>
          <w:color w:val="000000"/>
          <w:lang w:eastAsia="bg-BG"/>
        </w:rPr>
      </w:pPr>
    </w:p>
    <w:p w14:paraId="214F91F8" w14:textId="346BE411" w:rsidR="0022136D" w:rsidRPr="0022136D" w:rsidRDefault="0022136D" w:rsidP="0022136D">
      <w:pPr>
        <w:spacing w:line="240" w:lineRule="auto"/>
        <w:rPr>
          <w:rFonts w:eastAsia="Times New Roman" w:cs="Arial"/>
          <w:sz w:val="24"/>
          <w:szCs w:val="24"/>
          <w:lang w:eastAsia="bg-BG"/>
        </w:rPr>
      </w:pPr>
      <w:r w:rsidRPr="0022136D">
        <w:rPr>
          <w:rFonts w:eastAsia="Times New Roman" w:cs="Arial"/>
          <w:i/>
          <w:iCs/>
          <w:color w:val="000000"/>
          <w:lang w:eastAsia="bg-BG"/>
        </w:rPr>
        <w:t>Педиатрична популация</w:t>
      </w:r>
    </w:p>
    <w:p w14:paraId="4EE1BB0B" w14:textId="049FA134" w:rsidR="0091385D" w:rsidRPr="0022136D" w:rsidRDefault="0022136D" w:rsidP="0022136D">
      <w:pPr>
        <w:rPr>
          <w:rFonts w:cs="Arial"/>
        </w:rPr>
      </w:pPr>
      <w:r w:rsidRPr="0022136D">
        <w:rPr>
          <w:rFonts w:eastAsia="Times New Roman" w:cs="Arial"/>
          <w:color w:val="000000"/>
          <w:lang w:eastAsia="bg-BG"/>
        </w:rPr>
        <w:t xml:space="preserve">Фармакокинетиката на фулвестрант е оценена в клинично изпитване, проведено при 30 момичета с прогресивен преждевременен пубертет свързан със синдром на </w:t>
      </w:r>
      <w:r w:rsidRPr="0022136D">
        <w:rPr>
          <w:rFonts w:eastAsia="Times New Roman" w:cs="Arial"/>
          <w:color w:val="000000"/>
          <w:lang w:val="en-US"/>
        </w:rPr>
        <w:t xml:space="preserve">McCune Albright </w:t>
      </w:r>
      <w:r w:rsidRPr="0022136D">
        <w:rPr>
          <w:rFonts w:eastAsia="Times New Roman" w:cs="Arial"/>
          <w:color w:val="000000"/>
          <w:lang w:eastAsia="bg-BG"/>
        </w:rPr>
        <w:t xml:space="preserve">(вж. точка 5.1). Педиатричните пациенти са били на възраст между 1 и 8 години и са получавали 4 </w:t>
      </w:r>
      <w:r w:rsidRPr="0022136D">
        <w:rPr>
          <w:rFonts w:eastAsia="Times New Roman" w:cs="Arial"/>
          <w:color w:val="000000"/>
          <w:lang w:val="en-US"/>
        </w:rPr>
        <w:t xml:space="preserve">mg/kg </w:t>
      </w:r>
      <w:r w:rsidRPr="0022136D">
        <w:rPr>
          <w:rFonts w:eastAsia="Times New Roman" w:cs="Arial"/>
          <w:color w:val="000000"/>
          <w:lang w:eastAsia="bg-BG"/>
        </w:rPr>
        <w:t xml:space="preserve">месечна интрамускулна доза фулвестрант. Средната геометрична (стандартно отклонение) най-ниска концентрация </w:t>
      </w:r>
      <w:r w:rsidRPr="0022136D">
        <w:rPr>
          <w:rFonts w:eastAsia="Times New Roman" w:cs="Arial"/>
          <w:color w:val="000000"/>
          <w:lang w:val="en-US"/>
        </w:rPr>
        <w:t>(</w:t>
      </w:r>
      <w:proofErr w:type="spellStart"/>
      <w:r w:rsidRPr="0022136D">
        <w:rPr>
          <w:rFonts w:eastAsia="Times New Roman" w:cs="Arial"/>
          <w:color w:val="000000"/>
          <w:lang w:val="en-US"/>
        </w:rPr>
        <w:t>Cmin,ss</w:t>
      </w:r>
      <w:proofErr w:type="spellEnd"/>
      <w:r w:rsidRPr="0022136D">
        <w:rPr>
          <w:rFonts w:eastAsia="Times New Roman" w:cs="Arial"/>
          <w:color w:val="000000"/>
          <w:lang w:val="en-US"/>
        </w:rPr>
        <w:t xml:space="preserve">) </w:t>
      </w:r>
      <w:r w:rsidRPr="0022136D">
        <w:rPr>
          <w:rFonts w:eastAsia="Times New Roman" w:cs="Arial"/>
          <w:color w:val="000000"/>
          <w:lang w:eastAsia="bg-BG"/>
        </w:rPr>
        <w:t xml:space="preserve">в стационарно състояние и </w:t>
      </w:r>
      <w:proofErr w:type="spellStart"/>
      <w:r w:rsidRPr="0022136D">
        <w:rPr>
          <w:rFonts w:eastAsia="Times New Roman" w:cs="Arial"/>
          <w:color w:val="000000"/>
          <w:lang w:val="en-US"/>
        </w:rPr>
        <w:t>AUCss</w:t>
      </w:r>
      <w:proofErr w:type="spellEnd"/>
      <w:r w:rsidRPr="0022136D">
        <w:rPr>
          <w:rFonts w:eastAsia="Times New Roman" w:cs="Arial"/>
          <w:color w:val="000000"/>
          <w:lang w:val="en-US"/>
        </w:rPr>
        <w:t xml:space="preserve"> </w:t>
      </w:r>
      <w:r w:rsidRPr="0022136D">
        <w:rPr>
          <w:rFonts w:eastAsia="Times New Roman" w:cs="Arial"/>
          <w:color w:val="000000"/>
          <w:lang w:eastAsia="bg-BG"/>
        </w:rPr>
        <w:t xml:space="preserve">са били съответно 4,2 (0,9) </w:t>
      </w:r>
      <w:r w:rsidRPr="0022136D">
        <w:rPr>
          <w:rFonts w:eastAsia="Times New Roman" w:cs="Arial"/>
          <w:color w:val="000000"/>
          <w:lang w:val="en-US"/>
        </w:rPr>
        <w:t xml:space="preserve">ng/ml </w:t>
      </w:r>
      <w:r w:rsidRPr="0022136D">
        <w:rPr>
          <w:rFonts w:eastAsia="Times New Roman" w:cs="Arial"/>
          <w:color w:val="000000"/>
          <w:lang w:eastAsia="bg-BG"/>
        </w:rPr>
        <w:t xml:space="preserve">и 3680 (1020) </w:t>
      </w:r>
      <w:r w:rsidRPr="0022136D">
        <w:rPr>
          <w:rFonts w:eastAsia="Times New Roman" w:cs="Arial"/>
          <w:color w:val="000000"/>
          <w:lang w:val="en-US"/>
        </w:rPr>
        <w:t>ng*</w:t>
      </w:r>
      <w:proofErr w:type="spellStart"/>
      <w:r w:rsidRPr="0022136D">
        <w:rPr>
          <w:rFonts w:eastAsia="Times New Roman" w:cs="Arial"/>
          <w:color w:val="000000"/>
          <w:lang w:val="en-US"/>
        </w:rPr>
        <w:t>hr</w:t>
      </w:r>
      <w:proofErr w:type="spellEnd"/>
      <w:r w:rsidRPr="0022136D">
        <w:rPr>
          <w:rFonts w:eastAsia="Times New Roman" w:cs="Arial"/>
          <w:color w:val="000000"/>
          <w:lang w:val="en-US"/>
        </w:rPr>
        <w:t xml:space="preserve">/ml. </w:t>
      </w:r>
      <w:r w:rsidRPr="0022136D">
        <w:rPr>
          <w:rFonts w:eastAsia="Times New Roman" w:cs="Arial"/>
          <w:color w:val="000000"/>
          <w:lang w:eastAsia="bg-BG"/>
        </w:rPr>
        <w:t>Въпреки, че събраните данни са ограничени, най-ниските концентрации на фулвестрант в стационарно състояние при</w:t>
      </w:r>
      <w:r w:rsidRPr="0022136D">
        <w:rPr>
          <w:rFonts w:eastAsia="Times New Roman" w:cs="Arial"/>
          <w:color w:val="000000"/>
          <w:lang w:val="en-US"/>
        </w:rPr>
        <w:t xml:space="preserve"> </w:t>
      </w:r>
      <w:r w:rsidRPr="0022136D">
        <w:rPr>
          <w:rFonts w:eastAsia="Times New Roman" w:cs="Arial"/>
          <w:color w:val="000000"/>
          <w:lang w:eastAsia="bg-BG"/>
        </w:rPr>
        <w:t>деца</w:t>
      </w:r>
      <w:r w:rsidRPr="0022136D">
        <w:rPr>
          <w:rFonts w:eastAsia="Times New Roman" w:cs="Arial"/>
          <w:b/>
          <w:bCs/>
          <w:color w:val="000000"/>
          <w:u w:val="single"/>
          <w:lang w:eastAsia="bg-BG"/>
        </w:rPr>
        <w:t xml:space="preserve"> </w:t>
      </w:r>
      <w:r w:rsidRPr="0022136D">
        <w:rPr>
          <w:rFonts w:eastAsia="Times New Roman" w:cs="Arial"/>
          <w:color w:val="000000"/>
          <w:lang w:eastAsia="bg-BG"/>
        </w:rPr>
        <w:t>изглежда са съизмерими с тези при възрастни.</w:t>
      </w:r>
    </w:p>
    <w:p w14:paraId="2649A3CC" w14:textId="77777777" w:rsidR="0022136D" w:rsidRPr="0091385D" w:rsidRDefault="0022136D" w:rsidP="0091385D"/>
    <w:p w14:paraId="648E39DA" w14:textId="44D16CBD" w:rsidR="00CF77F7" w:rsidRDefault="002C50EE" w:rsidP="004A448E">
      <w:pPr>
        <w:pStyle w:val="Heading2"/>
      </w:pPr>
      <w:r>
        <w:t>5.3. Предклинични данни за безопасност</w:t>
      </w:r>
    </w:p>
    <w:p w14:paraId="31455D09" w14:textId="4D0EFBF5" w:rsidR="0091385D" w:rsidRDefault="0091385D" w:rsidP="0091385D"/>
    <w:p w14:paraId="52E4D01A" w14:textId="7171A5C0" w:rsidR="0091385D" w:rsidRPr="0022136D" w:rsidRDefault="0022136D" w:rsidP="0091385D">
      <w:pPr>
        <w:rPr>
          <w:sz w:val="24"/>
        </w:rPr>
      </w:pPr>
      <w:r w:rsidRPr="0022136D">
        <w:rPr>
          <w:szCs w:val="20"/>
        </w:rPr>
        <w:t>Острата токсичност на фулвестрант е ниска.</w:t>
      </w:r>
    </w:p>
    <w:p w14:paraId="20E967BE" w14:textId="2FF0B023" w:rsidR="0091385D" w:rsidRDefault="0091385D" w:rsidP="0091385D"/>
    <w:p w14:paraId="1780CB81" w14:textId="775EE884" w:rsidR="0022136D" w:rsidRPr="0022136D" w:rsidRDefault="00C23C68" w:rsidP="0022136D">
      <w:pPr>
        <w:spacing w:line="240" w:lineRule="auto"/>
        <w:rPr>
          <w:rFonts w:eastAsia="Times New Roman" w:cs="Arial"/>
          <w:sz w:val="28"/>
          <w:szCs w:val="24"/>
          <w:lang w:eastAsia="bg-BG"/>
        </w:rPr>
      </w:pPr>
      <w:r>
        <w:rPr>
          <w:rFonts w:eastAsia="Times New Roman" w:cs="Arial"/>
          <w:color w:val="000000"/>
          <w:szCs w:val="20"/>
          <w:lang w:eastAsia="bg-BG"/>
        </w:rPr>
        <w:t>Референтният лекарствен продукт и другите форми</w:t>
      </w:r>
      <w:r w:rsidR="0022136D" w:rsidRPr="0022136D">
        <w:rPr>
          <w:rFonts w:eastAsia="Times New Roman" w:cs="Arial"/>
          <w:color w:val="000000"/>
          <w:szCs w:val="20"/>
          <w:lang w:eastAsia="bg-BG"/>
        </w:rPr>
        <w:t xml:space="preserve"> на фулвестрант се понасят добре </w:t>
      </w:r>
      <w:r w:rsidR="0022136D" w:rsidRPr="00C23C68">
        <w:rPr>
          <w:rFonts w:eastAsia="Times New Roman" w:cs="Arial"/>
          <w:iCs/>
          <w:color w:val="000000"/>
          <w:szCs w:val="20"/>
          <w:lang w:eastAsia="bg-BG"/>
        </w:rPr>
        <w:t>при</w:t>
      </w:r>
      <w:r w:rsidR="0022136D" w:rsidRPr="0022136D">
        <w:rPr>
          <w:rFonts w:eastAsia="Times New Roman" w:cs="Arial"/>
          <w:color w:val="000000"/>
          <w:szCs w:val="20"/>
          <w:lang w:eastAsia="bg-BG"/>
        </w:rPr>
        <w:t xml:space="preserve"> животински видове, използвани при проучвания с многократно прилагане. Счита се, че локалните реакции, включително миозит и образуване на грануломи на инжекционното място, се дължат на носителя, но тежестта на миозига при зайци нараства с фулвестрант в сравнение с контролите на физиологичен разтвор. При проучванията за токсичност с многократни интрамускулни дози на фулвестрант при плъхове и кучета, антиестрогенната активност на фулвестрант е отговорна за повечето ефекти, особено върху женската репродуктивна система, но също и върху други чувствителни на половите хормони органи и при двата пола. При някои кучета след дългосрочно приложение (12 месеца) в различни тъкани е наблюдаван артериит.</w:t>
      </w:r>
    </w:p>
    <w:p w14:paraId="7AAC22EC" w14:textId="77777777" w:rsidR="004A1844" w:rsidRPr="004A1844" w:rsidRDefault="004A1844" w:rsidP="0022136D">
      <w:pPr>
        <w:spacing w:line="240" w:lineRule="auto"/>
        <w:rPr>
          <w:rFonts w:eastAsia="Times New Roman" w:cs="Arial"/>
          <w:color w:val="000000"/>
          <w:szCs w:val="20"/>
          <w:lang w:eastAsia="bg-BG"/>
        </w:rPr>
      </w:pPr>
    </w:p>
    <w:p w14:paraId="430BC17F" w14:textId="2BBC87A2" w:rsidR="0022136D" w:rsidRPr="0022136D" w:rsidRDefault="0022136D" w:rsidP="0022136D">
      <w:pPr>
        <w:spacing w:line="240" w:lineRule="auto"/>
        <w:rPr>
          <w:rFonts w:eastAsia="Times New Roman" w:cs="Arial"/>
          <w:sz w:val="28"/>
          <w:szCs w:val="24"/>
          <w:lang w:eastAsia="bg-BG"/>
        </w:rPr>
      </w:pPr>
      <w:r w:rsidRPr="0022136D">
        <w:rPr>
          <w:rFonts w:eastAsia="Times New Roman" w:cs="Arial"/>
          <w:color w:val="000000"/>
          <w:szCs w:val="20"/>
          <w:lang w:eastAsia="bg-BG"/>
        </w:rPr>
        <w:t xml:space="preserve">При проучвания върху кучета след перорално и интравенозно приложение са установени ефекти върху сърдечно-съдовата система (леко покачване на </w:t>
      </w:r>
      <w:r w:rsidRPr="0022136D">
        <w:rPr>
          <w:rFonts w:eastAsia="Times New Roman" w:cs="Arial"/>
          <w:color w:val="000000"/>
          <w:szCs w:val="20"/>
          <w:lang w:val="en-US"/>
        </w:rPr>
        <w:t xml:space="preserve">S-T </w:t>
      </w:r>
      <w:r w:rsidRPr="0022136D">
        <w:rPr>
          <w:rFonts w:eastAsia="Times New Roman" w:cs="Arial"/>
          <w:color w:val="000000"/>
          <w:szCs w:val="20"/>
          <w:lang w:eastAsia="bg-BG"/>
        </w:rPr>
        <w:t xml:space="preserve">сегмента на ЕКГ [перорално приложение] и синусов арест при едно куче [интравенозно]). Те се </w:t>
      </w:r>
      <w:r w:rsidRPr="0022136D">
        <w:rPr>
          <w:rFonts w:eastAsia="Times New Roman" w:cs="Arial"/>
          <w:color w:val="000000"/>
          <w:szCs w:val="20"/>
          <w:lang w:eastAsia="bg-BG"/>
        </w:rPr>
        <w:lastRenderedPageBreak/>
        <w:t>наблюдават при експозиционни нива по-високи отколкото при пациентите (С</w:t>
      </w:r>
      <w:r w:rsidRPr="0022136D">
        <w:rPr>
          <w:rFonts w:eastAsia="Times New Roman" w:cs="Arial"/>
          <w:color w:val="000000"/>
          <w:szCs w:val="20"/>
          <w:lang w:val="en-US"/>
        </w:rPr>
        <w:t xml:space="preserve">max </w:t>
      </w:r>
      <w:r w:rsidRPr="0022136D">
        <w:rPr>
          <w:rFonts w:eastAsia="Times New Roman" w:cs="Arial"/>
          <w:color w:val="000000"/>
          <w:szCs w:val="20"/>
          <w:lang w:eastAsia="bg-BG"/>
        </w:rPr>
        <w:t>&gt;</w:t>
      </w:r>
      <w:r w:rsidRPr="0022136D">
        <w:rPr>
          <w:rFonts w:eastAsia="Times New Roman" w:cs="Arial"/>
          <w:color w:val="000000"/>
          <w:szCs w:val="20"/>
          <w:lang w:val="en-US"/>
        </w:rPr>
        <w:t xml:space="preserve"> </w:t>
      </w:r>
      <w:r w:rsidRPr="0022136D">
        <w:rPr>
          <w:rFonts w:eastAsia="Times New Roman" w:cs="Arial"/>
          <w:color w:val="000000"/>
          <w:szCs w:val="20"/>
          <w:lang w:eastAsia="bg-BG"/>
        </w:rPr>
        <w:t>15 пъти) и вероятно са с ограничено значение за сигурността при хора при прилагане на клинична доза.</w:t>
      </w:r>
    </w:p>
    <w:p w14:paraId="62A57AD7" w14:textId="77777777" w:rsidR="0022136D" w:rsidRPr="004A1844" w:rsidRDefault="0022136D" w:rsidP="0022136D">
      <w:pPr>
        <w:spacing w:line="240" w:lineRule="auto"/>
        <w:rPr>
          <w:rFonts w:eastAsia="Times New Roman" w:cs="Arial"/>
          <w:color w:val="000000"/>
          <w:szCs w:val="20"/>
          <w:lang w:eastAsia="bg-BG"/>
        </w:rPr>
      </w:pPr>
    </w:p>
    <w:p w14:paraId="350AF05E" w14:textId="1BDC0481" w:rsidR="0022136D" w:rsidRPr="0022136D" w:rsidRDefault="0022136D" w:rsidP="0022136D">
      <w:pPr>
        <w:spacing w:line="240" w:lineRule="auto"/>
        <w:rPr>
          <w:rFonts w:eastAsia="Times New Roman" w:cs="Arial"/>
          <w:sz w:val="28"/>
          <w:szCs w:val="24"/>
          <w:lang w:eastAsia="bg-BG"/>
        </w:rPr>
      </w:pPr>
      <w:r w:rsidRPr="0022136D">
        <w:rPr>
          <w:rFonts w:eastAsia="Times New Roman" w:cs="Arial"/>
          <w:color w:val="000000"/>
          <w:szCs w:val="20"/>
          <w:lang w:eastAsia="bg-BG"/>
        </w:rPr>
        <w:t>Фулвестрант няма генотоксичен потенциал.</w:t>
      </w:r>
    </w:p>
    <w:p w14:paraId="6B2522B6" w14:textId="77777777" w:rsidR="004A1844" w:rsidRPr="004A1844" w:rsidRDefault="004A1844" w:rsidP="0022136D">
      <w:pPr>
        <w:spacing w:line="240" w:lineRule="auto"/>
        <w:rPr>
          <w:rFonts w:eastAsia="Times New Roman" w:cs="Arial"/>
          <w:color w:val="000000"/>
          <w:szCs w:val="20"/>
          <w:lang w:eastAsia="bg-BG"/>
        </w:rPr>
      </w:pPr>
    </w:p>
    <w:p w14:paraId="7FB407B5" w14:textId="38C4A61B" w:rsidR="0022136D" w:rsidRPr="0022136D" w:rsidRDefault="0022136D" w:rsidP="0022136D">
      <w:pPr>
        <w:spacing w:line="240" w:lineRule="auto"/>
        <w:rPr>
          <w:rFonts w:eastAsia="Times New Roman" w:cs="Arial"/>
          <w:sz w:val="28"/>
          <w:szCs w:val="24"/>
          <w:lang w:eastAsia="bg-BG"/>
        </w:rPr>
      </w:pPr>
      <w:r w:rsidRPr="0022136D">
        <w:rPr>
          <w:rFonts w:eastAsia="Times New Roman" w:cs="Arial"/>
          <w:color w:val="000000"/>
          <w:szCs w:val="20"/>
          <w:lang w:eastAsia="bg-BG"/>
        </w:rPr>
        <w:t>Фулвестрант показва ефекти върху репродукцията и ембрио/феталното развитие, които са в съответствие с неговата антиестрогенна активност, в дози сходни с клиничната. При плъхове са наблюдавани обратимо понижение на женската фертилност и преживяемост на ембриона, дистокия и увеличен риск от фетални аномалии, включително на тарзалната става. Зайци, на които е даван фулвестрант, не задържат бременността. Забелязани са увеличение на теглото на плацентата и постимплантационна загуба на фетуса. Има увеличен риск от фетални вариации при зайци (изместване назад на тазовия пръстен и 27 пресакрален прешлен).</w:t>
      </w:r>
    </w:p>
    <w:p w14:paraId="7E0B8AE2" w14:textId="77777777" w:rsidR="0022136D" w:rsidRPr="004A1844" w:rsidRDefault="0022136D" w:rsidP="0022136D">
      <w:pPr>
        <w:spacing w:line="240" w:lineRule="auto"/>
        <w:rPr>
          <w:rFonts w:eastAsia="Times New Roman" w:cs="Arial"/>
          <w:color w:val="000000"/>
          <w:szCs w:val="20"/>
          <w:lang w:eastAsia="bg-BG"/>
        </w:rPr>
      </w:pPr>
    </w:p>
    <w:p w14:paraId="3898A87C" w14:textId="7FD734A5" w:rsidR="0022136D" w:rsidRPr="0022136D" w:rsidRDefault="0022136D" w:rsidP="0022136D">
      <w:pPr>
        <w:spacing w:line="240" w:lineRule="auto"/>
        <w:rPr>
          <w:rFonts w:eastAsia="Times New Roman" w:cs="Arial"/>
          <w:sz w:val="28"/>
          <w:szCs w:val="24"/>
          <w:lang w:eastAsia="bg-BG"/>
        </w:rPr>
      </w:pPr>
      <w:r w:rsidRPr="0022136D">
        <w:rPr>
          <w:rFonts w:eastAsia="Times New Roman" w:cs="Arial"/>
          <w:color w:val="000000"/>
          <w:szCs w:val="20"/>
          <w:lang w:eastAsia="bg-BG"/>
        </w:rPr>
        <w:t xml:space="preserve">Двугодишно проучване за онкогенност при плъхове (интрамускулно приложение на фулвестрант) показва увеличена честота на доброкачествени яйчникови гранулозно-клетъчни тумори при женски плъхове при високата доза 10 </w:t>
      </w:r>
      <w:r w:rsidRPr="0022136D">
        <w:rPr>
          <w:rFonts w:eastAsia="Times New Roman" w:cs="Arial"/>
          <w:color w:val="000000"/>
          <w:szCs w:val="20"/>
          <w:lang w:val="en-US"/>
        </w:rPr>
        <w:t>mg</w:t>
      </w:r>
      <w:r w:rsidRPr="0022136D">
        <w:rPr>
          <w:rFonts w:eastAsia="Times New Roman" w:cs="Arial"/>
          <w:color w:val="000000"/>
          <w:szCs w:val="20"/>
          <w:lang w:eastAsia="bg-BG"/>
        </w:rPr>
        <w:t xml:space="preserve">/плъх/15 дни и увеличена честота на тестикул ни Лайдигови тумори при мъжките. В двугодишно проучване при мишки за онкогенност (с ежедневно перорално приложение) се установява повишена честота на овариални стромални тумори от полови върви (както доброкачествени, така и злокачествени) при дози от 150 и 500 </w:t>
      </w:r>
      <w:r w:rsidRPr="0022136D">
        <w:rPr>
          <w:rFonts w:eastAsia="Times New Roman" w:cs="Arial"/>
          <w:color w:val="000000"/>
          <w:szCs w:val="20"/>
          <w:lang w:val="en-US"/>
        </w:rPr>
        <w:t>mg/kg</w:t>
      </w:r>
      <w:r w:rsidRPr="0022136D">
        <w:rPr>
          <w:rFonts w:eastAsia="Times New Roman" w:cs="Arial"/>
          <w:color w:val="000000"/>
          <w:szCs w:val="20"/>
          <w:lang w:eastAsia="bg-BG"/>
        </w:rPr>
        <w:t xml:space="preserve">/дневно. На ниво, при което по тези данни не се установява ефект, нивата на системна експозиция </w:t>
      </w:r>
      <w:r w:rsidRPr="0022136D">
        <w:rPr>
          <w:rFonts w:eastAsia="Times New Roman" w:cs="Arial"/>
          <w:color w:val="000000"/>
          <w:szCs w:val="20"/>
          <w:lang w:val="en-US"/>
        </w:rPr>
        <w:t xml:space="preserve">(AUC) </w:t>
      </w:r>
      <w:r w:rsidRPr="0022136D">
        <w:rPr>
          <w:rFonts w:eastAsia="Times New Roman" w:cs="Arial"/>
          <w:color w:val="000000"/>
          <w:szCs w:val="20"/>
          <w:lang w:eastAsia="bg-BG"/>
        </w:rPr>
        <w:t>при плъхове са приблизително 1,5 пъти по-високи от очакваните нива на експозиция при хора при жени, и 0,8 пъти по-високи от очакваните нива на експозиция както при мъже, така и при жени. Индукцията на такива тумори се дължи на фармакологично обусловените ендокринни промени по механизма на обратната връзка на нивата на гонадотропините, дължащи се на антиестрогените при животните с еструс. Ето защо се смята, че тези находки нямат отношение към приложението на фулвестрант при постменопаузални жени с напреднал рак на гърдата.</w:t>
      </w:r>
    </w:p>
    <w:p w14:paraId="3EBD50F2" w14:textId="77777777" w:rsidR="0022136D" w:rsidRPr="004A1844" w:rsidRDefault="0022136D" w:rsidP="0022136D">
      <w:pPr>
        <w:spacing w:line="240" w:lineRule="auto"/>
        <w:rPr>
          <w:rFonts w:eastAsia="Times New Roman" w:cs="Arial"/>
          <w:color w:val="000000"/>
          <w:szCs w:val="20"/>
          <w:u w:val="single"/>
          <w:lang w:eastAsia="bg-BG"/>
        </w:rPr>
      </w:pPr>
    </w:p>
    <w:p w14:paraId="53846F18" w14:textId="0A5D777B" w:rsidR="0022136D" w:rsidRPr="0022136D" w:rsidRDefault="0022136D" w:rsidP="0022136D">
      <w:pPr>
        <w:spacing w:line="240" w:lineRule="auto"/>
        <w:rPr>
          <w:rFonts w:eastAsia="Times New Roman" w:cs="Arial"/>
          <w:sz w:val="28"/>
          <w:szCs w:val="24"/>
          <w:lang w:eastAsia="bg-BG"/>
        </w:rPr>
      </w:pPr>
      <w:r w:rsidRPr="0022136D">
        <w:rPr>
          <w:rFonts w:eastAsia="Times New Roman" w:cs="Arial"/>
          <w:color w:val="000000"/>
          <w:szCs w:val="20"/>
          <w:u w:val="single"/>
          <w:lang w:eastAsia="bg-BG"/>
        </w:rPr>
        <w:t xml:space="preserve">Оценка на риска за околната среда </w:t>
      </w:r>
      <w:r w:rsidRPr="0022136D">
        <w:rPr>
          <w:rFonts w:eastAsia="Times New Roman" w:cs="Arial"/>
          <w:color w:val="000000"/>
          <w:szCs w:val="20"/>
          <w:u w:val="single"/>
          <w:lang w:val="en-US"/>
        </w:rPr>
        <w:t>(ERA)</w:t>
      </w:r>
    </w:p>
    <w:p w14:paraId="3FA1EC15" w14:textId="3EFA55FA" w:rsidR="0022136D" w:rsidRPr="004A1844" w:rsidRDefault="0022136D" w:rsidP="0022136D">
      <w:pPr>
        <w:rPr>
          <w:rFonts w:cs="Arial"/>
          <w:sz w:val="24"/>
        </w:rPr>
      </w:pPr>
      <w:r w:rsidRPr="004A1844">
        <w:rPr>
          <w:rFonts w:eastAsia="Times New Roman" w:cs="Arial"/>
          <w:color w:val="000000"/>
          <w:szCs w:val="20"/>
          <w:lang w:eastAsia="bg-BG"/>
        </w:rPr>
        <w:t xml:space="preserve">Проучванията на оценката на риска за околната среда </w:t>
      </w:r>
      <w:r w:rsidR="00C23C68">
        <w:rPr>
          <w:rFonts w:eastAsia="Times New Roman" w:cs="Arial"/>
          <w:color w:val="000000"/>
          <w:szCs w:val="20"/>
          <w:lang w:eastAsia="bg-BG"/>
        </w:rPr>
        <w:t>демонстрир</w:t>
      </w:r>
      <w:r w:rsidRPr="004A1844">
        <w:rPr>
          <w:rFonts w:eastAsia="Times New Roman" w:cs="Arial"/>
          <w:color w:val="000000"/>
          <w:szCs w:val="20"/>
          <w:lang w:eastAsia="bg-BG"/>
        </w:rPr>
        <w:t>ат, че фулвестрант потенциал</w:t>
      </w:r>
      <w:r w:rsidR="00C23C68">
        <w:rPr>
          <w:rFonts w:eastAsia="Times New Roman" w:cs="Arial"/>
          <w:color w:val="000000"/>
          <w:szCs w:val="20"/>
          <w:lang w:eastAsia="bg-BG"/>
        </w:rPr>
        <w:t>но може да причини вредни ефекти върху водните</w:t>
      </w:r>
      <w:r w:rsidRPr="004A1844">
        <w:rPr>
          <w:rFonts w:eastAsia="Times New Roman" w:cs="Arial"/>
          <w:color w:val="000000"/>
          <w:szCs w:val="20"/>
          <w:lang w:eastAsia="bg-BG"/>
        </w:rPr>
        <w:t xml:space="preserve"> (вж. точка 6.6).</w:t>
      </w:r>
    </w:p>
    <w:p w14:paraId="63CAEBEA" w14:textId="77777777" w:rsidR="0022136D" w:rsidRPr="0091385D" w:rsidRDefault="0022136D" w:rsidP="0091385D"/>
    <w:p w14:paraId="6A7820AB" w14:textId="353DB6D2" w:rsidR="008A6AF2" w:rsidRDefault="002C50EE" w:rsidP="00395555">
      <w:pPr>
        <w:pStyle w:val="Heading1"/>
      </w:pPr>
      <w:r>
        <w:t>7. ПРИТЕЖАТЕЛ НА РАЗРЕШЕНИЕТО ЗА УПОТРЕБА</w:t>
      </w:r>
    </w:p>
    <w:p w14:paraId="1B9B651E" w14:textId="3382E6AC" w:rsidR="0091385D" w:rsidRDefault="0091385D" w:rsidP="0091385D"/>
    <w:p w14:paraId="5EF4627B" w14:textId="6E579062" w:rsidR="004A1844" w:rsidRPr="004A1844" w:rsidRDefault="00913683" w:rsidP="004A1844">
      <w:pPr>
        <w:spacing w:line="240" w:lineRule="auto"/>
        <w:rPr>
          <w:rFonts w:eastAsia="Times New Roman" w:cs="Arial"/>
          <w:sz w:val="28"/>
          <w:szCs w:val="24"/>
          <w:lang w:eastAsia="bg-BG"/>
        </w:rPr>
      </w:pPr>
      <w:proofErr w:type="spellStart"/>
      <w:r>
        <w:rPr>
          <w:rFonts w:eastAsia="Times New Roman" w:cs="Arial"/>
          <w:color w:val="000000"/>
          <w:szCs w:val="20"/>
          <w:lang w:val="en-US"/>
        </w:rPr>
        <w:t>Teva</w:t>
      </w:r>
      <w:proofErr w:type="spellEnd"/>
      <w:r>
        <w:rPr>
          <w:rFonts w:eastAsia="Times New Roman" w:cs="Arial"/>
          <w:color w:val="000000"/>
          <w:szCs w:val="20"/>
          <w:lang w:val="en-US"/>
        </w:rPr>
        <w:t xml:space="preserve"> B.V.</w:t>
      </w:r>
    </w:p>
    <w:p w14:paraId="22621DBA" w14:textId="1DB37A32" w:rsidR="004A1844" w:rsidRPr="00913683" w:rsidRDefault="00913683" w:rsidP="004A1844">
      <w:pPr>
        <w:rPr>
          <w:rFonts w:eastAsia="Times New Roman" w:cs="Arial"/>
          <w:color w:val="000000"/>
          <w:szCs w:val="20"/>
          <w:lang w:val="en-US" w:eastAsia="bg-BG"/>
        </w:rPr>
      </w:pPr>
      <w:proofErr w:type="spellStart"/>
      <w:r>
        <w:rPr>
          <w:rFonts w:eastAsia="Times New Roman" w:cs="Arial"/>
          <w:color w:val="000000"/>
          <w:szCs w:val="20"/>
          <w:lang w:val="en-US" w:eastAsia="bg-BG"/>
        </w:rPr>
        <w:t>Swensweg</w:t>
      </w:r>
      <w:proofErr w:type="spellEnd"/>
      <w:r>
        <w:rPr>
          <w:rFonts w:eastAsia="Times New Roman" w:cs="Arial"/>
          <w:color w:val="000000"/>
          <w:szCs w:val="20"/>
          <w:lang w:val="en-US" w:eastAsia="bg-BG"/>
        </w:rPr>
        <w:t xml:space="preserve"> 5, 2031 GA Haarlem</w:t>
      </w:r>
    </w:p>
    <w:p w14:paraId="3FD825DB" w14:textId="7B83F0FF" w:rsidR="0091385D" w:rsidRPr="004A1844" w:rsidRDefault="00913683" w:rsidP="004A1844">
      <w:pPr>
        <w:rPr>
          <w:rFonts w:eastAsia="Times New Roman" w:cs="Arial"/>
          <w:color w:val="000000"/>
          <w:szCs w:val="20"/>
          <w:lang w:eastAsia="bg-BG"/>
        </w:rPr>
      </w:pPr>
      <w:r>
        <w:rPr>
          <w:rFonts w:eastAsia="Times New Roman" w:cs="Arial"/>
          <w:color w:val="000000"/>
          <w:szCs w:val="20"/>
          <w:lang w:eastAsia="bg-BG"/>
        </w:rPr>
        <w:t>Нидерландия</w:t>
      </w:r>
    </w:p>
    <w:p w14:paraId="129C7566" w14:textId="77777777" w:rsidR="0091385D" w:rsidRPr="0091385D" w:rsidRDefault="0091385D" w:rsidP="0091385D"/>
    <w:p w14:paraId="7BA1BA64" w14:textId="17509450" w:rsidR="00CF77F7" w:rsidRDefault="002C50EE" w:rsidP="004A448E">
      <w:pPr>
        <w:pStyle w:val="Heading1"/>
      </w:pPr>
      <w:r>
        <w:t>8. НОМЕР НА РАЗРЕШЕНИЕТО ЗА УПОТРЕБА</w:t>
      </w:r>
    </w:p>
    <w:p w14:paraId="095674C4" w14:textId="54CA436A" w:rsidR="0091385D" w:rsidRDefault="0091385D" w:rsidP="0091385D"/>
    <w:p w14:paraId="6E892CE5" w14:textId="737E37CA" w:rsidR="0091385D" w:rsidRPr="004A1844" w:rsidRDefault="004A1844" w:rsidP="0091385D">
      <w:pPr>
        <w:rPr>
          <w:rFonts w:cs="Arial"/>
          <w:sz w:val="24"/>
        </w:rPr>
      </w:pPr>
      <w:proofErr w:type="spellStart"/>
      <w:r w:rsidRPr="004A1844">
        <w:rPr>
          <w:rFonts w:cs="Arial"/>
          <w:szCs w:val="20"/>
          <w:lang w:val="en-US"/>
        </w:rPr>
        <w:t>Pe</w:t>
      </w:r>
      <w:proofErr w:type="spellEnd"/>
      <w:r w:rsidR="00913683">
        <w:rPr>
          <w:rFonts w:cs="Arial"/>
          <w:szCs w:val="20"/>
        </w:rPr>
        <w:t xml:space="preserve">г. </w:t>
      </w:r>
      <w:r w:rsidR="00913683" w:rsidRPr="00913683">
        <w:rPr>
          <w:rFonts w:cs="Arial"/>
          <w:szCs w:val="20"/>
        </w:rPr>
        <w:t>№</w:t>
      </w:r>
      <w:r w:rsidRPr="004A1844">
        <w:rPr>
          <w:rFonts w:cs="Arial"/>
          <w:szCs w:val="20"/>
          <w:lang w:val="en-US"/>
        </w:rPr>
        <w:t xml:space="preserve">: </w:t>
      </w:r>
      <w:r w:rsidRPr="004A1844">
        <w:rPr>
          <w:rFonts w:cs="Arial"/>
          <w:szCs w:val="20"/>
        </w:rPr>
        <w:t>201</w:t>
      </w:r>
      <w:r w:rsidR="00913683">
        <w:rPr>
          <w:rFonts w:cs="Arial"/>
          <w:szCs w:val="20"/>
        </w:rPr>
        <w:t>60121</w:t>
      </w:r>
    </w:p>
    <w:p w14:paraId="62EF7F8B" w14:textId="77777777" w:rsidR="0091385D" w:rsidRPr="0091385D" w:rsidRDefault="0091385D" w:rsidP="0091385D"/>
    <w:p w14:paraId="2CCB5832" w14:textId="18FCD95B" w:rsidR="007C605B" w:rsidRDefault="002C50EE" w:rsidP="007C605B">
      <w:pPr>
        <w:pStyle w:val="Heading1"/>
      </w:pPr>
      <w:r>
        <w:lastRenderedPageBreak/>
        <w:t>9. ДАТА НА ПЪРВО РАЗРЕШАВАНЕ/ПОДНОВЯВАНЕ НА РАЗРЕШЕНИЕТО ЗА УПОТРЕБА</w:t>
      </w:r>
    </w:p>
    <w:p w14:paraId="372B3414" w14:textId="0F79A9B4" w:rsidR="0091385D" w:rsidRDefault="0091385D" w:rsidP="0091385D"/>
    <w:p w14:paraId="497007FA" w14:textId="5D0A5448" w:rsidR="0091385D" w:rsidRPr="004A1844" w:rsidRDefault="004A1844" w:rsidP="0091385D">
      <w:pPr>
        <w:rPr>
          <w:rFonts w:cs="Arial"/>
        </w:rPr>
      </w:pPr>
      <w:r w:rsidRPr="004A1844">
        <w:rPr>
          <w:rFonts w:cs="Arial"/>
          <w:szCs w:val="20"/>
        </w:rPr>
        <w:t>Дата на първ</w:t>
      </w:r>
      <w:r w:rsidR="00913683">
        <w:rPr>
          <w:rFonts w:cs="Arial"/>
          <w:szCs w:val="20"/>
        </w:rPr>
        <w:t>о разрешаване: 13</w:t>
      </w:r>
      <w:r w:rsidRPr="004A1844">
        <w:rPr>
          <w:rFonts w:cs="Arial"/>
          <w:szCs w:val="20"/>
        </w:rPr>
        <w:t>.</w:t>
      </w:r>
      <w:r w:rsidR="00913683">
        <w:rPr>
          <w:rFonts w:cs="Arial"/>
          <w:szCs w:val="20"/>
        </w:rPr>
        <w:t>04.2016 г.</w:t>
      </w:r>
    </w:p>
    <w:p w14:paraId="0A56E09D" w14:textId="77777777" w:rsidR="0091385D" w:rsidRPr="0091385D" w:rsidRDefault="0091385D" w:rsidP="0091385D"/>
    <w:p w14:paraId="0E9D0119" w14:textId="1FEC128A" w:rsidR="002C50EE" w:rsidRDefault="002C50EE" w:rsidP="002C50EE">
      <w:pPr>
        <w:pStyle w:val="Heading1"/>
      </w:pPr>
      <w:r>
        <w:t>10. ДАТА НА АКТУАЛИЗИРАНЕ НА ТЕКСТА</w:t>
      </w:r>
    </w:p>
    <w:p w14:paraId="3E8FFCC4" w14:textId="34E0D3BB" w:rsidR="0091385D" w:rsidRDefault="0091385D" w:rsidP="0091385D"/>
    <w:p w14:paraId="6B00148E" w14:textId="77777777" w:rsidR="0091385D" w:rsidRPr="0091385D" w:rsidRDefault="0091385D" w:rsidP="0091385D"/>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0"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023DE"/>
    <w:multiLevelType w:val="hybridMultilevel"/>
    <w:tmpl w:val="626A198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0C54069"/>
    <w:multiLevelType w:val="hybridMultilevel"/>
    <w:tmpl w:val="6B8067E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7"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2"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9C08DC"/>
    <w:multiLevelType w:val="hybridMultilevel"/>
    <w:tmpl w:val="41606F02"/>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107499"/>
    <w:multiLevelType w:val="hybridMultilevel"/>
    <w:tmpl w:val="B7801AA4"/>
    <w:lvl w:ilvl="0" w:tplc="96C69F06">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4"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9"/>
  </w:num>
  <w:num w:numId="2">
    <w:abstractNumId w:val="0"/>
  </w:num>
  <w:num w:numId="3">
    <w:abstractNumId w:val="12"/>
  </w:num>
  <w:num w:numId="4">
    <w:abstractNumId w:val="3"/>
  </w:num>
  <w:num w:numId="5">
    <w:abstractNumId w:val="1"/>
  </w:num>
  <w:num w:numId="6">
    <w:abstractNumId w:val="17"/>
  </w:num>
  <w:num w:numId="7">
    <w:abstractNumId w:val="10"/>
  </w:num>
  <w:num w:numId="8">
    <w:abstractNumId w:val="16"/>
  </w:num>
  <w:num w:numId="9">
    <w:abstractNumId w:val="2"/>
  </w:num>
  <w:num w:numId="10">
    <w:abstractNumId w:val="4"/>
  </w:num>
  <w:num w:numId="11">
    <w:abstractNumId w:val="32"/>
  </w:num>
  <w:num w:numId="12">
    <w:abstractNumId w:val="15"/>
  </w:num>
  <w:num w:numId="13">
    <w:abstractNumId w:val="20"/>
  </w:num>
  <w:num w:numId="14">
    <w:abstractNumId w:val="11"/>
  </w:num>
  <w:num w:numId="15">
    <w:abstractNumId w:val="31"/>
  </w:num>
  <w:num w:numId="16">
    <w:abstractNumId w:val="9"/>
  </w:num>
  <w:num w:numId="17">
    <w:abstractNumId w:val="25"/>
  </w:num>
  <w:num w:numId="18">
    <w:abstractNumId w:val="7"/>
  </w:num>
  <w:num w:numId="19">
    <w:abstractNumId w:val="28"/>
  </w:num>
  <w:num w:numId="20">
    <w:abstractNumId w:val="24"/>
  </w:num>
  <w:num w:numId="21">
    <w:abstractNumId w:val="18"/>
  </w:num>
  <w:num w:numId="22">
    <w:abstractNumId w:val="26"/>
  </w:num>
  <w:num w:numId="23">
    <w:abstractNumId w:val="19"/>
  </w:num>
  <w:num w:numId="24">
    <w:abstractNumId w:val="8"/>
  </w:num>
  <w:num w:numId="25">
    <w:abstractNumId w:val="23"/>
  </w:num>
  <w:num w:numId="26">
    <w:abstractNumId w:val="22"/>
  </w:num>
  <w:num w:numId="27">
    <w:abstractNumId w:val="34"/>
  </w:num>
  <w:num w:numId="28">
    <w:abstractNumId w:val="6"/>
  </w:num>
  <w:num w:numId="29">
    <w:abstractNumId w:val="21"/>
  </w:num>
  <w:num w:numId="30">
    <w:abstractNumId w:val="37"/>
  </w:num>
  <w:num w:numId="31">
    <w:abstractNumId w:val="5"/>
  </w:num>
  <w:num w:numId="32">
    <w:abstractNumId w:val="36"/>
  </w:num>
  <w:num w:numId="33">
    <w:abstractNumId w:val="30"/>
  </w:num>
  <w:num w:numId="34">
    <w:abstractNumId w:val="35"/>
  </w:num>
  <w:num w:numId="35">
    <w:abstractNumId w:val="13"/>
  </w:num>
  <w:num w:numId="36">
    <w:abstractNumId w:val="14"/>
  </w:num>
  <w:num w:numId="37">
    <w:abstractNumId w:val="27"/>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022F4A"/>
    <w:rsid w:val="000B68C8"/>
    <w:rsid w:val="00185A46"/>
    <w:rsid w:val="001915B6"/>
    <w:rsid w:val="00194D56"/>
    <w:rsid w:val="001D1A3E"/>
    <w:rsid w:val="001D1B23"/>
    <w:rsid w:val="0022136D"/>
    <w:rsid w:val="00256EBB"/>
    <w:rsid w:val="002B3C38"/>
    <w:rsid w:val="002B4DBB"/>
    <w:rsid w:val="002C50EE"/>
    <w:rsid w:val="002D7718"/>
    <w:rsid w:val="00340A0A"/>
    <w:rsid w:val="00361985"/>
    <w:rsid w:val="003765DC"/>
    <w:rsid w:val="00395555"/>
    <w:rsid w:val="003E3126"/>
    <w:rsid w:val="00426E5F"/>
    <w:rsid w:val="0044382E"/>
    <w:rsid w:val="004A1844"/>
    <w:rsid w:val="004A448E"/>
    <w:rsid w:val="004D4D6B"/>
    <w:rsid w:val="004F1CE7"/>
    <w:rsid w:val="004F498A"/>
    <w:rsid w:val="00517A5B"/>
    <w:rsid w:val="00522385"/>
    <w:rsid w:val="00593A00"/>
    <w:rsid w:val="005A66D9"/>
    <w:rsid w:val="005C3D20"/>
    <w:rsid w:val="00605BCA"/>
    <w:rsid w:val="006158A1"/>
    <w:rsid w:val="00617B1F"/>
    <w:rsid w:val="00672487"/>
    <w:rsid w:val="00672600"/>
    <w:rsid w:val="00681D4A"/>
    <w:rsid w:val="00685882"/>
    <w:rsid w:val="00722B5E"/>
    <w:rsid w:val="0075649D"/>
    <w:rsid w:val="007C605B"/>
    <w:rsid w:val="008134C8"/>
    <w:rsid w:val="00814073"/>
    <w:rsid w:val="00826F0D"/>
    <w:rsid w:val="00852A5A"/>
    <w:rsid w:val="00893B92"/>
    <w:rsid w:val="008A0E10"/>
    <w:rsid w:val="008A6AF2"/>
    <w:rsid w:val="008C464A"/>
    <w:rsid w:val="008C70A2"/>
    <w:rsid w:val="008F1AF3"/>
    <w:rsid w:val="00913683"/>
    <w:rsid w:val="0091385D"/>
    <w:rsid w:val="009164B2"/>
    <w:rsid w:val="009419BC"/>
    <w:rsid w:val="009773E4"/>
    <w:rsid w:val="009B171C"/>
    <w:rsid w:val="009F1313"/>
    <w:rsid w:val="00A20351"/>
    <w:rsid w:val="00A34059"/>
    <w:rsid w:val="00A65A81"/>
    <w:rsid w:val="00A73575"/>
    <w:rsid w:val="00A82EBE"/>
    <w:rsid w:val="00AA23EC"/>
    <w:rsid w:val="00AC63CE"/>
    <w:rsid w:val="00AE2107"/>
    <w:rsid w:val="00AE4DFB"/>
    <w:rsid w:val="00B13840"/>
    <w:rsid w:val="00B275A8"/>
    <w:rsid w:val="00B47ABB"/>
    <w:rsid w:val="00B65011"/>
    <w:rsid w:val="00B836BA"/>
    <w:rsid w:val="00BF2600"/>
    <w:rsid w:val="00C0049F"/>
    <w:rsid w:val="00C07B84"/>
    <w:rsid w:val="00C23C68"/>
    <w:rsid w:val="00C33464"/>
    <w:rsid w:val="00C40420"/>
    <w:rsid w:val="00C809A7"/>
    <w:rsid w:val="00C83063"/>
    <w:rsid w:val="00C838E4"/>
    <w:rsid w:val="00C87E90"/>
    <w:rsid w:val="00CA1B57"/>
    <w:rsid w:val="00CF77F7"/>
    <w:rsid w:val="00D006DD"/>
    <w:rsid w:val="00D26BBC"/>
    <w:rsid w:val="00D86297"/>
    <w:rsid w:val="00DD466D"/>
    <w:rsid w:val="00EB6364"/>
    <w:rsid w:val="00F37B64"/>
    <w:rsid w:val="00FD69E8"/>
    <w:rsid w:val="00FE5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6981</Words>
  <Characters>39796</Characters>
  <Application>Microsoft Office Word</Application>
  <DocSecurity>0</DocSecurity>
  <Lines>331</Lines>
  <Paragraphs>93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3</cp:revision>
  <dcterms:created xsi:type="dcterms:W3CDTF">2022-10-06T15:34:00Z</dcterms:created>
  <dcterms:modified xsi:type="dcterms:W3CDTF">2022-10-06T18:01:00Z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