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75CB604A" w14:textId="77777777" w:rsidR="00463F82" w:rsidRPr="00463F82" w:rsidRDefault="00463F82" w:rsidP="00463F82">
      <w:pPr>
        <w:spacing w:line="240" w:lineRule="auto"/>
        <w:rPr>
          <w:rFonts w:eastAsia="Times New Roman" w:cs="Arial"/>
          <w:sz w:val="24"/>
          <w:szCs w:val="24"/>
          <w:lang w:val="en-US" w:eastAsia="bg-BG"/>
        </w:rPr>
      </w:pPr>
      <w:r w:rsidRPr="00463F82">
        <w:rPr>
          <w:rFonts w:eastAsia="Times New Roman" w:cs="Arial"/>
          <w:color w:val="000000"/>
          <w:lang w:eastAsia="bg-BG"/>
        </w:rPr>
        <w:t xml:space="preserve">Фунгокал 150 </w:t>
      </w:r>
      <w:r w:rsidRPr="00463F82">
        <w:rPr>
          <w:rFonts w:eastAsia="Times New Roman" w:cs="Arial"/>
          <w:color w:val="000000"/>
          <w:lang w:val="en-US"/>
        </w:rPr>
        <w:t xml:space="preserve">mg </w:t>
      </w:r>
      <w:r w:rsidRPr="00463F82">
        <w:rPr>
          <w:rFonts w:eastAsia="Times New Roman" w:cs="Arial"/>
          <w:color w:val="000000"/>
          <w:lang w:eastAsia="bg-BG"/>
        </w:rPr>
        <w:t>твърди капсули</w:t>
      </w:r>
    </w:p>
    <w:p w14:paraId="1639E841" w14:textId="77777777" w:rsidR="00463F82" w:rsidRPr="00463F82" w:rsidRDefault="00463F82" w:rsidP="00463F82">
      <w:pPr>
        <w:spacing w:line="240" w:lineRule="auto"/>
        <w:rPr>
          <w:rFonts w:eastAsia="Times New Roman" w:cs="Arial"/>
          <w:sz w:val="24"/>
          <w:szCs w:val="24"/>
          <w:lang w:val="en-US" w:eastAsia="bg-BG"/>
        </w:rPr>
      </w:pPr>
      <w:proofErr w:type="spellStart"/>
      <w:r w:rsidRPr="00463F82">
        <w:rPr>
          <w:rFonts w:eastAsia="Times New Roman" w:cs="Arial"/>
          <w:color w:val="000000"/>
          <w:lang w:val="en-US"/>
        </w:rPr>
        <w:t>Fungocap</w:t>
      </w:r>
      <w:proofErr w:type="spellEnd"/>
      <w:r w:rsidRPr="00463F82">
        <w:rPr>
          <w:rFonts w:eastAsia="Times New Roman" w:cs="Arial"/>
          <w:color w:val="000000"/>
          <w:lang w:val="en-US"/>
        </w:rPr>
        <w:t xml:space="preserve"> </w:t>
      </w:r>
      <w:r w:rsidRPr="00463F82">
        <w:rPr>
          <w:rFonts w:eastAsia="Times New Roman" w:cs="Arial"/>
          <w:color w:val="000000"/>
          <w:lang w:eastAsia="bg-BG"/>
        </w:rPr>
        <w:t xml:space="preserve">150 </w:t>
      </w:r>
      <w:r w:rsidRPr="00463F82">
        <w:rPr>
          <w:rFonts w:eastAsia="Times New Roman" w:cs="Arial"/>
          <w:color w:val="000000"/>
          <w:lang w:val="en-US"/>
        </w:rPr>
        <w:t>mg hard capsules</w:t>
      </w:r>
    </w:p>
    <w:p w14:paraId="78B69ECC" w14:textId="77777777" w:rsidR="00463F82" w:rsidRPr="00463F82" w:rsidRDefault="00463F82" w:rsidP="00463F82">
      <w:pPr>
        <w:spacing w:line="240" w:lineRule="auto"/>
        <w:rPr>
          <w:rFonts w:eastAsia="Times New Roman" w:cs="Arial"/>
          <w:color w:val="000000"/>
          <w:lang w:eastAsia="bg-BG"/>
        </w:rPr>
      </w:pPr>
    </w:p>
    <w:p w14:paraId="468FB258" w14:textId="1EBAA0C6" w:rsidR="00463F82" w:rsidRPr="00463F82" w:rsidRDefault="00463F82" w:rsidP="00463F82">
      <w:pPr>
        <w:spacing w:line="240" w:lineRule="auto"/>
        <w:rPr>
          <w:rFonts w:eastAsia="Times New Roman" w:cs="Arial"/>
          <w:sz w:val="24"/>
          <w:szCs w:val="24"/>
          <w:lang w:val="en-US" w:eastAsia="bg-BG"/>
        </w:rPr>
      </w:pPr>
      <w:r w:rsidRPr="00463F82">
        <w:rPr>
          <w:rFonts w:eastAsia="Times New Roman" w:cs="Arial"/>
          <w:color w:val="000000"/>
          <w:lang w:eastAsia="bg-BG"/>
        </w:rPr>
        <w:t xml:space="preserve">Фунгокал </w:t>
      </w:r>
      <w:r w:rsidRPr="00463F82">
        <w:rPr>
          <w:rFonts w:eastAsia="Times New Roman" w:cs="Arial"/>
          <w:color w:val="000000"/>
          <w:lang w:val="en-US"/>
        </w:rPr>
        <w:t xml:space="preserve">200 mg </w:t>
      </w:r>
      <w:r w:rsidRPr="00463F82">
        <w:rPr>
          <w:rFonts w:eastAsia="Times New Roman" w:cs="Arial"/>
          <w:color w:val="000000"/>
          <w:lang w:eastAsia="bg-BG"/>
        </w:rPr>
        <w:t>твърди капсули</w:t>
      </w:r>
    </w:p>
    <w:p w14:paraId="69AC8148" w14:textId="11B9C4AB" w:rsidR="00EC41ED" w:rsidRPr="00463F82" w:rsidRDefault="00463F82" w:rsidP="00463F82">
      <w:pPr>
        <w:rPr>
          <w:rFonts w:cs="Arial"/>
        </w:rPr>
      </w:pPr>
      <w:proofErr w:type="spellStart"/>
      <w:r w:rsidRPr="00463F82">
        <w:rPr>
          <w:rFonts w:eastAsia="Times New Roman" w:cs="Arial"/>
          <w:color w:val="000000"/>
          <w:lang w:val="en-US"/>
        </w:rPr>
        <w:t>Fungocap</w:t>
      </w:r>
      <w:proofErr w:type="spellEnd"/>
      <w:r w:rsidRPr="00463F82">
        <w:rPr>
          <w:rFonts w:eastAsia="Times New Roman" w:cs="Arial"/>
          <w:color w:val="000000"/>
          <w:lang w:val="en-US"/>
        </w:rPr>
        <w:t xml:space="preserve"> </w:t>
      </w:r>
      <w:r w:rsidRPr="00463F82">
        <w:rPr>
          <w:rFonts w:eastAsia="Times New Roman" w:cs="Arial"/>
          <w:color w:val="000000"/>
          <w:lang w:eastAsia="bg-BG"/>
        </w:rPr>
        <w:t xml:space="preserve">200 </w:t>
      </w:r>
      <w:r w:rsidRPr="00463F82">
        <w:rPr>
          <w:rFonts w:eastAsia="Times New Roman" w:cs="Arial"/>
          <w:color w:val="000000"/>
          <w:lang w:val="en-US"/>
        </w:rPr>
        <w:t>mg hard capsules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691F0995"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 xml:space="preserve">Всяка твърда капсула Фунгокап 150 </w:t>
      </w:r>
      <w:r w:rsidRPr="00463F82">
        <w:rPr>
          <w:rFonts w:eastAsia="Times New Roman" w:cs="Arial"/>
          <w:color w:val="000000"/>
          <w:lang w:val="en-US"/>
        </w:rPr>
        <w:t xml:space="preserve">mg </w:t>
      </w:r>
      <w:r w:rsidRPr="00463F82">
        <w:rPr>
          <w:rFonts w:eastAsia="Times New Roman" w:cs="Arial"/>
          <w:color w:val="000000"/>
          <w:lang w:eastAsia="bg-BG"/>
        </w:rPr>
        <w:t>съдържа флуконазол (</w:t>
      </w:r>
      <w:r w:rsidRPr="00463F82">
        <w:rPr>
          <w:rFonts w:eastAsia="Times New Roman" w:cs="Arial"/>
          <w:i/>
          <w:iCs/>
          <w:color w:val="000000"/>
          <w:lang w:val="en-US"/>
        </w:rPr>
        <w:t>fluconazole)</w:t>
      </w:r>
      <w:r w:rsidRPr="00463F82">
        <w:rPr>
          <w:rFonts w:eastAsia="Times New Roman" w:cs="Arial"/>
          <w:color w:val="000000"/>
          <w:lang w:val="en-US"/>
        </w:rPr>
        <w:t xml:space="preserve"> </w:t>
      </w:r>
      <w:r w:rsidRPr="00463F82">
        <w:rPr>
          <w:rFonts w:eastAsia="Times New Roman" w:cs="Arial"/>
          <w:color w:val="000000"/>
          <w:lang w:eastAsia="bg-BG"/>
        </w:rPr>
        <w:t xml:space="preserve">150 </w:t>
      </w:r>
      <w:r w:rsidRPr="00463F82">
        <w:rPr>
          <w:rFonts w:eastAsia="Times New Roman" w:cs="Arial"/>
          <w:color w:val="000000"/>
          <w:lang w:val="en-US"/>
        </w:rPr>
        <w:t xml:space="preserve">mg. </w:t>
      </w:r>
      <w:r w:rsidRPr="00463F82">
        <w:rPr>
          <w:rFonts w:eastAsia="Times New Roman" w:cs="Arial"/>
          <w:color w:val="000000"/>
          <w:lang w:eastAsia="bg-BG"/>
        </w:rPr>
        <w:t xml:space="preserve">Помощни вещества с известно действие: всяка твърда капсула съдържа 123 </w:t>
      </w:r>
      <w:r w:rsidRPr="00463F82">
        <w:rPr>
          <w:rFonts w:eastAsia="Times New Roman" w:cs="Arial"/>
          <w:color w:val="000000"/>
          <w:lang w:val="en-US"/>
        </w:rPr>
        <w:t xml:space="preserve">mg </w:t>
      </w:r>
      <w:r w:rsidRPr="00463F82">
        <w:rPr>
          <w:rFonts w:eastAsia="Times New Roman" w:cs="Arial"/>
          <w:color w:val="000000"/>
          <w:lang w:eastAsia="bg-BG"/>
        </w:rPr>
        <w:t>лактоза монохидрат.</w:t>
      </w:r>
    </w:p>
    <w:p w14:paraId="09F5E336" w14:textId="77777777" w:rsidR="00463F82" w:rsidRPr="00463F82" w:rsidRDefault="00463F82" w:rsidP="00463F82">
      <w:pPr>
        <w:spacing w:line="240" w:lineRule="auto"/>
        <w:rPr>
          <w:rFonts w:eastAsia="Times New Roman" w:cs="Arial"/>
          <w:color w:val="000000"/>
          <w:lang w:eastAsia="bg-BG"/>
        </w:rPr>
      </w:pPr>
    </w:p>
    <w:p w14:paraId="66BF82DA" w14:textId="2646ECC4"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 xml:space="preserve">Всяка твърда капсула Фунгокап 200 </w:t>
      </w:r>
      <w:r w:rsidRPr="00463F82">
        <w:rPr>
          <w:rFonts w:eastAsia="Times New Roman" w:cs="Arial"/>
          <w:color w:val="000000"/>
          <w:lang w:val="en-US"/>
        </w:rPr>
        <w:t xml:space="preserve">mg </w:t>
      </w:r>
      <w:r w:rsidRPr="00463F82">
        <w:rPr>
          <w:rFonts w:eastAsia="Times New Roman" w:cs="Arial"/>
          <w:color w:val="000000"/>
          <w:lang w:eastAsia="bg-BG"/>
        </w:rPr>
        <w:t xml:space="preserve">съдържа флуконазол </w:t>
      </w:r>
      <w:r w:rsidRPr="00463F82">
        <w:rPr>
          <w:rFonts w:eastAsia="Times New Roman" w:cs="Arial"/>
          <w:i/>
          <w:iCs/>
          <w:color w:val="000000"/>
          <w:lang w:val="en-US"/>
        </w:rPr>
        <w:t>(fluconazole)</w:t>
      </w:r>
      <w:r w:rsidRPr="00463F82">
        <w:rPr>
          <w:rFonts w:eastAsia="Times New Roman" w:cs="Arial"/>
          <w:color w:val="000000"/>
          <w:lang w:val="en-US"/>
        </w:rPr>
        <w:t xml:space="preserve"> </w:t>
      </w:r>
      <w:r w:rsidRPr="00463F82">
        <w:rPr>
          <w:rFonts w:eastAsia="Times New Roman" w:cs="Arial"/>
          <w:color w:val="000000"/>
          <w:lang w:eastAsia="bg-BG"/>
        </w:rPr>
        <w:t xml:space="preserve">200 </w:t>
      </w:r>
      <w:r w:rsidRPr="00463F82">
        <w:rPr>
          <w:rFonts w:eastAsia="Times New Roman" w:cs="Arial"/>
          <w:color w:val="000000"/>
          <w:lang w:val="en-US"/>
        </w:rPr>
        <w:t>mg.</w:t>
      </w:r>
    </w:p>
    <w:p w14:paraId="5C0BCA59"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 xml:space="preserve">Помощни вещества с известно действие: всяка твърда капсула съдържа 164 </w:t>
      </w:r>
      <w:r w:rsidRPr="00463F82">
        <w:rPr>
          <w:rFonts w:eastAsia="Times New Roman" w:cs="Arial"/>
          <w:color w:val="000000"/>
          <w:lang w:val="en-US"/>
        </w:rPr>
        <w:t xml:space="preserve">mg </w:t>
      </w:r>
      <w:r w:rsidRPr="00463F82">
        <w:rPr>
          <w:rFonts w:eastAsia="Times New Roman" w:cs="Arial"/>
          <w:color w:val="000000"/>
          <w:lang w:eastAsia="bg-BG"/>
        </w:rPr>
        <w:t>лактоза монохидрат.</w:t>
      </w:r>
    </w:p>
    <w:p w14:paraId="22154D65" w14:textId="77777777" w:rsidR="00463F82" w:rsidRPr="00463F82" w:rsidRDefault="00463F82" w:rsidP="00463F82">
      <w:pPr>
        <w:rPr>
          <w:rFonts w:eastAsia="Times New Roman" w:cs="Arial"/>
          <w:color w:val="000000"/>
          <w:lang w:eastAsia="bg-BG"/>
        </w:rPr>
      </w:pPr>
    </w:p>
    <w:p w14:paraId="54632B43" w14:textId="0756A56F" w:rsidR="00EC41ED" w:rsidRPr="00463F82" w:rsidRDefault="00463F82" w:rsidP="00463F82">
      <w:pPr>
        <w:rPr>
          <w:rFonts w:cs="Arial"/>
        </w:rPr>
      </w:pPr>
      <w:r w:rsidRPr="00463F82">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2F1EFE87"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Твърди капсули.</w:t>
      </w:r>
    </w:p>
    <w:p w14:paraId="5E194ADC" w14:textId="77777777" w:rsidR="00463F82" w:rsidRPr="00463F82" w:rsidRDefault="00463F82" w:rsidP="00463F82">
      <w:pPr>
        <w:spacing w:line="240" w:lineRule="auto"/>
        <w:rPr>
          <w:rFonts w:eastAsia="Times New Roman" w:cs="Arial"/>
          <w:color w:val="000000"/>
          <w:u w:val="single"/>
          <w:lang w:eastAsia="bg-BG"/>
        </w:rPr>
      </w:pPr>
    </w:p>
    <w:p w14:paraId="531746F3" w14:textId="7616A733"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u w:val="single"/>
          <w:lang w:eastAsia="bg-BG"/>
        </w:rPr>
        <w:t xml:space="preserve">Фунгокап 150 </w:t>
      </w:r>
      <w:r w:rsidRPr="00463F82">
        <w:rPr>
          <w:rFonts w:eastAsia="Times New Roman" w:cs="Arial"/>
          <w:color w:val="000000"/>
          <w:u w:val="single"/>
          <w:lang w:val="en-US"/>
        </w:rPr>
        <w:t xml:space="preserve">mg </w:t>
      </w:r>
      <w:r w:rsidRPr="00463F82">
        <w:rPr>
          <w:rFonts w:eastAsia="Times New Roman" w:cs="Arial"/>
          <w:color w:val="000000"/>
          <w:u w:val="single"/>
          <w:lang w:eastAsia="bg-BG"/>
        </w:rPr>
        <w:t xml:space="preserve">твърди капсули </w:t>
      </w:r>
      <w:r w:rsidRPr="00463F82">
        <w:rPr>
          <w:rFonts w:eastAsia="Times New Roman" w:cs="Arial"/>
          <w:color w:val="000000"/>
          <w:lang w:eastAsia="bg-BG"/>
        </w:rPr>
        <w:t>Твърди желатинови капсули № 1, тяло - бяло; капаче - бяло. Съдържимо на капсулата: бял или почти бял прах.</w:t>
      </w:r>
    </w:p>
    <w:p w14:paraId="0B3B128D" w14:textId="77777777" w:rsidR="00463F82" w:rsidRPr="00463F82" w:rsidRDefault="00463F82" w:rsidP="00463F82">
      <w:pPr>
        <w:spacing w:line="240" w:lineRule="auto"/>
        <w:rPr>
          <w:rFonts w:eastAsia="Times New Roman" w:cs="Arial"/>
          <w:color w:val="000000"/>
          <w:u w:val="single"/>
          <w:lang w:eastAsia="bg-BG"/>
        </w:rPr>
      </w:pPr>
    </w:p>
    <w:p w14:paraId="3F09C42D" w14:textId="0B59B32A"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u w:val="single"/>
          <w:lang w:eastAsia="bg-BG"/>
        </w:rPr>
        <w:t xml:space="preserve">Фунгокап 200 </w:t>
      </w:r>
      <w:r w:rsidRPr="00463F82">
        <w:rPr>
          <w:rFonts w:eastAsia="Times New Roman" w:cs="Arial"/>
          <w:color w:val="000000"/>
          <w:u w:val="single"/>
          <w:lang w:val="en-US"/>
        </w:rPr>
        <w:t xml:space="preserve">mg </w:t>
      </w:r>
      <w:r w:rsidRPr="00463F82">
        <w:rPr>
          <w:rFonts w:eastAsia="Times New Roman" w:cs="Arial"/>
          <w:color w:val="000000"/>
          <w:u w:val="single"/>
          <w:lang w:eastAsia="bg-BG"/>
        </w:rPr>
        <w:t>твърди капсули</w:t>
      </w:r>
    </w:p>
    <w:p w14:paraId="74B7BB66"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Твърди желатинови капсули № 0, тяло - бледо жълто; капаче - бледо жълто.</w:t>
      </w:r>
    </w:p>
    <w:p w14:paraId="743244F0" w14:textId="479D3C14" w:rsidR="00EC41ED" w:rsidRPr="00463F82" w:rsidRDefault="00463F82" w:rsidP="00463F82">
      <w:pPr>
        <w:rPr>
          <w:rFonts w:cs="Arial"/>
        </w:rPr>
      </w:pPr>
      <w:r w:rsidRPr="00463F82">
        <w:rPr>
          <w:rFonts w:eastAsia="Times New Roman" w:cs="Arial"/>
          <w:color w:val="000000"/>
          <w:lang w:eastAsia="bg-BG"/>
        </w:rPr>
        <w:t>Съдържимо на капсулата: бял или почти бял прах.</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443D74F"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Фунгокап е показан при следните гьбични инфекции (вж. точка 5.1).</w:t>
      </w:r>
    </w:p>
    <w:p w14:paraId="30A63378" w14:textId="77777777" w:rsidR="00463F82" w:rsidRPr="00463F82" w:rsidRDefault="00463F82" w:rsidP="00463F82">
      <w:pPr>
        <w:spacing w:line="240" w:lineRule="auto"/>
        <w:rPr>
          <w:rFonts w:eastAsia="Times New Roman" w:cs="Arial"/>
          <w:color w:val="000000"/>
          <w:u w:val="single"/>
          <w:lang w:eastAsia="bg-BG"/>
        </w:rPr>
      </w:pPr>
    </w:p>
    <w:p w14:paraId="09A7ABC6" w14:textId="6E82F2B6"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u w:val="single"/>
          <w:lang w:eastAsia="bg-BG"/>
        </w:rPr>
        <w:t>Фунгокап е показан при възрастни за лечение на:</w:t>
      </w:r>
    </w:p>
    <w:p w14:paraId="499A1743" w14:textId="77777777" w:rsidR="00463F82" w:rsidRPr="00463F82" w:rsidRDefault="00463F82" w:rsidP="00463F82">
      <w:pPr>
        <w:pStyle w:val="ListParagraph"/>
        <w:numPr>
          <w:ilvl w:val="0"/>
          <w:numId w:val="36"/>
        </w:numPr>
        <w:spacing w:line="240" w:lineRule="auto"/>
        <w:rPr>
          <w:rFonts w:eastAsia="Times New Roman" w:cs="Arial"/>
          <w:color w:val="000000"/>
          <w:lang w:eastAsia="bg-BG"/>
        </w:rPr>
      </w:pPr>
      <w:r w:rsidRPr="00463F82">
        <w:rPr>
          <w:rFonts w:eastAsia="Times New Roman" w:cs="Arial"/>
          <w:color w:val="000000"/>
          <w:lang w:eastAsia="bg-BG"/>
        </w:rPr>
        <w:t>Криптококов менингит (вж. точка 4.4).</w:t>
      </w:r>
    </w:p>
    <w:p w14:paraId="6E8F2A6E" w14:textId="77777777" w:rsidR="00463F82" w:rsidRPr="00463F82" w:rsidRDefault="00463F82" w:rsidP="00463F82">
      <w:pPr>
        <w:pStyle w:val="ListParagraph"/>
        <w:numPr>
          <w:ilvl w:val="0"/>
          <w:numId w:val="36"/>
        </w:numPr>
        <w:spacing w:line="240" w:lineRule="auto"/>
        <w:rPr>
          <w:rFonts w:eastAsia="Times New Roman" w:cs="Arial"/>
          <w:color w:val="000000"/>
          <w:lang w:eastAsia="bg-BG"/>
        </w:rPr>
      </w:pPr>
      <w:r w:rsidRPr="00463F82">
        <w:rPr>
          <w:rFonts w:eastAsia="Times New Roman" w:cs="Arial"/>
          <w:color w:val="000000"/>
          <w:lang w:eastAsia="bg-BG"/>
        </w:rPr>
        <w:t>Кокцидиоидомикоза (вж. точка 4.4).</w:t>
      </w:r>
    </w:p>
    <w:p w14:paraId="371A5AC4" w14:textId="50EC4581" w:rsidR="00463F82" w:rsidRPr="00463F82" w:rsidRDefault="00463F82" w:rsidP="00463F82">
      <w:pPr>
        <w:pStyle w:val="ListParagraph"/>
        <w:numPr>
          <w:ilvl w:val="0"/>
          <w:numId w:val="36"/>
        </w:numPr>
        <w:spacing w:line="240" w:lineRule="auto"/>
        <w:rPr>
          <w:rFonts w:eastAsia="Times New Roman" w:cs="Arial"/>
          <w:color w:val="000000"/>
          <w:lang w:eastAsia="bg-BG"/>
        </w:rPr>
      </w:pPr>
      <w:r w:rsidRPr="00463F82">
        <w:rPr>
          <w:rFonts w:eastAsia="Times New Roman" w:cs="Arial"/>
          <w:color w:val="000000"/>
          <w:lang w:eastAsia="bg-BG"/>
        </w:rPr>
        <w:lastRenderedPageBreak/>
        <w:t>Инвазивна кандидоза.</w:t>
      </w:r>
    </w:p>
    <w:p w14:paraId="31115769" w14:textId="0C691A15" w:rsidR="00463F82" w:rsidRPr="00463F82" w:rsidRDefault="00463F82" w:rsidP="00463F82">
      <w:pPr>
        <w:pStyle w:val="ListParagraph"/>
        <w:numPr>
          <w:ilvl w:val="0"/>
          <w:numId w:val="36"/>
        </w:numPr>
        <w:spacing w:line="240" w:lineRule="auto"/>
        <w:rPr>
          <w:rFonts w:eastAsia="Times New Roman" w:cs="Arial"/>
          <w:color w:val="000000"/>
          <w:lang w:eastAsia="bg-BG"/>
        </w:rPr>
      </w:pPr>
      <w:r w:rsidRPr="00463F82">
        <w:rPr>
          <w:rFonts w:eastAsia="Times New Roman" w:cs="Arial"/>
          <w:color w:val="000000"/>
          <w:lang w:eastAsia="bg-BG"/>
        </w:rPr>
        <w:t>Кандидоза на лигавиците, включително орофарингеална, езофагеална кандидоза,</w:t>
      </w:r>
    </w:p>
    <w:p w14:paraId="37254DC1" w14:textId="77777777" w:rsidR="00463F82" w:rsidRPr="00463F82" w:rsidRDefault="00463F82" w:rsidP="00463F82">
      <w:pPr>
        <w:spacing w:line="240" w:lineRule="auto"/>
        <w:rPr>
          <w:rFonts w:eastAsia="Times New Roman" w:cs="Arial"/>
          <w:color w:val="000000"/>
          <w:lang w:eastAsia="bg-BG"/>
        </w:rPr>
      </w:pPr>
      <w:r w:rsidRPr="00463F82">
        <w:rPr>
          <w:rFonts w:eastAsia="Times New Roman" w:cs="Arial"/>
          <w:color w:val="000000"/>
          <w:lang w:eastAsia="bg-BG"/>
        </w:rPr>
        <w:t>кандидурия и хронична лигавично-кожна кандидоза.</w:t>
      </w:r>
    </w:p>
    <w:p w14:paraId="2144EA3B" w14:textId="77777777" w:rsidR="00463F82" w:rsidRPr="00463F82" w:rsidRDefault="00463F82" w:rsidP="00463F82">
      <w:pPr>
        <w:pStyle w:val="ListParagraph"/>
        <w:numPr>
          <w:ilvl w:val="0"/>
          <w:numId w:val="37"/>
        </w:numPr>
        <w:spacing w:line="240" w:lineRule="auto"/>
        <w:rPr>
          <w:rFonts w:eastAsia="Times New Roman" w:cs="Arial"/>
          <w:color w:val="000000"/>
          <w:lang w:eastAsia="bg-BG"/>
        </w:rPr>
      </w:pPr>
      <w:r w:rsidRPr="00463F82">
        <w:rPr>
          <w:rFonts w:eastAsia="Times New Roman" w:cs="Arial"/>
          <w:color w:val="000000"/>
          <w:lang w:eastAsia="bg-BG"/>
        </w:rPr>
        <w:t>Хронична орална атрофична кандидоза (възпаление на устата в резултат от</w:t>
      </w:r>
      <w:r w:rsidRPr="00463F82">
        <w:rPr>
          <w:rFonts w:eastAsia="Times New Roman" w:cs="Arial"/>
          <w:color w:val="000000"/>
          <w:lang w:val="en-US"/>
        </w:rPr>
        <w:t xml:space="preserve"> </w:t>
      </w:r>
      <w:r w:rsidRPr="00463F82">
        <w:rPr>
          <w:rFonts w:eastAsia="Times New Roman" w:cs="Arial"/>
          <w:color w:val="000000"/>
          <w:lang w:eastAsia="bg-BG"/>
        </w:rPr>
        <w:t>зъбни протези), в случай, че зъбната хигиена или локалното лечение са недостатъчни</w:t>
      </w:r>
    </w:p>
    <w:p w14:paraId="05630786" w14:textId="77777777" w:rsidR="00463F82" w:rsidRPr="00463F82" w:rsidRDefault="00463F82" w:rsidP="00463F82">
      <w:pPr>
        <w:pStyle w:val="ListParagraph"/>
        <w:numPr>
          <w:ilvl w:val="0"/>
          <w:numId w:val="37"/>
        </w:numPr>
        <w:spacing w:line="240" w:lineRule="auto"/>
        <w:rPr>
          <w:rFonts w:eastAsia="Times New Roman" w:cs="Arial"/>
          <w:color w:val="000000"/>
          <w:lang w:eastAsia="bg-BG"/>
        </w:rPr>
      </w:pPr>
      <w:r w:rsidRPr="00463F82">
        <w:rPr>
          <w:rFonts w:eastAsia="Times New Roman" w:cs="Arial"/>
          <w:color w:val="000000"/>
          <w:lang w:eastAsia="bg-BG"/>
        </w:rPr>
        <w:t>Вагинална кандидоза, остра или рекурентна, когато локалното лечение не е необходимо</w:t>
      </w:r>
    </w:p>
    <w:p w14:paraId="7AE1AE90" w14:textId="77777777" w:rsidR="00463F82" w:rsidRPr="00463F82" w:rsidRDefault="00463F82" w:rsidP="00463F82">
      <w:pPr>
        <w:pStyle w:val="ListParagraph"/>
        <w:numPr>
          <w:ilvl w:val="0"/>
          <w:numId w:val="37"/>
        </w:numPr>
        <w:spacing w:line="240" w:lineRule="auto"/>
        <w:rPr>
          <w:rFonts w:eastAsia="Times New Roman" w:cs="Arial"/>
          <w:color w:val="000000"/>
          <w:lang w:eastAsia="bg-BG"/>
        </w:rPr>
      </w:pPr>
      <w:r w:rsidRPr="00463F82">
        <w:rPr>
          <w:rFonts w:eastAsia="Times New Roman" w:cs="Arial"/>
          <w:color w:val="000000"/>
          <w:lang w:eastAsia="bg-BG"/>
        </w:rPr>
        <w:t xml:space="preserve">Кандидозен баланит, когато локалното лечение не е подходящо. </w:t>
      </w:r>
    </w:p>
    <w:p w14:paraId="6DFA4B9D" w14:textId="14A43714" w:rsidR="0091385D" w:rsidRPr="00463F82" w:rsidRDefault="00463F82" w:rsidP="00463F82">
      <w:pPr>
        <w:pStyle w:val="ListParagraph"/>
        <w:numPr>
          <w:ilvl w:val="0"/>
          <w:numId w:val="37"/>
        </w:numPr>
        <w:spacing w:line="240" w:lineRule="auto"/>
        <w:rPr>
          <w:rFonts w:eastAsia="Times New Roman" w:cs="Arial"/>
          <w:color w:val="000000"/>
          <w:lang w:eastAsia="bg-BG"/>
        </w:rPr>
      </w:pPr>
      <w:r w:rsidRPr="00463F82">
        <w:rPr>
          <w:rFonts w:eastAsia="Times New Roman" w:cs="Arial"/>
          <w:color w:val="000000"/>
          <w:lang w:eastAsia="bg-BG"/>
        </w:rPr>
        <w:t xml:space="preserve">Дерматомикоза, включително </w:t>
      </w:r>
      <w:r w:rsidRPr="00463F82">
        <w:rPr>
          <w:rFonts w:eastAsia="Times New Roman" w:cs="Arial"/>
          <w:i/>
          <w:iCs/>
          <w:color w:val="000000"/>
          <w:lang w:val="en-US"/>
        </w:rPr>
        <w:t xml:space="preserve">tinea </w:t>
      </w:r>
      <w:proofErr w:type="spellStart"/>
      <w:r w:rsidRPr="00463F82">
        <w:rPr>
          <w:rFonts w:eastAsia="Times New Roman" w:cs="Arial"/>
          <w:i/>
          <w:iCs/>
          <w:color w:val="000000"/>
          <w:lang w:val="en-US"/>
        </w:rPr>
        <w:t>pedis</w:t>
      </w:r>
      <w:proofErr w:type="spellEnd"/>
      <w:r w:rsidRPr="00463F82">
        <w:rPr>
          <w:rFonts w:eastAsia="Times New Roman" w:cs="Arial"/>
          <w:i/>
          <w:iCs/>
          <w:color w:val="000000"/>
          <w:lang w:val="en-US"/>
        </w:rPr>
        <w:t xml:space="preserve">, tinea </w:t>
      </w:r>
      <w:proofErr w:type="spellStart"/>
      <w:r w:rsidRPr="00463F82">
        <w:rPr>
          <w:rFonts w:eastAsia="Times New Roman" w:cs="Arial"/>
          <w:i/>
          <w:iCs/>
          <w:color w:val="000000"/>
          <w:lang w:val="en-US"/>
        </w:rPr>
        <w:t>corporis</w:t>
      </w:r>
      <w:proofErr w:type="spellEnd"/>
      <w:r w:rsidRPr="00463F82">
        <w:rPr>
          <w:rFonts w:eastAsia="Times New Roman" w:cs="Arial"/>
          <w:i/>
          <w:iCs/>
          <w:color w:val="000000"/>
          <w:lang w:val="en-US"/>
        </w:rPr>
        <w:t xml:space="preserve">, tinea </w:t>
      </w:r>
      <w:proofErr w:type="spellStart"/>
      <w:r w:rsidRPr="00463F82">
        <w:rPr>
          <w:rFonts w:eastAsia="Times New Roman" w:cs="Arial"/>
          <w:i/>
          <w:iCs/>
          <w:color w:val="000000"/>
          <w:lang w:val="en-US"/>
        </w:rPr>
        <w:t>cruris</w:t>
      </w:r>
      <w:proofErr w:type="spellEnd"/>
      <w:r w:rsidRPr="00463F82">
        <w:rPr>
          <w:rFonts w:eastAsia="Times New Roman" w:cs="Arial"/>
          <w:i/>
          <w:iCs/>
          <w:color w:val="000000"/>
          <w:lang w:val="en-US"/>
        </w:rPr>
        <w:t>,</w:t>
      </w:r>
      <w:r w:rsidRPr="00463F82">
        <w:rPr>
          <w:rFonts w:eastAsia="Times New Roman" w:cs="Arial"/>
          <w:i/>
          <w:iCs/>
          <w:color w:val="000000"/>
          <w:lang w:eastAsia="bg-BG"/>
        </w:rPr>
        <w:t xml:space="preserve"> tinea versicolor</w:t>
      </w:r>
      <w:r w:rsidRPr="00463F82">
        <w:rPr>
          <w:rFonts w:eastAsia="Times New Roman" w:cs="Arial"/>
          <w:color w:val="000000"/>
          <w:lang w:val="en-US"/>
        </w:rPr>
        <w:t xml:space="preserve"> </w:t>
      </w:r>
      <w:r w:rsidRPr="00463F82">
        <w:rPr>
          <w:rFonts w:eastAsia="Times New Roman" w:cs="Arial"/>
          <w:color w:val="000000"/>
          <w:lang w:eastAsia="bg-BG"/>
        </w:rPr>
        <w:t xml:space="preserve">и кожна инфекция </w:t>
      </w:r>
      <w:r w:rsidRPr="00463F82">
        <w:rPr>
          <w:rFonts w:eastAsia="Times New Roman" w:cs="Arial"/>
          <w:color w:val="000000"/>
          <w:lang w:val="en-US"/>
        </w:rPr>
        <w:t xml:space="preserve">c </w:t>
      </w:r>
      <w:r w:rsidRPr="00463F82">
        <w:rPr>
          <w:rFonts w:eastAsia="Times New Roman" w:cs="Arial"/>
          <w:i/>
          <w:iCs/>
          <w:color w:val="000000"/>
          <w:lang w:val="en-US"/>
        </w:rPr>
        <w:t>Candida,</w:t>
      </w:r>
      <w:r w:rsidRPr="00463F82">
        <w:rPr>
          <w:rFonts w:eastAsia="Times New Roman" w:cs="Arial"/>
          <w:color w:val="000000"/>
          <w:lang w:val="en-US"/>
        </w:rPr>
        <w:t xml:space="preserve"> </w:t>
      </w:r>
      <w:r w:rsidRPr="00463F82">
        <w:rPr>
          <w:rFonts w:eastAsia="Times New Roman" w:cs="Arial"/>
          <w:color w:val="000000"/>
          <w:lang w:eastAsia="bg-BG"/>
        </w:rPr>
        <w:t>когато е предписано системно лечение.</w:t>
      </w:r>
    </w:p>
    <w:p w14:paraId="7361B37C" w14:textId="77777777" w:rsidR="00463F82" w:rsidRPr="00463F82" w:rsidRDefault="00463F82" w:rsidP="00463F82">
      <w:pPr>
        <w:numPr>
          <w:ilvl w:val="0"/>
          <w:numId w:val="37"/>
        </w:numPr>
        <w:spacing w:line="240" w:lineRule="auto"/>
        <w:rPr>
          <w:rFonts w:eastAsia="Times New Roman" w:cs="Arial"/>
          <w:i/>
          <w:iCs/>
          <w:color w:val="000000"/>
          <w:lang w:val="en-US"/>
        </w:rPr>
      </w:pPr>
      <w:r w:rsidRPr="00463F82">
        <w:rPr>
          <w:rFonts w:eastAsia="Times New Roman" w:cs="Arial"/>
          <w:i/>
          <w:iCs/>
          <w:color w:val="000000"/>
          <w:lang w:val="en-US"/>
        </w:rPr>
        <w:t xml:space="preserve">Tinea </w:t>
      </w:r>
      <w:proofErr w:type="spellStart"/>
      <w:r w:rsidRPr="00463F82">
        <w:rPr>
          <w:rFonts w:eastAsia="Times New Roman" w:cs="Arial"/>
          <w:i/>
          <w:iCs/>
          <w:color w:val="000000"/>
          <w:lang w:val="en-US"/>
        </w:rPr>
        <w:t>unguinium</w:t>
      </w:r>
      <w:proofErr w:type="spellEnd"/>
      <w:r w:rsidRPr="00463F82">
        <w:rPr>
          <w:rFonts w:eastAsia="Times New Roman" w:cs="Arial"/>
          <w:i/>
          <w:iCs/>
          <w:color w:val="000000"/>
          <w:lang w:val="en-US"/>
        </w:rPr>
        <w:t xml:space="preserve"> </w:t>
      </w:r>
      <w:r w:rsidRPr="00463F82">
        <w:rPr>
          <w:rFonts w:eastAsia="Times New Roman" w:cs="Arial"/>
          <w:i/>
          <w:iCs/>
          <w:color w:val="000000"/>
          <w:lang w:eastAsia="bg-BG"/>
        </w:rPr>
        <w:t>(онихомикоза),</w:t>
      </w:r>
      <w:r w:rsidRPr="00463F82">
        <w:rPr>
          <w:rFonts w:eastAsia="Times New Roman" w:cs="Arial"/>
          <w:color w:val="000000"/>
          <w:lang w:eastAsia="bg-BG"/>
        </w:rPr>
        <w:t xml:space="preserve"> когато се счита, че други агенти не са подходящи.</w:t>
      </w:r>
    </w:p>
    <w:p w14:paraId="55E8EC89" w14:textId="77777777" w:rsidR="00463F82" w:rsidRPr="00463F82" w:rsidRDefault="00463F82" w:rsidP="00463F82">
      <w:pPr>
        <w:spacing w:line="240" w:lineRule="auto"/>
        <w:rPr>
          <w:rFonts w:eastAsia="Times New Roman" w:cs="Arial"/>
          <w:color w:val="000000"/>
          <w:u w:val="single"/>
          <w:lang w:eastAsia="bg-BG"/>
        </w:rPr>
      </w:pPr>
    </w:p>
    <w:p w14:paraId="062F8DDE" w14:textId="1ACD6D5B"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u w:val="single"/>
          <w:lang w:eastAsia="bg-BG"/>
        </w:rPr>
        <w:t>Фунгокап е показан при възрастни за профилактика на:</w:t>
      </w:r>
    </w:p>
    <w:p w14:paraId="69622DD3" w14:textId="77777777" w:rsidR="00463F82" w:rsidRPr="00463F82" w:rsidRDefault="00463F82" w:rsidP="00463F82">
      <w:pPr>
        <w:numPr>
          <w:ilvl w:val="0"/>
          <w:numId w:val="37"/>
        </w:numPr>
        <w:spacing w:line="240" w:lineRule="auto"/>
        <w:rPr>
          <w:rFonts w:eastAsia="Times New Roman" w:cs="Arial"/>
          <w:color w:val="000000"/>
          <w:lang w:eastAsia="bg-BG"/>
        </w:rPr>
      </w:pPr>
      <w:r w:rsidRPr="00463F82">
        <w:rPr>
          <w:rFonts w:eastAsia="Times New Roman" w:cs="Arial"/>
          <w:color w:val="000000"/>
          <w:lang w:eastAsia="bg-BG"/>
        </w:rPr>
        <w:t>Рецидив на криптококов менингит при пациенти с висок риск от рецидив.</w:t>
      </w:r>
    </w:p>
    <w:p w14:paraId="7684EFFC" w14:textId="77777777" w:rsidR="00463F82" w:rsidRPr="00463F82" w:rsidRDefault="00463F82" w:rsidP="00463F82">
      <w:pPr>
        <w:numPr>
          <w:ilvl w:val="0"/>
          <w:numId w:val="37"/>
        </w:numPr>
        <w:spacing w:line="240" w:lineRule="auto"/>
        <w:rPr>
          <w:rFonts w:eastAsia="Times New Roman" w:cs="Arial"/>
          <w:color w:val="000000"/>
          <w:lang w:eastAsia="bg-BG"/>
        </w:rPr>
      </w:pPr>
      <w:r w:rsidRPr="00463F82">
        <w:rPr>
          <w:rFonts w:eastAsia="Times New Roman" w:cs="Arial"/>
          <w:color w:val="000000"/>
          <w:lang w:eastAsia="bg-BG"/>
        </w:rPr>
        <w:t xml:space="preserve">Рецидив на орофарингеална или езофагеална кандидоза при пациенти, инфектирани с </w:t>
      </w:r>
      <w:r w:rsidRPr="00463F82">
        <w:rPr>
          <w:rFonts w:eastAsia="Times New Roman" w:cs="Arial"/>
          <w:color w:val="000000"/>
          <w:lang w:val="en-US"/>
        </w:rPr>
        <w:t xml:space="preserve">HIV </w:t>
      </w:r>
      <w:r w:rsidRPr="00463F82">
        <w:rPr>
          <w:rFonts w:eastAsia="Times New Roman" w:cs="Arial"/>
          <w:color w:val="000000"/>
          <w:lang w:eastAsia="bg-BG"/>
        </w:rPr>
        <w:t>или, при които рискът от рецидив е повишен.</w:t>
      </w:r>
    </w:p>
    <w:p w14:paraId="64F78BCF" w14:textId="77777777" w:rsidR="00463F82" w:rsidRPr="00463F82" w:rsidRDefault="00463F82" w:rsidP="00463F82">
      <w:pPr>
        <w:numPr>
          <w:ilvl w:val="0"/>
          <w:numId w:val="37"/>
        </w:numPr>
        <w:spacing w:line="240" w:lineRule="auto"/>
        <w:rPr>
          <w:rFonts w:eastAsia="Times New Roman" w:cs="Arial"/>
          <w:color w:val="000000"/>
          <w:lang w:eastAsia="bg-BG"/>
        </w:rPr>
      </w:pPr>
      <w:r w:rsidRPr="00463F82">
        <w:rPr>
          <w:rFonts w:eastAsia="Times New Roman" w:cs="Arial"/>
          <w:color w:val="000000"/>
          <w:lang w:eastAsia="bg-BG"/>
        </w:rPr>
        <w:t>За редуциране на честотата на рекурентна вагинална кандидоза (4 или повече епизода годишно).</w:t>
      </w:r>
    </w:p>
    <w:p w14:paraId="07BB6862" w14:textId="77777777" w:rsidR="00463F82" w:rsidRPr="00463F82" w:rsidRDefault="00463F82" w:rsidP="00463F82">
      <w:pPr>
        <w:numPr>
          <w:ilvl w:val="0"/>
          <w:numId w:val="37"/>
        </w:numPr>
        <w:spacing w:line="240" w:lineRule="auto"/>
        <w:rPr>
          <w:rFonts w:eastAsia="Times New Roman" w:cs="Arial"/>
          <w:color w:val="000000"/>
          <w:lang w:eastAsia="bg-BG"/>
        </w:rPr>
      </w:pPr>
      <w:r w:rsidRPr="00463F82">
        <w:rPr>
          <w:rFonts w:eastAsia="Times New Roman" w:cs="Arial"/>
          <w:color w:val="000000"/>
          <w:lang w:eastAsia="bg-BG"/>
        </w:rPr>
        <w:t>Профилактика на кандидиазни инфекции при пациенти с продължителна неутропения (като пациенти с хематологични злокачествени заболявания, които са на химиотерапия или пациенти, подложени на трансплантация на хемопоетични стволови клетки (вж. точка 5.1)).</w:t>
      </w:r>
    </w:p>
    <w:p w14:paraId="6BC738D0" w14:textId="77777777" w:rsidR="00463F82" w:rsidRPr="00463F82" w:rsidRDefault="00463F82" w:rsidP="00463F82">
      <w:pPr>
        <w:spacing w:line="240" w:lineRule="auto"/>
        <w:rPr>
          <w:rFonts w:eastAsia="Times New Roman" w:cs="Arial"/>
          <w:color w:val="000000"/>
          <w:u w:val="single"/>
          <w:lang w:eastAsia="bg-BG"/>
        </w:rPr>
      </w:pPr>
    </w:p>
    <w:p w14:paraId="3BA02575" w14:textId="63C7319D"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u w:val="single"/>
          <w:lang w:eastAsia="bg-BG"/>
        </w:rPr>
        <w:t>Фунгокап е показан при новородени на термина, кърмачета, малки деца, деца и юноши на възраст от 0 до 17 години:</w:t>
      </w:r>
    </w:p>
    <w:p w14:paraId="005E55CA" w14:textId="77777777" w:rsidR="00463F82" w:rsidRPr="00463F82" w:rsidRDefault="00463F82" w:rsidP="00463F82">
      <w:pPr>
        <w:spacing w:line="240" w:lineRule="auto"/>
        <w:rPr>
          <w:rFonts w:eastAsia="Times New Roman" w:cs="Arial"/>
          <w:color w:val="000000"/>
          <w:lang w:eastAsia="bg-BG"/>
        </w:rPr>
      </w:pPr>
    </w:p>
    <w:p w14:paraId="09C9D9A4" w14:textId="54DB692A"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Фунгокап се прилага при лечението на кандидоза на лигавиците (орофарингеална, езофагеална), инвазивна кандидоза, криптококови менингити и профилактика на кандидоза при имунокомпрометирани пациенти. Фунгокап може да се прилага като поддържаща терапия, за предотвратяване на рецидив на криптококов менингит при деца с висок риск от рецидив (вж. точка 4.4).</w:t>
      </w:r>
    </w:p>
    <w:p w14:paraId="3520B673" w14:textId="77777777" w:rsidR="00463F82" w:rsidRPr="00463F82" w:rsidRDefault="00463F82" w:rsidP="00463F82">
      <w:pPr>
        <w:spacing w:line="240" w:lineRule="auto"/>
        <w:rPr>
          <w:rFonts w:eastAsia="Times New Roman" w:cs="Arial"/>
          <w:color w:val="000000"/>
          <w:lang w:eastAsia="bg-BG"/>
        </w:rPr>
      </w:pPr>
    </w:p>
    <w:p w14:paraId="1FAF1DC8" w14:textId="3E0DDE94"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Лечението може да бъде започнато преди да са известни резултатите от микробиологичното и другите лабораторни изследвания; въпреки това, когато резултатите са известни, терапията трябва да се коригира подходящо.</w:t>
      </w:r>
    </w:p>
    <w:p w14:paraId="10EA00D8" w14:textId="77777777" w:rsidR="00463F82" w:rsidRPr="00463F82" w:rsidRDefault="00463F82" w:rsidP="00463F82">
      <w:pPr>
        <w:rPr>
          <w:rFonts w:eastAsia="Times New Roman" w:cs="Arial"/>
          <w:color w:val="000000"/>
          <w:lang w:eastAsia="bg-BG"/>
        </w:rPr>
      </w:pPr>
    </w:p>
    <w:p w14:paraId="0213C9EE" w14:textId="4304241B" w:rsidR="00463F82" w:rsidRPr="00463F82" w:rsidRDefault="00463F82" w:rsidP="00463F82">
      <w:pPr>
        <w:rPr>
          <w:rFonts w:cs="Arial"/>
        </w:rPr>
      </w:pPr>
      <w:r w:rsidRPr="00463F82">
        <w:rPr>
          <w:rFonts w:eastAsia="Times New Roman" w:cs="Arial"/>
          <w:color w:val="000000"/>
          <w:lang w:eastAsia="bg-BG"/>
        </w:rPr>
        <w:t>Трябва да се вземат под внимание официалните препоръки за правилната употреба на антимикотици.</w:t>
      </w:r>
    </w:p>
    <w:p w14:paraId="50B69D14" w14:textId="77777777" w:rsidR="00463F82" w:rsidRPr="0091385D" w:rsidRDefault="00463F82"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306862BC" w14:textId="77777777" w:rsidR="00463F82" w:rsidRPr="005A5F0F" w:rsidRDefault="00463F82" w:rsidP="005A5F0F">
      <w:pPr>
        <w:pStyle w:val="Heading3"/>
        <w:rPr>
          <w:rFonts w:eastAsia="Times New Roman"/>
          <w:u w:val="single"/>
          <w:lang w:eastAsia="bg-BG"/>
        </w:rPr>
      </w:pPr>
      <w:r w:rsidRPr="005A5F0F">
        <w:rPr>
          <w:rFonts w:eastAsia="Times New Roman"/>
          <w:u w:val="single"/>
          <w:lang w:eastAsia="bg-BG"/>
        </w:rPr>
        <w:t>Дозировка</w:t>
      </w:r>
    </w:p>
    <w:p w14:paraId="2FA09B0B"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Дозировката трябва да се основава на вида и сериозността на гъбичната инфекция. Лечението на инфекциите, изискващи многократно прилагане, трябва да продължи докато клиничните симптоми или лабораторните резултати покажат, че активната микотична инфекция е отстранена. Неадекватният курс на терапия може да доведе до рецидив на инфекцията.</w:t>
      </w:r>
    </w:p>
    <w:p w14:paraId="01FF6680" w14:textId="77777777" w:rsidR="00463F82" w:rsidRPr="00762DDE" w:rsidRDefault="00463F82" w:rsidP="00463F82">
      <w:pPr>
        <w:rPr>
          <w:rFonts w:eastAsia="Times New Roman" w:cs="Arial"/>
          <w:color w:val="000000"/>
          <w:u w:val="single"/>
          <w:lang w:eastAsia="bg-BG"/>
        </w:rPr>
      </w:pPr>
    </w:p>
    <w:p w14:paraId="7FBF1BCE" w14:textId="1F64E08A" w:rsidR="00EC41ED" w:rsidRPr="00762DDE" w:rsidRDefault="00463F82" w:rsidP="00463F82">
      <w:pPr>
        <w:rPr>
          <w:rFonts w:eastAsia="Times New Roman" w:cs="Arial"/>
          <w:color w:val="000000"/>
          <w:u w:val="single"/>
          <w:lang w:eastAsia="bg-BG"/>
        </w:rPr>
      </w:pPr>
      <w:r w:rsidRPr="00762DDE">
        <w:rPr>
          <w:rFonts w:eastAsia="Times New Roman" w:cs="Arial"/>
          <w:color w:val="000000"/>
          <w:u w:val="single"/>
          <w:lang w:eastAsia="bg-BG"/>
        </w:rPr>
        <w:t>Възрастни</w:t>
      </w:r>
    </w:p>
    <w:p w14:paraId="7C06D4F0" w14:textId="5C3ED33E" w:rsidR="00463F82" w:rsidRDefault="00463F82" w:rsidP="00463F82"/>
    <w:tbl>
      <w:tblPr>
        <w:tblStyle w:val="TableGrid"/>
        <w:tblW w:w="0" w:type="auto"/>
        <w:tblLook w:val="04A0" w:firstRow="1" w:lastRow="0" w:firstColumn="1" w:lastColumn="0" w:noHBand="0" w:noVBand="1"/>
      </w:tblPr>
      <w:tblGrid>
        <w:gridCol w:w="2249"/>
        <w:gridCol w:w="2323"/>
        <w:gridCol w:w="2308"/>
        <w:gridCol w:w="2470"/>
      </w:tblGrid>
      <w:tr w:rsidR="00463F82" w14:paraId="5279FF80" w14:textId="77777777" w:rsidTr="00463F82">
        <w:tc>
          <w:tcPr>
            <w:tcW w:w="4572" w:type="dxa"/>
            <w:gridSpan w:val="2"/>
          </w:tcPr>
          <w:p w14:paraId="570EACA3" w14:textId="798EC81B" w:rsidR="00463F82" w:rsidRDefault="00463F82" w:rsidP="00463F82">
            <w:r>
              <w:rPr>
                <w:b/>
                <w:bCs/>
                <w:u w:val="single"/>
              </w:rPr>
              <w:t>Показание</w:t>
            </w:r>
          </w:p>
        </w:tc>
        <w:tc>
          <w:tcPr>
            <w:tcW w:w="2308" w:type="dxa"/>
          </w:tcPr>
          <w:p w14:paraId="6901D46F" w14:textId="759FA7B8" w:rsidR="00463F82" w:rsidRDefault="00463F82" w:rsidP="00463F82">
            <w:r>
              <w:rPr>
                <w:b/>
                <w:bCs/>
                <w:u w:val="single"/>
              </w:rPr>
              <w:t>Дозировка</w:t>
            </w:r>
          </w:p>
        </w:tc>
        <w:tc>
          <w:tcPr>
            <w:tcW w:w="2470" w:type="dxa"/>
          </w:tcPr>
          <w:p w14:paraId="063FA3C2" w14:textId="08F23E0D" w:rsidR="00463F82" w:rsidRDefault="00463F82" w:rsidP="00463F82">
            <w:r>
              <w:rPr>
                <w:b/>
                <w:bCs/>
              </w:rPr>
              <w:t>Продължителност на лечението</w:t>
            </w:r>
          </w:p>
        </w:tc>
      </w:tr>
      <w:tr w:rsidR="00463F82" w14:paraId="4D7B35B7" w14:textId="77777777" w:rsidTr="00463F82">
        <w:tc>
          <w:tcPr>
            <w:tcW w:w="2249" w:type="dxa"/>
            <w:vMerge w:val="restart"/>
          </w:tcPr>
          <w:p w14:paraId="2D4BA9EB" w14:textId="79106B67" w:rsidR="00463F82" w:rsidRDefault="00463F82" w:rsidP="00463F82">
            <w:r>
              <w:rPr>
                <w:b/>
                <w:bCs/>
              </w:rPr>
              <w:t>Криптококоза</w:t>
            </w:r>
          </w:p>
        </w:tc>
        <w:tc>
          <w:tcPr>
            <w:tcW w:w="2323" w:type="dxa"/>
          </w:tcPr>
          <w:p w14:paraId="4AC25CBC" w14:textId="6BD4D490" w:rsidR="00463F82" w:rsidRDefault="00463F82" w:rsidP="00463F82">
            <w:r>
              <w:t>- Лечение на криптококов менингит</w:t>
            </w:r>
          </w:p>
        </w:tc>
        <w:tc>
          <w:tcPr>
            <w:tcW w:w="2308" w:type="dxa"/>
          </w:tcPr>
          <w:p w14:paraId="5EEB8196" w14:textId="77777777" w:rsidR="00463F82" w:rsidRDefault="00463F82" w:rsidP="00463F82">
            <w:r>
              <w:t xml:space="preserve">Натоварваща доза: 400 </w:t>
            </w:r>
            <w:r>
              <w:rPr>
                <w:lang w:val="en-US"/>
              </w:rPr>
              <w:t xml:space="preserve">mg </w:t>
            </w:r>
            <w:r>
              <w:t>през първия ден</w:t>
            </w:r>
          </w:p>
          <w:p w14:paraId="1D6C7343" w14:textId="0BD73947" w:rsidR="00463F82" w:rsidRDefault="00463F82" w:rsidP="00463F82">
            <w:r>
              <w:t xml:space="preserve">Последваща доза: 200 </w:t>
            </w:r>
            <w:r>
              <w:rPr>
                <w:lang w:val="en-US"/>
              </w:rPr>
              <w:t xml:space="preserve">mg </w:t>
            </w:r>
            <w:r>
              <w:t xml:space="preserve">до 400 </w:t>
            </w:r>
            <w:r>
              <w:rPr>
                <w:lang w:val="en-US"/>
              </w:rPr>
              <w:t xml:space="preserve">mg </w:t>
            </w:r>
            <w:r>
              <w:t>дневно</w:t>
            </w:r>
          </w:p>
        </w:tc>
        <w:tc>
          <w:tcPr>
            <w:tcW w:w="2470" w:type="dxa"/>
          </w:tcPr>
          <w:p w14:paraId="648E9872" w14:textId="5ABD0DD7" w:rsidR="00463F82" w:rsidRDefault="00463F82" w:rsidP="00463F82">
            <w:r>
              <w:t xml:space="preserve">Обикновено от 6 до 8 седмици. При животозастрашаващи инфекции, дневната доза може да бъде увеличена до 800 </w:t>
            </w:r>
            <w:r>
              <w:rPr>
                <w:lang w:val="en-US"/>
              </w:rPr>
              <w:t>mg</w:t>
            </w:r>
          </w:p>
        </w:tc>
      </w:tr>
      <w:tr w:rsidR="00463F82" w14:paraId="4D79791F" w14:textId="77777777" w:rsidTr="00463F82">
        <w:tc>
          <w:tcPr>
            <w:tcW w:w="2249" w:type="dxa"/>
            <w:vMerge/>
          </w:tcPr>
          <w:p w14:paraId="0AC88154" w14:textId="77777777" w:rsidR="00463F82" w:rsidRDefault="00463F82" w:rsidP="00463F82"/>
        </w:tc>
        <w:tc>
          <w:tcPr>
            <w:tcW w:w="2323" w:type="dxa"/>
          </w:tcPr>
          <w:p w14:paraId="491630CF" w14:textId="21C8E206" w:rsidR="00463F82" w:rsidRDefault="00463F82" w:rsidP="00463F82">
            <w:r>
              <w:t>- Поддържаща терапия за предотвратяване на рецидив на криптококов менингит при пациенти с висок риск от рецидив.</w:t>
            </w:r>
          </w:p>
        </w:tc>
        <w:tc>
          <w:tcPr>
            <w:tcW w:w="2308" w:type="dxa"/>
          </w:tcPr>
          <w:p w14:paraId="735B3F00" w14:textId="3293CFC1" w:rsidR="00463F82" w:rsidRDefault="00463F82" w:rsidP="00463F82">
            <w:r>
              <w:t xml:space="preserve">200 </w:t>
            </w:r>
            <w:r>
              <w:rPr>
                <w:lang w:val="en-US"/>
              </w:rPr>
              <w:t xml:space="preserve">mg </w:t>
            </w:r>
            <w:r>
              <w:t>дневно</w:t>
            </w:r>
          </w:p>
        </w:tc>
        <w:tc>
          <w:tcPr>
            <w:tcW w:w="2470" w:type="dxa"/>
          </w:tcPr>
          <w:p w14:paraId="0E8CDFFC" w14:textId="6B95F534" w:rsidR="00463F82" w:rsidRDefault="00463F82" w:rsidP="00463F82">
            <w:r>
              <w:t xml:space="preserve">Неопределено при дневна доза от 200 </w:t>
            </w:r>
            <w:r>
              <w:rPr>
                <w:lang w:val="en-US"/>
              </w:rPr>
              <w:t>mg</w:t>
            </w:r>
          </w:p>
        </w:tc>
      </w:tr>
      <w:tr w:rsidR="00463F82" w14:paraId="5DB731C1" w14:textId="77777777" w:rsidTr="00463F82">
        <w:tc>
          <w:tcPr>
            <w:tcW w:w="2249" w:type="dxa"/>
          </w:tcPr>
          <w:p w14:paraId="48288B67" w14:textId="349ACD4C" w:rsidR="00463F82" w:rsidRDefault="00463F82" w:rsidP="00463F82">
            <w:r>
              <w:rPr>
                <w:b/>
                <w:bCs/>
              </w:rPr>
              <w:t>Кокцидиоидо</w:t>
            </w:r>
            <w:r>
              <w:rPr>
                <w:b/>
                <w:bCs/>
              </w:rPr>
              <w:softHyphen/>
              <w:t>микоза</w:t>
            </w:r>
          </w:p>
        </w:tc>
        <w:tc>
          <w:tcPr>
            <w:tcW w:w="2323" w:type="dxa"/>
          </w:tcPr>
          <w:p w14:paraId="5678D2E5" w14:textId="77777777" w:rsidR="00463F82" w:rsidRDefault="00463F82" w:rsidP="00463F82"/>
        </w:tc>
        <w:tc>
          <w:tcPr>
            <w:tcW w:w="2308" w:type="dxa"/>
          </w:tcPr>
          <w:p w14:paraId="743F8B48" w14:textId="31C2A777" w:rsidR="00463F82" w:rsidRDefault="00463F82" w:rsidP="00463F82">
            <w:r>
              <w:t xml:space="preserve">200 </w:t>
            </w:r>
            <w:r>
              <w:rPr>
                <w:lang w:val="en-US"/>
              </w:rPr>
              <w:t xml:space="preserve">mg </w:t>
            </w:r>
            <w:r>
              <w:t xml:space="preserve">до 400 </w:t>
            </w:r>
            <w:r>
              <w:rPr>
                <w:lang w:val="en-US"/>
              </w:rPr>
              <w:t xml:space="preserve">mg </w:t>
            </w:r>
            <w:r>
              <w:t>дневно</w:t>
            </w:r>
          </w:p>
        </w:tc>
        <w:tc>
          <w:tcPr>
            <w:tcW w:w="2470" w:type="dxa"/>
          </w:tcPr>
          <w:p w14:paraId="44CF3F2B" w14:textId="139F4551" w:rsidR="00463F82" w:rsidRDefault="00463F82" w:rsidP="00463F82">
            <w:r>
              <w:t xml:space="preserve">От 11 месеца до 24 месеца или по-дълго в зависимост от пациента. При някои инфекции, особено менингит, може да се приложат 800 </w:t>
            </w:r>
            <w:r>
              <w:rPr>
                <w:lang w:val="en-US"/>
              </w:rPr>
              <w:t xml:space="preserve">mg </w:t>
            </w:r>
            <w:r>
              <w:t>дневно.</w:t>
            </w:r>
          </w:p>
        </w:tc>
      </w:tr>
      <w:tr w:rsidR="00463F82" w14:paraId="21D82022" w14:textId="77777777" w:rsidTr="00463F82">
        <w:tc>
          <w:tcPr>
            <w:tcW w:w="2249" w:type="dxa"/>
          </w:tcPr>
          <w:p w14:paraId="57FCB0D9" w14:textId="6032FA08" w:rsidR="00463F82" w:rsidRDefault="00463F82" w:rsidP="00463F82">
            <w:r>
              <w:rPr>
                <w:b/>
                <w:bCs/>
              </w:rPr>
              <w:t>Инвазивна кандидоза</w:t>
            </w:r>
          </w:p>
        </w:tc>
        <w:tc>
          <w:tcPr>
            <w:tcW w:w="2323" w:type="dxa"/>
          </w:tcPr>
          <w:p w14:paraId="141958B7" w14:textId="77777777" w:rsidR="00463F82" w:rsidRDefault="00463F82" w:rsidP="00463F82"/>
        </w:tc>
        <w:tc>
          <w:tcPr>
            <w:tcW w:w="2308" w:type="dxa"/>
          </w:tcPr>
          <w:p w14:paraId="1EAEFB4C" w14:textId="77777777" w:rsidR="00463F82" w:rsidRDefault="00463F82" w:rsidP="00463F82">
            <w:r>
              <w:t xml:space="preserve">Натоварваща доза: 800 </w:t>
            </w:r>
            <w:r>
              <w:rPr>
                <w:lang w:val="en-US"/>
              </w:rPr>
              <w:t xml:space="preserve">mg </w:t>
            </w:r>
            <w:r>
              <w:t>през първия ден</w:t>
            </w:r>
          </w:p>
          <w:p w14:paraId="2B6D1CD4" w14:textId="39EB45C9" w:rsidR="00463F82" w:rsidRDefault="00463F82" w:rsidP="00463F82">
            <w:r>
              <w:t xml:space="preserve">Последваща доза: 400 </w:t>
            </w:r>
            <w:r>
              <w:rPr>
                <w:lang w:val="en-US"/>
              </w:rPr>
              <w:t xml:space="preserve">mg </w:t>
            </w:r>
            <w:r>
              <w:t>дневно</w:t>
            </w:r>
          </w:p>
        </w:tc>
        <w:tc>
          <w:tcPr>
            <w:tcW w:w="2470" w:type="dxa"/>
          </w:tcPr>
          <w:p w14:paraId="13F7BB46" w14:textId="11E10C2F" w:rsidR="00463F82" w:rsidRDefault="00463F82" w:rsidP="00463F82">
            <w:r>
              <w:t>В общия случай, препоръчителната продължителност на лечението при кандидемия е 2 седмици след първи отрицателен резултат от кръвна култура и отшумяване на симптомите на кандидемията.</w:t>
            </w:r>
          </w:p>
        </w:tc>
      </w:tr>
      <w:tr w:rsidR="00463F82" w14:paraId="5AC2A781" w14:textId="77777777" w:rsidTr="005A5F0F">
        <w:tc>
          <w:tcPr>
            <w:tcW w:w="2249" w:type="dxa"/>
            <w:vMerge w:val="restart"/>
          </w:tcPr>
          <w:p w14:paraId="7B557890" w14:textId="716DB607" w:rsidR="00463F82" w:rsidRDefault="00463F82" w:rsidP="00463F82">
            <w:r>
              <w:rPr>
                <w:b/>
                <w:bCs/>
              </w:rPr>
              <w:t>Лечение на кандидоза на лигавиците</w:t>
            </w:r>
          </w:p>
        </w:tc>
        <w:tc>
          <w:tcPr>
            <w:tcW w:w="2323" w:type="dxa"/>
          </w:tcPr>
          <w:p w14:paraId="18FF1FB4" w14:textId="2A124237" w:rsidR="00463F82" w:rsidRDefault="00463F82" w:rsidP="00463F82">
            <w:r>
              <w:t>- Орофарингеална кандидоза</w:t>
            </w:r>
          </w:p>
        </w:tc>
        <w:tc>
          <w:tcPr>
            <w:tcW w:w="2308" w:type="dxa"/>
          </w:tcPr>
          <w:p w14:paraId="0E700BBE" w14:textId="198312A5" w:rsidR="00463F82" w:rsidRDefault="00463F82" w:rsidP="00463F82">
            <w:r>
              <w:t xml:space="preserve">Натоварваща доза: 200 </w:t>
            </w:r>
            <w:r>
              <w:rPr>
                <w:lang w:val="en-US"/>
              </w:rPr>
              <w:t xml:space="preserve">mg </w:t>
            </w:r>
            <w:r>
              <w:t xml:space="preserve">до 400 </w:t>
            </w:r>
            <w:r>
              <w:rPr>
                <w:lang w:val="en-US"/>
              </w:rPr>
              <w:t xml:space="preserve">mg </w:t>
            </w:r>
            <w:r>
              <w:t xml:space="preserve">през първия ден. Последваща доза: 100 </w:t>
            </w:r>
            <w:r>
              <w:rPr>
                <w:lang w:val="en-US"/>
              </w:rPr>
              <w:t xml:space="preserve">mg </w:t>
            </w:r>
            <w:r>
              <w:t xml:space="preserve">до 200 </w:t>
            </w:r>
            <w:r>
              <w:rPr>
                <w:lang w:val="en-US"/>
              </w:rPr>
              <w:t xml:space="preserve">mg </w:t>
            </w:r>
            <w:r>
              <w:t>дневно</w:t>
            </w:r>
          </w:p>
        </w:tc>
        <w:tc>
          <w:tcPr>
            <w:tcW w:w="2470" w:type="dxa"/>
            <w:vAlign w:val="bottom"/>
          </w:tcPr>
          <w:p w14:paraId="7B7F3935" w14:textId="546F158A" w:rsidR="00463F82" w:rsidRDefault="00463F82" w:rsidP="00463F82">
            <w:r>
              <w:t>7 до 21 дни (до постигане на ремисия на орофарингеалната кандидоза). По-дълги периоди могат да са наложителни при пациенти със сериозно нарушен имунитет.</w:t>
            </w:r>
          </w:p>
        </w:tc>
      </w:tr>
      <w:tr w:rsidR="00463F82" w14:paraId="2A8C7B88" w14:textId="77777777" w:rsidTr="005A5F0F">
        <w:tc>
          <w:tcPr>
            <w:tcW w:w="2249" w:type="dxa"/>
            <w:vMerge/>
          </w:tcPr>
          <w:p w14:paraId="78A0E670" w14:textId="77777777" w:rsidR="00463F82" w:rsidRDefault="00463F82" w:rsidP="00463F82"/>
        </w:tc>
        <w:tc>
          <w:tcPr>
            <w:tcW w:w="2323" w:type="dxa"/>
          </w:tcPr>
          <w:p w14:paraId="4FB54A14" w14:textId="449A218E" w:rsidR="00463F82" w:rsidRDefault="00463F82" w:rsidP="00463F82">
            <w:r>
              <w:t>- Езофагеална кандидоза</w:t>
            </w:r>
          </w:p>
        </w:tc>
        <w:tc>
          <w:tcPr>
            <w:tcW w:w="2308" w:type="dxa"/>
          </w:tcPr>
          <w:p w14:paraId="78E7B09D" w14:textId="680616EE" w:rsidR="00463F82" w:rsidRDefault="00463F82" w:rsidP="00463F82">
            <w:r>
              <w:t xml:space="preserve">Натоварваща доза: 200 </w:t>
            </w:r>
            <w:r>
              <w:rPr>
                <w:lang w:val="en-US"/>
              </w:rPr>
              <w:t xml:space="preserve">mg </w:t>
            </w:r>
            <w:r>
              <w:t xml:space="preserve">до 400 </w:t>
            </w:r>
            <w:r>
              <w:rPr>
                <w:lang w:val="en-US"/>
              </w:rPr>
              <w:t xml:space="preserve">mg </w:t>
            </w:r>
            <w:r>
              <w:t xml:space="preserve">през първия ден. Последваща доза: 100 </w:t>
            </w:r>
            <w:r>
              <w:rPr>
                <w:lang w:val="en-US"/>
              </w:rPr>
              <w:t xml:space="preserve">mg </w:t>
            </w:r>
            <w:r>
              <w:t xml:space="preserve">до 200 </w:t>
            </w:r>
            <w:r>
              <w:rPr>
                <w:lang w:val="en-US"/>
              </w:rPr>
              <w:t xml:space="preserve">mg </w:t>
            </w:r>
            <w:r>
              <w:t>дневно</w:t>
            </w:r>
          </w:p>
        </w:tc>
        <w:tc>
          <w:tcPr>
            <w:tcW w:w="2470" w:type="dxa"/>
            <w:vAlign w:val="bottom"/>
          </w:tcPr>
          <w:p w14:paraId="6B6F5E95" w14:textId="4CAA9A34" w:rsidR="00463F82" w:rsidRDefault="00463F82" w:rsidP="00463F82">
            <w:r>
              <w:t>14 до 30 дни (до постигане на ремисия на езофагеалната кандидоза). По-дълги периоди могат да са наложителни при пациенти със сериозно нарушен имунитет.</w:t>
            </w:r>
          </w:p>
        </w:tc>
      </w:tr>
      <w:tr w:rsidR="00463F82" w14:paraId="330AA792" w14:textId="77777777" w:rsidTr="005A5F0F">
        <w:tc>
          <w:tcPr>
            <w:tcW w:w="2249" w:type="dxa"/>
            <w:vMerge/>
          </w:tcPr>
          <w:p w14:paraId="6A6BDE8E" w14:textId="77777777" w:rsidR="00463F82" w:rsidRDefault="00463F82" w:rsidP="00463F82"/>
        </w:tc>
        <w:tc>
          <w:tcPr>
            <w:tcW w:w="2323" w:type="dxa"/>
          </w:tcPr>
          <w:p w14:paraId="4745D8BC" w14:textId="47EA8C64" w:rsidR="00463F82" w:rsidRDefault="00463F82" w:rsidP="00463F82">
            <w:r>
              <w:t>- Кандидурия</w:t>
            </w:r>
          </w:p>
        </w:tc>
        <w:tc>
          <w:tcPr>
            <w:tcW w:w="2308" w:type="dxa"/>
          </w:tcPr>
          <w:p w14:paraId="5D987465" w14:textId="0C18A775" w:rsidR="00463F82" w:rsidRDefault="00463F82" w:rsidP="00463F82">
            <w:r>
              <w:t xml:space="preserve">200 </w:t>
            </w:r>
            <w:r>
              <w:rPr>
                <w:lang w:val="en-US"/>
              </w:rPr>
              <w:t xml:space="preserve">mg </w:t>
            </w:r>
            <w:r>
              <w:t xml:space="preserve">до 400 </w:t>
            </w:r>
            <w:r>
              <w:rPr>
                <w:lang w:val="en-US"/>
              </w:rPr>
              <w:t xml:space="preserve">mg </w:t>
            </w:r>
            <w:r>
              <w:t>дневно</w:t>
            </w:r>
          </w:p>
        </w:tc>
        <w:tc>
          <w:tcPr>
            <w:tcW w:w="2470" w:type="dxa"/>
            <w:vAlign w:val="bottom"/>
          </w:tcPr>
          <w:p w14:paraId="3CB62733" w14:textId="28DCDFCA" w:rsidR="00463F82" w:rsidRDefault="00463F82" w:rsidP="00463F82">
            <w:r>
              <w:t>7 до 21 дни. По-дълги периоди могат да са наложителни при пациенти със сериозно нарушен имунитет.</w:t>
            </w:r>
          </w:p>
        </w:tc>
      </w:tr>
      <w:tr w:rsidR="00463F82" w14:paraId="24E98347" w14:textId="77777777" w:rsidTr="00463F82">
        <w:tc>
          <w:tcPr>
            <w:tcW w:w="2249" w:type="dxa"/>
            <w:vMerge/>
          </w:tcPr>
          <w:p w14:paraId="3ACB4FED" w14:textId="77777777" w:rsidR="00463F82" w:rsidRDefault="00463F82" w:rsidP="00463F82"/>
        </w:tc>
        <w:tc>
          <w:tcPr>
            <w:tcW w:w="2323" w:type="dxa"/>
          </w:tcPr>
          <w:p w14:paraId="24C6004E" w14:textId="3C820945" w:rsidR="00463F82" w:rsidRDefault="00463F82" w:rsidP="00463F82">
            <w:r>
              <w:t>- Хронична атрофична кандидоза</w:t>
            </w:r>
          </w:p>
        </w:tc>
        <w:tc>
          <w:tcPr>
            <w:tcW w:w="2308" w:type="dxa"/>
          </w:tcPr>
          <w:p w14:paraId="5B067591" w14:textId="63AA8171" w:rsidR="00463F82" w:rsidRDefault="00463F82" w:rsidP="00463F82">
            <w:r>
              <w:t xml:space="preserve">50 </w:t>
            </w:r>
            <w:r>
              <w:rPr>
                <w:lang w:val="en-US"/>
              </w:rPr>
              <w:t xml:space="preserve">mg </w:t>
            </w:r>
            <w:r>
              <w:t>дневно</w:t>
            </w:r>
          </w:p>
        </w:tc>
        <w:tc>
          <w:tcPr>
            <w:tcW w:w="2470" w:type="dxa"/>
          </w:tcPr>
          <w:p w14:paraId="21D93596" w14:textId="1F34C30A" w:rsidR="00463F82" w:rsidRDefault="00463F82" w:rsidP="00463F82">
            <w:r>
              <w:t>14 дни</w:t>
            </w:r>
          </w:p>
        </w:tc>
      </w:tr>
      <w:tr w:rsidR="00463F82" w14:paraId="7FC6A43E" w14:textId="77777777" w:rsidTr="005A5F0F">
        <w:tc>
          <w:tcPr>
            <w:tcW w:w="2249" w:type="dxa"/>
            <w:vMerge/>
          </w:tcPr>
          <w:p w14:paraId="2D5DEEB8" w14:textId="77777777" w:rsidR="00463F82" w:rsidRDefault="00463F82" w:rsidP="00463F82"/>
        </w:tc>
        <w:tc>
          <w:tcPr>
            <w:tcW w:w="2323" w:type="dxa"/>
          </w:tcPr>
          <w:p w14:paraId="079BDDF7" w14:textId="462B1B31" w:rsidR="00463F82" w:rsidRDefault="00463F82" w:rsidP="00463F82">
            <w:r>
              <w:t>- Хронична кожно- лигавична кандидоза</w:t>
            </w:r>
          </w:p>
        </w:tc>
        <w:tc>
          <w:tcPr>
            <w:tcW w:w="2308" w:type="dxa"/>
          </w:tcPr>
          <w:p w14:paraId="019F0D66" w14:textId="7EBF085B" w:rsidR="00463F82" w:rsidRDefault="00463F82" w:rsidP="00463F82">
            <w:r>
              <w:t xml:space="preserve">50 </w:t>
            </w:r>
            <w:r>
              <w:rPr>
                <w:lang w:val="en-US"/>
              </w:rPr>
              <w:t xml:space="preserve">mg </w:t>
            </w:r>
            <w:r>
              <w:t xml:space="preserve">до 100 </w:t>
            </w:r>
            <w:r>
              <w:rPr>
                <w:lang w:val="en-US"/>
              </w:rPr>
              <w:t xml:space="preserve">mg </w:t>
            </w:r>
            <w:r>
              <w:t>дневно</w:t>
            </w:r>
          </w:p>
        </w:tc>
        <w:tc>
          <w:tcPr>
            <w:tcW w:w="2470" w:type="dxa"/>
            <w:vAlign w:val="bottom"/>
          </w:tcPr>
          <w:p w14:paraId="4DD1AC2A" w14:textId="01B077EF" w:rsidR="00463F82" w:rsidRDefault="00463F82" w:rsidP="00463F82">
            <w:r>
              <w:t>До 28 дни. Може да се наложат по-дълги периоди в зависимост както от тежестта на инфекцията, така и от подлежащото имунно увреждане и инфекция.</w:t>
            </w:r>
          </w:p>
        </w:tc>
      </w:tr>
      <w:tr w:rsidR="00463F82" w14:paraId="3C31EF2D" w14:textId="77777777" w:rsidTr="005A5F0F">
        <w:tc>
          <w:tcPr>
            <w:tcW w:w="2249" w:type="dxa"/>
            <w:vMerge w:val="restart"/>
            <w:vAlign w:val="bottom"/>
          </w:tcPr>
          <w:p w14:paraId="0297D3CA" w14:textId="18ED2A26" w:rsidR="00463F82" w:rsidRDefault="00463F82" w:rsidP="00463F82">
            <w:r>
              <w:rPr>
                <w:b/>
                <w:bCs/>
              </w:rPr>
              <w:t>Предотвратя</w:t>
            </w:r>
            <w:r>
              <w:rPr>
                <w:b/>
                <w:bCs/>
              </w:rPr>
              <w:softHyphen/>
              <w:t xml:space="preserve">ване на рецидив на лигавична кандидоза при инфектирани с </w:t>
            </w:r>
            <w:r>
              <w:rPr>
                <w:b/>
                <w:bCs/>
                <w:lang w:val="en-US"/>
              </w:rPr>
              <w:t xml:space="preserve">HTV </w:t>
            </w:r>
            <w:r>
              <w:rPr>
                <w:b/>
                <w:bCs/>
              </w:rPr>
              <w:t>пациенти с висок риск от рецидив</w:t>
            </w:r>
          </w:p>
        </w:tc>
        <w:tc>
          <w:tcPr>
            <w:tcW w:w="2323" w:type="dxa"/>
          </w:tcPr>
          <w:p w14:paraId="15A4AA34" w14:textId="69F5BC73" w:rsidR="00463F82" w:rsidRDefault="00463F82" w:rsidP="00463F82">
            <w:r>
              <w:t>- Орофарингеална кандидоза</w:t>
            </w:r>
          </w:p>
        </w:tc>
        <w:tc>
          <w:tcPr>
            <w:tcW w:w="2308" w:type="dxa"/>
          </w:tcPr>
          <w:p w14:paraId="69223ABF" w14:textId="134B8390" w:rsidR="00463F82" w:rsidRDefault="00463F82" w:rsidP="00463F82">
            <w:r>
              <w:t xml:space="preserve">100 до 200 </w:t>
            </w:r>
            <w:r>
              <w:rPr>
                <w:lang w:val="en-US"/>
              </w:rPr>
              <w:t xml:space="preserve">mg </w:t>
            </w:r>
            <w:r>
              <w:t xml:space="preserve">дневно или 300 </w:t>
            </w:r>
            <w:r>
              <w:rPr>
                <w:lang w:val="en-US"/>
              </w:rPr>
              <w:t xml:space="preserve">mg </w:t>
            </w:r>
            <w:r>
              <w:t>3 пъти седмично</w:t>
            </w:r>
          </w:p>
        </w:tc>
        <w:tc>
          <w:tcPr>
            <w:tcW w:w="2470" w:type="dxa"/>
          </w:tcPr>
          <w:p w14:paraId="6134A885" w14:textId="5302F87D" w:rsidR="00463F82" w:rsidRDefault="00463F82" w:rsidP="00463F82">
            <w:r>
              <w:t>Неопределен период при пациенти с хронична имуносупресия.</w:t>
            </w:r>
          </w:p>
        </w:tc>
      </w:tr>
      <w:tr w:rsidR="00463F82" w14:paraId="64E73D4D" w14:textId="77777777" w:rsidTr="00463F82">
        <w:tc>
          <w:tcPr>
            <w:tcW w:w="2249" w:type="dxa"/>
            <w:vMerge/>
          </w:tcPr>
          <w:p w14:paraId="62B16AA9" w14:textId="77777777" w:rsidR="00463F82" w:rsidRDefault="00463F82" w:rsidP="00463F82"/>
        </w:tc>
        <w:tc>
          <w:tcPr>
            <w:tcW w:w="2323" w:type="dxa"/>
          </w:tcPr>
          <w:p w14:paraId="4B55C304" w14:textId="3403B0B2" w:rsidR="00463F82" w:rsidRDefault="00463F82" w:rsidP="00463F82">
            <w:r>
              <w:t>- Езофагеална кандидоза</w:t>
            </w:r>
          </w:p>
        </w:tc>
        <w:tc>
          <w:tcPr>
            <w:tcW w:w="2308" w:type="dxa"/>
          </w:tcPr>
          <w:p w14:paraId="34274054" w14:textId="0C9E7BFA" w:rsidR="00463F82" w:rsidRDefault="00463F82" w:rsidP="00463F82">
            <w:r>
              <w:t xml:space="preserve">100 до 200 </w:t>
            </w:r>
            <w:r>
              <w:rPr>
                <w:lang w:val="en-US"/>
              </w:rPr>
              <w:t xml:space="preserve">mg </w:t>
            </w:r>
            <w:r>
              <w:t xml:space="preserve">дневно или </w:t>
            </w:r>
            <w:r>
              <w:rPr>
                <w:i/>
                <w:iCs/>
              </w:rPr>
              <w:t>200</w:t>
            </w:r>
            <w:r>
              <w:t xml:space="preserve"> </w:t>
            </w:r>
            <w:r>
              <w:rPr>
                <w:lang w:val="en-US"/>
              </w:rPr>
              <w:t xml:space="preserve">mg </w:t>
            </w:r>
            <w:r>
              <w:t>3 пъти седмично</w:t>
            </w:r>
          </w:p>
        </w:tc>
        <w:tc>
          <w:tcPr>
            <w:tcW w:w="2470" w:type="dxa"/>
          </w:tcPr>
          <w:p w14:paraId="60DBA21E" w14:textId="3706DB18" w:rsidR="00463F82" w:rsidRDefault="00463F82" w:rsidP="00463F82">
            <w:r>
              <w:t>Неопределен период при пациенти с хронична имуносупресия.</w:t>
            </w:r>
          </w:p>
        </w:tc>
      </w:tr>
      <w:tr w:rsidR="00463F82" w14:paraId="6A7193C8" w14:textId="77777777" w:rsidTr="00463F82">
        <w:tc>
          <w:tcPr>
            <w:tcW w:w="2249" w:type="dxa"/>
            <w:vMerge w:val="restart"/>
          </w:tcPr>
          <w:p w14:paraId="16279C1A" w14:textId="2984F5EE" w:rsidR="00463F82" w:rsidRDefault="00762DDE" w:rsidP="00463F82">
            <w:r>
              <w:rPr>
                <w:b/>
                <w:bCs/>
              </w:rPr>
              <w:t>Генитална кандидоза</w:t>
            </w:r>
          </w:p>
        </w:tc>
        <w:tc>
          <w:tcPr>
            <w:tcW w:w="2323" w:type="dxa"/>
          </w:tcPr>
          <w:p w14:paraId="5001CE10" w14:textId="77777777" w:rsidR="00463F82" w:rsidRDefault="00463F82" w:rsidP="00463F82">
            <w:pPr>
              <w:numPr>
                <w:ilvl w:val="0"/>
                <w:numId w:val="2"/>
              </w:numPr>
              <w:spacing w:line="240" w:lineRule="auto"/>
            </w:pPr>
            <w:r>
              <w:t>Остра вагинална кандидоза</w:t>
            </w:r>
          </w:p>
          <w:p w14:paraId="089C3EDB" w14:textId="704B0AEF" w:rsidR="00463F82" w:rsidRDefault="00463F82" w:rsidP="00463F82">
            <w:r>
              <w:t>Кандидозен баланит</w:t>
            </w:r>
          </w:p>
        </w:tc>
        <w:tc>
          <w:tcPr>
            <w:tcW w:w="2308" w:type="dxa"/>
          </w:tcPr>
          <w:p w14:paraId="6D240DE1" w14:textId="09EF6BD6" w:rsidR="00463F82" w:rsidRDefault="00463F82" w:rsidP="00463F82">
            <w:r>
              <w:t xml:space="preserve">150 </w:t>
            </w:r>
            <w:r>
              <w:rPr>
                <w:lang w:val="en-US"/>
              </w:rPr>
              <w:t>mg</w:t>
            </w:r>
          </w:p>
        </w:tc>
        <w:tc>
          <w:tcPr>
            <w:tcW w:w="2470" w:type="dxa"/>
          </w:tcPr>
          <w:p w14:paraId="1B356508" w14:textId="4108B1B5" w:rsidR="00463F82" w:rsidRDefault="00463F82" w:rsidP="00463F82">
            <w:r>
              <w:t>Еднократна доза</w:t>
            </w:r>
          </w:p>
        </w:tc>
      </w:tr>
      <w:tr w:rsidR="00463F82" w14:paraId="0720873A" w14:textId="77777777" w:rsidTr="005A5F0F">
        <w:trPr>
          <w:trHeight w:val="1889"/>
        </w:trPr>
        <w:tc>
          <w:tcPr>
            <w:tcW w:w="2249" w:type="dxa"/>
            <w:vMerge/>
            <w:tcBorders>
              <w:bottom w:val="single" w:sz="4" w:space="0" w:color="auto"/>
            </w:tcBorders>
          </w:tcPr>
          <w:p w14:paraId="223F627C" w14:textId="77777777" w:rsidR="00463F82" w:rsidRDefault="00463F82" w:rsidP="00463F82"/>
        </w:tc>
        <w:tc>
          <w:tcPr>
            <w:tcW w:w="2323" w:type="dxa"/>
            <w:tcBorders>
              <w:bottom w:val="single" w:sz="4" w:space="0" w:color="auto"/>
            </w:tcBorders>
          </w:tcPr>
          <w:p w14:paraId="0797AEEA" w14:textId="77777777" w:rsidR="00463F82" w:rsidRDefault="00463F82" w:rsidP="00463F82">
            <w:r>
              <w:t>- Лечение и профилактика на рецидивираща вагинална кандидоза (4 или повече епизода на</w:t>
            </w:r>
          </w:p>
          <w:p w14:paraId="74B1E810" w14:textId="611E0772" w:rsidR="00463F82" w:rsidRDefault="00463F82" w:rsidP="00463F82">
            <w:r>
              <w:t>година)</w:t>
            </w:r>
          </w:p>
        </w:tc>
        <w:tc>
          <w:tcPr>
            <w:tcW w:w="2308" w:type="dxa"/>
            <w:tcBorders>
              <w:bottom w:val="single" w:sz="4" w:space="0" w:color="auto"/>
            </w:tcBorders>
          </w:tcPr>
          <w:p w14:paraId="6820B6C7" w14:textId="6E254929" w:rsidR="00463F82" w:rsidRDefault="00463F82" w:rsidP="00463F82">
            <w:r>
              <w:t xml:space="preserve">150 </w:t>
            </w:r>
            <w:r>
              <w:rPr>
                <w:lang w:val="en-US"/>
              </w:rPr>
              <w:t xml:space="preserve">mg </w:t>
            </w:r>
            <w:r>
              <w:t xml:space="preserve">на всеки три дни общо 3 дози (ден 1, 4 и 7), последвани от 150 </w:t>
            </w:r>
            <w:r>
              <w:rPr>
                <w:lang w:val="en-US"/>
              </w:rPr>
              <w:t xml:space="preserve">mg </w:t>
            </w:r>
            <w:r>
              <w:t>веднъж седмично поддържаща доза</w:t>
            </w:r>
          </w:p>
        </w:tc>
        <w:tc>
          <w:tcPr>
            <w:tcW w:w="2470" w:type="dxa"/>
            <w:tcBorders>
              <w:bottom w:val="single" w:sz="4" w:space="0" w:color="auto"/>
            </w:tcBorders>
          </w:tcPr>
          <w:p w14:paraId="4A10F1FE" w14:textId="27749532" w:rsidR="00463F82" w:rsidRDefault="00463F82" w:rsidP="00463F82">
            <w:r>
              <w:t>Поддържаща доза:</w:t>
            </w:r>
            <w:r>
              <w:rPr>
                <w:lang w:val="en-US"/>
              </w:rPr>
              <w:t xml:space="preserve"> 6 </w:t>
            </w:r>
            <w:r>
              <w:t>месеца.</w:t>
            </w:r>
          </w:p>
        </w:tc>
      </w:tr>
      <w:tr w:rsidR="00762DDE" w14:paraId="78BD7D68" w14:textId="77777777" w:rsidTr="00463F82">
        <w:tc>
          <w:tcPr>
            <w:tcW w:w="2249" w:type="dxa"/>
            <w:vMerge w:val="restart"/>
          </w:tcPr>
          <w:p w14:paraId="098B052E" w14:textId="372CCE82" w:rsidR="00762DDE" w:rsidRDefault="00762DDE" w:rsidP="00762DDE">
            <w:r>
              <w:rPr>
                <w:b/>
                <w:bCs/>
              </w:rPr>
              <w:t>Дерматомикози</w:t>
            </w:r>
          </w:p>
        </w:tc>
        <w:tc>
          <w:tcPr>
            <w:tcW w:w="2323" w:type="dxa"/>
          </w:tcPr>
          <w:p w14:paraId="019A2F15" w14:textId="77777777" w:rsidR="00762DDE" w:rsidRDefault="00762DDE" w:rsidP="00762DDE">
            <w:pPr>
              <w:numPr>
                <w:ilvl w:val="0"/>
                <w:numId w:val="2"/>
              </w:numPr>
              <w:spacing w:line="240" w:lineRule="auto"/>
              <w:rPr>
                <w:i/>
                <w:iCs/>
              </w:rPr>
            </w:pPr>
            <w:r>
              <w:rPr>
                <w:i/>
                <w:iCs/>
              </w:rPr>
              <w:t>tinea pedis,</w:t>
            </w:r>
          </w:p>
          <w:p w14:paraId="130CECEF" w14:textId="77777777" w:rsidR="00762DDE" w:rsidRDefault="00762DDE" w:rsidP="00762DDE">
            <w:pPr>
              <w:numPr>
                <w:ilvl w:val="0"/>
                <w:numId w:val="2"/>
              </w:numPr>
              <w:spacing w:line="240" w:lineRule="auto"/>
              <w:rPr>
                <w:i/>
                <w:iCs/>
              </w:rPr>
            </w:pPr>
            <w:r>
              <w:rPr>
                <w:i/>
                <w:iCs/>
              </w:rPr>
              <w:t>tinea corporis,</w:t>
            </w:r>
          </w:p>
          <w:p w14:paraId="71EA380E" w14:textId="77777777" w:rsidR="00762DDE" w:rsidRDefault="00762DDE" w:rsidP="00762DDE">
            <w:pPr>
              <w:numPr>
                <w:ilvl w:val="0"/>
                <w:numId w:val="2"/>
              </w:numPr>
              <w:spacing w:line="240" w:lineRule="auto"/>
              <w:rPr>
                <w:i/>
                <w:iCs/>
              </w:rPr>
            </w:pPr>
            <w:r>
              <w:rPr>
                <w:i/>
                <w:iCs/>
              </w:rPr>
              <w:t>tinea cruris,</w:t>
            </w:r>
          </w:p>
          <w:p w14:paraId="35527088" w14:textId="4175755F" w:rsidR="00762DDE" w:rsidRDefault="00762DDE" w:rsidP="00762DDE">
            <w:r>
              <w:rPr>
                <w:i/>
                <w:iCs/>
              </w:rPr>
              <w:t>Candida</w:t>
            </w:r>
            <w:r>
              <w:t xml:space="preserve"> </w:t>
            </w:r>
            <w:r>
              <w:rPr>
                <w:lang w:eastAsia="bg-BG"/>
              </w:rPr>
              <w:t>инфекции</w:t>
            </w:r>
          </w:p>
        </w:tc>
        <w:tc>
          <w:tcPr>
            <w:tcW w:w="2308" w:type="dxa"/>
          </w:tcPr>
          <w:p w14:paraId="36B3DB70" w14:textId="69D3F015" w:rsidR="00762DDE" w:rsidRDefault="00762DDE" w:rsidP="00762DDE">
            <w:r>
              <w:rPr>
                <w:lang w:val="en-US"/>
              </w:rPr>
              <w:t xml:space="preserve">150 mg </w:t>
            </w:r>
            <w:r>
              <w:t xml:space="preserve">веднъж седмично или </w:t>
            </w:r>
            <w:r>
              <w:rPr>
                <w:lang w:val="en-US"/>
              </w:rPr>
              <w:t xml:space="preserve">50 mg </w:t>
            </w:r>
            <w:r>
              <w:t>веднъж дневно</w:t>
            </w:r>
          </w:p>
        </w:tc>
        <w:tc>
          <w:tcPr>
            <w:tcW w:w="2470" w:type="dxa"/>
          </w:tcPr>
          <w:p w14:paraId="2CF61CD9" w14:textId="02AE46A0" w:rsidR="00762DDE" w:rsidRDefault="00762DDE" w:rsidP="00762DDE">
            <w:r>
              <w:t xml:space="preserve">2 до 4 седмици, лечението на </w:t>
            </w:r>
            <w:r>
              <w:rPr>
                <w:i/>
                <w:iCs/>
                <w:lang w:val="en-US"/>
              </w:rPr>
              <w:t xml:space="preserve">tinea </w:t>
            </w:r>
            <w:proofErr w:type="spellStart"/>
            <w:r>
              <w:rPr>
                <w:i/>
                <w:iCs/>
                <w:lang w:val="en-US"/>
              </w:rPr>
              <w:t>pedis</w:t>
            </w:r>
            <w:proofErr w:type="spellEnd"/>
            <w:r>
              <w:rPr>
                <w:lang w:val="en-US"/>
              </w:rPr>
              <w:t xml:space="preserve"> </w:t>
            </w:r>
            <w:r>
              <w:t>може да продължи до 6 седмици</w:t>
            </w:r>
          </w:p>
        </w:tc>
      </w:tr>
      <w:tr w:rsidR="00762DDE" w14:paraId="382BB401" w14:textId="77777777" w:rsidTr="00463F82">
        <w:tc>
          <w:tcPr>
            <w:tcW w:w="2249" w:type="dxa"/>
            <w:vMerge/>
          </w:tcPr>
          <w:p w14:paraId="1880F10D" w14:textId="77777777" w:rsidR="00762DDE" w:rsidRDefault="00762DDE" w:rsidP="00762DDE"/>
        </w:tc>
        <w:tc>
          <w:tcPr>
            <w:tcW w:w="2323" w:type="dxa"/>
            <w:vMerge w:val="restart"/>
          </w:tcPr>
          <w:p w14:paraId="25AC335A" w14:textId="52249E8B" w:rsidR="00762DDE" w:rsidRDefault="00762DDE" w:rsidP="00762DDE">
            <w:r>
              <w:rPr>
                <w:i/>
                <w:iCs/>
              </w:rPr>
              <w:t>- tinea versicolor</w:t>
            </w:r>
          </w:p>
        </w:tc>
        <w:tc>
          <w:tcPr>
            <w:tcW w:w="2308" w:type="dxa"/>
          </w:tcPr>
          <w:p w14:paraId="5A3ABCF0" w14:textId="72D8184D" w:rsidR="00762DDE" w:rsidRDefault="00762DDE" w:rsidP="00762DDE">
            <w:r>
              <w:t xml:space="preserve">300 </w:t>
            </w:r>
            <w:r>
              <w:rPr>
                <w:lang w:val="en-US"/>
              </w:rPr>
              <w:t xml:space="preserve">mg </w:t>
            </w:r>
            <w:r>
              <w:t xml:space="preserve">до 400 </w:t>
            </w:r>
            <w:r>
              <w:rPr>
                <w:lang w:val="en-US"/>
              </w:rPr>
              <w:t xml:space="preserve">mg </w:t>
            </w:r>
            <w:r>
              <w:t>веднъж седмично</w:t>
            </w:r>
          </w:p>
        </w:tc>
        <w:tc>
          <w:tcPr>
            <w:tcW w:w="2470" w:type="dxa"/>
          </w:tcPr>
          <w:p w14:paraId="1A6F3AB3" w14:textId="67293A4F" w:rsidR="00762DDE" w:rsidRDefault="00762DDE" w:rsidP="00762DDE">
            <w:r>
              <w:t>1 до 3 седмици</w:t>
            </w:r>
          </w:p>
        </w:tc>
      </w:tr>
      <w:tr w:rsidR="00762DDE" w14:paraId="14FECB3F" w14:textId="77777777" w:rsidTr="00463F82">
        <w:tc>
          <w:tcPr>
            <w:tcW w:w="2249" w:type="dxa"/>
            <w:vMerge/>
          </w:tcPr>
          <w:p w14:paraId="7FA54F12" w14:textId="77777777" w:rsidR="00762DDE" w:rsidRDefault="00762DDE" w:rsidP="00762DDE"/>
        </w:tc>
        <w:tc>
          <w:tcPr>
            <w:tcW w:w="2323" w:type="dxa"/>
            <w:vMerge/>
          </w:tcPr>
          <w:p w14:paraId="03D75509" w14:textId="77777777" w:rsidR="00762DDE" w:rsidRDefault="00762DDE" w:rsidP="00762DDE"/>
        </w:tc>
        <w:tc>
          <w:tcPr>
            <w:tcW w:w="2308" w:type="dxa"/>
          </w:tcPr>
          <w:p w14:paraId="76E5F888" w14:textId="33AECEAD" w:rsidR="00762DDE" w:rsidRDefault="00762DDE" w:rsidP="00762DDE">
            <w:r>
              <w:t xml:space="preserve">50 </w:t>
            </w:r>
            <w:r>
              <w:rPr>
                <w:lang w:val="en-US"/>
              </w:rPr>
              <w:t xml:space="preserve">mg </w:t>
            </w:r>
            <w:r>
              <w:t>веднъж дневно</w:t>
            </w:r>
          </w:p>
        </w:tc>
        <w:tc>
          <w:tcPr>
            <w:tcW w:w="2470" w:type="dxa"/>
          </w:tcPr>
          <w:p w14:paraId="6F7C776F" w14:textId="543BA4DA" w:rsidR="00762DDE" w:rsidRDefault="00762DDE" w:rsidP="00762DDE">
            <w:r>
              <w:t>2 до 4 седмици</w:t>
            </w:r>
          </w:p>
        </w:tc>
      </w:tr>
      <w:tr w:rsidR="00762DDE" w14:paraId="55E9412E" w14:textId="77777777" w:rsidTr="00463F82">
        <w:tc>
          <w:tcPr>
            <w:tcW w:w="2249" w:type="dxa"/>
            <w:vMerge/>
          </w:tcPr>
          <w:p w14:paraId="0DC7F559" w14:textId="77777777" w:rsidR="00762DDE" w:rsidRDefault="00762DDE" w:rsidP="00762DDE"/>
        </w:tc>
        <w:tc>
          <w:tcPr>
            <w:tcW w:w="2323" w:type="dxa"/>
          </w:tcPr>
          <w:p w14:paraId="4B1C196B" w14:textId="61E31CF3" w:rsidR="00762DDE" w:rsidRDefault="00762DDE" w:rsidP="00762DDE">
            <w:r>
              <w:rPr>
                <w:i/>
                <w:iCs/>
              </w:rPr>
              <w:t xml:space="preserve">- tinea unguium </w:t>
            </w:r>
            <w:r>
              <w:rPr>
                <w:i/>
                <w:iCs/>
                <w:lang w:eastAsia="bg-BG"/>
              </w:rPr>
              <w:t>(онихомикоза)</w:t>
            </w:r>
          </w:p>
        </w:tc>
        <w:tc>
          <w:tcPr>
            <w:tcW w:w="2308" w:type="dxa"/>
          </w:tcPr>
          <w:p w14:paraId="1007FFA8" w14:textId="0F302F84" w:rsidR="00762DDE" w:rsidRDefault="00762DDE" w:rsidP="00762DDE">
            <w:r>
              <w:t xml:space="preserve">150 </w:t>
            </w:r>
            <w:r>
              <w:rPr>
                <w:lang w:val="en-US"/>
              </w:rPr>
              <w:t xml:space="preserve">mg </w:t>
            </w:r>
            <w:r>
              <w:t>веднъж седмично</w:t>
            </w:r>
          </w:p>
        </w:tc>
        <w:tc>
          <w:tcPr>
            <w:tcW w:w="2470" w:type="dxa"/>
          </w:tcPr>
          <w:p w14:paraId="469B9925" w14:textId="77777777" w:rsidR="00762DDE" w:rsidRDefault="00762DDE" w:rsidP="00762DDE">
            <w:r>
              <w:t>Лечението трябва да продължи докато инфектираният нокът се замести (израсте неинфектиран). Повторният растеж на ноктите на пръстите на ръцете и съответно на краката нормално изисква 3 до б месеца и б до 12 месеца.</w:t>
            </w:r>
          </w:p>
          <w:p w14:paraId="1DE78515" w14:textId="5A4EF123" w:rsidR="00762DDE" w:rsidRDefault="00762DDE" w:rsidP="00762DDE">
            <w:r>
              <w:t>Въпреки това растежът може да варира строго индивидуално и в зависимост от възрастта. След успешно лечение на продължителни хронични инфекции, ноктите обикновено остават деформирани.</w:t>
            </w:r>
          </w:p>
        </w:tc>
      </w:tr>
      <w:tr w:rsidR="00762DDE" w14:paraId="23CCAD14" w14:textId="77777777" w:rsidTr="00463F82">
        <w:tc>
          <w:tcPr>
            <w:tcW w:w="2249" w:type="dxa"/>
          </w:tcPr>
          <w:p w14:paraId="707677A5" w14:textId="782B00AD" w:rsidR="00762DDE" w:rsidRDefault="00762DDE" w:rsidP="00762DDE">
            <w:r>
              <w:rPr>
                <w:b/>
                <w:bCs/>
              </w:rPr>
              <w:t>Профилактика на кандидоза при пациенти с продължителна неутропения</w:t>
            </w:r>
          </w:p>
        </w:tc>
        <w:tc>
          <w:tcPr>
            <w:tcW w:w="2323" w:type="dxa"/>
          </w:tcPr>
          <w:p w14:paraId="0BD8F167" w14:textId="77777777" w:rsidR="00762DDE" w:rsidRDefault="00762DDE" w:rsidP="00762DDE"/>
        </w:tc>
        <w:tc>
          <w:tcPr>
            <w:tcW w:w="2308" w:type="dxa"/>
          </w:tcPr>
          <w:p w14:paraId="1CB1A4A8" w14:textId="24C5D70F" w:rsidR="00762DDE" w:rsidRDefault="00762DDE" w:rsidP="00762DDE">
            <w:r>
              <w:t xml:space="preserve">200 </w:t>
            </w:r>
            <w:r>
              <w:rPr>
                <w:lang w:val="en-US"/>
              </w:rPr>
              <w:t xml:space="preserve">mg </w:t>
            </w:r>
            <w:r>
              <w:t xml:space="preserve">до 400 </w:t>
            </w:r>
            <w:r>
              <w:rPr>
                <w:lang w:val="en-US"/>
              </w:rPr>
              <w:t>mg</w:t>
            </w:r>
          </w:p>
        </w:tc>
        <w:tc>
          <w:tcPr>
            <w:tcW w:w="2470" w:type="dxa"/>
          </w:tcPr>
          <w:p w14:paraId="66068943" w14:textId="54D83363" w:rsidR="00762DDE" w:rsidRDefault="00762DDE" w:rsidP="00762DDE">
            <w:r>
              <w:t xml:space="preserve">Лечението трябва да започне няколко дни преди очакваната неутропения и да продължи 7 дни след възстановяването след като </w:t>
            </w:r>
            <w:r>
              <w:lastRenderedPageBreak/>
              <w:t xml:space="preserve">неутрофилите се покачат над 1000 клетки на </w:t>
            </w:r>
            <w:r>
              <w:rPr>
                <w:lang w:val="en-US"/>
              </w:rPr>
              <w:t>mm</w:t>
            </w:r>
            <w:r>
              <w:rPr>
                <w:vertAlign w:val="superscript"/>
                <w:lang w:val="en-US"/>
              </w:rPr>
              <w:t>3</w:t>
            </w:r>
            <w:r>
              <w:rPr>
                <w:lang w:val="en-US"/>
              </w:rPr>
              <w:t>.</w:t>
            </w:r>
          </w:p>
        </w:tc>
      </w:tr>
    </w:tbl>
    <w:p w14:paraId="713AC870" w14:textId="77777777" w:rsidR="00463F82" w:rsidRDefault="00463F82" w:rsidP="00463F82"/>
    <w:p w14:paraId="132F3111" w14:textId="2D23EDFB" w:rsidR="005B0F27" w:rsidRDefault="005B0F27" w:rsidP="0091385D"/>
    <w:p w14:paraId="53EC7BA2"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u w:val="single"/>
          <w:lang w:eastAsia="bg-BG"/>
        </w:rPr>
        <w:t>Специални популации</w:t>
      </w:r>
    </w:p>
    <w:p w14:paraId="6C05C059" w14:textId="77777777" w:rsidR="00463F82" w:rsidRPr="00762DDE" w:rsidRDefault="00463F82" w:rsidP="00463F82">
      <w:pPr>
        <w:spacing w:line="240" w:lineRule="auto"/>
        <w:rPr>
          <w:rFonts w:eastAsia="Times New Roman" w:cs="Arial"/>
          <w:i/>
          <w:iCs/>
          <w:color w:val="000000"/>
          <w:lang w:eastAsia="bg-BG"/>
        </w:rPr>
      </w:pPr>
    </w:p>
    <w:p w14:paraId="324FDF21" w14:textId="6B5D0E98" w:rsidR="00463F82" w:rsidRPr="00463F82" w:rsidRDefault="00463F82" w:rsidP="00463F82">
      <w:pPr>
        <w:spacing w:line="240" w:lineRule="auto"/>
        <w:rPr>
          <w:rFonts w:eastAsia="Times New Roman" w:cs="Arial"/>
          <w:sz w:val="24"/>
          <w:szCs w:val="24"/>
          <w:lang w:eastAsia="bg-BG"/>
        </w:rPr>
      </w:pPr>
      <w:r w:rsidRPr="00463F82">
        <w:rPr>
          <w:rFonts w:eastAsia="Times New Roman" w:cs="Arial"/>
          <w:i/>
          <w:iCs/>
          <w:color w:val="000000"/>
          <w:lang w:eastAsia="bg-BG"/>
        </w:rPr>
        <w:t>Старческа възраст</w:t>
      </w:r>
    </w:p>
    <w:p w14:paraId="3D2FB055"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 xml:space="preserve">Дозировката трябва да се адаптира въз основа на бъбречната функция (вж. </w:t>
      </w:r>
      <w:r w:rsidRPr="00463F82">
        <w:rPr>
          <w:rFonts w:eastAsia="Times New Roman" w:cs="Arial"/>
          <w:i/>
          <w:iCs/>
          <w:color w:val="000000"/>
          <w:lang w:eastAsia="bg-BG"/>
        </w:rPr>
        <w:t>Бъбречно увреждане).</w:t>
      </w:r>
    </w:p>
    <w:p w14:paraId="27C6850A" w14:textId="77777777" w:rsidR="00463F82" w:rsidRPr="00762DDE" w:rsidRDefault="00463F82" w:rsidP="00463F82">
      <w:pPr>
        <w:spacing w:line="240" w:lineRule="auto"/>
        <w:rPr>
          <w:rFonts w:eastAsia="Times New Roman" w:cs="Arial"/>
          <w:i/>
          <w:iCs/>
          <w:color w:val="000000"/>
          <w:lang w:eastAsia="bg-BG"/>
        </w:rPr>
      </w:pPr>
    </w:p>
    <w:p w14:paraId="698C8152" w14:textId="33B0FC29" w:rsidR="00463F82" w:rsidRPr="00463F82" w:rsidRDefault="00463F82" w:rsidP="00463F82">
      <w:pPr>
        <w:spacing w:line="240" w:lineRule="auto"/>
        <w:rPr>
          <w:rFonts w:eastAsia="Times New Roman" w:cs="Arial"/>
          <w:sz w:val="24"/>
          <w:szCs w:val="24"/>
          <w:lang w:eastAsia="bg-BG"/>
        </w:rPr>
      </w:pPr>
      <w:r w:rsidRPr="00463F82">
        <w:rPr>
          <w:rFonts w:eastAsia="Times New Roman" w:cs="Arial"/>
          <w:i/>
          <w:iCs/>
          <w:color w:val="000000"/>
          <w:lang w:eastAsia="bg-BG"/>
        </w:rPr>
        <w:t>Бъбречно увреждане</w:t>
      </w:r>
    </w:p>
    <w:p w14:paraId="4E4A1BD4"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Когато курсът на лечение е с еднократна доза, не е необходимо коригиране на дозата.</w:t>
      </w:r>
    </w:p>
    <w:p w14:paraId="566D7426" w14:textId="05EAA9CD" w:rsidR="00463F82" w:rsidRPr="00762DDE" w:rsidRDefault="00463F82" w:rsidP="00463F82">
      <w:pPr>
        <w:rPr>
          <w:rFonts w:eastAsia="Times New Roman" w:cs="Arial"/>
          <w:color w:val="000000"/>
          <w:lang w:eastAsia="bg-BG"/>
        </w:rPr>
      </w:pPr>
      <w:r w:rsidRPr="00762DDE">
        <w:rPr>
          <w:rFonts w:eastAsia="Times New Roman" w:cs="Arial"/>
          <w:color w:val="000000"/>
          <w:lang w:eastAsia="bg-BG"/>
        </w:rPr>
        <w:t xml:space="preserve">При пациенти (включително деца) с увредена бъбречна функция, когато се налага многократно приложение на флуконазол, се започва с първоначална доза 50 </w:t>
      </w:r>
      <w:r w:rsidRPr="00762DDE">
        <w:rPr>
          <w:rFonts w:eastAsia="Times New Roman" w:cs="Arial"/>
          <w:color w:val="000000"/>
          <w:lang w:val="en-US"/>
        </w:rPr>
        <w:t xml:space="preserve">mg </w:t>
      </w:r>
      <w:r w:rsidRPr="00762DDE">
        <w:rPr>
          <w:rFonts w:eastAsia="Times New Roman" w:cs="Arial"/>
          <w:color w:val="000000"/>
          <w:lang w:eastAsia="bg-BG"/>
        </w:rPr>
        <w:t xml:space="preserve">до 400 </w:t>
      </w:r>
      <w:r w:rsidRPr="00762DDE">
        <w:rPr>
          <w:rFonts w:eastAsia="Times New Roman" w:cs="Arial"/>
          <w:color w:val="000000"/>
          <w:lang w:val="en-US"/>
        </w:rPr>
        <w:t xml:space="preserve">mg, </w:t>
      </w:r>
      <w:r w:rsidRPr="00762DDE">
        <w:rPr>
          <w:rFonts w:eastAsia="Times New Roman" w:cs="Arial"/>
          <w:color w:val="000000"/>
          <w:lang w:eastAsia="bg-BG"/>
        </w:rPr>
        <w:t>основана на препоръчваната дневна доза според показанието. След първоначалната натоварваща доза, дневната доза (според индикациите) се определя по следната таблица:</w:t>
      </w:r>
    </w:p>
    <w:p w14:paraId="1680D6CC" w14:textId="67BD01DC" w:rsidR="00463F82" w:rsidRPr="00762DDE" w:rsidRDefault="00463F82" w:rsidP="00463F82">
      <w:pPr>
        <w:rPr>
          <w:rFonts w:eastAsia="Times New Roman" w:cs="Arial"/>
          <w:color w:val="000000"/>
          <w:lang w:eastAsia="bg-BG"/>
        </w:rPr>
      </w:pPr>
    </w:p>
    <w:tbl>
      <w:tblPr>
        <w:tblStyle w:val="TableGrid"/>
        <w:tblW w:w="0" w:type="auto"/>
        <w:tblLook w:val="04A0" w:firstRow="1" w:lastRow="0" w:firstColumn="1" w:lastColumn="0" w:noHBand="0" w:noVBand="1"/>
      </w:tblPr>
      <w:tblGrid>
        <w:gridCol w:w="4675"/>
        <w:gridCol w:w="4675"/>
      </w:tblGrid>
      <w:tr w:rsidR="00463F82" w:rsidRPr="00762DDE" w14:paraId="6295CB7E" w14:textId="77777777" w:rsidTr="00463F82">
        <w:tc>
          <w:tcPr>
            <w:tcW w:w="4675" w:type="dxa"/>
          </w:tcPr>
          <w:p w14:paraId="0A536FCA" w14:textId="5FA795B3" w:rsidR="00463F82" w:rsidRPr="00762DDE" w:rsidRDefault="00463F82" w:rsidP="00463F82">
            <w:pPr>
              <w:rPr>
                <w:rFonts w:cs="Arial"/>
              </w:rPr>
            </w:pPr>
            <w:r w:rsidRPr="00762DDE">
              <w:rPr>
                <w:rFonts w:cs="Arial"/>
                <w:b/>
                <w:bCs/>
              </w:rPr>
              <w:t xml:space="preserve">Креатннинов клирънс </w:t>
            </w:r>
            <w:r w:rsidRPr="00762DDE">
              <w:rPr>
                <w:rFonts w:cs="Arial"/>
                <w:b/>
                <w:bCs/>
                <w:lang w:val="en-US"/>
              </w:rPr>
              <w:t>(ml/min)</w:t>
            </w:r>
          </w:p>
        </w:tc>
        <w:tc>
          <w:tcPr>
            <w:tcW w:w="4675" w:type="dxa"/>
          </w:tcPr>
          <w:p w14:paraId="3DF45CB8" w14:textId="3B26E984" w:rsidR="00463F82" w:rsidRPr="00762DDE" w:rsidRDefault="00463F82" w:rsidP="00463F82">
            <w:pPr>
              <w:rPr>
                <w:rFonts w:cs="Arial"/>
              </w:rPr>
            </w:pPr>
            <w:r w:rsidRPr="00762DDE">
              <w:rPr>
                <w:rFonts w:cs="Arial"/>
                <w:b/>
                <w:bCs/>
              </w:rPr>
              <w:t>Процент от препоръчителната доза</w:t>
            </w:r>
          </w:p>
        </w:tc>
      </w:tr>
      <w:tr w:rsidR="00463F82" w:rsidRPr="00762DDE" w14:paraId="5C290B54" w14:textId="77777777" w:rsidTr="00463F82">
        <w:tc>
          <w:tcPr>
            <w:tcW w:w="4675" w:type="dxa"/>
          </w:tcPr>
          <w:p w14:paraId="27AC9A02" w14:textId="5ED93F99" w:rsidR="00463F82" w:rsidRPr="00762DDE" w:rsidRDefault="00463F82" w:rsidP="00463F82">
            <w:pPr>
              <w:rPr>
                <w:rFonts w:cs="Arial"/>
              </w:rPr>
            </w:pPr>
            <w:r w:rsidRPr="00762DDE">
              <w:rPr>
                <w:rFonts w:cs="Arial"/>
              </w:rPr>
              <w:t>&gt;50</w:t>
            </w:r>
          </w:p>
        </w:tc>
        <w:tc>
          <w:tcPr>
            <w:tcW w:w="4675" w:type="dxa"/>
          </w:tcPr>
          <w:p w14:paraId="239D1486" w14:textId="4F69B7D5" w:rsidR="00463F82" w:rsidRPr="00762DDE" w:rsidRDefault="00463F82" w:rsidP="00463F82">
            <w:pPr>
              <w:rPr>
                <w:rFonts w:cs="Arial"/>
              </w:rPr>
            </w:pPr>
            <w:r w:rsidRPr="00762DDE">
              <w:rPr>
                <w:rFonts w:cs="Arial"/>
              </w:rPr>
              <w:t>100%</w:t>
            </w:r>
          </w:p>
        </w:tc>
      </w:tr>
      <w:tr w:rsidR="00463F82" w:rsidRPr="00762DDE" w14:paraId="752A4626" w14:textId="77777777" w:rsidTr="00463F82">
        <w:tc>
          <w:tcPr>
            <w:tcW w:w="4675" w:type="dxa"/>
          </w:tcPr>
          <w:p w14:paraId="2DA48DA1" w14:textId="25BE4BC2" w:rsidR="00463F82" w:rsidRPr="00762DDE" w:rsidRDefault="00463F82" w:rsidP="00463F82">
            <w:pPr>
              <w:rPr>
                <w:rFonts w:cs="Arial"/>
              </w:rPr>
            </w:pPr>
            <w:r w:rsidRPr="00762DDE">
              <w:rPr>
                <w:rFonts w:cs="Arial"/>
              </w:rPr>
              <w:t>≤ 50 (без диализа)</w:t>
            </w:r>
          </w:p>
        </w:tc>
        <w:tc>
          <w:tcPr>
            <w:tcW w:w="4675" w:type="dxa"/>
          </w:tcPr>
          <w:p w14:paraId="1CDA137C" w14:textId="106D221A" w:rsidR="00463F82" w:rsidRPr="00762DDE" w:rsidRDefault="00463F82" w:rsidP="00463F82">
            <w:pPr>
              <w:rPr>
                <w:rFonts w:cs="Arial"/>
              </w:rPr>
            </w:pPr>
            <w:r w:rsidRPr="00762DDE">
              <w:rPr>
                <w:rFonts w:cs="Arial"/>
              </w:rPr>
              <w:t>50%</w:t>
            </w:r>
          </w:p>
        </w:tc>
      </w:tr>
      <w:tr w:rsidR="00463F82" w:rsidRPr="00762DDE" w14:paraId="6C997686" w14:textId="77777777" w:rsidTr="00463F82">
        <w:tc>
          <w:tcPr>
            <w:tcW w:w="4675" w:type="dxa"/>
          </w:tcPr>
          <w:p w14:paraId="71D2124B" w14:textId="45C20401" w:rsidR="00463F82" w:rsidRPr="00762DDE" w:rsidRDefault="00463F82" w:rsidP="00463F82">
            <w:pPr>
              <w:rPr>
                <w:rFonts w:cs="Arial"/>
              </w:rPr>
            </w:pPr>
            <w:r w:rsidRPr="00762DDE">
              <w:rPr>
                <w:rFonts w:cs="Arial"/>
              </w:rPr>
              <w:t>Хемодиализа</w:t>
            </w:r>
          </w:p>
        </w:tc>
        <w:tc>
          <w:tcPr>
            <w:tcW w:w="4675" w:type="dxa"/>
          </w:tcPr>
          <w:p w14:paraId="2314B611" w14:textId="3F207BEC" w:rsidR="00463F82" w:rsidRPr="00762DDE" w:rsidRDefault="00463F82" w:rsidP="00463F82">
            <w:pPr>
              <w:rPr>
                <w:rFonts w:cs="Arial"/>
              </w:rPr>
            </w:pPr>
            <w:r w:rsidRPr="00762DDE">
              <w:rPr>
                <w:rFonts w:cs="Arial"/>
              </w:rPr>
              <w:t>100% след всяка диализа</w:t>
            </w:r>
          </w:p>
        </w:tc>
      </w:tr>
    </w:tbl>
    <w:p w14:paraId="58FD4623" w14:textId="77777777" w:rsidR="00463F82" w:rsidRPr="00762DDE" w:rsidRDefault="00463F82" w:rsidP="00463F82">
      <w:pPr>
        <w:rPr>
          <w:rFonts w:cs="Arial"/>
        </w:rPr>
      </w:pPr>
    </w:p>
    <w:p w14:paraId="24FBBDD7" w14:textId="77777777" w:rsidR="00463F82" w:rsidRPr="00463F82" w:rsidRDefault="00463F82" w:rsidP="00463F82">
      <w:pPr>
        <w:spacing w:line="240" w:lineRule="auto"/>
        <w:rPr>
          <w:rFonts w:eastAsia="Times New Roman" w:cs="Arial"/>
          <w:sz w:val="24"/>
          <w:szCs w:val="24"/>
          <w:lang w:eastAsia="bg-BG"/>
        </w:rPr>
      </w:pPr>
      <w:r w:rsidRPr="00463F82">
        <w:rPr>
          <w:rFonts w:eastAsia="Times New Roman" w:cs="Arial"/>
          <w:color w:val="000000"/>
          <w:lang w:eastAsia="bg-BG"/>
        </w:rPr>
        <w:t>Пациентите на постоянна диализа трябва да получават 100% от препоръчаната доза след всяка диализа; през дните, свободни от диализа, пациентите трябва да получават намалена доза в съответствие с креатининовия им клирънс.</w:t>
      </w:r>
    </w:p>
    <w:p w14:paraId="541C7BF3" w14:textId="77777777" w:rsidR="00463F82" w:rsidRPr="00762DDE" w:rsidRDefault="00463F82" w:rsidP="00463F82">
      <w:pPr>
        <w:spacing w:line="240" w:lineRule="auto"/>
        <w:rPr>
          <w:rFonts w:eastAsia="Times New Roman" w:cs="Arial"/>
          <w:i/>
          <w:iCs/>
          <w:color w:val="000000"/>
          <w:lang w:eastAsia="bg-BG"/>
        </w:rPr>
      </w:pPr>
    </w:p>
    <w:p w14:paraId="68AE9B06" w14:textId="3A6BC976" w:rsidR="00463F82" w:rsidRPr="00463F82" w:rsidRDefault="00463F82" w:rsidP="00463F82">
      <w:pPr>
        <w:spacing w:line="240" w:lineRule="auto"/>
        <w:rPr>
          <w:rFonts w:eastAsia="Times New Roman" w:cs="Arial"/>
          <w:sz w:val="24"/>
          <w:szCs w:val="24"/>
          <w:lang w:eastAsia="bg-BG"/>
        </w:rPr>
      </w:pPr>
      <w:r w:rsidRPr="00463F82">
        <w:rPr>
          <w:rFonts w:eastAsia="Times New Roman" w:cs="Arial"/>
          <w:i/>
          <w:iCs/>
          <w:color w:val="000000"/>
          <w:lang w:eastAsia="bg-BG"/>
        </w:rPr>
        <w:t>Чернодробно увреждане</w:t>
      </w:r>
    </w:p>
    <w:p w14:paraId="69573042" w14:textId="0D7E1EAF" w:rsidR="00463F82" w:rsidRPr="00762DDE" w:rsidRDefault="00463F82" w:rsidP="00463F82">
      <w:pPr>
        <w:rPr>
          <w:rFonts w:cs="Arial"/>
        </w:rPr>
      </w:pPr>
      <w:bookmarkStart w:id="1" w:name="bookmark0"/>
      <w:bookmarkEnd w:id="1"/>
      <w:r w:rsidRPr="00762DDE">
        <w:rPr>
          <w:rFonts w:eastAsia="Times New Roman" w:cs="Arial"/>
          <w:color w:val="000000"/>
          <w:lang w:eastAsia="bg-BG"/>
        </w:rPr>
        <w:t>Данните при пациенти с чернодробно увреждане са ограничени, по тази причина флуконазол. трябва да се прилага с внимание при пациенти с чернодробна дисфункция (вж. точки 4.4 и 4.8).</w:t>
      </w:r>
    </w:p>
    <w:p w14:paraId="7A4DB3D7" w14:textId="1F6B92A3" w:rsidR="00463F82" w:rsidRDefault="00463F82" w:rsidP="0091385D"/>
    <w:p w14:paraId="7F8FAD65" w14:textId="77777777" w:rsidR="00762DDE" w:rsidRPr="00762DDE" w:rsidRDefault="00762DDE" w:rsidP="00762DDE">
      <w:pPr>
        <w:spacing w:line="240" w:lineRule="auto"/>
        <w:rPr>
          <w:rFonts w:eastAsia="Times New Roman" w:cs="Arial"/>
          <w:sz w:val="24"/>
          <w:szCs w:val="24"/>
          <w:lang w:eastAsia="bg-BG"/>
        </w:rPr>
      </w:pPr>
      <w:r w:rsidRPr="00762DDE">
        <w:rPr>
          <w:rFonts w:eastAsia="Times New Roman" w:cs="Arial"/>
          <w:color w:val="000000"/>
          <w:u w:val="single"/>
          <w:lang w:eastAsia="bg-BG"/>
        </w:rPr>
        <w:t>Педиатрична популация</w:t>
      </w:r>
    </w:p>
    <w:p w14:paraId="1656D6BE" w14:textId="77777777" w:rsidR="00762DDE" w:rsidRPr="005A5F0F" w:rsidRDefault="00762DDE" w:rsidP="00762DDE">
      <w:pPr>
        <w:spacing w:line="240" w:lineRule="auto"/>
        <w:rPr>
          <w:rFonts w:eastAsia="Times New Roman" w:cs="Arial"/>
          <w:color w:val="000000"/>
          <w:lang w:eastAsia="bg-BG"/>
        </w:rPr>
      </w:pPr>
    </w:p>
    <w:p w14:paraId="45FBFBD2" w14:textId="3AB3948E" w:rsidR="00762DDE" w:rsidRPr="00762DDE" w:rsidRDefault="00762DDE" w:rsidP="00762DDE">
      <w:pPr>
        <w:spacing w:line="240" w:lineRule="auto"/>
        <w:rPr>
          <w:rFonts w:eastAsia="Times New Roman" w:cs="Arial"/>
          <w:sz w:val="24"/>
          <w:szCs w:val="24"/>
          <w:lang w:eastAsia="bg-BG"/>
        </w:rPr>
      </w:pPr>
      <w:r w:rsidRPr="00762DDE">
        <w:rPr>
          <w:rFonts w:eastAsia="Times New Roman" w:cs="Arial"/>
          <w:color w:val="000000"/>
          <w:lang w:eastAsia="bg-BG"/>
        </w:rPr>
        <w:t xml:space="preserve">При педиатричната популация не бива да се превишава дневна доза от 400 </w:t>
      </w:r>
      <w:r w:rsidRPr="00762DDE">
        <w:rPr>
          <w:rFonts w:eastAsia="Times New Roman" w:cs="Arial"/>
          <w:color w:val="000000"/>
          <w:lang w:val="en-US"/>
        </w:rPr>
        <w:t>mg.</w:t>
      </w:r>
    </w:p>
    <w:p w14:paraId="3656CAEC" w14:textId="77777777" w:rsidR="00762DDE" w:rsidRPr="005A5F0F" w:rsidRDefault="00762DDE" w:rsidP="00762DDE">
      <w:pPr>
        <w:spacing w:line="240" w:lineRule="auto"/>
        <w:rPr>
          <w:rFonts w:eastAsia="Times New Roman" w:cs="Arial"/>
          <w:color w:val="000000"/>
          <w:lang w:eastAsia="bg-BG"/>
        </w:rPr>
      </w:pPr>
    </w:p>
    <w:p w14:paraId="6EF87224" w14:textId="6A39614E" w:rsidR="00762DDE" w:rsidRPr="00762DDE" w:rsidRDefault="00762DDE" w:rsidP="00762DDE">
      <w:pPr>
        <w:spacing w:line="240" w:lineRule="auto"/>
        <w:rPr>
          <w:rFonts w:eastAsia="Times New Roman" w:cs="Arial"/>
          <w:sz w:val="24"/>
          <w:szCs w:val="24"/>
          <w:lang w:eastAsia="bg-BG"/>
        </w:rPr>
      </w:pPr>
      <w:r w:rsidRPr="00762DDE">
        <w:rPr>
          <w:rFonts w:eastAsia="Times New Roman" w:cs="Arial"/>
          <w:color w:val="000000"/>
          <w:lang w:eastAsia="bg-BG"/>
        </w:rPr>
        <w:t>Както при подобни инфекции при възрастни, продължителността на лечението се основава на клиничния и микологичен отговор. Фунгокап се прилага като еднократна дневна доза.</w:t>
      </w:r>
    </w:p>
    <w:p w14:paraId="32330451" w14:textId="77777777" w:rsidR="00762DDE" w:rsidRPr="005A5F0F" w:rsidRDefault="00762DDE" w:rsidP="00762DDE">
      <w:pPr>
        <w:spacing w:line="240" w:lineRule="auto"/>
        <w:rPr>
          <w:rFonts w:eastAsia="Times New Roman" w:cs="Arial"/>
          <w:color w:val="000000"/>
          <w:lang w:eastAsia="bg-BG"/>
        </w:rPr>
      </w:pPr>
    </w:p>
    <w:p w14:paraId="4C3FBA86" w14:textId="346217AD" w:rsidR="00762DDE" w:rsidRPr="00762DDE" w:rsidRDefault="00762DDE" w:rsidP="00762DDE">
      <w:pPr>
        <w:spacing w:line="240" w:lineRule="auto"/>
        <w:rPr>
          <w:rFonts w:eastAsia="Times New Roman" w:cs="Arial"/>
          <w:sz w:val="24"/>
          <w:szCs w:val="24"/>
          <w:lang w:eastAsia="bg-BG"/>
        </w:rPr>
      </w:pPr>
      <w:r w:rsidRPr="00762DDE">
        <w:rPr>
          <w:rFonts w:eastAsia="Times New Roman" w:cs="Arial"/>
          <w:color w:val="000000"/>
          <w:lang w:eastAsia="bg-BG"/>
        </w:rPr>
        <w:t xml:space="preserve">За педиатрични пациенти с увредена бъбречна функция вж. дозирането при </w:t>
      </w:r>
      <w:r w:rsidRPr="00762DDE">
        <w:rPr>
          <w:rFonts w:eastAsia="Times New Roman" w:cs="Arial"/>
          <w:i/>
          <w:iCs/>
          <w:color w:val="000000"/>
          <w:lang w:eastAsia="bg-BG"/>
        </w:rPr>
        <w:t>Бъбречно увреждане.</w:t>
      </w:r>
      <w:r w:rsidRPr="00762DDE">
        <w:rPr>
          <w:rFonts w:eastAsia="Times New Roman" w:cs="Arial"/>
          <w:color w:val="000000"/>
          <w:lang w:eastAsia="bg-BG"/>
        </w:rPr>
        <w:t xml:space="preserve"> Фармакокинетиката на флуконазол при педиатрична популация с бъбречна недостатъчност не е проучена (за новородени, които често проявяват първична бъбречна незрялост, моля вижте по-долу).</w:t>
      </w:r>
    </w:p>
    <w:p w14:paraId="30AE939F" w14:textId="77777777" w:rsidR="00762DDE" w:rsidRPr="005A5F0F" w:rsidRDefault="00762DDE" w:rsidP="00762DDE">
      <w:pPr>
        <w:rPr>
          <w:rFonts w:eastAsia="Times New Roman" w:cs="Arial"/>
          <w:i/>
          <w:iCs/>
          <w:color w:val="000000"/>
          <w:lang w:eastAsia="bg-BG"/>
        </w:rPr>
      </w:pPr>
    </w:p>
    <w:p w14:paraId="7CE5419E" w14:textId="1C78F19F" w:rsidR="00762DDE" w:rsidRPr="005A5F0F" w:rsidRDefault="00762DDE" w:rsidP="00762DDE">
      <w:pPr>
        <w:rPr>
          <w:rFonts w:eastAsia="Times New Roman" w:cs="Arial"/>
          <w:i/>
          <w:iCs/>
          <w:color w:val="000000"/>
          <w:lang w:eastAsia="bg-BG"/>
        </w:rPr>
      </w:pPr>
      <w:r w:rsidRPr="005A5F0F">
        <w:rPr>
          <w:rFonts w:eastAsia="Times New Roman" w:cs="Arial"/>
          <w:i/>
          <w:iCs/>
          <w:color w:val="000000"/>
          <w:lang w:eastAsia="bg-BG"/>
        </w:rPr>
        <w:t>Новородени, кърмачета, малки деца и деца (от 28 дни до 11 години):</w:t>
      </w:r>
    </w:p>
    <w:p w14:paraId="66DA15E2" w14:textId="77777777" w:rsidR="00762DDE" w:rsidRDefault="00762DDE" w:rsidP="00762DDE"/>
    <w:tbl>
      <w:tblPr>
        <w:tblStyle w:val="TableGrid"/>
        <w:tblW w:w="0" w:type="auto"/>
        <w:tblLook w:val="04A0" w:firstRow="1" w:lastRow="0" w:firstColumn="1" w:lastColumn="0" w:noHBand="0" w:noVBand="1"/>
      </w:tblPr>
      <w:tblGrid>
        <w:gridCol w:w="3116"/>
        <w:gridCol w:w="3117"/>
        <w:gridCol w:w="3117"/>
      </w:tblGrid>
      <w:tr w:rsidR="00762DDE" w14:paraId="3B0BA6CF" w14:textId="77777777" w:rsidTr="00762DDE">
        <w:tc>
          <w:tcPr>
            <w:tcW w:w="3116" w:type="dxa"/>
          </w:tcPr>
          <w:p w14:paraId="1D16EE7D" w14:textId="2641A397" w:rsidR="00762DDE" w:rsidRDefault="00762DDE" w:rsidP="00762DDE">
            <w:r>
              <w:rPr>
                <w:b/>
                <w:bCs/>
                <w:u w:val="single"/>
              </w:rPr>
              <w:t>Показание</w:t>
            </w:r>
          </w:p>
        </w:tc>
        <w:tc>
          <w:tcPr>
            <w:tcW w:w="3117" w:type="dxa"/>
          </w:tcPr>
          <w:p w14:paraId="13C8028F" w14:textId="3F2DABB3" w:rsidR="00762DDE" w:rsidRDefault="00762DDE" w:rsidP="00762DDE">
            <w:r>
              <w:rPr>
                <w:b/>
                <w:bCs/>
                <w:u w:val="single"/>
              </w:rPr>
              <w:t>Дозировка</w:t>
            </w:r>
          </w:p>
        </w:tc>
        <w:tc>
          <w:tcPr>
            <w:tcW w:w="3117" w:type="dxa"/>
          </w:tcPr>
          <w:p w14:paraId="7B16F6EC" w14:textId="5620D5AE" w:rsidR="00762DDE" w:rsidRDefault="00762DDE" w:rsidP="00762DDE">
            <w:r>
              <w:rPr>
                <w:b/>
                <w:bCs/>
                <w:u w:val="single"/>
              </w:rPr>
              <w:t>Препоръки</w:t>
            </w:r>
          </w:p>
        </w:tc>
      </w:tr>
      <w:tr w:rsidR="00762DDE" w14:paraId="39A55FC8" w14:textId="77777777" w:rsidTr="00762DDE">
        <w:tc>
          <w:tcPr>
            <w:tcW w:w="3116" w:type="dxa"/>
          </w:tcPr>
          <w:p w14:paraId="490B1C67" w14:textId="44B26461" w:rsidR="00762DDE" w:rsidRDefault="00762DDE" w:rsidP="00762DDE">
            <w:r>
              <w:lastRenderedPageBreak/>
              <w:t>Кандидоза на лигавиците</w:t>
            </w:r>
          </w:p>
        </w:tc>
        <w:tc>
          <w:tcPr>
            <w:tcW w:w="3117" w:type="dxa"/>
          </w:tcPr>
          <w:p w14:paraId="0AC1B3DC" w14:textId="77777777" w:rsidR="00762DDE" w:rsidRDefault="00762DDE" w:rsidP="00762DDE">
            <w:r>
              <w:t xml:space="preserve">Първоначална доза: 6 </w:t>
            </w:r>
            <w:r>
              <w:rPr>
                <w:lang w:val="en-US"/>
              </w:rPr>
              <w:t>mg/kg</w:t>
            </w:r>
          </w:p>
          <w:p w14:paraId="4A4D8704" w14:textId="441DB180" w:rsidR="00762DDE" w:rsidRDefault="00762DDE" w:rsidP="00762DDE">
            <w:r>
              <w:t xml:space="preserve">Последваща доза: 3 </w:t>
            </w:r>
            <w:r>
              <w:rPr>
                <w:lang w:val="en-US"/>
              </w:rPr>
              <w:t xml:space="preserve">mg/kg </w:t>
            </w:r>
            <w:r>
              <w:t>дневно</w:t>
            </w:r>
          </w:p>
        </w:tc>
        <w:tc>
          <w:tcPr>
            <w:tcW w:w="3117" w:type="dxa"/>
          </w:tcPr>
          <w:p w14:paraId="1B417800" w14:textId="422F4647" w:rsidR="00762DDE" w:rsidRDefault="00762DDE" w:rsidP="00762DDE">
            <w:r>
              <w:t>Първоначалната доза може да бъде използвана през първия ден за по-бързо достигане на равновесно състояние.</w:t>
            </w:r>
          </w:p>
        </w:tc>
      </w:tr>
      <w:tr w:rsidR="00762DDE" w14:paraId="5229004C" w14:textId="77777777" w:rsidTr="00762DDE">
        <w:tc>
          <w:tcPr>
            <w:tcW w:w="3116" w:type="dxa"/>
          </w:tcPr>
          <w:p w14:paraId="2AA7F646" w14:textId="77777777" w:rsidR="00762DDE" w:rsidRDefault="00762DDE" w:rsidP="00762DDE">
            <w:r>
              <w:t>- Инвазивна кандидоза</w:t>
            </w:r>
          </w:p>
          <w:p w14:paraId="185855F3" w14:textId="089FA52A" w:rsidR="00762DDE" w:rsidRDefault="00762DDE" w:rsidP="00762DDE">
            <w:r>
              <w:t>- Криптококов менингит</w:t>
            </w:r>
          </w:p>
        </w:tc>
        <w:tc>
          <w:tcPr>
            <w:tcW w:w="3117" w:type="dxa"/>
          </w:tcPr>
          <w:p w14:paraId="0FE5FA09" w14:textId="6F8FE58A" w:rsidR="00762DDE" w:rsidRDefault="00762DDE" w:rsidP="00762DDE">
            <w:r>
              <w:t xml:space="preserve">Доза: </w:t>
            </w:r>
            <w:r>
              <w:rPr>
                <w:i/>
                <w:iCs/>
              </w:rPr>
              <w:t>6</w:t>
            </w:r>
            <w:r>
              <w:t xml:space="preserve"> до 12 </w:t>
            </w:r>
            <w:r>
              <w:rPr>
                <w:lang w:val="en-US"/>
              </w:rPr>
              <w:t xml:space="preserve">mg/kg </w:t>
            </w:r>
            <w:r>
              <w:t>дневно</w:t>
            </w:r>
          </w:p>
        </w:tc>
        <w:tc>
          <w:tcPr>
            <w:tcW w:w="3117" w:type="dxa"/>
          </w:tcPr>
          <w:p w14:paraId="04B5EBF0" w14:textId="7E65E28E" w:rsidR="00762DDE" w:rsidRDefault="00762DDE" w:rsidP="00762DDE">
            <w:r>
              <w:t>В зависимост от тежестта на заболяването</w:t>
            </w:r>
          </w:p>
        </w:tc>
      </w:tr>
      <w:tr w:rsidR="00762DDE" w14:paraId="746F6F5C" w14:textId="77777777" w:rsidTr="00762DDE">
        <w:tc>
          <w:tcPr>
            <w:tcW w:w="3116" w:type="dxa"/>
          </w:tcPr>
          <w:p w14:paraId="09FD4099" w14:textId="25B15281" w:rsidR="00762DDE" w:rsidRDefault="00762DDE" w:rsidP="00762DDE">
            <w:r>
              <w:t>- Поддържаща терапия за предотвратяване на рецидив на криптококов менингит при деца с висок риск от рецидиви</w:t>
            </w:r>
          </w:p>
        </w:tc>
        <w:tc>
          <w:tcPr>
            <w:tcW w:w="3117" w:type="dxa"/>
          </w:tcPr>
          <w:p w14:paraId="53A3F104" w14:textId="1EB6EE84" w:rsidR="00762DDE" w:rsidRDefault="00762DDE" w:rsidP="00762DDE">
            <w:r>
              <w:t xml:space="preserve">Доза: 6 </w:t>
            </w:r>
            <w:r>
              <w:rPr>
                <w:lang w:val="en-US"/>
              </w:rPr>
              <w:t xml:space="preserve">mg/kg </w:t>
            </w:r>
            <w:r>
              <w:t>дневно</w:t>
            </w:r>
          </w:p>
        </w:tc>
        <w:tc>
          <w:tcPr>
            <w:tcW w:w="3117" w:type="dxa"/>
          </w:tcPr>
          <w:p w14:paraId="53621293" w14:textId="6AE8F4A6" w:rsidR="00762DDE" w:rsidRDefault="00762DDE" w:rsidP="00762DDE">
            <w:r>
              <w:t>В зависимост от тежестта на заболяването</w:t>
            </w:r>
          </w:p>
        </w:tc>
      </w:tr>
      <w:tr w:rsidR="00762DDE" w14:paraId="35085D72" w14:textId="77777777" w:rsidTr="00762DDE">
        <w:tc>
          <w:tcPr>
            <w:tcW w:w="3116" w:type="dxa"/>
          </w:tcPr>
          <w:p w14:paraId="72101414" w14:textId="05FE7513" w:rsidR="00762DDE" w:rsidRDefault="00762DDE" w:rsidP="00762DDE">
            <w:r>
              <w:t xml:space="preserve">- Профилактика на </w:t>
            </w:r>
            <w:r>
              <w:rPr>
                <w:i/>
                <w:iCs/>
                <w:lang w:val="en-US"/>
              </w:rPr>
              <w:t>Candida</w:t>
            </w:r>
            <w:r>
              <w:rPr>
                <w:lang w:val="en-US"/>
              </w:rPr>
              <w:t xml:space="preserve"> </w:t>
            </w:r>
            <w:r>
              <w:t>при имунокомпрометирани пациенти</w:t>
            </w:r>
          </w:p>
        </w:tc>
        <w:tc>
          <w:tcPr>
            <w:tcW w:w="3117" w:type="dxa"/>
          </w:tcPr>
          <w:p w14:paraId="6DDF469D" w14:textId="0DDE1B9E" w:rsidR="00762DDE" w:rsidRDefault="00762DDE" w:rsidP="00762DDE">
            <w:r>
              <w:t xml:space="preserve">Доза: 3 до 12 </w:t>
            </w:r>
            <w:r>
              <w:rPr>
                <w:lang w:val="en-US"/>
              </w:rPr>
              <w:t xml:space="preserve">mg/kg </w:t>
            </w:r>
            <w:r>
              <w:t>дневно</w:t>
            </w:r>
          </w:p>
        </w:tc>
        <w:tc>
          <w:tcPr>
            <w:tcW w:w="3117" w:type="dxa"/>
          </w:tcPr>
          <w:p w14:paraId="29A4DEE9" w14:textId="1CD63B57" w:rsidR="00762DDE" w:rsidRDefault="00762DDE" w:rsidP="00762DDE">
            <w:r>
              <w:t>В зависимост от степента и продължителността на предизвиканата неутропения (вж. дозировката при възрастни)</w:t>
            </w:r>
          </w:p>
        </w:tc>
      </w:tr>
    </w:tbl>
    <w:p w14:paraId="35815164" w14:textId="61AF4242" w:rsidR="00762DDE" w:rsidRDefault="00762DDE" w:rsidP="0091385D"/>
    <w:p w14:paraId="00E8BBE7" w14:textId="77777777" w:rsidR="00762DDE" w:rsidRPr="00762DDE" w:rsidRDefault="00762DDE" w:rsidP="00762DDE">
      <w:pPr>
        <w:spacing w:line="240" w:lineRule="auto"/>
        <w:rPr>
          <w:rFonts w:eastAsia="Times New Roman" w:cs="Arial"/>
          <w:sz w:val="24"/>
          <w:szCs w:val="24"/>
          <w:lang w:eastAsia="bg-BG"/>
        </w:rPr>
      </w:pPr>
      <w:r w:rsidRPr="00762DDE">
        <w:rPr>
          <w:rFonts w:eastAsia="Times New Roman" w:cs="Arial"/>
          <w:i/>
          <w:iCs/>
          <w:color w:val="000000"/>
          <w:lang w:eastAsia="bg-BG"/>
        </w:rPr>
        <w:t>Юноши (от 12 до 17 години):</w:t>
      </w:r>
    </w:p>
    <w:p w14:paraId="7B7D3441" w14:textId="77777777" w:rsidR="00762DDE" w:rsidRPr="00762DDE" w:rsidRDefault="00762DDE" w:rsidP="00762DDE">
      <w:pPr>
        <w:spacing w:line="240" w:lineRule="auto"/>
        <w:rPr>
          <w:rFonts w:eastAsia="Times New Roman" w:cs="Arial"/>
          <w:sz w:val="24"/>
          <w:szCs w:val="24"/>
          <w:lang w:eastAsia="bg-BG"/>
        </w:rPr>
      </w:pPr>
      <w:r w:rsidRPr="00762DDE">
        <w:rPr>
          <w:rFonts w:eastAsia="Times New Roman" w:cs="Arial"/>
          <w:color w:val="000000"/>
          <w:lang w:eastAsia="bg-BG"/>
        </w:rPr>
        <w:t>В зависимост от теглото и развитието през пубертета, лекарят трябва да прецени коя дозировка (възрастни или деца) е най-подходяща. Клиничните данни показват, че децата имат по-висок клирънс на флуконазол в сравнение с възрастните. Дозировка от 100,</w:t>
      </w:r>
      <w:r w:rsidRPr="00762DDE">
        <w:rPr>
          <w:rFonts w:eastAsia="Times New Roman" w:cs="Arial"/>
          <w:color w:val="000000"/>
          <w:lang w:val="en-US"/>
        </w:rPr>
        <w:t xml:space="preserve"> </w:t>
      </w:r>
      <w:r w:rsidRPr="00762DDE">
        <w:rPr>
          <w:rFonts w:eastAsia="Times New Roman" w:cs="Arial"/>
          <w:color w:val="000000"/>
          <w:lang w:eastAsia="bg-BG"/>
        </w:rPr>
        <w:t xml:space="preserve">200 и 400 </w:t>
      </w:r>
      <w:r w:rsidRPr="00762DDE">
        <w:rPr>
          <w:rFonts w:eastAsia="Times New Roman" w:cs="Arial"/>
          <w:color w:val="000000"/>
          <w:lang w:val="en-US"/>
        </w:rPr>
        <w:t xml:space="preserve">mg </w:t>
      </w:r>
      <w:r w:rsidRPr="00762DDE">
        <w:rPr>
          <w:rFonts w:eastAsia="Times New Roman" w:cs="Arial"/>
          <w:color w:val="000000"/>
          <w:lang w:eastAsia="bg-BG"/>
        </w:rPr>
        <w:t xml:space="preserve">при възрастни съответства на дозировка от 3,6 и 12 </w:t>
      </w:r>
      <w:r w:rsidRPr="00762DDE">
        <w:rPr>
          <w:rFonts w:eastAsia="Times New Roman" w:cs="Arial"/>
          <w:color w:val="000000"/>
          <w:lang w:val="en-US"/>
        </w:rPr>
        <w:t xml:space="preserve">mg/kg </w:t>
      </w:r>
      <w:r w:rsidRPr="00762DDE">
        <w:rPr>
          <w:rFonts w:eastAsia="Times New Roman" w:cs="Arial"/>
          <w:color w:val="000000"/>
          <w:lang w:eastAsia="bg-BG"/>
        </w:rPr>
        <w:t>при деца за постигане на сравнима системна експозиция.</w:t>
      </w:r>
    </w:p>
    <w:p w14:paraId="3231ED8A" w14:textId="77777777" w:rsidR="00762DDE" w:rsidRPr="005A5F0F" w:rsidRDefault="00762DDE" w:rsidP="00762DDE">
      <w:pPr>
        <w:spacing w:line="240" w:lineRule="auto"/>
        <w:rPr>
          <w:rFonts w:eastAsia="Times New Roman" w:cs="Arial"/>
          <w:i/>
          <w:iCs/>
          <w:color w:val="000000"/>
          <w:lang w:eastAsia="bg-BG"/>
        </w:rPr>
      </w:pPr>
    </w:p>
    <w:p w14:paraId="0D4A8952" w14:textId="549D50CF" w:rsidR="00762DDE" w:rsidRPr="00762DDE" w:rsidRDefault="00762DDE" w:rsidP="00762DDE">
      <w:pPr>
        <w:spacing w:line="240" w:lineRule="auto"/>
        <w:rPr>
          <w:rFonts w:eastAsia="Times New Roman" w:cs="Arial"/>
          <w:sz w:val="24"/>
          <w:szCs w:val="24"/>
          <w:lang w:eastAsia="bg-BG"/>
        </w:rPr>
      </w:pPr>
      <w:r w:rsidRPr="00762DDE">
        <w:rPr>
          <w:rFonts w:eastAsia="Times New Roman" w:cs="Arial"/>
          <w:i/>
          <w:iCs/>
          <w:color w:val="000000"/>
          <w:lang w:eastAsia="bg-BG"/>
        </w:rPr>
        <w:t>Новородени на термина (0 до 27 дни):</w:t>
      </w:r>
    </w:p>
    <w:p w14:paraId="1B8DCD06" w14:textId="4072A6E4" w:rsidR="00762DDE" w:rsidRPr="005A5F0F" w:rsidRDefault="00762DDE" w:rsidP="00762DDE">
      <w:pPr>
        <w:rPr>
          <w:rFonts w:eastAsia="Times New Roman" w:cs="Arial"/>
          <w:color w:val="000000"/>
          <w:lang w:eastAsia="bg-BG"/>
        </w:rPr>
      </w:pPr>
      <w:r w:rsidRPr="005A5F0F">
        <w:rPr>
          <w:rFonts w:eastAsia="Times New Roman" w:cs="Arial"/>
          <w:color w:val="000000"/>
          <w:lang w:eastAsia="bg-BG"/>
        </w:rPr>
        <w:t>Новородените отделят флуконазол бавно. Има малко фармакокинетични данни, подкрепящи тази дозировка при новородени на термина (вж. точка 5.2).</w:t>
      </w:r>
    </w:p>
    <w:p w14:paraId="097957EA" w14:textId="0F2E72BE" w:rsidR="00762DDE" w:rsidRDefault="00762DDE" w:rsidP="00762DDE">
      <w:pPr>
        <w:rPr>
          <w:rFonts w:ascii="Times New Roman" w:eastAsia="Times New Roman" w:hAnsi="Times New Roman" w:cs="Times New Roman"/>
          <w:color w:val="000000"/>
          <w:lang w:eastAsia="bg-BG"/>
        </w:rPr>
      </w:pPr>
    </w:p>
    <w:tbl>
      <w:tblPr>
        <w:tblStyle w:val="TableGrid"/>
        <w:tblW w:w="0" w:type="auto"/>
        <w:tblLook w:val="04A0" w:firstRow="1" w:lastRow="0" w:firstColumn="1" w:lastColumn="0" w:noHBand="0" w:noVBand="1"/>
      </w:tblPr>
      <w:tblGrid>
        <w:gridCol w:w="3116"/>
        <w:gridCol w:w="3117"/>
        <w:gridCol w:w="3117"/>
      </w:tblGrid>
      <w:tr w:rsidR="00762DDE" w14:paraId="61DE29AB" w14:textId="77777777" w:rsidTr="00762DDE">
        <w:tc>
          <w:tcPr>
            <w:tcW w:w="3116" w:type="dxa"/>
          </w:tcPr>
          <w:p w14:paraId="353EEFF4" w14:textId="725A1A8E" w:rsidR="00762DDE" w:rsidRDefault="00762DDE" w:rsidP="00762DDE">
            <w:r>
              <w:rPr>
                <w:b/>
                <w:bCs/>
                <w:u w:val="single"/>
              </w:rPr>
              <w:t>Възрастова група</w:t>
            </w:r>
          </w:p>
        </w:tc>
        <w:tc>
          <w:tcPr>
            <w:tcW w:w="3117" w:type="dxa"/>
          </w:tcPr>
          <w:p w14:paraId="4A882607" w14:textId="05B9BCCA" w:rsidR="00762DDE" w:rsidRDefault="00762DDE" w:rsidP="00762DDE">
            <w:r>
              <w:rPr>
                <w:b/>
                <w:bCs/>
                <w:u w:val="single"/>
              </w:rPr>
              <w:t>Дозировка</w:t>
            </w:r>
          </w:p>
        </w:tc>
        <w:tc>
          <w:tcPr>
            <w:tcW w:w="3117" w:type="dxa"/>
          </w:tcPr>
          <w:p w14:paraId="6427B1D5" w14:textId="418C46F5" w:rsidR="00762DDE" w:rsidRDefault="00762DDE" w:rsidP="00762DDE">
            <w:r>
              <w:rPr>
                <w:b/>
                <w:bCs/>
                <w:u w:val="single"/>
              </w:rPr>
              <w:t>Препоръки</w:t>
            </w:r>
          </w:p>
        </w:tc>
      </w:tr>
      <w:tr w:rsidR="00762DDE" w14:paraId="1D9D08EA" w14:textId="77777777" w:rsidTr="00762DDE">
        <w:tc>
          <w:tcPr>
            <w:tcW w:w="3116" w:type="dxa"/>
          </w:tcPr>
          <w:p w14:paraId="22F1778A" w14:textId="3D8AF9F9" w:rsidR="00762DDE" w:rsidRDefault="00762DDE" w:rsidP="00762DDE">
            <w:r>
              <w:t>Новородени на термин (0 до 14 дни)</w:t>
            </w:r>
          </w:p>
        </w:tc>
        <w:tc>
          <w:tcPr>
            <w:tcW w:w="3117" w:type="dxa"/>
          </w:tcPr>
          <w:p w14:paraId="2483AA9F" w14:textId="17A49E8D" w:rsidR="00762DDE" w:rsidRDefault="00762DDE" w:rsidP="00762DDE">
            <w:r>
              <w:t xml:space="preserve">Същата дозировка </w:t>
            </w:r>
            <w:r>
              <w:rPr>
                <w:lang w:val="en-US"/>
              </w:rPr>
              <w:t>mg/kg</w:t>
            </w:r>
            <w:r>
              <w:t>, както при кърмачета, малки деца и деца трябва да се прилага на всеки 72 часа.</w:t>
            </w:r>
          </w:p>
        </w:tc>
        <w:tc>
          <w:tcPr>
            <w:tcW w:w="3117" w:type="dxa"/>
          </w:tcPr>
          <w:p w14:paraId="6A356628" w14:textId="21633994" w:rsidR="00762DDE" w:rsidRDefault="00762DDE" w:rsidP="00762DDE">
            <w:r>
              <w:t xml:space="preserve">Не бива да се надвишава максимална доза от 12 </w:t>
            </w:r>
            <w:r>
              <w:rPr>
                <w:lang w:val="en-US"/>
              </w:rPr>
              <w:t xml:space="preserve">mg/kg </w:t>
            </w:r>
            <w:r>
              <w:t>на всеки 72 часа</w:t>
            </w:r>
          </w:p>
        </w:tc>
      </w:tr>
      <w:tr w:rsidR="00762DDE" w14:paraId="4120705D" w14:textId="77777777" w:rsidTr="00762DDE">
        <w:tc>
          <w:tcPr>
            <w:tcW w:w="3116" w:type="dxa"/>
          </w:tcPr>
          <w:p w14:paraId="2C6BC091" w14:textId="76A498A3" w:rsidR="00762DDE" w:rsidRDefault="00762DDE" w:rsidP="00762DDE">
            <w:r>
              <w:t>Новородени на термин (от 15 до 27 дни)</w:t>
            </w:r>
          </w:p>
        </w:tc>
        <w:tc>
          <w:tcPr>
            <w:tcW w:w="3117" w:type="dxa"/>
          </w:tcPr>
          <w:p w14:paraId="3CC7400F" w14:textId="2380960F" w:rsidR="00762DDE" w:rsidRDefault="00762DDE" w:rsidP="00762DDE">
            <w:r>
              <w:t xml:space="preserve">Същата дозировка </w:t>
            </w:r>
            <w:r>
              <w:rPr>
                <w:lang w:val="en-US"/>
              </w:rPr>
              <w:t>mg/kg</w:t>
            </w:r>
            <w:r>
              <w:t>, както при кърмачета, малки деца и деца трябва да се прилага на всеки 48 часа.</w:t>
            </w:r>
          </w:p>
        </w:tc>
        <w:tc>
          <w:tcPr>
            <w:tcW w:w="3117" w:type="dxa"/>
          </w:tcPr>
          <w:p w14:paraId="42F160EE" w14:textId="17098635" w:rsidR="00762DDE" w:rsidRDefault="00762DDE" w:rsidP="00762DDE">
            <w:r>
              <w:t xml:space="preserve">Не бива да се надвишава максимална </w:t>
            </w:r>
            <w:r>
              <w:rPr>
                <w:lang w:val="en-US"/>
              </w:rPr>
              <w:t xml:space="preserve">mg/kg </w:t>
            </w:r>
            <w:r>
              <w:t>на всеки 48 часа.</w:t>
            </w:r>
          </w:p>
        </w:tc>
      </w:tr>
    </w:tbl>
    <w:p w14:paraId="03F4A87C" w14:textId="77777777" w:rsidR="00762DDE" w:rsidRDefault="00762DDE" w:rsidP="00762DDE"/>
    <w:p w14:paraId="5C8F935D" w14:textId="12D8F2FC" w:rsidR="00762DDE" w:rsidRPr="005A5F0F" w:rsidRDefault="00762DDE" w:rsidP="005A5F0F">
      <w:pPr>
        <w:pStyle w:val="Heading3"/>
        <w:rPr>
          <w:u w:val="single"/>
        </w:rPr>
      </w:pPr>
      <w:r w:rsidRPr="005A5F0F">
        <w:rPr>
          <w:u w:val="single"/>
        </w:rPr>
        <w:t>Начин на приложение</w:t>
      </w:r>
    </w:p>
    <w:p w14:paraId="2507DBA2"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Фунгокап може да се прилага перорално или чрез интравенозна инфузия, като това зависи от състоянието на пациента. При преминаване от интравенозен към перорален път на въвеждане или обратно, не е необходима промяна в дневната доза.</w:t>
      </w:r>
    </w:p>
    <w:p w14:paraId="63880331" w14:textId="77777777" w:rsidR="00762DDE" w:rsidRPr="005A5F0F" w:rsidRDefault="00762DDE" w:rsidP="00762DDE">
      <w:pPr>
        <w:rPr>
          <w:rFonts w:eastAsia="Times New Roman" w:cs="Arial"/>
          <w:color w:val="000000"/>
          <w:lang w:eastAsia="bg-BG"/>
        </w:rPr>
      </w:pPr>
    </w:p>
    <w:p w14:paraId="27EE5B8E" w14:textId="3BD1326B" w:rsidR="00762DDE" w:rsidRPr="005A5F0F" w:rsidRDefault="00762DDE" w:rsidP="00762DDE">
      <w:pPr>
        <w:rPr>
          <w:rFonts w:cs="Arial"/>
        </w:rPr>
      </w:pPr>
      <w:r w:rsidRPr="005A5F0F">
        <w:rPr>
          <w:rFonts w:eastAsia="Times New Roman" w:cs="Arial"/>
          <w:color w:val="000000"/>
          <w:lang w:eastAsia="bg-BG"/>
        </w:rPr>
        <w:t>Капсулите трябва да се приемат цели и не зависят от приема на храна.</w:t>
      </w:r>
    </w:p>
    <w:p w14:paraId="1C8DA8E8" w14:textId="77777777" w:rsidR="00762DDE" w:rsidRPr="0091385D" w:rsidRDefault="00762DDE" w:rsidP="0091385D"/>
    <w:p w14:paraId="28C984E8" w14:textId="0756AE28" w:rsidR="008134C8" w:rsidRDefault="002C50EE" w:rsidP="004A448E">
      <w:pPr>
        <w:pStyle w:val="Heading2"/>
      </w:pPr>
      <w:r>
        <w:lastRenderedPageBreak/>
        <w:t>4.3. Противопоказания</w:t>
      </w:r>
    </w:p>
    <w:p w14:paraId="2363D607" w14:textId="619A99CE" w:rsidR="0091385D" w:rsidRDefault="0091385D" w:rsidP="0091385D"/>
    <w:p w14:paraId="2FD2F9EC"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Свръхчувствителност към активното вещество/активните вещества, сходни азолови съединения, или към някое от помощните вещества, изброени в точка 6.1.</w:t>
      </w:r>
    </w:p>
    <w:p w14:paraId="40205237" w14:textId="77777777" w:rsidR="00762DDE" w:rsidRPr="005A5F0F" w:rsidRDefault="00762DDE" w:rsidP="00762DDE">
      <w:pPr>
        <w:rPr>
          <w:rFonts w:eastAsia="Times New Roman" w:cs="Arial"/>
          <w:color w:val="000000"/>
          <w:lang w:eastAsia="bg-BG"/>
        </w:rPr>
      </w:pPr>
    </w:p>
    <w:p w14:paraId="030B6A4D" w14:textId="354C031D" w:rsidR="00EC41ED" w:rsidRPr="005A5F0F" w:rsidRDefault="00762DDE" w:rsidP="00762DDE">
      <w:pPr>
        <w:rPr>
          <w:rFonts w:cs="Arial"/>
        </w:rPr>
      </w:pPr>
      <w:r w:rsidRPr="005A5F0F">
        <w:rPr>
          <w:rFonts w:eastAsia="Times New Roman" w:cs="Arial"/>
          <w:color w:val="000000"/>
          <w:lang w:eastAsia="bg-BG"/>
        </w:rPr>
        <w:t xml:space="preserve">Въз основа на данните от проучване на взаимодействията при многократно прилагане, едновременното прилагане с терфенадин е противопоказано при пациенти, приемащи флуконазол като многократна доза от 400 </w:t>
      </w:r>
      <w:r w:rsidRPr="005A5F0F">
        <w:rPr>
          <w:rFonts w:eastAsia="Times New Roman" w:cs="Arial"/>
          <w:color w:val="000000"/>
          <w:lang w:val="en-US"/>
        </w:rPr>
        <w:t xml:space="preserve">mg </w:t>
      </w:r>
      <w:r w:rsidRPr="005A5F0F">
        <w:rPr>
          <w:rFonts w:eastAsia="Times New Roman" w:cs="Arial"/>
          <w:color w:val="000000"/>
          <w:lang w:eastAsia="bg-BG"/>
        </w:rPr>
        <w:t xml:space="preserve">дневно или по-висока. Едновременното прилагане на други лекарствени продукти, удължаващи </w:t>
      </w:r>
      <w:r w:rsidRPr="005A5F0F">
        <w:rPr>
          <w:rFonts w:eastAsia="Times New Roman" w:cs="Arial"/>
          <w:color w:val="000000"/>
          <w:lang w:val="en-US"/>
        </w:rPr>
        <w:t xml:space="preserve">QT </w:t>
      </w:r>
      <w:r w:rsidRPr="005A5F0F">
        <w:rPr>
          <w:rFonts w:eastAsia="Times New Roman" w:cs="Arial"/>
          <w:color w:val="000000"/>
          <w:lang w:eastAsia="bg-BG"/>
        </w:rPr>
        <w:t xml:space="preserve">интервала, които се метаболизират чрез цитохром Р450 </w:t>
      </w:r>
      <w:r w:rsidRPr="005A5F0F">
        <w:rPr>
          <w:rFonts w:eastAsia="Times New Roman" w:cs="Arial"/>
          <w:color w:val="000000"/>
          <w:lang w:val="en-US"/>
        </w:rPr>
        <w:t xml:space="preserve">(CYP) </w:t>
      </w:r>
      <w:r w:rsidRPr="005A5F0F">
        <w:rPr>
          <w:rFonts w:eastAsia="Times New Roman" w:cs="Arial"/>
          <w:color w:val="000000"/>
          <w:lang w:eastAsia="bg-BG"/>
        </w:rPr>
        <w:t>ЗА4, като цизаприд, астемизол, пимозид, хинидин и еритромицин е противопоказано при пациенти, приемащи флуконазол (вж. точки 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0BBBFC11"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Кандидоза:</w:t>
      </w:r>
    </w:p>
    <w:p w14:paraId="45C1D910"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Проучванията показват повишаване на честотата на инфекциите с видове </w:t>
      </w:r>
      <w:r w:rsidRPr="00762DDE">
        <w:rPr>
          <w:rFonts w:eastAsia="Times New Roman" w:cs="Arial"/>
          <w:color w:val="000000"/>
          <w:lang w:val="en-US"/>
        </w:rPr>
        <w:t xml:space="preserve">Candida, </w:t>
      </w:r>
      <w:r w:rsidRPr="00762DDE">
        <w:rPr>
          <w:rFonts w:eastAsia="Times New Roman" w:cs="Arial"/>
          <w:color w:val="000000"/>
          <w:lang w:eastAsia="bg-BG"/>
        </w:rPr>
        <w:t xml:space="preserve">различни от С. </w:t>
      </w:r>
      <w:proofErr w:type="spellStart"/>
      <w:proofErr w:type="gramStart"/>
      <w:r w:rsidRPr="00762DDE">
        <w:rPr>
          <w:rFonts w:eastAsia="Times New Roman" w:cs="Arial"/>
          <w:color w:val="000000"/>
          <w:lang w:val="en-US"/>
        </w:rPr>
        <w:t>albicans</w:t>
      </w:r>
      <w:proofErr w:type="spellEnd"/>
      <w:proofErr w:type="gramEnd"/>
      <w:r w:rsidRPr="00762DDE">
        <w:rPr>
          <w:rFonts w:eastAsia="Times New Roman" w:cs="Arial"/>
          <w:color w:val="000000"/>
          <w:lang w:val="en-US"/>
        </w:rPr>
        <w:t xml:space="preserve">. </w:t>
      </w:r>
      <w:r w:rsidRPr="00762DDE">
        <w:rPr>
          <w:rFonts w:eastAsia="Times New Roman" w:cs="Arial"/>
          <w:color w:val="000000"/>
          <w:lang w:eastAsia="bg-BG"/>
        </w:rPr>
        <w:t xml:space="preserve">Те често са естествено резистентни (напр. С. </w:t>
      </w:r>
      <w:proofErr w:type="spellStart"/>
      <w:proofErr w:type="gramStart"/>
      <w:r w:rsidRPr="00762DDE">
        <w:rPr>
          <w:rFonts w:eastAsia="Times New Roman" w:cs="Arial"/>
          <w:color w:val="000000"/>
          <w:lang w:val="en-US"/>
        </w:rPr>
        <w:t>krusei</w:t>
      </w:r>
      <w:proofErr w:type="spellEnd"/>
      <w:proofErr w:type="gramEnd"/>
      <w:r w:rsidRPr="00762DDE">
        <w:rPr>
          <w:rFonts w:eastAsia="Times New Roman" w:cs="Arial"/>
          <w:color w:val="000000"/>
          <w:lang w:val="en-US"/>
        </w:rPr>
        <w:t xml:space="preserve"> </w:t>
      </w:r>
      <w:r w:rsidRPr="00762DDE">
        <w:rPr>
          <w:rFonts w:eastAsia="Times New Roman" w:cs="Arial"/>
          <w:color w:val="000000"/>
          <w:lang w:eastAsia="bg-BG"/>
        </w:rPr>
        <w:t xml:space="preserve">и С. </w:t>
      </w:r>
      <w:proofErr w:type="spellStart"/>
      <w:r w:rsidRPr="00762DDE">
        <w:rPr>
          <w:rFonts w:eastAsia="Times New Roman" w:cs="Arial"/>
          <w:color w:val="000000"/>
          <w:lang w:val="en-US"/>
        </w:rPr>
        <w:t>auris</w:t>
      </w:r>
      <w:proofErr w:type="spellEnd"/>
      <w:r w:rsidRPr="00762DDE">
        <w:rPr>
          <w:rFonts w:eastAsia="Times New Roman" w:cs="Arial"/>
          <w:color w:val="000000"/>
          <w:lang w:val="en-US"/>
        </w:rPr>
        <w:t xml:space="preserve">) </w:t>
      </w:r>
      <w:r w:rsidRPr="00762DDE">
        <w:rPr>
          <w:rFonts w:eastAsia="Times New Roman" w:cs="Arial"/>
          <w:color w:val="000000"/>
          <w:lang w:eastAsia="bg-BG"/>
        </w:rPr>
        <w:t xml:space="preserve">или показват намалена чувствителност към флуконазол (С. </w:t>
      </w:r>
      <w:proofErr w:type="spellStart"/>
      <w:r w:rsidRPr="00762DDE">
        <w:rPr>
          <w:rFonts w:eastAsia="Times New Roman" w:cs="Arial"/>
          <w:color w:val="000000"/>
          <w:lang w:val="en-US"/>
        </w:rPr>
        <w:t>glabrata</w:t>
      </w:r>
      <w:proofErr w:type="spellEnd"/>
      <w:r w:rsidRPr="00762DDE">
        <w:rPr>
          <w:rFonts w:eastAsia="Times New Roman" w:cs="Arial"/>
          <w:color w:val="000000"/>
          <w:lang w:val="en-US"/>
        </w:rPr>
        <w:t xml:space="preserve">). </w:t>
      </w:r>
      <w:r w:rsidRPr="00762DDE">
        <w:rPr>
          <w:rFonts w:eastAsia="Times New Roman" w:cs="Arial"/>
          <w:color w:val="000000"/>
          <w:lang w:eastAsia="bg-BG"/>
        </w:rPr>
        <w:t xml:space="preserve">При такива инфекции може да е необходима алтернативна противогъбична терапия вследствие на неуспешно лечение. Поради това предписващите лекари се съветват да вземат предвид честотата на резистентност към флуконазол при различни видове </w:t>
      </w:r>
      <w:r w:rsidRPr="00762DDE">
        <w:rPr>
          <w:rFonts w:eastAsia="Times New Roman" w:cs="Arial"/>
          <w:color w:val="000000"/>
          <w:lang w:val="en-US"/>
        </w:rPr>
        <w:t>Candida.</w:t>
      </w:r>
    </w:p>
    <w:p w14:paraId="52C03A30" w14:textId="77777777" w:rsidR="00762DDE" w:rsidRPr="005A5F0F" w:rsidRDefault="00762DDE" w:rsidP="00762DDE">
      <w:pPr>
        <w:spacing w:line="240" w:lineRule="auto"/>
        <w:rPr>
          <w:rFonts w:eastAsia="Times New Roman" w:cs="Arial"/>
          <w:i/>
          <w:iCs/>
          <w:color w:val="000000"/>
          <w:u w:val="single"/>
          <w:lang w:val="en-US"/>
        </w:rPr>
      </w:pPr>
    </w:p>
    <w:p w14:paraId="38B12031" w14:textId="618552A4" w:rsidR="00762DDE" w:rsidRPr="00762DDE" w:rsidRDefault="00762DDE" w:rsidP="00762DDE">
      <w:pPr>
        <w:spacing w:line="240" w:lineRule="auto"/>
        <w:rPr>
          <w:rFonts w:eastAsia="Times New Roman" w:cs="Arial"/>
          <w:lang w:eastAsia="bg-BG"/>
        </w:rPr>
      </w:pPr>
      <w:r w:rsidRPr="00762DDE">
        <w:rPr>
          <w:rFonts w:eastAsia="Times New Roman" w:cs="Arial"/>
          <w:i/>
          <w:iCs/>
          <w:color w:val="000000"/>
          <w:u w:val="single"/>
          <w:lang w:val="en-US"/>
        </w:rPr>
        <w:t xml:space="preserve">Tinea </w:t>
      </w:r>
      <w:proofErr w:type="spellStart"/>
      <w:r w:rsidRPr="00762DDE">
        <w:rPr>
          <w:rFonts w:eastAsia="Times New Roman" w:cs="Arial"/>
          <w:i/>
          <w:iCs/>
          <w:color w:val="000000"/>
          <w:u w:val="single"/>
          <w:lang w:val="en-US"/>
        </w:rPr>
        <w:t>capitis</w:t>
      </w:r>
      <w:proofErr w:type="spellEnd"/>
    </w:p>
    <w:p w14:paraId="7E2CC86C"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Флуконазол е проучван при лечението на </w:t>
      </w:r>
      <w:r w:rsidRPr="00762DDE">
        <w:rPr>
          <w:rFonts w:eastAsia="Times New Roman" w:cs="Arial"/>
          <w:i/>
          <w:iCs/>
          <w:color w:val="000000"/>
          <w:lang w:val="en-US"/>
        </w:rPr>
        <w:t xml:space="preserve">tinea </w:t>
      </w:r>
      <w:proofErr w:type="spellStart"/>
      <w:r w:rsidRPr="00762DDE">
        <w:rPr>
          <w:rFonts w:eastAsia="Times New Roman" w:cs="Arial"/>
          <w:i/>
          <w:iCs/>
          <w:color w:val="000000"/>
          <w:lang w:val="en-US"/>
        </w:rPr>
        <w:t>capitis</w:t>
      </w:r>
      <w:proofErr w:type="spellEnd"/>
      <w:r w:rsidRPr="00762DDE">
        <w:rPr>
          <w:rFonts w:eastAsia="Times New Roman" w:cs="Arial"/>
          <w:color w:val="000000"/>
          <w:lang w:val="en-US"/>
        </w:rPr>
        <w:t xml:space="preserve"> </w:t>
      </w:r>
      <w:r w:rsidRPr="00762DDE">
        <w:rPr>
          <w:rFonts w:eastAsia="Times New Roman" w:cs="Arial"/>
          <w:color w:val="000000"/>
          <w:lang w:eastAsia="bg-BG"/>
        </w:rPr>
        <w:t xml:space="preserve">при деца. Установено е, че не превъзхожда гризеофулвин и общата успеваемост е била по-малко от 20%. По тази причина Фунгокап не бива да се използва при </w:t>
      </w:r>
      <w:r w:rsidRPr="00762DDE">
        <w:rPr>
          <w:rFonts w:eastAsia="Times New Roman" w:cs="Arial"/>
          <w:i/>
          <w:iCs/>
          <w:color w:val="000000"/>
          <w:lang w:val="en-US"/>
        </w:rPr>
        <w:t xml:space="preserve">tinea </w:t>
      </w:r>
      <w:proofErr w:type="spellStart"/>
      <w:r w:rsidRPr="00762DDE">
        <w:rPr>
          <w:rFonts w:eastAsia="Times New Roman" w:cs="Arial"/>
          <w:i/>
          <w:iCs/>
          <w:color w:val="000000"/>
          <w:lang w:val="en-US"/>
        </w:rPr>
        <w:t>capitis</w:t>
      </w:r>
      <w:proofErr w:type="spellEnd"/>
      <w:r w:rsidRPr="00762DDE">
        <w:rPr>
          <w:rFonts w:eastAsia="Times New Roman" w:cs="Arial"/>
          <w:i/>
          <w:iCs/>
          <w:color w:val="000000"/>
          <w:lang w:val="en-US"/>
        </w:rPr>
        <w:t>.</w:t>
      </w:r>
    </w:p>
    <w:p w14:paraId="22ACFD7C" w14:textId="77777777" w:rsidR="00762DDE" w:rsidRPr="005A5F0F" w:rsidRDefault="00762DDE" w:rsidP="00762DDE">
      <w:pPr>
        <w:spacing w:line="240" w:lineRule="auto"/>
        <w:rPr>
          <w:rFonts w:eastAsia="Times New Roman" w:cs="Arial"/>
          <w:color w:val="000000"/>
          <w:u w:val="single"/>
          <w:lang w:eastAsia="bg-BG"/>
        </w:rPr>
      </w:pPr>
    </w:p>
    <w:p w14:paraId="1711C229" w14:textId="39704251"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Криптококоза</w:t>
      </w:r>
    </w:p>
    <w:p w14:paraId="1F525A2A"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Данните за ефикасността от лечението с флуконазол на криптококоза с различна локализация (напр. белодробна и кожна криптококоза) са ограничени, което не позволява да се направят препоръки за дозировката.</w:t>
      </w:r>
    </w:p>
    <w:p w14:paraId="270301FE" w14:textId="77777777" w:rsidR="00762DDE" w:rsidRPr="005A5F0F" w:rsidRDefault="00762DDE" w:rsidP="00762DDE">
      <w:pPr>
        <w:spacing w:line="240" w:lineRule="auto"/>
        <w:rPr>
          <w:rFonts w:eastAsia="Times New Roman" w:cs="Arial"/>
          <w:color w:val="000000"/>
          <w:u w:val="single"/>
          <w:lang w:eastAsia="bg-BG"/>
        </w:rPr>
      </w:pPr>
    </w:p>
    <w:p w14:paraId="3559CABC" w14:textId="6DBA8165"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Дълбоки ендемични микози</w:t>
      </w:r>
    </w:p>
    <w:p w14:paraId="50C36118"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Данните за ефикасността от лечението с флуконазол при лечението на други форми на ендемични микози като паракокцидиомикоза, лимфокожна споротрихоза и хистоплазмоза са ограничени, което не позволява да се направят препоръки за дозировката.</w:t>
      </w:r>
    </w:p>
    <w:p w14:paraId="7CF8BEBE" w14:textId="77777777" w:rsidR="00762DDE" w:rsidRPr="005A5F0F" w:rsidRDefault="00762DDE" w:rsidP="00762DDE">
      <w:pPr>
        <w:spacing w:line="240" w:lineRule="auto"/>
        <w:rPr>
          <w:rFonts w:eastAsia="Times New Roman" w:cs="Arial"/>
          <w:color w:val="000000"/>
          <w:u w:val="single"/>
          <w:lang w:eastAsia="bg-BG"/>
        </w:rPr>
      </w:pPr>
    </w:p>
    <w:p w14:paraId="7270A48A" w14:textId="37E23ADB"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Бъбречна система</w:t>
      </w:r>
    </w:p>
    <w:p w14:paraId="666545A1"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Фунгокап трябва да се прилага с внимание при пациенти с бъбречна дисфункция (вж. точка 4.2).</w:t>
      </w:r>
    </w:p>
    <w:p w14:paraId="4F48D362" w14:textId="77777777" w:rsidR="00762DDE" w:rsidRPr="005A5F0F" w:rsidRDefault="00762DDE" w:rsidP="00762DDE">
      <w:pPr>
        <w:spacing w:line="240" w:lineRule="auto"/>
        <w:rPr>
          <w:rFonts w:eastAsia="Times New Roman" w:cs="Arial"/>
          <w:color w:val="000000"/>
          <w:u w:val="single"/>
          <w:lang w:eastAsia="bg-BG"/>
        </w:rPr>
      </w:pPr>
    </w:p>
    <w:p w14:paraId="562D294C" w14:textId="389F388A"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Надбъбречна недостатъчност</w:t>
      </w:r>
    </w:p>
    <w:p w14:paraId="1D963376"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Известно е, че кетоконазолът причинява надбъбречна недостатъчност и това, макар и рядко, може да се наблюдава и при флуконазол.</w:t>
      </w:r>
    </w:p>
    <w:p w14:paraId="2640EA18"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Надбъбречна недостатъчност, свързана с едновременно лечение с преднизон, е описана в точка 4.5 „Ефекти на флуконазол върху други лекарствени продукти“.</w:t>
      </w:r>
      <w:r w:rsidRPr="00762DDE">
        <w:rPr>
          <w:rFonts w:eastAsia="Times New Roman" w:cs="Arial"/>
          <w:color w:val="000000"/>
          <w:lang w:eastAsia="bg-BG"/>
        </w:rPr>
        <w:tab/>
      </w:r>
    </w:p>
    <w:p w14:paraId="527DA13B" w14:textId="77777777" w:rsidR="00762DDE" w:rsidRPr="005A5F0F" w:rsidRDefault="00762DDE" w:rsidP="00762DDE">
      <w:pPr>
        <w:spacing w:line="240" w:lineRule="auto"/>
        <w:rPr>
          <w:rFonts w:eastAsia="Times New Roman" w:cs="Arial"/>
          <w:color w:val="000000"/>
          <w:lang w:eastAsia="bg-BG"/>
        </w:rPr>
      </w:pPr>
    </w:p>
    <w:p w14:paraId="23616559" w14:textId="6041AC58"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Х</w:t>
      </w:r>
      <w:r w:rsidRPr="00762DDE">
        <w:rPr>
          <w:rFonts w:eastAsia="Times New Roman" w:cs="Arial"/>
          <w:color w:val="000000"/>
          <w:u w:val="single"/>
          <w:lang w:eastAsia="bg-BG"/>
        </w:rPr>
        <w:t>епато-билиарна система</w:t>
      </w:r>
    </w:p>
    <w:p w14:paraId="0E28BBDE" w14:textId="6A79DDDF" w:rsidR="007A2185" w:rsidRPr="005A5F0F" w:rsidRDefault="00762DDE" w:rsidP="00762DDE">
      <w:pPr>
        <w:rPr>
          <w:rFonts w:cs="Arial"/>
        </w:rPr>
      </w:pPr>
      <w:r w:rsidRPr="005A5F0F">
        <w:rPr>
          <w:rFonts w:eastAsia="Times New Roman" w:cs="Arial"/>
          <w:color w:val="000000"/>
          <w:lang w:eastAsia="bg-BG"/>
        </w:rPr>
        <w:lastRenderedPageBreak/>
        <w:t>Фунгокап трябва да се прилага с внимание при пациенти с чернодробна дисфисфункция.</w:t>
      </w:r>
    </w:p>
    <w:p w14:paraId="24E3E82F" w14:textId="26A4CB5F" w:rsidR="0091385D" w:rsidRPr="005A5F0F" w:rsidRDefault="0091385D" w:rsidP="0091385D">
      <w:pPr>
        <w:rPr>
          <w:rFonts w:cs="Arial"/>
        </w:rPr>
      </w:pPr>
    </w:p>
    <w:p w14:paraId="6B55DEF5"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Флуконазол се свързва с редки случаи на сериозна чернодробна токсичност, включително смъртни случаи, основно при пациенти със сериозни подлежащи заболявания. В случаите на хепатотоксичност, свързана с флуконазол, не е установена връзка с общата дневна доза, продължителността на лечението, пола или възрастта. Хепатотоксичностга, свързана с флуконазол, обикновено е била обратима при прекратяване на лечението.</w:t>
      </w:r>
    </w:p>
    <w:p w14:paraId="58574AC6" w14:textId="77777777" w:rsidR="00762DDE" w:rsidRPr="005A5F0F" w:rsidRDefault="00762DDE" w:rsidP="00762DDE">
      <w:pPr>
        <w:spacing w:line="240" w:lineRule="auto"/>
        <w:rPr>
          <w:rFonts w:eastAsia="Times New Roman" w:cs="Arial"/>
          <w:color w:val="000000"/>
          <w:lang w:eastAsia="bg-BG"/>
        </w:rPr>
      </w:pPr>
    </w:p>
    <w:p w14:paraId="27DC6BD1"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Пациенти, при които се наблюдават абнормни промени в чернодробните функционални тестове по време на лечението с флуконазол, трябва да бъдат проследявани за проява на по-сериозно чернодробно увреждане. Пациентите трябва да бъдат информирани за симптомите, указващи сериозни чернодробни ефекти (значима астения, анорексия, персистиращо гадене, повръщане и жълтеница). Лечението с флуконазол трябва незабавно да се прекрати и пациентът да се консултира с лекар.</w:t>
      </w:r>
    </w:p>
    <w:p w14:paraId="4E20FB41" w14:textId="77777777" w:rsidR="00762DDE" w:rsidRPr="005A5F0F" w:rsidRDefault="00762DDE" w:rsidP="00762DDE">
      <w:pPr>
        <w:spacing w:line="240" w:lineRule="auto"/>
        <w:rPr>
          <w:rFonts w:eastAsia="Times New Roman" w:cs="Arial"/>
          <w:color w:val="000000"/>
          <w:u w:val="single"/>
          <w:lang w:eastAsia="bg-BG"/>
        </w:rPr>
      </w:pPr>
    </w:p>
    <w:p w14:paraId="6253CDA5"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Сърдечно-съдова система</w:t>
      </w:r>
    </w:p>
    <w:p w14:paraId="44051566"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Някои азоли, включително флуконазол са свързани с удължаване на </w:t>
      </w:r>
      <w:r w:rsidRPr="00762DDE">
        <w:rPr>
          <w:rFonts w:eastAsia="Times New Roman" w:cs="Arial"/>
          <w:i/>
          <w:iCs/>
          <w:color w:val="000000"/>
          <w:lang w:val="en-US"/>
        </w:rPr>
        <w:t>QT</w:t>
      </w:r>
      <w:r w:rsidRPr="00762DDE">
        <w:rPr>
          <w:rFonts w:eastAsia="Times New Roman" w:cs="Arial"/>
          <w:color w:val="000000"/>
          <w:lang w:val="en-US"/>
        </w:rPr>
        <w:t xml:space="preserve"> </w:t>
      </w:r>
      <w:r w:rsidRPr="00762DDE">
        <w:rPr>
          <w:rFonts w:eastAsia="Times New Roman" w:cs="Arial"/>
          <w:color w:val="000000"/>
          <w:lang w:eastAsia="bg-BG"/>
        </w:rPr>
        <w:t xml:space="preserve">интервала в електрокардиограмата. По време на постмаркетинговото наблюдение, са установени много редки случаи на удължаване на </w:t>
      </w:r>
      <w:r w:rsidRPr="00762DDE">
        <w:rPr>
          <w:rFonts w:eastAsia="Times New Roman" w:cs="Arial"/>
          <w:color w:val="000000"/>
          <w:lang w:val="en-US"/>
        </w:rPr>
        <w:t xml:space="preserve">QT </w:t>
      </w:r>
      <w:r w:rsidRPr="00762DDE">
        <w:rPr>
          <w:rFonts w:eastAsia="Times New Roman" w:cs="Arial"/>
          <w:color w:val="000000"/>
          <w:lang w:eastAsia="bg-BG"/>
        </w:rPr>
        <w:t xml:space="preserve">интервала и </w:t>
      </w:r>
      <w:proofErr w:type="spellStart"/>
      <w:r w:rsidRPr="00762DDE">
        <w:rPr>
          <w:rFonts w:eastAsia="Times New Roman" w:cs="Arial"/>
          <w:i/>
          <w:iCs/>
          <w:color w:val="000000"/>
          <w:lang w:val="en-US"/>
        </w:rPr>
        <w:t>torsades</w:t>
      </w:r>
      <w:proofErr w:type="spellEnd"/>
      <w:r w:rsidRPr="00762DDE">
        <w:rPr>
          <w:rFonts w:eastAsia="Times New Roman" w:cs="Arial"/>
          <w:i/>
          <w:iCs/>
          <w:color w:val="000000"/>
          <w:lang w:val="en-US"/>
        </w:rPr>
        <w:t xml:space="preserve"> de pointes</w:t>
      </w:r>
      <w:r w:rsidRPr="00762DDE">
        <w:rPr>
          <w:rFonts w:eastAsia="Times New Roman" w:cs="Arial"/>
          <w:color w:val="000000"/>
          <w:lang w:val="en-US"/>
        </w:rPr>
        <w:t xml:space="preserve"> </w:t>
      </w:r>
      <w:r w:rsidRPr="00762DDE">
        <w:rPr>
          <w:rFonts w:eastAsia="Times New Roman" w:cs="Arial"/>
          <w:color w:val="000000"/>
          <w:lang w:eastAsia="bg-BG"/>
        </w:rPr>
        <w:t>при пациенти, приемащи флуконазол. Тези случаи са включвали тежко болни пациенти с множество смесени рискови фактори, като например структурни увреждания на сърцето, електролитни нарушения и съпътстващо лечение, което може да е допринесло.</w:t>
      </w:r>
    </w:p>
    <w:p w14:paraId="1212B775" w14:textId="77777777" w:rsidR="00762DDE" w:rsidRPr="005A5F0F" w:rsidRDefault="00762DDE" w:rsidP="00762DDE">
      <w:pPr>
        <w:spacing w:line="240" w:lineRule="auto"/>
        <w:rPr>
          <w:rFonts w:eastAsia="Times New Roman" w:cs="Arial"/>
          <w:color w:val="000000"/>
          <w:lang w:eastAsia="bg-BG"/>
        </w:rPr>
      </w:pPr>
    </w:p>
    <w:p w14:paraId="7314CF54"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Фунгокап трябва да се прилага с внимание при пациенти с потенциално проаритмогенни състояния. Едновременното прилагане с други лекарствени продукти, за които е известно, че удължават </w:t>
      </w:r>
      <w:r w:rsidRPr="00762DDE">
        <w:rPr>
          <w:rFonts w:eastAsia="Times New Roman" w:cs="Arial"/>
          <w:color w:val="000000"/>
          <w:lang w:val="en-US"/>
        </w:rPr>
        <w:t xml:space="preserve">QT </w:t>
      </w:r>
      <w:r w:rsidRPr="00762DDE">
        <w:rPr>
          <w:rFonts w:eastAsia="Times New Roman" w:cs="Arial"/>
          <w:color w:val="000000"/>
          <w:lang w:eastAsia="bg-BG"/>
        </w:rPr>
        <w:t xml:space="preserve">интервала и които се метаболизират чрез цитохром Р450 </w:t>
      </w:r>
      <w:r w:rsidRPr="00762DDE">
        <w:rPr>
          <w:rFonts w:eastAsia="Times New Roman" w:cs="Arial"/>
          <w:color w:val="000000"/>
          <w:lang w:val="en-US"/>
        </w:rPr>
        <w:t xml:space="preserve">(CYP) </w:t>
      </w:r>
      <w:r w:rsidRPr="00762DDE">
        <w:rPr>
          <w:rFonts w:eastAsia="Times New Roman" w:cs="Arial"/>
          <w:color w:val="000000"/>
          <w:lang w:eastAsia="bg-BG"/>
        </w:rPr>
        <w:t>3А4 е противопоказано (вж точка 4.3 и 4.5).</w:t>
      </w:r>
    </w:p>
    <w:p w14:paraId="0062C2D4" w14:textId="77777777" w:rsidR="00762DDE" w:rsidRPr="005A5F0F" w:rsidRDefault="00762DDE" w:rsidP="00762DDE">
      <w:pPr>
        <w:spacing w:line="240" w:lineRule="auto"/>
        <w:rPr>
          <w:rFonts w:eastAsia="Times New Roman" w:cs="Arial"/>
          <w:color w:val="000000"/>
          <w:u w:val="single"/>
          <w:lang w:eastAsia="bg-BG"/>
        </w:rPr>
      </w:pPr>
    </w:p>
    <w:p w14:paraId="67D8F57D"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Халофантрин</w:t>
      </w:r>
    </w:p>
    <w:p w14:paraId="094E9847"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Халофантрин удължава </w:t>
      </w:r>
      <w:r w:rsidRPr="00762DDE">
        <w:rPr>
          <w:rFonts w:eastAsia="Times New Roman" w:cs="Arial"/>
          <w:color w:val="000000"/>
          <w:lang w:val="en-US"/>
        </w:rPr>
        <w:t xml:space="preserve">QT </w:t>
      </w:r>
      <w:r w:rsidRPr="00762DDE">
        <w:rPr>
          <w:rFonts w:eastAsia="Times New Roman" w:cs="Arial"/>
          <w:color w:val="000000"/>
          <w:lang w:eastAsia="bg-BG"/>
        </w:rPr>
        <w:t xml:space="preserve">интервала при препоръчителната терапевтична доза и е субстрат на </w:t>
      </w:r>
      <w:r w:rsidRPr="00762DDE">
        <w:rPr>
          <w:rFonts w:eastAsia="Times New Roman" w:cs="Arial"/>
          <w:color w:val="000000"/>
          <w:lang w:val="en-US"/>
        </w:rPr>
        <w:t xml:space="preserve">CYP3A4. </w:t>
      </w:r>
      <w:r w:rsidRPr="00762DDE">
        <w:rPr>
          <w:rFonts w:eastAsia="Times New Roman" w:cs="Arial"/>
          <w:color w:val="000000"/>
          <w:lang w:eastAsia="bg-BG"/>
        </w:rPr>
        <w:t>По тази причина едновременното прилагане на флуконазол и халофантрин не се препоръчва (вж. точки 4.3 и 4.5).</w:t>
      </w:r>
    </w:p>
    <w:p w14:paraId="273491D1" w14:textId="77777777" w:rsidR="00762DDE" w:rsidRPr="005A5F0F" w:rsidRDefault="00762DDE" w:rsidP="00762DDE">
      <w:pPr>
        <w:spacing w:line="240" w:lineRule="auto"/>
        <w:rPr>
          <w:rFonts w:eastAsia="Times New Roman" w:cs="Arial"/>
          <w:color w:val="000000"/>
          <w:u w:val="single"/>
          <w:lang w:eastAsia="bg-BG"/>
        </w:rPr>
      </w:pPr>
    </w:p>
    <w:p w14:paraId="26CAD758"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Дерматологични реакции</w:t>
      </w:r>
    </w:p>
    <w:p w14:paraId="4EB40B55"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По време на лечението с флуконазол, пациентите рядко са проявявали ексфолиативни кожни реакции, като например синдром на </w:t>
      </w:r>
      <w:r w:rsidRPr="00762DDE">
        <w:rPr>
          <w:rFonts w:eastAsia="Times New Roman" w:cs="Arial"/>
          <w:color w:val="000000"/>
          <w:lang w:val="en-US"/>
        </w:rPr>
        <w:t xml:space="preserve">Stevens-Johnson </w:t>
      </w:r>
      <w:r w:rsidRPr="00762DDE">
        <w:rPr>
          <w:rFonts w:eastAsia="Times New Roman" w:cs="Arial"/>
          <w:color w:val="000000"/>
          <w:lang w:eastAsia="bg-BG"/>
        </w:rPr>
        <w:t xml:space="preserve">и токсична епидермална некролиза. Пациентите със СПИН са по-склонни да развиват тежки кожни реакции към множество лекарствени продукти. Ако пациент, лекуван за повърхностна гъбична инфекция, получи обрив, който може да се дължи на флуконазол, лечението трябва да бъде прекратено. Ако пациенти с инвазивна/системна гъбична инфекция получат обрив, те трябва да се наблюдават внимателно и лечението с флуконазол да се прекрати, ако се появят булозни лезии или мултиформен еритем. Съобщава се за лекарствена реакция с еозинофилия и системни симптоми </w:t>
      </w:r>
      <w:r w:rsidRPr="00762DDE">
        <w:rPr>
          <w:rFonts w:eastAsia="Times New Roman" w:cs="Arial"/>
          <w:color w:val="000000"/>
          <w:lang w:val="en-US"/>
        </w:rPr>
        <w:t>(drug reaction with eosinophilia and systemic symptoms, DRESS).</w:t>
      </w:r>
    </w:p>
    <w:p w14:paraId="6C2396D7" w14:textId="77777777" w:rsidR="00762DDE" w:rsidRPr="005A5F0F" w:rsidRDefault="00762DDE" w:rsidP="00762DDE">
      <w:pPr>
        <w:spacing w:line="240" w:lineRule="auto"/>
        <w:rPr>
          <w:rFonts w:eastAsia="Times New Roman" w:cs="Arial"/>
          <w:color w:val="000000"/>
          <w:u w:val="single"/>
          <w:lang w:eastAsia="bg-BG"/>
        </w:rPr>
      </w:pPr>
    </w:p>
    <w:p w14:paraId="2C5EA394"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Свръхчувствителност</w:t>
      </w:r>
    </w:p>
    <w:p w14:paraId="45B626C7"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Анафилаксия е наблюдавана в редки случаи (вж. точка 4.3).</w:t>
      </w:r>
    </w:p>
    <w:p w14:paraId="77FA7B1A" w14:textId="77777777" w:rsidR="00762DDE" w:rsidRPr="005A5F0F" w:rsidRDefault="00762DDE" w:rsidP="00762DDE">
      <w:pPr>
        <w:spacing w:line="240" w:lineRule="auto"/>
        <w:rPr>
          <w:rFonts w:eastAsia="Times New Roman" w:cs="Arial"/>
          <w:color w:val="000000"/>
          <w:u w:val="single"/>
          <w:lang w:eastAsia="bg-BG"/>
        </w:rPr>
      </w:pPr>
    </w:p>
    <w:p w14:paraId="5F519A57"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Цитохром Р450</w:t>
      </w:r>
    </w:p>
    <w:p w14:paraId="589AEC39"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Флуконазол е мощен </w:t>
      </w:r>
      <w:r w:rsidRPr="00762DDE">
        <w:rPr>
          <w:rFonts w:eastAsia="Times New Roman" w:cs="Arial"/>
          <w:color w:val="000000"/>
          <w:lang w:val="en-US"/>
        </w:rPr>
        <w:t xml:space="preserve">CYP2C9 </w:t>
      </w:r>
      <w:r w:rsidRPr="00762DDE">
        <w:rPr>
          <w:rFonts w:eastAsia="Times New Roman" w:cs="Arial"/>
          <w:color w:val="000000"/>
          <w:lang w:eastAsia="bg-BG"/>
        </w:rPr>
        <w:t xml:space="preserve">инхибитор и умерен </w:t>
      </w:r>
      <w:r w:rsidRPr="00762DDE">
        <w:rPr>
          <w:rFonts w:eastAsia="Times New Roman" w:cs="Arial"/>
          <w:color w:val="000000"/>
          <w:lang w:val="en-US"/>
        </w:rPr>
        <w:t xml:space="preserve">CYP3A4 </w:t>
      </w:r>
      <w:r w:rsidRPr="00762DDE">
        <w:rPr>
          <w:rFonts w:eastAsia="Times New Roman" w:cs="Arial"/>
          <w:color w:val="000000"/>
          <w:lang w:eastAsia="bg-BG"/>
        </w:rPr>
        <w:t xml:space="preserve">инхибитор. Флуконазол е също инхибитор и на </w:t>
      </w:r>
      <w:r w:rsidRPr="00762DDE">
        <w:rPr>
          <w:rFonts w:eastAsia="Times New Roman" w:cs="Arial"/>
          <w:color w:val="000000"/>
          <w:lang w:val="en-US"/>
        </w:rPr>
        <w:t xml:space="preserve">CYP2C19. </w:t>
      </w:r>
      <w:r w:rsidRPr="00762DDE">
        <w:rPr>
          <w:rFonts w:eastAsia="Times New Roman" w:cs="Arial"/>
          <w:color w:val="000000"/>
          <w:lang w:eastAsia="bg-BG"/>
        </w:rPr>
        <w:t xml:space="preserve">Пациенти, приемащи едновременно Фунгокап и </w:t>
      </w:r>
      <w:r w:rsidRPr="00762DDE">
        <w:rPr>
          <w:rFonts w:eastAsia="Times New Roman" w:cs="Arial"/>
          <w:color w:val="000000"/>
          <w:lang w:eastAsia="bg-BG"/>
        </w:rPr>
        <w:lastRenderedPageBreak/>
        <w:t xml:space="preserve">лекарствени продукти с тесен терапевтичен интервал, метаболизирани чрез </w:t>
      </w:r>
      <w:r w:rsidRPr="00762DDE">
        <w:rPr>
          <w:rFonts w:eastAsia="Times New Roman" w:cs="Arial"/>
          <w:color w:val="000000"/>
          <w:lang w:val="en-US"/>
        </w:rPr>
        <w:t xml:space="preserve">CYP2C9, CYP2C19 </w:t>
      </w:r>
      <w:r w:rsidRPr="00762DDE">
        <w:rPr>
          <w:rFonts w:eastAsia="Times New Roman" w:cs="Arial"/>
          <w:color w:val="000000"/>
          <w:lang w:eastAsia="bg-BG"/>
        </w:rPr>
        <w:t xml:space="preserve">и </w:t>
      </w:r>
      <w:r w:rsidRPr="00762DDE">
        <w:rPr>
          <w:rFonts w:eastAsia="Times New Roman" w:cs="Arial"/>
          <w:color w:val="000000"/>
          <w:lang w:val="en-US"/>
        </w:rPr>
        <w:t xml:space="preserve">CYP3A4, </w:t>
      </w:r>
      <w:r w:rsidRPr="00762DDE">
        <w:rPr>
          <w:rFonts w:eastAsia="Times New Roman" w:cs="Arial"/>
          <w:color w:val="000000"/>
          <w:lang w:eastAsia="bg-BG"/>
        </w:rPr>
        <w:t>трябва да бъдат наблюдавани (вж. точка 4.5).</w:t>
      </w:r>
    </w:p>
    <w:p w14:paraId="4A6520C5" w14:textId="77777777" w:rsidR="00762DDE" w:rsidRPr="005A5F0F" w:rsidRDefault="00762DDE" w:rsidP="00762DDE">
      <w:pPr>
        <w:spacing w:line="240" w:lineRule="auto"/>
        <w:rPr>
          <w:rFonts w:eastAsia="Times New Roman" w:cs="Arial"/>
          <w:color w:val="000000"/>
          <w:u w:val="single"/>
          <w:lang w:eastAsia="bg-BG"/>
        </w:rPr>
      </w:pPr>
    </w:p>
    <w:p w14:paraId="24A70C25"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Терфенадин</w:t>
      </w:r>
    </w:p>
    <w:p w14:paraId="3789B478"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Едновременното прилагане на флуконазол в дозировки под 400 </w:t>
      </w:r>
      <w:r w:rsidRPr="00762DDE">
        <w:rPr>
          <w:rFonts w:eastAsia="Times New Roman" w:cs="Arial"/>
          <w:color w:val="000000"/>
          <w:lang w:val="en-US"/>
        </w:rPr>
        <w:t xml:space="preserve">mg </w:t>
      </w:r>
      <w:r w:rsidRPr="00762DDE">
        <w:rPr>
          <w:rFonts w:eastAsia="Times New Roman" w:cs="Arial"/>
          <w:color w:val="000000"/>
          <w:lang w:eastAsia="bg-BG"/>
        </w:rPr>
        <w:t>дневно и терфенадин трябва внимателно да се мониторира (вж. точка 4.3 и 4.5).</w:t>
      </w:r>
    </w:p>
    <w:p w14:paraId="38DD2EF2" w14:textId="77777777" w:rsidR="00762DDE" w:rsidRPr="005A5F0F" w:rsidRDefault="00762DDE" w:rsidP="00762DDE">
      <w:pPr>
        <w:rPr>
          <w:rFonts w:eastAsia="Times New Roman" w:cs="Arial"/>
          <w:lang w:eastAsia="bg-BG"/>
        </w:rPr>
      </w:pPr>
    </w:p>
    <w:p w14:paraId="185EBB1B" w14:textId="77777777" w:rsidR="00762DDE" w:rsidRPr="005A5F0F" w:rsidRDefault="00762DDE" w:rsidP="00762DDE">
      <w:pPr>
        <w:rPr>
          <w:rFonts w:eastAsia="Times New Roman" w:cs="Arial"/>
          <w:color w:val="000000"/>
          <w:u w:val="single"/>
          <w:lang w:eastAsia="bg-BG"/>
        </w:rPr>
      </w:pPr>
      <w:r w:rsidRPr="005A5F0F">
        <w:rPr>
          <w:rFonts w:eastAsia="Times New Roman" w:cs="Arial"/>
          <w:color w:val="000000"/>
          <w:u w:val="single"/>
          <w:lang w:eastAsia="bg-BG"/>
        </w:rPr>
        <w:t>Помощни вещества</w:t>
      </w:r>
    </w:p>
    <w:p w14:paraId="053CAF56" w14:textId="77777777" w:rsidR="00762DDE" w:rsidRPr="005A5F0F" w:rsidRDefault="00762DDE" w:rsidP="00762DDE">
      <w:pPr>
        <w:rPr>
          <w:rFonts w:cs="Arial"/>
        </w:rPr>
      </w:pPr>
      <w:r w:rsidRPr="005A5F0F">
        <w:rPr>
          <w:rFonts w:cs="Arial"/>
        </w:rPr>
        <w:t xml:space="preserve">Капсулите съдържат лактоза монохидрат. Пациенти с редки наследствени проблеми на галактозна непоносимост, </w:t>
      </w:r>
      <w:r w:rsidRPr="005A5F0F">
        <w:rPr>
          <w:rFonts w:cs="Arial"/>
          <w:lang w:val="en-US"/>
        </w:rPr>
        <w:t xml:space="preserve">Lapp </w:t>
      </w:r>
      <w:r w:rsidRPr="005A5F0F">
        <w:rPr>
          <w:rFonts w:cs="Arial"/>
        </w:rPr>
        <w:t>лактазен дефицит или глюкозо-галактозна малабсорбция не трябва да приемат това лекарство.</w:t>
      </w:r>
    </w:p>
    <w:p w14:paraId="6DDBDC71" w14:textId="041F3663" w:rsidR="00762DDE" w:rsidRPr="0091385D" w:rsidRDefault="00762DDE"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3C7613A9" w:rsidR="0091385D" w:rsidRDefault="0091385D" w:rsidP="0091385D"/>
    <w:p w14:paraId="482894F6" w14:textId="77777777" w:rsidR="00762DDE" w:rsidRPr="00762DDE" w:rsidRDefault="00762DDE" w:rsidP="00762DDE">
      <w:pPr>
        <w:spacing w:line="240" w:lineRule="auto"/>
        <w:rPr>
          <w:rFonts w:eastAsia="Times New Roman" w:cs="Arial"/>
          <w:lang w:eastAsia="bg-BG"/>
        </w:rPr>
      </w:pPr>
      <w:r w:rsidRPr="00762DDE">
        <w:rPr>
          <w:rFonts w:eastAsia="Times New Roman" w:cs="Arial"/>
          <w:i/>
          <w:iCs/>
          <w:color w:val="000000"/>
          <w:u w:val="single"/>
          <w:lang w:eastAsia="bg-BG"/>
        </w:rPr>
        <w:t>Едновременната употреба със следните лекарствени продукти е протовопоказана:</w:t>
      </w:r>
    </w:p>
    <w:p w14:paraId="6F332CDD" w14:textId="77777777" w:rsidR="00762DDE" w:rsidRPr="005A5F0F" w:rsidRDefault="00762DDE" w:rsidP="00762DDE">
      <w:pPr>
        <w:spacing w:line="240" w:lineRule="auto"/>
        <w:rPr>
          <w:rFonts w:eastAsia="Times New Roman" w:cs="Arial"/>
          <w:color w:val="000000"/>
          <w:u w:val="single"/>
          <w:lang w:eastAsia="bg-BG"/>
        </w:rPr>
      </w:pPr>
    </w:p>
    <w:p w14:paraId="57E77C1B" w14:textId="1D3AAE08"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Цизаприд</w:t>
      </w:r>
      <w:r w:rsidRPr="00762DDE">
        <w:rPr>
          <w:rFonts w:eastAsia="Times New Roman" w:cs="Arial"/>
          <w:color w:val="000000"/>
          <w:lang w:eastAsia="bg-BG"/>
        </w:rPr>
        <w:t xml:space="preserve">: има съобщения за сърдечно-съдови събития, включително </w:t>
      </w:r>
      <w:r w:rsidRPr="00762DDE">
        <w:rPr>
          <w:rFonts w:eastAsia="Times New Roman" w:cs="Arial"/>
          <w:i/>
          <w:iCs/>
          <w:color w:val="000000"/>
          <w:lang w:val="en-US"/>
        </w:rPr>
        <w:t>torsade de pointes,</w:t>
      </w:r>
      <w:r w:rsidRPr="00762DDE">
        <w:rPr>
          <w:rFonts w:eastAsia="Times New Roman" w:cs="Arial"/>
          <w:color w:val="000000"/>
          <w:lang w:val="en-US"/>
        </w:rPr>
        <w:t xml:space="preserve"> </w:t>
      </w:r>
      <w:r w:rsidRPr="00762DDE">
        <w:rPr>
          <w:rFonts w:eastAsia="Times New Roman" w:cs="Arial"/>
          <w:color w:val="000000"/>
          <w:lang w:eastAsia="bg-BG"/>
        </w:rPr>
        <w:t xml:space="preserve">при пациенти, на които са прилагани флуконазол и цизаприд едновременно. В контролирано проучване е установено, че едновременната употреба на флуконазол 200 </w:t>
      </w:r>
      <w:r w:rsidRPr="00762DDE">
        <w:rPr>
          <w:rFonts w:eastAsia="Times New Roman" w:cs="Arial"/>
          <w:color w:val="000000"/>
          <w:lang w:val="en-US"/>
        </w:rPr>
        <w:t xml:space="preserve">mg </w:t>
      </w:r>
      <w:r w:rsidRPr="00762DDE">
        <w:rPr>
          <w:rFonts w:eastAsia="Times New Roman" w:cs="Arial"/>
          <w:color w:val="000000"/>
          <w:lang w:eastAsia="bg-BG"/>
        </w:rPr>
        <w:t xml:space="preserve">еднократно дневно и цизаприд 20 </w:t>
      </w:r>
      <w:r w:rsidRPr="00762DDE">
        <w:rPr>
          <w:rFonts w:eastAsia="Times New Roman" w:cs="Arial"/>
          <w:color w:val="000000"/>
          <w:lang w:val="en-US"/>
        </w:rPr>
        <w:t xml:space="preserve">mg </w:t>
      </w:r>
      <w:r w:rsidRPr="00762DDE">
        <w:rPr>
          <w:rFonts w:eastAsia="Times New Roman" w:cs="Arial"/>
          <w:color w:val="000000"/>
          <w:lang w:eastAsia="bg-BG"/>
        </w:rPr>
        <w:t xml:space="preserve">четири пъти дневно води до сигнификантно повишение на плазмените нива на цизаприд и удължаване на </w:t>
      </w:r>
      <w:r w:rsidRPr="00762DDE">
        <w:rPr>
          <w:rFonts w:eastAsia="Times New Roman" w:cs="Arial"/>
          <w:color w:val="000000"/>
          <w:lang w:val="en-US"/>
        </w:rPr>
        <w:t xml:space="preserve">QT </w:t>
      </w:r>
      <w:r w:rsidRPr="00762DDE">
        <w:rPr>
          <w:rFonts w:eastAsia="Times New Roman" w:cs="Arial"/>
          <w:color w:val="000000"/>
          <w:lang w:eastAsia="bg-BG"/>
        </w:rPr>
        <w:t>интервала. Едновременното приложение на флуконазол и цизаприд е противопоказано (вж. точка 4.3).</w:t>
      </w:r>
    </w:p>
    <w:p w14:paraId="6520250F" w14:textId="77777777" w:rsidR="00762DDE" w:rsidRPr="005A5F0F" w:rsidRDefault="00762DDE" w:rsidP="00762DDE">
      <w:pPr>
        <w:spacing w:line="240" w:lineRule="auto"/>
        <w:rPr>
          <w:rFonts w:eastAsia="Times New Roman" w:cs="Arial"/>
          <w:color w:val="000000"/>
          <w:u w:val="single"/>
          <w:lang w:eastAsia="bg-BG"/>
        </w:rPr>
      </w:pPr>
    </w:p>
    <w:p w14:paraId="6690F05F" w14:textId="4E9FD7A1"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Терфенадин:</w:t>
      </w:r>
      <w:r w:rsidRPr="00762DDE">
        <w:rPr>
          <w:rFonts w:eastAsia="Times New Roman" w:cs="Arial"/>
          <w:color w:val="000000"/>
          <w:lang w:eastAsia="bg-BG"/>
        </w:rPr>
        <w:t xml:space="preserve"> поради сериозни сърдечни аритмии, които възникват вторично в резултат на удължаване на </w:t>
      </w:r>
      <w:proofErr w:type="spellStart"/>
      <w:r w:rsidRPr="00762DDE">
        <w:rPr>
          <w:rFonts w:eastAsia="Times New Roman" w:cs="Arial"/>
          <w:color w:val="000000"/>
          <w:lang w:val="en-US"/>
        </w:rPr>
        <w:t>QTc</w:t>
      </w:r>
      <w:proofErr w:type="spellEnd"/>
      <w:r w:rsidRPr="00762DDE">
        <w:rPr>
          <w:rFonts w:eastAsia="Times New Roman" w:cs="Arial"/>
          <w:color w:val="000000"/>
          <w:lang w:eastAsia="bg-BG"/>
        </w:rPr>
        <w:t xml:space="preserve">-интервала при пациенти, приемащи азолови антимикотици заедно с терфенадин, са проведени проучвания върху тези взаимодействия. В проучване, при което флуконазол е прилаган в доза 200 </w:t>
      </w:r>
      <w:r w:rsidRPr="00762DDE">
        <w:rPr>
          <w:rFonts w:eastAsia="Times New Roman" w:cs="Arial"/>
          <w:color w:val="000000"/>
          <w:lang w:val="en-US"/>
        </w:rPr>
        <w:t xml:space="preserve">mg </w:t>
      </w:r>
      <w:r w:rsidRPr="00762DDE">
        <w:rPr>
          <w:rFonts w:eastAsia="Times New Roman" w:cs="Arial"/>
          <w:color w:val="000000"/>
          <w:lang w:eastAsia="bg-BG"/>
        </w:rPr>
        <w:t xml:space="preserve">дневно, не е установено удължаване на </w:t>
      </w:r>
      <w:proofErr w:type="spellStart"/>
      <w:r w:rsidRPr="00762DDE">
        <w:rPr>
          <w:rFonts w:eastAsia="Times New Roman" w:cs="Arial"/>
          <w:color w:val="000000"/>
          <w:lang w:val="en-US"/>
        </w:rPr>
        <w:t>QTc</w:t>
      </w:r>
      <w:proofErr w:type="spellEnd"/>
      <w:r w:rsidRPr="00762DDE">
        <w:rPr>
          <w:rFonts w:eastAsia="Times New Roman" w:cs="Arial"/>
          <w:color w:val="000000"/>
          <w:lang w:eastAsia="bg-BG"/>
        </w:rPr>
        <w:t xml:space="preserve">-ингервала. В друго проучване, при което са използвани дневни дози от 400 до 800 </w:t>
      </w:r>
      <w:r w:rsidRPr="00762DDE">
        <w:rPr>
          <w:rFonts w:eastAsia="Times New Roman" w:cs="Arial"/>
          <w:color w:val="000000"/>
          <w:lang w:val="en-US"/>
        </w:rPr>
        <w:t xml:space="preserve">mg </w:t>
      </w:r>
      <w:r w:rsidRPr="00762DDE">
        <w:rPr>
          <w:rFonts w:eastAsia="Times New Roman" w:cs="Arial"/>
          <w:color w:val="000000"/>
          <w:lang w:eastAsia="bg-BG"/>
        </w:rPr>
        <w:t xml:space="preserve">флуконазол, е установено, че флуконазол, приложен в дози, равни или по-високи от 400 </w:t>
      </w:r>
      <w:r w:rsidRPr="00762DDE">
        <w:rPr>
          <w:rFonts w:eastAsia="Times New Roman" w:cs="Arial"/>
          <w:color w:val="000000"/>
          <w:lang w:val="en-US"/>
        </w:rPr>
        <w:t xml:space="preserve">mg </w:t>
      </w:r>
      <w:r w:rsidRPr="00762DDE">
        <w:rPr>
          <w:rFonts w:eastAsia="Times New Roman" w:cs="Arial"/>
          <w:color w:val="000000"/>
          <w:lang w:eastAsia="bg-BG"/>
        </w:rPr>
        <w:t xml:space="preserve">дневно, значително повишава плазмените концентрации на терфенадин, когато двете лекарства се прилагат в комбинация. Комбинираното приложение на флуконазол в дози, равни или по- високи от 400 </w:t>
      </w:r>
      <w:r w:rsidRPr="00762DDE">
        <w:rPr>
          <w:rFonts w:eastAsia="Times New Roman" w:cs="Arial"/>
          <w:color w:val="000000"/>
          <w:lang w:val="en-US"/>
        </w:rPr>
        <w:t xml:space="preserve">mg, </w:t>
      </w:r>
      <w:r w:rsidRPr="00762DDE">
        <w:rPr>
          <w:rFonts w:eastAsia="Times New Roman" w:cs="Arial"/>
          <w:color w:val="000000"/>
          <w:lang w:eastAsia="bg-BG"/>
        </w:rPr>
        <w:t xml:space="preserve">с терфенадин е противопоказано (вж. точка 4.3.). Едновременното приложение на флуконазол в дози, по-ниски от 400 </w:t>
      </w:r>
      <w:r w:rsidRPr="00762DDE">
        <w:rPr>
          <w:rFonts w:eastAsia="Times New Roman" w:cs="Arial"/>
          <w:color w:val="000000"/>
          <w:lang w:val="en-US"/>
        </w:rPr>
        <w:t xml:space="preserve">mg </w:t>
      </w:r>
      <w:r w:rsidRPr="00762DDE">
        <w:rPr>
          <w:rFonts w:eastAsia="Times New Roman" w:cs="Arial"/>
          <w:color w:val="000000"/>
          <w:lang w:eastAsia="bg-BG"/>
        </w:rPr>
        <w:t>дневно, с терфенадин трябва внимателно да се мониторира.</w:t>
      </w:r>
    </w:p>
    <w:p w14:paraId="7B678D2C" w14:textId="77777777" w:rsidR="00762DDE" w:rsidRPr="005A5F0F" w:rsidRDefault="00762DDE" w:rsidP="00762DDE">
      <w:pPr>
        <w:spacing w:line="240" w:lineRule="auto"/>
        <w:rPr>
          <w:rFonts w:eastAsia="Times New Roman" w:cs="Arial"/>
          <w:color w:val="000000"/>
          <w:u w:val="single"/>
          <w:lang w:eastAsia="bg-BG"/>
        </w:rPr>
      </w:pPr>
    </w:p>
    <w:p w14:paraId="6162612C" w14:textId="4D27655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Астемизол</w:t>
      </w:r>
      <w:r w:rsidRPr="00762DDE">
        <w:rPr>
          <w:rFonts w:eastAsia="Times New Roman" w:cs="Arial"/>
          <w:color w:val="000000"/>
          <w:lang w:eastAsia="bg-BG"/>
        </w:rPr>
        <w:t xml:space="preserve">: едновременното приложение на флуконазол с астемизол може да понижи клирънса на астемизол. В резултат повишените плазмени концентрации на астемизол могат да доведат до удължаване на </w:t>
      </w:r>
      <w:r w:rsidRPr="00762DDE">
        <w:rPr>
          <w:rFonts w:eastAsia="Times New Roman" w:cs="Arial"/>
          <w:color w:val="000000"/>
          <w:lang w:val="en-US"/>
        </w:rPr>
        <w:t xml:space="preserve">QT </w:t>
      </w:r>
      <w:r w:rsidRPr="00762DDE">
        <w:rPr>
          <w:rFonts w:eastAsia="Times New Roman" w:cs="Arial"/>
          <w:color w:val="000000"/>
          <w:lang w:eastAsia="bg-BG"/>
        </w:rPr>
        <w:t xml:space="preserve">и редки случаи на </w:t>
      </w:r>
      <w:r w:rsidRPr="00762DDE">
        <w:rPr>
          <w:rFonts w:eastAsia="Times New Roman" w:cs="Arial"/>
          <w:i/>
          <w:iCs/>
          <w:color w:val="000000"/>
          <w:lang w:val="en-US"/>
        </w:rPr>
        <w:t>torsade de pointes.</w:t>
      </w:r>
      <w:r w:rsidRPr="00762DDE">
        <w:rPr>
          <w:rFonts w:eastAsia="Times New Roman" w:cs="Arial"/>
          <w:color w:val="000000"/>
          <w:lang w:val="en-US"/>
        </w:rPr>
        <w:t xml:space="preserve"> </w:t>
      </w:r>
      <w:r w:rsidRPr="00762DDE">
        <w:rPr>
          <w:rFonts w:eastAsia="Times New Roman" w:cs="Arial"/>
          <w:color w:val="000000"/>
          <w:lang w:eastAsia="bg-BG"/>
        </w:rPr>
        <w:t>Едновременното приложение на флуконазол и астемизол е противопоказано (вж. точка 4.3).</w:t>
      </w:r>
    </w:p>
    <w:p w14:paraId="1F4C4CB4" w14:textId="77777777" w:rsidR="00762DDE" w:rsidRPr="005A5F0F" w:rsidRDefault="00762DDE" w:rsidP="00762DDE">
      <w:pPr>
        <w:spacing w:line="240" w:lineRule="auto"/>
        <w:rPr>
          <w:rFonts w:eastAsia="Times New Roman" w:cs="Arial"/>
          <w:color w:val="000000"/>
          <w:u w:val="single"/>
          <w:lang w:eastAsia="bg-BG"/>
        </w:rPr>
      </w:pPr>
    </w:p>
    <w:p w14:paraId="1636CE12" w14:textId="495A1108"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Пимозид</w:t>
      </w:r>
      <w:r w:rsidRPr="00762DDE">
        <w:rPr>
          <w:rFonts w:eastAsia="Times New Roman" w:cs="Arial"/>
          <w:color w:val="000000"/>
          <w:lang w:eastAsia="bg-BG"/>
        </w:rPr>
        <w:t xml:space="preserve">: въпреки че не е проучено </w:t>
      </w:r>
      <w:r w:rsidRPr="00762DDE">
        <w:rPr>
          <w:rFonts w:eastAsia="Times New Roman" w:cs="Arial"/>
          <w:i/>
          <w:iCs/>
          <w:color w:val="000000"/>
          <w:lang w:val="en-US"/>
        </w:rPr>
        <w:t>in vitro</w:t>
      </w:r>
      <w:r w:rsidRPr="00762DDE">
        <w:rPr>
          <w:rFonts w:eastAsia="Times New Roman" w:cs="Arial"/>
          <w:color w:val="000000"/>
          <w:lang w:val="en-US"/>
        </w:rPr>
        <w:t xml:space="preserve"> </w:t>
      </w:r>
      <w:r w:rsidRPr="00762DDE">
        <w:rPr>
          <w:rFonts w:eastAsia="Times New Roman" w:cs="Arial"/>
          <w:color w:val="000000"/>
          <w:lang w:eastAsia="bg-BG"/>
        </w:rPr>
        <w:t xml:space="preserve">и </w:t>
      </w:r>
      <w:r w:rsidRPr="00762DDE">
        <w:rPr>
          <w:rFonts w:eastAsia="Times New Roman" w:cs="Arial"/>
          <w:i/>
          <w:iCs/>
          <w:color w:val="000000"/>
          <w:lang w:val="en-US"/>
        </w:rPr>
        <w:t>in vivo,</w:t>
      </w:r>
      <w:r w:rsidRPr="00762DDE">
        <w:rPr>
          <w:rFonts w:eastAsia="Times New Roman" w:cs="Arial"/>
          <w:color w:val="000000"/>
          <w:lang w:val="en-US"/>
        </w:rPr>
        <w:t xml:space="preserve"> </w:t>
      </w:r>
      <w:r w:rsidRPr="00762DDE">
        <w:rPr>
          <w:rFonts w:eastAsia="Times New Roman" w:cs="Arial"/>
          <w:color w:val="000000"/>
          <w:lang w:eastAsia="bg-BG"/>
        </w:rPr>
        <w:t xml:space="preserve">едновременното приложение на флуконазол с пимозид може да доведе до инхибиране на метаболизма на пимозид. Повишените плазмени концентрации на пимозид могат да доведат до удължаване на </w:t>
      </w:r>
      <w:r w:rsidRPr="00762DDE">
        <w:rPr>
          <w:rFonts w:eastAsia="Times New Roman" w:cs="Arial"/>
          <w:color w:val="000000"/>
          <w:lang w:val="en-US"/>
        </w:rPr>
        <w:t xml:space="preserve">QT </w:t>
      </w:r>
      <w:r w:rsidRPr="00762DDE">
        <w:rPr>
          <w:rFonts w:eastAsia="Times New Roman" w:cs="Arial"/>
          <w:color w:val="000000"/>
          <w:lang w:eastAsia="bg-BG"/>
        </w:rPr>
        <w:t xml:space="preserve">и редки случаи на </w:t>
      </w:r>
      <w:r w:rsidRPr="00762DDE">
        <w:rPr>
          <w:rFonts w:eastAsia="Times New Roman" w:cs="Arial"/>
          <w:i/>
          <w:iCs/>
          <w:color w:val="000000"/>
          <w:lang w:val="en-US"/>
        </w:rPr>
        <w:t>torsade de pointes.</w:t>
      </w:r>
      <w:r w:rsidRPr="00762DDE">
        <w:rPr>
          <w:rFonts w:eastAsia="Times New Roman" w:cs="Arial"/>
          <w:color w:val="000000"/>
          <w:lang w:val="en-US"/>
        </w:rPr>
        <w:t xml:space="preserve"> </w:t>
      </w:r>
      <w:r w:rsidRPr="00762DDE">
        <w:rPr>
          <w:rFonts w:eastAsia="Times New Roman" w:cs="Arial"/>
          <w:color w:val="000000"/>
          <w:lang w:eastAsia="bg-BG"/>
        </w:rPr>
        <w:t>Едновременното приложение на флуконазол и пимозид е противопоказано (вж. точка 4.3).</w:t>
      </w:r>
    </w:p>
    <w:p w14:paraId="16EAD0D4" w14:textId="77777777" w:rsidR="00762DDE" w:rsidRPr="005A5F0F" w:rsidRDefault="00762DDE" w:rsidP="00762DDE">
      <w:pPr>
        <w:spacing w:line="240" w:lineRule="auto"/>
        <w:rPr>
          <w:rFonts w:eastAsia="Times New Roman" w:cs="Arial"/>
          <w:color w:val="000000"/>
          <w:u w:val="single"/>
          <w:lang w:eastAsia="bg-BG"/>
        </w:rPr>
      </w:pPr>
    </w:p>
    <w:p w14:paraId="4F8C5065" w14:textId="12A9CB59"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lastRenderedPageBreak/>
        <w:t>Хинидин</w:t>
      </w:r>
      <w:r w:rsidRPr="00762DDE">
        <w:rPr>
          <w:rFonts w:eastAsia="Times New Roman" w:cs="Arial"/>
          <w:color w:val="000000"/>
          <w:lang w:eastAsia="bg-BG"/>
        </w:rPr>
        <w:t xml:space="preserve">: въпреки че не е проучено </w:t>
      </w:r>
      <w:r w:rsidRPr="00762DDE">
        <w:rPr>
          <w:rFonts w:eastAsia="Times New Roman" w:cs="Arial"/>
          <w:i/>
          <w:iCs/>
          <w:color w:val="000000"/>
          <w:lang w:val="en-US"/>
        </w:rPr>
        <w:t>in vitro</w:t>
      </w:r>
      <w:r w:rsidRPr="00762DDE">
        <w:rPr>
          <w:rFonts w:eastAsia="Times New Roman" w:cs="Arial"/>
          <w:color w:val="000000"/>
          <w:lang w:val="en-US"/>
        </w:rPr>
        <w:t xml:space="preserve"> </w:t>
      </w:r>
      <w:r w:rsidRPr="00762DDE">
        <w:rPr>
          <w:rFonts w:eastAsia="Times New Roman" w:cs="Arial"/>
          <w:color w:val="000000"/>
          <w:lang w:eastAsia="bg-BG"/>
        </w:rPr>
        <w:t xml:space="preserve">и </w:t>
      </w:r>
      <w:r w:rsidRPr="00762DDE">
        <w:rPr>
          <w:rFonts w:eastAsia="Times New Roman" w:cs="Arial"/>
          <w:i/>
          <w:iCs/>
          <w:color w:val="000000"/>
          <w:lang w:val="en-US"/>
        </w:rPr>
        <w:t>in vivo,</w:t>
      </w:r>
      <w:r w:rsidRPr="00762DDE">
        <w:rPr>
          <w:rFonts w:eastAsia="Times New Roman" w:cs="Arial"/>
          <w:color w:val="000000"/>
          <w:lang w:val="en-US"/>
        </w:rPr>
        <w:t xml:space="preserve"> </w:t>
      </w:r>
      <w:r w:rsidRPr="00762DDE">
        <w:rPr>
          <w:rFonts w:eastAsia="Times New Roman" w:cs="Arial"/>
          <w:color w:val="000000"/>
          <w:lang w:eastAsia="bg-BG"/>
        </w:rPr>
        <w:t xml:space="preserve">едновременното приложение на флуконазол с хинидин може да доведе до инхибиране на метаболизма на хинидин. Прилагането на хинидин е свързано с удължаване на </w:t>
      </w:r>
      <w:r w:rsidRPr="00762DDE">
        <w:rPr>
          <w:rFonts w:eastAsia="Times New Roman" w:cs="Arial"/>
          <w:color w:val="000000"/>
          <w:lang w:val="en-US"/>
        </w:rPr>
        <w:t xml:space="preserve">QT </w:t>
      </w:r>
      <w:r w:rsidRPr="00762DDE">
        <w:rPr>
          <w:rFonts w:eastAsia="Times New Roman" w:cs="Arial"/>
          <w:color w:val="000000"/>
          <w:lang w:eastAsia="bg-BG"/>
        </w:rPr>
        <w:t xml:space="preserve">и в редки случаи на </w:t>
      </w:r>
      <w:proofErr w:type="spellStart"/>
      <w:r w:rsidRPr="00762DDE">
        <w:rPr>
          <w:rFonts w:eastAsia="Times New Roman" w:cs="Arial"/>
          <w:i/>
          <w:iCs/>
          <w:color w:val="000000"/>
          <w:lang w:val="en-US"/>
        </w:rPr>
        <w:t>torsades</w:t>
      </w:r>
      <w:proofErr w:type="spellEnd"/>
      <w:r w:rsidRPr="00762DDE">
        <w:rPr>
          <w:rFonts w:eastAsia="Times New Roman" w:cs="Arial"/>
          <w:i/>
          <w:iCs/>
          <w:color w:val="000000"/>
          <w:lang w:val="en-US"/>
        </w:rPr>
        <w:t xml:space="preserve"> de pointes.</w:t>
      </w:r>
    </w:p>
    <w:p w14:paraId="54F513F3"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Едновременното приложение на флуконазол и хинидин е противопоказано (вж. точка 4.3).</w:t>
      </w:r>
    </w:p>
    <w:p w14:paraId="3673C719" w14:textId="77777777" w:rsidR="00762DDE" w:rsidRPr="005A5F0F" w:rsidRDefault="00762DDE" w:rsidP="00762DDE">
      <w:pPr>
        <w:spacing w:line="240" w:lineRule="auto"/>
        <w:rPr>
          <w:rFonts w:eastAsia="Times New Roman" w:cs="Arial"/>
          <w:color w:val="000000"/>
          <w:u w:val="single"/>
          <w:lang w:eastAsia="bg-BG"/>
        </w:rPr>
      </w:pPr>
    </w:p>
    <w:p w14:paraId="590B2246" w14:textId="6C73EDB9"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Еритромицин</w:t>
      </w:r>
      <w:r w:rsidRPr="00762DDE">
        <w:rPr>
          <w:rFonts w:eastAsia="Times New Roman" w:cs="Arial"/>
          <w:color w:val="000000"/>
          <w:lang w:eastAsia="bg-BG"/>
        </w:rPr>
        <w:t xml:space="preserve">: едновременното приложение на флуконазол и еритромицин би могло да повиши риска от кардиотоксичност (удължен </w:t>
      </w:r>
      <w:r w:rsidRPr="00762DDE">
        <w:rPr>
          <w:rFonts w:eastAsia="Times New Roman" w:cs="Arial"/>
          <w:color w:val="000000"/>
          <w:lang w:val="en-US"/>
        </w:rPr>
        <w:t xml:space="preserve">QT </w:t>
      </w:r>
      <w:r w:rsidRPr="00762DDE">
        <w:rPr>
          <w:rFonts w:eastAsia="Times New Roman" w:cs="Arial"/>
          <w:color w:val="000000"/>
          <w:lang w:eastAsia="bg-BG"/>
        </w:rPr>
        <w:t xml:space="preserve">интервал, </w:t>
      </w:r>
      <w:r w:rsidRPr="00762DDE">
        <w:rPr>
          <w:rFonts w:eastAsia="Times New Roman" w:cs="Arial"/>
          <w:i/>
          <w:iCs/>
          <w:color w:val="000000"/>
          <w:lang w:val="en-US"/>
        </w:rPr>
        <w:t>torsade de pointes)</w:t>
      </w:r>
      <w:r w:rsidRPr="00762DDE">
        <w:rPr>
          <w:rFonts w:eastAsia="Times New Roman" w:cs="Arial"/>
          <w:color w:val="000000"/>
          <w:lang w:val="en-US"/>
        </w:rPr>
        <w:t xml:space="preserve"> </w:t>
      </w:r>
      <w:r w:rsidRPr="00762DDE">
        <w:rPr>
          <w:rFonts w:eastAsia="Times New Roman" w:cs="Arial"/>
          <w:color w:val="000000"/>
          <w:lang w:eastAsia="bg-BG"/>
        </w:rPr>
        <w:t>и с последваща внезапна сърдечна смърт. Едновременното приложение на флуконазол и еритромицин е противопоказано (вж. точка 4.3).</w:t>
      </w:r>
    </w:p>
    <w:p w14:paraId="3272780A" w14:textId="77777777" w:rsidR="00762DDE" w:rsidRPr="005A5F0F" w:rsidRDefault="00762DDE" w:rsidP="00762DDE">
      <w:pPr>
        <w:spacing w:line="240" w:lineRule="auto"/>
        <w:rPr>
          <w:rFonts w:eastAsia="Times New Roman" w:cs="Arial"/>
          <w:color w:val="000000"/>
          <w:u w:val="single"/>
          <w:lang w:eastAsia="bg-BG"/>
        </w:rPr>
      </w:pPr>
    </w:p>
    <w:p w14:paraId="1B2EBED5" w14:textId="4C4FF4E3"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Амиодарон</w:t>
      </w:r>
      <w:r w:rsidRPr="00762DDE">
        <w:rPr>
          <w:rFonts w:eastAsia="Times New Roman" w:cs="Arial"/>
          <w:color w:val="000000"/>
          <w:lang w:eastAsia="bg-BG"/>
        </w:rPr>
        <w:t xml:space="preserve">: Едновременното приложение на флуконазол с амиодарон може да доведе до инхибиране на метаболизма на амиодарон. Използването на амиодарон е свързана с удължаване на </w:t>
      </w:r>
      <w:r w:rsidRPr="00762DDE">
        <w:rPr>
          <w:rFonts w:eastAsia="Times New Roman" w:cs="Arial"/>
          <w:color w:val="000000"/>
          <w:lang w:val="en-US"/>
        </w:rPr>
        <w:t xml:space="preserve">QT </w:t>
      </w:r>
      <w:r w:rsidRPr="00762DDE">
        <w:rPr>
          <w:rFonts w:eastAsia="Times New Roman" w:cs="Arial"/>
          <w:color w:val="000000"/>
          <w:lang w:eastAsia="bg-BG"/>
        </w:rPr>
        <w:t>интервала. Едновременното приложение на флуконазол и амиодарон е противопоказани</w:t>
      </w:r>
      <w:r w:rsidRPr="00762DDE">
        <w:rPr>
          <w:rFonts w:eastAsia="Times New Roman" w:cs="Arial"/>
          <w:color w:val="000000"/>
          <w:u w:val="single"/>
          <w:lang w:eastAsia="bg-BG"/>
        </w:rPr>
        <w:t xml:space="preserve"> </w:t>
      </w:r>
      <w:r w:rsidRPr="00762DDE">
        <w:rPr>
          <w:rFonts w:eastAsia="Times New Roman" w:cs="Arial"/>
          <w:color w:val="000000"/>
          <w:lang w:eastAsia="bg-BG"/>
        </w:rPr>
        <w:t>(вж. точка 4.3).</w:t>
      </w:r>
    </w:p>
    <w:p w14:paraId="6487E458" w14:textId="77777777" w:rsidR="00762DDE" w:rsidRPr="005A5F0F" w:rsidRDefault="00762DDE" w:rsidP="00762DDE">
      <w:pPr>
        <w:spacing w:line="240" w:lineRule="auto"/>
        <w:rPr>
          <w:rFonts w:eastAsia="Times New Roman" w:cs="Arial"/>
          <w:i/>
          <w:iCs/>
          <w:color w:val="000000"/>
          <w:u w:val="single"/>
          <w:lang w:eastAsia="bg-BG"/>
        </w:rPr>
      </w:pPr>
    </w:p>
    <w:p w14:paraId="6B5BBE54" w14:textId="6084DFBB" w:rsidR="00762DDE" w:rsidRPr="00762DDE" w:rsidRDefault="00762DDE" w:rsidP="00762DDE">
      <w:pPr>
        <w:spacing w:line="240" w:lineRule="auto"/>
        <w:rPr>
          <w:rFonts w:eastAsia="Times New Roman" w:cs="Arial"/>
          <w:lang w:eastAsia="bg-BG"/>
        </w:rPr>
      </w:pPr>
      <w:r w:rsidRPr="00762DDE">
        <w:rPr>
          <w:rFonts w:eastAsia="Times New Roman" w:cs="Arial"/>
          <w:i/>
          <w:iCs/>
          <w:color w:val="000000"/>
          <w:u w:val="single"/>
          <w:lang w:eastAsia="bg-BG"/>
        </w:rPr>
        <w:t>Едновременното приложение със следните лекарствени продукти не се препоръчва</w:t>
      </w:r>
    </w:p>
    <w:p w14:paraId="0DA3D090" w14:textId="77777777" w:rsidR="00762DDE" w:rsidRPr="005A5F0F" w:rsidRDefault="00762DDE" w:rsidP="00762DDE">
      <w:pPr>
        <w:rPr>
          <w:rFonts w:eastAsia="Times New Roman" w:cs="Arial"/>
          <w:color w:val="000000"/>
          <w:u w:val="single"/>
          <w:lang w:eastAsia="bg-BG"/>
        </w:rPr>
      </w:pPr>
    </w:p>
    <w:p w14:paraId="660F9BBE" w14:textId="77777777" w:rsidR="00762DDE" w:rsidRPr="005A5F0F" w:rsidRDefault="00762DDE" w:rsidP="00762DDE">
      <w:pPr>
        <w:rPr>
          <w:rFonts w:eastAsia="Times New Roman" w:cs="Arial"/>
          <w:lang w:eastAsia="bg-BG"/>
        </w:rPr>
      </w:pPr>
      <w:r w:rsidRPr="005A5F0F">
        <w:rPr>
          <w:rFonts w:eastAsia="Times New Roman" w:cs="Arial"/>
          <w:color w:val="000000"/>
          <w:u w:val="single"/>
          <w:lang w:eastAsia="bg-BG"/>
        </w:rPr>
        <w:t>Халофантрин</w:t>
      </w:r>
      <w:r w:rsidRPr="005A5F0F">
        <w:rPr>
          <w:rFonts w:eastAsia="Times New Roman" w:cs="Arial"/>
          <w:color w:val="000000"/>
          <w:lang w:eastAsia="bg-BG"/>
        </w:rPr>
        <w:t xml:space="preserve">: </w:t>
      </w:r>
      <w:r w:rsidRPr="005A5F0F">
        <w:rPr>
          <w:rFonts w:eastAsia="Times New Roman" w:cs="Arial"/>
          <w:i/>
          <w:iCs/>
          <w:color w:val="000000"/>
          <w:lang w:eastAsia="bg-BG"/>
        </w:rPr>
        <w:t>флуконазол</w:t>
      </w:r>
      <w:r w:rsidRPr="005A5F0F">
        <w:rPr>
          <w:rFonts w:eastAsia="Times New Roman" w:cs="Arial"/>
          <w:color w:val="000000"/>
          <w:lang w:eastAsia="bg-BG"/>
        </w:rPr>
        <w:t xml:space="preserve"> може да повиши плазмените концентрации на халофантрин, поради инхибиране </w:t>
      </w:r>
      <w:r w:rsidRPr="005A5F0F">
        <w:rPr>
          <w:rFonts w:eastAsia="Times New Roman" w:cs="Arial"/>
          <w:color w:val="000000"/>
          <w:lang w:val="en-US"/>
        </w:rPr>
        <w:t xml:space="preserve">CYP3A4. </w:t>
      </w:r>
      <w:r w:rsidRPr="005A5F0F">
        <w:rPr>
          <w:rFonts w:eastAsia="Times New Roman" w:cs="Arial"/>
          <w:color w:val="000000"/>
          <w:lang w:eastAsia="bg-BG"/>
        </w:rPr>
        <w:t xml:space="preserve">Едновременното приложение на флуконазол и халофантрин, може да повиши риска от кардиотоксичност (удължен </w:t>
      </w:r>
      <w:r w:rsidRPr="005A5F0F">
        <w:rPr>
          <w:rFonts w:eastAsia="Times New Roman" w:cs="Arial"/>
          <w:color w:val="000000"/>
          <w:lang w:val="en-US"/>
        </w:rPr>
        <w:t xml:space="preserve">QT </w:t>
      </w:r>
      <w:r w:rsidRPr="005A5F0F">
        <w:rPr>
          <w:rFonts w:eastAsia="Times New Roman" w:cs="Arial"/>
          <w:color w:val="000000"/>
          <w:lang w:eastAsia="bg-BG"/>
        </w:rPr>
        <w:t xml:space="preserve">интервал, </w:t>
      </w:r>
      <w:r w:rsidRPr="005A5F0F">
        <w:rPr>
          <w:rFonts w:eastAsia="Times New Roman" w:cs="Arial"/>
          <w:i/>
          <w:iCs/>
          <w:color w:val="000000"/>
          <w:lang w:val="en-US"/>
        </w:rPr>
        <w:t>torsade de pointes)</w:t>
      </w:r>
      <w:r w:rsidRPr="005A5F0F">
        <w:rPr>
          <w:rFonts w:eastAsia="Times New Roman" w:cs="Arial"/>
          <w:color w:val="000000"/>
          <w:lang w:val="en-US"/>
        </w:rPr>
        <w:t xml:space="preserve"> </w:t>
      </w:r>
      <w:r w:rsidRPr="005A5F0F">
        <w:rPr>
          <w:rFonts w:eastAsia="Times New Roman" w:cs="Arial"/>
          <w:color w:val="000000"/>
          <w:lang w:eastAsia="bg-BG"/>
        </w:rPr>
        <w:t>и впоследствие на внезапна сърдечна смърт. Тази комбинация трябва да се избягва (вж. точка 4.4).</w:t>
      </w:r>
    </w:p>
    <w:p w14:paraId="7DFE0DA6" w14:textId="77777777" w:rsidR="00762DDE" w:rsidRPr="005A5F0F" w:rsidRDefault="00762DDE" w:rsidP="00762DDE">
      <w:pPr>
        <w:spacing w:line="240" w:lineRule="auto"/>
        <w:rPr>
          <w:rFonts w:eastAsia="Times New Roman" w:cs="Arial"/>
          <w:i/>
          <w:iCs/>
          <w:color w:val="000000"/>
          <w:u w:val="single"/>
          <w:lang w:eastAsia="bg-BG"/>
        </w:rPr>
      </w:pPr>
    </w:p>
    <w:p w14:paraId="7FD6A3A8" w14:textId="307E7292" w:rsidR="00762DDE" w:rsidRPr="00762DDE" w:rsidRDefault="00762DDE" w:rsidP="00762DDE">
      <w:pPr>
        <w:spacing w:line="240" w:lineRule="auto"/>
        <w:rPr>
          <w:rFonts w:eastAsia="Times New Roman" w:cs="Arial"/>
          <w:lang w:eastAsia="bg-BG"/>
        </w:rPr>
      </w:pPr>
      <w:r w:rsidRPr="00762DDE">
        <w:rPr>
          <w:rFonts w:eastAsia="Times New Roman" w:cs="Arial"/>
          <w:i/>
          <w:iCs/>
          <w:color w:val="000000"/>
          <w:u w:val="single"/>
          <w:lang w:eastAsia="bg-BG"/>
        </w:rPr>
        <w:t>Едновременното приложение на следните лекарствени продукти налага предпазни мерки и адаптиране на дозата:</w:t>
      </w:r>
    </w:p>
    <w:p w14:paraId="57FD6E54" w14:textId="77777777" w:rsidR="00762DDE" w:rsidRPr="005A5F0F" w:rsidRDefault="00762DDE" w:rsidP="00762DDE">
      <w:pPr>
        <w:spacing w:line="240" w:lineRule="auto"/>
        <w:rPr>
          <w:rFonts w:eastAsia="Times New Roman" w:cs="Arial"/>
          <w:color w:val="000000"/>
          <w:u w:val="single"/>
          <w:lang w:eastAsia="bg-BG"/>
        </w:rPr>
      </w:pPr>
    </w:p>
    <w:p w14:paraId="685169DA" w14:textId="67DB028B"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Ефект на други лекарствени продукти върху флуконазол</w:t>
      </w:r>
    </w:p>
    <w:p w14:paraId="6F7147C3" w14:textId="77777777" w:rsidR="00762DDE" w:rsidRPr="005A5F0F" w:rsidRDefault="00762DDE" w:rsidP="00762DDE">
      <w:pPr>
        <w:spacing w:line="240" w:lineRule="auto"/>
        <w:rPr>
          <w:rFonts w:eastAsia="Times New Roman" w:cs="Arial"/>
          <w:color w:val="000000"/>
          <w:u w:val="single"/>
          <w:lang w:eastAsia="bg-BG"/>
        </w:rPr>
      </w:pPr>
    </w:p>
    <w:p w14:paraId="1656B9EC" w14:textId="24E48FE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Рифампицин</w:t>
      </w:r>
      <w:r w:rsidRPr="00762DDE">
        <w:rPr>
          <w:rFonts w:eastAsia="Times New Roman" w:cs="Arial"/>
          <w:color w:val="000000"/>
          <w:lang w:eastAsia="bg-BG"/>
        </w:rPr>
        <w:t>: едновременното приложение на флуконазол и рифампицин е довело до намаляване на площта под кривата с 25% и скъсяване на времето на полуживот на флуконазол с 20%. При пациенти, които получават едновременно рифампицин и флуконазол, трябва да се обмисли повишаване на дозата на флуконазол.</w:t>
      </w:r>
    </w:p>
    <w:p w14:paraId="4334646E" w14:textId="77777777" w:rsidR="00762DDE" w:rsidRPr="005A5F0F" w:rsidRDefault="00762DDE" w:rsidP="00762DDE">
      <w:pPr>
        <w:spacing w:line="240" w:lineRule="auto"/>
        <w:rPr>
          <w:rFonts w:eastAsia="Times New Roman" w:cs="Arial"/>
          <w:color w:val="000000"/>
          <w:lang w:eastAsia="bg-BG"/>
        </w:rPr>
      </w:pPr>
    </w:p>
    <w:p w14:paraId="18275187" w14:textId="165E8581"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Проучванията на взаимодействията показват, че когато флуконазол за перорално приложение се приеме едновременно с храна, циметидин, антиациди или след облъчване на цялото тяло за костно-мозъчна трансплантация, не се наблюдава клинично значимо нарушение на абсорбцията на флуконазол.</w:t>
      </w:r>
    </w:p>
    <w:p w14:paraId="2B061F1E" w14:textId="77777777" w:rsidR="00762DDE" w:rsidRPr="005A5F0F" w:rsidRDefault="00762DDE" w:rsidP="00762DDE">
      <w:pPr>
        <w:spacing w:line="240" w:lineRule="auto"/>
        <w:rPr>
          <w:rFonts w:eastAsia="Times New Roman" w:cs="Arial"/>
          <w:color w:val="000000"/>
          <w:u w:val="single"/>
          <w:lang w:eastAsia="bg-BG"/>
        </w:rPr>
      </w:pPr>
    </w:p>
    <w:p w14:paraId="376F63C3" w14:textId="615FC256" w:rsidR="00762DDE" w:rsidRPr="00762DDE" w:rsidRDefault="00762DDE" w:rsidP="00762DDE">
      <w:pPr>
        <w:spacing w:line="240" w:lineRule="auto"/>
        <w:rPr>
          <w:rFonts w:eastAsia="Times New Roman" w:cs="Arial"/>
          <w:color w:val="000000"/>
          <w:u w:val="single"/>
          <w:lang w:eastAsia="bg-BG"/>
        </w:rPr>
      </w:pPr>
      <w:r w:rsidRPr="00762DDE">
        <w:rPr>
          <w:rFonts w:eastAsia="Times New Roman" w:cs="Arial"/>
          <w:color w:val="000000"/>
          <w:u w:val="single"/>
          <w:lang w:eastAsia="bg-BG"/>
        </w:rPr>
        <w:t>Хидрохлоротиазид:</w:t>
      </w:r>
      <w:r w:rsidRPr="00762DDE">
        <w:rPr>
          <w:rFonts w:eastAsia="Times New Roman" w:cs="Arial"/>
          <w:color w:val="000000"/>
          <w:lang w:eastAsia="bg-BG"/>
        </w:rPr>
        <w:t xml:space="preserve"> Във фармакокинетично проучване за взаимодействия едновременното приложение на многократни дози хидрохлоротиазид при здрави доброволци, приемащи флуконазол, води до повишаване на плазмените концентрации на флуконазол с 40%. Ефект от тази величина не налага промяна в дозовия режим на флуконазол при лица, приемащи едновременно диуретици.</w:t>
      </w:r>
    </w:p>
    <w:p w14:paraId="3A609EEB" w14:textId="77777777" w:rsidR="00762DDE" w:rsidRPr="005A5F0F" w:rsidRDefault="00762DDE" w:rsidP="00762DDE">
      <w:pPr>
        <w:spacing w:line="240" w:lineRule="auto"/>
        <w:rPr>
          <w:rFonts w:eastAsia="Times New Roman" w:cs="Arial"/>
          <w:color w:val="000000"/>
          <w:u w:val="single"/>
          <w:lang w:eastAsia="bg-BG"/>
        </w:rPr>
      </w:pPr>
    </w:p>
    <w:p w14:paraId="475300C3" w14:textId="764B1B3B"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Ефект на флуконазол върху други лекарствени продукти</w:t>
      </w:r>
    </w:p>
    <w:p w14:paraId="2AB8889A" w14:textId="77777777" w:rsidR="00762DDE" w:rsidRPr="005A5F0F" w:rsidRDefault="00762DDE" w:rsidP="00762DDE">
      <w:pPr>
        <w:spacing w:line="240" w:lineRule="auto"/>
        <w:rPr>
          <w:rFonts w:eastAsia="Times New Roman" w:cs="Arial"/>
          <w:color w:val="000000"/>
          <w:lang w:eastAsia="bg-BG"/>
        </w:rPr>
      </w:pPr>
    </w:p>
    <w:p w14:paraId="56511946" w14:textId="31AF3CB4"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 xml:space="preserve">Флуконазол е мощен инхибитор на цитохром Р450 </w:t>
      </w:r>
      <w:r w:rsidRPr="00762DDE">
        <w:rPr>
          <w:rFonts w:eastAsia="Times New Roman" w:cs="Arial"/>
          <w:color w:val="000000"/>
          <w:lang w:val="en-US"/>
        </w:rPr>
        <w:t xml:space="preserve">(CYP) </w:t>
      </w:r>
      <w:r w:rsidRPr="00762DDE">
        <w:rPr>
          <w:rFonts w:eastAsia="Times New Roman" w:cs="Arial"/>
          <w:color w:val="000000"/>
          <w:lang w:eastAsia="bg-BG"/>
        </w:rPr>
        <w:t xml:space="preserve">изоензим 2С9 и умерен инхибитор на </w:t>
      </w:r>
      <w:r w:rsidRPr="00762DDE">
        <w:rPr>
          <w:rFonts w:eastAsia="Times New Roman" w:cs="Arial"/>
          <w:color w:val="000000"/>
          <w:lang w:val="en-US"/>
        </w:rPr>
        <w:t xml:space="preserve">CYP3A4. </w:t>
      </w:r>
      <w:r w:rsidRPr="00762DDE">
        <w:rPr>
          <w:rFonts w:eastAsia="Times New Roman" w:cs="Arial"/>
          <w:color w:val="000000"/>
          <w:lang w:eastAsia="bg-BG"/>
        </w:rPr>
        <w:t xml:space="preserve">В допълнение на наблюдаваните/документираните взаимодействия, споменати по- долу, има риск от повишена плазмена концентрация на </w:t>
      </w:r>
      <w:r w:rsidRPr="00762DDE">
        <w:rPr>
          <w:rFonts w:eastAsia="Times New Roman" w:cs="Arial"/>
          <w:color w:val="000000"/>
          <w:lang w:eastAsia="bg-BG"/>
        </w:rPr>
        <w:lastRenderedPageBreak/>
        <w:t xml:space="preserve">други съставки, метаболизирани от </w:t>
      </w:r>
      <w:r w:rsidRPr="00762DDE">
        <w:rPr>
          <w:rFonts w:eastAsia="Times New Roman" w:cs="Arial"/>
          <w:color w:val="000000"/>
          <w:lang w:val="en-US"/>
        </w:rPr>
        <w:t xml:space="preserve">CYP2C9 </w:t>
      </w:r>
      <w:r w:rsidRPr="00762DDE">
        <w:rPr>
          <w:rFonts w:eastAsia="Times New Roman" w:cs="Arial"/>
          <w:color w:val="000000"/>
          <w:lang w:eastAsia="bg-BG"/>
        </w:rPr>
        <w:t xml:space="preserve">и </w:t>
      </w:r>
      <w:r w:rsidRPr="00762DDE">
        <w:rPr>
          <w:rFonts w:eastAsia="Times New Roman" w:cs="Arial"/>
          <w:color w:val="000000"/>
          <w:lang w:val="en-US"/>
        </w:rPr>
        <w:t xml:space="preserve">CYP3A4, </w:t>
      </w:r>
      <w:r w:rsidRPr="00762DDE">
        <w:rPr>
          <w:rFonts w:eastAsia="Times New Roman" w:cs="Arial"/>
          <w:color w:val="000000"/>
          <w:lang w:eastAsia="bg-BG"/>
        </w:rPr>
        <w:t>едновременно приложени с флуконазол. Затова е необходимо повишено внимание при прилагане на тези комбинации и пациентите трябва внимателно да се мониторират. Ефектът на ензимното инхибиране на флуконазол продължава 4-5 дни след спиране на лечението с флуконазол поради дългия полуживот на флуконазол (вж. точка 4.3).</w:t>
      </w:r>
    </w:p>
    <w:p w14:paraId="1CC96C44" w14:textId="77777777" w:rsidR="00762DDE" w:rsidRDefault="00762DDE" w:rsidP="00762DDE">
      <w:pPr>
        <w:spacing w:line="240" w:lineRule="auto"/>
        <w:rPr>
          <w:rFonts w:ascii="Times New Roman" w:eastAsia="Times New Roman" w:hAnsi="Times New Roman" w:cs="Times New Roman"/>
          <w:color w:val="000000"/>
          <w:u w:val="single"/>
          <w:lang w:eastAsia="bg-BG"/>
        </w:rPr>
      </w:pPr>
    </w:p>
    <w:p w14:paraId="344D13DF" w14:textId="6F3DDD82"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Алфентанил</w:t>
      </w:r>
      <w:r w:rsidRPr="00762DDE">
        <w:rPr>
          <w:rFonts w:eastAsia="Times New Roman" w:cs="Arial"/>
          <w:color w:val="000000"/>
          <w:lang w:eastAsia="bg-BG"/>
        </w:rPr>
        <w:t xml:space="preserve">: при едновременно лечение с флуконазол (400 </w:t>
      </w:r>
      <w:r w:rsidRPr="00762DDE">
        <w:rPr>
          <w:rFonts w:eastAsia="Times New Roman" w:cs="Arial"/>
          <w:color w:val="000000"/>
          <w:lang w:val="en-US"/>
        </w:rPr>
        <w:t xml:space="preserve">mg) </w:t>
      </w:r>
      <w:r w:rsidRPr="00762DDE">
        <w:rPr>
          <w:rFonts w:eastAsia="Times New Roman" w:cs="Arial"/>
          <w:color w:val="000000"/>
          <w:lang w:eastAsia="bg-BG"/>
        </w:rPr>
        <w:t>и интравенозен алфентанил (20</w:t>
      </w:r>
      <w:r w:rsidR="005A5F0F">
        <w:rPr>
          <w:rFonts w:eastAsia="Times New Roman" w:cs="Arial"/>
          <w:lang w:eastAsia="bg-BG"/>
        </w:rPr>
        <w:t xml:space="preserve"> </w:t>
      </w:r>
      <w:r w:rsidRPr="00762DDE">
        <w:rPr>
          <w:rFonts w:eastAsia="Times New Roman" w:cs="Arial"/>
          <w:color w:val="000000"/>
          <w:lang w:eastAsia="bg-BG"/>
        </w:rPr>
        <w:t>μ</w:t>
      </w:r>
      <w:r w:rsidRPr="00762DDE">
        <w:rPr>
          <w:rFonts w:eastAsia="Times New Roman" w:cs="Arial"/>
          <w:color w:val="000000"/>
          <w:lang w:val="en-US"/>
        </w:rPr>
        <w:t xml:space="preserve">g/kg) </w:t>
      </w:r>
      <w:r w:rsidRPr="00762DDE">
        <w:rPr>
          <w:rFonts w:eastAsia="Times New Roman" w:cs="Arial"/>
          <w:color w:val="000000"/>
          <w:lang w:eastAsia="bg-BG"/>
        </w:rPr>
        <w:t xml:space="preserve">при здрави доброволци стойността на </w:t>
      </w:r>
      <w:r w:rsidRPr="00762DDE">
        <w:rPr>
          <w:rFonts w:eastAsia="Times New Roman" w:cs="Arial"/>
          <w:color w:val="000000"/>
          <w:lang w:val="en-US"/>
        </w:rPr>
        <w:t>AUC</w:t>
      </w:r>
      <w:r w:rsidRPr="00762DDE">
        <w:rPr>
          <w:rFonts w:eastAsia="Times New Roman" w:cs="Arial"/>
          <w:color w:val="000000"/>
          <w:vertAlign w:val="subscript"/>
          <w:lang w:val="en-US"/>
        </w:rPr>
        <w:t>10</w:t>
      </w:r>
      <w:r w:rsidRPr="00762DDE">
        <w:rPr>
          <w:rFonts w:eastAsia="Times New Roman" w:cs="Arial"/>
          <w:color w:val="000000"/>
          <w:lang w:val="en-US"/>
        </w:rPr>
        <w:t xml:space="preserve"> </w:t>
      </w:r>
      <w:r w:rsidRPr="00762DDE">
        <w:rPr>
          <w:rFonts w:eastAsia="Times New Roman" w:cs="Arial"/>
          <w:color w:val="000000"/>
          <w:lang w:eastAsia="bg-BG"/>
        </w:rPr>
        <w:t xml:space="preserve">на алфентанил се е повишила 2 пъти, вероятно чрез инхибиране на </w:t>
      </w:r>
      <w:r w:rsidRPr="00762DDE">
        <w:rPr>
          <w:rFonts w:eastAsia="Times New Roman" w:cs="Arial"/>
          <w:color w:val="000000"/>
          <w:lang w:val="en-US"/>
        </w:rPr>
        <w:t xml:space="preserve">CYP3A4. </w:t>
      </w:r>
      <w:r w:rsidRPr="00762DDE">
        <w:rPr>
          <w:rFonts w:eastAsia="Times New Roman" w:cs="Arial"/>
          <w:color w:val="000000"/>
          <w:lang w:eastAsia="bg-BG"/>
        </w:rPr>
        <w:t>Може да е необходимо адаптиране на дозата на алфентанил.</w:t>
      </w:r>
    </w:p>
    <w:p w14:paraId="675707E5" w14:textId="77777777" w:rsidR="00762DDE" w:rsidRPr="005A5F0F" w:rsidRDefault="00762DDE" w:rsidP="00762DDE">
      <w:pPr>
        <w:spacing w:line="240" w:lineRule="auto"/>
        <w:rPr>
          <w:rFonts w:eastAsia="Times New Roman" w:cs="Arial"/>
          <w:color w:val="000000"/>
          <w:u w:val="single"/>
          <w:lang w:eastAsia="bg-BG"/>
        </w:rPr>
      </w:pPr>
    </w:p>
    <w:p w14:paraId="0C001AD9" w14:textId="7465255B"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Амитриптилин, нортриптилин</w:t>
      </w:r>
      <w:r w:rsidRPr="00762DDE">
        <w:rPr>
          <w:rFonts w:eastAsia="Times New Roman" w:cs="Arial"/>
          <w:color w:val="000000"/>
          <w:lang w:eastAsia="bg-BG"/>
        </w:rPr>
        <w:t xml:space="preserve">: флуконазол повишава ефекта на амитриптилин и нортриптилин. 5-нортриптилин и/или </w:t>
      </w:r>
      <w:r w:rsidRPr="00762DDE">
        <w:rPr>
          <w:rFonts w:eastAsia="Times New Roman" w:cs="Arial"/>
          <w:color w:val="000000"/>
          <w:lang w:val="en-US"/>
        </w:rPr>
        <w:t>S</w:t>
      </w:r>
      <w:r w:rsidRPr="00762DDE">
        <w:rPr>
          <w:rFonts w:eastAsia="Times New Roman" w:cs="Arial"/>
          <w:color w:val="000000"/>
          <w:lang w:eastAsia="bg-BG"/>
        </w:rPr>
        <w:t>-амитриптилин могат да бъдат измервани в началото на комбинираната терапия и след една седмица. Дозата на амитриптилин/нортриптилин трябва да се адаптира, ако е необходимо.</w:t>
      </w:r>
    </w:p>
    <w:p w14:paraId="086A6303" w14:textId="77777777" w:rsidR="00762DDE" w:rsidRPr="005A5F0F" w:rsidRDefault="00762DDE" w:rsidP="00762DDE">
      <w:pPr>
        <w:spacing w:line="240" w:lineRule="auto"/>
        <w:rPr>
          <w:rFonts w:eastAsia="Times New Roman" w:cs="Arial"/>
          <w:color w:val="000000"/>
          <w:u w:val="single"/>
          <w:lang w:eastAsia="bg-BG"/>
        </w:rPr>
      </w:pPr>
    </w:p>
    <w:p w14:paraId="7B12A79B" w14:textId="2B9EDBFE"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Амфотерицин Б</w:t>
      </w:r>
      <w:r w:rsidRPr="00762DDE">
        <w:rPr>
          <w:rFonts w:eastAsia="Times New Roman" w:cs="Arial"/>
          <w:color w:val="000000"/>
          <w:lang w:eastAsia="bg-BG"/>
        </w:rPr>
        <w:t xml:space="preserve">: едновременното приложение на флуконазол и амфотерицин Б при инфектирани нормални и имуносупресирани мишки показва следните резултати: малък адитивен антимикотичен ефект при системна инфекция с </w:t>
      </w:r>
      <w:r w:rsidRPr="00762DDE">
        <w:rPr>
          <w:rFonts w:eastAsia="Times New Roman" w:cs="Arial"/>
          <w:i/>
          <w:iCs/>
          <w:color w:val="000000"/>
          <w:lang w:eastAsia="bg-BG"/>
        </w:rPr>
        <w:t>С.</w:t>
      </w:r>
      <w:proofErr w:type="spellStart"/>
      <w:r w:rsidRPr="00762DDE">
        <w:rPr>
          <w:rFonts w:eastAsia="Times New Roman" w:cs="Arial"/>
          <w:i/>
          <w:iCs/>
          <w:color w:val="000000"/>
          <w:lang w:val="en-US"/>
        </w:rPr>
        <w:t>albicans</w:t>
      </w:r>
      <w:proofErr w:type="spellEnd"/>
      <w:r w:rsidRPr="00762DDE">
        <w:rPr>
          <w:rFonts w:eastAsia="Times New Roman" w:cs="Arial"/>
          <w:i/>
          <w:iCs/>
          <w:color w:val="000000"/>
          <w:lang w:val="en-US"/>
        </w:rPr>
        <w:t>,</w:t>
      </w:r>
      <w:r w:rsidRPr="00762DDE">
        <w:rPr>
          <w:rFonts w:eastAsia="Times New Roman" w:cs="Arial"/>
          <w:color w:val="000000"/>
          <w:lang w:val="en-US"/>
        </w:rPr>
        <w:t xml:space="preserve"> </w:t>
      </w:r>
      <w:r w:rsidRPr="00762DDE">
        <w:rPr>
          <w:rFonts w:eastAsia="Times New Roman" w:cs="Arial"/>
          <w:color w:val="000000"/>
          <w:lang w:eastAsia="bg-BG"/>
        </w:rPr>
        <w:t xml:space="preserve">липса на взаимодействие при интракраниална инфекция с </w:t>
      </w:r>
      <w:r w:rsidRPr="00762DDE">
        <w:rPr>
          <w:rFonts w:eastAsia="Times New Roman" w:cs="Arial"/>
          <w:i/>
          <w:iCs/>
          <w:color w:val="000000"/>
          <w:lang w:val="en-US"/>
        </w:rPr>
        <w:t xml:space="preserve">Cryptococcus </w:t>
      </w:r>
      <w:proofErr w:type="spellStart"/>
      <w:r w:rsidRPr="00762DDE">
        <w:rPr>
          <w:rFonts w:eastAsia="Times New Roman" w:cs="Arial"/>
          <w:i/>
          <w:iCs/>
          <w:color w:val="000000"/>
          <w:lang w:val="en-US"/>
        </w:rPr>
        <w:t>neoformans</w:t>
      </w:r>
      <w:proofErr w:type="spellEnd"/>
      <w:r w:rsidRPr="00762DDE">
        <w:rPr>
          <w:rFonts w:eastAsia="Times New Roman" w:cs="Arial"/>
          <w:color w:val="000000"/>
          <w:lang w:val="en-US"/>
        </w:rPr>
        <w:t xml:space="preserve"> </w:t>
      </w:r>
      <w:r w:rsidRPr="00762DDE">
        <w:rPr>
          <w:rFonts w:eastAsia="Times New Roman" w:cs="Arial"/>
          <w:color w:val="000000"/>
          <w:lang w:eastAsia="bg-BG"/>
        </w:rPr>
        <w:t xml:space="preserve">и антагонизъм между двете лекарства при системна инфекция с </w:t>
      </w:r>
      <w:proofErr w:type="spellStart"/>
      <w:r w:rsidRPr="00762DDE">
        <w:rPr>
          <w:rFonts w:eastAsia="Times New Roman" w:cs="Arial"/>
          <w:i/>
          <w:iCs/>
          <w:color w:val="000000"/>
          <w:lang w:val="en-US"/>
        </w:rPr>
        <w:t>A.jumigatus</w:t>
      </w:r>
      <w:proofErr w:type="spellEnd"/>
      <w:r w:rsidRPr="00762DDE">
        <w:rPr>
          <w:rFonts w:eastAsia="Times New Roman" w:cs="Arial"/>
          <w:i/>
          <w:iCs/>
          <w:color w:val="000000"/>
          <w:lang w:val="en-US"/>
        </w:rPr>
        <w:t>.</w:t>
      </w:r>
      <w:r w:rsidRPr="00762DDE">
        <w:rPr>
          <w:rFonts w:eastAsia="Times New Roman" w:cs="Arial"/>
          <w:color w:val="000000"/>
          <w:lang w:val="en-US"/>
        </w:rPr>
        <w:t xml:space="preserve"> </w:t>
      </w:r>
      <w:r w:rsidRPr="00762DDE">
        <w:rPr>
          <w:rFonts w:eastAsia="Times New Roman" w:cs="Arial"/>
          <w:color w:val="000000"/>
          <w:lang w:eastAsia="bg-BG"/>
        </w:rPr>
        <w:t>Клиничната значимост на резултатите, получени от тези проучвания, не е известна.</w:t>
      </w:r>
    </w:p>
    <w:p w14:paraId="6465ACB1" w14:textId="77777777" w:rsidR="00762DDE" w:rsidRPr="005A5F0F" w:rsidRDefault="00762DDE" w:rsidP="00762DDE">
      <w:pPr>
        <w:spacing w:line="240" w:lineRule="auto"/>
        <w:rPr>
          <w:rFonts w:eastAsia="Times New Roman" w:cs="Arial"/>
          <w:color w:val="000000"/>
          <w:u w:val="single"/>
          <w:lang w:eastAsia="bg-BG"/>
        </w:rPr>
      </w:pPr>
    </w:p>
    <w:p w14:paraId="0E5040C6" w14:textId="79B3166B" w:rsidR="00762DDE" w:rsidRPr="005A5F0F" w:rsidRDefault="00762DDE" w:rsidP="005A5F0F">
      <w:pPr>
        <w:spacing w:line="240" w:lineRule="auto"/>
        <w:rPr>
          <w:rFonts w:eastAsia="Times New Roman" w:cs="Arial"/>
          <w:lang w:eastAsia="bg-BG"/>
        </w:rPr>
      </w:pPr>
      <w:r w:rsidRPr="00762DDE">
        <w:rPr>
          <w:rFonts w:eastAsia="Times New Roman" w:cs="Arial"/>
          <w:color w:val="000000"/>
          <w:u w:val="single"/>
          <w:lang w:eastAsia="bg-BG"/>
        </w:rPr>
        <w:t>Антикоагуланти</w:t>
      </w:r>
      <w:r w:rsidRPr="00762DDE">
        <w:rPr>
          <w:rFonts w:eastAsia="Times New Roman" w:cs="Arial"/>
          <w:color w:val="000000"/>
          <w:lang w:eastAsia="bg-BG"/>
        </w:rPr>
        <w:t>: при пост-маркетинговия опит, както и при другите азолови антимико</w:t>
      </w:r>
      <w:r w:rsidRPr="00762DDE">
        <w:rPr>
          <w:rFonts w:eastAsia="Times New Roman" w:cs="Arial"/>
          <w:color w:val="000000"/>
          <w:u w:val="single"/>
          <w:lang w:eastAsia="bg-BG"/>
        </w:rPr>
        <w:t xml:space="preserve">тични </w:t>
      </w:r>
      <w:r w:rsidRPr="00762DDE">
        <w:rPr>
          <w:rFonts w:eastAsia="Times New Roman" w:cs="Arial"/>
          <w:color w:val="000000"/>
          <w:lang w:eastAsia="bg-BG"/>
        </w:rPr>
        <w:t>средства, са получени съобщения за кървене (суфузии, епистаксис, гастроинтестинално кървене, хематурия и мелена), свързани с удължаване на протромбиновото време при пациенти, приемащи едновременно флуконазол и варфарин. По време на едновременното лечение с флуконазол и варфарин, протромбиновото време е било увеличено до 2 пъти, най-вероятно</w:t>
      </w:r>
      <w:r w:rsidR="005A5F0F">
        <w:rPr>
          <w:rFonts w:eastAsia="Times New Roman" w:cs="Arial"/>
          <w:lang w:eastAsia="bg-BG"/>
        </w:rPr>
        <w:t xml:space="preserve"> </w:t>
      </w:r>
      <w:r w:rsidRPr="005A5F0F">
        <w:rPr>
          <w:rFonts w:eastAsia="Times New Roman" w:cs="Arial"/>
          <w:color w:val="000000"/>
          <w:lang w:eastAsia="bg-BG"/>
        </w:rPr>
        <w:t xml:space="preserve">резултат на инхибиране на варфариновия метаболизъм чрез </w:t>
      </w:r>
      <w:r w:rsidRPr="005A5F0F">
        <w:rPr>
          <w:rFonts w:eastAsia="Times New Roman" w:cs="Arial"/>
          <w:color w:val="000000"/>
          <w:lang w:val="en-US"/>
        </w:rPr>
        <w:t xml:space="preserve">CYP2C9. </w:t>
      </w:r>
      <w:r w:rsidRPr="005A5F0F">
        <w:rPr>
          <w:rFonts w:eastAsia="Times New Roman" w:cs="Arial"/>
          <w:color w:val="000000"/>
          <w:lang w:eastAsia="bg-BG"/>
        </w:rPr>
        <w:t>При пациенти, приемащи кумаринови или индандионови антикоагуланти успоредно с флуконазол, протромбиновото време трябва да бъде внимателно мониторирано. Може да се наложи адаптиране на дозата на антикоагуланта.</w:t>
      </w:r>
    </w:p>
    <w:p w14:paraId="358EB817" w14:textId="77777777" w:rsidR="00762DDE" w:rsidRPr="005A5F0F" w:rsidRDefault="00762DDE" w:rsidP="00762DDE">
      <w:pPr>
        <w:spacing w:line="240" w:lineRule="auto"/>
        <w:rPr>
          <w:rFonts w:eastAsia="Times New Roman" w:cs="Arial"/>
          <w:color w:val="000000"/>
          <w:u w:val="single"/>
          <w:lang w:eastAsia="bg-BG"/>
        </w:rPr>
      </w:pPr>
    </w:p>
    <w:p w14:paraId="37D19D75" w14:textId="5619C45B"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Бензодиазепини (краткодействащи), напр. мидазолам, триазолам</w:t>
      </w:r>
      <w:r w:rsidRPr="00762DDE">
        <w:rPr>
          <w:rFonts w:eastAsia="Times New Roman" w:cs="Arial"/>
          <w:color w:val="000000"/>
          <w:lang w:eastAsia="bg-BG"/>
        </w:rPr>
        <w:t xml:space="preserve">: след перорално приложение на мидазолам, флуконазол е довел до значително увеличение на концентрацията на мидазолам и до психомоторни ефекти. Едновременното поглъщане през устата на флуконазол 200 </w:t>
      </w:r>
      <w:r w:rsidRPr="00762DDE">
        <w:rPr>
          <w:rFonts w:eastAsia="Times New Roman" w:cs="Arial"/>
          <w:color w:val="000000"/>
          <w:lang w:val="en-US"/>
        </w:rPr>
        <w:t xml:space="preserve">mg </w:t>
      </w:r>
      <w:r w:rsidRPr="00762DDE">
        <w:rPr>
          <w:rFonts w:eastAsia="Times New Roman" w:cs="Arial"/>
          <w:color w:val="000000"/>
          <w:lang w:eastAsia="bg-BG"/>
        </w:rPr>
        <w:t xml:space="preserve">и мидазолам 7,5 </w:t>
      </w:r>
      <w:r w:rsidRPr="00762DDE">
        <w:rPr>
          <w:rFonts w:eastAsia="Times New Roman" w:cs="Arial"/>
          <w:color w:val="000000"/>
          <w:lang w:val="en-US"/>
        </w:rPr>
        <w:t xml:space="preserve">mg </w:t>
      </w:r>
      <w:r w:rsidRPr="00762DDE">
        <w:rPr>
          <w:rFonts w:eastAsia="Times New Roman" w:cs="Arial"/>
          <w:color w:val="000000"/>
          <w:lang w:eastAsia="bg-BG"/>
        </w:rPr>
        <w:t xml:space="preserve">е увеличило </w:t>
      </w:r>
      <w:r w:rsidRPr="00762DDE">
        <w:rPr>
          <w:rFonts w:eastAsia="Times New Roman" w:cs="Arial"/>
          <w:color w:val="000000"/>
          <w:lang w:val="en-US"/>
        </w:rPr>
        <w:t xml:space="preserve">AUC </w:t>
      </w:r>
      <w:r w:rsidRPr="00762DDE">
        <w:rPr>
          <w:rFonts w:eastAsia="Times New Roman" w:cs="Arial"/>
          <w:color w:val="000000"/>
          <w:lang w:eastAsia="bg-BG"/>
        </w:rPr>
        <w:t xml:space="preserve">и времето на полуживот на мидазолам, съответно 3,7 пъти и 2,2 пъти. 200 </w:t>
      </w:r>
      <w:r w:rsidRPr="00762DDE">
        <w:rPr>
          <w:rFonts w:eastAsia="Times New Roman" w:cs="Arial"/>
          <w:color w:val="000000"/>
          <w:lang w:val="en-US"/>
        </w:rPr>
        <w:t xml:space="preserve">mg </w:t>
      </w:r>
      <w:r w:rsidRPr="00762DDE">
        <w:rPr>
          <w:rFonts w:eastAsia="Times New Roman" w:cs="Arial"/>
          <w:color w:val="000000"/>
          <w:lang w:eastAsia="bg-BG"/>
        </w:rPr>
        <w:t xml:space="preserve">дневно флуконазол, приложени успоредно с триазолам 0,25 </w:t>
      </w:r>
      <w:r w:rsidRPr="00762DDE">
        <w:rPr>
          <w:rFonts w:eastAsia="Times New Roman" w:cs="Arial"/>
          <w:color w:val="000000"/>
          <w:lang w:val="en-US"/>
        </w:rPr>
        <w:t xml:space="preserve">mg </w:t>
      </w:r>
      <w:r w:rsidRPr="00762DDE">
        <w:rPr>
          <w:rFonts w:eastAsia="Times New Roman" w:cs="Arial"/>
          <w:color w:val="000000"/>
          <w:lang w:eastAsia="bg-BG"/>
        </w:rPr>
        <w:t xml:space="preserve">перорално са увеличили </w:t>
      </w:r>
      <w:r w:rsidRPr="00762DDE">
        <w:rPr>
          <w:rFonts w:eastAsia="Times New Roman" w:cs="Arial"/>
          <w:color w:val="000000"/>
          <w:lang w:val="en-US"/>
        </w:rPr>
        <w:t xml:space="preserve">AUC </w:t>
      </w:r>
      <w:r w:rsidRPr="00762DDE">
        <w:rPr>
          <w:rFonts w:eastAsia="Times New Roman" w:cs="Arial"/>
          <w:color w:val="000000"/>
          <w:lang w:eastAsia="bg-BG"/>
        </w:rPr>
        <w:t>и времето на полуживот на триазолам, съответно 4,4 пъти и 2,3 пъти.</w:t>
      </w:r>
    </w:p>
    <w:p w14:paraId="7F926DD0" w14:textId="77777777" w:rsidR="00762DDE" w:rsidRPr="00762DDE" w:rsidRDefault="00762DDE" w:rsidP="00762DDE">
      <w:pPr>
        <w:spacing w:line="240" w:lineRule="auto"/>
        <w:rPr>
          <w:rFonts w:eastAsia="Times New Roman" w:cs="Arial"/>
          <w:lang w:eastAsia="bg-BG"/>
        </w:rPr>
      </w:pPr>
      <w:r w:rsidRPr="00762DDE">
        <w:rPr>
          <w:rFonts w:eastAsia="Times New Roman" w:cs="Arial"/>
          <w:color w:val="000000"/>
          <w:lang w:eastAsia="bg-BG"/>
        </w:rPr>
        <w:t>Потенциране и удължаване на ефектите на триазолам са наблюдавани при едновременно лечение с флуконазол. Ако е необходима едновременна терапия с бензодиазепини при пациенти, приемащи флуконазол, трябва да се обмисли намаляване на дозата на бензодиазепина, а пациентите трябва да бъдат подходящо мониторирани.</w:t>
      </w:r>
    </w:p>
    <w:p w14:paraId="761671D4" w14:textId="77777777" w:rsidR="00762DDE" w:rsidRPr="005A5F0F" w:rsidRDefault="00762DDE" w:rsidP="00762DDE">
      <w:pPr>
        <w:spacing w:line="240" w:lineRule="auto"/>
        <w:rPr>
          <w:rFonts w:eastAsia="Times New Roman" w:cs="Arial"/>
          <w:color w:val="000000"/>
          <w:u w:val="single"/>
          <w:lang w:eastAsia="bg-BG"/>
        </w:rPr>
      </w:pPr>
    </w:p>
    <w:p w14:paraId="2F8BBC60" w14:textId="682F3523"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Карбамазепин</w:t>
      </w:r>
      <w:r w:rsidRPr="00762DDE">
        <w:rPr>
          <w:rFonts w:eastAsia="Times New Roman" w:cs="Arial"/>
          <w:color w:val="000000"/>
          <w:lang w:eastAsia="bg-BG"/>
        </w:rPr>
        <w:t>: флуконазол инхибира метаболизма на карбамазепин и е наблюдавано повишаване на серумните нива на карбамазепин с 30%. Съществува риск за развитие на карбамазепинова токсичност. Може да се наложи корекция в дозата на карбамазепин, в зависимост от съотношението концентрация/ефект.</w:t>
      </w:r>
    </w:p>
    <w:p w14:paraId="566E7FF1" w14:textId="77777777" w:rsidR="00762DDE" w:rsidRPr="005A5F0F" w:rsidRDefault="00762DDE" w:rsidP="00762DDE">
      <w:pPr>
        <w:spacing w:line="240" w:lineRule="auto"/>
        <w:rPr>
          <w:rFonts w:eastAsia="Times New Roman" w:cs="Arial"/>
          <w:color w:val="000000"/>
          <w:u w:val="single"/>
          <w:lang w:eastAsia="bg-BG"/>
        </w:rPr>
      </w:pPr>
    </w:p>
    <w:p w14:paraId="1EC67370" w14:textId="0E0AFBE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lastRenderedPageBreak/>
        <w:t>Калциеви антагонисти</w:t>
      </w:r>
      <w:r w:rsidRPr="00762DDE">
        <w:rPr>
          <w:rFonts w:eastAsia="Times New Roman" w:cs="Arial"/>
          <w:color w:val="000000"/>
          <w:lang w:eastAsia="bg-BG"/>
        </w:rPr>
        <w:t xml:space="preserve">: някои калциеви антагонисти (нифедипин, израдипин, амлодипин, верапамил и фелодипин) се метаболизират чрез </w:t>
      </w:r>
      <w:r w:rsidRPr="00762DDE">
        <w:rPr>
          <w:rFonts w:eastAsia="Times New Roman" w:cs="Arial"/>
          <w:color w:val="000000"/>
          <w:lang w:val="en-US"/>
        </w:rPr>
        <w:t xml:space="preserve">CYP3A4. </w:t>
      </w:r>
      <w:r w:rsidRPr="00762DDE">
        <w:rPr>
          <w:rFonts w:eastAsia="Times New Roman" w:cs="Arial"/>
          <w:color w:val="000000"/>
          <w:lang w:eastAsia="bg-BG"/>
        </w:rPr>
        <w:t>Флуконазол има потенциал да повиши системната експозиция на калциевите антагонисти. Препоръчително е често мониториране на нежеланите лекарствени реакции.</w:t>
      </w:r>
    </w:p>
    <w:p w14:paraId="62AC7B81" w14:textId="77777777" w:rsidR="00762DDE" w:rsidRPr="005A5F0F" w:rsidRDefault="00762DDE" w:rsidP="00762DDE">
      <w:pPr>
        <w:spacing w:line="240" w:lineRule="auto"/>
        <w:rPr>
          <w:rFonts w:eastAsia="Times New Roman" w:cs="Arial"/>
          <w:color w:val="000000"/>
          <w:u w:val="single"/>
          <w:lang w:eastAsia="bg-BG"/>
        </w:rPr>
      </w:pPr>
    </w:p>
    <w:p w14:paraId="3E474AE2" w14:textId="62A157A7"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Целекоксиб</w:t>
      </w:r>
      <w:r w:rsidRPr="00762DDE">
        <w:rPr>
          <w:rFonts w:eastAsia="Times New Roman" w:cs="Arial"/>
          <w:color w:val="000000"/>
          <w:lang w:eastAsia="bg-BG"/>
        </w:rPr>
        <w:t xml:space="preserve">: по време на едновременното приложение на флуконазол (200 </w:t>
      </w:r>
      <w:r w:rsidRPr="00762DDE">
        <w:rPr>
          <w:rFonts w:eastAsia="Times New Roman" w:cs="Arial"/>
          <w:color w:val="000000"/>
          <w:lang w:val="en-US"/>
        </w:rPr>
        <w:t xml:space="preserve">mg </w:t>
      </w:r>
      <w:r w:rsidRPr="00762DDE">
        <w:rPr>
          <w:rFonts w:eastAsia="Times New Roman" w:cs="Arial"/>
          <w:color w:val="000000"/>
          <w:lang w:eastAsia="bg-BG"/>
        </w:rPr>
        <w:t xml:space="preserve">дневно) и целекоксиб (200 </w:t>
      </w:r>
      <w:r w:rsidRPr="00762DDE">
        <w:rPr>
          <w:rFonts w:eastAsia="Times New Roman" w:cs="Arial"/>
          <w:color w:val="000000"/>
          <w:lang w:val="en-US"/>
        </w:rPr>
        <w:t xml:space="preserve">mg) </w:t>
      </w:r>
      <w:r w:rsidRPr="00762DDE">
        <w:rPr>
          <w:rFonts w:eastAsia="Times New Roman" w:cs="Arial"/>
          <w:color w:val="000000"/>
          <w:lang w:eastAsia="bg-BG"/>
        </w:rPr>
        <w:t>С</w:t>
      </w:r>
      <w:r w:rsidRPr="00762DDE">
        <w:rPr>
          <w:rFonts w:eastAsia="Times New Roman" w:cs="Arial"/>
          <w:color w:val="000000"/>
          <w:vertAlign w:val="subscript"/>
          <w:lang w:val="en-US"/>
        </w:rPr>
        <w:t>max</w:t>
      </w:r>
      <w:r w:rsidRPr="00762DDE">
        <w:rPr>
          <w:rFonts w:eastAsia="Times New Roman" w:cs="Arial"/>
          <w:color w:val="000000"/>
          <w:lang w:eastAsia="bg-BG"/>
        </w:rPr>
        <w:t xml:space="preserve">и </w:t>
      </w:r>
      <w:r w:rsidRPr="00762DDE">
        <w:rPr>
          <w:rFonts w:eastAsia="Times New Roman" w:cs="Arial"/>
          <w:color w:val="000000"/>
          <w:lang w:val="en-US"/>
        </w:rPr>
        <w:t xml:space="preserve">AUC </w:t>
      </w:r>
      <w:r w:rsidRPr="00762DDE">
        <w:rPr>
          <w:rFonts w:eastAsia="Times New Roman" w:cs="Arial"/>
          <w:color w:val="000000"/>
          <w:lang w:eastAsia="bg-BG"/>
        </w:rPr>
        <w:t>на целекоксиб се повишава с 68% и 134% съответно. Половината от дозата целекокосиб може да бъде достатъчна когато се комбинира с флуконазол.</w:t>
      </w:r>
    </w:p>
    <w:p w14:paraId="2E648DD1" w14:textId="77777777" w:rsidR="00762DDE" w:rsidRPr="005A5F0F" w:rsidRDefault="00762DDE" w:rsidP="00762DDE">
      <w:pPr>
        <w:spacing w:line="240" w:lineRule="auto"/>
        <w:rPr>
          <w:rFonts w:eastAsia="Times New Roman" w:cs="Arial"/>
          <w:color w:val="000000"/>
          <w:u w:val="single"/>
          <w:lang w:eastAsia="bg-BG"/>
        </w:rPr>
      </w:pPr>
    </w:p>
    <w:p w14:paraId="5010869C" w14:textId="6537F2A5" w:rsidR="00762DDE" w:rsidRPr="00762DDE" w:rsidRDefault="00762DDE" w:rsidP="00762DDE">
      <w:pPr>
        <w:spacing w:line="240" w:lineRule="auto"/>
        <w:rPr>
          <w:rFonts w:eastAsia="Times New Roman" w:cs="Arial"/>
          <w:color w:val="000000"/>
          <w:lang w:eastAsia="bg-BG"/>
        </w:rPr>
      </w:pPr>
      <w:r w:rsidRPr="00762DDE">
        <w:rPr>
          <w:rFonts w:eastAsia="Times New Roman" w:cs="Arial"/>
          <w:color w:val="000000"/>
          <w:u w:val="single"/>
          <w:lang w:eastAsia="bg-BG"/>
        </w:rPr>
        <w:t>Циклофосфамид</w:t>
      </w:r>
      <w:r w:rsidRPr="00762DDE">
        <w:rPr>
          <w:rFonts w:eastAsia="Times New Roman" w:cs="Arial"/>
          <w:color w:val="000000"/>
          <w:lang w:eastAsia="bg-BG"/>
        </w:rPr>
        <w:t>: комбинирана терапия с циклофосфамцд и флуконазол води до повишение на билирубин и креатинин в серума. Комбинацията може да се използва, като се има предвид риска от повишен серумен билирубин и креатинин.</w:t>
      </w:r>
    </w:p>
    <w:p w14:paraId="6CD7DEFA" w14:textId="77777777" w:rsidR="00762DDE" w:rsidRPr="005A5F0F" w:rsidRDefault="00762DDE" w:rsidP="00762DDE">
      <w:pPr>
        <w:spacing w:line="240" w:lineRule="auto"/>
        <w:rPr>
          <w:rFonts w:eastAsia="Times New Roman" w:cs="Arial"/>
          <w:color w:val="000000"/>
          <w:u w:val="single"/>
          <w:lang w:eastAsia="bg-BG"/>
        </w:rPr>
      </w:pPr>
    </w:p>
    <w:p w14:paraId="2508E597" w14:textId="2AA73CE5"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Фентанил</w:t>
      </w:r>
      <w:r w:rsidRPr="00762DDE">
        <w:rPr>
          <w:rFonts w:eastAsia="Times New Roman" w:cs="Arial"/>
          <w:color w:val="000000"/>
          <w:lang w:eastAsia="bg-BG"/>
        </w:rPr>
        <w:t>: съобщен един фатален случай на интоксикация с фентанил, дължаща се на възможно взаимодействие на фентанил с флуконазол. В допълнение при здрави доброволци е показано, че флуконазол забавя значимо елиминирането на фентанил. Увеличената концентрация на фентанил може да доведе до респираторна депресия. Пациентите трябва внимателно да се проследяват за потенциален риск от респираторна депресия. Може да се наложат корекции на дозата на фентанил.</w:t>
      </w:r>
    </w:p>
    <w:p w14:paraId="30D65C7F" w14:textId="77777777" w:rsidR="00762DDE" w:rsidRPr="005A5F0F" w:rsidRDefault="00762DDE" w:rsidP="00762DDE">
      <w:pPr>
        <w:spacing w:line="240" w:lineRule="auto"/>
        <w:rPr>
          <w:rFonts w:eastAsia="Times New Roman" w:cs="Arial"/>
          <w:color w:val="000000"/>
          <w:u w:val="single"/>
          <w:lang w:val="en-US"/>
        </w:rPr>
      </w:pPr>
    </w:p>
    <w:p w14:paraId="615CA04E" w14:textId="7E7A31D3"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val="en-US"/>
        </w:rPr>
        <w:t xml:space="preserve">HMG-CoA </w:t>
      </w:r>
      <w:r w:rsidRPr="00762DDE">
        <w:rPr>
          <w:rFonts w:eastAsia="Times New Roman" w:cs="Arial"/>
          <w:color w:val="000000"/>
          <w:u w:val="single"/>
          <w:lang w:eastAsia="bg-BG"/>
        </w:rPr>
        <w:t>редуктазни инхибитори</w:t>
      </w:r>
      <w:r w:rsidRPr="00762DDE">
        <w:rPr>
          <w:rFonts w:eastAsia="Times New Roman" w:cs="Arial"/>
          <w:color w:val="000000"/>
          <w:lang w:eastAsia="bg-BG"/>
        </w:rPr>
        <w:t xml:space="preserve">: рискът от миопатия и рабдомиолиза се повишава, когато флуконазол се прилага едновременно с </w:t>
      </w:r>
      <w:r w:rsidRPr="00762DDE">
        <w:rPr>
          <w:rFonts w:eastAsia="Times New Roman" w:cs="Arial"/>
          <w:color w:val="000000"/>
          <w:lang w:val="en-US"/>
        </w:rPr>
        <w:t xml:space="preserve">HMG-CoA </w:t>
      </w:r>
      <w:r w:rsidRPr="00762DDE">
        <w:rPr>
          <w:rFonts w:eastAsia="Times New Roman" w:cs="Arial"/>
          <w:color w:val="000000"/>
          <w:lang w:eastAsia="bg-BG"/>
        </w:rPr>
        <w:t xml:space="preserve">редуктазни инхибитори, метаболизиращи се чрез </w:t>
      </w:r>
      <w:r w:rsidRPr="00762DDE">
        <w:rPr>
          <w:rFonts w:eastAsia="Times New Roman" w:cs="Arial"/>
          <w:color w:val="000000"/>
          <w:lang w:val="en-US"/>
        </w:rPr>
        <w:t xml:space="preserve">CYP3A4, </w:t>
      </w:r>
      <w:r w:rsidRPr="00762DDE">
        <w:rPr>
          <w:rFonts w:eastAsia="Times New Roman" w:cs="Arial"/>
          <w:color w:val="000000"/>
          <w:lang w:eastAsia="bg-BG"/>
        </w:rPr>
        <w:t xml:space="preserve">като аторвастатин и симвастатин или чрез </w:t>
      </w:r>
      <w:r w:rsidRPr="00762DDE">
        <w:rPr>
          <w:rFonts w:eastAsia="Times New Roman" w:cs="Arial"/>
          <w:color w:val="000000"/>
          <w:lang w:val="en-US"/>
        </w:rPr>
        <w:t xml:space="preserve">CYP2C9 </w:t>
      </w:r>
      <w:r w:rsidRPr="00762DDE">
        <w:rPr>
          <w:rFonts w:eastAsia="Times New Roman" w:cs="Arial"/>
          <w:color w:val="000000"/>
          <w:lang w:eastAsia="bg-BG"/>
        </w:rPr>
        <w:t xml:space="preserve">като флувастатин. Ако е необходима комбинирана терапия, пациентът трябва да се наблюдава за симптоми на миопатия и рабдомиолиза и креатининкиназата трябва да се мониторира. </w:t>
      </w:r>
      <w:r w:rsidRPr="00762DDE">
        <w:rPr>
          <w:rFonts w:eastAsia="Times New Roman" w:cs="Arial"/>
          <w:color w:val="000000"/>
          <w:lang w:val="en-US"/>
        </w:rPr>
        <w:t xml:space="preserve">HMG-CoA </w:t>
      </w:r>
      <w:r w:rsidRPr="00762DDE">
        <w:rPr>
          <w:rFonts w:eastAsia="Times New Roman" w:cs="Arial"/>
          <w:color w:val="000000"/>
          <w:lang w:eastAsia="bg-BG"/>
        </w:rPr>
        <w:t>редуктазните инхибитори трябва да се спрат, ако се наблюдава значимо увеличаване на креатинкиназата или се диагностицират или предполагат миопатия/рабдомиолиза.</w:t>
      </w:r>
    </w:p>
    <w:p w14:paraId="393D4483" w14:textId="77777777" w:rsidR="00762DDE" w:rsidRPr="005A5F0F" w:rsidRDefault="00762DDE" w:rsidP="00762DDE">
      <w:pPr>
        <w:spacing w:line="240" w:lineRule="auto"/>
        <w:rPr>
          <w:rFonts w:eastAsia="Times New Roman" w:cs="Arial"/>
          <w:color w:val="000000"/>
          <w:u w:val="single"/>
          <w:lang w:eastAsia="bg-BG"/>
        </w:rPr>
      </w:pPr>
    </w:p>
    <w:p w14:paraId="397EB0FF" w14:textId="7088554C"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Имуносупресанти (напр. циклоспорин. еверолимус, сиролимус и такролимус):</w:t>
      </w:r>
    </w:p>
    <w:p w14:paraId="7681E703" w14:textId="77777777" w:rsidR="00762DDE" w:rsidRPr="005A5F0F" w:rsidRDefault="00762DDE" w:rsidP="00762DDE">
      <w:pPr>
        <w:spacing w:line="240" w:lineRule="auto"/>
        <w:rPr>
          <w:rFonts w:eastAsia="Times New Roman" w:cs="Arial"/>
          <w:color w:val="000000"/>
          <w:u w:val="single"/>
          <w:lang w:eastAsia="bg-BG"/>
        </w:rPr>
      </w:pPr>
    </w:p>
    <w:p w14:paraId="4C58E640" w14:textId="75D138EE" w:rsidR="00762DDE" w:rsidRPr="00762DDE" w:rsidRDefault="00762DDE" w:rsidP="00762DDE">
      <w:pPr>
        <w:spacing w:line="240" w:lineRule="auto"/>
        <w:rPr>
          <w:rFonts w:eastAsia="Times New Roman" w:cs="Arial"/>
          <w:lang w:eastAsia="bg-BG"/>
        </w:rPr>
      </w:pPr>
      <w:r w:rsidRPr="00762DDE">
        <w:rPr>
          <w:rFonts w:eastAsia="Times New Roman" w:cs="Arial"/>
          <w:color w:val="000000"/>
          <w:u w:val="single"/>
          <w:lang w:eastAsia="bg-BG"/>
        </w:rPr>
        <w:t>Циклоспорин</w:t>
      </w:r>
      <w:r w:rsidRPr="00762DDE">
        <w:rPr>
          <w:rFonts w:eastAsia="Times New Roman" w:cs="Arial"/>
          <w:color w:val="000000"/>
          <w:lang w:eastAsia="bg-BG"/>
        </w:rPr>
        <w:t xml:space="preserve">: флуконазол повишава значимо концентрацията и </w:t>
      </w:r>
      <w:r w:rsidRPr="00762DDE">
        <w:rPr>
          <w:rFonts w:eastAsia="Times New Roman" w:cs="Arial"/>
          <w:color w:val="000000"/>
          <w:lang w:val="en-US"/>
        </w:rPr>
        <w:t xml:space="preserve">AUC </w:t>
      </w:r>
      <w:r w:rsidRPr="00762DDE">
        <w:rPr>
          <w:rFonts w:eastAsia="Times New Roman" w:cs="Arial"/>
          <w:color w:val="000000"/>
          <w:lang w:eastAsia="bg-BG"/>
        </w:rPr>
        <w:t>на циклоспорин. По</w:t>
      </w:r>
    </w:p>
    <w:p w14:paraId="18DD0DDE" w14:textId="09860743" w:rsidR="00762DDE" w:rsidRPr="005A5F0F" w:rsidRDefault="00762DDE" w:rsidP="00762DDE">
      <w:pPr>
        <w:rPr>
          <w:rFonts w:cs="Arial"/>
        </w:rPr>
      </w:pPr>
      <w:r w:rsidRPr="005A5F0F">
        <w:rPr>
          <w:rFonts w:eastAsia="Times New Roman" w:cs="Arial"/>
          <w:color w:val="000000"/>
          <w:lang w:eastAsia="bg-BG"/>
        </w:rPr>
        <w:t xml:space="preserve">време на едновременното лечение с флуконазол 200 </w:t>
      </w:r>
      <w:r w:rsidRPr="005A5F0F">
        <w:rPr>
          <w:rFonts w:eastAsia="Times New Roman" w:cs="Arial"/>
          <w:color w:val="000000"/>
          <w:lang w:val="en-US"/>
        </w:rPr>
        <w:t xml:space="preserve">mg </w:t>
      </w:r>
      <w:r w:rsidRPr="005A5F0F">
        <w:rPr>
          <w:rFonts w:eastAsia="Times New Roman" w:cs="Arial"/>
          <w:color w:val="000000"/>
          <w:lang w:eastAsia="bg-BG"/>
        </w:rPr>
        <w:t>дневно и циклоспорин (2,7</w:t>
      </w:r>
      <w:r w:rsidRPr="005A5F0F">
        <w:rPr>
          <w:rFonts w:eastAsia="Times New Roman" w:cs="Arial"/>
          <w:color w:val="000000"/>
          <w:lang w:val="en-US"/>
        </w:rPr>
        <w:t xml:space="preserve">  mg/kg</w:t>
      </w:r>
      <w:r w:rsidRPr="005A5F0F">
        <w:rPr>
          <w:rFonts w:eastAsia="Times New Roman" w:cs="Arial"/>
          <w:color w:val="000000"/>
          <w:lang w:eastAsia="bg-BG"/>
        </w:rPr>
        <w:t xml:space="preserve">/дневно) е наблюдавано повишение на </w:t>
      </w:r>
      <w:r w:rsidRPr="005A5F0F">
        <w:rPr>
          <w:rFonts w:eastAsia="Times New Roman" w:cs="Arial"/>
          <w:color w:val="000000"/>
          <w:lang w:val="en-US"/>
        </w:rPr>
        <w:t xml:space="preserve">AUC </w:t>
      </w:r>
      <w:r w:rsidRPr="005A5F0F">
        <w:rPr>
          <w:rFonts w:eastAsia="Times New Roman" w:cs="Arial"/>
          <w:color w:val="000000"/>
          <w:lang w:eastAsia="bg-BG"/>
        </w:rPr>
        <w:t>на циклоспорин в рамките на</w:t>
      </w:r>
      <w:r w:rsidRPr="005A5F0F">
        <w:rPr>
          <w:rFonts w:eastAsia="Times New Roman" w:cs="Arial"/>
          <w:color w:val="000000"/>
          <w:lang w:val="en-US"/>
        </w:rPr>
        <w:t xml:space="preserve"> 1,8 </w:t>
      </w:r>
      <w:r w:rsidRPr="005A5F0F">
        <w:rPr>
          <w:rFonts w:eastAsia="Times New Roman" w:cs="Arial"/>
          <w:color w:val="000000"/>
          <w:lang w:eastAsia="bg-BG"/>
        </w:rPr>
        <w:t>пъти. Тази комбинация може да се използва, като се намали дозата на циклоспорин в зависимост от концентрацията на циклоспорин.</w:t>
      </w:r>
    </w:p>
    <w:p w14:paraId="0395BD2E" w14:textId="050BB8F5" w:rsidR="007A2185" w:rsidRPr="005A5F0F" w:rsidRDefault="007A2185" w:rsidP="0091385D">
      <w:pPr>
        <w:rPr>
          <w:rFonts w:cs="Arial"/>
        </w:rPr>
      </w:pPr>
    </w:p>
    <w:p w14:paraId="6ADFF620" w14:textId="77777777"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Еверолимус</w:t>
      </w:r>
      <w:r w:rsidRPr="005A5F0F">
        <w:rPr>
          <w:rFonts w:eastAsia="Times New Roman" w:cs="Arial"/>
          <w:color w:val="000000"/>
          <w:lang w:eastAsia="bg-BG"/>
        </w:rPr>
        <w:t xml:space="preserve">: въпреки, че не е проучен </w:t>
      </w:r>
      <w:r w:rsidRPr="005A5F0F">
        <w:rPr>
          <w:rFonts w:eastAsia="Times New Roman" w:cs="Arial"/>
          <w:color w:val="000000"/>
          <w:lang w:val="en-US"/>
        </w:rPr>
        <w:t xml:space="preserve">in vivo </w:t>
      </w:r>
      <w:r w:rsidRPr="005A5F0F">
        <w:rPr>
          <w:rFonts w:eastAsia="Times New Roman" w:cs="Arial"/>
          <w:color w:val="000000"/>
          <w:lang w:eastAsia="bg-BG"/>
        </w:rPr>
        <w:t xml:space="preserve">или </w:t>
      </w:r>
      <w:r w:rsidRPr="005A5F0F">
        <w:rPr>
          <w:rFonts w:eastAsia="Times New Roman" w:cs="Arial"/>
          <w:color w:val="000000"/>
          <w:lang w:val="en-US"/>
        </w:rPr>
        <w:t xml:space="preserve">in vitro, </w:t>
      </w:r>
      <w:r w:rsidRPr="005A5F0F">
        <w:rPr>
          <w:rFonts w:eastAsia="Times New Roman" w:cs="Arial"/>
          <w:color w:val="000000"/>
          <w:lang w:eastAsia="bg-BG"/>
        </w:rPr>
        <w:t xml:space="preserve">флуконазол може да повиши серумните концентрации на еверолимус чрез инхибиране на </w:t>
      </w:r>
      <w:r w:rsidRPr="005A5F0F">
        <w:rPr>
          <w:rFonts w:eastAsia="Times New Roman" w:cs="Arial"/>
          <w:color w:val="000000"/>
          <w:lang w:val="en-US"/>
        </w:rPr>
        <w:t>CYP3A4.</w:t>
      </w:r>
    </w:p>
    <w:p w14:paraId="4E847D95" w14:textId="77777777" w:rsidR="005A5F0F" w:rsidRPr="005A5F0F" w:rsidRDefault="005A5F0F" w:rsidP="005A5F0F">
      <w:pPr>
        <w:spacing w:line="240" w:lineRule="auto"/>
        <w:rPr>
          <w:rFonts w:eastAsia="Times New Roman" w:cs="Arial"/>
          <w:color w:val="000000"/>
          <w:u w:val="single"/>
          <w:lang w:eastAsia="bg-BG"/>
        </w:rPr>
      </w:pPr>
    </w:p>
    <w:p w14:paraId="2CF21E37" w14:textId="354260B3"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Сиролимус:</w:t>
      </w:r>
      <w:r w:rsidRPr="005A5F0F">
        <w:rPr>
          <w:rFonts w:eastAsia="Times New Roman" w:cs="Arial"/>
          <w:color w:val="000000"/>
          <w:lang w:eastAsia="bg-BG"/>
        </w:rPr>
        <w:t xml:space="preserve"> флуконазол повишава плазмените концентрации на сиролимус вероятно чрез инхибиране на метаболизма на сиролимус чрез </w:t>
      </w:r>
      <w:r w:rsidRPr="005A5F0F">
        <w:rPr>
          <w:rFonts w:eastAsia="Times New Roman" w:cs="Arial"/>
          <w:color w:val="000000"/>
          <w:lang w:val="en-US"/>
        </w:rPr>
        <w:t xml:space="preserve">CYP3A4 </w:t>
      </w:r>
      <w:r w:rsidRPr="005A5F0F">
        <w:rPr>
          <w:rFonts w:eastAsia="Times New Roman" w:cs="Arial"/>
          <w:color w:val="000000"/>
          <w:lang w:eastAsia="bg-BG"/>
        </w:rPr>
        <w:t>и Р-гликопротеин. Тази комбинация може да се използва, като се адаптира дозата на сиролимус в зависимост от съотношението ефект/концентрация.</w:t>
      </w:r>
    </w:p>
    <w:p w14:paraId="7647A2ED" w14:textId="77777777" w:rsidR="005A5F0F" w:rsidRPr="005A5F0F" w:rsidRDefault="005A5F0F" w:rsidP="005A5F0F">
      <w:pPr>
        <w:spacing w:line="240" w:lineRule="auto"/>
        <w:rPr>
          <w:rFonts w:eastAsia="Times New Roman" w:cs="Arial"/>
          <w:color w:val="000000"/>
          <w:u w:val="single"/>
          <w:lang w:eastAsia="bg-BG"/>
        </w:rPr>
      </w:pPr>
    </w:p>
    <w:p w14:paraId="5F7DEFBB" w14:textId="1F2C01A4"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Такролимус:</w:t>
      </w:r>
      <w:r w:rsidRPr="005A5F0F">
        <w:rPr>
          <w:rFonts w:eastAsia="Times New Roman" w:cs="Arial"/>
          <w:color w:val="000000"/>
          <w:lang w:eastAsia="bg-BG"/>
        </w:rPr>
        <w:t xml:space="preserve"> флуконазол може да повиши до 5 пъти серумните концентрации на перорално приемания такролимус поради инхибиране на метаболизма на такролимус чрез </w:t>
      </w:r>
      <w:r w:rsidRPr="005A5F0F">
        <w:rPr>
          <w:rFonts w:eastAsia="Times New Roman" w:cs="Arial"/>
          <w:color w:val="000000"/>
          <w:lang w:val="en-US"/>
        </w:rPr>
        <w:t xml:space="preserve">CYP3A4 </w:t>
      </w:r>
      <w:r w:rsidRPr="005A5F0F">
        <w:rPr>
          <w:rFonts w:eastAsia="Times New Roman" w:cs="Arial"/>
          <w:color w:val="000000"/>
          <w:lang w:eastAsia="bg-BG"/>
        </w:rPr>
        <w:t xml:space="preserve">в червата. Няма наблюдавани значими фармакокинетични промени, когато такролимус се прилага интравенозно. Повишените нива на такролимус се свързват с </w:t>
      </w:r>
      <w:r w:rsidRPr="005A5F0F">
        <w:rPr>
          <w:rFonts w:eastAsia="Times New Roman" w:cs="Arial"/>
          <w:color w:val="000000"/>
          <w:lang w:eastAsia="bg-BG"/>
        </w:rPr>
        <w:lastRenderedPageBreak/>
        <w:t>нефротоксичност. Дозата на перорално прилагания такролимус трябва да се намали в зависимост от концентрацията на такролимус.</w:t>
      </w:r>
    </w:p>
    <w:p w14:paraId="5EDEA9FC" w14:textId="77777777" w:rsidR="005A5F0F" w:rsidRPr="005A5F0F" w:rsidRDefault="005A5F0F" w:rsidP="005A5F0F">
      <w:pPr>
        <w:spacing w:line="240" w:lineRule="auto"/>
        <w:rPr>
          <w:rFonts w:eastAsia="Times New Roman" w:cs="Arial"/>
          <w:color w:val="000000"/>
          <w:u w:val="single"/>
          <w:lang w:eastAsia="bg-BG"/>
        </w:rPr>
      </w:pPr>
    </w:p>
    <w:p w14:paraId="7D62CB45" w14:textId="113950D5"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Лосартан</w:t>
      </w:r>
      <w:r w:rsidRPr="005A5F0F">
        <w:rPr>
          <w:rFonts w:eastAsia="Times New Roman" w:cs="Arial"/>
          <w:color w:val="000000"/>
          <w:lang w:eastAsia="bg-BG"/>
        </w:rPr>
        <w:t>: флуконазол инхибира метаболизма на лосартан до неговия активен метаболит (Е-З 1 74), отговорен за най-голяма част от неговия ангиотензин-П-рецепторен антагонизъм при лечението с лосартан. Пациентите трябва постоянно да наблюдават кръвното си налягане.</w:t>
      </w:r>
    </w:p>
    <w:p w14:paraId="21D8B235" w14:textId="77777777" w:rsidR="005A5F0F" w:rsidRPr="005A5F0F" w:rsidRDefault="005A5F0F" w:rsidP="005A5F0F">
      <w:pPr>
        <w:spacing w:line="240" w:lineRule="auto"/>
        <w:rPr>
          <w:rFonts w:eastAsia="Times New Roman" w:cs="Arial"/>
          <w:color w:val="000000"/>
          <w:u w:val="single"/>
          <w:lang w:eastAsia="bg-BG"/>
        </w:rPr>
      </w:pPr>
    </w:p>
    <w:p w14:paraId="521D1D50" w14:textId="1D0D49E6"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Метадон</w:t>
      </w:r>
      <w:r w:rsidRPr="005A5F0F">
        <w:rPr>
          <w:rFonts w:eastAsia="Times New Roman" w:cs="Arial"/>
          <w:color w:val="000000"/>
          <w:lang w:eastAsia="bg-BG"/>
        </w:rPr>
        <w:t>: флуконазол може да повиши серумната концентрация на метадон. Може да е необходимо адаптиране на дозата на метадон.</w:t>
      </w:r>
    </w:p>
    <w:p w14:paraId="46113439" w14:textId="77777777" w:rsidR="005A5F0F" w:rsidRPr="005A5F0F" w:rsidRDefault="005A5F0F" w:rsidP="005A5F0F">
      <w:pPr>
        <w:spacing w:line="240" w:lineRule="auto"/>
        <w:rPr>
          <w:rFonts w:eastAsia="Times New Roman" w:cs="Arial"/>
          <w:color w:val="000000"/>
          <w:u w:val="single"/>
          <w:lang w:eastAsia="bg-BG"/>
        </w:rPr>
      </w:pPr>
    </w:p>
    <w:p w14:paraId="21CD02AB" w14:textId="77777777"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Нестероидни противовъзпалителни средства</w:t>
      </w:r>
      <w:r w:rsidRPr="005A5F0F">
        <w:rPr>
          <w:rFonts w:eastAsia="Times New Roman" w:cs="Arial"/>
          <w:color w:val="000000"/>
          <w:lang w:eastAsia="bg-BG"/>
        </w:rPr>
        <w:t xml:space="preserve">: </w:t>
      </w:r>
      <w:proofErr w:type="spellStart"/>
      <w:r w:rsidRPr="005A5F0F">
        <w:rPr>
          <w:rFonts w:eastAsia="Times New Roman" w:cs="Arial"/>
          <w:color w:val="000000"/>
          <w:lang w:val="en-US"/>
        </w:rPr>
        <w:t>C</w:t>
      </w:r>
      <w:r w:rsidRPr="005A5F0F">
        <w:rPr>
          <w:rFonts w:eastAsia="Times New Roman" w:cs="Arial"/>
          <w:color w:val="000000"/>
          <w:vertAlign w:val="subscript"/>
          <w:lang w:val="en-US"/>
        </w:rPr>
        <w:t>max</w:t>
      </w:r>
      <w:proofErr w:type="spellEnd"/>
      <w:r w:rsidRPr="005A5F0F">
        <w:rPr>
          <w:rFonts w:eastAsia="Times New Roman" w:cs="Arial"/>
          <w:color w:val="000000"/>
          <w:lang w:val="en-US"/>
        </w:rPr>
        <w:t xml:space="preserve"> </w:t>
      </w:r>
      <w:r w:rsidRPr="005A5F0F">
        <w:rPr>
          <w:rFonts w:eastAsia="Times New Roman" w:cs="Arial"/>
          <w:color w:val="000000"/>
          <w:lang w:eastAsia="bg-BG"/>
        </w:rPr>
        <w:t xml:space="preserve">и </w:t>
      </w:r>
      <w:r w:rsidRPr="005A5F0F">
        <w:rPr>
          <w:rFonts w:eastAsia="Times New Roman" w:cs="Arial"/>
          <w:color w:val="000000"/>
          <w:lang w:val="en-US"/>
        </w:rPr>
        <w:t xml:space="preserve">AUC </w:t>
      </w:r>
      <w:r w:rsidRPr="005A5F0F">
        <w:rPr>
          <w:rFonts w:eastAsia="Times New Roman" w:cs="Arial"/>
          <w:color w:val="000000"/>
          <w:lang w:eastAsia="bg-BG"/>
        </w:rPr>
        <w:t xml:space="preserve">на флурбипрофен се повишават с 23% и 81% съответно, когато се прилага с флуконазол, в сравнение със самостоятелното приложение на флурбипрофен. Подобно, и </w:t>
      </w:r>
      <w:r w:rsidRPr="005A5F0F">
        <w:rPr>
          <w:rFonts w:eastAsia="Times New Roman" w:cs="Arial"/>
          <w:color w:val="000000"/>
          <w:lang w:val="en-US"/>
        </w:rPr>
        <w:t xml:space="preserve">AUC </w:t>
      </w:r>
      <w:r w:rsidRPr="005A5F0F">
        <w:rPr>
          <w:rFonts w:eastAsia="Times New Roman" w:cs="Arial"/>
          <w:color w:val="000000"/>
          <w:lang w:eastAsia="bg-BG"/>
        </w:rPr>
        <w:t xml:space="preserve">на фармакологично активния изомер </w:t>
      </w:r>
      <w:r w:rsidRPr="005A5F0F">
        <w:rPr>
          <w:rFonts w:eastAsia="Times New Roman" w:cs="Arial"/>
          <w:color w:val="000000"/>
          <w:lang w:val="en-US"/>
        </w:rPr>
        <w:t xml:space="preserve">[S- </w:t>
      </w:r>
      <w:r w:rsidRPr="005A5F0F">
        <w:rPr>
          <w:rFonts w:eastAsia="Times New Roman" w:cs="Arial"/>
          <w:color w:val="000000"/>
          <w:lang w:eastAsia="bg-BG"/>
        </w:rPr>
        <w:t xml:space="preserve">(+)-ибупрофен] се повишават с 15% и 82% съответно, когато флуконазол се прилага едновременно с рацемичен ибупрофен (400 </w:t>
      </w:r>
      <w:r w:rsidRPr="005A5F0F">
        <w:rPr>
          <w:rFonts w:eastAsia="Times New Roman" w:cs="Arial"/>
          <w:color w:val="000000"/>
          <w:lang w:val="en-US"/>
        </w:rPr>
        <w:t xml:space="preserve">mg), </w:t>
      </w:r>
      <w:r w:rsidRPr="005A5F0F">
        <w:rPr>
          <w:rFonts w:eastAsia="Times New Roman" w:cs="Arial"/>
          <w:color w:val="000000"/>
          <w:lang w:eastAsia="bg-BG"/>
        </w:rPr>
        <w:t>в сравнение със самостоятелно приложение на рацемичен ибупрофен.</w:t>
      </w:r>
    </w:p>
    <w:p w14:paraId="0C060A6B" w14:textId="77777777" w:rsidR="005A5F0F" w:rsidRPr="005A5F0F" w:rsidRDefault="005A5F0F" w:rsidP="005A5F0F">
      <w:pPr>
        <w:spacing w:line="240" w:lineRule="auto"/>
        <w:rPr>
          <w:rFonts w:eastAsia="Times New Roman" w:cs="Arial"/>
          <w:lang w:eastAsia="bg-BG"/>
        </w:rPr>
      </w:pPr>
    </w:p>
    <w:p w14:paraId="3C74BBA5" w14:textId="50EC159D" w:rsidR="005A5F0F" w:rsidRPr="005A5F0F" w:rsidRDefault="005A5F0F" w:rsidP="005A5F0F">
      <w:pPr>
        <w:spacing w:line="240" w:lineRule="auto"/>
        <w:rPr>
          <w:rFonts w:eastAsia="Times New Roman" w:cs="Arial"/>
          <w:lang w:eastAsia="bg-BG"/>
        </w:rPr>
      </w:pPr>
      <w:r w:rsidRPr="005A5F0F">
        <w:rPr>
          <w:rFonts w:eastAsia="Times New Roman" w:cs="Arial"/>
          <w:color w:val="000000"/>
          <w:lang w:eastAsia="bg-BG"/>
        </w:rPr>
        <w:t xml:space="preserve">Въпреки че не е специфично проучен, флуконазол има потенциал да повиши системната експозиция на други НСПВС, които се метаболизират от </w:t>
      </w:r>
      <w:r w:rsidRPr="005A5F0F">
        <w:rPr>
          <w:rFonts w:eastAsia="Times New Roman" w:cs="Arial"/>
          <w:color w:val="000000"/>
          <w:lang w:val="en-US"/>
        </w:rPr>
        <w:t xml:space="preserve">CYP2C9 </w:t>
      </w:r>
      <w:r w:rsidRPr="005A5F0F">
        <w:rPr>
          <w:rFonts w:eastAsia="Times New Roman" w:cs="Arial"/>
          <w:color w:val="000000"/>
          <w:lang w:eastAsia="bg-BG"/>
        </w:rPr>
        <w:t>(напр., напроксен, лорноксикам, мелоксикам, диклофенак). Препоръчва се често наблюдение за нежеланите лекарствени реакции и токсичност, свързани с НПВС. Може да е необходимо адаптиране на дозата на НСПВС.</w:t>
      </w:r>
    </w:p>
    <w:p w14:paraId="2041BDF8" w14:textId="77777777" w:rsidR="005A5F0F" w:rsidRPr="005A5F0F" w:rsidRDefault="005A5F0F" w:rsidP="005A5F0F">
      <w:pPr>
        <w:spacing w:line="240" w:lineRule="auto"/>
        <w:rPr>
          <w:rFonts w:eastAsia="Times New Roman" w:cs="Arial"/>
          <w:color w:val="000000"/>
          <w:u w:val="single"/>
          <w:lang w:eastAsia="bg-BG"/>
        </w:rPr>
      </w:pPr>
    </w:p>
    <w:p w14:paraId="654F6FE6" w14:textId="3DE54981"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Фенитоин</w:t>
      </w:r>
      <w:r w:rsidRPr="005A5F0F">
        <w:rPr>
          <w:rFonts w:eastAsia="Times New Roman" w:cs="Arial"/>
          <w:color w:val="000000"/>
          <w:lang w:eastAsia="bg-BG"/>
        </w:rPr>
        <w:t xml:space="preserve">: флуконазол инхибира чернодробния метаболизъм на фенитоин. Едновременното многократно прилагане на 200 </w:t>
      </w:r>
      <w:r w:rsidRPr="005A5F0F">
        <w:rPr>
          <w:rFonts w:eastAsia="Times New Roman" w:cs="Arial"/>
          <w:color w:val="000000"/>
          <w:lang w:val="en-US"/>
        </w:rPr>
        <w:t xml:space="preserve">mg </w:t>
      </w:r>
      <w:r w:rsidRPr="005A5F0F">
        <w:rPr>
          <w:rFonts w:eastAsia="Times New Roman" w:cs="Arial"/>
          <w:color w:val="000000"/>
          <w:lang w:eastAsia="bg-BG"/>
        </w:rPr>
        <w:t xml:space="preserve">флуконазол и 250 </w:t>
      </w:r>
      <w:r w:rsidRPr="005A5F0F">
        <w:rPr>
          <w:rFonts w:eastAsia="Times New Roman" w:cs="Arial"/>
          <w:color w:val="000000"/>
          <w:lang w:val="en-US"/>
        </w:rPr>
        <w:t xml:space="preserve">mg </w:t>
      </w:r>
      <w:r w:rsidRPr="005A5F0F">
        <w:rPr>
          <w:rFonts w:eastAsia="Times New Roman" w:cs="Arial"/>
          <w:color w:val="000000"/>
          <w:lang w:eastAsia="bg-BG"/>
        </w:rPr>
        <w:t xml:space="preserve">фенитоин интравенозно е предизвикало повишаване на </w:t>
      </w:r>
      <w:r w:rsidRPr="005A5F0F">
        <w:rPr>
          <w:rFonts w:eastAsia="Times New Roman" w:cs="Arial"/>
          <w:color w:val="000000"/>
          <w:lang w:val="en-US"/>
        </w:rPr>
        <w:t>AUC</w:t>
      </w:r>
      <w:r w:rsidRPr="005A5F0F">
        <w:rPr>
          <w:rFonts w:eastAsia="Times New Roman" w:cs="Arial"/>
          <w:color w:val="000000"/>
          <w:vertAlign w:val="subscript"/>
          <w:lang w:val="en-US"/>
        </w:rPr>
        <w:t>24</w:t>
      </w:r>
      <w:r w:rsidRPr="005A5F0F">
        <w:rPr>
          <w:rFonts w:eastAsia="Times New Roman" w:cs="Arial"/>
          <w:color w:val="000000"/>
          <w:lang w:val="en-US"/>
        </w:rPr>
        <w:t xml:space="preserve"> </w:t>
      </w:r>
      <w:r w:rsidRPr="005A5F0F">
        <w:rPr>
          <w:rFonts w:eastAsia="Times New Roman" w:cs="Arial"/>
          <w:color w:val="000000"/>
          <w:lang w:eastAsia="bg-BG"/>
        </w:rPr>
        <w:t>на фенитоин със 75%, и на С</w:t>
      </w:r>
      <w:r w:rsidRPr="005A5F0F">
        <w:rPr>
          <w:rFonts w:eastAsia="Times New Roman" w:cs="Arial"/>
          <w:color w:val="000000"/>
          <w:vertAlign w:val="subscript"/>
          <w:lang w:val="en-US"/>
        </w:rPr>
        <w:t>min</w:t>
      </w:r>
      <w:r w:rsidRPr="005A5F0F">
        <w:rPr>
          <w:rFonts w:eastAsia="Times New Roman" w:cs="Arial"/>
          <w:color w:val="000000"/>
          <w:lang w:eastAsia="bg-BG"/>
        </w:rPr>
        <w:t xml:space="preserve"> със 128%. При едновременно приложение, серумните концентрации на фенитоин трябва да се мониторират, за да се избегне фенитоинова токсичност.</w:t>
      </w:r>
    </w:p>
    <w:p w14:paraId="3E402557" w14:textId="77777777" w:rsidR="005A5F0F" w:rsidRPr="005A5F0F" w:rsidRDefault="005A5F0F" w:rsidP="005A5F0F">
      <w:pPr>
        <w:spacing w:line="240" w:lineRule="auto"/>
        <w:rPr>
          <w:rFonts w:eastAsia="Times New Roman" w:cs="Arial"/>
          <w:color w:val="000000"/>
          <w:u w:val="single"/>
          <w:lang w:eastAsia="bg-BG"/>
        </w:rPr>
      </w:pPr>
    </w:p>
    <w:p w14:paraId="3384A4EB" w14:textId="3EB4EEF6"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Преднизон</w:t>
      </w:r>
      <w:r w:rsidRPr="005A5F0F">
        <w:rPr>
          <w:rFonts w:eastAsia="Times New Roman" w:cs="Arial"/>
          <w:color w:val="000000"/>
          <w:lang w:eastAsia="bg-BG"/>
        </w:rPr>
        <w:t xml:space="preserve">: има съобщение за един случай при чернодробно трансплантиран пациент, лекуван с преднизон, който развива остра надбъбречна недостатъчност след прекъсване на тримесечна терапия с флуконазол. Предполага се, че прекъсването на флуконазол причинява увеличение на активността на </w:t>
      </w:r>
      <w:r w:rsidRPr="005A5F0F">
        <w:rPr>
          <w:rFonts w:eastAsia="Times New Roman" w:cs="Arial"/>
          <w:color w:val="000000"/>
          <w:lang w:val="en-US"/>
        </w:rPr>
        <w:t xml:space="preserve">CYP3A4, </w:t>
      </w:r>
      <w:r w:rsidRPr="005A5F0F">
        <w:rPr>
          <w:rFonts w:eastAsia="Times New Roman" w:cs="Arial"/>
          <w:color w:val="000000"/>
          <w:lang w:eastAsia="bg-BG"/>
        </w:rPr>
        <w:t>което води до повишен метаболизъм на преднизон. Пациентите на продължително лечение с флуконазол и преднизон трябва да бъдат внимателно проследявани за недостатъчност на надбъбречната кора при спиране на флуконазол.</w:t>
      </w:r>
    </w:p>
    <w:p w14:paraId="63FEBD66" w14:textId="77777777" w:rsidR="005A5F0F" w:rsidRPr="005A5F0F" w:rsidRDefault="005A5F0F" w:rsidP="005A5F0F">
      <w:pPr>
        <w:spacing w:line="240" w:lineRule="auto"/>
        <w:rPr>
          <w:rFonts w:eastAsia="Times New Roman" w:cs="Arial"/>
          <w:color w:val="000000"/>
          <w:u w:val="single"/>
          <w:lang w:eastAsia="bg-BG"/>
        </w:rPr>
      </w:pPr>
    </w:p>
    <w:p w14:paraId="02B7A776" w14:textId="79D4639F"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Рифабутин</w:t>
      </w:r>
      <w:r w:rsidRPr="005A5F0F">
        <w:rPr>
          <w:rFonts w:eastAsia="Times New Roman" w:cs="Arial"/>
          <w:color w:val="000000"/>
          <w:lang w:eastAsia="bg-BG"/>
        </w:rPr>
        <w:t xml:space="preserve">: флуконазол повишава серумните концентрации на рифабутин, което води до повишаване на </w:t>
      </w:r>
      <w:r w:rsidRPr="005A5F0F">
        <w:rPr>
          <w:rFonts w:eastAsia="Times New Roman" w:cs="Arial"/>
          <w:color w:val="000000"/>
          <w:lang w:val="en-US"/>
        </w:rPr>
        <w:t xml:space="preserve">AUC </w:t>
      </w:r>
      <w:r w:rsidRPr="005A5F0F">
        <w:rPr>
          <w:rFonts w:eastAsia="Times New Roman" w:cs="Arial"/>
          <w:color w:val="000000"/>
          <w:lang w:eastAsia="bg-BG"/>
        </w:rPr>
        <w:t>на рифабутин с до 80%. Има съобщения за увеит при пациенти, при които се прилагани едновременно флуконазол и рифабутин. При комбинирана терапия трябва да се имат предвид симптомите на токсичност от рифабутин.</w:t>
      </w:r>
    </w:p>
    <w:p w14:paraId="57C69F26" w14:textId="77777777" w:rsidR="005A5F0F" w:rsidRPr="005A5F0F" w:rsidRDefault="005A5F0F" w:rsidP="005A5F0F">
      <w:pPr>
        <w:spacing w:line="240" w:lineRule="auto"/>
        <w:rPr>
          <w:rFonts w:eastAsia="Times New Roman" w:cs="Arial"/>
          <w:color w:val="000000"/>
          <w:u w:val="single"/>
          <w:lang w:eastAsia="bg-BG"/>
        </w:rPr>
      </w:pPr>
    </w:p>
    <w:p w14:paraId="5AA01668" w14:textId="734922BD"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Саквинавир</w:t>
      </w:r>
      <w:r w:rsidRPr="005A5F0F">
        <w:rPr>
          <w:rFonts w:eastAsia="Times New Roman" w:cs="Arial"/>
          <w:color w:val="000000"/>
          <w:lang w:eastAsia="bg-BG"/>
        </w:rPr>
        <w:t xml:space="preserve">: флуконазол повишава </w:t>
      </w:r>
      <w:r w:rsidRPr="005A5F0F">
        <w:rPr>
          <w:rFonts w:eastAsia="Times New Roman" w:cs="Arial"/>
          <w:color w:val="000000"/>
          <w:lang w:val="en-US"/>
        </w:rPr>
        <w:t xml:space="preserve">AUC </w:t>
      </w:r>
      <w:r w:rsidRPr="005A5F0F">
        <w:rPr>
          <w:rFonts w:eastAsia="Times New Roman" w:cs="Arial"/>
          <w:color w:val="000000"/>
          <w:lang w:eastAsia="bg-BG"/>
        </w:rPr>
        <w:t xml:space="preserve">и </w:t>
      </w:r>
      <w:proofErr w:type="spellStart"/>
      <w:r w:rsidRPr="005A5F0F">
        <w:rPr>
          <w:rFonts w:eastAsia="Times New Roman" w:cs="Arial"/>
          <w:color w:val="000000"/>
          <w:lang w:val="en-US"/>
        </w:rPr>
        <w:t>Cmax</w:t>
      </w:r>
      <w:proofErr w:type="spellEnd"/>
      <w:r w:rsidRPr="005A5F0F">
        <w:rPr>
          <w:rFonts w:eastAsia="Times New Roman" w:cs="Arial"/>
          <w:color w:val="000000"/>
          <w:lang w:val="en-US"/>
        </w:rPr>
        <w:t xml:space="preserve"> </w:t>
      </w:r>
      <w:r w:rsidRPr="005A5F0F">
        <w:rPr>
          <w:rFonts w:eastAsia="Times New Roman" w:cs="Arial"/>
          <w:color w:val="000000"/>
          <w:lang w:eastAsia="bg-BG"/>
        </w:rPr>
        <w:t xml:space="preserve">на саквинавир съответно с приблизително 50% и 55% поради инхибирането на чернодробния метаболизъм на саквинавир от </w:t>
      </w:r>
      <w:r w:rsidRPr="005A5F0F">
        <w:rPr>
          <w:rFonts w:eastAsia="Times New Roman" w:cs="Arial"/>
          <w:color w:val="000000"/>
          <w:lang w:val="en-US"/>
        </w:rPr>
        <w:t>CYP3A4</w:t>
      </w:r>
      <w:r w:rsidRPr="005A5F0F">
        <w:rPr>
          <w:rFonts w:eastAsia="Times New Roman" w:cs="Arial"/>
          <w:color w:val="000000"/>
          <w:lang w:eastAsia="bg-BG"/>
        </w:rPr>
        <w:t xml:space="preserve"> и инхибирането на Р-гликопротеин. Взаимодействие със саквинавир/ритонавир не е проучвано и</w:t>
      </w:r>
    </w:p>
    <w:p w14:paraId="2DC33D89" w14:textId="4A888AFF" w:rsidR="005A5F0F" w:rsidRPr="005A5F0F" w:rsidRDefault="005A5F0F" w:rsidP="005A5F0F">
      <w:pPr>
        <w:rPr>
          <w:rFonts w:cs="Arial"/>
        </w:rPr>
      </w:pPr>
      <w:r w:rsidRPr="005A5F0F">
        <w:rPr>
          <w:rFonts w:eastAsia="Times New Roman" w:cs="Arial"/>
          <w:color w:val="000000"/>
          <w:lang w:eastAsia="bg-BG"/>
        </w:rPr>
        <w:t>може да бъде по-изразено. Корекция на дозата на саквинавир може да е необходима.</w:t>
      </w:r>
    </w:p>
    <w:p w14:paraId="0F82B4ED" w14:textId="246397AE" w:rsidR="005A5F0F" w:rsidRPr="005A5F0F" w:rsidRDefault="005A5F0F" w:rsidP="005A5F0F">
      <w:pPr>
        <w:spacing w:line="240" w:lineRule="auto"/>
        <w:rPr>
          <w:rFonts w:eastAsia="Times New Roman" w:cs="Arial"/>
          <w:color w:val="000000"/>
          <w:u w:val="single"/>
          <w:lang w:eastAsia="bg-BG"/>
        </w:rPr>
      </w:pPr>
    </w:p>
    <w:p w14:paraId="11D4519B" w14:textId="63B7714E"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Сулфанилурейни лекарствени продукти</w:t>
      </w:r>
      <w:r w:rsidRPr="005A5F0F">
        <w:rPr>
          <w:rFonts w:eastAsia="Times New Roman" w:cs="Arial"/>
          <w:color w:val="000000"/>
          <w:lang w:eastAsia="bg-BG"/>
        </w:rPr>
        <w:t xml:space="preserve">: установено е, че флуконазол удължава серумния полуживот на едновременно прилаганите перорални сулфанилурейни средства </w:t>
      </w:r>
      <w:r w:rsidRPr="005A5F0F">
        <w:rPr>
          <w:rFonts w:eastAsia="Times New Roman" w:cs="Arial"/>
          <w:color w:val="000000"/>
          <w:lang w:eastAsia="bg-BG"/>
        </w:rPr>
        <w:lastRenderedPageBreak/>
        <w:t>(напр. хлорпропамид, глибенкламид, глипизид, толбутамид) при здрави доброволци. По време на едновременно приложение се препоръчва често мониториране на кръвната захар и подходящо намаление на дозата на сулфанилурейния продукт.</w:t>
      </w:r>
    </w:p>
    <w:p w14:paraId="0581E83F" w14:textId="77777777" w:rsidR="005A5F0F" w:rsidRPr="005A5F0F" w:rsidRDefault="005A5F0F" w:rsidP="005A5F0F">
      <w:pPr>
        <w:spacing w:line="240" w:lineRule="auto"/>
        <w:rPr>
          <w:rFonts w:eastAsia="Times New Roman" w:cs="Arial"/>
          <w:color w:val="000000"/>
          <w:u w:val="single"/>
          <w:lang w:eastAsia="bg-BG"/>
        </w:rPr>
      </w:pPr>
    </w:p>
    <w:p w14:paraId="194B734A" w14:textId="06A866F1"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Теофилин:</w:t>
      </w:r>
      <w:r w:rsidRPr="005A5F0F">
        <w:rPr>
          <w:rFonts w:eastAsia="Times New Roman" w:cs="Arial"/>
          <w:color w:val="000000"/>
          <w:lang w:eastAsia="bg-BG"/>
        </w:rPr>
        <w:t xml:space="preserve"> в плацебо-контролирано проучване за взаимодействие приложението на флуконазол 200 </w:t>
      </w:r>
      <w:r w:rsidRPr="005A5F0F">
        <w:rPr>
          <w:rFonts w:eastAsia="Times New Roman" w:cs="Arial"/>
          <w:color w:val="000000"/>
          <w:lang w:val="en-US"/>
        </w:rPr>
        <w:t xml:space="preserve">mg </w:t>
      </w:r>
      <w:r w:rsidRPr="005A5F0F">
        <w:rPr>
          <w:rFonts w:eastAsia="Times New Roman" w:cs="Arial"/>
          <w:color w:val="000000"/>
          <w:lang w:eastAsia="bg-BG"/>
        </w:rPr>
        <w:t>за 14 дни води до намаление на средния плазмен клирънс на теофилин с 18%.</w:t>
      </w:r>
    </w:p>
    <w:p w14:paraId="7E929866" w14:textId="77777777" w:rsidR="005A5F0F" w:rsidRPr="005A5F0F" w:rsidRDefault="005A5F0F" w:rsidP="005A5F0F">
      <w:pPr>
        <w:spacing w:line="240" w:lineRule="auto"/>
        <w:rPr>
          <w:rFonts w:eastAsia="Times New Roman" w:cs="Arial"/>
          <w:lang w:eastAsia="bg-BG"/>
        </w:rPr>
      </w:pPr>
      <w:r w:rsidRPr="005A5F0F">
        <w:rPr>
          <w:rFonts w:eastAsia="Times New Roman" w:cs="Arial"/>
          <w:color w:val="000000"/>
          <w:lang w:eastAsia="bg-BG"/>
        </w:rPr>
        <w:t>Пациентите, които получават високи дози теофилин или които поради други причини са с висок риск от теофилинова токсичност, трябва да бъдат наблюдавани за признаци на теофилинова токсичност, докато приемат флуконазол. Терапията трябва да се модифицира, ако възникнат признаци на токсичност.</w:t>
      </w:r>
    </w:p>
    <w:p w14:paraId="40A7F680" w14:textId="77777777" w:rsidR="005A5F0F" w:rsidRPr="005A5F0F" w:rsidRDefault="005A5F0F" w:rsidP="005A5F0F">
      <w:pPr>
        <w:spacing w:line="240" w:lineRule="auto"/>
        <w:rPr>
          <w:rFonts w:eastAsia="Times New Roman" w:cs="Arial"/>
          <w:color w:val="000000"/>
          <w:u w:val="single"/>
          <w:lang w:eastAsia="bg-BG"/>
        </w:rPr>
      </w:pPr>
    </w:p>
    <w:p w14:paraId="58ED7BF0" w14:textId="72E46FF5"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Винка алкалоиди</w:t>
      </w:r>
      <w:r w:rsidRPr="005A5F0F">
        <w:rPr>
          <w:rFonts w:eastAsia="Times New Roman" w:cs="Arial"/>
          <w:color w:val="000000"/>
          <w:lang w:eastAsia="bg-BG"/>
        </w:rPr>
        <w:t xml:space="preserve">: въпреки че не е проучено, флуконазол може да повиши плазмените нива на винка алкалоидите (напр., винкристин и винбластин) и да доведе до невротоксичност, което е възможно поради инхибиращия ефект на </w:t>
      </w:r>
      <w:r w:rsidRPr="005A5F0F">
        <w:rPr>
          <w:rFonts w:eastAsia="Times New Roman" w:cs="Arial"/>
          <w:color w:val="000000"/>
          <w:lang w:val="en-US"/>
        </w:rPr>
        <w:t>CYP3A4.</w:t>
      </w:r>
    </w:p>
    <w:p w14:paraId="59A39052" w14:textId="77777777" w:rsidR="005A5F0F" w:rsidRPr="005A5F0F" w:rsidRDefault="005A5F0F" w:rsidP="005A5F0F">
      <w:pPr>
        <w:spacing w:line="240" w:lineRule="auto"/>
        <w:rPr>
          <w:rFonts w:eastAsia="Times New Roman" w:cs="Arial"/>
          <w:color w:val="000000"/>
          <w:u w:val="single"/>
          <w:lang w:eastAsia="bg-BG"/>
        </w:rPr>
      </w:pPr>
    </w:p>
    <w:p w14:paraId="29B87BD5" w14:textId="02B44ABB"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Витамин А</w:t>
      </w:r>
      <w:r w:rsidRPr="005A5F0F">
        <w:rPr>
          <w:rFonts w:eastAsia="Times New Roman" w:cs="Arial"/>
          <w:color w:val="000000"/>
          <w:lang w:eastAsia="bg-BG"/>
        </w:rPr>
        <w:t>: има съобщение при един пациент, приемащ комбинирана терапия с транс- ретиновдна киселина (киселинна форма на витамин А) и флуконазол, при който са възникнали нежелани лекарствени реакции, свързани с ЦНС под формата на церебрален псевдотумор, които са отзвучали при спиране на лечението с флуконазол. Тази комбинация може да се използва, но трябва да се има предвид риска за ЦНС нежелани реакции.</w:t>
      </w:r>
    </w:p>
    <w:p w14:paraId="34D24BD7" w14:textId="77777777" w:rsidR="005A5F0F" w:rsidRPr="005A5F0F" w:rsidRDefault="005A5F0F" w:rsidP="005A5F0F">
      <w:pPr>
        <w:spacing w:line="240" w:lineRule="auto"/>
        <w:rPr>
          <w:rFonts w:eastAsia="Times New Roman" w:cs="Arial"/>
          <w:color w:val="000000"/>
          <w:u w:val="single"/>
          <w:lang w:eastAsia="bg-BG"/>
        </w:rPr>
      </w:pPr>
    </w:p>
    <w:p w14:paraId="25736576" w14:textId="5D919371"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 xml:space="preserve">Вориконазол (инхибитор на </w:t>
      </w:r>
      <w:r w:rsidRPr="005A5F0F">
        <w:rPr>
          <w:rFonts w:eastAsia="Times New Roman" w:cs="Arial"/>
          <w:color w:val="000000"/>
          <w:u w:val="single"/>
          <w:lang w:val="en-US"/>
        </w:rPr>
        <w:t xml:space="preserve">CYP2C9, CYP2C19 </w:t>
      </w:r>
      <w:r w:rsidRPr="005A5F0F">
        <w:rPr>
          <w:rFonts w:eastAsia="Times New Roman" w:cs="Arial"/>
          <w:color w:val="000000"/>
          <w:u w:val="single"/>
          <w:lang w:eastAsia="bg-BG"/>
        </w:rPr>
        <w:t xml:space="preserve">и </w:t>
      </w:r>
      <w:r w:rsidRPr="005A5F0F">
        <w:rPr>
          <w:rFonts w:eastAsia="Times New Roman" w:cs="Arial"/>
          <w:color w:val="000000"/>
          <w:u w:val="single"/>
          <w:lang w:val="en-US"/>
        </w:rPr>
        <w:t>CYP3A4)</w:t>
      </w:r>
      <w:r w:rsidRPr="005A5F0F">
        <w:rPr>
          <w:rFonts w:eastAsia="Times New Roman" w:cs="Arial"/>
          <w:color w:val="000000"/>
          <w:lang w:val="en-US"/>
        </w:rPr>
        <w:t xml:space="preserve">: </w:t>
      </w:r>
      <w:r w:rsidRPr="005A5F0F">
        <w:rPr>
          <w:rFonts w:eastAsia="Times New Roman" w:cs="Arial"/>
          <w:color w:val="000000"/>
          <w:lang w:eastAsia="bg-BG"/>
        </w:rPr>
        <w:t xml:space="preserve">едновременното прилагане на вориконазол перорално (400 </w:t>
      </w:r>
      <w:r w:rsidRPr="005A5F0F">
        <w:rPr>
          <w:rFonts w:eastAsia="Times New Roman" w:cs="Arial"/>
          <w:color w:val="000000"/>
          <w:lang w:val="en-US"/>
        </w:rPr>
        <w:t xml:space="preserve">mg </w:t>
      </w:r>
      <w:r w:rsidRPr="005A5F0F">
        <w:rPr>
          <w:rFonts w:eastAsia="Times New Roman" w:cs="Arial"/>
          <w:color w:val="000000"/>
          <w:lang w:eastAsia="bg-BG"/>
        </w:rPr>
        <w:t xml:space="preserve">на 12 часа през първия ден, последвани от 200 </w:t>
      </w:r>
      <w:r w:rsidRPr="005A5F0F">
        <w:rPr>
          <w:rFonts w:eastAsia="Times New Roman" w:cs="Arial"/>
          <w:color w:val="000000"/>
          <w:lang w:val="en-US"/>
        </w:rPr>
        <w:t xml:space="preserve">mg </w:t>
      </w:r>
      <w:r w:rsidRPr="005A5F0F">
        <w:rPr>
          <w:rFonts w:eastAsia="Times New Roman" w:cs="Arial"/>
          <w:color w:val="000000"/>
          <w:lang w:eastAsia="bg-BG"/>
        </w:rPr>
        <w:t xml:space="preserve">на 12 часа за 2,5 дни) и флуконазол перорално (400 </w:t>
      </w:r>
      <w:r w:rsidRPr="005A5F0F">
        <w:rPr>
          <w:rFonts w:eastAsia="Times New Roman" w:cs="Arial"/>
          <w:color w:val="000000"/>
          <w:lang w:val="en-US"/>
        </w:rPr>
        <w:t xml:space="preserve">mg </w:t>
      </w:r>
      <w:r w:rsidRPr="005A5F0F">
        <w:rPr>
          <w:rFonts w:eastAsia="Times New Roman" w:cs="Arial"/>
          <w:color w:val="000000"/>
          <w:lang w:eastAsia="bg-BG"/>
        </w:rPr>
        <w:t xml:space="preserve">през първия ден, последвани от 200 </w:t>
      </w:r>
      <w:r w:rsidRPr="005A5F0F">
        <w:rPr>
          <w:rFonts w:eastAsia="Times New Roman" w:cs="Arial"/>
          <w:color w:val="000000"/>
          <w:lang w:val="en-US"/>
        </w:rPr>
        <w:t xml:space="preserve">mg </w:t>
      </w:r>
      <w:r w:rsidRPr="005A5F0F">
        <w:rPr>
          <w:rFonts w:eastAsia="Times New Roman" w:cs="Arial"/>
          <w:color w:val="000000"/>
          <w:lang w:eastAsia="bg-BG"/>
        </w:rPr>
        <w:t xml:space="preserve">дневно за 4 дни) на 8 здрави доброволци от мъжки пол, водят до повишаване на  </w:t>
      </w:r>
      <w:proofErr w:type="spellStart"/>
      <w:r w:rsidRPr="005A5F0F">
        <w:rPr>
          <w:rFonts w:eastAsia="Times New Roman" w:cs="Arial"/>
          <w:color w:val="000000"/>
          <w:lang w:val="en-US"/>
        </w:rPr>
        <w:t>C</w:t>
      </w:r>
      <w:r w:rsidRPr="005A5F0F">
        <w:rPr>
          <w:rFonts w:eastAsia="Times New Roman" w:cs="Arial"/>
          <w:color w:val="000000"/>
          <w:vertAlign w:val="subscript"/>
          <w:lang w:val="en-US"/>
        </w:rPr>
        <w:t>max</w:t>
      </w:r>
      <w:proofErr w:type="spellEnd"/>
      <w:r w:rsidRPr="005A5F0F">
        <w:rPr>
          <w:rFonts w:eastAsia="Times New Roman" w:cs="Arial"/>
          <w:color w:val="000000"/>
          <w:lang w:val="en-US"/>
        </w:rPr>
        <w:t xml:space="preserve"> </w:t>
      </w:r>
      <w:r w:rsidRPr="005A5F0F">
        <w:rPr>
          <w:rFonts w:eastAsia="Times New Roman" w:cs="Arial"/>
          <w:color w:val="000000"/>
          <w:lang w:eastAsia="bg-BG"/>
        </w:rPr>
        <w:t xml:space="preserve">и </w:t>
      </w:r>
      <w:r w:rsidRPr="005A5F0F">
        <w:rPr>
          <w:rFonts w:eastAsia="Times New Roman" w:cs="Arial"/>
          <w:color w:val="000000"/>
          <w:lang w:val="en-US"/>
        </w:rPr>
        <w:t xml:space="preserve">AUC </w:t>
      </w:r>
      <w:r w:rsidRPr="005A5F0F">
        <w:rPr>
          <w:rFonts w:eastAsia="Times New Roman" w:cs="Arial"/>
          <w:color w:val="000000"/>
          <w:lang w:eastAsia="bg-BG"/>
        </w:rPr>
        <w:t xml:space="preserve">на вориконазол средно с 57% (90% </w:t>
      </w:r>
      <w:r w:rsidRPr="005A5F0F">
        <w:rPr>
          <w:rFonts w:eastAsia="Times New Roman" w:cs="Arial"/>
          <w:color w:val="000000"/>
          <w:lang w:val="en-US"/>
        </w:rPr>
        <w:t xml:space="preserve">CI: </w:t>
      </w:r>
      <w:r w:rsidRPr="005A5F0F">
        <w:rPr>
          <w:rFonts w:eastAsia="Times New Roman" w:cs="Arial"/>
          <w:color w:val="000000"/>
          <w:lang w:eastAsia="bg-BG"/>
        </w:rPr>
        <w:t xml:space="preserve">20%, 107%) и съответно 79% (90% </w:t>
      </w:r>
      <w:r w:rsidRPr="005A5F0F">
        <w:rPr>
          <w:rFonts w:eastAsia="Times New Roman" w:cs="Arial"/>
          <w:color w:val="000000"/>
          <w:lang w:val="en-US"/>
        </w:rPr>
        <w:t xml:space="preserve">CI: </w:t>
      </w:r>
      <w:r w:rsidRPr="005A5F0F">
        <w:rPr>
          <w:rFonts w:eastAsia="Times New Roman" w:cs="Arial"/>
          <w:color w:val="000000"/>
          <w:lang w:eastAsia="bg-BG"/>
        </w:rPr>
        <w:t>40%, 128%). Не е установено какво намаляване на дозата/или честотата на вориконазол и флуконазол би елиминирало този ефект. Ако вориконазол се прилага непосредствено след флуконазол, се препоръчва проследяване на свързаните с вориконазол нежелани реакции.</w:t>
      </w:r>
    </w:p>
    <w:p w14:paraId="00913457" w14:textId="77777777" w:rsidR="005A5F0F" w:rsidRPr="005A5F0F" w:rsidRDefault="005A5F0F" w:rsidP="005A5F0F">
      <w:pPr>
        <w:spacing w:line="240" w:lineRule="auto"/>
        <w:rPr>
          <w:rFonts w:eastAsia="Times New Roman" w:cs="Arial"/>
          <w:color w:val="000000"/>
          <w:u w:val="single"/>
          <w:lang w:eastAsia="bg-BG"/>
        </w:rPr>
      </w:pPr>
    </w:p>
    <w:p w14:paraId="5708137E" w14:textId="76499976"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Зидовудин</w:t>
      </w:r>
      <w:r w:rsidRPr="005A5F0F">
        <w:rPr>
          <w:rFonts w:eastAsia="Times New Roman" w:cs="Arial"/>
          <w:color w:val="000000"/>
          <w:lang w:eastAsia="bg-BG"/>
        </w:rPr>
        <w:t xml:space="preserve">: флуконазол повишава и </w:t>
      </w:r>
      <w:r w:rsidRPr="005A5F0F">
        <w:rPr>
          <w:rFonts w:eastAsia="Times New Roman" w:cs="Arial"/>
          <w:color w:val="000000"/>
          <w:lang w:val="en-US"/>
        </w:rPr>
        <w:t xml:space="preserve">AUC </w:t>
      </w:r>
      <w:r w:rsidRPr="005A5F0F">
        <w:rPr>
          <w:rFonts w:eastAsia="Times New Roman" w:cs="Arial"/>
          <w:color w:val="000000"/>
          <w:lang w:eastAsia="bg-BG"/>
        </w:rPr>
        <w:t>на зидовудин с 84% и 74% съответно поради приблизително 45% намаление на пероралния клирънс на зидовудин. Полуживотът на зидовудин е също така удължен с приблизително 128% при комбинирана терапия с флуконазол. Пациентите, получаващи тази комбинация, трябва да бъдат наблюдавани за развитието на нежелани реакции, свързани със зидовудин. Може да се обмисли намаляване на дозата на зидовудин.</w:t>
      </w:r>
    </w:p>
    <w:p w14:paraId="47D2A6AE" w14:textId="77777777" w:rsidR="005A5F0F" w:rsidRPr="005A5F0F" w:rsidRDefault="005A5F0F" w:rsidP="005A5F0F">
      <w:pPr>
        <w:spacing w:line="240" w:lineRule="auto"/>
        <w:rPr>
          <w:rFonts w:eastAsia="Times New Roman" w:cs="Arial"/>
          <w:color w:val="000000"/>
          <w:u w:val="single"/>
          <w:lang w:eastAsia="bg-BG"/>
        </w:rPr>
      </w:pPr>
    </w:p>
    <w:p w14:paraId="6BE0A861" w14:textId="37620E7D"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Азитромицин</w:t>
      </w:r>
      <w:r w:rsidRPr="005A5F0F">
        <w:rPr>
          <w:rFonts w:eastAsia="Times New Roman" w:cs="Arial"/>
          <w:color w:val="000000"/>
          <w:lang w:eastAsia="bg-BG"/>
        </w:rPr>
        <w:t xml:space="preserve">: в открито, рандомизирано, тройно-кръстосано проучване при 18 здрави доброволци е оценен ефектът на единична перорална доза азитромицин 1200 </w:t>
      </w:r>
      <w:r w:rsidRPr="005A5F0F">
        <w:rPr>
          <w:rFonts w:eastAsia="Times New Roman" w:cs="Arial"/>
          <w:color w:val="000000"/>
          <w:lang w:val="en-US"/>
        </w:rPr>
        <w:t xml:space="preserve">mg </w:t>
      </w:r>
      <w:r w:rsidRPr="005A5F0F">
        <w:rPr>
          <w:rFonts w:eastAsia="Times New Roman" w:cs="Arial"/>
          <w:color w:val="000000"/>
          <w:lang w:eastAsia="bg-BG"/>
        </w:rPr>
        <w:t xml:space="preserve">върху фармакокинетиката на единична перорална доза флуконазол 800 </w:t>
      </w:r>
      <w:r w:rsidRPr="005A5F0F">
        <w:rPr>
          <w:rFonts w:eastAsia="Times New Roman" w:cs="Arial"/>
          <w:color w:val="000000"/>
          <w:lang w:val="en-US"/>
        </w:rPr>
        <w:t xml:space="preserve">mg, </w:t>
      </w:r>
      <w:r w:rsidRPr="005A5F0F">
        <w:rPr>
          <w:rFonts w:eastAsia="Times New Roman" w:cs="Arial"/>
          <w:color w:val="000000"/>
          <w:lang w:eastAsia="bg-BG"/>
        </w:rPr>
        <w:t>както и ефектите на флуконазол върху фармакокинетиката на азитромицин. Не е установено сигнификантно фармакокинетично взаимодействие между флуконазол и азитромицин.</w:t>
      </w:r>
    </w:p>
    <w:p w14:paraId="5BC1DDAD" w14:textId="77777777" w:rsidR="005A5F0F" w:rsidRPr="005A5F0F" w:rsidRDefault="005A5F0F" w:rsidP="005A5F0F">
      <w:pPr>
        <w:spacing w:line="240" w:lineRule="auto"/>
        <w:rPr>
          <w:rFonts w:eastAsia="Times New Roman" w:cs="Arial"/>
          <w:color w:val="000000"/>
          <w:u w:val="single"/>
          <w:lang w:eastAsia="bg-BG"/>
        </w:rPr>
      </w:pPr>
    </w:p>
    <w:p w14:paraId="24A888C0" w14:textId="38DEF09F"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Перорални контрацептиви</w:t>
      </w:r>
      <w:r w:rsidRPr="005A5F0F">
        <w:rPr>
          <w:rFonts w:eastAsia="Times New Roman" w:cs="Arial"/>
          <w:color w:val="000000"/>
          <w:lang w:eastAsia="bg-BG"/>
        </w:rPr>
        <w:t xml:space="preserve">: проведени са две фармакокинетични проучвания с комбинирани перорални контрацептиви и многократни дози флуконазол. Не са установени значими ефекти върху хормоналното ниво при проучването с 50 </w:t>
      </w:r>
      <w:r w:rsidRPr="005A5F0F">
        <w:rPr>
          <w:rFonts w:eastAsia="Times New Roman" w:cs="Arial"/>
          <w:color w:val="000000"/>
          <w:lang w:val="en-US"/>
        </w:rPr>
        <w:t xml:space="preserve">mg </w:t>
      </w:r>
      <w:r w:rsidRPr="005A5F0F">
        <w:rPr>
          <w:rFonts w:eastAsia="Times New Roman" w:cs="Arial"/>
          <w:color w:val="000000"/>
          <w:lang w:eastAsia="bg-BG"/>
        </w:rPr>
        <w:t xml:space="preserve">флуконазол, докато при 200 </w:t>
      </w:r>
      <w:r w:rsidRPr="005A5F0F">
        <w:rPr>
          <w:rFonts w:eastAsia="Times New Roman" w:cs="Arial"/>
          <w:color w:val="000000"/>
          <w:lang w:val="en-US"/>
        </w:rPr>
        <w:t xml:space="preserve">mg </w:t>
      </w:r>
      <w:r w:rsidRPr="005A5F0F">
        <w:rPr>
          <w:rFonts w:eastAsia="Times New Roman" w:cs="Arial"/>
          <w:color w:val="000000"/>
          <w:lang w:eastAsia="bg-BG"/>
        </w:rPr>
        <w:t xml:space="preserve">дневно площта под кривата на етинилестрадиол и левоноргестрел е нараснала съответно с 40% и 24%. Следователно не може да се очаква </w:t>
      </w:r>
      <w:r w:rsidRPr="005A5F0F">
        <w:rPr>
          <w:rFonts w:eastAsia="Times New Roman" w:cs="Arial"/>
          <w:color w:val="000000"/>
          <w:lang w:eastAsia="bg-BG"/>
        </w:rPr>
        <w:lastRenderedPageBreak/>
        <w:t>многократно прилаганият в такива дози флуконазол да има</w:t>
      </w:r>
      <w:r w:rsidRPr="005A5F0F">
        <w:rPr>
          <w:rFonts w:eastAsia="Times New Roman" w:cs="Arial"/>
          <w:color w:val="000000"/>
          <w:u w:val="single"/>
          <w:lang w:eastAsia="bg-BG"/>
        </w:rPr>
        <w:t xml:space="preserve"> </w:t>
      </w:r>
      <w:r w:rsidRPr="005A5F0F">
        <w:rPr>
          <w:rFonts w:eastAsia="Times New Roman" w:cs="Arial"/>
          <w:color w:val="000000"/>
          <w:lang w:eastAsia="bg-BG"/>
        </w:rPr>
        <w:t>неблагоприятен ефект върху ефективността на комбинираните перорални концентрация.</w:t>
      </w:r>
    </w:p>
    <w:p w14:paraId="6187FC17" w14:textId="77777777" w:rsidR="005A5F0F" w:rsidRPr="005A5F0F" w:rsidRDefault="005A5F0F" w:rsidP="005A5F0F">
      <w:pPr>
        <w:spacing w:line="240" w:lineRule="auto"/>
        <w:rPr>
          <w:rFonts w:eastAsia="Times New Roman" w:cs="Arial"/>
          <w:color w:val="000000"/>
          <w:u w:val="single"/>
          <w:lang w:eastAsia="bg-BG"/>
        </w:rPr>
      </w:pPr>
    </w:p>
    <w:p w14:paraId="17698D4A" w14:textId="496045F7"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Ивакафтор:</w:t>
      </w:r>
      <w:r w:rsidRPr="005A5F0F">
        <w:rPr>
          <w:rFonts w:eastAsia="Times New Roman" w:cs="Arial"/>
          <w:color w:val="000000"/>
          <w:lang w:eastAsia="bg-BG"/>
        </w:rPr>
        <w:t xml:space="preserve"> едновременното приложение с ивакафтор, потенциатор на трансмемембранния регулаторен белтък, наречен </w:t>
      </w:r>
      <w:r w:rsidRPr="005A5F0F">
        <w:rPr>
          <w:rFonts w:eastAsia="Times New Roman" w:cs="Arial"/>
          <w:color w:val="000000"/>
          <w:lang w:val="en-US"/>
        </w:rPr>
        <w:t>CFTR</w:t>
      </w:r>
      <w:r w:rsidRPr="005A5F0F">
        <w:rPr>
          <w:rFonts w:eastAsia="Times New Roman" w:cs="Arial"/>
          <w:color w:val="000000"/>
          <w:lang w:eastAsia="bg-BG"/>
        </w:rPr>
        <w:t xml:space="preserve">-протеин </w:t>
      </w:r>
      <w:r w:rsidRPr="005A5F0F">
        <w:rPr>
          <w:rFonts w:eastAsia="Times New Roman" w:cs="Arial"/>
          <w:color w:val="000000"/>
          <w:lang w:val="en-US"/>
        </w:rPr>
        <w:t xml:space="preserve">(Cystic Fibrosis Transmembrane Conductance  Regulator) </w:t>
      </w:r>
      <w:r w:rsidRPr="005A5F0F">
        <w:rPr>
          <w:rFonts w:eastAsia="Times New Roman" w:cs="Arial"/>
          <w:color w:val="000000"/>
          <w:lang w:eastAsia="bg-BG"/>
        </w:rPr>
        <w:t xml:space="preserve">повишава 3 пъти експозицията на ивакафтор и 1,9 пъти експозицията на хидроксиметил-ивакафтор </w:t>
      </w:r>
      <w:r w:rsidRPr="005A5F0F">
        <w:rPr>
          <w:rFonts w:eastAsia="Times New Roman" w:cs="Arial"/>
          <w:color w:val="000000"/>
          <w:lang w:val="en-US"/>
        </w:rPr>
        <w:t xml:space="preserve">(M1). </w:t>
      </w:r>
      <w:r w:rsidRPr="005A5F0F">
        <w:rPr>
          <w:rFonts w:eastAsia="Times New Roman" w:cs="Arial"/>
          <w:color w:val="000000"/>
          <w:lang w:eastAsia="bg-BG"/>
        </w:rPr>
        <w:t xml:space="preserve">Препоръчва се намаляване на дозата на ивакафтор до 150 </w:t>
      </w:r>
      <w:r w:rsidRPr="005A5F0F">
        <w:rPr>
          <w:rFonts w:eastAsia="Times New Roman" w:cs="Arial"/>
          <w:color w:val="000000"/>
          <w:lang w:val="en-US"/>
        </w:rPr>
        <w:t xml:space="preserve">mg </w:t>
      </w:r>
      <w:r w:rsidRPr="005A5F0F">
        <w:rPr>
          <w:rFonts w:cs="Arial"/>
        </w:rPr>
        <w:t xml:space="preserve">веднъж дневно при пациенти, приемащи едновременно умерени </w:t>
      </w:r>
      <w:r w:rsidRPr="005A5F0F">
        <w:rPr>
          <w:rFonts w:cs="Arial"/>
          <w:lang w:val="en-US"/>
        </w:rPr>
        <w:t xml:space="preserve">CYP3A </w:t>
      </w:r>
      <w:r w:rsidRPr="005A5F0F">
        <w:rPr>
          <w:rFonts w:cs="Arial"/>
        </w:rPr>
        <w:t>инхибитори, като флуконазол и еритромицин.</w:t>
      </w:r>
    </w:p>
    <w:p w14:paraId="7B9CDEA3" w14:textId="77777777" w:rsidR="005A5F0F" w:rsidRPr="0091385D" w:rsidRDefault="005A5F0F"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02EF2B5D" w14:textId="77777777" w:rsidR="005A5F0F" w:rsidRPr="005A5F0F" w:rsidRDefault="005A5F0F" w:rsidP="005A5F0F">
      <w:pPr>
        <w:pStyle w:val="Heading3"/>
        <w:rPr>
          <w:rFonts w:eastAsia="Times New Roman"/>
          <w:u w:val="single"/>
          <w:lang w:eastAsia="bg-BG"/>
        </w:rPr>
      </w:pPr>
      <w:r w:rsidRPr="005A5F0F">
        <w:rPr>
          <w:rFonts w:eastAsia="Times New Roman"/>
          <w:u w:val="single"/>
          <w:lang w:eastAsia="bg-BG"/>
        </w:rPr>
        <w:t>Бременност</w:t>
      </w:r>
    </w:p>
    <w:p w14:paraId="7B5D2210" w14:textId="77777777" w:rsidR="005A5F0F" w:rsidRPr="005A5F0F" w:rsidRDefault="005A5F0F" w:rsidP="005A5F0F">
      <w:pPr>
        <w:spacing w:line="240" w:lineRule="auto"/>
        <w:rPr>
          <w:rFonts w:eastAsia="Times New Roman" w:cs="Arial"/>
          <w:color w:val="000000"/>
          <w:lang w:eastAsia="bg-BG"/>
        </w:rPr>
      </w:pPr>
    </w:p>
    <w:p w14:paraId="2C5F40FD" w14:textId="42E58CF3"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Едно обсервационно проучване показва наличие на увеличен риск от спонтанен аборт при жени, лекувани с флуконазол през първото тримесечие.</w:t>
      </w:r>
    </w:p>
    <w:p w14:paraId="3FBCA3D2" w14:textId="77777777" w:rsidR="005A5F0F" w:rsidRPr="005A5F0F" w:rsidRDefault="005A5F0F" w:rsidP="005A5F0F">
      <w:pPr>
        <w:spacing w:line="240" w:lineRule="auto"/>
        <w:rPr>
          <w:rFonts w:eastAsia="Times New Roman" w:cs="Arial"/>
          <w:color w:val="000000"/>
          <w:lang w:eastAsia="bg-BG"/>
        </w:rPr>
      </w:pPr>
    </w:p>
    <w:p w14:paraId="5D4CF836" w14:textId="3E6B9194"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 xml:space="preserve">Данните от няколко хиляди бременни жени, лекувани с кумулативна доза ≤150 </w:t>
      </w:r>
      <w:r w:rsidRPr="005A5F0F">
        <w:rPr>
          <w:rFonts w:eastAsia="Times New Roman" w:cs="Arial"/>
          <w:color w:val="000000"/>
          <w:lang w:val="en-US"/>
        </w:rPr>
        <w:t xml:space="preserve">mg </w:t>
      </w:r>
      <w:r w:rsidRPr="005A5F0F">
        <w:rPr>
          <w:rFonts w:eastAsia="Times New Roman" w:cs="Arial"/>
          <w:color w:val="000000"/>
          <w:lang w:eastAsia="bg-BG"/>
        </w:rPr>
        <w:t xml:space="preserve">флуконазол, приложени през първия триместър, не показват повишение на общия риск от малформации на фетуса. В едно голямо обсервационно кохортно проучване експозицията на перорален флуконазол през първия триместьр се свързва с леко повишен риск от мускулно-скелетни малформации, съответстващи на приблизително 1 допълнителен случай на 1 000 жени, лекувани с кумулативни дози &lt;450 </w:t>
      </w:r>
      <w:r w:rsidRPr="005A5F0F">
        <w:rPr>
          <w:rFonts w:eastAsia="Times New Roman" w:cs="Arial"/>
          <w:color w:val="000000"/>
          <w:lang w:val="en-US"/>
        </w:rPr>
        <w:t xml:space="preserve">mg, </w:t>
      </w:r>
      <w:r w:rsidRPr="005A5F0F">
        <w:rPr>
          <w:rFonts w:eastAsia="Times New Roman" w:cs="Arial"/>
          <w:color w:val="000000"/>
          <w:lang w:eastAsia="bg-BG"/>
        </w:rPr>
        <w:t xml:space="preserve">в сравнение с жени, лекувани с азоли за локално приложение, и на приблизително 4 допълнителни случая на 1 000 жени, лекувани с кумулативни дози над 450 </w:t>
      </w:r>
      <w:r w:rsidRPr="005A5F0F">
        <w:rPr>
          <w:rFonts w:eastAsia="Times New Roman" w:cs="Arial"/>
          <w:color w:val="000000"/>
          <w:lang w:val="en-US"/>
        </w:rPr>
        <w:t xml:space="preserve">mg. </w:t>
      </w:r>
      <w:r w:rsidRPr="005A5F0F">
        <w:rPr>
          <w:rFonts w:eastAsia="Times New Roman" w:cs="Arial"/>
          <w:color w:val="000000"/>
          <w:lang w:eastAsia="bg-BG"/>
        </w:rPr>
        <w:t xml:space="preserve">Коригираният относителен риск е 1,29 (95% </w:t>
      </w:r>
      <w:r w:rsidRPr="005A5F0F">
        <w:rPr>
          <w:rFonts w:eastAsia="Times New Roman" w:cs="Arial"/>
          <w:color w:val="000000"/>
          <w:lang w:val="en-US"/>
        </w:rPr>
        <w:t xml:space="preserve">CI </w:t>
      </w:r>
      <w:r w:rsidRPr="005A5F0F">
        <w:rPr>
          <w:rFonts w:eastAsia="Times New Roman" w:cs="Arial"/>
          <w:color w:val="000000"/>
          <w:lang w:eastAsia="bg-BG"/>
        </w:rPr>
        <w:t xml:space="preserve">1,05 до 1,58) за 150 </w:t>
      </w:r>
      <w:r w:rsidRPr="005A5F0F">
        <w:rPr>
          <w:rFonts w:eastAsia="Times New Roman" w:cs="Arial"/>
          <w:color w:val="000000"/>
          <w:lang w:val="en-US"/>
        </w:rPr>
        <w:t xml:space="preserve">mg </w:t>
      </w:r>
      <w:r w:rsidRPr="005A5F0F">
        <w:rPr>
          <w:rFonts w:eastAsia="Times New Roman" w:cs="Arial"/>
          <w:color w:val="000000"/>
          <w:lang w:eastAsia="bg-BG"/>
        </w:rPr>
        <w:t xml:space="preserve">перорален флуконазол и 1,98 (95% </w:t>
      </w:r>
      <w:r w:rsidRPr="005A5F0F">
        <w:rPr>
          <w:rFonts w:eastAsia="Times New Roman" w:cs="Arial"/>
          <w:color w:val="000000"/>
          <w:lang w:val="en-US"/>
        </w:rPr>
        <w:t xml:space="preserve">CI </w:t>
      </w:r>
      <w:r w:rsidRPr="005A5F0F">
        <w:rPr>
          <w:rFonts w:eastAsia="Times New Roman" w:cs="Arial"/>
          <w:color w:val="000000"/>
          <w:lang w:eastAsia="bg-BG"/>
        </w:rPr>
        <w:t xml:space="preserve">1,23 до 3,17) за дози над 450 </w:t>
      </w:r>
      <w:r w:rsidRPr="005A5F0F">
        <w:rPr>
          <w:rFonts w:eastAsia="Times New Roman" w:cs="Arial"/>
          <w:color w:val="000000"/>
          <w:lang w:val="en-US"/>
        </w:rPr>
        <w:t xml:space="preserve">mg </w:t>
      </w:r>
      <w:r w:rsidRPr="005A5F0F">
        <w:rPr>
          <w:rFonts w:eastAsia="Times New Roman" w:cs="Arial"/>
          <w:color w:val="000000"/>
          <w:lang w:eastAsia="bg-BG"/>
        </w:rPr>
        <w:t>флуконазол.</w:t>
      </w:r>
    </w:p>
    <w:p w14:paraId="735FD497" w14:textId="77777777" w:rsidR="005A5F0F" w:rsidRPr="005A5F0F" w:rsidRDefault="005A5F0F" w:rsidP="005A5F0F">
      <w:pPr>
        <w:spacing w:line="240" w:lineRule="auto"/>
        <w:rPr>
          <w:rFonts w:eastAsia="Times New Roman" w:cs="Arial"/>
          <w:color w:val="000000"/>
          <w:lang w:eastAsia="bg-BG"/>
        </w:rPr>
      </w:pPr>
    </w:p>
    <w:p w14:paraId="6CDB1957" w14:textId="62C67ABF"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 xml:space="preserve">Има съобщения за множество вродени аномалии (включително брахицефалия, дисплазия на ушните миди, голяма предна фонтанела, деформация на фемура и радио-хумерална синостоза) при деца, чиито майки са лекувани за най-малко три месеца с високи дози (400-800 </w:t>
      </w:r>
      <w:r w:rsidRPr="005A5F0F">
        <w:rPr>
          <w:rFonts w:eastAsia="Times New Roman" w:cs="Arial"/>
          <w:color w:val="000000"/>
          <w:lang w:val="en-US"/>
        </w:rPr>
        <w:t>mg</w:t>
      </w:r>
      <w:r w:rsidRPr="005A5F0F">
        <w:rPr>
          <w:rFonts w:eastAsia="Times New Roman" w:cs="Arial"/>
          <w:color w:val="000000"/>
          <w:lang w:eastAsia="bg-BG"/>
        </w:rPr>
        <w:t>/дневно) флуконазол за кокцидиоидомикоза. Връзката между употребата на флуконазол и тези събития не е ясна.</w:t>
      </w:r>
    </w:p>
    <w:p w14:paraId="2CCD8079" w14:textId="77777777" w:rsidR="005A5F0F" w:rsidRPr="005A5F0F" w:rsidRDefault="005A5F0F" w:rsidP="005A5F0F">
      <w:pPr>
        <w:spacing w:line="240" w:lineRule="auto"/>
        <w:rPr>
          <w:rFonts w:eastAsia="Times New Roman" w:cs="Arial"/>
          <w:color w:val="000000"/>
          <w:lang w:eastAsia="bg-BG"/>
        </w:rPr>
      </w:pPr>
    </w:p>
    <w:p w14:paraId="2C6803C3" w14:textId="542BBBB9"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Проучванията при животни са показали репродуктивна токсичност (вж. точка 5.3).</w:t>
      </w:r>
    </w:p>
    <w:p w14:paraId="2D650BB6" w14:textId="77777777"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Флуконазол в обичайни дозировки и краткотрайно лечение не трябва да се прилага при бременни, освен ако не е наложително.</w:t>
      </w:r>
    </w:p>
    <w:p w14:paraId="379B1970" w14:textId="77777777" w:rsidR="005A5F0F" w:rsidRPr="005A5F0F" w:rsidRDefault="005A5F0F" w:rsidP="005A5F0F">
      <w:pPr>
        <w:spacing w:line="240" w:lineRule="auto"/>
        <w:rPr>
          <w:rFonts w:eastAsia="Times New Roman" w:cs="Arial"/>
          <w:color w:val="000000"/>
          <w:lang w:eastAsia="bg-BG"/>
        </w:rPr>
      </w:pPr>
    </w:p>
    <w:p w14:paraId="187EFD9E" w14:textId="4B8B3C74"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Флуконазол във високи дози и/или продължителни терапевтични схеми не бива да се прилагат по време на бременност, освен при потенциално животозастрашаващи инфекции.</w:t>
      </w:r>
    </w:p>
    <w:p w14:paraId="3231AB96" w14:textId="77777777" w:rsidR="005A5F0F" w:rsidRPr="005A5F0F" w:rsidRDefault="005A5F0F" w:rsidP="005A5F0F">
      <w:pPr>
        <w:spacing w:line="240" w:lineRule="auto"/>
        <w:rPr>
          <w:rFonts w:eastAsia="Times New Roman" w:cs="Arial"/>
          <w:color w:val="000000"/>
          <w:u w:val="single"/>
          <w:lang w:eastAsia="bg-BG"/>
        </w:rPr>
      </w:pPr>
    </w:p>
    <w:p w14:paraId="5AD44839" w14:textId="3EF0AD35" w:rsidR="005A5F0F" w:rsidRPr="005A5F0F" w:rsidRDefault="005A5F0F" w:rsidP="005A5F0F">
      <w:pPr>
        <w:pStyle w:val="Heading3"/>
        <w:rPr>
          <w:rFonts w:eastAsia="Times New Roman"/>
          <w:u w:val="single"/>
          <w:lang w:eastAsia="bg-BG"/>
        </w:rPr>
      </w:pPr>
      <w:r w:rsidRPr="005A5F0F">
        <w:rPr>
          <w:rFonts w:eastAsia="Times New Roman"/>
          <w:u w:val="single"/>
          <w:lang w:eastAsia="bg-BG"/>
        </w:rPr>
        <w:t>Къ</w:t>
      </w:r>
      <w:bookmarkStart w:id="2" w:name="_GoBack"/>
      <w:bookmarkEnd w:id="2"/>
      <w:r w:rsidRPr="005A5F0F">
        <w:rPr>
          <w:rFonts w:eastAsia="Times New Roman"/>
          <w:u w:val="single"/>
          <w:lang w:eastAsia="bg-BG"/>
        </w:rPr>
        <w:t>рмене</w:t>
      </w:r>
    </w:p>
    <w:p w14:paraId="1CE3AAE5" w14:textId="77777777"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 xml:space="preserve">Флуконазол преминава в кърмата и достига концентрации по-ниски от тези в плазмата. Кърменето може да не се спира при еднократен прием на стандартна доза от 200 </w:t>
      </w:r>
      <w:r w:rsidRPr="005A5F0F">
        <w:rPr>
          <w:rFonts w:eastAsia="Times New Roman" w:cs="Arial"/>
          <w:color w:val="000000"/>
          <w:lang w:val="en-US"/>
        </w:rPr>
        <w:t xml:space="preserve">mg </w:t>
      </w:r>
      <w:r w:rsidRPr="005A5F0F">
        <w:rPr>
          <w:rFonts w:eastAsia="Times New Roman" w:cs="Arial"/>
          <w:color w:val="000000"/>
          <w:lang w:eastAsia="bg-BG"/>
        </w:rPr>
        <w:t>флуконазол или по-малко. Кърменето не се препоръчва при прием на многократни дози или на високи дози флуконазол.</w:t>
      </w:r>
    </w:p>
    <w:p w14:paraId="5E5D78C8" w14:textId="77777777" w:rsidR="005A5F0F" w:rsidRPr="005A5F0F" w:rsidRDefault="005A5F0F" w:rsidP="005A5F0F">
      <w:pPr>
        <w:spacing w:line="240" w:lineRule="auto"/>
        <w:rPr>
          <w:rFonts w:eastAsia="Times New Roman" w:cs="Arial"/>
          <w:color w:val="000000"/>
          <w:u w:val="single"/>
          <w:lang w:eastAsia="bg-BG"/>
        </w:rPr>
      </w:pPr>
    </w:p>
    <w:p w14:paraId="651FD427" w14:textId="36907175" w:rsidR="005A5F0F" w:rsidRPr="005A5F0F" w:rsidRDefault="005A5F0F" w:rsidP="005A5F0F">
      <w:pPr>
        <w:pStyle w:val="Heading3"/>
        <w:rPr>
          <w:rFonts w:eastAsia="Times New Roman"/>
          <w:u w:val="single"/>
          <w:lang w:eastAsia="bg-BG"/>
        </w:rPr>
      </w:pPr>
      <w:r w:rsidRPr="005A5F0F">
        <w:rPr>
          <w:rFonts w:eastAsia="Times New Roman"/>
          <w:u w:val="single"/>
          <w:lang w:eastAsia="bg-BG"/>
        </w:rPr>
        <w:lastRenderedPageBreak/>
        <w:t>Фертилитет</w:t>
      </w:r>
    </w:p>
    <w:p w14:paraId="102F0D07" w14:textId="111AC884" w:rsidR="007A2185" w:rsidRPr="005A5F0F" w:rsidRDefault="005A5F0F" w:rsidP="005A5F0F">
      <w:pPr>
        <w:rPr>
          <w:rFonts w:cs="Arial"/>
        </w:rPr>
      </w:pPr>
      <w:r w:rsidRPr="005A5F0F">
        <w:rPr>
          <w:rFonts w:eastAsia="Times New Roman" w:cs="Arial"/>
          <w:color w:val="000000"/>
          <w:lang w:eastAsia="bg-BG"/>
        </w:rPr>
        <w:t>Флуконазол не влияе върху фертилитета на мъжки или женски плъхове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6474ACD4" w:rsidR="007A2185" w:rsidRDefault="005A5F0F" w:rsidP="0091385D">
      <w:r>
        <w:t>Не са провеждани проучвания за ефекта на флуконазол върху способността за шофиране и работа с машини. Пациентите трябва да бъдат предупредени за евентуална поява на замаяност или припадъци (вж. точка 4.8) по време на лечението с Фунгокап и трябва да бъдат посъветвани да не шофират и да не работят с машини, ако проявят някой от тези симптоми.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254AACC" w14:textId="381F6379" w:rsidR="007A2185" w:rsidRDefault="005A5F0F" w:rsidP="0091385D">
      <w:r>
        <w:t xml:space="preserve">Най-честите нежелани лекарствени реакции (&gt;1/10), за които се съобщава са главоболие, коремна болка, диария, гадене, повръщане, повишени стойности на серумната аланин аминотрансфераза, повишени стойности на серумната аспартат аминотрансфераза, повишени стойности на алкалната фосфатаза и обрив. Съобщава се за лекарствена реакция с еозинофилия. и системни симптоми </w:t>
      </w:r>
      <w:r>
        <w:rPr>
          <w:lang w:val="en-US"/>
        </w:rPr>
        <w:t xml:space="preserve">(DRESS) </w:t>
      </w:r>
      <w:r>
        <w:t>във връзка с лечението с флуконазол (вж. точка 4.4).</w:t>
      </w:r>
    </w:p>
    <w:p w14:paraId="2737FABE" w14:textId="299B0013" w:rsidR="005A5F0F" w:rsidRDefault="005A5F0F" w:rsidP="0091385D"/>
    <w:p w14:paraId="3A5EA375" w14:textId="20A45F33" w:rsidR="005A5F0F" w:rsidRDefault="005A5F0F" w:rsidP="0091385D">
      <w:r>
        <w:t>Следните нежелани лекарствени реакции са били наблюдавани и съобщавани по време на лечението с флуконазол със следните честоти: много чести: (≥1/10); чести: (≥1/100 и &lt;1/10); нечести: (≥ 1/1000 и &lt;1/100); редки: (≥ 1/10,000 и &lt;1/1000); много редки: (&lt; 1/10,000), с неизвестна честота (от наличните данни не може да бъде направена оценка).</w:t>
      </w:r>
    </w:p>
    <w:p w14:paraId="5CE4DCF3" w14:textId="52FD43AC" w:rsidR="005A5F0F" w:rsidRDefault="005A5F0F" w:rsidP="0091385D"/>
    <w:tbl>
      <w:tblPr>
        <w:tblStyle w:val="TableGrid"/>
        <w:tblW w:w="0" w:type="auto"/>
        <w:tblLook w:val="04A0" w:firstRow="1" w:lastRow="0" w:firstColumn="1" w:lastColumn="0" w:noHBand="0" w:noVBand="1"/>
      </w:tblPr>
      <w:tblGrid>
        <w:gridCol w:w="1979"/>
        <w:gridCol w:w="1702"/>
        <w:gridCol w:w="1956"/>
        <w:gridCol w:w="2141"/>
        <w:gridCol w:w="1572"/>
      </w:tblGrid>
      <w:tr w:rsidR="005A5F0F" w14:paraId="3710005E" w14:textId="77777777" w:rsidTr="005A5F0F">
        <w:tc>
          <w:tcPr>
            <w:tcW w:w="2020" w:type="dxa"/>
          </w:tcPr>
          <w:p w14:paraId="09652DB1" w14:textId="4DFE5389" w:rsidR="005A5F0F" w:rsidRDefault="005A5F0F" w:rsidP="005A5F0F">
            <w:r>
              <w:rPr>
                <w:b/>
                <w:bCs/>
              </w:rPr>
              <w:t>Системо- органен клас</w:t>
            </w:r>
          </w:p>
        </w:tc>
        <w:tc>
          <w:tcPr>
            <w:tcW w:w="1652" w:type="dxa"/>
          </w:tcPr>
          <w:p w14:paraId="099697F3" w14:textId="30D77CEC" w:rsidR="005A5F0F" w:rsidRDefault="005A5F0F" w:rsidP="005A5F0F">
            <w:r>
              <w:rPr>
                <w:b/>
                <w:bCs/>
              </w:rPr>
              <w:t>Чести</w:t>
            </w:r>
          </w:p>
        </w:tc>
        <w:tc>
          <w:tcPr>
            <w:tcW w:w="1996" w:type="dxa"/>
          </w:tcPr>
          <w:p w14:paraId="7150050A" w14:textId="55E02E84" w:rsidR="005A5F0F" w:rsidRDefault="005A5F0F" w:rsidP="005A5F0F">
            <w:r>
              <w:rPr>
                <w:b/>
                <w:bCs/>
              </w:rPr>
              <w:t>Нечести</w:t>
            </w:r>
          </w:p>
        </w:tc>
        <w:tc>
          <w:tcPr>
            <w:tcW w:w="1871" w:type="dxa"/>
          </w:tcPr>
          <w:p w14:paraId="25DE4094" w14:textId="1465746B" w:rsidR="005A5F0F" w:rsidRDefault="005A5F0F" w:rsidP="005A5F0F">
            <w:r>
              <w:rPr>
                <w:b/>
                <w:bCs/>
              </w:rPr>
              <w:t>Редки</w:t>
            </w:r>
          </w:p>
        </w:tc>
        <w:tc>
          <w:tcPr>
            <w:tcW w:w="1811" w:type="dxa"/>
          </w:tcPr>
          <w:p w14:paraId="5A602FA0" w14:textId="132FE705" w:rsidR="005A5F0F" w:rsidRDefault="005A5F0F" w:rsidP="005A5F0F">
            <w:r>
              <w:rPr>
                <w:b/>
                <w:bCs/>
              </w:rPr>
              <w:t>С неизвестна честота</w:t>
            </w:r>
          </w:p>
        </w:tc>
      </w:tr>
      <w:tr w:rsidR="005A5F0F" w14:paraId="351D249F" w14:textId="77777777" w:rsidTr="005A5F0F">
        <w:tc>
          <w:tcPr>
            <w:tcW w:w="2020" w:type="dxa"/>
          </w:tcPr>
          <w:p w14:paraId="7BEAD78F" w14:textId="2FBE5C7F" w:rsidR="005A5F0F" w:rsidRDefault="005A5F0F" w:rsidP="005A5F0F">
            <w:r>
              <w:rPr>
                <w:b/>
                <w:bCs/>
              </w:rPr>
              <w:t>Нарушения на кръвта и лимфната система</w:t>
            </w:r>
          </w:p>
        </w:tc>
        <w:tc>
          <w:tcPr>
            <w:tcW w:w="1652" w:type="dxa"/>
          </w:tcPr>
          <w:p w14:paraId="7B5C78BD" w14:textId="77777777" w:rsidR="005A5F0F" w:rsidRDefault="005A5F0F" w:rsidP="005A5F0F"/>
        </w:tc>
        <w:tc>
          <w:tcPr>
            <w:tcW w:w="1996" w:type="dxa"/>
          </w:tcPr>
          <w:p w14:paraId="2590EB2A" w14:textId="34EF3806" w:rsidR="005A5F0F" w:rsidRDefault="005A5F0F" w:rsidP="005A5F0F">
            <w:r>
              <w:t>Анемия</w:t>
            </w:r>
          </w:p>
        </w:tc>
        <w:tc>
          <w:tcPr>
            <w:tcW w:w="1871" w:type="dxa"/>
          </w:tcPr>
          <w:p w14:paraId="439A7184" w14:textId="58450762" w:rsidR="005A5F0F" w:rsidRDefault="005A5F0F" w:rsidP="005A5F0F">
            <w:r>
              <w:t>Агранулоцитоза, левкопения, неутропения, тромбоцитопения</w:t>
            </w:r>
          </w:p>
        </w:tc>
        <w:tc>
          <w:tcPr>
            <w:tcW w:w="1811" w:type="dxa"/>
          </w:tcPr>
          <w:p w14:paraId="1701A4D4" w14:textId="77777777" w:rsidR="005A5F0F" w:rsidRDefault="005A5F0F" w:rsidP="005A5F0F"/>
        </w:tc>
      </w:tr>
      <w:tr w:rsidR="005A5F0F" w14:paraId="07EF05F1" w14:textId="77777777" w:rsidTr="005A5F0F">
        <w:tc>
          <w:tcPr>
            <w:tcW w:w="2020" w:type="dxa"/>
          </w:tcPr>
          <w:p w14:paraId="3A12A5CE" w14:textId="6B392632" w:rsidR="005A5F0F" w:rsidRDefault="005A5F0F" w:rsidP="005A5F0F">
            <w:r>
              <w:rPr>
                <w:b/>
                <w:bCs/>
              </w:rPr>
              <w:t>Нарушения на имунната система</w:t>
            </w:r>
          </w:p>
        </w:tc>
        <w:tc>
          <w:tcPr>
            <w:tcW w:w="1652" w:type="dxa"/>
          </w:tcPr>
          <w:p w14:paraId="786F9298" w14:textId="77777777" w:rsidR="005A5F0F" w:rsidRDefault="005A5F0F" w:rsidP="005A5F0F"/>
        </w:tc>
        <w:tc>
          <w:tcPr>
            <w:tcW w:w="1996" w:type="dxa"/>
          </w:tcPr>
          <w:p w14:paraId="6B57CB59" w14:textId="77777777" w:rsidR="005A5F0F" w:rsidRDefault="005A5F0F" w:rsidP="005A5F0F"/>
        </w:tc>
        <w:tc>
          <w:tcPr>
            <w:tcW w:w="1871" w:type="dxa"/>
          </w:tcPr>
          <w:p w14:paraId="22211889" w14:textId="0A7B4613" w:rsidR="005A5F0F" w:rsidRDefault="005A5F0F" w:rsidP="005A5F0F">
            <w:r>
              <w:t>Анафилаксия</w:t>
            </w:r>
          </w:p>
        </w:tc>
        <w:tc>
          <w:tcPr>
            <w:tcW w:w="1811" w:type="dxa"/>
          </w:tcPr>
          <w:p w14:paraId="6AB6F557" w14:textId="77777777" w:rsidR="005A5F0F" w:rsidRDefault="005A5F0F" w:rsidP="005A5F0F"/>
        </w:tc>
      </w:tr>
      <w:tr w:rsidR="005A5F0F" w14:paraId="7C397C6B" w14:textId="77777777" w:rsidTr="005A5F0F">
        <w:tc>
          <w:tcPr>
            <w:tcW w:w="2020" w:type="dxa"/>
          </w:tcPr>
          <w:p w14:paraId="77C3A146" w14:textId="363C0EC2" w:rsidR="005A5F0F" w:rsidRDefault="005A5F0F" w:rsidP="005A5F0F">
            <w:r>
              <w:rPr>
                <w:b/>
                <w:bCs/>
              </w:rPr>
              <w:t>Нарушения на метаболизма и храненето</w:t>
            </w:r>
          </w:p>
        </w:tc>
        <w:tc>
          <w:tcPr>
            <w:tcW w:w="1652" w:type="dxa"/>
          </w:tcPr>
          <w:p w14:paraId="270EF983" w14:textId="77777777" w:rsidR="005A5F0F" w:rsidRDefault="005A5F0F" w:rsidP="005A5F0F"/>
        </w:tc>
        <w:tc>
          <w:tcPr>
            <w:tcW w:w="1996" w:type="dxa"/>
          </w:tcPr>
          <w:p w14:paraId="0486CC78" w14:textId="390F09BC" w:rsidR="005A5F0F" w:rsidRDefault="005A5F0F" w:rsidP="005A5F0F">
            <w:r>
              <w:t>Понижен апетит</w:t>
            </w:r>
          </w:p>
        </w:tc>
        <w:tc>
          <w:tcPr>
            <w:tcW w:w="1871" w:type="dxa"/>
          </w:tcPr>
          <w:p w14:paraId="425EBBB6" w14:textId="10F5424C" w:rsidR="005A5F0F" w:rsidRDefault="005A5F0F" w:rsidP="005A5F0F">
            <w:r>
              <w:t>Хипер- холестеролемия, хипертриглицерид- емия, хипокалемия</w:t>
            </w:r>
          </w:p>
        </w:tc>
        <w:tc>
          <w:tcPr>
            <w:tcW w:w="1811" w:type="dxa"/>
          </w:tcPr>
          <w:p w14:paraId="4753FDB9" w14:textId="77777777" w:rsidR="005A5F0F" w:rsidRDefault="005A5F0F" w:rsidP="005A5F0F"/>
        </w:tc>
      </w:tr>
      <w:tr w:rsidR="005A5F0F" w14:paraId="727E7D8E" w14:textId="77777777" w:rsidTr="005A5F0F">
        <w:tc>
          <w:tcPr>
            <w:tcW w:w="2020" w:type="dxa"/>
          </w:tcPr>
          <w:p w14:paraId="44670962" w14:textId="2BFD1EA6" w:rsidR="005A5F0F" w:rsidRDefault="005A5F0F" w:rsidP="005A5F0F">
            <w:r>
              <w:rPr>
                <w:b/>
                <w:bCs/>
              </w:rPr>
              <w:t>Психични нарушения</w:t>
            </w:r>
          </w:p>
        </w:tc>
        <w:tc>
          <w:tcPr>
            <w:tcW w:w="1652" w:type="dxa"/>
          </w:tcPr>
          <w:p w14:paraId="3FDFDFD3" w14:textId="77777777" w:rsidR="005A5F0F" w:rsidRDefault="005A5F0F" w:rsidP="005A5F0F"/>
        </w:tc>
        <w:tc>
          <w:tcPr>
            <w:tcW w:w="1996" w:type="dxa"/>
          </w:tcPr>
          <w:p w14:paraId="0A9A78B9" w14:textId="288D9342" w:rsidR="005A5F0F" w:rsidRDefault="005A5F0F" w:rsidP="005A5F0F">
            <w:r>
              <w:t>Сомнолентност, безсъние</w:t>
            </w:r>
          </w:p>
        </w:tc>
        <w:tc>
          <w:tcPr>
            <w:tcW w:w="1871" w:type="dxa"/>
          </w:tcPr>
          <w:p w14:paraId="6316073B" w14:textId="77777777" w:rsidR="005A5F0F" w:rsidRDefault="005A5F0F" w:rsidP="005A5F0F"/>
        </w:tc>
        <w:tc>
          <w:tcPr>
            <w:tcW w:w="1811" w:type="dxa"/>
          </w:tcPr>
          <w:p w14:paraId="5F203AD9" w14:textId="77777777" w:rsidR="005A5F0F" w:rsidRDefault="005A5F0F" w:rsidP="005A5F0F"/>
        </w:tc>
      </w:tr>
      <w:tr w:rsidR="005A5F0F" w14:paraId="7198A24A" w14:textId="77777777" w:rsidTr="005A5F0F">
        <w:tc>
          <w:tcPr>
            <w:tcW w:w="2020" w:type="dxa"/>
          </w:tcPr>
          <w:p w14:paraId="79A3B1E9" w14:textId="5A57135B" w:rsidR="005A5F0F" w:rsidRDefault="005A5F0F" w:rsidP="005A5F0F">
            <w:r>
              <w:rPr>
                <w:b/>
                <w:bCs/>
              </w:rPr>
              <w:t>Нарушения на нервната система</w:t>
            </w:r>
          </w:p>
        </w:tc>
        <w:tc>
          <w:tcPr>
            <w:tcW w:w="1652" w:type="dxa"/>
          </w:tcPr>
          <w:p w14:paraId="17ED2544" w14:textId="598E75BB" w:rsidR="005A5F0F" w:rsidRDefault="005A5F0F" w:rsidP="005A5F0F">
            <w:r>
              <w:t>Главоболие</w:t>
            </w:r>
          </w:p>
        </w:tc>
        <w:tc>
          <w:tcPr>
            <w:tcW w:w="1996" w:type="dxa"/>
          </w:tcPr>
          <w:p w14:paraId="7FBB71A6" w14:textId="49476172" w:rsidR="005A5F0F" w:rsidRDefault="005A5F0F" w:rsidP="005A5F0F">
            <w:r>
              <w:t xml:space="preserve">Припадъци, парестезия, замайване, </w:t>
            </w:r>
            <w:r>
              <w:lastRenderedPageBreak/>
              <w:t>нарушения на вкуса</w:t>
            </w:r>
          </w:p>
        </w:tc>
        <w:tc>
          <w:tcPr>
            <w:tcW w:w="1871" w:type="dxa"/>
          </w:tcPr>
          <w:p w14:paraId="5503E63D" w14:textId="52723C70" w:rsidR="005A5F0F" w:rsidRDefault="005A5F0F" w:rsidP="005A5F0F">
            <w:r>
              <w:lastRenderedPageBreak/>
              <w:t>Тремор</w:t>
            </w:r>
          </w:p>
        </w:tc>
        <w:tc>
          <w:tcPr>
            <w:tcW w:w="1811" w:type="dxa"/>
          </w:tcPr>
          <w:p w14:paraId="11A49299" w14:textId="77777777" w:rsidR="005A5F0F" w:rsidRDefault="005A5F0F" w:rsidP="005A5F0F"/>
        </w:tc>
      </w:tr>
      <w:tr w:rsidR="005A5F0F" w14:paraId="67A80901" w14:textId="77777777" w:rsidTr="005A5F0F">
        <w:tc>
          <w:tcPr>
            <w:tcW w:w="2020" w:type="dxa"/>
          </w:tcPr>
          <w:p w14:paraId="0796DF42" w14:textId="03856F5B" w:rsidR="005A5F0F" w:rsidRDefault="005A5F0F" w:rsidP="005A5F0F">
            <w:r>
              <w:rPr>
                <w:b/>
                <w:bCs/>
              </w:rPr>
              <w:t>Нарушения на ухото и лабиринта</w:t>
            </w:r>
          </w:p>
        </w:tc>
        <w:tc>
          <w:tcPr>
            <w:tcW w:w="1652" w:type="dxa"/>
          </w:tcPr>
          <w:p w14:paraId="41FF8985" w14:textId="77777777" w:rsidR="005A5F0F" w:rsidRDefault="005A5F0F" w:rsidP="005A5F0F"/>
        </w:tc>
        <w:tc>
          <w:tcPr>
            <w:tcW w:w="1996" w:type="dxa"/>
          </w:tcPr>
          <w:p w14:paraId="034B830B" w14:textId="310DA14B" w:rsidR="005A5F0F" w:rsidRDefault="005A5F0F" w:rsidP="005A5F0F">
            <w:r>
              <w:t>Световъртеж</w:t>
            </w:r>
          </w:p>
        </w:tc>
        <w:tc>
          <w:tcPr>
            <w:tcW w:w="1871" w:type="dxa"/>
          </w:tcPr>
          <w:p w14:paraId="02EEFAAB" w14:textId="77777777" w:rsidR="005A5F0F" w:rsidRDefault="005A5F0F" w:rsidP="005A5F0F"/>
        </w:tc>
        <w:tc>
          <w:tcPr>
            <w:tcW w:w="1811" w:type="dxa"/>
          </w:tcPr>
          <w:p w14:paraId="2513120B" w14:textId="77777777" w:rsidR="005A5F0F" w:rsidRDefault="005A5F0F" w:rsidP="005A5F0F"/>
        </w:tc>
      </w:tr>
      <w:tr w:rsidR="005A5F0F" w14:paraId="083F23E5" w14:textId="77777777" w:rsidTr="005A5F0F">
        <w:tc>
          <w:tcPr>
            <w:tcW w:w="2020" w:type="dxa"/>
          </w:tcPr>
          <w:p w14:paraId="346E5BD5" w14:textId="72F18CAA" w:rsidR="005A5F0F" w:rsidRDefault="005A5F0F" w:rsidP="005A5F0F">
            <w:r>
              <w:rPr>
                <w:b/>
                <w:bCs/>
              </w:rPr>
              <w:t>Сърдечни нарушения</w:t>
            </w:r>
          </w:p>
        </w:tc>
        <w:tc>
          <w:tcPr>
            <w:tcW w:w="1652" w:type="dxa"/>
          </w:tcPr>
          <w:p w14:paraId="08C5C682" w14:textId="77777777" w:rsidR="005A5F0F" w:rsidRDefault="005A5F0F" w:rsidP="005A5F0F"/>
        </w:tc>
        <w:tc>
          <w:tcPr>
            <w:tcW w:w="1996" w:type="dxa"/>
          </w:tcPr>
          <w:p w14:paraId="265D31AF" w14:textId="77777777" w:rsidR="005A5F0F" w:rsidRDefault="005A5F0F" w:rsidP="005A5F0F"/>
        </w:tc>
        <w:tc>
          <w:tcPr>
            <w:tcW w:w="1871" w:type="dxa"/>
          </w:tcPr>
          <w:p w14:paraId="6047D2D9" w14:textId="37AE4E78" w:rsidR="005A5F0F" w:rsidRDefault="005A5F0F" w:rsidP="005A5F0F">
            <w:r>
              <w:rPr>
                <w:i/>
                <w:iCs/>
                <w:lang w:val="en-US"/>
              </w:rPr>
              <w:t xml:space="preserve">Torsade de pointes </w:t>
            </w:r>
            <w:r>
              <w:t xml:space="preserve">(вж. точка 4.4), удължаване на </w:t>
            </w:r>
            <w:r>
              <w:rPr>
                <w:lang w:val="en-US"/>
              </w:rPr>
              <w:t xml:space="preserve">QT </w:t>
            </w:r>
            <w:r>
              <w:t>(вж. точка 4.4)</w:t>
            </w:r>
          </w:p>
        </w:tc>
        <w:tc>
          <w:tcPr>
            <w:tcW w:w="1811" w:type="dxa"/>
          </w:tcPr>
          <w:p w14:paraId="3E70CB97" w14:textId="77777777" w:rsidR="005A5F0F" w:rsidRDefault="005A5F0F" w:rsidP="005A5F0F"/>
        </w:tc>
      </w:tr>
      <w:tr w:rsidR="005A5F0F" w14:paraId="485C7E17" w14:textId="77777777" w:rsidTr="005A5F0F">
        <w:tc>
          <w:tcPr>
            <w:tcW w:w="2020" w:type="dxa"/>
          </w:tcPr>
          <w:p w14:paraId="7950B8F7" w14:textId="35051D0C" w:rsidR="005A5F0F" w:rsidRDefault="005A5F0F" w:rsidP="005A5F0F">
            <w:r>
              <w:rPr>
                <w:b/>
                <w:bCs/>
              </w:rPr>
              <w:t>Стомашно- чревни нарушения</w:t>
            </w:r>
          </w:p>
        </w:tc>
        <w:tc>
          <w:tcPr>
            <w:tcW w:w="1652" w:type="dxa"/>
          </w:tcPr>
          <w:p w14:paraId="28D4E573" w14:textId="20382BD4" w:rsidR="005A5F0F" w:rsidRDefault="005A5F0F" w:rsidP="005A5F0F">
            <w:r>
              <w:t>Абдоминална болка, повръщане диария, гадене</w:t>
            </w:r>
          </w:p>
        </w:tc>
        <w:tc>
          <w:tcPr>
            <w:tcW w:w="1996" w:type="dxa"/>
          </w:tcPr>
          <w:p w14:paraId="0A73413A" w14:textId="25F62F05" w:rsidR="005A5F0F" w:rsidRDefault="005A5F0F" w:rsidP="005A5F0F">
            <w:r>
              <w:t>Констипация диспепсия, метеоризъм, сухота в устата</w:t>
            </w:r>
          </w:p>
        </w:tc>
        <w:tc>
          <w:tcPr>
            <w:tcW w:w="1871" w:type="dxa"/>
          </w:tcPr>
          <w:p w14:paraId="0299F663" w14:textId="77777777" w:rsidR="005A5F0F" w:rsidRDefault="005A5F0F" w:rsidP="005A5F0F"/>
        </w:tc>
        <w:tc>
          <w:tcPr>
            <w:tcW w:w="1811" w:type="dxa"/>
          </w:tcPr>
          <w:p w14:paraId="678DDCCC" w14:textId="77777777" w:rsidR="005A5F0F" w:rsidRDefault="005A5F0F" w:rsidP="005A5F0F"/>
        </w:tc>
      </w:tr>
      <w:tr w:rsidR="005A5F0F" w14:paraId="247059E0" w14:textId="77777777" w:rsidTr="005A5F0F">
        <w:tc>
          <w:tcPr>
            <w:tcW w:w="2020" w:type="dxa"/>
          </w:tcPr>
          <w:p w14:paraId="1F5E0C21" w14:textId="7076A5D6" w:rsidR="005A5F0F" w:rsidRDefault="005A5F0F" w:rsidP="005A5F0F">
            <w:r>
              <w:rPr>
                <w:b/>
                <w:bCs/>
              </w:rPr>
              <w:t>Хепато- бнлиарни нарушения</w:t>
            </w:r>
          </w:p>
        </w:tc>
        <w:tc>
          <w:tcPr>
            <w:tcW w:w="1652" w:type="dxa"/>
          </w:tcPr>
          <w:p w14:paraId="7604044F" w14:textId="12C4E67A" w:rsidR="005A5F0F" w:rsidRDefault="005A5F0F" w:rsidP="005A5F0F">
            <w:r>
              <w:t>Повишение на аланин аминотрансфе разата (вж. точка 4.4), повишение на аспартат аминотрансфе разата(вж. точка 4.4), повишение на алкалната фосфатаза в кръвта (вж. точка 4.4)</w:t>
            </w:r>
          </w:p>
        </w:tc>
        <w:tc>
          <w:tcPr>
            <w:tcW w:w="1996" w:type="dxa"/>
          </w:tcPr>
          <w:p w14:paraId="13263EFE" w14:textId="26CA80CE" w:rsidR="005A5F0F" w:rsidRDefault="005A5F0F" w:rsidP="005A5F0F">
            <w:r>
              <w:t>Холестаза (вж. точка 4.4), жълтеница (вж. точка 4.4), повишен билирубин (вж. точка 4.4)</w:t>
            </w:r>
          </w:p>
        </w:tc>
        <w:tc>
          <w:tcPr>
            <w:tcW w:w="1871" w:type="dxa"/>
          </w:tcPr>
          <w:p w14:paraId="3D4B4627" w14:textId="41BC384D" w:rsidR="005A5F0F" w:rsidRDefault="005A5F0F" w:rsidP="005A5F0F">
            <w:r>
              <w:t>Чернодробна недостатъчност (вж. точка 4.4), хепатоцелуларна некроза (вж. точка 4.4), хепатит (вж. точка 4.4), хепатоцелуларно увреждане (вж. точка 4.4)</w:t>
            </w:r>
          </w:p>
        </w:tc>
        <w:tc>
          <w:tcPr>
            <w:tcW w:w="1811" w:type="dxa"/>
          </w:tcPr>
          <w:p w14:paraId="0BCF22A2" w14:textId="77777777" w:rsidR="005A5F0F" w:rsidRDefault="005A5F0F" w:rsidP="005A5F0F"/>
        </w:tc>
      </w:tr>
      <w:tr w:rsidR="005A5F0F" w14:paraId="52F30FE1" w14:textId="77777777" w:rsidTr="005A5F0F">
        <w:tc>
          <w:tcPr>
            <w:tcW w:w="2020" w:type="dxa"/>
          </w:tcPr>
          <w:p w14:paraId="0534A29F" w14:textId="1714902B" w:rsidR="005A5F0F" w:rsidRDefault="005A5F0F" w:rsidP="005A5F0F">
            <w:r>
              <w:rPr>
                <w:b/>
                <w:bCs/>
              </w:rPr>
              <w:t>Нарушения на кожата и подкожната тъкан</w:t>
            </w:r>
          </w:p>
        </w:tc>
        <w:tc>
          <w:tcPr>
            <w:tcW w:w="1652" w:type="dxa"/>
          </w:tcPr>
          <w:p w14:paraId="4F4F62BC" w14:textId="0AEB7639" w:rsidR="005A5F0F" w:rsidRDefault="005A5F0F" w:rsidP="005A5F0F">
            <w:r>
              <w:t>Обрив (вж. точка 4.4)</w:t>
            </w:r>
          </w:p>
        </w:tc>
        <w:tc>
          <w:tcPr>
            <w:tcW w:w="1996" w:type="dxa"/>
          </w:tcPr>
          <w:p w14:paraId="338BB03F" w14:textId="06232FD1" w:rsidR="005A5F0F" w:rsidRDefault="005A5F0F" w:rsidP="005A5F0F">
            <w:r>
              <w:t>Лекарствен обрив (вж. точка 4.4), уртикария (вж. точка 4.4), пруритус, прекомерно изпотяване</w:t>
            </w:r>
          </w:p>
        </w:tc>
        <w:tc>
          <w:tcPr>
            <w:tcW w:w="1871" w:type="dxa"/>
          </w:tcPr>
          <w:p w14:paraId="10F53496" w14:textId="0EEE26DE" w:rsidR="005A5F0F" w:rsidRDefault="005A5F0F" w:rsidP="005A5F0F">
            <w:r>
              <w:t xml:space="preserve">Токсична епидермална некролиза, (вж. точка 4.4), синдром на </w:t>
            </w:r>
            <w:r>
              <w:rPr>
                <w:lang w:val="en-US"/>
              </w:rPr>
              <w:t xml:space="preserve">Stevens Johnson, </w:t>
            </w:r>
            <w:r>
              <w:t>(вж. точка 4.4), остра генерализирана екзантематозна пустулоза (вж. точка 4.4), ексфолиативен дерматит, ангиоедем, оток на лицето, алопеция</w:t>
            </w:r>
          </w:p>
        </w:tc>
        <w:tc>
          <w:tcPr>
            <w:tcW w:w="1811" w:type="dxa"/>
          </w:tcPr>
          <w:p w14:paraId="29EF0DD9" w14:textId="6155C021" w:rsidR="005A5F0F" w:rsidRDefault="005A5F0F" w:rsidP="005A5F0F">
            <w:r>
              <w:t xml:space="preserve">Лекарствена реакция с еозинофилия и системни симптоми </w:t>
            </w:r>
            <w:r>
              <w:rPr>
                <w:lang w:val="en-US"/>
              </w:rPr>
              <w:t>(DRESS)</w:t>
            </w:r>
          </w:p>
        </w:tc>
      </w:tr>
      <w:tr w:rsidR="005A5F0F" w14:paraId="24BA07FB" w14:textId="77777777" w:rsidTr="005A5F0F">
        <w:tc>
          <w:tcPr>
            <w:tcW w:w="2020" w:type="dxa"/>
          </w:tcPr>
          <w:p w14:paraId="51B5009B" w14:textId="31B895A5" w:rsidR="005A5F0F" w:rsidRDefault="005A5F0F" w:rsidP="005A5F0F">
            <w:r>
              <w:rPr>
                <w:b/>
                <w:bCs/>
              </w:rPr>
              <w:lastRenderedPageBreak/>
              <w:t>Нарушения на мускулно- скелетната система и съединителната тъкан</w:t>
            </w:r>
          </w:p>
        </w:tc>
        <w:tc>
          <w:tcPr>
            <w:tcW w:w="1652" w:type="dxa"/>
          </w:tcPr>
          <w:p w14:paraId="27E51A4B" w14:textId="77777777" w:rsidR="005A5F0F" w:rsidRDefault="005A5F0F" w:rsidP="005A5F0F"/>
        </w:tc>
        <w:tc>
          <w:tcPr>
            <w:tcW w:w="1996" w:type="dxa"/>
          </w:tcPr>
          <w:p w14:paraId="1B2E7CE0" w14:textId="1151A4C0" w:rsidR="005A5F0F" w:rsidRDefault="005A5F0F" w:rsidP="005A5F0F">
            <w:r>
              <w:t>Миалгия</w:t>
            </w:r>
          </w:p>
        </w:tc>
        <w:tc>
          <w:tcPr>
            <w:tcW w:w="1871" w:type="dxa"/>
          </w:tcPr>
          <w:p w14:paraId="617957BE" w14:textId="77777777" w:rsidR="005A5F0F" w:rsidRDefault="005A5F0F" w:rsidP="005A5F0F"/>
        </w:tc>
        <w:tc>
          <w:tcPr>
            <w:tcW w:w="1811" w:type="dxa"/>
          </w:tcPr>
          <w:p w14:paraId="072800F9" w14:textId="77777777" w:rsidR="005A5F0F" w:rsidRDefault="005A5F0F" w:rsidP="005A5F0F"/>
        </w:tc>
      </w:tr>
      <w:tr w:rsidR="005A5F0F" w14:paraId="5ABB22ED" w14:textId="77777777" w:rsidTr="005A5F0F">
        <w:tc>
          <w:tcPr>
            <w:tcW w:w="2020" w:type="dxa"/>
          </w:tcPr>
          <w:p w14:paraId="0FD0F284" w14:textId="042A0A02" w:rsidR="005A5F0F" w:rsidRDefault="005A5F0F" w:rsidP="005A5F0F">
            <w:r>
              <w:rPr>
                <w:b/>
                <w:bCs/>
              </w:rPr>
              <w:t>Общи нарушения и ефекти на мястото на приложение</w:t>
            </w:r>
          </w:p>
        </w:tc>
        <w:tc>
          <w:tcPr>
            <w:tcW w:w="1652" w:type="dxa"/>
          </w:tcPr>
          <w:p w14:paraId="5DF46C9F" w14:textId="77777777" w:rsidR="005A5F0F" w:rsidRDefault="005A5F0F" w:rsidP="005A5F0F"/>
        </w:tc>
        <w:tc>
          <w:tcPr>
            <w:tcW w:w="1996" w:type="dxa"/>
          </w:tcPr>
          <w:p w14:paraId="04F7F239" w14:textId="5BCEA14D" w:rsidR="005A5F0F" w:rsidRDefault="005A5F0F" w:rsidP="005A5F0F">
            <w:r>
              <w:t>Умора, неразположение, астения, треска</w:t>
            </w:r>
          </w:p>
        </w:tc>
        <w:tc>
          <w:tcPr>
            <w:tcW w:w="1871" w:type="dxa"/>
          </w:tcPr>
          <w:p w14:paraId="37141BBF" w14:textId="77777777" w:rsidR="005A5F0F" w:rsidRDefault="005A5F0F" w:rsidP="005A5F0F"/>
        </w:tc>
        <w:tc>
          <w:tcPr>
            <w:tcW w:w="1811" w:type="dxa"/>
          </w:tcPr>
          <w:p w14:paraId="19793A38" w14:textId="77777777" w:rsidR="005A5F0F" w:rsidRDefault="005A5F0F" w:rsidP="005A5F0F"/>
        </w:tc>
      </w:tr>
    </w:tbl>
    <w:p w14:paraId="5919FED1" w14:textId="210EF81E" w:rsidR="005A5F0F" w:rsidRDefault="005A5F0F" w:rsidP="0091385D"/>
    <w:p w14:paraId="3B13246A" w14:textId="77777777"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Педиатрична популация</w:t>
      </w:r>
    </w:p>
    <w:p w14:paraId="6868B752" w14:textId="77777777" w:rsidR="005A5F0F" w:rsidRPr="005A5F0F" w:rsidRDefault="005A5F0F" w:rsidP="005A5F0F">
      <w:pPr>
        <w:spacing w:line="240" w:lineRule="auto"/>
        <w:rPr>
          <w:rFonts w:eastAsia="Times New Roman" w:cs="Arial"/>
          <w:lang w:eastAsia="bg-BG"/>
        </w:rPr>
      </w:pPr>
      <w:r w:rsidRPr="005A5F0F">
        <w:rPr>
          <w:rFonts w:eastAsia="Times New Roman" w:cs="Arial"/>
          <w:color w:val="000000"/>
          <w:lang w:eastAsia="bg-BG"/>
        </w:rPr>
        <w:t>Характеристиката и честотата на нежеланите реакции и лабораторни отклонения, отбелязани по време на педиатричните клинични изпитвания, като се изключи показанието генитална кандидоза, са сравними с тези, наблюдавани при възрастни.</w:t>
      </w:r>
    </w:p>
    <w:p w14:paraId="3F78F41D" w14:textId="77777777" w:rsidR="005A5F0F" w:rsidRPr="005A5F0F" w:rsidRDefault="005A5F0F" w:rsidP="005A5F0F">
      <w:pPr>
        <w:spacing w:line="240" w:lineRule="auto"/>
        <w:rPr>
          <w:rFonts w:eastAsia="Times New Roman" w:cs="Arial"/>
          <w:color w:val="000000"/>
          <w:u w:val="single"/>
          <w:lang w:eastAsia="bg-BG"/>
        </w:rPr>
      </w:pPr>
    </w:p>
    <w:p w14:paraId="144DA334" w14:textId="7381391D" w:rsidR="005A5F0F" w:rsidRPr="005A5F0F" w:rsidRDefault="005A5F0F" w:rsidP="005A5F0F">
      <w:pPr>
        <w:spacing w:line="240" w:lineRule="auto"/>
        <w:rPr>
          <w:rFonts w:eastAsia="Times New Roman" w:cs="Arial"/>
          <w:lang w:eastAsia="bg-BG"/>
        </w:rPr>
      </w:pPr>
      <w:r w:rsidRPr="005A5F0F">
        <w:rPr>
          <w:rFonts w:eastAsia="Times New Roman" w:cs="Arial"/>
          <w:color w:val="000000"/>
          <w:u w:val="single"/>
          <w:lang w:eastAsia="bg-BG"/>
        </w:rPr>
        <w:t>Съобщаване на подозирани нежелани реакции</w:t>
      </w:r>
    </w:p>
    <w:p w14:paraId="017AB046" w14:textId="77777777" w:rsidR="005A5F0F" w:rsidRPr="005A5F0F" w:rsidRDefault="005A5F0F" w:rsidP="005A5F0F">
      <w:pPr>
        <w:spacing w:line="240" w:lineRule="auto"/>
        <w:rPr>
          <w:rFonts w:eastAsia="Times New Roman" w:cs="Arial"/>
          <w:lang w:eastAsia="bg-BG"/>
        </w:rPr>
      </w:pPr>
      <w:r w:rsidRPr="005A5F0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w:t>
      </w:r>
    </w:p>
    <w:p w14:paraId="56515503" w14:textId="5AC9319D" w:rsidR="005A5F0F" w:rsidRPr="005A5F0F" w:rsidRDefault="005A5F0F" w:rsidP="005A5F0F">
      <w:pPr>
        <w:rPr>
          <w:rFonts w:cs="Arial"/>
        </w:rPr>
      </w:pPr>
      <w:r w:rsidRPr="005A5F0F">
        <w:rPr>
          <w:rFonts w:eastAsia="Times New Roman" w:cs="Arial"/>
          <w:color w:val="000000"/>
          <w:lang w:eastAsia="bg-BG"/>
        </w:rPr>
        <w:t xml:space="preserve">Тел.:+35928903417 уебсайт: </w:t>
      </w:r>
      <w:r w:rsidRPr="005A5F0F">
        <w:rPr>
          <w:rFonts w:eastAsia="Times New Roman" w:cs="Arial"/>
          <w:lang w:eastAsia="bg-BG"/>
        </w:rPr>
        <w:fldChar w:fldCharType="begin"/>
      </w:r>
      <w:r w:rsidRPr="005A5F0F">
        <w:rPr>
          <w:rFonts w:eastAsia="Times New Roman" w:cs="Arial"/>
          <w:lang w:eastAsia="bg-BG"/>
        </w:rPr>
        <w:instrText xml:space="preserve"> HYPERLINK "http://www.bda.bg" </w:instrText>
      </w:r>
      <w:r w:rsidRPr="005A5F0F">
        <w:rPr>
          <w:rFonts w:eastAsia="Times New Roman" w:cs="Arial"/>
          <w:lang w:eastAsia="bg-BG"/>
        </w:rPr>
      </w:r>
      <w:r w:rsidRPr="005A5F0F">
        <w:rPr>
          <w:rFonts w:eastAsia="Times New Roman" w:cs="Arial"/>
          <w:lang w:eastAsia="bg-BG"/>
        </w:rPr>
        <w:fldChar w:fldCharType="separate"/>
      </w:r>
      <w:r w:rsidRPr="005A5F0F">
        <w:rPr>
          <w:rFonts w:eastAsia="Times New Roman" w:cs="Arial"/>
          <w:color w:val="000000"/>
          <w:lang w:val="en-US"/>
        </w:rPr>
        <w:t>www.bda.bg</w:t>
      </w:r>
      <w:r w:rsidRPr="005A5F0F">
        <w:rPr>
          <w:rFonts w:eastAsia="Times New Roman" w:cs="Arial"/>
          <w:lang w:eastAsia="bg-BG"/>
        </w:rPr>
        <w:fldChar w:fldCharType="end"/>
      </w:r>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0C1E5842" w14:textId="77777777" w:rsidR="005A5F0F" w:rsidRPr="005A5F0F" w:rsidRDefault="005A5F0F" w:rsidP="005A5F0F">
      <w:pPr>
        <w:spacing w:line="240" w:lineRule="auto"/>
        <w:rPr>
          <w:rFonts w:eastAsia="Times New Roman" w:cs="Arial"/>
          <w:lang w:eastAsia="bg-BG"/>
        </w:rPr>
      </w:pPr>
      <w:r w:rsidRPr="005A5F0F">
        <w:rPr>
          <w:rFonts w:eastAsia="Times New Roman" w:cs="Arial"/>
          <w:color w:val="000000"/>
          <w:lang w:eastAsia="bg-BG"/>
        </w:rPr>
        <w:t>Има едновременни съобщения за предозиране с флуконазол и халюцинации и параноидно поведение.</w:t>
      </w:r>
    </w:p>
    <w:p w14:paraId="032C9D18" w14:textId="77777777" w:rsidR="005A5F0F" w:rsidRPr="005A5F0F" w:rsidRDefault="005A5F0F" w:rsidP="005A5F0F">
      <w:pPr>
        <w:spacing w:line="240" w:lineRule="auto"/>
        <w:rPr>
          <w:rFonts w:eastAsia="Times New Roman" w:cs="Arial"/>
          <w:lang w:eastAsia="bg-BG"/>
        </w:rPr>
      </w:pPr>
      <w:r w:rsidRPr="005A5F0F">
        <w:rPr>
          <w:rFonts w:eastAsia="Times New Roman" w:cs="Arial"/>
          <w:color w:val="000000"/>
          <w:lang w:eastAsia="bg-BG"/>
        </w:rPr>
        <w:t>В случай на предозиране, може да се приложи и съответно симптоматично лечение (с поддържащи мерки и промивка на стомаха, ако е необходимо).</w:t>
      </w:r>
    </w:p>
    <w:p w14:paraId="6A43B8F3" w14:textId="61934F46" w:rsidR="007A2185" w:rsidRPr="005A5F0F" w:rsidRDefault="005A5F0F" w:rsidP="005A5F0F">
      <w:pPr>
        <w:rPr>
          <w:rFonts w:cs="Arial"/>
        </w:rPr>
      </w:pPr>
      <w:r w:rsidRPr="005A5F0F">
        <w:rPr>
          <w:rFonts w:eastAsia="Times New Roman" w:cs="Arial"/>
          <w:color w:val="000000"/>
          <w:lang w:eastAsia="bg-BG"/>
        </w:rPr>
        <w:t>Флуконазол се екскретира в голяма степен с урината; предизвикване на обилна диуреза може да повиши степента на елиминиране. Три-часова диализа намалява плазмените нива с приблизително 50%</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039470E0" w14:textId="77777777"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 xml:space="preserve">Фармакотерапевтична група: антимикотици за системно приложение, триазолови производни АТС код: </w:t>
      </w:r>
      <w:r w:rsidRPr="005A5F0F">
        <w:rPr>
          <w:rFonts w:eastAsia="Times New Roman" w:cs="Arial"/>
          <w:color w:val="000000"/>
          <w:lang w:val="en-US"/>
        </w:rPr>
        <w:t xml:space="preserve">J02AC </w:t>
      </w:r>
      <w:r w:rsidRPr="005A5F0F">
        <w:rPr>
          <w:rFonts w:eastAsia="Times New Roman" w:cs="Arial"/>
          <w:color w:val="000000"/>
          <w:lang w:eastAsia="bg-BG"/>
        </w:rPr>
        <w:t>01</w:t>
      </w:r>
    </w:p>
    <w:p w14:paraId="01372407" w14:textId="77777777" w:rsidR="005A5F0F" w:rsidRPr="005A5F0F" w:rsidRDefault="005A5F0F" w:rsidP="005A5F0F">
      <w:pPr>
        <w:spacing w:line="240" w:lineRule="auto"/>
        <w:rPr>
          <w:rFonts w:eastAsia="Times New Roman" w:cs="Arial"/>
          <w:color w:val="000000"/>
          <w:u w:val="single"/>
          <w:lang w:eastAsia="bg-BG"/>
        </w:rPr>
      </w:pPr>
    </w:p>
    <w:p w14:paraId="70BAE0D8" w14:textId="468F442C"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u w:val="single"/>
          <w:lang w:eastAsia="bg-BG"/>
        </w:rPr>
        <w:t>Механизъм на действие</w:t>
      </w:r>
    </w:p>
    <w:p w14:paraId="4C50A366" w14:textId="77777777" w:rsidR="005A5F0F" w:rsidRPr="005A5F0F" w:rsidRDefault="005A5F0F" w:rsidP="005A5F0F">
      <w:pPr>
        <w:spacing w:line="240" w:lineRule="auto"/>
        <w:rPr>
          <w:rFonts w:eastAsia="Times New Roman" w:cs="Arial"/>
          <w:sz w:val="24"/>
          <w:szCs w:val="24"/>
          <w:lang w:eastAsia="bg-BG"/>
        </w:rPr>
      </w:pPr>
      <w:r w:rsidRPr="005A5F0F">
        <w:rPr>
          <w:rFonts w:eastAsia="Times New Roman" w:cs="Arial"/>
          <w:color w:val="000000"/>
          <w:lang w:eastAsia="bg-BG"/>
        </w:rPr>
        <w:t xml:space="preserve">Флуконазол е триазолов антимикотичен агент. Основният му механизъм на действие е инхибиране на цитохром Р-450-медиираното 14 алфа-ланостерол деметилиране при гъбичките, което представлява важна стъпка при биосинтеза на гъбичния ергостерол. Натрупването на 14 алфа-метил стероли корелира с последващата загуба на ергостерол </w:t>
      </w:r>
      <w:r w:rsidRPr="005A5F0F">
        <w:rPr>
          <w:rFonts w:eastAsia="Times New Roman" w:cs="Arial"/>
          <w:color w:val="000000"/>
          <w:lang w:eastAsia="bg-BG"/>
        </w:rPr>
        <w:lastRenderedPageBreak/>
        <w:t>от клетъчната мембрана на гъбичките и би могло да е причина за антимикотичната активност на флуконазола. Флуконазол е по-селективен при гъбичките цитохром Р-450 ензими, отколкото при различни цитохром Р- 450 ензимни системи при бозайници.</w:t>
      </w:r>
    </w:p>
    <w:p w14:paraId="6A3D23B2" w14:textId="77777777" w:rsidR="005A5F0F" w:rsidRPr="005A5F0F" w:rsidRDefault="005A5F0F" w:rsidP="005A5F0F">
      <w:pPr>
        <w:spacing w:line="240" w:lineRule="auto"/>
        <w:rPr>
          <w:rFonts w:eastAsia="Times New Roman" w:cs="Arial"/>
          <w:color w:val="000000"/>
          <w:lang w:eastAsia="bg-BG"/>
        </w:rPr>
      </w:pPr>
    </w:p>
    <w:p w14:paraId="4C994D4E" w14:textId="15E4166D"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 xml:space="preserve">Установено е, че флуконазол в дозировка 50 </w:t>
      </w:r>
      <w:r w:rsidRPr="00687933">
        <w:rPr>
          <w:rFonts w:eastAsia="Times New Roman" w:cs="Arial"/>
          <w:color w:val="000000"/>
          <w:lang w:val="en-US"/>
        </w:rPr>
        <w:t xml:space="preserve">mg </w:t>
      </w:r>
      <w:r w:rsidRPr="00687933">
        <w:rPr>
          <w:rFonts w:eastAsia="Times New Roman" w:cs="Arial"/>
          <w:color w:val="000000"/>
          <w:lang w:eastAsia="bg-BG"/>
        </w:rPr>
        <w:t xml:space="preserve">дневно, прилаган до 28 дни не повлиява плазмените концентрации на тестостерон при мъже или стероидните концентрации при жени в детеродна възраст. Флуконазол в дозировки от 200 </w:t>
      </w:r>
      <w:r w:rsidRPr="00687933">
        <w:rPr>
          <w:rFonts w:eastAsia="Times New Roman" w:cs="Arial"/>
          <w:color w:val="000000"/>
          <w:lang w:val="en-US"/>
        </w:rPr>
        <w:t xml:space="preserve">mg </w:t>
      </w:r>
      <w:r w:rsidRPr="00687933">
        <w:rPr>
          <w:rFonts w:eastAsia="Times New Roman" w:cs="Arial"/>
          <w:color w:val="000000"/>
          <w:lang w:eastAsia="bg-BG"/>
        </w:rPr>
        <w:t xml:space="preserve">до 400 </w:t>
      </w:r>
      <w:r w:rsidRPr="00687933">
        <w:rPr>
          <w:rFonts w:eastAsia="Times New Roman" w:cs="Arial"/>
          <w:color w:val="000000"/>
          <w:lang w:val="en-US"/>
        </w:rPr>
        <w:t xml:space="preserve">mg </w:t>
      </w:r>
      <w:r w:rsidRPr="00687933">
        <w:rPr>
          <w:rFonts w:eastAsia="Times New Roman" w:cs="Arial"/>
          <w:color w:val="000000"/>
          <w:lang w:eastAsia="bg-BG"/>
        </w:rPr>
        <w:t xml:space="preserve">дневно няма клинично значим ефект върху ендогенните стероидни нива или върху АСТН стимулирания отговор при здрави доброволци от мъжки пол. Проучвания върху взаимодействието с антипирин показват, че еднократните или многократни дози флуконазол 50 </w:t>
      </w:r>
      <w:r w:rsidRPr="00687933">
        <w:rPr>
          <w:rFonts w:eastAsia="Times New Roman" w:cs="Arial"/>
          <w:color w:val="000000"/>
          <w:lang w:val="en-US"/>
        </w:rPr>
        <w:t xml:space="preserve">mg </w:t>
      </w:r>
      <w:r w:rsidRPr="00687933">
        <w:rPr>
          <w:rFonts w:eastAsia="Times New Roman" w:cs="Arial"/>
          <w:color w:val="000000"/>
          <w:lang w:eastAsia="bg-BG"/>
        </w:rPr>
        <w:t>не оказват влияние върху метаболизма му.</w:t>
      </w:r>
    </w:p>
    <w:p w14:paraId="5EAFB5F3" w14:textId="77777777" w:rsidR="005A5F0F" w:rsidRPr="00687933" w:rsidRDefault="005A5F0F" w:rsidP="005A5F0F">
      <w:pPr>
        <w:spacing w:line="240" w:lineRule="auto"/>
        <w:rPr>
          <w:rFonts w:eastAsia="Times New Roman" w:cs="Arial"/>
          <w:i/>
          <w:iCs/>
          <w:color w:val="000000"/>
          <w:u w:val="single"/>
          <w:lang w:val="en-US"/>
        </w:rPr>
      </w:pPr>
    </w:p>
    <w:p w14:paraId="30378D97" w14:textId="0F30D032" w:rsidR="005A5F0F" w:rsidRPr="00687933" w:rsidRDefault="005A5F0F" w:rsidP="005A5F0F">
      <w:pPr>
        <w:spacing w:line="240" w:lineRule="auto"/>
        <w:rPr>
          <w:rFonts w:eastAsia="Times New Roman" w:cs="Arial"/>
          <w:lang w:eastAsia="bg-BG"/>
        </w:rPr>
      </w:pPr>
      <w:r w:rsidRPr="00687933">
        <w:rPr>
          <w:rFonts w:eastAsia="Times New Roman" w:cs="Arial"/>
          <w:i/>
          <w:iCs/>
          <w:color w:val="000000"/>
          <w:u w:val="single"/>
          <w:lang w:val="en-US"/>
        </w:rPr>
        <w:t>In vitro</w:t>
      </w:r>
      <w:r w:rsidRPr="00687933">
        <w:rPr>
          <w:rFonts w:eastAsia="Times New Roman" w:cs="Arial"/>
          <w:color w:val="000000"/>
          <w:u w:val="single"/>
          <w:lang w:val="en-US"/>
        </w:rPr>
        <w:t xml:space="preserve"> </w:t>
      </w:r>
      <w:r w:rsidRPr="00687933">
        <w:rPr>
          <w:rFonts w:eastAsia="Times New Roman" w:cs="Arial"/>
          <w:color w:val="000000"/>
          <w:u w:val="single"/>
          <w:lang w:eastAsia="bg-BG"/>
        </w:rPr>
        <w:t>чувствителност</w:t>
      </w:r>
    </w:p>
    <w:p w14:paraId="5E3FB50B" w14:textId="77777777"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 xml:space="preserve">Флуконазол показва антимикотична активност </w:t>
      </w:r>
      <w:r w:rsidRPr="00687933">
        <w:rPr>
          <w:rFonts w:eastAsia="Times New Roman" w:cs="Arial"/>
          <w:i/>
          <w:iCs/>
          <w:color w:val="000000"/>
          <w:lang w:val="en-US"/>
        </w:rPr>
        <w:t>In vitro</w:t>
      </w:r>
      <w:r w:rsidRPr="00687933">
        <w:rPr>
          <w:rFonts w:eastAsia="Times New Roman" w:cs="Arial"/>
          <w:color w:val="000000"/>
          <w:lang w:val="en-US"/>
        </w:rPr>
        <w:t xml:space="preserve"> </w:t>
      </w:r>
      <w:r w:rsidRPr="00687933">
        <w:rPr>
          <w:rFonts w:eastAsia="Times New Roman" w:cs="Arial"/>
          <w:color w:val="000000"/>
          <w:lang w:eastAsia="bg-BG"/>
        </w:rPr>
        <w:t xml:space="preserve">към повечето клинично разпространени видове </w:t>
      </w:r>
      <w:r w:rsidRPr="00687933">
        <w:rPr>
          <w:rFonts w:eastAsia="Times New Roman" w:cs="Arial"/>
          <w:i/>
          <w:iCs/>
          <w:color w:val="000000"/>
          <w:lang w:val="en-US"/>
        </w:rPr>
        <w:t>Candida</w:t>
      </w:r>
      <w:r w:rsidRPr="00687933">
        <w:rPr>
          <w:rFonts w:eastAsia="Times New Roman" w:cs="Arial"/>
          <w:color w:val="000000"/>
          <w:lang w:val="en-US"/>
        </w:rPr>
        <w:t xml:space="preserve"> </w:t>
      </w:r>
      <w:r w:rsidRPr="00687933">
        <w:rPr>
          <w:rFonts w:eastAsia="Times New Roman" w:cs="Arial"/>
          <w:color w:val="000000"/>
          <w:lang w:eastAsia="bg-BG"/>
        </w:rPr>
        <w:t xml:space="preserve">(включително </w:t>
      </w:r>
      <w:r w:rsidRPr="00687933">
        <w:rPr>
          <w:rFonts w:eastAsia="Times New Roman" w:cs="Arial"/>
          <w:i/>
          <w:iCs/>
          <w:color w:val="000000"/>
          <w:lang w:eastAsia="bg-BG"/>
        </w:rPr>
        <w:t xml:space="preserve">С. </w:t>
      </w:r>
      <w:proofErr w:type="spellStart"/>
      <w:proofErr w:type="gramStart"/>
      <w:r w:rsidRPr="00687933">
        <w:rPr>
          <w:rFonts w:eastAsia="Times New Roman" w:cs="Arial"/>
          <w:i/>
          <w:iCs/>
          <w:color w:val="000000"/>
          <w:lang w:val="en-US"/>
        </w:rPr>
        <w:t>albicans</w:t>
      </w:r>
      <w:proofErr w:type="spellEnd"/>
      <w:proofErr w:type="gramEnd"/>
      <w:r w:rsidRPr="00687933">
        <w:rPr>
          <w:rFonts w:eastAsia="Times New Roman" w:cs="Arial"/>
          <w:i/>
          <w:iCs/>
          <w:color w:val="000000"/>
          <w:lang w:val="en-US"/>
        </w:rPr>
        <w:t xml:space="preserve">, </w:t>
      </w:r>
      <w:r w:rsidRPr="00687933">
        <w:rPr>
          <w:rFonts w:eastAsia="Times New Roman" w:cs="Arial"/>
          <w:i/>
          <w:iCs/>
          <w:color w:val="000000"/>
          <w:lang w:eastAsia="bg-BG"/>
        </w:rPr>
        <w:t xml:space="preserve">С. </w:t>
      </w:r>
      <w:proofErr w:type="spellStart"/>
      <w:r w:rsidRPr="00687933">
        <w:rPr>
          <w:rFonts w:eastAsia="Times New Roman" w:cs="Arial"/>
          <w:i/>
          <w:iCs/>
          <w:color w:val="000000"/>
          <w:lang w:val="en-US"/>
        </w:rPr>
        <w:t>parapsilosis</w:t>
      </w:r>
      <w:proofErr w:type="spellEnd"/>
      <w:r w:rsidRPr="00687933">
        <w:rPr>
          <w:rFonts w:eastAsia="Times New Roman" w:cs="Arial"/>
          <w:i/>
          <w:iCs/>
          <w:color w:val="000000"/>
          <w:lang w:val="en-US"/>
        </w:rPr>
        <w:t xml:space="preserve">, </w:t>
      </w:r>
      <w:r w:rsidRPr="00687933">
        <w:rPr>
          <w:rFonts w:eastAsia="Times New Roman" w:cs="Arial"/>
          <w:i/>
          <w:iCs/>
          <w:color w:val="000000"/>
          <w:lang w:eastAsia="bg-BG"/>
        </w:rPr>
        <w:t xml:space="preserve">С. </w:t>
      </w:r>
      <w:proofErr w:type="spellStart"/>
      <w:r w:rsidRPr="00687933">
        <w:rPr>
          <w:rFonts w:eastAsia="Times New Roman" w:cs="Arial"/>
          <w:i/>
          <w:iCs/>
          <w:color w:val="000000"/>
          <w:lang w:val="en-US"/>
        </w:rPr>
        <w:t>tropicalis</w:t>
      </w:r>
      <w:proofErr w:type="spellEnd"/>
      <w:r w:rsidRPr="00687933">
        <w:rPr>
          <w:rFonts w:eastAsia="Times New Roman" w:cs="Arial"/>
          <w:i/>
          <w:iCs/>
          <w:color w:val="000000"/>
          <w:lang w:val="en-US"/>
        </w:rPr>
        <w:t xml:space="preserve">). </w:t>
      </w:r>
      <w:r w:rsidRPr="00687933">
        <w:rPr>
          <w:rFonts w:eastAsia="Times New Roman" w:cs="Arial"/>
          <w:i/>
          <w:iCs/>
          <w:color w:val="000000"/>
          <w:lang w:eastAsia="bg-BG"/>
        </w:rPr>
        <w:t xml:space="preserve">С. </w:t>
      </w:r>
      <w:proofErr w:type="spellStart"/>
      <w:proofErr w:type="gramStart"/>
      <w:r w:rsidRPr="00687933">
        <w:rPr>
          <w:rFonts w:eastAsia="Times New Roman" w:cs="Arial"/>
          <w:i/>
          <w:iCs/>
          <w:color w:val="000000"/>
          <w:lang w:val="en-US"/>
        </w:rPr>
        <w:t>glabrata</w:t>
      </w:r>
      <w:proofErr w:type="spellEnd"/>
      <w:proofErr w:type="gramEnd"/>
      <w:r w:rsidRPr="00687933">
        <w:rPr>
          <w:rFonts w:eastAsia="Times New Roman" w:cs="Arial"/>
          <w:color w:val="000000"/>
          <w:lang w:val="en-US"/>
        </w:rPr>
        <w:t xml:space="preserve"> </w:t>
      </w:r>
      <w:r w:rsidRPr="00687933">
        <w:rPr>
          <w:rFonts w:eastAsia="Times New Roman" w:cs="Arial"/>
          <w:color w:val="000000"/>
          <w:lang w:eastAsia="bg-BG"/>
        </w:rPr>
        <w:t xml:space="preserve">показва намалена чувствителност към флуконазол, докато </w:t>
      </w:r>
      <w:r w:rsidRPr="00687933">
        <w:rPr>
          <w:rFonts w:eastAsia="Times New Roman" w:cs="Arial"/>
          <w:i/>
          <w:iCs/>
          <w:color w:val="000000"/>
          <w:lang w:eastAsia="bg-BG"/>
        </w:rPr>
        <w:t>С</w:t>
      </w:r>
      <w:r w:rsidRPr="00687933">
        <w:rPr>
          <w:rFonts w:eastAsia="Times New Roman" w:cs="Arial"/>
          <w:color w:val="000000"/>
          <w:lang w:eastAsia="bg-BG"/>
        </w:rPr>
        <w:t xml:space="preserve"> </w:t>
      </w:r>
      <w:proofErr w:type="spellStart"/>
      <w:r w:rsidRPr="00687933">
        <w:rPr>
          <w:rFonts w:eastAsia="Times New Roman" w:cs="Arial"/>
          <w:i/>
          <w:iCs/>
          <w:color w:val="000000"/>
          <w:lang w:val="en-US"/>
        </w:rPr>
        <w:t>krusei</w:t>
      </w:r>
      <w:proofErr w:type="spellEnd"/>
      <w:r w:rsidRPr="00687933">
        <w:rPr>
          <w:rFonts w:eastAsia="Times New Roman" w:cs="Arial"/>
          <w:color w:val="000000"/>
          <w:lang w:val="en-US"/>
        </w:rPr>
        <w:t xml:space="preserve"> </w:t>
      </w:r>
      <w:r w:rsidRPr="00687933">
        <w:rPr>
          <w:rFonts w:eastAsia="Times New Roman" w:cs="Arial"/>
          <w:color w:val="000000"/>
          <w:lang w:eastAsia="bg-BG"/>
        </w:rPr>
        <w:t xml:space="preserve">и </w:t>
      </w:r>
      <w:r w:rsidRPr="00687933">
        <w:rPr>
          <w:rFonts w:eastAsia="Times New Roman" w:cs="Arial"/>
          <w:i/>
          <w:iCs/>
          <w:color w:val="000000"/>
          <w:lang w:eastAsia="bg-BG"/>
        </w:rPr>
        <w:t xml:space="preserve">С. </w:t>
      </w:r>
      <w:proofErr w:type="spellStart"/>
      <w:r w:rsidRPr="00687933">
        <w:rPr>
          <w:rFonts w:eastAsia="Times New Roman" w:cs="Arial"/>
          <w:i/>
          <w:iCs/>
          <w:color w:val="000000"/>
          <w:lang w:val="en-US"/>
        </w:rPr>
        <w:t>auris</w:t>
      </w:r>
      <w:proofErr w:type="spellEnd"/>
      <w:r w:rsidRPr="00687933">
        <w:rPr>
          <w:rFonts w:eastAsia="Times New Roman" w:cs="Arial"/>
          <w:color w:val="000000"/>
          <w:lang w:val="en-US"/>
        </w:rPr>
        <w:t xml:space="preserve"> </w:t>
      </w:r>
      <w:r w:rsidRPr="00687933">
        <w:rPr>
          <w:rFonts w:eastAsia="Times New Roman" w:cs="Arial"/>
          <w:color w:val="000000"/>
          <w:lang w:eastAsia="bg-BG"/>
        </w:rPr>
        <w:t>са резистентни към флуконазол..</w:t>
      </w:r>
    </w:p>
    <w:p w14:paraId="7E92C448" w14:textId="77777777" w:rsidR="005A5F0F" w:rsidRPr="00687933" w:rsidRDefault="005A5F0F" w:rsidP="005A5F0F">
      <w:pPr>
        <w:spacing w:line="240" w:lineRule="auto"/>
        <w:rPr>
          <w:rFonts w:eastAsia="Times New Roman" w:cs="Arial"/>
          <w:color w:val="000000"/>
          <w:lang w:eastAsia="bg-BG"/>
        </w:rPr>
      </w:pPr>
    </w:p>
    <w:p w14:paraId="4D114302" w14:textId="31D2C9C1"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 xml:space="preserve">Флуконазол проявява </w:t>
      </w:r>
      <w:r w:rsidRPr="00687933">
        <w:rPr>
          <w:rFonts w:eastAsia="Times New Roman" w:cs="Arial"/>
          <w:i/>
          <w:iCs/>
          <w:color w:val="000000"/>
          <w:lang w:val="en-US"/>
        </w:rPr>
        <w:t>in vitro</w:t>
      </w:r>
      <w:r w:rsidRPr="00687933">
        <w:rPr>
          <w:rFonts w:eastAsia="Times New Roman" w:cs="Arial"/>
          <w:color w:val="000000"/>
          <w:lang w:val="en-US"/>
        </w:rPr>
        <w:t xml:space="preserve"> </w:t>
      </w:r>
      <w:r w:rsidRPr="00687933">
        <w:rPr>
          <w:rFonts w:eastAsia="Times New Roman" w:cs="Arial"/>
          <w:color w:val="000000"/>
          <w:lang w:eastAsia="bg-BG"/>
        </w:rPr>
        <w:t xml:space="preserve">активност и към </w:t>
      </w:r>
      <w:r w:rsidRPr="00687933">
        <w:rPr>
          <w:rFonts w:eastAsia="Times New Roman" w:cs="Arial"/>
          <w:i/>
          <w:iCs/>
          <w:color w:val="000000"/>
          <w:lang w:val="en-US"/>
        </w:rPr>
        <w:t xml:space="preserve">Cryptococcus </w:t>
      </w:r>
      <w:proofErr w:type="spellStart"/>
      <w:r w:rsidRPr="00687933">
        <w:rPr>
          <w:rFonts w:eastAsia="Times New Roman" w:cs="Arial"/>
          <w:i/>
          <w:iCs/>
          <w:color w:val="000000"/>
          <w:lang w:val="en-US"/>
        </w:rPr>
        <w:t>neoformans</w:t>
      </w:r>
      <w:proofErr w:type="spellEnd"/>
      <w:r w:rsidRPr="00687933">
        <w:rPr>
          <w:rFonts w:eastAsia="Times New Roman" w:cs="Arial"/>
          <w:color w:val="000000"/>
          <w:lang w:val="en-US"/>
        </w:rPr>
        <w:t xml:space="preserve"> </w:t>
      </w:r>
      <w:r w:rsidRPr="00687933">
        <w:rPr>
          <w:rFonts w:eastAsia="Times New Roman" w:cs="Arial"/>
          <w:color w:val="000000"/>
          <w:lang w:eastAsia="bg-BG"/>
        </w:rPr>
        <w:t xml:space="preserve">и </w:t>
      </w:r>
      <w:r w:rsidRPr="00687933">
        <w:rPr>
          <w:rFonts w:eastAsia="Times New Roman" w:cs="Arial"/>
          <w:i/>
          <w:iCs/>
          <w:color w:val="000000"/>
          <w:lang w:val="en-US"/>
        </w:rPr>
        <w:t xml:space="preserve">Cryptococcus </w:t>
      </w:r>
      <w:proofErr w:type="spellStart"/>
      <w:r w:rsidRPr="00687933">
        <w:rPr>
          <w:rFonts w:eastAsia="Times New Roman" w:cs="Arial"/>
          <w:i/>
          <w:iCs/>
          <w:color w:val="000000"/>
          <w:lang w:val="en-US"/>
        </w:rPr>
        <w:t>gattii</w:t>
      </w:r>
      <w:proofErr w:type="spellEnd"/>
      <w:r w:rsidRPr="00687933">
        <w:rPr>
          <w:rFonts w:eastAsia="Times New Roman" w:cs="Arial"/>
          <w:i/>
          <w:iCs/>
          <w:color w:val="000000"/>
          <w:lang w:val="en-US"/>
        </w:rPr>
        <w:t xml:space="preserve">, </w:t>
      </w:r>
      <w:r w:rsidRPr="00687933">
        <w:rPr>
          <w:rFonts w:eastAsia="Times New Roman" w:cs="Arial"/>
          <w:color w:val="000000"/>
          <w:lang w:eastAsia="bg-BG"/>
        </w:rPr>
        <w:t xml:space="preserve">както и към ендемичните плесени </w:t>
      </w:r>
      <w:proofErr w:type="spellStart"/>
      <w:r w:rsidRPr="00687933">
        <w:rPr>
          <w:rFonts w:eastAsia="Times New Roman" w:cs="Arial"/>
          <w:i/>
          <w:iCs/>
          <w:color w:val="000000"/>
          <w:lang w:val="en-US"/>
        </w:rPr>
        <w:t>Blastomyces</w:t>
      </w:r>
      <w:proofErr w:type="spellEnd"/>
      <w:r w:rsidRPr="00687933">
        <w:rPr>
          <w:rFonts w:eastAsia="Times New Roman" w:cs="Arial"/>
          <w:i/>
          <w:iCs/>
          <w:color w:val="000000"/>
          <w:lang w:val="en-US"/>
        </w:rPr>
        <w:t xml:space="preserve"> </w:t>
      </w:r>
      <w:proofErr w:type="spellStart"/>
      <w:r w:rsidRPr="00687933">
        <w:rPr>
          <w:rFonts w:eastAsia="Times New Roman" w:cs="Arial"/>
          <w:i/>
          <w:iCs/>
          <w:color w:val="000000"/>
          <w:lang w:val="en-US"/>
        </w:rPr>
        <w:t>dermatiditis</w:t>
      </w:r>
      <w:proofErr w:type="spellEnd"/>
      <w:r w:rsidRPr="00687933">
        <w:rPr>
          <w:rFonts w:eastAsia="Times New Roman" w:cs="Arial"/>
          <w:i/>
          <w:iCs/>
          <w:color w:val="000000"/>
          <w:lang w:val="en-US"/>
        </w:rPr>
        <w:t xml:space="preserve">, </w:t>
      </w:r>
      <w:proofErr w:type="spellStart"/>
      <w:r w:rsidRPr="00687933">
        <w:rPr>
          <w:rFonts w:eastAsia="Times New Roman" w:cs="Arial"/>
          <w:i/>
          <w:iCs/>
          <w:color w:val="000000"/>
          <w:lang w:val="en-US"/>
        </w:rPr>
        <w:t>Coccidioides</w:t>
      </w:r>
      <w:proofErr w:type="spellEnd"/>
      <w:r w:rsidRPr="00687933">
        <w:rPr>
          <w:rFonts w:eastAsia="Times New Roman" w:cs="Arial"/>
          <w:i/>
          <w:iCs/>
          <w:color w:val="000000"/>
          <w:lang w:val="en-US"/>
        </w:rPr>
        <w:t xml:space="preserve"> </w:t>
      </w:r>
      <w:proofErr w:type="spellStart"/>
      <w:r w:rsidRPr="00687933">
        <w:rPr>
          <w:rFonts w:eastAsia="Times New Roman" w:cs="Arial"/>
          <w:i/>
          <w:iCs/>
          <w:color w:val="000000"/>
          <w:lang w:val="en-US"/>
        </w:rPr>
        <w:t>immitis</w:t>
      </w:r>
      <w:proofErr w:type="spellEnd"/>
      <w:r w:rsidRPr="00687933">
        <w:rPr>
          <w:rFonts w:eastAsia="Times New Roman" w:cs="Arial"/>
          <w:i/>
          <w:iCs/>
          <w:color w:val="000000"/>
          <w:lang w:val="en-US"/>
        </w:rPr>
        <w:t xml:space="preserve">, </w:t>
      </w:r>
      <w:proofErr w:type="spellStart"/>
      <w:r w:rsidRPr="00687933">
        <w:rPr>
          <w:rFonts w:eastAsia="Times New Roman" w:cs="Arial"/>
          <w:i/>
          <w:iCs/>
          <w:color w:val="000000"/>
          <w:lang w:val="en-US"/>
        </w:rPr>
        <w:t>Histoplasma</w:t>
      </w:r>
      <w:proofErr w:type="spellEnd"/>
      <w:r w:rsidRPr="00687933">
        <w:rPr>
          <w:rFonts w:eastAsia="Times New Roman" w:cs="Arial"/>
          <w:i/>
          <w:iCs/>
          <w:color w:val="000000"/>
          <w:lang w:val="en-US"/>
        </w:rPr>
        <w:t xml:space="preserve"> </w:t>
      </w:r>
      <w:proofErr w:type="spellStart"/>
      <w:r w:rsidRPr="00687933">
        <w:rPr>
          <w:rFonts w:eastAsia="Times New Roman" w:cs="Arial"/>
          <w:i/>
          <w:iCs/>
          <w:color w:val="000000"/>
          <w:lang w:val="en-US"/>
        </w:rPr>
        <w:t>capsulatum</w:t>
      </w:r>
      <w:proofErr w:type="spellEnd"/>
      <w:r w:rsidRPr="00687933">
        <w:rPr>
          <w:rFonts w:eastAsia="Times New Roman" w:cs="Arial"/>
          <w:color w:val="000000"/>
          <w:lang w:val="en-US"/>
        </w:rPr>
        <w:t xml:space="preserve"> </w:t>
      </w:r>
      <w:r w:rsidRPr="00687933">
        <w:rPr>
          <w:rFonts w:eastAsia="Times New Roman" w:cs="Arial"/>
          <w:color w:val="000000"/>
          <w:lang w:eastAsia="bg-BG"/>
        </w:rPr>
        <w:t xml:space="preserve">и </w:t>
      </w:r>
      <w:proofErr w:type="spellStart"/>
      <w:r w:rsidRPr="00687933">
        <w:rPr>
          <w:rFonts w:eastAsia="Times New Roman" w:cs="Arial"/>
          <w:i/>
          <w:iCs/>
          <w:color w:val="000000"/>
          <w:lang w:val="en-US"/>
        </w:rPr>
        <w:t>Paracoccidioides</w:t>
      </w:r>
      <w:proofErr w:type="spellEnd"/>
      <w:r w:rsidRPr="00687933">
        <w:rPr>
          <w:rFonts w:eastAsia="Times New Roman" w:cs="Arial"/>
          <w:i/>
          <w:iCs/>
          <w:color w:val="000000"/>
          <w:lang w:val="en-US"/>
        </w:rPr>
        <w:t xml:space="preserve"> </w:t>
      </w:r>
      <w:proofErr w:type="spellStart"/>
      <w:r w:rsidRPr="00687933">
        <w:rPr>
          <w:rFonts w:eastAsia="Times New Roman" w:cs="Arial"/>
          <w:i/>
          <w:iCs/>
          <w:color w:val="000000"/>
          <w:lang w:val="en-US"/>
        </w:rPr>
        <w:t>brasiliensis</w:t>
      </w:r>
      <w:proofErr w:type="spellEnd"/>
      <w:r w:rsidRPr="00687933">
        <w:rPr>
          <w:rFonts w:eastAsia="Times New Roman" w:cs="Arial"/>
          <w:i/>
          <w:iCs/>
          <w:color w:val="000000"/>
          <w:lang w:val="en-US"/>
        </w:rPr>
        <w:t>.</w:t>
      </w:r>
    </w:p>
    <w:p w14:paraId="257C6F9E" w14:textId="77777777" w:rsidR="005A5F0F" w:rsidRPr="00687933" w:rsidRDefault="005A5F0F" w:rsidP="005A5F0F">
      <w:pPr>
        <w:spacing w:line="240" w:lineRule="auto"/>
        <w:rPr>
          <w:rFonts w:eastAsia="Times New Roman" w:cs="Arial"/>
          <w:color w:val="000000"/>
          <w:u w:val="single"/>
          <w:lang w:eastAsia="bg-BG"/>
        </w:rPr>
      </w:pPr>
    </w:p>
    <w:p w14:paraId="2A447FAA" w14:textId="747AC8F6" w:rsidR="005A5F0F" w:rsidRPr="00687933" w:rsidRDefault="005A5F0F" w:rsidP="005A5F0F">
      <w:pPr>
        <w:spacing w:line="240" w:lineRule="auto"/>
        <w:rPr>
          <w:rFonts w:eastAsia="Times New Roman" w:cs="Arial"/>
          <w:lang w:eastAsia="bg-BG"/>
        </w:rPr>
      </w:pPr>
      <w:r w:rsidRPr="00687933">
        <w:rPr>
          <w:rFonts w:eastAsia="Times New Roman" w:cs="Arial"/>
          <w:color w:val="000000"/>
          <w:u w:val="single"/>
          <w:lang w:eastAsia="bg-BG"/>
        </w:rPr>
        <w:t>Връзка между фармакокинетика и фармакодинамика</w:t>
      </w:r>
    </w:p>
    <w:p w14:paraId="20E271BB" w14:textId="77777777"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 xml:space="preserve">При проучванията върху животни има корелация между стойностите на минималната инхибираща концентрация </w:t>
      </w:r>
      <w:r w:rsidRPr="00687933">
        <w:rPr>
          <w:rFonts w:eastAsia="Times New Roman" w:cs="Arial"/>
          <w:color w:val="000000"/>
          <w:lang w:val="en-US"/>
        </w:rPr>
        <w:t xml:space="preserve">(MIC) </w:t>
      </w:r>
      <w:r w:rsidRPr="00687933">
        <w:rPr>
          <w:rFonts w:eastAsia="Times New Roman" w:cs="Arial"/>
          <w:color w:val="000000"/>
          <w:lang w:eastAsia="bg-BG"/>
        </w:rPr>
        <w:t xml:space="preserve">и ефикасността срещу експериментални микози в резултат на </w:t>
      </w:r>
      <w:r w:rsidRPr="00687933">
        <w:rPr>
          <w:rFonts w:eastAsia="Times New Roman" w:cs="Arial"/>
          <w:i/>
          <w:iCs/>
          <w:color w:val="000000"/>
          <w:lang w:val="en-US"/>
        </w:rPr>
        <w:t>Candida</w:t>
      </w:r>
      <w:r w:rsidRPr="00687933">
        <w:rPr>
          <w:rFonts w:eastAsia="Times New Roman" w:cs="Arial"/>
          <w:color w:val="000000"/>
          <w:lang w:val="en-US"/>
        </w:rPr>
        <w:t xml:space="preserve"> spp. </w:t>
      </w:r>
      <w:r w:rsidRPr="00687933">
        <w:rPr>
          <w:rFonts w:eastAsia="Times New Roman" w:cs="Arial"/>
          <w:color w:val="000000"/>
          <w:lang w:eastAsia="bg-BG"/>
        </w:rPr>
        <w:t xml:space="preserve">При клинични проучвания има почти 1:1 линейна взаимовръзка между </w:t>
      </w:r>
      <w:r w:rsidRPr="00687933">
        <w:rPr>
          <w:rFonts w:eastAsia="Times New Roman" w:cs="Arial"/>
          <w:color w:val="000000"/>
          <w:lang w:val="en-US"/>
        </w:rPr>
        <w:t xml:space="preserve">AUC </w:t>
      </w:r>
      <w:r w:rsidRPr="00687933">
        <w:rPr>
          <w:rFonts w:eastAsia="Times New Roman" w:cs="Arial"/>
          <w:color w:val="000000"/>
          <w:lang w:eastAsia="bg-BG"/>
        </w:rPr>
        <w:t xml:space="preserve">и дозата на флуконазола. Наблюдавана е също така директна, но нелинейна връзка </w:t>
      </w:r>
      <w:r w:rsidRPr="00687933">
        <w:rPr>
          <w:rFonts w:eastAsia="Times New Roman" w:cs="Arial"/>
          <w:color w:val="000000"/>
          <w:lang w:val="en-US"/>
        </w:rPr>
        <w:t xml:space="preserve">AUC </w:t>
      </w:r>
      <w:r w:rsidRPr="00687933">
        <w:rPr>
          <w:rFonts w:eastAsia="Times New Roman" w:cs="Arial"/>
          <w:color w:val="000000"/>
          <w:lang w:eastAsia="bg-BG"/>
        </w:rPr>
        <w:t xml:space="preserve">или дозата и успешен клиничен отговор към перорална кандидоза и в по-малка степен кандидемия. По подобен начин, лечението е по-вероятно при инфекции, причинени от щамове, за които флуконазол има по-висока </w:t>
      </w:r>
      <w:r w:rsidRPr="00687933">
        <w:rPr>
          <w:rFonts w:eastAsia="Times New Roman" w:cs="Arial"/>
          <w:color w:val="000000"/>
          <w:lang w:val="en-US"/>
        </w:rPr>
        <w:t>MIC.</w:t>
      </w:r>
    </w:p>
    <w:p w14:paraId="429F4DDC" w14:textId="77777777" w:rsidR="005A5F0F" w:rsidRPr="00687933" w:rsidRDefault="005A5F0F" w:rsidP="005A5F0F">
      <w:pPr>
        <w:spacing w:line="240" w:lineRule="auto"/>
        <w:rPr>
          <w:rFonts w:eastAsia="Times New Roman" w:cs="Arial"/>
          <w:color w:val="000000"/>
          <w:u w:val="single"/>
          <w:lang w:eastAsia="bg-BG"/>
        </w:rPr>
      </w:pPr>
    </w:p>
    <w:p w14:paraId="2A31C5A9" w14:textId="6E796833" w:rsidR="005A5F0F" w:rsidRPr="00687933" w:rsidRDefault="005A5F0F" w:rsidP="005A5F0F">
      <w:pPr>
        <w:spacing w:line="240" w:lineRule="auto"/>
        <w:rPr>
          <w:rFonts w:eastAsia="Times New Roman" w:cs="Arial"/>
          <w:lang w:eastAsia="bg-BG"/>
        </w:rPr>
      </w:pPr>
      <w:r w:rsidRPr="00687933">
        <w:rPr>
          <w:rFonts w:eastAsia="Times New Roman" w:cs="Arial"/>
          <w:color w:val="000000"/>
          <w:u w:val="single"/>
          <w:lang w:eastAsia="bg-BG"/>
        </w:rPr>
        <w:t>Механизъм/ми на резистентност</w:t>
      </w:r>
    </w:p>
    <w:p w14:paraId="5278BD1C" w14:textId="77777777" w:rsidR="005A5F0F" w:rsidRPr="00687933" w:rsidRDefault="005A5F0F" w:rsidP="005A5F0F">
      <w:pPr>
        <w:spacing w:line="240" w:lineRule="auto"/>
        <w:rPr>
          <w:rFonts w:eastAsia="Times New Roman" w:cs="Arial"/>
          <w:lang w:eastAsia="bg-BG"/>
        </w:rPr>
      </w:pPr>
      <w:r w:rsidRPr="00687933">
        <w:rPr>
          <w:rFonts w:eastAsia="Times New Roman" w:cs="Arial"/>
          <w:i/>
          <w:iCs/>
          <w:color w:val="000000"/>
          <w:lang w:val="en-US"/>
        </w:rPr>
        <w:t>Candida</w:t>
      </w:r>
      <w:r w:rsidRPr="00687933">
        <w:rPr>
          <w:rFonts w:eastAsia="Times New Roman" w:cs="Arial"/>
          <w:color w:val="000000"/>
          <w:lang w:val="en-US"/>
        </w:rPr>
        <w:t xml:space="preserve"> </w:t>
      </w:r>
      <w:proofErr w:type="spellStart"/>
      <w:r w:rsidRPr="00687933">
        <w:rPr>
          <w:rFonts w:eastAsia="Times New Roman" w:cs="Arial"/>
          <w:color w:val="000000"/>
          <w:lang w:val="en-US"/>
        </w:rPr>
        <w:t>spp</w:t>
      </w:r>
      <w:proofErr w:type="spellEnd"/>
      <w:r w:rsidRPr="00687933">
        <w:rPr>
          <w:rFonts w:eastAsia="Times New Roman" w:cs="Arial"/>
          <w:color w:val="000000"/>
          <w:lang w:val="en-US"/>
        </w:rPr>
        <w:t xml:space="preserve"> </w:t>
      </w:r>
      <w:r w:rsidRPr="00687933">
        <w:rPr>
          <w:rFonts w:eastAsia="Times New Roman" w:cs="Arial"/>
          <w:color w:val="000000"/>
          <w:lang w:eastAsia="bg-BG"/>
        </w:rPr>
        <w:t>са развили редица механизми на резистентност към азолови антимикотични агенти.</w:t>
      </w:r>
    </w:p>
    <w:p w14:paraId="707D3A41" w14:textId="77777777" w:rsidR="005A5F0F" w:rsidRPr="00687933" w:rsidRDefault="005A5F0F" w:rsidP="005A5F0F">
      <w:pPr>
        <w:spacing w:line="240" w:lineRule="auto"/>
        <w:rPr>
          <w:rFonts w:eastAsia="Times New Roman" w:cs="Arial"/>
          <w:color w:val="000000"/>
          <w:lang w:eastAsia="bg-BG"/>
        </w:rPr>
      </w:pPr>
    </w:p>
    <w:p w14:paraId="7CFBB768" w14:textId="5F80EFD2"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 xml:space="preserve">Флуконазол има високи минимални инхибиращи концентрации по отношение на гъбичките щамове, които са развили един или повече механизми на резистентност, което повлиява неблагоприятно ефикасността, както </w:t>
      </w:r>
      <w:r w:rsidRPr="00687933">
        <w:rPr>
          <w:rFonts w:eastAsia="Times New Roman" w:cs="Arial"/>
          <w:i/>
          <w:iCs/>
          <w:color w:val="000000"/>
          <w:lang w:val="en-US"/>
        </w:rPr>
        <w:t>in vivo,</w:t>
      </w:r>
      <w:r w:rsidRPr="00687933">
        <w:rPr>
          <w:rFonts w:eastAsia="Times New Roman" w:cs="Arial"/>
          <w:color w:val="000000"/>
          <w:lang w:val="en-US"/>
        </w:rPr>
        <w:t xml:space="preserve"> </w:t>
      </w:r>
      <w:r w:rsidRPr="00687933">
        <w:rPr>
          <w:rFonts w:eastAsia="Times New Roman" w:cs="Arial"/>
          <w:color w:val="000000"/>
          <w:lang w:eastAsia="bg-BG"/>
        </w:rPr>
        <w:t>така и клинично.</w:t>
      </w:r>
    </w:p>
    <w:p w14:paraId="41E2D938" w14:textId="77777777" w:rsidR="005A5F0F" w:rsidRPr="00687933" w:rsidRDefault="005A5F0F" w:rsidP="005A5F0F">
      <w:pPr>
        <w:spacing w:line="240" w:lineRule="auto"/>
        <w:rPr>
          <w:rFonts w:eastAsia="Times New Roman" w:cs="Arial"/>
          <w:color w:val="000000"/>
          <w:lang w:eastAsia="bg-BG"/>
        </w:rPr>
      </w:pPr>
    </w:p>
    <w:p w14:paraId="5FB8019F" w14:textId="49BBBA31"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 xml:space="preserve">Има съобщения за суперинфекция, предизвикана от видове </w:t>
      </w:r>
      <w:r w:rsidRPr="00687933">
        <w:rPr>
          <w:rFonts w:eastAsia="Times New Roman" w:cs="Arial"/>
          <w:i/>
          <w:iCs/>
          <w:color w:val="000000"/>
          <w:lang w:val="en-US"/>
        </w:rPr>
        <w:t>Candida,</w:t>
      </w:r>
      <w:r w:rsidRPr="00687933">
        <w:rPr>
          <w:rFonts w:eastAsia="Times New Roman" w:cs="Arial"/>
          <w:color w:val="000000"/>
          <w:lang w:val="en-US"/>
        </w:rPr>
        <w:t xml:space="preserve"> </w:t>
      </w:r>
      <w:r w:rsidRPr="00687933">
        <w:rPr>
          <w:rFonts w:eastAsia="Times New Roman" w:cs="Arial"/>
          <w:color w:val="000000"/>
          <w:lang w:eastAsia="bg-BG"/>
        </w:rPr>
        <w:t xml:space="preserve">различни от </w:t>
      </w:r>
      <w:r w:rsidRPr="00687933">
        <w:rPr>
          <w:rFonts w:eastAsia="Times New Roman" w:cs="Arial"/>
          <w:i/>
          <w:iCs/>
          <w:color w:val="000000"/>
          <w:lang w:eastAsia="bg-BG"/>
        </w:rPr>
        <w:t xml:space="preserve">С. </w:t>
      </w:r>
      <w:proofErr w:type="spellStart"/>
      <w:proofErr w:type="gramStart"/>
      <w:r w:rsidRPr="00687933">
        <w:rPr>
          <w:rFonts w:eastAsia="Times New Roman" w:cs="Arial"/>
          <w:i/>
          <w:iCs/>
          <w:color w:val="000000"/>
          <w:lang w:val="en-US"/>
        </w:rPr>
        <w:t>albicans</w:t>
      </w:r>
      <w:proofErr w:type="spellEnd"/>
      <w:proofErr w:type="gramEnd"/>
      <w:r w:rsidRPr="00687933">
        <w:rPr>
          <w:rFonts w:eastAsia="Times New Roman" w:cs="Arial"/>
          <w:i/>
          <w:iCs/>
          <w:color w:val="000000"/>
          <w:lang w:val="en-US"/>
        </w:rPr>
        <w:t xml:space="preserve">, </w:t>
      </w:r>
      <w:r w:rsidRPr="00687933">
        <w:rPr>
          <w:rFonts w:eastAsia="Times New Roman" w:cs="Arial"/>
          <w:color w:val="000000"/>
          <w:lang w:eastAsia="bg-BG"/>
        </w:rPr>
        <w:t xml:space="preserve">които често имат присъща намалена чувствителност (С. </w:t>
      </w:r>
      <w:proofErr w:type="spellStart"/>
      <w:r w:rsidRPr="00687933">
        <w:rPr>
          <w:rFonts w:eastAsia="Times New Roman" w:cs="Arial"/>
          <w:i/>
          <w:iCs/>
          <w:color w:val="000000"/>
          <w:lang w:val="en-US"/>
        </w:rPr>
        <w:t>glabrata</w:t>
      </w:r>
      <w:proofErr w:type="spellEnd"/>
      <w:r w:rsidRPr="00687933">
        <w:rPr>
          <w:rFonts w:eastAsia="Times New Roman" w:cs="Arial"/>
          <w:i/>
          <w:iCs/>
          <w:color w:val="000000"/>
          <w:lang w:val="en-US"/>
        </w:rPr>
        <w:t>)</w:t>
      </w:r>
      <w:r w:rsidRPr="00687933">
        <w:rPr>
          <w:rFonts w:eastAsia="Times New Roman" w:cs="Arial"/>
          <w:color w:val="000000"/>
          <w:lang w:val="en-US"/>
        </w:rPr>
        <w:t xml:space="preserve"> </w:t>
      </w:r>
      <w:r w:rsidRPr="00687933">
        <w:rPr>
          <w:rFonts w:eastAsia="Times New Roman" w:cs="Arial"/>
          <w:color w:val="000000"/>
          <w:lang w:eastAsia="bg-BG"/>
        </w:rPr>
        <w:t xml:space="preserve">или резистентност към флуконазол (напр. </w:t>
      </w:r>
      <w:r w:rsidRPr="00687933">
        <w:rPr>
          <w:rFonts w:eastAsia="Times New Roman" w:cs="Arial"/>
          <w:i/>
          <w:iCs/>
          <w:color w:val="000000"/>
          <w:lang w:eastAsia="bg-BG"/>
        </w:rPr>
        <w:t xml:space="preserve">С. </w:t>
      </w:r>
      <w:proofErr w:type="spellStart"/>
      <w:proofErr w:type="gramStart"/>
      <w:r w:rsidRPr="00687933">
        <w:rPr>
          <w:rFonts w:eastAsia="Times New Roman" w:cs="Arial"/>
          <w:i/>
          <w:iCs/>
          <w:color w:val="000000"/>
          <w:lang w:val="en-US"/>
        </w:rPr>
        <w:t>krusei</w:t>
      </w:r>
      <w:proofErr w:type="spellEnd"/>
      <w:proofErr w:type="gramEnd"/>
      <w:r w:rsidRPr="00687933">
        <w:rPr>
          <w:rFonts w:eastAsia="Times New Roman" w:cs="Arial"/>
          <w:i/>
          <w:iCs/>
          <w:color w:val="000000"/>
          <w:lang w:val="en-US"/>
        </w:rPr>
        <w:t>,</w:t>
      </w:r>
      <w:r w:rsidRPr="00687933">
        <w:rPr>
          <w:rFonts w:eastAsia="Times New Roman" w:cs="Arial"/>
          <w:color w:val="000000"/>
          <w:lang w:val="en-US"/>
        </w:rPr>
        <w:t xml:space="preserve"> </w:t>
      </w:r>
      <w:r w:rsidRPr="00687933">
        <w:rPr>
          <w:rFonts w:eastAsia="Times New Roman" w:cs="Arial"/>
          <w:color w:val="000000"/>
          <w:lang w:eastAsia="bg-BG"/>
        </w:rPr>
        <w:t xml:space="preserve">С. </w:t>
      </w:r>
      <w:proofErr w:type="spellStart"/>
      <w:r w:rsidRPr="00687933">
        <w:rPr>
          <w:rFonts w:eastAsia="Times New Roman" w:cs="Arial"/>
          <w:i/>
          <w:iCs/>
          <w:color w:val="000000"/>
          <w:lang w:val="en-US"/>
        </w:rPr>
        <w:t>auris</w:t>
      </w:r>
      <w:proofErr w:type="spellEnd"/>
      <w:r w:rsidRPr="00687933">
        <w:rPr>
          <w:rFonts w:eastAsia="Times New Roman" w:cs="Arial"/>
          <w:i/>
          <w:iCs/>
          <w:color w:val="000000"/>
          <w:lang w:val="en-US"/>
        </w:rPr>
        <w:t>).</w:t>
      </w:r>
      <w:r w:rsidRPr="00687933">
        <w:rPr>
          <w:rFonts w:eastAsia="Times New Roman" w:cs="Arial"/>
          <w:color w:val="000000"/>
          <w:lang w:val="en-US"/>
        </w:rPr>
        <w:t xml:space="preserve"> </w:t>
      </w:r>
      <w:r w:rsidRPr="00687933">
        <w:rPr>
          <w:rFonts w:eastAsia="Times New Roman" w:cs="Arial"/>
          <w:color w:val="000000"/>
          <w:lang w:eastAsia="bg-BG"/>
        </w:rPr>
        <w:t>При такива инфекции може да е необходима алтернативна противогъбична терапия.</w:t>
      </w:r>
    </w:p>
    <w:p w14:paraId="35E35D27" w14:textId="77777777" w:rsidR="005A5F0F" w:rsidRPr="00687933" w:rsidRDefault="005A5F0F" w:rsidP="005A5F0F">
      <w:pPr>
        <w:spacing w:line="240" w:lineRule="auto"/>
        <w:rPr>
          <w:rFonts w:eastAsia="Times New Roman" w:cs="Arial"/>
          <w:color w:val="000000"/>
          <w:u w:val="single"/>
          <w:lang w:eastAsia="bg-BG"/>
        </w:rPr>
      </w:pPr>
    </w:p>
    <w:p w14:paraId="31231FE2" w14:textId="36B41701" w:rsidR="005A5F0F" w:rsidRPr="00687933" w:rsidRDefault="005A5F0F" w:rsidP="005A5F0F">
      <w:pPr>
        <w:spacing w:line="240" w:lineRule="auto"/>
        <w:rPr>
          <w:rFonts w:eastAsia="Times New Roman" w:cs="Arial"/>
          <w:lang w:eastAsia="bg-BG"/>
        </w:rPr>
      </w:pPr>
      <w:r w:rsidRPr="00687933">
        <w:rPr>
          <w:rFonts w:eastAsia="Times New Roman" w:cs="Arial"/>
          <w:color w:val="000000"/>
          <w:u w:val="single"/>
          <w:lang w:eastAsia="bg-BG"/>
        </w:rPr>
        <w:t>Гранични стойности (съгласно Европейския комитет по изпитване за чувствителност към</w:t>
      </w:r>
      <w:r w:rsidRPr="00687933">
        <w:rPr>
          <w:rFonts w:eastAsia="Times New Roman" w:cs="Arial"/>
          <w:color w:val="000000"/>
          <w:lang w:eastAsia="bg-BG"/>
        </w:rPr>
        <w:t xml:space="preserve"> </w:t>
      </w:r>
      <w:r w:rsidRPr="00687933">
        <w:rPr>
          <w:rFonts w:eastAsia="Times New Roman" w:cs="Arial"/>
          <w:color w:val="000000"/>
          <w:u w:val="single"/>
          <w:lang w:eastAsia="bg-BG"/>
        </w:rPr>
        <w:t xml:space="preserve">антимикробни средства </w:t>
      </w:r>
      <w:r w:rsidRPr="00687933">
        <w:rPr>
          <w:rFonts w:eastAsia="Times New Roman" w:cs="Arial"/>
          <w:color w:val="000000"/>
          <w:u w:val="single"/>
          <w:lang w:val="en-US"/>
        </w:rPr>
        <w:t>(EUCAST))</w:t>
      </w:r>
    </w:p>
    <w:p w14:paraId="038F692B" w14:textId="04914211" w:rsidR="007A2185" w:rsidRPr="00687933" w:rsidRDefault="005A5F0F" w:rsidP="005A5F0F">
      <w:pPr>
        <w:spacing w:line="240" w:lineRule="auto"/>
        <w:rPr>
          <w:rFonts w:cs="Arial"/>
        </w:rPr>
      </w:pPr>
      <w:r w:rsidRPr="00687933">
        <w:rPr>
          <w:rFonts w:eastAsia="Times New Roman" w:cs="Arial"/>
          <w:color w:val="000000"/>
          <w:lang w:eastAsia="bg-BG"/>
        </w:rPr>
        <w:t xml:space="preserve">Европейският комитет по изпитване за чувствителност към антимикробни средсства- подкомитет по изпитване за чувствителност към противогъбични средства </w:t>
      </w:r>
      <w:r w:rsidRPr="00687933">
        <w:rPr>
          <w:rFonts w:eastAsia="Times New Roman" w:cs="Arial"/>
          <w:color w:val="000000"/>
          <w:lang w:val="en-US"/>
        </w:rPr>
        <w:t>(EUCAST AFST</w:t>
      </w:r>
      <w:r w:rsidRPr="00687933">
        <w:rPr>
          <w:rFonts w:eastAsia="Times New Roman" w:cs="Arial"/>
          <w:color w:val="000000"/>
          <w:lang w:eastAsia="bg-BG"/>
        </w:rPr>
        <w:t xml:space="preserve"> е определил граничните стойности на флуконазол за видовете </w:t>
      </w:r>
      <w:r w:rsidRPr="00687933">
        <w:rPr>
          <w:rFonts w:eastAsia="Times New Roman" w:cs="Arial"/>
          <w:i/>
          <w:iCs/>
          <w:color w:val="000000"/>
          <w:lang w:val="en-US"/>
        </w:rPr>
        <w:t>Candida</w:t>
      </w:r>
      <w:r w:rsidRPr="00687933">
        <w:rPr>
          <w:rFonts w:eastAsia="Times New Roman" w:cs="Arial"/>
          <w:color w:val="000000"/>
          <w:lang w:val="en-US"/>
        </w:rPr>
        <w:t xml:space="preserve"> </w:t>
      </w:r>
      <w:r w:rsidRPr="00687933">
        <w:rPr>
          <w:rFonts w:eastAsia="Times New Roman" w:cs="Arial"/>
          <w:color w:val="000000"/>
          <w:lang w:eastAsia="bg-BG"/>
        </w:rPr>
        <w:t>въз основа на анализа на</w:t>
      </w:r>
      <w:r w:rsidRPr="00687933">
        <w:rPr>
          <w:rFonts w:eastAsia="Times New Roman" w:cs="Arial"/>
          <w:lang w:eastAsia="bg-BG"/>
        </w:rPr>
        <w:t xml:space="preserve"> </w:t>
      </w:r>
      <w:r w:rsidRPr="00687933">
        <w:rPr>
          <w:rFonts w:eastAsia="Times New Roman" w:cs="Arial"/>
          <w:color w:val="000000"/>
          <w:lang w:eastAsia="bg-BG"/>
        </w:rPr>
        <w:t xml:space="preserve">фармакокинетичните/фармакодинамични данни, </w:t>
      </w:r>
      <w:r w:rsidRPr="00687933">
        <w:rPr>
          <w:rFonts w:eastAsia="Times New Roman" w:cs="Arial"/>
          <w:i/>
          <w:iCs/>
          <w:color w:val="000000"/>
          <w:lang w:val="en-US"/>
        </w:rPr>
        <w:t>in vitro</w:t>
      </w:r>
      <w:r w:rsidRPr="00687933">
        <w:rPr>
          <w:rFonts w:eastAsia="Times New Roman" w:cs="Arial"/>
          <w:color w:val="000000"/>
          <w:lang w:val="en-US"/>
        </w:rPr>
        <w:t xml:space="preserve"> </w:t>
      </w:r>
      <w:r w:rsidRPr="00687933">
        <w:rPr>
          <w:rFonts w:eastAsia="Times New Roman" w:cs="Arial"/>
          <w:color w:val="000000"/>
          <w:lang w:eastAsia="bg-BG"/>
        </w:rPr>
        <w:t xml:space="preserve">чувствителността и клиничния отговор </w:t>
      </w:r>
      <w:r w:rsidRPr="00687933">
        <w:rPr>
          <w:rFonts w:cs="Arial"/>
          <w:lang w:val="en-US"/>
        </w:rPr>
        <w:t xml:space="preserve">(EUCAST </w:t>
      </w:r>
      <w:r w:rsidRPr="00687933">
        <w:rPr>
          <w:rFonts w:cs="Arial"/>
        </w:rPr>
        <w:t xml:space="preserve">флуконазол основен документ (2007)-версия 2). Те са били </w:t>
      </w:r>
      <w:r w:rsidRPr="00687933">
        <w:rPr>
          <w:rFonts w:cs="Arial"/>
        </w:rPr>
        <w:lastRenderedPageBreak/>
        <w:t xml:space="preserve">разделени на невидово свързани гранични стойности, определени главно на базата на фармакокинетични /фармакодннамични данни и независими от </w:t>
      </w:r>
      <w:r w:rsidRPr="00687933">
        <w:rPr>
          <w:rFonts w:cs="Arial"/>
          <w:lang w:val="en-US"/>
        </w:rPr>
        <w:t xml:space="preserve">MIC </w:t>
      </w:r>
      <w:r w:rsidRPr="00687933">
        <w:rPr>
          <w:rFonts w:cs="Arial"/>
        </w:rPr>
        <w:t>разпределението при конкретните видове, и видово свързани гранични стойности за видовете, най-често свързани с човешки инфекции. Тези гранични стойности са посочени в таблицата по-долу:</w:t>
      </w:r>
    </w:p>
    <w:p w14:paraId="53A0420B" w14:textId="46127EDB" w:rsidR="005A5F0F" w:rsidRPr="00687933" w:rsidRDefault="005A5F0F" w:rsidP="005A5F0F">
      <w:pPr>
        <w:spacing w:line="240" w:lineRule="auto"/>
        <w:rPr>
          <w:rFonts w:cs="Arial"/>
        </w:rPr>
      </w:pPr>
    </w:p>
    <w:tbl>
      <w:tblPr>
        <w:tblStyle w:val="TableGrid"/>
        <w:tblW w:w="0" w:type="auto"/>
        <w:tblLook w:val="04A0" w:firstRow="1" w:lastRow="0" w:firstColumn="1" w:lastColumn="0" w:noHBand="0" w:noVBand="1"/>
      </w:tblPr>
      <w:tblGrid>
        <w:gridCol w:w="1436"/>
        <w:gridCol w:w="1268"/>
        <w:gridCol w:w="1269"/>
        <w:gridCol w:w="1269"/>
        <w:gridCol w:w="1378"/>
        <w:gridCol w:w="1280"/>
        <w:gridCol w:w="1450"/>
      </w:tblGrid>
      <w:tr w:rsidR="005A5F0F" w:rsidRPr="00687933" w14:paraId="5A02EE71" w14:textId="77777777" w:rsidTr="005A5F0F">
        <w:tc>
          <w:tcPr>
            <w:tcW w:w="1436" w:type="dxa"/>
          </w:tcPr>
          <w:p w14:paraId="692BC986" w14:textId="40A3E0B2" w:rsidR="005A5F0F" w:rsidRPr="00687933" w:rsidRDefault="005A5F0F" w:rsidP="005A5F0F">
            <w:pPr>
              <w:spacing w:line="240" w:lineRule="auto"/>
              <w:rPr>
                <w:rFonts w:eastAsia="Times New Roman" w:cs="Arial"/>
                <w:lang w:eastAsia="bg-BG"/>
              </w:rPr>
            </w:pPr>
            <w:r w:rsidRPr="00687933">
              <w:rPr>
                <w:rFonts w:cs="Arial"/>
                <w:b/>
                <w:bCs/>
              </w:rPr>
              <w:t>Анти ми котих</w:t>
            </w:r>
          </w:p>
        </w:tc>
        <w:tc>
          <w:tcPr>
            <w:tcW w:w="6637" w:type="dxa"/>
            <w:gridSpan w:val="5"/>
          </w:tcPr>
          <w:p w14:paraId="1641073B" w14:textId="69EFD425" w:rsidR="005A5F0F" w:rsidRPr="00687933" w:rsidRDefault="005A5F0F" w:rsidP="005A5F0F">
            <w:pPr>
              <w:spacing w:line="240" w:lineRule="auto"/>
              <w:rPr>
                <w:rFonts w:eastAsia="Times New Roman" w:cs="Arial"/>
                <w:lang w:eastAsia="bg-BG"/>
              </w:rPr>
            </w:pPr>
            <w:r w:rsidRPr="00687933">
              <w:rPr>
                <w:rFonts w:cs="Arial"/>
                <w:b/>
                <w:bCs/>
              </w:rPr>
              <w:t xml:space="preserve">Видово-свързанн гранични стойности </w:t>
            </w:r>
            <w:r w:rsidRPr="00687933">
              <w:rPr>
                <w:rFonts w:cs="Arial"/>
                <w:b/>
                <w:bCs/>
                <w:lang w:val="en-US"/>
              </w:rPr>
              <w:t>(S&lt;/R&gt;)</w:t>
            </w:r>
          </w:p>
        </w:tc>
        <w:tc>
          <w:tcPr>
            <w:tcW w:w="1277" w:type="dxa"/>
          </w:tcPr>
          <w:p w14:paraId="57BF1E86" w14:textId="30AA7439" w:rsidR="005A5F0F" w:rsidRPr="00687933" w:rsidRDefault="005A5F0F" w:rsidP="005A5F0F">
            <w:pPr>
              <w:spacing w:line="240" w:lineRule="auto"/>
              <w:rPr>
                <w:rFonts w:eastAsia="Times New Roman" w:cs="Arial"/>
                <w:lang w:eastAsia="bg-BG"/>
              </w:rPr>
            </w:pPr>
            <w:r w:rsidRPr="00687933">
              <w:rPr>
                <w:rFonts w:cs="Arial"/>
                <w:b/>
                <w:bCs/>
              </w:rPr>
              <w:t>Невидово свързани гранични стойности</w:t>
            </w:r>
            <w:r w:rsidRPr="00687933">
              <w:rPr>
                <w:rFonts w:cs="Arial"/>
                <w:b/>
                <w:bCs/>
                <w:vertAlign w:val="superscript"/>
              </w:rPr>
              <w:t xml:space="preserve">А </w:t>
            </w:r>
            <w:r w:rsidRPr="00687933">
              <w:rPr>
                <w:rFonts w:cs="Arial"/>
                <w:b/>
                <w:bCs/>
                <w:lang w:val="en-US"/>
              </w:rPr>
              <w:t>S&lt;/R&gt;</w:t>
            </w:r>
          </w:p>
        </w:tc>
      </w:tr>
      <w:tr w:rsidR="005A5F0F" w:rsidRPr="00687933" w14:paraId="59A60655" w14:textId="77777777" w:rsidTr="005A5F0F">
        <w:tc>
          <w:tcPr>
            <w:tcW w:w="1436" w:type="dxa"/>
          </w:tcPr>
          <w:p w14:paraId="3D82573E" w14:textId="77777777" w:rsidR="005A5F0F" w:rsidRPr="00687933" w:rsidRDefault="005A5F0F" w:rsidP="005A5F0F">
            <w:pPr>
              <w:spacing w:line="240" w:lineRule="auto"/>
              <w:rPr>
                <w:rFonts w:eastAsia="Times New Roman" w:cs="Arial"/>
                <w:lang w:eastAsia="bg-BG"/>
              </w:rPr>
            </w:pPr>
          </w:p>
        </w:tc>
        <w:tc>
          <w:tcPr>
            <w:tcW w:w="1313" w:type="dxa"/>
          </w:tcPr>
          <w:p w14:paraId="4C59B878" w14:textId="5BD76811" w:rsidR="005A5F0F" w:rsidRPr="00687933" w:rsidRDefault="005A5F0F" w:rsidP="005A5F0F">
            <w:pPr>
              <w:spacing w:line="240" w:lineRule="auto"/>
              <w:rPr>
                <w:rFonts w:eastAsia="Times New Roman" w:cs="Arial"/>
                <w:lang w:eastAsia="bg-BG"/>
              </w:rPr>
            </w:pPr>
            <w:r w:rsidRPr="00687933">
              <w:rPr>
                <w:rFonts w:cs="Arial"/>
                <w:i/>
                <w:iCs/>
              </w:rPr>
              <w:t>Candida albicans</w:t>
            </w:r>
          </w:p>
        </w:tc>
        <w:tc>
          <w:tcPr>
            <w:tcW w:w="1314" w:type="dxa"/>
          </w:tcPr>
          <w:p w14:paraId="2906B05B" w14:textId="71C02FCF" w:rsidR="005A5F0F" w:rsidRPr="00687933" w:rsidRDefault="005A5F0F" w:rsidP="005A5F0F">
            <w:pPr>
              <w:spacing w:line="240" w:lineRule="auto"/>
              <w:rPr>
                <w:rFonts w:eastAsia="Times New Roman" w:cs="Arial"/>
                <w:lang w:eastAsia="bg-BG"/>
              </w:rPr>
            </w:pPr>
            <w:r w:rsidRPr="00687933">
              <w:rPr>
                <w:rFonts w:cs="Arial"/>
                <w:i/>
                <w:iCs/>
              </w:rPr>
              <w:t>Candida glabrata</w:t>
            </w:r>
          </w:p>
        </w:tc>
        <w:tc>
          <w:tcPr>
            <w:tcW w:w="1314" w:type="dxa"/>
          </w:tcPr>
          <w:p w14:paraId="00A867F5" w14:textId="74F71E05" w:rsidR="005A5F0F" w:rsidRPr="00687933" w:rsidRDefault="005A5F0F" w:rsidP="005A5F0F">
            <w:pPr>
              <w:spacing w:line="240" w:lineRule="auto"/>
              <w:rPr>
                <w:rFonts w:eastAsia="Times New Roman" w:cs="Arial"/>
                <w:lang w:eastAsia="bg-BG"/>
              </w:rPr>
            </w:pPr>
            <w:r w:rsidRPr="00687933">
              <w:rPr>
                <w:rFonts w:cs="Arial"/>
                <w:i/>
                <w:iCs/>
              </w:rPr>
              <w:t>Candida krusei</w:t>
            </w:r>
          </w:p>
        </w:tc>
        <w:tc>
          <w:tcPr>
            <w:tcW w:w="1378" w:type="dxa"/>
          </w:tcPr>
          <w:p w14:paraId="57A8CDC3" w14:textId="47478F8A" w:rsidR="005A5F0F" w:rsidRPr="00687933" w:rsidRDefault="005A5F0F" w:rsidP="005A5F0F">
            <w:pPr>
              <w:spacing w:line="240" w:lineRule="auto"/>
              <w:rPr>
                <w:rFonts w:eastAsia="Times New Roman" w:cs="Arial"/>
                <w:lang w:eastAsia="bg-BG"/>
              </w:rPr>
            </w:pPr>
            <w:r w:rsidRPr="00687933">
              <w:rPr>
                <w:rFonts w:cs="Arial"/>
                <w:i/>
                <w:iCs/>
              </w:rPr>
              <w:t>Candida parapsilosis</w:t>
            </w:r>
          </w:p>
        </w:tc>
        <w:tc>
          <w:tcPr>
            <w:tcW w:w="1318" w:type="dxa"/>
          </w:tcPr>
          <w:p w14:paraId="01EA8EAE" w14:textId="1F5A865D" w:rsidR="005A5F0F" w:rsidRPr="00687933" w:rsidRDefault="005A5F0F" w:rsidP="005A5F0F">
            <w:pPr>
              <w:spacing w:line="240" w:lineRule="auto"/>
              <w:rPr>
                <w:rFonts w:eastAsia="Times New Roman" w:cs="Arial"/>
                <w:lang w:eastAsia="bg-BG"/>
              </w:rPr>
            </w:pPr>
            <w:r w:rsidRPr="00687933">
              <w:rPr>
                <w:rFonts w:cs="Arial"/>
                <w:i/>
                <w:iCs/>
              </w:rPr>
              <w:t>Candida tropicalis</w:t>
            </w:r>
          </w:p>
        </w:tc>
        <w:tc>
          <w:tcPr>
            <w:tcW w:w="1277" w:type="dxa"/>
          </w:tcPr>
          <w:p w14:paraId="1E706A2D" w14:textId="77777777" w:rsidR="005A5F0F" w:rsidRPr="00687933" w:rsidRDefault="005A5F0F" w:rsidP="005A5F0F">
            <w:pPr>
              <w:spacing w:line="240" w:lineRule="auto"/>
              <w:rPr>
                <w:rFonts w:eastAsia="Times New Roman" w:cs="Arial"/>
                <w:lang w:eastAsia="bg-BG"/>
              </w:rPr>
            </w:pPr>
          </w:p>
        </w:tc>
      </w:tr>
      <w:tr w:rsidR="005A5F0F" w:rsidRPr="00687933" w14:paraId="2BEC3B95" w14:textId="77777777" w:rsidTr="005A5F0F">
        <w:tc>
          <w:tcPr>
            <w:tcW w:w="1436" w:type="dxa"/>
          </w:tcPr>
          <w:p w14:paraId="514DCE62" w14:textId="6EE16078" w:rsidR="005A5F0F" w:rsidRPr="00687933" w:rsidRDefault="005A5F0F" w:rsidP="005A5F0F">
            <w:pPr>
              <w:spacing w:line="240" w:lineRule="auto"/>
              <w:rPr>
                <w:rFonts w:eastAsia="Times New Roman" w:cs="Arial"/>
                <w:lang w:eastAsia="bg-BG"/>
              </w:rPr>
            </w:pPr>
            <w:r w:rsidRPr="00687933">
              <w:rPr>
                <w:rFonts w:cs="Arial"/>
                <w:lang w:eastAsia="bg-BG"/>
              </w:rPr>
              <w:t>Флуконазол</w:t>
            </w:r>
          </w:p>
        </w:tc>
        <w:tc>
          <w:tcPr>
            <w:tcW w:w="1313" w:type="dxa"/>
          </w:tcPr>
          <w:p w14:paraId="30F367D5" w14:textId="573ECEC2" w:rsidR="005A5F0F" w:rsidRPr="00687933" w:rsidRDefault="005A5F0F" w:rsidP="005A5F0F">
            <w:pPr>
              <w:spacing w:line="240" w:lineRule="auto"/>
              <w:rPr>
                <w:rFonts w:eastAsia="Times New Roman" w:cs="Arial"/>
                <w:lang w:eastAsia="bg-BG"/>
              </w:rPr>
            </w:pPr>
            <w:r w:rsidRPr="00687933">
              <w:rPr>
                <w:rFonts w:cs="Arial"/>
                <w:lang w:eastAsia="bg-BG"/>
              </w:rPr>
              <w:t>2/4</w:t>
            </w:r>
          </w:p>
        </w:tc>
        <w:tc>
          <w:tcPr>
            <w:tcW w:w="1314" w:type="dxa"/>
          </w:tcPr>
          <w:p w14:paraId="04E3353E" w14:textId="1F8EC95C" w:rsidR="005A5F0F" w:rsidRPr="00687933" w:rsidRDefault="005A5F0F" w:rsidP="005A5F0F">
            <w:pPr>
              <w:spacing w:line="240" w:lineRule="auto"/>
              <w:rPr>
                <w:rFonts w:eastAsia="Times New Roman" w:cs="Arial"/>
                <w:lang w:eastAsia="bg-BG"/>
              </w:rPr>
            </w:pPr>
            <w:r w:rsidRPr="00687933">
              <w:rPr>
                <w:rFonts w:cs="Arial"/>
              </w:rPr>
              <w:t>IE</w:t>
            </w:r>
          </w:p>
        </w:tc>
        <w:tc>
          <w:tcPr>
            <w:tcW w:w="1314" w:type="dxa"/>
          </w:tcPr>
          <w:p w14:paraId="1B7E3D5A" w14:textId="3ACDB6D9" w:rsidR="005A5F0F" w:rsidRPr="00687933" w:rsidRDefault="005A5F0F" w:rsidP="005A5F0F">
            <w:pPr>
              <w:spacing w:line="240" w:lineRule="auto"/>
              <w:rPr>
                <w:rFonts w:eastAsia="Times New Roman" w:cs="Arial"/>
                <w:lang w:eastAsia="bg-BG"/>
              </w:rPr>
            </w:pPr>
            <w:r w:rsidRPr="00687933">
              <w:rPr>
                <w:rFonts w:eastAsia="Times New Roman" w:cs="Arial"/>
                <w:lang w:eastAsia="bg-BG"/>
              </w:rPr>
              <w:t>--</w:t>
            </w:r>
          </w:p>
        </w:tc>
        <w:tc>
          <w:tcPr>
            <w:tcW w:w="1378" w:type="dxa"/>
          </w:tcPr>
          <w:p w14:paraId="55047784" w14:textId="0FAACD32" w:rsidR="005A5F0F" w:rsidRPr="00687933" w:rsidRDefault="005A5F0F" w:rsidP="005A5F0F">
            <w:pPr>
              <w:spacing w:line="240" w:lineRule="auto"/>
              <w:rPr>
                <w:rFonts w:eastAsia="Times New Roman" w:cs="Arial"/>
                <w:lang w:eastAsia="bg-BG"/>
              </w:rPr>
            </w:pPr>
            <w:r w:rsidRPr="00687933">
              <w:rPr>
                <w:rFonts w:cs="Arial"/>
                <w:i/>
                <w:iCs/>
                <w:lang w:eastAsia="bg-BG"/>
              </w:rPr>
              <w:t>2/4</w:t>
            </w:r>
          </w:p>
        </w:tc>
        <w:tc>
          <w:tcPr>
            <w:tcW w:w="1318" w:type="dxa"/>
          </w:tcPr>
          <w:p w14:paraId="2769EA48" w14:textId="268EC23E" w:rsidR="005A5F0F" w:rsidRPr="00687933" w:rsidRDefault="005A5F0F" w:rsidP="005A5F0F">
            <w:pPr>
              <w:spacing w:line="240" w:lineRule="auto"/>
              <w:rPr>
                <w:rFonts w:eastAsia="Times New Roman" w:cs="Arial"/>
                <w:lang w:eastAsia="bg-BG"/>
              </w:rPr>
            </w:pPr>
            <w:r w:rsidRPr="00687933">
              <w:rPr>
                <w:rFonts w:cs="Arial"/>
                <w:lang w:eastAsia="bg-BG"/>
              </w:rPr>
              <w:t>2/4</w:t>
            </w:r>
          </w:p>
        </w:tc>
        <w:tc>
          <w:tcPr>
            <w:tcW w:w="1277" w:type="dxa"/>
          </w:tcPr>
          <w:p w14:paraId="254D9224" w14:textId="4DBE9E83" w:rsidR="005A5F0F" w:rsidRPr="00687933" w:rsidRDefault="005A5F0F" w:rsidP="005A5F0F">
            <w:pPr>
              <w:spacing w:line="240" w:lineRule="auto"/>
              <w:rPr>
                <w:rFonts w:eastAsia="Times New Roman" w:cs="Arial"/>
                <w:lang w:eastAsia="bg-BG"/>
              </w:rPr>
            </w:pPr>
            <w:r w:rsidRPr="00687933">
              <w:rPr>
                <w:rFonts w:cs="Arial"/>
                <w:lang w:eastAsia="bg-BG"/>
              </w:rPr>
              <w:t>2/4</w:t>
            </w:r>
          </w:p>
        </w:tc>
      </w:tr>
    </w:tbl>
    <w:p w14:paraId="4E996FC0" w14:textId="31B27514" w:rsidR="005A5F0F" w:rsidRPr="00687933" w:rsidRDefault="005A5F0F" w:rsidP="005A5F0F">
      <w:pPr>
        <w:spacing w:line="240" w:lineRule="auto"/>
        <w:rPr>
          <w:rFonts w:eastAsia="Times New Roman" w:cs="Arial"/>
          <w:lang w:eastAsia="bg-BG"/>
        </w:rPr>
      </w:pPr>
    </w:p>
    <w:p w14:paraId="5BCDA2DE" w14:textId="77777777" w:rsidR="005A5F0F" w:rsidRPr="00687933" w:rsidRDefault="005A5F0F" w:rsidP="005A5F0F">
      <w:pPr>
        <w:spacing w:line="240" w:lineRule="auto"/>
        <w:rPr>
          <w:rFonts w:eastAsia="Times New Roman" w:cs="Arial"/>
          <w:lang w:eastAsia="bg-BG"/>
        </w:rPr>
      </w:pPr>
      <w:r w:rsidRPr="00687933">
        <w:rPr>
          <w:rFonts w:eastAsia="Times New Roman" w:cs="Arial"/>
          <w:color w:val="000000"/>
          <w:lang w:val="en-US"/>
        </w:rPr>
        <w:t xml:space="preserve">S = </w:t>
      </w:r>
      <w:r w:rsidRPr="00687933">
        <w:rPr>
          <w:rFonts w:eastAsia="Times New Roman" w:cs="Arial"/>
          <w:color w:val="000000"/>
          <w:lang w:eastAsia="bg-BG"/>
        </w:rPr>
        <w:t xml:space="preserve">Чувствителен </w:t>
      </w:r>
      <w:r w:rsidRPr="00687933">
        <w:rPr>
          <w:rFonts w:eastAsia="Times New Roman" w:cs="Arial"/>
          <w:color w:val="000000"/>
          <w:lang w:val="en-US"/>
        </w:rPr>
        <w:t xml:space="preserve">R - </w:t>
      </w:r>
      <w:r w:rsidRPr="00687933">
        <w:rPr>
          <w:rFonts w:eastAsia="Times New Roman" w:cs="Arial"/>
          <w:color w:val="000000"/>
          <w:lang w:eastAsia="bg-BG"/>
        </w:rPr>
        <w:t>Резистентен</w:t>
      </w:r>
    </w:p>
    <w:p w14:paraId="7AEDF650" w14:textId="77777777" w:rsidR="005A5F0F" w:rsidRPr="00687933" w:rsidRDefault="005A5F0F" w:rsidP="005A5F0F">
      <w:pPr>
        <w:spacing w:line="240" w:lineRule="auto"/>
        <w:rPr>
          <w:rFonts w:eastAsia="Times New Roman" w:cs="Arial"/>
          <w:lang w:eastAsia="bg-BG"/>
        </w:rPr>
      </w:pPr>
      <w:r w:rsidRPr="00687933">
        <w:rPr>
          <w:rFonts w:eastAsia="Times New Roman" w:cs="Arial"/>
          <w:color w:val="000000"/>
          <w:lang w:val="en-US"/>
        </w:rPr>
        <w:t xml:space="preserve">A = </w:t>
      </w:r>
      <w:r w:rsidRPr="00687933">
        <w:rPr>
          <w:rFonts w:eastAsia="Times New Roman" w:cs="Arial"/>
          <w:color w:val="000000"/>
          <w:lang w:eastAsia="bg-BG"/>
        </w:rPr>
        <w:t xml:space="preserve">Невидово свързани гранични стойности са определени главно на базата на фармакокинетични / фармакодинамични данни и независими от </w:t>
      </w:r>
      <w:r w:rsidRPr="00687933">
        <w:rPr>
          <w:rFonts w:eastAsia="Times New Roman" w:cs="Arial"/>
          <w:color w:val="000000"/>
          <w:lang w:val="en-US"/>
        </w:rPr>
        <w:t xml:space="preserve">MIC </w:t>
      </w:r>
      <w:r w:rsidRPr="00687933">
        <w:rPr>
          <w:rFonts w:eastAsia="Times New Roman" w:cs="Arial"/>
          <w:color w:val="000000"/>
          <w:lang w:eastAsia="bg-BG"/>
        </w:rPr>
        <w:t>разпределението при конкретните видове. Те се използват само при организми, които нямат конкретни гранични стойности.</w:t>
      </w:r>
    </w:p>
    <w:p w14:paraId="160F48D6" w14:textId="77777777"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 - = Изпитванията за чувствителност не са препоръчителни, тъй като видовете не са подходящи за лечение с този продукт.</w:t>
      </w:r>
    </w:p>
    <w:p w14:paraId="264246B3" w14:textId="6369F143" w:rsidR="005A5F0F" w:rsidRPr="00687933" w:rsidRDefault="005A5F0F" w:rsidP="005A5F0F">
      <w:pPr>
        <w:spacing w:line="240" w:lineRule="auto"/>
        <w:rPr>
          <w:rFonts w:eastAsia="Times New Roman" w:cs="Arial"/>
          <w:lang w:eastAsia="bg-BG"/>
        </w:rPr>
      </w:pPr>
      <w:r w:rsidRPr="00687933">
        <w:rPr>
          <w:rFonts w:eastAsia="Times New Roman" w:cs="Arial"/>
          <w:color w:val="000000"/>
          <w:lang w:val="en-US"/>
        </w:rPr>
        <w:t xml:space="preserve">IE </w:t>
      </w:r>
      <w:r w:rsidRPr="00687933">
        <w:rPr>
          <w:rFonts w:eastAsia="Times New Roman" w:cs="Arial"/>
          <w:color w:val="000000"/>
          <w:lang w:eastAsia="bg-BG"/>
        </w:rPr>
        <w:t>= Няма достатъчно данни, че видовете са подходящи за лечение с лекарствения продукт.</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067A94B1" w14:textId="77777777"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Фармакокинетичните свойства са сходни след интравенозно или перорално приложение.</w:t>
      </w:r>
    </w:p>
    <w:p w14:paraId="26E72BA9" w14:textId="77777777" w:rsidR="00687933" w:rsidRPr="00687933" w:rsidRDefault="00687933" w:rsidP="005A5F0F">
      <w:pPr>
        <w:spacing w:line="240" w:lineRule="auto"/>
        <w:rPr>
          <w:rFonts w:eastAsia="Times New Roman" w:cs="Arial"/>
          <w:color w:val="000000"/>
          <w:u w:val="single"/>
          <w:lang w:eastAsia="bg-BG"/>
        </w:rPr>
      </w:pPr>
    </w:p>
    <w:p w14:paraId="27A6FC81" w14:textId="46903FAA" w:rsidR="005A5F0F" w:rsidRPr="00687933" w:rsidRDefault="005A5F0F" w:rsidP="00687933">
      <w:pPr>
        <w:pStyle w:val="Heading3"/>
        <w:rPr>
          <w:rFonts w:eastAsia="Times New Roman"/>
          <w:u w:val="single"/>
          <w:lang w:eastAsia="bg-BG"/>
        </w:rPr>
      </w:pPr>
      <w:r w:rsidRPr="00687933">
        <w:rPr>
          <w:rFonts w:eastAsia="Times New Roman"/>
          <w:u w:val="single"/>
          <w:lang w:eastAsia="bg-BG"/>
        </w:rPr>
        <w:t>Абсорбция</w:t>
      </w:r>
    </w:p>
    <w:p w14:paraId="4C31AF2A" w14:textId="77777777"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След перорално приложение флуконазол се резорбира добре и плазмените концентрации (и системната бионаличност) са над 90% от концентрациите, които се достигат след интравенозно въвеждане. Абсорбцията от гастроинтестиналния тракт не се повлиява при едновременен прием с храна. Максималните плазмени концентрации на гладно се достигат между 0,5 и 1,5 часа след приема, като времето на полуживот от плазмата е около 30 часа. Плазмените концентрации са пропорционални на дозата. Деветдесет процента от стационарните концентрации се достигат на 4-5 ден след многократно прилагане веднъж дневно. Приложението на натоварваща доза (през първия ден), която е два пъти по-висока от обичайната дневна доза, позволява достигане на 90% от равновесните плазмени концентрации на втория ден след началото на лечението.</w:t>
      </w:r>
    </w:p>
    <w:p w14:paraId="660AC764" w14:textId="77777777" w:rsidR="00687933" w:rsidRPr="00687933" w:rsidRDefault="00687933" w:rsidP="005A5F0F">
      <w:pPr>
        <w:spacing w:line="240" w:lineRule="auto"/>
        <w:rPr>
          <w:rFonts w:eastAsia="Times New Roman" w:cs="Arial"/>
          <w:color w:val="000000"/>
          <w:u w:val="single"/>
          <w:lang w:eastAsia="bg-BG"/>
        </w:rPr>
      </w:pPr>
    </w:p>
    <w:p w14:paraId="2919B0FB" w14:textId="5B8DB2A2" w:rsidR="005A5F0F" w:rsidRPr="00687933" w:rsidRDefault="005A5F0F" w:rsidP="00687933">
      <w:pPr>
        <w:pStyle w:val="Heading3"/>
        <w:rPr>
          <w:rFonts w:eastAsia="Times New Roman"/>
          <w:u w:val="single"/>
          <w:lang w:eastAsia="bg-BG"/>
        </w:rPr>
      </w:pPr>
      <w:r w:rsidRPr="00687933">
        <w:rPr>
          <w:rFonts w:eastAsia="Times New Roman"/>
          <w:u w:val="single"/>
          <w:lang w:eastAsia="bg-BG"/>
        </w:rPr>
        <w:t>Разпределение</w:t>
      </w:r>
    </w:p>
    <w:p w14:paraId="59A7550A" w14:textId="77777777"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Привидният обем на разпределение е близък до обема на водата в организма. Свързването с плазмените протеини е ниско (11-12%).</w:t>
      </w:r>
    </w:p>
    <w:p w14:paraId="69ABFBF7" w14:textId="77777777" w:rsidR="00687933" w:rsidRPr="00687933" w:rsidRDefault="00687933" w:rsidP="005A5F0F">
      <w:pPr>
        <w:spacing w:line="240" w:lineRule="auto"/>
        <w:rPr>
          <w:rFonts w:eastAsia="Times New Roman" w:cs="Arial"/>
          <w:color w:val="000000"/>
          <w:lang w:eastAsia="bg-BG"/>
        </w:rPr>
      </w:pPr>
    </w:p>
    <w:p w14:paraId="037641E5" w14:textId="0D82B024"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Флуконазол прониква добре във всички изследвани телесни течности. Концентрациите на флуконазол в слюнката и храчката са близки до тези в плазмата. При пациенти с микотичен менингит концентрациите в ЦСТ са приблизително 80% от съответните плазмени концентрации.</w:t>
      </w:r>
    </w:p>
    <w:p w14:paraId="19F49CBD" w14:textId="77777777" w:rsidR="00687933" w:rsidRPr="00687933" w:rsidRDefault="00687933" w:rsidP="005A5F0F">
      <w:pPr>
        <w:spacing w:line="240" w:lineRule="auto"/>
        <w:rPr>
          <w:rFonts w:eastAsia="Times New Roman" w:cs="Arial"/>
          <w:color w:val="000000"/>
          <w:lang w:eastAsia="bg-BG"/>
        </w:rPr>
      </w:pPr>
    </w:p>
    <w:p w14:paraId="6ACA98D3" w14:textId="05EE16FD" w:rsidR="005A5F0F" w:rsidRPr="00687933" w:rsidRDefault="005A5F0F" w:rsidP="005A5F0F">
      <w:pPr>
        <w:spacing w:line="240" w:lineRule="auto"/>
        <w:rPr>
          <w:rFonts w:eastAsia="Times New Roman" w:cs="Arial"/>
          <w:lang w:eastAsia="bg-BG"/>
        </w:rPr>
      </w:pPr>
      <w:r w:rsidRPr="00687933">
        <w:rPr>
          <w:rFonts w:eastAsia="Times New Roman" w:cs="Arial"/>
          <w:color w:val="000000"/>
          <w:lang w:eastAsia="bg-BG"/>
        </w:rPr>
        <w:t>Високи концентрации в кожата, превишаващи серумната, се достигат в стратум корнеум,</w:t>
      </w:r>
      <w:r w:rsidRPr="00687933">
        <w:rPr>
          <w:rFonts w:eastAsia="Times New Roman" w:cs="Arial"/>
          <w:color w:val="000000"/>
          <w:u w:val="single"/>
          <w:lang w:eastAsia="bg-BG"/>
        </w:rPr>
        <w:t xml:space="preserve"> </w:t>
      </w:r>
      <w:r w:rsidRPr="00687933">
        <w:rPr>
          <w:rFonts w:eastAsia="Times New Roman" w:cs="Arial"/>
          <w:color w:val="000000"/>
          <w:lang w:eastAsia="bg-BG"/>
        </w:rPr>
        <w:t xml:space="preserve">епидермис-дерма и потта. Флуконазол кумулира в стратум корнеум. При доза 50 </w:t>
      </w:r>
      <w:r w:rsidRPr="00687933">
        <w:rPr>
          <w:rFonts w:eastAsia="Times New Roman" w:cs="Arial"/>
          <w:color w:val="000000"/>
          <w:lang w:val="en-US"/>
        </w:rPr>
        <w:t>mg</w:t>
      </w:r>
      <w:r w:rsidRPr="00687933">
        <w:rPr>
          <w:rFonts w:eastAsia="Times New Roman" w:cs="Arial"/>
          <w:color w:val="000000"/>
          <w:lang w:eastAsia="bg-BG"/>
        </w:rPr>
        <w:t xml:space="preserve"> дневно, концентрацията на флуконазол след 12 дни е 73 μ</w:t>
      </w:r>
      <w:r w:rsidRPr="00687933">
        <w:rPr>
          <w:rFonts w:eastAsia="Times New Roman" w:cs="Arial"/>
          <w:color w:val="000000"/>
          <w:lang w:val="en-US"/>
        </w:rPr>
        <w:t xml:space="preserve">g/g </w:t>
      </w:r>
      <w:r w:rsidRPr="00687933">
        <w:rPr>
          <w:rFonts w:eastAsia="Times New Roman" w:cs="Arial"/>
          <w:color w:val="000000"/>
          <w:lang w:eastAsia="bg-BG"/>
        </w:rPr>
        <w:t>и седем дена след прекратяване на лечението е все още 5,8 μ</w:t>
      </w:r>
      <w:r w:rsidRPr="00687933">
        <w:rPr>
          <w:rFonts w:eastAsia="Times New Roman" w:cs="Arial"/>
          <w:color w:val="000000"/>
          <w:lang w:val="en-US"/>
        </w:rPr>
        <w:t xml:space="preserve">g/g. </w:t>
      </w:r>
      <w:r w:rsidRPr="00687933">
        <w:rPr>
          <w:rFonts w:eastAsia="Times New Roman" w:cs="Arial"/>
          <w:color w:val="000000"/>
          <w:lang w:eastAsia="bg-BG"/>
        </w:rPr>
        <w:t xml:space="preserve">При доза 150 </w:t>
      </w:r>
      <w:r w:rsidRPr="00687933">
        <w:rPr>
          <w:rFonts w:eastAsia="Times New Roman" w:cs="Arial"/>
          <w:color w:val="000000"/>
          <w:lang w:val="en-US"/>
        </w:rPr>
        <w:t xml:space="preserve">mg </w:t>
      </w:r>
      <w:r w:rsidRPr="00687933">
        <w:rPr>
          <w:rFonts w:eastAsia="Times New Roman" w:cs="Arial"/>
          <w:color w:val="000000"/>
          <w:lang w:eastAsia="bg-BG"/>
        </w:rPr>
        <w:t>веднъж седмично концентрациите на флуконазол в стратум корнеум на седмия ден са 23,4 μ</w:t>
      </w:r>
      <w:r w:rsidRPr="00687933">
        <w:rPr>
          <w:rFonts w:eastAsia="Times New Roman" w:cs="Arial"/>
          <w:color w:val="000000"/>
          <w:lang w:val="en-US"/>
        </w:rPr>
        <w:t xml:space="preserve">g/g </w:t>
      </w:r>
      <w:r w:rsidRPr="00687933">
        <w:rPr>
          <w:rFonts w:eastAsia="Times New Roman" w:cs="Arial"/>
          <w:color w:val="000000"/>
          <w:lang w:eastAsia="bg-BG"/>
        </w:rPr>
        <w:t>и съответно седем дни след втората доза са все</w:t>
      </w:r>
    </w:p>
    <w:p w14:paraId="45551830" w14:textId="7955BE0D" w:rsidR="007A2185" w:rsidRPr="00687933" w:rsidRDefault="005A5F0F" w:rsidP="005A5F0F">
      <w:pPr>
        <w:rPr>
          <w:rFonts w:cs="Arial"/>
        </w:rPr>
      </w:pPr>
      <w:r w:rsidRPr="00687933">
        <w:rPr>
          <w:rFonts w:eastAsia="Times New Roman" w:cs="Arial"/>
          <w:color w:val="000000"/>
          <w:lang w:eastAsia="bg-BG"/>
        </w:rPr>
        <w:t>още 7,1 μ</w:t>
      </w:r>
      <w:r w:rsidRPr="00687933">
        <w:rPr>
          <w:rFonts w:eastAsia="Times New Roman" w:cs="Arial"/>
          <w:color w:val="000000"/>
          <w:lang w:val="en-US"/>
        </w:rPr>
        <w:t>g/g.</w:t>
      </w:r>
    </w:p>
    <w:p w14:paraId="4EE1BB0B" w14:textId="582DB44F" w:rsidR="0091385D" w:rsidRPr="00687933" w:rsidRDefault="0091385D" w:rsidP="0091385D">
      <w:pPr>
        <w:rPr>
          <w:rFonts w:cs="Arial"/>
        </w:rPr>
      </w:pPr>
    </w:p>
    <w:p w14:paraId="689E5EE4"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 xml:space="preserve">Концентрацията на флуконазол в ноктите след 4 месеца лечение при доза 150 </w:t>
      </w:r>
      <w:r w:rsidRPr="00687933">
        <w:rPr>
          <w:rFonts w:eastAsia="Times New Roman" w:cs="Arial"/>
          <w:color w:val="000000"/>
          <w:lang w:val="en-US"/>
        </w:rPr>
        <w:t xml:space="preserve">mg </w:t>
      </w:r>
      <w:r w:rsidRPr="00687933">
        <w:rPr>
          <w:rFonts w:eastAsia="Times New Roman" w:cs="Arial"/>
          <w:color w:val="000000"/>
          <w:lang w:eastAsia="bg-BG"/>
        </w:rPr>
        <w:t>веднъж седмично е съответно 4,05 μ</w:t>
      </w:r>
      <w:r w:rsidRPr="00687933">
        <w:rPr>
          <w:rFonts w:eastAsia="Times New Roman" w:cs="Arial"/>
          <w:color w:val="000000"/>
          <w:lang w:val="en-US"/>
        </w:rPr>
        <w:t xml:space="preserve">g/g </w:t>
      </w:r>
      <w:r w:rsidRPr="00687933">
        <w:rPr>
          <w:rFonts w:eastAsia="Times New Roman" w:cs="Arial"/>
          <w:color w:val="000000"/>
          <w:lang w:eastAsia="bg-BG"/>
        </w:rPr>
        <w:t xml:space="preserve">при здрави и 1,8 </w:t>
      </w:r>
      <w:proofErr w:type="spellStart"/>
      <w:r w:rsidRPr="00687933">
        <w:rPr>
          <w:rFonts w:eastAsia="Times New Roman" w:cs="Arial"/>
          <w:color w:val="000000"/>
          <w:lang w:val="en-US"/>
        </w:rPr>
        <w:t>pg</w:t>
      </w:r>
      <w:proofErr w:type="spellEnd"/>
      <w:r w:rsidRPr="00687933">
        <w:rPr>
          <w:rFonts w:eastAsia="Times New Roman" w:cs="Arial"/>
          <w:color w:val="000000"/>
          <w:lang w:val="en-US"/>
        </w:rPr>
        <w:t xml:space="preserve">/g </w:t>
      </w:r>
      <w:r w:rsidRPr="00687933">
        <w:rPr>
          <w:rFonts w:eastAsia="Times New Roman" w:cs="Arial"/>
          <w:color w:val="000000"/>
          <w:lang w:eastAsia="bg-BG"/>
        </w:rPr>
        <w:t>при болни нокти. Концентрации на флуконазол се измерват в ноктите и шест месеца след приключване на лечението.</w:t>
      </w:r>
    </w:p>
    <w:p w14:paraId="060D5341" w14:textId="77777777" w:rsidR="00687933" w:rsidRPr="00687933" w:rsidRDefault="00687933" w:rsidP="00687933">
      <w:pPr>
        <w:spacing w:line="240" w:lineRule="auto"/>
        <w:rPr>
          <w:rFonts w:eastAsia="Times New Roman" w:cs="Arial"/>
          <w:color w:val="000000"/>
          <w:u w:val="single"/>
          <w:lang w:eastAsia="bg-BG"/>
        </w:rPr>
      </w:pPr>
    </w:p>
    <w:p w14:paraId="1EAB2D11" w14:textId="31FE5B9D" w:rsidR="00687933" w:rsidRPr="00687933" w:rsidRDefault="00687933" w:rsidP="00687933">
      <w:pPr>
        <w:pStyle w:val="Heading3"/>
        <w:rPr>
          <w:rFonts w:eastAsia="Times New Roman"/>
          <w:u w:val="single"/>
          <w:lang w:eastAsia="bg-BG"/>
        </w:rPr>
      </w:pPr>
      <w:r w:rsidRPr="00687933">
        <w:rPr>
          <w:rFonts w:eastAsia="Times New Roman"/>
          <w:u w:val="single"/>
          <w:lang w:eastAsia="bg-BG"/>
        </w:rPr>
        <w:t>Биотрансформация</w:t>
      </w:r>
    </w:p>
    <w:p w14:paraId="27ECAFA8"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 xml:space="preserve">Флуконазол се метаболизира в много малка степен. Само 11% от радиоактивната доза се екскретират променени в урината. Флуконазол е селективен инхибитор на изоензимите </w:t>
      </w:r>
      <w:r w:rsidRPr="00687933">
        <w:rPr>
          <w:rFonts w:eastAsia="Times New Roman" w:cs="Arial"/>
          <w:color w:val="000000"/>
          <w:lang w:val="en-US"/>
        </w:rPr>
        <w:t xml:space="preserve">CYP2C9 </w:t>
      </w:r>
      <w:r w:rsidRPr="00687933">
        <w:rPr>
          <w:rFonts w:eastAsia="Times New Roman" w:cs="Arial"/>
          <w:color w:val="000000"/>
          <w:lang w:eastAsia="bg-BG"/>
        </w:rPr>
        <w:t xml:space="preserve">и </w:t>
      </w:r>
      <w:r w:rsidRPr="00687933">
        <w:rPr>
          <w:rFonts w:eastAsia="Times New Roman" w:cs="Arial"/>
          <w:color w:val="000000"/>
          <w:lang w:val="en-US"/>
        </w:rPr>
        <w:t xml:space="preserve">CYP3A4 </w:t>
      </w:r>
      <w:r w:rsidRPr="00687933">
        <w:rPr>
          <w:rFonts w:eastAsia="Times New Roman" w:cs="Arial"/>
          <w:color w:val="000000"/>
          <w:lang w:eastAsia="bg-BG"/>
        </w:rPr>
        <w:t xml:space="preserve">(вж. точка 4.5). Флуконазол е също така инхибитор на изоензим </w:t>
      </w:r>
      <w:r w:rsidRPr="00687933">
        <w:rPr>
          <w:rFonts w:eastAsia="Times New Roman" w:cs="Arial"/>
          <w:color w:val="000000"/>
          <w:lang w:val="en-US"/>
        </w:rPr>
        <w:t>CYP2C19.</w:t>
      </w:r>
    </w:p>
    <w:p w14:paraId="337531A5" w14:textId="77777777" w:rsidR="00687933" w:rsidRPr="00687933" w:rsidRDefault="00687933" w:rsidP="00687933">
      <w:pPr>
        <w:spacing w:line="240" w:lineRule="auto"/>
        <w:rPr>
          <w:rFonts w:eastAsia="Times New Roman" w:cs="Arial"/>
          <w:color w:val="000000"/>
          <w:u w:val="single"/>
          <w:lang w:eastAsia="bg-BG"/>
        </w:rPr>
      </w:pPr>
    </w:p>
    <w:p w14:paraId="3E1B88A3" w14:textId="6444837D" w:rsidR="00687933" w:rsidRPr="00687933" w:rsidRDefault="00687933" w:rsidP="00687933">
      <w:pPr>
        <w:pStyle w:val="Heading3"/>
        <w:rPr>
          <w:rFonts w:eastAsia="Times New Roman"/>
          <w:u w:val="single"/>
          <w:lang w:eastAsia="bg-BG"/>
        </w:rPr>
      </w:pPr>
      <w:r w:rsidRPr="00687933">
        <w:rPr>
          <w:rFonts w:eastAsia="Times New Roman"/>
          <w:u w:val="single"/>
          <w:lang w:eastAsia="bg-BG"/>
        </w:rPr>
        <w:t>Екскреция</w:t>
      </w:r>
    </w:p>
    <w:p w14:paraId="4155AF6E"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Елиминационният полу-живот в плазмата за флуконазол е приблизително 30 часа. Основният път на екскреция е бъбречния, като приблизително 80% от приетата доза се екскретира непроменена в урината. Клирънсът на флуконазол е пропорционален на клирънса на креатинина. Няма данни за метаболити в кръвообращението</w:t>
      </w:r>
    </w:p>
    <w:p w14:paraId="4D07C184" w14:textId="77777777" w:rsidR="00687933" w:rsidRPr="00687933" w:rsidRDefault="00687933" w:rsidP="00687933">
      <w:pPr>
        <w:spacing w:line="240" w:lineRule="auto"/>
        <w:rPr>
          <w:rFonts w:eastAsia="Times New Roman" w:cs="Arial"/>
          <w:color w:val="000000"/>
          <w:lang w:eastAsia="bg-BG"/>
        </w:rPr>
      </w:pPr>
    </w:p>
    <w:p w14:paraId="0F37DD1D" w14:textId="483FA773"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Дългото време на полуживот създава предпоставки за лечение на вагиналната кандидоза с еднократна доза, а за лечение на останалите микози - с еднократен дневен и еднократен седмичен прием на лекарството.</w:t>
      </w:r>
    </w:p>
    <w:p w14:paraId="694702D5" w14:textId="77777777" w:rsidR="00687933" w:rsidRPr="00687933" w:rsidRDefault="00687933" w:rsidP="00687933">
      <w:pPr>
        <w:spacing w:line="240" w:lineRule="auto"/>
        <w:rPr>
          <w:rFonts w:eastAsia="Times New Roman" w:cs="Arial"/>
          <w:color w:val="000000"/>
          <w:u w:val="single"/>
          <w:lang w:eastAsia="bg-BG"/>
        </w:rPr>
      </w:pPr>
    </w:p>
    <w:p w14:paraId="6D2A6651" w14:textId="417CBC0C" w:rsidR="00687933" w:rsidRPr="00687933" w:rsidRDefault="00687933" w:rsidP="00687933">
      <w:pPr>
        <w:spacing w:line="240" w:lineRule="auto"/>
        <w:rPr>
          <w:rFonts w:eastAsia="Times New Roman" w:cs="Arial"/>
          <w:lang w:eastAsia="bg-BG"/>
        </w:rPr>
      </w:pPr>
      <w:r w:rsidRPr="00687933">
        <w:rPr>
          <w:rFonts w:eastAsia="Times New Roman" w:cs="Arial"/>
          <w:color w:val="000000"/>
          <w:u w:val="single"/>
          <w:lang w:eastAsia="bg-BG"/>
        </w:rPr>
        <w:t>Фармакокинетика при бъбречно увреждане</w:t>
      </w:r>
    </w:p>
    <w:p w14:paraId="0EA427E4"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 xml:space="preserve">При пациенти с тежка бъбречна недостатъчност </w:t>
      </w:r>
      <w:r w:rsidRPr="00687933">
        <w:rPr>
          <w:rFonts w:eastAsia="Times New Roman" w:cs="Arial"/>
          <w:color w:val="000000"/>
          <w:lang w:val="en-US"/>
        </w:rPr>
        <w:t xml:space="preserve">(GFR&lt; </w:t>
      </w:r>
      <w:r w:rsidRPr="00687933">
        <w:rPr>
          <w:rFonts w:eastAsia="Times New Roman" w:cs="Arial"/>
          <w:color w:val="000000"/>
          <w:lang w:eastAsia="bg-BG"/>
        </w:rPr>
        <w:t xml:space="preserve">20 </w:t>
      </w:r>
      <w:r w:rsidRPr="00687933">
        <w:rPr>
          <w:rFonts w:eastAsia="Times New Roman" w:cs="Arial"/>
          <w:color w:val="000000"/>
          <w:lang w:val="en-US"/>
        </w:rPr>
        <w:t xml:space="preserve">ml/min) </w:t>
      </w:r>
      <w:r w:rsidRPr="00687933">
        <w:rPr>
          <w:rFonts w:eastAsia="Times New Roman" w:cs="Arial"/>
          <w:color w:val="000000"/>
          <w:lang w:eastAsia="bg-BG"/>
        </w:rPr>
        <w:t>времето на полуживот се увеличава от 30 на 98 часа. В резултат на това се налага понижаване на дозата. Флуконазол се отстранява чрез хемодиализа и в по-малка степен чрез перитонеална диализа. Около 50% от флуконазола се елиминират от кръвта след 3 часов курс на хемодиализа.</w:t>
      </w:r>
    </w:p>
    <w:p w14:paraId="562AC2B7" w14:textId="77777777" w:rsidR="00687933" w:rsidRPr="00687933" w:rsidRDefault="00687933" w:rsidP="00687933">
      <w:pPr>
        <w:spacing w:line="240" w:lineRule="auto"/>
        <w:rPr>
          <w:rFonts w:eastAsia="Times New Roman" w:cs="Arial"/>
          <w:color w:val="000000"/>
          <w:u w:val="single"/>
          <w:lang w:eastAsia="bg-BG"/>
        </w:rPr>
      </w:pPr>
    </w:p>
    <w:p w14:paraId="4A9B100C" w14:textId="570E2EEB" w:rsidR="00687933" w:rsidRPr="00687933" w:rsidRDefault="00687933" w:rsidP="00687933">
      <w:pPr>
        <w:spacing w:line="240" w:lineRule="auto"/>
        <w:rPr>
          <w:rFonts w:eastAsia="Times New Roman" w:cs="Arial"/>
          <w:lang w:eastAsia="bg-BG"/>
        </w:rPr>
      </w:pPr>
      <w:r w:rsidRPr="00687933">
        <w:rPr>
          <w:rFonts w:eastAsia="Times New Roman" w:cs="Arial"/>
          <w:color w:val="000000"/>
          <w:u w:val="single"/>
          <w:lang w:eastAsia="bg-BG"/>
        </w:rPr>
        <w:t>Фармакокинетика при деца</w:t>
      </w:r>
    </w:p>
    <w:p w14:paraId="39C37B5F"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Оценени са фармакокинетични данни, получени от 113 педиатрични пациенти в рамките на 5 проучвания; 2 проучвания с прилагане на еднократна доза, 2 проучвания с прилагане на многократна доза и едно проучване при недоносени новородени. Данните от едно от проучванията не могат да се интерпретират поради промени в състава по време на проучването. Допълнителни данни са налични от проучване с милосърдна цел.</w:t>
      </w:r>
    </w:p>
    <w:p w14:paraId="6E29DCF2" w14:textId="77777777" w:rsidR="00687933" w:rsidRPr="00687933" w:rsidRDefault="00687933" w:rsidP="00687933">
      <w:pPr>
        <w:spacing w:line="240" w:lineRule="auto"/>
        <w:rPr>
          <w:rFonts w:eastAsia="Times New Roman" w:cs="Arial"/>
          <w:color w:val="000000"/>
          <w:lang w:eastAsia="bg-BG"/>
        </w:rPr>
      </w:pPr>
    </w:p>
    <w:p w14:paraId="1B60AB47" w14:textId="2C4BAC9D"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 xml:space="preserve">След прилагане на 2-8 </w:t>
      </w:r>
      <w:r w:rsidRPr="00687933">
        <w:rPr>
          <w:rFonts w:eastAsia="Times New Roman" w:cs="Arial"/>
          <w:color w:val="000000"/>
          <w:lang w:val="en-US"/>
        </w:rPr>
        <w:t xml:space="preserve">mg/kg </w:t>
      </w:r>
      <w:r w:rsidRPr="00687933">
        <w:rPr>
          <w:rFonts w:eastAsia="Times New Roman" w:cs="Arial"/>
          <w:color w:val="000000"/>
          <w:lang w:eastAsia="bg-BG"/>
        </w:rPr>
        <w:t xml:space="preserve">флуконазол при деца на възраст от 9 месеца до 15 години, е установена </w:t>
      </w:r>
      <w:r w:rsidRPr="00687933">
        <w:rPr>
          <w:rFonts w:eastAsia="Times New Roman" w:cs="Arial"/>
          <w:color w:val="000000"/>
          <w:lang w:val="en-US"/>
        </w:rPr>
        <w:t xml:space="preserve">AUC </w:t>
      </w:r>
      <w:r w:rsidRPr="00687933">
        <w:rPr>
          <w:rFonts w:eastAsia="Times New Roman" w:cs="Arial"/>
          <w:color w:val="000000"/>
          <w:lang w:eastAsia="bg-BG"/>
        </w:rPr>
        <w:t>от около 38 μ</w:t>
      </w:r>
      <w:proofErr w:type="spellStart"/>
      <w:r w:rsidRPr="00687933">
        <w:rPr>
          <w:rFonts w:eastAsia="Times New Roman" w:cs="Arial"/>
          <w:color w:val="000000"/>
          <w:lang w:val="en-US"/>
        </w:rPr>
        <w:t>g.h</w:t>
      </w:r>
      <w:proofErr w:type="spellEnd"/>
      <w:r w:rsidRPr="00687933">
        <w:rPr>
          <w:rFonts w:eastAsia="Times New Roman" w:cs="Arial"/>
          <w:color w:val="000000"/>
          <w:lang w:val="en-US"/>
        </w:rPr>
        <w:t xml:space="preserve">/ml </w:t>
      </w:r>
      <w:r w:rsidRPr="00687933">
        <w:rPr>
          <w:rFonts w:eastAsia="Times New Roman" w:cs="Arial"/>
          <w:color w:val="000000"/>
          <w:lang w:eastAsia="bg-BG"/>
        </w:rPr>
        <w:t xml:space="preserve">при дозировка от 1 </w:t>
      </w:r>
      <w:r w:rsidRPr="00687933">
        <w:rPr>
          <w:rFonts w:eastAsia="Times New Roman" w:cs="Arial"/>
          <w:color w:val="000000"/>
          <w:lang w:val="en-US"/>
        </w:rPr>
        <w:t xml:space="preserve">mg/kg. </w:t>
      </w:r>
      <w:r w:rsidRPr="00687933">
        <w:rPr>
          <w:rFonts w:eastAsia="Times New Roman" w:cs="Arial"/>
          <w:color w:val="000000"/>
          <w:lang w:eastAsia="bg-BG"/>
        </w:rPr>
        <w:t xml:space="preserve">Средното време на полуживот от плазмата е варирало между </w:t>
      </w:r>
      <w:r w:rsidRPr="00687933">
        <w:rPr>
          <w:rFonts w:eastAsia="Times New Roman" w:cs="Arial"/>
          <w:i/>
          <w:iCs/>
          <w:color w:val="000000"/>
          <w:lang w:eastAsia="bg-BG"/>
        </w:rPr>
        <w:t>15 и 18</w:t>
      </w:r>
      <w:r w:rsidRPr="00687933">
        <w:rPr>
          <w:rFonts w:eastAsia="Times New Roman" w:cs="Arial"/>
          <w:color w:val="000000"/>
          <w:lang w:eastAsia="bg-BG"/>
        </w:rPr>
        <w:t xml:space="preserve"> часа, а обемът на разпределение е бил приблизително 880 </w:t>
      </w:r>
      <w:r w:rsidRPr="00687933">
        <w:rPr>
          <w:rFonts w:eastAsia="Times New Roman" w:cs="Arial"/>
          <w:color w:val="000000"/>
          <w:lang w:val="en-US"/>
        </w:rPr>
        <w:t xml:space="preserve">ml/kg </w:t>
      </w:r>
      <w:r w:rsidRPr="00687933">
        <w:rPr>
          <w:rFonts w:eastAsia="Times New Roman" w:cs="Arial"/>
          <w:color w:val="000000"/>
          <w:lang w:eastAsia="bg-BG"/>
        </w:rPr>
        <w:t xml:space="preserve">след прилагане на многократни дози. След прилагане на еднократна доза е установена по-голяма стойност на времето на полуживот от плазмата - около 24 часа. Това е сравнимо с времето на полуживот след еднократно прилагане на 3 </w:t>
      </w:r>
      <w:r w:rsidRPr="00687933">
        <w:rPr>
          <w:rFonts w:eastAsia="Times New Roman" w:cs="Arial"/>
          <w:color w:val="000000"/>
          <w:lang w:val="en-US"/>
        </w:rPr>
        <w:lastRenderedPageBreak/>
        <w:t xml:space="preserve">mg/kg </w:t>
      </w:r>
      <w:proofErr w:type="spellStart"/>
      <w:r w:rsidRPr="00687933">
        <w:rPr>
          <w:rFonts w:eastAsia="Times New Roman" w:cs="Arial"/>
          <w:color w:val="000000"/>
          <w:lang w:val="en-US"/>
        </w:rPr>
        <w:t>i.v.</w:t>
      </w:r>
      <w:proofErr w:type="spellEnd"/>
      <w:r w:rsidRPr="00687933">
        <w:rPr>
          <w:rFonts w:eastAsia="Times New Roman" w:cs="Arial"/>
          <w:color w:val="000000"/>
          <w:lang w:val="en-US"/>
        </w:rPr>
        <w:t xml:space="preserve"> </w:t>
      </w:r>
      <w:r w:rsidRPr="00687933">
        <w:rPr>
          <w:rFonts w:eastAsia="Times New Roman" w:cs="Arial"/>
          <w:color w:val="000000"/>
          <w:lang w:eastAsia="bg-BG"/>
        </w:rPr>
        <w:t xml:space="preserve">на деца от 11 дни до 11 месеца. Обемът на разпределение на тази възрастова група е около 950 </w:t>
      </w:r>
      <w:r w:rsidRPr="00687933">
        <w:rPr>
          <w:rFonts w:eastAsia="Times New Roman" w:cs="Arial"/>
          <w:color w:val="000000"/>
          <w:lang w:val="en-US"/>
        </w:rPr>
        <w:t>ml/kg.</w:t>
      </w:r>
    </w:p>
    <w:p w14:paraId="4B202C2E" w14:textId="77777777" w:rsidR="00687933" w:rsidRPr="00687933" w:rsidRDefault="00687933" w:rsidP="00687933">
      <w:pPr>
        <w:spacing w:line="240" w:lineRule="auto"/>
        <w:rPr>
          <w:rFonts w:eastAsia="Times New Roman" w:cs="Arial"/>
          <w:color w:val="000000"/>
          <w:lang w:eastAsia="bg-BG"/>
        </w:rPr>
      </w:pPr>
    </w:p>
    <w:p w14:paraId="66978C5F" w14:textId="306C7062"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 xml:space="preserve">Опитът с флуконазол при новородени е ограничен до фармакокинетичните проучвания при преждевременно родени. Средната възраст при прилагане на първа доза, при 12 преждевременно родени на приблизителна гестационна възраст от 28 седмици, е била 24 часа (в рамките на 9-36 часа), а средното тегло е било 0,9 </w:t>
      </w:r>
      <w:r w:rsidRPr="00687933">
        <w:rPr>
          <w:rFonts w:eastAsia="Times New Roman" w:cs="Arial"/>
          <w:color w:val="000000"/>
          <w:lang w:val="en-US"/>
        </w:rPr>
        <w:t xml:space="preserve">kg </w:t>
      </w:r>
      <w:r w:rsidRPr="00687933">
        <w:rPr>
          <w:rFonts w:eastAsia="Times New Roman" w:cs="Arial"/>
          <w:color w:val="000000"/>
          <w:lang w:eastAsia="bg-BG"/>
        </w:rPr>
        <w:t xml:space="preserve">(в рамките на 0,75-1,10 </w:t>
      </w:r>
      <w:r w:rsidRPr="00687933">
        <w:rPr>
          <w:rFonts w:eastAsia="Times New Roman" w:cs="Arial"/>
          <w:color w:val="000000"/>
          <w:lang w:val="en-US"/>
        </w:rPr>
        <w:t xml:space="preserve">kg). </w:t>
      </w:r>
      <w:r w:rsidRPr="00687933">
        <w:rPr>
          <w:rFonts w:eastAsia="Times New Roman" w:cs="Arial"/>
          <w:color w:val="000000"/>
          <w:lang w:eastAsia="bg-BG"/>
        </w:rPr>
        <w:t xml:space="preserve">Седем пациента са завършили протокола. Прилагани са като максимум 5 интравенозни инфузии от 6 </w:t>
      </w:r>
      <w:r w:rsidRPr="00687933">
        <w:rPr>
          <w:rFonts w:eastAsia="Times New Roman" w:cs="Arial"/>
          <w:color w:val="000000"/>
          <w:lang w:val="en-US"/>
        </w:rPr>
        <w:t xml:space="preserve">mg/kg </w:t>
      </w:r>
      <w:r w:rsidRPr="00687933">
        <w:rPr>
          <w:rFonts w:eastAsia="Times New Roman" w:cs="Arial"/>
          <w:color w:val="000000"/>
          <w:lang w:eastAsia="bg-BG"/>
        </w:rPr>
        <w:t>флуконазол на всеки 72 часа. Средният елиминационен полуживот е бил 74 часа (вариращ от 44 до 185 часа) през първия ден и е намалял с времето средно до 53 часа (вариращ от 30 до 131 часа) на седмия и до 47 часа (вариращ от 27 до 68 часа) на тринадесетия ден.</w:t>
      </w:r>
    </w:p>
    <w:p w14:paraId="5EF10096"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 xml:space="preserve">Площта под кривата </w:t>
      </w:r>
      <w:r w:rsidRPr="00687933">
        <w:rPr>
          <w:rFonts w:eastAsia="Times New Roman" w:cs="Arial"/>
          <w:color w:val="000000"/>
          <w:lang w:val="en-US"/>
        </w:rPr>
        <w:t>(</w:t>
      </w:r>
      <w:r w:rsidRPr="00687933">
        <w:rPr>
          <w:rFonts w:eastAsia="Times New Roman" w:cs="Arial"/>
          <w:color w:val="000000"/>
          <w:lang w:eastAsia="bg-BG"/>
        </w:rPr>
        <w:t>μ</w:t>
      </w:r>
      <w:proofErr w:type="spellStart"/>
      <w:r w:rsidRPr="00687933">
        <w:rPr>
          <w:rFonts w:eastAsia="Times New Roman" w:cs="Arial"/>
          <w:color w:val="000000"/>
          <w:lang w:val="en-US"/>
        </w:rPr>
        <w:t>g.h</w:t>
      </w:r>
      <w:proofErr w:type="spellEnd"/>
      <w:r w:rsidRPr="00687933">
        <w:rPr>
          <w:rFonts w:eastAsia="Times New Roman" w:cs="Arial"/>
          <w:color w:val="000000"/>
          <w:lang w:val="en-US"/>
        </w:rPr>
        <w:t xml:space="preserve">/ml) </w:t>
      </w:r>
      <w:r w:rsidRPr="00687933">
        <w:rPr>
          <w:rFonts w:eastAsia="Times New Roman" w:cs="Arial"/>
          <w:color w:val="000000"/>
          <w:lang w:eastAsia="bg-BG"/>
        </w:rPr>
        <w:t xml:space="preserve">е била 271 (от 173 до 385) на първия ден и се е увеличила средно до 490 (в рамките на 292 - 734) на седмия и е намаляла средно до 360 (от 167 до 566) на тринадесетия ден. Обемът на разпределение </w:t>
      </w:r>
      <w:r w:rsidRPr="00687933">
        <w:rPr>
          <w:rFonts w:eastAsia="Times New Roman" w:cs="Arial"/>
          <w:color w:val="000000"/>
          <w:lang w:val="en-US"/>
        </w:rPr>
        <w:t xml:space="preserve">(ml/kg) </w:t>
      </w:r>
      <w:r w:rsidRPr="00687933">
        <w:rPr>
          <w:rFonts w:eastAsia="Times New Roman" w:cs="Arial"/>
          <w:color w:val="000000"/>
          <w:lang w:eastAsia="bg-BG"/>
        </w:rPr>
        <w:t>е бил 1183 (от 1070 до 1470) на първия ден и се е увеличил с времето средно до 1184 (от 510 до 2130) на седмия и 1328 (от 1040 до 1680)</w:t>
      </w:r>
      <w:r w:rsidRPr="00687933">
        <w:rPr>
          <w:rFonts w:eastAsia="Times New Roman" w:cs="Arial"/>
          <w:color w:val="000000"/>
          <w:lang w:val="en-US"/>
        </w:rPr>
        <w:t xml:space="preserve"> </w:t>
      </w:r>
      <w:r w:rsidRPr="00687933">
        <w:rPr>
          <w:rFonts w:eastAsia="Times New Roman" w:cs="Arial"/>
          <w:color w:val="000000"/>
          <w:lang w:eastAsia="bg-BG"/>
        </w:rPr>
        <w:t>на тринадесетия ден.</w:t>
      </w:r>
    </w:p>
    <w:p w14:paraId="0378128D" w14:textId="77777777" w:rsidR="00687933" w:rsidRPr="00687933" w:rsidRDefault="00687933" w:rsidP="00687933">
      <w:pPr>
        <w:spacing w:line="240" w:lineRule="auto"/>
        <w:rPr>
          <w:rFonts w:eastAsia="Times New Roman" w:cs="Arial"/>
          <w:color w:val="000000"/>
          <w:u w:val="single"/>
          <w:lang w:eastAsia="bg-BG"/>
        </w:rPr>
      </w:pPr>
    </w:p>
    <w:p w14:paraId="5EB05FCB" w14:textId="682C3848" w:rsidR="00687933" w:rsidRPr="00687933" w:rsidRDefault="00687933" w:rsidP="00687933">
      <w:pPr>
        <w:spacing w:line="240" w:lineRule="auto"/>
        <w:rPr>
          <w:rFonts w:eastAsia="Times New Roman" w:cs="Arial"/>
          <w:lang w:eastAsia="bg-BG"/>
        </w:rPr>
      </w:pPr>
      <w:r w:rsidRPr="00687933">
        <w:rPr>
          <w:rFonts w:eastAsia="Times New Roman" w:cs="Arial"/>
          <w:color w:val="000000"/>
          <w:u w:val="single"/>
          <w:lang w:eastAsia="bg-BG"/>
        </w:rPr>
        <w:t>Фармакокинетика при пациенти в старческа възраст</w:t>
      </w:r>
    </w:p>
    <w:p w14:paraId="2F57DEC4"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Проведено е фармакокинетично проучване при 22 пациенти на възраст &gt; 65 години</w:t>
      </w:r>
    </w:p>
    <w:p w14:paraId="6C6B16A2" w14:textId="09B70200" w:rsidR="00687933" w:rsidRPr="00687933" w:rsidRDefault="00687933" w:rsidP="00687933">
      <w:pPr>
        <w:rPr>
          <w:rFonts w:cs="Arial"/>
        </w:rPr>
      </w:pPr>
      <w:r w:rsidRPr="00687933">
        <w:rPr>
          <w:rFonts w:eastAsia="Times New Roman" w:cs="Arial"/>
          <w:color w:val="000000"/>
          <w:lang w:eastAsia="bg-BG"/>
        </w:rPr>
        <w:t xml:space="preserve">получаващи еднократна перорална доза от 50 </w:t>
      </w:r>
      <w:r w:rsidRPr="00687933">
        <w:rPr>
          <w:rFonts w:eastAsia="Times New Roman" w:cs="Arial"/>
          <w:color w:val="000000"/>
          <w:lang w:val="en-US"/>
        </w:rPr>
        <w:t xml:space="preserve">mg </w:t>
      </w:r>
      <w:r w:rsidRPr="00687933">
        <w:rPr>
          <w:rFonts w:eastAsia="Times New Roman" w:cs="Arial"/>
          <w:color w:val="000000"/>
          <w:lang w:eastAsia="bg-BG"/>
        </w:rPr>
        <w:t xml:space="preserve">флуконазол. Десет от тези пациенти са </w:t>
      </w:r>
      <w:r w:rsidRPr="00687933">
        <w:rPr>
          <w:rFonts w:cs="Arial"/>
        </w:rPr>
        <w:t>получавали съпътстваща терапия с диуретици. С</w:t>
      </w:r>
      <w:r w:rsidRPr="00687933">
        <w:rPr>
          <w:rFonts w:cs="Arial"/>
          <w:vertAlign w:val="subscript"/>
          <w:lang w:val="en-US"/>
        </w:rPr>
        <w:t>max</w:t>
      </w:r>
      <w:r w:rsidRPr="00687933">
        <w:rPr>
          <w:rFonts w:cs="Arial"/>
        </w:rPr>
        <w:t xml:space="preserve"> е била 1,54 μ</w:t>
      </w:r>
      <w:r w:rsidRPr="00687933">
        <w:rPr>
          <w:rFonts w:cs="Arial"/>
          <w:lang w:val="en-US"/>
        </w:rPr>
        <w:t xml:space="preserve">g /ml </w:t>
      </w:r>
      <w:r w:rsidRPr="00687933">
        <w:rPr>
          <w:rFonts w:cs="Arial"/>
        </w:rPr>
        <w:t xml:space="preserve">и е достигната 1,3 часа след приема. Средната </w:t>
      </w:r>
      <w:r w:rsidRPr="00687933">
        <w:rPr>
          <w:rFonts w:cs="Arial"/>
          <w:lang w:val="en-US"/>
        </w:rPr>
        <w:t xml:space="preserve">AUC </w:t>
      </w:r>
      <w:r w:rsidRPr="00687933">
        <w:rPr>
          <w:rFonts w:cs="Arial"/>
        </w:rPr>
        <w:t>е била 76,4 ± 20,3 μ</w:t>
      </w:r>
      <w:proofErr w:type="spellStart"/>
      <w:r w:rsidRPr="00687933">
        <w:rPr>
          <w:rFonts w:cs="Arial"/>
          <w:lang w:val="en-US"/>
        </w:rPr>
        <w:t>g.h</w:t>
      </w:r>
      <w:proofErr w:type="spellEnd"/>
      <w:r w:rsidRPr="00687933">
        <w:rPr>
          <w:rFonts w:cs="Arial"/>
          <w:lang w:val="en-US"/>
        </w:rPr>
        <w:t xml:space="preserve">/ml, </w:t>
      </w:r>
      <w:r w:rsidRPr="00687933">
        <w:rPr>
          <w:rFonts w:cs="Arial"/>
        </w:rPr>
        <w:t xml:space="preserve">а средното терминално време на полуживот - 46,2 часа. Тези стойности на фармакокинетичните параметри са по-високи от аналогичните стойности, съобщавани при здрави млади мъже-доброволци. Едновременното приложение на диуретици не е променило сигнификантно </w:t>
      </w:r>
      <w:r w:rsidRPr="00687933">
        <w:rPr>
          <w:rFonts w:cs="Arial"/>
          <w:lang w:val="en-US"/>
        </w:rPr>
        <w:t xml:space="preserve">AUC </w:t>
      </w:r>
      <w:r w:rsidRPr="00687933">
        <w:rPr>
          <w:rFonts w:cs="Arial"/>
        </w:rPr>
        <w:t>или С</w:t>
      </w:r>
      <w:r w:rsidRPr="00687933">
        <w:rPr>
          <w:rFonts w:cs="Arial"/>
          <w:vertAlign w:val="subscript"/>
          <w:lang w:val="en-US"/>
        </w:rPr>
        <w:t>max</w:t>
      </w:r>
      <w:r w:rsidRPr="00687933">
        <w:rPr>
          <w:rFonts w:cs="Arial"/>
        </w:rPr>
        <w:t xml:space="preserve">. В допълнение, креатининовият клирънс (74 </w:t>
      </w:r>
      <w:r w:rsidRPr="00687933">
        <w:rPr>
          <w:rFonts w:cs="Arial"/>
          <w:lang w:val="en-US"/>
        </w:rPr>
        <w:t xml:space="preserve">ml/min), </w:t>
      </w:r>
      <w:r w:rsidRPr="00687933">
        <w:rPr>
          <w:rFonts w:cs="Arial"/>
        </w:rPr>
        <w:t xml:space="preserve">процентът непроменено лекарство, екскретирано с урината (0 - 24 ч., 22%) и изчисленият бъбречен клирънс на флуконазол (0,124 </w:t>
      </w:r>
      <w:r w:rsidRPr="00687933">
        <w:rPr>
          <w:rFonts w:cs="Arial"/>
          <w:lang w:val="en-US"/>
        </w:rPr>
        <w:t xml:space="preserve">ml/min/kg) </w:t>
      </w:r>
      <w:r w:rsidRPr="00687933">
        <w:rPr>
          <w:rFonts w:cs="Arial"/>
        </w:rPr>
        <w:t>при пациенти в напреднала възраст общо са по-ниски от тези при по-млади доброволци. Следователно, промяната в елиминирането на флуконазол при пациенти в напреднала възраст изглежда са свързани с намалена бъбречна функция, характерна за тази група.</w:t>
      </w:r>
    </w:p>
    <w:p w14:paraId="18BB2451" w14:textId="77777777" w:rsidR="00687933" w:rsidRPr="0091385D" w:rsidRDefault="00687933"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0D43DF0D"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При неклиничните изпитвания само при експозиции, за които се счита, че са в достатъчна степен по-големи от максималната експозиция при хора се наблюдават ефекти, които показват малко значение за клиничната употреба.</w:t>
      </w:r>
    </w:p>
    <w:p w14:paraId="108468F8" w14:textId="77777777" w:rsidR="00687933" w:rsidRPr="00687933" w:rsidRDefault="00687933" w:rsidP="00687933">
      <w:pPr>
        <w:spacing w:line="240" w:lineRule="auto"/>
        <w:rPr>
          <w:rFonts w:eastAsia="Times New Roman" w:cs="Arial"/>
          <w:color w:val="000000"/>
          <w:u w:val="single"/>
          <w:lang w:eastAsia="bg-BG"/>
        </w:rPr>
      </w:pPr>
    </w:p>
    <w:p w14:paraId="7FD0BD33" w14:textId="21713ED6" w:rsidR="00687933" w:rsidRPr="00687933" w:rsidRDefault="00687933" w:rsidP="00687933">
      <w:pPr>
        <w:spacing w:line="240" w:lineRule="auto"/>
        <w:rPr>
          <w:rFonts w:eastAsia="Times New Roman" w:cs="Arial"/>
          <w:lang w:eastAsia="bg-BG"/>
        </w:rPr>
      </w:pPr>
      <w:r w:rsidRPr="00687933">
        <w:rPr>
          <w:rFonts w:eastAsia="Times New Roman" w:cs="Arial"/>
          <w:color w:val="000000"/>
          <w:u w:val="single"/>
          <w:lang w:eastAsia="bg-BG"/>
        </w:rPr>
        <w:t>Карциногенеза</w:t>
      </w:r>
    </w:p>
    <w:p w14:paraId="05F758AC" w14:textId="77777777" w:rsidR="00687933" w:rsidRPr="00687933" w:rsidRDefault="00687933" w:rsidP="00687933">
      <w:pPr>
        <w:spacing w:line="240" w:lineRule="auto"/>
        <w:rPr>
          <w:rFonts w:eastAsia="Times New Roman" w:cs="Arial"/>
          <w:lang w:eastAsia="bg-BG"/>
        </w:rPr>
      </w:pPr>
      <w:r w:rsidRPr="00687933">
        <w:rPr>
          <w:rFonts w:eastAsia="Times New Roman" w:cs="Arial"/>
          <w:color w:val="000000"/>
          <w:lang w:eastAsia="bg-BG"/>
        </w:rPr>
        <w:t xml:space="preserve">Няма данни за канцерогенен потенциал на флуконазол при мишки и при плъхове, третирани перорално в продължение на 24 месеца с дози от 2.5, 5 или 10 </w:t>
      </w:r>
      <w:r w:rsidRPr="00687933">
        <w:rPr>
          <w:rFonts w:eastAsia="Times New Roman" w:cs="Arial"/>
          <w:color w:val="000000"/>
          <w:lang w:val="en-US"/>
        </w:rPr>
        <w:t>mg/kg</w:t>
      </w:r>
      <w:r w:rsidRPr="00687933">
        <w:rPr>
          <w:rFonts w:eastAsia="Times New Roman" w:cs="Arial"/>
          <w:color w:val="000000"/>
          <w:lang w:eastAsia="bg-BG"/>
        </w:rPr>
        <w:t xml:space="preserve">/дн. (приблизително 2-7 пъти по-високи от препоръчваните дози при хора). При мъжки плъхове, третирани с 5 и 10 </w:t>
      </w:r>
      <w:r w:rsidRPr="00687933">
        <w:rPr>
          <w:rFonts w:eastAsia="Times New Roman" w:cs="Arial"/>
          <w:color w:val="000000"/>
          <w:lang w:val="en-US"/>
        </w:rPr>
        <w:t>mg/kg</w:t>
      </w:r>
      <w:r w:rsidRPr="00687933">
        <w:rPr>
          <w:rFonts w:eastAsia="Times New Roman" w:cs="Arial"/>
          <w:color w:val="000000"/>
          <w:lang w:eastAsia="bg-BG"/>
        </w:rPr>
        <w:t>/дн., е наблюдавано нарастване на честотата на хепатоцелуларен аденом</w:t>
      </w:r>
    </w:p>
    <w:p w14:paraId="67682571" w14:textId="77777777" w:rsidR="00687933" w:rsidRPr="00687933" w:rsidRDefault="00687933" w:rsidP="00687933">
      <w:pPr>
        <w:spacing w:line="240" w:lineRule="auto"/>
        <w:rPr>
          <w:rFonts w:eastAsia="Times New Roman" w:cs="Arial"/>
          <w:color w:val="000000"/>
          <w:u w:val="single"/>
          <w:lang w:eastAsia="bg-BG"/>
        </w:rPr>
      </w:pPr>
    </w:p>
    <w:p w14:paraId="7D117DCC" w14:textId="4DA8FFBF" w:rsidR="00687933" w:rsidRPr="00687933" w:rsidRDefault="00687933" w:rsidP="00687933">
      <w:pPr>
        <w:spacing w:line="240" w:lineRule="auto"/>
        <w:rPr>
          <w:rFonts w:eastAsia="Times New Roman" w:cs="Arial"/>
          <w:lang w:eastAsia="bg-BG"/>
        </w:rPr>
      </w:pPr>
      <w:r w:rsidRPr="00687933">
        <w:rPr>
          <w:rFonts w:eastAsia="Times New Roman" w:cs="Arial"/>
          <w:color w:val="000000"/>
          <w:u w:val="single"/>
          <w:lang w:eastAsia="bg-BG"/>
        </w:rPr>
        <w:t>Репродуктивна токсичност</w:t>
      </w:r>
    </w:p>
    <w:p w14:paraId="13A7B62A" w14:textId="2313E79C" w:rsidR="007A2185" w:rsidRPr="00687933" w:rsidRDefault="00687933" w:rsidP="00687933">
      <w:pPr>
        <w:rPr>
          <w:rFonts w:cs="Arial"/>
        </w:rPr>
      </w:pPr>
      <w:r w:rsidRPr="00687933">
        <w:rPr>
          <w:rFonts w:eastAsia="Times New Roman" w:cs="Arial"/>
          <w:color w:val="000000"/>
          <w:lang w:eastAsia="bg-BG"/>
        </w:rPr>
        <w:t xml:space="preserve">Флуконазол, приложен перорално в дневна доза 5,10 или 20 </w:t>
      </w:r>
      <w:proofErr w:type="spellStart"/>
      <w:r w:rsidRPr="00687933">
        <w:rPr>
          <w:rFonts w:eastAsia="Times New Roman" w:cs="Arial"/>
          <w:color w:val="000000"/>
          <w:lang w:val="en-US"/>
        </w:rPr>
        <w:t>pg</w:t>
      </w:r>
      <w:proofErr w:type="spellEnd"/>
      <w:r w:rsidRPr="00687933">
        <w:rPr>
          <w:rFonts w:eastAsia="Times New Roman" w:cs="Arial"/>
          <w:color w:val="000000"/>
          <w:lang w:val="en-US"/>
        </w:rPr>
        <w:t xml:space="preserve">/kg </w:t>
      </w:r>
      <w:r w:rsidRPr="00687933">
        <w:rPr>
          <w:rFonts w:eastAsia="Times New Roman" w:cs="Arial"/>
          <w:color w:val="000000"/>
          <w:lang w:eastAsia="bg-BG"/>
        </w:rPr>
        <w:t xml:space="preserve">или парентерално в доза 5, 25 или 75 </w:t>
      </w:r>
      <w:r w:rsidRPr="00687933">
        <w:rPr>
          <w:rFonts w:eastAsia="Times New Roman" w:cs="Arial"/>
          <w:color w:val="000000"/>
          <w:lang w:val="en-US"/>
        </w:rPr>
        <w:t xml:space="preserve">mg/kg, </w:t>
      </w:r>
      <w:r w:rsidRPr="00687933">
        <w:rPr>
          <w:rFonts w:eastAsia="Times New Roman" w:cs="Arial"/>
          <w:color w:val="000000"/>
          <w:lang w:eastAsia="bg-BG"/>
        </w:rPr>
        <w:t xml:space="preserve">не повлиява фертилитета на женски или мъжки плъхове. Не са </w:t>
      </w:r>
      <w:r w:rsidRPr="00687933">
        <w:rPr>
          <w:rFonts w:eastAsia="Times New Roman" w:cs="Arial"/>
          <w:color w:val="000000"/>
          <w:lang w:eastAsia="bg-BG"/>
        </w:rPr>
        <w:lastRenderedPageBreak/>
        <w:t xml:space="preserve">наблюдавани ефекти върху фетуса при 5 или 10 </w:t>
      </w:r>
      <w:r w:rsidRPr="00687933">
        <w:rPr>
          <w:rFonts w:eastAsia="Times New Roman" w:cs="Arial"/>
          <w:color w:val="000000"/>
          <w:lang w:val="en-US"/>
        </w:rPr>
        <w:t xml:space="preserve">mg/kg; </w:t>
      </w:r>
      <w:r w:rsidRPr="00687933">
        <w:rPr>
          <w:rFonts w:eastAsia="Times New Roman" w:cs="Arial"/>
          <w:color w:val="000000"/>
          <w:lang w:eastAsia="bg-BG"/>
        </w:rPr>
        <w:t xml:space="preserve">при дози от 25 и 50 </w:t>
      </w:r>
      <w:r w:rsidRPr="00687933">
        <w:rPr>
          <w:rFonts w:eastAsia="Times New Roman" w:cs="Arial"/>
          <w:color w:val="000000"/>
          <w:lang w:val="en-US"/>
        </w:rPr>
        <w:t xml:space="preserve">mg/kg </w:t>
      </w:r>
      <w:r w:rsidRPr="00687933">
        <w:rPr>
          <w:rFonts w:eastAsia="Times New Roman" w:cs="Arial"/>
          <w:color w:val="000000"/>
          <w:lang w:eastAsia="bg-BG"/>
        </w:rPr>
        <w:t xml:space="preserve">и по-високи е наблюдавано повишение на феталните малформации (повишен брой ребра, разширяване на бъбречното легенче) и забавена осификация. При дозировки от 80 </w:t>
      </w:r>
      <w:r w:rsidRPr="00687933">
        <w:rPr>
          <w:rFonts w:eastAsia="Times New Roman" w:cs="Arial"/>
          <w:color w:val="000000"/>
          <w:lang w:val="en-US"/>
        </w:rPr>
        <w:t xml:space="preserve">mg/kg </w:t>
      </w:r>
      <w:r w:rsidRPr="00687933">
        <w:rPr>
          <w:rFonts w:eastAsia="Times New Roman" w:cs="Arial"/>
          <w:color w:val="000000"/>
          <w:lang w:eastAsia="bg-BG"/>
        </w:rPr>
        <w:t xml:space="preserve">до 320 </w:t>
      </w:r>
      <w:r w:rsidRPr="00687933">
        <w:rPr>
          <w:rFonts w:eastAsia="Times New Roman" w:cs="Arial"/>
          <w:color w:val="000000"/>
          <w:lang w:val="en-US"/>
        </w:rPr>
        <w:t xml:space="preserve">mg/kg </w:t>
      </w:r>
      <w:r w:rsidRPr="00687933">
        <w:rPr>
          <w:rFonts w:eastAsia="Times New Roman" w:cs="Arial"/>
          <w:color w:val="000000"/>
          <w:lang w:eastAsia="bg-BG"/>
        </w:rPr>
        <w:t xml:space="preserve">е наблюдавана повишена ембрионална смъртност при плъхове, като малформациите включват деформирани ребра, фисура на небцето и нарушения в черепно-лицевата осификация. Установено е, че интравенозното въвеждане на 20 </w:t>
      </w:r>
      <w:r w:rsidRPr="00687933">
        <w:rPr>
          <w:rFonts w:eastAsia="Times New Roman" w:cs="Arial"/>
          <w:color w:val="000000"/>
          <w:lang w:val="en-US"/>
        </w:rPr>
        <w:t xml:space="preserve">mg/kg </w:t>
      </w:r>
      <w:r w:rsidRPr="00687933">
        <w:rPr>
          <w:rFonts w:eastAsia="Times New Roman" w:cs="Arial"/>
          <w:color w:val="000000"/>
          <w:lang w:eastAsia="bg-BG"/>
        </w:rPr>
        <w:t xml:space="preserve">и 40 </w:t>
      </w:r>
      <w:r w:rsidRPr="00687933">
        <w:rPr>
          <w:rFonts w:eastAsia="Times New Roman" w:cs="Arial"/>
          <w:color w:val="000000"/>
          <w:lang w:val="en-US"/>
        </w:rPr>
        <w:t xml:space="preserve">mg/kg </w:t>
      </w:r>
      <w:r w:rsidRPr="00687933">
        <w:rPr>
          <w:rFonts w:eastAsia="Times New Roman" w:cs="Arial"/>
          <w:color w:val="000000"/>
          <w:lang w:eastAsia="bg-BG"/>
        </w:rPr>
        <w:t>е провокирало дистокия и пролонгиране на раждането при няколко животни. Нарушенията в родовия процес, наблюдавани при тези дози, са довели до леко повишаване на броя на мъртвородените и намаляване на преживяемостта на новородените. Влиянието върху родовия процес при плъхове съответства на това при видово специфично понижаване на естрогенното ниво под въздействие на високите дози флуконазол. При жени, лекувани с флуконазол, не са наблюдавани такива хормонални промени (вж. точка 5.1).</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5CC7F67" w14:textId="77777777" w:rsidR="00687933" w:rsidRPr="00687933" w:rsidRDefault="00687933" w:rsidP="00687933">
      <w:pPr>
        <w:spacing w:line="240" w:lineRule="auto"/>
        <w:rPr>
          <w:rFonts w:eastAsia="Times New Roman" w:cs="Arial"/>
          <w:sz w:val="24"/>
          <w:szCs w:val="24"/>
          <w:lang w:eastAsia="bg-BG"/>
        </w:rPr>
      </w:pPr>
      <w:r w:rsidRPr="00687933">
        <w:rPr>
          <w:rFonts w:eastAsia="Times New Roman" w:cs="Arial"/>
          <w:color w:val="000000"/>
          <w:lang w:eastAsia="bg-BG"/>
        </w:rPr>
        <w:t>Антибиотик-Разград АД</w:t>
      </w:r>
    </w:p>
    <w:p w14:paraId="51407ADE" w14:textId="77777777" w:rsidR="00687933" w:rsidRPr="00687933" w:rsidRDefault="00687933" w:rsidP="00687933">
      <w:pPr>
        <w:spacing w:line="240" w:lineRule="auto"/>
        <w:rPr>
          <w:rFonts w:eastAsia="Times New Roman" w:cs="Arial"/>
          <w:sz w:val="24"/>
          <w:szCs w:val="24"/>
          <w:lang w:eastAsia="bg-BG"/>
        </w:rPr>
      </w:pPr>
      <w:r w:rsidRPr="00687933">
        <w:rPr>
          <w:rFonts w:eastAsia="Times New Roman" w:cs="Arial"/>
          <w:color w:val="000000"/>
          <w:lang w:eastAsia="bg-BG"/>
        </w:rPr>
        <w:t>бул. Априлско въстание, № 68, офис 201</w:t>
      </w:r>
    </w:p>
    <w:p w14:paraId="4F02909F" w14:textId="31B6786E" w:rsidR="007A2185" w:rsidRPr="00687933" w:rsidRDefault="00687933" w:rsidP="00687933">
      <w:pPr>
        <w:rPr>
          <w:rFonts w:cs="Arial"/>
        </w:rPr>
      </w:pPr>
      <w:r w:rsidRPr="00687933">
        <w:rPr>
          <w:rFonts w:eastAsia="Times New Roman" w:cs="Arial"/>
          <w:color w:val="000000"/>
          <w:lang w:eastAsia="bg-BG"/>
        </w:rPr>
        <w:t>7200 Разград,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6EAA9856" w14:textId="77777777" w:rsidR="00687933" w:rsidRPr="00687933" w:rsidRDefault="00687933" w:rsidP="00687933">
      <w:pPr>
        <w:spacing w:line="240" w:lineRule="auto"/>
        <w:rPr>
          <w:rFonts w:eastAsia="Times New Roman" w:cs="Arial"/>
          <w:sz w:val="24"/>
          <w:szCs w:val="24"/>
          <w:lang w:eastAsia="bg-BG"/>
        </w:rPr>
      </w:pPr>
      <w:r w:rsidRPr="00687933">
        <w:rPr>
          <w:rFonts w:eastAsia="Times New Roman" w:cs="Arial"/>
          <w:color w:val="000000"/>
          <w:lang w:eastAsia="bg-BG"/>
        </w:rPr>
        <w:t xml:space="preserve">Фунгокап 150 </w:t>
      </w:r>
      <w:r w:rsidRPr="00687933">
        <w:rPr>
          <w:rFonts w:eastAsia="Times New Roman" w:cs="Arial"/>
          <w:color w:val="000000"/>
          <w:lang w:val="en-US"/>
        </w:rPr>
        <w:t xml:space="preserve">mg </w:t>
      </w:r>
      <w:r w:rsidRPr="00687933">
        <w:rPr>
          <w:rFonts w:eastAsia="Times New Roman" w:cs="Arial"/>
          <w:color w:val="000000"/>
          <w:lang w:eastAsia="bg-BG"/>
        </w:rPr>
        <w:t xml:space="preserve">твърди капсули - </w:t>
      </w:r>
      <w:proofErr w:type="spellStart"/>
      <w:r w:rsidRPr="00687933">
        <w:rPr>
          <w:rFonts w:eastAsia="Times New Roman" w:cs="Arial"/>
          <w:color w:val="000000"/>
          <w:lang w:val="en-US"/>
        </w:rPr>
        <w:t>Pe</w:t>
      </w:r>
      <w:proofErr w:type="spellEnd"/>
      <w:r w:rsidRPr="00687933">
        <w:rPr>
          <w:rFonts w:eastAsia="Times New Roman" w:cs="Arial"/>
          <w:color w:val="000000"/>
          <w:lang w:eastAsia="bg-BG"/>
        </w:rPr>
        <w:t>г</w:t>
      </w:r>
      <w:r w:rsidRPr="00687933">
        <w:rPr>
          <w:rFonts w:eastAsia="Times New Roman" w:cs="Arial"/>
          <w:color w:val="000000"/>
          <w:lang w:val="en-US"/>
        </w:rPr>
        <w:t xml:space="preserve">. </w:t>
      </w:r>
      <w:r w:rsidRPr="00687933">
        <w:rPr>
          <w:rFonts w:eastAsia="Times New Roman" w:cs="Arial"/>
          <w:color w:val="000000"/>
          <w:lang w:eastAsia="bg-BG"/>
        </w:rPr>
        <w:t>№ 20130036</w:t>
      </w:r>
    </w:p>
    <w:p w14:paraId="46161304" w14:textId="21A30711" w:rsidR="007A2185" w:rsidRPr="00687933" w:rsidRDefault="00687933" w:rsidP="00687933">
      <w:pPr>
        <w:rPr>
          <w:rFonts w:cs="Arial"/>
        </w:rPr>
      </w:pPr>
      <w:r w:rsidRPr="00687933">
        <w:rPr>
          <w:rFonts w:eastAsia="Times New Roman" w:cs="Arial"/>
          <w:color w:val="000000"/>
          <w:lang w:eastAsia="bg-BG"/>
        </w:rPr>
        <w:t xml:space="preserve">Фунгокап 200 </w:t>
      </w:r>
      <w:r w:rsidRPr="00687933">
        <w:rPr>
          <w:rFonts w:eastAsia="Times New Roman" w:cs="Arial"/>
          <w:color w:val="000000"/>
          <w:lang w:val="en-US"/>
        </w:rPr>
        <w:t xml:space="preserve">mg </w:t>
      </w:r>
      <w:r w:rsidRPr="00687933">
        <w:rPr>
          <w:rFonts w:eastAsia="Times New Roman" w:cs="Arial"/>
          <w:color w:val="000000"/>
          <w:lang w:eastAsia="bg-BG"/>
        </w:rPr>
        <w:t xml:space="preserve">твърди капсули - </w:t>
      </w:r>
      <w:proofErr w:type="spellStart"/>
      <w:r w:rsidRPr="00687933">
        <w:rPr>
          <w:rFonts w:eastAsia="Times New Roman" w:cs="Arial"/>
          <w:color w:val="000000"/>
          <w:lang w:val="en-US"/>
        </w:rPr>
        <w:t>Pe</w:t>
      </w:r>
      <w:proofErr w:type="spellEnd"/>
      <w:r w:rsidRPr="00687933">
        <w:rPr>
          <w:rFonts w:eastAsia="Times New Roman" w:cs="Arial"/>
          <w:color w:val="000000"/>
          <w:lang w:eastAsia="bg-BG"/>
        </w:rPr>
        <w:t>г</w:t>
      </w:r>
      <w:r w:rsidRPr="00687933">
        <w:rPr>
          <w:rFonts w:eastAsia="Times New Roman" w:cs="Arial"/>
          <w:color w:val="000000"/>
          <w:lang w:val="en-US"/>
        </w:rPr>
        <w:t xml:space="preserve">. </w:t>
      </w:r>
      <w:r w:rsidRPr="00687933">
        <w:rPr>
          <w:rFonts w:eastAsia="Times New Roman" w:cs="Arial"/>
          <w:color w:val="000000"/>
          <w:lang w:eastAsia="bg-BG"/>
        </w:rPr>
        <w:t>№ 20130037</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4A09F386" w14:textId="77777777" w:rsidR="00687933" w:rsidRPr="00687933" w:rsidRDefault="00687933" w:rsidP="00687933">
      <w:pPr>
        <w:spacing w:line="240" w:lineRule="auto"/>
        <w:rPr>
          <w:rFonts w:eastAsia="Times New Roman" w:cs="Arial"/>
          <w:sz w:val="24"/>
          <w:szCs w:val="24"/>
          <w:lang w:eastAsia="bg-BG"/>
        </w:rPr>
      </w:pPr>
      <w:r w:rsidRPr="00687933">
        <w:rPr>
          <w:rFonts w:eastAsia="Times New Roman" w:cs="Arial"/>
          <w:color w:val="000000"/>
          <w:lang w:eastAsia="bg-BG"/>
        </w:rPr>
        <w:t>Дата на първо разрешаване:</w:t>
      </w:r>
    </w:p>
    <w:p w14:paraId="7AD02C26" w14:textId="7D5D5598" w:rsidR="00687933" w:rsidRPr="00687933" w:rsidRDefault="00687933" w:rsidP="00687933">
      <w:pPr>
        <w:spacing w:line="240" w:lineRule="auto"/>
        <w:rPr>
          <w:rFonts w:eastAsia="Times New Roman" w:cs="Arial"/>
          <w:sz w:val="24"/>
          <w:szCs w:val="24"/>
          <w:lang w:eastAsia="bg-BG"/>
        </w:rPr>
      </w:pPr>
      <w:r>
        <w:rPr>
          <w:rFonts w:eastAsia="Times New Roman" w:cs="Arial"/>
          <w:color w:val="000000"/>
          <w:lang w:eastAsia="bg-BG"/>
        </w:rPr>
        <w:t>15/01/201</w:t>
      </w:r>
      <w:r w:rsidRPr="00687933">
        <w:rPr>
          <w:rFonts w:eastAsia="Times New Roman" w:cs="Arial"/>
          <w:color w:val="000000"/>
          <w:lang w:eastAsia="bg-BG"/>
        </w:rPr>
        <w:t>3</w:t>
      </w:r>
    </w:p>
    <w:p w14:paraId="46B5C40C" w14:textId="77777777" w:rsidR="00687933" w:rsidRPr="00687933" w:rsidRDefault="00687933" w:rsidP="00687933">
      <w:pPr>
        <w:spacing w:line="240" w:lineRule="auto"/>
        <w:rPr>
          <w:rFonts w:eastAsia="Times New Roman" w:cs="Arial"/>
          <w:color w:val="000000"/>
          <w:lang w:eastAsia="bg-BG"/>
        </w:rPr>
      </w:pPr>
    </w:p>
    <w:p w14:paraId="1F3AB128" w14:textId="226CE5BA" w:rsidR="00687933" w:rsidRPr="00687933" w:rsidRDefault="00687933" w:rsidP="00687933">
      <w:pPr>
        <w:spacing w:line="240" w:lineRule="auto"/>
        <w:rPr>
          <w:rFonts w:eastAsia="Times New Roman" w:cs="Arial"/>
          <w:sz w:val="24"/>
          <w:szCs w:val="24"/>
          <w:lang w:eastAsia="bg-BG"/>
        </w:rPr>
      </w:pPr>
      <w:r w:rsidRPr="00687933">
        <w:rPr>
          <w:rFonts w:eastAsia="Times New Roman" w:cs="Arial"/>
          <w:color w:val="000000"/>
          <w:lang w:eastAsia="bg-BG"/>
        </w:rPr>
        <w:t>Дата на подновяване на РУ:</w:t>
      </w:r>
    </w:p>
    <w:p w14:paraId="6C57D8B6" w14:textId="29AB0F0B" w:rsidR="007A2185" w:rsidRPr="00687933" w:rsidRDefault="00687933" w:rsidP="00687933">
      <w:pPr>
        <w:rPr>
          <w:rFonts w:cs="Arial"/>
        </w:rPr>
      </w:pPr>
      <w:r w:rsidRPr="00687933">
        <w:rPr>
          <w:rFonts w:eastAsia="Times New Roman" w:cs="Arial"/>
          <w:color w:val="000000"/>
          <w:lang w:eastAsia="bg-BG"/>
        </w:rPr>
        <w:t>04/01/2018</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6338F456" w:rsidR="007A2185" w:rsidRPr="00687933" w:rsidRDefault="00687933" w:rsidP="0091385D">
      <w:pPr>
        <w:rPr>
          <w:rFonts w:cs="Arial"/>
        </w:rPr>
      </w:pPr>
      <w:r w:rsidRPr="00687933">
        <w:rPr>
          <w:rFonts w:cs="Arial"/>
        </w:rPr>
        <w:t>Януари, 2021 г.</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4774D"/>
    <w:multiLevelType w:val="hybridMultilevel"/>
    <w:tmpl w:val="09E015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078BA"/>
    <w:multiLevelType w:val="hybridMultilevel"/>
    <w:tmpl w:val="871A64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14"/>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63F82"/>
    <w:rsid w:val="004A448E"/>
    <w:rsid w:val="004D4D6B"/>
    <w:rsid w:val="004F1CE7"/>
    <w:rsid w:val="004F498A"/>
    <w:rsid w:val="00517A5B"/>
    <w:rsid w:val="00593A00"/>
    <w:rsid w:val="005A5F0F"/>
    <w:rsid w:val="005A66D9"/>
    <w:rsid w:val="005B0F27"/>
    <w:rsid w:val="00605BCA"/>
    <w:rsid w:val="006158A1"/>
    <w:rsid w:val="00617B1F"/>
    <w:rsid w:val="00672487"/>
    <w:rsid w:val="00672600"/>
    <w:rsid w:val="00681D4A"/>
    <w:rsid w:val="00682341"/>
    <w:rsid w:val="00685882"/>
    <w:rsid w:val="00687933"/>
    <w:rsid w:val="0075649D"/>
    <w:rsid w:val="00762DDE"/>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8094</Words>
  <Characters>46137</Characters>
  <Application>Microsoft Office Word</Application>
  <DocSecurity>0</DocSecurity>
  <Lines>384</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2023-03-24T16:54:00Z</dcterms:created>
  <dcterms:modified xsi:type="dcterms:W3CDTF">2023-03-24T16:54:00Z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