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1A4BBDD2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 xml:space="preserve">Фунгофин 250 </w:t>
      </w:r>
      <w:r w:rsidRPr="002D0216">
        <w:rPr>
          <w:rFonts w:eastAsia="Times New Roman" w:cs="Arial"/>
          <w:color w:val="000000"/>
          <w:lang w:val="en-US"/>
        </w:rPr>
        <w:t xml:space="preserve">mg </w:t>
      </w:r>
      <w:r w:rsidRPr="002D0216">
        <w:rPr>
          <w:rFonts w:eastAsia="Times New Roman" w:cs="Arial"/>
          <w:color w:val="000000"/>
          <w:lang w:eastAsia="bg-BG"/>
        </w:rPr>
        <w:t>таблетки</w:t>
      </w:r>
    </w:p>
    <w:p w14:paraId="69AC8148" w14:textId="66BDE83E" w:rsidR="00EC41ED" w:rsidRPr="002D0216" w:rsidRDefault="002D0216" w:rsidP="002D0216">
      <w:pPr>
        <w:rPr>
          <w:rFonts w:cs="Arial"/>
        </w:rPr>
      </w:pPr>
      <w:proofErr w:type="spellStart"/>
      <w:r w:rsidRPr="002D0216">
        <w:rPr>
          <w:rFonts w:eastAsia="Times New Roman" w:cs="Arial"/>
          <w:color w:val="000000"/>
          <w:lang w:val="en-US"/>
        </w:rPr>
        <w:t>Fungofin</w:t>
      </w:r>
      <w:proofErr w:type="spellEnd"/>
      <w:r w:rsidRPr="002D0216">
        <w:rPr>
          <w:rFonts w:eastAsia="Times New Roman" w:cs="Arial"/>
          <w:color w:val="000000"/>
          <w:lang w:val="en-US"/>
        </w:rPr>
        <w:t xml:space="preserve"> </w:t>
      </w:r>
      <w:r w:rsidRPr="002D0216">
        <w:rPr>
          <w:rFonts w:eastAsia="Times New Roman" w:cs="Arial"/>
          <w:color w:val="000000"/>
          <w:lang w:eastAsia="bg-BG"/>
        </w:rPr>
        <w:t xml:space="preserve">250 </w:t>
      </w:r>
      <w:r w:rsidRPr="002D0216">
        <w:rPr>
          <w:rFonts w:eastAsia="Times New Roman" w:cs="Arial"/>
          <w:color w:val="000000"/>
          <w:lang w:val="en-US"/>
        </w:rPr>
        <w:t>mg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540F9958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Всяка таблетка съдържа тербинафинов хидрохлорид (</w:t>
      </w:r>
      <w:proofErr w:type="spellStart"/>
      <w:r w:rsidRPr="002D0216">
        <w:rPr>
          <w:rFonts w:eastAsia="Times New Roman" w:cs="Arial"/>
          <w:i/>
          <w:iCs/>
          <w:color w:val="000000"/>
          <w:lang w:val="en-US"/>
        </w:rPr>
        <w:t>terbinafine</w:t>
      </w:r>
      <w:proofErr w:type="spellEnd"/>
      <w:r w:rsidRPr="002D0216">
        <w:rPr>
          <w:rFonts w:eastAsia="Times New Roman" w:cs="Arial"/>
          <w:i/>
          <w:iCs/>
          <w:color w:val="000000"/>
          <w:lang w:val="en-US"/>
        </w:rPr>
        <w:t xml:space="preserve"> hydrochloride)</w:t>
      </w:r>
      <w:r w:rsidRPr="002D0216">
        <w:rPr>
          <w:rFonts w:eastAsia="Times New Roman" w:cs="Arial"/>
          <w:color w:val="000000"/>
          <w:lang w:val="en-US"/>
        </w:rPr>
        <w:t xml:space="preserve"> </w:t>
      </w:r>
      <w:r w:rsidRPr="002D0216">
        <w:rPr>
          <w:rFonts w:eastAsia="Times New Roman" w:cs="Arial"/>
          <w:color w:val="000000"/>
          <w:lang w:eastAsia="bg-BG"/>
        </w:rPr>
        <w:t xml:space="preserve">еквивалентен на 250 </w:t>
      </w:r>
      <w:r w:rsidRPr="002D0216">
        <w:rPr>
          <w:rFonts w:eastAsia="Times New Roman" w:cs="Arial"/>
          <w:color w:val="000000"/>
          <w:lang w:val="en-US"/>
        </w:rPr>
        <w:t xml:space="preserve">mg </w:t>
      </w:r>
      <w:r w:rsidRPr="002D0216">
        <w:rPr>
          <w:rFonts w:eastAsia="Times New Roman" w:cs="Arial"/>
          <w:color w:val="000000"/>
          <w:lang w:eastAsia="bg-BG"/>
        </w:rPr>
        <w:t>тербинафин (</w:t>
      </w:r>
      <w:proofErr w:type="spellStart"/>
      <w:r w:rsidRPr="002D0216">
        <w:rPr>
          <w:rFonts w:eastAsia="Times New Roman" w:cs="Arial"/>
          <w:i/>
          <w:iCs/>
          <w:color w:val="000000"/>
          <w:lang w:val="en-US"/>
        </w:rPr>
        <w:t>terbinafine</w:t>
      </w:r>
      <w:proofErr w:type="spellEnd"/>
      <w:r w:rsidRPr="002D0216">
        <w:rPr>
          <w:rFonts w:eastAsia="Times New Roman" w:cs="Arial"/>
          <w:i/>
          <w:iCs/>
          <w:color w:val="000000"/>
          <w:lang w:val="en-US"/>
        </w:rPr>
        <w:t>)</w:t>
      </w:r>
    </w:p>
    <w:p w14:paraId="5C4F27C0" w14:textId="77777777" w:rsidR="002D0216" w:rsidRPr="002D0216" w:rsidRDefault="002D0216" w:rsidP="002D0216">
      <w:pPr>
        <w:rPr>
          <w:rFonts w:eastAsia="Times New Roman" w:cs="Arial"/>
          <w:color w:val="000000"/>
          <w:lang w:eastAsia="bg-BG"/>
        </w:rPr>
      </w:pPr>
    </w:p>
    <w:p w14:paraId="54632B43" w14:textId="7F899612" w:rsidR="00EC41ED" w:rsidRPr="002D0216" w:rsidRDefault="002D0216" w:rsidP="002D0216">
      <w:pPr>
        <w:rPr>
          <w:rFonts w:cs="Arial"/>
        </w:rPr>
      </w:pPr>
      <w:r w:rsidRPr="002D0216">
        <w:rPr>
          <w:rFonts w:eastAsia="Times New Roman" w:cs="Arial"/>
          <w:color w:val="000000"/>
          <w:lang w:eastAsia="bg-BG"/>
        </w:rPr>
        <w:t>За пълния списък на помощните вещества,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3358AC32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Таблетка.</w:t>
      </w:r>
    </w:p>
    <w:p w14:paraId="743244F0" w14:textId="6BD2B6DB" w:rsidR="00EC41ED" w:rsidRPr="002D0216" w:rsidRDefault="002D0216" w:rsidP="002D0216">
      <w:pPr>
        <w:rPr>
          <w:rFonts w:cs="Arial"/>
        </w:rPr>
      </w:pPr>
      <w:r w:rsidRPr="002D0216">
        <w:rPr>
          <w:rFonts w:eastAsia="Times New Roman" w:cs="Arial"/>
          <w:color w:val="000000"/>
          <w:lang w:eastAsia="bg-BG"/>
        </w:rPr>
        <w:t>Кръгли, бели таблетки, с делителна черта от едната страна.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2CCCEFFB" w14:textId="77777777" w:rsidR="00CC4D3C" w:rsidRPr="00CC4D3C" w:rsidRDefault="00CC4D3C" w:rsidP="00CC4D3C">
      <w:pPr>
        <w:rPr>
          <w:rFonts w:eastAsia="Times New Roman" w:cs="Arial"/>
          <w:color w:val="000000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Фунгофин е показан за лечение на:</w:t>
      </w:r>
    </w:p>
    <w:p w14:paraId="1E77A6E6" w14:textId="77777777" w:rsidR="00CC4D3C" w:rsidRDefault="00CC4D3C" w:rsidP="00CC4D3C">
      <w:pPr>
        <w:pStyle w:val="ListParagraph"/>
        <w:numPr>
          <w:ilvl w:val="0"/>
          <w:numId w:val="37"/>
        </w:numPr>
        <w:rPr>
          <w:rFonts w:eastAsia="Times New Roman" w:cs="Arial"/>
          <w:color w:val="000000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Онихомикоза (гъбична инфекция на ноктите) на пръстите на краката или на пръстите на ръцете, предизвикана от дерматофити (tinea unguium)</w:t>
      </w:r>
    </w:p>
    <w:p w14:paraId="0EA976A4" w14:textId="77777777" w:rsidR="00CC4D3C" w:rsidRDefault="00CC4D3C" w:rsidP="00CC4D3C">
      <w:pPr>
        <w:pStyle w:val="ListParagraph"/>
        <w:numPr>
          <w:ilvl w:val="0"/>
          <w:numId w:val="37"/>
        </w:numPr>
        <w:rPr>
          <w:rFonts w:eastAsia="Times New Roman" w:cs="Arial"/>
          <w:color w:val="000000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Tinea capitis</w:t>
      </w:r>
    </w:p>
    <w:p w14:paraId="055B870C" w14:textId="1197FBF4" w:rsidR="00CC4D3C" w:rsidRPr="00CC4D3C" w:rsidRDefault="00CC4D3C" w:rsidP="00CC4D3C">
      <w:pPr>
        <w:pStyle w:val="ListParagraph"/>
        <w:numPr>
          <w:ilvl w:val="0"/>
          <w:numId w:val="37"/>
        </w:numPr>
        <w:rPr>
          <w:rFonts w:eastAsia="Times New Roman" w:cs="Arial"/>
          <w:color w:val="000000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Гъбични инфекции по кожата, за лечение на tinea corporis, tinea cruris, tinea pedis*</w:t>
      </w:r>
    </w:p>
    <w:p w14:paraId="23587FAC" w14:textId="77777777" w:rsidR="00CC4D3C" w:rsidRPr="00CC4D3C" w:rsidRDefault="00CC4D3C" w:rsidP="00CC4D3C">
      <w:pPr>
        <w:rPr>
          <w:rFonts w:eastAsia="Times New Roman" w:cs="Arial"/>
          <w:color w:val="000000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Инфекции на кожата, причинени от дрожди от вида Candida (напр. Candida albicans).</w:t>
      </w:r>
    </w:p>
    <w:p w14:paraId="1526B8B0" w14:textId="77777777" w:rsidR="00CC4D3C" w:rsidRPr="00CC4D3C" w:rsidRDefault="00CC4D3C" w:rsidP="00CC4D3C">
      <w:pPr>
        <w:rPr>
          <w:rFonts w:eastAsia="Times New Roman" w:cs="Arial"/>
          <w:color w:val="000000"/>
          <w:lang w:eastAsia="bg-BG"/>
        </w:rPr>
      </w:pPr>
    </w:p>
    <w:p w14:paraId="642F56D9" w14:textId="1639317F" w:rsidR="00EC41ED" w:rsidRDefault="00CC4D3C" w:rsidP="00CC4D3C">
      <w:pPr>
        <w:rPr>
          <w:rFonts w:eastAsia="Times New Roman" w:cs="Arial"/>
          <w:color w:val="000000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*Забележка: За разлика от локалните форми на Фунгофин, пероралната форма не е ефикасна при Pityriasis versicolor.</w:t>
      </w:r>
    </w:p>
    <w:p w14:paraId="2B2C864B" w14:textId="77777777" w:rsidR="00CC4D3C" w:rsidRPr="0091385D" w:rsidRDefault="00CC4D3C" w:rsidP="00CC4D3C">
      <w:bookmarkStart w:id="1" w:name="_GoBack"/>
      <w:bookmarkEnd w:id="1"/>
    </w:p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6F6E8C2C" w14:textId="77777777" w:rsidR="002D0216" w:rsidRPr="002D0216" w:rsidRDefault="002D0216" w:rsidP="002D0216">
      <w:pPr>
        <w:pStyle w:val="Heading3"/>
        <w:rPr>
          <w:rFonts w:eastAsia="Times New Roman"/>
          <w:u w:val="single"/>
          <w:lang w:eastAsia="bg-BG"/>
        </w:rPr>
      </w:pPr>
      <w:r w:rsidRPr="002D0216">
        <w:rPr>
          <w:rFonts w:eastAsia="Times New Roman"/>
          <w:u w:val="single"/>
          <w:lang w:eastAsia="bg-BG"/>
        </w:rPr>
        <w:t>Дозировка</w:t>
      </w:r>
    </w:p>
    <w:p w14:paraId="7F046AAB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Продължителността на лечението варира в зависимост от показанията и тежестта на инфекцията.</w:t>
      </w:r>
    </w:p>
    <w:p w14:paraId="7AFFE486" w14:textId="77777777" w:rsidR="002D0216" w:rsidRPr="002D0216" w:rsidRDefault="002D0216" w:rsidP="002D021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77D1788" w14:textId="60320BE9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44FCAE86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lastRenderedPageBreak/>
        <w:t xml:space="preserve">Няма данни за пприложението при деца под 2 годишна възраст (обикновено &lt;12 </w:t>
      </w:r>
      <w:r w:rsidRPr="002D0216">
        <w:rPr>
          <w:rFonts w:eastAsia="Times New Roman" w:cs="Arial"/>
          <w:color w:val="000000"/>
          <w:lang w:val="en-US"/>
        </w:rPr>
        <w:t>kg).</w:t>
      </w:r>
    </w:p>
    <w:p w14:paraId="7FBF1BCE" w14:textId="2CC016A9" w:rsidR="00EC41ED" w:rsidRPr="002D0216" w:rsidRDefault="002D0216" w:rsidP="002D0216">
      <w:pPr>
        <w:rPr>
          <w:rFonts w:cs="Arial"/>
        </w:rPr>
      </w:pPr>
      <w:r w:rsidRPr="002D0216">
        <w:rPr>
          <w:rFonts w:eastAsia="Times New Roman" w:cs="Arial"/>
          <w:color w:val="000000"/>
          <w:lang w:eastAsia="bg-BG"/>
        </w:rPr>
        <w:t>При деца на възраст от 3 до 16 години под внимание се взема по-долната схема, съобразена с теглото:</w:t>
      </w:r>
    </w:p>
    <w:p w14:paraId="132F3111" w14:textId="45EEE4B0" w:rsidR="005B0F27" w:rsidRPr="002D0216" w:rsidRDefault="005B0F27" w:rsidP="0091385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0216" w:rsidRPr="002D0216" w14:paraId="76D24674" w14:textId="77777777" w:rsidTr="002D0216">
        <w:tc>
          <w:tcPr>
            <w:tcW w:w="4675" w:type="dxa"/>
          </w:tcPr>
          <w:p w14:paraId="706B9A86" w14:textId="678E6D92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 xml:space="preserve">Деца с телесно тегло 12 - 20 </w:t>
            </w:r>
            <w:r w:rsidRPr="002D0216">
              <w:rPr>
                <w:rFonts w:cs="Arial"/>
                <w:lang w:val="en-US"/>
              </w:rPr>
              <w:t>kg</w:t>
            </w:r>
          </w:p>
        </w:tc>
        <w:tc>
          <w:tcPr>
            <w:tcW w:w="4675" w:type="dxa"/>
          </w:tcPr>
          <w:p w14:paraId="6B13EF5A" w14:textId="5E0E6C4E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 xml:space="preserve">62.5 </w:t>
            </w:r>
            <w:r w:rsidRPr="002D0216">
              <w:rPr>
                <w:rFonts w:cs="Arial"/>
                <w:lang w:val="en-US"/>
              </w:rPr>
              <w:t xml:space="preserve">mg </w:t>
            </w:r>
            <w:r w:rsidRPr="002D0216">
              <w:rPr>
                <w:rFonts w:cs="Arial"/>
              </w:rPr>
              <w:t>веднъж дневно</w:t>
            </w:r>
          </w:p>
        </w:tc>
      </w:tr>
      <w:tr w:rsidR="002D0216" w:rsidRPr="002D0216" w14:paraId="68004B61" w14:textId="77777777" w:rsidTr="002D0216">
        <w:tc>
          <w:tcPr>
            <w:tcW w:w="4675" w:type="dxa"/>
          </w:tcPr>
          <w:p w14:paraId="7BE5CC98" w14:textId="6A5DC63F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 xml:space="preserve">Деца с телесно тегло 20 - 40 </w:t>
            </w:r>
            <w:r w:rsidRPr="002D0216">
              <w:rPr>
                <w:rFonts w:cs="Arial"/>
                <w:lang w:val="en-US"/>
              </w:rPr>
              <w:t>kg</w:t>
            </w:r>
          </w:p>
        </w:tc>
        <w:tc>
          <w:tcPr>
            <w:tcW w:w="4675" w:type="dxa"/>
          </w:tcPr>
          <w:p w14:paraId="39E6D82F" w14:textId="2A8B5DE4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 xml:space="preserve">125 </w:t>
            </w:r>
            <w:r w:rsidRPr="002D0216">
              <w:rPr>
                <w:rFonts w:cs="Arial"/>
                <w:lang w:val="en-US"/>
              </w:rPr>
              <w:t xml:space="preserve">mg </w:t>
            </w:r>
            <w:r w:rsidRPr="002D0216">
              <w:rPr>
                <w:rFonts w:cs="Arial"/>
              </w:rPr>
              <w:t>веднъж дневно</w:t>
            </w:r>
          </w:p>
        </w:tc>
      </w:tr>
      <w:tr w:rsidR="002D0216" w:rsidRPr="002D0216" w14:paraId="2FE28CCD" w14:textId="77777777" w:rsidTr="002D0216">
        <w:tc>
          <w:tcPr>
            <w:tcW w:w="4675" w:type="dxa"/>
          </w:tcPr>
          <w:p w14:paraId="6E58ACF0" w14:textId="3F9DC919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 xml:space="preserve">Деца с телесно тегло &gt; 40 </w:t>
            </w:r>
            <w:r w:rsidRPr="002D0216">
              <w:rPr>
                <w:rFonts w:cs="Arial"/>
                <w:lang w:val="en-US"/>
              </w:rPr>
              <w:t>kg</w:t>
            </w:r>
          </w:p>
        </w:tc>
        <w:tc>
          <w:tcPr>
            <w:tcW w:w="4675" w:type="dxa"/>
          </w:tcPr>
          <w:p w14:paraId="5AEF782F" w14:textId="233892AF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 xml:space="preserve">250 </w:t>
            </w:r>
            <w:r w:rsidRPr="002D0216">
              <w:rPr>
                <w:rFonts w:cs="Arial"/>
                <w:lang w:val="en-US"/>
              </w:rPr>
              <w:t xml:space="preserve">mg </w:t>
            </w:r>
            <w:r w:rsidRPr="002D0216">
              <w:rPr>
                <w:rFonts w:cs="Arial"/>
              </w:rPr>
              <w:t>веднъж дневно</w:t>
            </w:r>
          </w:p>
        </w:tc>
      </w:tr>
    </w:tbl>
    <w:p w14:paraId="78C7FF16" w14:textId="2B91F650" w:rsidR="002D0216" w:rsidRPr="002D0216" w:rsidRDefault="002D0216" w:rsidP="0091385D">
      <w:pPr>
        <w:rPr>
          <w:rFonts w:cs="Arial"/>
        </w:rPr>
      </w:pPr>
    </w:p>
    <w:p w14:paraId="2D3BDD38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i/>
          <w:iCs/>
          <w:color w:val="000000"/>
          <w:lang w:eastAsia="bg-BG"/>
        </w:rPr>
        <w:t>Възрастни</w:t>
      </w:r>
    </w:p>
    <w:p w14:paraId="6CA27413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 xml:space="preserve">250 </w:t>
      </w:r>
      <w:r w:rsidRPr="002D0216">
        <w:rPr>
          <w:rFonts w:eastAsia="Times New Roman" w:cs="Arial"/>
          <w:color w:val="000000"/>
          <w:lang w:val="en-US"/>
        </w:rPr>
        <w:t xml:space="preserve">mg </w:t>
      </w:r>
      <w:r w:rsidRPr="002D0216">
        <w:rPr>
          <w:rFonts w:eastAsia="Times New Roman" w:cs="Arial"/>
          <w:color w:val="000000"/>
          <w:lang w:eastAsia="bg-BG"/>
        </w:rPr>
        <w:t>веднъж дневно.</w:t>
      </w:r>
    </w:p>
    <w:p w14:paraId="45B293AF" w14:textId="77777777" w:rsidR="002D0216" w:rsidRPr="002D0216" w:rsidRDefault="002D0216" w:rsidP="002D0216">
      <w:pPr>
        <w:rPr>
          <w:rFonts w:eastAsia="Times New Roman" w:cs="Arial"/>
          <w:b/>
          <w:bCs/>
          <w:color w:val="000000"/>
          <w:lang w:eastAsia="bg-BG"/>
        </w:rPr>
      </w:pPr>
    </w:p>
    <w:p w14:paraId="19A336B4" w14:textId="6ED877DD" w:rsidR="002D0216" w:rsidRPr="002D0216" w:rsidRDefault="002D0216" w:rsidP="002D0216">
      <w:pPr>
        <w:rPr>
          <w:rFonts w:eastAsia="Times New Roman" w:cs="Arial"/>
          <w:b/>
          <w:bCs/>
          <w:color w:val="000000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Препоръчителна продължителност на лечението: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0216" w:rsidRPr="002D0216" w14:paraId="51688A2D" w14:textId="77777777" w:rsidTr="00F940A8">
        <w:tc>
          <w:tcPr>
            <w:tcW w:w="4675" w:type="dxa"/>
          </w:tcPr>
          <w:p w14:paraId="4DAAF0BC" w14:textId="77777777" w:rsidR="002D0216" w:rsidRPr="002D0216" w:rsidRDefault="002D0216" w:rsidP="002D0216">
            <w:pPr>
              <w:rPr>
                <w:rFonts w:cs="Arial"/>
              </w:rPr>
            </w:pPr>
          </w:p>
        </w:tc>
        <w:tc>
          <w:tcPr>
            <w:tcW w:w="4675" w:type="dxa"/>
            <w:vAlign w:val="bottom"/>
          </w:tcPr>
          <w:p w14:paraId="31E24B1E" w14:textId="77777777" w:rsidR="002D0216" w:rsidRPr="002D0216" w:rsidRDefault="002D0216" w:rsidP="002D0216">
            <w:pPr>
              <w:rPr>
                <w:rFonts w:cs="Arial"/>
              </w:rPr>
            </w:pPr>
          </w:p>
        </w:tc>
      </w:tr>
      <w:tr w:rsidR="002D0216" w:rsidRPr="002D0216" w14:paraId="3B962597" w14:textId="77777777" w:rsidTr="002D0216">
        <w:tc>
          <w:tcPr>
            <w:tcW w:w="4675" w:type="dxa"/>
          </w:tcPr>
          <w:p w14:paraId="3289B6BE" w14:textId="2FF7FC99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>Онихомикоза</w:t>
            </w:r>
          </w:p>
        </w:tc>
        <w:tc>
          <w:tcPr>
            <w:tcW w:w="4675" w:type="dxa"/>
          </w:tcPr>
          <w:p w14:paraId="68345B0E" w14:textId="57A23F6A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>6- 12седмици(1 път</w:t>
            </w:r>
            <w:r w:rsidRPr="002D0216">
              <w:rPr>
                <w:rFonts w:cs="Arial"/>
                <w:lang w:val="en-US"/>
              </w:rPr>
              <w:t xml:space="preserve"> </w:t>
            </w:r>
            <w:r w:rsidRPr="002D0216">
              <w:rPr>
                <w:rFonts w:cs="Arial"/>
              </w:rPr>
              <w:t>дневно)</w:t>
            </w:r>
          </w:p>
        </w:tc>
      </w:tr>
      <w:tr w:rsidR="002D0216" w:rsidRPr="002D0216" w14:paraId="05D88DC0" w14:textId="77777777" w:rsidTr="00F940A8">
        <w:tc>
          <w:tcPr>
            <w:tcW w:w="4675" w:type="dxa"/>
            <w:vAlign w:val="bottom"/>
          </w:tcPr>
          <w:p w14:paraId="0A2CF537" w14:textId="0667AA71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>Онихомикоза по ноктите на ръцете</w:t>
            </w:r>
          </w:p>
        </w:tc>
        <w:tc>
          <w:tcPr>
            <w:tcW w:w="4675" w:type="dxa"/>
            <w:vAlign w:val="bottom"/>
          </w:tcPr>
          <w:p w14:paraId="79C7ECE9" w14:textId="520257DD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 xml:space="preserve">6 седмици (1 път дневно) </w:t>
            </w:r>
          </w:p>
        </w:tc>
      </w:tr>
      <w:tr w:rsidR="002D0216" w:rsidRPr="002D0216" w14:paraId="24223A3E" w14:textId="77777777" w:rsidTr="00F940A8">
        <w:tc>
          <w:tcPr>
            <w:tcW w:w="4675" w:type="dxa"/>
            <w:vAlign w:val="bottom"/>
          </w:tcPr>
          <w:p w14:paraId="15C011EA" w14:textId="3EF19692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>Онихомикоза по ноктите на краката</w:t>
            </w:r>
          </w:p>
        </w:tc>
        <w:tc>
          <w:tcPr>
            <w:tcW w:w="4675" w:type="dxa"/>
            <w:vAlign w:val="bottom"/>
          </w:tcPr>
          <w:p w14:paraId="047C0040" w14:textId="552A3E59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 xml:space="preserve">12 седмици (1 път дневно) </w:t>
            </w:r>
          </w:p>
        </w:tc>
      </w:tr>
      <w:tr w:rsidR="002D0216" w:rsidRPr="002D0216" w14:paraId="4EF314A0" w14:textId="77777777" w:rsidTr="002D0216">
        <w:tc>
          <w:tcPr>
            <w:tcW w:w="4675" w:type="dxa"/>
          </w:tcPr>
          <w:p w14:paraId="50212FB1" w14:textId="711155A9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  <w:lang w:val="en-US"/>
              </w:rPr>
              <w:t xml:space="preserve">Tinea </w:t>
            </w:r>
            <w:proofErr w:type="spellStart"/>
            <w:r w:rsidRPr="002D0216">
              <w:rPr>
                <w:rFonts w:cs="Arial"/>
                <w:lang w:val="en-US"/>
              </w:rPr>
              <w:t>capitis</w:t>
            </w:r>
            <w:proofErr w:type="spellEnd"/>
            <w:r w:rsidRPr="002D0216">
              <w:rPr>
                <w:rFonts w:cs="Arial"/>
                <w:lang w:val="en-US"/>
              </w:rPr>
              <w:t xml:space="preserve"> </w:t>
            </w:r>
            <w:r w:rsidRPr="002D0216">
              <w:rPr>
                <w:rFonts w:cs="Arial"/>
              </w:rPr>
              <w:t>(развива се предимно при деца)</w:t>
            </w:r>
          </w:p>
        </w:tc>
        <w:tc>
          <w:tcPr>
            <w:tcW w:w="4675" w:type="dxa"/>
          </w:tcPr>
          <w:p w14:paraId="242F8AF8" w14:textId="411016B3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>4 седмици (1 път дневно)</w:t>
            </w:r>
          </w:p>
        </w:tc>
      </w:tr>
      <w:tr w:rsidR="002D0216" w:rsidRPr="002D0216" w14:paraId="54B0526E" w14:textId="77777777" w:rsidTr="002D0216">
        <w:tc>
          <w:tcPr>
            <w:tcW w:w="4675" w:type="dxa"/>
          </w:tcPr>
          <w:p w14:paraId="5E6B115E" w14:textId="2143B6DB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  <w:lang w:val="en-US"/>
              </w:rPr>
              <w:t xml:space="preserve">Tinea </w:t>
            </w:r>
            <w:proofErr w:type="spellStart"/>
            <w:r w:rsidRPr="002D0216">
              <w:rPr>
                <w:rFonts w:cs="Arial"/>
                <w:lang w:val="en-US"/>
              </w:rPr>
              <w:t>corporis</w:t>
            </w:r>
            <w:proofErr w:type="spellEnd"/>
            <w:r w:rsidRPr="002D0216">
              <w:rPr>
                <w:rFonts w:cs="Arial"/>
                <w:lang w:val="en-US"/>
              </w:rPr>
              <w:t xml:space="preserve">, </w:t>
            </w:r>
            <w:proofErr w:type="spellStart"/>
            <w:r w:rsidRPr="002D0216">
              <w:rPr>
                <w:rFonts w:cs="Arial"/>
                <w:lang w:val="en-US"/>
              </w:rPr>
              <w:t>cruris</w:t>
            </w:r>
            <w:proofErr w:type="spellEnd"/>
          </w:p>
        </w:tc>
        <w:tc>
          <w:tcPr>
            <w:tcW w:w="4675" w:type="dxa"/>
          </w:tcPr>
          <w:p w14:paraId="4C863BC8" w14:textId="3DCAC3A1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>2-4 седмици (1 път дневно)</w:t>
            </w:r>
          </w:p>
        </w:tc>
      </w:tr>
      <w:tr w:rsidR="002D0216" w:rsidRPr="002D0216" w14:paraId="09D588E9" w14:textId="77777777" w:rsidTr="002D0216">
        <w:tc>
          <w:tcPr>
            <w:tcW w:w="4675" w:type="dxa"/>
          </w:tcPr>
          <w:p w14:paraId="0B571996" w14:textId="26BFC9B0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  <w:lang w:val="en-US"/>
              </w:rPr>
              <w:t xml:space="preserve">Tinea </w:t>
            </w:r>
            <w:proofErr w:type="spellStart"/>
            <w:r w:rsidRPr="002D0216">
              <w:rPr>
                <w:rFonts w:cs="Arial"/>
                <w:lang w:val="en-US"/>
              </w:rPr>
              <w:t>pedis</w:t>
            </w:r>
            <w:proofErr w:type="spellEnd"/>
            <w:r w:rsidRPr="002D0216">
              <w:rPr>
                <w:rFonts w:cs="Arial"/>
                <w:lang w:val="en-US"/>
              </w:rPr>
              <w:t xml:space="preserve"> </w:t>
            </w:r>
            <w:r w:rsidRPr="002D0216">
              <w:rPr>
                <w:rFonts w:cs="Arial"/>
              </w:rPr>
              <w:t>(между пръстите, плантарна/тип „мокасини”)</w:t>
            </w:r>
          </w:p>
        </w:tc>
        <w:tc>
          <w:tcPr>
            <w:tcW w:w="4675" w:type="dxa"/>
          </w:tcPr>
          <w:p w14:paraId="277D37E1" w14:textId="26A92261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>2-6 седмици (1 път дневно)</w:t>
            </w:r>
          </w:p>
        </w:tc>
      </w:tr>
      <w:tr w:rsidR="002D0216" w:rsidRPr="002D0216" w14:paraId="098D408F" w14:textId="77777777" w:rsidTr="002D0216">
        <w:tc>
          <w:tcPr>
            <w:tcW w:w="4675" w:type="dxa"/>
          </w:tcPr>
          <w:p w14:paraId="5FF201C6" w14:textId="4198BAFB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  <w:lang w:val="en-US"/>
              </w:rPr>
              <w:t xml:space="preserve">Candidiasis </w:t>
            </w:r>
            <w:r w:rsidRPr="002D0216">
              <w:rPr>
                <w:rFonts w:cs="Arial"/>
              </w:rPr>
              <w:t>/кожна кандидоза/</w:t>
            </w:r>
          </w:p>
        </w:tc>
        <w:tc>
          <w:tcPr>
            <w:tcW w:w="4675" w:type="dxa"/>
          </w:tcPr>
          <w:p w14:paraId="623AEC6F" w14:textId="1B49FD90" w:rsidR="002D0216" w:rsidRPr="002D0216" w:rsidRDefault="002D0216" w:rsidP="002D0216">
            <w:pPr>
              <w:rPr>
                <w:rFonts w:cs="Arial"/>
              </w:rPr>
            </w:pPr>
            <w:r w:rsidRPr="002D0216">
              <w:rPr>
                <w:rFonts w:cs="Arial"/>
              </w:rPr>
              <w:t>2-4 седмици (1 път дневно)</w:t>
            </w:r>
          </w:p>
        </w:tc>
      </w:tr>
    </w:tbl>
    <w:p w14:paraId="017B4A95" w14:textId="0AF26673" w:rsidR="002D0216" w:rsidRPr="002D0216" w:rsidRDefault="002D0216" w:rsidP="002D0216">
      <w:pPr>
        <w:rPr>
          <w:rFonts w:cs="Arial"/>
        </w:rPr>
      </w:pPr>
    </w:p>
    <w:p w14:paraId="7166CD64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bookmarkStart w:id="2" w:name="bookmark0"/>
      <w:r w:rsidRPr="002D0216">
        <w:rPr>
          <w:rFonts w:eastAsia="Times New Roman" w:cs="Arial"/>
          <w:b/>
          <w:bCs/>
          <w:color w:val="000000"/>
          <w:lang w:eastAsia="bg-BG"/>
        </w:rPr>
        <w:t>Онихомикоза</w:t>
      </w:r>
      <w:bookmarkEnd w:id="2"/>
    </w:p>
    <w:p w14:paraId="0FE26E44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При повечето пациенти терапевтичен успех се постига при продължителност на лечението между 6 и 12 седмици.</w:t>
      </w:r>
    </w:p>
    <w:p w14:paraId="7CACE0C5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Продължителност по-малка от 3 месеца може да се има предвид при пациенти с инфекция, засягаща ноктите на пръстите на ръцете, ноктите на пръстите на краката без нокътя на големия пръст или при по-млади пациенти. При лечението на инфекции на ноктите на краката 3 месеца обикновено са достатъчни, но при малък брой пациенти може да се наложи терапия в продължение на 6 месеца или повече. Лошото прорастване на нокътя през първите седмици на лечението може да покаже кои пациенти имат нужда от по-продължителна терапия. Пълно изчезване на признаците и симптомите на инфекцията може да не настъпи дори няколко седмици след микотичната терапия.</w:t>
      </w:r>
    </w:p>
    <w:p w14:paraId="47BC1C4E" w14:textId="77777777" w:rsidR="002D0216" w:rsidRPr="002D0216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2"/>
    </w:p>
    <w:p w14:paraId="0F37DD01" w14:textId="08BCA2BF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Приложение на Фунгофин при пациенти в напреднала възраст</w:t>
      </w:r>
      <w:bookmarkEnd w:id="3"/>
    </w:p>
    <w:p w14:paraId="6D263784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Няма данни, които да показват, че пациентите в напреднала възраст се нуждаят от различна дозировка или, че при тях се наблюдават нежелани реакции, различни от тези при по-младите пациенти. При тази възрастова група трябва да се има предвид възможността от увреждане на чернодробната или бъбречната функция (вж.точка 4.4).</w:t>
      </w:r>
    </w:p>
    <w:p w14:paraId="4F584785" w14:textId="77777777" w:rsidR="002D0216" w:rsidRPr="002D0216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4"/>
    </w:p>
    <w:p w14:paraId="6E2CC015" w14:textId="04BC8573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Приложение на Фунгофин при пациенти с чернодробно увреждане</w:t>
      </w:r>
      <w:bookmarkEnd w:id="4"/>
    </w:p>
    <w:p w14:paraId="45D1CCA8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Не се препоръчва употребата на Фунгофин таблетки при пациенти с хронично или активно чернодробно заболяване (вж.точка 4.4).</w:t>
      </w:r>
    </w:p>
    <w:p w14:paraId="2C3EEAA5" w14:textId="77777777" w:rsidR="002D0216" w:rsidRPr="002D0216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5" w:name="bookmark6"/>
    </w:p>
    <w:p w14:paraId="1CA51995" w14:textId="439E5565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Приложение на Фунгофин при пациенти с бъбречно увреждане</w:t>
      </w:r>
      <w:bookmarkEnd w:id="5"/>
    </w:p>
    <w:p w14:paraId="04D326B9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Няма достатъчно данни за употребата на Фунгофин таблетки при пациенти с бъбречно увреждане, затова не се препоръчва употребата на този лекарствен продукт при тази група пациенти (вж.точка</w:t>
      </w:r>
      <w:r w:rsidRPr="002D0216">
        <w:rPr>
          <w:rFonts w:eastAsia="Times New Roman" w:cs="Arial"/>
          <w:color w:val="000000"/>
          <w:lang w:val="en-US"/>
        </w:rPr>
        <w:t xml:space="preserve"> </w:t>
      </w:r>
      <w:r w:rsidRPr="002D0216">
        <w:rPr>
          <w:rFonts w:eastAsia="Times New Roman" w:cs="Arial"/>
          <w:color w:val="000000"/>
          <w:lang w:eastAsia="bg-BG"/>
        </w:rPr>
        <w:t>4.4 и 5.2).</w:t>
      </w:r>
    </w:p>
    <w:p w14:paraId="0F3A1E05" w14:textId="77777777" w:rsidR="002D0216" w:rsidRPr="002D0216" w:rsidRDefault="002D0216" w:rsidP="002D021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3814686" w14:textId="76E6CC57" w:rsidR="002D0216" w:rsidRPr="002D0216" w:rsidRDefault="002D0216" w:rsidP="002D0216">
      <w:pPr>
        <w:pStyle w:val="Heading3"/>
        <w:rPr>
          <w:rFonts w:eastAsia="Times New Roman"/>
          <w:u w:val="single"/>
          <w:lang w:eastAsia="bg-BG"/>
        </w:rPr>
      </w:pPr>
      <w:r w:rsidRPr="002D0216">
        <w:rPr>
          <w:rFonts w:eastAsia="Times New Roman"/>
          <w:u w:val="single"/>
          <w:lang w:eastAsia="bg-BG"/>
        </w:rPr>
        <w:t>Начин на приложение</w:t>
      </w:r>
    </w:p>
    <w:p w14:paraId="1050FB9C" w14:textId="017B48D1" w:rsidR="002D0216" w:rsidRPr="002D0216" w:rsidRDefault="002D0216" w:rsidP="002D0216">
      <w:pPr>
        <w:rPr>
          <w:rFonts w:cs="Arial"/>
        </w:rPr>
      </w:pPr>
      <w:r w:rsidRPr="002D0216">
        <w:rPr>
          <w:rFonts w:eastAsia="Times New Roman" w:cs="Arial"/>
          <w:color w:val="000000"/>
          <w:lang w:eastAsia="bg-BG"/>
        </w:rPr>
        <w:t>Фунгофин таблетки се приема перорално с вода. Преоръчително е таблетките да се приемат на гладно или след хранене по едно и също време.</w:t>
      </w:r>
    </w:p>
    <w:p w14:paraId="3BC7136C" w14:textId="77777777" w:rsidR="002D0216" w:rsidRPr="0091385D" w:rsidRDefault="002D0216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030B6A4D" w14:textId="75103D6A" w:rsidR="00EC41ED" w:rsidRPr="002D0216" w:rsidRDefault="002D0216" w:rsidP="0091385D">
      <w:pPr>
        <w:rPr>
          <w:rFonts w:cs="Arial"/>
        </w:rPr>
      </w:pPr>
      <w:r w:rsidRPr="002D0216">
        <w:rPr>
          <w:rFonts w:cs="Arial"/>
        </w:rPr>
        <w:t>Свръхчувствителност към активното вещество - тербинафин или към някое от помощните вещества, изброени в точка 6.1.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214A2166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Чернодробна функция</w:t>
      </w:r>
    </w:p>
    <w:p w14:paraId="0E28BBDE" w14:textId="33F01914" w:rsidR="007A2185" w:rsidRPr="002D0216" w:rsidRDefault="002D0216" w:rsidP="002D0216">
      <w:pPr>
        <w:rPr>
          <w:rFonts w:cs="Arial"/>
        </w:rPr>
      </w:pPr>
      <w:r w:rsidRPr="002D0216">
        <w:rPr>
          <w:rFonts w:eastAsia="Times New Roman" w:cs="Arial"/>
          <w:color w:val="000000"/>
          <w:lang w:eastAsia="bg-BG"/>
        </w:rPr>
        <w:t xml:space="preserve">Фунгофин не се препоръчва при пациенти с хронично или активно чернодробно заболяване. Преди назначаване на Фунгофин е необходимо да се прецени наличието на предхождащо увреждане на черния дроб. Хепатотоксичност може да възникне и при пациенти без предхождащо чернодробно заболяване. Преди лечението с Фунгофин се препоръчва изследване на серумните трансаминази </w:t>
      </w:r>
      <w:r w:rsidRPr="002D0216">
        <w:rPr>
          <w:rFonts w:eastAsia="Times New Roman" w:cs="Arial"/>
          <w:color w:val="000000"/>
          <w:lang w:val="en-US"/>
        </w:rPr>
        <w:t xml:space="preserve">(ALT </w:t>
      </w:r>
      <w:r w:rsidRPr="002D0216">
        <w:rPr>
          <w:rFonts w:eastAsia="Times New Roman" w:cs="Arial"/>
          <w:color w:val="000000"/>
          <w:lang w:eastAsia="bg-BG"/>
        </w:rPr>
        <w:t xml:space="preserve">и </w:t>
      </w:r>
      <w:r w:rsidRPr="002D0216">
        <w:rPr>
          <w:rFonts w:eastAsia="Times New Roman" w:cs="Arial"/>
          <w:color w:val="000000"/>
          <w:lang w:val="en-US"/>
        </w:rPr>
        <w:t xml:space="preserve">AST) </w:t>
      </w:r>
      <w:r w:rsidRPr="002D0216">
        <w:rPr>
          <w:rFonts w:eastAsia="Times New Roman" w:cs="Arial"/>
          <w:color w:val="000000"/>
          <w:lang w:eastAsia="bg-BG"/>
        </w:rPr>
        <w:t>при всички пациенти. Пациентите,</w:t>
      </w:r>
      <w:r w:rsidRPr="002D0216">
        <w:rPr>
          <w:rFonts w:eastAsia="Times New Roman" w:cs="Arial"/>
          <w:color w:val="000000"/>
          <w:lang w:val="en-US"/>
        </w:rPr>
        <w:t xml:space="preserve"> </w:t>
      </w:r>
      <w:r w:rsidRPr="002D0216">
        <w:rPr>
          <w:rFonts w:eastAsia="Times New Roman" w:cs="Arial"/>
          <w:color w:val="000000"/>
          <w:lang w:eastAsia="bg-BG"/>
        </w:rPr>
        <w:t>приемаши  Фунгофин, трябва да бъдат предупредени да информират лекуващия си лекар незабавно за всякакви симптоми на персистиращо гадене, анорексия, лесна умора, повръщане, абдоминални болки в дясното подребрие или жълтеница, потъмняване на урината или светли изпражнения. Пациентите с подобни симптоми трябва да преустановят пероралния прием на тербинафин и  незабавно да се направи оценка на чернодробната им функция.</w:t>
      </w:r>
    </w:p>
    <w:p w14:paraId="0CD6FB32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Редки случаи на чернодробна недостатъчност са наблюдавани при перорална употреба на тербинафинов хидрохлорид за лечение на онихомикоза при пациенти с или без предхождащо чернодробно заболяване. Терапията с Фунгофин трябва да бъде прекратена при поява на биохимични или клинични данни за увреждане на черния дроб.</w:t>
      </w:r>
    </w:p>
    <w:p w14:paraId="31AA0F96" w14:textId="77777777" w:rsidR="002D0216" w:rsidRPr="002D0216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E6F6BF5" w14:textId="2D3A53B5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Бъбречна функция</w:t>
      </w:r>
    </w:p>
    <w:p w14:paraId="038D51BA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 xml:space="preserve">Приложението на Фунгофин при пациенти с бъбречно увреждане (креатининов клирънс &lt;/= 50 </w:t>
      </w:r>
      <w:r w:rsidRPr="002D0216">
        <w:rPr>
          <w:rFonts w:eastAsia="Times New Roman" w:cs="Arial"/>
          <w:color w:val="000000"/>
          <w:lang w:val="en-US"/>
        </w:rPr>
        <w:t xml:space="preserve">ml/min </w:t>
      </w:r>
      <w:r w:rsidRPr="002D0216">
        <w:rPr>
          <w:rFonts w:eastAsia="Times New Roman" w:cs="Arial"/>
          <w:color w:val="000000"/>
          <w:lang w:eastAsia="bg-BG"/>
        </w:rPr>
        <w:t>или серумен креатинин над 300 цшо1/1) не е подробно проучено и поради тази причина не се препоръчва.</w:t>
      </w:r>
    </w:p>
    <w:p w14:paraId="6F707709" w14:textId="77777777" w:rsidR="002D0216" w:rsidRPr="002D0216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F84F721" w14:textId="6424B63F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Хематологнчнн ефекти</w:t>
      </w:r>
    </w:p>
    <w:p w14:paraId="0B098D6D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Контролирани клинични проучвания показват преходно намаление на абсолютния брой на лимфоцитите. Клиничното значение на тези наблюдения не е изяснено. При пациенти с известен или суспектен имунодефицит, които приемат Фунгофин повече от 6 седмици, е необходимо да се проследи пълната кръвна картина.</w:t>
      </w:r>
    </w:p>
    <w:p w14:paraId="76BD049F" w14:textId="0883394F" w:rsidR="002D0216" w:rsidRPr="002D0216" w:rsidRDefault="002D0216" w:rsidP="002D0216">
      <w:pPr>
        <w:rPr>
          <w:rFonts w:cs="Arial"/>
        </w:rPr>
      </w:pPr>
      <w:r w:rsidRPr="002D0216">
        <w:rPr>
          <w:rFonts w:eastAsia="Times New Roman" w:cs="Arial"/>
          <w:color w:val="000000"/>
          <w:lang w:eastAsia="bg-BG"/>
        </w:rPr>
        <w:t xml:space="preserve">Описани са изолирани случаи на тежка неутропения. Тя е претърпяла обратно развитие при спирането на тербинафин, с или без поддържаща терапия. При поява на клинични признаци или симптоми, предполагащи развитие на вторична инфекция, е необходимо да се изследва пълната кръвна картина. Ако броят на неутрофилите е &lt;/= 1000 клетки </w:t>
      </w:r>
      <w:r w:rsidRPr="002D0216">
        <w:rPr>
          <w:rFonts w:eastAsia="Times New Roman" w:cs="Arial"/>
          <w:color w:val="000000"/>
          <w:lang w:val="en-US"/>
        </w:rPr>
        <w:t>/mm</w:t>
      </w:r>
      <w:r w:rsidRPr="002D0216">
        <w:rPr>
          <w:rFonts w:eastAsia="Times New Roman" w:cs="Arial"/>
          <w:color w:val="000000"/>
          <w:vertAlign w:val="superscript"/>
          <w:lang w:val="en-US"/>
        </w:rPr>
        <w:t>2</w:t>
      </w:r>
      <w:r w:rsidRPr="002D0216">
        <w:rPr>
          <w:rFonts w:eastAsia="Times New Roman" w:cs="Arial"/>
          <w:color w:val="000000"/>
          <w:lang w:val="en-US"/>
        </w:rPr>
        <w:t xml:space="preserve">, </w:t>
      </w:r>
      <w:r w:rsidRPr="002D0216">
        <w:rPr>
          <w:rFonts w:eastAsia="Times New Roman" w:cs="Arial"/>
          <w:color w:val="000000"/>
          <w:lang w:eastAsia="bg-BG"/>
        </w:rPr>
        <w:t>приложението на Фунгофин трябва да се преустанови и да се започне поддържаща терапия.</w:t>
      </w:r>
    </w:p>
    <w:p w14:paraId="3026ED27" w14:textId="77777777" w:rsidR="002D0216" w:rsidRPr="0091385D" w:rsidRDefault="002D0216" w:rsidP="0091385D"/>
    <w:p w14:paraId="619DED1E" w14:textId="564F257F" w:rsidR="004F498A" w:rsidRDefault="002C50EE" w:rsidP="004A448E">
      <w:pPr>
        <w:pStyle w:val="Heading2"/>
      </w:pPr>
      <w:r>
        <w:lastRenderedPageBreak/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500A3E73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Ефект на тербинафин върху други лекарствени продукти</w:t>
      </w:r>
    </w:p>
    <w:p w14:paraId="340AA85B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Тербинафин може да повиши ефекта или плазмената концентрация на следните лекарствени продукти:</w:t>
      </w:r>
    </w:p>
    <w:p w14:paraId="17E97816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Кофеин</w:t>
      </w:r>
    </w:p>
    <w:p w14:paraId="72B0B357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Тербинафин намалява клирънса на приложения интравенозно кафеин с 19%.</w:t>
      </w:r>
    </w:p>
    <w:p w14:paraId="1842C878" w14:textId="77777777" w:rsidR="002D0216" w:rsidRPr="002D0216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FDCF827" w14:textId="307F21DC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 xml:space="preserve">Лекарства, метаболизнрани главно чрез </w:t>
      </w:r>
      <w:r w:rsidRPr="002D0216">
        <w:rPr>
          <w:rFonts w:eastAsia="Times New Roman" w:cs="Arial"/>
          <w:b/>
          <w:bCs/>
          <w:color w:val="000000"/>
          <w:lang w:val="en-US"/>
        </w:rPr>
        <w:t>CYP 2D6</w:t>
      </w:r>
    </w:p>
    <w:p w14:paraId="5B28F191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 xml:space="preserve">Резултатите от проучвания </w:t>
      </w:r>
      <w:r w:rsidRPr="002D0216">
        <w:rPr>
          <w:rFonts w:eastAsia="Times New Roman" w:cs="Arial"/>
          <w:i/>
          <w:iCs/>
          <w:color w:val="000000"/>
          <w:lang w:val="en-US"/>
        </w:rPr>
        <w:t>in vitro</w:t>
      </w:r>
      <w:r w:rsidRPr="002D0216">
        <w:rPr>
          <w:rFonts w:eastAsia="Times New Roman" w:cs="Arial"/>
          <w:color w:val="000000"/>
          <w:lang w:val="en-US"/>
        </w:rPr>
        <w:t xml:space="preserve"> </w:t>
      </w:r>
      <w:r w:rsidRPr="002D0216">
        <w:rPr>
          <w:rFonts w:eastAsia="Times New Roman" w:cs="Arial"/>
          <w:color w:val="000000"/>
          <w:lang w:eastAsia="bg-BG"/>
        </w:rPr>
        <w:t xml:space="preserve">и </w:t>
      </w:r>
      <w:r w:rsidRPr="002D0216">
        <w:rPr>
          <w:rFonts w:eastAsia="Times New Roman" w:cs="Arial"/>
          <w:i/>
          <w:iCs/>
          <w:color w:val="000000"/>
          <w:lang w:val="en-US"/>
        </w:rPr>
        <w:t>in vivo</w:t>
      </w:r>
      <w:r w:rsidRPr="002D0216">
        <w:rPr>
          <w:rFonts w:eastAsia="Times New Roman" w:cs="Arial"/>
          <w:color w:val="000000"/>
          <w:lang w:val="en-US"/>
        </w:rPr>
        <w:t xml:space="preserve"> </w:t>
      </w:r>
      <w:r w:rsidRPr="002D0216">
        <w:rPr>
          <w:rFonts w:eastAsia="Times New Roman" w:cs="Arial"/>
          <w:color w:val="000000"/>
          <w:lang w:eastAsia="bg-BG"/>
        </w:rPr>
        <w:t xml:space="preserve">показват, че тербинафин потиска медиирания през </w:t>
      </w:r>
      <w:r w:rsidRPr="002D0216">
        <w:rPr>
          <w:rFonts w:eastAsia="Times New Roman" w:cs="Arial"/>
          <w:color w:val="000000"/>
          <w:lang w:val="en-US"/>
        </w:rPr>
        <w:t xml:space="preserve">CYP 2D6 </w:t>
      </w:r>
      <w:r w:rsidRPr="002D0216">
        <w:rPr>
          <w:rFonts w:eastAsia="Times New Roman" w:cs="Arial"/>
          <w:color w:val="000000"/>
          <w:lang w:eastAsia="bg-BG"/>
        </w:rPr>
        <w:t xml:space="preserve">метаболизъм. Тези резултати имат клинично значение при вещества, които се метаболизират предимно през този ензим, например трициклични антидепресанти (ТА), селективни инхибитори на обратното захващане на серотонина </w:t>
      </w:r>
      <w:r w:rsidRPr="002D0216">
        <w:rPr>
          <w:rFonts w:eastAsia="Times New Roman" w:cs="Arial"/>
          <w:color w:val="000000"/>
          <w:lang w:val="en-US"/>
        </w:rPr>
        <w:t xml:space="preserve">(SSRI), </w:t>
      </w:r>
      <w:r w:rsidRPr="002D0216">
        <w:rPr>
          <w:rFonts w:eastAsia="Times New Roman" w:cs="Arial"/>
          <w:color w:val="000000"/>
          <w:lang w:eastAsia="bg-BG"/>
        </w:rPr>
        <w:t>бета-блокери, антиаритмични инхибитори (вкл. Клас 1А, 1В, 1С) и моноаминооксидазни инхибитори (МАО- В инхибитори) тип В, и ако те имат малък терапевтичен прозорец (вж. точка 4.4).</w:t>
      </w:r>
    </w:p>
    <w:p w14:paraId="18511C2B" w14:textId="77777777" w:rsidR="002D0216" w:rsidRPr="002D0216" w:rsidRDefault="002D0216" w:rsidP="002D021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C83C30" w14:textId="55116B60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Тербинафин понижава клирънса на дезипрамин с 82%.</w:t>
      </w:r>
    </w:p>
    <w:p w14:paraId="2528E5E7" w14:textId="77777777" w:rsidR="002D0216" w:rsidRPr="002D0216" w:rsidRDefault="002D0216" w:rsidP="002D021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8B9E896" w14:textId="7AB24C60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 xml:space="preserve">Проучванията проведени със здрави доброволци, характеризиращи се като бързи метаболизатори на декстрометорфан (антитусивно лекарство и пробен субстрат за </w:t>
      </w:r>
      <w:r w:rsidRPr="002D0216">
        <w:rPr>
          <w:rFonts w:eastAsia="Times New Roman" w:cs="Arial"/>
          <w:color w:val="000000"/>
          <w:lang w:val="en-US"/>
        </w:rPr>
        <w:t xml:space="preserve">CYP 2D6) </w:t>
      </w:r>
      <w:r w:rsidRPr="002D0216">
        <w:rPr>
          <w:rFonts w:eastAsia="Times New Roman" w:cs="Arial"/>
          <w:color w:val="000000"/>
          <w:lang w:eastAsia="bg-BG"/>
        </w:rPr>
        <w:t xml:space="preserve">показват, че тербинафин повишава метаболитното съотношение декстрометорфан/декстрофан в урината средно от 16 до 97 пъти. По този начин, тербинафин може да превърне бързите </w:t>
      </w:r>
      <w:r w:rsidRPr="002D0216">
        <w:rPr>
          <w:rFonts w:eastAsia="Times New Roman" w:cs="Arial"/>
          <w:color w:val="000000"/>
          <w:lang w:val="en-US"/>
        </w:rPr>
        <w:t xml:space="preserve">CYP 2D6 </w:t>
      </w:r>
      <w:r w:rsidRPr="002D0216">
        <w:rPr>
          <w:rFonts w:eastAsia="Times New Roman" w:cs="Arial"/>
          <w:color w:val="000000"/>
          <w:lang w:eastAsia="bg-BG"/>
        </w:rPr>
        <w:t>метаболизатори в бавни метаболизатори.</w:t>
      </w:r>
    </w:p>
    <w:p w14:paraId="3EDA7C2F" w14:textId="77777777" w:rsidR="002D0216" w:rsidRPr="002D0216" w:rsidRDefault="002D0216" w:rsidP="002D021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1C9297" w14:textId="2D089F78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 xml:space="preserve">При проучванията проведени </w:t>
      </w:r>
      <w:r w:rsidRPr="002D0216">
        <w:rPr>
          <w:rFonts w:eastAsia="Times New Roman" w:cs="Arial"/>
          <w:i/>
          <w:iCs/>
          <w:color w:val="000000"/>
          <w:lang w:val="en-US"/>
        </w:rPr>
        <w:t>in vitro</w:t>
      </w:r>
      <w:r w:rsidRPr="002D0216">
        <w:rPr>
          <w:rFonts w:eastAsia="Times New Roman" w:cs="Arial"/>
          <w:color w:val="000000"/>
          <w:lang w:val="en-US"/>
        </w:rPr>
        <w:t xml:space="preserve"> </w:t>
      </w:r>
      <w:r w:rsidRPr="002D0216">
        <w:rPr>
          <w:rFonts w:eastAsia="Times New Roman" w:cs="Arial"/>
          <w:color w:val="000000"/>
          <w:lang w:eastAsia="bg-BG"/>
        </w:rPr>
        <w:t xml:space="preserve">и със здрави доброволци, тербинафин показва пренебрежим потенциал на инхибиране или увеличаване на клирънса на повечето лекарства, които се метаболизират чрез цитохром Р450 изоензимите (напр. терфенадин, триазолам, толбутамид и перорални контрацептиви) с изключение на лекарствата, метаболизнрани чрез </w:t>
      </w:r>
      <w:r w:rsidRPr="002D0216">
        <w:rPr>
          <w:rFonts w:eastAsia="Times New Roman" w:cs="Arial"/>
          <w:color w:val="000000"/>
          <w:lang w:val="en-US"/>
        </w:rPr>
        <w:t>CYP 2D6</w:t>
      </w:r>
      <w:r w:rsidRPr="002D0216">
        <w:rPr>
          <w:rFonts w:eastAsia="Times New Roman" w:cs="Arial"/>
          <w:color w:val="000000"/>
          <w:lang w:eastAsia="bg-BG"/>
        </w:rPr>
        <w:t>.</w:t>
      </w:r>
    </w:p>
    <w:p w14:paraId="16308B5E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 xml:space="preserve">Тербинафин не оказва влияние върху клирънса на антипирин и дигоксин. </w:t>
      </w:r>
    </w:p>
    <w:p w14:paraId="5F5F46D3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ab/>
        <w:t>.</w:t>
      </w:r>
    </w:p>
    <w:p w14:paraId="652CF6E6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Тербинафин не оказва влияние върху клирънса на флуконазол.</w:t>
      </w:r>
    </w:p>
    <w:p w14:paraId="121F3E40" w14:textId="77777777" w:rsidR="002D0216" w:rsidRPr="002D0216" w:rsidRDefault="002D0216" w:rsidP="002D0216">
      <w:pPr>
        <w:rPr>
          <w:rFonts w:eastAsia="Times New Roman" w:cs="Arial"/>
          <w:color w:val="000000"/>
          <w:lang w:eastAsia="bg-BG"/>
        </w:rPr>
      </w:pPr>
    </w:p>
    <w:p w14:paraId="5B2761C5" w14:textId="5EDAFCC0" w:rsidR="0091385D" w:rsidRPr="002D0216" w:rsidRDefault="002D0216" w:rsidP="002D0216">
      <w:pPr>
        <w:rPr>
          <w:rFonts w:cs="Arial"/>
        </w:rPr>
      </w:pPr>
      <w:r w:rsidRPr="002D0216">
        <w:rPr>
          <w:rFonts w:eastAsia="Times New Roman" w:cs="Arial"/>
          <w:color w:val="000000"/>
          <w:lang w:eastAsia="bg-BG"/>
        </w:rPr>
        <w:t>Няма клинично значимо взаимодействие между тербинафин и едновременно приложение с котримоксазол, зидовудин или теофилин.</w:t>
      </w:r>
    </w:p>
    <w:p w14:paraId="26742039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Тербинафин може да понижи ефекта или плазмената концентрация на циклоспорините, като повишава клирънса на циклоспорина с 15%.</w:t>
      </w:r>
    </w:p>
    <w:p w14:paraId="391697C9" w14:textId="77777777" w:rsidR="002D0216" w:rsidRPr="002D0216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004F9AE" w14:textId="24DFCF0B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Ефект на други лекарствени продукти върху тербинафин</w:t>
      </w:r>
    </w:p>
    <w:p w14:paraId="69EB7348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Плазменият клирънс на тербинафин може да се ускори от лекарства, които индуцират метаболизма на Р450 ензима и може да се инхибира от лекарства, които инхибират метаболизма на Р450. Когато се налага едновременно прием на тербинафин и тези лекарства, може да се наложи дозата на Фунгофин да се коригира.</w:t>
      </w:r>
    </w:p>
    <w:p w14:paraId="050DA25F" w14:textId="77777777" w:rsidR="002D0216" w:rsidRPr="002D0216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8B280A7" w14:textId="32C9DC1A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Следните лекарствени продукти може да увеличат ефекта или плазмената концентрация на тербинафин</w:t>
      </w:r>
    </w:p>
    <w:p w14:paraId="42FE44EF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Циметидин понижава клирънса на тербинафин с 33%.</w:t>
      </w:r>
    </w:p>
    <w:p w14:paraId="2FA75C7E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lastRenderedPageBreak/>
        <w:t>Флуконазол повишава С</w:t>
      </w:r>
      <w:r w:rsidRPr="002D0216">
        <w:rPr>
          <w:rFonts w:eastAsia="Times New Roman" w:cs="Arial"/>
          <w:color w:val="000000"/>
          <w:vertAlign w:val="subscript"/>
          <w:lang w:val="en-US"/>
        </w:rPr>
        <w:t>m</w:t>
      </w:r>
      <w:r w:rsidRPr="002D0216">
        <w:rPr>
          <w:rFonts w:eastAsia="Times New Roman" w:cs="Arial"/>
          <w:color w:val="000000"/>
          <w:vertAlign w:val="subscript"/>
          <w:lang w:eastAsia="bg-BG"/>
        </w:rPr>
        <w:t>ах</w:t>
      </w:r>
      <w:r w:rsidRPr="002D0216">
        <w:rPr>
          <w:rFonts w:eastAsia="Times New Roman" w:cs="Arial"/>
          <w:color w:val="000000"/>
          <w:lang w:eastAsia="bg-BG"/>
        </w:rPr>
        <w:t xml:space="preserve"> и </w:t>
      </w:r>
      <w:r w:rsidRPr="002D0216">
        <w:rPr>
          <w:rFonts w:eastAsia="Times New Roman" w:cs="Arial"/>
          <w:color w:val="000000"/>
          <w:lang w:val="en-US"/>
        </w:rPr>
        <w:t xml:space="preserve">AUC </w:t>
      </w:r>
      <w:r w:rsidRPr="002D0216">
        <w:rPr>
          <w:rFonts w:eastAsia="Times New Roman" w:cs="Arial"/>
          <w:color w:val="000000"/>
          <w:lang w:eastAsia="bg-BG"/>
        </w:rPr>
        <w:t xml:space="preserve">на тербинафин съответно с 52% и 69%, поради инхибиране на двата ензима </w:t>
      </w:r>
      <w:r w:rsidRPr="002D0216">
        <w:rPr>
          <w:rFonts w:eastAsia="Times New Roman" w:cs="Arial"/>
          <w:color w:val="000000"/>
          <w:lang w:val="en-US"/>
        </w:rPr>
        <w:t xml:space="preserve">CYP </w:t>
      </w:r>
      <w:r w:rsidRPr="002D0216">
        <w:rPr>
          <w:rFonts w:eastAsia="Times New Roman" w:cs="Arial"/>
          <w:color w:val="000000"/>
          <w:lang w:eastAsia="bg-BG"/>
        </w:rPr>
        <w:t xml:space="preserve">2С9 и </w:t>
      </w:r>
      <w:r w:rsidRPr="002D0216">
        <w:rPr>
          <w:rFonts w:eastAsia="Times New Roman" w:cs="Arial"/>
          <w:color w:val="000000"/>
          <w:lang w:val="en-US"/>
        </w:rPr>
        <w:t xml:space="preserve">CYP </w:t>
      </w:r>
      <w:r w:rsidRPr="002D0216">
        <w:rPr>
          <w:rFonts w:eastAsia="Times New Roman" w:cs="Arial"/>
          <w:color w:val="000000"/>
          <w:lang w:eastAsia="bg-BG"/>
        </w:rPr>
        <w:t xml:space="preserve">ЗА4. Подобно увеличаване на експозицията може да се появи, когато други лекарства, които инхибират </w:t>
      </w:r>
      <w:r w:rsidRPr="002D0216">
        <w:rPr>
          <w:rFonts w:eastAsia="Times New Roman" w:cs="Arial"/>
          <w:color w:val="000000"/>
          <w:lang w:val="en-US"/>
        </w:rPr>
        <w:t xml:space="preserve">CYP </w:t>
      </w:r>
      <w:r w:rsidRPr="002D0216">
        <w:rPr>
          <w:rFonts w:eastAsia="Times New Roman" w:cs="Arial"/>
          <w:color w:val="000000"/>
          <w:lang w:eastAsia="bg-BG"/>
        </w:rPr>
        <w:t xml:space="preserve">2С9 и </w:t>
      </w:r>
      <w:r w:rsidRPr="002D0216">
        <w:rPr>
          <w:rFonts w:eastAsia="Times New Roman" w:cs="Arial"/>
          <w:color w:val="000000"/>
          <w:lang w:val="en-US"/>
        </w:rPr>
        <w:t xml:space="preserve">CYP </w:t>
      </w:r>
      <w:r w:rsidRPr="002D0216">
        <w:rPr>
          <w:rFonts w:eastAsia="Times New Roman" w:cs="Arial"/>
          <w:color w:val="000000"/>
          <w:lang w:eastAsia="bg-BG"/>
        </w:rPr>
        <w:t>ЗА4, като кеноконазол и амиодарон се прилагат едновременно с тербинафин.</w:t>
      </w:r>
    </w:p>
    <w:p w14:paraId="5AC0B533" w14:textId="77777777" w:rsidR="002D0216" w:rsidRPr="002D0216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294152E" w14:textId="771AD094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Следните лекарствени продукти може да понижат ефекта или плазмената концентрация на тербинафин</w:t>
      </w:r>
    </w:p>
    <w:p w14:paraId="4EA24035" w14:textId="45FD6385" w:rsidR="002D0216" w:rsidRPr="002D0216" w:rsidRDefault="002D0216" w:rsidP="002D0216">
      <w:pPr>
        <w:rPr>
          <w:rFonts w:cs="Arial"/>
        </w:rPr>
      </w:pPr>
      <w:r w:rsidRPr="002D0216">
        <w:rPr>
          <w:rFonts w:eastAsia="Times New Roman" w:cs="Arial"/>
          <w:color w:val="000000"/>
          <w:lang w:eastAsia="bg-BG"/>
        </w:rPr>
        <w:t>Рифампицин (индуктор на Р450 ензима) повишава клирънса на тербинафин с 100%.</w:t>
      </w:r>
    </w:p>
    <w:p w14:paraId="4F2220DB" w14:textId="77777777" w:rsidR="002D0216" w:rsidRPr="0091385D" w:rsidRDefault="002D0216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06775CC7" w14:textId="77777777" w:rsidR="002D0216" w:rsidRPr="002D0216" w:rsidRDefault="002D0216" w:rsidP="002D0216">
      <w:pPr>
        <w:pStyle w:val="Heading3"/>
        <w:rPr>
          <w:rFonts w:eastAsia="Times New Roman"/>
          <w:u w:val="single"/>
          <w:lang w:eastAsia="bg-BG"/>
        </w:rPr>
      </w:pPr>
      <w:r w:rsidRPr="002D0216">
        <w:rPr>
          <w:rFonts w:eastAsia="Times New Roman"/>
          <w:u w:val="single"/>
          <w:lang w:eastAsia="bg-BG"/>
        </w:rPr>
        <w:t>Фертилитет</w:t>
      </w:r>
    </w:p>
    <w:p w14:paraId="2C2F02A1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Липсва релевантна информация за влияние върху фертилитета при хора. Проучванията на фертилитета при плъхове не показват неблагоприятни въздействия върху фертилитета или репродуктивната им способност.</w:t>
      </w:r>
    </w:p>
    <w:p w14:paraId="07EEB7CF" w14:textId="77777777" w:rsidR="002D0216" w:rsidRPr="002D0216" w:rsidRDefault="002D0216" w:rsidP="002D021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284A724" w14:textId="6F360F1D" w:rsidR="002D0216" w:rsidRPr="002D0216" w:rsidRDefault="002D0216" w:rsidP="002D0216">
      <w:pPr>
        <w:pStyle w:val="Heading3"/>
        <w:rPr>
          <w:rFonts w:eastAsia="Times New Roman"/>
          <w:u w:val="single"/>
          <w:lang w:eastAsia="bg-BG"/>
        </w:rPr>
      </w:pPr>
      <w:r w:rsidRPr="002D0216">
        <w:rPr>
          <w:rFonts w:eastAsia="Times New Roman"/>
          <w:u w:val="single"/>
          <w:lang w:eastAsia="bg-BG"/>
        </w:rPr>
        <w:t>Бременност</w:t>
      </w:r>
    </w:p>
    <w:p w14:paraId="560CE2F3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Проучванията върху животни за токсичност върху плода и въздействие върху фертилитета не предполагат поява на нежелани реакции. Поради твърде ограничения клиничен опит при бременни, Фунгофин не трябва да се прилага по време на бременност, освен в случаите, когато потенциалните предимства за майката превишават възможните рискове за плода.</w:t>
      </w:r>
    </w:p>
    <w:p w14:paraId="661C8563" w14:textId="77777777" w:rsidR="002D0216" w:rsidRPr="002D0216" w:rsidRDefault="002D0216" w:rsidP="002D021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76B5A12" w14:textId="3C49610A" w:rsidR="002D0216" w:rsidRPr="002D0216" w:rsidRDefault="002D0216" w:rsidP="002D0216">
      <w:pPr>
        <w:pStyle w:val="Heading3"/>
        <w:rPr>
          <w:rFonts w:eastAsia="Times New Roman"/>
          <w:u w:val="single"/>
          <w:lang w:eastAsia="bg-BG"/>
        </w:rPr>
      </w:pPr>
      <w:r w:rsidRPr="002D0216">
        <w:rPr>
          <w:rFonts w:eastAsia="Times New Roman"/>
          <w:u w:val="single"/>
          <w:lang w:eastAsia="bg-BG"/>
        </w:rPr>
        <w:t>Кърмене</w:t>
      </w:r>
    </w:p>
    <w:p w14:paraId="7C6B3D8D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Тербинафин се екскретира в кърмата, затова при кърмещи жени не се препоръчва перорално лечение с Фунгофин.</w:t>
      </w:r>
    </w:p>
    <w:p w14:paraId="13F86BB9" w14:textId="77777777" w:rsidR="002D0216" w:rsidRPr="002D0216" w:rsidRDefault="002D0216" w:rsidP="002D021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9254255" w14:textId="5EAFA922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u w:val="single"/>
          <w:lang w:eastAsia="bg-BG"/>
        </w:rPr>
        <w:t>Жени с детероден потенциал</w:t>
      </w:r>
    </w:p>
    <w:p w14:paraId="102F0D07" w14:textId="656E974F" w:rsidR="007A2185" w:rsidRPr="002D0216" w:rsidRDefault="002D0216" w:rsidP="002D0216">
      <w:pPr>
        <w:rPr>
          <w:rFonts w:cs="Arial"/>
        </w:rPr>
      </w:pPr>
      <w:r w:rsidRPr="002D0216">
        <w:rPr>
          <w:rFonts w:eastAsia="Times New Roman" w:cs="Arial"/>
          <w:color w:val="000000"/>
          <w:lang w:eastAsia="bg-BG"/>
        </w:rPr>
        <w:t>Някои случаи на нередовен менструален цикъл са били докладвани при пациенти, приемащи Фунгофин едновременно с перорални контрацептиви, въпреки че появата на тези нарушения остава сходна със степента на поява при пациентки, приемащи само перорални контрацептиви. Липсват данни за подкрепа на специални препоръки при жени с детероден потенциал.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198137EC" w:rsidR="007A2185" w:rsidRPr="002D0216" w:rsidRDefault="002D0216" w:rsidP="0091385D">
      <w:pPr>
        <w:rPr>
          <w:rFonts w:cs="Arial"/>
        </w:rPr>
      </w:pPr>
      <w:r w:rsidRPr="002D0216">
        <w:rPr>
          <w:rFonts w:cs="Arial"/>
        </w:rPr>
        <w:t>Няма данни за ефектите на Фунгофин върху способността за шофиране и работа с машини. Пациенти, при които се появява замаяност трябва да избягват шофиране и работа с машини.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58CEA119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Обикновено Фунгофин таблетки се понася добре. Нежеланите реакции са леки до умерени и  преходни.</w:t>
      </w:r>
    </w:p>
    <w:p w14:paraId="0A071985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 xml:space="preserve">Нежеланите лекарствени реакции са подредени по честота според следната класификация много чести (≥ 1/10), чести (≥ 1/100 и &lt; 1/10), нечести (≥ 1/1000 и &lt; 1/100), </w:t>
      </w:r>
      <w:r w:rsidRPr="002D0216">
        <w:rPr>
          <w:rFonts w:eastAsia="Times New Roman" w:cs="Arial"/>
          <w:color w:val="000000"/>
          <w:lang w:eastAsia="bg-BG"/>
        </w:rPr>
        <w:lastRenderedPageBreak/>
        <w:t>редки (≥ 1/10000</w:t>
      </w:r>
      <w:r w:rsidRPr="002D0216">
        <w:rPr>
          <w:rFonts w:eastAsia="Times New Roman" w:cs="Arial"/>
          <w:color w:val="000000"/>
          <w:lang w:val="en-US"/>
        </w:rPr>
        <w:t xml:space="preserve"> </w:t>
      </w:r>
      <w:r w:rsidRPr="002D0216">
        <w:rPr>
          <w:rFonts w:eastAsia="Times New Roman" w:cs="Arial"/>
          <w:color w:val="000000"/>
          <w:lang w:eastAsia="bg-BG"/>
        </w:rPr>
        <w:t>и &lt; 1/1000), много редки (&lt; 1/10000), с неизвестна честота (при наличните данни</w:t>
      </w:r>
      <w:r w:rsidRPr="002D0216">
        <w:rPr>
          <w:rFonts w:eastAsia="Times New Roman" w:cs="Arial"/>
          <w:color w:val="000000"/>
          <w:lang w:val="en-US"/>
        </w:rPr>
        <w:t xml:space="preserve"> </w:t>
      </w:r>
      <w:r w:rsidRPr="002D0216">
        <w:rPr>
          <w:rFonts w:eastAsia="Times New Roman" w:cs="Arial"/>
          <w:color w:val="000000"/>
          <w:lang w:eastAsia="bg-BG"/>
        </w:rPr>
        <w:t>не може да се</w:t>
      </w:r>
    </w:p>
    <w:p w14:paraId="3D41DFB8" w14:textId="77777777" w:rsidR="002D0216" w:rsidRPr="002D0216" w:rsidRDefault="002D0216" w:rsidP="002D021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направи оценка). Нежеланите лекарствени реакции от клиничните проучвания или от пост-</w:t>
      </w:r>
      <w:r w:rsidRPr="002D0216">
        <w:rPr>
          <w:rFonts w:ascii="Times New Roman" w:eastAsia="Times New Roman" w:hAnsi="Times New Roman" w:cs="Times New Roman"/>
          <w:color w:val="000000"/>
          <w:lang w:eastAsia="bg-BG"/>
        </w:rPr>
        <w:t xml:space="preserve">маркетинговия период са изброени съгласно </w:t>
      </w:r>
      <w:proofErr w:type="spellStart"/>
      <w:r w:rsidRPr="002D0216">
        <w:rPr>
          <w:rFonts w:ascii="Times New Roman" w:eastAsia="Times New Roman" w:hAnsi="Times New Roman" w:cs="Times New Roman"/>
          <w:color w:val="000000"/>
          <w:lang w:val="en-US"/>
        </w:rPr>
        <w:t>MedDRA</w:t>
      </w:r>
      <w:proofErr w:type="spellEnd"/>
      <w:r w:rsidRPr="002D021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2D0216">
        <w:rPr>
          <w:rFonts w:ascii="Times New Roman" w:eastAsia="Times New Roman" w:hAnsi="Times New Roman" w:cs="Times New Roman"/>
          <w:color w:val="000000"/>
          <w:lang w:eastAsia="bg-BG"/>
        </w:rPr>
        <w:t>класификацията по системно-органни класове.</w:t>
      </w:r>
    </w:p>
    <w:p w14:paraId="68F30A83" w14:textId="77777777" w:rsidR="002D0216" w:rsidRDefault="002D0216" w:rsidP="002D021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14:paraId="23307D79" w14:textId="7616EF9B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Нарушения на кръвта и лимфната система</w:t>
      </w:r>
    </w:p>
    <w:p w14:paraId="164A4674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Нечести: анемия</w:t>
      </w:r>
    </w:p>
    <w:p w14:paraId="3A7D8C29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Много редки: неутропения, агранулоцитоза, тромбоцитопения, панцитопения</w:t>
      </w:r>
    </w:p>
    <w:p w14:paraId="50E4D6F2" w14:textId="77777777" w:rsidR="002D0216" w:rsidRPr="00CC4D3C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D76C753" w14:textId="123686FA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Нарушения на имунната система</w:t>
      </w:r>
    </w:p>
    <w:p w14:paraId="50C9B177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Много редки: анафилактоидни реакции (включително ангиоедем), кожен и системен лупус еритематодес</w:t>
      </w:r>
    </w:p>
    <w:p w14:paraId="3623B07D" w14:textId="77777777" w:rsidR="002D0216" w:rsidRPr="00CC4D3C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4A9F4E0" w14:textId="3FAEF61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Психични нарушения</w:t>
      </w:r>
    </w:p>
    <w:p w14:paraId="67241CA0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Чести: депресия</w:t>
      </w:r>
    </w:p>
    <w:p w14:paraId="6F6B0B80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Нечести: безпокойство</w:t>
      </w:r>
    </w:p>
    <w:p w14:paraId="1866ED6C" w14:textId="77777777" w:rsidR="002D0216" w:rsidRPr="00CC4D3C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8A5247C" w14:textId="16C18062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Нарушения на нервната система</w:t>
      </w:r>
    </w:p>
    <w:p w14:paraId="727593F8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Много чести: главоболие</w:t>
      </w:r>
    </w:p>
    <w:p w14:paraId="23BA72BA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Чести: дисгеузия, включително агеузия, замаяност</w:t>
      </w:r>
    </w:p>
    <w:p w14:paraId="42D0171F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Нечести: парестезия, хипоестезия</w:t>
      </w:r>
    </w:p>
    <w:p w14:paraId="6269FAA5" w14:textId="77777777" w:rsidR="002D0216" w:rsidRPr="00CC4D3C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6" w:name="bookmark8"/>
    </w:p>
    <w:p w14:paraId="4413DA07" w14:textId="0C84EC4D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Нарушения на очите</w:t>
      </w:r>
      <w:bookmarkEnd w:id="6"/>
    </w:p>
    <w:p w14:paraId="48A0093F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Чести: зрително увреждане</w:t>
      </w:r>
    </w:p>
    <w:p w14:paraId="6FFE5EBA" w14:textId="77777777" w:rsidR="002D0216" w:rsidRPr="00CC4D3C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7" w:name="bookmark10"/>
    </w:p>
    <w:p w14:paraId="3E8F9366" w14:textId="48689A90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Нарушения на ухото и лабиринта</w:t>
      </w:r>
      <w:bookmarkEnd w:id="7"/>
    </w:p>
    <w:p w14:paraId="25167DE8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Нечести: шум в ушите</w:t>
      </w:r>
    </w:p>
    <w:p w14:paraId="5886DA11" w14:textId="77777777" w:rsidR="002D0216" w:rsidRPr="00CC4D3C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8" w:name="bookmark12"/>
    </w:p>
    <w:p w14:paraId="6AE8FC8E" w14:textId="4D5BDF00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Стомашно-чревни нарушения</w:t>
      </w:r>
      <w:bookmarkEnd w:id="8"/>
    </w:p>
    <w:p w14:paraId="072DB42C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Много чести: гастро-интестинални симптоми (подуване на стомаха, намален апетит, диспепсия, гадене, лека коремна болка, диария)</w:t>
      </w:r>
    </w:p>
    <w:p w14:paraId="14E91874" w14:textId="77777777" w:rsidR="002D0216" w:rsidRPr="00CC4D3C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9" w:name="bookmark14"/>
    </w:p>
    <w:p w14:paraId="7F65B4B4" w14:textId="6D7AA3C1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Хепато-билиарни нарушения</w:t>
      </w:r>
      <w:bookmarkEnd w:id="9"/>
    </w:p>
    <w:p w14:paraId="7BD24A7C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Редки: чернодробно увреждане, хепатит, жълтеница, холестаза, повишение на чернодробните ензими</w:t>
      </w:r>
    </w:p>
    <w:p w14:paraId="61073B4B" w14:textId="77777777" w:rsidR="002D0216" w:rsidRPr="00CC4D3C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0" w:name="bookmark16"/>
    </w:p>
    <w:p w14:paraId="4D8062DE" w14:textId="3F70AF70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Нарушения на кожата и подкожната тъкан</w:t>
      </w:r>
      <w:bookmarkEnd w:id="10"/>
    </w:p>
    <w:p w14:paraId="515DC72C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Много чести: обрив, уртикария</w:t>
      </w:r>
    </w:p>
    <w:p w14:paraId="15AECBBD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Нечести: реакция на фоточувствителност</w:t>
      </w:r>
    </w:p>
    <w:p w14:paraId="6DCAC296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 xml:space="preserve">Много редки: синдром на </w:t>
      </w:r>
      <w:r w:rsidRPr="002D0216">
        <w:rPr>
          <w:rFonts w:eastAsia="Times New Roman" w:cs="Arial"/>
          <w:color w:val="000000"/>
          <w:lang w:val="en-US"/>
        </w:rPr>
        <w:t xml:space="preserve">Stevens-Johnson, </w:t>
      </w:r>
      <w:r w:rsidRPr="002D0216">
        <w:rPr>
          <w:rFonts w:eastAsia="Times New Roman" w:cs="Arial"/>
          <w:color w:val="000000"/>
          <w:lang w:eastAsia="bg-BG"/>
        </w:rPr>
        <w:t>токсична епидермална некролиза, остра генерализирана екзантемна пустулоза, еритема мултиформе, токсичен кожен обрив, ексфолиативен дерматит, булозен дерматит. Псориазис-подобни пристъпи и изостряне на псориазис</w:t>
      </w:r>
    </w:p>
    <w:p w14:paraId="65E28E0E" w14:textId="77777777" w:rsidR="002D0216" w:rsidRPr="00CC4D3C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1" w:name="bookmark18"/>
    </w:p>
    <w:p w14:paraId="1697E5C9" w14:textId="67814936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Нарушения на мускулно-скелетната система н съединителната тъкан</w:t>
      </w:r>
      <w:bookmarkEnd w:id="11"/>
    </w:p>
    <w:p w14:paraId="5C571C12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Много чести: мускулно-скелетни реакции (артралгия, миалгия)</w:t>
      </w:r>
    </w:p>
    <w:p w14:paraId="1C89A4BB" w14:textId="77777777" w:rsidR="002D0216" w:rsidRPr="00CC4D3C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2" w:name="bookmark20"/>
    </w:p>
    <w:p w14:paraId="14DCC665" w14:textId="59C603B9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Общи нарушения и ефекти на мястото на мястото на приложение</w:t>
      </w:r>
      <w:bookmarkEnd w:id="12"/>
    </w:p>
    <w:p w14:paraId="74B3BAB9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Чести: умора</w:t>
      </w:r>
    </w:p>
    <w:p w14:paraId="2E0F4797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Нечести: треска</w:t>
      </w:r>
    </w:p>
    <w:p w14:paraId="2E38F2C4" w14:textId="77777777" w:rsidR="002D0216" w:rsidRPr="00CC4D3C" w:rsidRDefault="002D0216" w:rsidP="002D021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3" w:name="bookmark22"/>
    </w:p>
    <w:p w14:paraId="1B3A336A" w14:textId="3865A35D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b/>
          <w:bCs/>
          <w:color w:val="000000"/>
          <w:lang w:eastAsia="bg-BG"/>
        </w:rPr>
        <w:t>Изследвания</w:t>
      </w:r>
      <w:bookmarkEnd w:id="13"/>
    </w:p>
    <w:p w14:paraId="22D32EE5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Нечести: намаляване на теглото</w:t>
      </w:r>
    </w:p>
    <w:p w14:paraId="3CE9C5CE" w14:textId="77777777" w:rsidR="002D0216" w:rsidRPr="00CC4D3C" w:rsidRDefault="002D0216" w:rsidP="002D021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BAC250" w14:textId="3F18FE8A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От пост-маркетингови спонтанни доклади и литературни данни са установени</w:t>
      </w:r>
      <w:r w:rsidRPr="002D0216">
        <w:rPr>
          <w:rFonts w:eastAsia="Times New Roman" w:cs="Arial"/>
          <w:color w:val="000000"/>
          <w:lang w:val="en-US"/>
        </w:rPr>
        <w:t xml:space="preserve"> </w:t>
      </w:r>
      <w:r w:rsidRPr="002D0216">
        <w:rPr>
          <w:rFonts w:eastAsia="Times New Roman" w:cs="Arial"/>
          <w:color w:val="000000"/>
          <w:lang w:eastAsia="bg-BG"/>
        </w:rPr>
        <w:t>следните</w:t>
      </w:r>
    </w:p>
    <w:p w14:paraId="09BD369B" w14:textId="77777777" w:rsidR="002D0216" w:rsidRPr="002D0216" w:rsidRDefault="002D0216" w:rsidP="002D0216">
      <w:pPr>
        <w:spacing w:line="240" w:lineRule="auto"/>
        <w:rPr>
          <w:rFonts w:eastAsia="Times New Roman" w:cs="Arial"/>
          <w:lang w:eastAsia="bg-BG"/>
        </w:rPr>
      </w:pPr>
      <w:r w:rsidRPr="002D0216">
        <w:rPr>
          <w:rFonts w:eastAsia="Times New Roman" w:cs="Arial"/>
          <w:color w:val="000000"/>
          <w:lang w:eastAsia="bg-BG"/>
        </w:rPr>
        <w:t>нежелани лекарствени реакции.</w:t>
      </w:r>
    </w:p>
    <w:p w14:paraId="5C44044B" w14:textId="77777777" w:rsidR="002D0216" w:rsidRPr="00CC4D3C" w:rsidRDefault="002D0216" w:rsidP="002D0216">
      <w:pPr>
        <w:rPr>
          <w:rFonts w:eastAsia="Times New Roman" w:cs="Arial"/>
          <w:b/>
          <w:bCs/>
          <w:color w:val="000000"/>
          <w:lang w:eastAsia="bg-BG"/>
        </w:rPr>
      </w:pPr>
    </w:p>
    <w:p w14:paraId="0254AACC" w14:textId="6F564939" w:rsidR="007A2185" w:rsidRPr="00CC4D3C" w:rsidRDefault="002D0216" w:rsidP="002D0216">
      <w:pPr>
        <w:rPr>
          <w:rFonts w:cs="Arial"/>
          <w:lang w:val="en-US"/>
        </w:rPr>
      </w:pPr>
      <w:r w:rsidRPr="00CC4D3C">
        <w:rPr>
          <w:rFonts w:eastAsia="Times New Roman" w:cs="Arial"/>
          <w:b/>
          <w:bCs/>
          <w:color w:val="000000"/>
          <w:lang w:eastAsia="bg-BG"/>
        </w:rPr>
        <w:t xml:space="preserve">Нарушения на имунната система: </w:t>
      </w:r>
      <w:r w:rsidRPr="00CC4D3C">
        <w:rPr>
          <w:rFonts w:eastAsia="Times New Roman" w:cs="Arial"/>
          <w:color w:val="000000"/>
          <w:lang w:eastAsia="bg-BG"/>
        </w:rPr>
        <w:t>анафилактични реакции, реакция наподобяващи серумна болест</w:t>
      </w:r>
    </w:p>
    <w:p w14:paraId="443BC107" w14:textId="2CFC0E65" w:rsidR="005B0F27" w:rsidRPr="00CC4D3C" w:rsidRDefault="005B0F27" w:rsidP="0091385D">
      <w:pPr>
        <w:rPr>
          <w:rFonts w:cs="Arial"/>
        </w:rPr>
      </w:pPr>
    </w:p>
    <w:p w14:paraId="5A6123AF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b/>
          <w:bCs/>
          <w:color w:val="000000"/>
          <w:lang w:eastAsia="bg-BG"/>
        </w:rPr>
        <w:t xml:space="preserve">Нарушения на нервната система: </w:t>
      </w:r>
      <w:r w:rsidRPr="00CC4D3C">
        <w:rPr>
          <w:rFonts w:eastAsia="Times New Roman" w:cs="Arial"/>
          <w:color w:val="000000"/>
          <w:lang w:eastAsia="bg-BG"/>
        </w:rPr>
        <w:t>загуба на обонянието, включваща постоянна анозмия, хипозмия</w:t>
      </w:r>
    </w:p>
    <w:p w14:paraId="5BA2C4DE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b/>
          <w:bCs/>
          <w:color w:val="000000"/>
          <w:lang w:eastAsia="bg-BG"/>
        </w:rPr>
        <w:t xml:space="preserve">Нарушения на очите: </w:t>
      </w:r>
      <w:r w:rsidRPr="00CC4D3C">
        <w:rPr>
          <w:rFonts w:eastAsia="Times New Roman" w:cs="Arial"/>
          <w:color w:val="000000"/>
          <w:lang w:eastAsia="bg-BG"/>
        </w:rPr>
        <w:t>замъглено зрение, намалена зрителна острота</w:t>
      </w:r>
    </w:p>
    <w:p w14:paraId="0E675FC1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b/>
          <w:bCs/>
          <w:color w:val="000000"/>
          <w:lang w:eastAsia="bg-BG"/>
        </w:rPr>
        <w:t xml:space="preserve">Нарушения на ухото и лабиринта: </w:t>
      </w:r>
      <w:r w:rsidRPr="00CC4D3C">
        <w:rPr>
          <w:rFonts w:eastAsia="Times New Roman" w:cs="Arial"/>
          <w:color w:val="000000"/>
          <w:lang w:eastAsia="bg-BG"/>
        </w:rPr>
        <w:t>хипоакузис, намален слух</w:t>
      </w:r>
    </w:p>
    <w:p w14:paraId="2ED12031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b/>
          <w:bCs/>
          <w:color w:val="000000"/>
          <w:lang w:eastAsia="bg-BG"/>
        </w:rPr>
        <w:t xml:space="preserve">Съдови нарушения: </w:t>
      </w:r>
      <w:r w:rsidRPr="00CC4D3C">
        <w:rPr>
          <w:rFonts w:eastAsia="Times New Roman" w:cs="Arial"/>
          <w:color w:val="000000"/>
          <w:lang w:eastAsia="bg-BG"/>
        </w:rPr>
        <w:t>васкулит</w:t>
      </w:r>
    </w:p>
    <w:p w14:paraId="27CCD0AB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b/>
          <w:bCs/>
          <w:color w:val="000000"/>
          <w:lang w:eastAsia="bg-BG"/>
        </w:rPr>
        <w:t xml:space="preserve">Стомашно-чревни нарушения: </w:t>
      </w:r>
      <w:r w:rsidRPr="00CC4D3C">
        <w:rPr>
          <w:rFonts w:eastAsia="Times New Roman" w:cs="Arial"/>
          <w:color w:val="000000"/>
          <w:lang w:eastAsia="bg-BG"/>
        </w:rPr>
        <w:t>панкреатит</w:t>
      </w:r>
    </w:p>
    <w:p w14:paraId="776DF3EE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b/>
          <w:bCs/>
          <w:color w:val="000000"/>
          <w:lang w:eastAsia="bg-BG"/>
        </w:rPr>
        <w:t xml:space="preserve">Нарушения на кожата и подкожната тъкан: </w:t>
      </w:r>
      <w:r w:rsidRPr="00CC4D3C">
        <w:rPr>
          <w:rFonts w:eastAsia="Times New Roman" w:cs="Arial"/>
          <w:color w:val="000000"/>
          <w:lang w:eastAsia="bg-BG"/>
        </w:rPr>
        <w:t>лекарствен обрив с еозинофилия и системни симптоми</w:t>
      </w:r>
    </w:p>
    <w:p w14:paraId="5033DA0F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b/>
          <w:bCs/>
          <w:color w:val="000000"/>
          <w:lang w:eastAsia="bg-BG"/>
        </w:rPr>
        <w:t xml:space="preserve">Общи нарушения и ефекти на мястото на мястото на приложение: </w:t>
      </w:r>
      <w:r w:rsidRPr="00CC4D3C">
        <w:rPr>
          <w:rFonts w:eastAsia="Times New Roman" w:cs="Arial"/>
          <w:color w:val="000000"/>
          <w:lang w:eastAsia="bg-BG"/>
        </w:rPr>
        <w:t xml:space="preserve">грипоподобни симптоми </w:t>
      </w:r>
      <w:r w:rsidRPr="00CC4D3C">
        <w:rPr>
          <w:rFonts w:eastAsia="Times New Roman" w:cs="Arial"/>
          <w:b/>
          <w:bCs/>
          <w:color w:val="000000"/>
          <w:lang w:eastAsia="bg-BG"/>
        </w:rPr>
        <w:t xml:space="preserve">Изследвания: </w:t>
      </w:r>
      <w:r w:rsidRPr="00CC4D3C">
        <w:rPr>
          <w:rFonts w:eastAsia="Times New Roman" w:cs="Arial"/>
          <w:color w:val="000000"/>
          <w:lang w:eastAsia="bg-BG"/>
        </w:rPr>
        <w:t>повишени нива на креатинфосфокиназата в кръвта</w:t>
      </w:r>
    </w:p>
    <w:p w14:paraId="6334F3D5" w14:textId="77777777" w:rsidR="00CC4D3C" w:rsidRPr="00CC4D3C" w:rsidRDefault="00CC4D3C" w:rsidP="00CC4D3C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7041612A" w14:textId="35BE5E50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b/>
          <w:bCs/>
          <w:color w:val="000000"/>
          <w:u w:val="single"/>
          <w:lang w:eastAsia="bg-BG"/>
        </w:rPr>
        <w:t>Съобщаване на нодознрани нежелани реакции</w:t>
      </w:r>
    </w:p>
    <w:p w14:paraId="173981CB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реакция. Нежеланите реакции може да бъдат съобщени директно на Изпълнителна агенция по лекарствата (ИАЛ):</w:t>
      </w:r>
    </w:p>
    <w:p w14:paraId="6D369C79" w14:textId="77777777" w:rsidR="00CC4D3C" w:rsidRPr="00CC4D3C" w:rsidRDefault="00CC4D3C" w:rsidP="00CC4D3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351434" w14:textId="017B2B3E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БЪЛГАРИЯ, София 1303, ул. Дамян Груев 8</w:t>
      </w:r>
    </w:p>
    <w:p w14:paraId="5354BEFE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Тел. +359 2 8903555</w:t>
      </w:r>
    </w:p>
    <w:p w14:paraId="753007A3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 xml:space="preserve">ел. поща: </w:t>
      </w:r>
      <w:hyperlink r:id="rId5" w:history="1">
        <w:r w:rsidRPr="00CC4D3C">
          <w:rPr>
            <w:rFonts w:eastAsia="Times New Roman" w:cs="Arial"/>
            <w:color w:val="000000"/>
            <w:u w:val="single"/>
            <w:lang w:val="en-US"/>
          </w:rPr>
          <w:t>bda@bda.bg</w:t>
        </w:r>
      </w:hyperlink>
    </w:p>
    <w:p w14:paraId="5CC106C4" w14:textId="4EA1F199" w:rsidR="00CC4D3C" w:rsidRPr="00CC4D3C" w:rsidRDefault="00CC4D3C" w:rsidP="00CC4D3C">
      <w:pPr>
        <w:rPr>
          <w:rFonts w:cs="Arial"/>
        </w:rPr>
      </w:pPr>
      <w:r w:rsidRPr="00CC4D3C">
        <w:rPr>
          <w:rFonts w:eastAsia="Times New Roman" w:cs="Arial"/>
          <w:color w:val="000000"/>
          <w:lang w:eastAsia="bg-BG"/>
        </w:rPr>
        <w:t xml:space="preserve">уебсайт: </w:t>
      </w:r>
      <w:hyperlink r:id="rId6" w:history="1">
        <w:r w:rsidRPr="00CC4D3C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0E6390D3" w14:textId="77777777" w:rsidR="00CC4D3C" w:rsidRPr="0091385D" w:rsidRDefault="00CC4D3C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5E0CB403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 xml:space="preserve">Наблюдавани са няколко случая на предозиране (до 5 </w:t>
      </w:r>
      <w:r w:rsidRPr="00CC4D3C">
        <w:rPr>
          <w:rFonts w:eastAsia="Times New Roman" w:cs="Arial"/>
          <w:color w:val="000000"/>
          <w:lang w:val="en-US"/>
        </w:rPr>
        <w:t xml:space="preserve">g), </w:t>
      </w:r>
      <w:r w:rsidRPr="00CC4D3C">
        <w:rPr>
          <w:rFonts w:eastAsia="Times New Roman" w:cs="Arial"/>
          <w:color w:val="000000"/>
          <w:lang w:eastAsia="bg-BG"/>
        </w:rPr>
        <w:t>при които са настъпили главоболие, повръщане, епигастрална болка и световъртеж.</w:t>
      </w:r>
    </w:p>
    <w:p w14:paraId="211DA6BF" w14:textId="77777777" w:rsidR="00CC4D3C" w:rsidRPr="00CC4D3C" w:rsidRDefault="00CC4D3C" w:rsidP="00CC4D3C">
      <w:pPr>
        <w:rPr>
          <w:rFonts w:eastAsia="Times New Roman" w:cs="Arial"/>
          <w:color w:val="000000"/>
          <w:lang w:eastAsia="bg-BG"/>
        </w:rPr>
      </w:pPr>
    </w:p>
    <w:p w14:paraId="6A43B8F3" w14:textId="6DE263DA" w:rsidR="007A2185" w:rsidRPr="00CC4D3C" w:rsidRDefault="00CC4D3C" w:rsidP="00CC4D3C">
      <w:pPr>
        <w:rPr>
          <w:rFonts w:cs="Arial"/>
        </w:rPr>
      </w:pPr>
      <w:r w:rsidRPr="00CC4D3C">
        <w:rPr>
          <w:rFonts w:eastAsia="Times New Roman" w:cs="Arial"/>
          <w:color w:val="000000"/>
          <w:lang w:eastAsia="bg-BG"/>
        </w:rPr>
        <w:t>Препоръчителното лечение при предозиране се състои в елиминиране на лекарствения продукт, първоначално чрез прием на активен въглен и при необходимост - симптоматично поддържащо лечение.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094E090F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Фармакотерапевтична група: Перорални противогъбични средства.</w:t>
      </w:r>
    </w:p>
    <w:p w14:paraId="11BE280B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lastRenderedPageBreak/>
        <w:t xml:space="preserve">АТС код: </w:t>
      </w:r>
      <w:r w:rsidRPr="00CC4D3C">
        <w:rPr>
          <w:rFonts w:eastAsia="Times New Roman" w:cs="Arial"/>
          <w:color w:val="000000"/>
          <w:lang w:val="en-US"/>
        </w:rPr>
        <w:t>D01BA02</w:t>
      </w:r>
    </w:p>
    <w:p w14:paraId="5BF07CBD" w14:textId="77777777" w:rsidR="00CC4D3C" w:rsidRPr="00CC4D3C" w:rsidRDefault="00CC4D3C" w:rsidP="00CC4D3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567A220" w14:textId="77777777" w:rsidR="00CC4D3C" w:rsidRPr="00CC4D3C" w:rsidRDefault="00CC4D3C" w:rsidP="00CC4D3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Механизъм на действие</w:t>
      </w:r>
    </w:p>
    <w:p w14:paraId="0D529B57" w14:textId="4E2C28C2" w:rsidR="00CC4D3C" w:rsidRPr="00CC4D3C" w:rsidRDefault="00CC4D3C" w:rsidP="00CC4D3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Тербинафин е алиламин с широк противогъбичен спектър на действие срещу гъбични патогени по кожата, окосмената част на главата и никтите, включително дерматоф</w:t>
      </w:r>
      <w:r>
        <w:rPr>
          <w:rFonts w:eastAsia="Times New Roman" w:cs="Arial"/>
          <w:color w:val="000000"/>
          <w:lang w:eastAsia="bg-BG"/>
        </w:rPr>
        <w:t>ити от рода Trichophyton (напр.</w:t>
      </w:r>
      <w:r>
        <w:rPr>
          <w:rFonts w:eastAsia="Times New Roman" w:cs="Arial"/>
          <w:color w:val="000000"/>
          <w:lang w:val="en-US" w:eastAsia="bg-BG"/>
        </w:rPr>
        <w:t xml:space="preserve"> T</w:t>
      </w:r>
      <w:r w:rsidRPr="00CC4D3C">
        <w:rPr>
          <w:rFonts w:eastAsia="Times New Roman" w:cs="Arial"/>
          <w:color w:val="000000"/>
          <w:lang w:eastAsia="bg-BG"/>
        </w:rPr>
        <w:t xml:space="preserve">. rubrum, </w:t>
      </w:r>
      <w:r w:rsidRPr="00CC4D3C">
        <w:rPr>
          <w:rFonts w:eastAsia="Times New Roman" w:cs="Arial"/>
          <w:i/>
          <w:color w:val="000000"/>
          <w:lang w:eastAsia="bg-BG"/>
        </w:rPr>
        <w:t>T.mentagrophytes, Т verrcosum, Т. tonsurans, Т. Violaceum</w:t>
      </w:r>
      <w:r w:rsidRPr="00CC4D3C">
        <w:rPr>
          <w:rFonts w:eastAsia="Times New Roman" w:cs="Arial"/>
          <w:color w:val="000000"/>
          <w:lang w:eastAsia="bg-BG"/>
        </w:rPr>
        <w:t xml:space="preserve">), </w:t>
      </w:r>
      <w:r w:rsidRPr="00CC4D3C">
        <w:rPr>
          <w:rFonts w:eastAsia="Times New Roman" w:cs="Arial"/>
          <w:i/>
          <w:color w:val="000000"/>
          <w:lang w:eastAsia="bg-BG"/>
        </w:rPr>
        <w:t>Microsporum</w:t>
      </w:r>
      <w:r w:rsidRPr="00CC4D3C">
        <w:rPr>
          <w:rFonts w:eastAsia="Times New Roman" w:cs="Arial"/>
          <w:color w:val="000000"/>
          <w:lang w:eastAsia="bg-BG"/>
        </w:rPr>
        <w:t xml:space="preserve"> (напр. </w:t>
      </w:r>
      <w:r w:rsidRPr="00CC4D3C">
        <w:rPr>
          <w:rFonts w:eastAsia="Times New Roman" w:cs="Arial"/>
          <w:i/>
          <w:color w:val="000000"/>
          <w:lang w:eastAsia="bg-BG"/>
        </w:rPr>
        <w:t>М. canis), Epidermophyton floccosum</w:t>
      </w:r>
      <w:r w:rsidRPr="00CC4D3C">
        <w:rPr>
          <w:rFonts w:eastAsia="Times New Roman" w:cs="Arial"/>
          <w:color w:val="000000"/>
          <w:lang w:eastAsia="bg-BG"/>
        </w:rPr>
        <w:t xml:space="preserve"> и дрожди от рода </w:t>
      </w:r>
      <w:r w:rsidRPr="00CC4D3C">
        <w:rPr>
          <w:rFonts w:eastAsia="Times New Roman" w:cs="Arial"/>
          <w:i/>
          <w:color w:val="000000"/>
          <w:lang w:eastAsia="bg-BG"/>
        </w:rPr>
        <w:t>Candida</w:t>
      </w:r>
      <w:r w:rsidRPr="00CC4D3C">
        <w:rPr>
          <w:rFonts w:eastAsia="Times New Roman" w:cs="Arial"/>
          <w:color w:val="000000"/>
          <w:lang w:eastAsia="bg-BG"/>
        </w:rPr>
        <w:t xml:space="preserve"> (напр. </w:t>
      </w:r>
      <w:r w:rsidRPr="00CC4D3C">
        <w:rPr>
          <w:rFonts w:eastAsia="Times New Roman" w:cs="Arial"/>
          <w:i/>
          <w:color w:val="000000"/>
          <w:lang w:eastAsia="bg-BG"/>
        </w:rPr>
        <w:t>С. albicans</w:t>
      </w:r>
      <w:r w:rsidRPr="00CC4D3C">
        <w:rPr>
          <w:rFonts w:eastAsia="Times New Roman" w:cs="Arial"/>
          <w:color w:val="000000"/>
          <w:lang w:eastAsia="bg-BG"/>
        </w:rPr>
        <w:t xml:space="preserve">) и </w:t>
      </w:r>
      <w:r w:rsidRPr="00CC4D3C">
        <w:rPr>
          <w:rFonts w:eastAsia="Times New Roman" w:cs="Arial"/>
          <w:i/>
          <w:color w:val="000000"/>
          <w:lang w:eastAsia="bg-BG"/>
        </w:rPr>
        <w:t>Pityrosporum</w:t>
      </w:r>
      <w:r w:rsidRPr="00CC4D3C">
        <w:rPr>
          <w:rFonts w:eastAsia="Times New Roman" w:cs="Arial"/>
          <w:color w:val="000000"/>
          <w:lang w:eastAsia="bg-BG"/>
        </w:rPr>
        <w:t>.. В ниски концентрации тербинафин има фунгициден ефект срещу дерматофити, плесени и някои диморфни гъби. Действието му спрямо дрождите е фунгицидно или фунгистатично в зависимост от вида им.</w:t>
      </w:r>
    </w:p>
    <w:p w14:paraId="26775AC2" w14:textId="77777777" w:rsidR="00CC4D3C" w:rsidRPr="00CC4D3C" w:rsidRDefault="00CC4D3C" w:rsidP="00CC4D3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BA103E" w14:textId="4451B326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Тербинафин специфично повлиява ранната фаза на биосинтезата на стероли при гъбичките. Това води до дефицит на ергостерол и до интрацелуларно натрупване на сквален, в резултат на което гъбичката клетка умира. Тербинафин действа чрез инхибиране на сквален епоксидазата в клетъчната мембрана на гъбичките. Ензимът сквален-епоксидаза не спада към групата на цитохром Р-450, тербинафин не инхибира никой елемент на тази ензимна система.</w:t>
      </w:r>
    </w:p>
    <w:p w14:paraId="71C8EDA4" w14:textId="77777777" w:rsidR="00CC4D3C" w:rsidRPr="00CC4D3C" w:rsidRDefault="00CC4D3C" w:rsidP="00CC4D3C">
      <w:pPr>
        <w:rPr>
          <w:rFonts w:eastAsia="Times New Roman" w:cs="Arial"/>
          <w:color w:val="000000"/>
          <w:lang w:eastAsia="bg-BG"/>
        </w:rPr>
      </w:pPr>
    </w:p>
    <w:p w14:paraId="038F692B" w14:textId="36EE5F40" w:rsidR="007A2185" w:rsidRPr="00CC4D3C" w:rsidRDefault="00CC4D3C" w:rsidP="00CC4D3C">
      <w:pPr>
        <w:rPr>
          <w:rFonts w:cs="Arial"/>
        </w:rPr>
      </w:pPr>
      <w:r w:rsidRPr="00CC4D3C">
        <w:rPr>
          <w:rFonts w:eastAsia="Times New Roman" w:cs="Arial"/>
          <w:color w:val="000000"/>
          <w:lang w:eastAsia="bg-BG"/>
        </w:rPr>
        <w:t>При перорално приложение лекарството се концентрира в кожата, в косата и ноктите в нива, осигуряващи фунгицидната му активност.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6435BDFD" w14:textId="77777777" w:rsidR="00CC4D3C" w:rsidRPr="00CC4D3C" w:rsidRDefault="00CC4D3C" w:rsidP="00CC4D3C">
      <w:pPr>
        <w:pStyle w:val="Heading3"/>
        <w:rPr>
          <w:rFonts w:eastAsia="Times New Roman"/>
          <w:u w:val="single"/>
          <w:lang w:eastAsia="bg-BG"/>
        </w:rPr>
      </w:pPr>
      <w:r w:rsidRPr="00CC4D3C">
        <w:rPr>
          <w:rFonts w:eastAsia="Times New Roman"/>
          <w:u w:val="single"/>
          <w:lang w:eastAsia="bg-BG"/>
        </w:rPr>
        <w:t>Абсорбция</w:t>
      </w:r>
    </w:p>
    <w:p w14:paraId="7CC66E9E" w14:textId="77777777" w:rsidR="00CC4D3C" w:rsidRPr="00CC4D3C" w:rsidRDefault="00CC4D3C" w:rsidP="00CC4D3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 xml:space="preserve">След перорално приложение тербинафин се абсорбира добре (&gt;70%) и бионаличността на тербинафин от Фунгофин таблетки, като резултат от </w:t>
      </w:r>
      <w:r w:rsidRPr="00CC4D3C">
        <w:rPr>
          <w:rFonts w:eastAsia="Times New Roman" w:cs="Arial"/>
          <w:color w:val="000000"/>
          <w:lang w:val="en-US"/>
        </w:rPr>
        <w:t xml:space="preserve">first-pass </w:t>
      </w:r>
      <w:r w:rsidRPr="00CC4D3C">
        <w:rPr>
          <w:rFonts w:eastAsia="Times New Roman" w:cs="Arial"/>
          <w:color w:val="000000"/>
          <w:lang w:eastAsia="bg-BG"/>
        </w:rPr>
        <w:t>метаболизма е приблизително 50%. Пикова плазмена концентрация от 1,3 μ</w:t>
      </w:r>
      <w:r w:rsidRPr="00CC4D3C">
        <w:rPr>
          <w:rFonts w:eastAsia="Times New Roman" w:cs="Arial"/>
          <w:color w:val="000000"/>
          <w:lang w:val="en-US"/>
        </w:rPr>
        <w:t xml:space="preserve">g/ml </w:t>
      </w:r>
      <w:r w:rsidRPr="00CC4D3C">
        <w:rPr>
          <w:rFonts w:eastAsia="Times New Roman" w:cs="Arial"/>
          <w:color w:val="000000"/>
          <w:lang w:eastAsia="bg-BG"/>
        </w:rPr>
        <w:t xml:space="preserve">се постига в рамките на 1,5 часа след единична перорална доза от 250 </w:t>
      </w:r>
      <w:r w:rsidRPr="00CC4D3C">
        <w:rPr>
          <w:rFonts w:eastAsia="Times New Roman" w:cs="Arial"/>
          <w:color w:val="000000"/>
          <w:lang w:val="en-US"/>
        </w:rPr>
        <w:t xml:space="preserve">mg. </w:t>
      </w:r>
      <w:r w:rsidRPr="00CC4D3C">
        <w:rPr>
          <w:rFonts w:eastAsia="Times New Roman" w:cs="Arial"/>
          <w:color w:val="000000"/>
          <w:lang w:eastAsia="bg-BG"/>
        </w:rPr>
        <w:t xml:space="preserve">Бионаличността на тербинафин се повлиява умерено от приема на храна (увеличаване на </w:t>
      </w:r>
      <w:r w:rsidRPr="00CC4D3C">
        <w:rPr>
          <w:rFonts w:eastAsia="Times New Roman" w:cs="Arial"/>
          <w:color w:val="000000"/>
          <w:lang w:val="en-US"/>
        </w:rPr>
        <w:t xml:space="preserve">AUC </w:t>
      </w:r>
      <w:r w:rsidRPr="00CC4D3C">
        <w:rPr>
          <w:rFonts w:eastAsia="Times New Roman" w:cs="Arial"/>
          <w:color w:val="000000"/>
          <w:lang w:eastAsia="bg-BG"/>
        </w:rPr>
        <w:t xml:space="preserve">по-малко от 20%), но това не налага адаптиране на дозата. В стабилно състояние (70% бионаличност се постига за приблизително 28 дни), в сравнение с приложението на единична доза, пиковата концентрация на тербинафин е с 25% по-висока и плазмената </w:t>
      </w:r>
      <w:r w:rsidRPr="00CC4D3C">
        <w:rPr>
          <w:rFonts w:eastAsia="Times New Roman" w:cs="Arial"/>
          <w:color w:val="000000"/>
          <w:lang w:val="en-US"/>
        </w:rPr>
        <w:t xml:space="preserve">AUC </w:t>
      </w:r>
      <w:r w:rsidRPr="00CC4D3C">
        <w:rPr>
          <w:rFonts w:eastAsia="Times New Roman" w:cs="Arial"/>
          <w:color w:val="000000"/>
          <w:lang w:eastAsia="bg-BG"/>
        </w:rPr>
        <w:t xml:space="preserve">се увеличава с фактор 2.3. От повишаването на </w:t>
      </w:r>
      <w:r w:rsidRPr="00CC4D3C">
        <w:rPr>
          <w:rFonts w:eastAsia="Times New Roman" w:cs="Arial"/>
          <w:color w:val="000000"/>
          <w:lang w:val="en-US"/>
        </w:rPr>
        <w:t xml:space="preserve">AUC </w:t>
      </w:r>
      <w:r w:rsidRPr="00CC4D3C">
        <w:rPr>
          <w:rFonts w:eastAsia="Times New Roman" w:cs="Arial"/>
          <w:color w:val="000000"/>
          <w:lang w:eastAsia="bg-BG"/>
        </w:rPr>
        <w:t>може да се изчисли ефективен полуживот от около 30 часа.</w:t>
      </w:r>
    </w:p>
    <w:p w14:paraId="638EB030" w14:textId="77777777" w:rsidR="00CC4D3C" w:rsidRPr="00CC4D3C" w:rsidRDefault="00CC4D3C" w:rsidP="00CC4D3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Продължителното вземане на кръвни проби след многократно приложена доза, показва трифазно елиминиране с терминален полуживот от приблизително 16,5 дни.</w:t>
      </w:r>
    </w:p>
    <w:p w14:paraId="4F87B6E7" w14:textId="77777777" w:rsidR="00CC4D3C" w:rsidRDefault="00CC4D3C" w:rsidP="00CC4D3C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740A06F6" w14:textId="43F2AA9A" w:rsidR="00CC4D3C" w:rsidRPr="00CC4D3C" w:rsidRDefault="00CC4D3C" w:rsidP="00CC4D3C">
      <w:pPr>
        <w:pStyle w:val="Heading3"/>
        <w:rPr>
          <w:rFonts w:eastAsia="Times New Roman"/>
          <w:u w:val="single"/>
          <w:lang w:eastAsia="bg-BG"/>
        </w:rPr>
      </w:pPr>
      <w:r w:rsidRPr="00CC4D3C">
        <w:rPr>
          <w:rFonts w:eastAsia="Times New Roman"/>
          <w:u w:val="single"/>
          <w:lang w:eastAsia="bg-BG"/>
        </w:rPr>
        <w:t>Разпределение</w:t>
      </w:r>
    </w:p>
    <w:p w14:paraId="3FBA104A" w14:textId="77777777" w:rsidR="00CC4D3C" w:rsidRPr="00CC4D3C" w:rsidRDefault="00CC4D3C" w:rsidP="00CC4D3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Тербинафин се свързва във висока степен с плазмените протеини (99% ). Той бързо дифундира през дермата и се натрупва в липофилния стратум корнеум. Тербинафин се секретира също и себума, като по този начин се осигурява висока концентрация в космения фоликул, косъма и богатата на себум кожа. Има доказателства, че тербинафин се разпределя в нокътната плочка през първите няколко седмици след започване на терапия.</w:t>
      </w:r>
    </w:p>
    <w:p w14:paraId="42F8200F" w14:textId="77777777" w:rsidR="00CC4D3C" w:rsidRDefault="00CC4D3C" w:rsidP="00CC4D3C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600FC9B6" w14:textId="49501B4F" w:rsidR="00CC4D3C" w:rsidRPr="00CC4D3C" w:rsidRDefault="00CC4D3C" w:rsidP="00CC4D3C">
      <w:pPr>
        <w:pStyle w:val="Heading3"/>
        <w:rPr>
          <w:rFonts w:eastAsia="Times New Roman"/>
          <w:u w:val="single"/>
          <w:lang w:eastAsia="bg-BG"/>
        </w:rPr>
      </w:pPr>
      <w:r w:rsidRPr="00CC4D3C">
        <w:rPr>
          <w:rFonts w:eastAsia="Times New Roman"/>
          <w:u w:val="single"/>
          <w:lang w:eastAsia="bg-BG"/>
        </w:rPr>
        <w:t>Биотрансформация</w:t>
      </w:r>
    </w:p>
    <w:p w14:paraId="58BA3B5C" w14:textId="77777777" w:rsidR="00CC4D3C" w:rsidRPr="00CC4D3C" w:rsidRDefault="00CC4D3C" w:rsidP="00CC4D3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 xml:space="preserve">Тербинафин се метаболизира бързо и в голяма степен през минимум 7 изоензима от </w:t>
      </w:r>
      <w:r w:rsidRPr="00CC4D3C">
        <w:rPr>
          <w:rFonts w:eastAsia="Times New Roman" w:cs="Arial"/>
          <w:color w:val="000000"/>
          <w:lang w:val="en-US"/>
        </w:rPr>
        <w:t xml:space="preserve">CYP </w:t>
      </w:r>
      <w:r w:rsidRPr="00CC4D3C">
        <w:rPr>
          <w:rFonts w:eastAsia="Times New Roman" w:cs="Arial"/>
          <w:color w:val="000000"/>
          <w:lang w:eastAsia="bg-BG"/>
        </w:rPr>
        <w:t xml:space="preserve">суперфамилията, като с основно значение са </w:t>
      </w:r>
      <w:r w:rsidRPr="00CC4D3C">
        <w:rPr>
          <w:rFonts w:eastAsia="Times New Roman" w:cs="Arial"/>
          <w:color w:val="000000"/>
          <w:lang w:val="en-US"/>
        </w:rPr>
        <w:t>CYP2C9, CYP1</w:t>
      </w:r>
      <w:r w:rsidRPr="00CC4D3C">
        <w:rPr>
          <w:rFonts w:eastAsia="Times New Roman" w:cs="Arial"/>
          <w:color w:val="000000"/>
          <w:lang w:eastAsia="bg-BG"/>
        </w:rPr>
        <w:t xml:space="preserve">А2, </w:t>
      </w:r>
      <w:r w:rsidRPr="00CC4D3C">
        <w:rPr>
          <w:rFonts w:eastAsia="Times New Roman" w:cs="Arial"/>
          <w:color w:val="000000"/>
          <w:lang w:val="en-US"/>
        </w:rPr>
        <w:t xml:space="preserve">CYP3A4, CYP2C8 </w:t>
      </w:r>
      <w:r w:rsidRPr="00CC4D3C">
        <w:rPr>
          <w:rFonts w:eastAsia="Times New Roman" w:cs="Arial"/>
          <w:color w:val="000000"/>
          <w:lang w:eastAsia="bg-BG"/>
        </w:rPr>
        <w:t xml:space="preserve">и </w:t>
      </w:r>
      <w:r w:rsidRPr="00CC4D3C">
        <w:rPr>
          <w:rFonts w:eastAsia="Times New Roman" w:cs="Arial"/>
          <w:color w:val="000000"/>
          <w:lang w:val="en-US"/>
        </w:rPr>
        <w:t>CYP2C19.</w:t>
      </w:r>
    </w:p>
    <w:p w14:paraId="7B841601" w14:textId="77777777" w:rsidR="00CC4D3C" w:rsidRPr="00CC4D3C" w:rsidRDefault="00CC4D3C" w:rsidP="00CC4D3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lastRenderedPageBreak/>
        <w:t>След биотрансформацията се образуват метаболити, без антимикотична активност, които се екскретират основно в урината. Крайният елиминационен полуживот е 17 часа. Няма данни за комулиране.</w:t>
      </w:r>
    </w:p>
    <w:p w14:paraId="448D225B" w14:textId="77777777" w:rsidR="00CC4D3C" w:rsidRDefault="00CC4D3C" w:rsidP="00CC4D3C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154D1F8C" w14:textId="17CA3CD9" w:rsidR="00CC4D3C" w:rsidRPr="00CC4D3C" w:rsidRDefault="00CC4D3C" w:rsidP="00CC4D3C">
      <w:pPr>
        <w:pStyle w:val="Heading3"/>
        <w:rPr>
          <w:rFonts w:eastAsia="Times New Roman"/>
          <w:u w:val="single"/>
          <w:lang w:eastAsia="bg-BG"/>
        </w:rPr>
      </w:pPr>
      <w:r w:rsidRPr="00CC4D3C">
        <w:rPr>
          <w:rFonts w:eastAsia="Times New Roman"/>
          <w:u w:val="single"/>
          <w:lang w:eastAsia="bg-BG"/>
        </w:rPr>
        <w:t>Елиминиране</w:t>
      </w:r>
    </w:p>
    <w:p w14:paraId="4AC00903" w14:textId="77777777" w:rsidR="00CC4D3C" w:rsidRPr="00CC4D3C" w:rsidRDefault="00CC4D3C" w:rsidP="00CC4D3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Не са наблюдавани възрастово зависими промени в плазмената концентрация на Фунгофин в условията на стабилно състояние, но степентта на елиминиране може да бъде намалена при пациенти с бъбречни или чернодробни нарушения, което да доведе до по-високи плазмени концентрации на лекарствения продукт.</w:t>
      </w:r>
    </w:p>
    <w:p w14:paraId="45551830" w14:textId="4426990C" w:rsidR="007A2185" w:rsidRPr="00CC4D3C" w:rsidRDefault="00CC4D3C" w:rsidP="00CC4D3C">
      <w:pPr>
        <w:rPr>
          <w:rFonts w:cs="Arial"/>
        </w:rPr>
      </w:pPr>
      <w:r w:rsidRPr="00CC4D3C">
        <w:rPr>
          <w:rFonts w:eastAsia="Times New Roman" w:cs="Arial"/>
          <w:color w:val="000000"/>
          <w:lang w:eastAsia="bg-BG"/>
        </w:rPr>
        <w:t>Фармакологични проучвания с единични дози при пациенти с бъбречно заболяване или предшестващо чернодробно заболяване са показали, че клирънса на Фунгофин може да се понижи с 50%.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619A1E22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 xml:space="preserve">В дългосрочни проучвания (до 1 година) при плъхове и кучета не са наблюдавани изразени токсични ефекти и при двата животински вида, при перорални дозировки до 100 </w:t>
      </w:r>
      <w:r w:rsidRPr="00CC4D3C">
        <w:rPr>
          <w:rFonts w:eastAsia="Times New Roman" w:cs="Arial"/>
          <w:color w:val="000000"/>
          <w:lang w:val="en-US"/>
        </w:rPr>
        <w:t xml:space="preserve">mg/kg </w:t>
      </w:r>
      <w:r w:rsidRPr="00CC4D3C">
        <w:rPr>
          <w:rFonts w:eastAsia="Times New Roman" w:cs="Arial"/>
          <w:color w:val="000000"/>
          <w:lang w:eastAsia="bg-BG"/>
        </w:rPr>
        <w:t>дневно. При високи перорални дози, като потенциални таргетни органи са идентифицирани черния дроб и бъбреците.</w:t>
      </w:r>
    </w:p>
    <w:p w14:paraId="4794C825" w14:textId="77777777" w:rsidR="00CC4D3C" w:rsidRPr="00CC4D3C" w:rsidRDefault="00CC4D3C" w:rsidP="00CC4D3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82F09D" w14:textId="7132DEA8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 xml:space="preserve">В двугодишно проучване за карциногенност при мишки не са наблюдавани неопластични или други аномалии, които може да се свържат с проведеното лечение. Пероралната доза, която е прилагана е била до 130 </w:t>
      </w:r>
      <w:r w:rsidRPr="00CC4D3C">
        <w:rPr>
          <w:rFonts w:eastAsia="Times New Roman" w:cs="Arial"/>
          <w:color w:val="000000"/>
          <w:lang w:val="en-US"/>
        </w:rPr>
        <w:t xml:space="preserve">mg/kg </w:t>
      </w:r>
      <w:r w:rsidRPr="00CC4D3C">
        <w:rPr>
          <w:rFonts w:eastAsia="Times New Roman" w:cs="Arial"/>
          <w:color w:val="000000"/>
          <w:lang w:eastAsia="bg-BG"/>
        </w:rPr>
        <w:t xml:space="preserve">телесно тегло дневно при мъжките екземляри и 156 </w:t>
      </w:r>
      <w:r w:rsidRPr="00CC4D3C">
        <w:rPr>
          <w:rFonts w:eastAsia="Times New Roman" w:cs="Arial"/>
          <w:color w:val="000000"/>
          <w:lang w:val="en-US"/>
        </w:rPr>
        <w:t xml:space="preserve">mg/kg </w:t>
      </w:r>
      <w:r w:rsidRPr="00CC4D3C">
        <w:rPr>
          <w:rFonts w:eastAsia="Times New Roman" w:cs="Arial"/>
          <w:color w:val="000000"/>
          <w:lang w:eastAsia="bg-BG"/>
        </w:rPr>
        <w:t xml:space="preserve">телесно тегло дневно при женските. В друго двугодишно проучване за канцерогенност при плъхове е наблюдавана повишена честота на чернодробните тумори при мъжките екземпляри при най-високите използвани перорални дози от 69 </w:t>
      </w:r>
      <w:r w:rsidRPr="00CC4D3C">
        <w:rPr>
          <w:rFonts w:eastAsia="Times New Roman" w:cs="Arial"/>
          <w:color w:val="000000"/>
          <w:lang w:val="en-US"/>
        </w:rPr>
        <w:t xml:space="preserve">mg/kg </w:t>
      </w:r>
      <w:r w:rsidRPr="00CC4D3C">
        <w:rPr>
          <w:rFonts w:eastAsia="Times New Roman" w:cs="Arial"/>
          <w:color w:val="000000"/>
          <w:lang w:eastAsia="bg-BG"/>
        </w:rPr>
        <w:t>телесно тегло дневно. Тези промени са видово специфични при плъхове, защото не са наблюдавани в проучвания за канцерогенност при мишки и в други проучвания при мишки, кучета или маймуни.</w:t>
      </w:r>
    </w:p>
    <w:p w14:paraId="6A55B74F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</w:p>
    <w:p w14:paraId="60A1AC01" w14:textId="77777777" w:rsidR="00CC4D3C" w:rsidRPr="00CC4D3C" w:rsidRDefault="00CC4D3C" w:rsidP="00CC4D3C">
      <w:pPr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 xml:space="preserve">По време на проучвания с висока доза перорално приложен тербинафинпри маймуни, са наблюдавани нарушения в симетрията на пречупване в ретината </w:t>
      </w:r>
      <w:r w:rsidRPr="00CC4D3C">
        <w:rPr>
          <w:rFonts w:eastAsia="Times New Roman" w:cs="Arial"/>
          <w:color w:val="000000"/>
          <w:lang w:val="en-US"/>
        </w:rPr>
        <w:t xml:space="preserve">(NOAEL 50 mg/kg). </w:t>
      </w:r>
      <w:r w:rsidRPr="00CC4D3C">
        <w:rPr>
          <w:rFonts w:eastAsia="Times New Roman" w:cs="Arial"/>
          <w:color w:val="000000"/>
          <w:lang w:eastAsia="bg-BG"/>
        </w:rPr>
        <w:t>Тези нарушения са свързани с наличието на метаболит на тербинафин в очните тъкани и са отзвучали след спиране на лекарството. Те не се свързват с хистологични промени.</w:t>
      </w:r>
    </w:p>
    <w:p w14:paraId="2A32FA17" w14:textId="77777777" w:rsidR="00CC4D3C" w:rsidRPr="00CC4D3C" w:rsidRDefault="00CC4D3C" w:rsidP="00CC4D3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508B6A" w14:textId="034C8911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 xml:space="preserve">Едно осем седмично проучване за перорална употреба при млади плъхове демонстрира </w:t>
      </w:r>
      <w:r w:rsidRPr="00CC4D3C">
        <w:rPr>
          <w:rFonts w:eastAsia="Times New Roman" w:cs="Arial"/>
          <w:color w:val="000000"/>
          <w:lang w:val="en-US"/>
        </w:rPr>
        <w:t xml:space="preserve">NTEL </w:t>
      </w:r>
      <w:r w:rsidRPr="00CC4D3C">
        <w:rPr>
          <w:rFonts w:eastAsia="Times New Roman" w:cs="Arial"/>
          <w:color w:val="000000"/>
          <w:lang w:eastAsia="bg-BG"/>
        </w:rPr>
        <w:t xml:space="preserve">нива близки до 100 </w:t>
      </w:r>
      <w:r w:rsidRPr="00CC4D3C">
        <w:rPr>
          <w:rFonts w:eastAsia="Times New Roman" w:cs="Arial"/>
          <w:color w:val="000000"/>
          <w:lang w:val="en-US"/>
        </w:rPr>
        <w:t xml:space="preserve">mg/kg </w:t>
      </w:r>
      <w:r w:rsidRPr="00CC4D3C">
        <w:rPr>
          <w:rFonts w:eastAsia="Times New Roman" w:cs="Arial"/>
          <w:color w:val="000000"/>
          <w:lang w:eastAsia="bg-BG"/>
        </w:rPr>
        <w:t xml:space="preserve">дневно, като единсвено се наблюдава леко повишаване на теглото на черния дроб. При съзряващи кучета и ≥100 </w:t>
      </w:r>
      <w:r w:rsidRPr="00CC4D3C">
        <w:rPr>
          <w:rFonts w:eastAsia="Times New Roman" w:cs="Arial"/>
          <w:color w:val="000000"/>
          <w:lang w:val="en-US"/>
        </w:rPr>
        <w:t xml:space="preserve">mg/kg </w:t>
      </w:r>
      <w:r w:rsidRPr="00CC4D3C">
        <w:rPr>
          <w:rFonts w:eastAsia="Times New Roman" w:cs="Arial"/>
          <w:color w:val="000000"/>
          <w:lang w:eastAsia="bg-BG"/>
        </w:rPr>
        <w:t>дневно са наблюдавани белези на нарушения на централната нервна система включително единични епизоди на гърчове при отделни животни.</w:t>
      </w:r>
    </w:p>
    <w:p w14:paraId="5611C8AD" w14:textId="77777777" w:rsidR="00CC4D3C" w:rsidRPr="00CC4D3C" w:rsidRDefault="00CC4D3C" w:rsidP="00CC4D3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012E4F" w14:textId="5C842F2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 xml:space="preserve">Генотоксичните тестове </w:t>
      </w:r>
      <w:r w:rsidRPr="00CC4D3C">
        <w:rPr>
          <w:rFonts w:eastAsia="Times New Roman" w:cs="Arial"/>
          <w:i/>
          <w:iCs/>
          <w:color w:val="000000"/>
          <w:lang w:val="en-US"/>
        </w:rPr>
        <w:t>in vivo</w:t>
      </w:r>
      <w:r w:rsidRPr="00CC4D3C">
        <w:rPr>
          <w:rFonts w:eastAsia="Times New Roman" w:cs="Arial"/>
          <w:color w:val="000000"/>
          <w:lang w:val="en-US"/>
        </w:rPr>
        <w:t xml:space="preserve"> </w:t>
      </w:r>
      <w:r w:rsidRPr="00CC4D3C">
        <w:rPr>
          <w:rFonts w:eastAsia="Times New Roman" w:cs="Arial"/>
          <w:color w:val="000000"/>
          <w:lang w:eastAsia="bg-BG"/>
        </w:rPr>
        <w:t xml:space="preserve">и </w:t>
      </w:r>
      <w:r w:rsidRPr="00CC4D3C">
        <w:rPr>
          <w:rFonts w:eastAsia="Times New Roman" w:cs="Arial"/>
          <w:i/>
          <w:iCs/>
          <w:color w:val="000000"/>
          <w:lang w:val="en-US"/>
        </w:rPr>
        <w:t>in vitro</w:t>
      </w:r>
      <w:r w:rsidRPr="00CC4D3C">
        <w:rPr>
          <w:rFonts w:eastAsia="Times New Roman" w:cs="Arial"/>
          <w:color w:val="000000"/>
          <w:lang w:val="en-US"/>
        </w:rPr>
        <w:t xml:space="preserve"> </w:t>
      </w:r>
      <w:r w:rsidRPr="00CC4D3C">
        <w:rPr>
          <w:rFonts w:eastAsia="Times New Roman" w:cs="Arial"/>
          <w:color w:val="000000"/>
          <w:lang w:eastAsia="bg-BG"/>
        </w:rPr>
        <w:t>не демонстрират доказателства за мутагенен или кластогенен потенциал.</w:t>
      </w:r>
    </w:p>
    <w:p w14:paraId="4B0D690F" w14:textId="77777777" w:rsidR="00CC4D3C" w:rsidRPr="00CC4D3C" w:rsidRDefault="00CC4D3C" w:rsidP="00CC4D3C">
      <w:pPr>
        <w:rPr>
          <w:rFonts w:eastAsia="Times New Roman" w:cs="Arial"/>
          <w:color w:val="000000"/>
          <w:lang w:eastAsia="bg-BG"/>
        </w:rPr>
      </w:pPr>
    </w:p>
    <w:p w14:paraId="13A7B62A" w14:textId="2E27E1C7" w:rsidR="007A2185" w:rsidRPr="00CC4D3C" w:rsidRDefault="00CC4D3C" w:rsidP="00CC4D3C">
      <w:pPr>
        <w:rPr>
          <w:rFonts w:cs="Arial"/>
        </w:rPr>
      </w:pPr>
      <w:r w:rsidRPr="00CC4D3C">
        <w:rPr>
          <w:rFonts w:eastAsia="Times New Roman" w:cs="Arial"/>
          <w:color w:val="000000"/>
          <w:lang w:eastAsia="bg-BG"/>
        </w:rPr>
        <w:t>Не са наблюдавани нежелани реакции върху параметрите на фертилитета и репродуктивната функция в проучвания при плъхове и зайци.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lastRenderedPageBreak/>
        <w:t>7. ПРИТЕЖАТЕЛ НА РАЗРЕШЕНИЕТО ЗА УПОТРЕБА</w:t>
      </w:r>
    </w:p>
    <w:p w14:paraId="1B9B651E" w14:textId="24042B6C" w:rsidR="0091385D" w:rsidRDefault="0091385D" w:rsidP="0091385D"/>
    <w:p w14:paraId="786FC849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НОБЕЛ ФАРМА ЕООД</w:t>
      </w:r>
    </w:p>
    <w:p w14:paraId="7363A156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Околовръстен път № 36</w:t>
      </w:r>
    </w:p>
    <w:p w14:paraId="4F02909F" w14:textId="50315428" w:rsidR="007A2185" w:rsidRPr="00CC4D3C" w:rsidRDefault="00CC4D3C" w:rsidP="00CC4D3C">
      <w:pPr>
        <w:rPr>
          <w:rFonts w:cs="Arial"/>
        </w:rPr>
      </w:pPr>
      <w:r w:rsidRPr="00CC4D3C">
        <w:rPr>
          <w:rFonts w:eastAsia="Times New Roman" w:cs="Arial"/>
          <w:color w:val="000000"/>
          <w:lang w:eastAsia="bg-BG"/>
        </w:rPr>
        <w:t>София 1415, България</w:t>
      </w:r>
    </w:p>
    <w:p w14:paraId="7182C694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тел.: +359 2 962 62 80</w:t>
      </w:r>
    </w:p>
    <w:p w14:paraId="410910BB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факс: +359 2 962 90 36</w:t>
      </w:r>
    </w:p>
    <w:p w14:paraId="129C7566" w14:textId="386A6EDD" w:rsidR="0091385D" w:rsidRPr="00CC4D3C" w:rsidRDefault="00CC4D3C" w:rsidP="00CC4D3C">
      <w:pPr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 xml:space="preserve">ел.поща: </w:t>
      </w:r>
      <w:r w:rsidRPr="00CC4D3C">
        <w:rPr>
          <w:rFonts w:eastAsia="Times New Roman" w:cs="Arial"/>
          <w:color w:val="000000"/>
          <w:lang w:val="en-US"/>
        </w:rPr>
        <w:t>in</w:t>
      </w:r>
      <w:hyperlink r:id="rId7" w:history="1">
        <w:r w:rsidRPr="00CC4D3C">
          <w:rPr>
            <w:rFonts w:eastAsia="Times New Roman" w:cs="Arial"/>
            <w:color w:val="000000"/>
            <w:u w:val="single"/>
            <w:lang w:val="en-US"/>
          </w:rPr>
          <w:t>fo@nobelpharma.bg</w:t>
        </w:r>
      </w:hyperlink>
    </w:p>
    <w:p w14:paraId="662BF2EB" w14:textId="77777777" w:rsidR="00CC4D3C" w:rsidRPr="0091385D" w:rsidRDefault="00CC4D3C" w:rsidP="00CC4D3C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670707EC" w:rsidR="007A2185" w:rsidRPr="00CC4D3C" w:rsidRDefault="00CC4D3C" w:rsidP="0091385D">
      <w:pPr>
        <w:rPr>
          <w:rFonts w:cs="Arial"/>
        </w:rPr>
      </w:pPr>
      <w:r w:rsidRPr="00CC4D3C">
        <w:rPr>
          <w:rFonts w:cs="Arial"/>
        </w:rPr>
        <w:t>20070039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54F7A1D1" w14:textId="77777777" w:rsidR="00CC4D3C" w:rsidRPr="00CC4D3C" w:rsidRDefault="00CC4D3C" w:rsidP="00CC4D3C">
      <w:pPr>
        <w:spacing w:line="240" w:lineRule="auto"/>
        <w:rPr>
          <w:rFonts w:eastAsia="Times New Roman" w:cs="Arial"/>
          <w:lang w:eastAsia="bg-BG"/>
        </w:rPr>
      </w:pPr>
      <w:r w:rsidRPr="00CC4D3C">
        <w:rPr>
          <w:rFonts w:eastAsia="Times New Roman" w:cs="Arial"/>
          <w:color w:val="000000"/>
          <w:lang w:eastAsia="bg-BG"/>
        </w:rPr>
        <w:t>12.04.2007</w:t>
      </w:r>
    </w:p>
    <w:p w14:paraId="41450BFB" w14:textId="77777777" w:rsidR="00CC4D3C" w:rsidRPr="00CC4D3C" w:rsidRDefault="00CC4D3C" w:rsidP="00CC4D3C">
      <w:pPr>
        <w:rPr>
          <w:rFonts w:eastAsia="Times New Roman" w:cs="Arial"/>
          <w:color w:val="000000"/>
          <w:lang w:eastAsia="bg-BG"/>
        </w:rPr>
      </w:pPr>
    </w:p>
    <w:p w14:paraId="6C57D8B6" w14:textId="341268A3" w:rsidR="007A2185" w:rsidRPr="00CC4D3C" w:rsidRDefault="00CC4D3C" w:rsidP="00CC4D3C">
      <w:pPr>
        <w:rPr>
          <w:rFonts w:cs="Arial"/>
        </w:rPr>
      </w:pPr>
      <w:r w:rsidRPr="00CC4D3C">
        <w:rPr>
          <w:rFonts w:eastAsia="Times New Roman" w:cs="Arial"/>
          <w:color w:val="000000"/>
          <w:lang w:eastAsia="bg-BG"/>
        </w:rPr>
        <w:t>09.05.2012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532686BF" w:rsidR="007A2185" w:rsidRPr="00CC4D3C" w:rsidRDefault="00CC4D3C" w:rsidP="0091385D">
      <w:pPr>
        <w:rPr>
          <w:rFonts w:cs="Arial"/>
        </w:rPr>
      </w:pPr>
      <w:r w:rsidRPr="00CC4D3C">
        <w:rPr>
          <w:rFonts w:cs="Arial"/>
        </w:rPr>
        <w:t>04/2019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8235C"/>
    <w:multiLevelType w:val="hybridMultilevel"/>
    <w:tmpl w:val="609EF12C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37F9B"/>
    <w:multiLevelType w:val="hybridMultilevel"/>
    <w:tmpl w:val="7B1A30A6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30"/>
  </w:num>
  <w:num w:numId="12">
    <w:abstractNumId w:val="14"/>
  </w:num>
  <w:num w:numId="13">
    <w:abstractNumId w:val="19"/>
  </w:num>
  <w:num w:numId="14">
    <w:abstractNumId w:val="11"/>
  </w:num>
  <w:num w:numId="15">
    <w:abstractNumId w:val="29"/>
  </w:num>
  <w:num w:numId="16">
    <w:abstractNumId w:val="9"/>
  </w:num>
  <w:num w:numId="17">
    <w:abstractNumId w:val="24"/>
  </w:num>
  <w:num w:numId="18">
    <w:abstractNumId w:val="7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8"/>
  </w:num>
  <w:num w:numId="25">
    <w:abstractNumId w:val="22"/>
  </w:num>
  <w:num w:numId="26">
    <w:abstractNumId w:val="21"/>
  </w:num>
  <w:num w:numId="27">
    <w:abstractNumId w:val="33"/>
  </w:num>
  <w:num w:numId="28">
    <w:abstractNumId w:val="6"/>
  </w:num>
  <w:num w:numId="29">
    <w:abstractNumId w:val="20"/>
  </w:num>
  <w:num w:numId="30">
    <w:abstractNumId w:val="36"/>
  </w:num>
  <w:num w:numId="31">
    <w:abstractNumId w:val="5"/>
  </w:num>
  <w:num w:numId="32">
    <w:abstractNumId w:val="35"/>
  </w:num>
  <w:num w:numId="33">
    <w:abstractNumId w:val="28"/>
  </w:num>
  <w:num w:numId="34">
    <w:abstractNumId w:val="34"/>
  </w:num>
  <w:num w:numId="35">
    <w:abstractNumId w:val="13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2D0216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C4D3C"/>
    <w:rsid w:val="00CF77F7"/>
    <w:rsid w:val="00D86297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o@Dobelpharm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a.bg" TargetMode="External"/><Relationship Id="rId5" Type="http://schemas.openxmlformats.org/officeDocument/2006/relationships/hyperlink" Target="mailto:bda@bda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2964</Words>
  <Characters>16900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2023-03-04T14:02:00Z</dcterms:created>
  <dcterms:modified xsi:type="dcterms:W3CDTF">2023-03-04T14:02:00Z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