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0697BA04" w14:textId="77777777" w:rsidR="00AD4CA1" w:rsidRPr="00AD4CA1" w:rsidRDefault="00AD4CA1" w:rsidP="00AD4CA1">
      <w:pPr>
        <w:spacing w:line="240" w:lineRule="auto"/>
        <w:rPr>
          <w:rFonts w:eastAsia="Times New Roman" w:cs="Arial"/>
          <w:sz w:val="24"/>
          <w:szCs w:val="24"/>
          <w:lang w:eastAsia="bg-BG"/>
        </w:rPr>
      </w:pPr>
      <w:r w:rsidRPr="00AD4CA1">
        <w:rPr>
          <w:rFonts w:eastAsia="Times New Roman" w:cs="Arial"/>
          <w:color w:val="000000"/>
          <w:lang w:eastAsia="bg-BG"/>
        </w:rPr>
        <w:t xml:space="preserve">Фунгофунал 100 </w:t>
      </w:r>
      <w:r w:rsidRPr="00AD4CA1">
        <w:rPr>
          <w:rFonts w:eastAsia="Times New Roman" w:cs="Arial"/>
          <w:color w:val="000000"/>
          <w:lang w:val="en-US"/>
        </w:rPr>
        <w:t xml:space="preserve">mg </w:t>
      </w:r>
      <w:r w:rsidRPr="00AD4CA1">
        <w:rPr>
          <w:rFonts w:eastAsia="Times New Roman" w:cs="Arial"/>
          <w:color w:val="000000"/>
          <w:lang w:eastAsia="bg-BG"/>
        </w:rPr>
        <w:t>твърди капсули</w:t>
      </w:r>
    </w:p>
    <w:p w14:paraId="69AC8148" w14:textId="05C7EB98" w:rsidR="00EC41ED" w:rsidRPr="00193F0A" w:rsidRDefault="00AD4CA1" w:rsidP="00AD4CA1">
      <w:pPr>
        <w:rPr>
          <w:rFonts w:cs="Arial"/>
        </w:rPr>
      </w:pPr>
      <w:proofErr w:type="spellStart"/>
      <w:r w:rsidRPr="00193F0A">
        <w:rPr>
          <w:rFonts w:eastAsia="Times New Roman" w:cs="Arial"/>
          <w:color w:val="000000"/>
          <w:lang w:val="en-US"/>
        </w:rPr>
        <w:t>Fungofimal</w:t>
      </w:r>
      <w:proofErr w:type="spellEnd"/>
      <w:r w:rsidRPr="00193F0A">
        <w:rPr>
          <w:rFonts w:eastAsia="Times New Roman" w:cs="Arial"/>
          <w:color w:val="000000"/>
          <w:lang w:val="en-US"/>
        </w:rPr>
        <w:t xml:space="preserve"> </w:t>
      </w:r>
      <w:r w:rsidRPr="00193F0A">
        <w:rPr>
          <w:rFonts w:eastAsia="Times New Roman" w:cs="Arial"/>
          <w:color w:val="000000"/>
          <w:lang w:eastAsia="bg-BG"/>
        </w:rPr>
        <w:t xml:space="preserve">100 </w:t>
      </w:r>
      <w:r w:rsidRPr="00193F0A">
        <w:rPr>
          <w:rFonts w:eastAsia="Times New Roman" w:cs="Arial"/>
          <w:color w:val="000000"/>
          <w:lang w:val="en-US"/>
        </w:rPr>
        <w:t>mg capsules, hard</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1CEB1C16" w14:textId="77777777" w:rsidR="00AD4CA1" w:rsidRPr="00AD4CA1" w:rsidRDefault="00AD4CA1" w:rsidP="00AD4CA1">
      <w:pPr>
        <w:spacing w:line="240" w:lineRule="auto"/>
        <w:rPr>
          <w:rFonts w:eastAsia="Times New Roman" w:cs="Arial"/>
          <w:sz w:val="24"/>
          <w:szCs w:val="24"/>
          <w:lang w:eastAsia="bg-BG"/>
        </w:rPr>
      </w:pPr>
      <w:r w:rsidRPr="00AD4CA1">
        <w:rPr>
          <w:rFonts w:eastAsia="Times New Roman" w:cs="Arial"/>
          <w:color w:val="000000"/>
          <w:lang w:eastAsia="bg-BG"/>
        </w:rPr>
        <w:t xml:space="preserve">Една капсула съдържа 100 </w:t>
      </w:r>
      <w:r w:rsidRPr="00AD4CA1">
        <w:rPr>
          <w:rFonts w:eastAsia="Times New Roman" w:cs="Arial"/>
          <w:color w:val="000000"/>
          <w:lang w:val="en-US"/>
        </w:rPr>
        <w:t xml:space="preserve">mg </w:t>
      </w:r>
      <w:r w:rsidRPr="00AD4CA1">
        <w:rPr>
          <w:rFonts w:eastAsia="Times New Roman" w:cs="Arial"/>
          <w:color w:val="000000"/>
          <w:lang w:eastAsia="bg-BG"/>
        </w:rPr>
        <w:t>итраконазол (</w:t>
      </w:r>
      <w:proofErr w:type="spellStart"/>
      <w:r w:rsidRPr="00AD4CA1">
        <w:rPr>
          <w:rFonts w:eastAsia="Times New Roman" w:cs="Arial"/>
          <w:i/>
          <w:iCs/>
          <w:color w:val="000000"/>
          <w:lang w:val="en-US"/>
        </w:rPr>
        <w:t>itraconazole</w:t>
      </w:r>
      <w:proofErr w:type="spellEnd"/>
      <w:r w:rsidRPr="00AD4CA1">
        <w:rPr>
          <w:rFonts w:eastAsia="Times New Roman" w:cs="Arial"/>
          <w:i/>
          <w:iCs/>
          <w:color w:val="000000"/>
          <w:lang w:val="en-US"/>
        </w:rPr>
        <w:t>).</w:t>
      </w:r>
    </w:p>
    <w:p w14:paraId="40D80BBF" w14:textId="77777777" w:rsidR="00AD4CA1" w:rsidRPr="00193F0A" w:rsidRDefault="00AD4CA1" w:rsidP="00AD4CA1">
      <w:pPr>
        <w:spacing w:line="240" w:lineRule="auto"/>
        <w:rPr>
          <w:rFonts w:eastAsia="Times New Roman" w:cs="Arial"/>
          <w:color w:val="000000"/>
          <w:lang w:eastAsia="bg-BG"/>
        </w:rPr>
      </w:pPr>
    </w:p>
    <w:p w14:paraId="02A14C4A" w14:textId="6408CE1D" w:rsidR="00AD4CA1" w:rsidRPr="00AD4CA1" w:rsidRDefault="00AD4CA1" w:rsidP="00AD4CA1">
      <w:pPr>
        <w:spacing w:line="240" w:lineRule="auto"/>
        <w:rPr>
          <w:rFonts w:eastAsia="Times New Roman" w:cs="Arial"/>
          <w:sz w:val="24"/>
          <w:szCs w:val="24"/>
          <w:lang w:eastAsia="bg-BG"/>
        </w:rPr>
      </w:pPr>
      <w:r w:rsidRPr="00AD4CA1">
        <w:rPr>
          <w:rFonts w:eastAsia="Times New Roman" w:cs="Arial"/>
          <w:color w:val="000000"/>
          <w:lang w:eastAsia="bg-BG"/>
        </w:rPr>
        <w:t>Помощно вещество: захароза</w:t>
      </w:r>
    </w:p>
    <w:p w14:paraId="65C224C0" w14:textId="77777777" w:rsidR="00AD4CA1" w:rsidRPr="00193F0A" w:rsidRDefault="00AD4CA1" w:rsidP="00AD4CA1">
      <w:pPr>
        <w:rPr>
          <w:rFonts w:eastAsia="Times New Roman" w:cs="Arial"/>
          <w:color w:val="000000"/>
          <w:lang w:eastAsia="bg-BG"/>
        </w:rPr>
      </w:pPr>
    </w:p>
    <w:p w14:paraId="54632B43" w14:textId="56787234" w:rsidR="00EC41ED" w:rsidRPr="00193F0A" w:rsidRDefault="00AD4CA1" w:rsidP="00AD4CA1">
      <w:pPr>
        <w:rPr>
          <w:rFonts w:cs="Arial"/>
        </w:rPr>
      </w:pPr>
      <w:r w:rsidRPr="00193F0A">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321DE9E7" w14:textId="77777777" w:rsidR="00AD4CA1" w:rsidRPr="00AD4CA1" w:rsidRDefault="00AD4CA1" w:rsidP="00AD4CA1">
      <w:pPr>
        <w:spacing w:line="240" w:lineRule="auto"/>
        <w:rPr>
          <w:rFonts w:eastAsia="Times New Roman" w:cs="Arial"/>
          <w:sz w:val="24"/>
          <w:szCs w:val="24"/>
          <w:lang w:eastAsia="bg-BG"/>
        </w:rPr>
      </w:pPr>
      <w:r w:rsidRPr="00AD4CA1">
        <w:rPr>
          <w:rFonts w:eastAsia="Times New Roman" w:cs="Arial"/>
          <w:color w:val="000000"/>
          <w:lang w:eastAsia="bg-BG"/>
        </w:rPr>
        <w:t>Капсули, твърди</w:t>
      </w:r>
    </w:p>
    <w:p w14:paraId="687DA6DC" w14:textId="77777777" w:rsidR="00AD4CA1" w:rsidRPr="00193F0A" w:rsidRDefault="00AD4CA1" w:rsidP="00AD4CA1">
      <w:pPr>
        <w:rPr>
          <w:rFonts w:eastAsia="Times New Roman" w:cs="Arial"/>
          <w:color w:val="000000"/>
          <w:lang w:eastAsia="bg-BG"/>
        </w:rPr>
      </w:pPr>
    </w:p>
    <w:p w14:paraId="743244F0" w14:textId="4B2BC050" w:rsidR="00EC41ED" w:rsidRPr="00193F0A" w:rsidRDefault="00AD4CA1" w:rsidP="00AD4CA1">
      <w:pPr>
        <w:rPr>
          <w:rFonts w:cs="Arial"/>
        </w:rPr>
      </w:pPr>
      <w:r w:rsidRPr="00193F0A">
        <w:rPr>
          <w:rFonts w:eastAsia="Times New Roman" w:cs="Arial"/>
          <w:color w:val="000000"/>
          <w:lang w:eastAsia="bg-BG"/>
        </w:rPr>
        <w:t>Размер 0, пълни с бели до белезникави пелети. Капаче на капсулата: бяло, непрозрачно. Тяло на капсулата: бяло, непрозрачно.</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1557282E" w14:textId="77777777" w:rsidR="00AD4CA1" w:rsidRPr="00AD4CA1" w:rsidRDefault="00AD4CA1" w:rsidP="00AD4CA1">
      <w:pPr>
        <w:spacing w:line="240" w:lineRule="auto"/>
        <w:rPr>
          <w:rFonts w:eastAsia="Times New Roman" w:cs="Arial"/>
          <w:sz w:val="24"/>
          <w:szCs w:val="24"/>
          <w:lang w:eastAsia="bg-BG"/>
        </w:rPr>
      </w:pPr>
      <w:r w:rsidRPr="00AD4CA1">
        <w:rPr>
          <w:rFonts w:eastAsia="Times New Roman" w:cs="Arial"/>
          <w:i/>
          <w:iCs/>
          <w:color w:val="000000"/>
          <w:lang w:eastAsia="bg-BG"/>
        </w:rPr>
        <w:t>Повърхностни микози</w:t>
      </w:r>
    </w:p>
    <w:p w14:paraId="4BAD3B4F" w14:textId="77777777" w:rsidR="00AD4CA1" w:rsidRPr="00AD4CA1" w:rsidRDefault="00AD4CA1" w:rsidP="00AD4CA1">
      <w:pPr>
        <w:spacing w:line="240" w:lineRule="auto"/>
        <w:rPr>
          <w:rFonts w:eastAsia="Times New Roman" w:cs="Arial"/>
          <w:sz w:val="24"/>
          <w:szCs w:val="24"/>
          <w:lang w:eastAsia="bg-BG"/>
        </w:rPr>
      </w:pPr>
      <w:r w:rsidRPr="00AD4CA1">
        <w:rPr>
          <w:rFonts w:eastAsia="Times New Roman" w:cs="Arial"/>
          <w:color w:val="000000"/>
          <w:lang w:eastAsia="bg-BG"/>
        </w:rPr>
        <w:t>Фунгофунал е показан за лечение на следните гъбични инфекции, ако външното лечение не е ефективно или не е подходящо:</w:t>
      </w:r>
    </w:p>
    <w:p w14:paraId="5E4A0446" w14:textId="77777777" w:rsidR="00AD4CA1" w:rsidRPr="00193F0A" w:rsidRDefault="00AD4CA1" w:rsidP="00AD4CA1">
      <w:pPr>
        <w:pStyle w:val="ListParagraph"/>
        <w:numPr>
          <w:ilvl w:val="0"/>
          <w:numId w:val="36"/>
        </w:numPr>
        <w:spacing w:line="240" w:lineRule="auto"/>
        <w:rPr>
          <w:rFonts w:eastAsia="Times New Roman" w:cs="Arial"/>
          <w:sz w:val="24"/>
          <w:szCs w:val="24"/>
          <w:lang w:eastAsia="bg-BG"/>
        </w:rPr>
      </w:pPr>
      <w:r w:rsidRPr="00193F0A">
        <w:rPr>
          <w:rFonts w:eastAsia="Times New Roman" w:cs="Arial"/>
          <w:color w:val="000000"/>
          <w:lang w:eastAsia="bg-BG"/>
        </w:rPr>
        <w:t>дерматомикози (например тинеа корпорис, тинеа крурис, тинеа педис, тинеа манус)</w:t>
      </w:r>
    </w:p>
    <w:p w14:paraId="74E7FEFA" w14:textId="1C901388" w:rsidR="00AD4CA1" w:rsidRPr="00193F0A" w:rsidRDefault="00AD4CA1" w:rsidP="00AD4CA1">
      <w:pPr>
        <w:pStyle w:val="ListParagraph"/>
        <w:numPr>
          <w:ilvl w:val="0"/>
          <w:numId w:val="36"/>
        </w:numPr>
        <w:spacing w:line="240" w:lineRule="auto"/>
        <w:rPr>
          <w:rFonts w:eastAsia="Times New Roman" w:cs="Arial"/>
          <w:sz w:val="24"/>
          <w:szCs w:val="24"/>
          <w:lang w:eastAsia="bg-BG"/>
        </w:rPr>
      </w:pPr>
      <w:proofErr w:type="spellStart"/>
      <w:r w:rsidRPr="00193F0A">
        <w:rPr>
          <w:rFonts w:eastAsia="Times New Roman" w:cs="Arial"/>
          <w:i/>
          <w:iCs/>
          <w:color w:val="000000"/>
          <w:lang w:val="en-US"/>
        </w:rPr>
        <w:t>Pityriasis</w:t>
      </w:r>
      <w:proofErr w:type="spellEnd"/>
      <w:r w:rsidRPr="00193F0A">
        <w:rPr>
          <w:rFonts w:eastAsia="Times New Roman" w:cs="Arial"/>
          <w:i/>
          <w:iCs/>
          <w:color w:val="000000"/>
          <w:lang w:val="en-US"/>
        </w:rPr>
        <w:t xml:space="preserve"> versicolor</w:t>
      </w:r>
      <w:r w:rsidRPr="00193F0A">
        <w:rPr>
          <w:rFonts w:eastAsia="Times New Roman" w:cs="Arial"/>
          <w:color w:val="000000"/>
          <w:lang w:val="en-US"/>
        </w:rPr>
        <w:t xml:space="preserve"> </w:t>
      </w:r>
      <w:r w:rsidRPr="00193F0A">
        <w:rPr>
          <w:rFonts w:eastAsia="Times New Roman" w:cs="Arial"/>
          <w:color w:val="000000"/>
          <w:lang w:eastAsia="bg-BG"/>
        </w:rPr>
        <w:t>(разноцветен лишей)</w:t>
      </w:r>
    </w:p>
    <w:p w14:paraId="72484035" w14:textId="77777777" w:rsidR="00AD4CA1" w:rsidRPr="00193F0A" w:rsidRDefault="00AD4CA1" w:rsidP="00AD4CA1">
      <w:pPr>
        <w:spacing w:line="240" w:lineRule="auto"/>
        <w:rPr>
          <w:rFonts w:eastAsia="Times New Roman" w:cs="Arial"/>
          <w:i/>
          <w:iCs/>
          <w:color w:val="000000"/>
          <w:lang w:eastAsia="bg-BG"/>
        </w:rPr>
      </w:pPr>
    </w:p>
    <w:p w14:paraId="032DC5F1" w14:textId="1AB6CFA2" w:rsidR="00AD4CA1" w:rsidRPr="00AD4CA1" w:rsidRDefault="00AD4CA1" w:rsidP="00AD4CA1">
      <w:pPr>
        <w:spacing w:line="240" w:lineRule="auto"/>
        <w:rPr>
          <w:rFonts w:eastAsia="Times New Roman" w:cs="Arial"/>
          <w:sz w:val="24"/>
          <w:szCs w:val="24"/>
          <w:lang w:eastAsia="bg-BG"/>
        </w:rPr>
      </w:pPr>
      <w:r w:rsidRPr="00AD4CA1">
        <w:rPr>
          <w:rFonts w:eastAsia="Times New Roman" w:cs="Arial"/>
          <w:i/>
          <w:iCs/>
          <w:color w:val="000000"/>
          <w:lang w:eastAsia="bg-BG"/>
        </w:rPr>
        <w:t>Системни микози</w:t>
      </w:r>
    </w:p>
    <w:p w14:paraId="0E0F719D" w14:textId="77777777" w:rsidR="00AD4CA1" w:rsidRPr="00AD4CA1" w:rsidRDefault="00AD4CA1" w:rsidP="00AD4CA1">
      <w:pPr>
        <w:spacing w:line="240" w:lineRule="auto"/>
        <w:rPr>
          <w:rFonts w:eastAsia="Times New Roman" w:cs="Arial"/>
          <w:sz w:val="24"/>
          <w:szCs w:val="24"/>
          <w:lang w:eastAsia="bg-BG"/>
        </w:rPr>
      </w:pPr>
      <w:r w:rsidRPr="00AD4CA1">
        <w:rPr>
          <w:rFonts w:eastAsia="Times New Roman" w:cs="Arial"/>
          <w:color w:val="000000"/>
          <w:lang w:eastAsia="bg-BG"/>
        </w:rPr>
        <w:t>Фунгофунал е показан за лечение на системни микози, като кандидоза, аспергилоза и хистоплазмоза.</w:t>
      </w:r>
    </w:p>
    <w:p w14:paraId="5EACA075" w14:textId="77777777" w:rsidR="00AD4CA1" w:rsidRPr="00193F0A" w:rsidRDefault="00AD4CA1" w:rsidP="00AD4CA1">
      <w:pPr>
        <w:rPr>
          <w:rFonts w:eastAsia="Times New Roman" w:cs="Arial"/>
          <w:color w:val="000000"/>
          <w:lang w:eastAsia="bg-BG"/>
        </w:rPr>
      </w:pPr>
    </w:p>
    <w:p w14:paraId="6DFA4B9D" w14:textId="58D42C19" w:rsidR="0091385D" w:rsidRPr="00193F0A" w:rsidRDefault="00AD4CA1" w:rsidP="00AD4CA1">
      <w:pPr>
        <w:rPr>
          <w:rFonts w:cs="Arial"/>
        </w:rPr>
      </w:pPr>
      <w:r w:rsidRPr="00193F0A">
        <w:rPr>
          <w:rFonts w:eastAsia="Times New Roman" w:cs="Arial"/>
          <w:color w:val="000000"/>
          <w:lang w:eastAsia="bg-BG"/>
        </w:rPr>
        <w:t>Трябва да се имат предвид официалните препоръки за правилна употреба на антимикотични средства.</w:t>
      </w:r>
    </w:p>
    <w:p w14:paraId="642F56D9" w14:textId="77777777" w:rsidR="00EC41ED" w:rsidRPr="0091385D" w:rsidRDefault="00EC41ED" w:rsidP="0091385D"/>
    <w:p w14:paraId="30BE2C7B" w14:textId="3633C1E4" w:rsidR="008134C8" w:rsidRDefault="002C50EE" w:rsidP="004A448E">
      <w:pPr>
        <w:pStyle w:val="Heading2"/>
      </w:pPr>
      <w:r>
        <w:lastRenderedPageBreak/>
        <w:t>4.2. Дозировка и начин на приложение</w:t>
      </w:r>
    </w:p>
    <w:p w14:paraId="7AA22B68" w14:textId="0723B40D" w:rsidR="0091385D" w:rsidRDefault="0091385D" w:rsidP="0091385D"/>
    <w:p w14:paraId="7FBF1BCE" w14:textId="4F7F4F49" w:rsidR="00EC41ED" w:rsidRPr="00DC16D1" w:rsidRDefault="00AD4CA1" w:rsidP="00DC16D1">
      <w:pPr>
        <w:pStyle w:val="Heading3"/>
        <w:rPr>
          <w:u w:val="single"/>
        </w:rPr>
      </w:pPr>
      <w:r w:rsidRPr="00DC16D1">
        <w:rPr>
          <w:u w:val="single"/>
        </w:rPr>
        <w:t>Дозировка</w:t>
      </w:r>
    </w:p>
    <w:p w14:paraId="62117677" w14:textId="52FA8FFE" w:rsidR="00AD4CA1" w:rsidRDefault="00AD4CA1" w:rsidP="0091385D">
      <w:pPr>
        <w:rPr>
          <w:u w:val="single"/>
        </w:rPr>
      </w:pPr>
    </w:p>
    <w:tbl>
      <w:tblPr>
        <w:tblStyle w:val="TableGrid"/>
        <w:tblW w:w="0" w:type="auto"/>
        <w:tblLook w:val="04A0" w:firstRow="1" w:lastRow="0" w:firstColumn="1" w:lastColumn="0" w:noHBand="0" w:noVBand="1"/>
      </w:tblPr>
      <w:tblGrid>
        <w:gridCol w:w="3116"/>
        <w:gridCol w:w="3117"/>
        <w:gridCol w:w="3117"/>
      </w:tblGrid>
      <w:tr w:rsidR="00AD4CA1" w14:paraId="2FB29D57" w14:textId="77777777" w:rsidTr="001E3C50">
        <w:tc>
          <w:tcPr>
            <w:tcW w:w="9350" w:type="dxa"/>
            <w:gridSpan w:val="3"/>
          </w:tcPr>
          <w:p w14:paraId="697E5C95" w14:textId="12892BC6" w:rsidR="00AD4CA1" w:rsidRPr="00193F0A" w:rsidRDefault="00193F0A" w:rsidP="00193F0A">
            <w:pPr>
              <w:jc w:val="center"/>
            </w:pPr>
            <w:r w:rsidRPr="00193F0A">
              <w:rPr>
                <w:b/>
                <w:bCs/>
              </w:rPr>
              <w:t>Повърхностни микози (на кожата, лигавиците)</w:t>
            </w:r>
          </w:p>
        </w:tc>
      </w:tr>
      <w:tr w:rsidR="00193F0A" w14:paraId="12626584" w14:textId="77777777" w:rsidTr="001E3C50">
        <w:tc>
          <w:tcPr>
            <w:tcW w:w="3116" w:type="dxa"/>
          </w:tcPr>
          <w:p w14:paraId="724AEAF1" w14:textId="358CB840" w:rsidR="00193F0A" w:rsidRDefault="00193F0A" w:rsidP="00193F0A">
            <w:r>
              <w:rPr>
                <w:b/>
                <w:bCs/>
              </w:rPr>
              <w:t>Показание</w:t>
            </w:r>
          </w:p>
        </w:tc>
        <w:tc>
          <w:tcPr>
            <w:tcW w:w="3117" w:type="dxa"/>
          </w:tcPr>
          <w:p w14:paraId="3F2425AC" w14:textId="72853DD9" w:rsidR="00193F0A" w:rsidRDefault="00193F0A" w:rsidP="00193F0A">
            <w:r>
              <w:rPr>
                <w:b/>
                <w:bCs/>
              </w:rPr>
              <w:t>Дозировка</w:t>
            </w:r>
          </w:p>
        </w:tc>
        <w:tc>
          <w:tcPr>
            <w:tcW w:w="3117" w:type="dxa"/>
            <w:vAlign w:val="bottom"/>
          </w:tcPr>
          <w:p w14:paraId="68C616B7" w14:textId="7CA29C6C" w:rsidR="00193F0A" w:rsidRDefault="00193F0A" w:rsidP="00193F0A">
            <w:r>
              <w:rPr>
                <w:b/>
                <w:bCs/>
              </w:rPr>
              <w:t>Продължителност на лечението</w:t>
            </w:r>
          </w:p>
        </w:tc>
      </w:tr>
      <w:tr w:rsidR="00193F0A" w14:paraId="079FC41D" w14:textId="77777777" w:rsidTr="001E3C50">
        <w:tc>
          <w:tcPr>
            <w:tcW w:w="3116" w:type="dxa"/>
          </w:tcPr>
          <w:p w14:paraId="63DD362B" w14:textId="0557DF56" w:rsidR="00193F0A" w:rsidRDefault="00193F0A" w:rsidP="00193F0A">
            <w:r>
              <w:rPr>
                <w:b/>
                <w:bCs/>
              </w:rPr>
              <w:t>Тинеа корпорис, Тинеа крурис</w:t>
            </w:r>
          </w:p>
        </w:tc>
        <w:tc>
          <w:tcPr>
            <w:tcW w:w="3117" w:type="dxa"/>
            <w:vAlign w:val="bottom"/>
          </w:tcPr>
          <w:p w14:paraId="3873F8D2" w14:textId="171FA2B6" w:rsidR="00193F0A" w:rsidRDefault="00193F0A" w:rsidP="00193F0A">
            <w:r>
              <w:t xml:space="preserve">1 капсула веднъж дневно (еквивалентна на 100 </w:t>
            </w:r>
            <w:r>
              <w:rPr>
                <w:lang w:val="en-US"/>
              </w:rPr>
              <w:t xml:space="preserve">mg </w:t>
            </w:r>
            <w:r>
              <w:t>итраконазол)</w:t>
            </w:r>
          </w:p>
        </w:tc>
        <w:tc>
          <w:tcPr>
            <w:tcW w:w="3117" w:type="dxa"/>
          </w:tcPr>
          <w:p w14:paraId="541D6B07" w14:textId="33B1E9FF" w:rsidR="00193F0A" w:rsidRDefault="00193F0A" w:rsidP="00193F0A">
            <w:r>
              <w:t>2 седмици</w:t>
            </w:r>
          </w:p>
        </w:tc>
      </w:tr>
      <w:tr w:rsidR="00193F0A" w14:paraId="3EC0946F" w14:textId="77777777" w:rsidTr="001E3C50">
        <w:tc>
          <w:tcPr>
            <w:tcW w:w="3116" w:type="dxa"/>
            <w:vAlign w:val="bottom"/>
          </w:tcPr>
          <w:p w14:paraId="1733347A" w14:textId="4B6AB939" w:rsidR="00193F0A" w:rsidRDefault="00193F0A" w:rsidP="00193F0A">
            <w:r>
              <w:rPr>
                <w:b/>
                <w:bCs/>
              </w:rPr>
              <w:t>Дерматомикоза на дланите и ходилата (тинеа манус, тинеа педис)</w:t>
            </w:r>
          </w:p>
        </w:tc>
        <w:tc>
          <w:tcPr>
            <w:tcW w:w="3117" w:type="dxa"/>
          </w:tcPr>
          <w:p w14:paraId="2270D8AE" w14:textId="58509486" w:rsidR="00193F0A" w:rsidRDefault="00193F0A" w:rsidP="00193F0A">
            <w:r>
              <w:t xml:space="preserve">1 капсула веднъж дневно (еквивалентна на 100 </w:t>
            </w:r>
            <w:r>
              <w:rPr>
                <w:lang w:val="en-US"/>
              </w:rPr>
              <w:t xml:space="preserve">mg </w:t>
            </w:r>
            <w:r>
              <w:t>итраконазол)</w:t>
            </w:r>
          </w:p>
        </w:tc>
        <w:tc>
          <w:tcPr>
            <w:tcW w:w="3117" w:type="dxa"/>
            <w:vAlign w:val="bottom"/>
          </w:tcPr>
          <w:p w14:paraId="265ECA33" w14:textId="77777777" w:rsidR="00193F0A" w:rsidRDefault="00193F0A" w:rsidP="00193F0A">
            <w:r>
              <w:t>4 седмици</w:t>
            </w:r>
          </w:p>
          <w:p w14:paraId="5E355311" w14:textId="77777777" w:rsidR="00193F0A" w:rsidRDefault="00193F0A" w:rsidP="00193F0A"/>
        </w:tc>
      </w:tr>
      <w:tr w:rsidR="00193F0A" w14:paraId="66F7547E" w14:textId="77777777" w:rsidTr="001E3C50">
        <w:tc>
          <w:tcPr>
            <w:tcW w:w="3116" w:type="dxa"/>
            <w:vAlign w:val="bottom"/>
          </w:tcPr>
          <w:p w14:paraId="7D0B3751" w14:textId="1D7FC120" w:rsidR="00193F0A" w:rsidRDefault="00193F0A" w:rsidP="00193F0A">
            <w:proofErr w:type="spellStart"/>
            <w:r>
              <w:rPr>
                <w:b/>
                <w:bCs/>
                <w:i/>
                <w:iCs/>
                <w:lang w:val="en-US"/>
              </w:rPr>
              <w:t>Pityriasis</w:t>
            </w:r>
            <w:proofErr w:type="spellEnd"/>
            <w:r>
              <w:rPr>
                <w:b/>
                <w:bCs/>
                <w:i/>
                <w:iCs/>
                <w:lang w:val="en-US"/>
              </w:rPr>
              <w:t xml:space="preserve"> versicolor</w:t>
            </w:r>
          </w:p>
        </w:tc>
        <w:tc>
          <w:tcPr>
            <w:tcW w:w="3117" w:type="dxa"/>
            <w:vAlign w:val="bottom"/>
          </w:tcPr>
          <w:p w14:paraId="32562C31" w14:textId="49209DC0" w:rsidR="00193F0A" w:rsidRDefault="00193F0A" w:rsidP="00193F0A">
            <w:r>
              <w:t>2 капсули веднъж</w:t>
            </w:r>
          </w:p>
        </w:tc>
        <w:tc>
          <w:tcPr>
            <w:tcW w:w="3117" w:type="dxa"/>
            <w:vAlign w:val="bottom"/>
          </w:tcPr>
          <w:p w14:paraId="2EEA20C1" w14:textId="0350A047" w:rsidR="00193F0A" w:rsidRDefault="00193F0A" w:rsidP="00193F0A">
            <w:r>
              <w:t>7 дни</w:t>
            </w:r>
          </w:p>
        </w:tc>
      </w:tr>
      <w:tr w:rsidR="00193F0A" w14:paraId="4A6FB1ED" w14:textId="77777777" w:rsidTr="00AD4CA1">
        <w:tc>
          <w:tcPr>
            <w:tcW w:w="3116" w:type="dxa"/>
          </w:tcPr>
          <w:p w14:paraId="39715172" w14:textId="2CB55AA5" w:rsidR="00193F0A" w:rsidRPr="00193F0A" w:rsidRDefault="00193F0A" w:rsidP="00193F0A">
            <w:r w:rsidRPr="00193F0A">
              <w:rPr>
                <w:b/>
                <w:bCs/>
                <w:i/>
                <w:iCs/>
              </w:rPr>
              <w:t>(разноцветен лишей)</w:t>
            </w:r>
          </w:p>
        </w:tc>
        <w:tc>
          <w:tcPr>
            <w:tcW w:w="3117" w:type="dxa"/>
          </w:tcPr>
          <w:p w14:paraId="4B4E5CED" w14:textId="44632410" w:rsidR="00193F0A" w:rsidRPr="00193F0A" w:rsidRDefault="00193F0A" w:rsidP="00193F0A">
            <w:r w:rsidRPr="00193F0A">
              <w:t xml:space="preserve">дневно (еквивалентни на 200 </w:t>
            </w:r>
            <w:r w:rsidRPr="00193F0A">
              <w:rPr>
                <w:lang w:val="en-US"/>
              </w:rPr>
              <w:t xml:space="preserve">mg </w:t>
            </w:r>
            <w:r w:rsidRPr="00193F0A">
              <w:t>итраконазол)</w:t>
            </w:r>
          </w:p>
        </w:tc>
        <w:tc>
          <w:tcPr>
            <w:tcW w:w="3117" w:type="dxa"/>
          </w:tcPr>
          <w:p w14:paraId="184FDA20" w14:textId="77777777" w:rsidR="00193F0A" w:rsidRPr="00193F0A" w:rsidRDefault="00193F0A" w:rsidP="00193F0A"/>
        </w:tc>
      </w:tr>
      <w:tr w:rsidR="00AD4CA1" w14:paraId="3EEE9BFC" w14:textId="77777777" w:rsidTr="001E3C50">
        <w:tc>
          <w:tcPr>
            <w:tcW w:w="9350" w:type="dxa"/>
            <w:gridSpan w:val="3"/>
          </w:tcPr>
          <w:p w14:paraId="616D7356" w14:textId="0420DEC5" w:rsidR="00AD4CA1" w:rsidRDefault="00AD4CA1" w:rsidP="0091385D">
            <w:r>
              <w:t xml:space="preserve">При някои имуносупресирани пациенти, например с неутропения, СПИН или след трансплантацията на органи, бионаличността на итраконазол може да бъде намалена. </w:t>
            </w:r>
            <w:r>
              <w:rPr>
                <w:u w:val="single"/>
              </w:rPr>
              <w:t>Може да е показано удво</w:t>
            </w:r>
            <w:r>
              <w:t>я</w:t>
            </w:r>
            <w:r>
              <w:rPr>
                <w:u w:val="single"/>
              </w:rPr>
              <w:t>ване на дозата.</w:t>
            </w:r>
          </w:p>
        </w:tc>
      </w:tr>
    </w:tbl>
    <w:p w14:paraId="7172D82A" w14:textId="77777777" w:rsidR="00AD4CA1" w:rsidRDefault="00AD4CA1" w:rsidP="0091385D"/>
    <w:p w14:paraId="132F3111" w14:textId="6FB085DC" w:rsidR="005B0F27" w:rsidRDefault="00AD4CA1" w:rsidP="0091385D">
      <w:r>
        <w:t>Итраконазол остава значително по-дълго в кожата отколкото в кръвта. Оптимално излекуване се постига 2-4 седмици, след спиране на приема на Фунгофунал в случай на микози на кожата.</w:t>
      </w:r>
    </w:p>
    <w:p w14:paraId="620C2CE0" w14:textId="08227335" w:rsidR="00AD4CA1" w:rsidRDefault="00AD4CA1" w:rsidP="0091385D"/>
    <w:tbl>
      <w:tblPr>
        <w:tblStyle w:val="TableGrid"/>
        <w:tblW w:w="0" w:type="auto"/>
        <w:tblLook w:val="04A0" w:firstRow="1" w:lastRow="0" w:firstColumn="1" w:lastColumn="0" w:noHBand="0" w:noVBand="1"/>
      </w:tblPr>
      <w:tblGrid>
        <w:gridCol w:w="2337"/>
        <w:gridCol w:w="2337"/>
        <w:gridCol w:w="2338"/>
        <w:gridCol w:w="2338"/>
      </w:tblGrid>
      <w:tr w:rsidR="00AD4CA1" w14:paraId="1945E6B8" w14:textId="77777777" w:rsidTr="001E3C50">
        <w:tc>
          <w:tcPr>
            <w:tcW w:w="9350" w:type="dxa"/>
            <w:gridSpan w:val="4"/>
          </w:tcPr>
          <w:p w14:paraId="151672FC" w14:textId="6AF46165" w:rsidR="00AD4CA1" w:rsidRPr="00193F0A" w:rsidRDefault="00193F0A" w:rsidP="00193F0A">
            <w:pPr>
              <w:jc w:val="center"/>
            </w:pPr>
            <w:r w:rsidRPr="00193F0A">
              <w:rPr>
                <w:b/>
                <w:bCs/>
              </w:rPr>
              <w:t>Системни микози</w:t>
            </w:r>
          </w:p>
        </w:tc>
      </w:tr>
      <w:tr w:rsidR="00AD4CA1" w14:paraId="0ABDA375" w14:textId="77777777" w:rsidTr="001E3C50">
        <w:tc>
          <w:tcPr>
            <w:tcW w:w="2337" w:type="dxa"/>
          </w:tcPr>
          <w:p w14:paraId="29B0EB06" w14:textId="1C6CC6E6" w:rsidR="00AD4CA1" w:rsidRPr="00AD4CA1" w:rsidRDefault="00AD4CA1" w:rsidP="00AD4CA1">
            <w:r w:rsidRPr="00AD4CA1">
              <w:rPr>
                <w:b/>
                <w:bCs/>
              </w:rPr>
              <w:t>Показание</w:t>
            </w:r>
          </w:p>
        </w:tc>
        <w:tc>
          <w:tcPr>
            <w:tcW w:w="2337" w:type="dxa"/>
          </w:tcPr>
          <w:p w14:paraId="03351847" w14:textId="141739A1" w:rsidR="00AD4CA1" w:rsidRPr="00AD4CA1" w:rsidRDefault="00AD4CA1" w:rsidP="00AD4CA1">
            <w:r w:rsidRPr="00AD4CA1">
              <w:rPr>
                <w:b/>
                <w:bCs/>
              </w:rPr>
              <w:t>Дозировка</w:t>
            </w:r>
          </w:p>
        </w:tc>
        <w:tc>
          <w:tcPr>
            <w:tcW w:w="2338" w:type="dxa"/>
            <w:vAlign w:val="bottom"/>
          </w:tcPr>
          <w:p w14:paraId="26F12021" w14:textId="5A0A8152" w:rsidR="00AD4CA1" w:rsidRPr="00AD4CA1" w:rsidRDefault="00AD4CA1" w:rsidP="00AD4CA1">
            <w:r w:rsidRPr="00AD4CA1">
              <w:rPr>
                <w:b/>
                <w:bCs/>
              </w:rPr>
              <w:t xml:space="preserve">Продължит елност на лечението </w:t>
            </w:r>
            <w:r w:rsidRPr="00AD4CA1">
              <w:rPr>
                <w:b/>
                <w:bCs/>
                <w:vertAlign w:val="superscript"/>
              </w:rPr>
              <w:t>1)</w:t>
            </w:r>
          </w:p>
        </w:tc>
        <w:tc>
          <w:tcPr>
            <w:tcW w:w="2338" w:type="dxa"/>
          </w:tcPr>
          <w:p w14:paraId="0B6A5EA5" w14:textId="60100A98" w:rsidR="00AD4CA1" w:rsidRPr="00AD4CA1" w:rsidRDefault="00AD4CA1" w:rsidP="00AD4CA1">
            <w:r w:rsidRPr="00AD4CA1">
              <w:rPr>
                <w:b/>
                <w:bCs/>
              </w:rPr>
              <w:t>Забележки</w:t>
            </w:r>
          </w:p>
        </w:tc>
      </w:tr>
      <w:tr w:rsidR="00AD4CA1" w14:paraId="6A5BB0DB" w14:textId="77777777" w:rsidTr="001E3C50">
        <w:tc>
          <w:tcPr>
            <w:tcW w:w="2337" w:type="dxa"/>
          </w:tcPr>
          <w:p w14:paraId="283465DE" w14:textId="627340F5" w:rsidR="00AD4CA1" w:rsidRPr="00AD4CA1" w:rsidRDefault="00AD4CA1" w:rsidP="00AD4CA1">
            <w:r w:rsidRPr="00AD4CA1">
              <w:rPr>
                <w:b/>
                <w:bCs/>
              </w:rPr>
              <w:t>Аспергилоза</w:t>
            </w:r>
          </w:p>
        </w:tc>
        <w:tc>
          <w:tcPr>
            <w:tcW w:w="2337" w:type="dxa"/>
          </w:tcPr>
          <w:p w14:paraId="7D34CF7C" w14:textId="7A8FEBBD" w:rsidR="00AD4CA1" w:rsidRPr="00AD4CA1" w:rsidRDefault="00AD4CA1" w:rsidP="00AD4CA1">
            <w:r w:rsidRPr="00AD4CA1">
              <w:t xml:space="preserve">2 капсули веднъж дневно (еквивалентни на 200 </w:t>
            </w:r>
            <w:r w:rsidRPr="00AD4CA1">
              <w:rPr>
                <w:lang w:val="en-US"/>
              </w:rPr>
              <w:t xml:space="preserve">mg </w:t>
            </w:r>
            <w:r w:rsidRPr="00AD4CA1">
              <w:t>итраконазол)</w:t>
            </w:r>
          </w:p>
        </w:tc>
        <w:tc>
          <w:tcPr>
            <w:tcW w:w="2338" w:type="dxa"/>
          </w:tcPr>
          <w:p w14:paraId="6E08C014" w14:textId="7E53B1B6" w:rsidR="00AD4CA1" w:rsidRPr="00AD4CA1" w:rsidRDefault="00AD4CA1" w:rsidP="00AD4CA1">
            <w:r w:rsidRPr="00AD4CA1">
              <w:t>2-5 месеца</w:t>
            </w:r>
          </w:p>
        </w:tc>
        <w:tc>
          <w:tcPr>
            <w:tcW w:w="2338" w:type="dxa"/>
            <w:vAlign w:val="bottom"/>
          </w:tcPr>
          <w:p w14:paraId="60BDBF2B" w14:textId="6BD57D4A" w:rsidR="00AD4CA1" w:rsidRPr="00AD4CA1" w:rsidRDefault="00AD4CA1" w:rsidP="00AD4CA1">
            <w:r w:rsidRPr="00AD4CA1">
              <w:t xml:space="preserve">При инвазивно или дисеминирано заболяване, увеличете до 2 капсули два пъти дневно (сутрин и вечер) (еквивалентно на 400 </w:t>
            </w:r>
            <w:r w:rsidRPr="00AD4CA1">
              <w:rPr>
                <w:lang w:val="en-US"/>
              </w:rPr>
              <w:t xml:space="preserve">mg </w:t>
            </w:r>
            <w:r w:rsidRPr="00AD4CA1">
              <w:t>итраконазол)</w:t>
            </w:r>
          </w:p>
        </w:tc>
      </w:tr>
      <w:tr w:rsidR="00AD4CA1" w14:paraId="3F577D41" w14:textId="77777777" w:rsidTr="001E3C50">
        <w:tc>
          <w:tcPr>
            <w:tcW w:w="2337" w:type="dxa"/>
          </w:tcPr>
          <w:p w14:paraId="5A9CB266" w14:textId="7834688E" w:rsidR="00AD4CA1" w:rsidRPr="00AD4CA1" w:rsidRDefault="00AD4CA1" w:rsidP="00AD4CA1">
            <w:r w:rsidRPr="00AD4CA1">
              <w:rPr>
                <w:b/>
                <w:bCs/>
              </w:rPr>
              <w:t>Кандидоза</w:t>
            </w:r>
          </w:p>
        </w:tc>
        <w:tc>
          <w:tcPr>
            <w:tcW w:w="2337" w:type="dxa"/>
          </w:tcPr>
          <w:p w14:paraId="0D9C065A" w14:textId="77777777" w:rsidR="00AD4CA1" w:rsidRPr="00AD4CA1" w:rsidRDefault="00AD4CA1" w:rsidP="00AD4CA1">
            <w:r w:rsidRPr="00AD4CA1">
              <w:t>1 -2 капсули веднъж дневно (еквивалентни на</w:t>
            </w:r>
          </w:p>
          <w:p w14:paraId="4874E206" w14:textId="35AC5A6D" w:rsidR="00AD4CA1" w:rsidRPr="00AD4CA1" w:rsidRDefault="00AD4CA1" w:rsidP="00AD4CA1">
            <w:r w:rsidRPr="00AD4CA1">
              <w:t xml:space="preserve">100-200 </w:t>
            </w:r>
            <w:r w:rsidRPr="00AD4CA1">
              <w:rPr>
                <w:lang w:val="en-US"/>
              </w:rPr>
              <w:t xml:space="preserve">mg </w:t>
            </w:r>
            <w:r w:rsidRPr="00AD4CA1">
              <w:t>итраконазол)</w:t>
            </w:r>
          </w:p>
        </w:tc>
        <w:tc>
          <w:tcPr>
            <w:tcW w:w="2338" w:type="dxa"/>
          </w:tcPr>
          <w:p w14:paraId="3015D620" w14:textId="77777777" w:rsidR="00AD4CA1" w:rsidRPr="00AD4CA1" w:rsidRDefault="00AD4CA1" w:rsidP="00AD4CA1">
            <w:r w:rsidRPr="00AD4CA1">
              <w:t>3 седмици -</w:t>
            </w:r>
          </w:p>
          <w:p w14:paraId="470FDA65" w14:textId="50C44AE3" w:rsidR="00AD4CA1" w:rsidRPr="00AD4CA1" w:rsidRDefault="00AD4CA1" w:rsidP="00AD4CA1">
            <w:r w:rsidRPr="00AD4CA1">
              <w:t>7 месеца</w:t>
            </w:r>
          </w:p>
        </w:tc>
        <w:tc>
          <w:tcPr>
            <w:tcW w:w="2338" w:type="dxa"/>
            <w:vAlign w:val="bottom"/>
          </w:tcPr>
          <w:p w14:paraId="463A22D7" w14:textId="1579C853" w:rsidR="00AD4CA1" w:rsidRPr="00AD4CA1" w:rsidRDefault="00AD4CA1" w:rsidP="00AD4CA1">
            <w:r w:rsidRPr="00AD4CA1">
              <w:t xml:space="preserve">При инвазивно или дисеминирано заболяване, увеличете до 2 капсули два пъти дневно (сутрин и вечер) (еквивалентно на </w:t>
            </w:r>
            <w:r w:rsidRPr="00AD4CA1">
              <w:lastRenderedPageBreak/>
              <w:t xml:space="preserve">400 </w:t>
            </w:r>
            <w:r w:rsidRPr="00AD4CA1">
              <w:rPr>
                <w:lang w:val="en-US"/>
              </w:rPr>
              <w:t xml:space="preserve">mg </w:t>
            </w:r>
            <w:r w:rsidRPr="00AD4CA1">
              <w:t>итраконазол)</w:t>
            </w:r>
          </w:p>
        </w:tc>
      </w:tr>
      <w:tr w:rsidR="00AD4CA1" w14:paraId="5952FB6E" w14:textId="77777777" w:rsidTr="001E3C50">
        <w:tc>
          <w:tcPr>
            <w:tcW w:w="2337" w:type="dxa"/>
          </w:tcPr>
          <w:p w14:paraId="1A6CF6B7" w14:textId="7C06D42B" w:rsidR="00AD4CA1" w:rsidRPr="00AD4CA1" w:rsidRDefault="00AD4CA1" w:rsidP="00AD4CA1">
            <w:r w:rsidRPr="00AD4CA1">
              <w:rPr>
                <w:b/>
                <w:bCs/>
              </w:rPr>
              <w:lastRenderedPageBreak/>
              <w:t>Хистоплазмоза</w:t>
            </w:r>
          </w:p>
        </w:tc>
        <w:tc>
          <w:tcPr>
            <w:tcW w:w="2337" w:type="dxa"/>
            <w:vAlign w:val="bottom"/>
          </w:tcPr>
          <w:p w14:paraId="614184A0" w14:textId="2D06626B" w:rsidR="00AD4CA1" w:rsidRPr="00AD4CA1" w:rsidRDefault="00AD4CA1" w:rsidP="00AD4CA1">
            <w:r w:rsidRPr="00AD4CA1">
              <w:t xml:space="preserve">2 капсули веднъж дневно до два пъти дневно (сутрин и вечер) (еквивалентно на 200-400 </w:t>
            </w:r>
            <w:r w:rsidRPr="00AD4CA1">
              <w:rPr>
                <w:lang w:val="en-US"/>
              </w:rPr>
              <w:t xml:space="preserve">mg </w:t>
            </w:r>
            <w:r w:rsidRPr="00AD4CA1">
              <w:t>итраконазол)</w:t>
            </w:r>
          </w:p>
        </w:tc>
        <w:tc>
          <w:tcPr>
            <w:tcW w:w="2338" w:type="dxa"/>
          </w:tcPr>
          <w:p w14:paraId="2989C62B" w14:textId="68FA72D1" w:rsidR="00AD4CA1" w:rsidRPr="00AD4CA1" w:rsidRDefault="00AD4CA1" w:rsidP="00AD4CA1">
            <w:r w:rsidRPr="00AD4CA1">
              <w:t>8 месеца</w:t>
            </w:r>
          </w:p>
        </w:tc>
        <w:tc>
          <w:tcPr>
            <w:tcW w:w="2338" w:type="dxa"/>
          </w:tcPr>
          <w:p w14:paraId="25842382" w14:textId="77777777" w:rsidR="00AD4CA1" w:rsidRPr="00AD4CA1" w:rsidRDefault="00AD4CA1" w:rsidP="00AD4CA1"/>
        </w:tc>
      </w:tr>
    </w:tbl>
    <w:p w14:paraId="2CAA65F6" w14:textId="2FA5BD5A" w:rsidR="00AD4CA1" w:rsidRDefault="00AD4CA1" w:rsidP="0091385D"/>
    <w:p w14:paraId="2ADEB9D7"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vertAlign w:val="superscript"/>
          <w:lang w:eastAsia="bg-BG"/>
        </w:rPr>
        <w:t>1</w:t>
      </w:r>
      <w:r w:rsidRPr="00193F0A">
        <w:rPr>
          <w:rFonts w:eastAsia="Times New Roman" w:cs="Arial"/>
          <w:color w:val="000000"/>
          <w:lang w:eastAsia="bg-BG"/>
        </w:rPr>
        <w:t xml:space="preserve"> Продължителността на лечението трябва да се регулира в зависимост от клиничната ефикасност.</w:t>
      </w:r>
    </w:p>
    <w:p w14:paraId="26DBBE73" w14:textId="77777777" w:rsidR="00193F0A" w:rsidRPr="00DC16D1" w:rsidRDefault="00193F0A" w:rsidP="00193F0A">
      <w:pPr>
        <w:spacing w:line="240" w:lineRule="auto"/>
        <w:rPr>
          <w:rFonts w:eastAsia="Times New Roman" w:cs="Arial"/>
          <w:i/>
          <w:iCs/>
          <w:color w:val="000000"/>
          <w:lang w:eastAsia="bg-BG"/>
        </w:rPr>
      </w:pPr>
    </w:p>
    <w:p w14:paraId="3D8C406D" w14:textId="736939CF"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Педиатрична популация</w:t>
      </w:r>
    </w:p>
    <w:p w14:paraId="48906ED6"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Тъй като клиничният опит от употребата на итраконазол в педиатричната популация е ограничен, приложението му при деца не се препоръчва, освен ако потенциалните ползи превъзхождат възможните рискове (вж. точка 4.4).</w:t>
      </w:r>
    </w:p>
    <w:p w14:paraId="67F8EE64"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Профилактика на гъбични инфекции: липсват данни за ефикасността при деца с неутропения.</w:t>
      </w:r>
    </w:p>
    <w:p w14:paraId="53DE6CAF"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 xml:space="preserve">Има ограничен опит относно безопасността при доза от 5 </w:t>
      </w:r>
      <w:r w:rsidRPr="00193F0A">
        <w:rPr>
          <w:rFonts w:eastAsia="Times New Roman" w:cs="Arial"/>
          <w:color w:val="000000"/>
          <w:lang w:val="en-US"/>
        </w:rPr>
        <w:t xml:space="preserve">mg/kg </w:t>
      </w:r>
      <w:r w:rsidRPr="00193F0A">
        <w:rPr>
          <w:rFonts w:eastAsia="Times New Roman" w:cs="Arial"/>
          <w:color w:val="000000"/>
          <w:lang w:eastAsia="bg-BG"/>
        </w:rPr>
        <w:t>на ден, разпределена в два приема (вж. точка 4.8).</w:t>
      </w:r>
    </w:p>
    <w:p w14:paraId="47CF3676" w14:textId="77777777" w:rsidR="00193F0A" w:rsidRPr="00DC16D1" w:rsidRDefault="00193F0A" w:rsidP="00193F0A">
      <w:pPr>
        <w:spacing w:line="240" w:lineRule="auto"/>
        <w:rPr>
          <w:rFonts w:eastAsia="Times New Roman" w:cs="Arial"/>
          <w:i/>
          <w:iCs/>
          <w:color w:val="000000"/>
          <w:lang w:eastAsia="bg-BG"/>
        </w:rPr>
      </w:pPr>
    </w:p>
    <w:p w14:paraId="16FC672B" w14:textId="14597AF8"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Употреба при пациенти в старческа възраст</w:t>
      </w:r>
    </w:p>
    <w:p w14:paraId="6C0E9E2E"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Поради ограничените данни относно употребата на итраконазол при пациенти в</w:t>
      </w:r>
      <w:r w:rsidRPr="00193F0A">
        <w:rPr>
          <w:rFonts w:eastAsia="Times New Roman" w:cs="Arial"/>
          <w:color w:val="000000"/>
          <w:lang w:val="en-US"/>
        </w:rPr>
        <w:t xml:space="preserve"> </w:t>
      </w:r>
      <w:r w:rsidRPr="00193F0A">
        <w:rPr>
          <w:rFonts w:eastAsia="Times New Roman" w:cs="Arial"/>
          <w:color w:val="000000"/>
          <w:lang w:eastAsia="bg-BG"/>
        </w:rPr>
        <w:t>страческа</w:t>
      </w:r>
    </w:p>
    <w:p w14:paraId="07D74872"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възраст, приложението при такива пациенти не се препоръчва, освен ако потенциалната полза е по-голяма от възможния риск (вж. точка 4.4)</w:t>
      </w:r>
    </w:p>
    <w:p w14:paraId="6902E918" w14:textId="77777777" w:rsidR="00193F0A" w:rsidRPr="00193F0A" w:rsidRDefault="00193F0A" w:rsidP="00193F0A">
      <w:pPr>
        <w:spacing w:line="240" w:lineRule="auto"/>
        <w:rPr>
          <w:rFonts w:eastAsia="Times New Roman" w:cs="Arial"/>
          <w:sz w:val="24"/>
          <w:szCs w:val="24"/>
          <w:lang w:eastAsia="bg-BG"/>
        </w:rPr>
      </w:pPr>
    </w:p>
    <w:p w14:paraId="2FB539F4"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Употреба при пациенти с нарушена бъбречна функция</w:t>
      </w:r>
    </w:p>
    <w:p w14:paraId="5B97BB11" w14:textId="77777777" w:rsidR="00193F0A" w:rsidRPr="00DC16D1" w:rsidRDefault="00193F0A" w:rsidP="00193F0A">
      <w:pPr>
        <w:rPr>
          <w:rFonts w:eastAsia="Times New Roman" w:cs="Arial"/>
          <w:sz w:val="24"/>
          <w:szCs w:val="24"/>
          <w:lang w:eastAsia="bg-BG"/>
        </w:rPr>
      </w:pPr>
      <w:r w:rsidRPr="00DC16D1">
        <w:rPr>
          <w:rFonts w:eastAsia="Times New Roman" w:cs="Arial"/>
          <w:color w:val="000000"/>
          <w:lang w:eastAsia="bg-BG"/>
        </w:rPr>
        <w:t>Бионаличността при перорален прием на итраконазол може да бъде намалена при пациенти с</w:t>
      </w:r>
      <w:r w:rsidRPr="00DC16D1">
        <w:rPr>
          <w:rFonts w:eastAsia="Times New Roman" w:cs="Arial"/>
          <w:color w:val="000000"/>
          <w:lang w:val="en-US" w:eastAsia="bg-BG"/>
        </w:rPr>
        <w:t xml:space="preserve"> </w:t>
      </w:r>
      <w:r w:rsidRPr="00DC16D1">
        <w:rPr>
          <w:rFonts w:eastAsia="Times New Roman" w:cs="Arial"/>
          <w:color w:val="000000"/>
          <w:lang w:eastAsia="bg-BG"/>
        </w:rPr>
        <w:t>бъбречна недостатъчност. Трябва да се помисли за корекция на дозата (вж. точка 4.4).</w:t>
      </w:r>
    </w:p>
    <w:p w14:paraId="1E05589E" w14:textId="77777777" w:rsidR="00193F0A" w:rsidRPr="00DC16D1" w:rsidRDefault="00193F0A" w:rsidP="00193F0A">
      <w:pPr>
        <w:spacing w:line="240" w:lineRule="auto"/>
        <w:rPr>
          <w:rFonts w:eastAsia="Times New Roman" w:cs="Arial"/>
          <w:i/>
          <w:iCs/>
          <w:color w:val="000000"/>
          <w:lang w:eastAsia="bg-BG"/>
        </w:rPr>
      </w:pPr>
    </w:p>
    <w:p w14:paraId="66F07036" w14:textId="454FB5FC"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Употреба при пациенти с нарушена чернодробна функция</w:t>
      </w:r>
    </w:p>
    <w:p w14:paraId="310DBD2E"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Итраконазол се метаболизира предимно в черния дроб. При пациенти с хепатоцироза, крайният полуживот на итраконазол е леко удължен и бионаличността при перорален прием на итраконазол е леко намалена. Трябва да се помисли за корекция на дозата (вж. точка 4.4).</w:t>
      </w:r>
    </w:p>
    <w:p w14:paraId="0E69E607" w14:textId="77777777" w:rsidR="00193F0A" w:rsidRPr="00DC16D1" w:rsidRDefault="00193F0A" w:rsidP="00193F0A">
      <w:pPr>
        <w:spacing w:line="240" w:lineRule="auto"/>
        <w:rPr>
          <w:rFonts w:eastAsia="Times New Roman" w:cs="Arial"/>
          <w:color w:val="000000"/>
          <w:u w:val="single"/>
          <w:lang w:eastAsia="bg-BG"/>
        </w:rPr>
      </w:pPr>
    </w:p>
    <w:p w14:paraId="771F6752" w14:textId="4E257798" w:rsidR="00193F0A" w:rsidRPr="00DC16D1" w:rsidRDefault="00193F0A" w:rsidP="00DC16D1">
      <w:pPr>
        <w:pStyle w:val="Heading3"/>
        <w:rPr>
          <w:rFonts w:eastAsia="Times New Roman"/>
          <w:u w:val="single"/>
          <w:lang w:eastAsia="bg-BG"/>
        </w:rPr>
      </w:pPr>
      <w:r w:rsidRPr="00DC16D1">
        <w:rPr>
          <w:rFonts w:eastAsia="Times New Roman"/>
          <w:u w:val="single"/>
          <w:lang w:eastAsia="bg-BG"/>
        </w:rPr>
        <w:t>Начин на приложение</w:t>
      </w:r>
    </w:p>
    <w:p w14:paraId="045DFA71" w14:textId="0ACBBE49" w:rsidR="00193F0A" w:rsidRPr="00DC16D1" w:rsidRDefault="00193F0A" w:rsidP="00193F0A">
      <w:pPr>
        <w:rPr>
          <w:rFonts w:cs="Arial"/>
          <w:lang w:val="en-US"/>
        </w:rPr>
      </w:pPr>
      <w:r w:rsidRPr="00DC16D1">
        <w:rPr>
          <w:rFonts w:eastAsia="Times New Roman" w:cs="Arial"/>
          <w:color w:val="000000"/>
          <w:lang w:eastAsia="bg-BG"/>
        </w:rPr>
        <w:t>Капсулите трябва да се приемат без да се дъвчат с малко течност след хранене, за да се постигне максимална абсорбция.</w:t>
      </w:r>
    </w:p>
    <w:p w14:paraId="6407DE37" w14:textId="77777777" w:rsidR="00AD4CA1" w:rsidRPr="0091385D" w:rsidRDefault="00AD4CA1"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56CA21C7" w14:textId="77777777" w:rsidR="00193F0A" w:rsidRPr="00DC16D1" w:rsidRDefault="00193F0A" w:rsidP="00193F0A">
      <w:pPr>
        <w:pStyle w:val="ListParagraph"/>
        <w:numPr>
          <w:ilvl w:val="0"/>
          <w:numId w:val="37"/>
        </w:numPr>
        <w:spacing w:line="240" w:lineRule="auto"/>
        <w:rPr>
          <w:rFonts w:eastAsia="Times New Roman" w:cs="Arial"/>
          <w:color w:val="000000"/>
          <w:lang w:eastAsia="bg-BG"/>
        </w:rPr>
      </w:pPr>
      <w:r w:rsidRPr="00DC16D1">
        <w:rPr>
          <w:rFonts w:eastAsia="Times New Roman" w:cs="Arial"/>
          <w:color w:val="000000"/>
          <w:lang w:eastAsia="bg-BG"/>
        </w:rPr>
        <w:t>Фунгофунал е противопоказан при пациенти с известна свръхчувствителност към активното вещество или някое от помощните вещества, изброени в точка 6.1</w:t>
      </w:r>
    </w:p>
    <w:p w14:paraId="6BB049F1" w14:textId="77777777" w:rsidR="00193F0A" w:rsidRPr="00DC16D1" w:rsidRDefault="00193F0A" w:rsidP="00193F0A">
      <w:pPr>
        <w:pStyle w:val="ListParagraph"/>
        <w:numPr>
          <w:ilvl w:val="0"/>
          <w:numId w:val="37"/>
        </w:numPr>
        <w:spacing w:line="240" w:lineRule="auto"/>
        <w:rPr>
          <w:rFonts w:eastAsia="Times New Roman" w:cs="Arial"/>
          <w:color w:val="000000"/>
          <w:lang w:eastAsia="bg-BG"/>
        </w:rPr>
      </w:pPr>
      <w:r w:rsidRPr="00DC16D1">
        <w:rPr>
          <w:rFonts w:eastAsia="Times New Roman" w:cs="Arial"/>
          <w:color w:val="000000"/>
          <w:lang w:eastAsia="bg-BG"/>
        </w:rPr>
        <w:t xml:space="preserve">Едновременното приложение на няколко субстрати на </w:t>
      </w:r>
      <w:r w:rsidRPr="00DC16D1">
        <w:rPr>
          <w:rFonts w:eastAsia="Times New Roman" w:cs="Arial"/>
          <w:color w:val="000000"/>
          <w:lang w:val="en-US"/>
        </w:rPr>
        <w:t xml:space="preserve">CYP3A4 </w:t>
      </w:r>
      <w:r w:rsidRPr="00DC16D1">
        <w:rPr>
          <w:rFonts w:eastAsia="Times New Roman" w:cs="Arial"/>
          <w:color w:val="000000"/>
          <w:lang w:eastAsia="bg-BG"/>
        </w:rPr>
        <w:t xml:space="preserve">е противопоказано с Фунгофунал. Повишаването на плазмените концентрации на тези активни </w:t>
      </w:r>
      <w:r w:rsidRPr="00DC16D1">
        <w:rPr>
          <w:rFonts w:eastAsia="Times New Roman" w:cs="Arial"/>
          <w:color w:val="000000"/>
          <w:lang w:eastAsia="bg-BG"/>
        </w:rPr>
        <w:lastRenderedPageBreak/>
        <w:t xml:space="preserve">съставки, поради едновременния прием на итраконазол, може да усили или да удължи терапевтичните ефекти и нежеланите реакции до такава степен, при която е възможно настъпването на сериозни състояния. Например, повишаването на плазмените концентрации на някои от тези активни съставки може да доведе до удължаване на </w:t>
      </w:r>
      <w:r w:rsidRPr="00DC16D1">
        <w:rPr>
          <w:rFonts w:eastAsia="Times New Roman" w:cs="Arial"/>
          <w:color w:val="000000"/>
          <w:lang w:val="en-US"/>
        </w:rPr>
        <w:t xml:space="preserve">QT </w:t>
      </w:r>
      <w:r w:rsidRPr="00DC16D1">
        <w:rPr>
          <w:rFonts w:eastAsia="Times New Roman" w:cs="Arial"/>
          <w:color w:val="000000"/>
          <w:lang w:eastAsia="bg-BG"/>
        </w:rPr>
        <w:t xml:space="preserve">интервала и до тахиаритмии, в т.ч. </w:t>
      </w:r>
      <w:proofErr w:type="gramStart"/>
      <w:r w:rsidRPr="00DC16D1">
        <w:rPr>
          <w:rFonts w:eastAsia="Times New Roman" w:cs="Arial"/>
          <w:i/>
          <w:iCs/>
          <w:color w:val="000000"/>
          <w:lang w:val="en-US"/>
        </w:rPr>
        <w:t>torsade</w:t>
      </w:r>
      <w:proofErr w:type="gramEnd"/>
      <w:r w:rsidRPr="00DC16D1">
        <w:rPr>
          <w:rFonts w:eastAsia="Times New Roman" w:cs="Arial"/>
          <w:i/>
          <w:iCs/>
          <w:color w:val="000000"/>
          <w:lang w:val="en-US"/>
        </w:rPr>
        <w:t xml:space="preserve"> de points,</w:t>
      </w:r>
      <w:r w:rsidRPr="00DC16D1">
        <w:rPr>
          <w:rFonts w:eastAsia="Times New Roman" w:cs="Arial"/>
          <w:color w:val="000000"/>
          <w:lang w:val="en-US"/>
        </w:rPr>
        <w:t xml:space="preserve"> </w:t>
      </w:r>
      <w:r w:rsidRPr="00DC16D1">
        <w:rPr>
          <w:rFonts w:eastAsia="Times New Roman" w:cs="Arial"/>
          <w:color w:val="000000"/>
          <w:lang w:eastAsia="bg-BG"/>
        </w:rPr>
        <w:t>която е аритмия с възможен летален изход. Конкретни примери са посочени в точка 4.5.</w:t>
      </w:r>
    </w:p>
    <w:p w14:paraId="1E4D152F" w14:textId="77777777" w:rsidR="00193F0A" w:rsidRPr="00DC16D1" w:rsidRDefault="00193F0A" w:rsidP="00193F0A">
      <w:pPr>
        <w:pStyle w:val="ListParagraph"/>
        <w:numPr>
          <w:ilvl w:val="0"/>
          <w:numId w:val="37"/>
        </w:numPr>
        <w:spacing w:line="240" w:lineRule="auto"/>
        <w:rPr>
          <w:rFonts w:eastAsia="Times New Roman" w:cs="Arial"/>
          <w:color w:val="000000"/>
          <w:lang w:eastAsia="bg-BG"/>
        </w:rPr>
      </w:pPr>
      <w:r w:rsidRPr="00DC16D1">
        <w:rPr>
          <w:rFonts w:eastAsia="Times New Roman" w:cs="Arial"/>
          <w:color w:val="000000"/>
          <w:lang w:eastAsia="bg-BG"/>
        </w:rPr>
        <w:t>Фунгофунал не трябва да се прилага при пациенти с признаци на камерна дисфункция, като застойна сърдечна недостатъчност или анамнеза за сърдечна недостатъчност, с изключение на лечението на животозастрашаващи или други тежки инфекции (вж. точка 4.4).</w:t>
      </w:r>
    </w:p>
    <w:p w14:paraId="7B21845D" w14:textId="77777777" w:rsidR="00193F0A" w:rsidRPr="00DC16D1" w:rsidRDefault="00193F0A" w:rsidP="00193F0A">
      <w:pPr>
        <w:pStyle w:val="ListParagraph"/>
        <w:numPr>
          <w:ilvl w:val="0"/>
          <w:numId w:val="37"/>
        </w:numPr>
        <w:spacing w:line="240" w:lineRule="auto"/>
        <w:rPr>
          <w:rFonts w:eastAsia="Times New Roman" w:cs="Arial"/>
          <w:color w:val="000000"/>
          <w:lang w:eastAsia="bg-BG"/>
        </w:rPr>
      </w:pPr>
      <w:r w:rsidRPr="00DC16D1">
        <w:rPr>
          <w:rFonts w:eastAsia="Times New Roman" w:cs="Arial"/>
          <w:color w:val="000000"/>
          <w:lang w:eastAsia="bg-BG"/>
        </w:rPr>
        <w:t>Фунгофунал не трябва да се прилага по време на бременност, освен при живото</w:t>
      </w:r>
      <w:r w:rsidRPr="00DC16D1">
        <w:rPr>
          <w:rFonts w:eastAsia="Times New Roman" w:cs="Arial"/>
          <w:color w:val="000000"/>
          <w:lang w:eastAsia="bg-BG"/>
        </w:rPr>
        <w:softHyphen/>
        <w:t>застрашаващи състояния (вж. точка 4.6)</w:t>
      </w:r>
    </w:p>
    <w:p w14:paraId="030B6A4D" w14:textId="7BDA2745" w:rsidR="00EC41ED" w:rsidRPr="00DC16D1" w:rsidRDefault="00193F0A" w:rsidP="00193F0A">
      <w:pPr>
        <w:pStyle w:val="ListParagraph"/>
        <w:numPr>
          <w:ilvl w:val="0"/>
          <w:numId w:val="37"/>
        </w:numPr>
        <w:spacing w:line="240" w:lineRule="auto"/>
        <w:rPr>
          <w:rFonts w:eastAsia="Times New Roman" w:cs="Arial"/>
          <w:color w:val="000000"/>
          <w:lang w:eastAsia="bg-BG"/>
        </w:rPr>
      </w:pPr>
      <w:r w:rsidRPr="00DC16D1">
        <w:rPr>
          <w:rFonts w:eastAsia="Times New Roman" w:cs="Arial"/>
          <w:color w:val="000000"/>
          <w:lang w:eastAsia="bg-BG"/>
        </w:rPr>
        <w:t>Жените с детероден потенциал, които приемат итраконазол, трябва да прилагат контрацептивни мерки. Приложението на ефективни контрацептивни средства трябва да продължи до менструацията след края на лечението с итраконазол.</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5CB047E6"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Кръстосана свръхчувствителност</w:t>
      </w:r>
    </w:p>
    <w:p w14:paraId="71C321C9"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Няма данни относно кръстосана свръхчувствителност между итраконазол и друго азолно противогъбично средство. С повишено внимание трябва да се предписва итраконазол капсули на пациенти със свръхчувствителност към други азолни средства.</w:t>
      </w:r>
    </w:p>
    <w:p w14:paraId="7169D4F7" w14:textId="77777777" w:rsidR="00193F0A" w:rsidRPr="00DC16D1" w:rsidRDefault="00193F0A" w:rsidP="00193F0A">
      <w:pPr>
        <w:spacing w:line="240" w:lineRule="auto"/>
        <w:rPr>
          <w:rFonts w:eastAsia="Times New Roman" w:cs="Arial"/>
          <w:i/>
          <w:iCs/>
          <w:color w:val="000000"/>
          <w:lang w:eastAsia="bg-BG"/>
        </w:rPr>
      </w:pPr>
    </w:p>
    <w:p w14:paraId="65F4170D" w14:textId="368397F8"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Сърдечни ефекти</w:t>
      </w:r>
    </w:p>
    <w:p w14:paraId="60253173"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При проучване при здрави доброволци с интравенозното приложение на итраконазол е наблюдавано преходно безсимптомно намаляване на левокамерната фракция на изтласкване; тези промени са отзвучали до следващото интравенозно приложение. Клиничната значимост на тези наблюдения по отношение на пероралните форми е неизвестна.</w:t>
      </w:r>
    </w:p>
    <w:p w14:paraId="0DE6FFEB"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 xml:space="preserve">Установено е, че итраконазол проявява отрицателен инотропен ефект и приложението на итраконазол се свързва със съобщения за застойна сърдечна недостатъчност. При спонтанни съобщения по-често се наблюдава сърдечна недостатъчност с обща дневна доза от 400 </w:t>
      </w:r>
      <w:r w:rsidRPr="00193F0A">
        <w:rPr>
          <w:rFonts w:eastAsia="Times New Roman" w:cs="Arial"/>
          <w:color w:val="000000"/>
          <w:lang w:val="en-US"/>
        </w:rPr>
        <w:t xml:space="preserve">mg, </w:t>
      </w:r>
      <w:r w:rsidRPr="00193F0A">
        <w:rPr>
          <w:rFonts w:eastAsia="Times New Roman" w:cs="Arial"/>
          <w:color w:val="000000"/>
          <w:lang w:eastAsia="bg-BG"/>
        </w:rPr>
        <w:t>отколкото при по-ниски дози, което предполага, че рискът от сърдечна недостатъчност може да се увеличава с обща дневна доза итраконазол.</w:t>
      </w:r>
    </w:p>
    <w:p w14:paraId="40470625" w14:textId="77777777" w:rsidR="00193F0A" w:rsidRPr="00DC16D1" w:rsidRDefault="00193F0A" w:rsidP="00193F0A">
      <w:pPr>
        <w:spacing w:line="240" w:lineRule="auto"/>
        <w:rPr>
          <w:rFonts w:eastAsia="Times New Roman" w:cs="Arial"/>
          <w:color w:val="000000"/>
          <w:lang w:eastAsia="bg-BG"/>
        </w:rPr>
      </w:pPr>
    </w:p>
    <w:p w14:paraId="71F48680" w14:textId="041BF9B3"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Итраконазол не трябва да се прилага при пациенти със застойна сърдечна недостатъчност или с анамнеза за застойна сърдечна недостатъчност, освен ако ползата надвишава значително рисковете. При тази индивидуална оценка на съотношението полза/риск трябва да се имат предвид фактори като тежест на показанието, схема на дозиране (т.е. обща дневна доза)</w:t>
      </w:r>
      <w:r w:rsidRPr="00193F0A">
        <w:rPr>
          <w:rFonts w:eastAsia="Times New Roman" w:cs="Arial"/>
          <w:color w:val="000000"/>
          <w:lang w:val="en-US"/>
        </w:rPr>
        <w:t xml:space="preserve"> </w:t>
      </w:r>
      <w:r w:rsidRPr="00193F0A">
        <w:rPr>
          <w:rFonts w:eastAsia="Times New Roman" w:cs="Arial"/>
          <w:color w:val="000000"/>
          <w:lang w:eastAsia="bg-BG"/>
        </w:rPr>
        <w:t xml:space="preserve">и </w:t>
      </w:r>
    </w:p>
    <w:p w14:paraId="01DFCC3F" w14:textId="77777777" w:rsidR="00193F0A" w:rsidRPr="00DC16D1" w:rsidRDefault="00193F0A" w:rsidP="00193F0A">
      <w:pPr>
        <w:rPr>
          <w:rFonts w:eastAsia="Times New Roman" w:cs="Arial"/>
          <w:sz w:val="24"/>
          <w:szCs w:val="24"/>
          <w:lang w:eastAsia="bg-BG"/>
        </w:rPr>
      </w:pPr>
      <w:r w:rsidRPr="00DC16D1">
        <w:rPr>
          <w:rFonts w:eastAsia="Times New Roman" w:cs="Arial"/>
          <w:color w:val="000000"/>
          <w:lang w:eastAsia="bg-BG"/>
        </w:rPr>
        <w:t>индивидуалните рискови фактори за застойна сърдечна недостатъчност. Тези рискови фактори включват сърдечни заболявания, като исхемична болест на сърцето и/или клапна болест на</w:t>
      </w:r>
      <w:r w:rsidRPr="00DC16D1">
        <w:rPr>
          <w:rFonts w:eastAsia="Times New Roman" w:cs="Arial"/>
          <w:color w:val="000000"/>
          <w:lang w:val="en-US" w:eastAsia="bg-BG"/>
        </w:rPr>
        <w:t xml:space="preserve"> </w:t>
      </w:r>
      <w:r w:rsidRPr="00DC16D1">
        <w:rPr>
          <w:rFonts w:eastAsia="Times New Roman" w:cs="Arial"/>
          <w:color w:val="000000"/>
          <w:lang w:eastAsia="bg-BG"/>
        </w:rPr>
        <w:t>сърцето; тежки белодробни заболявания, като хронична обструктивна белодробна болест; бъбречна недостатъчност и други заболявания, които могат да доведат до отоци. Тези пациенти трябва да бъдат информирани за признаците и симптомите на застойна сърдечна недостатъчност, трябва да бъдат лекувани с повишено внимание и трябва да се обърне внимание на признаците и симптомите на застойна сърдечна недостатъчност; ако възникнат такива признаци и симптоми, лечението с итраконазол трябва да се прекрати.</w:t>
      </w:r>
    </w:p>
    <w:p w14:paraId="59771569" w14:textId="77777777" w:rsidR="00193F0A" w:rsidRPr="00DC16D1" w:rsidRDefault="00193F0A" w:rsidP="00193F0A">
      <w:pPr>
        <w:spacing w:line="240" w:lineRule="auto"/>
        <w:rPr>
          <w:rFonts w:eastAsia="Times New Roman" w:cs="Arial"/>
          <w:color w:val="000000"/>
          <w:lang w:eastAsia="bg-BG"/>
        </w:rPr>
      </w:pPr>
    </w:p>
    <w:p w14:paraId="01AB302F" w14:textId="73DBFC9D"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Блокерите на калциевите канали могат да имат отрицателен инотропен ефект, което може да засили този ефект на итраконазол. Итраконазол може да инхибира метаболизма на блокерите на калциевите канали. Поради тази причина едновременното приложение на итраконазол и блокери на калциевите канали трябва да се извършва с повишено внимание (вж. точка 4.5), предвид на повишения риск от развитие на застойна сърдечна недостатъчност.</w:t>
      </w:r>
    </w:p>
    <w:p w14:paraId="59C4F446" w14:textId="77777777" w:rsidR="00193F0A" w:rsidRPr="00DC16D1" w:rsidRDefault="00193F0A" w:rsidP="00193F0A">
      <w:pPr>
        <w:spacing w:line="240" w:lineRule="auto"/>
        <w:rPr>
          <w:rFonts w:eastAsia="Times New Roman" w:cs="Arial"/>
          <w:i/>
          <w:iCs/>
          <w:color w:val="000000"/>
          <w:lang w:eastAsia="bg-BG"/>
        </w:rPr>
      </w:pPr>
    </w:p>
    <w:p w14:paraId="1F641D65" w14:textId="7414B732"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Ефект върху черния дроб</w:t>
      </w:r>
    </w:p>
    <w:p w14:paraId="5EC87D82"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След прием на итраконазол са настъпили много редки случаи на тежка хепатотоксичност, включително остра чернодробна недостатъчност с летален изход. В повечето случаи на тежка хепатотоксичност, въпросните пациенти са имали предшестващо чернодробно заболяване, са лекувани за системни показания, са имали значително влошаване на тяхното здраве от друг характер и/или са приемали други хепатотоксични лекарствени продукти. Някои от тези пациенти не са показвали явни рискови фактори за чернодробно заболяване. Някои от тези случаи са наблюдавани през първия месец от терапията, като някои от тях в рамките на първата седмица от терапията. При пациенти, приемащи итраконазол, трябва да се има предвид проследяване на чернодробната функция.</w:t>
      </w:r>
    </w:p>
    <w:p w14:paraId="4C83C3E9"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Пациентите трябва да бъдат инструктирани незабавно да информират лекаря си за признаци и симптоми на съмнение за хепатит като анорексия, гадене, повръщане, отпадналост, болки в корема или тъмна урина. Лечението трябва да се преустанови незабавно при тези пациенти и трябва да се наблюдава чернодробна функция.</w:t>
      </w:r>
    </w:p>
    <w:p w14:paraId="0232DB53" w14:textId="77777777" w:rsidR="00193F0A" w:rsidRPr="00DC16D1" w:rsidRDefault="00193F0A" w:rsidP="00193F0A">
      <w:pPr>
        <w:spacing w:line="240" w:lineRule="auto"/>
        <w:rPr>
          <w:rFonts w:eastAsia="Times New Roman" w:cs="Arial"/>
          <w:color w:val="000000"/>
          <w:lang w:eastAsia="bg-BG"/>
        </w:rPr>
      </w:pPr>
    </w:p>
    <w:p w14:paraId="75FF99C2" w14:textId="0E9B986A"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 xml:space="preserve">Данните за употребата на перорален интраконазол при пациенти с чернодробно увреждане са ограничени. Необходимо е повишено внимание когато лекарственият продукт се прилага при такива пациенти. Препоръчва се внимателно наблюдение на пациенти с нарушена чернодробна функция, приемащи итраконозол. Препоръчително е да се има предвид удълженият елиминационен полуживот на итраконазол, установен в клинично изпитване на еднократна перорална доза от итраконазол, капсули, при пациенти с цироза, когато се взема решение за започване на лечение с лекарства, които се метаболизират от </w:t>
      </w:r>
      <w:r w:rsidRPr="00193F0A">
        <w:rPr>
          <w:rFonts w:eastAsia="Times New Roman" w:cs="Arial"/>
          <w:color w:val="000000"/>
          <w:lang w:val="en-US"/>
        </w:rPr>
        <w:t>CYP3A4.</w:t>
      </w:r>
    </w:p>
    <w:p w14:paraId="34203DAF" w14:textId="77777777" w:rsidR="00193F0A" w:rsidRPr="00DC16D1" w:rsidRDefault="00193F0A" w:rsidP="00193F0A">
      <w:pPr>
        <w:spacing w:line="240" w:lineRule="auto"/>
        <w:rPr>
          <w:rFonts w:eastAsia="Times New Roman" w:cs="Arial"/>
          <w:color w:val="000000"/>
          <w:lang w:eastAsia="bg-BG"/>
        </w:rPr>
      </w:pPr>
    </w:p>
    <w:p w14:paraId="69BA98B1" w14:textId="66C524C3"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При пациенти с повишени или абнормни стойности на чернодробните ензими, активно чернодробно заболяване или при пациенти с хепатотоксично чернодробно заболяване след употреба на други лекарствени продукти, лечението с итраконазол е силно непрепоръчително, освен в при сериозни или живото-застрашаващи състояния, когато очакваната полза превишава риска. Препоръчва се наблюдение на чернодробната функция при пациенти със съществуващо нарушение на чернодробната функция или след преживяна хепатотоксичност при употреба на други лекарства (вж. точка 5.2).</w:t>
      </w:r>
    </w:p>
    <w:p w14:paraId="0703AF9A" w14:textId="77777777" w:rsidR="00193F0A" w:rsidRPr="00DC16D1" w:rsidRDefault="00193F0A" w:rsidP="00193F0A">
      <w:pPr>
        <w:spacing w:line="240" w:lineRule="auto"/>
        <w:rPr>
          <w:rFonts w:eastAsia="Times New Roman" w:cs="Arial"/>
          <w:i/>
          <w:iCs/>
          <w:color w:val="000000"/>
          <w:lang w:eastAsia="bg-BG"/>
        </w:rPr>
      </w:pPr>
    </w:p>
    <w:p w14:paraId="3680A9D3" w14:textId="487D3915"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Понижена стомашна киселинност</w:t>
      </w:r>
    </w:p>
    <w:p w14:paraId="00FFD03C"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В случай на понижена стомашна киселинност, резорбцията на итраконазол при приложение под формата на капсули е нарушена. При пациенти с понижена стомашна киселинност поради заболяване (напр. ахлорхидия) или съпътстващо медикаментозно лечение (напр. пациенти, приемащи лекарствени продукти, понижаващи стомашната киселинност) се препоръчва приложение на итраконазол под формата на капсули с киселинна напитка (напр. недиетична кола). Трябва да се проследява противогъбичната активност, а дозата на итраконазол да се повишава според необходимото (вж. точка 4.5).</w:t>
      </w:r>
    </w:p>
    <w:p w14:paraId="11A0F434" w14:textId="77777777" w:rsidR="00193F0A" w:rsidRPr="00DC16D1" w:rsidRDefault="00193F0A" w:rsidP="00193F0A">
      <w:pPr>
        <w:spacing w:line="240" w:lineRule="auto"/>
        <w:rPr>
          <w:rFonts w:eastAsia="Times New Roman" w:cs="Arial"/>
          <w:i/>
          <w:iCs/>
          <w:color w:val="000000"/>
          <w:lang w:eastAsia="bg-BG"/>
        </w:rPr>
      </w:pPr>
    </w:p>
    <w:p w14:paraId="70E43355" w14:textId="337459AC"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Педиатрична популация</w:t>
      </w:r>
    </w:p>
    <w:p w14:paraId="7D924427"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 xml:space="preserve">Има ограничени клинични данни за употреба на итраконазол при педиатрични пациенти. </w:t>
      </w:r>
    </w:p>
    <w:p w14:paraId="0E28BBDE" w14:textId="53EB2B2E" w:rsidR="007A2185" w:rsidRPr="00DC16D1" w:rsidRDefault="00193F0A" w:rsidP="00193F0A">
      <w:pPr>
        <w:rPr>
          <w:rFonts w:eastAsia="Times New Roman" w:cs="Arial"/>
          <w:color w:val="000000"/>
          <w:lang w:eastAsia="bg-BG"/>
        </w:rPr>
      </w:pPr>
      <w:r w:rsidRPr="00DC16D1">
        <w:rPr>
          <w:rFonts w:eastAsia="Times New Roman" w:cs="Arial"/>
          <w:color w:val="000000"/>
          <w:lang w:eastAsia="bg-BG"/>
        </w:rPr>
        <w:lastRenderedPageBreak/>
        <w:t>Фунгофунал не се препоръчва при педиатрични пациенти, освен ако се прецени, че възможната  полза превишава потенциалния риск.</w:t>
      </w:r>
    </w:p>
    <w:p w14:paraId="7FE45DEC" w14:textId="76F41B3F" w:rsidR="00193F0A" w:rsidRPr="00DC16D1" w:rsidRDefault="00193F0A" w:rsidP="00193F0A">
      <w:pPr>
        <w:rPr>
          <w:rFonts w:eastAsia="Times New Roman" w:cs="Arial"/>
          <w:color w:val="000000"/>
          <w:lang w:eastAsia="bg-BG"/>
        </w:rPr>
      </w:pPr>
    </w:p>
    <w:p w14:paraId="54C68C5D"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Употреба при пациенти в старческа възраст</w:t>
      </w:r>
    </w:p>
    <w:p w14:paraId="6003A28D"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Има ограничени клинични данни за употреба на Фунгофунал при пациенти в старческа възраст. Препоръчва се интраконазол капсули да се прилагат при тези пациенти, само ако се прецени, че възможната полза превишава възможните рискове. Като цяло е препоръчително да се има предвид избор на доза при възрастните пациенти, предвид на по-голямата честота на понижаване на чернодробната, бъбречна или сърдечната функция, както и на съпътстващо заболяване или терапия с други лекарствени продукти.</w:t>
      </w:r>
    </w:p>
    <w:p w14:paraId="423D87CD" w14:textId="77777777" w:rsidR="00193F0A" w:rsidRPr="00DC16D1" w:rsidRDefault="00193F0A" w:rsidP="00193F0A">
      <w:pPr>
        <w:spacing w:line="240" w:lineRule="auto"/>
        <w:rPr>
          <w:rFonts w:eastAsia="Times New Roman" w:cs="Arial"/>
          <w:i/>
          <w:iCs/>
          <w:color w:val="000000"/>
          <w:lang w:eastAsia="bg-BG"/>
        </w:rPr>
      </w:pPr>
    </w:p>
    <w:p w14:paraId="067FE21A" w14:textId="27A6BA15"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Нарушена бъбречна функция</w:t>
      </w:r>
    </w:p>
    <w:p w14:paraId="7311C1FB"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Има ограничени данни за перорална употреба на итраконазол при пациенти с нарушена бъбречна функция. Възможно е експозицията на итраконазол да е по-ниска при някои пациенти с бъбречна недостатъчност. Необходимо е повишено внимание, когато този лекарствен продукт се прилага при тези пациенти, и може да се има предвид корекция на дозата.</w:t>
      </w:r>
    </w:p>
    <w:p w14:paraId="57104EAA" w14:textId="77777777" w:rsidR="00193F0A" w:rsidRPr="00DC16D1" w:rsidRDefault="00193F0A" w:rsidP="00193F0A">
      <w:pPr>
        <w:spacing w:line="240" w:lineRule="auto"/>
        <w:rPr>
          <w:rFonts w:eastAsia="Times New Roman" w:cs="Arial"/>
          <w:i/>
          <w:iCs/>
          <w:color w:val="000000"/>
          <w:lang w:eastAsia="bg-BG"/>
        </w:rPr>
      </w:pPr>
    </w:p>
    <w:p w14:paraId="0B4B9F6A" w14:textId="6C2EB630"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Загуба на слуха</w:t>
      </w:r>
    </w:p>
    <w:p w14:paraId="6F2F6844"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Наблюдавана е преходна или трайна загуба на слуха при пациенти, лекувани с итраконазол.</w:t>
      </w:r>
    </w:p>
    <w:p w14:paraId="08BFF2D7"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Някои от тези случаи включват едновременно приложение на хинидин, което е противопоказано (вж. точка 4.5). Загубата на слуха обикновено отзвучава, когато лечението е спряно, но може да се задържи при някои пациенти.</w:t>
      </w:r>
    </w:p>
    <w:p w14:paraId="6975EDBF" w14:textId="77777777" w:rsidR="00193F0A" w:rsidRPr="00DC16D1" w:rsidRDefault="00193F0A" w:rsidP="00193F0A">
      <w:pPr>
        <w:spacing w:line="240" w:lineRule="auto"/>
        <w:rPr>
          <w:rFonts w:eastAsia="Times New Roman" w:cs="Arial"/>
          <w:i/>
          <w:iCs/>
          <w:color w:val="000000"/>
          <w:lang w:eastAsia="bg-BG"/>
        </w:rPr>
      </w:pPr>
    </w:p>
    <w:p w14:paraId="46D3D894" w14:textId="5F26AADE"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Имунокомпрометирани пациенти</w:t>
      </w:r>
    </w:p>
    <w:p w14:paraId="482881A1"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При някои имунокомпрометирани пациенти (например с неутропения, СПИН или след трансплантацията на органи) бионаличността на итраконазол капсули може да бъде намалена след перорално приложение.</w:t>
      </w:r>
    </w:p>
    <w:p w14:paraId="3B2A41AF" w14:textId="77777777" w:rsidR="00193F0A" w:rsidRPr="00DC16D1" w:rsidRDefault="00193F0A" w:rsidP="00193F0A">
      <w:pPr>
        <w:spacing w:line="240" w:lineRule="auto"/>
        <w:rPr>
          <w:rFonts w:eastAsia="Times New Roman" w:cs="Arial"/>
          <w:i/>
          <w:iCs/>
          <w:color w:val="000000"/>
          <w:lang w:eastAsia="bg-BG"/>
        </w:rPr>
      </w:pPr>
    </w:p>
    <w:p w14:paraId="5501CB7D" w14:textId="3A5DCA64"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Пациенти с остри животозастрашаващи системни гъбични инфекции</w:t>
      </w:r>
    </w:p>
    <w:p w14:paraId="40E8579F"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Поради фармакокинетичните му свойства (виж точка 5.2) не е препоръчително да се използва перорално итраконазол капсули за начално лечение на пациенти с остра животозастрашаваща системна микоза.</w:t>
      </w:r>
    </w:p>
    <w:p w14:paraId="3A6B1DAA" w14:textId="77777777" w:rsidR="00193F0A" w:rsidRPr="00DC16D1" w:rsidRDefault="00193F0A" w:rsidP="00193F0A">
      <w:pPr>
        <w:spacing w:line="240" w:lineRule="auto"/>
        <w:rPr>
          <w:rFonts w:eastAsia="Times New Roman" w:cs="Arial"/>
          <w:i/>
          <w:iCs/>
          <w:color w:val="000000"/>
          <w:lang w:eastAsia="bg-BG"/>
        </w:rPr>
      </w:pPr>
    </w:p>
    <w:p w14:paraId="2C76471B" w14:textId="0342F2D9"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Пациенти със СПИН</w:t>
      </w:r>
    </w:p>
    <w:p w14:paraId="50929034"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При пациенти със СПИН, които са лекувани за системни микози като споротрихоза, бластомикоза, хистоплазмоза или криптококоза (менингеална или неменингеална) и които са изложени на риск от рецидив, лекуващият лекар трябва да провери дали е необходима поддържаща терапия.</w:t>
      </w:r>
    </w:p>
    <w:p w14:paraId="30F006D5" w14:textId="77777777" w:rsidR="00193F0A" w:rsidRPr="00DC16D1" w:rsidRDefault="00193F0A" w:rsidP="00193F0A">
      <w:pPr>
        <w:spacing w:line="240" w:lineRule="auto"/>
        <w:rPr>
          <w:rFonts w:eastAsia="Times New Roman" w:cs="Arial"/>
          <w:i/>
          <w:iCs/>
          <w:color w:val="000000"/>
          <w:lang w:eastAsia="bg-BG"/>
        </w:rPr>
      </w:pPr>
    </w:p>
    <w:p w14:paraId="21B2F9FA" w14:textId="3E89362C"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Невропатия</w:t>
      </w:r>
    </w:p>
    <w:p w14:paraId="6A2CB28D"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Ако появата на невропатия се дължи на итраконазол, лечението трябва да се преустанови.</w:t>
      </w:r>
    </w:p>
    <w:p w14:paraId="4FCAB70B"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Кръстосана резистентност</w:t>
      </w:r>
    </w:p>
    <w:p w14:paraId="2EDD0973"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 xml:space="preserve">При системна кандидоза, ако се подозират резистентни към флуконазол щамове на </w:t>
      </w:r>
      <w:r w:rsidRPr="00193F0A">
        <w:rPr>
          <w:rFonts w:eastAsia="Times New Roman" w:cs="Arial"/>
          <w:i/>
          <w:iCs/>
          <w:color w:val="000000"/>
          <w:lang w:val="en-US"/>
        </w:rPr>
        <w:t>Candida</w:t>
      </w:r>
      <w:r w:rsidRPr="00193F0A">
        <w:rPr>
          <w:rFonts w:eastAsia="Times New Roman" w:cs="Arial"/>
          <w:color w:val="000000"/>
          <w:lang w:val="en-US"/>
        </w:rPr>
        <w:t xml:space="preserve"> sp., </w:t>
      </w:r>
      <w:r w:rsidRPr="00193F0A">
        <w:rPr>
          <w:rFonts w:eastAsia="Times New Roman" w:cs="Arial"/>
          <w:color w:val="000000"/>
          <w:lang w:eastAsia="bg-BG"/>
        </w:rPr>
        <w:t>може да се предположи, че те са нечувствителни на итраконазол, поради това тяхната чувствителност трябва да бъде тествана преди началото на терапия с итраконазол.</w:t>
      </w:r>
    </w:p>
    <w:p w14:paraId="04A16415" w14:textId="77777777" w:rsidR="00193F0A" w:rsidRPr="00DC16D1" w:rsidRDefault="00193F0A" w:rsidP="00193F0A">
      <w:pPr>
        <w:spacing w:line="240" w:lineRule="auto"/>
        <w:rPr>
          <w:rFonts w:eastAsia="Times New Roman" w:cs="Arial"/>
          <w:i/>
          <w:iCs/>
          <w:color w:val="000000"/>
          <w:lang w:eastAsia="bg-BG"/>
        </w:rPr>
      </w:pPr>
    </w:p>
    <w:p w14:paraId="70C03C31" w14:textId="24CA6C17"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Взаимозаменяемост</w:t>
      </w:r>
    </w:p>
    <w:p w14:paraId="19D22594"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lastRenderedPageBreak/>
        <w:t>Не се препоръчва размяна между итраконазол под формата на капсули и на перорален разтвор, тъй като експозицията на итраконазол е по-голяма при пероралния разтвор отколкото при капсулите, когато се прилага една и съща доза на активната съставка.</w:t>
      </w:r>
    </w:p>
    <w:p w14:paraId="07D22B0E" w14:textId="77777777" w:rsidR="00193F0A" w:rsidRPr="00DC16D1" w:rsidRDefault="00193F0A" w:rsidP="00193F0A">
      <w:pPr>
        <w:spacing w:line="240" w:lineRule="auto"/>
        <w:rPr>
          <w:rFonts w:eastAsia="Times New Roman" w:cs="Arial"/>
          <w:i/>
          <w:iCs/>
          <w:color w:val="000000"/>
          <w:lang w:eastAsia="bg-BG"/>
        </w:rPr>
      </w:pPr>
    </w:p>
    <w:p w14:paraId="2DF86952" w14:textId="416982F8" w:rsidR="00193F0A" w:rsidRPr="00193F0A" w:rsidRDefault="00193F0A" w:rsidP="00193F0A">
      <w:pPr>
        <w:spacing w:line="240" w:lineRule="auto"/>
        <w:rPr>
          <w:rFonts w:eastAsia="Times New Roman" w:cs="Arial"/>
          <w:sz w:val="24"/>
          <w:szCs w:val="24"/>
          <w:lang w:eastAsia="bg-BG"/>
        </w:rPr>
      </w:pPr>
      <w:r w:rsidRPr="00193F0A">
        <w:rPr>
          <w:rFonts w:eastAsia="Times New Roman" w:cs="Arial"/>
          <w:i/>
          <w:iCs/>
          <w:color w:val="000000"/>
          <w:lang w:eastAsia="bg-BG"/>
        </w:rPr>
        <w:t>Възможни взаимодействия</w:t>
      </w:r>
    </w:p>
    <w:p w14:paraId="2DED3E5D"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Едновременната употреба на определени лекарствени продукти с итраконазол може да доведе до промяна в ефикасността на итраконазол и/или на едновременно прилагания лекарствен продукт, живото-застрашаващи ефекти и/или внезапна смърт. Активните съставки, чиято употреба е  противопоказана, непрепоръчителна или препоръчителна в комбинация с итраконазол са посочени с точка 4.5.</w:t>
      </w:r>
    </w:p>
    <w:p w14:paraId="017E4BE2" w14:textId="77777777" w:rsidR="00193F0A" w:rsidRPr="00193F0A" w:rsidRDefault="00193F0A" w:rsidP="00193F0A">
      <w:pPr>
        <w:spacing w:line="240" w:lineRule="auto"/>
        <w:rPr>
          <w:rFonts w:eastAsia="Times New Roman" w:cs="Arial"/>
          <w:sz w:val="24"/>
          <w:szCs w:val="24"/>
          <w:lang w:eastAsia="bg-BG"/>
        </w:rPr>
      </w:pPr>
    </w:p>
    <w:p w14:paraId="0DC62B1D" w14:textId="4D8FAAF3" w:rsidR="00193F0A" w:rsidRPr="00DC16D1" w:rsidRDefault="00193F0A" w:rsidP="00193F0A">
      <w:pPr>
        <w:rPr>
          <w:rFonts w:eastAsia="Times New Roman" w:cs="Arial"/>
          <w:i/>
          <w:iCs/>
          <w:color w:val="000000"/>
          <w:lang w:eastAsia="bg-BG"/>
        </w:rPr>
      </w:pPr>
      <w:r w:rsidRPr="00DC16D1">
        <w:rPr>
          <w:rFonts w:eastAsia="Times New Roman" w:cs="Arial"/>
          <w:i/>
          <w:iCs/>
          <w:color w:val="000000"/>
          <w:lang w:eastAsia="bg-BG"/>
        </w:rPr>
        <w:t>Нарушения на въглехидратния метаболизъм</w:t>
      </w:r>
    </w:p>
    <w:p w14:paraId="1B9E0033" w14:textId="3385E548" w:rsidR="00193F0A" w:rsidRPr="00193F0A" w:rsidRDefault="00193F0A" w:rsidP="00193F0A">
      <w:pPr>
        <w:rPr>
          <w:lang w:val="en-US"/>
        </w:rPr>
      </w:pPr>
      <w:r>
        <w:t>Този лекарствен продукт съдържа захароза. Пациенти с редки наследствени проблеми на непоносимост към фруктоза, глюкозо-галактозна малабсорбция или захарозо-изомалтазна недостатъчност не трябва да приемат този лекарствен продукт.</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74385557"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 xml:space="preserve">Итраконазол се метаболизира основно чрез цитохрома </w:t>
      </w:r>
      <w:r w:rsidRPr="00193F0A">
        <w:rPr>
          <w:rFonts w:eastAsia="Times New Roman" w:cs="Arial"/>
          <w:color w:val="000000"/>
          <w:lang w:val="en-US"/>
        </w:rPr>
        <w:t xml:space="preserve">CYP3A4. </w:t>
      </w:r>
      <w:r w:rsidRPr="00193F0A">
        <w:rPr>
          <w:rFonts w:eastAsia="Times New Roman" w:cs="Arial"/>
          <w:color w:val="000000"/>
          <w:lang w:eastAsia="bg-BG"/>
        </w:rPr>
        <w:t xml:space="preserve">Други вещества, които или споделят същия път на метаболизиране, или променят активността на </w:t>
      </w:r>
      <w:r w:rsidRPr="00193F0A">
        <w:rPr>
          <w:rFonts w:eastAsia="Times New Roman" w:cs="Arial"/>
          <w:color w:val="000000"/>
          <w:lang w:val="en-US"/>
        </w:rPr>
        <w:t xml:space="preserve">CYP3A4, </w:t>
      </w:r>
      <w:r w:rsidRPr="00193F0A">
        <w:rPr>
          <w:rFonts w:eastAsia="Times New Roman" w:cs="Arial"/>
          <w:color w:val="000000"/>
          <w:lang w:eastAsia="bg-BG"/>
        </w:rPr>
        <w:t>могат да повлияят фармакокинетиката на итраконазол. По подобен начин итраконазол може да промени фармкокинетиката на други вещества, които споделят същият път на метаболизиране.</w:t>
      </w:r>
    </w:p>
    <w:p w14:paraId="302EEBB5"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 xml:space="preserve">Итраконазол е мощен инхибитор на </w:t>
      </w:r>
      <w:r w:rsidRPr="00193F0A">
        <w:rPr>
          <w:rFonts w:eastAsia="Times New Roman" w:cs="Arial"/>
          <w:color w:val="000000"/>
          <w:lang w:val="en-US"/>
        </w:rPr>
        <w:t xml:space="preserve">CYP3 </w:t>
      </w:r>
      <w:r w:rsidRPr="00193F0A">
        <w:rPr>
          <w:rFonts w:eastAsia="Times New Roman" w:cs="Arial"/>
          <w:color w:val="000000"/>
          <w:lang w:eastAsia="bg-BG"/>
        </w:rPr>
        <w:t>А4 и на Р-гликопротеина. При едновременна употреба на друго лекарство е препоръчително да се направи справка с неговата лекарствената информация относно пътя на метаболизиране и възможната нужда от коригиране на дозата.</w:t>
      </w:r>
    </w:p>
    <w:p w14:paraId="6928DA19" w14:textId="77777777" w:rsidR="00193F0A" w:rsidRPr="00DC16D1" w:rsidRDefault="00193F0A" w:rsidP="00193F0A">
      <w:pPr>
        <w:spacing w:line="240" w:lineRule="auto"/>
        <w:rPr>
          <w:rFonts w:eastAsia="Times New Roman" w:cs="Arial"/>
          <w:b/>
          <w:bCs/>
          <w:color w:val="000000"/>
          <w:lang w:eastAsia="bg-BG"/>
        </w:rPr>
      </w:pPr>
    </w:p>
    <w:p w14:paraId="13155766" w14:textId="765655DC" w:rsidR="00193F0A" w:rsidRPr="00193F0A" w:rsidRDefault="00193F0A" w:rsidP="00193F0A">
      <w:pPr>
        <w:spacing w:line="240" w:lineRule="auto"/>
        <w:rPr>
          <w:rFonts w:eastAsia="Times New Roman" w:cs="Arial"/>
          <w:sz w:val="24"/>
          <w:szCs w:val="24"/>
          <w:lang w:eastAsia="bg-BG"/>
        </w:rPr>
      </w:pPr>
      <w:r w:rsidRPr="00193F0A">
        <w:rPr>
          <w:rFonts w:eastAsia="Times New Roman" w:cs="Arial"/>
          <w:b/>
          <w:bCs/>
          <w:color w:val="000000"/>
          <w:lang w:eastAsia="bg-BG"/>
        </w:rPr>
        <w:t xml:space="preserve">Лекарствени продукти, които могат да понижат плазмената концентрация на итраконазол </w:t>
      </w:r>
      <w:r w:rsidRPr="00193F0A">
        <w:rPr>
          <w:rFonts w:eastAsia="Times New Roman" w:cs="Arial"/>
          <w:color w:val="000000"/>
          <w:lang w:eastAsia="bg-BG"/>
        </w:rPr>
        <w:t>Лекарствени продукти, които намаляват стомашната киселинност (напр. лекарства, неутрализиращи киселинността, като алуминиев хидроксид, или такива, които потискат киселинната секреция, като Н</w:t>
      </w:r>
      <w:r w:rsidRPr="00193F0A">
        <w:rPr>
          <w:rFonts w:eastAsia="Times New Roman" w:cs="Arial"/>
          <w:color w:val="000000"/>
          <w:vertAlign w:val="subscript"/>
          <w:lang w:eastAsia="bg-BG"/>
        </w:rPr>
        <w:t>2</w:t>
      </w:r>
      <w:r w:rsidRPr="00193F0A">
        <w:rPr>
          <w:rFonts w:eastAsia="Times New Roman" w:cs="Arial"/>
          <w:color w:val="000000"/>
          <w:lang w:eastAsia="bg-BG"/>
        </w:rPr>
        <w:t>-рецепторни антагонисти или инхибитори на протонната помпа) нарушават абсорбцията на итраконазол под формата на капсули. Препоръчва се повишено внимание при едновременната употреба на такива лекарствени продукти с итраконазол капсули.</w:t>
      </w:r>
    </w:p>
    <w:p w14:paraId="4B1C5FBF" w14:textId="77777777" w:rsidR="00193F0A" w:rsidRPr="00DC16D1" w:rsidRDefault="00193F0A" w:rsidP="00193F0A">
      <w:pPr>
        <w:spacing w:line="240" w:lineRule="auto"/>
        <w:rPr>
          <w:rFonts w:eastAsia="Times New Roman" w:cs="Arial"/>
          <w:color w:val="000000"/>
          <w:lang w:eastAsia="bg-BG"/>
        </w:rPr>
      </w:pPr>
    </w:p>
    <w:p w14:paraId="34C692F6" w14:textId="5F43E7B1"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Препоръчва се итраконазол да се приема с киселинна напитка (напр. недиетична кола) при приложение заедно с лекарствени продукти, намаляващи стомашната киселинност.</w:t>
      </w:r>
    </w:p>
    <w:p w14:paraId="6C04E012" w14:textId="77777777" w:rsidR="00193F0A" w:rsidRPr="00DC16D1" w:rsidRDefault="00193F0A" w:rsidP="00193F0A">
      <w:pPr>
        <w:spacing w:line="240" w:lineRule="auto"/>
        <w:rPr>
          <w:rFonts w:eastAsia="Times New Roman" w:cs="Arial"/>
          <w:color w:val="000000"/>
          <w:lang w:eastAsia="bg-BG"/>
        </w:rPr>
      </w:pPr>
    </w:p>
    <w:p w14:paraId="4100B5F8" w14:textId="1A91F230"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Препоръчва се лекарства, неутрализиращи киселинността (напр. алуминиев хидроксид), да се приемат поне 1 час преди или 2 часа след прием на итраконазол капсули.</w:t>
      </w:r>
    </w:p>
    <w:p w14:paraId="49F07DA3" w14:textId="77777777" w:rsidR="00193F0A" w:rsidRPr="00DC16D1" w:rsidRDefault="00193F0A" w:rsidP="00193F0A">
      <w:pPr>
        <w:spacing w:line="240" w:lineRule="auto"/>
        <w:rPr>
          <w:rFonts w:eastAsia="Times New Roman" w:cs="Arial"/>
          <w:color w:val="000000"/>
          <w:lang w:eastAsia="bg-BG"/>
        </w:rPr>
      </w:pPr>
    </w:p>
    <w:p w14:paraId="5351B353" w14:textId="1214FB11"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При едновременно приложение се препоръчва наблюдение на противогъбичната активност и повишение на дозата итраконазол при необходимост.</w:t>
      </w:r>
    </w:p>
    <w:p w14:paraId="5DE87320" w14:textId="77777777" w:rsidR="00193F0A" w:rsidRPr="00DC16D1" w:rsidRDefault="00193F0A" w:rsidP="00193F0A">
      <w:pPr>
        <w:spacing w:line="240" w:lineRule="auto"/>
        <w:rPr>
          <w:rFonts w:eastAsia="Times New Roman" w:cs="Arial"/>
          <w:color w:val="000000"/>
          <w:lang w:eastAsia="bg-BG"/>
        </w:rPr>
      </w:pPr>
    </w:p>
    <w:p w14:paraId="005954E4" w14:textId="2A10B47A"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 xml:space="preserve">Едновременната употреба на итраконазол с мощни ензимни индуктори на </w:t>
      </w:r>
      <w:r w:rsidRPr="00193F0A">
        <w:rPr>
          <w:rFonts w:eastAsia="Times New Roman" w:cs="Arial"/>
          <w:color w:val="000000"/>
          <w:lang w:val="en-US"/>
        </w:rPr>
        <w:t xml:space="preserve">CYP3A4 </w:t>
      </w:r>
      <w:r w:rsidRPr="00193F0A">
        <w:rPr>
          <w:rFonts w:eastAsia="Times New Roman" w:cs="Arial"/>
          <w:color w:val="000000"/>
          <w:lang w:eastAsia="bg-BG"/>
        </w:rPr>
        <w:t>може да намали бионаличността на итраконазол и хидрокси-итраконазол до такава степен, че ефикасността може да е значително нарушена. Примери за това са:</w:t>
      </w:r>
    </w:p>
    <w:p w14:paraId="382C17D6" w14:textId="77777777" w:rsidR="00193F0A" w:rsidRPr="00DC16D1" w:rsidRDefault="00193F0A" w:rsidP="00193F0A">
      <w:pPr>
        <w:spacing w:line="240" w:lineRule="auto"/>
        <w:rPr>
          <w:rFonts w:eastAsia="Times New Roman" w:cs="Arial"/>
          <w:color w:val="000000"/>
          <w:lang w:eastAsia="bg-BG"/>
        </w:rPr>
      </w:pPr>
    </w:p>
    <w:p w14:paraId="7E1A6B38" w14:textId="3995856A"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lastRenderedPageBreak/>
        <w:t>Антибактериални средства: изониазид, рифабутин (вж. също точка „Лекарствени продукти, чиято плазмена концентрация може да бъде повишена от итраконазол”), рифампицин.</w:t>
      </w:r>
    </w:p>
    <w:p w14:paraId="772EA571" w14:textId="77777777" w:rsidR="00193F0A" w:rsidRPr="00DC16D1" w:rsidRDefault="00193F0A" w:rsidP="00193F0A">
      <w:pPr>
        <w:spacing w:line="240" w:lineRule="auto"/>
        <w:rPr>
          <w:rFonts w:eastAsia="Times New Roman" w:cs="Arial"/>
          <w:color w:val="000000"/>
          <w:lang w:eastAsia="bg-BG"/>
        </w:rPr>
      </w:pPr>
    </w:p>
    <w:p w14:paraId="56902C9E" w14:textId="0E9B4EE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Антиконвулсанти: карбамазепин (вж. също точка „Лекарствени продукти, чиято плазмена концентрация може да бъде повишена от итраконазол”), фенобарбитал, фенитоин.</w:t>
      </w:r>
    </w:p>
    <w:p w14:paraId="053FCB05" w14:textId="77777777" w:rsidR="00193F0A" w:rsidRPr="00DC16D1" w:rsidRDefault="00193F0A" w:rsidP="00193F0A">
      <w:pPr>
        <w:spacing w:line="240" w:lineRule="auto"/>
        <w:rPr>
          <w:rFonts w:eastAsia="Times New Roman" w:cs="Arial"/>
          <w:color w:val="000000"/>
          <w:lang w:eastAsia="bg-BG"/>
        </w:rPr>
      </w:pPr>
    </w:p>
    <w:p w14:paraId="740C9990" w14:textId="538DE2BA"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Антивирусни средства: ефавиренц, невирапин.</w:t>
      </w:r>
    </w:p>
    <w:p w14:paraId="2AC3CCF7" w14:textId="77777777" w:rsidR="00193F0A" w:rsidRPr="00DC16D1" w:rsidRDefault="00193F0A" w:rsidP="00193F0A">
      <w:pPr>
        <w:spacing w:line="240" w:lineRule="auto"/>
        <w:rPr>
          <w:rFonts w:eastAsia="Times New Roman" w:cs="Arial"/>
          <w:color w:val="000000"/>
          <w:lang w:eastAsia="bg-BG"/>
        </w:rPr>
      </w:pPr>
    </w:p>
    <w:p w14:paraId="226C264C" w14:textId="07BE4E05"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 xml:space="preserve">Поради това не се препоръчва приложение на мощни индуктори на </w:t>
      </w:r>
      <w:r w:rsidRPr="00193F0A">
        <w:rPr>
          <w:rFonts w:eastAsia="Times New Roman" w:cs="Arial"/>
          <w:color w:val="000000"/>
          <w:lang w:val="en-US"/>
        </w:rPr>
        <w:t xml:space="preserve">CYP3A4 </w:t>
      </w:r>
      <w:r w:rsidRPr="00193F0A">
        <w:rPr>
          <w:rFonts w:eastAsia="Times New Roman" w:cs="Arial"/>
          <w:color w:val="000000"/>
          <w:lang w:eastAsia="bg-BG"/>
        </w:rPr>
        <w:t>с итраконазол. Препоръчително е да се избягва употребата на тези лекарствени продукти до 2 седмици преди и по време на лечение с итраконазол, освен ако ползите превишават риска за възможно намаляване ефикасността на итраконазол.</w:t>
      </w:r>
    </w:p>
    <w:p w14:paraId="1D8EBB90" w14:textId="77777777" w:rsidR="00193F0A" w:rsidRPr="00DC16D1" w:rsidRDefault="00193F0A" w:rsidP="00193F0A">
      <w:pPr>
        <w:spacing w:line="240" w:lineRule="auto"/>
        <w:rPr>
          <w:rFonts w:eastAsia="Times New Roman" w:cs="Arial"/>
          <w:color w:val="000000"/>
          <w:lang w:eastAsia="bg-BG"/>
        </w:rPr>
      </w:pPr>
    </w:p>
    <w:p w14:paraId="76E5910F" w14:textId="77777777" w:rsidR="00193F0A" w:rsidRPr="00DC16D1"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При едновременно приложение е препоръчително наблюдение на противогъбичната активност и повишаване дозата на итраконазол при необходимост.</w:t>
      </w:r>
      <w:bookmarkStart w:id="1" w:name="bookmark0"/>
    </w:p>
    <w:p w14:paraId="359B13C4" w14:textId="77777777" w:rsidR="00193F0A" w:rsidRPr="00DC16D1" w:rsidRDefault="00193F0A" w:rsidP="00193F0A">
      <w:pPr>
        <w:spacing w:line="240" w:lineRule="auto"/>
        <w:rPr>
          <w:rFonts w:eastAsia="Times New Roman" w:cs="Arial"/>
          <w:sz w:val="24"/>
          <w:szCs w:val="24"/>
          <w:lang w:eastAsia="bg-BG"/>
        </w:rPr>
      </w:pPr>
    </w:p>
    <w:p w14:paraId="3F0FD037" w14:textId="5FFADA71" w:rsidR="00193F0A" w:rsidRPr="00193F0A" w:rsidRDefault="00193F0A" w:rsidP="00193F0A">
      <w:pPr>
        <w:spacing w:line="240" w:lineRule="auto"/>
        <w:rPr>
          <w:rFonts w:eastAsia="Times New Roman" w:cs="Arial"/>
          <w:sz w:val="24"/>
          <w:szCs w:val="24"/>
          <w:lang w:eastAsia="bg-BG"/>
        </w:rPr>
      </w:pPr>
      <w:r w:rsidRPr="00193F0A">
        <w:rPr>
          <w:rFonts w:eastAsia="Times New Roman" w:cs="Arial"/>
          <w:b/>
          <w:bCs/>
          <w:color w:val="000000"/>
          <w:lang w:eastAsia="bg-BG"/>
        </w:rPr>
        <w:t>Лекарствени продукти, които могат да повишат плазмената концентрация на итраконазол</w:t>
      </w:r>
      <w:bookmarkEnd w:id="1"/>
    </w:p>
    <w:p w14:paraId="5CB3B275"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 xml:space="preserve">Мощни инхибитори на </w:t>
      </w:r>
      <w:r w:rsidRPr="00193F0A">
        <w:rPr>
          <w:rFonts w:eastAsia="Times New Roman" w:cs="Arial"/>
          <w:color w:val="000000"/>
          <w:lang w:val="en-US"/>
        </w:rPr>
        <w:t xml:space="preserve">CYP3A4 </w:t>
      </w:r>
      <w:r w:rsidRPr="00193F0A">
        <w:rPr>
          <w:rFonts w:eastAsia="Times New Roman" w:cs="Arial"/>
          <w:color w:val="000000"/>
          <w:lang w:eastAsia="bg-BG"/>
        </w:rPr>
        <w:t>могат да увеличат бионаличността на итраконазол. Примери за това са:</w:t>
      </w:r>
    </w:p>
    <w:p w14:paraId="6478980D" w14:textId="77777777" w:rsidR="00193F0A" w:rsidRPr="00DC16D1" w:rsidRDefault="00193F0A" w:rsidP="00193F0A">
      <w:pPr>
        <w:rPr>
          <w:rFonts w:eastAsia="Times New Roman" w:cs="Arial"/>
          <w:sz w:val="24"/>
          <w:szCs w:val="24"/>
          <w:lang w:eastAsia="bg-BG"/>
        </w:rPr>
      </w:pPr>
      <w:r w:rsidRPr="00193F0A">
        <w:rPr>
          <w:rFonts w:eastAsia="Times New Roman" w:cs="Arial"/>
          <w:color w:val="000000"/>
          <w:lang w:eastAsia="bg-BG"/>
        </w:rPr>
        <w:t xml:space="preserve">Антибактериални средства: ципрофлоксацин, кларитромицин, еритромицин. </w:t>
      </w:r>
      <w:r w:rsidRPr="00193F0A">
        <w:rPr>
          <w:rFonts w:eastAsia="Times New Roman" w:cs="Arial"/>
          <w:i/>
          <w:iCs/>
          <w:color w:val="000000"/>
          <w:lang w:eastAsia="bg-BG"/>
        </w:rPr>
        <w:t xml:space="preserve"> </w:t>
      </w:r>
      <w:r w:rsidRPr="00193F0A">
        <w:rPr>
          <w:rFonts w:eastAsia="Times New Roman" w:cs="Arial"/>
          <w:color w:val="000000"/>
          <w:lang w:eastAsia="bg-BG"/>
        </w:rPr>
        <w:t>Антивирусни средства: дарунавир потенцииран от ритонавир, фозампренавир, потенцииран от</w:t>
      </w:r>
      <w:r w:rsidRPr="00DC16D1">
        <w:rPr>
          <w:rFonts w:eastAsia="Times New Roman" w:cs="Arial"/>
          <w:sz w:val="24"/>
          <w:szCs w:val="24"/>
          <w:lang w:val="en-US" w:eastAsia="bg-BG"/>
        </w:rPr>
        <w:t xml:space="preserve"> </w:t>
      </w:r>
      <w:r w:rsidRPr="00DC16D1">
        <w:rPr>
          <w:rFonts w:eastAsia="Times New Roman" w:cs="Arial"/>
          <w:color w:val="000000"/>
          <w:lang w:eastAsia="bg-BG"/>
        </w:rPr>
        <w:t>ритонавир, индинавир (вж. също точка „Лекарствени продукти, чиято плазмена концентрация</w:t>
      </w:r>
      <w:r w:rsidRPr="00DC16D1">
        <w:rPr>
          <w:rFonts w:eastAsia="Times New Roman" w:cs="Arial"/>
          <w:color w:val="000000"/>
          <w:lang w:val="en-US" w:eastAsia="bg-BG"/>
        </w:rPr>
        <w:t xml:space="preserve"> </w:t>
      </w:r>
      <w:r w:rsidRPr="00DC16D1">
        <w:rPr>
          <w:rFonts w:eastAsia="Times New Roman" w:cs="Arial"/>
          <w:color w:val="000000"/>
          <w:lang w:eastAsia="bg-BG"/>
        </w:rPr>
        <w:t>може да бъде повишена от итраконазол”), ритонавир (вж. също точка „Лекарствени продукти, чиято плазмена концентрация може да бъде повишена от итраконазол”).</w:t>
      </w:r>
    </w:p>
    <w:p w14:paraId="627756C6" w14:textId="77777777" w:rsidR="00193F0A" w:rsidRPr="00DC16D1" w:rsidRDefault="00193F0A" w:rsidP="00193F0A">
      <w:pPr>
        <w:spacing w:line="240" w:lineRule="auto"/>
        <w:rPr>
          <w:rFonts w:eastAsia="Times New Roman" w:cs="Arial"/>
          <w:color w:val="000000"/>
          <w:lang w:eastAsia="bg-BG"/>
        </w:rPr>
      </w:pPr>
    </w:p>
    <w:p w14:paraId="016E2862" w14:textId="11757788"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 xml:space="preserve">Препоръчва се едновременното приложение на тези лекарствени продукти с итраконазол капсули да се извършва с повишено внимание. Препоръчително е внимателно наблюдение на пациентите, които трябва да приемат итраконазол в комбинация с инхибитори на </w:t>
      </w:r>
      <w:r w:rsidRPr="00193F0A">
        <w:rPr>
          <w:rFonts w:eastAsia="Times New Roman" w:cs="Arial"/>
          <w:color w:val="000000"/>
          <w:lang w:val="en-US"/>
        </w:rPr>
        <w:t xml:space="preserve">CYP3A4 </w:t>
      </w:r>
      <w:r w:rsidRPr="00193F0A">
        <w:rPr>
          <w:rFonts w:eastAsia="Times New Roman" w:cs="Arial"/>
          <w:color w:val="000000"/>
          <w:lang w:eastAsia="bg-BG"/>
        </w:rPr>
        <w:t>за признаци или симптоми на усилени или удължени фармакологични ефекти на итраконазол, както и понижение на дозата на итраконазол при необходимост. Препоръчва се измерване на плазмените концентрации на итраконазол в подходящите случаи.</w:t>
      </w:r>
    </w:p>
    <w:p w14:paraId="60682D42" w14:textId="77777777" w:rsidR="00193F0A" w:rsidRPr="00DC16D1" w:rsidRDefault="00193F0A" w:rsidP="00193F0A">
      <w:pPr>
        <w:spacing w:line="240" w:lineRule="auto"/>
        <w:rPr>
          <w:rFonts w:eastAsia="Times New Roman" w:cs="Arial"/>
          <w:b/>
          <w:bCs/>
          <w:color w:val="000000"/>
          <w:lang w:eastAsia="bg-BG"/>
        </w:rPr>
      </w:pPr>
    </w:p>
    <w:p w14:paraId="7A0FDC2A" w14:textId="1748D6E1" w:rsidR="00193F0A" w:rsidRPr="00193F0A" w:rsidRDefault="00193F0A" w:rsidP="00193F0A">
      <w:pPr>
        <w:spacing w:line="240" w:lineRule="auto"/>
        <w:rPr>
          <w:rFonts w:eastAsia="Times New Roman" w:cs="Arial"/>
          <w:sz w:val="24"/>
          <w:szCs w:val="24"/>
          <w:lang w:eastAsia="bg-BG"/>
        </w:rPr>
      </w:pPr>
      <w:r w:rsidRPr="00193F0A">
        <w:rPr>
          <w:rFonts w:eastAsia="Times New Roman" w:cs="Arial"/>
          <w:b/>
          <w:bCs/>
          <w:color w:val="000000"/>
          <w:lang w:eastAsia="bg-BG"/>
        </w:rPr>
        <w:t>Лекарствени продукти, чиято плазмена концентрация може да бъде повишена от итраконазол</w:t>
      </w:r>
    </w:p>
    <w:p w14:paraId="4D7E29AD" w14:textId="77777777"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 xml:space="preserve">Итраконазол и неговият основен метаболит - хидрокси-итраконазол, могат да потиснат метаболизма на активни съставки, които се метаболизират от </w:t>
      </w:r>
      <w:r w:rsidRPr="00193F0A">
        <w:rPr>
          <w:rFonts w:eastAsia="Times New Roman" w:cs="Arial"/>
          <w:color w:val="000000"/>
          <w:lang w:val="en-US"/>
        </w:rPr>
        <w:t xml:space="preserve">CYP3A4, </w:t>
      </w:r>
      <w:r w:rsidRPr="00193F0A">
        <w:rPr>
          <w:rFonts w:eastAsia="Times New Roman" w:cs="Arial"/>
          <w:color w:val="000000"/>
          <w:lang w:eastAsia="bg-BG"/>
        </w:rPr>
        <w:t xml:space="preserve">и транспорта на активните съставки от страна на Р-гликопротеина, което може да доведе до повишаване на плазмените концентрации на тези активни съставки и/или не техния(те) активен(ни) метаболит(и), когато се прилагат едновременно с итраконазол. Така повишените плазмени концентрации могат да усилят или удължат терапевтичните и нежеланите ефекти на тези лекарствени продукти. Може да е противопоказано едновременното приложение с итраконазол на активните съставки, които се метаболизират от </w:t>
      </w:r>
      <w:r w:rsidRPr="00193F0A">
        <w:rPr>
          <w:rFonts w:eastAsia="Times New Roman" w:cs="Arial"/>
          <w:color w:val="000000"/>
          <w:lang w:val="en-US"/>
        </w:rPr>
        <w:t xml:space="preserve">CYP3A4, </w:t>
      </w:r>
      <w:r w:rsidRPr="00193F0A">
        <w:rPr>
          <w:rFonts w:eastAsia="Times New Roman" w:cs="Arial"/>
          <w:color w:val="000000"/>
          <w:lang w:eastAsia="bg-BG"/>
        </w:rPr>
        <w:t xml:space="preserve">за които е известно, че удължават </w:t>
      </w:r>
      <w:r w:rsidRPr="00193F0A">
        <w:rPr>
          <w:rFonts w:eastAsia="Times New Roman" w:cs="Arial"/>
          <w:color w:val="000000"/>
          <w:lang w:val="en-US"/>
        </w:rPr>
        <w:t xml:space="preserve">QT </w:t>
      </w:r>
      <w:r w:rsidRPr="00193F0A">
        <w:rPr>
          <w:rFonts w:eastAsia="Times New Roman" w:cs="Arial"/>
          <w:color w:val="000000"/>
          <w:lang w:eastAsia="bg-BG"/>
        </w:rPr>
        <w:t xml:space="preserve">интервала, тъй като комбинацията може да предизвика камерни тахикардии, в т.ч. </w:t>
      </w:r>
      <w:proofErr w:type="gramStart"/>
      <w:r w:rsidRPr="00193F0A">
        <w:rPr>
          <w:rFonts w:eastAsia="Times New Roman" w:cs="Arial"/>
          <w:i/>
          <w:iCs/>
          <w:color w:val="000000"/>
          <w:lang w:val="en-US"/>
        </w:rPr>
        <w:t>torsade</w:t>
      </w:r>
      <w:proofErr w:type="gramEnd"/>
      <w:r w:rsidRPr="00193F0A">
        <w:rPr>
          <w:rFonts w:eastAsia="Times New Roman" w:cs="Arial"/>
          <w:i/>
          <w:iCs/>
          <w:color w:val="000000"/>
          <w:lang w:val="en-US"/>
        </w:rPr>
        <w:t xml:space="preserve"> de pointes,</w:t>
      </w:r>
      <w:r w:rsidRPr="00193F0A">
        <w:rPr>
          <w:rFonts w:eastAsia="Times New Roman" w:cs="Arial"/>
          <w:color w:val="000000"/>
          <w:lang w:val="en-US"/>
        </w:rPr>
        <w:t xml:space="preserve"> </w:t>
      </w:r>
      <w:r w:rsidRPr="00193F0A">
        <w:rPr>
          <w:rFonts w:eastAsia="Times New Roman" w:cs="Arial"/>
          <w:color w:val="000000"/>
          <w:lang w:eastAsia="bg-BG"/>
        </w:rPr>
        <w:t xml:space="preserve">аритмия с потенциално фатален изход. След преустановяване на лечението, плазмените концентрации на итраконазол спадат до почти незабележимо ниво в рамките на 7 до 14 дни, в зависимост от дозата и </w:t>
      </w:r>
      <w:r w:rsidRPr="00193F0A">
        <w:rPr>
          <w:rFonts w:eastAsia="Times New Roman" w:cs="Arial"/>
          <w:color w:val="000000"/>
          <w:lang w:eastAsia="bg-BG"/>
        </w:rPr>
        <w:lastRenderedPageBreak/>
        <w:t xml:space="preserve">продължителността на лечението. При пациенти с чернодробна цироза или такива, които приемат инхибитори на </w:t>
      </w:r>
      <w:r w:rsidRPr="00193F0A">
        <w:rPr>
          <w:rFonts w:eastAsia="Times New Roman" w:cs="Arial"/>
          <w:color w:val="000000"/>
          <w:lang w:val="en-US"/>
        </w:rPr>
        <w:t xml:space="preserve">CYP3A4, </w:t>
      </w:r>
      <w:r w:rsidRPr="00193F0A">
        <w:rPr>
          <w:rFonts w:eastAsia="Times New Roman" w:cs="Arial"/>
          <w:color w:val="000000"/>
          <w:lang w:eastAsia="bg-BG"/>
        </w:rPr>
        <w:t>понижението на плазмените концентрации може да бъде дори по-постепенна. Това е особено важно при започване на лечение с активни съставки, чиито метаболизъм се влияе от итраконазол.</w:t>
      </w:r>
    </w:p>
    <w:p w14:paraId="03EDDA28" w14:textId="77777777" w:rsidR="00193F0A" w:rsidRPr="00DC16D1" w:rsidRDefault="00193F0A" w:rsidP="00193F0A">
      <w:pPr>
        <w:spacing w:line="240" w:lineRule="auto"/>
        <w:rPr>
          <w:rFonts w:eastAsia="Times New Roman" w:cs="Arial"/>
          <w:color w:val="000000"/>
          <w:lang w:eastAsia="bg-BG"/>
        </w:rPr>
      </w:pPr>
    </w:p>
    <w:p w14:paraId="7C119EF2" w14:textId="179D2DAC" w:rsidR="00193F0A" w:rsidRPr="00193F0A" w:rsidRDefault="00193F0A" w:rsidP="00193F0A">
      <w:pPr>
        <w:spacing w:line="240" w:lineRule="auto"/>
        <w:rPr>
          <w:rFonts w:eastAsia="Times New Roman" w:cs="Arial"/>
          <w:sz w:val="24"/>
          <w:szCs w:val="24"/>
          <w:lang w:eastAsia="bg-BG"/>
        </w:rPr>
      </w:pPr>
      <w:r w:rsidRPr="00193F0A">
        <w:rPr>
          <w:rFonts w:eastAsia="Times New Roman" w:cs="Arial"/>
          <w:color w:val="000000"/>
          <w:lang w:eastAsia="bg-BG"/>
        </w:rPr>
        <w:t>Взаимодействащите лекарствени продукти се класифицират както следва:</w:t>
      </w:r>
    </w:p>
    <w:p w14:paraId="7B902F78" w14:textId="77777777" w:rsidR="00193F0A" w:rsidRPr="00DC16D1" w:rsidRDefault="00193F0A" w:rsidP="00193F0A">
      <w:pPr>
        <w:pStyle w:val="ListParagraph"/>
        <w:numPr>
          <w:ilvl w:val="0"/>
          <w:numId w:val="38"/>
        </w:numPr>
        <w:spacing w:line="240" w:lineRule="auto"/>
        <w:rPr>
          <w:rFonts w:eastAsia="Times New Roman" w:cs="Arial"/>
          <w:color w:val="000000"/>
          <w:lang w:eastAsia="bg-BG"/>
        </w:rPr>
      </w:pPr>
      <w:r w:rsidRPr="00DC16D1">
        <w:rPr>
          <w:rFonts w:eastAsia="Times New Roman" w:cs="Arial"/>
          <w:color w:val="000000"/>
          <w:lang w:eastAsia="bg-BG"/>
        </w:rPr>
        <w:t>„Противопоказани”: при никакви обстоятелства лекарственият продукт не трябва да се прилага едновременно с итраконазол, както и до две седмици след прекратяване на лечението с итраконазол.</w:t>
      </w:r>
    </w:p>
    <w:p w14:paraId="1902F8A7" w14:textId="64A72701" w:rsidR="00193F0A" w:rsidRPr="00DC16D1" w:rsidRDefault="00193F0A" w:rsidP="00193F0A">
      <w:pPr>
        <w:pStyle w:val="ListParagraph"/>
        <w:numPr>
          <w:ilvl w:val="0"/>
          <w:numId w:val="38"/>
        </w:numPr>
        <w:spacing w:line="240" w:lineRule="auto"/>
        <w:rPr>
          <w:rFonts w:eastAsia="Times New Roman" w:cs="Arial"/>
          <w:color w:val="000000"/>
          <w:lang w:eastAsia="bg-BG"/>
        </w:rPr>
      </w:pPr>
      <w:r w:rsidRPr="00DC16D1">
        <w:rPr>
          <w:rFonts w:eastAsia="Times New Roman" w:cs="Arial"/>
          <w:color w:val="000000"/>
          <w:lang w:eastAsia="bg-BG"/>
        </w:rPr>
        <w:t>„Непрепоръчителни”: препоръчително е да се избягва употребата на лекарствения</w:t>
      </w:r>
    </w:p>
    <w:p w14:paraId="2BA94CD9" w14:textId="77777777" w:rsidR="00193F0A" w:rsidRPr="00DC16D1" w:rsidRDefault="00193F0A" w:rsidP="00193F0A">
      <w:pPr>
        <w:spacing w:line="240" w:lineRule="auto"/>
        <w:rPr>
          <w:rFonts w:eastAsia="Times New Roman" w:cs="Arial"/>
          <w:color w:val="000000"/>
          <w:lang w:eastAsia="bg-BG"/>
        </w:rPr>
      </w:pPr>
      <w:r w:rsidRPr="00193F0A">
        <w:rPr>
          <w:rFonts w:eastAsia="Times New Roman" w:cs="Arial"/>
          <w:color w:val="000000"/>
          <w:lang w:eastAsia="bg-BG"/>
        </w:rPr>
        <w:t>продукт по време на лечение с итраконазол и до две седмици след спирането му, освен ако ползите превишават потенциално повишените рискове за възникване на нежелани реакции. Ако не може да бъде избегнато едновременно приложение, препоръчва се клинично наблюдение за признаци или симптоми на усилени или удължени терапевтични или нежелани ефекти на взаимодействащия лекарствен продукт, както намаляване на дозата или временното му прекъсване при необходимост. Измерване на плазмените концентрации трябва да се прави в подходящите случаи.</w:t>
      </w:r>
    </w:p>
    <w:p w14:paraId="6BBEA940" w14:textId="77777777" w:rsidR="00193F0A" w:rsidRPr="00DC16D1" w:rsidRDefault="00193F0A" w:rsidP="00193F0A">
      <w:pPr>
        <w:pStyle w:val="ListParagraph"/>
        <w:numPr>
          <w:ilvl w:val="0"/>
          <w:numId w:val="42"/>
        </w:numPr>
        <w:spacing w:line="240" w:lineRule="auto"/>
        <w:rPr>
          <w:rFonts w:eastAsia="Times New Roman" w:cs="Arial"/>
          <w:sz w:val="24"/>
          <w:szCs w:val="24"/>
          <w:lang w:eastAsia="bg-BG"/>
        </w:rPr>
      </w:pPr>
      <w:r w:rsidRPr="00DC16D1">
        <w:rPr>
          <w:rFonts w:eastAsia="Times New Roman" w:cs="Arial"/>
          <w:color w:val="000000"/>
          <w:lang w:eastAsia="bg-BG"/>
        </w:rPr>
        <w:t xml:space="preserve">„Употреба с повишено внимание”: препоръчва се внимателно наблюдение при </w:t>
      </w:r>
    </w:p>
    <w:p w14:paraId="59A8167D" w14:textId="00F32BA7" w:rsidR="00193F0A" w:rsidRPr="00DC16D1" w:rsidRDefault="00193F0A" w:rsidP="00193F0A">
      <w:pPr>
        <w:spacing w:line="240" w:lineRule="auto"/>
        <w:rPr>
          <w:rFonts w:eastAsia="Times New Roman" w:cs="Arial"/>
          <w:sz w:val="24"/>
          <w:szCs w:val="24"/>
          <w:lang w:eastAsia="bg-BG"/>
        </w:rPr>
      </w:pPr>
      <w:r w:rsidRPr="00DC16D1">
        <w:rPr>
          <w:rFonts w:eastAsia="Times New Roman" w:cs="Arial"/>
          <w:color w:val="000000"/>
          <w:lang w:eastAsia="bg-BG"/>
        </w:rPr>
        <w:t>едновременно приложение на лекарствения продукт с итраконазол. При едновременно приложение се препоръчва внимателно наблюдение на пациентите за признаци или симптоми на усилени или удължени терапевтични или нежелани ефекти на взаимодействащия лекарствен продукт, като дозата му трябва да бъде намалена при необходимост. Измерване на плазмените концентрации трябва да се прави в подходящите случаи.</w:t>
      </w:r>
    </w:p>
    <w:p w14:paraId="65DE0512" w14:textId="77777777" w:rsidR="00193F0A" w:rsidRPr="00DC16D1" w:rsidRDefault="00193F0A" w:rsidP="00193F0A">
      <w:pPr>
        <w:spacing w:line="240" w:lineRule="auto"/>
        <w:rPr>
          <w:rFonts w:eastAsia="Times New Roman" w:cs="Arial"/>
          <w:color w:val="000000"/>
          <w:lang w:eastAsia="bg-BG"/>
        </w:rPr>
      </w:pPr>
    </w:p>
    <w:p w14:paraId="5B2761C5" w14:textId="0BDE5D58" w:rsidR="0091385D" w:rsidRPr="00DC16D1" w:rsidRDefault="00193F0A" w:rsidP="00193F0A">
      <w:pPr>
        <w:spacing w:line="240" w:lineRule="auto"/>
        <w:rPr>
          <w:rFonts w:eastAsia="Times New Roman" w:cs="Arial"/>
          <w:color w:val="000000"/>
          <w:lang w:eastAsia="bg-BG"/>
        </w:rPr>
      </w:pPr>
      <w:r w:rsidRPr="00DC16D1">
        <w:rPr>
          <w:rFonts w:eastAsia="Times New Roman" w:cs="Arial"/>
          <w:color w:val="000000"/>
          <w:lang w:eastAsia="bg-BG"/>
        </w:rPr>
        <w:t>По-долу са посочени примери за активни съставки, чиято плазмена концентрация може да бъде повишена от итраконазол, по класове, заедно с препоръка относно едновременното приложение с итраконазол:</w:t>
      </w:r>
    </w:p>
    <w:p w14:paraId="6CAFAADF" w14:textId="2A3B114E" w:rsidR="00193F0A" w:rsidRDefault="00193F0A" w:rsidP="00193F0A">
      <w:pPr>
        <w:spacing w:line="240" w:lineRule="auto"/>
        <w:rPr>
          <w:rFonts w:ascii="Times New Roman" w:eastAsia="Times New Roman" w:hAnsi="Times New Roman" w:cs="Times New Roman"/>
          <w:color w:val="000000"/>
          <w:lang w:eastAsia="bg-BG"/>
        </w:rPr>
      </w:pPr>
    </w:p>
    <w:tbl>
      <w:tblPr>
        <w:tblStyle w:val="TableGrid"/>
        <w:tblW w:w="0" w:type="auto"/>
        <w:tblLook w:val="04A0" w:firstRow="1" w:lastRow="0" w:firstColumn="1" w:lastColumn="0" w:noHBand="0" w:noVBand="1"/>
      </w:tblPr>
      <w:tblGrid>
        <w:gridCol w:w="2331"/>
        <w:gridCol w:w="2336"/>
        <w:gridCol w:w="2350"/>
        <w:gridCol w:w="2333"/>
      </w:tblGrid>
      <w:tr w:rsidR="00193F0A" w14:paraId="749CF48A" w14:textId="77777777" w:rsidTr="00DC16D1">
        <w:tc>
          <w:tcPr>
            <w:tcW w:w="2331" w:type="dxa"/>
          </w:tcPr>
          <w:p w14:paraId="7CB70ADE" w14:textId="57223A9A" w:rsidR="00193F0A" w:rsidRDefault="00193F0A" w:rsidP="00193F0A">
            <w:pPr>
              <w:spacing w:line="240" w:lineRule="auto"/>
              <w:rPr>
                <w:rFonts w:ascii="Times New Roman" w:eastAsia="Times New Roman" w:hAnsi="Times New Roman" w:cs="Times New Roman"/>
                <w:color w:val="000000"/>
                <w:lang w:eastAsia="bg-BG"/>
              </w:rPr>
            </w:pPr>
            <w:r>
              <w:rPr>
                <w:b/>
                <w:bCs/>
              </w:rPr>
              <w:t>Клас на активна съставка</w:t>
            </w:r>
          </w:p>
        </w:tc>
        <w:tc>
          <w:tcPr>
            <w:tcW w:w="2336" w:type="dxa"/>
          </w:tcPr>
          <w:p w14:paraId="1528F17E" w14:textId="572F155D" w:rsidR="00193F0A" w:rsidRDefault="00193F0A" w:rsidP="00193F0A">
            <w:pPr>
              <w:spacing w:line="240" w:lineRule="auto"/>
              <w:rPr>
                <w:rFonts w:ascii="Times New Roman" w:eastAsia="Times New Roman" w:hAnsi="Times New Roman" w:cs="Times New Roman"/>
                <w:color w:val="000000"/>
                <w:lang w:eastAsia="bg-BG"/>
              </w:rPr>
            </w:pPr>
            <w:r>
              <w:rPr>
                <w:b/>
                <w:bCs/>
              </w:rPr>
              <w:t>Противопоказани</w:t>
            </w:r>
          </w:p>
        </w:tc>
        <w:tc>
          <w:tcPr>
            <w:tcW w:w="2350" w:type="dxa"/>
          </w:tcPr>
          <w:p w14:paraId="5EC53894" w14:textId="44536E72" w:rsidR="00193F0A" w:rsidRDefault="00193F0A" w:rsidP="00193F0A">
            <w:pPr>
              <w:spacing w:line="240" w:lineRule="auto"/>
              <w:rPr>
                <w:rFonts w:ascii="Times New Roman" w:eastAsia="Times New Roman" w:hAnsi="Times New Roman" w:cs="Times New Roman"/>
                <w:color w:val="000000"/>
                <w:lang w:eastAsia="bg-BG"/>
              </w:rPr>
            </w:pPr>
            <w:r>
              <w:rPr>
                <w:b/>
                <w:bCs/>
              </w:rPr>
              <w:t>Непрепоръчителни</w:t>
            </w:r>
          </w:p>
        </w:tc>
        <w:tc>
          <w:tcPr>
            <w:tcW w:w="2333" w:type="dxa"/>
            <w:vAlign w:val="bottom"/>
          </w:tcPr>
          <w:p w14:paraId="4F185C62" w14:textId="4FC0E733" w:rsidR="00193F0A" w:rsidRDefault="00193F0A" w:rsidP="00193F0A">
            <w:pPr>
              <w:spacing w:line="240" w:lineRule="auto"/>
              <w:rPr>
                <w:rFonts w:ascii="Times New Roman" w:eastAsia="Times New Roman" w:hAnsi="Times New Roman" w:cs="Times New Roman"/>
                <w:color w:val="000000"/>
                <w:lang w:eastAsia="bg-BG"/>
              </w:rPr>
            </w:pPr>
            <w:r>
              <w:rPr>
                <w:b/>
                <w:bCs/>
              </w:rPr>
              <w:t>У потреба с повишено внимание</w:t>
            </w:r>
          </w:p>
        </w:tc>
      </w:tr>
      <w:tr w:rsidR="00193F0A" w14:paraId="3C8B67E3" w14:textId="77777777" w:rsidTr="00DC16D1">
        <w:tc>
          <w:tcPr>
            <w:tcW w:w="2331" w:type="dxa"/>
            <w:vAlign w:val="bottom"/>
          </w:tcPr>
          <w:p w14:paraId="445E4346" w14:textId="36727CEC" w:rsidR="00193F0A" w:rsidRDefault="00193F0A" w:rsidP="00193F0A">
            <w:pPr>
              <w:spacing w:line="240" w:lineRule="auto"/>
              <w:rPr>
                <w:rFonts w:ascii="Times New Roman" w:eastAsia="Times New Roman" w:hAnsi="Times New Roman" w:cs="Times New Roman"/>
                <w:color w:val="000000"/>
                <w:lang w:eastAsia="bg-BG"/>
              </w:rPr>
            </w:pPr>
            <w:r>
              <w:t>Алфа-блокери</w:t>
            </w:r>
          </w:p>
        </w:tc>
        <w:tc>
          <w:tcPr>
            <w:tcW w:w="2336" w:type="dxa"/>
          </w:tcPr>
          <w:p w14:paraId="6F47B90E" w14:textId="77777777" w:rsidR="00193F0A" w:rsidRDefault="00193F0A" w:rsidP="00193F0A">
            <w:pPr>
              <w:spacing w:line="240" w:lineRule="auto"/>
              <w:rPr>
                <w:rFonts w:ascii="Times New Roman" w:eastAsia="Times New Roman" w:hAnsi="Times New Roman" w:cs="Times New Roman"/>
                <w:color w:val="000000"/>
                <w:lang w:eastAsia="bg-BG"/>
              </w:rPr>
            </w:pPr>
          </w:p>
        </w:tc>
        <w:tc>
          <w:tcPr>
            <w:tcW w:w="2350" w:type="dxa"/>
            <w:vAlign w:val="bottom"/>
          </w:tcPr>
          <w:p w14:paraId="2D934C1E" w14:textId="612F4B11" w:rsidR="00193F0A" w:rsidRDefault="00193F0A" w:rsidP="00193F0A">
            <w:pPr>
              <w:spacing w:line="240" w:lineRule="auto"/>
              <w:rPr>
                <w:rFonts w:ascii="Times New Roman" w:eastAsia="Times New Roman" w:hAnsi="Times New Roman" w:cs="Times New Roman"/>
                <w:color w:val="000000"/>
                <w:lang w:eastAsia="bg-BG"/>
              </w:rPr>
            </w:pPr>
            <w:r>
              <w:t>тамсулозин</w:t>
            </w:r>
          </w:p>
        </w:tc>
        <w:tc>
          <w:tcPr>
            <w:tcW w:w="2333" w:type="dxa"/>
            <w:vAlign w:val="bottom"/>
          </w:tcPr>
          <w:p w14:paraId="06DBE275" w14:textId="77777777" w:rsidR="00193F0A" w:rsidRDefault="00193F0A" w:rsidP="00193F0A">
            <w:pPr>
              <w:spacing w:line="240" w:lineRule="auto"/>
              <w:rPr>
                <w:rFonts w:ascii="Times New Roman" w:eastAsia="Times New Roman" w:hAnsi="Times New Roman" w:cs="Times New Roman"/>
                <w:color w:val="000000"/>
                <w:lang w:eastAsia="bg-BG"/>
              </w:rPr>
            </w:pPr>
          </w:p>
        </w:tc>
      </w:tr>
      <w:tr w:rsidR="00DC16D1" w14:paraId="00915905" w14:textId="77777777" w:rsidTr="00DC16D1">
        <w:tc>
          <w:tcPr>
            <w:tcW w:w="2331" w:type="dxa"/>
          </w:tcPr>
          <w:p w14:paraId="4B1D50F2" w14:textId="1B4007CE" w:rsidR="00DC16D1" w:rsidRDefault="00DC16D1" w:rsidP="00DC16D1">
            <w:pPr>
              <w:spacing w:line="240" w:lineRule="auto"/>
              <w:rPr>
                <w:rFonts w:ascii="Times New Roman" w:eastAsia="Times New Roman" w:hAnsi="Times New Roman" w:cs="Times New Roman"/>
                <w:color w:val="000000"/>
                <w:lang w:eastAsia="bg-BG"/>
              </w:rPr>
            </w:pPr>
            <w:r>
              <w:t>Аналгетици</w:t>
            </w:r>
          </w:p>
        </w:tc>
        <w:tc>
          <w:tcPr>
            <w:tcW w:w="2336" w:type="dxa"/>
          </w:tcPr>
          <w:p w14:paraId="3EB739D1" w14:textId="02782449" w:rsidR="00DC16D1" w:rsidRDefault="00DC16D1" w:rsidP="00DC16D1">
            <w:pPr>
              <w:spacing w:line="240" w:lineRule="auto"/>
              <w:rPr>
                <w:rFonts w:ascii="Times New Roman" w:eastAsia="Times New Roman" w:hAnsi="Times New Roman" w:cs="Times New Roman"/>
                <w:color w:val="000000"/>
                <w:lang w:eastAsia="bg-BG"/>
              </w:rPr>
            </w:pPr>
            <w:r>
              <w:t>левацетилметадол (левометадил), метадон</w:t>
            </w:r>
          </w:p>
        </w:tc>
        <w:tc>
          <w:tcPr>
            <w:tcW w:w="2350" w:type="dxa"/>
          </w:tcPr>
          <w:p w14:paraId="1631E1F7" w14:textId="5614ABB5" w:rsidR="00DC16D1" w:rsidRDefault="00DC16D1" w:rsidP="00DC16D1">
            <w:pPr>
              <w:spacing w:line="240" w:lineRule="auto"/>
              <w:rPr>
                <w:rFonts w:ascii="Times New Roman" w:eastAsia="Times New Roman" w:hAnsi="Times New Roman" w:cs="Times New Roman"/>
                <w:color w:val="000000"/>
                <w:lang w:eastAsia="bg-BG"/>
              </w:rPr>
            </w:pPr>
            <w:r>
              <w:t>фентанил</w:t>
            </w:r>
          </w:p>
        </w:tc>
        <w:tc>
          <w:tcPr>
            <w:tcW w:w="2333" w:type="dxa"/>
            <w:vAlign w:val="bottom"/>
          </w:tcPr>
          <w:p w14:paraId="12B68ECF" w14:textId="720C1885" w:rsidR="00DC16D1" w:rsidRDefault="00DC16D1" w:rsidP="00DC16D1">
            <w:pPr>
              <w:spacing w:line="240" w:lineRule="auto"/>
              <w:rPr>
                <w:rFonts w:ascii="Times New Roman" w:eastAsia="Times New Roman" w:hAnsi="Times New Roman" w:cs="Times New Roman"/>
                <w:color w:val="000000"/>
                <w:lang w:eastAsia="bg-BG"/>
              </w:rPr>
            </w:pPr>
            <w:r>
              <w:t>алфентанил, бупренорфин за и.в. и сублингвално приложение, оксикодон</w:t>
            </w:r>
          </w:p>
        </w:tc>
      </w:tr>
      <w:tr w:rsidR="00DC16D1" w14:paraId="6F743186" w14:textId="77777777" w:rsidTr="00DC16D1">
        <w:tc>
          <w:tcPr>
            <w:tcW w:w="2331" w:type="dxa"/>
          </w:tcPr>
          <w:p w14:paraId="6310C2AC" w14:textId="55158806" w:rsidR="00DC16D1" w:rsidRDefault="00DC16D1" w:rsidP="00DC16D1">
            <w:pPr>
              <w:spacing w:line="240" w:lineRule="auto"/>
              <w:rPr>
                <w:rFonts w:ascii="Times New Roman" w:eastAsia="Times New Roman" w:hAnsi="Times New Roman" w:cs="Times New Roman"/>
                <w:color w:val="000000"/>
                <w:lang w:eastAsia="bg-BG"/>
              </w:rPr>
            </w:pPr>
            <w:r>
              <w:t>|Антиаритмични средства</w:t>
            </w:r>
          </w:p>
        </w:tc>
        <w:tc>
          <w:tcPr>
            <w:tcW w:w="2336" w:type="dxa"/>
            <w:vAlign w:val="bottom"/>
          </w:tcPr>
          <w:p w14:paraId="1509209F" w14:textId="361022A0" w:rsidR="00DC16D1" w:rsidRDefault="00DC16D1" w:rsidP="00DC16D1">
            <w:pPr>
              <w:spacing w:line="240" w:lineRule="auto"/>
              <w:rPr>
                <w:rFonts w:ascii="Times New Roman" w:eastAsia="Times New Roman" w:hAnsi="Times New Roman" w:cs="Times New Roman"/>
                <w:color w:val="000000"/>
                <w:lang w:eastAsia="bg-BG"/>
              </w:rPr>
            </w:pPr>
            <w:r>
              <w:t>дизопирамид, дофетилид, дронедарон, квинидин</w:t>
            </w:r>
          </w:p>
        </w:tc>
        <w:tc>
          <w:tcPr>
            <w:tcW w:w="2350" w:type="dxa"/>
          </w:tcPr>
          <w:p w14:paraId="1A35346D" w14:textId="77777777" w:rsidR="00DC16D1" w:rsidRDefault="00DC16D1" w:rsidP="00DC16D1">
            <w:pPr>
              <w:spacing w:line="240" w:lineRule="auto"/>
              <w:rPr>
                <w:rFonts w:ascii="Times New Roman" w:eastAsia="Times New Roman" w:hAnsi="Times New Roman" w:cs="Times New Roman"/>
                <w:color w:val="000000"/>
                <w:lang w:eastAsia="bg-BG"/>
              </w:rPr>
            </w:pPr>
          </w:p>
        </w:tc>
        <w:tc>
          <w:tcPr>
            <w:tcW w:w="2333" w:type="dxa"/>
          </w:tcPr>
          <w:p w14:paraId="06290A13" w14:textId="240D22CD" w:rsidR="00DC16D1" w:rsidRDefault="00DC16D1" w:rsidP="00DC16D1">
            <w:pPr>
              <w:spacing w:line="240" w:lineRule="auto"/>
              <w:rPr>
                <w:rFonts w:ascii="Times New Roman" w:eastAsia="Times New Roman" w:hAnsi="Times New Roman" w:cs="Times New Roman"/>
                <w:color w:val="000000"/>
                <w:lang w:eastAsia="bg-BG"/>
              </w:rPr>
            </w:pPr>
            <w:r>
              <w:t>дигоксин</w:t>
            </w:r>
          </w:p>
        </w:tc>
      </w:tr>
      <w:tr w:rsidR="00DC16D1" w14:paraId="65AF1AE0" w14:textId="77777777" w:rsidTr="00DC16D1">
        <w:tc>
          <w:tcPr>
            <w:tcW w:w="2331" w:type="dxa"/>
            <w:vAlign w:val="bottom"/>
          </w:tcPr>
          <w:p w14:paraId="579CCB7A" w14:textId="26FCE1AC" w:rsidR="00DC16D1" w:rsidRDefault="00DC16D1" w:rsidP="00DC16D1">
            <w:pPr>
              <w:spacing w:line="240" w:lineRule="auto"/>
              <w:rPr>
                <w:rFonts w:ascii="Times New Roman" w:eastAsia="Times New Roman" w:hAnsi="Times New Roman" w:cs="Times New Roman"/>
                <w:color w:val="000000"/>
                <w:lang w:eastAsia="bg-BG"/>
              </w:rPr>
            </w:pPr>
            <w:r>
              <w:t>Антибактериални средства</w:t>
            </w:r>
          </w:p>
        </w:tc>
        <w:tc>
          <w:tcPr>
            <w:tcW w:w="2336" w:type="dxa"/>
          </w:tcPr>
          <w:p w14:paraId="3536F371" w14:textId="77777777" w:rsidR="00DC16D1" w:rsidRDefault="00DC16D1" w:rsidP="00DC16D1">
            <w:pPr>
              <w:spacing w:line="240" w:lineRule="auto"/>
              <w:rPr>
                <w:rFonts w:ascii="Times New Roman" w:eastAsia="Times New Roman" w:hAnsi="Times New Roman" w:cs="Times New Roman"/>
                <w:color w:val="000000"/>
                <w:lang w:eastAsia="bg-BG"/>
              </w:rPr>
            </w:pPr>
          </w:p>
        </w:tc>
        <w:tc>
          <w:tcPr>
            <w:tcW w:w="2350" w:type="dxa"/>
            <w:vAlign w:val="center"/>
          </w:tcPr>
          <w:p w14:paraId="18261403" w14:textId="4E6A5D19" w:rsidR="00DC16D1" w:rsidRDefault="00DC16D1" w:rsidP="00DC16D1">
            <w:pPr>
              <w:spacing w:line="240" w:lineRule="auto"/>
              <w:rPr>
                <w:rFonts w:ascii="Times New Roman" w:eastAsia="Times New Roman" w:hAnsi="Times New Roman" w:cs="Times New Roman"/>
                <w:color w:val="000000"/>
                <w:lang w:eastAsia="bg-BG"/>
              </w:rPr>
            </w:pPr>
            <w:r>
              <w:t>рифабутин</w:t>
            </w:r>
            <w:r>
              <w:rPr>
                <w:vertAlign w:val="superscript"/>
              </w:rPr>
              <w:t>а</w:t>
            </w:r>
          </w:p>
        </w:tc>
        <w:tc>
          <w:tcPr>
            <w:tcW w:w="2333" w:type="dxa"/>
            <w:vAlign w:val="center"/>
          </w:tcPr>
          <w:p w14:paraId="07DA8864" w14:textId="77777777" w:rsidR="00DC16D1" w:rsidRDefault="00DC16D1" w:rsidP="00DC16D1">
            <w:pPr>
              <w:spacing w:line="240" w:lineRule="auto"/>
              <w:rPr>
                <w:rFonts w:ascii="Times New Roman" w:eastAsia="Times New Roman" w:hAnsi="Times New Roman" w:cs="Times New Roman"/>
                <w:color w:val="000000"/>
                <w:lang w:eastAsia="bg-BG"/>
              </w:rPr>
            </w:pPr>
          </w:p>
        </w:tc>
      </w:tr>
      <w:tr w:rsidR="00DC16D1" w14:paraId="2A54FDE2" w14:textId="77777777" w:rsidTr="00DC16D1">
        <w:tc>
          <w:tcPr>
            <w:tcW w:w="2331" w:type="dxa"/>
            <w:vAlign w:val="bottom"/>
          </w:tcPr>
          <w:p w14:paraId="09A6E636" w14:textId="61826B36" w:rsidR="00DC16D1" w:rsidRDefault="00DC16D1" w:rsidP="00DC16D1">
            <w:pPr>
              <w:spacing w:line="240" w:lineRule="auto"/>
              <w:rPr>
                <w:rFonts w:ascii="Times New Roman" w:eastAsia="Times New Roman" w:hAnsi="Times New Roman" w:cs="Times New Roman"/>
                <w:color w:val="000000"/>
                <w:lang w:eastAsia="bg-BG"/>
              </w:rPr>
            </w:pPr>
            <w:r>
              <w:t>Антикоагуланти и антитромботични средства</w:t>
            </w:r>
          </w:p>
        </w:tc>
        <w:tc>
          <w:tcPr>
            <w:tcW w:w="2336" w:type="dxa"/>
          </w:tcPr>
          <w:p w14:paraId="62DA4922" w14:textId="77777777" w:rsidR="00DC16D1" w:rsidRDefault="00DC16D1" w:rsidP="00DC16D1">
            <w:pPr>
              <w:spacing w:line="240" w:lineRule="auto"/>
              <w:rPr>
                <w:rFonts w:ascii="Times New Roman" w:eastAsia="Times New Roman" w:hAnsi="Times New Roman" w:cs="Times New Roman"/>
                <w:color w:val="000000"/>
                <w:lang w:eastAsia="bg-BG"/>
              </w:rPr>
            </w:pPr>
          </w:p>
        </w:tc>
        <w:tc>
          <w:tcPr>
            <w:tcW w:w="2350" w:type="dxa"/>
          </w:tcPr>
          <w:p w14:paraId="6B347AEF" w14:textId="6357DC5E" w:rsidR="00DC16D1" w:rsidRDefault="00DC16D1" w:rsidP="00DC16D1">
            <w:pPr>
              <w:spacing w:line="240" w:lineRule="auto"/>
              <w:rPr>
                <w:rFonts w:ascii="Times New Roman" w:eastAsia="Times New Roman" w:hAnsi="Times New Roman" w:cs="Times New Roman"/>
                <w:color w:val="000000"/>
                <w:lang w:eastAsia="bg-BG"/>
              </w:rPr>
            </w:pPr>
            <w:r>
              <w:t>ривароксабан</w:t>
            </w:r>
          </w:p>
        </w:tc>
        <w:tc>
          <w:tcPr>
            <w:tcW w:w="2333" w:type="dxa"/>
            <w:vAlign w:val="bottom"/>
          </w:tcPr>
          <w:p w14:paraId="3CADF59D" w14:textId="77777777" w:rsidR="00DC16D1" w:rsidRDefault="00DC16D1" w:rsidP="00DC16D1">
            <w:r>
              <w:t>кумарини,</w:t>
            </w:r>
          </w:p>
          <w:p w14:paraId="575D1E01" w14:textId="78B45E59" w:rsidR="00DC16D1" w:rsidRDefault="00DC16D1" w:rsidP="00DC16D1">
            <w:pPr>
              <w:spacing w:line="240" w:lineRule="auto"/>
              <w:rPr>
                <w:rFonts w:ascii="Times New Roman" w:eastAsia="Times New Roman" w:hAnsi="Times New Roman" w:cs="Times New Roman"/>
                <w:color w:val="000000"/>
                <w:lang w:eastAsia="bg-BG"/>
              </w:rPr>
            </w:pPr>
            <w:r>
              <w:t>цилостазол, дабигатран</w:t>
            </w:r>
          </w:p>
        </w:tc>
      </w:tr>
      <w:tr w:rsidR="00DC16D1" w14:paraId="7095D994" w14:textId="77777777" w:rsidTr="00DC16D1">
        <w:tc>
          <w:tcPr>
            <w:tcW w:w="2331" w:type="dxa"/>
            <w:vAlign w:val="bottom"/>
          </w:tcPr>
          <w:p w14:paraId="199C81B3" w14:textId="3A948620" w:rsidR="00DC16D1" w:rsidRDefault="00DC16D1" w:rsidP="00DC16D1">
            <w:pPr>
              <w:spacing w:line="240" w:lineRule="auto"/>
              <w:rPr>
                <w:rFonts w:ascii="Times New Roman" w:eastAsia="Times New Roman" w:hAnsi="Times New Roman" w:cs="Times New Roman"/>
                <w:color w:val="000000"/>
                <w:lang w:eastAsia="bg-BG"/>
              </w:rPr>
            </w:pPr>
            <w:r>
              <w:rPr>
                <w:lang w:val="en-US"/>
              </w:rPr>
              <w:t>A</w:t>
            </w:r>
            <w:r>
              <w:t>нтиконвулсанти</w:t>
            </w:r>
          </w:p>
        </w:tc>
        <w:tc>
          <w:tcPr>
            <w:tcW w:w="2336" w:type="dxa"/>
          </w:tcPr>
          <w:p w14:paraId="24286527" w14:textId="77777777" w:rsidR="00DC16D1" w:rsidRDefault="00DC16D1" w:rsidP="00DC16D1">
            <w:pPr>
              <w:spacing w:line="240" w:lineRule="auto"/>
              <w:rPr>
                <w:rFonts w:ascii="Times New Roman" w:eastAsia="Times New Roman" w:hAnsi="Times New Roman" w:cs="Times New Roman"/>
                <w:color w:val="000000"/>
                <w:lang w:eastAsia="bg-BG"/>
              </w:rPr>
            </w:pPr>
          </w:p>
        </w:tc>
        <w:tc>
          <w:tcPr>
            <w:tcW w:w="2350" w:type="dxa"/>
            <w:vAlign w:val="bottom"/>
          </w:tcPr>
          <w:p w14:paraId="3CBD5AB1" w14:textId="6EEA54F6" w:rsidR="00DC16D1" w:rsidRDefault="00DC16D1" w:rsidP="00DC16D1">
            <w:pPr>
              <w:spacing w:line="240" w:lineRule="auto"/>
              <w:rPr>
                <w:rFonts w:ascii="Times New Roman" w:eastAsia="Times New Roman" w:hAnsi="Times New Roman" w:cs="Times New Roman"/>
                <w:color w:val="000000"/>
                <w:lang w:eastAsia="bg-BG"/>
              </w:rPr>
            </w:pPr>
            <w:r>
              <w:t>карбамазепин</w:t>
            </w:r>
            <w:r>
              <w:rPr>
                <w:vertAlign w:val="superscript"/>
                <w:lang w:val="en-US"/>
              </w:rPr>
              <w:t>a</w:t>
            </w:r>
          </w:p>
        </w:tc>
        <w:tc>
          <w:tcPr>
            <w:tcW w:w="2333" w:type="dxa"/>
          </w:tcPr>
          <w:p w14:paraId="474D03C1" w14:textId="77777777" w:rsidR="00DC16D1" w:rsidRDefault="00DC16D1" w:rsidP="00DC16D1">
            <w:pPr>
              <w:spacing w:line="240" w:lineRule="auto"/>
              <w:rPr>
                <w:rFonts w:ascii="Times New Roman" w:eastAsia="Times New Roman" w:hAnsi="Times New Roman" w:cs="Times New Roman"/>
                <w:color w:val="000000"/>
                <w:lang w:eastAsia="bg-BG"/>
              </w:rPr>
            </w:pPr>
          </w:p>
        </w:tc>
      </w:tr>
      <w:tr w:rsidR="00DC16D1" w14:paraId="11874050" w14:textId="77777777" w:rsidTr="00DC16D1">
        <w:tc>
          <w:tcPr>
            <w:tcW w:w="2331" w:type="dxa"/>
          </w:tcPr>
          <w:p w14:paraId="3FC8F422" w14:textId="2ECA4B51" w:rsidR="00DC16D1" w:rsidRDefault="00DC16D1" w:rsidP="00DC16D1">
            <w:pPr>
              <w:spacing w:line="240" w:lineRule="auto"/>
              <w:rPr>
                <w:rFonts w:ascii="Times New Roman" w:eastAsia="Times New Roman" w:hAnsi="Times New Roman" w:cs="Times New Roman"/>
                <w:color w:val="000000"/>
                <w:lang w:eastAsia="bg-BG"/>
              </w:rPr>
            </w:pPr>
            <w:r>
              <w:t>Лекарства за лечение на диабет</w:t>
            </w:r>
          </w:p>
        </w:tc>
        <w:tc>
          <w:tcPr>
            <w:tcW w:w="2336" w:type="dxa"/>
          </w:tcPr>
          <w:p w14:paraId="1B4A8F73" w14:textId="77777777" w:rsidR="00DC16D1" w:rsidRDefault="00DC16D1" w:rsidP="00DC16D1">
            <w:pPr>
              <w:spacing w:line="240" w:lineRule="auto"/>
              <w:rPr>
                <w:rFonts w:ascii="Times New Roman" w:eastAsia="Times New Roman" w:hAnsi="Times New Roman" w:cs="Times New Roman"/>
                <w:color w:val="000000"/>
                <w:lang w:eastAsia="bg-BG"/>
              </w:rPr>
            </w:pPr>
          </w:p>
        </w:tc>
        <w:tc>
          <w:tcPr>
            <w:tcW w:w="2350" w:type="dxa"/>
          </w:tcPr>
          <w:p w14:paraId="166DF31D" w14:textId="77777777" w:rsidR="00DC16D1" w:rsidRDefault="00DC16D1" w:rsidP="00DC16D1">
            <w:pPr>
              <w:spacing w:line="240" w:lineRule="auto"/>
              <w:rPr>
                <w:rFonts w:ascii="Times New Roman" w:eastAsia="Times New Roman" w:hAnsi="Times New Roman" w:cs="Times New Roman"/>
                <w:color w:val="000000"/>
                <w:lang w:eastAsia="bg-BG"/>
              </w:rPr>
            </w:pPr>
          </w:p>
        </w:tc>
        <w:tc>
          <w:tcPr>
            <w:tcW w:w="2333" w:type="dxa"/>
          </w:tcPr>
          <w:p w14:paraId="21B83646" w14:textId="77777777" w:rsidR="00DC16D1" w:rsidRDefault="00DC16D1" w:rsidP="00DC16D1">
            <w:r>
              <w:t>репаглинид,</w:t>
            </w:r>
          </w:p>
          <w:p w14:paraId="13146C31" w14:textId="3306D8B9" w:rsidR="00DC16D1" w:rsidRDefault="00DC16D1" w:rsidP="00DC16D1">
            <w:pPr>
              <w:spacing w:line="240" w:lineRule="auto"/>
              <w:rPr>
                <w:rFonts w:ascii="Times New Roman" w:eastAsia="Times New Roman" w:hAnsi="Times New Roman" w:cs="Times New Roman"/>
                <w:color w:val="000000"/>
                <w:lang w:eastAsia="bg-BG"/>
              </w:rPr>
            </w:pPr>
            <w:r>
              <w:t>саксаглиптин</w:t>
            </w:r>
          </w:p>
        </w:tc>
      </w:tr>
      <w:tr w:rsidR="00DC16D1" w14:paraId="1C0FA74F" w14:textId="77777777" w:rsidTr="00DC16D1">
        <w:tc>
          <w:tcPr>
            <w:tcW w:w="2331" w:type="dxa"/>
            <w:vAlign w:val="bottom"/>
          </w:tcPr>
          <w:p w14:paraId="0CBAEC7F" w14:textId="28B4FB03" w:rsidR="00DC16D1" w:rsidRDefault="00DC16D1" w:rsidP="00DC16D1">
            <w:pPr>
              <w:spacing w:line="240" w:lineRule="auto"/>
              <w:rPr>
                <w:rFonts w:ascii="Times New Roman" w:eastAsia="Times New Roman" w:hAnsi="Times New Roman" w:cs="Times New Roman"/>
                <w:color w:val="000000"/>
                <w:lang w:eastAsia="bg-BG"/>
              </w:rPr>
            </w:pPr>
            <w:r>
              <w:lastRenderedPageBreak/>
              <w:t>Антихелминтни и антипрозойни средства</w:t>
            </w:r>
          </w:p>
        </w:tc>
        <w:tc>
          <w:tcPr>
            <w:tcW w:w="2336" w:type="dxa"/>
          </w:tcPr>
          <w:p w14:paraId="7A0F76C9" w14:textId="420E78B5" w:rsidR="00DC16D1" w:rsidRDefault="00DC16D1" w:rsidP="00DC16D1">
            <w:pPr>
              <w:spacing w:line="240" w:lineRule="auto"/>
              <w:rPr>
                <w:rFonts w:ascii="Times New Roman" w:eastAsia="Times New Roman" w:hAnsi="Times New Roman" w:cs="Times New Roman"/>
                <w:color w:val="000000"/>
                <w:lang w:eastAsia="bg-BG"/>
              </w:rPr>
            </w:pPr>
            <w:r>
              <w:t>халофантрин</w:t>
            </w:r>
          </w:p>
        </w:tc>
        <w:tc>
          <w:tcPr>
            <w:tcW w:w="2350" w:type="dxa"/>
          </w:tcPr>
          <w:p w14:paraId="3E4CF521" w14:textId="77777777" w:rsidR="00DC16D1" w:rsidRDefault="00DC16D1" w:rsidP="00DC16D1">
            <w:pPr>
              <w:spacing w:line="240" w:lineRule="auto"/>
              <w:rPr>
                <w:rFonts w:ascii="Times New Roman" w:eastAsia="Times New Roman" w:hAnsi="Times New Roman" w:cs="Times New Roman"/>
                <w:color w:val="000000"/>
                <w:lang w:eastAsia="bg-BG"/>
              </w:rPr>
            </w:pPr>
          </w:p>
        </w:tc>
        <w:tc>
          <w:tcPr>
            <w:tcW w:w="2333" w:type="dxa"/>
          </w:tcPr>
          <w:p w14:paraId="2964D36C" w14:textId="403990B2" w:rsidR="00DC16D1" w:rsidRDefault="00DC16D1" w:rsidP="00DC16D1">
            <w:pPr>
              <w:spacing w:line="240" w:lineRule="auto"/>
              <w:rPr>
                <w:rFonts w:ascii="Times New Roman" w:eastAsia="Times New Roman" w:hAnsi="Times New Roman" w:cs="Times New Roman"/>
                <w:color w:val="000000"/>
                <w:lang w:eastAsia="bg-BG"/>
              </w:rPr>
            </w:pPr>
            <w:r>
              <w:t>празиквантел</w:t>
            </w:r>
          </w:p>
        </w:tc>
      </w:tr>
      <w:tr w:rsidR="00DC16D1" w14:paraId="465D568A" w14:textId="77777777" w:rsidTr="00DC16D1">
        <w:tc>
          <w:tcPr>
            <w:tcW w:w="2331" w:type="dxa"/>
          </w:tcPr>
          <w:p w14:paraId="1F9249B5" w14:textId="7B70C770" w:rsidR="00DC16D1" w:rsidRDefault="00DC16D1" w:rsidP="00DC16D1">
            <w:pPr>
              <w:spacing w:line="240" w:lineRule="auto"/>
              <w:rPr>
                <w:rFonts w:ascii="Times New Roman" w:eastAsia="Times New Roman" w:hAnsi="Times New Roman" w:cs="Times New Roman"/>
                <w:color w:val="000000"/>
                <w:lang w:eastAsia="bg-BG"/>
              </w:rPr>
            </w:pPr>
            <w:r>
              <w:t>Антихистамини</w:t>
            </w:r>
          </w:p>
        </w:tc>
        <w:tc>
          <w:tcPr>
            <w:tcW w:w="2336" w:type="dxa"/>
            <w:vAlign w:val="bottom"/>
          </w:tcPr>
          <w:p w14:paraId="4A226D95" w14:textId="30A01E88" w:rsidR="00DC16D1" w:rsidRDefault="00DC16D1" w:rsidP="00DC16D1">
            <w:pPr>
              <w:spacing w:line="240" w:lineRule="auto"/>
              <w:rPr>
                <w:rFonts w:ascii="Times New Roman" w:eastAsia="Times New Roman" w:hAnsi="Times New Roman" w:cs="Times New Roman"/>
                <w:color w:val="000000"/>
                <w:lang w:eastAsia="bg-BG"/>
              </w:rPr>
            </w:pPr>
            <w:r>
              <w:t>астемизол, мизоластин, терфанадин</w:t>
            </w:r>
          </w:p>
        </w:tc>
        <w:tc>
          <w:tcPr>
            <w:tcW w:w="2350" w:type="dxa"/>
          </w:tcPr>
          <w:p w14:paraId="25D2DC40" w14:textId="77777777" w:rsidR="00DC16D1" w:rsidRDefault="00DC16D1" w:rsidP="00DC16D1">
            <w:pPr>
              <w:spacing w:line="240" w:lineRule="auto"/>
              <w:rPr>
                <w:rFonts w:ascii="Times New Roman" w:eastAsia="Times New Roman" w:hAnsi="Times New Roman" w:cs="Times New Roman"/>
                <w:color w:val="000000"/>
                <w:lang w:eastAsia="bg-BG"/>
              </w:rPr>
            </w:pPr>
          </w:p>
        </w:tc>
        <w:tc>
          <w:tcPr>
            <w:tcW w:w="2333" w:type="dxa"/>
          </w:tcPr>
          <w:p w14:paraId="2558450A" w14:textId="09C01137" w:rsidR="00DC16D1" w:rsidRDefault="00DC16D1" w:rsidP="00DC16D1">
            <w:pPr>
              <w:spacing w:line="240" w:lineRule="auto"/>
              <w:rPr>
                <w:rFonts w:ascii="Times New Roman" w:eastAsia="Times New Roman" w:hAnsi="Times New Roman" w:cs="Times New Roman"/>
                <w:color w:val="000000"/>
                <w:lang w:eastAsia="bg-BG"/>
              </w:rPr>
            </w:pPr>
            <w:r>
              <w:t>ебастин</w:t>
            </w:r>
          </w:p>
        </w:tc>
      </w:tr>
      <w:tr w:rsidR="00DC16D1" w14:paraId="7904DDE8" w14:textId="77777777" w:rsidTr="00DC16D1">
        <w:tc>
          <w:tcPr>
            <w:tcW w:w="2331" w:type="dxa"/>
          </w:tcPr>
          <w:p w14:paraId="05CDD809" w14:textId="28611B3C" w:rsidR="00DC16D1" w:rsidRDefault="00DC16D1" w:rsidP="00DC16D1">
            <w:pPr>
              <w:spacing w:line="240" w:lineRule="auto"/>
              <w:rPr>
                <w:rFonts w:ascii="Times New Roman" w:eastAsia="Times New Roman" w:hAnsi="Times New Roman" w:cs="Times New Roman"/>
                <w:color w:val="000000"/>
                <w:lang w:eastAsia="bg-BG"/>
              </w:rPr>
            </w:pPr>
            <w:r>
              <w:t>[Антимигренозни средства</w:t>
            </w:r>
          </w:p>
        </w:tc>
        <w:tc>
          <w:tcPr>
            <w:tcW w:w="2336" w:type="dxa"/>
            <w:vAlign w:val="bottom"/>
          </w:tcPr>
          <w:p w14:paraId="44E573F6" w14:textId="305EA5BD" w:rsidR="00DC16D1" w:rsidRDefault="00DC16D1" w:rsidP="00DC16D1">
            <w:pPr>
              <w:spacing w:line="240" w:lineRule="auto"/>
              <w:rPr>
                <w:rFonts w:ascii="Times New Roman" w:eastAsia="Times New Roman" w:hAnsi="Times New Roman" w:cs="Times New Roman"/>
                <w:color w:val="000000"/>
                <w:lang w:eastAsia="bg-BG"/>
              </w:rPr>
            </w:pPr>
            <w:r>
              <w:t xml:space="preserve">ерго алкалоиди, като дихидроерготамин, ергометрин, (ергоновин), ерготамин, метилергометрин (метилергоновин) </w:t>
            </w:r>
          </w:p>
        </w:tc>
        <w:tc>
          <w:tcPr>
            <w:tcW w:w="2350" w:type="dxa"/>
          </w:tcPr>
          <w:p w14:paraId="319E8207" w14:textId="77777777" w:rsidR="00DC16D1" w:rsidRDefault="00DC16D1" w:rsidP="00DC16D1">
            <w:pPr>
              <w:spacing w:line="240" w:lineRule="auto"/>
              <w:rPr>
                <w:rFonts w:ascii="Times New Roman" w:eastAsia="Times New Roman" w:hAnsi="Times New Roman" w:cs="Times New Roman"/>
                <w:color w:val="000000"/>
                <w:lang w:eastAsia="bg-BG"/>
              </w:rPr>
            </w:pPr>
          </w:p>
        </w:tc>
        <w:tc>
          <w:tcPr>
            <w:tcW w:w="2333" w:type="dxa"/>
          </w:tcPr>
          <w:p w14:paraId="28EF2255" w14:textId="3A090E70" w:rsidR="00DC16D1" w:rsidRDefault="00DC16D1" w:rsidP="00DC16D1">
            <w:pPr>
              <w:spacing w:line="240" w:lineRule="auto"/>
              <w:rPr>
                <w:rFonts w:ascii="Times New Roman" w:eastAsia="Times New Roman" w:hAnsi="Times New Roman" w:cs="Times New Roman"/>
                <w:color w:val="000000"/>
                <w:lang w:eastAsia="bg-BG"/>
              </w:rPr>
            </w:pPr>
            <w:r>
              <w:t>елетриптан</w:t>
            </w:r>
          </w:p>
        </w:tc>
      </w:tr>
      <w:tr w:rsidR="00DC16D1" w14:paraId="63CEA608" w14:textId="77777777" w:rsidTr="001E3C50">
        <w:tc>
          <w:tcPr>
            <w:tcW w:w="2331" w:type="dxa"/>
          </w:tcPr>
          <w:p w14:paraId="4AC214FA" w14:textId="459DE79E" w:rsidR="00DC16D1" w:rsidRDefault="00DC16D1" w:rsidP="00DC16D1">
            <w:pPr>
              <w:spacing w:line="240" w:lineRule="auto"/>
              <w:rPr>
                <w:rFonts w:ascii="Times New Roman" w:eastAsia="Times New Roman" w:hAnsi="Times New Roman" w:cs="Times New Roman"/>
                <w:color w:val="000000"/>
                <w:lang w:eastAsia="bg-BG"/>
              </w:rPr>
            </w:pPr>
            <w:r>
              <w:t>[Антинеопластични средства</w:t>
            </w:r>
          </w:p>
        </w:tc>
        <w:tc>
          <w:tcPr>
            <w:tcW w:w="2336" w:type="dxa"/>
          </w:tcPr>
          <w:p w14:paraId="12AB92DD" w14:textId="55CB6D84" w:rsidR="00DC16D1" w:rsidRDefault="00DC16D1" w:rsidP="00DC16D1">
            <w:pPr>
              <w:spacing w:line="240" w:lineRule="auto"/>
              <w:rPr>
                <w:rFonts w:ascii="Times New Roman" w:eastAsia="Times New Roman" w:hAnsi="Times New Roman" w:cs="Times New Roman"/>
                <w:color w:val="000000"/>
                <w:lang w:eastAsia="bg-BG"/>
              </w:rPr>
            </w:pPr>
            <w:r>
              <w:t>иринотекан</w:t>
            </w:r>
          </w:p>
        </w:tc>
        <w:tc>
          <w:tcPr>
            <w:tcW w:w="2350" w:type="dxa"/>
          </w:tcPr>
          <w:p w14:paraId="5B2DEC2B" w14:textId="783547FA" w:rsidR="00DC16D1" w:rsidRDefault="00DC16D1" w:rsidP="00DC16D1">
            <w:pPr>
              <w:spacing w:line="240" w:lineRule="auto"/>
              <w:rPr>
                <w:rFonts w:ascii="Times New Roman" w:eastAsia="Times New Roman" w:hAnsi="Times New Roman" w:cs="Times New Roman"/>
                <w:color w:val="000000"/>
                <w:lang w:eastAsia="bg-BG"/>
              </w:rPr>
            </w:pPr>
            <w:r>
              <w:t>дазатиниб, нилотиниб, трабектедин</w:t>
            </w:r>
          </w:p>
        </w:tc>
        <w:tc>
          <w:tcPr>
            <w:tcW w:w="2333" w:type="dxa"/>
            <w:vAlign w:val="bottom"/>
          </w:tcPr>
          <w:p w14:paraId="0BCA1D31" w14:textId="2F1738A8" w:rsidR="00DC16D1" w:rsidRDefault="00DC16D1" w:rsidP="00DC16D1">
            <w:pPr>
              <w:spacing w:line="240" w:lineRule="auto"/>
              <w:rPr>
                <w:rFonts w:ascii="Times New Roman" w:eastAsia="Times New Roman" w:hAnsi="Times New Roman" w:cs="Times New Roman"/>
                <w:color w:val="000000"/>
                <w:lang w:eastAsia="bg-BG"/>
              </w:rPr>
            </w:pPr>
            <w:r>
              <w:t>бортезомиб, бусулфан, доцетаксел, ерлотиниб, иксабепилон, лапатиниб, триметрексат, винка алкалоиди</w:t>
            </w:r>
          </w:p>
        </w:tc>
      </w:tr>
      <w:tr w:rsidR="00DC16D1" w14:paraId="4E6D4F90" w14:textId="77777777" w:rsidTr="001E3C50">
        <w:tc>
          <w:tcPr>
            <w:tcW w:w="2331" w:type="dxa"/>
          </w:tcPr>
          <w:p w14:paraId="28E5622B" w14:textId="77777777" w:rsidR="00DC16D1" w:rsidRDefault="00DC16D1" w:rsidP="00DC16D1">
            <w:r>
              <w:t>Антипсихотици, анксиолитици и сънотворни средства</w:t>
            </w:r>
          </w:p>
          <w:p w14:paraId="09C47AD1" w14:textId="77777777" w:rsidR="00DC16D1" w:rsidRDefault="00DC16D1" w:rsidP="00DC16D1">
            <w:pPr>
              <w:spacing w:line="240" w:lineRule="auto"/>
              <w:rPr>
                <w:rFonts w:ascii="Times New Roman" w:eastAsia="Times New Roman" w:hAnsi="Times New Roman" w:cs="Times New Roman"/>
                <w:color w:val="000000"/>
                <w:lang w:eastAsia="bg-BG"/>
              </w:rPr>
            </w:pPr>
          </w:p>
        </w:tc>
        <w:tc>
          <w:tcPr>
            <w:tcW w:w="2336" w:type="dxa"/>
          </w:tcPr>
          <w:p w14:paraId="02F3DCFF" w14:textId="77777777" w:rsidR="00DC16D1" w:rsidRDefault="00DC16D1" w:rsidP="00DC16D1">
            <w:r>
              <w:t>луразидон,</w:t>
            </w:r>
          </w:p>
          <w:p w14:paraId="51A86BB5" w14:textId="6071E027" w:rsidR="00DC16D1" w:rsidRDefault="00DC16D1" w:rsidP="00DC16D1">
            <w:pPr>
              <w:spacing w:line="240" w:lineRule="auto"/>
              <w:rPr>
                <w:rFonts w:ascii="Times New Roman" w:eastAsia="Times New Roman" w:hAnsi="Times New Roman" w:cs="Times New Roman"/>
                <w:color w:val="000000"/>
                <w:lang w:eastAsia="bg-BG"/>
              </w:rPr>
            </w:pPr>
            <w:r>
              <w:t>мидазолам за перорално приложение, пимозид, сертиндол, триазолам</w:t>
            </w:r>
          </w:p>
        </w:tc>
        <w:tc>
          <w:tcPr>
            <w:tcW w:w="2350" w:type="dxa"/>
          </w:tcPr>
          <w:p w14:paraId="4538D90B" w14:textId="77777777" w:rsidR="00DC16D1" w:rsidRDefault="00DC16D1" w:rsidP="00DC16D1">
            <w:pPr>
              <w:spacing w:line="240" w:lineRule="auto"/>
              <w:rPr>
                <w:rFonts w:ascii="Times New Roman" w:eastAsia="Times New Roman" w:hAnsi="Times New Roman" w:cs="Times New Roman"/>
                <w:color w:val="000000"/>
                <w:lang w:eastAsia="bg-BG"/>
              </w:rPr>
            </w:pPr>
          </w:p>
        </w:tc>
        <w:tc>
          <w:tcPr>
            <w:tcW w:w="2333" w:type="dxa"/>
            <w:vAlign w:val="bottom"/>
          </w:tcPr>
          <w:p w14:paraId="30EB501E" w14:textId="0BB116E2" w:rsidR="00DC16D1" w:rsidRDefault="00DC16D1" w:rsidP="00DC16D1">
            <w:pPr>
              <w:spacing w:line="240" w:lineRule="auto"/>
              <w:rPr>
                <w:rFonts w:ascii="Times New Roman" w:eastAsia="Times New Roman" w:hAnsi="Times New Roman" w:cs="Times New Roman"/>
                <w:color w:val="000000"/>
                <w:lang w:eastAsia="bg-BG"/>
              </w:rPr>
            </w:pPr>
            <w:r>
              <w:t xml:space="preserve">алпразолам, арипипразол, бротизолам, буспирон, халоперидол, мидазолам </w:t>
            </w:r>
            <w:proofErr w:type="spellStart"/>
            <w:r>
              <w:rPr>
                <w:lang w:val="en-US"/>
              </w:rPr>
              <w:t>i.v.</w:t>
            </w:r>
            <w:proofErr w:type="spellEnd"/>
            <w:r>
              <w:rPr>
                <w:lang w:val="en-US"/>
              </w:rPr>
              <w:t xml:space="preserve"> </w:t>
            </w:r>
            <w:r>
              <w:t>приложение, пероспирон, кветиапин, рамелтеон, рисперидон</w:t>
            </w:r>
          </w:p>
        </w:tc>
      </w:tr>
      <w:tr w:rsidR="00DC16D1" w14:paraId="78CEE769" w14:textId="77777777" w:rsidTr="001E3C50">
        <w:tc>
          <w:tcPr>
            <w:tcW w:w="2331" w:type="dxa"/>
          </w:tcPr>
          <w:p w14:paraId="529217C9" w14:textId="23C796FF" w:rsidR="00DC16D1" w:rsidRDefault="00DC16D1" w:rsidP="00DC16D1">
            <w:pPr>
              <w:spacing w:line="240" w:lineRule="auto"/>
              <w:rPr>
                <w:rFonts w:ascii="Times New Roman" w:eastAsia="Times New Roman" w:hAnsi="Times New Roman" w:cs="Times New Roman"/>
                <w:color w:val="000000"/>
                <w:lang w:eastAsia="bg-BG"/>
              </w:rPr>
            </w:pPr>
            <w:r>
              <w:t>Антивирусни средства</w:t>
            </w:r>
          </w:p>
        </w:tc>
        <w:tc>
          <w:tcPr>
            <w:tcW w:w="2336" w:type="dxa"/>
          </w:tcPr>
          <w:p w14:paraId="49A75701" w14:textId="77777777" w:rsidR="00DC16D1" w:rsidRDefault="00DC16D1" w:rsidP="00DC16D1">
            <w:pPr>
              <w:spacing w:line="240" w:lineRule="auto"/>
              <w:rPr>
                <w:rFonts w:ascii="Times New Roman" w:eastAsia="Times New Roman" w:hAnsi="Times New Roman" w:cs="Times New Roman"/>
                <w:color w:val="000000"/>
                <w:lang w:eastAsia="bg-BG"/>
              </w:rPr>
            </w:pPr>
          </w:p>
        </w:tc>
        <w:tc>
          <w:tcPr>
            <w:tcW w:w="2350" w:type="dxa"/>
          </w:tcPr>
          <w:p w14:paraId="33C1AB2A" w14:textId="77777777" w:rsidR="00DC16D1" w:rsidRDefault="00DC16D1" w:rsidP="00DC16D1">
            <w:pPr>
              <w:spacing w:line="240" w:lineRule="auto"/>
              <w:rPr>
                <w:rFonts w:ascii="Times New Roman" w:eastAsia="Times New Roman" w:hAnsi="Times New Roman" w:cs="Times New Roman"/>
                <w:color w:val="000000"/>
                <w:lang w:eastAsia="bg-BG"/>
              </w:rPr>
            </w:pPr>
          </w:p>
        </w:tc>
        <w:tc>
          <w:tcPr>
            <w:tcW w:w="2333" w:type="dxa"/>
            <w:vAlign w:val="bottom"/>
          </w:tcPr>
          <w:p w14:paraId="27D03005" w14:textId="3AF885A3" w:rsidR="00DC16D1" w:rsidRDefault="00DC16D1" w:rsidP="00DC16D1">
            <w:pPr>
              <w:spacing w:line="240" w:lineRule="auto"/>
              <w:rPr>
                <w:rFonts w:ascii="Times New Roman" w:eastAsia="Times New Roman" w:hAnsi="Times New Roman" w:cs="Times New Roman"/>
                <w:color w:val="000000"/>
                <w:lang w:eastAsia="bg-BG"/>
              </w:rPr>
            </w:pPr>
            <w:r>
              <w:t xml:space="preserve">маравирок, </w:t>
            </w:r>
            <w:r>
              <w:rPr>
                <w:i/>
                <w:iCs/>
              </w:rPr>
              <w:t xml:space="preserve"> </w:t>
            </w:r>
            <w:r>
              <w:t>индинавир</w:t>
            </w:r>
            <w:r>
              <w:rPr>
                <w:vertAlign w:val="superscript"/>
              </w:rPr>
              <w:t>б</w:t>
            </w:r>
            <w:r>
              <w:t>, индинавир</w:t>
            </w:r>
            <w:r>
              <w:rPr>
                <w:vertAlign w:val="superscript"/>
              </w:rPr>
              <w:t>б</w:t>
            </w:r>
            <w:r>
              <w:t>, саквинавир</w:t>
            </w:r>
          </w:p>
        </w:tc>
      </w:tr>
      <w:tr w:rsidR="00DC16D1" w14:paraId="3D0E257F" w14:textId="77777777" w:rsidTr="001E3C50">
        <w:tc>
          <w:tcPr>
            <w:tcW w:w="2331" w:type="dxa"/>
          </w:tcPr>
          <w:p w14:paraId="34909ECE" w14:textId="6B2B7F40" w:rsidR="00DC16D1" w:rsidRDefault="00DC16D1" w:rsidP="00DC16D1">
            <w:pPr>
              <w:spacing w:line="240" w:lineRule="auto"/>
              <w:rPr>
                <w:rFonts w:ascii="Times New Roman" w:eastAsia="Times New Roman" w:hAnsi="Times New Roman" w:cs="Times New Roman"/>
                <w:color w:val="000000"/>
                <w:lang w:eastAsia="bg-BG"/>
              </w:rPr>
            </w:pPr>
            <w:r>
              <w:t>[Антинеопластични средства</w:t>
            </w:r>
          </w:p>
        </w:tc>
        <w:tc>
          <w:tcPr>
            <w:tcW w:w="2336" w:type="dxa"/>
          </w:tcPr>
          <w:p w14:paraId="2B2921D3" w14:textId="7EBDAD90" w:rsidR="00DC16D1" w:rsidRDefault="00DC16D1" w:rsidP="00DC16D1">
            <w:pPr>
              <w:spacing w:line="240" w:lineRule="auto"/>
              <w:rPr>
                <w:rFonts w:ascii="Times New Roman" w:eastAsia="Times New Roman" w:hAnsi="Times New Roman" w:cs="Times New Roman"/>
                <w:color w:val="000000"/>
                <w:lang w:eastAsia="bg-BG"/>
              </w:rPr>
            </w:pPr>
            <w:r>
              <w:t>иринотекан</w:t>
            </w:r>
          </w:p>
        </w:tc>
        <w:tc>
          <w:tcPr>
            <w:tcW w:w="2350" w:type="dxa"/>
          </w:tcPr>
          <w:p w14:paraId="64035F16" w14:textId="4DB85C22" w:rsidR="00DC16D1" w:rsidRDefault="00DC16D1" w:rsidP="00DC16D1">
            <w:pPr>
              <w:spacing w:line="240" w:lineRule="auto"/>
              <w:rPr>
                <w:rFonts w:ascii="Times New Roman" w:eastAsia="Times New Roman" w:hAnsi="Times New Roman" w:cs="Times New Roman"/>
                <w:color w:val="000000"/>
                <w:lang w:eastAsia="bg-BG"/>
              </w:rPr>
            </w:pPr>
            <w:r>
              <w:t>дазатиниб, нилотиниб, трабектедин</w:t>
            </w:r>
          </w:p>
        </w:tc>
        <w:tc>
          <w:tcPr>
            <w:tcW w:w="2333" w:type="dxa"/>
            <w:vAlign w:val="bottom"/>
          </w:tcPr>
          <w:p w14:paraId="7063BB1C" w14:textId="34B350B4" w:rsidR="00DC16D1" w:rsidRDefault="00DC16D1" w:rsidP="00DC16D1">
            <w:pPr>
              <w:spacing w:line="240" w:lineRule="auto"/>
              <w:rPr>
                <w:rFonts w:ascii="Times New Roman" w:eastAsia="Times New Roman" w:hAnsi="Times New Roman" w:cs="Times New Roman"/>
                <w:color w:val="000000"/>
                <w:lang w:eastAsia="bg-BG"/>
              </w:rPr>
            </w:pPr>
            <w:r>
              <w:t>бортезомиб, бусулфан, доцетаксел, ерлотиниб, иксабепилон, лапатиниб, триметрексат, винка алкалоиди</w:t>
            </w:r>
          </w:p>
        </w:tc>
      </w:tr>
      <w:tr w:rsidR="00DC16D1" w14:paraId="6E6D6978" w14:textId="77777777" w:rsidTr="001E3C50">
        <w:tc>
          <w:tcPr>
            <w:tcW w:w="2331" w:type="dxa"/>
            <w:vAlign w:val="bottom"/>
          </w:tcPr>
          <w:p w14:paraId="62C14A95" w14:textId="01B2FC71" w:rsidR="00DC16D1" w:rsidRPr="00DC16D1" w:rsidRDefault="00DC16D1" w:rsidP="00DC16D1">
            <w:pPr>
              <w:spacing w:line="240" w:lineRule="auto"/>
              <w:rPr>
                <w:rFonts w:ascii="Times New Roman" w:eastAsia="Times New Roman" w:hAnsi="Times New Roman" w:cs="Times New Roman"/>
                <w:color w:val="000000"/>
                <w:lang w:eastAsia="bg-BG"/>
              </w:rPr>
            </w:pPr>
            <w:r w:rsidRPr="00DC16D1">
              <w:t>Бета-блокери</w:t>
            </w:r>
          </w:p>
        </w:tc>
        <w:tc>
          <w:tcPr>
            <w:tcW w:w="2336" w:type="dxa"/>
            <w:vAlign w:val="center"/>
          </w:tcPr>
          <w:p w14:paraId="2C5720FA" w14:textId="32C12E1D" w:rsidR="00DC16D1" w:rsidRPr="00DC16D1" w:rsidRDefault="00DC16D1" w:rsidP="00DC16D1">
            <w:pPr>
              <w:spacing w:line="240" w:lineRule="auto"/>
              <w:rPr>
                <w:rFonts w:ascii="Times New Roman" w:eastAsia="Times New Roman" w:hAnsi="Times New Roman" w:cs="Times New Roman"/>
                <w:color w:val="000000"/>
                <w:lang w:eastAsia="bg-BG"/>
              </w:rPr>
            </w:pPr>
          </w:p>
        </w:tc>
        <w:tc>
          <w:tcPr>
            <w:tcW w:w="2350" w:type="dxa"/>
          </w:tcPr>
          <w:p w14:paraId="2598F169" w14:textId="77777777" w:rsidR="00DC16D1" w:rsidRPr="00DC16D1" w:rsidRDefault="00DC16D1" w:rsidP="00DC16D1">
            <w:pPr>
              <w:spacing w:line="240" w:lineRule="auto"/>
              <w:rPr>
                <w:rFonts w:ascii="Times New Roman" w:eastAsia="Times New Roman" w:hAnsi="Times New Roman" w:cs="Times New Roman"/>
                <w:color w:val="000000"/>
                <w:lang w:eastAsia="bg-BG"/>
              </w:rPr>
            </w:pPr>
          </w:p>
        </w:tc>
        <w:tc>
          <w:tcPr>
            <w:tcW w:w="2333" w:type="dxa"/>
            <w:vAlign w:val="bottom"/>
          </w:tcPr>
          <w:p w14:paraId="777213C5" w14:textId="5A92CB0D" w:rsidR="00DC16D1" w:rsidRPr="00DC16D1" w:rsidRDefault="00DC16D1" w:rsidP="00DC16D1">
            <w:pPr>
              <w:spacing w:line="240" w:lineRule="auto"/>
              <w:rPr>
                <w:rFonts w:ascii="Times New Roman" w:eastAsia="Times New Roman" w:hAnsi="Times New Roman" w:cs="Times New Roman"/>
                <w:color w:val="000000"/>
                <w:lang w:eastAsia="bg-BG"/>
              </w:rPr>
            </w:pPr>
            <w:r w:rsidRPr="00DC16D1">
              <w:t>надолол</w:t>
            </w:r>
          </w:p>
        </w:tc>
      </w:tr>
      <w:tr w:rsidR="00DC16D1" w14:paraId="6052E2EB" w14:textId="77777777" w:rsidTr="001E3C50">
        <w:tc>
          <w:tcPr>
            <w:tcW w:w="2331" w:type="dxa"/>
          </w:tcPr>
          <w:p w14:paraId="6B27B943" w14:textId="12E424A0" w:rsidR="00DC16D1" w:rsidRPr="00DC16D1" w:rsidRDefault="00DC16D1" w:rsidP="00DC16D1">
            <w:pPr>
              <w:spacing w:line="240" w:lineRule="auto"/>
            </w:pPr>
            <w:r>
              <w:t>Блокери на калциевите канали</w:t>
            </w:r>
          </w:p>
        </w:tc>
        <w:tc>
          <w:tcPr>
            <w:tcW w:w="2336" w:type="dxa"/>
            <w:vAlign w:val="bottom"/>
          </w:tcPr>
          <w:p w14:paraId="6DFB38DF" w14:textId="555DBCCE" w:rsidR="00DC16D1" w:rsidRPr="00DC16D1" w:rsidRDefault="00DC16D1" w:rsidP="00DC16D1">
            <w:pPr>
              <w:spacing w:line="240" w:lineRule="auto"/>
              <w:rPr>
                <w:rFonts w:ascii="Times New Roman" w:eastAsia="Times New Roman" w:hAnsi="Times New Roman" w:cs="Times New Roman"/>
                <w:color w:val="000000"/>
                <w:lang w:eastAsia="bg-BG"/>
              </w:rPr>
            </w:pPr>
            <w:r>
              <w:t>бепридил, фелодипин, лерканидипин, низолдипин</w:t>
            </w:r>
          </w:p>
        </w:tc>
        <w:tc>
          <w:tcPr>
            <w:tcW w:w="2350" w:type="dxa"/>
          </w:tcPr>
          <w:p w14:paraId="59C1B4D4" w14:textId="77777777" w:rsidR="00DC16D1" w:rsidRPr="00DC16D1" w:rsidRDefault="00DC16D1" w:rsidP="00DC16D1">
            <w:pPr>
              <w:spacing w:line="240" w:lineRule="auto"/>
              <w:rPr>
                <w:rFonts w:ascii="Times New Roman" w:eastAsia="Times New Roman" w:hAnsi="Times New Roman" w:cs="Times New Roman"/>
                <w:color w:val="000000"/>
                <w:lang w:eastAsia="bg-BG"/>
              </w:rPr>
            </w:pPr>
          </w:p>
        </w:tc>
        <w:tc>
          <w:tcPr>
            <w:tcW w:w="2333" w:type="dxa"/>
          </w:tcPr>
          <w:p w14:paraId="08210AE6" w14:textId="77777777" w:rsidR="00DC16D1" w:rsidRDefault="00DC16D1" w:rsidP="00DC16D1">
            <w:r>
              <w:t>Други</w:t>
            </w:r>
          </w:p>
          <w:p w14:paraId="7742FF8E" w14:textId="76ABC7C8" w:rsidR="00DC16D1" w:rsidRPr="00DC16D1" w:rsidRDefault="00DC16D1" w:rsidP="00DC16D1">
            <w:pPr>
              <w:spacing w:line="240" w:lineRule="auto"/>
            </w:pPr>
            <w:r>
              <w:t>дихидропиридини, в т.ч. верапамил</w:t>
            </w:r>
          </w:p>
        </w:tc>
      </w:tr>
      <w:tr w:rsidR="00DC16D1" w14:paraId="79E87047" w14:textId="77777777" w:rsidTr="001E3C50">
        <w:tc>
          <w:tcPr>
            <w:tcW w:w="2331" w:type="dxa"/>
            <w:vAlign w:val="bottom"/>
          </w:tcPr>
          <w:p w14:paraId="2689F69D" w14:textId="371C46A2" w:rsidR="00DC16D1" w:rsidRPr="00DC16D1" w:rsidRDefault="00DC16D1" w:rsidP="00DC16D1">
            <w:pPr>
              <w:spacing w:line="240" w:lineRule="auto"/>
            </w:pPr>
            <w:r>
              <w:lastRenderedPageBreak/>
              <w:t>Лекарствени продукти за лечение на сърдечно-съдови заболявания, разни</w:t>
            </w:r>
          </w:p>
        </w:tc>
        <w:tc>
          <w:tcPr>
            <w:tcW w:w="2336" w:type="dxa"/>
          </w:tcPr>
          <w:p w14:paraId="15C6B6DC" w14:textId="52CE7BCF" w:rsidR="00DC16D1" w:rsidRPr="00DC16D1" w:rsidRDefault="00DC16D1" w:rsidP="00DC16D1">
            <w:pPr>
              <w:spacing w:line="240" w:lineRule="auto"/>
              <w:rPr>
                <w:rFonts w:ascii="Times New Roman" w:eastAsia="Times New Roman" w:hAnsi="Times New Roman" w:cs="Times New Roman"/>
                <w:color w:val="000000"/>
                <w:lang w:eastAsia="bg-BG"/>
              </w:rPr>
            </w:pPr>
            <w:r>
              <w:t>ивабрадин, ранолазин</w:t>
            </w:r>
          </w:p>
        </w:tc>
        <w:tc>
          <w:tcPr>
            <w:tcW w:w="2350" w:type="dxa"/>
          </w:tcPr>
          <w:p w14:paraId="0361D6E4" w14:textId="56708E90" w:rsidR="00DC16D1" w:rsidRPr="00DC16D1" w:rsidRDefault="00DC16D1" w:rsidP="00DC16D1">
            <w:pPr>
              <w:spacing w:line="240" w:lineRule="auto"/>
              <w:rPr>
                <w:rFonts w:ascii="Times New Roman" w:eastAsia="Times New Roman" w:hAnsi="Times New Roman" w:cs="Times New Roman"/>
                <w:color w:val="000000"/>
                <w:lang w:eastAsia="bg-BG"/>
              </w:rPr>
            </w:pPr>
            <w:r>
              <w:t>алискирен</w:t>
            </w:r>
          </w:p>
        </w:tc>
        <w:tc>
          <w:tcPr>
            <w:tcW w:w="2333" w:type="dxa"/>
          </w:tcPr>
          <w:p w14:paraId="5B7D8872" w14:textId="77777777" w:rsidR="00DC16D1" w:rsidRPr="00DC16D1" w:rsidRDefault="00DC16D1" w:rsidP="00DC16D1">
            <w:pPr>
              <w:spacing w:line="240" w:lineRule="auto"/>
            </w:pPr>
          </w:p>
        </w:tc>
      </w:tr>
      <w:tr w:rsidR="00DC16D1" w14:paraId="7CD543B6" w14:textId="77777777" w:rsidTr="001E3C50">
        <w:tc>
          <w:tcPr>
            <w:tcW w:w="2331" w:type="dxa"/>
            <w:vAlign w:val="bottom"/>
          </w:tcPr>
          <w:p w14:paraId="1E21C2EF" w14:textId="371A0666" w:rsidR="00DC16D1" w:rsidRPr="00DC16D1" w:rsidRDefault="00DC16D1" w:rsidP="00DC16D1">
            <w:pPr>
              <w:spacing w:line="240" w:lineRule="auto"/>
            </w:pPr>
            <w:r>
              <w:t>Диуретици</w:t>
            </w:r>
          </w:p>
        </w:tc>
        <w:tc>
          <w:tcPr>
            <w:tcW w:w="2336" w:type="dxa"/>
            <w:vAlign w:val="bottom"/>
          </w:tcPr>
          <w:p w14:paraId="10401F0C" w14:textId="7C7459F5" w:rsidR="00DC16D1" w:rsidRPr="00DC16D1" w:rsidRDefault="00DC16D1" w:rsidP="00DC16D1">
            <w:pPr>
              <w:spacing w:line="240" w:lineRule="auto"/>
              <w:rPr>
                <w:rFonts w:ascii="Times New Roman" w:eastAsia="Times New Roman" w:hAnsi="Times New Roman" w:cs="Times New Roman"/>
                <w:color w:val="000000"/>
                <w:lang w:eastAsia="bg-BG"/>
              </w:rPr>
            </w:pPr>
            <w:r>
              <w:t>еплеренон</w:t>
            </w:r>
          </w:p>
        </w:tc>
        <w:tc>
          <w:tcPr>
            <w:tcW w:w="2350" w:type="dxa"/>
          </w:tcPr>
          <w:p w14:paraId="06F3C922" w14:textId="77777777" w:rsidR="00DC16D1" w:rsidRPr="00DC16D1" w:rsidRDefault="00DC16D1" w:rsidP="00DC16D1">
            <w:pPr>
              <w:spacing w:line="240" w:lineRule="auto"/>
              <w:rPr>
                <w:rFonts w:ascii="Times New Roman" w:eastAsia="Times New Roman" w:hAnsi="Times New Roman" w:cs="Times New Roman"/>
                <w:color w:val="000000"/>
                <w:lang w:eastAsia="bg-BG"/>
              </w:rPr>
            </w:pPr>
          </w:p>
        </w:tc>
        <w:tc>
          <w:tcPr>
            <w:tcW w:w="2333" w:type="dxa"/>
          </w:tcPr>
          <w:p w14:paraId="5177D28D" w14:textId="77777777" w:rsidR="00DC16D1" w:rsidRPr="00DC16D1" w:rsidRDefault="00DC16D1" w:rsidP="00DC16D1">
            <w:pPr>
              <w:spacing w:line="240" w:lineRule="auto"/>
            </w:pPr>
          </w:p>
        </w:tc>
      </w:tr>
      <w:tr w:rsidR="00DC16D1" w14:paraId="7FC496D1" w14:textId="77777777" w:rsidTr="001E3C50">
        <w:tc>
          <w:tcPr>
            <w:tcW w:w="2331" w:type="dxa"/>
            <w:vAlign w:val="bottom"/>
          </w:tcPr>
          <w:p w14:paraId="7733F080" w14:textId="16AC0338" w:rsidR="00DC16D1" w:rsidRPr="00DC16D1" w:rsidRDefault="00DC16D1" w:rsidP="00DC16D1">
            <w:pPr>
              <w:spacing w:line="240" w:lineRule="auto"/>
            </w:pPr>
            <w:r>
              <w:t>Лекарствени продукти за лечение на гастроинтестинални разстройства</w:t>
            </w:r>
          </w:p>
        </w:tc>
        <w:tc>
          <w:tcPr>
            <w:tcW w:w="2336" w:type="dxa"/>
          </w:tcPr>
          <w:p w14:paraId="1E9E4408" w14:textId="60042E85" w:rsidR="00DC16D1" w:rsidRPr="00DC16D1" w:rsidRDefault="00DC16D1" w:rsidP="00DC16D1">
            <w:pPr>
              <w:spacing w:line="240" w:lineRule="auto"/>
              <w:rPr>
                <w:rFonts w:ascii="Times New Roman" w:eastAsia="Times New Roman" w:hAnsi="Times New Roman" w:cs="Times New Roman"/>
                <w:color w:val="000000"/>
                <w:lang w:eastAsia="bg-BG"/>
              </w:rPr>
            </w:pPr>
            <w:r>
              <w:t>цизаприд</w:t>
            </w:r>
          </w:p>
        </w:tc>
        <w:tc>
          <w:tcPr>
            <w:tcW w:w="2350" w:type="dxa"/>
          </w:tcPr>
          <w:p w14:paraId="38A49F2E" w14:textId="77777777" w:rsidR="00DC16D1" w:rsidRPr="00DC16D1" w:rsidRDefault="00DC16D1" w:rsidP="00DC16D1">
            <w:pPr>
              <w:spacing w:line="240" w:lineRule="auto"/>
              <w:rPr>
                <w:rFonts w:ascii="Times New Roman" w:eastAsia="Times New Roman" w:hAnsi="Times New Roman" w:cs="Times New Roman"/>
                <w:color w:val="000000"/>
                <w:lang w:eastAsia="bg-BG"/>
              </w:rPr>
            </w:pPr>
          </w:p>
        </w:tc>
        <w:tc>
          <w:tcPr>
            <w:tcW w:w="2333" w:type="dxa"/>
          </w:tcPr>
          <w:p w14:paraId="1E7B6B00" w14:textId="1B79807B" w:rsidR="00DC16D1" w:rsidRPr="00DC16D1" w:rsidRDefault="00DC16D1" w:rsidP="00DC16D1">
            <w:pPr>
              <w:spacing w:line="240" w:lineRule="auto"/>
            </w:pPr>
            <w:r>
              <w:t>апрепитант, домперидон</w:t>
            </w:r>
          </w:p>
        </w:tc>
      </w:tr>
      <w:tr w:rsidR="00DC16D1" w14:paraId="37B26D65" w14:textId="77777777" w:rsidTr="001E3C50">
        <w:tc>
          <w:tcPr>
            <w:tcW w:w="2331" w:type="dxa"/>
          </w:tcPr>
          <w:p w14:paraId="72061043" w14:textId="1F42B232" w:rsidR="00DC16D1" w:rsidRPr="00DC16D1" w:rsidRDefault="00DC16D1" w:rsidP="00DC16D1">
            <w:pPr>
              <w:spacing w:line="240" w:lineRule="auto"/>
            </w:pPr>
            <w:r>
              <w:t>Имуносупресори</w:t>
            </w:r>
          </w:p>
        </w:tc>
        <w:tc>
          <w:tcPr>
            <w:tcW w:w="2336" w:type="dxa"/>
          </w:tcPr>
          <w:p w14:paraId="6DAAD2E6" w14:textId="77777777" w:rsidR="00DC16D1" w:rsidRPr="00DC16D1" w:rsidRDefault="00DC16D1" w:rsidP="00DC16D1">
            <w:pPr>
              <w:spacing w:line="240" w:lineRule="auto"/>
              <w:rPr>
                <w:rFonts w:ascii="Times New Roman" w:eastAsia="Times New Roman" w:hAnsi="Times New Roman" w:cs="Times New Roman"/>
                <w:color w:val="000000"/>
                <w:lang w:eastAsia="bg-BG"/>
              </w:rPr>
            </w:pPr>
          </w:p>
        </w:tc>
        <w:tc>
          <w:tcPr>
            <w:tcW w:w="2350" w:type="dxa"/>
          </w:tcPr>
          <w:p w14:paraId="4D69A56F" w14:textId="5CBAF4E4" w:rsidR="00DC16D1" w:rsidRPr="00DC16D1" w:rsidRDefault="00DC16D1" w:rsidP="00DC16D1">
            <w:pPr>
              <w:spacing w:line="240" w:lineRule="auto"/>
              <w:rPr>
                <w:rFonts w:ascii="Times New Roman" w:eastAsia="Times New Roman" w:hAnsi="Times New Roman" w:cs="Times New Roman"/>
                <w:color w:val="000000"/>
                <w:lang w:eastAsia="bg-BG"/>
              </w:rPr>
            </w:pPr>
            <w:r>
              <w:t>еверолимус</w:t>
            </w:r>
          </w:p>
        </w:tc>
        <w:tc>
          <w:tcPr>
            <w:tcW w:w="2333" w:type="dxa"/>
          </w:tcPr>
          <w:p w14:paraId="68FC721B" w14:textId="0B51A8AC" w:rsidR="00DC16D1" w:rsidRPr="00DC16D1" w:rsidRDefault="00DC16D1" w:rsidP="00DC16D1">
            <w:pPr>
              <w:spacing w:line="240" w:lineRule="auto"/>
            </w:pPr>
            <w:r>
              <w:t>будезонид, циклезонид, циклоспорин, дексаметазон, флутиказон, метилпреднизолон, рапамицин (известен още като сиролимус), такролимус, темсиролимус</w:t>
            </w:r>
          </w:p>
        </w:tc>
      </w:tr>
      <w:tr w:rsidR="00DC16D1" w14:paraId="64418691" w14:textId="77777777" w:rsidTr="001E3C50">
        <w:tc>
          <w:tcPr>
            <w:tcW w:w="2331" w:type="dxa"/>
            <w:vAlign w:val="bottom"/>
          </w:tcPr>
          <w:p w14:paraId="69729352" w14:textId="56C079CB" w:rsidR="00DC16D1" w:rsidRPr="00DC16D1" w:rsidRDefault="00DC16D1" w:rsidP="00DC16D1">
            <w:pPr>
              <w:spacing w:line="240" w:lineRule="auto"/>
            </w:pPr>
            <w:r>
              <w:t>Лекарствени продукти, регулиращи серумните липиди</w:t>
            </w:r>
          </w:p>
        </w:tc>
        <w:tc>
          <w:tcPr>
            <w:tcW w:w="2336" w:type="dxa"/>
          </w:tcPr>
          <w:p w14:paraId="6B8A9B8F" w14:textId="310D3A23" w:rsidR="00DC16D1" w:rsidRPr="00DC16D1" w:rsidRDefault="00DC16D1" w:rsidP="00DC16D1">
            <w:pPr>
              <w:spacing w:line="240" w:lineRule="auto"/>
              <w:rPr>
                <w:rFonts w:ascii="Times New Roman" w:eastAsia="Times New Roman" w:hAnsi="Times New Roman" w:cs="Times New Roman"/>
                <w:color w:val="000000"/>
                <w:lang w:eastAsia="bg-BG"/>
              </w:rPr>
            </w:pPr>
            <w:r>
              <w:t>ловастатин, симвастатин</w:t>
            </w:r>
          </w:p>
        </w:tc>
        <w:tc>
          <w:tcPr>
            <w:tcW w:w="2350" w:type="dxa"/>
          </w:tcPr>
          <w:p w14:paraId="3F7EB6EF" w14:textId="77777777" w:rsidR="00DC16D1" w:rsidRPr="00DC16D1" w:rsidRDefault="00DC16D1" w:rsidP="00DC16D1">
            <w:pPr>
              <w:spacing w:line="240" w:lineRule="auto"/>
              <w:rPr>
                <w:rFonts w:ascii="Times New Roman" w:eastAsia="Times New Roman" w:hAnsi="Times New Roman" w:cs="Times New Roman"/>
                <w:color w:val="000000"/>
                <w:lang w:eastAsia="bg-BG"/>
              </w:rPr>
            </w:pPr>
          </w:p>
        </w:tc>
        <w:tc>
          <w:tcPr>
            <w:tcW w:w="2333" w:type="dxa"/>
          </w:tcPr>
          <w:p w14:paraId="7B3CBD92" w14:textId="637C1EF0" w:rsidR="00DC16D1" w:rsidRPr="00DC16D1" w:rsidRDefault="00DC16D1" w:rsidP="00DC16D1">
            <w:pPr>
              <w:spacing w:line="240" w:lineRule="auto"/>
            </w:pPr>
            <w:r>
              <w:t>аторвастатин</w:t>
            </w:r>
          </w:p>
        </w:tc>
      </w:tr>
      <w:tr w:rsidR="00DC16D1" w14:paraId="4D082D32" w14:textId="77777777" w:rsidTr="001E3C50">
        <w:tc>
          <w:tcPr>
            <w:tcW w:w="2331" w:type="dxa"/>
            <w:vAlign w:val="bottom"/>
          </w:tcPr>
          <w:p w14:paraId="356158BA" w14:textId="2BBBCF4E" w:rsidR="00DC16D1" w:rsidRPr="00DC16D1" w:rsidRDefault="00DC16D1" w:rsidP="00DC16D1">
            <w:pPr>
              <w:spacing w:line="240" w:lineRule="auto"/>
            </w:pPr>
            <w:r>
              <w:t>Лекарствени продукти за лечение на дихателната система</w:t>
            </w:r>
          </w:p>
        </w:tc>
        <w:tc>
          <w:tcPr>
            <w:tcW w:w="2336" w:type="dxa"/>
          </w:tcPr>
          <w:p w14:paraId="7295A68B" w14:textId="77777777" w:rsidR="00DC16D1" w:rsidRPr="00DC16D1" w:rsidRDefault="00DC16D1" w:rsidP="00DC16D1">
            <w:pPr>
              <w:spacing w:line="240" w:lineRule="auto"/>
              <w:rPr>
                <w:rFonts w:ascii="Times New Roman" w:eastAsia="Times New Roman" w:hAnsi="Times New Roman" w:cs="Times New Roman"/>
                <w:color w:val="000000"/>
                <w:lang w:eastAsia="bg-BG"/>
              </w:rPr>
            </w:pPr>
          </w:p>
        </w:tc>
        <w:tc>
          <w:tcPr>
            <w:tcW w:w="2350" w:type="dxa"/>
          </w:tcPr>
          <w:p w14:paraId="72230D91" w14:textId="5F0CAF50" w:rsidR="00DC16D1" w:rsidRPr="00DC16D1" w:rsidRDefault="00DC16D1" w:rsidP="00DC16D1">
            <w:pPr>
              <w:spacing w:line="240" w:lineRule="auto"/>
              <w:rPr>
                <w:rFonts w:ascii="Times New Roman" w:eastAsia="Times New Roman" w:hAnsi="Times New Roman" w:cs="Times New Roman"/>
                <w:color w:val="000000"/>
                <w:lang w:eastAsia="bg-BG"/>
              </w:rPr>
            </w:pPr>
            <w:r>
              <w:t>салметерол</w:t>
            </w:r>
          </w:p>
        </w:tc>
        <w:tc>
          <w:tcPr>
            <w:tcW w:w="2333" w:type="dxa"/>
          </w:tcPr>
          <w:p w14:paraId="45CC633E" w14:textId="77777777" w:rsidR="00DC16D1" w:rsidRPr="00DC16D1" w:rsidRDefault="00DC16D1" w:rsidP="00DC16D1">
            <w:pPr>
              <w:spacing w:line="240" w:lineRule="auto"/>
            </w:pPr>
          </w:p>
        </w:tc>
      </w:tr>
      <w:tr w:rsidR="00DC16D1" w14:paraId="596A023C" w14:textId="77777777" w:rsidTr="001E3C50">
        <w:tc>
          <w:tcPr>
            <w:tcW w:w="2331" w:type="dxa"/>
            <w:vAlign w:val="bottom"/>
          </w:tcPr>
          <w:p w14:paraId="273DC9D6" w14:textId="04AE70F3" w:rsidR="00DC16D1" w:rsidRPr="00DC16D1" w:rsidRDefault="00DC16D1" w:rsidP="00DC16D1">
            <w:pPr>
              <w:spacing w:line="240" w:lineRule="auto"/>
            </w:pPr>
            <w:r>
              <w:t>СИОЗС, трициклични и свързани антидепресанти</w:t>
            </w:r>
          </w:p>
        </w:tc>
        <w:tc>
          <w:tcPr>
            <w:tcW w:w="2336" w:type="dxa"/>
          </w:tcPr>
          <w:p w14:paraId="0874E918" w14:textId="77777777" w:rsidR="00DC16D1" w:rsidRPr="00DC16D1" w:rsidRDefault="00DC16D1" w:rsidP="00DC16D1">
            <w:pPr>
              <w:spacing w:line="240" w:lineRule="auto"/>
              <w:rPr>
                <w:rFonts w:ascii="Times New Roman" w:eastAsia="Times New Roman" w:hAnsi="Times New Roman" w:cs="Times New Roman"/>
                <w:color w:val="000000"/>
                <w:lang w:eastAsia="bg-BG"/>
              </w:rPr>
            </w:pPr>
          </w:p>
        </w:tc>
        <w:tc>
          <w:tcPr>
            <w:tcW w:w="2350" w:type="dxa"/>
          </w:tcPr>
          <w:p w14:paraId="081EE2BD" w14:textId="77777777" w:rsidR="00DC16D1" w:rsidRPr="00DC16D1" w:rsidRDefault="00DC16D1" w:rsidP="00DC16D1">
            <w:pPr>
              <w:spacing w:line="240" w:lineRule="auto"/>
              <w:rPr>
                <w:rFonts w:ascii="Times New Roman" w:eastAsia="Times New Roman" w:hAnsi="Times New Roman" w:cs="Times New Roman"/>
                <w:color w:val="000000"/>
                <w:lang w:eastAsia="bg-BG"/>
              </w:rPr>
            </w:pPr>
          </w:p>
        </w:tc>
        <w:tc>
          <w:tcPr>
            <w:tcW w:w="2333" w:type="dxa"/>
          </w:tcPr>
          <w:p w14:paraId="23ED15CC" w14:textId="332FC86F" w:rsidR="00DC16D1" w:rsidRPr="00DC16D1" w:rsidRDefault="00DC16D1" w:rsidP="00DC16D1">
            <w:pPr>
              <w:spacing w:line="240" w:lineRule="auto"/>
            </w:pPr>
            <w:r>
              <w:t>ребоксетин</w:t>
            </w:r>
          </w:p>
        </w:tc>
      </w:tr>
      <w:tr w:rsidR="00DC16D1" w14:paraId="29CD078D" w14:textId="77777777" w:rsidTr="001E3C50">
        <w:tc>
          <w:tcPr>
            <w:tcW w:w="2331" w:type="dxa"/>
          </w:tcPr>
          <w:p w14:paraId="1517065A" w14:textId="4B291FF8" w:rsidR="00DC16D1" w:rsidRPr="00DC16D1" w:rsidRDefault="00DC16D1" w:rsidP="00DC16D1">
            <w:pPr>
              <w:spacing w:line="240" w:lineRule="auto"/>
            </w:pPr>
            <w:r>
              <w:t>Урологични лекарствени продукти</w:t>
            </w:r>
          </w:p>
        </w:tc>
        <w:tc>
          <w:tcPr>
            <w:tcW w:w="2336" w:type="dxa"/>
          </w:tcPr>
          <w:p w14:paraId="2F5B65F7" w14:textId="77777777" w:rsidR="00DC16D1" w:rsidRPr="00DC16D1" w:rsidRDefault="00DC16D1" w:rsidP="00DC16D1">
            <w:pPr>
              <w:spacing w:line="240" w:lineRule="auto"/>
              <w:rPr>
                <w:rFonts w:ascii="Times New Roman" w:eastAsia="Times New Roman" w:hAnsi="Times New Roman" w:cs="Times New Roman"/>
                <w:color w:val="000000"/>
                <w:lang w:eastAsia="bg-BG"/>
              </w:rPr>
            </w:pPr>
          </w:p>
        </w:tc>
        <w:tc>
          <w:tcPr>
            <w:tcW w:w="2350" w:type="dxa"/>
          </w:tcPr>
          <w:p w14:paraId="60638234" w14:textId="03BC382D" w:rsidR="00DC16D1" w:rsidRPr="00DC16D1" w:rsidRDefault="00DC16D1" w:rsidP="00DC16D1">
            <w:pPr>
              <w:spacing w:line="240" w:lineRule="auto"/>
              <w:rPr>
                <w:rFonts w:ascii="Times New Roman" w:eastAsia="Times New Roman" w:hAnsi="Times New Roman" w:cs="Times New Roman"/>
                <w:color w:val="000000"/>
                <w:lang w:eastAsia="bg-BG"/>
              </w:rPr>
            </w:pPr>
            <w:r>
              <w:t>варденафил</w:t>
            </w:r>
          </w:p>
        </w:tc>
        <w:tc>
          <w:tcPr>
            <w:tcW w:w="2333" w:type="dxa"/>
            <w:vAlign w:val="bottom"/>
          </w:tcPr>
          <w:p w14:paraId="6486FE0C" w14:textId="66C3C9F9" w:rsidR="00DC16D1" w:rsidRPr="00DC16D1" w:rsidRDefault="00DC16D1" w:rsidP="00DC16D1">
            <w:pPr>
              <w:spacing w:line="240" w:lineRule="auto"/>
            </w:pPr>
            <w:r>
              <w:t>фезотеродин, имидафенацин, силденафил, солифенацин, тадалафил, голтеродин</w:t>
            </w:r>
          </w:p>
        </w:tc>
      </w:tr>
      <w:tr w:rsidR="00DC16D1" w14:paraId="0B3F7B1B" w14:textId="77777777" w:rsidTr="001E3C50">
        <w:tc>
          <w:tcPr>
            <w:tcW w:w="2331" w:type="dxa"/>
          </w:tcPr>
          <w:p w14:paraId="44FF7912" w14:textId="00283512" w:rsidR="00DC16D1" w:rsidRPr="00DC16D1" w:rsidRDefault="00DC16D1" w:rsidP="00DC16D1">
            <w:pPr>
              <w:spacing w:line="240" w:lineRule="auto"/>
            </w:pPr>
            <w:r>
              <w:t>Други</w:t>
            </w:r>
          </w:p>
        </w:tc>
        <w:tc>
          <w:tcPr>
            <w:tcW w:w="2336" w:type="dxa"/>
          </w:tcPr>
          <w:p w14:paraId="17D4819B" w14:textId="21889E53" w:rsidR="00DC16D1" w:rsidRPr="00DC16D1" w:rsidRDefault="00DC16D1" w:rsidP="00DC16D1">
            <w:pPr>
              <w:spacing w:line="240" w:lineRule="auto"/>
              <w:rPr>
                <w:rFonts w:ascii="Times New Roman" w:eastAsia="Times New Roman" w:hAnsi="Times New Roman" w:cs="Times New Roman"/>
                <w:color w:val="000000"/>
                <w:lang w:eastAsia="bg-BG"/>
              </w:rPr>
            </w:pPr>
            <w:r>
              <w:t>колхицин при пациенти с нарушена бъбречна или чернодробна функция</w:t>
            </w:r>
          </w:p>
        </w:tc>
        <w:tc>
          <w:tcPr>
            <w:tcW w:w="2350" w:type="dxa"/>
          </w:tcPr>
          <w:p w14:paraId="112EA522" w14:textId="77777777" w:rsidR="00DC16D1" w:rsidRDefault="00DC16D1" w:rsidP="00DC16D1">
            <w:r>
              <w:t>колхицин</w:t>
            </w:r>
          </w:p>
          <w:p w14:paraId="4E7CD786" w14:textId="7723597D" w:rsidR="00DC16D1" w:rsidRPr="00DC16D1" w:rsidRDefault="00DC16D1" w:rsidP="00DC16D1">
            <w:pPr>
              <w:spacing w:line="240" w:lineRule="auto"/>
              <w:rPr>
                <w:rFonts w:ascii="Times New Roman" w:eastAsia="Times New Roman" w:hAnsi="Times New Roman" w:cs="Times New Roman"/>
                <w:color w:val="000000"/>
                <w:lang w:eastAsia="bg-BG"/>
              </w:rPr>
            </w:pPr>
          </w:p>
        </w:tc>
        <w:tc>
          <w:tcPr>
            <w:tcW w:w="2333" w:type="dxa"/>
            <w:vAlign w:val="bottom"/>
          </w:tcPr>
          <w:p w14:paraId="2664FCB5" w14:textId="1C332E54" w:rsidR="00DC16D1" w:rsidRPr="00DC16D1" w:rsidRDefault="00DC16D1" w:rsidP="00DC16D1">
            <w:pPr>
              <w:spacing w:line="240" w:lineRule="auto"/>
            </w:pPr>
            <w:r>
              <w:t>алитретиноин (перорално приложение), цинакалцет, мозаваптан, толвапта</w:t>
            </w:r>
          </w:p>
        </w:tc>
      </w:tr>
      <w:tr w:rsidR="00DC16D1" w14:paraId="15619DD2" w14:textId="77777777" w:rsidTr="001E3C50">
        <w:tc>
          <w:tcPr>
            <w:tcW w:w="9350" w:type="dxa"/>
            <w:gridSpan w:val="4"/>
            <w:vAlign w:val="bottom"/>
          </w:tcPr>
          <w:p w14:paraId="73FDFF8D"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vertAlign w:val="superscript"/>
                <w:lang w:eastAsia="bg-BG"/>
              </w:rPr>
              <w:t>а</w:t>
            </w:r>
            <w:r w:rsidRPr="00DC16D1">
              <w:rPr>
                <w:rFonts w:eastAsia="Times New Roman" w:cs="Arial"/>
                <w:color w:val="000000"/>
                <w:lang w:eastAsia="bg-BG"/>
              </w:rPr>
              <w:t xml:space="preserve"> Вж. също точка “Лекарствени продукти, които могат да понижат плазмените концентрации на итраконазол''</w:t>
            </w:r>
          </w:p>
          <w:p w14:paraId="7D4D311A" w14:textId="7241A913" w:rsidR="00DC16D1" w:rsidRPr="00DC16D1" w:rsidRDefault="00DC16D1" w:rsidP="00DC16D1">
            <w:pPr>
              <w:spacing w:line="240" w:lineRule="auto"/>
            </w:pPr>
            <w:r w:rsidRPr="00DC16D1">
              <w:rPr>
                <w:rFonts w:eastAsia="Times New Roman" w:cs="Arial"/>
                <w:color w:val="000000"/>
                <w:vertAlign w:val="superscript"/>
                <w:lang w:eastAsia="bg-BG"/>
              </w:rPr>
              <w:lastRenderedPageBreak/>
              <w:t>б</w:t>
            </w:r>
            <w:r w:rsidRPr="00DC16D1">
              <w:rPr>
                <w:rFonts w:eastAsia="Times New Roman" w:cs="Arial"/>
                <w:color w:val="000000"/>
                <w:lang w:eastAsia="bg-BG"/>
              </w:rPr>
              <w:t xml:space="preserve"> Вж. също точка “Лекарствени продукти, които могат да повишат плазмените</w:t>
            </w:r>
            <w:r w:rsidRPr="00DC16D1">
              <w:rPr>
                <w:rFonts w:eastAsia="Times New Roman" w:cs="Arial"/>
                <w:i/>
                <w:iCs/>
                <w:color w:val="000000"/>
                <w:lang w:eastAsia="bg-BG"/>
              </w:rPr>
              <w:t xml:space="preserve"> </w:t>
            </w:r>
            <w:r w:rsidRPr="00DC16D1">
              <w:rPr>
                <w:rFonts w:eastAsia="Times New Roman" w:cs="Arial"/>
                <w:color w:val="000000"/>
                <w:lang w:eastAsia="bg-BG"/>
              </w:rPr>
              <w:t>концентрации на итраконазол”</w:t>
            </w:r>
          </w:p>
        </w:tc>
      </w:tr>
    </w:tbl>
    <w:p w14:paraId="3713A8F1" w14:textId="0EFA8517" w:rsidR="00193F0A" w:rsidRDefault="00193F0A" w:rsidP="00193F0A">
      <w:pPr>
        <w:spacing w:line="240" w:lineRule="auto"/>
        <w:rPr>
          <w:rFonts w:ascii="Times New Roman" w:eastAsia="Times New Roman" w:hAnsi="Times New Roman" w:cs="Times New Roman"/>
          <w:color w:val="000000"/>
          <w:lang w:eastAsia="bg-BG"/>
        </w:rPr>
      </w:pPr>
    </w:p>
    <w:p w14:paraId="7477156F"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b/>
          <w:bCs/>
          <w:color w:val="000000"/>
          <w:lang w:eastAsia="bg-BG"/>
        </w:rPr>
        <w:t>Лекарствени продукти, чиято плазмена концентрация може да бъде понижена от итраконазол</w:t>
      </w:r>
    </w:p>
    <w:p w14:paraId="177E2DE0"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Едновременното приложение на итраконазол и НСПВС мелоксикам може да доведе до понижение на плазмените концентрации на мелоксикам. Препоръчва се повишено внимание при едновременно приложение на мелоксикам с итраконазол, както и наблюдение на неговите терапевтични и нежелани ефекти. Препоръчително е при необходимост коригиране на дозировката на мелоксикам, когато се прилага едновременно с итраконазол.</w:t>
      </w:r>
    </w:p>
    <w:p w14:paraId="02FA3FAF" w14:textId="77777777" w:rsidR="00DC16D1" w:rsidRPr="00DC16D1" w:rsidRDefault="00DC16D1" w:rsidP="00DC16D1">
      <w:pPr>
        <w:spacing w:line="240" w:lineRule="auto"/>
        <w:rPr>
          <w:rFonts w:eastAsia="Times New Roman" w:cs="Arial"/>
          <w:color w:val="000000"/>
          <w:u w:val="single"/>
          <w:lang w:eastAsia="bg-BG"/>
        </w:rPr>
      </w:pPr>
    </w:p>
    <w:p w14:paraId="5EB2A93D" w14:textId="10114E6C"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u w:val="single"/>
          <w:lang w:eastAsia="bg-BG"/>
        </w:rPr>
        <w:t>Педиатрична популация</w:t>
      </w:r>
    </w:p>
    <w:p w14:paraId="3BD07AF4" w14:textId="07137237" w:rsidR="00DC16D1" w:rsidRPr="00DC16D1" w:rsidRDefault="00DC16D1" w:rsidP="00DC16D1">
      <w:pPr>
        <w:spacing w:line="240" w:lineRule="auto"/>
        <w:rPr>
          <w:rFonts w:eastAsia="Times New Roman" w:cs="Arial"/>
          <w:color w:val="000000"/>
          <w:lang w:eastAsia="bg-BG"/>
        </w:rPr>
      </w:pPr>
      <w:r w:rsidRPr="00DC16D1">
        <w:rPr>
          <w:rFonts w:eastAsia="Times New Roman" w:cs="Arial"/>
          <w:color w:val="000000"/>
          <w:lang w:eastAsia="bg-BG"/>
        </w:rPr>
        <w:t>Проучвания на взаимодействията са провеждани само при възрастни.</w:t>
      </w:r>
    </w:p>
    <w:p w14:paraId="0395BD2E" w14:textId="460CDA57" w:rsidR="007A2185" w:rsidRPr="00193F0A" w:rsidRDefault="007A2185" w:rsidP="0091385D">
      <w:pPr>
        <w:rPr>
          <w:lang w:val="en-US"/>
        </w:rPr>
      </w:pPr>
    </w:p>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67D1EA2A" w14:textId="77777777" w:rsidR="00DC16D1" w:rsidRPr="00DC16D1" w:rsidRDefault="00DC16D1" w:rsidP="00DC16D1">
      <w:pPr>
        <w:pStyle w:val="Heading3"/>
        <w:rPr>
          <w:rFonts w:eastAsia="Times New Roman"/>
          <w:i/>
          <w:u w:val="single"/>
          <w:lang w:eastAsia="bg-BG"/>
        </w:rPr>
      </w:pPr>
      <w:r w:rsidRPr="00DC16D1">
        <w:rPr>
          <w:rFonts w:eastAsia="Times New Roman"/>
          <w:i/>
          <w:u w:val="single"/>
          <w:lang w:eastAsia="bg-BG"/>
        </w:rPr>
        <w:t>Бременност</w:t>
      </w:r>
    </w:p>
    <w:p w14:paraId="7B1144B1"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Фун</w:t>
      </w:r>
      <w:bookmarkStart w:id="2" w:name="_GoBack"/>
      <w:bookmarkEnd w:id="2"/>
      <w:r w:rsidRPr="00DC16D1">
        <w:rPr>
          <w:rFonts w:eastAsia="Times New Roman" w:cs="Arial"/>
          <w:color w:val="000000"/>
          <w:lang w:eastAsia="bg-BG"/>
        </w:rPr>
        <w:t>гофунал не трябва да се прилага по време на бременност, освен при живото-застрашаващи случаи, когато възможната полза за майката превишава възможния риск от увреждане на плода (вж. точка 4.3).</w:t>
      </w:r>
    </w:p>
    <w:p w14:paraId="01508BF0" w14:textId="77777777" w:rsidR="00DC16D1" w:rsidRPr="00DC16D1" w:rsidRDefault="00DC16D1" w:rsidP="00DC16D1">
      <w:pPr>
        <w:spacing w:line="240" w:lineRule="auto"/>
        <w:rPr>
          <w:rFonts w:eastAsia="Times New Roman" w:cs="Arial"/>
          <w:color w:val="000000"/>
          <w:lang w:eastAsia="bg-BG"/>
        </w:rPr>
      </w:pPr>
    </w:p>
    <w:p w14:paraId="608528AB" w14:textId="2E1546F9"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При изследванията с животни итраконазол е показал репродуктивна токсичност (вж. точка 5.3).</w:t>
      </w:r>
    </w:p>
    <w:p w14:paraId="3CFC1743" w14:textId="77777777" w:rsidR="00DC16D1" w:rsidRPr="00DC16D1" w:rsidRDefault="00DC16D1" w:rsidP="00DC16D1">
      <w:pPr>
        <w:spacing w:line="240" w:lineRule="auto"/>
        <w:rPr>
          <w:rFonts w:eastAsia="Times New Roman" w:cs="Arial"/>
          <w:color w:val="000000"/>
          <w:lang w:eastAsia="bg-BG"/>
        </w:rPr>
      </w:pPr>
    </w:p>
    <w:p w14:paraId="6F761763" w14:textId="7D799954"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Има ограничена информация за употребата на итраконазол по време на бременност. След пускане на лекарствения продукт на пазара са докладвани случаи на вродени малформации. Те включват малформации на скелета, на урогениталния тракт, на сърдечно-съдовата система и очите, както и хромозомни и множествени малформации. Не е установена причинно-следствена връзка с итраконазол.</w:t>
      </w:r>
    </w:p>
    <w:p w14:paraId="3442B07E" w14:textId="77777777" w:rsidR="00DC16D1" w:rsidRPr="00DC16D1" w:rsidRDefault="00DC16D1" w:rsidP="00DC16D1">
      <w:pPr>
        <w:spacing w:line="240" w:lineRule="auto"/>
        <w:rPr>
          <w:rFonts w:eastAsia="Times New Roman" w:cs="Arial"/>
          <w:color w:val="000000"/>
          <w:lang w:eastAsia="bg-BG"/>
        </w:rPr>
      </w:pPr>
    </w:p>
    <w:p w14:paraId="206C270E" w14:textId="5D7D8ACD"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Епидемиологичните данни за приема на итраконазол през първия триместър на бременността - най-вече при пациентите, лекувани за краткосрочен период поради вулвовагинална кандидоза - не показват повишен риск от малформации в сравнение с контролната група, които не са приемали известни тератогенни средства.</w:t>
      </w:r>
    </w:p>
    <w:p w14:paraId="20544F93" w14:textId="77777777" w:rsidR="00DC16D1" w:rsidRPr="00DC16D1" w:rsidRDefault="00DC16D1" w:rsidP="00DC16D1">
      <w:pPr>
        <w:spacing w:line="240" w:lineRule="auto"/>
        <w:rPr>
          <w:rFonts w:eastAsia="Times New Roman" w:cs="Arial"/>
          <w:i/>
          <w:iCs/>
          <w:color w:val="000000"/>
          <w:lang w:eastAsia="bg-BG"/>
        </w:rPr>
      </w:pPr>
    </w:p>
    <w:p w14:paraId="702301C0" w14:textId="5679F90D" w:rsidR="00DC16D1" w:rsidRPr="00DC16D1" w:rsidRDefault="00DC16D1" w:rsidP="00DC16D1">
      <w:pPr>
        <w:spacing w:line="240" w:lineRule="auto"/>
        <w:rPr>
          <w:rFonts w:eastAsia="Times New Roman" w:cs="Arial"/>
          <w:sz w:val="24"/>
          <w:szCs w:val="24"/>
          <w:lang w:eastAsia="bg-BG"/>
        </w:rPr>
      </w:pPr>
      <w:r w:rsidRPr="00DC16D1">
        <w:rPr>
          <w:rFonts w:eastAsia="Times New Roman" w:cs="Arial"/>
          <w:i/>
          <w:iCs/>
          <w:color w:val="000000"/>
          <w:lang w:eastAsia="bg-BG"/>
        </w:rPr>
        <w:t>Жени в детеродна възраст</w:t>
      </w:r>
    </w:p>
    <w:p w14:paraId="0A070F66"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Жени в детеродна възраст, които приемат итраконазол, трябва да използват контрацептивни мерки. Ефективната контрацепция трябва да се продължи до следващия менструален период след приключване на терапията с итраконазол.</w:t>
      </w:r>
    </w:p>
    <w:p w14:paraId="67DDFC96" w14:textId="77777777" w:rsidR="00DC16D1" w:rsidRPr="00DC16D1" w:rsidRDefault="00DC16D1" w:rsidP="00DC16D1">
      <w:pPr>
        <w:spacing w:line="240" w:lineRule="auto"/>
        <w:rPr>
          <w:rFonts w:eastAsia="Times New Roman" w:cs="Arial"/>
          <w:i/>
          <w:iCs/>
          <w:color w:val="000000"/>
          <w:lang w:eastAsia="bg-BG"/>
        </w:rPr>
      </w:pPr>
    </w:p>
    <w:p w14:paraId="4BE67E37" w14:textId="0A1522A0" w:rsidR="00DC16D1" w:rsidRPr="00DC16D1" w:rsidRDefault="00DC16D1" w:rsidP="00DC16D1">
      <w:pPr>
        <w:pStyle w:val="Heading3"/>
        <w:rPr>
          <w:rFonts w:eastAsia="Times New Roman"/>
          <w:i/>
          <w:u w:val="single"/>
          <w:lang w:eastAsia="bg-BG"/>
        </w:rPr>
      </w:pPr>
      <w:r w:rsidRPr="00DC16D1">
        <w:rPr>
          <w:rFonts w:eastAsia="Times New Roman"/>
          <w:i/>
          <w:u w:val="single"/>
          <w:lang w:eastAsia="bg-BG"/>
        </w:rPr>
        <w:t>Кърмене</w:t>
      </w:r>
    </w:p>
    <w:p w14:paraId="6484ECBA"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Итраконазол се екскретира в кърмата само в много малки количества. Следователно ползата от лечението с итраконазол капсули трябва да бъде внимателно преценена спрямо риска при кърменето. В случай на съмнение кърменето трябва да бъде спряно.</w:t>
      </w:r>
    </w:p>
    <w:p w14:paraId="2BF5A50C" w14:textId="77777777" w:rsidR="00DC16D1" w:rsidRPr="00DC16D1" w:rsidRDefault="00DC16D1" w:rsidP="00DC16D1">
      <w:pPr>
        <w:spacing w:line="240" w:lineRule="auto"/>
        <w:rPr>
          <w:rFonts w:eastAsia="Times New Roman" w:cs="Arial"/>
          <w:i/>
          <w:iCs/>
          <w:color w:val="000000"/>
          <w:lang w:eastAsia="bg-BG"/>
        </w:rPr>
      </w:pPr>
    </w:p>
    <w:p w14:paraId="5A7A9939" w14:textId="4A2FEF21" w:rsidR="00DC16D1" w:rsidRPr="00DC16D1" w:rsidRDefault="00DC16D1" w:rsidP="00DC16D1">
      <w:pPr>
        <w:pStyle w:val="Heading3"/>
        <w:rPr>
          <w:rFonts w:eastAsia="Times New Roman"/>
          <w:i/>
          <w:u w:val="single"/>
          <w:lang w:eastAsia="bg-BG"/>
        </w:rPr>
      </w:pPr>
      <w:r w:rsidRPr="00DC16D1">
        <w:rPr>
          <w:rFonts w:eastAsia="Times New Roman"/>
          <w:i/>
          <w:u w:val="single"/>
          <w:lang w:eastAsia="bg-BG"/>
        </w:rPr>
        <w:t>Фертилитет</w:t>
      </w:r>
    </w:p>
    <w:p w14:paraId="102F0D07" w14:textId="2C551100" w:rsidR="007A2185" w:rsidRPr="00DC16D1" w:rsidRDefault="00DC16D1" w:rsidP="00DC16D1">
      <w:pPr>
        <w:rPr>
          <w:rFonts w:cs="Arial"/>
        </w:rPr>
      </w:pPr>
      <w:r w:rsidRPr="00DC16D1">
        <w:rPr>
          <w:rFonts w:eastAsia="Times New Roman" w:cs="Arial"/>
          <w:color w:val="000000"/>
          <w:lang w:eastAsia="bg-BG"/>
        </w:rPr>
        <w:t>Няма данни за първично повлияване на фертилитета, въз основа на предклиничните данни за безопасност (вж. точка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19DB0C65" w:rsidR="007A2185" w:rsidRDefault="00DC16D1" w:rsidP="0091385D">
      <w:r>
        <w:t>Няма проучвания за ефектите върху способността за шофиране и работа с машини. При шофиране и работа с машини възможността за нежелани лекарствени реакции, като замаяност, зрителни нарушения и загуба на слуха (вж. точка 4.8), които могат да възникнат в някои случаи, трябва да бъдат взети под внимание.</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0AFE04CA"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u w:val="single"/>
          <w:lang w:eastAsia="bg-BG"/>
        </w:rPr>
        <w:t>Обобщение на профила на безопасност</w:t>
      </w:r>
    </w:p>
    <w:p w14:paraId="4363B473" w14:textId="77777777" w:rsidR="00DC16D1" w:rsidRPr="00DC16D1" w:rsidRDefault="00DC16D1" w:rsidP="00DC16D1">
      <w:pPr>
        <w:rPr>
          <w:rFonts w:eastAsia="Times New Roman" w:cs="Arial"/>
          <w:sz w:val="24"/>
          <w:szCs w:val="24"/>
          <w:lang w:eastAsia="bg-BG"/>
        </w:rPr>
      </w:pPr>
      <w:r w:rsidRPr="00DC16D1">
        <w:rPr>
          <w:rFonts w:eastAsia="Times New Roman" w:cs="Arial"/>
          <w:color w:val="000000"/>
          <w:u w:val="single"/>
          <w:lang w:eastAsia="bg-BG"/>
        </w:rPr>
        <w:t>Най-често съобщаваните нежелани лекарствени реакции (НЛР) при лечение с интраконазол</w:t>
      </w:r>
      <w:r w:rsidRPr="00DC16D1">
        <w:rPr>
          <w:rFonts w:eastAsia="Times New Roman" w:cs="Arial"/>
          <w:color w:val="000000"/>
          <w:lang w:eastAsia="bg-BG"/>
        </w:rPr>
        <w:t xml:space="preserve"> </w:t>
      </w:r>
      <w:r w:rsidRPr="00DC16D1">
        <w:rPr>
          <w:rFonts w:eastAsia="Times New Roman" w:cs="Arial"/>
          <w:color w:val="000000"/>
          <w:u w:val="single"/>
          <w:lang w:eastAsia="bg-BG"/>
        </w:rPr>
        <w:t xml:space="preserve">капсули в клинични изпитвания и/или в спонтанни съобщения са главоболие, коремна болка и </w:t>
      </w:r>
      <w:r w:rsidRPr="00DC16D1">
        <w:rPr>
          <w:rFonts w:eastAsia="Times New Roman" w:cs="Arial"/>
          <w:color w:val="000000"/>
          <w:lang w:eastAsia="bg-BG"/>
        </w:rPr>
        <w:t xml:space="preserve"> </w:t>
      </w:r>
      <w:r w:rsidRPr="00DC16D1">
        <w:rPr>
          <w:rFonts w:eastAsia="Times New Roman" w:cs="Arial"/>
          <w:color w:val="000000"/>
          <w:u w:val="single"/>
          <w:lang w:eastAsia="bg-BG"/>
        </w:rPr>
        <w:t xml:space="preserve">гадене. Най-сериозните НЛР са сериозни алергични реакции, сърдечна недостатъчонст/застойна сърдечна недостатъчност/белодробен оток, панкреатит. тежка хепатотоксичност (вкл. няколко случая на остра чернодробна недостатъчност с летален изход). Вижте точка „Списък на нежеланите реакции в табличен вид” относно честотата на НЛР и други наблюдавани НЛР. За допълнителна информация относно други сериозни реакции вижте точка </w:t>
      </w:r>
      <w:r w:rsidRPr="00DC16D1">
        <w:rPr>
          <w:rFonts w:eastAsia="Times New Roman" w:cs="Arial"/>
          <w:i/>
          <w:iCs/>
          <w:color w:val="000000"/>
          <w:u w:val="single"/>
          <w:lang w:eastAsia="bg-BG"/>
        </w:rPr>
        <w:t>4.4.</w:t>
      </w:r>
    </w:p>
    <w:p w14:paraId="3269C76A" w14:textId="77777777" w:rsidR="00DC16D1" w:rsidRPr="00DC16D1" w:rsidRDefault="00DC16D1" w:rsidP="00DC16D1">
      <w:pPr>
        <w:spacing w:line="240" w:lineRule="auto"/>
        <w:rPr>
          <w:rFonts w:eastAsia="Times New Roman" w:cs="Arial"/>
          <w:color w:val="000000"/>
          <w:u w:val="single"/>
          <w:lang w:eastAsia="bg-BG"/>
        </w:rPr>
      </w:pPr>
    </w:p>
    <w:p w14:paraId="630E6E27" w14:textId="32318FE3"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u w:val="single"/>
          <w:lang w:eastAsia="bg-BG"/>
        </w:rPr>
        <w:t>Списък на нежеланите реакции в табличен вид</w:t>
      </w:r>
    </w:p>
    <w:p w14:paraId="3BA4A7DC"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Данните за НЛР в таблицата по-долу са получени от отворени, двойно-слепи клинични изпитвания с итраконазол капсули, включващи 8 499 пациенти, лекувани за дерматомикози или онихомикози, както и от спонтанни съобщения.</w:t>
      </w:r>
    </w:p>
    <w:p w14:paraId="7523F4B3" w14:textId="77777777" w:rsidR="00DC16D1" w:rsidRPr="00DC16D1" w:rsidRDefault="00DC16D1" w:rsidP="00DC16D1">
      <w:pPr>
        <w:spacing w:line="240" w:lineRule="auto"/>
        <w:rPr>
          <w:rFonts w:eastAsia="Times New Roman" w:cs="Arial"/>
          <w:color w:val="000000"/>
          <w:lang w:eastAsia="bg-BG"/>
        </w:rPr>
      </w:pPr>
    </w:p>
    <w:p w14:paraId="36C866A8" w14:textId="54525216"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В таблицата по-долу са представени НЛР по системо-органни класове. В рамките на всеки системо-органнен клас НЛР са представени по честота, като се използва следната класификация:</w:t>
      </w:r>
    </w:p>
    <w:p w14:paraId="6FE7FF14" w14:textId="77777777" w:rsidR="00DC16D1" w:rsidRPr="00DC16D1" w:rsidRDefault="00DC16D1" w:rsidP="00DC16D1">
      <w:pPr>
        <w:spacing w:line="240" w:lineRule="auto"/>
        <w:rPr>
          <w:rFonts w:eastAsia="Times New Roman" w:cs="Arial"/>
          <w:color w:val="000000"/>
          <w:lang w:eastAsia="bg-BG"/>
        </w:rPr>
      </w:pPr>
    </w:p>
    <w:p w14:paraId="41171CAA" w14:textId="7F6F67A4"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Много чести (≥1/10)</w:t>
      </w:r>
    </w:p>
    <w:p w14:paraId="2EB3733C"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Чести (≥ 1/100 до &lt; 1/10)</w:t>
      </w:r>
    </w:p>
    <w:p w14:paraId="35589798"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Нечести (≥ 1/1 000 до &lt; 1/100)</w:t>
      </w:r>
    </w:p>
    <w:p w14:paraId="22BC710C"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Редки (≥ 1/10 000 до &lt; 1/1 000)</w:t>
      </w:r>
    </w:p>
    <w:p w14:paraId="32499022"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Много редки (&lt;1/10 000)</w:t>
      </w:r>
    </w:p>
    <w:p w14:paraId="0254AACC" w14:textId="1F140015" w:rsidR="007A2185" w:rsidRPr="00DC16D1" w:rsidRDefault="00DC16D1" w:rsidP="00DC16D1">
      <w:pPr>
        <w:rPr>
          <w:rFonts w:eastAsia="Times New Roman" w:cs="Arial"/>
          <w:color w:val="000000"/>
          <w:lang w:eastAsia="bg-BG"/>
        </w:rPr>
      </w:pPr>
      <w:r w:rsidRPr="00DC16D1">
        <w:rPr>
          <w:rFonts w:eastAsia="Times New Roman" w:cs="Arial"/>
          <w:color w:val="000000"/>
          <w:lang w:eastAsia="bg-BG"/>
        </w:rPr>
        <w:t>С неизвестна честота (от наличните данни не може да бъде направена оценка)</w:t>
      </w:r>
    </w:p>
    <w:p w14:paraId="5D53DF8C" w14:textId="75B3E75B" w:rsidR="00DC16D1" w:rsidRDefault="00DC16D1" w:rsidP="00DC16D1">
      <w:pPr>
        <w:rPr>
          <w:rFonts w:ascii="Times New Roman" w:eastAsia="Times New Roman" w:hAnsi="Times New Roman" w:cs="Times New Roman"/>
          <w:color w:val="000000"/>
          <w:lang w:eastAsia="bg-BG"/>
        </w:rPr>
      </w:pPr>
    </w:p>
    <w:tbl>
      <w:tblPr>
        <w:tblStyle w:val="TableGrid"/>
        <w:tblW w:w="0" w:type="auto"/>
        <w:tblLook w:val="04A0" w:firstRow="1" w:lastRow="0" w:firstColumn="1" w:lastColumn="0" w:noHBand="0" w:noVBand="1"/>
      </w:tblPr>
      <w:tblGrid>
        <w:gridCol w:w="2543"/>
        <w:gridCol w:w="1595"/>
        <w:gridCol w:w="2546"/>
        <w:gridCol w:w="2666"/>
      </w:tblGrid>
      <w:tr w:rsidR="001E3C50" w14:paraId="47C20EE6" w14:textId="77777777" w:rsidTr="001E3C50">
        <w:tc>
          <w:tcPr>
            <w:tcW w:w="2543" w:type="dxa"/>
          </w:tcPr>
          <w:p w14:paraId="5B5CBE52" w14:textId="622DA305" w:rsidR="001E3C50" w:rsidRDefault="001E3C50" w:rsidP="001E3C50">
            <w:pPr>
              <w:rPr>
                <w:rFonts w:cs="Arial"/>
              </w:rPr>
            </w:pPr>
            <w:r>
              <w:rPr>
                <w:b/>
                <w:bCs/>
              </w:rPr>
              <w:t>Системо-органен клас</w:t>
            </w:r>
          </w:p>
        </w:tc>
        <w:tc>
          <w:tcPr>
            <w:tcW w:w="1595" w:type="dxa"/>
          </w:tcPr>
          <w:p w14:paraId="0BD3ED95" w14:textId="77777777" w:rsidR="001E3C50" w:rsidRDefault="001E3C50" w:rsidP="001E3C50">
            <w:r>
              <w:rPr>
                <w:b/>
                <w:bCs/>
              </w:rPr>
              <w:t>Чести</w:t>
            </w:r>
          </w:p>
          <w:p w14:paraId="0FFE2DC1" w14:textId="5C4E1CC8" w:rsidR="001E3C50" w:rsidRDefault="001E3C50" w:rsidP="001E3C50">
            <w:pPr>
              <w:rPr>
                <w:rFonts w:cs="Arial"/>
              </w:rPr>
            </w:pPr>
            <w:r>
              <w:t>(≥1/100 до &lt; 1/10)</w:t>
            </w:r>
          </w:p>
        </w:tc>
        <w:tc>
          <w:tcPr>
            <w:tcW w:w="2546" w:type="dxa"/>
          </w:tcPr>
          <w:p w14:paraId="3BB31294" w14:textId="77777777" w:rsidR="001E3C50" w:rsidRDefault="001E3C50" w:rsidP="001E3C50">
            <w:r>
              <w:rPr>
                <w:b/>
                <w:bCs/>
              </w:rPr>
              <w:t>Нечести</w:t>
            </w:r>
          </w:p>
          <w:p w14:paraId="252DF00D" w14:textId="5FDC7D26" w:rsidR="001E3C50" w:rsidRDefault="001E3C50" w:rsidP="001E3C50">
            <w:pPr>
              <w:rPr>
                <w:rFonts w:cs="Arial"/>
              </w:rPr>
            </w:pPr>
            <w:r>
              <w:t>(≥1/1 000 до &lt; 1/100)</w:t>
            </w:r>
          </w:p>
        </w:tc>
        <w:tc>
          <w:tcPr>
            <w:tcW w:w="2666" w:type="dxa"/>
          </w:tcPr>
          <w:p w14:paraId="28B9FC4A" w14:textId="77777777" w:rsidR="001E3C50" w:rsidRDefault="001E3C50" w:rsidP="001E3C50">
            <w:r>
              <w:rPr>
                <w:b/>
                <w:bCs/>
              </w:rPr>
              <w:t>Редки</w:t>
            </w:r>
          </w:p>
          <w:p w14:paraId="6E5ED945" w14:textId="0210626D" w:rsidR="001E3C50" w:rsidRDefault="001E3C50" w:rsidP="001E3C50">
            <w:pPr>
              <w:rPr>
                <w:rFonts w:cs="Arial"/>
              </w:rPr>
            </w:pPr>
            <w:r>
              <w:t>(≥1/10 000 до &lt;1/1 000)</w:t>
            </w:r>
          </w:p>
        </w:tc>
      </w:tr>
      <w:tr w:rsidR="001E3C50" w14:paraId="071ED4B7" w14:textId="77777777" w:rsidTr="001E3C50">
        <w:tc>
          <w:tcPr>
            <w:tcW w:w="2543" w:type="dxa"/>
          </w:tcPr>
          <w:p w14:paraId="7AC25781" w14:textId="499CA446" w:rsidR="001E3C50" w:rsidRDefault="001E3C50" w:rsidP="001E3C50">
            <w:pPr>
              <w:rPr>
                <w:rFonts w:cs="Arial"/>
              </w:rPr>
            </w:pPr>
            <w:r>
              <w:rPr>
                <w:b/>
                <w:bCs/>
              </w:rPr>
              <w:t>Инфекции и инфестации</w:t>
            </w:r>
          </w:p>
        </w:tc>
        <w:tc>
          <w:tcPr>
            <w:tcW w:w="1595" w:type="dxa"/>
          </w:tcPr>
          <w:p w14:paraId="0CA3FAC9" w14:textId="77777777" w:rsidR="001E3C50" w:rsidRDefault="001E3C50" w:rsidP="001E3C50">
            <w:pPr>
              <w:rPr>
                <w:rFonts w:cs="Arial"/>
              </w:rPr>
            </w:pPr>
          </w:p>
        </w:tc>
        <w:tc>
          <w:tcPr>
            <w:tcW w:w="2546" w:type="dxa"/>
            <w:vAlign w:val="bottom"/>
          </w:tcPr>
          <w:p w14:paraId="09D89B82" w14:textId="1956DF83" w:rsidR="001E3C50" w:rsidRDefault="001E3C50" w:rsidP="001E3C50">
            <w:pPr>
              <w:rPr>
                <w:rFonts w:cs="Arial"/>
              </w:rPr>
            </w:pPr>
            <w:r>
              <w:t>Синузит, инфекция на горните дихателни пътища, ринит</w:t>
            </w:r>
          </w:p>
        </w:tc>
        <w:tc>
          <w:tcPr>
            <w:tcW w:w="2666" w:type="dxa"/>
          </w:tcPr>
          <w:p w14:paraId="55D27D54" w14:textId="77777777" w:rsidR="001E3C50" w:rsidRDefault="001E3C50" w:rsidP="001E3C50">
            <w:pPr>
              <w:rPr>
                <w:rFonts w:cs="Arial"/>
              </w:rPr>
            </w:pPr>
          </w:p>
        </w:tc>
      </w:tr>
      <w:tr w:rsidR="001E3C50" w14:paraId="6AA58DCA" w14:textId="77777777" w:rsidTr="001E3C50">
        <w:tc>
          <w:tcPr>
            <w:tcW w:w="2543" w:type="dxa"/>
            <w:vAlign w:val="bottom"/>
          </w:tcPr>
          <w:p w14:paraId="44D311C0" w14:textId="34C9530C" w:rsidR="001E3C50" w:rsidRDefault="001E3C50" w:rsidP="001E3C50">
            <w:pPr>
              <w:rPr>
                <w:rFonts w:cs="Arial"/>
              </w:rPr>
            </w:pPr>
            <w:r>
              <w:rPr>
                <w:b/>
                <w:bCs/>
              </w:rPr>
              <w:t>Нарушения на кръвта и лимфната система</w:t>
            </w:r>
          </w:p>
        </w:tc>
        <w:tc>
          <w:tcPr>
            <w:tcW w:w="1595" w:type="dxa"/>
          </w:tcPr>
          <w:p w14:paraId="705CBF19" w14:textId="77777777" w:rsidR="001E3C50" w:rsidRDefault="001E3C50" w:rsidP="001E3C50">
            <w:pPr>
              <w:rPr>
                <w:rFonts w:cs="Arial"/>
              </w:rPr>
            </w:pPr>
          </w:p>
        </w:tc>
        <w:tc>
          <w:tcPr>
            <w:tcW w:w="2546" w:type="dxa"/>
          </w:tcPr>
          <w:p w14:paraId="311C25CF" w14:textId="77777777" w:rsidR="001E3C50" w:rsidRDefault="001E3C50" w:rsidP="001E3C50">
            <w:pPr>
              <w:rPr>
                <w:rFonts w:cs="Arial"/>
              </w:rPr>
            </w:pPr>
          </w:p>
        </w:tc>
        <w:tc>
          <w:tcPr>
            <w:tcW w:w="2666" w:type="dxa"/>
          </w:tcPr>
          <w:p w14:paraId="1FE33644" w14:textId="2A83BE84" w:rsidR="001E3C50" w:rsidRDefault="001E3C50" w:rsidP="001E3C50">
            <w:pPr>
              <w:rPr>
                <w:rFonts w:cs="Arial"/>
              </w:rPr>
            </w:pPr>
            <w:r>
              <w:t>Левкопения</w:t>
            </w:r>
          </w:p>
        </w:tc>
      </w:tr>
      <w:tr w:rsidR="001E3C50" w14:paraId="235DC417" w14:textId="77777777" w:rsidTr="001E3C50">
        <w:tc>
          <w:tcPr>
            <w:tcW w:w="2543" w:type="dxa"/>
          </w:tcPr>
          <w:p w14:paraId="6C3D7C56" w14:textId="1B30888D" w:rsidR="001E3C50" w:rsidRDefault="001E3C50" w:rsidP="001E3C50">
            <w:pPr>
              <w:rPr>
                <w:rFonts w:cs="Arial"/>
              </w:rPr>
            </w:pPr>
            <w:r>
              <w:rPr>
                <w:b/>
                <w:bCs/>
              </w:rPr>
              <w:t>Нарушения на имунната система</w:t>
            </w:r>
          </w:p>
        </w:tc>
        <w:tc>
          <w:tcPr>
            <w:tcW w:w="1595" w:type="dxa"/>
          </w:tcPr>
          <w:p w14:paraId="0DD7D60C" w14:textId="77777777" w:rsidR="001E3C50" w:rsidRDefault="001E3C50" w:rsidP="001E3C50">
            <w:pPr>
              <w:rPr>
                <w:rFonts w:cs="Arial"/>
              </w:rPr>
            </w:pPr>
          </w:p>
        </w:tc>
        <w:tc>
          <w:tcPr>
            <w:tcW w:w="2546" w:type="dxa"/>
          </w:tcPr>
          <w:p w14:paraId="2C3B45EE" w14:textId="2FF33E59" w:rsidR="001E3C50" w:rsidRDefault="001E3C50" w:rsidP="001E3C50">
            <w:pPr>
              <w:rPr>
                <w:rFonts w:cs="Arial"/>
              </w:rPr>
            </w:pPr>
            <w:r>
              <w:t>Свръхчувствителност*</w:t>
            </w:r>
          </w:p>
        </w:tc>
        <w:tc>
          <w:tcPr>
            <w:tcW w:w="2666" w:type="dxa"/>
            <w:vAlign w:val="bottom"/>
          </w:tcPr>
          <w:p w14:paraId="78F67E72" w14:textId="21ABADDB" w:rsidR="001E3C50" w:rsidRDefault="001E3C50" w:rsidP="001E3C50">
            <w:pPr>
              <w:rPr>
                <w:rFonts w:cs="Arial"/>
              </w:rPr>
            </w:pPr>
            <w:r>
              <w:t xml:space="preserve">Серумна болест, ангионевротичен оток, </w:t>
            </w:r>
            <w:r>
              <w:lastRenderedPageBreak/>
              <w:t>анафилактична реакция</w:t>
            </w:r>
          </w:p>
        </w:tc>
      </w:tr>
      <w:tr w:rsidR="001E3C50" w14:paraId="251F1507" w14:textId="77777777" w:rsidTr="001E3C50">
        <w:tc>
          <w:tcPr>
            <w:tcW w:w="2543" w:type="dxa"/>
            <w:vAlign w:val="bottom"/>
          </w:tcPr>
          <w:p w14:paraId="52397603" w14:textId="77777777" w:rsidR="001E3C50" w:rsidRDefault="001E3C50" w:rsidP="001E3C50">
            <w:r>
              <w:rPr>
                <w:b/>
                <w:bCs/>
              </w:rPr>
              <w:lastRenderedPageBreak/>
              <w:t>Нарушения на метаболизма и</w:t>
            </w:r>
          </w:p>
          <w:p w14:paraId="5F3876C0" w14:textId="01712790" w:rsidR="001E3C50" w:rsidRDefault="001E3C50" w:rsidP="001E3C50">
            <w:pPr>
              <w:rPr>
                <w:rFonts w:cs="Arial"/>
              </w:rPr>
            </w:pPr>
            <w:r>
              <w:rPr>
                <w:b/>
                <w:bCs/>
              </w:rPr>
              <w:t>храненето</w:t>
            </w:r>
          </w:p>
        </w:tc>
        <w:tc>
          <w:tcPr>
            <w:tcW w:w="1595" w:type="dxa"/>
          </w:tcPr>
          <w:p w14:paraId="1430A022" w14:textId="77777777" w:rsidR="001E3C50" w:rsidRDefault="001E3C50" w:rsidP="001E3C50">
            <w:pPr>
              <w:rPr>
                <w:rFonts w:cs="Arial"/>
              </w:rPr>
            </w:pPr>
          </w:p>
        </w:tc>
        <w:tc>
          <w:tcPr>
            <w:tcW w:w="2546" w:type="dxa"/>
          </w:tcPr>
          <w:p w14:paraId="287BFFE9" w14:textId="77777777" w:rsidR="001E3C50" w:rsidRDefault="001E3C50" w:rsidP="001E3C50">
            <w:pPr>
              <w:rPr>
                <w:rFonts w:cs="Arial"/>
              </w:rPr>
            </w:pPr>
          </w:p>
        </w:tc>
        <w:tc>
          <w:tcPr>
            <w:tcW w:w="2666" w:type="dxa"/>
          </w:tcPr>
          <w:p w14:paraId="38155307" w14:textId="6D0763F3" w:rsidR="001E3C50" w:rsidRDefault="001E3C50" w:rsidP="001E3C50">
            <w:pPr>
              <w:rPr>
                <w:rFonts w:cs="Arial"/>
              </w:rPr>
            </w:pPr>
            <w:r>
              <w:t>Хипертриглициридемия</w:t>
            </w:r>
          </w:p>
        </w:tc>
      </w:tr>
      <w:tr w:rsidR="001E3C50" w14:paraId="5C49F930" w14:textId="77777777" w:rsidTr="001E3C50">
        <w:tc>
          <w:tcPr>
            <w:tcW w:w="2543" w:type="dxa"/>
            <w:vAlign w:val="bottom"/>
          </w:tcPr>
          <w:p w14:paraId="34766D15" w14:textId="4F925AA9" w:rsidR="001E3C50" w:rsidRDefault="001E3C50" w:rsidP="001E3C50">
            <w:pPr>
              <w:rPr>
                <w:rFonts w:cs="Arial"/>
              </w:rPr>
            </w:pPr>
            <w:r>
              <w:rPr>
                <w:b/>
                <w:bCs/>
              </w:rPr>
              <w:t>Нарушения на нервната система</w:t>
            </w:r>
          </w:p>
        </w:tc>
        <w:tc>
          <w:tcPr>
            <w:tcW w:w="1595" w:type="dxa"/>
          </w:tcPr>
          <w:p w14:paraId="3E4399AB" w14:textId="3CACF4AA" w:rsidR="001E3C50" w:rsidRDefault="001E3C50" w:rsidP="001E3C50">
            <w:pPr>
              <w:rPr>
                <w:rFonts w:cs="Arial"/>
              </w:rPr>
            </w:pPr>
            <w:r>
              <w:t>Главоболие</w:t>
            </w:r>
          </w:p>
        </w:tc>
        <w:tc>
          <w:tcPr>
            <w:tcW w:w="2546" w:type="dxa"/>
          </w:tcPr>
          <w:p w14:paraId="426B0332" w14:textId="77777777" w:rsidR="001E3C50" w:rsidRDefault="001E3C50" w:rsidP="001E3C50">
            <w:pPr>
              <w:rPr>
                <w:rFonts w:cs="Arial"/>
              </w:rPr>
            </w:pPr>
          </w:p>
        </w:tc>
        <w:tc>
          <w:tcPr>
            <w:tcW w:w="2666" w:type="dxa"/>
            <w:vAlign w:val="bottom"/>
          </w:tcPr>
          <w:p w14:paraId="1E667958" w14:textId="5232ED7B" w:rsidR="001E3C50" w:rsidRDefault="001E3C50" w:rsidP="001E3C50">
            <w:pPr>
              <w:rPr>
                <w:rFonts w:cs="Arial"/>
              </w:rPr>
            </w:pPr>
            <w:r>
              <w:t>Хипоестезия, парестезия, дисгеузия</w:t>
            </w:r>
          </w:p>
        </w:tc>
      </w:tr>
      <w:tr w:rsidR="001E3C50" w14:paraId="2EB944A9" w14:textId="77777777" w:rsidTr="001E3C50">
        <w:tc>
          <w:tcPr>
            <w:tcW w:w="2543" w:type="dxa"/>
          </w:tcPr>
          <w:p w14:paraId="1CE98693" w14:textId="06CD6BB7" w:rsidR="001E3C50" w:rsidRDefault="001E3C50" w:rsidP="001E3C50">
            <w:pPr>
              <w:rPr>
                <w:rFonts w:cs="Arial"/>
              </w:rPr>
            </w:pPr>
            <w:r>
              <w:rPr>
                <w:b/>
                <w:bCs/>
              </w:rPr>
              <w:t>Нарушения на очите</w:t>
            </w:r>
          </w:p>
        </w:tc>
        <w:tc>
          <w:tcPr>
            <w:tcW w:w="1595" w:type="dxa"/>
          </w:tcPr>
          <w:p w14:paraId="45DC6A9A" w14:textId="77777777" w:rsidR="001E3C50" w:rsidRDefault="001E3C50" w:rsidP="001E3C50">
            <w:pPr>
              <w:rPr>
                <w:rFonts w:cs="Arial"/>
              </w:rPr>
            </w:pPr>
          </w:p>
        </w:tc>
        <w:tc>
          <w:tcPr>
            <w:tcW w:w="2546" w:type="dxa"/>
          </w:tcPr>
          <w:p w14:paraId="33F26E70" w14:textId="77777777" w:rsidR="001E3C50" w:rsidRDefault="001E3C50" w:rsidP="001E3C50">
            <w:pPr>
              <w:rPr>
                <w:rFonts w:cs="Arial"/>
              </w:rPr>
            </w:pPr>
          </w:p>
        </w:tc>
        <w:tc>
          <w:tcPr>
            <w:tcW w:w="2666" w:type="dxa"/>
            <w:vAlign w:val="bottom"/>
          </w:tcPr>
          <w:p w14:paraId="76838604" w14:textId="11AA11C4" w:rsidR="001E3C50" w:rsidRDefault="001E3C50" w:rsidP="001E3C50">
            <w:pPr>
              <w:rPr>
                <w:rFonts w:cs="Arial"/>
              </w:rPr>
            </w:pPr>
            <w:r>
              <w:t>Зрителни нарушения (в т.ч. диплопия и замъглено зрение)</w:t>
            </w:r>
          </w:p>
        </w:tc>
      </w:tr>
      <w:tr w:rsidR="001E3C50" w14:paraId="42590EA6" w14:textId="77777777" w:rsidTr="001E3C50">
        <w:tc>
          <w:tcPr>
            <w:tcW w:w="2543" w:type="dxa"/>
          </w:tcPr>
          <w:p w14:paraId="148BCEF4" w14:textId="44784E37" w:rsidR="001E3C50" w:rsidRDefault="001E3C50" w:rsidP="001E3C50">
            <w:pPr>
              <w:rPr>
                <w:rFonts w:cs="Arial"/>
              </w:rPr>
            </w:pPr>
            <w:r>
              <w:rPr>
                <w:b/>
                <w:bCs/>
              </w:rPr>
              <w:t>Нарушения на ухото и лабиринта</w:t>
            </w:r>
          </w:p>
        </w:tc>
        <w:tc>
          <w:tcPr>
            <w:tcW w:w="1595" w:type="dxa"/>
          </w:tcPr>
          <w:p w14:paraId="528F2C06" w14:textId="77777777" w:rsidR="001E3C50" w:rsidRDefault="001E3C50" w:rsidP="001E3C50">
            <w:pPr>
              <w:rPr>
                <w:rFonts w:cs="Arial"/>
              </w:rPr>
            </w:pPr>
          </w:p>
        </w:tc>
        <w:tc>
          <w:tcPr>
            <w:tcW w:w="2546" w:type="dxa"/>
          </w:tcPr>
          <w:p w14:paraId="5998C3A9" w14:textId="77777777" w:rsidR="001E3C50" w:rsidRDefault="001E3C50" w:rsidP="001E3C50">
            <w:pPr>
              <w:rPr>
                <w:rFonts w:cs="Arial"/>
              </w:rPr>
            </w:pPr>
          </w:p>
        </w:tc>
        <w:tc>
          <w:tcPr>
            <w:tcW w:w="2666" w:type="dxa"/>
            <w:vAlign w:val="bottom"/>
          </w:tcPr>
          <w:p w14:paraId="5497104C" w14:textId="565D6ECB" w:rsidR="001E3C50" w:rsidRDefault="001E3C50" w:rsidP="001E3C50">
            <w:pPr>
              <w:rPr>
                <w:rFonts w:cs="Arial"/>
              </w:rPr>
            </w:pPr>
            <w:r>
              <w:t>Преходна или трайна загуба на слуха*, тинитус</w:t>
            </w:r>
          </w:p>
        </w:tc>
      </w:tr>
      <w:tr w:rsidR="001E3C50" w14:paraId="7B8274DC" w14:textId="77777777" w:rsidTr="001E3C50">
        <w:tc>
          <w:tcPr>
            <w:tcW w:w="2543" w:type="dxa"/>
            <w:vAlign w:val="bottom"/>
          </w:tcPr>
          <w:p w14:paraId="6D93C461" w14:textId="4590E74E" w:rsidR="001E3C50" w:rsidRDefault="001E3C50" w:rsidP="001E3C50">
            <w:pPr>
              <w:rPr>
                <w:rFonts w:cs="Arial"/>
              </w:rPr>
            </w:pPr>
            <w:r>
              <w:rPr>
                <w:b/>
                <w:bCs/>
              </w:rPr>
              <w:t xml:space="preserve">Сърдечни нарушения </w:t>
            </w:r>
            <w:r>
              <w:rPr>
                <w:b/>
                <w:bCs/>
              </w:rPr>
              <w:tab/>
            </w:r>
          </w:p>
        </w:tc>
        <w:tc>
          <w:tcPr>
            <w:tcW w:w="1595" w:type="dxa"/>
          </w:tcPr>
          <w:p w14:paraId="58E1A16B" w14:textId="77777777" w:rsidR="001E3C50" w:rsidRDefault="001E3C50" w:rsidP="001E3C50">
            <w:pPr>
              <w:rPr>
                <w:rFonts w:cs="Arial"/>
              </w:rPr>
            </w:pPr>
          </w:p>
        </w:tc>
        <w:tc>
          <w:tcPr>
            <w:tcW w:w="2546" w:type="dxa"/>
          </w:tcPr>
          <w:p w14:paraId="62FA5A2A" w14:textId="77777777" w:rsidR="001E3C50" w:rsidRDefault="001E3C50" w:rsidP="001E3C50">
            <w:pPr>
              <w:rPr>
                <w:rFonts w:cs="Arial"/>
              </w:rPr>
            </w:pPr>
          </w:p>
        </w:tc>
        <w:tc>
          <w:tcPr>
            <w:tcW w:w="2666" w:type="dxa"/>
            <w:vAlign w:val="bottom"/>
          </w:tcPr>
          <w:p w14:paraId="3961E45C" w14:textId="63066969" w:rsidR="001E3C50" w:rsidRDefault="001E3C50" w:rsidP="001E3C50">
            <w:pPr>
              <w:rPr>
                <w:rFonts w:cs="Arial"/>
              </w:rPr>
            </w:pPr>
            <w:r>
              <w:t>Застойна сърдечна недостатъчност*</w:t>
            </w:r>
          </w:p>
        </w:tc>
      </w:tr>
      <w:tr w:rsidR="001E3C50" w14:paraId="1113D56F" w14:textId="77777777" w:rsidTr="001E3C50">
        <w:tc>
          <w:tcPr>
            <w:tcW w:w="2543" w:type="dxa"/>
            <w:vAlign w:val="bottom"/>
          </w:tcPr>
          <w:p w14:paraId="56CA1B26" w14:textId="0806DC55" w:rsidR="001E3C50" w:rsidRDefault="001E3C50" w:rsidP="001E3C50">
            <w:pPr>
              <w:rPr>
                <w:rFonts w:cs="Arial"/>
              </w:rPr>
            </w:pPr>
            <w:r>
              <w:rPr>
                <w:b/>
                <w:bCs/>
              </w:rPr>
              <w:t>Респираторни, гръдни и медиастинални нарушения</w:t>
            </w:r>
            <w:r>
              <w:rPr>
                <w:b/>
                <w:bCs/>
              </w:rPr>
              <w:tab/>
            </w:r>
          </w:p>
        </w:tc>
        <w:tc>
          <w:tcPr>
            <w:tcW w:w="1595" w:type="dxa"/>
          </w:tcPr>
          <w:p w14:paraId="22806B21" w14:textId="77777777" w:rsidR="001E3C50" w:rsidRDefault="001E3C50" w:rsidP="001E3C50">
            <w:pPr>
              <w:rPr>
                <w:rFonts w:cs="Arial"/>
              </w:rPr>
            </w:pPr>
          </w:p>
        </w:tc>
        <w:tc>
          <w:tcPr>
            <w:tcW w:w="2546" w:type="dxa"/>
          </w:tcPr>
          <w:p w14:paraId="339AA12A" w14:textId="77777777" w:rsidR="001E3C50" w:rsidRDefault="001E3C50" w:rsidP="001E3C50">
            <w:pPr>
              <w:rPr>
                <w:rFonts w:cs="Arial"/>
              </w:rPr>
            </w:pPr>
          </w:p>
        </w:tc>
        <w:tc>
          <w:tcPr>
            <w:tcW w:w="2666" w:type="dxa"/>
          </w:tcPr>
          <w:p w14:paraId="4E25895F" w14:textId="0A3F4DAC" w:rsidR="001E3C50" w:rsidRDefault="001E3C50" w:rsidP="001E3C50">
            <w:pPr>
              <w:rPr>
                <w:rFonts w:cs="Arial"/>
              </w:rPr>
            </w:pPr>
            <w:r>
              <w:t>Диспнея</w:t>
            </w:r>
          </w:p>
        </w:tc>
      </w:tr>
      <w:tr w:rsidR="001E3C50" w14:paraId="5B7179B7" w14:textId="77777777" w:rsidTr="001E3C50">
        <w:tc>
          <w:tcPr>
            <w:tcW w:w="2543" w:type="dxa"/>
          </w:tcPr>
          <w:p w14:paraId="40EFC796" w14:textId="39937A14" w:rsidR="001E3C50" w:rsidRDefault="001E3C50" w:rsidP="001E3C50">
            <w:pPr>
              <w:rPr>
                <w:rFonts w:cs="Arial"/>
              </w:rPr>
            </w:pPr>
            <w:r>
              <w:rPr>
                <w:b/>
                <w:bCs/>
              </w:rPr>
              <w:t>Стомашно-чревни нарушения</w:t>
            </w:r>
          </w:p>
        </w:tc>
        <w:tc>
          <w:tcPr>
            <w:tcW w:w="1595" w:type="dxa"/>
          </w:tcPr>
          <w:p w14:paraId="49C88B2D" w14:textId="69BF2CC0" w:rsidR="001E3C50" w:rsidRDefault="001E3C50" w:rsidP="001E3C50">
            <w:pPr>
              <w:rPr>
                <w:rFonts w:cs="Arial"/>
              </w:rPr>
            </w:pPr>
            <w:r>
              <w:t>Болки в корема, гадене</w:t>
            </w:r>
          </w:p>
        </w:tc>
        <w:tc>
          <w:tcPr>
            <w:tcW w:w="2546" w:type="dxa"/>
            <w:vAlign w:val="bottom"/>
          </w:tcPr>
          <w:p w14:paraId="2D901457" w14:textId="6624B9A2" w:rsidR="001E3C50" w:rsidRDefault="001E3C50" w:rsidP="001E3C50">
            <w:pPr>
              <w:rPr>
                <w:rFonts w:cs="Arial"/>
              </w:rPr>
            </w:pPr>
            <w:r>
              <w:t>Повръщане, диария, запек, диспепсия, диспепсия, флатуленция</w:t>
            </w:r>
          </w:p>
        </w:tc>
        <w:tc>
          <w:tcPr>
            <w:tcW w:w="2666" w:type="dxa"/>
            <w:vAlign w:val="bottom"/>
          </w:tcPr>
          <w:p w14:paraId="29F26DAB" w14:textId="77777777" w:rsidR="001E3C50" w:rsidRDefault="001E3C50" w:rsidP="001E3C50">
            <w:r>
              <w:t>Панкреатит</w:t>
            </w:r>
          </w:p>
          <w:p w14:paraId="0B692307" w14:textId="77777777" w:rsidR="001E3C50" w:rsidRDefault="001E3C50" w:rsidP="001E3C50">
            <w:pPr>
              <w:rPr>
                <w:rFonts w:cs="Arial"/>
              </w:rPr>
            </w:pPr>
          </w:p>
        </w:tc>
      </w:tr>
      <w:tr w:rsidR="001E3C50" w14:paraId="31963944" w14:textId="77777777" w:rsidTr="001E3C50">
        <w:trPr>
          <w:trHeight w:val="1889"/>
        </w:trPr>
        <w:tc>
          <w:tcPr>
            <w:tcW w:w="2543" w:type="dxa"/>
          </w:tcPr>
          <w:p w14:paraId="2B5747D6" w14:textId="54660F96" w:rsidR="001E3C50" w:rsidRDefault="001E3C50" w:rsidP="001E3C50">
            <w:pPr>
              <w:rPr>
                <w:rFonts w:cs="Arial"/>
              </w:rPr>
            </w:pPr>
            <w:r>
              <w:rPr>
                <w:b/>
                <w:bCs/>
              </w:rPr>
              <w:t>Хепатобилиарни нарушения</w:t>
            </w:r>
          </w:p>
        </w:tc>
        <w:tc>
          <w:tcPr>
            <w:tcW w:w="1595" w:type="dxa"/>
          </w:tcPr>
          <w:p w14:paraId="4E6B94DD" w14:textId="77777777" w:rsidR="001E3C50" w:rsidRDefault="001E3C50" w:rsidP="001E3C50">
            <w:pPr>
              <w:rPr>
                <w:rFonts w:cs="Arial"/>
              </w:rPr>
            </w:pPr>
          </w:p>
        </w:tc>
        <w:tc>
          <w:tcPr>
            <w:tcW w:w="2546" w:type="dxa"/>
          </w:tcPr>
          <w:p w14:paraId="103ABE00" w14:textId="6A70DEDB" w:rsidR="001E3C50" w:rsidRDefault="001E3C50" w:rsidP="001E3C50">
            <w:pPr>
              <w:rPr>
                <w:rFonts w:cs="Arial"/>
              </w:rPr>
            </w:pPr>
            <w:r>
              <w:t>Нарушена чернодробна функция</w:t>
            </w:r>
          </w:p>
        </w:tc>
        <w:tc>
          <w:tcPr>
            <w:tcW w:w="2666" w:type="dxa"/>
          </w:tcPr>
          <w:p w14:paraId="1DB4D537" w14:textId="77777777" w:rsidR="001E3C50" w:rsidRDefault="001E3C50" w:rsidP="001E3C50">
            <w:pPr>
              <w:rPr>
                <w:rFonts w:cs="Arial"/>
              </w:rPr>
            </w:pPr>
            <w:r>
              <w:t>Сериозни прояви на</w:t>
            </w:r>
            <w:r>
              <w:rPr>
                <w:i/>
                <w:iCs/>
              </w:rPr>
              <w:t xml:space="preserve"> </w:t>
            </w:r>
            <w:r>
              <w:t>хепатотоксичност (в.т.ч.</w:t>
            </w:r>
          </w:p>
          <w:p w14:paraId="3897C611" w14:textId="3D647081" w:rsidR="001E3C50" w:rsidRDefault="001E3C50" w:rsidP="001E3C50">
            <w:pPr>
              <w:rPr>
                <w:rFonts w:cs="Arial"/>
              </w:rPr>
            </w:pPr>
            <w:r>
              <w:t>чернодробна недостатъчност с летален изход)*, хипербилирубинемия</w:t>
            </w:r>
          </w:p>
        </w:tc>
      </w:tr>
      <w:tr w:rsidR="001E3C50" w14:paraId="78D06D48" w14:textId="77777777" w:rsidTr="001E3C50">
        <w:tc>
          <w:tcPr>
            <w:tcW w:w="2543" w:type="dxa"/>
          </w:tcPr>
          <w:p w14:paraId="59E8857E" w14:textId="2D57C184" w:rsidR="001E3C50" w:rsidRDefault="001E3C50" w:rsidP="001E3C50">
            <w:pPr>
              <w:rPr>
                <w:rFonts w:cs="Arial"/>
              </w:rPr>
            </w:pPr>
            <w:r>
              <w:rPr>
                <w:b/>
                <w:bCs/>
              </w:rPr>
              <w:t>Нарушения на кожата и подкожната тъкан</w:t>
            </w:r>
          </w:p>
        </w:tc>
        <w:tc>
          <w:tcPr>
            <w:tcW w:w="1595" w:type="dxa"/>
          </w:tcPr>
          <w:p w14:paraId="48562830" w14:textId="77777777" w:rsidR="001E3C50" w:rsidRDefault="001E3C50" w:rsidP="001E3C50">
            <w:pPr>
              <w:rPr>
                <w:rFonts w:cs="Arial"/>
              </w:rPr>
            </w:pPr>
          </w:p>
        </w:tc>
        <w:tc>
          <w:tcPr>
            <w:tcW w:w="2546" w:type="dxa"/>
          </w:tcPr>
          <w:p w14:paraId="2C50851E" w14:textId="1AA7A22C" w:rsidR="001E3C50" w:rsidRDefault="001E3C50" w:rsidP="001E3C50">
            <w:pPr>
              <w:rPr>
                <w:rFonts w:cs="Arial"/>
              </w:rPr>
            </w:pPr>
            <w:r>
              <w:t>Уртикария, обрив, пруритус</w:t>
            </w:r>
          </w:p>
        </w:tc>
        <w:tc>
          <w:tcPr>
            <w:tcW w:w="2666" w:type="dxa"/>
          </w:tcPr>
          <w:p w14:paraId="280F94E9" w14:textId="2C0534D2" w:rsidR="001E3C50" w:rsidRDefault="001E3C50" w:rsidP="001E3C50">
            <w:pPr>
              <w:rPr>
                <w:rFonts w:cs="Arial"/>
              </w:rPr>
            </w:pPr>
            <w:r>
              <w:t>Токсична епидермална некролиза, синдром на Стивънс-Джонсън, остра генерализирана екзантематозна пустулоза, еритема мултиформе, ексфолиативен дерматит, левкоцитокластичен васкулит, алопеция, светлочувствителност</w:t>
            </w:r>
          </w:p>
        </w:tc>
      </w:tr>
      <w:tr w:rsidR="001E3C50" w14:paraId="637F3ADB" w14:textId="77777777" w:rsidTr="001E3C50">
        <w:tc>
          <w:tcPr>
            <w:tcW w:w="2543" w:type="dxa"/>
          </w:tcPr>
          <w:p w14:paraId="6EFD5DA9" w14:textId="5EC83707" w:rsidR="001E3C50" w:rsidRDefault="001E3C50" w:rsidP="001E3C50">
            <w:pPr>
              <w:rPr>
                <w:rFonts w:cs="Arial"/>
              </w:rPr>
            </w:pPr>
            <w:r>
              <w:rPr>
                <w:b/>
                <w:bCs/>
              </w:rPr>
              <w:t>Нарушения на бъбреците и пикочните пътища</w:t>
            </w:r>
          </w:p>
        </w:tc>
        <w:tc>
          <w:tcPr>
            <w:tcW w:w="1595" w:type="dxa"/>
          </w:tcPr>
          <w:p w14:paraId="08FF1C00" w14:textId="77777777" w:rsidR="001E3C50" w:rsidRDefault="001E3C50" w:rsidP="001E3C50">
            <w:pPr>
              <w:rPr>
                <w:rFonts w:cs="Arial"/>
              </w:rPr>
            </w:pPr>
          </w:p>
        </w:tc>
        <w:tc>
          <w:tcPr>
            <w:tcW w:w="2546" w:type="dxa"/>
          </w:tcPr>
          <w:p w14:paraId="3DE1EC5D" w14:textId="77777777" w:rsidR="001E3C50" w:rsidRDefault="001E3C50" w:rsidP="001E3C50">
            <w:pPr>
              <w:rPr>
                <w:rFonts w:cs="Arial"/>
              </w:rPr>
            </w:pPr>
          </w:p>
        </w:tc>
        <w:tc>
          <w:tcPr>
            <w:tcW w:w="2666" w:type="dxa"/>
          </w:tcPr>
          <w:p w14:paraId="1F3586C0" w14:textId="41F3E01C" w:rsidR="001E3C50" w:rsidRDefault="001E3C50" w:rsidP="001E3C50">
            <w:pPr>
              <w:rPr>
                <w:rFonts w:cs="Arial"/>
              </w:rPr>
            </w:pPr>
            <w:r>
              <w:t>Полакиурия</w:t>
            </w:r>
          </w:p>
        </w:tc>
      </w:tr>
      <w:tr w:rsidR="001E3C50" w14:paraId="56F65730" w14:textId="77777777" w:rsidTr="001E3C50">
        <w:tc>
          <w:tcPr>
            <w:tcW w:w="2543" w:type="dxa"/>
          </w:tcPr>
          <w:p w14:paraId="2301CBDC" w14:textId="43E96079" w:rsidR="001E3C50" w:rsidRDefault="001E3C50" w:rsidP="001E3C50">
            <w:pPr>
              <w:rPr>
                <w:rFonts w:cs="Arial"/>
              </w:rPr>
            </w:pPr>
            <w:r>
              <w:rPr>
                <w:b/>
                <w:bCs/>
              </w:rPr>
              <w:lastRenderedPageBreak/>
              <w:t>Нарушения на възпронзводителнат а система и гърдата</w:t>
            </w:r>
          </w:p>
        </w:tc>
        <w:tc>
          <w:tcPr>
            <w:tcW w:w="1595" w:type="dxa"/>
          </w:tcPr>
          <w:p w14:paraId="16F68AC5" w14:textId="77777777" w:rsidR="001E3C50" w:rsidRDefault="001E3C50" w:rsidP="001E3C50">
            <w:pPr>
              <w:rPr>
                <w:rFonts w:cs="Arial"/>
              </w:rPr>
            </w:pPr>
          </w:p>
        </w:tc>
        <w:tc>
          <w:tcPr>
            <w:tcW w:w="2546" w:type="dxa"/>
          </w:tcPr>
          <w:p w14:paraId="0B3664DC" w14:textId="6B26D4AD" w:rsidR="001E3C50" w:rsidRDefault="001E3C50" w:rsidP="001E3C50">
            <w:pPr>
              <w:rPr>
                <w:rFonts w:cs="Arial"/>
              </w:rPr>
            </w:pPr>
            <w:r>
              <w:t>Нарушения на менструацията</w:t>
            </w:r>
          </w:p>
        </w:tc>
        <w:tc>
          <w:tcPr>
            <w:tcW w:w="2666" w:type="dxa"/>
          </w:tcPr>
          <w:p w14:paraId="40C815BA" w14:textId="4BB9DF11" w:rsidR="001E3C50" w:rsidRDefault="001E3C50" w:rsidP="001E3C50">
            <w:pPr>
              <w:rPr>
                <w:rFonts w:cs="Arial"/>
              </w:rPr>
            </w:pPr>
            <w:r>
              <w:t>Еректилна дисфункция</w:t>
            </w:r>
          </w:p>
        </w:tc>
      </w:tr>
      <w:tr w:rsidR="001E3C50" w14:paraId="3D06671B" w14:textId="77777777" w:rsidTr="001E3C50">
        <w:tc>
          <w:tcPr>
            <w:tcW w:w="2543" w:type="dxa"/>
          </w:tcPr>
          <w:p w14:paraId="437BA561" w14:textId="50792D3D" w:rsidR="001E3C50" w:rsidRDefault="001E3C50" w:rsidP="001E3C50">
            <w:pPr>
              <w:rPr>
                <w:rFonts w:cs="Arial"/>
              </w:rPr>
            </w:pPr>
            <w:r>
              <w:rPr>
                <w:b/>
                <w:bCs/>
              </w:rPr>
              <w:t>Общи нарушения и ефекти на мястото на приложение</w:t>
            </w:r>
          </w:p>
        </w:tc>
        <w:tc>
          <w:tcPr>
            <w:tcW w:w="1595" w:type="dxa"/>
          </w:tcPr>
          <w:p w14:paraId="79844503" w14:textId="77777777" w:rsidR="001E3C50" w:rsidRDefault="001E3C50" w:rsidP="001E3C50">
            <w:pPr>
              <w:rPr>
                <w:rFonts w:cs="Arial"/>
              </w:rPr>
            </w:pPr>
          </w:p>
        </w:tc>
        <w:tc>
          <w:tcPr>
            <w:tcW w:w="2546" w:type="dxa"/>
          </w:tcPr>
          <w:p w14:paraId="62588EEE" w14:textId="77777777" w:rsidR="001E3C50" w:rsidRDefault="001E3C50" w:rsidP="001E3C50">
            <w:pPr>
              <w:rPr>
                <w:rFonts w:cs="Arial"/>
              </w:rPr>
            </w:pPr>
          </w:p>
        </w:tc>
        <w:tc>
          <w:tcPr>
            <w:tcW w:w="2666" w:type="dxa"/>
          </w:tcPr>
          <w:p w14:paraId="7A7030A0" w14:textId="53C95153" w:rsidR="001E3C50" w:rsidRDefault="001E3C50" w:rsidP="001E3C50">
            <w:pPr>
              <w:rPr>
                <w:rFonts w:cs="Arial"/>
              </w:rPr>
            </w:pPr>
            <w:r>
              <w:t>Едем</w:t>
            </w:r>
          </w:p>
        </w:tc>
      </w:tr>
      <w:tr w:rsidR="001E3C50" w14:paraId="097990D0" w14:textId="77777777" w:rsidTr="001E3C50">
        <w:tc>
          <w:tcPr>
            <w:tcW w:w="2543" w:type="dxa"/>
          </w:tcPr>
          <w:p w14:paraId="3421FCF0" w14:textId="6D41AE72" w:rsidR="001E3C50" w:rsidRDefault="001E3C50" w:rsidP="001E3C50">
            <w:pPr>
              <w:rPr>
                <w:rFonts w:cs="Arial"/>
              </w:rPr>
            </w:pPr>
            <w:r>
              <w:rPr>
                <w:b/>
                <w:bCs/>
              </w:rPr>
              <w:t>Изследвания</w:t>
            </w:r>
          </w:p>
        </w:tc>
        <w:tc>
          <w:tcPr>
            <w:tcW w:w="1595" w:type="dxa"/>
          </w:tcPr>
          <w:p w14:paraId="16F143EE" w14:textId="77777777" w:rsidR="001E3C50" w:rsidRDefault="001E3C50" w:rsidP="001E3C50">
            <w:pPr>
              <w:rPr>
                <w:rFonts w:cs="Arial"/>
              </w:rPr>
            </w:pPr>
          </w:p>
        </w:tc>
        <w:tc>
          <w:tcPr>
            <w:tcW w:w="2546" w:type="dxa"/>
          </w:tcPr>
          <w:p w14:paraId="40C7B28A" w14:textId="77777777" w:rsidR="001E3C50" w:rsidRDefault="001E3C50" w:rsidP="001E3C50">
            <w:pPr>
              <w:rPr>
                <w:rFonts w:cs="Arial"/>
              </w:rPr>
            </w:pPr>
          </w:p>
        </w:tc>
        <w:tc>
          <w:tcPr>
            <w:tcW w:w="2666" w:type="dxa"/>
          </w:tcPr>
          <w:p w14:paraId="481930FF" w14:textId="0BCE4EB1" w:rsidR="001E3C50" w:rsidRDefault="001E3C50" w:rsidP="001E3C50">
            <w:pPr>
              <w:rPr>
                <w:rFonts w:cs="Arial"/>
              </w:rPr>
            </w:pPr>
            <w:r>
              <w:t>Повишени нива на креатин фосфокиназа в кръвта</w:t>
            </w:r>
          </w:p>
        </w:tc>
      </w:tr>
    </w:tbl>
    <w:p w14:paraId="11BF84AC" w14:textId="39AE4FC0" w:rsidR="00DC16D1" w:rsidRDefault="00DC16D1" w:rsidP="00DC16D1">
      <w:pPr>
        <w:rPr>
          <w:rFonts w:cs="Arial"/>
        </w:rPr>
      </w:pPr>
    </w:p>
    <w:p w14:paraId="2667588B"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*вж. точка 4.4.</w:t>
      </w:r>
    </w:p>
    <w:p w14:paraId="2B9D0937" w14:textId="77777777" w:rsidR="00DC16D1" w:rsidRPr="00DC16D1" w:rsidRDefault="00DC16D1" w:rsidP="00DC16D1">
      <w:pPr>
        <w:spacing w:line="240" w:lineRule="auto"/>
        <w:rPr>
          <w:rFonts w:eastAsia="Times New Roman" w:cs="Arial"/>
          <w:color w:val="000000"/>
          <w:u w:val="single"/>
          <w:lang w:eastAsia="bg-BG"/>
        </w:rPr>
      </w:pPr>
    </w:p>
    <w:p w14:paraId="65BC99BF" w14:textId="67B526C4"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u w:val="single"/>
          <w:lang w:eastAsia="bg-BG"/>
        </w:rPr>
        <w:t>Описание на избрани нежелани реакции</w:t>
      </w:r>
    </w:p>
    <w:p w14:paraId="6F364387" w14:textId="42775EEB" w:rsidR="00DC16D1" w:rsidRPr="00DC16D1" w:rsidRDefault="00DC16D1" w:rsidP="00DC16D1">
      <w:pPr>
        <w:rPr>
          <w:rFonts w:eastAsia="Times New Roman" w:cs="Arial"/>
          <w:color w:val="000000"/>
          <w:lang w:eastAsia="bg-BG"/>
        </w:rPr>
      </w:pPr>
      <w:r w:rsidRPr="00DC16D1">
        <w:rPr>
          <w:rFonts w:eastAsia="Times New Roman" w:cs="Arial"/>
          <w:color w:val="000000"/>
          <w:lang w:eastAsia="bg-BG"/>
        </w:rPr>
        <w:t>По-долу е посочен списък на НЛР, свързани с итраконазол, които са съобщени в клинични изпитвания на итраконазол перорален разтвор и итраконазол за интравенозно приложение, с изключение на термина за НЛР „Възпаление на мястото на инжектиране”, който се отнася специално за инжекционния път на въвеждане.</w:t>
      </w:r>
    </w:p>
    <w:p w14:paraId="78813256" w14:textId="0F750CB3" w:rsidR="00DC16D1" w:rsidRDefault="00DC16D1" w:rsidP="00DC16D1">
      <w:pPr>
        <w:rPr>
          <w:rFonts w:ascii="Times New Roman" w:eastAsia="Times New Roman" w:hAnsi="Times New Roman" w:cs="Times New Roman"/>
          <w:color w:val="000000"/>
          <w:lang w:eastAsia="bg-BG"/>
        </w:rPr>
      </w:pPr>
    </w:p>
    <w:tbl>
      <w:tblPr>
        <w:tblStyle w:val="TableGrid"/>
        <w:tblW w:w="0" w:type="auto"/>
        <w:tblLook w:val="04A0" w:firstRow="1" w:lastRow="0" w:firstColumn="1" w:lastColumn="0" w:noHBand="0" w:noVBand="1"/>
      </w:tblPr>
      <w:tblGrid>
        <w:gridCol w:w="4675"/>
        <w:gridCol w:w="4675"/>
      </w:tblGrid>
      <w:tr w:rsidR="001E3C50" w14:paraId="369B208E" w14:textId="77777777" w:rsidTr="001E3C50">
        <w:tc>
          <w:tcPr>
            <w:tcW w:w="4675" w:type="dxa"/>
            <w:vAlign w:val="bottom"/>
          </w:tcPr>
          <w:p w14:paraId="64F35702" w14:textId="6B5118CA" w:rsidR="001E3C50" w:rsidRDefault="001E3C50" w:rsidP="001E3C50">
            <w:pPr>
              <w:rPr>
                <w:rFonts w:cs="Arial"/>
              </w:rPr>
            </w:pPr>
            <w:r>
              <w:rPr>
                <w:b/>
                <w:bCs/>
              </w:rPr>
              <w:t>Нарушения на кръвта и лимфната система</w:t>
            </w:r>
          </w:p>
        </w:tc>
        <w:tc>
          <w:tcPr>
            <w:tcW w:w="4675" w:type="dxa"/>
          </w:tcPr>
          <w:p w14:paraId="665DC6A9" w14:textId="2130FD4A" w:rsidR="001E3C50" w:rsidRDefault="001E3C50" w:rsidP="001E3C50">
            <w:pPr>
              <w:rPr>
                <w:rFonts w:cs="Arial"/>
              </w:rPr>
            </w:pPr>
            <w:r>
              <w:t>Гранулоцитопения, тромбоцитопения</w:t>
            </w:r>
          </w:p>
        </w:tc>
      </w:tr>
      <w:tr w:rsidR="001E3C50" w14:paraId="4119E22B" w14:textId="77777777" w:rsidTr="001E3C50">
        <w:tc>
          <w:tcPr>
            <w:tcW w:w="4675" w:type="dxa"/>
            <w:vAlign w:val="bottom"/>
          </w:tcPr>
          <w:p w14:paraId="783CB549" w14:textId="6F71B5C1" w:rsidR="001E3C50" w:rsidRDefault="001E3C50" w:rsidP="001E3C50">
            <w:pPr>
              <w:rPr>
                <w:rFonts w:cs="Arial"/>
              </w:rPr>
            </w:pPr>
            <w:r>
              <w:rPr>
                <w:b/>
                <w:bCs/>
              </w:rPr>
              <w:t>Нарушения на имунната система</w:t>
            </w:r>
          </w:p>
        </w:tc>
        <w:tc>
          <w:tcPr>
            <w:tcW w:w="4675" w:type="dxa"/>
          </w:tcPr>
          <w:p w14:paraId="4C039938" w14:textId="78569DF4" w:rsidR="001E3C50" w:rsidRDefault="001E3C50" w:rsidP="001E3C50">
            <w:pPr>
              <w:rPr>
                <w:rFonts w:cs="Arial"/>
              </w:rPr>
            </w:pPr>
            <w:r>
              <w:t>Анафилактоидна реакция</w:t>
            </w:r>
          </w:p>
        </w:tc>
      </w:tr>
      <w:tr w:rsidR="001E3C50" w14:paraId="2006BC13" w14:textId="77777777" w:rsidTr="001E3C50">
        <w:tc>
          <w:tcPr>
            <w:tcW w:w="4675" w:type="dxa"/>
            <w:vAlign w:val="bottom"/>
          </w:tcPr>
          <w:p w14:paraId="2DF688C3" w14:textId="77777777" w:rsidR="001E3C50" w:rsidRDefault="001E3C50" w:rsidP="001E3C50">
            <w:r>
              <w:rPr>
                <w:b/>
                <w:bCs/>
              </w:rPr>
              <w:t>Нарушения на метаболизма и</w:t>
            </w:r>
          </w:p>
          <w:p w14:paraId="190669E2" w14:textId="65E962B3" w:rsidR="001E3C50" w:rsidRDefault="001E3C50" w:rsidP="001E3C50">
            <w:pPr>
              <w:rPr>
                <w:rFonts w:cs="Arial"/>
              </w:rPr>
            </w:pPr>
            <w:r>
              <w:rPr>
                <w:b/>
                <w:bCs/>
              </w:rPr>
              <w:t>храненето</w:t>
            </w:r>
          </w:p>
        </w:tc>
        <w:tc>
          <w:tcPr>
            <w:tcW w:w="4675" w:type="dxa"/>
          </w:tcPr>
          <w:p w14:paraId="2618C9E9" w14:textId="457C6044" w:rsidR="001E3C50" w:rsidRDefault="001E3C50" w:rsidP="001E3C50">
            <w:pPr>
              <w:rPr>
                <w:rFonts w:cs="Arial"/>
              </w:rPr>
            </w:pPr>
            <w:r>
              <w:t>Хипергликемия, хиперкалиемия, хипокалиемия, хипомагнезиемия</w:t>
            </w:r>
          </w:p>
        </w:tc>
      </w:tr>
      <w:tr w:rsidR="001E3C50" w14:paraId="568FF6BA" w14:textId="77777777" w:rsidTr="001E3C50">
        <w:tc>
          <w:tcPr>
            <w:tcW w:w="4675" w:type="dxa"/>
            <w:vAlign w:val="bottom"/>
          </w:tcPr>
          <w:p w14:paraId="3D69E2DE" w14:textId="4F85F87A" w:rsidR="001E3C50" w:rsidRDefault="001E3C50" w:rsidP="001E3C50">
            <w:pPr>
              <w:rPr>
                <w:rFonts w:cs="Arial"/>
              </w:rPr>
            </w:pPr>
            <w:r>
              <w:rPr>
                <w:b/>
                <w:bCs/>
              </w:rPr>
              <w:t>Психични нарушения</w:t>
            </w:r>
          </w:p>
        </w:tc>
        <w:tc>
          <w:tcPr>
            <w:tcW w:w="4675" w:type="dxa"/>
            <w:vAlign w:val="bottom"/>
          </w:tcPr>
          <w:p w14:paraId="223140CF" w14:textId="619A501D" w:rsidR="001E3C50" w:rsidRDefault="001E3C50" w:rsidP="001E3C50">
            <w:pPr>
              <w:rPr>
                <w:rFonts w:cs="Arial"/>
              </w:rPr>
            </w:pPr>
            <w:r>
              <w:t>Обърканост</w:t>
            </w:r>
          </w:p>
        </w:tc>
      </w:tr>
      <w:tr w:rsidR="001E3C50" w14:paraId="3E1B19C8" w14:textId="77777777" w:rsidTr="001E3C50">
        <w:tc>
          <w:tcPr>
            <w:tcW w:w="4675" w:type="dxa"/>
            <w:vAlign w:val="bottom"/>
          </w:tcPr>
          <w:p w14:paraId="6BF919E1" w14:textId="780042AC" w:rsidR="001E3C50" w:rsidRDefault="001E3C50" w:rsidP="001E3C50">
            <w:pPr>
              <w:rPr>
                <w:rFonts w:cs="Arial"/>
              </w:rPr>
            </w:pPr>
            <w:r>
              <w:rPr>
                <w:b/>
                <w:bCs/>
              </w:rPr>
              <w:t>Нарушения на нервната система</w:t>
            </w:r>
          </w:p>
        </w:tc>
        <w:tc>
          <w:tcPr>
            <w:tcW w:w="4675" w:type="dxa"/>
            <w:vAlign w:val="bottom"/>
          </w:tcPr>
          <w:p w14:paraId="4E62C48C" w14:textId="3D0AAE08" w:rsidR="001E3C50" w:rsidRDefault="001E3C50" w:rsidP="001E3C50">
            <w:pPr>
              <w:rPr>
                <w:rFonts w:cs="Arial"/>
              </w:rPr>
            </w:pPr>
            <w:r>
              <w:t>Периферна невропатия *, замаяност, сомнолентност, тремор</w:t>
            </w:r>
          </w:p>
        </w:tc>
      </w:tr>
      <w:tr w:rsidR="001E3C50" w14:paraId="2B00AD54" w14:textId="77777777" w:rsidTr="001E3C50">
        <w:tc>
          <w:tcPr>
            <w:tcW w:w="4675" w:type="dxa"/>
          </w:tcPr>
          <w:p w14:paraId="30B8EF37" w14:textId="5DC331F6" w:rsidR="001E3C50" w:rsidRDefault="001E3C50" w:rsidP="001E3C50">
            <w:pPr>
              <w:rPr>
                <w:rFonts w:cs="Arial"/>
              </w:rPr>
            </w:pPr>
            <w:r>
              <w:rPr>
                <w:b/>
                <w:bCs/>
              </w:rPr>
              <w:t>Сърдечни нарушения</w:t>
            </w:r>
          </w:p>
        </w:tc>
        <w:tc>
          <w:tcPr>
            <w:tcW w:w="4675" w:type="dxa"/>
            <w:vAlign w:val="bottom"/>
          </w:tcPr>
          <w:p w14:paraId="41BDD77D" w14:textId="24608808" w:rsidR="001E3C50" w:rsidRDefault="001E3C50" w:rsidP="001E3C50">
            <w:pPr>
              <w:rPr>
                <w:rFonts w:cs="Arial"/>
              </w:rPr>
            </w:pPr>
            <w:r>
              <w:t>Сърдечна недостатъчност, левокамерна недостатъчност, тахикардия</w:t>
            </w:r>
          </w:p>
        </w:tc>
      </w:tr>
      <w:tr w:rsidR="001E3C50" w14:paraId="7B0274F0" w14:textId="77777777" w:rsidTr="001E3C50">
        <w:tc>
          <w:tcPr>
            <w:tcW w:w="4675" w:type="dxa"/>
            <w:vAlign w:val="bottom"/>
          </w:tcPr>
          <w:p w14:paraId="54063DF7" w14:textId="264F5055" w:rsidR="001E3C50" w:rsidRDefault="001E3C50" w:rsidP="001E3C50">
            <w:pPr>
              <w:rPr>
                <w:rFonts w:cs="Arial"/>
              </w:rPr>
            </w:pPr>
            <w:r>
              <w:rPr>
                <w:b/>
                <w:bCs/>
              </w:rPr>
              <w:t>Съдови нарушения</w:t>
            </w:r>
          </w:p>
        </w:tc>
        <w:tc>
          <w:tcPr>
            <w:tcW w:w="4675" w:type="dxa"/>
            <w:vAlign w:val="bottom"/>
          </w:tcPr>
          <w:p w14:paraId="0E840D64" w14:textId="4BC993E9" w:rsidR="001E3C50" w:rsidRDefault="001E3C50" w:rsidP="001E3C50">
            <w:pPr>
              <w:rPr>
                <w:rFonts w:cs="Arial"/>
              </w:rPr>
            </w:pPr>
            <w:r>
              <w:t>Хипертония, хипотония</w:t>
            </w:r>
          </w:p>
        </w:tc>
      </w:tr>
      <w:tr w:rsidR="001E3C50" w14:paraId="3F2EF879" w14:textId="77777777" w:rsidTr="001E3C50">
        <w:tc>
          <w:tcPr>
            <w:tcW w:w="4675" w:type="dxa"/>
            <w:vAlign w:val="bottom"/>
          </w:tcPr>
          <w:p w14:paraId="284D238F" w14:textId="0F3C32FB" w:rsidR="001E3C50" w:rsidRDefault="001E3C50" w:rsidP="001E3C50">
            <w:pPr>
              <w:rPr>
                <w:rFonts w:cs="Arial"/>
              </w:rPr>
            </w:pPr>
            <w:r>
              <w:rPr>
                <w:b/>
                <w:bCs/>
              </w:rPr>
              <w:t>Респираторни, гръдни и медиастинални нарушения</w:t>
            </w:r>
          </w:p>
        </w:tc>
        <w:tc>
          <w:tcPr>
            <w:tcW w:w="4675" w:type="dxa"/>
          </w:tcPr>
          <w:p w14:paraId="3259EEE8" w14:textId="137C78CA" w:rsidR="001E3C50" w:rsidRDefault="001E3C50" w:rsidP="001E3C50">
            <w:pPr>
              <w:rPr>
                <w:rFonts w:cs="Arial"/>
              </w:rPr>
            </w:pPr>
            <w:r>
              <w:t>Белодробен едем, дисфония, кашлица</w:t>
            </w:r>
          </w:p>
        </w:tc>
      </w:tr>
      <w:tr w:rsidR="001E3C50" w14:paraId="225E3D63" w14:textId="77777777" w:rsidTr="001E3C50">
        <w:tc>
          <w:tcPr>
            <w:tcW w:w="4675" w:type="dxa"/>
            <w:vAlign w:val="bottom"/>
          </w:tcPr>
          <w:p w14:paraId="07FF0AA9" w14:textId="29329A4D" w:rsidR="001E3C50" w:rsidRDefault="001E3C50" w:rsidP="001E3C50">
            <w:pPr>
              <w:rPr>
                <w:rFonts w:cs="Arial"/>
              </w:rPr>
            </w:pPr>
            <w:r>
              <w:rPr>
                <w:b/>
                <w:bCs/>
              </w:rPr>
              <w:t>Стомашно-чревни нарушения</w:t>
            </w:r>
          </w:p>
        </w:tc>
        <w:tc>
          <w:tcPr>
            <w:tcW w:w="4675" w:type="dxa"/>
            <w:vAlign w:val="bottom"/>
          </w:tcPr>
          <w:p w14:paraId="5E489A8F" w14:textId="1556494D" w:rsidR="001E3C50" w:rsidRDefault="001E3C50" w:rsidP="001E3C50">
            <w:pPr>
              <w:rPr>
                <w:rFonts w:cs="Arial"/>
              </w:rPr>
            </w:pPr>
            <w:r>
              <w:t>Стомашно-чревно нарушение</w:t>
            </w:r>
          </w:p>
        </w:tc>
      </w:tr>
      <w:tr w:rsidR="001E3C50" w14:paraId="56F73647" w14:textId="77777777" w:rsidTr="001E3C50">
        <w:tc>
          <w:tcPr>
            <w:tcW w:w="4675" w:type="dxa"/>
            <w:vAlign w:val="bottom"/>
          </w:tcPr>
          <w:p w14:paraId="1465C5DA" w14:textId="2D6937AA" w:rsidR="001E3C50" w:rsidRDefault="001E3C50" w:rsidP="001E3C50">
            <w:pPr>
              <w:rPr>
                <w:rFonts w:cs="Arial"/>
              </w:rPr>
            </w:pPr>
            <w:r>
              <w:rPr>
                <w:b/>
                <w:bCs/>
              </w:rPr>
              <w:t>Хепатобилиарни нарушения</w:t>
            </w:r>
          </w:p>
        </w:tc>
        <w:tc>
          <w:tcPr>
            <w:tcW w:w="4675" w:type="dxa"/>
          </w:tcPr>
          <w:p w14:paraId="1F63E93B" w14:textId="388941B6" w:rsidR="001E3C50" w:rsidRDefault="001E3C50" w:rsidP="001E3C50">
            <w:pPr>
              <w:rPr>
                <w:rFonts w:cs="Arial"/>
              </w:rPr>
            </w:pPr>
            <w:r>
              <w:t>Чернодробна недостатъчност *, хепатит, иктер</w:t>
            </w:r>
          </w:p>
        </w:tc>
      </w:tr>
      <w:tr w:rsidR="001E3C50" w14:paraId="27D0D463" w14:textId="77777777" w:rsidTr="001E3C50">
        <w:tc>
          <w:tcPr>
            <w:tcW w:w="4675" w:type="dxa"/>
            <w:vAlign w:val="bottom"/>
          </w:tcPr>
          <w:p w14:paraId="64EA2452" w14:textId="04AAAB80" w:rsidR="001E3C50" w:rsidRDefault="001E3C50" w:rsidP="001E3C50">
            <w:pPr>
              <w:rPr>
                <w:rFonts w:cs="Arial"/>
              </w:rPr>
            </w:pPr>
            <w:r>
              <w:rPr>
                <w:b/>
                <w:bCs/>
              </w:rPr>
              <w:t>Нарушения на кожата и подкожната тъкан</w:t>
            </w:r>
          </w:p>
        </w:tc>
        <w:tc>
          <w:tcPr>
            <w:tcW w:w="4675" w:type="dxa"/>
          </w:tcPr>
          <w:p w14:paraId="05805887" w14:textId="228212D0" w:rsidR="001E3C50" w:rsidRDefault="001E3C50" w:rsidP="001E3C50">
            <w:pPr>
              <w:rPr>
                <w:rFonts w:cs="Arial"/>
              </w:rPr>
            </w:pPr>
            <w:r>
              <w:t>Еритематозен обрив, хиперхидроза</w:t>
            </w:r>
          </w:p>
        </w:tc>
      </w:tr>
      <w:tr w:rsidR="001E3C50" w14:paraId="6ED4D320" w14:textId="77777777" w:rsidTr="001E3C50">
        <w:tc>
          <w:tcPr>
            <w:tcW w:w="4675" w:type="dxa"/>
            <w:vAlign w:val="bottom"/>
          </w:tcPr>
          <w:p w14:paraId="1170AD4A" w14:textId="731869B6" w:rsidR="001E3C50" w:rsidRDefault="001E3C50" w:rsidP="001E3C50">
            <w:pPr>
              <w:rPr>
                <w:rFonts w:cs="Arial"/>
              </w:rPr>
            </w:pPr>
            <w:r>
              <w:rPr>
                <w:b/>
                <w:bCs/>
              </w:rPr>
              <w:t>Нарушения на мускулно-скелетната система и съединителната тъкан</w:t>
            </w:r>
          </w:p>
        </w:tc>
        <w:tc>
          <w:tcPr>
            <w:tcW w:w="4675" w:type="dxa"/>
          </w:tcPr>
          <w:p w14:paraId="2AB4A2C3" w14:textId="0A9C5525" w:rsidR="001E3C50" w:rsidRDefault="001E3C50" w:rsidP="001E3C50">
            <w:pPr>
              <w:rPr>
                <w:rFonts w:cs="Arial"/>
              </w:rPr>
            </w:pPr>
            <w:r>
              <w:t>Миалгия, артралгия</w:t>
            </w:r>
          </w:p>
        </w:tc>
      </w:tr>
      <w:tr w:rsidR="001E3C50" w14:paraId="3003D5CD" w14:textId="77777777" w:rsidTr="001E3C50">
        <w:tc>
          <w:tcPr>
            <w:tcW w:w="4675" w:type="dxa"/>
            <w:vAlign w:val="bottom"/>
          </w:tcPr>
          <w:p w14:paraId="75B46CFB" w14:textId="2A7B20D1" w:rsidR="001E3C50" w:rsidRDefault="001E3C50" w:rsidP="001E3C50">
            <w:pPr>
              <w:rPr>
                <w:rFonts w:cs="Arial"/>
              </w:rPr>
            </w:pPr>
            <w:r>
              <w:rPr>
                <w:b/>
                <w:bCs/>
              </w:rPr>
              <w:t>Нарушения на бъбреците и пикочните пътища</w:t>
            </w:r>
          </w:p>
        </w:tc>
        <w:tc>
          <w:tcPr>
            <w:tcW w:w="4675" w:type="dxa"/>
          </w:tcPr>
          <w:p w14:paraId="25C5CADA" w14:textId="50A6CA7E" w:rsidR="001E3C50" w:rsidRDefault="001E3C50" w:rsidP="001E3C50">
            <w:pPr>
              <w:rPr>
                <w:rFonts w:cs="Arial"/>
              </w:rPr>
            </w:pPr>
            <w:r>
              <w:t>Бъбречно увреждане, инконтиненция на урина</w:t>
            </w:r>
          </w:p>
        </w:tc>
      </w:tr>
      <w:tr w:rsidR="001E3C50" w14:paraId="349AB824" w14:textId="77777777" w:rsidTr="001E3C50">
        <w:tc>
          <w:tcPr>
            <w:tcW w:w="4675" w:type="dxa"/>
            <w:vAlign w:val="bottom"/>
          </w:tcPr>
          <w:p w14:paraId="1E2DF3B0" w14:textId="29B31213" w:rsidR="001E3C50" w:rsidRDefault="001E3C50" w:rsidP="001E3C50">
            <w:pPr>
              <w:rPr>
                <w:rFonts w:cs="Arial"/>
              </w:rPr>
            </w:pPr>
            <w:r>
              <w:rPr>
                <w:b/>
                <w:bCs/>
              </w:rPr>
              <w:t>Общи нарушения и ефекти на мястото на приложение</w:t>
            </w:r>
          </w:p>
        </w:tc>
        <w:tc>
          <w:tcPr>
            <w:tcW w:w="4675" w:type="dxa"/>
          </w:tcPr>
          <w:p w14:paraId="63EA7516" w14:textId="55C9359F" w:rsidR="001E3C50" w:rsidRDefault="001E3C50" w:rsidP="001E3C50">
            <w:pPr>
              <w:rPr>
                <w:rFonts w:cs="Arial"/>
              </w:rPr>
            </w:pPr>
            <w:r>
              <w:t>Генерализиран оток, оток на лицето, гръдна болка, пирексия, болка, отпадналост, студени тръпки</w:t>
            </w:r>
          </w:p>
        </w:tc>
      </w:tr>
      <w:tr w:rsidR="001E3C50" w14:paraId="26F4449A" w14:textId="77777777" w:rsidTr="001E3C50">
        <w:tc>
          <w:tcPr>
            <w:tcW w:w="4675" w:type="dxa"/>
          </w:tcPr>
          <w:p w14:paraId="2E970D2E" w14:textId="231B02FC" w:rsidR="001E3C50" w:rsidRDefault="001E3C50" w:rsidP="001E3C50">
            <w:pPr>
              <w:rPr>
                <w:rFonts w:cs="Arial"/>
              </w:rPr>
            </w:pPr>
            <w:r>
              <w:rPr>
                <w:b/>
                <w:bCs/>
              </w:rPr>
              <w:t>Изследвания</w:t>
            </w:r>
          </w:p>
        </w:tc>
        <w:tc>
          <w:tcPr>
            <w:tcW w:w="4675" w:type="dxa"/>
            <w:vAlign w:val="bottom"/>
          </w:tcPr>
          <w:p w14:paraId="73E157DA" w14:textId="5E4E3870" w:rsidR="001E3C50" w:rsidRDefault="001E3C50" w:rsidP="001E3C50">
            <w:pPr>
              <w:rPr>
                <w:rFonts w:cs="Arial"/>
              </w:rPr>
            </w:pPr>
            <w:r>
              <w:t xml:space="preserve">Повишена аланин-аминотрансфераза, повишена аспартат- аминотрансфераза, повишена алкална фосфатаза в кръвта, повишена лактат-дехидрогеназа в кръвта, </w:t>
            </w:r>
            <w:r>
              <w:lastRenderedPageBreak/>
              <w:t>повишена урея в кръвта, повишена гама-глутамилтрансфераза, повишени чернодробни ензими, отклонения в резултатите от изследване на урината</w:t>
            </w:r>
          </w:p>
        </w:tc>
      </w:tr>
    </w:tbl>
    <w:p w14:paraId="1874E175" w14:textId="77777777" w:rsidR="00DC16D1" w:rsidRPr="00DC16D1" w:rsidRDefault="00DC16D1" w:rsidP="00DC16D1">
      <w:pPr>
        <w:rPr>
          <w:rFonts w:cs="Arial"/>
        </w:rPr>
      </w:pPr>
    </w:p>
    <w:p w14:paraId="47F18C80" w14:textId="77777777" w:rsidR="00DC16D1" w:rsidRPr="00DC16D1" w:rsidRDefault="00DC16D1" w:rsidP="00DC16D1">
      <w:pPr>
        <w:spacing w:line="240" w:lineRule="auto"/>
        <w:rPr>
          <w:rFonts w:eastAsia="Times New Roman" w:cs="Arial"/>
          <w:lang w:eastAsia="bg-BG"/>
        </w:rPr>
      </w:pPr>
      <w:r w:rsidRPr="00DC16D1">
        <w:rPr>
          <w:rFonts w:eastAsia="Times New Roman" w:cs="Arial"/>
          <w:i/>
          <w:iCs/>
          <w:color w:val="000000"/>
          <w:lang w:eastAsia="bg-BG"/>
        </w:rPr>
        <w:t>Педиатрична популация</w:t>
      </w:r>
    </w:p>
    <w:p w14:paraId="18A7E038" w14:textId="77777777" w:rsidR="00DC16D1" w:rsidRPr="00DC16D1" w:rsidRDefault="00DC16D1" w:rsidP="00DC16D1">
      <w:pPr>
        <w:spacing w:line="240" w:lineRule="auto"/>
        <w:rPr>
          <w:rFonts w:eastAsia="Times New Roman" w:cs="Arial"/>
          <w:lang w:eastAsia="bg-BG"/>
        </w:rPr>
      </w:pPr>
      <w:r w:rsidRPr="00DC16D1">
        <w:rPr>
          <w:rFonts w:eastAsia="Times New Roman" w:cs="Arial"/>
          <w:color w:val="000000"/>
          <w:lang w:eastAsia="bg-BG"/>
        </w:rPr>
        <w:t>Безопасността на итраконазол перорален разтвор е оценена при 250 педиатрични пациенти на възраст от 6 месеца до 14 години, участвали в пет отворени клинични проучвания. Тези пациенти са приели най-малко една доза итраконазол като перорална суспензия за профилактика на гъбична инфекция или за лечение на орална кандидоза (млечница) или системна гъбична инфекция и са показали данни за безопасността. Въз основа на обобщената информация за безопасността, получена при тези проучвания, най-често съобщаваните нежелани лекарствени реакции са повръщане (36,0%), повишена температура (30,8%), диария (28,4%), възпаление на лигавиците (23,2%), обрив (22,8%), коремна болка (17,2%), гадене (15,6%), хипертония (14%) и кашлица (11,2%). Видът на нежеланите лекарствени реакции при педиатричните пациенти е аналогичен на наблюдаваните при възрастни, но честотата им е по-висока.</w:t>
      </w:r>
    </w:p>
    <w:p w14:paraId="401C352C" w14:textId="77777777" w:rsidR="00DC16D1" w:rsidRPr="00DC16D1" w:rsidRDefault="00DC16D1" w:rsidP="00DC16D1">
      <w:pPr>
        <w:spacing w:line="240" w:lineRule="auto"/>
        <w:rPr>
          <w:rFonts w:eastAsia="Times New Roman" w:cs="Arial"/>
          <w:color w:val="000000"/>
          <w:u w:val="single"/>
          <w:lang w:eastAsia="bg-BG"/>
        </w:rPr>
      </w:pPr>
    </w:p>
    <w:p w14:paraId="7B519663" w14:textId="0E286E4D" w:rsidR="00DC16D1" w:rsidRPr="00DC16D1" w:rsidRDefault="00DC16D1" w:rsidP="00DC16D1">
      <w:pPr>
        <w:spacing w:line="240" w:lineRule="auto"/>
        <w:rPr>
          <w:rFonts w:eastAsia="Times New Roman" w:cs="Arial"/>
          <w:lang w:eastAsia="bg-BG"/>
        </w:rPr>
      </w:pPr>
      <w:r w:rsidRPr="00DC16D1">
        <w:rPr>
          <w:rFonts w:eastAsia="Times New Roman" w:cs="Arial"/>
          <w:color w:val="000000"/>
          <w:u w:val="single"/>
          <w:lang w:eastAsia="bg-BG"/>
        </w:rPr>
        <w:t>Съобщаване на подозирани нежелани реакции</w:t>
      </w:r>
    </w:p>
    <w:p w14:paraId="443BC107" w14:textId="04035033" w:rsidR="005B0F27" w:rsidRPr="00DC16D1" w:rsidRDefault="00DC16D1" w:rsidP="00DC16D1">
      <w:pPr>
        <w:rPr>
          <w:rFonts w:cs="Arial"/>
        </w:rPr>
      </w:pPr>
      <w:r w:rsidRPr="00DC16D1">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 8, 1303 София, тел.: +35928903417, уебсайт: </w:t>
      </w:r>
      <w:r w:rsidRPr="00DC16D1">
        <w:rPr>
          <w:rFonts w:eastAsia="Times New Roman" w:cs="Arial"/>
          <w:lang w:eastAsia="bg-BG"/>
        </w:rPr>
        <w:fldChar w:fldCharType="begin"/>
      </w:r>
      <w:r w:rsidRPr="00DC16D1">
        <w:rPr>
          <w:rFonts w:eastAsia="Times New Roman" w:cs="Arial"/>
          <w:lang w:eastAsia="bg-BG"/>
        </w:rPr>
        <w:instrText xml:space="preserve"> HYPERLINK "http://www.bda.bg" </w:instrText>
      </w:r>
      <w:r w:rsidRPr="00DC16D1">
        <w:rPr>
          <w:rFonts w:eastAsia="Times New Roman" w:cs="Arial"/>
          <w:lang w:eastAsia="bg-BG"/>
        </w:rPr>
      </w:r>
      <w:r w:rsidRPr="00DC16D1">
        <w:rPr>
          <w:rFonts w:eastAsia="Times New Roman" w:cs="Arial"/>
          <w:lang w:eastAsia="bg-BG"/>
        </w:rPr>
        <w:fldChar w:fldCharType="separate"/>
      </w:r>
      <w:r w:rsidRPr="00DC16D1">
        <w:rPr>
          <w:rFonts w:eastAsia="Times New Roman" w:cs="Arial"/>
          <w:color w:val="000000"/>
          <w:u w:val="single"/>
          <w:lang w:val="en-US"/>
        </w:rPr>
        <w:t>www.bda.bg</w:t>
      </w:r>
      <w:r w:rsidRPr="00DC16D1">
        <w:rPr>
          <w:rFonts w:eastAsia="Times New Roman" w:cs="Arial"/>
          <w:lang w:eastAsia="bg-BG"/>
        </w:rPr>
        <w:fldChar w:fldCharType="end"/>
      </w:r>
      <w:r w:rsidRPr="00DC16D1">
        <w:rPr>
          <w:rFonts w:eastAsia="Times New Roman" w:cs="Arial"/>
          <w:color w:val="000000"/>
          <w:lang w:val="en-US"/>
        </w:rPr>
        <w:t>.</w:t>
      </w:r>
    </w:p>
    <w:p w14:paraId="711C1374" w14:textId="77777777" w:rsidR="00DC16D1" w:rsidRPr="0091385D" w:rsidRDefault="00DC16D1"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312D2944" w14:textId="77777777" w:rsidR="00DC16D1" w:rsidRPr="00DC16D1" w:rsidRDefault="00DC16D1" w:rsidP="00DC16D1">
      <w:pPr>
        <w:pStyle w:val="Heading3"/>
        <w:rPr>
          <w:rFonts w:eastAsia="Times New Roman"/>
          <w:u w:val="single"/>
          <w:lang w:eastAsia="bg-BG"/>
        </w:rPr>
      </w:pPr>
      <w:r w:rsidRPr="00DC16D1">
        <w:rPr>
          <w:rFonts w:eastAsia="Times New Roman"/>
          <w:u w:val="single"/>
          <w:lang w:eastAsia="bg-BG"/>
        </w:rPr>
        <w:t>Симптоми и признаци</w:t>
      </w:r>
    </w:p>
    <w:p w14:paraId="2C94E68D"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Като цяло нежеланите реакции при предозиране съответстват на съобщените при употреба на итраконазол (вж. точка 4.8).</w:t>
      </w:r>
    </w:p>
    <w:p w14:paraId="04F70606" w14:textId="77777777" w:rsidR="00DC16D1" w:rsidRPr="00DC16D1" w:rsidRDefault="00DC16D1" w:rsidP="00DC16D1">
      <w:pPr>
        <w:spacing w:line="240" w:lineRule="auto"/>
        <w:rPr>
          <w:rFonts w:eastAsia="Times New Roman" w:cs="Arial"/>
          <w:color w:val="000000"/>
          <w:u w:val="single"/>
          <w:lang w:eastAsia="bg-BG"/>
        </w:rPr>
      </w:pPr>
    </w:p>
    <w:p w14:paraId="675D88AF" w14:textId="7EE3D1DD" w:rsidR="00DC16D1" w:rsidRPr="00DC16D1" w:rsidRDefault="00DC16D1" w:rsidP="00DC16D1">
      <w:pPr>
        <w:pStyle w:val="Heading3"/>
        <w:rPr>
          <w:rFonts w:eastAsia="Times New Roman"/>
          <w:u w:val="single"/>
          <w:lang w:eastAsia="bg-BG"/>
        </w:rPr>
      </w:pPr>
      <w:r w:rsidRPr="00DC16D1">
        <w:rPr>
          <w:rFonts w:eastAsia="Times New Roman"/>
          <w:u w:val="single"/>
          <w:lang w:eastAsia="bg-BG"/>
        </w:rPr>
        <w:t>Лечение</w:t>
      </w:r>
    </w:p>
    <w:p w14:paraId="0A519D22"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В случай на предозиране трябва да се предприемат поддържащи мерки. Може да се приложи активен въглен, ако е необходимо.</w:t>
      </w:r>
    </w:p>
    <w:p w14:paraId="55E64B4E" w14:textId="77777777" w:rsidR="00DC16D1" w:rsidRPr="00DC16D1" w:rsidRDefault="00DC16D1" w:rsidP="00DC16D1">
      <w:pPr>
        <w:spacing w:line="240" w:lineRule="auto"/>
        <w:rPr>
          <w:rFonts w:eastAsia="Times New Roman" w:cs="Arial"/>
          <w:color w:val="000000"/>
          <w:lang w:eastAsia="bg-BG"/>
        </w:rPr>
      </w:pPr>
    </w:p>
    <w:p w14:paraId="7805E8FB" w14:textId="3F8113ED"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Итраконазол не може да се елиминира чрез хемодиализа.</w:t>
      </w:r>
    </w:p>
    <w:p w14:paraId="0E7F2A29" w14:textId="77777777" w:rsidR="00DC16D1" w:rsidRPr="00DC16D1" w:rsidRDefault="00DC16D1" w:rsidP="00DC16D1">
      <w:pPr>
        <w:rPr>
          <w:rFonts w:eastAsia="Times New Roman" w:cs="Arial"/>
          <w:color w:val="000000"/>
          <w:lang w:eastAsia="bg-BG"/>
        </w:rPr>
      </w:pPr>
    </w:p>
    <w:p w14:paraId="48FF1584" w14:textId="02D053F8" w:rsidR="0091385D" w:rsidRPr="00DC16D1" w:rsidRDefault="00DC16D1" w:rsidP="0091385D">
      <w:pPr>
        <w:rPr>
          <w:rFonts w:eastAsia="Times New Roman" w:cs="Arial"/>
          <w:color w:val="000000"/>
          <w:lang w:eastAsia="bg-BG"/>
        </w:rPr>
      </w:pPr>
      <w:r w:rsidRPr="00DC16D1">
        <w:rPr>
          <w:rFonts w:eastAsia="Times New Roman" w:cs="Arial"/>
          <w:color w:val="000000"/>
          <w:lang w:eastAsia="bg-BG"/>
        </w:rPr>
        <w:t>Няма известен специфичен антидот.</w:t>
      </w:r>
    </w:p>
    <w:p w14:paraId="0D320FD0" w14:textId="77777777" w:rsidR="00DC16D1" w:rsidRPr="00DC16D1" w:rsidRDefault="00DC16D1" w:rsidP="0091385D">
      <w:pPr>
        <w:rPr>
          <w:rFonts w:ascii="Times New Roman" w:eastAsia="Times New Roman" w:hAnsi="Times New Roman" w:cs="Times New Roman"/>
          <w:color w:val="000000"/>
          <w:lang w:eastAsia="bg-BG"/>
        </w:rPr>
      </w:pPr>
    </w:p>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1B60C0B4"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Фармакотерапевтична група: Антимикотични средства за системно приложение, производни на триазола</w:t>
      </w:r>
    </w:p>
    <w:p w14:paraId="69CD7149"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lastRenderedPageBreak/>
        <w:t xml:space="preserve">АТС код: </w:t>
      </w:r>
      <w:r w:rsidRPr="00DC16D1">
        <w:rPr>
          <w:rFonts w:eastAsia="Times New Roman" w:cs="Arial"/>
          <w:color w:val="000000"/>
          <w:lang w:val="en-US"/>
        </w:rPr>
        <w:t xml:space="preserve">J02A </w:t>
      </w:r>
      <w:r w:rsidRPr="00DC16D1">
        <w:rPr>
          <w:rFonts w:eastAsia="Times New Roman" w:cs="Arial"/>
          <w:color w:val="000000"/>
          <w:lang w:eastAsia="bg-BG"/>
        </w:rPr>
        <w:t>С02</w:t>
      </w:r>
    </w:p>
    <w:p w14:paraId="60F17283" w14:textId="77777777" w:rsidR="00DC16D1" w:rsidRPr="00DC16D1" w:rsidRDefault="00DC16D1" w:rsidP="00DC16D1">
      <w:pPr>
        <w:spacing w:line="240" w:lineRule="auto"/>
        <w:rPr>
          <w:rFonts w:eastAsia="Times New Roman" w:cs="Arial"/>
          <w:color w:val="000000"/>
          <w:u w:val="single"/>
          <w:lang w:eastAsia="bg-BG"/>
        </w:rPr>
      </w:pPr>
    </w:p>
    <w:p w14:paraId="097FEAB2" w14:textId="208D1F2B"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u w:val="single"/>
          <w:lang w:eastAsia="bg-BG"/>
        </w:rPr>
        <w:t>Механизъм на действие</w:t>
      </w:r>
    </w:p>
    <w:p w14:paraId="0B5B54BB"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Итраконазол инхибира гъбичката 14-алфа-деметилаза, което води до изчерпване на ергостерол и нарушаване на мембранния синтез.</w:t>
      </w:r>
    </w:p>
    <w:p w14:paraId="672F66F1" w14:textId="77777777" w:rsidR="00DC16D1" w:rsidRPr="00DC16D1" w:rsidRDefault="00DC16D1" w:rsidP="00DC16D1">
      <w:pPr>
        <w:spacing w:line="240" w:lineRule="auto"/>
        <w:rPr>
          <w:rFonts w:eastAsia="Times New Roman" w:cs="Arial"/>
          <w:color w:val="000000"/>
          <w:u w:val="single"/>
          <w:lang w:eastAsia="bg-BG"/>
        </w:rPr>
      </w:pPr>
    </w:p>
    <w:p w14:paraId="49CE47E6" w14:textId="5BF1D2C3"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u w:val="single"/>
          <w:lang w:eastAsia="bg-BG"/>
        </w:rPr>
        <w:t>В ръзка фармакокинетика/фармако динамика</w:t>
      </w:r>
    </w:p>
    <w:p w14:paraId="09A924B7"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ФК/ФД връзката за итраконазол, както и за триазолите като цяло, не е добре известна и се усложнява от ограниченото разбиране за противогъбична фармакокинетика.</w:t>
      </w:r>
    </w:p>
    <w:p w14:paraId="351C3C4E" w14:textId="77777777" w:rsidR="00DC16D1" w:rsidRPr="00DC16D1" w:rsidRDefault="00DC16D1" w:rsidP="00DC16D1">
      <w:pPr>
        <w:spacing w:line="240" w:lineRule="auto"/>
        <w:rPr>
          <w:rFonts w:eastAsia="Times New Roman" w:cs="Arial"/>
          <w:color w:val="000000"/>
          <w:u w:val="single"/>
          <w:lang w:eastAsia="bg-BG"/>
        </w:rPr>
      </w:pPr>
    </w:p>
    <w:p w14:paraId="38F23202" w14:textId="29C2E6C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u w:val="single"/>
          <w:lang w:eastAsia="bg-BG"/>
        </w:rPr>
        <w:t>Механизми на резистентност</w:t>
      </w:r>
    </w:p>
    <w:p w14:paraId="3E75530A" w14:textId="7777777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lang w:eastAsia="bg-BG"/>
        </w:rPr>
        <w:t>Устойчивостта на гъбички към азоли изглежда се развива бавно и често е резултат от няколко генетични мутации. Описаните механизми са:</w:t>
      </w:r>
    </w:p>
    <w:p w14:paraId="28045CD4" w14:textId="77777777" w:rsidR="00DC16D1" w:rsidRPr="00DC16D1" w:rsidRDefault="00DC16D1" w:rsidP="00DC16D1">
      <w:pPr>
        <w:pStyle w:val="ListParagraph"/>
        <w:numPr>
          <w:ilvl w:val="0"/>
          <w:numId w:val="42"/>
        </w:numPr>
        <w:spacing w:line="240" w:lineRule="auto"/>
        <w:rPr>
          <w:rFonts w:eastAsia="Times New Roman" w:cs="Arial"/>
          <w:color w:val="000000"/>
          <w:lang w:eastAsia="bg-BG"/>
        </w:rPr>
      </w:pPr>
      <w:r w:rsidRPr="00DC16D1">
        <w:rPr>
          <w:rFonts w:eastAsia="Times New Roman" w:cs="Arial"/>
          <w:color w:val="000000"/>
          <w:lang w:eastAsia="bg-BG"/>
        </w:rPr>
        <w:t xml:space="preserve">Свръхекспресия на </w:t>
      </w:r>
      <w:r w:rsidRPr="00DC16D1">
        <w:rPr>
          <w:rFonts w:eastAsia="Times New Roman" w:cs="Arial"/>
          <w:i/>
          <w:iCs/>
          <w:color w:val="000000"/>
          <w:lang w:val="en-US"/>
        </w:rPr>
        <w:t>ERG11,</w:t>
      </w:r>
      <w:r w:rsidRPr="00DC16D1">
        <w:rPr>
          <w:rFonts w:eastAsia="Times New Roman" w:cs="Arial"/>
          <w:color w:val="000000"/>
          <w:lang w:val="en-US"/>
        </w:rPr>
        <w:t xml:space="preserve"> </w:t>
      </w:r>
      <w:r w:rsidRPr="00DC16D1">
        <w:rPr>
          <w:rFonts w:eastAsia="Times New Roman" w:cs="Arial"/>
          <w:color w:val="000000"/>
          <w:lang w:eastAsia="bg-BG"/>
        </w:rPr>
        <w:t>генът, който кодира 14-алфа-деметилаза (таргетния ензим)</w:t>
      </w:r>
    </w:p>
    <w:p w14:paraId="49858B73" w14:textId="77777777" w:rsidR="00DC16D1" w:rsidRPr="00DC16D1" w:rsidRDefault="00DC16D1" w:rsidP="00DC16D1">
      <w:pPr>
        <w:pStyle w:val="ListParagraph"/>
        <w:numPr>
          <w:ilvl w:val="0"/>
          <w:numId w:val="42"/>
        </w:numPr>
        <w:spacing w:line="240" w:lineRule="auto"/>
        <w:rPr>
          <w:rFonts w:eastAsia="Times New Roman" w:cs="Arial"/>
          <w:color w:val="000000"/>
          <w:lang w:eastAsia="bg-BG"/>
        </w:rPr>
      </w:pPr>
      <w:r w:rsidRPr="00DC16D1">
        <w:rPr>
          <w:rFonts w:eastAsia="Times New Roman" w:cs="Arial"/>
          <w:color w:val="000000"/>
          <w:lang w:eastAsia="bg-BG"/>
        </w:rPr>
        <w:t xml:space="preserve">Точкови мутации в </w:t>
      </w:r>
      <w:r w:rsidRPr="00DC16D1">
        <w:rPr>
          <w:rFonts w:eastAsia="Times New Roman" w:cs="Arial"/>
          <w:i/>
          <w:iCs/>
          <w:color w:val="000000"/>
          <w:lang w:val="en-US"/>
        </w:rPr>
        <w:t>ERG11,</w:t>
      </w:r>
      <w:r w:rsidRPr="00DC16D1">
        <w:rPr>
          <w:rFonts w:eastAsia="Times New Roman" w:cs="Arial"/>
          <w:color w:val="000000"/>
          <w:lang w:val="en-US"/>
        </w:rPr>
        <w:t xml:space="preserve"> </w:t>
      </w:r>
      <w:r w:rsidRPr="00DC16D1">
        <w:rPr>
          <w:rFonts w:eastAsia="Times New Roman" w:cs="Arial"/>
          <w:color w:val="000000"/>
          <w:lang w:eastAsia="bg-BG"/>
        </w:rPr>
        <w:t>които водят до намаляване афинитета на 14-алфа-деметилаза към итраконазол</w:t>
      </w:r>
    </w:p>
    <w:p w14:paraId="0A34F09B" w14:textId="77777777" w:rsidR="00DC16D1" w:rsidRPr="00DC16D1" w:rsidRDefault="00DC16D1" w:rsidP="00DC16D1">
      <w:pPr>
        <w:pStyle w:val="ListParagraph"/>
        <w:numPr>
          <w:ilvl w:val="0"/>
          <w:numId w:val="42"/>
        </w:numPr>
        <w:spacing w:line="240" w:lineRule="auto"/>
        <w:rPr>
          <w:rFonts w:eastAsia="Times New Roman" w:cs="Arial"/>
          <w:color w:val="000000"/>
          <w:lang w:eastAsia="bg-BG"/>
        </w:rPr>
      </w:pPr>
      <w:r w:rsidRPr="00DC16D1">
        <w:rPr>
          <w:rFonts w:eastAsia="Times New Roman" w:cs="Arial"/>
          <w:color w:val="000000"/>
          <w:lang w:eastAsia="bg-BG"/>
        </w:rPr>
        <w:t>Свръхекспресия на лекарствен транспортер, което води до повишен ефлукс на итраконазол от гъбичните клетки (т.е. премахване на итраконазол от целта му)</w:t>
      </w:r>
    </w:p>
    <w:p w14:paraId="1EE12F42" w14:textId="4A070418" w:rsidR="00DC16D1" w:rsidRPr="00DC16D1" w:rsidRDefault="00DC16D1" w:rsidP="00DC16D1">
      <w:pPr>
        <w:pStyle w:val="ListParagraph"/>
        <w:numPr>
          <w:ilvl w:val="0"/>
          <w:numId w:val="42"/>
        </w:numPr>
        <w:spacing w:line="240" w:lineRule="auto"/>
        <w:rPr>
          <w:rFonts w:eastAsia="Times New Roman" w:cs="Arial"/>
          <w:color w:val="000000"/>
          <w:lang w:eastAsia="bg-BG"/>
        </w:rPr>
      </w:pPr>
      <w:r w:rsidRPr="00DC16D1">
        <w:rPr>
          <w:rFonts w:eastAsia="Times New Roman" w:cs="Arial"/>
          <w:color w:val="000000"/>
          <w:lang w:eastAsia="bg-BG"/>
        </w:rPr>
        <w:t xml:space="preserve">Кръстосана резистентност. Кръстосана резистентност между членове на азоловия клас активни съставки се наблюдава в рамките на видовете </w:t>
      </w:r>
      <w:r w:rsidRPr="00DC16D1">
        <w:rPr>
          <w:rFonts w:eastAsia="Times New Roman" w:cs="Arial"/>
          <w:i/>
          <w:iCs/>
          <w:color w:val="000000"/>
          <w:lang w:val="en-US"/>
        </w:rPr>
        <w:t>Candida,</w:t>
      </w:r>
      <w:r w:rsidRPr="00DC16D1">
        <w:rPr>
          <w:rFonts w:eastAsia="Times New Roman" w:cs="Arial"/>
          <w:color w:val="000000"/>
          <w:lang w:val="en-US"/>
        </w:rPr>
        <w:t xml:space="preserve"> </w:t>
      </w:r>
      <w:r w:rsidRPr="00DC16D1">
        <w:rPr>
          <w:rFonts w:eastAsia="Times New Roman" w:cs="Arial"/>
          <w:color w:val="000000"/>
          <w:lang w:eastAsia="bg-BG"/>
        </w:rPr>
        <w:t>въпреки че резистентност към един от членовете на този клас не е задължително да дава резистентност към други азоли.</w:t>
      </w:r>
    </w:p>
    <w:p w14:paraId="67414A65" w14:textId="77777777" w:rsidR="00DC16D1" w:rsidRPr="00DC16D1" w:rsidRDefault="00DC16D1" w:rsidP="00DC16D1">
      <w:pPr>
        <w:spacing w:line="240" w:lineRule="auto"/>
        <w:rPr>
          <w:rFonts w:eastAsia="Times New Roman" w:cs="Arial"/>
          <w:color w:val="000000"/>
          <w:u w:val="single"/>
          <w:lang w:eastAsia="bg-BG"/>
        </w:rPr>
      </w:pPr>
    </w:p>
    <w:p w14:paraId="3FDEA728" w14:textId="17425847" w:rsidR="00DC16D1" w:rsidRPr="00DC16D1" w:rsidRDefault="00DC16D1" w:rsidP="00DC16D1">
      <w:pPr>
        <w:spacing w:line="240" w:lineRule="auto"/>
        <w:rPr>
          <w:rFonts w:eastAsia="Times New Roman" w:cs="Arial"/>
          <w:sz w:val="24"/>
          <w:szCs w:val="24"/>
          <w:lang w:eastAsia="bg-BG"/>
        </w:rPr>
      </w:pPr>
      <w:r w:rsidRPr="00DC16D1">
        <w:rPr>
          <w:rFonts w:eastAsia="Times New Roman" w:cs="Arial"/>
          <w:color w:val="000000"/>
          <w:u w:val="single"/>
          <w:lang w:eastAsia="bg-BG"/>
        </w:rPr>
        <w:t>Гранични стойности</w:t>
      </w:r>
    </w:p>
    <w:p w14:paraId="038F692B" w14:textId="5BBF7B80" w:rsidR="007A2185" w:rsidRPr="00DC16D1" w:rsidRDefault="00DC16D1" w:rsidP="00DC16D1">
      <w:pPr>
        <w:rPr>
          <w:rFonts w:cs="Arial"/>
        </w:rPr>
      </w:pPr>
      <w:r w:rsidRPr="00DC16D1">
        <w:rPr>
          <w:rFonts w:eastAsia="Times New Roman" w:cs="Arial"/>
          <w:color w:val="000000"/>
          <w:lang w:eastAsia="bg-BG"/>
        </w:rPr>
        <w:t xml:space="preserve">При използване на методи по </w:t>
      </w:r>
      <w:r w:rsidRPr="00DC16D1">
        <w:rPr>
          <w:rFonts w:eastAsia="Times New Roman" w:cs="Arial"/>
          <w:color w:val="000000"/>
          <w:lang w:val="en-US"/>
        </w:rPr>
        <w:t xml:space="preserve">EUCAST </w:t>
      </w:r>
      <w:r w:rsidRPr="00DC16D1">
        <w:rPr>
          <w:rFonts w:eastAsia="Times New Roman" w:cs="Arial"/>
          <w:color w:val="000000"/>
          <w:lang w:eastAsia="bg-BG"/>
        </w:rPr>
        <w:t xml:space="preserve">граничните стойности за итраконазол са установени само за видове </w:t>
      </w:r>
      <w:r w:rsidRPr="00DC16D1">
        <w:rPr>
          <w:rFonts w:eastAsia="Times New Roman" w:cs="Arial"/>
          <w:i/>
          <w:iCs/>
          <w:color w:val="000000"/>
          <w:lang w:val="en-US"/>
        </w:rPr>
        <w:t>aspergillus</w:t>
      </w:r>
      <w:r w:rsidRPr="00DC16D1">
        <w:rPr>
          <w:rFonts w:eastAsia="Times New Roman" w:cs="Arial"/>
          <w:color w:val="000000"/>
          <w:lang w:eastAsia="bg-BG"/>
        </w:rPr>
        <w:t xml:space="preserve">. Тези гранични стойности са дадени в таблицата по-долу, съгласно таблицата на </w:t>
      </w:r>
      <w:r w:rsidRPr="00DC16D1">
        <w:rPr>
          <w:rFonts w:eastAsia="Times New Roman" w:cs="Arial"/>
          <w:color w:val="000000"/>
          <w:lang w:val="en-US"/>
        </w:rPr>
        <w:t xml:space="preserve">EUCAST </w:t>
      </w:r>
      <w:r w:rsidRPr="00DC16D1">
        <w:rPr>
          <w:rFonts w:eastAsia="Times New Roman" w:cs="Arial"/>
          <w:color w:val="000000"/>
          <w:lang w:eastAsia="bg-BG"/>
        </w:rPr>
        <w:t>за противогъбични клинични гранични стойности в. 4.1, в сила от 05.03.2012 г.</w:t>
      </w:r>
    </w:p>
    <w:p w14:paraId="36152471" w14:textId="798A5DB8" w:rsidR="0091385D" w:rsidRDefault="0091385D" w:rsidP="0091385D"/>
    <w:tbl>
      <w:tblPr>
        <w:tblStyle w:val="TableGrid"/>
        <w:tblW w:w="0" w:type="auto"/>
        <w:tblLook w:val="04A0" w:firstRow="1" w:lastRow="0" w:firstColumn="1" w:lastColumn="0" w:noHBand="0" w:noVBand="1"/>
      </w:tblPr>
      <w:tblGrid>
        <w:gridCol w:w="1612"/>
        <w:gridCol w:w="1242"/>
        <w:gridCol w:w="1307"/>
        <w:gridCol w:w="1284"/>
        <w:gridCol w:w="1228"/>
        <w:gridCol w:w="1262"/>
        <w:gridCol w:w="1415"/>
      </w:tblGrid>
      <w:tr w:rsidR="001E3C50" w14:paraId="3792DDE3" w14:textId="77777777" w:rsidTr="001E3C50">
        <w:tc>
          <w:tcPr>
            <w:tcW w:w="1612" w:type="dxa"/>
          </w:tcPr>
          <w:p w14:paraId="59B68E9D" w14:textId="0358005D" w:rsidR="001E3C50" w:rsidRPr="001E3C50" w:rsidRDefault="001E3C50" w:rsidP="001E3C50">
            <w:r w:rsidRPr="001E3C50">
              <w:t>Антимикотич ни средства</w:t>
            </w:r>
          </w:p>
        </w:tc>
        <w:tc>
          <w:tcPr>
            <w:tcW w:w="6481" w:type="dxa"/>
            <w:gridSpan w:val="5"/>
          </w:tcPr>
          <w:p w14:paraId="49459F94" w14:textId="62128FB4" w:rsidR="001E3C50" w:rsidRPr="001E3C50" w:rsidRDefault="001E3C50" w:rsidP="001E3C50">
            <w:r w:rsidRPr="001E3C50">
              <w:t xml:space="preserve">Видово-свързани гранични стойности </w:t>
            </w:r>
            <w:r w:rsidRPr="001E3C50">
              <w:rPr>
                <w:lang w:val="en-US"/>
              </w:rPr>
              <w:t>(S ^R&gt;) (mg/L)</w:t>
            </w:r>
          </w:p>
        </w:tc>
        <w:tc>
          <w:tcPr>
            <w:tcW w:w="1257" w:type="dxa"/>
            <w:vAlign w:val="bottom"/>
          </w:tcPr>
          <w:p w14:paraId="0F07C164" w14:textId="7D1FD4C3" w:rsidR="001E3C50" w:rsidRPr="001E3C50" w:rsidRDefault="001E3C50" w:rsidP="001E3C50">
            <w:r w:rsidRPr="001E3C50">
              <w:t xml:space="preserve">Видово несвързани гранични стойности </w:t>
            </w:r>
            <w:r w:rsidRPr="001E3C50">
              <w:rPr>
                <w:lang w:val="en-US"/>
              </w:rPr>
              <w:t>S&lt;£R&gt;</w:t>
            </w:r>
          </w:p>
        </w:tc>
      </w:tr>
      <w:tr w:rsidR="001E3C50" w14:paraId="54F70851" w14:textId="77777777" w:rsidTr="001E3C50">
        <w:tc>
          <w:tcPr>
            <w:tcW w:w="1612" w:type="dxa"/>
          </w:tcPr>
          <w:p w14:paraId="18572F06" w14:textId="77777777" w:rsidR="001E3C50" w:rsidRDefault="001E3C50" w:rsidP="001E3C50"/>
        </w:tc>
        <w:tc>
          <w:tcPr>
            <w:tcW w:w="1283" w:type="dxa"/>
          </w:tcPr>
          <w:p w14:paraId="63B3BFAF" w14:textId="39FE7F28" w:rsidR="001E3C50" w:rsidRDefault="001E3C50" w:rsidP="001E3C50">
            <w:r>
              <w:rPr>
                <w:i/>
                <w:iCs/>
              </w:rPr>
              <w:t>A. flavus</w:t>
            </w:r>
          </w:p>
        </w:tc>
        <w:tc>
          <w:tcPr>
            <w:tcW w:w="1320" w:type="dxa"/>
          </w:tcPr>
          <w:p w14:paraId="01CD99DC" w14:textId="7360F1B4" w:rsidR="001E3C50" w:rsidRDefault="001E3C50" w:rsidP="001E3C50">
            <w:r>
              <w:rPr>
                <w:i/>
                <w:iCs/>
              </w:rPr>
              <w:t>A. fumigatus</w:t>
            </w:r>
          </w:p>
        </w:tc>
        <w:tc>
          <w:tcPr>
            <w:tcW w:w="1307" w:type="dxa"/>
          </w:tcPr>
          <w:p w14:paraId="47943502" w14:textId="69256DDD" w:rsidR="001E3C50" w:rsidRDefault="001E3C50" w:rsidP="001E3C50">
            <w:r>
              <w:rPr>
                <w:i/>
                <w:iCs/>
              </w:rPr>
              <w:t>A. nidulans</w:t>
            </w:r>
          </w:p>
        </w:tc>
        <w:tc>
          <w:tcPr>
            <w:tcW w:w="1276" w:type="dxa"/>
          </w:tcPr>
          <w:p w14:paraId="1BC26E64" w14:textId="5BF4B1A4" w:rsidR="001E3C50" w:rsidRDefault="001E3C50" w:rsidP="001E3C50">
            <w:r>
              <w:rPr>
                <w:i/>
                <w:iCs/>
              </w:rPr>
              <w:t>A. niger</w:t>
            </w:r>
          </w:p>
        </w:tc>
        <w:tc>
          <w:tcPr>
            <w:tcW w:w="1295" w:type="dxa"/>
          </w:tcPr>
          <w:p w14:paraId="0D11A296" w14:textId="554FD22B" w:rsidR="001E3C50" w:rsidRDefault="001E3C50" w:rsidP="001E3C50">
            <w:r>
              <w:rPr>
                <w:i/>
                <w:iCs/>
              </w:rPr>
              <w:t>A. terreus</w:t>
            </w:r>
          </w:p>
        </w:tc>
        <w:tc>
          <w:tcPr>
            <w:tcW w:w="1257" w:type="dxa"/>
          </w:tcPr>
          <w:p w14:paraId="78970711" w14:textId="77777777" w:rsidR="001E3C50" w:rsidRDefault="001E3C50" w:rsidP="001E3C50"/>
        </w:tc>
      </w:tr>
      <w:tr w:rsidR="001E3C50" w14:paraId="1C58A6CE" w14:textId="77777777" w:rsidTr="001E3C50">
        <w:tc>
          <w:tcPr>
            <w:tcW w:w="1612" w:type="dxa"/>
          </w:tcPr>
          <w:p w14:paraId="2406F00E" w14:textId="723EA38B" w:rsidR="001E3C50" w:rsidRDefault="001E3C50" w:rsidP="001E3C50">
            <w:r>
              <w:rPr>
                <w:lang w:eastAsia="bg-BG"/>
              </w:rPr>
              <w:t>Итраконазол</w:t>
            </w:r>
            <w:r>
              <w:rPr>
                <w:vertAlign w:val="superscript"/>
                <w:lang w:eastAsia="bg-BG"/>
              </w:rPr>
              <w:t>1</w:t>
            </w:r>
          </w:p>
        </w:tc>
        <w:tc>
          <w:tcPr>
            <w:tcW w:w="1283" w:type="dxa"/>
          </w:tcPr>
          <w:p w14:paraId="393420C1" w14:textId="65C04559" w:rsidR="001E3C50" w:rsidRDefault="001E3C50" w:rsidP="001E3C50">
            <w:r>
              <w:t>1/2</w:t>
            </w:r>
          </w:p>
        </w:tc>
        <w:tc>
          <w:tcPr>
            <w:tcW w:w="1320" w:type="dxa"/>
          </w:tcPr>
          <w:p w14:paraId="1FD95386" w14:textId="0A0FC81F" w:rsidR="001E3C50" w:rsidRDefault="001E3C50" w:rsidP="001E3C50">
            <w:r>
              <w:rPr>
                <w:lang w:eastAsia="bg-BG"/>
              </w:rPr>
              <w:t>1/2</w:t>
            </w:r>
          </w:p>
        </w:tc>
        <w:tc>
          <w:tcPr>
            <w:tcW w:w="1307" w:type="dxa"/>
          </w:tcPr>
          <w:p w14:paraId="6F65F320" w14:textId="1A7CFCC5" w:rsidR="001E3C50" w:rsidRDefault="001E3C50" w:rsidP="001E3C50">
            <w:r>
              <w:rPr>
                <w:lang w:eastAsia="bg-BG"/>
              </w:rPr>
              <w:t>1/2</w:t>
            </w:r>
          </w:p>
        </w:tc>
        <w:tc>
          <w:tcPr>
            <w:tcW w:w="1276" w:type="dxa"/>
          </w:tcPr>
          <w:p w14:paraId="352CFC5A" w14:textId="5E1A1CC8" w:rsidR="001E3C50" w:rsidRPr="001E3C50" w:rsidRDefault="001E3C50" w:rsidP="001E3C50">
            <w:pPr>
              <w:rPr>
                <w:lang w:val="en-US"/>
              </w:rPr>
            </w:pPr>
            <w:r>
              <w:rPr>
                <w:rFonts w:cs="Arial"/>
                <w:lang w:val="en-US"/>
              </w:rPr>
              <w:t>IE</w:t>
            </w:r>
            <w:r w:rsidRPr="001E3C50">
              <w:rPr>
                <w:rFonts w:cs="Arial"/>
                <w:vertAlign w:val="superscript"/>
                <w:lang w:val="en-US"/>
              </w:rPr>
              <w:t>2,3</w:t>
            </w:r>
          </w:p>
        </w:tc>
        <w:tc>
          <w:tcPr>
            <w:tcW w:w="1295" w:type="dxa"/>
          </w:tcPr>
          <w:p w14:paraId="19D9C790" w14:textId="611F136A" w:rsidR="001E3C50" w:rsidRDefault="001E3C50" w:rsidP="001E3C50">
            <w:r>
              <w:rPr>
                <w:i/>
                <w:iCs/>
              </w:rPr>
              <w:t>1/2</w:t>
            </w:r>
          </w:p>
        </w:tc>
        <w:tc>
          <w:tcPr>
            <w:tcW w:w="1257" w:type="dxa"/>
          </w:tcPr>
          <w:p w14:paraId="52C9A1FF" w14:textId="2808D2FF" w:rsidR="001E3C50" w:rsidRPr="001E3C50" w:rsidRDefault="001E3C50" w:rsidP="001E3C50">
            <w:pPr>
              <w:rPr>
                <w:lang w:val="en-US"/>
              </w:rPr>
            </w:pPr>
            <w:r>
              <w:rPr>
                <w:lang w:val="en-US"/>
              </w:rPr>
              <w:t>IE</w:t>
            </w:r>
            <w:r w:rsidRPr="001E3C50">
              <w:rPr>
                <w:vertAlign w:val="superscript"/>
                <w:lang w:val="en-US"/>
              </w:rPr>
              <w:t>3</w:t>
            </w:r>
          </w:p>
        </w:tc>
      </w:tr>
    </w:tbl>
    <w:p w14:paraId="4C3A4591" w14:textId="728BB0E7" w:rsidR="001E3C50" w:rsidRDefault="001E3C50" w:rsidP="0091385D"/>
    <w:p w14:paraId="1D9384D4" w14:textId="77777777" w:rsidR="001E3C50" w:rsidRPr="001E3C50" w:rsidRDefault="001E3C50" w:rsidP="001E3C50">
      <w:pPr>
        <w:spacing w:line="240" w:lineRule="auto"/>
        <w:rPr>
          <w:rFonts w:eastAsia="Times New Roman" w:cs="Arial"/>
          <w:sz w:val="24"/>
          <w:szCs w:val="24"/>
          <w:lang w:eastAsia="bg-BG"/>
        </w:rPr>
      </w:pPr>
      <w:r w:rsidRPr="001E3C50">
        <w:rPr>
          <w:rFonts w:eastAsia="Times New Roman" w:cs="Arial"/>
          <w:color w:val="000000"/>
          <w:lang w:val="en-US"/>
        </w:rPr>
        <w:t>A. = Aspergillus</w:t>
      </w:r>
    </w:p>
    <w:p w14:paraId="3F5B7C4D" w14:textId="77777777" w:rsidR="001E3C50" w:rsidRPr="001E3C50" w:rsidRDefault="001E3C50" w:rsidP="001E3C50">
      <w:pPr>
        <w:spacing w:line="240" w:lineRule="auto"/>
        <w:rPr>
          <w:rFonts w:eastAsia="Times New Roman" w:cs="Arial"/>
          <w:sz w:val="24"/>
          <w:szCs w:val="24"/>
          <w:lang w:eastAsia="bg-BG"/>
        </w:rPr>
      </w:pPr>
      <w:r w:rsidRPr="001E3C50">
        <w:rPr>
          <w:rFonts w:eastAsia="Times New Roman" w:cs="Arial"/>
          <w:color w:val="000000"/>
          <w:lang w:val="en-US"/>
        </w:rPr>
        <w:t xml:space="preserve">S = </w:t>
      </w:r>
      <w:r w:rsidRPr="001E3C50">
        <w:rPr>
          <w:rFonts w:eastAsia="Times New Roman" w:cs="Arial"/>
          <w:color w:val="000000"/>
          <w:lang w:eastAsia="bg-BG"/>
        </w:rPr>
        <w:t xml:space="preserve">Чувствителни, </w:t>
      </w:r>
      <w:r w:rsidRPr="001E3C50">
        <w:rPr>
          <w:rFonts w:eastAsia="Times New Roman" w:cs="Arial"/>
          <w:color w:val="000000"/>
          <w:lang w:val="en-US"/>
        </w:rPr>
        <w:t xml:space="preserve">R = </w:t>
      </w:r>
      <w:r w:rsidRPr="001E3C50">
        <w:rPr>
          <w:rFonts w:eastAsia="Times New Roman" w:cs="Arial"/>
          <w:color w:val="000000"/>
          <w:lang w:eastAsia="bg-BG"/>
        </w:rPr>
        <w:t>Резистентни</w:t>
      </w:r>
    </w:p>
    <w:p w14:paraId="4178E169" w14:textId="77777777" w:rsidR="001E3C50" w:rsidRPr="001E3C50" w:rsidRDefault="001E3C50" w:rsidP="001E3C50">
      <w:pPr>
        <w:pStyle w:val="ListParagraph"/>
        <w:numPr>
          <w:ilvl w:val="0"/>
          <w:numId w:val="43"/>
        </w:numPr>
        <w:spacing w:line="240" w:lineRule="auto"/>
        <w:rPr>
          <w:rFonts w:eastAsia="Times New Roman" w:cs="Arial"/>
          <w:color w:val="000000"/>
          <w:lang w:eastAsia="bg-BG"/>
        </w:rPr>
      </w:pPr>
      <w:r w:rsidRPr="001E3C50">
        <w:rPr>
          <w:rFonts w:eastAsia="Times New Roman" w:cs="Arial"/>
          <w:color w:val="000000"/>
          <w:lang w:eastAsia="bg-BG"/>
        </w:rPr>
        <w:t>Препоръчва се проследяване на минималната концентрация на итраконазол при пациенти, лекувани за гъбична инфекция.</w:t>
      </w:r>
    </w:p>
    <w:p w14:paraId="6131B9B0" w14:textId="77777777" w:rsidR="001E3C50" w:rsidRPr="001E3C50" w:rsidRDefault="001E3C50" w:rsidP="001E3C50">
      <w:pPr>
        <w:pStyle w:val="ListParagraph"/>
        <w:numPr>
          <w:ilvl w:val="0"/>
          <w:numId w:val="43"/>
        </w:numPr>
        <w:spacing w:line="240" w:lineRule="auto"/>
        <w:rPr>
          <w:rFonts w:eastAsia="Times New Roman" w:cs="Arial"/>
          <w:color w:val="000000"/>
          <w:lang w:eastAsia="bg-BG"/>
        </w:rPr>
      </w:pPr>
      <w:r w:rsidRPr="001E3C50">
        <w:rPr>
          <w:rFonts w:eastAsia="Times New Roman" w:cs="Arial"/>
          <w:color w:val="000000"/>
          <w:lang w:eastAsia="bg-BG"/>
        </w:rPr>
        <w:t xml:space="preserve">Епидемиологичните гранични стойности </w:t>
      </w:r>
      <w:r w:rsidRPr="001E3C50">
        <w:rPr>
          <w:rFonts w:eastAsia="Times New Roman" w:cs="Arial"/>
          <w:color w:val="000000"/>
          <w:lang w:val="en-US"/>
        </w:rPr>
        <w:t xml:space="preserve">(ECOFF) </w:t>
      </w:r>
      <w:r w:rsidRPr="001E3C50">
        <w:rPr>
          <w:rFonts w:eastAsia="Times New Roman" w:cs="Arial"/>
          <w:color w:val="000000"/>
          <w:lang w:eastAsia="bg-BG"/>
        </w:rPr>
        <w:t xml:space="preserve">за тези видове като цяло </w:t>
      </w:r>
      <w:r w:rsidRPr="001E3C50">
        <w:rPr>
          <w:rFonts w:eastAsia="Times New Roman" w:cs="Arial"/>
          <w:color w:val="000000"/>
          <w:lang w:val="en-US"/>
        </w:rPr>
        <w:t>ca</w:t>
      </w:r>
      <w:r w:rsidRPr="001E3C50">
        <w:rPr>
          <w:rFonts w:eastAsia="Times New Roman" w:cs="Arial"/>
          <w:color w:val="000000"/>
          <w:lang w:eastAsia="bg-BG"/>
        </w:rPr>
        <w:t xml:space="preserve"> една степен</w:t>
      </w:r>
      <w:r w:rsidRPr="001E3C50">
        <w:rPr>
          <w:rFonts w:eastAsia="Times New Roman" w:cs="Arial"/>
          <w:color w:val="000000"/>
          <w:u w:val="single"/>
          <w:lang w:eastAsia="bg-BG"/>
        </w:rPr>
        <w:t xml:space="preserve"> </w:t>
      </w:r>
      <w:r w:rsidRPr="001E3C50">
        <w:rPr>
          <w:rFonts w:eastAsia="Times New Roman" w:cs="Arial"/>
          <w:color w:val="000000"/>
          <w:lang w:eastAsia="bg-BG"/>
        </w:rPr>
        <w:t xml:space="preserve">по-високи отколкото за </w:t>
      </w:r>
      <w:r w:rsidRPr="001E3C50">
        <w:rPr>
          <w:rFonts w:eastAsia="Times New Roman" w:cs="Arial"/>
          <w:i/>
          <w:iCs/>
          <w:color w:val="000000"/>
          <w:lang w:val="en-US"/>
        </w:rPr>
        <w:t xml:space="preserve">A. </w:t>
      </w:r>
      <w:proofErr w:type="spellStart"/>
      <w:proofErr w:type="gramStart"/>
      <w:r w:rsidRPr="001E3C50">
        <w:rPr>
          <w:rFonts w:eastAsia="Times New Roman" w:cs="Arial"/>
          <w:i/>
          <w:iCs/>
          <w:color w:val="000000"/>
          <w:lang w:val="en-US"/>
        </w:rPr>
        <w:t>fumigatus</w:t>
      </w:r>
      <w:proofErr w:type="spellEnd"/>
      <w:proofErr w:type="gramEnd"/>
      <w:r w:rsidRPr="001E3C50">
        <w:rPr>
          <w:rFonts w:eastAsia="Times New Roman" w:cs="Arial"/>
          <w:i/>
          <w:iCs/>
          <w:color w:val="000000"/>
          <w:lang w:val="en-US"/>
        </w:rPr>
        <w:t>.</w:t>
      </w:r>
    </w:p>
    <w:p w14:paraId="0B78E4D9" w14:textId="054FCB2A" w:rsidR="001E3C50" w:rsidRPr="001E3C50" w:rsidRDefault="001E3C50" w:rsidP="001E3C50">
      <w:pPr>
        <w:pStyle w:val="ListParagraph"/>
        <w:numPr>
          <w:ilvl w:val="0"/>
          <w:numId w:val="43"/>
        </w:numPr>
        <w:spacing w:line="240" w:lineRule="auto"/>
        <w:rPr>
          <w:rFonts w:eastAsia="Times New Roman" w:cs="Arial"/>
          <w:color w:val="000000"/>
          <w:lang w:eastAsia="bg-BG"/>
        </w:rPr>
      </w:pPr>
      <w:r w:rsidRPr="001E3C50">
        <w:rPr>
          <w:rFonts w:eastAsia="Times New Roman" w:cs="Arial"/>
          <w:color w:val="000000"/>
          <w:lang w:eastAsia="bg-BG"/>
        </w:rPr>
        <w:t xml:space="preserve">Стойностите на минималната инхибиторна концентрация </w:t>
      </w:r>
      <w:r w:rsidRPr="001E3C50">
        <w:rPr>
          <w:rFonts w:eastAsia="Times New Roman" w:cs="Arial"/>
          <w:color w:val="000000"/>
          <w:lang w:val="en-US"/>
        </w:rPr>
        <w:t xml:space="preserve">(MIC) </w:t>
      </w:r>
      <w:r w:rsidRPr="001E3C50">
        <w:rPr>
          <w:rFonts w:eastAsia="Times New Roman" w:cs="Arial"/>
          <w:color w:val="000000"/>
          <w:lang w:eastAsia="bg-BG"/>
        </w:rPr>
        <w:t xml:space="preserve">за изолати на </w:t>
      </w:r>
      <w:proofErr w:type="spellStart"/>
      <w:r w:rsidRPr="001E3C50">
        <w:rPr>
          <w:rFonts w:eastAsia="Times New Roman" w:cs="Arial"/>
          <w:color w:val="000000"/>
          <w:lang w:val="en-US"/>
        </w:rPr>
        <w:t>A.niger</w:t>
      </w:r>
      <w:proofErr w:type="spellEnd"/>
      <w:r w:rsidRPr="001E3C50">
        <w:rPr>
          <w:rFonts w:eastAsia="Times New Roman" w:cs="Arial"/>
          <w:color w:val="000000"/>
          <w:lang w:val="en-US"/>
        </w:rPr>
        <w:t xml:space="preserve"> </w:t>
      </w:r>
      <w:r w:rsidRPr="001E3C50">
        <w:rPr>
          <w:rFonts w:eastAsia="Times New Roman" w:cs="Arial"/>
          <w:color w:val="000000"/>
          <w:lang w:eastAsia="bg-BG"/>
        </w:rPr>
        <w:t>и А.</w:t>
      </w:r>
    </w:p>
    <w:p w14:paraId="37F0166D" w14:textId="77777777" w:rsidR="001E3C50" w:rsidRPr="001E3C50" w:rsidRDefault="001E3C50" w:rsidP="001E3C50">
      <w:pPr>
        <w:spacing w:line="240" w:lineRule="auto"/>
        <w:rPr>
          <w:rFonts w:eastAsia="Times New Roman" w:cs="Arial"/>
          <w:sz w:val="24"/>
          <w:szCs w:val="24"/>
          <w:lang w:eastAsia="bg-BG"/>
        </w:rPr>
      </w:pPr>
      <w:proofErr w:type="gramStart"/>
      <w:r w:rsidRPr="001E3C50">
        <w:rPr>
          <w:rFonts w:eastAsia="Times New Roman" w:cs="Arial"/>
          <w:i/>
          <w:iCs/>
          <w:color w:val="000000"/>
          <w:lang w:val="en-US"/>
        </w:rPr>
        <w:t>versicolor</w:t>
      </w:r>
      <w:proofErr w:type="gramEnd"/>
      <w:r w:rsidRPr="001E3C50">
        <w:rPr>
          <w:rFonts w:eastAsia="Times New Roman" w:cs="Arial"/>
          <w:color w:val="000000"/>
          <w:lang w:val="en-US"/>
        </w:rPr>
        <w:t xml:space="preserve"> </w:t>
      </w:r>
      <w:r w:rsidRPr="001E3C50">
        <w:rPr>
          <w:rFonts w:eastAsia="Times New Roman" w:cs="Arial"/>
          <w:color w:val="000000"/>
          <w:lang w:eastAsia="bg-BG"/>
        </w:rPr>
        <w:t xml:space="preserve">като цяло са по-високи от тези за </w:t>
      </w:r>
      <w:r w:rsidRPr="001E3C50">
        <w:rPr>
          <w:rFonts w:eastAsia="Times New Roman" w:cs="Arial"/>
          <w:i/>
          <w:iCs/>
          <w:color w:val="000000"/>
          <w:lang w:val="en-US"/>
        </w:rPr>
        <w:t xml:space="preserve">A. </w:t>
      </w:r>
      <w:proofErr w:type="spellStart"/>
      <w:r w:rsidRPr="001E3C50">
        <w:rPr>
          <w:rFonts w:eastAsia="Times New Roman" w:cs="Arial"/>
          <w:i/>
          <w:iCs/>
          <w:color w:val="000000"/>
          <w:lang w:val="en-US"/>
        </w:rPr>
        <w:t>fumigatus</w:t>
      </w:r>
      <w:proofErr w:type="spellEnd"/>
      <w:r w:rsidRPr="001E3C50">
        <w:rPr>
          <w:rFonts w:eastAsia="Times New Roman" w:cs="Arial"/>
          <w:i/>
          <w:iCs/>
          <w:color w:val="000000"/>
          <w:lang w:val="en-US"/>
        </w:rPr>
        <w:t>.</w:t>
      </w:r>
      <w:r w:rsidRPr="001E3C50">
        <w:rPr>
          <w:rFonts w:eastAsia="Times New Roman" w:cs="Arial"/>
          <w:color w:val="000000"/>
          <w:lang w:val="en-US"/>
        </w:rPr>
        <w:t xml:space="preserve"> </w:t>
      </w:r>
      <w:r w:rsidRPr="001E3C50">
        <w:rPr>
          <w:rFonts w:eastAsia="Times New Roman" w:cs="Arial"/>
          <w:color w:val="000000"/>
          <w:lang w:eastAsia="bg-BG"/>
        </w:rPr>
        <w:t>Не е ясно дали това се проявява като по-слаб клиничен отговор.</w:t>
      </w:r>
    </w:p>
    <w:p w14:paraId="740E76F7" w14:textId="79D8180C" w:rsidR="001E3C50" w:rsidRPr="009E5CA3" w:rsidRDefault="001E3C50" w:rsidP="001E3C50">
      <w:pPr>
        <w:rPr>
          <w:rFonts w:eastAsia="Times New Roman" w:cs="Arial"/>
          <w:color w:val="000000"/>
          <w:lang w:eastAsia="bg-BG"/>
        </w:rPr>
      </w:pPr>
      <w:r w:rsidRPr="009E5CA3">
        <w:rPr>
          <w:rFonts w:eastAsia="Times New Roman" w:cs="Arial"/>
          <w:color w:val="000000"/>
          <w:lang w:val="en-US"/>
        </w:rPr>
        <w:lastRenderedPageBreak/>
        <w:t xml:space="preserve">IE </w:t>
      </w:r>
      <w:r w:rsidRPr="009E5CA3">
        <w:rPr>
          <w:rFonts w:eastAsia="Times New Roman" w:cs="Arial"/>
          <w:color w:val="000000"/>
          <w:lang w:eastAsia="bg-BG"/>
        </w:rPr>
        <w:t xml:space="preserve">= Има недостатъчни доказателства </w:t>
      </w:r>
      <w:r w:rsidRPr="009E5CA3">
        <w:rPr>
          <w:rFonts w:eastAsia="Times New Roman" w:cs="Arial"/>
          <w:color w:val="000000"/>
          <w:lang w:val="en-US"/>
        </w:rPr>
        <w:t xml:space="preserve">(IE), </w:t>
      </w:r>
      <w:r w:rsidRPr="009E5CA3">
        <w:rPr>
          <w:rFonts w:eastAsia="Times New Roman" w:cs="Arial"/>
          <w:color w:val="000000"/>
          <w:lang w:eastAsia="bg-BG"/>
        </w:rPr>
        <w:t>за да се определят гранични стойности за тези видове</w:t>
      </w:r>
    </w:p>
    <w:p w14:paraId="721F6BC2" w14:textId="3A75E4CB" w:rsidR="001E3C50" w:rsidRPr="009E5CA3" w:rsidRDefault="001E3C50" w:rsidP="001E3C50">
      <w:pPr>
        <w:rPr>
          <w:rFonts w:eastAsia="Times New Roman" w:cs="Arial"/>
          <w:color w:val="000000"/>
          <w:lang w:eastAsia="bg-BG"/>
        </w:rPr>
      </w:pPr>
    </w:p>
    <w:p w14:paraId="2D74216E" w14:textId="6F590998" w:rsidR="001E3C50" w:rsidRPr="009E5CA3" w:rsidRDefault="001E3C50" w:rsidP="001E3C50">
      <w:pPr>
        <w:spacing w:line="240" w:lineRule="auto"/>
        <w:rPr>
          <w:rFonts w:eastAsia="Times New Roman" w:cs="Arial"/>
          <w:sz w:val="24"/>
          <w:szCs w:val="24"/>
          <w:lang w:eastAsia="bg-BG"/>
        </w:rPr>
      </w:pPr>
      <w:r w:rsidRPr="009E5CA3">
        <w:rPr>
          <w:rFonts w:eastAsia="Times New Roman" w:cs="Arial"/>
          <w:color w:val="000000"/>
          <w:lang w:eastAsia="bg-BG"/>
        </w:rPr>
        <w:t xml:space="preserve">При използването на методи на </w:t>
      </w:r>
      <w:r w:rsidRPr="009E5CA3">
        <w:rPr>
          <w:rFonts w:eastAsia="Times New Roman" w:cs="Arial"/>
          <w:color w:val="000000"/>
          <w:lang w:val="en-US"/>
        </w:rPr>
        <w:t xml:space="preserve">CLSI </w:t>
      </w:r>
      <w:r w:rsidRPr="009E5CA3">
        <w:rPr>
          <w:rFonts w:eastAsia="Times New Roman" w:cs="Arial"/>
          <w:color w:val="000000"/>
          <w:lang w:eastAsia="bg-BG"/>
        </w:rPr>
        <w:t xml:space="preserve">(Институт за клинични и лабораторни стандарти), граничните стойности за итраконазол са установени само за </w:t>
      </w:r>
      <w:r w:rsidRPr="009E5CA3">
        <w:rPr>
          <w:rFonts w:eastAsia="Times New Roman" w:cs="Arial"/>
          <w:i/>
          <w:iCs/>
          <w:color w:val="000000"/>
          <w:lang w:val="en-US"/>
        </w:rPr>
        <w:t>Candida</w:t>
      </w:r>
      <w:r w:rsidRPr="009E5CA3">
        <w:rPr>
          <w:rFonts w:eastAsia="Times New Roman" w:cs="Arial"/>
          <w:color w:val="000000"/>
          <w:lang w:val="en-US"/>
        </w:rPr>
        <w:t xml:space="preserve"> </w:t>
      </w:r>
      <w:r w:rsidRPr="009E5CA3">
        <w:rPr>
          <w:rFonts w:eastAsia="Times New Roman" w:cs="Arial"/>
          <w:color w:val="000000"/>
          <w:lang w:eastAsia="bg-BG"/>
        </w:rPr>
        <w:t xml:space="preserve">видове от повърхностни гъбични инфекции. </w:t>
      </w:r>
      <w:r w:rsidRPr="009E5CA3">
        <w:rPr>
          <w:rFonts w:eastAsia="Times New Roman" w:cs="Arial"/>
          <w:color w:val="000000"/>
          <w:lang w:val="en-US"/>
        </w:rPr>
        <w:t xml:space="preserve">CLSI </w:t>
      </w:r>
      <w:r w:rsidRPr="009E5CA3">
        <w:rPr>
          <w:rFonts w:eastAsia="Times New Roman" w:cs="Arial"/>
          <w:color w:val="000000"/>
          <w:lang w:eastAsia="bg-BG"/>
        </w:rPr>
        <w:t xml:space="preserve">граничните стойности са: чувствителни &lt; 0,125 </w:t>
      </w:r>
      <w:r w:rsidR="009E5CA3">
        <w:rPr>
          <w:rFonts w:eastAsia="Times New Roman" w:cs="Arial"/>
          <w:color w:val="000000"/>
          <w:lang w:val="en-US"/>
        </w:rPr>
        <w:t>mg/l</w:t>
      </w:r>
      <w:r w:rsidRPr="009E5CA3">
        <w:rPr>
          <w:rFonts w:eastAsia="Times New Roman" w:cs="Arial"/>
          <w:color w:val="000000"/>
          <w:lang w:val="en-US"/>
        </w:rPr>
        <w:t xml:space="preserve"> </w:t>
      </w:r>
      <w:r w:rsidRPr="009E5CA3">
        <w:rPr>
          <w:rFonts w:eastAsia="Times New Roman" w:cs="Arial"/>
          <w:color w:val="000000"/>
          <w:lang w:eastAsia="bg-BG"/>
        </w:rPr>
        <w:t xml:space="preserve">и устойчиви &gt;1 </w:t>
      </w:r>
      <w:r w:rsidR="009E5CA3">
        <w:rPr>
          <w:rFonts w:eastAsia="Times New Roman" w:cs="Arial"/>
          <w:color w:val="000000"/>
          <w:lang w:val="en-US"/>
        </w:rPr>
        <w:t>mg/l</w:t>
      </w:r>
      <w:r w:rsidRPr="009E5CA3">
        <w:rPr>
          <w:rFonts w:eastAsia="Times New Roman" w:cs="Arial"/>
          <w:color w:val="000000"/>
          <w:lang w:val="en-US"/>
        </w:rPr>
        <w:t>.</w:t>
      </w:r>
    </w:p>
    <w:p w14:paraId="1AA4BB10" w14:textId="77777777" w:rsidR="001E3C50" w:rsidRPr="009E5CA3" w:rsidRDefault="001E3C50" w:rsidP="001E3C50">
      <w:pPr>
        <w:spacing w:line="240" w:lineRule="auto"/>
        <w:rPr>
          <w:rFonts w:eastAsia="Times New Roman" w:cs="Arial"/>
          <w:color w:val="000000"/>
          <w:lang w:eastAsia="bg-BG"/>
        </w:rPr>
      </w:pPr>
    </w:p>
    <w:p w14:paraId="5B333EA5" w14:textId="3D37A43E" w:rsidR="001E3C50" w:rsidRPr="009E5CA3" w:rsidRDefault="001E3C50" w:rsidP="001E3C50">
      <w:pPr>
        <w:spacing w:line="240" w:lineRule="auto"/>
        <w:rPr>
          <w:rFonts w:eastAsia="Times New Roman" w:cs="Arial"/>
          <w:sz w:val="24"/>
          <w:szCs w:val="24"/>
          <w:lang w:eastAsia="bg-BG"/>
        </w:rPr>
      </w:pPr>
      <w:r w:rsidRPr="009E5CA3">
        <w:rPr>
          <w:rFonts w:eastAsia="Times New Roman" w:cs="Arial"/>
          <w:color w:val="000000"/>
          <w:lang w:eastAsia="bg-BG"/>
        </w:rPr>
        <w:t>Честотата на придобитата резистентност може да варира географски и във времето за определени видове, както е необходима и местна информация за резистентностга, особено при лечение на тежки инфекции. Когато е необходимо, трябва да се потърси експертен съвет, в случай че местната резистентност е такава, че ползата от лекарството при някои видове инфекции е под въпрос.</w:t>
      </w:r>
    </w:p>
    <w:p w14:paraId="3D8FDAF5" w14:textId="77777777" w:rsidR="001E3C50" w:rsidRPr="009E5CA3" w:rsidRDefault="001E3C50" w:rsidP="001E3C50">
      <w:pPr>
        <w:rPr>
          <w:rFonts w:eastAsia="Times New Roman" w:cs="Arial"/>
          <w:color w:val="000000"/>
          <w:lang w:eastAsia="bg-BG"/>
        </w:rPr>
      </w:pPr>
    </w:p>
    <w:p w14:paraId="57D70833" w14:textId="676D9F30" w:rsidR="001E3C50" w:rsidRPr="009E5CA3" w:rsidRDefault="001E3C50" w:rsidP="001E3C50">
      <w:pPr>
        <w:rPr>
          <w:rFonts w:cs="Arial"/>
        </w:rPr>
      </w:pPr>
      <w:r w:rsidRPr="009E5CA3">
        <w:rPr>
          <w:rFonts w:eastAsia="Times New Roman" w:cs="Arial"/>
          <w:color w:val="000000"/>
          <w:lang w:eastAsia="bg-BG"/>
        </w:rPr>
        <w:t xml:space="preserve">В </w:t>
      </w:r>
      <w:r w:rsidRPr="009E5CA3">
        <w:rPr>
          <w:rFonts w:eastAsia="Times New Roman" w:cs="Arial"/>
          <w:i/>
          <w:iCs/>
          <w:color w:val="000000"/>
          <w:lang w:val="en-US"/>
        </w:rPr>
        <w:t>in-vitro</w:t>
      </w:r>
      <w:r w:rsidRPr="009E5CA3">
        <w:rPr>
          <w:rFonts w:eastAsia="Times New Roman" w:cs="Arial"/>
          <w:color w:val="000000"/>
          <w:lang w:val="en-US"/>
        </w:rPr>
        <w:t xml:space="preserve"> </w:t>
      </w:r>
      <w:r w:rsidRPr="009E5CA3">
        <w:rPr>
          <w:rFonts w:eastAsia="Times New Roman" w:cs="Arial"/>
          <w:color w:val="000000"/>
          <w:lang w:eastAsia="bg-BG"/>
        </w:rPr>
        <w:t>условия чувствителността на гъбичките към итраконазол зависи от размера на инокулума, температурата на инкубация, фазата на растеж на гъбичките и хранителната среда. По тези причини, минималната инхибиторна концентрация на итраконазол може да варира в широки граници. Чувствителността в т</w:t>
      </w:r>
      <w:r w:rsidR="009E5CA3">
        <w:rPr>
          <w:rFonts w:eastAsia="Times New Roman" w:cs="Arial"/>
          <w:color w:val="000000"/>
          <w:lang w:eastAsia="bg-BG"/>
        </w:rPr>
        <w:t>аблицата по-долу се базира на М</w:t>
      </w:r>
      <w:r w:rsidR="009E5CA3">
        <w:rPr>
          <w:rFonts w:eastAsia="Times New Roman" w:cs="Arial"/>
          <w:color w:val="000000"/>
          <w:lang w:val="en-US" w:eastAsia="bg-BG"/>
        </w:rPr>
        <w:t>I</w:t>
      </w:r>
      <w:r w:rsidRPr="009E5CA3">
        <w:rPr>
          <w:rFonts w:eastAsia="Times New Roman" w:cs="Arial"/>
          <w:color w:val="000000"/>
          <w:lang w:eastAsia="bg-BG"/>
        </w:rPr>
        <w:t>С</w:t>
      </w:r>
      <w:r w:rsidRPr="009E5CA3">
        <w:rPr>
          <w:rFonts w:eastAsia="Times New Roman" w:cs="Arial"/>
          <w:color w:val="000000"/>
          <w:vertAlign w:val="subscript"/>
          <w:lang w:eastAsia="bg-BG"/>
        </w:rPr>
        <w:t>90</w:t>
      </w:r>
      <w:r w:rsidRPr="009E5CA3">
        <w:rPr>
          <w:rFonts w:eastAsia="Times New Roman" w:cs="Arial"/>
          <w:color w:val="000000"/>
          <w:lang w:eastAsia="bg-BG"/>
        </w:rPr>
        <w:t xml:space="preserve"> &lt;1 </w:t>
      </w:r>
      <w:r w:rsidRPr="009E5CA3">
        <w:rPr>
          <w:rFonts w:eastAsia="Times New Roman" w:cs="Arial"/>
          <w:color w:val="000000"/>
          <w:lang w:val="en-US"/>
        </w:rPr>
        <w:t xml:space="preserve">mg </w:t>
      </w:r>
      <w:r w:rsidR="009E5CA3">
        <w:rPr>
          <w:rFonts w:eastAsia="Times New Roman" w:cs="Arial"/>
          <w:color w:val="000000"/>
          <w:lang w:eastAsia="bg-BG"/>
        </w:rPr>
        <w:t>итраконазол/l</w:t>
      </w:r>
      <w:r w:rsidRPr="009E5CA3">
        <w:rPr>
          <w:rFonts w:eastAsia="Times New Roman" w:cs="Arial"/>
          <w:color w:val="000000"/>
          <w:lang w:eastAsia="bg-BG"/>
        </w:rPr>
        <w:t xml:space="preserve">. Няма връзка между </w:t>
      </w:r>
      <w:r w:rsidRPr="009E5CA3">
        <w:rPr>
          <w:rFonts w:eastAsia="Times New Roman" w:cs="Arial"/>
          <w:i/>
          <w:iCs/>
          <w:color w:val="000000"/>
          <w:lang w:val="en-US"/>
        </w:rPr>
        <w:t>in-vitro</w:t>
      </w:r>
      <w:r w:rsidRPr="009E5CA3">
        <w:rPr>
          <w:rFonts w:eastAsia="Times New Roman" w:cs="Arial"/>
          <w:color w:val="000000"/>
          <w:lang w:val="en-US"/>
        </w:rPr>
        <w:t xml:space="preserve"> </w:t>
      </w:r>
      <w:r w:rsidRPr="009E5CA3">
        <w:rPr>
          <w:rFonts w:eastAsia="Times New Roman" w:cs="Arial"/>
          <w:color w:val="000000"/>
          <w:lang w:eastAsia="bg-BG"/>
        </w:rPr>
        <w:t>чувствителността и клиничната ефикасност.</w:t>
      </w:r>
    </w:p>
    <w:p w14:paraId="02CA1774" w14:textId="70A43DD3" w:rsidR="001E3C50" w:rsidRDefault="001E3C50" w:rsidP="0091385D"/>
    <w:tbl>
      <w:tblPr>
        <w:tblStyle w:val="TableGrid"/>
        <w:tblW w:w="0" w:type="auto"/>
        <w:tblLook w:val="04A0" w:firstRow="1" w:lastRow="0" w:firstColumn="1" w:lastColumn="0" w:noHBand="0" w:noVBand="1"/>
      </w:tblPr>
      <w:tblGrid>
        <w:gridCol w:w="9350"/>
      </w:tblGrid>
      <w:tr w:rsidR="009E5CA3" w14:paraId="2E0FD1F4" w14:textId="77777777" w:rsidTr="00631ECB">
        <w:tc>
          <w:tcPr>
            <w:tcW w:w="9350" w:type="dxa"/>
          </w:tcPr>
          <w:p w14:paraId="4B6CF56A" w14:textId="77777777" w:rsidR="009E5CA3" w:rsidRDefault="009E5CA3" w:rsidP="00631ECB">
            <w:r>
              <w:rPr>
                <w:b/>
                <w:bCs/>
                <w:lang w:eastAsia="bg-BG"/>
              </w:rPr>
              <w:t>Чувствителни видове</w:t>
            </w:r>
          </w:p>
        </w:tc>
      </w:tr>
      <w:tr w:rsidR="009E5CA3" w14:paraId="1705ACB0" w14:textId="77777777" w:rsidTr="00631ECB">
        <w:tc>
          <w:tcPr>
            <w:tcW w:w="9350" w:type="dxa"/>
          </w:tcPr>
          <w:p w14:paraId="2FF64D71" w14:textId="77777777" w:rsidR="009E5CA3" w:rsidRDefault="009E5CA3" w:rsidP="00631ECB">
            <w:r>
              <w:t>Aspergillus spp.</w:t>
            </w:r>
            <w:r>
              <w:rPr>
                <w:vertAlign w:val="superscript"/>
              </w:rPr>
              <w:t>2</w:t>
            </w:r>
          </w:p>
        </w:tc>
      </w:tr>
      <w:tr w:rsidR="009E5CA3" w14:paraId="5EC40DD5" w14:textId="77777777" w:rsidTr="00631ECB">
        <w:tc>
          <w:tcPr>
            <w:tcW w:w="9350" w:type="dxa"/>
          </w:tcPr>
          <w:p w14:paraId="4FBE9E19" w14:textId="77777777" w:rsidR="009E5CA3" w:rsidRDefault="009E5CA3" w:rsidP="00631ECB">
            <w:r>
              <w:rPr>
                <w:i/>
                <w:iCs/>
              </w:rPr>
              <w:t>Blastomyces dermatitidis</w:t>
            </w:r>
            <w:r>
              <w:rPr>
                <w:i/>
                <w:iCs/>
                <w:vertAlign w:val="superscript"/>
              </w:rPr>
              <w:t>x</w:t>
            </w:r>
          </w:p>
        </w:tc>
      </w:tr>
      <w:tr w:rsidR="009E5CA3" w14:paraId="77BC4069" w14:textId="77777777" w:rsidTr="00631ECB">
        <w:tc>
          <w:tcPr>
            <w:tcW w:w="9350" w:type="dxa"/>
          </w:tcPr>
          <w:p w14:paraId="22537BAC" w14:textId="77777777" w:rsidR="009E5CA3" w:rsidRDefault="009E5CA3" w:rsidP="00631ECB">
            <w:r>
              <w:rPr>
                <w:i/>
                <w:iCs/>
              </w:rPr>
              <w:t>Candida albicans</w:t>
            </w:r>
          </w:p>
        </w:tc>
      </w:tr>
      <w:tr w:rsidR="009E5CA3" w14:paraId="746FCBDF" w14:textId="77777777" w:rsidTr="00631ECB">
        <w:tc>
          <w:tcPr>
            <w:tcW w:w="9350" w:type="dxa"/>
          </w:tcPr>
          <w:p w14:paraId="0BFFEE90" w14:textId="77777777" w:rsidR="009E5CA3" w:rsidRDefault="009E5CA3" w:rsidP="00631ECB">
            <w:r>
              <w:rPr>
                <w:i/>
                <w:iCs/>
              </w:rPr>
              <w:t>Candida parapsilosis</w:t>
            </w:r>
          </w:p>
        </w:tc>
      </w:tr>
      <w:tr w:rsidR="009E5CA3" w14:paraId="481A7612" w14:textId="77777777" w:rsidTr="00631ECB">
        <w:tc>
          <w:tcPr>
            <w:tcW w:w="9350" w:type="dxa"/>
          </w:tcPr>
          <w:p w14:paraId="7FED27BD" w14:textId="77777777" w:rsidR="009E5CA3" w:rsidRDefault="009E5CA3" w:rsidP="00631ECB">
            <w:r>
              <w:t>Cladosporium spp.</w:t>
            </w:r>
          </w:p>
        </w:tc>
      </w:tr>
      <w:tr w:rsidR="009E5CA3" w14:paraId="6DD863A2" w14:textId="77777777" w:rsidTr="00631ECB">
        <w:tc>
          <w:tcPr>
            <w:tcW w:w="9350" w:type="dxa"/>
          </w:tcPr>
          <w:p w14:paraId="3A30667C" w14:textId="77777777" w:rsidR="009E5CA3" w:rsidRDefault="009E5CA3" w:rsidP="00631ECB">
            <w:r>
              <w:rPr>
                <w:i/>
                <w:iCs/>
              </w:rPr>
              <w:t>Coccidioides immitis</w:t>
            </w:r>
            <w:r>
              <w:rPr>
                <w:i/>
                <w:iCs/>
                <w:vertAlign w:val="superscript"/>
              </w:rPr>
              <w:t>x</w:t>
            </w:r>
          </w:p>
        </w:tc>
      </w:tr>
      <w:tr w:rsidR="009E5CA3" w14:paraId="5AADCD06" w14:textId="77777777" w:rsidTr="00631ECB">
        <w:tc>
          <w:tcPr>
            <w:tcW w:w="9350" w:type="dxa"/>
          </w:tcPr>
          <w:p w14:paraId="21732DB9" w14:textId="77777777" w:rsidR="009E5CA3" w:rsidRDefault="009E5CA3" w:rsidP="00631ECB">
            <w:r>
              <w:rPr>
                <w:i/>
                <w:iCs/>
              </w:rPr>
              <w:t>Cryp</w:t>
            </w:r>
            <w:r>
              <w:rPr>
                <w:i/>
                <w:iCs/>
                <w:u w:val="single"/>
              </w:rPr>
              <w:t>tococ</w:t>
            </w:r>
            <w:r>
              <w:rPr>
                <w:i/>
                <w:iCs/>
              </w:rPr>
              <w:t>cus neoformans</w:t>
            </w:r>
          </w:p>
        </w:tc>
      </w:tr>
      <w:tr w:rsidR="009E5CA3" w14:paraId="72BC7F8F" w14:textId="77777777" w:rsidTr="00631ECB">
        <w:tc>
          <w:tcPr>
            <w:tcW w:w="9350" w:type="dxa"/>
          </w:tcPr>
          <w:p w14:paraId="589F4F92" w14:textId="77777777" w:rsidR="009E5CA3" w:rsidRDefault="009E5CA3" w:rsidP="00631ECB">
            <w:r>
              <w:rPr>
                <w:i/>
                <w:iCs/>
              </w:rPr>
              <w:t>Epidermophyton floccosum</w:t>
            </w:r>
          </w:p>
        </w:tc>
      </w:tr>
      <w:tr w:rsidR="009E5CA3" w14:paraId="11AE8DE2" w14:textId="77777777" w:rsidTr="00631ECB">
        <w:tc>
          <w:tcPr>
            <w:tcW w:w="9350" w:type="dxa"/>
          </w:tcPr>
          <w:p w14:paraId="447683E4" w14:textId="77777777" w:rsidR="009E5CA3" w:rsidRDefault="009E5CA3" w:rsidP="00631ECB">
            <w:r>
              <w:t>Fonsecaea spp.</w:t>
            </w:r>
            <w:r>
              <w:rPr>
                <w:vertAlign w:val="superscript"/>
              </w:rPr>
              <w:t>1</w:t>
            </w:r>
          </w:p>
        </w:tc>
      </w:tr>
      <w:tr w:rsidR="009E5CA3" w14:paraId="59D2E941" w14:textId="77777777" w:rsidTr="00631ECB">
        <w:tc>
          <w:tcPr>
            <w:tcW w:w="9350" w:type="dxa"/>
          </w:tcPr>
          <w:p w14:paraId="7085D896" w14:textId="77777777" w:rsidR="009E5CA3" w:rsidRDefault="009E5CA3" w:rsidP="00631ECB">
            <w:r>
              <w:t>Geotrichum spp.</w:t>
            </w:r>
          </w:p>
        </w:tc>
      </w:tr>
      <w:tr w:rsidR="009E5CA3" w14:paraId="5FCB4647" w14:textId="77777777" w:rsidTr="00631ECB">
        <w:tc>
          <w:tcPr>
            <w:tcW w:w="9350" w:type="dxa"/>
          </w:tcPr>
          <w:p w14:paraId="0B4B38B6" w14:textId="77777777" w:rsidR="009E5CA3" w:rsidRDefault="009E5CA3" w:rsidP="00631ECB">
            <w:r>
              <w:t>Histoplasma spp.</w:t>
            </w:r>
          </w:p>
        </w:tc>
      </w:tr>
      <w:tr w:rsidR="009E5CA3" w14:paraId="74945FB9" w14:textId="77777777" w:rsidTr="00631ECB">
        <w:tc>
          <w:tcPr>
            <w:tcW w:w="9350" w:type="dxa"/>
          </w:tcPr>
          <w:p w14:paraId="1453F96C" w14:textId="77777777" w:rsidR="009E5CA3" w:rsidRDefault="009E5CA3" w:rsidP="00631ECB">
            <w:r>
              <w:t xml:space="preserve">Malassezia </w:t>
            </w:r>
            <w:r>
              <w:rPr>
                <w:lang w:eastAsia="bg-BG"/>
              </w:rPr>
              <w:t xml:space="preserve">(преди </w:t>
            </w:r>
            <w:r>
              <w:t>Pityrosporum) spp.</w:t>
            </w:r>
          </w:p>
        </w:tc>
      </w:tr>
      <w:tr w:rsidR="009E5CA3" w14:paraId="79470B25" w14:textId="77777777" w:rsidTr="00631ECB">
        <w:tc>
          <w:tcPr>
            <w:tcW w:w="9350" w:type="dxa"/>
          </w:tcPr>
          <w:p w14:paraId="7B2944F3" w14:textId="77777777" w:rsidR="009E5CA3" w:rsidRDefault="009E5CA3" w:rsidP="00631ECB">
            <w:r>
              <w:t>Microsporum spp.</w:t>
            </w:r>
          </w:p>
        </w:tc>
      </w:tr>
      <w:tr w:rsidR="009E5CA3" w14:paraId="11FD729B" w14:textId="77777777" w:rsidTr="00631ECB">
        <w:tc>
          <w:tcPr>
            <w:tcW w:w="9350" w:type="dxa"/>
          </w:tcPr>
          <w:p w14:paraId="358387CC" w14:textId="77777777" w:rsidR="009E5CA3" w:rsidRDefault="009E5CA3" w:rsidP="00631ECB">
            <w:r>
              <w:rPr>
                <w:i/>
                <w:iCs/>
              </w:rPr>
              <w:t>Paracoccidioides brasiliensis</w:t>
            </w:r>
            <w:r>
              <w:rPr>
                <w:i/>
                <w:iCs/>
                <w:vertAlign w:val="superscript"/>
              </w:rPr>
              <w:t>x</w:t>
            </w:r>
          </w:p>
        </w:tc>
      </w:tr>
      <w:tr w:rsidR="009E5CA3" w14:paraId="19015B03" w14:textId="77777777" w:rsidTr="00631ECB">
        <w:tc>
          <w:tcPr>
            <w:tcW w:w="9350" w:type="dxa"/>
          </w:tcPr>
          <w:p w14:paraId="43226173" w14:textId="77777777" w:rsidR="009E5CA3" w:rsidRDefault="009E5CA3" w:rsidP="00631ECB">
            <w:r>
              <w:rPr>
                <w:i/>
                <w:iCs/>
              </w:rPr>
              <w:t>Penicillium marneffei</w:t>
            </w:r>
            <w:r>
              <w:rPr>
                <w:i/>
                <w:iCs/>
                <w:vertAlign w:val="superscript"/>
              </w:rPr>
              <w:t>x</w:t>
            </w:r>
          </w:p>
        </w:tc>
      </w:tr>
      <w:tr w:rsidR="009E5CA3" w14:paraId="6A8D64AE" w14:textId="77777777" w:rsidTr="00631ECB">
        <w:tc>
          <w:tcPr>
            <w:tcW w:w="9350" w:type="dxa"/>
          </w:tcPr>
          <w:p w14:paraId="640D3A95" w14:textId="77777777" w:rsidR="009E5CA3" w:rsidRDefault="009E5CA3" w:rsidP="00631ECB">
            <w:r>
              <w:rPr>
                <w:i/>
                <w:iCs/>
              </w:rPr>
              <w:t>Pseudallescheria boydii</w:t>
            </w:r>
          </w:p>
        </w:tc>
      </w:tr>
      <w:tr w:rsidR="009E5CA3" w14:paraId="6BC48D04" w14:textId="77777777" w:rsidTr="00631ECB">
        <w:tc>
          <w:tcPr>
            <w:tcW w:w="9350" w:type="dxa"/>
          </w:tcPr>
          <w:p w14:paraId="4D5C5F65" w14:textId="77777777" w:rsidR="009E5CA3" w:rsidRDefault="009E5CA3" w:rsidP="00631ECB">
            <w:r>
              <w:rPr>
                <w:i/>
                <w:iCs/>
              </w:rPr>
              <w:t>Sporothrix schenckii</w:t>
            </w:r>
          </w:p>
        </w:tc>
      </w:tr>
      <w:tr w:rsidR="009E5CA3" w14:paraId="5D3E8B1F" w14:textId="77777777" w:rsidTr="00631ECB">
        <w:tc>
          <w:tcPr>
            <w:tcW w:w="9350" w:type="dxa"/>
          </w:tcPr>
          <w:p w14:paraId="6E62BECC" w14:textId="77777777" w:rsidR="009E5CA3" w:rsidRDefault="009E5CA3" w:rsidP="00631ECB">
            <w:r>
              <w:t>Trichophyton spp.</w:t>
            </w:r>
          </w:p>
        </w:tc>
      </w:tr>
      <w:tr w:rsidR="009E5CA3" w14:paraId="25B746CD" w14:textId="77777777" w:rsidTr="00631ECB">
        <w:tc>
          <w:tcPr>
            <w:tcW w:w="9350" w:type="dxa"/>
          </w:tcPr>
          <w:p w14:paraId="436C1D92" w14:textId="77777777" w:rsidR="009E5CA3" w:rsidRDefault="009E5CA3" w:rsidP="00631ECB">
            <w:r>
              <w:t>Trichosporon spp.</w:t>
            </w:r>
          </w:p>
        </w:tc>
      </w:tr>
      <w:tr w:rsidR="009E5CA3" w14:paraId="166F1746" w14:textId="77777777" w:rsidTr="00631ECB">
        <w:tc>
          <w:tcPr>
            <w:tcW w:w="9350" w:type="dxa"/>
          </w:tcPr>
          <w:p w14:paraId="0323FB5F" w14:textId="77777777" w:rsidR="009E5CA3" w:rsidRDefault="009E5CA3" w:rsidP="00631ECB">
            <w:r>
              <w:rPr>
                <w:b/>
                <w:bCs/>
                <w:lang w:eastAsia="bg-BG"/>
              </w:rPr>
              <w:t xml:space="preserve">Видове, за които </w:t>
            </w:r>
            <w:r w:rsidRPr="001E3C50">
              <w:rPr>
                <w:b/>
                <w:bCs/>
                <w:lang w:eastAsia="bg-BG"/>
              </w:rPr>
              <w:t>придобитата резистентност може да е проблем</w:t>
            </w:r>
            <w:r w:rsidRPr="001E3C50">
              <w:rPr>
                <w:b/>
                <w:bCs/>
                <w:lang w:eastAsia="bg-BG"/>
              </w:rPr>
              <w:tab/>
            </w:r>
          </w:p>
        </w:tc>
      </w:tr>
      <w:tr w:rsidR="009E5CA3" w14:paraId="2E6326C9" w14:textId="77777777" w:rsidTr="00631ECB">
        <w:tc>
          <w:tcPr>
            <w:tcW w:w="9350" w:type="dxa"/>
          </w:tcPr>
          <w:p w14:paraId="3EDC8EE8" w14:textId="77777777" w:rsidR="009E5CA3" w:rsidRDefault="009E5CA3" w:rsidP="00631ECB">
            <w:r>
              <w:rPr>
                <w:i/>
                <w:iCs/>
              </w:rPr>
              <w:t>Candida glabrata</w:t>
            </w:r>
            <w:r>
              <w:rPr>
                <w:i/>
                <w:iCs/>
                <w:vertAlign w:val="superscript"/>
              </w:rPr>
              <w:t>5</w:t>
            </w:r>
          </w:p>
        </w:tc>
      </w:tr>
      <w:tr w:rsidR="009E5CA3" w14:paraId="505EBBAD" w14:textId="77777777" w:rsidTr="00631ECB">
        <w:tc>
          <w:tcPr>
            <w:tcW w:w="9350" w:type="dxa"/>
          </w:tcPr>
          <w:p w14:paraId="2CD3B1F4" w14:textId="77777777" w:rsidR="009E5CA3" w:rsidRDefault="009E5CA3" w:rsidP="00631ECB">
            <w:r>
              <w:rPr>
                <w:i/>
                <w:iCs/>
              </w:rPr>
              <w:t>Candida krusei</w:t>
            </w:r>
          </w:p>
        </w:tc>
      </w:tr>
      <w:tr w:rsidR="009E5CA3" w14:paraId="48D49553" w14:textId="77777777" w:rsidTr="00631ECB">
        <w:tc>
          <w:tcPr>
            <w:tcW w:w="9350" w:type="dxa"/>
          </w:tcPr>
          <w:p w14:paraId="5D52B41D" w14:textId="77777777" w:rsidR="009E5CA3" w:rsidRDefault="009E5CA3" w:rsidP="00631ECB">
            <w:r>
              <w:rPr>
                <w:i/>
                <w:iCs/>
              </w:rPr>
              <w:t>Candida tropicalis</w:t>
            </w:r>
            <w:r>
              <w:rPr>
                <w:i/>
                <w:iCs/>
                <w:vertAlign w:val="superscript"/>
              </w:rPr>
              <w:t>3 *</w:t>
            </w:r>
          </w:p>
        </w:tc>
      </w:tr>
      <w:tr w:rsidR="009E5CA3" w14:paraId="0189B3C9" w14:textId="77777777" w:rsidTr="00631ECB">
        <w:tc>
          <w:tcPr>
            <w:tcW w:w="9350" w:type="dxa"/>
          </w:tcPr>
          <w:p w14:paraId="1E71745C" w14:textId="77777777" w:rsidR="009E5CA3" w:rsidRDefault="009E5CA3" w:rsidP="00631ECB">
            <w:r>
              <w:rPr>
                <w:b/>
                <w:bCs/>
                <w:lang w:eastAsia="bg-BG"/>
              </w:rPr>
              <w:t>Наследствено резистентни организми</w:t>
            </w:r>
          </w:p>
        </w:tc>
      </w:tr>
      <w:tr w:rsidR="009E5CA3" w14:paraId="3D97EBE9" w14:textId="77777777" w:rsidTr="00631ECB">
        <w:tc>
          <w:tcPr>
            <w:tcW w:w="9350" w:type="dxa"/>
          </w:tcPr>
          <w:p w14:paraId="1AC2C8A4" w14:textId="77777777" w:rsidR="009E5CA3" w:rsidRDefault="009E5CA3" w:rsidP="00631ECB">
            <w:r>
              <w:t>Absidia spp.</w:t>
            </w:r>
          </w:p>
        </w:tc>
      </w:tr>
      <w:tr w:rsidR="009E5CA3" w14:paraId="693A7191" w14:textId="77777777" w:rsidTr="00631ECB">
        <w:tc>
          <w:tcPr>
            <w:tcW w:w="9350" w:type="dxa"/>
          </w:tcPr>
          <w:p w14:paraId="08420EB2" w14:textId="77777777" w:rsidR="009E5CA3" w:rsidRDefault="009E5CA3" w:rsidP="00631ECB">
            <w:r>
              <w:t>Fusarium spp.</w:t>
            </w:r>
            <w:r>
              <w:tab/>
            </w:r>
            <w:r>
              <w:tab/>
            </w:r>
            <w:r>
              <w:tab/>
            </w:r>
          </w:p>
        </w:tc>
      </w:tr>
      <w:tr w:rsidR="009E5CA3" w14:paraId="3008A7CF" w14:textId="77777777" w:rsidTr="00631ECB">
        <w:tc>
          <w:tcPr>
            <w:tcW w:w="9350" w:type="dxa"/>
          </w:tcPr>
          <w:p w14:paraId="0223BCA5" w14:textId="77777777" w:rsidR="009E5CA3" w:rsidRDefault="009E5CA3" w:rsidP="00631ECB">
            <w:r>
              <w:lastRenderedPageBreak/>
              <w:t>Mucor spp.</w:t>
            </w:r>
          </w:p>
        </w:tc>
      </w:tr>
      <w:tr w:rsidR="009E5CA3" w14:paraId="30C40395" w14:textId="77777777" w:rsidTr="00631ECB">
        <w:tc>
          <w:tcPr>
            <w:tcW w:w="9350" w:type="dxa"/>
          </w:tcPr>
          <w:p w14:paraId="571A8DF0" w14:textId="77777777" w:rsidR="009E5CA3" w:rsidRDefault="009E5CA3" w:rsidP="00631ECB">
            <w:r>
              <w:t>Rhizomucor spp.</w:t>
            </w:r>
          </w:p>
        </w:tc>
      </w:tr>
      <w:tr w:rsidR="009E5CA3" w14:paraId="6DB904C5" w14:textId="77777777" w:rsidTr="00631ECB">
        <w:tc>
          <w:tcPr>
            <w:tcW w:w="9350" w:type="dxa"/>
          </w:tcPr>
          <w:p w14:paraId="6ACA4B56" w14:textId="77777777" w:rsidR="009E5CA3" w:rsidRDefault="009E5CA3" w:rsidP="00631ECB">
            <w:r>
              <w:t>Rhizopus spp.</w:t>
            </w:r>
          </w:p>
        </w:tc>
      </w:tr>
      <w:tr w:rsidR="009E5CA3" w14:paraId="02C3D5A1" w14:textId="77777777" w:rsidTr="00631ECB">
        <w:tc>
          <w:tcPr>
            <w:tcW w:w="9350" w:type="dxa"/>
          </w:tcPr>
          <w:p w14:paraId="6DF8F45F" w14:textId="77777777" w:rsidR="009E5CA3" w:rsidRPr="001E3C50" w:rsidRDefault="009E5CA3" w:rsidP="00631ECB">
            <w:r w:rsidRPr="001E3C50">
              <w:rPr>
                <w:i/>
                <w:iCs/>
              </w:rPr>
              <w:t>Scedosporium proliferans</w:t>
            </w:r>
          </w:p>
        </w:tc>
      </w:tr>
      <w:tr w:rsidR="009E5CA3" w14:paraId="195DBF9D" w14:textId="77777777" w:rsidTr="00631ECB">
        <w:tc>
          <w:tcPr>
            <w:tcW w:w="9350" w:type="dxa"/>
          </w:tcPr>
          <w:p w14:paraId="2DE7315E" w14:textId="77777777" w:rsidR="009E5CA3" w:rsidRPr="001E3C50" w:rsidRDefault="009E5CA3" w:rsidP="00631ECB">
            <w:r w:rsidRPr="001E3C50">
              <w:t>Scopulariopsis spp.</w:t>
            </w:r>
          </w:p>
        </w:tc>
      </w:tr>
    </w:tbl>
    <w:p w14:paraId="3C8CBA0F" w14:textId="77777777" w:rsidR="009E5CA3" w:rsidRPr="007A2185" w:rsidRDefault="009E5CA3" w:rsidP="009E5CA3"/>
    <w:p w14:paraId="7DCAAAFC"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vertAlign w:val="superscript"/>
          <w:lang w:eastAsia="bg-BG"/>
        </w:rPr>
        <w:footnoteRef/>
      </w:r>
      <w:r w:rsidRPr="009E5CA3">
        <w:rPr>
          <w:rFonts w:eastAsia="Times New Roman" w:cs="Arial"/>
          <w:color w:val="000000"/>
          <w:lang w:eastAsia="bg-BG"/>
        </w:rPr>
        <w:t xml:space="preserve"> Тези организми могат да бъдат открити при пациенти, които са се завърнали от пътуване извън Европа</w:t>
      </w:r>
    </w:p>
    <w:p w14:paraId="630E8812"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vertAlign w:val="superscript"/>
          <w:lang w:eastAsia="bg-BG"/>
        </w:rPr>
        <w:footnoteRef/>
      </w:r>
      <w:r w:rsidRPr="009E5CA3">
        <w:rPr>
          <w:rFonts w:eastAsia="Times New Roman" w:cs="Arial"/>
          <w:color w:val="000000"/>
          <w:lang w:eastAsia="bg-BG"/>
        </w:rPr>
        <w:t xml:space="preserve"> Съобщени са резистентни към итраконазол щамове на </w:t>
      </w:r>
      <w:r w:rsidRPr="009E5CA3">
        <w:rPr>
          <w:rFonts w:eastAsia="Times New Roman" w:cs="Arial"/>
          <w:i/>
          <w:iCs/>
          <w:color w:val="000000"/>
          <w:lang w:val="en-US"/>
        </w:rPr>
        <w:t xml:space="preserve">Aspergillus </w:t>
      </w:r>
      <w:proofErr w:type="spellStart"/>
      <w:r w:rsidRPr="009E5CA3">
        <w:rPr>
          <w:rFonts w:eastAsia="Times New Roman" w:cs="Arial"/>
          <w:i/>
          <w:iCs/>
          <w:color w:val="000000"/>
          <w:lang w:val="en-US"/>
        </w:rPr>
        <w:t>fumigatus</w:t>
      </w:r>
      <w:proofErr w:type="spellEnd"/>
      <w:r w:rsidRPr="009E5CA3">
        <w:rPr>
          <w:rFonts w:eastAsia="Times New Roman" w:cs="Arial"/>
          <w:i/>
          <w:iCs/>
          <w:color w:val="000000"/>
          <w:lang w:eastAsia="bg-BG"/>
        </w:rPr>
        <w:t xml:space="preserve"> </w:t>
      </w:r>
    </w:p>
    <w:p w14:paraId="3F870490"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vertAlign w:val="superscript"/>
          <w:lang w:eastAsia="bg-BG"/>
        </w:rPr>
        <w:footnoteRef/>
      </w:r>
      <w:r w:rsidRPr="009E5CA3">
        <w:rPr>
          <w:rFonts w:eastAsia="Times New Roman" w:cs="Arial"/>
          <w:color w:val="000000"/>
          <w:lang w:eastAsia="bg-BG"/>
        </w:rPr>
        <w:t xml:space="preserve"> Естествена средна чувствителност</w:t>
      </w:r>
    </w:p>
    <w:p w14:paraId="39C6E2FA" w14:textId="77777777" w:rsidR="009E5CA3" w:rsidRPr="009E5CA3" w:rsidRDefault="009E5CA3" w:rsidP="009E5CA3">
      <w:pPr>
        <w:spacing w:line="240" w:lineRule="auto"/>
        <w:rPr>
          <w:rFonts w:eastAsia="Times New Roman" w:cs="Arial"/>
          <w:sz w:val="24"/>
          <w:szCs w:val="24"/>
          <w:lang w:eastAsia="bg-BG"/>
        </w:rPr>
      </w:pPr>
    </w:p>
    <w:p w14:paraId="1DFE626B"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i/>
          <w:iCs/>
          <w:color w:val="000000"/>
          <w:lang w:eastAsia="bg-BG"/>
        </w:rPr>
        <w:t>Педиатрична популация</w:t>
      </w:r>
    </w:p>
    <w:p w14:paraId="4312754B" w14:textId="77777777" w:rsidR="009E5CA3" w:rsidRPr="009E5CA3" w:rsidRDefault="009E5CA3" w:rsidP="009E5CA3">
      <w:pPr>
        <w:rPr>
          <w:rFonts w:cs="Arial"/>
          <w:lang w:val="en-US"/>
        </w:rPr>
      </w:pPr>
      <w:r w:rsidRPr="009E5CA3">
        <w:rPr>
          <w:rFonts w:eastAsia="Times New Roman" w:cs="Arial"/>
          <w:color w:val="000000"/>
          <w:lang w:eastAsia="bg-BG"/>
        </w:rPr>
        <w:t>Поносимостта и безопасността на итраконазол перорален разтвор са проучени при профилактика</w:t>
      </w:r>
      <w:r>
        <w:rPr>
          <w:rFonts w:eastAsia="Times New Roman" w:cs="Arial"/>
          <w:color w:val="000000"/>
          <w:lang w:val="en-US" w:eastAsia="bg-BG"/>
        </w:rPr>
        <w:t xml:space="preserve"> </w:t>
      </w:r>
      <w:r>
        <w:t xml:space="preserve">на гъбични инфекции при 103 педиатрични пациенти с неутропения на възраст от 0 до 14 години (средна възраст 5 години) в едно отворено, неконтролирано клинично проучване, фаза III. При повечето пациенти (78%) е провеждана алогенна костно-мозъчна трансплантация поради хематологично заболяване. Всички пациенти са получавали итраконазол в доза 5 </w:t>
      </w:r>
      <w:r>
        <w:rPr>
          <w:lang w:val="en-US"/>
        </w:rPr>
        <w:t>mg/kg</w:t>
      </w:r>
      <w:r>
        <w:t>/ден, като перорална суспензия, прилаган наведнъж или в няколко приема дневно. Поради дизайна на проучването не могат да бъдат направени официални заключения относно ефикасността. Най- честите нежелани събития, с установена сигурна или вероятна връзка с итраконазол, са били повръщане, нарушена функция на черния дроб и коремна болка.</w:t>
      </w:r>
    </w:p>
    <w:p w14:paraId="5DC88507" w14:textId="362A9098" w:rsidR="009E5CA3" w:rsidRPr="0091385D" w:rsidRDefault="009E5CA3" w:rsidP="0091385D"/>
    <w:p w14:paraId="5031193D" w14:textId="408B9A83" w:rsidR="0091385D" w:rsidRDefault="002C50EE" w:rsidP="007A2185">
      <w:pPr>
        <w:pStyle w:val="Heading2"/>
      </w:pPr>
      <w:r>
        <w:t>5.2. Фармакокинетични свойства</w:t>
      </w:r>
    </w:p>
    <w:p w14:paraId="7AFFB2DD" w14:textId="25C26ABE" w:rsidR="001E3C50" w:rsidRPr="009E5CA3" w:rsidRDefault="001E3C50" w:rsidP="0091385D">
      <w:pPr>
        <w:rPr>
          <w:rFonts w:cs="Arial"/>
        </w:rPr>
      </w:pPr>
    </w:p>
    <w:p w14:paraId="5BA4C2F8"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i/>
          <w:iCs/>
          <w:color w:val="000000"/>
          <w:lang w:eastAsia="bg-BG"/>
        </w:rPr>
        <w:t>Общи фармакокннетични характеристики</w:t>
      </w:r>
    </w:p>
    <w:p w14:paraId="5AD88BA5"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lang w:eastAsia="bg-BG"/>
        </w:rPr>
        <w:t>Фармакокннетични проучвания на итраконазол след еднократно или многократно приложение са проведени при здрави доброволци, в определени групи популации и при пациенти. Като цяло, итраконазол се резорбира добре. Максимални плазмени нива се достигат в рамките на 2-5 часа след перорален прием. Итраконазол претърпява екстензивен чернодробен метаболизъм, водещ до образуване на многобройни метаболити. Основният метаболит е хидрокси-итраконазол, чиито плазмени концентрации достигат два пъти по-големи стойности отколкото концентрациите на непромененото активно вещество. Крайният полуживот на итраконазол е 17 часа след еднократно приложение и се увеличава до 34-42 часа при многократно приложение.</w:t>
      </w:r>
    </w:p>
    <w:p w14:paraId="407213D4"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lang w:eastAsia="bg-BG"/>
        </w:rPr>
        <w:t xml:space="preserve">Фармакокинетиката на итраконазол се характеризира с нелинейност. Следователно, активното вещество се натрупва в плазмата след многократно приложение. Равновесни концентрации се постигат в рамките на 15 дни, като стойностите на </w:t>
      </w:r>
      <w:proofErr w:type="spellStart"/>
      <w:r w:rsidRPr="009E5CA3">
        <w:rPr>
          <w:rFonts w:eastAsia="Times New Roman" w:cs="Arial"/>
          <w:color w:val="000000"/>
          <w:lang w:val="en-US"/>
        </w:rPr>
        <w:t>Cmax</w:t>
      </w:r>
      <w:proofErr w:type="spellEnd"/>
      <w:r w:rsidRPr="009E5CA3">
        <w:rPr>
          <w:rFonts w:eastAsia="Times New Roman" w:cs="Arial"/>
          <w:color w:val="000000"/>
          <w:lang w:val="en-US"/>
        </w:rPr>
        <w:t xml:space="preserve"> </w:t>
      </w:r>
      <w:r w:rsidRPr="009E5CA3">
        <w:rPr>
          <w:rFonts w:eastAsia="Times New Roman" w:cs="Arial"/>
          <w:color w:val="000000"/>
          <w:lang w:eastAsia="bg-BG"/>
        </w:rPr>
        <w:t>достигат 0,5 микрограма</w:t>
      </w:r>
      <w:r w:rsidRPr="009E5CA3">
        <w:rPr>
          <w:rFonts w:eastAsia="Times New Roman" w:cs="Arial"/>
          <w:color w:val="000000"/>
          <w:lang w:val="en-US"/>
        </w:rPr>
        <w:t xml:space="preserve">/ml </w:t>
      </w:r>
      <w:r w:rsidRPr="009E5CA3">
        <w:rPr>
          <w:rFonts w:eastAsia="Times New Roman" w:cs="Arial"/>
          <w:color w:val="000000"/>
          <w:lang w:eastAsia="bg-BG"/>
        </w:rPr>
        <w:t xml:space="preserve">след 100 </w:t>
      </w:r>
      <w:r w:rsidRPr="009E5CA3">
        <w:rPr>
          <w:rFonts w:eastAsia="Times New Roman" w:cs="Arial"/>
          <w:color w:val="000000"/>
          <w:lang w:val="en-US"/>
        </w:rPr>
        <w:t xml:space="preserve">mg </w:t>
      </w:r>
      <w:r w:rsidRPr="009E5CA3">
        <w:rPr>
          <w:rFonts w:eastAsia="Times New Roman" w:cs="Arial"/>
          <w:color w:val="000000"/>
          <w:lang w:eastAsia="bg-BG"/>
        </w:rPr>
        <w:t>итраконазол веднъж дневно, 1,1 микрограма</w:t>
      </w:r>
      <w:r w:rsidRPr="009E5CA3">
        <w:rPr>
          <w:rFonts w:eastAsia="Times New Roman" w:cs="Arial"/>
          <w:color w:val="000000"/>
          <w:lang w:val="en-US"/>
        </w:rPr>
        <w:t xml:space="preserve">/ml </w:t>
      </w:r>
      <w:r w:rsidRPr="009E5CA3">
        <w:rPr>
          <w:rFonts w:eastAsia="Times New Roman" w:cs="Arial"/>
          <w:color w:val="000000"/>
          <w:lang w:eastAsia="bg-BG"/>
        </w:rPr>
        <w:t xml:space="preserve">след 200 </w:t>
      </w:r>
      <w:r w:rsidRPr="009E5CA3">
        <w:rPr>
          <w:rFonts w:eastAsia="Times New Roman" w:cs="Arial"/>
          <w:color w:val="000000"/>
          <w:lang w:val="en-US"/>
        </w:rPr>
        <w:t xml:space="preserve">mg </w:t>
      </w:r>
      <w:r w:rsidRPr="009E5CA3">
        <w:rPr>
          <w:rFonts w:eastAsia="Times New Roman" w:cs="Arial"/>
          <w:color w:val="000000"/>
          <w:lang w:eastAsia="bg-BG"/>
        </w:rPr>
        <w:t>итраконазол веднъж дневно и 2,0 микрограма</w:t>
      </w:r>
      <w:r w:rsidRPr="009E5CA3">
        <w:rPr>
          <w:rFonts w:eastAsia="Times New Roman" w:cs="Arial"/>
          <w:color w:val="000000"/>
          <w:lang w:val="en-US"/>
        </w:rPr>
        <w:t xml:space="preserve">/ml </w:t>
      </w:r>
      <w:r w:rsidRPr="009E5CA3">
        <w:rPr>
          <w:rFonts w:eastAsia="Times New Roman" w:cs="Arial"/>
          <w:color w:val="000000"/>
          <w:lang w:eastAsia="bg-BG"/>
        </w:rPr>
        <w:t xml:space="preserve">след 200 </w:t>
      </w:r>
      <w:r w:rsidRPr="009E5CA3">
        <w:rPr>
          <w:rFonts w:eastAsia="Times New Roman" w:cs="Arial"/>
          <w:color w:val="000000"/>
          <w:lang w:val="en-US"/>
        </w:rPr>
        <w:t xml:space="preserve">mg </w:t>
      </w:r>
      <w:r w:rsidRPr="009E5CA3">
        <w:rPr>
          <w:rFonts w:eastAsia="Times New Roman" w:cs="Arial"/>
          <w:color w:val="000000"/>
          <w:lang w:eastAsia="bg-BG"/>
        </w:rPr>
        <w:t>два пъти дневно. Ако лечението се прекрати, плазмените концентрации на итраконазол спадат почти под границата на забележимост в рамките на 7 дни. Поради механизма на насищане по време метаболизирането в черния дроб, клирънсът на итраконазол намалява при високи дози. Итраконазол се екскретира в урината (около 35%) и с фекалиите (около 54%) под формата на неактивни метаболити.</w:t>
      </w:r>
    </w:p>
    <w:p w14:paraId="736F9284" w14:textId="77777777" w:rsidR="009E5CA3" w:rsidRPr="009E5CA3" w:rsidRDefault="009E5CA3" w:rsidP="009E5CA3">
      <w:pPr>
        <w:spacing w:line="240" w:lineRule="auto"/>
        <w:rPr>
          <w:rFonts w:eastAsia="Times New Roman" w:cs="Arial"/>
          <w:i/>
          <w:iCs/>
          <w:color w:val="000000"/>
          <w:lang w:eastAsia="bg-BG"/>
        </w:rPr>
      </w:pPr>
    </w:p>
    <w:p w14:paraId="1A54BE61" w14:textId="77777777" w:rsidR="009E5CA3" w:rsidRPr="009E5CA3" w:rsidRDefault="009E5CA3" w:rsidP="009E5CA3">
      <w:pPr>
        <w:pStyle w:val="Heading3"/>
        <w:rPr>
          <w:rFonts w:eastAsia="Times New Roman"/>
          <w:u w:val="single"/>
          <w:lang w:eastAsia="bg-BG"/>
        </w:rPr>
      </w:pPr>
      <w:r w:rsidRPr="009E5CA3">
        <w:rPr>
          <w:rFonts w:eastAsia="Times New Roman"/>
          <w:u w:val="single"/>
          <w:lang w:eastAsia="bg-BG"/>
        </w:rPr>
        <w:lastRenderedPageBreak/>
        <w:t>Абсорбция</w:t>
      </w:r>
    </w:p>
    <w:p w14:paraId="40183C6C"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lang w:eastAsia="bg-BG"/>
        </w:rPr>
        <w:t>След перорален прием итраконазол бързо се усвоява от организма. Максимални плазмени нива на непромененото активно вещество се постигат в рамките на 2-5 часа след приема.</w:t>
      </w:r>
    </w:p>
    <w:p w14:paraId="7CD2C303"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lang w:eastAsia="bg-BG"/>
        </w:rPr>
        <w:t>Абсолютната бионаличност на итраконазол при перорален прием е 55%. Максимална бионаличност при перорален прием се постига, ако итраконазол се приема непосредствено след хранене.</w:t>
      </w:r>
    </w:p>
    <w:p w14:paraId="3C904ABE" w14:textId="77777777" w:rsidR="009E5CA3" w:rsidRPr="009E5CA3" w:rsidRDefault="009E5CA3" w:rsidP="009E5CA3">
      <w:pPr>
        <w:spacing w:line="240" w:lineRule="auto"/>
        <w:rPr>
          <w:rFonts w:eastAsia="Times New Roman" w:cs="Arial"/>
          <w:i/>
          <w:iCs/>
          <w:color w:val="000000"/>
          <w:lang w:eastAsia="bg-BG"/>
        </w:rPr>
      </w:pPr>
    </w:p>
    <w:p w14:paraId="06903039" w14:textId="77777777" w:rsidR="009E5CA3" w:rsidRPr="009E5CA3" w:rsidRDefault="009E5CA3" w:rsidP="009E5CA3">
      <w:pPr>
        <w:pStyle w:val="Heading3"/>
        <w:rPr>
          <w:rFonts w:eastAsia="Times New Roman"/>
          <w:u w:val="single"/>
          <w:lang w:eastAsia="bg-BG"/>
        </w:rPr>
      </w:pPr>
      <w:r w:rsidRPr="009E5CA3">
        <w:rPr>
          <w:rFonts w:eastAsia="Times New Roman"/>
          <w:u w:val="single"/>
          <w:lang w:eastAsia="bg-BG"/>
        </w:rPr>
        <w:t>Разпределение</w:t>
      </w:r>
    </w:p>
    <w:p w14:paraId="64969BF9"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lang w:eastAsia="bg-BG"/>
        </w:rPr>
        <w:t xml:space="preserve">Свързването на итраконазол с плазмените протеини е 99,8%, най-вече с плазмения албумин (99,6% от хидрокси-метаболита). Итраконазол също така има ясен афинитет към липидите. Само 0,2% от активното вещество се намира в плазмата в свободна форма. Итраконазол има видим обем на разпределение &gt; 700 </w:t>
      </w:r>
      <w:r w:rsidRPr="009E5CA3">
        <w:rPr>
          <w:rFonts w:eastAsia="Times New Roman" w:cs="Arial"/>
          <w:color w:val="000000"/>
          <w:lang w:val="en-US"/>
        </w:rPr>
        <w:t>l</w:t>
      </w:r>
      <w:r w:rsidRPr="009E5CA3">
        <w:rPr>
          <w:rFonts w:eastAsia="Times New Roman" w:cs="Arial"/>
          <w:color w:val="000000"/>
          <w:lang w:eastAsia="bg-BG"/>
        </w:rPr>
        <w:t xml:space="preserve"> в организма, което показва екстензивно разпределение в тъканите на тялото: концентрациите, определени в белия дроб, бъбреците, черния дроб, костите, стомаха, далака и мускулите са два до 3 пъти по-високи от съответните плазмени концентрации. Мозъчно-плазменият коефициент е около 1.</w:t>
      </w:r>
    </w:p>
    <w:p w14:paraId="00EA922D"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lang w:eastAsia="bg-BG"/>
        </w:rPr>
        <w:t>Нивата на итраконазол в кожата са до 4 пъти по-високи отколкото в плазмата. Елиминирането от кожата зависи от епидермална регенерация.</w:t>
      </w:r>
    </w:p>
    <w:p w14:paraId="41F67F58" w14:textId="77777777" w:rsidR="009E5CA3" w:rsidRPr="009E5CA3" w:rsidRDefault="009E5CA3" w:rsidP="009E5CA3">
      <w:pPr>
        <w:spacing w:line="240" w:lineRule="auto"/>
        <w:rPr>
          <w:rFonts w:eastAsia="Times New Roman" w:cs="Arial"/>
          <w:color w:val="000000"/>
          <w:lang w:eastAsia="bg-BG"/>
        </w:rPr>
      </w:pPr>
    </w:p>
    <w:p w14:paraId="28803940"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lang w:eastAsia="bg-BG"/>
        </w:rPr>
        <w:t xml:space="preserve">Терапевтичните нива във вагиналната тъкан остават в продължение на още 3 дни след спирането на терапия с 200 </w:t>
      </w:r>
      <w:r w:rsidRPr="009E5CA3">
        <w:rPr>
          <w:rFonts w:eastAsia="Times New Roman" w:cs="Arial"/>
          <w:color w:val="000000"/>
          <w:lang w:val="en-US"/>
        </w:rPr>
        <w:t xml:space="preserve">mg </w:t>
      </w:r>
      <w:r w:rsidRPr="009E5CA3">
        <w:rPr>
          <w:rFonts w:eastAsia="Times New Roman" w:cs="Arial"/>
          <w:color w:val="000000"/>
          <w:lang w:eastAsia="bg-BG"/>
        </w:rPr>
        <w:t>итраконазол два пъти дневно. Затова 1-дневна терапия е достатъчна.</w:t>
      </w:r>
    </w:p>
    <w:p w14:paraId="5A2108DE" w14:textId="77777777" w:rsidR="009E5CA3" w:rsidRPr="009E5CA3" w:rsidRDefault="009E5CA3" w:rsidP="009E5CA3">
      <w:pPr>
        <w:spacing w:line="240" w:lineRule="auto"/>
        <w:rPr>
          <w:rFonts w:eastAsia="Times New Roman" w:cs="Arial"/>
          <w:i/>
          <w:iCs/>
          <w:color w:val="000000"/>
          <w:lang w:eastAsia="bg-BG"/>
        </w:rPr>
      </w:pPr>
    </w:p>
    <w:p w14:paraId="405E0477" w14:textId="77777777" w:rsidR="009E5CA3" w:rsidRPr="009E5CA3" w:rsidRDefault="009E5CA3" w:rsidP="009E5CA3">
      <w:pPr>
        <w:pStyle w:val="Heading3"/>
        <w:rPr>
          <w:rFonts w:eastAsia="Times New Roman"/>
          <w:u w:val="single"/>
          <w:lang w:eastAsia="bg-BG"/>
        </w:rPr>
      </w:pPr>
      <w:r w:rsidRPr="009E5CA3">
        <w:rPr>
          <w:rFonts w:eastAsia="Times New Roman"/>
          <w:u w:val="single"/>
          <w:lang w:eastAsia="bg-BG"/>
        </w:rPr>
        <w:t>Биотрансформация</w:t>
      </w:r>
    </w:p>
    <w:p w14:paraId="71DE1E92"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lang w:eastAsia="bg-BG"/>
        </w:rPr>
        <w:t>Итраконазол се метаболизира екстензивно в черния дроб, като при това се получават различни</w:t>
      </w:r>
      <w:r w:rsidRPr="009E5CA3">
        <w:rPr>
          <w:rFonts w:eastAsia="Times New Roman" w:cs="Arial"/>
          <w:color w:val="000000"/>
          <w:vertAlign w:val="superscript"/>
          <w:lang w:eastAsia="bg-BG"/>
        </w:rPr>
        <w:t xml:space="preserve"> </w:t>
      </w:r>
      <w:r w:rsidRPr="009E5CA3">
        <w:rPr>
          <w:rFonts w:eastAsia="Times New Roman" w:cs="Arial"/>
          <w:color w:val="000000"/>
          <w:lang w:eastAsia="bg-BG"/>
        </w:rPr>
        <w:t>метаболити. Основният метаболит е хидрокси-итраконазол, който има антимикотична активност</w:t>
      </w:r>
      <w:r w:rsidRPr="009E5CA3">
        <w:rPr>
          <w:rFonts w:eastAsia="Times New Roman" w:cs="Arial"/>
          <w:color w:val="000000"/>
          <w:vertAlign w:val="superscript"/>
          <w:lang w:eastAsia="bg-BG"/>
        </w:rPr>
        <w:t xml:space="preserve"> </w:t>
      </w:r>
      <w:r w:rsidRPr="009E5CA3">
        <w:rPr>
          <w:rFonts w:eastAsia="Times New Roman" w:cs="Arial"/>
          <w:i/>
          <w:iCs/>
          <w:color w:val="000000"/>
          <w:lang w:val="en-US"/>
        </w:rPr>
        <w:t>in vitro</w:t>
      </w:r>
      <w:r w:rsidRPr="009E5CA3">
        <w:rPr>
          <w:rFonts w:eastAsia="Times New Roman" w:cs="Arial"/>
          <w:color w:val="000000"/>
          <w:lang w:val="en-US"/>
        </w:rPr>
        <w:t xml:space="preserve"> </w:t>
      </w:r>
      <w:r w:rsidRPr="009E5CA3">
        <w:rPr>
          <w:rFonts w:eastAsia="Times New Roman" w:cs="Arial"/>
          <w:color w:val="000000"/>
          <w:lang w:eastAsia="bg-BG"/>
        </w:rPr>
        <w:t>сравнима с тази на итраконазол. Плазмените концентрации на хидрокси-метаболита са</w:t>
      </w:r>
    </w:p>
    <w:p w14:paraId="7147C2F8"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lang w:eastAsia="bg-BG"/>
        </w:rPr>
        <w:t xml:space="preserve">около два пъти по-високи от плазмените концентрации на итраконазол. </w:t>
      </w:r>
    </w:p>
    <w:p w14:paraId="690F8EB7" w14:textId="77777777" w:rsidR="009E5CA3" w:rsidRPr="009E5CA3" w:rsidRDefault="009E5CA3" w:rsidP="009E5CA3">
      <w:pPr>
        <w:rPr>
          <w:rFonts w:cs="Arial"/>
        </w:rPr>
      </w:pPr>
      <w:r w:rsidRPr="009E5CA3">
        <w:rPr>
          <w:rFonts w:eastAsia="Times New Roman" w:cs="Arial"/>
          <w:color w:val="000000"/>
          <w:lang w:eastAsia="bg-BG"/>
        </w:rPr>
        <w:t xml:space="preserve">Както се вижда от </w:t>
      </w:r>
      <w:r w:rsidRPr="009E5CA3">
        <w:rPr>
          <w:rFonts w:eastAsia="Times New Roman" w:cs="Arial"/>
          <w:i/>
          <w:iCs/>
          <w:color w:val="000000"/>
          <w:lang w:val="en-US"/>
        </w:rPr>
        <w:t>in vitro</w:t>
      </w:r>
      <w:r w:rsidRPr="009E5CA3">
        <w:rPr>
          <w:rFonts w:eastAsia="Times New Roman" w:cs="Arial"/>
          <w:color w:val="000000"/>
          <w:lang w:val="en-US"/>
        </w:rPr>
        <w:t xml:space="preserve"> </w:t>
      </w:r>
      <w:r w:rsidRPr="009E5CA3">
        <w:rPr>
          <w:rFonts w:eastAsia="Times New Roman" w:cs="Arial"/>
          <w:color w:val="000000"/>
          <w:lang w:eastAsia="bg-BG"/>
        </w:rPr>
        <w:t xml:space="preserve">проучвания, </w:t>
      </w:r>
      <w:r w:rsidRPr="009E5CA3">
        <w:rPr>
          <w:rFonts w:eastAsia="Times New Roman" w:cs="Arial"/>
          <w:color w:val="000000"/>
          <w:lang w:val="en-US"/>
        </w:rPr>
        <w:t xml:space="preserve">CYP </w:t>
      </w:r>
      <w:r w:rsidRPr="009E5CA3">
        <w:rPr>
          <w:rFonts w:eastAsia="Times New Roman" w:cs="Arial"/>
          <w:color w:val="000000"/>
          <w:lang w:eastAsia="bg-BG"/>
        </w:rPr>
        <w:t>ЗА4 е важен ензим, участващ в метаболизма на итраконазол.</w:t>
      </w:r>
    </w:p>
    <w:p w14:paraId="14E2EE9B" w14:textId="77777777" w:rsidR="009E5CA3" w:rsidRPr="009E5CA3" w:rsidRDefault="009E5CA3" w:rsidP="009E5CA3">
      <w:pPr>
        <w:rPr>
          <w:rFonts w:cs="Arial"/>
        </w:rPr>
      </w:pPr>
    </w:p>
    <w:p w14:paraId="60E867E7" w14:textId="77777777" w:rsidR="009E5CA3" w:rsidRPr="009E5CA3" w:rsidRDefault="009E5CA3" w:rsidP="009E5CA3">
      <w:pPr>
        <w:pStyle w:val="Heading3"/>
        <w:rPr>
          <w:rFonts w:eastAsia="Times New Roman"/>
          <w:u w:val="single"/>
          <w:lang w:eastAsia="bg-BG"/>
        </w:rPr>
      </w:pPr>
      <w:r w:rsidRPr="009E5CA3">
        <w:rPr>
          <w:rFonts w:eastAsia="Times New Roman"/>
          <w:u w:val="single"/>
          <w:lang w:eastAsia="bg-BG"/>
        </w:rPr>
        <w:t>Елиминиране</w:t>
      </w:r>
    </w:p>
    <w:p w14:paraId="4EE70094"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lang w:eastAsia="bg-BG"/>
        </w:rPr>
        <w:t>Итраконазол се екскретира чрез урината под формата на неактивни метаболити, като около 35% се отделят с урината и около 54% с фекалиите в рамките на една седмица. Бъбречната екскреция на непромененото вещество е по-малко от 0,03% от дозата, докато екскрецията с фекалиите варира между 3 и 18% от дозата.</w:t>
      </w:r>
    </w:p>
    <w:p w14:paraId="0F0E0AAE" w14:textId="77777777" w:rsidR="009E5CA3" w:rsidRPr="009E5CA3" w:rsidRDefault="009E5CA3" w:rsidP="009E5CA3">
      <w:pPr>
        <w:spacing w:line="240" w:lineRule="auto"/>
        <w:rPr>
          <w:rFonts w:eastAsia="Times New Roman" w:cs="Arial"/>
          <w:color w:val="000000"/>
          <w:lang w:eastAsia="bg-BG"/>
        </w:rPr>
      </w:pPr>
    </w:p>
    <w:p w14:paraId="28BC71AE"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lang w:eastAsia="bg-BG"/>
        </w:rPr>
        <w:t>Тъй като количеството на итраконазол, преминаващо от кератозните тъкани в организма изглежда незначително, може да се предположи, че итраконазол се отделя от тези тъкани чрез кожна регенерация. Итраконазол не може да бъде открит в плазмата след повече от 7 дни след прекратяване на лечението, но терапевтичните нива в кожата се запазват в продължение на 2-4 седмици след 4-седмично лечение. В ноктите концентрации на итраконазол може да бъдат открити още в рамките на 1 седмица след започване на лечението. След прекратяване на 3- месечно лечение, терапевтични концентрации продължават да се откриват поне още 6 месеца.</w:t>
      </w:r>
    </w:p>
    <w:p w14:paraId="6061EA17" w14:textId="77777777" w:rsidR="009E5CA3" w:rsidRPr="009E5CA3" w:rsidRDefault="009E5CA3" w:rsidP="009E5CA3">
      <w:pPr>
        <w:spacing w:line="240" w:lineRule="auto"/>
        <w:rPr>
          <w:rFonts w:eastAsia="Times New Roman" w:cs="Arial"/>
          <w:color w:val="000000"/>
          <w:u w:val="single"/>
          <w:lang w:eastAsia="bg-BG"/>
        </w:rPr>
      </w:pPr>
    </w:p>
    <w:p w14:paraId="275E51F1"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u w:val="single"/>
          <w:lang w:eastAsia="bg-BG"/>
        </w:rPr>
        <w:t>Специални популации</w:t>
      </w:r>
    </w:p>
    <w:p w14:paraId="687A5F5E"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i/>
          <w:iCs/>
          <w:color w:val="000000"/>
          <w:lang w:eastAsia="bg-BG"/>
        </w:rPr>
        <w:lastRenderedPageBreak/>
        <w:t>Чернодробна недостатъчност</w:t>
      </w:r>
    </w:p>
    <w:p w14:paraId="39A98AAA"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lang w:eastAsia="bg-BG"/>
        </w:rPr>
        <w:t xml:space="preserve">Фармакокинетично проучване с прилагане на 100 </w:t>
      </w:r>
      <w:r w:rsidRPr="009E5CA3">
        <w:rPr>
          <w:rFonts w:eastAsia="Times New Roman" w:cs="Arial"/>
          <w:color w:val="000000"/>
          <w:lang w:val="en-US"/>
        </w:rPr>
        <w:t xml:space="preserve">mg </w:t>
      </w:r>
      <w:r w:rsidRPr="009E5CA3">
        <w:rPr>
          <w:rFonts w:eastAsia="Times New Roman" w:cs="Arial"/>
          <w:color w:val="000000"/>
          <w:lang w:eastAsia="bg-BG"/>
        </w:rPr>
        <w:t xml:space="preserve">итраконазол еднократна доза (една капсула от 100 </w:t>
      </w:r>
      <w:r w:rsidRPr="009E5CA3">
        <w:rPr>
          <w:rFonts w:eastAsia="Times New Roman" w:cs="Arial"/>
          <w:color w:val="000000"/>
          <w:lang w:val="en-US"/>
        </w:rPr>
        <w:t xml:space="preserve">mg) </w:t>
      </w:r>
      <w:r w:rsidRPr="009E5CA3">
        <w:rPr>
          <w:rFonts w:eastAsia="Times New Roman" w:cs="Arial"/>
          <w:color w:val="000000"/>
          <w:lang w:eastAsia="bg-BG"/>
        </w:rPr>
        <w:t xml:space="preserve">е проведено при 6 здрави лица и 12 пациенти с цироза. Не са наблюдавани статистически значими разлики в </w:t>
      </w:r>
      <w:r w:rsidRPr="009E5CA3">
        <w:rPr>
          <w:rFonts w:eastAsia="Times New Roman" w:cs="Arial"/>
          <w:color w:val="000000"/>
          <w:lang w:val="en-US"/>
        </w:rPr>
        <w:t>AUC</w:t>
      </w:r>
      <w:r w:rsidRPr="009E5CA3">
        <w:rPr>
          <w:rFonts w:eastAsia="Times New Roman" w:cs="Arial"/>
          <w:color w:val="000000"/>
          <w:vertAlign w:val="subscript"/>
          <w:lang w:eastAsia="bg-BG"/>
        </w:rPr>
        <w:t>∞</w:t>
      </w:r>
      <w:r w:rsidRPr="009E5CA3">
        <w:rPr>
          <w:rFonts w:eastAsia="Times New Roman" w:cs="Arial"/>
          <w:color w:val="000000"/>
          <w:lang w:val="en-US"/>
        </w:rPr>
        <w:t xml:space="preserve"> </w:t>
      </w:r>
      <w:r w:rsidRPr="009E5CA3">
        <w:rPr>
          <w:rFonts w:eastAsia="Times New Roman" w:cs="Arial"/>
          <w:color w:val="000000"/>
          <w:lang w:eastAsia="bg-BG"/>
        </w:rPr>
        <w:t>между тези две групи. Статистически значимо намаление на средната С</w:t>
      </w:r>
      <w:r w:rsidRPr="009E5CA3">
        <w:rPr>
          <w:rFonts w:eastAsia="Times New Roman" w:cs="Arial"/>
          <w:color w:val="000000"/>
          <w:lang w:val="en-US"/>
        </w:rPr>
        <w:t>max</w:t>
      </w:r>
      <w:r w:rsidRPr="009E5CA3">
        <w:rPr>
          <w:rFonts w:eastAsia="Times New Roman" w:cs="Arial"/>
          <w:color w:val="000000"/>
          <w:lang w:eastAsia="bg-BG"/>
        </w:rPr>
        <w:t xml:space="preserve"> (47%) и двукратно повишаване на елиминационния полуживот (37 ± 17 спрямо 16 ± 5 часа) на итраконазол са наблюдавани при лицата с цироза, в сравнение със здравите индивиди.</w:t>
      </w:r>
    </w:p>
    <w:p w14:paraId="38397CB7" w14:textId="77777777" w:rsidR="009E5CA3" w:rsidRPr="009E5CA3" w:rsidRDefault="009E5CA3" w:rsidP="009E5CA3">
      <w:pPr>
        <w:spacing w:line="240" w:lineRule="auto"/>
        <w:rPr>
          <w:rFonts w:eastAsia="Times New Roman" w:cs="Arial"/>
          <w:color w:val="000000"/>
          <w:lang w:eastAsia="bg-BG"/>
        </w:rPr>
      </w:pPr>
    </w:p>
    <w:p w14:paraId="107253F9"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lang w:eastAsia="bg-BG"/>
        </w:rPr>
        <w:t>Няма налични данни за продължителна употреба на итраконазол при пациенти с цироза (вж. точки 4.2 и 4.4).</w:t>
      </w:r>
    </w:p>
    <w:p w14:paraId="0D0C229F" w14:textId="77777777" w:rsidR="009E5CA3" w:rsidRPr="009E5CA3" w:rsidRDefault="009E5CA3" w:rsidP="009E5CA3">
      <w:pPr>
        <w:spacing w:line="240" w:lineRule="auto"/>
        <w:rPr>
          <w:rFonts w:eastAsia="Times New Roman" w:cs="Arial"/>
          <w:i/>
          <w:iCs/>
          <w:color w:val="000000"/>
          <w:lang w:eastAsia="bg-BG"/>
        </w:rPr>
      </w:pPr>
    </w:p>
    <w:p w14:paraId="2598D2DA"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i/>
          <w:iCs/>
          <w:color w:val="000000"/>
          <w:lang w:eastAsia="bg-BG"/>
        </w:rPr>
        <w:t>Бъбречна недостатъчност</w:t>
      </w:r>
    </w:p>
    <w:p w14:paraId="72DDCBA9"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lang w:eastAsia="bg-BG"/>
        </w:rPr>
        <w:t>Има ограничени данни за употребата на перорален итраконазол при пациенти с бъбречно увреждане. Необходимо е повишено внимание, когато лекарственият продукт се прилага при тази група пациенти.</w:t>
      </w:r>
    </w:p>
    <w:p w14:paraId="41DB03C3" w14:textId="77777777" w:rsidR="009E5CA3" w:rsidRPr="009E5CA3" w:rsidRDefault="009E5CA3" w:rsidP="009E5CA3">
      <w:pPr>
        <w:spacing w:line="240" w:lineRule="auto"/>
        <w:rPr>
          <w:rFonts w:eastAsia="Times New Roman" w:cs="Arial"/>
          <w:i/>
          <w:iCs/>
          <w:color w:val="000000"/>
          <w:lang w:eastAsia="bg-BG"/>
        </w:rPr>
      </w:pPr>
    </w:p>
    <w:p w14:paraId="0A2C22F0"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i/>
          <w:iCs/>
          <w:color w:val="000000"/>
          <w:lang w:eastAsia="bg-BG"/>
        </w:rPr>
        <w:t>Педиатрична популация</w:t>
      </w:r>
    </w:p>
    <w:p w14:paraId="5A451585" w14:textId="77777777" w:rsidR="009E5CA3" w:rsidRPr="009E5CA3" w:rsidRDefault="009E5CA3" w:rsidP="009E5CA3">
      <w:pPr>
        <w:rPr>
          <w:rFonts w:cs="Arial"/>
        </w:rPr>
      </w:pPr>
      <w:r w:rsidRPr="009E5CA3">
        <w:rPr>
          <w:rFonts w:eastAsia="Times New Roman" w:cs="Arial"/>
          <w:color w:val="000000"/>
          <w:lang w:eastAsia="bg-BG"/>
        </w:rPr>
        <w:t xml:space="preserve">Проведени са две фармакокннетични проучвания при деца с неутропения на възраст от 6 месеца до 14 години, при които итраконазол, като перорална суспензия, е прилаган в доза 5 </w:t>
      </w:r>
      <w:r w:rsidRPr="009E5CA3">
        <w:rPr>
          <w:rFonts w:eastAsia="Times New Roman" w:cs="Arial"/>
          <w:color w:val="000000"/>
          <w:lang w:val="en-US"/>
        </w:rPr>
        <w:t xml:space="preserve">mg/kg </w:t>
      </w:r>
      <w:r w:rsidRPr="009E5CA3">
        <w:rPr>
          <w:rFonts w:eastAsia="Times New Roman" w:cs="Arial"/>
          <w:color w:val="000000"/>
          <w:lang w:eastAsia="bg-BG"/>
        </w:rPr>
        <w:t>веднъж или два пъти дневно. Експозицията на итраконазол е малко по-висока при по-големите деца (от 6 до 14 години), отколкото при по-малките. При всички деца ефективната плазмена концентрация на итраконазол е била достигната в рамките на 3 до 5 дни след започване на лечението и е била поддържана през цялото време на терапията.</w:t>
      </w:r>
    </w:p>
    <w:p w14:paraId="2A7B6A2B" w14:textId="27578255" w:rsidR="009E5CA3" w:rsidRPr="0091385D" w:rsidRDefault="009E5CA3" w:rsidP="0091385D"/>
    <w:p w14:paraId="648E39DA" w14:textId="44D16CBD" w:rsidR="00CF77F7" w:rsidRDefault="002C50EE" w:rsidP="004A448E">
      <w:pPr>
        <w:pStyle w:val="Heading2"/>
      </w:pPr>
      <w:r>
        <w:t>5.3. Предклинични данни за безопасност</w:t>
      </w:r>
    </w:p>
    <w:p w14:paraId="28B8B001" w14:textId="2E2C049B" w:rsidR="009E5CA3" w:rsidRDefault="009E5CA3" w:rsidP="0091385D"/>
    <w:p w14:paraId="357FD8A9" w14:textId="1465F8B5" w:rsidR="009E5CA3" w:rsidRDefault="009E5CA3" w:rsidP="0091385D">
      <w:r>
        <w:t>Неклинични данни за итраконазол не показват генна токсичност, първична канцерогенност или увреждане на фертилитета. При високи дози, ефекти се наблюдават в надбъбречната кора, черния дроб и мононуклеарната фагоцитна система, но изглежда имат слабо значение за предлаганото клинично приложение. Установено е, че итраконазол предизвиква дозозависимо увеличение на токсичност при майката, ембриотоксичност и тератогенност при плъхове и мишки във високи дози. При млади кучета е наблюдавано по-ниско минерално съдържание на костите, обикновено след продължително приложение на итраконазол, а при плъхове е наблюдавана намалена активност на костната пластина, изтъняване на компактната зона в големите кости и повишена чупливост на костите.</w:t>
      </w:r>
    </w:p>
    <w:p w14:paraId="42DAFE09" w14:textId="77777777" w:rsidR="009E5CA3" w:rsidRPr="0091385D" w:rsidRDefault="009E5CA3"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49B445D1"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lang w:val="en-US"/>
        </w:rPr>
        <w:t xml:space="preserve">Sandoz </w:t>
      </w:r>
      <w:proofErr w:type="spellStart"/>
      <w:r w:rsidRPr="009E5CA3">
        <w:rPr>
          <w:rFonts w:eastAsia="Times New Roman" w:cs="Arial"/>
          <w:color w:val="000000"/>
          <w:lang w:val="en-US"/>
        </w:rPr>
        <w:t>d.d</w:t>
      </w:r>
      <w:proofErr w:type="spellEnd"/>
      <w:r w:rsidRPr="009E5CA3">
        <w:rPr>
          <w:rFonts w:eastAsia="Times New Roman" w:cs="Arial"/>
          <w:color w:val="000000"/>
          <w:lang w:val="en-US"/>
        </w:rPr>
        <w:t>.</w:t>
      </w:r>
    </w:p>
    <w:p w14:paraId="4F02909F" w14:textId="23E73640" w:rsidR="007A2185" w:rsidRPr="009E5CA3" w:rsidRDefault="009E5CA3" w:rsidP="009E5CA3">
      <w:pPr>
        <w:rPr>
          <w:rFonts w:cs="Arial"/>
        </w:rPr>
      </w:pPr>
      <w:r w:rsidRPr="009E5CA3">
        <w:rPr>
          <w:rFonts w:eastAsia="Times New Roman" w:cs="Arial"/>
          <w:color w:val="000000"/>
          <w:lang w:eastAsia="bg-BG"/>
        </w:rPr>
        <w:t>Verovškova</w:t>
      </w:r>
      <w:r w:rsidRPr="009E5CA3">
        <w:rPr>
          <w:rFonts w:eastAsia="Times New Roman" w:cs="Arial"/>
          <w:color w:val="000000"/>
          <w:lang w:val="en-US"/>
        </w:rPr>
        <w:t xml:space="preserve"> </w:t>
      </w:r>
      <w:r w:rsidRPr="009E5CA3">
        <w:rPr>
          <w:rFonts w:eastAsia="Times New Roman" w:cs="Arial"/>
          <w:color w:val="000000"/>
          <w:lang w:eastAsia="bg-BG"/>
        </w:rPr>
        <w:t xml:space="preserve">57, 1000 </w:t>
      </w:r>
      <w:r w:rsidRPr="009E5CA3">
        <w:rPr>
          <w:rFonts w:eastAsia="Times New Roman" w:cs="Arial"/>
          <w:color w:val="000000"/>
          <w:lang w:val="en-US"/>
        </w:rPr>
        <w:t xml:space="preserve">Ljubljana, </w:t>
      </w:r>
      <w:r w:rsidRPr="009E5CA3">
        <w:rPr>
          <w:rFonts w:eastAsia="Times New Roman" w:cs="Arial"/>
          <w:color w:val="000000"/>
          <w:lang w:eastAsia="bg-BG"/>
        </w:rPr>
        <w:t>Словения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6D2CDC0C" w:rsidR="007A2185" w:rsidRPr="009E5CA3" w:rsidRDefault="009E5CA3" w:rsidP="0091385D">
      <w:pPr>
        <w:rPr>
          <w:rFonts w:cs="Arial"/>
        </w:rPr>
      </w:pPr>
      <w:r w:rsidRPr="009E5CA3">
        <w:rPr>
          <w:rFonts w:cs="Arial"/>
        </w:rPr>
        <w:t>20110047</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4883FA5A" w14:textId="77777777" w:rsidR="009E5CA3" w:rsidRPr="009E5CA3" w:rsidRDefault="009E5CA3" w:rsidP="009E5CA3">
      <w:pPr>
        <w:spacing w:line="240" w:lineRule="auto"/>
        <w:rPr>
          <w:rFonts w:eastAsia="Times New Roman" w:cs="Arial"/>
          <w:sz w:val="24"/>
          <w:szCs w:val="24"/>
          <w:lang w:eastAsia="bg-BG"/>
        </w:rPr>
      </w:pPr>
      <w:r w:rsidRPr="009E5CA3">
        <w:rPr>
          <w:rFonts w:eastAsia="Times New Roman" w:cs="Arial"/>
          <w:color w:val="000000"/>
          <w:lang w:eastAsia="bg-BG"/>
        </w:rPr>
        <w:t>Дата на първо разрешаване: 19.01.2011</w:t>
      </w:r>
    </w:p>
    <w:p w14:paraId="6C57D8B6" w14:textId="0A283BCB" w:rsidR="007A2185" w:rsidRDefault="009E5CA3" w:rsidP="009E5CA3">
      <w:r w:rsidRPr="009E5CA3">
        <w:rPr>
          <w:rFonts w:eastAsia="Times New Roman" w:cs="Arial"/>
          <w:color w:val="000000"/>
          <w:lang w:eastAsia="bg-BG"/>
        </w:rPr>
        <w:t>Дата на последно подновяване: 17.07.2013</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1FBC1654" w:rsidR="007A2185" w:rsidRPr="009E5CA3" w:rsidRDefault="009E5CA3" w:rsidP="0091385D">
      <w:pPr>
        <w:rPr>
          <w:rFonts w:cs="Arial"/>
        </w:rPr>
      </w:pPr>
      <w:r w:rsidRPr="009E5CA3">
        <w:rPr>
          <w:rFonts w:cs="Arial"/>
        </w:rPr>
        <w:t>06/2014</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74A3C"/>
    <w:multiLevelType w:val="hybridMultilevel"/>
    <w:tmpl w:val="28CA16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D0C3EC0"/>
    <w:multiLevelType w:val="hybridMultilevel"/>
    <w:tmpl w:val="3E0834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66E4D9D"/>
    <w:multiLevelType w:val="hybridMultilevel"/>
    <w:tmpl w:val="7D709CC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06EC2"/>
    <w:multiLevelType w:val="hybridMultilevel"/>
    <w:tmpl w:val="899A5B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63044"/>
    <w:multiLevelType w:val="hybridMultilevel"/>
    <w:tmpl w:val="CDF602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60E40"/>
    <w:multiLevelType w:val="hybridMultilevel"/>
    <w:tmpl w:val="B802D6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B7F7E"/>
    <w:multiLevelType w:val="hybridMultilevel"/>
    <w:tmpl w:val="C8E2FB1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E725E8B"/>
    <w:multiLevelType w:val="hybridMultilevel"/>
    <w:tmpl w:val="9D9E3A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3"/>
  </w:num>
  <w:num w:numId="2">
    <w:abstractNumId w:val="0"/>
  </w:num>
  <w:num w:numId="3">
    <w:abstractNumId w:val="14"/>
  </w:num>
  <w:num w:numId="4">
    <w:abstractNumId w:val="3"/>
  </w:num>
  <w:num w:numId="5">
    <w:abstractNumId w:val="1"/>
  </w:num>
  <w:num w:numId="6">
    <w:abstractNumId w:val="19"/>
  </w:num>
  <w:num w:numId="7">
    <w:abstractNumId w:val="12"/>
  </w:num>
  <w:num w:numId="8">
    <w:abstractNumId w:val="18"/>
  </w:num>
  <w:num w:numId="9">
    <w:abstractNumId w:val="2"/>
  </w:num>
  <w:num w:numId="10">
    <w:abstractNumId w:val="4"/>
  </w:num>
  <w:num w:numId="11">
    <w:abstractNumId w:val="36"/>
  </w:num>
  <w:num w:numId="12">
    <w:abstractNumId w:val="17"/>
  </w:num>
  <w:num w:numId="13">
    <w:abstractNumId w:val="22"/>
  </w:num>
  <w:num w:numId="14">
    <w:abstractNumId w:val="13"/>
  </w:num>
  <w:num w:numId="15">
    <w:abstractNumId w:val="35"/>
  </w:num>
  <w:num w:numId="16">
    <w:abstractNumId w:val="11"/>
  </w:num>
  <w:num w:numId="17">
    <w:abstractNumId w:val="28"/>
  </w:num>
  <w:num w:numId="18">
    <w:abstractNumId w:val="9"/>
  </w:num>
  <w:num w:numId="19">
    <w:abstractNumId w:val="31"/>
  </w:num>
  <w:num w:numId="20">
    <w:abstractNumId w:val="27"/>
  </w:num>
  <w:num w:numId="21">
    <w:abstractNumId w:val="20"/>
  </w:num>
  <w:num w:numId="22">
    <w:abstractNumId w:val="29"/>
  </w:num>
  <w:num w:numId="23">
    <w:abstractNumId w:val="21"/>
  </w:num>
  <w:num w:numId="24">
    <w:abstractNumId w:val="10"/>
  </w:num>
  <w:num w:numId="25">
    <w:abstractNumId w:val="26"/>
  </w:num>
  <w:num w:numId="26">
    <w:abstractNumId w:val="24"/>
  </w:num>
  <w:num w:numId="27">
    <w:abstractNumId w:val="39"/>
  </w:num>
  <w:num w:numId="28">
    <w:abstractNumId w:val="8"/>
  </w:num>
  <w:num w:numId="29">
    <w:abstractNumId w:val="23"/>
  </w:num>
  <w:num w:numId="30">
    <w:abstractNumId w:val="42"/>
  </w:num>
  <w:num w:numId="31">
    <w:abstractNumId w:val="5"/>
  </w:num>
  <w:num w:numId="32">
    <w:abstractNumId w:val="41"/>
  </w:num>
  <w:num w:numId="33">
    <w:abstractNumId w:val="34"/>
  </w:num>
  <w:num w:numId="34">
    <w:abstractNumId w:val="40"/>
  </w:num>
  <w:num w:numId="35">
    <w:abstractNumId w:val="15"/>
  </w:num>
  <w:num w:numId="36">
    <w:abstractNumId w:val="37"/>
  </w:num>
  <w:num w:numId="37">
    <w:abstractNumId w:val="7"/>
  </w:num>
  <w:num w:numId="38">
    <w:abstractNumId w:val="32"/>
  </w:num>
  <w:num w:numId="39">
    <w:abstractNumId w:val="30"/>
  </w:num>
  <w:num w:numId="40">
    <w:abstractNumId w:val="6"/>
  </w:num>
  <w:num w:numId="41">
    <w:abstractNumId w:val="25"/>
  </w:num>
  <w:num w:numId="42">
    <w:abstractNumId w:val="3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93F0A"/>
    <w:rsid w:val="001D1B23"/>
    <w:rsid w:val="001E3C50"/>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E5CA3"/>
    <w:rsid w:val="009F1313"/>
    <w:rsid w:val="00A20351"/>
    <w:rsid w:val="00A65A81"/>
    <w:rsid w:val="00A73575"/>
    <w:rsid w:val="00AA23EC"/>
    <w:rsid w:val="00AC63CE"/>
    <w:rsid w:val="00AD4CA1"/>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C16D1"/>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6640</Words>
  <Characters>37853</Characters>
  <Application>Microsoft Office Word</Application>
  <DocSecurity>0</DocSecurity>
  <Lines>315</Lines>
  <Paragraphs>88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2023-03-25T16:29:00Z</dcterms:created>
  <dcterms:modified xsi:type="dcterms:W3CDTF">2023-03-25T16:29:00Z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