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B239815" w14:textId="34638DA1" w:rsidR="00AA23EC" w:rsidRDefault="00DD466D" w:rsidP="00DD466D">
      <w:pPr>
        <w:pStyle w:val="Heading1"/>
      </w:pPr>
      <w:r>
        <w:t>1.ИМЕ НА ЛЕКАРСТВЕНИЯ ПРОДУКТ</w:t>
      </w:r>
    </w:p>
    <w:p w14:paraId="6A3D26AA" w14:textId="4701250B" w:rsidR="007B38C0" w:rsidRDefault="007B38C0" w:rsidP="007B38C0"/>
    <w:p w14:paraId="3B041495" w14:textId="77777777" w:rsidR="007B38C0" w:rsidRPr="007B38C0" w:rsidRDefault="007B38C0" w:rsidP="007B38C0">
      <w:pPr>
        <w:rPr>
          <w:sz w:val="24"/>
          <w:szCs w:val="24"/>
        </w:rPr>
      </w:pPr>
      <w:r w:rsidRPr="007B38C0">
        <w:rPr>
          <w:lang w:eastAsia="bg-BG"/>
        </w:rPr>
        <w:t xml:space="preserve">Фунголон 150 </w:t>
      </w:r>
      <w:r w:rsidRPr="007B38C0">
        <w:rPr>
          <w:lang w:val="en-US"/>
        </w:rPr>
        <w:t>mg</w:t>
      </w:r>
      <w:r w:rsidRPr="007B38C0">
        <w:t xml:space="preserve"> </w:t>
      </w:r>
      <w:r w:rsidRPr="007B38C0">
        <w:rPr>
          <w:lang w:eastAsia="bg-BG"/>
        </w:rPr>
        <w:t>твърди капсули</w:t>
      </w:r>
    </w:p>
    <w:p w14:paraId="269666E1" w14:textId="77777777" w:rsidR="007B38C0" w:rsidRPr="007B38C0" w:rsidRDefault="007B38C0" w:rsidP="007B38C0">
      <w:pPr>
        <w:rPr>
          <w:sz w:val="24"/>
          <w:szCs w:val="24"/>
        </w:rPr>
      </w:pPr>
      <w:proofErr w:type="spellStart"/>
      <w:r w:rsidRPr="007B38C0">
        <w:rPr>
          <w:lang w:val="en-US"/>
        </w:rPr>
        <w:t>Fungolon</w:t>
      </w:r>
      <w:proofErr w:type="spellEnd"/>
      <w:r w:rsidRPr="007B38C0">
        <w:t xml:space="preserve"> </w:t>
      </w:r>
      <w:r w:rsidRPr="007B38C0">
        <w:rPr>
          <w:lang w:eastAsia="bg-BG"/>
        </w:rPr>
        <w:t xml:space="preserve">150 </w:t>
      </w:r>
      <w:r w:rsidRPr="007B38C0">
        <w:rPr>
          <w:lang w:val="en-US"/>
        </w:rPr>
        <w:t>mg</w:t>
      </w:r>
      <w:r w:rsidRPr="007B38C0">
        <w:t xml:space="preserve"> </w:t>
      </w:r>
      <w:r w:rsidRPr="007B38C0">
        <w:rPr>
          <w:lang w:val="en-US"/>
        </w:rPr>
        <w:t>hard</w:t>
      </w:r>
      <w:r w:rsidRPr="007B38C0">
        <w:t xml:space="preserve"> </w:t>
      </w:r>
      <w:r w:rsidRPr="007B38C0">
        <w:rPr>
          <w:lang w:val="en-US"/>
        </w:rPr>
        <w:t>capsules</w:t>
      </w:r>
    </w:p>
    <w:p w14:paraId="11F6F64F" w14:textId="77777777" w:rsidR="007B38C0" w:rsidRPr="007B38C0" w:rsidRDefault="007B38C0" w:rsidP="007B38C0"/>
    <w:p w14:paraId="0A368469" w14:textId="72F59BE7" w:rsidR="00C0049F" w:rsidRDefault="00DD466D" w:rsidP="009F1313">
      <w:pPr>
        <w:pStyle w:val="Heading1"/>
      </w:pPr>
      <w:r>
        <w:t>2. КАЧЕСТВЕН И КОЛИЧЕСТВЕН СЪСТАВ</w:t>
      </w:r>
    </w:p>
    <w:p w14:paraId="536AE8C6" w14:textId="4770D782" w:rsidR="007B38C0" w:rsidRDefault="007B38C0" w:rsidP="007B38C0"/>
    <w:p w14:paraId="45224734" w14:textId="77777777" w:rsidR="007B38C0" w:rsidRPr="007B38C0" w:rsidRDefault="007B38C0" w:rsidP="007B38C0">
      <w:pPr>
        <w:rPr>
          <w:sz w:val="24"/>
          <w:szCs w:val="24"/>
        </w:rPr>
      </w:pPr>
      <w:r w:rsidRPr="007B38C0">
        <w:rPr>
          <w:lang w:eastAsia="bg-BG"/>
        </w:rPr>
        <w:t xml:space="preserve">Всяка капсула съдържа 150 </w:t>
      </w:r>
      <w:r w:rsidRPr="007B38C0">
        <w:rPr>
          <w:lang w:val="en-US"/>
        </w:rPr>
        <w:t>mg</w:t>
      </w:r>
      <w:r w:rsidRPr="007B38C0">
        <w:rPr>
          <w:lang w:val="ru-RU"/>
        </w:rPr>
        <w:t xml:space="preserve"> </w:t>
      </w:r>
      <w:r w:rsidRPr="007B38C0">
        <w:rPr>
          <w:lang w:eastAsia="bg-BG"/>
        </w:rPr>
        <w:t xml:space="preserve">флуконазол </w:t>
      </w:r>
      <w:r w:rsidRPr="007B38C0">
        <w:rPr>
          <w:i/>
          <w:iCs/>
          <w:lang w:val="ru-RU"/>
        </w:rPr>
        <w:t>(</w:t>
      </w:r>
      <w:r w:rsidRPr="007B38C0">
        <w:rPr>
          <w:i/>
          <w:iCs/>
          <w:lang w:val="en-US"/>
        </w:rPr>
        <w:t>fluconazole</w:t>
      </w:r>
      <w:r w:rsidRPr="007B38C0">
        <w:rPr>
          <w:i/>
          <w:iCs/>
          <w:lang w:val="ru-RU"/>
        </w:rPr>
        <w:t>).</w:t>
      </w:r>
    </w:p>
    <w:p w14:paraId="01ECFE7D" w14:textId="77777777" w:rsidR="007B38C0" w:rsidRDefault="007B38C0" w:rsidP="007B38C0">
      <w:pPr>
        <w:rPr>
          <w:u w:val="single"/>
          <w:lang w:eastAsia="bg-BG"/>
        </w:rPr>
      </w:pPr>
    </w:p>
    <w:p w14:paraId="4F087F6D" w14:textId="0E94EA4B" w:rsidR="007B38C0" w:rsidRPr="007B38C0" w:rsidRDefault="007B38C0" w:rsidP="007B38C0">
      <w:r w:rsidRPr="007B38C0">
        <w:rPr>
          <w:u w:val="single"/>
          <w:lang w:eastAsia="bg-BG"/>
        </w:rPr>
        <w:t>Помощно вещество с известно действие</w:t>
      </w:r>
      <w:r w:rsidRPr="007B38C0">
        <w:rPr>
          <w:lang w:eastAsia="bg-BG"/>
        </w:rPr>
        <w:t>: лактоза монохидрат.</w:t>
      </w:r>
    </w:p>
    <w:p w14:paraId="614984C4" w14:textId="7BEBC092" w:rsidR="008A6AF2" w:rsidRDefault="00DD466D" w:rsidP="002C50EE">
      <w:pPr>
        <w:pStyle w:val="Heading1"/>
      </w:pPr>
      <w:r>
        <w:t>3. ЛЕКАРСТВЕНА ФОРМА</w:t>
      </w:r>
    </w:p>
    <w:p w14:paraId="1E47A5F7" w14:textId="3DB6C820" w:rsidR="007B38C0" w:rsidRDefault="007B38C0" w:rsidP="007B38C0"/>
    <w:p w14:paraId="286EEC0E" w14:textId="77777777" w:rsidR="007B38C0" w:rsidRPr="007B38C0" w:rsidRDefault="007B38C0" w:rsidP="007B38C0">
      <w:pPr>
        <w:rPr>
          <w:sz w:val="24"/>
          <w:szCs w:val="24"/>
        </w:rPr>
      </w:pPr>
      <w:r w:rsidRPr="007B38C0">
        <w:rPr>
          <w:lang w:eastAsia="bg-BG"/>
        </w:rPr>
        <w:t>Твърда капсула</w:t>
      </w:r>
    </w:p>
    <w:p w14:paraId="4262A197" w14:textId="77777777" w:rsidR="007B38C0" w:rsidRPr="007B38C0" w:rsidRDefault="007B38C0" w:rsidP="007B38C0">
      <w:pPr>
        <w:rPr>
          <w:sz w:val="24"/>
          <w:szCs w:val="24"/>
        </w:rPr>
      </w:pPr>
      <w:r w:rsidRPr="007B38C0">
        <w:rPr>
          <w:i/>
          <w:iCs/>
          <w:lang w:eastAsia="bg-BG"/>
        </w:rPr>
        <w:t>Описание</w:t>
      </w:r>
      <w:r w:rsidRPr="007B38C0">
        <w:rPr>
          <w:lang w:eastAsia="bg-BG"/>
        </w:rPr>
        <w:t xml:space="preserve"> - твърди желатинови капсули с тяло с бял цвят и бяло капаче.</w:t>
      </w:r>
    </w:p>
    <w:p w14:paraId="282853D6" w14:textId="77777777" w:rsidR="007B38C0" w:rsidRPr="007B38C0" w:rsidRDefault="007B38C0" w:rsidP="007B38C0"/>
    <w:p w14:paraId="490FC2C4" w14:textId="32682B15" w:rsidR="002C50EE" w:rsidRDefault="002C50EE" w:rsidP="002C50EE">
      <w:pPr>
        <w:pStyle w:val="Heading1"/>
      </w:pPr>
      <w:r>
        <w:t>4. КЛИНИЧНИ ДАННИ</w:t>
      </w:r>
    </w:p>
    <w:p w14:paraId="754A29C8" w14:textId="34304510" w:rsidR="00C0049F" w:rsidRDefault="002C50EE" w:rsidP="009F1313">
      <w:pPr>
        <w:pStyle w:val="Heading2"/>
      </w:pPr>
      <w:r>
        <w:t>4.1. Терапевтични показания</w:t>
      </w:r>
    </w:p>
    <w:p w14:paraId="1A864943" w14:textId="5CDDE2CA" w:rsidR="00395555" w:rsidRDefault="00395555" w:rsidP="00395555"/>
    <w:p w14:paraId="1BF692B7" w14:textId="77777777" w:rsidR="007B38C0" w:rsidRPr="007B38C0" w:rsidRDefault="007B38C0" w:rsidP="007B38C0">
      <w:pPr>
        <w:rPr>
          <w:sz w:val="28"/>
          <w:szCs w:val="24"/>
        </w:rPr>
      </w:pPr>
      <w:r w:rsidRPr="007B38C0">
        <w:rPr>
          <w:lang w:eastAsia="bg-BG"/>
        </w:rPr>
        <w:t>При възрастни пациенти Фунголон е показан за лечение на:</w:t>
      </w:r>
    </w:p>
    <w:p w14:paraId="5D672875" w14:textId="77777777" w:rsidR="007B38C0" w:rsidRPr="007B38C0" w:rsidRDefault="007B38C0" w:rsidP="007B38C0">
      <w:pPr>
        <w:pStyle w:val="ListParagraph"/>
        <w:numPr>
          <w:ilvl w:val="0"/>
          <w:numId w:val="32"/>
        </w:numPr>
        <w:rPr>
          <w:lang w:eastAsia="bg-BG"/>
        </w:rPr>
      </w:pPr>
      <w:r w:rsidRPr="007B38C0">
        <w:rPr>
          <w:lang w:eastAsia="bg-BG"/>
        </w:rPr>
        <w:t>Криптококов менингит (вж. точка 4.4);</w:t>
      </w:r>
    </w:p>
    <w:p w14:paraId="5987F043" w14:textId="77777777" w:rsidR="007B38C0" w:rsidRPr="007B38C0" w:rsidRDefault="007B38C0" w:rsidP="007B38C0">
      <w:pPr>
        <w:pStyle w:val="ListParagraph"/>
        <w:numPr>
          <w:ilvl w:val="0"/>
          <w:numId w:val="32"/>
        </w:numPr>
        <w:rPr>
          <w:lang w:eastAsia="bg-BG"/>
        </w:rPr>
      </w:pPr>
      <w:r w:rsidRPr="007B38C0">
        <w:rPr>
          <w:lang w:eastAsia="bg-BG"/>
        </w:rPr>
        <w:t>Кокцидиоидомикоза (вж. точка 4.4);</w:t>
      </w:r>
    </w:p>
    <w:p w14:paraId="4F19196C" w14:textId="77777777" w:rsidR="007B38C0" w:rsidRPr="007B38C0" w:rsidRDefault="007B38C0" w:rsidP="007B38C0">
      <w:pPr>
        <w:pStyle w:val="ListParagraph"/>
        <w:numPr>
          <w:ilvl w:val="0"/>
          <w:numId w:val="32"/>
        </w:numPr>
        <w:rPr>
          <w:lang w:eastAsia="bg-BG"/>
        </w:rPr>
      </w:pPr>
      <w:r w:rsidRPr="007B38C0">
        <w:rPr>
          <w:lang w:eastAsia="bg-BG"/>
        </w:rPr>
        <w:t>Инвазивна кандидоза;</w:t>
      </w:r>
    </w:p>
    <w:p w14:paraId="10F13155" w14:textId="77777777" w:rsidR="007B38C0" w:rsidRPr="007B38C0" w:rsidRDefault="007B38C0" w:rsidP="007B38C0">
      <w:pPr>
        <w:pStyle w:val="ListParagraph"/>
        <w:numPr>
          <w:ilvl w:val="0"/>
          <w:numId w:val="32"/>
        </w:numPr>
        <w:rPr>
          <w:lang w:eastAsia="bg-BG"/>
        </w:rPr>
      </w:pPr>
      <w:r w:rsidRPr="007B38C0">
        <w:rPr>
          <w:lang w:eastAsia="bg-BG"/>
        </w:rPr>
        <w:t>Кандидоза на лигавиците, вкл. орофарингеална, езофагеална, кандидурия, и хронична мукокутанна кандидоза.</w:t>
      </w:r>
    </w:p>
    <w:p w14:paraId="0FFE4F57" w14:textId="77777777" w:rsidR="007B38C0" w:rsidRPr="007B38C0" w:rsidRDefault="007B38C0" w:rsidP="007B38C0">
      <w:pPr>
        <w:pStyle w:val="ListParagraph"/>
        <w:numPr>
          <w:ilvl w:val="0"/>
          <w:numId w:val="32"/>
        </w:numPr>
        <w:rPr>
          <w:lang w:eastAsia="bg-BG"/>
        </w:rPr>
      </w:pPr>
      <w:r w:rsidRPr="007B38C0">
        <w:rPr>
          <w:lang w:eastAsia="bg-BG"/>
        </w:rPr>
        <w:t xml:space="preserve">Хронична орална атрофична кандидоза (възпаление на устната кухина при носене на протези, </w:t>
      </w:r>
      <w:proofErr w:type="spellStart"/>
      <w:r w:rsidRPr="007B38C0">
        <w:rPr>
          <w:lang w:val="en-US"/>
        </w:rPr>
        <w:t>soor</w:t>
      </w:r>
      <w:proofErr w:type="spellEnd"/>
      <w:r w:rsidRPr="007B38C0">
        <w:rPr>
          <w:lang w:val="ru-RU"/>
        </w:rPr>
        <w:t xml:space="preserve">), </w:t>
      </w:r>
      <w:r w:rsidRPr="007B38C0">
        <w:rPr>
          <w:lang w:eastAsia="bg-BG"/>
        </w:rPr>
        <w:t>ако зъбната хигиена или локалното лечение са недостатъчни;</w:t>
      </w:r>
    </w:p>
    <w:p w14:paraId="2A367EB2" w14:textId="77777777" w:rsidR="007B38C0" w:rsidRPr="007B38C0" w:rsidRDefault="007B38C0" w:rsidP="007B38C0">
      <w:pPr>
        <w:pStyle w:val="ListParagraph"/>
        <w:numPr>
          <w:ilvl w:val="0"/>
          <w:numId w:val="32"/>
        </w:numPr>
        <w:rPr>
          <w:lang w:eastAsia="bg-BG"/>
        </w:rPr>
      </w:pPr>
      <w:r w:rsidRPr="007B38C0">
        <w:rPr>
          <w:lang w:eastAsia="bg-BG"/>
        </w:rPr>
        <w:t>Вагинална кандидоза, остра и рекурентна, когато локалната терапия не е подходяща;</w:t>
      </w:r>
    </w:p>
    <w:p w14:paraId="07A72E16" w14:textId="77777777" w:rsidR="007B38C0" w:rsidRPr="007B38C0" w:rsidRDefault="007B38C0" w:rsidP="007B38C0">
      <w:pPr>
        <w:pStyle w:val="ListParagraph"/>
        <w:numPr>
          <w:ilvl w:val="0"/>
          <w:numId w:val="32"/>
        </w:numPr>
        <w:rPr>
          <w:lang w:eastAsia="bg-BG"/>
        </w:rPr>
      </w:pPr>
      <w:r w:rsidRPr="007B38C0">
        <w:rPr>
          <w:lang w:eastAsia="bg-BG"/>
        </w:rPr>
        <w:t>Кандидозни баланити, когато локалната терапия не е подходяща.</w:t>
      </w:r>
    </w:p>
    <w:p w14:paraId="339FB70B" w14:textId="77777777" w:rsidR="007B38C0" w:rsidRPr="007B38C0" w:rsidRDefault="007B38C0" w:rsidP="007B38C0">
      <w:pPr>
        <w:pStyle w:val="ListParagraph"/>
        <w:numPr>
          <w:ilvl w:val="0"/>
          <w:numId w:val="32"/>
        </w:numPr>
        <w:rPr>
          <w:lang w:eastAsia="bg-BG"/>
        </w:rPr>
      </w:pPr>
      <w:r w:rsidRPr="007B38C0">
        <w:rPr>
          <w:lang w:eastAsia="bg-BG"/>
        </w:rPr>
        <w:t xml:space="preserve">Дерматомикози, вкл. </w:t>
      </w:r>
      <w:proofErr w:type="gramStart"/>
      <w:r w:rsidRPr="007B38C0">
        <w:rPr>
          <w:i/>
          <w:iCs/>
          <w:lang w:val="en-US"/>
        </w:rPr>
        <w:t>tinea</w:t>
      </w:r>
      <w:proofErr w:type="gramEnd"/>
      <w:r w:rsidRPr="007B38C0">
        <w:rPr>
          <w:i/>
          <w:iCs/>
        </w:rPr>
        <w:t xml:space="preserve"> </w:t>
      </w:r>
      <w:proofErr w:type="spellStart"/>
      <w:r w:rsidRPr="007B38C0">
        <w:rPr>
          <w:i/>
          <w:iCs/>
          <w:lang w:val="en-US"/>
        </w:rPr>
        <w:t>pedis</w:t>
      </w:r>
      <w:proofErr w:type="spellEnd"/>
      <w:r w:rsidRPr="007B38C0">
        <w:rPr>
          <w:i/>
          <w:iCs/>
        </w:rPr>
        <w:t xml:space="preserve">, </w:t>
      </w:r>
      <w:r w:rsidRPr="007B38C0">
        <w:rPr>
          <w:i/>
          <w:iCs/>
          <w:lang w:val="en-US"/>
        </w:rPr>
        <w:t>tinea</w:t>
      </w:r>
      <w:r w:rsidRPr="007B38C0">
        <w:rPr>
          <w:i/>
          <w:iCs/>
        </w:rPr>
        <w:t xml:space="preserve"> </w:t>
      </w:r>
      <w:proofErr w:type="spellStart"/>
      <w:r w:rsidRPr="007B38C0">
        <w:rPr>
          <w:i/>
          <w:iCs/>
          <w:lang w:val="en-US"/>
        </w:rPr>
        <w:t>corporis</w:t>
      </w:r>
      <w:proofErr w:type="spellEnd"/>
      <w:r w:rsidRPr="007B38C0">
        <w:rPr>
          <w:i/>
          <w:iCs/>
        </w:rPr>
        <w:t xml:space="preserve">, </w:t>
      </w:r>
      <w:r w:rsidRPr="007B38C0">
        <w:rPr>
          <w:i/>
          <w:iCs/>
          <w:lang w:val="en-US"/>
        </w:rPr>
        <w:t>tinea</w:t>
      </w:r>
      <w:r w:rsidRPr="007B38C0">
        <w:rPr>
          <w:i/>
          <w:iCs/>
        </w:rPr>
        <w:t xml:space="preserve"> </w:t>
      </w:r>
      <w:proofErr w:type="spellStart"/>
      <w:r w:rsidRPr="007B38C0">
        <w:rPr>
          <w:i/>
          <w:iCs/>
          <w:lang w:val="en-US"/>
        </w:rPr>
        <w:t>cruris</w:t>
      </w:r>
      <w:proofErr w:type="spellEnd"/>
      <w:r w:rsidRPr="007B38C0">
        <w:rPr>
          <w:i/>
          <w:iCs/>
        </w:rPr>
        <w:t xml:space="preserve">, </w:t>
      </w:r>
      <w:r w:rsidRPr="007B38C0">
        <w:rPr>
          <w:i/>
          <w:iCs/>
          <w:lang w:val="en-US"/>
        </w:rPr>
        <w:t>tinea</w:t>
      </w:r>
      <w:r w:rsidRPr="007B38C0">
        <w:rPr>
          <w:i/>
          <w:iCs/>
        </w:rPr>
        <w:t xml:space="preserve"> </w:t>
      </w:r>
      <w:r w:rsidRPr="007B38C0">
        <w:rPr>
          <w:i/>
          <w:iCs/>
          <w:lang w:val="en-US"/>
        </w:rPr>
        <w:t>versicolor</w:t>
      </w:r>
      <w:r w:rsidRPr="007B38C0">
        <w:t xml:space="preserve"> </w:t>
      </w:r>
      <w:r w:rsidRPr="007B38C0">
        <w:rPr>
          <w:lang w:eastAsia="bg-BG"/>
        </w:rPr>
        <w:t>и кожни кандида инфекции, когато е показана системна терапия.</w:t>
      </w:r>
    </w:p>
    <w:p w14:paraId="113DEB8E" w14:textId="77777777" w:rsidR="007B38C0" w:rsidRPr="007B38C0" w:rsidRDefault="007B38C0" w:rsidP="007B38C0">
      <w:pPr>
        <w:pStyle w:val="ListParagraph"/>
        <w:numPr>
          <w:ilvl w:val="0"/>
          <w:numId w:val="32"/>
        </w:numPr>
        <w:rPr>
          <w:i/>
          <w:iCs/>
          <w:lang w:val="ru-RU"/>
        </w:rPr>
      </w:pPr>
      <w:r w:rsidRPr="007B38C0">
        <w:rPr>
          <w:i/>
          <w:iCs/>
          <w:lang w:val="en-US"/>
        </w:rPr>
        <w:t>Tinea</w:t>
      </w:r>
      <w:r w:rsidRPr="007B38C0">
        <w:rPr>
          <w:i/>
          <w:iCs/>
          <w:lang w:val="ru-RU"/>
        </w:rPr>
        <w:t xml:space="preserve"> </w:t>
      </w:r>
      <w:proofErr w:type="spellStart"/>
      <w:r w:rsidRPr="007B38C0">
        <w:rPr>
          <w:i/>
          <w:iCs/>
          <w:lang w:val="en-US"/>
        </w:rPr>
        <w:t>unguinium</w:t>
      </w:r>
      <w:proofErr w:type="spellEnd"/>
      <w:r w:rsidRPr="007B38C0">
        <w:rPr>
          <w:lang w:val="ru-RU"/>
        </w:rPr>
        <w:t xml:space="preserve"> </w:t>
      </w:r>
      <w:r w:rsidRPr="007B38C0">
        <w:rPr>
          <w:lang w:eastAsia="bg-BG"/>
        </w:rPr>
        <w:t>(онихомикози), когато други антимикотици не са подходящи.</w:t>
      </w:r>
    </w:p>
    <w:p w14:paraId="460BD633" w14:textId="77777777" w:rsidR="007B38C0" w:rsidRPr="007B38C0" w:rsidRDefault="007B38C0" w:rsidP="007B38C0">
      <w:pPr>
        <w:rPr>
          <w:lang w:eastAsia="bg-BG"/>
        </w:rPr>
      </w:pPr>
    </w:p>
    <w:p w14:paraId="0F824FCD" w14:textId="44EFFEB9" w:rsidR="007B38C0" w:rsidRPr="007B38C0" w:rsidRDefault="007B38C0" w:rsidP="007B38C0">
      <w:pPr>
        <w:rPr>
          <w:sz w:val="28"/>
          <w:szCs w:val="24"/>
        </w:rPr>
      </w:pPr>
      <w:r w:rsidRPr="007B38C0">
        <w:rPr>
          <w:lang w:eastAsia="bg-BG"/>
        </w:rPr>
        <w:t>При възрастни пациенти Фунголон е показан за профилактика на:</w:t>
      </w:r>
    </w:p>
    <w:p w14:paraId="153C1B34" w14:textId="77777777" w:rsidR="007B38C0" w:rsidRPr="007B38C0" w:rsidRDefault="007B38C0" w:rsidP="007B38C0">
      <w:pPr>
        <w:pStyle w:val="ListParagraph"/>
        <w:numPr>
          <w:ilvl w:val="0"/>
          <w:numId w:val="33"/>
        </w:numPr>
        <w:rPr>
          <w:lang w:eastAsia="bg-BG"/>
        </w:rPr>
      </w:pPr>
      <w:r w:rsidRPr="007B38C0">
        <w:rPr>
          <w:lang w:eastAsia="bg-BG"/>
        </w:rPr>
        <w:t>Криптококов менингит при пациенти с висок риск за рецидив.</w:t>
      </w:r>
    </w:p>
    <w:p w14:paraId="3DEC686A" w14:textId="77777777" w:rsidR="007B38C0" w:rsidRPr="007B38C0" w:rsidRDefault="007B38C0" w:rsidP="007B38C0">
      <w:pPr>
        <w:pStyle w:val="ListParagraph"/>
        <w:numPr>
          <w:ilvl w:val="0"/>
          <w:numId w:val="33"/>
        </w:numPr>
        <w:rPr>
          <w:lang w:eastAsia="bg-BG"/>
        </w:rPr>
      </w:pPr>
      <w:r w:rsidRPr="007B38C0">
        <w:rPr>
          <w:lang w:eastAsia="bg-BG"/>
        </w:rPr>
        <w:t xml:space="preserve">Орофарингеална или езофагеална кандидоза при </w:t>
      </w:r>
      <w:r w:rsidRPr="007B38C0">
        <w:rPr>
          <w:i/>
          <w:iCs/>
          <w:lang w:val="en-US"/>
        </w:rPr>
        <w:t>HIV</w:t>
      </w:r>
      <w:r w:rsidRPr="007B38C0">
        <w:rPr>
          <w:lang w:val="ru-RU"/>
        </w:rPr>
        <w:t xml:space="preserve"> </w:t>
      </w:r>
      <w:r w:rsidRPr="007B38C0">
        <w:rPr>
          <w:lang w:eastAsia="bg-BG"/>
        </w:rPr>
        <w:t>инфектирани пациенти, които са с висок риск от поява на рецидив.</w:t>
      </w:r>
    </w:p>
    <w:p w14:paraId="79E90434" w14:textId="50278258" w:rsidR="007B38C0" w:rsidRPr="007B38C0" w:rsidRDefault="007B38C0" w:rsidP="007B38C0">
      <w:pPr>
        <w:pStyle w:val="ListParagraph"/>
        <w:numPr>
          <w:ilvl w:val="0"/>
          <w:numId w:val="33"/>
        </w:numPr>
        <w:rPr>
          <w:lang w:eastAsia="bg-BG"/>
        </w:rPr>
      </w:pPr>
      <w:r w:rsidRPr="007B38C0">
        <w:rPr>
          <w:lang w:eastAsia="bg-BG"/>
        </w:rPr>
        <w:t>За понижаване на инцидентите на рекурентна вагинална кандидоза (4 или повече епизода</w:t>
      </w:r>
      <w:r>
        <w:rPr>
          <w:lang w:eastAsia="bg-BG"/>
        </w:rPr>
        <w:t xml:space="preserve"> </w:t>
      </w:r>
      <w:r w:rsidRPr="007B38C0">
        <w:rPr>
          <w:lang w:eastAsia="bg-BG"/>
        </w:rPr>
        <w:t>в година);</w:t>
      </w:r>
    </w:p>
    <w:p w14:paraId="7B5347A2" w14:textId="77777777" w:rsidR="007B38C0" w:rsidRPr="007B38C0" w:rsidRDefault="007B38C0" w:rsidP="007B38C0">
      <w:pPr>
        <w:pStyle w:val="ListParagraph"/>
        <w:numPr>
          <w:ilvl w:val="0"/>
          <w:numId w:val="33"/>
        </w:numPr>
        <w:rPr>
          <w:lang w:eastAsia="bg-BG"/>
        </w:rPr>
      </w:pPr>
      <w:r w:rsidRPr="007B38C0">
        <w:rPr>
          <w:lang w:eastAsia="bg-BG"/>
        </w:rPr>
        <w:lastRenderedPageBreak/>
        <w:t>Кандидозни инфекции при пациенти с продължителна неутропения (пациенти с хематологични малигнени заболявалия на химиотерапия или пациенти с Трансплантация на Хематопоетични стволови клетки (вж. точка 5.1).</w:t>
      </w:r>
    </w:p>
    <w:p w14:paraId="5FF45D79" w14:textId="7CD66E33" w:rsidR="007B38C0" w:rsidRPr="007B38C0" w:rsidRDefault="007B38C0" w:rsidP="007B38C0">
      <w:pPr>
        <w:rPr>
          <w:sz w:val="24"/>
        </w:rPr>
      </w:pPr>
    </w:p>
    <w:p w14:paraId="1D09CFB4" w14:textId="77777777" w:rsidR="007B38C0" w:rsidRPr="007B38C0" w:rsidRDefault="007B38C0" w:rsidP="007B38C0">
      <w:pPr>
        <w:rPr>
          <w:sz w:val="28"/>
          <w:szCs w:val="24"/>
        </w:rPr>
      </w:pPr>
      <w:r w:rsidRPr="007B38C0">
        <w:rPr>
          <w:lang w:eastAsia="bg-BG"/>
        </w:rPr>
        <w:t>Фунголон е показан при доносени новородени, бебета, кърмачета, дена и юноши на възраст от 0 до 17 години:</w:t>
      </w:r>
    </w:p>
    <w:p w14:paraId="4404899E" w14:textId="77777777" w:rsidR="007B38C0" w:rsidRPr="007B38C0" w:rsidRDefault="007B38C0" w:rsidP="007B38C0">
      <w:pPr>
        <w:rPr>
          <w:lang w:eastAsia="bg-BG"/>
        </w:rPr>
      </w:pPr>
    </w:p>
    <w:p w14:paraId="1C71F4EC" w14:textId="7DF1E5A9" w:rsidR="007B38C0" w:rsidRPr="007B38C0" w:rsidRDefault="007B38C0" w:rsidP="007B38C0">
      <w:pPr>
        <w:rPr>
          <w:sz w:val="28"/>
          <w:szCs w:val="24"/>
        </w:rPr>
      </w:pPr>
      <w:r w:rsidRPr="007B38C0">
        <w:rPr>
          <w:lang w:eastAsia="bg-BG"/>
        </w:rPr>
        <w:t>Фунголон се прилага за лечение на кандидоза на лигавиците (орофарингеална, езофагеална), инвазивна кандидоза, криптотококов менингит и за профилактика на кандида инфекции при имунокомпрометирани пациенти. Флуконазол може да се използва като поддържаща терапия за предотвратяване на рецидиви на криптококов минингит при деца с висок риск (вж. точка 4.4).</w:t>
      </w:r>
    </w:p>
    <w:p w14:paraId="5AB21C3B" w14:textId="77777777" w:rsidR="007B38C0" w:rsidRPr="007B38C0" w:rsidRDefault="007B38C0" w:rsidP="007B38C0">
      <w:pPr>
        <w:rPr>
          <w:lang w:eastAsia="bg-BG"/>
        </w:rPr>
      </w:pPr>
    </w:p>
    <w:p w14:paraId="5ACDD4FA" w14:textId="3491DC03" w:rsidR="007B38C0" w:rsidRPr="007B38C0" w:rsidRDefault="007B38C0" w:rsidP="007B38C0">
      <w:pPr>
        <w:rPr>
          <w:sz w:val="28"/>
          <w:szCs w:val="24"/>
        </w:rPr>
      </w:pPr>
      <w:r w:rsidRPr="007B38C0">
        <w:rPr>
          <w:lang w:eastAsia="bg-BG"/>
        </w:rPr>
        <w:t>Терапията може да започне преди да са известни резултатите от микологичните посевки и другите лабораторни изследвания. След получаване на резултатите, ако е необходимо анти- инфекциозната терапия се коригира.</w:t>
      </w:r>
    </w:p>
    <w:p w14:paraId="48F33054" w14:textId="77777777" w:rsidR="007B38C0" w:rsidRPr="007B38C0" w:rsidRDefault="007B38C0" w:rsidP="007B38C0">
      <w:pPr>
        <w:rPr>
          <w:lang w:eastAsia="bg-BG"/>
        </w:rPr>
      </w:pPr>
    </w:p>
    <w:p w14:paraId="25707375" w14:textId="5252AE3D" w:rsidR="007B38C0" w:rsidRPr="007B38C0" w:rsidRDefault="007B38C0" w:rsidP="007B38C0">
      <w:pPr>
        <w:rPr>
          <w:sz w:val="28"/>
          <w:szCs w:val="24"/>
        </w:rPr>
      </w:pPr>
      <w:r w:rsidRPr="007B38C0">
        <w:rPr>
          <w:lang w:eastAsia="bg-BG"/>
        </w:rPr>
        <w:t>Официалните ръководства за подходящо прилагане на антимикотици трябва да се спазват.</w:t>
      </w:r>
    </w:p>
    <w:p w14:paraId="2BAACBA1" w14:textId="5F059677" w:rsidR="007B38C0" w:rsidRPr="00395555" w:rsidRDefault="007B38C0" w:rsidP="00395555"/>
    <w:p w14:paraId="7C0CA5EB" w14:textId="16C0483B" w:rsidR="00C0049F" w:rsidRDefault="002C50EE" w:rsidP="009F1313">
      <w:pPr>
        <w:pStyle w:val="Heading2"/>
      </w:pPr>
      <w:r>
        <w:t>4.2. Дозировка и начин на приложение</w:t>
      </w:r>
    </w:p>
    <w:p w14:paraId="699FC63D" w14:textId="318504F4" w:rsidR="007B38C0" w:rsidRDefault="007B38C0" w:rsidP="007B38C0"/>
    <w:p w14:paraId="1CF5FE98" w14:textId="77777777" w:rsidR="007B38C0" w:rsidRPr="007B38C0" w:rsidRDefault="007B38C0" w:rsidP="007B38C0">
      <w:pPr>
        <w:pStyle w:val="Heading3"/>
        <w:rPr>
          <w:rFonts w:eastAsia="Times New Roman"/>
          <w:u w:val="single"/>
        </w:rPr>
      </w:pPr>
      <w:r w:rsidRPr="007B38C0">
        <w:rPr>
          <w:rFonts w:eastAsia="Times New Roman"/>
          <w:u w:val="single"/>
          <w:lang w:eastAsia="bg-BG"/>
        </w:rPr>
        <w:t>Дозировка</w:t>
      </w:r>
    </w:p>
    <w:p w14:paraId="2BBFCE30" w14:textId="77777777" w:rsidR="007B38C0" w:rsidRDefault="007B38C0" w:rsidP="007B38C0">
      <w:pPr>
        <w:rPr>
          <w:lang w:eastAsia="bg-BG"/>
        </w:rPr>
      </w:pPr>
    </w:p>
    <w:p w14:paraId="2434D467" w14:textId="576A8010" w:rsidR="007B38C0" w:rsidRPr="007B38C0" w:rsidRDefault="007B38C0" w:rsidP="007B38C0">
      <w:pPr>
        <w:rPr>
          <w:sz w:val="24"/>
          <w:szCs w:val="24"/>
        </w:rPr>
      </w:pPr>
      <w:r w:rsidRPr="007B38C0">
        <w:rPr>
          <w:lang w:eastAsia="bg-BG"/>
        </w:rPr>
        <w:t>Дневната доза се определя въз основа на вида и тежестта на гъбичната инфекция. Лечението на инфекции, изискващи многократни дози трябва да продължи докато клиничните показатели и лабораторните тестове покажат отзвучаване на активната гъбична инфекция. Неадекватното лечение може да доведе до рецидив на активната инфекция.</w:t>
      </w:r>
    </w:p>
    <w:p w14:paraId="4FDC7467" w14:textId="77777777" w:rsidR="007B38C0" w:rsidRDefault="007B38C0" w:rsidP="007B38C0">
      <w:pPr>
        <w:rPr>
          <w:lang w:eastAsia="bg-BG"/>
        </w:rPr>
      </w:pPr>
    </w:p>
    <w:p w14:paraId="19C53C53" w14:textId="7855E23F" w:rsidR="007B38C0" w:rsidRDefault="007B38C0" w:rsidP="007B38C0">
      <w:pPr>
        <w:rPr>
          <w:lang w:eastAsia="bg-BG"/>
        </w:rPr>
      </w:pPr>
      <w:r w:rsidRPr="007B38C0">
        <w:rPr>
          <w:lang w:eastAsia="bg-BG"/>
        </w:rPr>
        <w:t>Възрастни</w:t>
      </w:r>
    </w:p>
    <w:tbl>
      <w:tblPr>
        <w:tblStyle w:val="TableGrid"/>
        <w:tblW w:w="0" w:type="auto"/>
        <w:tblLook w:val="04A0" w:firstRow="1" w:lastRow="0" w:firstColumn="1" w:lastColumn="0" w:noHBand="0" w:noVBand="1"/>
      </w:tblPr>
      <w:tblGrid>
        <w:gridCol w:w="2293"/>
        <w:gridCol w:w="2458"/>
        <w:gridCol w:w="1763"/>
        <w:gridCol w:w="2836"/>
      </w:tblGrid>
      <w:tr w:rsidR="007B38C0" w14:paraId="21361FAB" w14:textId="77777777" w:rsidTr="007B38C0">
        <w:tc>
          <w:tcPr>
            <w:tcW w:w="4826" w:type="dxa"/>
            <w:gridSpan w:val="2"/>
          </w:tcPr>
          <w:p w14:paraId="5285CCDB" w14:textId="214C075E" w:rsidR="007B38C0" w:rsidRDefault="007B38C0" w:rsidP="007B38C0">
            <w:pPr>
              <w:rPr>
                <w:sz w:val="24"/>
                <w:szCs w:val="24"/>
              </w:rPr>
            </w:pPr>
            <w:r>
              <w:t>Индикации</w:t>
            </w:r>
          </w:p>
        </w:tc>
        <w:tc>
          <w:tcPr>
            <w:tcW w:w="1914" w:type="dxa"/>
          </w:tcPr>
          <w:p w14:paraId="7210BE1B" w14:textId="7CC369FA" w:rsidR="007B38C0" w:rsidRDefault="007B38C0" w:rsidP="007B38C0">
            <w:pPr>
              <w:rPr>
                <w:sz w:val="24"/>
                <w:szCs w:val="24"/>
              </w:rPr>
            </w:pPr>
            <w:r>
              <w:t>Дозировка</w:t>
            </w:r>
          </w:p>
        </w:tc>
        <w:tc>
          <w:tcPr>
            <w:tcW w:w="2836" w:type="dxa"/>
            <w:vAlign w:val="bottom"/>
          </w:tcPr>
          <w:p w14:paraId="0759F5C4" w14:textId="6FC58AF0" w:rsidR="007B38C0" w:rsidRDefault="007B38C0" w:rsidP="007B38C0">
            <w:pPr>
              <w:rPr>
                <w:sz w:val="24"/>
                <w:szCs w:val="24"/>
              </w:rPr>
            </w:pPr>
            <w:r>
              <w:t>Продължителност на лечението</w:t>
            </w:r>
          </w:p>
        </w:tc>
      </w:tr>
      <w:tr w:rsidR="007B38C0" w14:paraId="210DC620" w14:textId="77777777" w:rsidTr="007B38C0">
        <w:tc>
          <w:tcPr>
            <w:tcW w:w="2311" w:type="dxa"/>
            <w:vMerge w:val="restart"/>
          </w:tcPr>
          <w:p w14:paraId="3469B731" w14:textId="41F41F42" w:rsidR="007B38C0" w:rsidRDefault="007B38C0" w:rsidP="007B38C0">
            <w:pPr>
              <w:rPr>
                <w:sz w:val="24"/>
                <w:szCs w:val="24"/>
              </w:rPr>
            </w:pPr>
            <w:r>
              <w:t>Криптококоза</w:t>
            </w:r>
          </w:p>
        </w:tc>
        <w:tc>
          <w:tcPr>
            <w:tcW w:w="2515" w:type="dxa"/>
          </w:tcPr>
          <w:p w14:paraId="56A5A4FF" w14:textId="4D5FF3A1" w:rsidR="007B38C0" w:rsidRDefault="007B38C0" w:rsidP="007B38C0">
            <w:pPr>
              <w:rPr>
                <w:sz w:val="24"/>
                <w:szCs w:val="24"/>
              </w:rPr>
            </w:pPr>
            <w:r>
              <w:t>Лечение на криптококов менингит</w:t>
            </w:r>
          </w:p>
        </w:tc>
        <w:tc>
          <w:tcPr>
            <w:tcW w:w="1914" w:type="dxa"/>
            <w:vAlign w:val="bottom"/>
          </w:tcPr>
          <w:p w14:paraId="75123A5B" w14:textId="77777777" w:rsidR="007B38C0" w:rsidRDefault="007B38C0" w:rsidP="007B38C0">
            <w:r>
              <w:t xml:space="preserve">Натоварваща доза: 400 </w:t>
            </w:r>
            <w:r>
              <w:rPr>
                <w:lang w:val="en-US"/>
              </w:rPr>
              <w:t>mg</w:t>
            </w:r>
            <w:r w:rsidRPr="007B38C0">
              <w:rPr>
                <w:lang w:val="ru-RU"/>
              </w:rPr>
              <w:t xml:space="preserve"> </w:t>
            </w:r>
            <w:r>
              <w:t>през първия ден Последваща доза:</w:t>
            </w:r>
          </w:p>
          <w:p w14:paraId="2BB7AE71" w14:textId="5755B137" w:rsidR="007B38C0" w:rsidRDefault="007B38C0" w:rsidP="007B38C0">
            <w:pPr>
              <w:rPr>
                <w:sz w:val="24"/>
                <w:szCs w:val="24"/>
              </w:rPr>
            </w:pPr>
            <w:r>
              <w:t xml:space="preserve">200 до 400 </w:t>
            </w:r>
            <w:r>
              <w:rPr>
                <w:lang w:val="en-US"/>
              </w:rPr>
              <w:t xml:space="preserve">mg </w:t>
            </w:r>
            <w:r>
              <w:t>дневно</w:t>
            </w:r>
          </w:p>
        </w:tc>
        <w:tc>
          <w:tcPr>
            <w:tcW w:w="2836" w:type="dxa"/>
          </w:tcPr>
          <w:p w14:paraId="0D7C6413" w14:textId="77777777" w:rsidR="007B38C0" w:rsidRDefault="007B38C0" w:rsidP="007B38C0">
            <w:r>
              <w:t>Обикновено най-малко 6 до 8 седмици.</w:t>
            </w:r>
          </w:p>
          <w:p w14:paraId="40ABFCCB" w14:textId="7817DF40" w:rsidR="007B38C0" w:rsidRDefault="007B38C0" w:rsidP="007B38C0">
            <w:pPr>
              <w:rPr>
                <w:sz w:val="24"/>
                <w:szCs w:val="24"/>
              </w:rPr>
            </w:pPr>
            <w:r>
              <w:t xml:space="preserve">При животозастрашаващи инфекции дневната доза може да бъде повишена до 800 </w:t>
            </w:r>
            <w:r>
              <w:rPr>
                <w:lang w:val="en-US"/>
              </w:rPr>
              <w:t>mg</w:t>
            </w:r>
            <w:r w:rsidRPr="007B38C0">
              <w:rPr>
                <w:lang w:val="ru-RU"/>
              </w:rPr>
              <w:t>.</w:t>
            </w:r>
          </w:p>
        </w:tc>
      </w:tr>
      <w:tr w:rsidR="007B38C0" w14:paraId="61E7282F" w14:textId="77777777" w:rsidTr="007B38C0">
        <w:tc>
          <w:tcPr>
            <w:tcW w:w="2311" w:type="dxa"/>
            <w:vMerge/>
          </w:tcPr>
          <w:p w14:paraId="28766CF4" w14:textId="77777777" w:rsidR="007B38C0" w:rsidRDefault="007B38C0" w:rsidP="007B38C0">
            <w:pPr>
              <w:rPr>
                <w:sz w:val="24"/>
                <w:szCs w:val="24"/>
              </w:rPr>
            </w:pPr>
          </w:p>
        </w:tc>
        <w:tc>
          <w:tcPr>
            <w:tcW w:w="2515" w:type="dxa"/>
            <w:vAlign w:val="bottom"/>
          </w:tcPr>
          <w:p w14:paraId="623E9060" w14:textId="46DC9CDA" w:rsidR="007B38C0" w:rsidRDefault="007B38C0" w:rsidP="007B38C0">
            <w:pPr>
              <w:rPr>
                <w:sz w:val="24"/>
                <w:szCs w:val="24"/>
              </w:rPr>
            </w:pPr>
            <w:r>
              <w:t xml:space="preserve">Поддържаща терапия за предотвратяване на рецидив на криптококов менингит при </w:t>
            </w:r>
            <w:r>
              <w:lastRenderedPageBreak/>
              <w:t>пациенти с висок риск</w:t>
            </w:r>
          </w:p>
        </w:tc>
        <w:tc>
          <w:tcPr>
            <w:tcW w:w="1914" w:type="dxa"/>
          </w:tcPr>
          <w:p w14:paraId="15359482" w14:textId="187A21C0" w:rsidR="007B38C0" w:rsidRDefault="007B38C0" w:rsidP="007B38C0">
            <w:pPr>
              <w:rPr>
                <w:sz w:val="24"/>
                <w:szCs w:val="24"/>
              </w:rPr>
            </w:pPr>
            <w:r>
              <w:lastRenderedPageBreak/>
              <w:t xml:space="preserve">200 </w:t>
            </w:r>
            <w:r>
              <w:rPr>
                <w:lang w:val="en-US"/>
              </w:rPr>
              <w:t xml:space="preserve">mg </w:t>
            </w:r>
            <w:r>
              <w:t>дневно</w:t>
            </w:r>
          </w:p>
        </w:tc>
        <w:tc>
          <w:tcPr>
            <w:tcW w:w="2836" w:type="dxa"/>
          </w:tcPr>
          <w:p w14:paraId="438F0CB4" w14:textId="206D9253" w:rsidR="007B38C0" w:rsidRDefault="007B38C0" w:rsidP="007B38C0">
            <w:pPr>
              <w:rPr>
                <w:sz w:val="24"/>
                <w:szCs w:val="24"/>
              </w:rPr>
            </w:pPr>
            <w:r>
              <w:t xml:space="preserve">Дневна доза от 200 </w:t>
            </w:r>
            <w:r>
              <w:rPr>
                <w:lang w:val="en-US"/>
              </w:rPr>
              <w:t>mg</w:t>
            </w:r>
            <w:r w:rsidRPr="007B38C0">
              <w:rPr>
                <w:lang w:val="ru-RU"/>
              </w:rPr>
              <w:t xml:space="preserve"> </w:t>
            </w:r>
            <w:r>
              <w:t>за неопределено време</w:t>
            </w:r>
          </w:p>
        </w:tc>
      </w:tr>
      <w:tr w:rsidR="007B38C0" w14:paraId="34E5DB50" w14:textId="77777777" w:rsidTr="007B38C0">
        <w:tc>
          <w:tcPr>
            <w:tcW w:w="2311" w:type="dxa"/>
          </w:tcPr>
          <w:p w14:paraId="7BFD8842" w14:textId="1D468059" w:rsidR="007B38C0" w:rsidRDefault="007B38C0" w:rsidP="007B38C0">
            <w:pPr>
              <w:rPr>
                <w:sz w:val="24"/>
                <w:szCs w:val="24"/>
              </w:rPr>
            </w:pPr>
            <w:r>
              <w:t>Кокццдиондомикоза</w:t>
            </w:r>
          </w:p>
        </w:tc>
        <w:tc>
          <w:tcPr>
            <w:tcW w:w="2515" w:type="dxa"/>
          </w:tcPr>
          <w:p w14:paraId="48614F7A" w14:textId="77777777" w:rsidR="007B38C0" w:rsidRDefault="007B38C0" w:rsidP="007B38C0">
            <w:pPr>
              <w:rPr>
                <w:sz w:val="24"/>
                <w:szCs w:val="24"/>
              </w:rPr>
            </w:pPr>
          </w:p>
        </w:tc>
        <w:tc>
          <w:tcPr>
            <w:tcW w:w="1914" w:type="dxa"/>
          </w:tcPr>
          <w:p w14:paraId="5832CCC4" w14:textId="34B6A30F" w:rsidR="007B38C0" w:rsidRDefault="007B38C0" w:rsidP="007B38C0">
            <w:pPr>
              <w:rPr>
                <w:sz w:val="24"/>
                <w:szCs w:val="24"/>
              </w:rPr>
            </w:pPr>
            <w:r>
              <w:t xml:space="preserve">200 до 400 </w:t>
            </w:r>
            <w:r>
              <w:rPr>
                <w:lang w:val="en-US"/>
              </w:rPr>
              <w:t>mg</w:t>
            </w:r>
          </w:p>
        </w:tc>
        <w:tc>
          <w:tcPr>
            <w:tcW w:w="2836" w:type="dxa"/>
            <w:vAlign w:val="bottom"/>
          </w:tcPr>
          <w:p w14:paraId="2FE6660D" w14:textId="5D9A5049" w:rsidR="007B38C0" w:rsidRDefault="007B38C0" w:rsidP="007B38C0">
            <w:pPr>
              <w:rPr>
                <w:sz w:val="24"/>
                <w:szCs w:val="24"/>
              </w:rPr>
            </w:pPr>
            <w:r>
              <w:t xml:space="preserve">11 до 24 месеца или по-дълго в зависимост от отговора на пациента. При някои пациенти е подходяща дневна доза от 800 </w:t>
            </w:r>
            <w:r>
              <w:rPr>
                <w:lang w:val="en-US"/>
              </w:rPr>
              <w:t>mg</w:t>
            </w:r>
            <w:r w:rsidRPr="007B38C0">
              <w:rPr>
                <w:lang w:val="ru-RU"/>
              </w:rPr>
              <w:t xml:space="preserve"> </w:t>
            </w:r>
            <w:r>
              <w:t>и особено при менингит.</w:t>
            </w:r>
          </w:p>
        </w:tc>
      </w:tr>
      <w:tr w:rsidR="007B38C0" w14:paraId="02CE136D" w14:textId="77777777" w:rsidTr="007B38C0">
        <w:tc>
          <w:tcPr>
            <w:tcW w:w="2311" w:type="dxa"/>
          </w:tcPr>
          <w:p w14:paraId="711B56B0" w14:textId="0406F88F" w:rsidR="007B38C0" w:rsidRDefault="007B38C0" w:rsidP="007B38C0">
            <w:pPr>
              <w:rPr>
                <w:sz w:val="24"/>
                <w:szCs w:val="24"/>
              </w:rPr>
            </w:pPr>
            <w:r>
              <w:t>Инвазивна кандидоза</w:t>
            </w:r>
          </w:p>
        </w:tc>
        <w:tc>
          <w:tcPr>
            <w:tcW w:w="2515" w:type="dxa"/>
          </w:tcPr>
          <w:p w14:paraId="40D99AD8" w14:textId="77777777" w:rsidR="007B38C0" w:rsidRDefault="007B38C0" w:rsidP="007B38C0">
            <w:pPr>
              <w:rPr>
                <w:sz w:val="24"/>
                <w:szCs w:val="24"/>
              </w:rPr>
            </w:pPr>
          </w:p>
        </w:tc>
        <w:tc>
          <w:tcPr>
            <w:tcW w:w="1914" w:type="dxa"/>
            <w:vAlign w:val="bottom"/>
          </w:tcPr>
          <w:p w14:paraId="77162283" w14:textId="3A583D51" w:rsidR="007B38C0" w:rsidRDefault="007B38C0" w:rsidP="007B38C0">
            <w:pPr>
              <w:rPr>
                <w:sz w:val="24"/>
                <w:szCs w:val="24"/>
              </w:rPr>
            </w:pPr>
            <w:r>
              <w:t xml:space="preserve">Натоварваща доза: 800 </w:t>
            </w:r>
            <w:r>
              <w:rPr>
                <w:lang w:val="en-US"/>
              </w:rPr>
              <w:t>mg</w:t>
            </w:r>
            <w:r w:rsidRPr="007B38C0">
              <w:rPr>
                <w:lang w:val="ru-RU"/>
              </w:rPr>
              <w:t xml:space="preserve"> </w:t>
            </w:r>
            <w:r>
              <w:t xml:space="preserve">през първия ден Последваща доза: 400 </w:t>
            </w:r>
            <w:r>
              <w:rPr>
                <w:lang w:val="en-US"/>
              </w:rPr>
              <w:t>mg</w:t>
            </w:r>
            <w:r w:rsidRPr="007B38C0">
              <w:rPr>
                <w:lang w:val="ru-RU"/>
              </w:rPr>
              <w:t xml:space="preserve"> </w:t>
            </w:r>
            <w:r>
              <w:t>дневно</w:t>
            </w:r>
          </w:p>
        </w:tc>
        <w:tc>
          <w:tcPr>
            <w:tcW w:w="2836" w:type="dxa"/>
          </w:tcPr>
          <w:p w14:paraId="5DE89D0B" w14:textId="77777777" w:rsidR="007B38C0" w:rsidRDefault="007B38C0" w:rsidP="007B38C0">
            <w:r>
              <w:t>Като цяло се препоръчва продължителността на терапията за</w:t>
            </w:r>
            <w:r w:rsidRPr="007B38C0">
              <w:rPr>
                <w:lang w:val="ru-RU"/>
              </w:rPr>
              <w:t xml:space="preserve"> </w:t>
            </w:r>
            <w:r>
              <w:t>кандидемия да продължи 2 седмици след</w:t>
            </w:r>
          </w:p>
          <w:p w14:paraId="2736F7D3" w14:textId="547A2CAC" w:rsidR="007B38C0" w:rsidRDefault="007B38C0" w:rsidP="007B38C0">
            <w:pPr>
              <w:rPr>
                <w:sz w:val="24"/>
                <w:szCs w:val="24"/>
              </w:rPr>
            </w:pPr>
            <w:r>
              <w:t>негативната хемокултура и отзвучаване на признаците и симптомите за кандидемия.</w:t>
            </w:r>
          </w:p>
        </w:tc>
      </w:tr>
      <w:tr w:rsidR="007B38C0" w14:paraId="152F4922" w14:textId="77777777" w:rsidTr="007B38C0">
        <w:tc>
          <w:tcPr>
            <w:tcW w:w="2311" w:type="dxa"/>
            <w:vMerge w:val="restart"/>
          </w:tcPr>
          <w:p w14:paraId="36CBF1CC" w14:textId="41D405DC" w:rsidR="007B38C0" w:rsidRDefault="007B38C0" w:rsidP="007B38C0">
            <w:pPr>
              <w:rPr>
                <w:sz w:val="24"/>
                <w:szCs w:val="24"/>
              </w:rPr>
            </w:pPr>
            <w:r>
              <w:t>Лечение на кандидоза на лигавиците</w:t>
            </w:r>
          </w:p>
        </w:tc>
        <w:tc>
          <w:tcPr>
            <w:tcW w:w="2515" w:type="dxa"/>
          </w:tcPr>
          <w:p w14:paraId="4907F79A" w14:textId="7DF19BCA" w:rsidR="007B38C0" w:rsidRDefault="007B38C0" w:rsidP="007B38C0">
            <w:pPr>
              <w:rPr>
                <w:sz w:val="24"/>
                <w:szCs w:val="24"/>
              </w:rPr>
            </w:pPr>
            <w:r>
              <w:t>Орофарингеална кандидоза</w:t>
            </w:r>
          </w:p>
        </w:tc>
        <w:tc>
          <w:tcPr>
            <w:tcW w:w="1914" w:type="dxa"/>
            <w:vAlign w:val="bottom"/>
          </w:tcPr>
          <w:p w14:paraId="38F2908A" w14:textId="77777777" w:rsidR="007B38C0" w:rsidRDefault="007B38C0" w:rsidP="007B38C0">
            <w:r>
              <w:t xml:space="preserve">Натоварваща доза: 200 до 400 </w:t>
            </w:r>
            <w:r>
              <w:rPr>
                <w:lang w:val="en-US"/>
              </w:rPr>
              <w:t>mg</w:t>
            </w:r>
            <w:r w:rsidRPr="007B38C0">
              <w:rPr>
                <w:lang w:val="ru-RU"/>
              </w:rPr>
              <w:t xml:space="preserve"> </w:t>
            </w:r>
            <w:r>
              <w:t>през първия ден Последваща доза:</w:t>
            </w:r>
          </w:p>
          <w:p w14:paraId="51B2AD47" w14:textId="4C9FD739" w:rsidR="007B38C0" w:rsidRDefault="007B38C0" w:rsidP="007B38C0">
            <w:pPr>
              <w:rPr>
                <w:sz w:val="24"/>
                <w:szCs w:val="24"/>
              </w:rPr>
            </w:pPr>
            <w:r>
              <w:t xml:space="preserve">100 до 200 </w:t>
            </w:r>
            <w:r>
              <w:rPr>
                <w:lang w:val="en-US"/>
              </w:rPr>
              <w:t xml:space="preserve">mg </w:t>
            </w:r>
            <w:r>
              <w:t>дневно</w:t>
            </w:r>
          </w:p>
        </w:tc>
        <w:tc>
          <w:tcPr>
            <w:tcW w:w="2836" w:type="dxa"/>
          </w:tcPr>
          <w:p w14:paraId="2B107E6C" w14:textId="77777777" w:rsidR="007B38C0" w:rsidRDefault="007B38C0" w:rsidP="007B38C0">
            <w:r>
              <w:t>7 до 21 дни (до постигане на ремисия на орофарингеалната кандцдоза)</w:t>
            </w:r>
          </w:p>
          <w:p w14:paraId="4EAE70EE" w14:textId="32CED179" w:rsidR="007B38C0" w:rsidRDefault="007B38C0" w:rsidP="007B38C0">
            <w:pPr>
              <w:rPr>
                <w:sz w:val="24"/>
                <w:szCs w:val="24"/>
              </w:rPr>
            </w:pPr>
            <w:r>
              <w:t>По-продължително прилагане се изисква при тежко имунокомпрометирани пациенти.</w:t>
            </w:r>
          </w:p>
        </w:tc>
      </w:tr>
      <w:tr w:rsidR="007B38C0" w14:paraId="5CDA945B" w14:textId="77777777" w:rsidTr="007B38C0">
        <w:tc>
          <w:tcPr>
            <w:tcW w:w="2311" w:type="dxa"/>
            <w:vMerge/>
          </w:tcPr>
          <w:p w14:paraId="52155BB1" w14:textId="77777777" w:rsidR="007B38C0" w:rsidRDefault="007B38C0" w:rsidP="007B38C0">
            <w:pPr>
              <w:rPr>
                <w:sz w:val="24"/>
                <w:szCs w:val="24"/>
              </w:rPr>
            </w:pPr>
          </w:p>
        </w:tc>
        <w:tc>
          <w:tcPr>
            <w:tcW w:w="2515" w:type="dxa"/>
          </w:tcPr>
          <w:p w14:paraId="186B73F0" w14:textId="4346D970" w:rsidR="007B38C0" w:rsidRDefault="007B38C0" w:rsidP="007B38C0">
            <w:pPr>
              <w:rPr>
                <w:sz w:val="24"/>
                <w:szCs w:val="24"/>
              </w:rPr>
            </w:pPr>
            <w:r>
              <w:t>Езофагеална кандндоза</w:t>
            </w:r>
          </w:p>
        </w:tc>
        <w:tc>
          <w:tcPr>
            <w:tcW w:w="1914" w:type="dxa"/>
            <w:vAlign w:val="bottom"/>
          </w:tcPr>
          <w:p w14:paraId="1010664C" w14:textId="77777777" w:rsidR="007B38C0" w:rsidRDefault="007B38C0" w:rsidP="007B38C0">
            <w:r>
              <w:t xml:space="preserve">Натоварваща доза: 200 до 400 </w:t>
            </w:r>
            <w:r>
              <w:rPr>
                <w:lang w:val="en-US"/>
              </w:rPr>
              <w:t>mg</w:t>
            </w:r>
            <w:r w:rsidRPr="007B38C0">
              <w:rPr>
                <w:lang w:val="ru-RU"/>
              </w:rPr>
              <w:t xml:space="preserve"> </w:t>
            </w:r>
            <w:r>
              <w:t>през първия ден Последваща доза:</w:t>
            </w:r>
          </w:p>
          <w:p w14:paraId="6D4B8178" w14:textId="60312575" w:rsidR="007B38C0" w:rsidRDefault="007B38C0" w:rsidP="007B38C0">
            <w:pPr>
              <w:rPr>
                <w:sz w:val="24"/>
                <w:szCs w:val="24"/>
              </w:rPr>
            </w:pPr>
            <w:r>
              <w:t xml:space="preserve">100 до 200 </w:t>
            </w:r>
            <w:r>
              <w:rPr>
                <w:lang w:val="en-US"/>
              </w:rPr>
              <w:t xml:space="preserve">mg </w:t>
            </w:r>
            <w:r>
              <w:t>дневно</w:t>
            </w:r>
          </w:p>
        </w:tc>
        <w:tc>
          <w:tcPr>
            <w:tcW w:w="2836" w:type="dxa"/>
          </w:tcPr>
          <w:p w14:paraId="04B2DD25" w14:textId="5876EE04" w:rsidR="007B38C0" w:rsidRDefault="007B38C0" w:rsidP="007B38C0">
            <w:pPr>
              <w:rPr>
                <w:sz w:val="24"/>
                <w:szCs w:val="24"/>
              </w:rPr>
            </w:pPr>
            <w:r>
              <w:t>14 до 30 дни (до постигане на ремисия на езофагеалната кандидоза) По-продължително прилагане се изисква при тежко имунокомпрометирани пациенти.</w:t>
            </w:r>
          </w:p>
        </w:tc>
      </w:tr>
      <w:tr w:rsidR="007B38C0" w14:paraId="4E85C008" w14:textId="77777777" w:rsidTr="007B38C0">
        <w:tc>
          <w:tcPr>
            <w:tcW w:w="2311" w:type="dxa"/>
            <w:vMerge/>
          </w:tcPr>
          <w:p w14:paraId="487A3E93" w14:textId="77777777" w:rsidR="007B38C0" w:rsidRDefault="007B38C0" w:rsidP="007B38C0">
            <w:pPr>
              <w:rPr>
                <w:sz w:val="24"/>
                <w:szCs w:val="24"/>
              </w:rPr>
            </w:pPr>
          </w:p>
        </w:tc>
        <w:tc>
          <w:tcPr>
            <w:tcW w:w="2515" w:type="dxa"/>
          </w:tcPr>
          <w:p w14:paraId="14BF6D3D" w14:textId="6595FA99" w:rsidR="007B38C0" w:rsidRDefault="007B38C0" w:rsidP="007B38C0">
            <w:pPr>
              <w:rPr>
                <w:sz w:val="24"/>
                <w:szCs w:val="24"/>
              </w:rPr>
            </w:pPr>
            <w:r>
              <w:t>Кандидурия</w:t>
            </w:r>
          </w:p>
        </w:tc>
        <w:tc>
          <w:tcPr>
            <w:tcW w:w="1914" w:type="dxa"/>
          </w:tcPr>
          <w:p w14:paraId="0ECE7CDA" w14:textId="45BBB60B" w:rsidR="007B38C0" w:rsidRDefault="007B38C0" w:rsidP="007B38C0">
            <w:pPr>
              <w:rPr>
                <w:sz w:val="24"/>
                <w:szCs w:val="24"/>
              </w:rPr>
            </w:pPr>
            <w:r>
              <w:t xml:space="preserve">200 до 400 </w:t>
            </w:r>
            <w:r>
              <w:rPr>
                <w:lang w:val="en-US"/>
              </w:rPr>
              <w:t xml:space="preserve">mg </w:t>
            </w:r>
            <w:r>
              <w:t>дневно</w:t>
            </w:r>
          </w:p>
        </w:tc>
        <w:tc>
          <w:tcPr>
            <w:tcW w:w="2836" w:type="dxa"/>
            <w:vAlign w:val="bottom"/>
          </w:tcPr>
          <w:p w14:paraId="229879CF" w14:textId="4D43A481" w:rsidR="007B38C0" w:rsidRDefault="007B38C0" w:rsidP="007B38C0">
            <w:pPr>
              <w:rPr>
                <w:sz w:val="24"/>
                <w:szCs w:val="24"/>
              </w:rPr>
            </w:pPr>
            <w:r>
              <w:t>7 до 21 дни По-продължително прилагане се изисква при тежко имунокомпрометирани пациенти.</w:t>
            </w:r>
          </w:p>
        </w:tc>
      </w:tr>
      <w:tr w:rsidR="007B38C0" w14:paraId="59A9A606" w14:textId="77777777" w:rsidTr="007B38C0">
        <w:tc>
          <w:tcPr>
            <w:tcW w:w="2311" w:type="dxa"/>
            <w:vMerge/>
          </w:tcPr>
          <w:p w14:paraId="7C24D7D5" w14:textId="77777777" w:rsidR="007B38C0" w:rsidRDefault="007B38C0" w:rsidP="007B38C0">
            <w:pPr>
              <w:rPr>
                <w:sz w:val="24"/>
                <w:szCs w:val="24"/>
              </w:rPr>
            </w:pPr>
          </w:p>
        </w:tc>
        <w:tc>
          <w:tcPr>
            <w:tcW w:w="2515" w:type="dxa"/>
            <w:vAlign w:val="bottom"/>
          </w:tcPr>
          <w:p w14:paraId="2C78F9EB" w14:textId="370AC0E8" w:rsidR="007B38C0" w:rsidRDefault="007B38C0" w:rsidP="007B38C0">
            <w:pPr>
              <w:rPr>
                <w:sz w:val="24"/>
                <w:szCs w:val="24"/>
              </w:rPr>
            </w:pPr>
            <w:r>
              <w:t>Хронична атрофична кацдидоза</w:t>
            </w:r>
          </w:p>
        </w:tc>
        <w:tc>
          <w:tcPr>
            <w:tcW w:w="1914" w:type="dxa"/>
          </w:tcPr>
          <w:p w14:paraId="381889CF" w14:textId="3297482B" w:rsidR="007B38C0" w:rsidRDefault="007B38C0" w:rsidP="007B38C0">
            <w:pPr>
              <w:rPr>
                <w:sz w:val="24"/>
                <w:szCs w:val="24"/>
              </w:rPr>
            </w:pPr>
            <w:r>
              <w:t xml:space="preserve">50 </w:t>
            </w:r>
            <w:r>
              <w:rPr>
                <w:lang w:val="en-US"/>
              </w:rPr>
              <w:t xml:space="preserve">mg </w:t>
            </w:r>
            <w:r>
              <w:t>дневно</w:t>
            </w:r>
          </w:p>
        </w:tc>
        <w:tc>
          <w:tcPr>
            <w:tcW w:w="2836" w:type="dxa"/>
          </w:tcPr>
          <w:p w14:paraId="206B9115" w14:textId="70B862D3" w:rsidR="007B38C0" w:rsidRDefault="007B38C0" w:rsidP="007B38C0">
            <w:pPr>
              <w:rPr>
                <w:sz w:val="24"/>
                <w:szCs w:val="24"/>
              </w:rPr>
            </w:pPr>
            <w:r>
              <w:t>14 дни</w:t>
            </w:r>
          </w:p>
        </w:tc>
      </w:tr>
      <w:tr w:rsidR="007B38C0" w14:paraId="595405E2" w14:textId="77777777" w:rsidTr="007B38C0">
        <w:tc>
          <w:tcPr>
            <w:tcW w:w="2311" w:type="dxa"/>
            <w:vMerge/>
          </w:tcPr>
          <w:p w14:paraId="5C531463" w14:textId="77777777" w:rsidR="007B38C0" w:rsidRDefault="007B38C0" w:rsidP="007B38C0">
            <w:pPr>
              <w:rPr>
                <w:sz w:val="24"/>
                <w:szCs w:val="24"/>
              </w:rPr>
            </w:pPr>
          </w:p>
        </w:tc>
        <w:tc>
          <w:tcPr>
            <w:tcW w:w="2515" w:type="dxa"/>
          </w:tcPr>
          <w:p w14:paraId="7A41FC7E" w14:textId="6CB4243F" w:rsidR="007B38C0" w:rsidRDefault="007B38C0" w:rsidP="007B38C0">
            <w:pPr>
              <w:rPr>
                <w:sz w:val="24"/>
                <w:szCs w:val="24"/>
              </w:rPr>
            </w:pPr>
            <w:r>
              <w:t>Хронична мукокутанна кандидоза</w:t>
            </w:r>
          </w:p>
        </w:tc>
        <w:tc>
          <w:tcPr>
            <w:tcW w:w="1914" w:type="dxa"/>
          </w:tcPr>
          <w:p w14:paraId="50806881" w14:textId="55DF7ECB" w:rsidR="007B38C0" w:rsidRDefault="007B38C0" w:rsidP="007B38C0">
            <w:pPr>
              <w:rPr>
                <w:sz w:val="24"/>
                <w:szCs w:val="24"/>
              </w:rPr>
            </w:pPr>
            <w:r>
              <w:t xml:space="preserve">50 до 100 </w:t>
            </w:r>
            <w:r>
              <w:rPr>
                <w:lang w:val="en-US"/>
              </w:rPr>
              <w:t xml:space="preserve">mg </w:t>
            </w:r>
            <w:r>
              <w:t>дневно</w:t>
            </w:r>
          </w:p>
        </w:tc>
        <w:tc>
          <w:tcPr>
            <w:tcW w:w="2836" w:type="dxa"/>
            <w:vAlign w:val="bottom"/>
          </w:tcPr>
          <w:p w14:paraId="69360B15" w14:textId="7A101FF6" w:rsidR="007B38C0" w:rsidRDefault="007B38C0" w:rsidP="007B38C0">
            <w:pPr>
              <w:rPr>
                <w:sz w:val="24"/>
                <w:szCs w:val="24"/>
              </w:rPr>
            </w:pPr>
            <w:r>
              <w:t>До 28 дни. По-продължително прилагане може да се наложи при тежки инфекции или при инфекции вследствие подчертана имунокомпрометираност.</w:t>
            </w:r>
          </w:p>
        </w:tc>
      </w:tr>
      <w:tr w:rsidR="007B38C0" w14:paraId="2C1A89D6" w14:textId="77777777" w:rsidTr="007B38C0">
        <w:tc>
          <w:tcPr>
            <w:tcW w:w="2311" w:type="dxa"/>
            <w:vMerge w:val="restart"/>
          </w:tcPr>
          <w:p w14:paraId="0772A677" w14:textId="57A727FC" w:rsidR="007B38C0" w:rsidRDefault="007B38C0" w:rsidP="007B38C0">
            <w:pPr>
              <w:rPr>
                <w:sz w:val="24"/>
                <w:szCs w:val="24"/>
              </w:rPr>
            </w:pPr>
            <w:r>
              <w:t xml:space="preserve">Профилактика на орофарингеална или езофагеална кандцдоза при пациенти инфектирани с </w:t>
            </w:r>
            <w:r>
              <w:rPr>
                <w:lang w:val="en-US"/>
              </w:rPr>
              <w:t>HIV</w:t>
            </w:r>
            <w:r w:rsidRPr="007B38C0">
              <w:rPr>
                <w:lang w:val="ru-RU"/>
              </w:rPr>
              <w:t>.</w:t>
            </w:r>
            <w:r>
              <w:t xml:space="preserve"> които са с висок риск от поява на рецидив.</w:t>
            </w:r>
          </w:p>
        </w:tc>
        <w:tc>
          <w:tcPr>
            <w:tcW w:w="2515" w:type="dxa"/>
          </w:tcPr>
          <w:p w14:paraId="5468E444" w14:textId="42B5E60F" w:rsidR="007B38C0" w:rsidRDefault="007B38C0" w:rsidP="007B38C0">
            <w:pPr>
              <w:rPr>
                <w:sz w:val="24"/>
                <w:szCs w:val="24"/>
              </w:rPr>
            </w:pPr>
            <w:r>
              <w:t>Орофарингеална кандидоза</w:t>
            </w:r>
          </w:p>
        </w:tc>
        <w:tc>
          <w:tcPr>
            <w:tcW w:w="1914" w:type="dxa"/>
            <w:vAlign w:val="bottom"/>
          </w:tcPr>
          <w:p w14:paraId="5709F804" w14:textId="57479C6C" w:rsidR="007B38C0" w:rsidRDefault="007B38C0" w:rsidP="007B38C0">
            <w:pPr>
              <w:rPr>
                <w:sz w:val="24"/>
                <w:szCs w:val="24"/>
              </w:rPr>
            </w:pPr>
            <w:r>
              <w:t xml:space="preserve">100 до 200 </w:t>
            </w:r>
            <w:r>
              <w:rPr>
                <w:lang w:val="en-US"/>
              </w:rPr>
              <w:t>mg</w:t>
            </w:r>
            <w:r w:rsidRPr="007B38C0">
              <w:rPr>
                <w:lang w:val="ru-RU"/>
              </w:rPr>
              <w:t xml:space="preserve"> </w:t>
            </w:r>
            <w:r>
              <w:t xml:space="preserve">дневно или 200 </w:t>
            </w:r>
            <w:r>
              <w:rPr>
                <w:lang w:val="en-US"/>
              </w:rPr>
              <w:t>mg</w:t>
            </w:r>
            <w:r w:rsidRPr="007B38C0">
              <w:rPr>
                <w:lang w:val="ru-RU"/>
              </w:rPr>
              <w:t xml:space="preserve"> </w:t>
            </w:r>
            <w:r>
              <w:t>три пъти седмично</w:t>
            </w:r>
          </w:p>
        </w:tc>
        <w:tc>
          <w:tcPr>
            <w:tcW w:w="2836" w:type="dxa"/>
          </w:tcPr>
          <w:p w14:paraId="347CA033" w14:textId="7148C64E" w:rsidR="007B38C0" w:rsidRDefault="007B38C0" w:rsidP="007B38C0">
            <w:pPr>
              <w:rPr>
                <w:sz w:val="24"/>
                <w:szCs w:val="24"/>
              </w:rPr>
            </w:pPr>
            <w:r>
              <w:t>Неопределен период от време за пациенти с хронична имунна супресия.</w:t>
            </w:r>
          </w:p>
        </w:tc>
      </w:tr>
      <w:tr w:rsidR="007B38C0" w14:paraId="42BDFDAA" w14:textId="77777777" w:rsidTr="007B38C0">
        <w:tc>
          <w:tcPr>
            <w:tcW w:w="2311" w:type="dxa"/>
            <w:vMerge/>
          </w:tcPr>
          <w:p w14:paraId="1126B142" w14:textId="77777777" w:rsidR="007B38C0" w:rsidRDefault="007B38C0" w:rsidP="007B38C0">
            <w:pPr>
              <w:rPr>
                <w:sz w:val="24"/>
                <w:szCs w:val="24"/>
              </w:rPr>
            </w:pPr>
          </w:p>
        </w:tc>
        <w:tc>
          <w:tcPr>
            <w:tcW w:w="2515" w:type="dxa"/>
          </w:tcPr>
          <w:p w14:paraId="146AF4A4" w14:textId="0FEC8DD5" w:rsidR="007B38C0" w:rsidRDefault="007B38C0" w:rsidP="007B38C0">
            <w:pPr>
              <w:rPr>
                <w:sz w:val="24"/>
                <w:szCs w:val="24"/>
              </w:rPr>
            </w:pPr>
            <w:r>
              <w:t>Езофагеална кандидоза</w:t>
            </w:r>
          </w:p>
        </w:tc>
        <w:tc>
          <w:tcPr>
            <w:tcW w:w="1914" w:type="dxa"/>
            <w:vAlign w:val="bottom"/>
          </w:tcPr>
          <w:p w14:paraId="6637EBE0" w14:textId="0109E2A6" w:rsidR="007B38C0" w:rsidRDefault="007B38C0" w:rsidP="007B38C0">
            <w:pPr>
              <w:rPr>
                <w:sz w:val="24"/>
                <w:szCs w:val="24"/>
              </w:rPr>
            </w:pPr>
            <w:r>
              <w:t xml:space="preserve">100 до 200 </w:t>
            </w:r>
            <w:r>
              <w:rPr>
                <w:lang w:val="en-US"/>
              </w:rPr>
              <w:t>mg</w:t>
            </w:r>
            <w:r w:rsidRPr="007B38C0">
              <w:rPr>
                <w:lang w:val="ru-RU"/>
              </w:rPr>
              <w:t xml:space="preserve"> </w:t>
            </w:r>
            <w:r>
              <w:t xml:space="preserve">дневно или 200 </w:t>
            </w:r>
            <w:r>
              <w:rPr>
                <w:lang w:val="en-US"/>
              </w:rPr>
              <w:t>mg</w:t>
            </w:r>
            <w:r w:rsidRPr="007B38C0">
              <w:rPr>
                <w:lang w:val="ru-RU"/>
              </w:rPr>
              <w:t xml:space="preserve"> </w:t>
            </w:r>
            <w:r>
              <w:t>три пъти седмично</w:t>
            </w:r>
          </w:p>
        </w:tc>
        <w:tc>
          <w:tcPr>
            <w:tcW w:w="2836" w:type="dxa"/>
          </w:tcPr>
          <w:p w14:paraId="0A60E857" w14:textId="7348AB9B" w:rsidR="007B38C0" w:rsidRDefault="007B38C0" w:rsidP="007B38C0">
            <w:pPr>
              <w:rPr>
                <w:sz w:val="24"/>
                <w:szCs w:val="24"/>
              </w:rPr>
            </w:pPr>
            <w:r>
              <w:t>Неопределен период от време за пациенти с хронична имунна супресия.</w:t>
            </w:r>
          </w:p>
        </w:tc>
      </w:tr>
      <w:tr w:rsidR="007B38C0" w14:paraId="7CBC35B4" w14:textId="77777777" w:rsidTr="007B38C0">
        <w:tc>
          <w:tcPr>
            <w:tcW w:w="2311" w:type="dxa"/>
          </w:tcPr>
          <w:p w14:paraId="0DB9351B" w14:textId="45EC4714" w:rsidR="007B38C0" w:rsidRDefault="007B38C0" w:rsidP="007B38C0">
            <w:pPr>
              <w:rPr>
                <w:sz w:val="24"/>
                <w:szCs w:val="24"/>
              </w:rPr>
            </w:pPr>
            <w:r>
              <w:t>Генитална кандндоза</w:t>
            </w:r>
          </w:p>
        </w:tc>
        <w:tc>
          <w:tcPr>
            <w:tcW w:w="2515" w:type="dxa"/>
          </w:tcPr>
          <w:p w14:paraId="146FB3B1" w14:textId="513FDC64" w:rsidR="007B38C0" w:rsidRDefault="007B38C0" w:rsidP="007B38C0">
            <w:pPr>
              <w:pStyle w:val="ListParagraph"/>
              <w:numPr>
                <w:ilvl w:val="0"/>
                <w:numId w:val="34"/>
              </w:numPr>
            </w:pPr>
            <w:r>
              <w:t>Остра вагинална кандидоза</w:t>
            </w:r>
          </w:p>
          <w:p w14:paraId="1C4D5695" w14:textId="6ACC7891" w:rsidR="007B38C0" w:rsidRDefault="007B38C0" w:rsidP="007B38C0">
            <w:pPr>
              <w:pStyle w:val="ListParagraph"/>
              <w:numPr>
                <w:ilvl w:val="0"/>
                <w:numId w:val="34"/>
              </w:numPr>
            </w:pPr>
            <w:r>
              <w:t>Кандидозен баланит</w:t>
            </w:r>
          </w:p>
          <w:p w14:paraId="15371830" w14:textId="0D262FCF" w:rsidR="007B38C0" w:rsidRPr="007B38C0" w:rsidRDefault="007B38C0" w:rsidP="007B38C0">
            <w:pPr>
              <w:pStyle w:val="ListParagraph"/>
              <w:numPr>
                <w:ilvl w:val="0"/>
                <w:numId w:val="34"/>
              </w:numPr>
              <w:rPr>
                <w:sz w:val="24"/>
                <w:szCs w:val="24"/>
              </w:rPr>
            </w:pPr>
            <w:r>
              <w:t>За понижаване на инцидентите от рекурентна вагинална кандидоза (4 или повече епизода в година)</w:t>
            </w:r>
          </w:p>
        </w:tc>
        <w:tc>
          <w:tcPr>
            <w:tcW w:w="1914" w:type="dxa"/>
          </w:tcPr>
          <w:p w14:paraId="28D2B24E" w14:textId="77777777" w:rsidR="007B38C0" w:rsidRDefault="007B38C0" w:rsidP="007B38C0">
            <w:r>
              <w:t xml:space="preserve">150 </w:t>
            </w:r>
            <w:r>
              <w:rPr>
                <w:lang w:val="en-US"/>
              </w:rPr>
              <w:t>mg</w:t>
            </w:r>
          </w:p>
          <w:p w14:paraId="5BE06D50" w14:textId="77777777" w:rsidR="007B38C0" w:rsidRDefault="007B38C0" w:rsidP="007B38C0"/>
          <w:p w14:paraId="4937A7A2" w14:textId="77777777" w:rsidR="007B38C0" w:rsidRDefault="007B38C0" w:rsidP="007B38C0"/>
          <w:p w14:paraId="4CD09C8E" w14:textId="77777777" w:rsidR="007B38C0" w:rsidRDefault="007B38C0" w:rsidP="007B38C0"/>
          <w:p w14:paraId="41733CD6" w14:textId="77777777" w:rsidR="007B38C0" w:rsidRDefault="007B38C0" w:rsidP="007B38C0"/>
          <w:p w14:paraId="360F227E" w14:textId="0E9B62F2" w:rsidR="007B38C0" w:rsidRDefault="007B38C0" w:rsidP="007B38C0">
            <w:r>
              <w:t xml:space="preserve">150 </w:t>
            </w:r>
            <w:r>
              <w:rPr>
                <w:lang w:val="en-US"/>
              </w:rPr>
              <w:t>mg</w:t>
            </w:r>
            <w:r w:rsidRPr="007B38C0">
              <w:rPr>
                <w:lang w:val="ru-RU"/>
              </w:rPr>
              <w:t xml:space="preserve"> </w:t>
            </w:r>
            <w:r>
              <w:t>на всеки трети ден (ден 1, 4 и 7) последвано от</w:t>
            </w:r>
          </w:p>
          <w:p w14:paraId="7DA7B8EF" w14:textId="7DAB1289" w:rsidR="007B38C0" w:rsidRDefault="007B38C0" w:rsidP="007B38C0">
            <w:pPr>
              <w:rPr>
                <w:sz w:val="24"/>
                <w:szCs w:val="24"/>
              </w:rPr>
            </w:pPr>
            <w:r>
              <w:t xml:space="preserve">поддържаща доза 150 </w:t>
            </w:r>
            <w:r>
              <w:rPr>
                <w:lang w:val="en-US"/>
              </w:rPr>
              <w:t>mg</w:t>
            </w:r>
            <w:r w:rsidRPr="007B38C0">
              <w:rPr>
                <w:lang w:val="ru-RU"/>
              </w:rPr>
              <w:t xml:space="preserve"> </w:t>
            </w:r>
            <w:r>
              <w:t>седмично</w:t>
            </w:r>
          </w:p>
        </w:tc>
        <w:tc>
          <w:tcPr>
            <w:tcW w:w="2836" w:type="dxa"/>
          </w:tcPr>
          <w:p w14:paraId="26F31F03" w14:textId="77777777" w:rsidR="007B38C0" w:rsidRDefault="007B38C0" w:rsidP="007B38C0">
            <w:r>
              <w:t>Еднократна доза</w:t>
            </w:r>
          </w:p>
          <w:p w14:paraId="2766AB35" w14:textId="77777777" w:rsidR="007B38C0" w:rsidRDefault="007B38C0" w:rsidP="007B38C0"/>
          <w:p w14:paraId="5417E061" w14:textId="77777777" w:rsidR="007B38C0" w:rsidRDefault="007B38C0" w:rsidP="007B38C0"/>
          <w:p w14:paraId="0CF525FF" w14:textId="77777777" w:rsidR="007B38C0" w:rsidRDefault="007B38C0" w:rsidP="007B38C0"/>
          <w:p w14:paraId="4FC97130" w14:textId="77777777" w:rsidR="007B38C0" w:rsidRDefault="007B38C0" w:rsidP="007B38C0"/>
          <w:p w14:paraId="266E9E50" w14:textId="33BF5FC2" w:rsidR="007B38C0" w:rsidRDefault="007B38C0" w:rsidP="007B38C0">
            <w:pPr>
              <w:rPr>
                <w:sz w:val="24"/>
                <w:szCs w:val="24"/>
              </w:rPr>
            </w:pPr>
            <w:r>
              <w:t>Поддържаща доза: 6 месеца</w:t>
            </w:r>
          </w:p>
        </w:tc>
      </w:tr>
      <w:tr w:rsidR="007B38C0" w14:paraId="009B8440" w14:textId="77777777" w:rsidTr="007B38C0">
        <w:tc>
          <w:tcPr>
            <w:tcW w:w="2311" w:type="dxa"/>
            <w:vMerge w:val="restart"/>
          </w:tcPr>
          <w:p w14:paraId="5B654801" w14:textId="645C557E" w:rsidR="007B38C0" w:rsidRDefault="007B38C0" w:rsidP="007B38C0">
            <w:pPr>
              <w:rPr>
                <w:sz w:val="24"/>
                <w:szCs w:val="24"/>
              </w:rPr>
            </w:pPr>
            <w:r>
              <w:t>Дерматомнкозн</w:t>
            </w:r>
          </w:p>
        </w:tc>
        <w:tc>
          <w:tcPr>
            <w:tcW w:w="2515" w:type="dxa"/>
          </w:tcPr>
          <w:p w14:paraId="4548ABE6" w14:textId="77777777" w:rsidR="007B38C0" w:rsidRDefault="007B38C0" w:rsidP="007B38C0">
            <w:pPr>
              <w:pStyle w:val="ListParagraph"/>
              <w:numPr>
                <w:ilvl w:val="0"/>
                <w:numId w:val="35"/>
              </w:numPr>
            </w:pPr>
            <w:r w:rsidRPr="007B38C0">
              <w:rPr>
                <w:i/>
                <w:iCs/>
                <w:lang w:val="en-US"/>
              </w:rPr>
              <w:t xml:space="preserve">-tinea </w:t>
            </w:r>
            <w:proofErr w:type="spellStart"/>
            <w:r w:rsidRPr="007B38C0">
              <w:rPr>
                <w:i/>
                <w:iCs/>
                <w:lang w:val="en-US"/>
              </w:rPr>
              <w:t>pedis</w:t>
            </w:r>
            <w:proofErr w:type="spellEnd"/>
            <w:r w:rsidRPr="007B38C0">
              <w:rPr>
                <w:i/>
                <w:iCs/>
                <w:lang w:val="en-US"/>
              </w:rPr>
              <w:t>,</w:t>
            </w:r>
          </w:p>
          <w:p w14:paraId="0FF76A54" w14:textId="77777777" w:rsidR="007B38C0" w:rsidRDefault="007B38C0" w:rsidP="007B38C0">
            <w:pPr>
              <w:pStyle w:val="ListParagraph"/>
              <w:numPr>
                <w:ilvl w:val="0"/>
                <w:numId w:val="35"/>
              </w:numPr>
            </w:pPr>
            <w:r w:rsidRPr="007B38C0">
              <w:rPr>
                <w:i/>
                <w:iCs/>
                <w:lang w:val="en-US"/>
              </w:rPr>
              <w:t xml:space="preserve">-tinea </w:t>
            </w:r>
            <w:proofErr w:type="spellStart"/>
            <w:r w:rsidRPr="007B38C0">
              <w:rPr>
                <w:i/>
                <w:iCs/>
                <w:lang w:val="en-US"/>
              </w:rPr>
              <w:t>corporis</w:t>
            </w:r>
            <w:proofErr w:type="spellEnd"/>
            <w:r w:rsidRPr="007B38C0">
              <w:rPr>
                <w:i/>
                <w:iCs/>
                <w:lang w:val="en-US"/>
              </w:rPr>
              <w:t>,</w:t>
            </w:r>
          </w:p>
          <w:p w14:paraId="2EE4C04A" w14:textId="77777777" w:rsidR="007B38C0" w:rsidRPr="007B38C0" w:rsidRDefault="007B38C0" w:rsidP="007B38C0">
            <w:pPr>
              <w:pStyle w:val="ListParagraph"/>
              <w:numPr>
                <w:ilvl w:val="0"/>
                <w:numId w:val="35"/>
              </w:numPr>
              <w:rPr>
                <w:i/>
                <w:iCs/>
                <w:lang w:val="en-US"/>
              </w:rPr>
            </w:pPr>
            <w:r w:rsidRPr="007B38C0">
              <w:rPr>
                <w:i/>
                <w:iCs/>
                <w:lang w:val="en-US"/>
              </w:rPr>
              <w:t xml:space="preserve">-tinea </w:t>
            </w:r>
            <w:proofErr w:type="spellStart"/>
            <w:r w:rsidRPr="007B38C0">
              <w:rPr>
                <w:i/>
                <w:iCs/>
                <w:lang w:val="en-US"/>
              </w:rPr>
              <w:t>cruris</w:t>
            </w:r>
            <w:proofErr w:type="spellEnd"/>
            <w:r w:rsidRPr="007B38C0">
              <w:rPr>
                <w:i/>
                <w:iCs/>
                <w:lang w:val="en-US"/>
              </w:rPr>
              <w:t xml:space="preserve">, </w:t>
            </w:r>
          </w:p>
          <w:p w14:paraId="700426D9" w14:textId="77777777" w:rsidR="007B38C0" w:rsidRPr="007B38C0" w:rsidRDefault="007B38C0" w:rsidP="007B38C0">
            <w:pPr>
              <w:pStyle w:val="ListParagraph"/>
              <w:numPr>
                <w:ilvl w:val="0"/>
                <w:numId w:val="35"/>
              </w:numPr>
              <w:rPr>
                <w:i/>
                <w:iCs/>
              </w:rPr>
            </w:pPr>
            <w:r w:rsidRPr="007B38C0">
              <w:rPr>
                <w:i/>
                <w:iCs/>
              </w:rPr>
              <w:t xml:space="preserve">-кандида </w:t>
            </w:r>
          </w:p>
          <w:p w14:paraId="578833E4" w14:textId="18B19740" w:rsidR="007B38C0" w:rsidRPr="007B38C0" w:rsidRDefault="007B38C0" w:rsidP="007B38C0">
            <w:pPr>
              <w:pStyle w:val="ListParagraph"/>
              <w:numPr>
                <w:ilvl w:val="0"/>
                <w:numId w:val="35"/>
              </w:numPr>
              <w:rPr>
                <w:sz w:val="24"/>
                <w:szCs w:val="24"/>
              </w:rPr>
            </w:pPr>
            <w:r w:rsidRPr="007B38C0">
              <w:rPr>
                <w:i/>
                <w:iCs/>
              </w:rPr>
              <w:t>инфекции</w:t>
            </w:r>
          </w:p>
        </w:tc>
        <w:tc>
          <w:tcPr>
            <w:tcW w:w="1914" w:type="dxa"/>
          </w:tcPr>
          <w:p w14:paraId="1F3B9064" w14:textId="7D29DC07" w:rsidR="007B38C0" w:rsidRDefault="007B38C0" w:rsidP="007B38C0">
            <w:pPr>
              <w:rPr>
                <w:sz w:val="24"/>
                <w:szCs w:val="24"/>
              </w:rPr>
            </w:pPr>
            <w:r w:rsidRPr="007B38C0">
              <w:rPr>
                <w:lang w:val="ru-RU"/>
              </w:rPr>
              <w:t xml:space="preserve">150 </w:t>
            </w:r>
            <w:r>
              <w:rPr>
                <w:lang w:val="en-US"/>
              </w:rPr>
              <w:t>mg</w:t>
            </w:r>
            <w:r w:rsidRPr="007B38C0">
              <w:rPr>
                <w:lang w:val="ru-RU"/>
              </w:rPr>
              <w:t xml:space="preserve"> </w:t>
            </w:r>
            <w:r>
              <w:t xml:space="preserve">еднократно седмично или </w:t>
            </w:r>
            <w:r w:rsidRPr="007B38C0">
              <w:rPr>
                <w:lang w:val="ru-RU"/>
              </w:rPr>
              <w:t xml:space="preserve">50 </w:t>
            </w:r>
            <w:r>
              <w:rPr>
                <w:lang w:val="en-US"/>
              </w:rPr>
              <w:t>mg</w:t>
            </w:r>
            <w:r w:rsidRPr="007B38C0">
              <w:rPr>
                <w:lang w:val="ru-RU"/>
              </w:rPr>
              <w:t xml:space="preserve"> </w:t>
            </w:r>
            <w:r>
              <w:t>еднократно дневно</w:t>
            </w:r>
          </w:p>
        </w:tc>
        <w:tc>
          <w:tcPr>
            <w:tcW w:w="2836" w:type="dxa"/>
          </w:tcPr>
          <w:p w14:paraId="4B1F08A5" w14:textId="49EAF526" w:rsidR="007B38C0" w:rsidRDefault="007B38C0" w:rsidP="007B38C0">
            <w:pPr>
              <w:rPr>
                <w:sz w:val="24"/>
                <w:szCs w:val="24"/>
              </w:rPr>
            </w:pPr>
            <w:r>
              <w:t xml:space="preserve">2 до 4 седмици; при </w:t>
            </w:r>
            <w:r>
              <w:rPr>
                <w:i/>
                <w:iCs/>
                <w:lang w:val="en-US"/>
              </w:rPr>
              <w:t>tinea</w:t>
            </w:r>
            <w:r w:rsidRPr="007B38C0">
              <w:rPr>
                <w:i/>
                <w:iCs/>
                <w:lang w:val="ru-RU"/>
              </w:rPr>
              <w:t xml:space="preserve"> </w:t>
            </w:r>
            <w:proofErr w:type="spellStart"/>
            <w:r>
              <w:rPr>
                <w:i/>
                <w:iCs/>
                <w:lang w:val="en-US"/>
              </w:rPr>
              <w:t>pedis</w:t>
            </w:r>
            <w:proofErr w:type="spellEnd"/>
            <w:r w:rsidRPr="007B38C0">
              <w:rPr>
                <w:lang w:val="ru-RU"/>
              </w:rPr>
              <w:t xml:space="preserve"> </w:t>
            </w:r>
            <w:r>
              <w:t>лечението може да продължи до 6 седмици</w:t>
            </w:r>
          </w:p>
        </w:tc>
      </w:tr>
      <w:tr w:rsidR="007B38C0" w14:paraId="635D3EDC" w14:textId="77777777" w:rsidTr="007B38C0">
        <w:tc>
          <w:tcPr>
            <w:tcW w:w="2311" w:type="dxa"/>
            <w:vMerge/>
          </w:tcPr>
          <w:p w14:paraId="692D4AB6" w14:textId="77777777" w:rsidR="007B38C0" w:rsidRDefault="007B38C0" w:rsidP="007B38C0">
            <w:pPr>
              <w:rPr>
                <w:sz w:val="24"/>
                <w:szCs w:val="24"/>
              </w:rPr>
            </w:pPr>
          </w:p>
        </w:tc>
        <w:tc>
          <w:tcPr>
            <w:tcW w:w="2515" w:type="dxa"/>
          </w:tcPr>
          <w:p w14:paraId="0998228E" w14:textId="55CB8F57" w:rsidR="007B38C0" w:rsidRDefault="007B38C0" w:rsidP="007B38C0">
            <w:pPr>
              <w:rPr>
                <w:sz w:val="24"/>
                <w:szCs w:val="24"/>
              </w:rPr>
            </w:pPr>
            <w:r>
              <w:rPr>
                <w:i/>
                <w:iCs/>
                <w:lang w:val="en-US"/>
              </w:rPr>
              <w:t>-tinea versicolor</w:t>
            </w:r>
          </w:p>
        </w:tc>
        <w:tc>
          <w:tcPr>
            <w:tcW w:w="1914" w:type="dxa"/>
          </w:tcPr>
          <w:p w14:paraId="7D46E2F4" w14:textId="77777777" w:rsidR="007B38C0" w:rsidRDefault="007B38C0" w:rsidP="007B38C0">
            <w:r>
              <w:t xml:space="preserve">300 до 400 </w:t>
            </w:r>
            <w:r>
              <w:rPr>
                <w:lang w:val="en-US"/>
              </w:rPr>
              <w:t>mg</w:t>
            </w:r>
            <w:r w:rsidRPr="007B38C0">
              <w:rPr>
                <w:lang w:val="ru-RU"/>
              </w:rPr>
              <w:t xml:space="preserve"> </w:t>
            </w:r>
            <w:r>
              <w:t>еднократно седмично</w:t>
            </w:r>
          </w:p>
          <w:p w14:paraId="2C7258E2" w14:textId="237DAF7E" w:rsidR="007B38C0" w:rsidRDefault="007B38C0" w:rsidP="007B38C0">
            <w:pPr>
              <w:rPr>
                <w:sz w:val="24"/>
                <w:szCs w:val="24"/>
              </w:rPr>
            </w:pPr>
            <w:r>
              <w:t xml:space="preserve">50 </w:t>
            </w:r>
            <w:r>
              <w:rPr>
                <w:lang w:val="en-US"/>
              </w:rPr>
              <w:t>mg</w:t>
            </w:r>
            <w:r w:rsidRPr="007B38C0">
              <w:rPr>
                <w:lang w:val="ru-RU"/>
              </w:rPr>
              <w:t xml:space="preserve"> </w:t>
            </w:r>
            <w:r>
              <w:t>еднократно дневно</w:t>
            </w:r>
          </w:p>
        </w:tc>
        <w:tc>
          <w:tcPr>
            <w:tcW w:w="2836" w:type="dxa"/>
          </w:tcPr>
          <w:p w14:paraId="27C22A33" w14:textId="77777777" w:rsidR="007B38C0" w:rsidRDefault="007B38C0" w:rsidP="007B38C0">
            <w:r>
              <w:t>1 до 3 седмици</w:t>
            </w:r>
          </w:p>
          <w:p w14:paraId="16D6B25A" w14:textId="77777777" w:rsidR="007B38C0" w:rsidRDefault="007B38C0" w:rsidP="007B38C0"/>
          <w:p w14:paraId="14D7F9FA" w14:textId="77777777" w:rsidR="007B38C0" w:rsidRDefault="007B38C0" w:rsidP="007B38C0"/>
          <w:p w14:paraId="39C8B1E4" w14:textId="4584DB25" w:rsidR="007B38C0" w:rsidRDefault="007B38C0" w:rsidP="007B38C0">
            <w:pPr>
              <w:rPr>
                <w:sz w:val="24"/>
                <w:szCs w:val="24"/>
              </w:rPr>
            </w:pPr>
            <w:r>
              <w:t>2 до 4 седмици</w:t>
            </w:r>
          </w:p>
        </w:tc>
      </w:tr>
      <w:tr w:rsidR="007B38C0" w14:paraId="53B08ACC" w14:textId="77777777" w:rsidTr="007B38C0">
        <w:tc>
          <w:tcPr>
            <w:tcW w:w="2311" w:type="dxa"/>
            <w:vMerge/>
          </w:tcPr>
          <w:p w14:paraId="0B415F42" w14:textId="77777777" w:rsidR="007B38C0" w:rsidRDefault="007B38C0" w:rsidP="007B38C0">
            <w:pPr>
              <w:rPr>
                <w:sz w:val="24"/>
                <w:szCs w:val="24"/>
              </w:rPr>
            </w:pPr>
          </w:p>
        </w:tc>
        <w:tc>
          <w:tcPr>
            <w:tcW w:w="2515" w:type="dxa"/>
          </w:tcPr>
          <w:p w14:paraId="65F01894" w14:textId="5FE42848" w:rsidR="007B38C0" w:rsidRPr="007B38C0" w:rsidRDefault="007B38C0" w:rsidP="007B38C0">
            <w:pPr>
              <w:pStyle w:val="ListParagraph"/>
              <w:numPr>
                <w:ilvl w:val="0"/>
                <w:numId w:val="36"/>
              </w:numPr>
              <w:rPr>
                <w:sz w:val="24"/>
                <w:szCs w:val="24"/>
              </w:rPr>
            </w:pPr>
            <w:r w:rsidRPr="007B38C0">
              <w:rPr>
                <w:i/>
                <w:iCs/>
                <w:lang w:val="en-US"/>
              </w:rPr>
              <w:t xml:space="preserve">- tinea </w:t>
            </w:r>
            <w:proofErr w:type="spellStart"/>
            <w:r w:rsidRPr="007B38C0">
              <w:rPr>
                <w:i/>
                <w:iCs/>
                <w:lang w:val="en-US"/>
              </w:rPr>
              <w:t>unguium</w:t>
            </w:r>
            <w:proofErr w:type="spellEnd"/>
            <w:r w:rsidRPr="007B38C0">
              <w:rPr>
                <w:i/>
                <w:iCs/>
                <w:lang w:val="en-US"/>
              </w:rPr>
              <w:t xml:space="preserve"> </w:t>
            </w:r>
            <w:r w:rsidRPr="007B38C0">
              <w:rPr>
                <w:i/>
                <w:iCs/>
              </w:rPr>
              <w:t>(онихомикози)</w:t>
            </w:r>
          </w:p>
        </w:tc>
        <w:tc>
          <w:tcPr>
            <w:tcW w:w="1914" w:type="dxa"/>
          </w:tcPr>
          <w:p w14:paraId="46EBC90C" w14:textId="4EEA2A1F" w:rsidR="007B38C0" w:rsidRDefault="007B38C0" w:rsidP="007B38C0">
            <w:pPr>
              <w:rPr>
                <w:sz w:val="24"/>
                <w:szCs w:val="24"/>
              </w:rPr>
            </w:pPr>
            <w:r>
              <w:t xml:space="preserve">150 </w:t>
            </w:r>
            <w:r>
              <w:rPr>
                <w:lang w:val="en-US"/>
              </w:rPr>
              <w:t xml:space="preserve">mg </w:t>
            </w:r>
            <w:r>
              <w:t>еднократно седмично</w:t>
            </w:r>
          </w:p>
        </w:tc>
        <w:tc>
          <w:tcPr>
            <w:tcW w:w="2836" w:type="dxa"/>
          </w:tcPr>
          <w:p w14:paraId="5E8C9EAF" w14:textId="085ECA8C" w:rsidR="007B38C0" w:rsidRDefault="007B38C0" w:rsidP="007B38C0">
            <w:pPr>
              <w:rPr>
                <w:sz w:val="24"/>
                <w:szCs w:val="24"/>
              </w:rPr>
            </w:pPr>
            <w:r>
              <w:t xml:space="preserve">Лечението трябва да продължи до израстването на нов </w:t>
            </w:r>
            <w:r>
              <w:lastRenderedPageBreak/>
              <w:t>незаразен нокът. Ноктите на ръцете и краката израстват повторно в продължение на 3 до 6 месеца или 6 до 12 месеца съответно. Растежът варира индивидуално и в зависимост от възрастта. След успешно лечение на хронични инфекции ноктите могат да останат обезформени.</w:t>
            </w:r>
          </w:p>
        </w:tc>
      </w:tr>
      <w:tr w:rsidR="007B38C0" w14:paraId="7D9ED66E" w14:textId="77777777" w:rsidTr="007B38C0">
        <w:tc>
          <w:tcPr>
            <w:tcW w:w="2311" w:type="dxa"/>
          </w:tcPr>
          <w:p w14:paraId="36C98B2D" w14:textId="378D03D3" w:rsidR="007B38C0" w:rsidRDefault="007B38C0" w:rsidP="007B38C0">
            <w:pPr>
              <w:rPr>
                <w:sz w:val="24"/>
                <w:szCs w:val="24"/>
              </w:rPr>
            </w:pPr>
            <w:r>
              <w:lastRenderedPageBreak/>
              <w:t>Профилактика на кандндозни инфекции при пациенти с продължителна неутропения</w:t>
            </w:r>
          </w:p>
        </w:tc>
        <w:tc>
          <w:tcPr>
            <w:tcW w:w="2515" w:type="dxa"/>
          </w:tcPr>
          <w:p w14:paraId="6CED19BB" w14:textId="77777777" w:rsidR="007B38C0" w:rsidRDefault="007B38C0" w:rsidP="007B38C0">
            <w:pPr>
              <w:rPr>
                <w:sz w:val="24"/>
                <w:szCs w:val="24"/>
              </w:rPr>
            </w:pPr>
          </w:p>
        </w:tc>
        <w:tc>
          <w:tcPr>
            <w:tcW w:w="1914" w:type="dxa"/>
          </w:tcPr>
          <w:p w14:paraId="5F0119B6" w14:textId="37D87A83" w:rsidR="007B38C0" w:rsidRDefault="007B38C0" w:rsidP="007B38C0">
            <w:pPr>
              <w:rPr>
                <w:sz w:val="24"/>
                <w:szCs w:val="24"/>
              </w:rPr>
            </w:pPr>
            <w:r>
              <w:t xml:space="preserve">200 до 400 </w:t>
            </w:r>
            <w:r>
              <w:rPr>
                <w:lang w:val="en-US"/>
              </w:rPr>
              <w:t>mg</w:t>
            </w:r>
          </w:p>
        </w:tc>
        <w:tc>
          <w:tcPr>
            <w:tcW w:w="2836" w:type="dxa"/>
          </w:tcPr>
          <w:p w14:paraId="484441D8" w14:textId="06E0CAA9" w:rsidR="007B38C0" w:rsidRDefault="007B38C0" w:rsidP="007B38C0">
            <w:pPr>
              <w:rPr>
                <w:sz w:val="24"/>
                <w:szCs w:val="24"/>
              </w:rPr>
            </w:pPr>
            <w:r>
              <w:t xml:space="preserve">Лечението трябва да започне няколко дни преди очакваното развитие на неутропения и продължава 7 дни след отзвучаване на неутропенията и повишаване на броя на неутрофилите над 1 000 клетки за </w:t>
            </w:r>
            <w:r>
              <w:rPr>
                <w:u w:val="single"/>
                <w:lang w:val="en-US"/>
              </w:rPr>
              <w:t>mm</w:t>
            </w:r>
            <w:r w:rsidRPr="007B38C0">
              <w:rPr>
                <w:u w:val="single"/>
                <w:vertAlign w:val="superscript"/>
                <w:lang w:val="ru-RU"/>
              </w:rPr>
              <w:t>3</w:t>
            </w:r>
          </w:p>
        </w:tc>
      </w:tr>
    </w:tbl>
    <w:p w14:paraId="6D80C3BF" w14:textId="77777777" w:rsidR="007B38C0" w:rsidRDefault="007B38C0" w:rsidP="007B38C0">
      <w:pPr>
        <w:spacing w:line="240" w:lineRule="auto"/>
        <w:rPr>
          <w:rFonts w:ascii="Times New Roman" w:eastAsia="Times New Roman" w:hAnsi="Times New Roman" w:cs="Times New Roman"/>
          <w:b/>
          <w:bCs/>
          <w:color w:val="000000"/>
          <w:sz w:val="20"/>
          <w:szCs w:val="20"/>
          <w:u w:val="single"/>
          <w:lang w:eastAsia="bg-BG"/>
        </w:rPr>
      </w:pPr>
    </w:p>
    <w:p w14:paraId="0693362F" w14:textId="167DA71D" w:rsidR="007B38C0" w:rsidRPr="007B38C0" w:rsidRDefault="007B38C0" w:rsidP="007B38C0">
      <w:pPr>
        <w:rPr>
          <w:sz w:val="24"/>
          <w:szCs w:val="24"/>
          <w:u w:val="single"/>
        </w:rPr>
      </w:pPr>
      <w:r w:rsidRPr="007B38C0">
        <w:rPr>
          <w:u w:val="single"/>
          <w:lang w:eastAsia="bg-BG"/>
        </w:rPr>
        <w:t>Специални популации</w:t>
      </w:r>
    </w:p>
    <w:p w14:paraId="7C59A78C" w14:textId="77777777" w:rsidR="007B38C0" w:rsidRDefault="007B38C0" w:rsidP="007B38C0">
      <w:pPr>
        <w:rPr>
          <w:i/>
          <w:iCs/>
          <w:lang w:eastAsia="bg-BG"/>
        </w:rPr>
      </w:pPr>
    </w:p>
    <w:p w14:paraId="5892605F" w14:textId="7D09CF11" w:rsidR="007B38C0" w:rsidRPr="007B38C0" w:rsidRDefault="007B38C0" w:rsidP="007B38C0">
      <w:pPr>
        <w:rPr>
          <w:sz w:val="24"/>
          <w:szCs w:val="24"/>
        </w:rPr>
      </w:pPr>
      <w:r w:rsidRPr="007B38C0">
        <w:rPr>
          <w:i/>
          <w:iCs/>
          <w:lang w:eastAsia="bg-BG"/>
        </w:rPr>
        <w:t>Пациенти в старческа възраст</w:t>
      </w:r>
    </w:p>
    <w:p w14:paraId="0287F84E" w14:textId="77777777" w:rsidR="007B38C0" w:rsidRPr="007B38C0" w:rsidRDefault="007B38C0" w:rsidP="007B38C0">
      <w:pPr>
        <w:rPr>
          <w:sz w:val="24"/>
          <w:szCs w:val="24"/>
        </w:rPr>
      </w:pPr>
      <w:r w:rsidRPr="007B38C0">
        <w:rPr>
          <w:lang w:eastAsia="bg-BG"/>
        </w:rPr>
        <w:t xml:space="preserve">Дозата се коригира в зависимост от бъбречната функция (вж. </w:t>
      </w:r>
      <w:r w:rsidRPr="007B38C0">
        <w:rPr>
          <w:i/>
          <w:iCs/>
          <w:lang w:eastAsia="bg-BG"/>
        </w:rPr>
        <w:t>Пациенти с нарушена бъбречна функция)</w:t>
      </w:r>
    </w:p>
    <w:p w14:paraId="1B67ED5D" w14:textId="77777777" w:rsidR="007B38C0" w:rsidRDefault="007B38C0" w:rsidP="007B38C0">
      <w:pPr>
        <w:rPr>
          <w:i/>
          <w:iCs/>
          <w:lang w:eastAsia="bg-BG"/>
        </w:rPr>
      </w:pPr>
    </w:p>
    <w:p w14:paraId="354D6901" w14:textId="30E34F5A" w:rsidR="007B38C0" w:rsidRPr="007B38C0" w:rsidRDefault="007B38C0" w:rsidP="007B38C0">
      <w:pPr>
        <w:rPr>
          <w:sz w:val="24"/>
          <w:szCs w:val="24"/>
        </w:rPr>
      </w:pPr>
      <w:r w:rsidRPr="007B38C0">
        <w:rPr>
          <w:i/>
          <w:iCs/>
          <w:lang w:eastAsia="bg-BG"/>
        </w:rPr>
        <w:t>Пациенти с нарушена бъбречна функция</w:t>
      </w:r>
    </w:p>
    <w:p w14:paraId="75C22CB2" w14:textId="7AEB5330" w:rsidR="007B38C0" w:rsidRPr="007B38C0" w:rsidRDefault="007B38C0" w:rsidP="007B38C0">
      <w:pPr>
        <w:rPr>
          <w:sz w:val="24"/>
          <w:szCs w:val="24"/>
        </w:rPr>
      </w:pPr>
      <w:r w:rsidRPr="007B38C0">
        <w:rPr>
          <w:lang w:eastAsia="bg-BG"/>
        </w:rPr>
        <w:t>Не се изисква корекция на дозата при еднократно дозиране.</w:t>
      </w:r>
    </w:p>
    <w:p w14:paraId="353997A2" w14:textId="77777777" w:rsidR="007B38C0" w:rsidRPr="007B38C0" w:rsidRDefault="007B38C0" w:rsidP="007B38C0">
      <w:pPr>
        <w:rPr>
          <w:sz w:val="24"/>
          <w:szCs w:val="24"/>
        </w:rPr>
      </w:pPr>
      <w:r w:rsidRPr="007B38C0">
        <w:rPr>
          <w:lang w:eastAsia="bg-BG"/>
        </w:rPr>
        <w:t xml:space="preserve">При пациенти (вкл. педиатричната популация) с увредена бъбречна функция, които ще приемат продукта многократно се препоръчва прилагане на 50 до 400 </w:t>
      </w:r>
      <w:r w:rsidRPr="007B38C0">
        <w:rPr>
          <w:lang w:val="en-US"/>
        </w:rPr>
        <w:t>mg</w:t>
      </w:r>
      <w:r w:rsidRPr="007B38C0">
        <w:rPr>
          <w:lang w:val="ru-RU"/>
        </w:rPr>
        <w:t xml:space="preserve"> </w:t>
      </w:r>
      <w:r w:rsidRPr="007B38C0">
        <w:rPr>
          <w:lang w:eastAsia="bg-BG"/>
        </w:rPr>
        <w:t>(в зависимост от индикациите). След прилагане на първоначална натоварваща доза дневната доза (в зависимост от индикациите) се основава на следната таблица:</w:t>
      </w:r>
    </w:p>
    <w:tbl>
      <w:tblPr>
        <w:tblStyle w:val="TableGrid"/>
        <w:tblW w:w="0" w:type="auto"/>
        <w:tblLook w:val="04A0" w:firstRow="1" w:lastRow="0" w:firstColumn="1" w:lastColumn="0" w:noHBand="0" w:noVBand="1"/>
      </w:tblPr>
      <w:tblGrid>
        <w:gridCol w:w="4664"/>
        <w:gridCol w:w="4686"/>
      </w:tblGrid>
      <w:tr w:rsidR="007B38C0" w14:paraId="2A3AAEEA" w14:textId="77777777" w:rsidTr="007B38C0">
        <w:tc>
          <w:tcPr>
            <w:tcW w:w="4788" w:type="dxa"/>
          </w:tcPr>
          <w:p w14:paraId="148F5E36" w14:textId="60DAAAC2" w:rsidR="007B38C0" w:rsidRDefault="007B38C0" w:rsidP="007B38C0">
            <w:r>
              <w:t xml:space="preserve">Креатининов клирънс </w:t>
            </w:r>
            <w:r>
              <w:rPr>
                <w:lang w:val="en-US"/>
              </w:rPr>
              <w:t>(ml/min)</w:t>
            </w:r>
          </w:p>
        </w:tc>
        <w:tc>
          <w:tcPr>
            <w:tcW w:w="4788" w:type="dxa"/>
          </w:tcPr>
          <w:p w14:paraId="5B1E088B" w14:textId="3FD5BE5A" w:rsidR="007B38C0" w:rsidRDefault="007B38C0" w:rsidP="007B38C0">
            <w:r>
              <w:t>Процент от препоръчителната доза</w:t>
            </w:r>
          </w:p>
        </w:tc>
      </w:tr>
      <w:tr w:rsidR="007B38C0" w14:paraId="196E1DCA" w14:textId="77777777" w:rsidTr="007B38C0">
        <w:tc>
          <w:tcPr>
            <w:tcW w:w="4788" w:type="dxa"/>
          </w:tcPr>
          <w:p w14:paraId="2855087F" w14:textId="05F44F6D" w:rsidR="007B38C0" w:rsidRDefault="007B38C0" w:rsidP="007B38C0">
            <w:r>
              <w:t>&gt;50</w:t>
            </w:r>
          </w:p>
        </w:tc>
        <w:tc>
          <w:tcPr>
            <w:tcW w:w="4788" w:type="dxa"/>
          </w:tcPr>
          <w:p w14:paraId="6133C088" w14:textId="0897BC14" w:rsidR="007B38C0" w:rsidRDefault="007B38C0" w:rsidP="007B38C0">
            <w:r>
              <w:t>100%</w:t>
            </w:r>
          </w:p>
        </w:tc>
      </w:tr>
      <w:tr w:rsidR="007B38C0" w14:paraId="3AF5C94E" w14:textId="77777777" w:rsidTr="007B38C0">
        <w:tc>
          <w:tcPr>
            <w:tcW w:w="4788" w:type="dxa"/>
          </w:tcPr>
          <w:p w14:paraId="307995F1" w14:textId="4016F693" w:rsidR="007B38C0" w:rsidRDefault="007B38C0" w:rsidP="007B38C0">
            <w:r>
              <w:t>&lt;50 (без диализа)</w:t>
            </w:r>
          </w:p>
        </w:tc>
        <w:tc>
          <w:tcPr>
            <w:tcW w:w="4788" w:type="dxa"/>
          </w:tcPr>
          <w:p w14:paraId="437A03EF" w14:textId="4BFE3ECB" w:rsidR="007B38C0" w:rsidRDefault="007B38C0" w:rsidP="007B38C0">
            <w:r>
              <w:t>50%</w:t>
            </w:r>
          </w:p>
        </w:tc>
      </w:tr>
      <w:tr w:rsidR="007B38C0" w14:paraId="63CCC89A" w14:textId="77777777" w:rsidTr="007B38C0">
        <w:tc>
          <w:tcPr>
            <w:tcW w:w="4788" w:type="dxa"/>
          </w:tcPr>
          <w:p w14:paraId="02389B3E" w14:textId="73BBBFF8" w:rsidR="007B38C0" w:rsidRDefault="007B38C0" w:rsidP="007B38C0">
            <w:r>
              <w:t>редовна диализа</w:t>
            </w:r>
          </w:p>
        </w:tc>
        <w:tc>
          <w:tcPr>
            <w:tcW w:w="4788" w:type="dxa"/>
          </w:tcPr>
          <w:p w14:paraId="50A84E33" w14:textId="04C07F37" w:rsidR="007B38C0" w:rsidRDefault="007B38C0" w:rsidP="007B38C0">
            <w:r>
              <w:t>100% след всяка диализа</w:t>
            </w:r>
          </w:p>
        </w:tc>
      </w:tr>
    </w:tbl>
    <w:p w14:paraId="571BC29B" w14:textId="67DD06AB" w:rsidR="007B38C0" w:rsidRDefault="007B38C0" w:rsidP="007B38C0"/>
    <w:p w14:paraId="05269BF0" w14:textId="77777777" w:rsidR="007B38C0" w:rsidRPr="007B38C0" w:rsidRDefault="007B38C0" w:rsidP="007B38C0">
      <w:pPr>
        <w:spacing w:line="240" w:lineRule="auto"/>
        <w:rPr>
          <w:rFonts w:eastAsia="Times New Roman" w:cs="Arial"/>
          <w:sz w:val="28"/>
          <w:szCs w:val="24"/>
        </w:rPr>
      </w:pPr>
      <w:r w:rsidRPr="007B38C0">
        <w:rPr>
          <w:rFonts w:eastAsia="Times New Roman" w:cs="Arial"/>
          <w:bCs/>
          <w:color w:val="000000"/>
          <w:szCs w:val="20"/>
          <w:lang w:eastAsia="bg-BG"/>
        </w:rPr>
        <w:t>Пациенти, провеждащи редовно диализа трябва да приемат 100% от препоръчителната доза след всяка диализа; в дните без диализа пациентите трябва да приемат редуцирана доза съгласно креатининовия клирънс.</w:t>
      </w:r>
    </w:p>
    <w:p w14:paraId="23F086E3" w14:textId="77777777" w:rsidR="007B38C0" w:rsidRPr="007B38C0" w:rsidRDefault="007B38C0" w:rsidP="007B38C0">
      <w:pPr>
        <w:spacing w:line="240" w:lineRule="auto"/>
        <w:rPr>
          <w:rFonts w:eastAsia="Times New Roman" w:cs="Arial"/>
          <w:bCs/>
          <w:i/>
          <w:iCs/>
          <w:color w:val="000000"/>
          <w:szCs w:val="20"/>
          <w:lang w:eastAsia="bg-BG"/>
        </w:rPr>
      </w:pPr>
    </w:p>
    <w:p w14:paraId="3538FDB6" w14:textId="7BE89030" w:rsidR="007B38C0" w:rsidRPr="007B38C0" w:rsidRDefault="007B38C0" w:rsidP="007B38C0">
      <w:pPr>
        <w:spacing w:line="240" w:lineRule="auto"/>
        <w:rPr>
          <w:rFonts w:eastAsia="Times New Roman" w:cs="Arial"/>
          <w:sz w:val="28"/>
          <w:szCs w:val="24"/>
        </w:rPr>
      </w:pPr>
      <w:r w:rsidRPr="007B38C0">
        <w:rPr>
          <w:rFonts w:eastAsia="Times New Roman" w:cs="Arial"/>
          <w:bCs/>
          <w:i/>
          <w:iCs/>
          <w:color w:val="000000"/>
          <w:szCs w:val="20"/>
          <w:lang w:eastAsia="bg-BG"/>
        </w:rPr>
        <w:t>Пациенти с чернодробни нарушения</w:t>
      </w:r>
    </w:p>
    <w:p w14:paraId="6669F972" w14:textId="77777777" w:rsidR="007B38C0" w:rsidRPr="007B38C0" w:rsidRDefault="007B38C0" w:rsidP="007B38C0">
      <w:pPr>
        <w:spacing w:line="240" w:lineRule="auto"/>
        <w:rPr>
          <w:rFonts w:eastAsia="Times New Roman" w:cs="Arial"/>
          <w:sz w:val="28"/>
          <w:szCs w:val="24"/>
        </w:rPr>
      </w:pPr>
      <w:r w:rsidRPr="007B38C0">
        <w:rPr>
          <w:rFonts w:eastAsia="Times New Roman" w:cs="Arial"/>
          <w:bCs/>
          <w:color w:val="000000"/>
          <w:szCs w:val="20"/>
          <w:lang w:eastAsia="bg-BG"/>
        </w:rPr>
        <w:lastRenderedPageBreak/>
        <w:t>Данните са ограничени, поради което при тази категория пациенти флуконазол се прилага с внимание (вж. точки 4.4 и 4.8).</w:t>
      </w:r>
    </w:p>
    <w:p w14:paraId="7F39B16B" w14:textId="77777777" w:rsidR="007B38C0" w:rsidRPr="007B38C0" w:rsidRDefault="007B38C0" w:rsidP="007B38C0">
      <w:pPr>
        <w:spacing w:line="240" w:lineRule="auto"/>
        <w:rPr>
          <w:rFonts w:eastAsia="Times New Roman" w:cs="Arial"/>
          <w:bCs/>
          <w:color w:val="000000"/>
          <w:szCs w:val="20"/>
          <w:u w:val="single"/>
          <w:lang w:eastAsia="bg-BG"/>
        </w:rPr>
      </w:pPr>
    </w:p>
    <w:p w14:paraId="0A936B73" w14:textId="30F69833" w:rsidR="007B38C0" w:rsidRPr="007B38C0" w:rsidRDefault="007B38C0" w:rsidP="007B38C0">
      <w:pPr>
        <w:spacing w:line="240" w:lineRule="auto"/>
        <w:rPr>
          <w:rFonts w:eastAsia="Times New Roman" w:cs="Arial"/>
          <w:sz w:val="28"/>
          <w:szCs w:val="24"/>
        </w:rPr>
      </w:pPr>
      <w:r w:rsidRPr="007B38C0">
        <w:rPr>
          <w:rFonts w:eastAsia="Times New Roman" w:cs="Arial"/>
          <w:bCs/>
          <w:color w:val="000000"/>
          <w:szCs w:val="20"/>
          <w:u w:val="single"/>
          <w:lang w:eastAsia="bg-BG"/>
        </w:rPr>
        <w:t>Педиатрична популапия</w:t>
      </w:r>
    </w:p>
    <w:p w14:paraId="548DD6DE" w14:textId="77777777" w:rsidR="007B38C0" w:rsidRPr="007B38C0" w:rsidRDefault="007B38C0" w:rsidP="007B38C0">
      <w:pPr>
        <w:spacing w:line="240" w:lineRule="auto"/>
        <w:rPr>
          <w:rFonts w:eastAsia="Times New Roman" w:cs="Arial"/>
          <w:sz w:val="28"/>
          <w:szCs w:val="24"/>
        </w:rPr>
      </w:pPr>
      <w:r w:rsidRPr="007B38C0">
        <w:rPr>
          <w:rFonts w:eastAsia="Times New Roman" w:cs="Arial"/>
          <w:bCs/>
          <w:color w:val="000000"/>
          <w:szCs w:val="20"/>
          <w:lang w:eastAsia="bg-BG"/>
        </w:rPr>
        <w:t xml:space="preserve">При деца максималната дневна доза не трябва да надвишава 400 </w:t>
      </w:r>
      <w:r w:rsidRPr="007B38C0">
        <w:rPr>
          <w:rFonts w:eastAsia="Times New Roman" w:cs="Arial"/>
          <w:bCs/>
          <w:color w:val="000000"/>
          <w:szCs w:val="20"/>
          <w:lang w:val="en-US"/>
        </w:rPr>
        <w:t>mg</w:t>
      </w:r>
      <w:r w:rsidRPr="007B38C0">
        <w:rPr>
          <w:rFonts w:eastAsia="Times New Roman" w:cs="Arial"/>
          <w:bCs/>
          <w:color w:val="000000"/>
          <w:szCs w:val="20"/>
          <w:lang w:val="ru-RU"/>
        </w:rPr>
        <w:t>.</w:t>
      </w:r>
    </w:p>
    <w:p w14:paraId="4DC2D5E5" w14:textId="77777777" w:rsidR="007B38C0" w:rsidRPr="007B38C0" w:rsidRDefault="007B38C0" w:rsidP="007B38C0">
      <w:pPr>
        <w:spacing w:line="240" w:lineRule="auto"/>
        <w:rPr>
          <w:rFonts w:eastAsia="Times New Roman" w:cs="Arial"/>
          <w:bCs/>
          <w:color w:val="000000"/>
          <w:szCs w:val="20"/>
          <w:lang w:eastAsia="bg-BG"/>
        </w:rPr>
      </w:pPr>
    </w:p>
    <w:p w14:paraId="6078F669" w14:textId="63584E5B" w:rsidR="007B38C0" w:rsidRPr="007B38C0" w:rsidRDefault="007B38C0" w:rsidP="007B38C0">
      <w:pPr>
        <w:spacing w:line="240" w:lineRule="auto"/>
        <w:rPr>
          <w:rFonts w:eastAsia="Times New Roman" w:cs="Arial"/>
          <w:sz w:val="28"/>
          <w:szCs w:val="24"/>
        </w:rPr>
      </w:pPr>
      <w:r w:rsidRPr="007B38C0">
        <w:rPr>
          <w:rFonts w:eastAsia="Times New Roman" w:cs="Arial"/>
          <w:bCs/>
          <w:color w:val="000000"/>
          <w:szCs w:val="20"/>
          <w:lang w:eastAsia="bg-BG"/>
        </w:rPr>
        <w:t>Продължителността на лечението се основава на клиничния и микологичен отговор, както при подобни инфекции у възрастни пациенти. Фунголон се прилага като еднократна дневна доза.</w:t>
      </w:r>
    </w:p>
    <w:p w14:paraId="4C1A7D16" w14:textId="77777777" w:rsidR="007B38C0" w:rsidRPr="007B38C0" w:rsidRDefault="007B38C0" w:rsidP="007B38C0">
      <w:pPr>
        <w:spacing w:line="240" w:lineRule="auto"/>
        <w:rPr>
          <w:rFonts w:eastAsia="Times New Roman" w:cs="Arial"/>
          <w:bCs/>
          <w:color w:val="000000"/>
          <w:szCs w:val="20"/>
          <w:lang w:eastAsia="bg-BG"/>
        </w:rPr>
      </w:pPr>
    </w:p>
    <w:p w14:paraId="1B920C56" w14:textId="46948E0E" w:rsidR="007B38C0" w:rsidRPr="007B38C0" w:rsidRDefault="007B38C0" w:rsidP="007B38C0">
      <w:pPr>
        <w:spacing w:line="240" w:lineRule="auto"/>
        <w:rPr>
          <w:rFonts w:eastAsia="Times New Roman" w:cs="Arial"/>
          <w:sz w:val="28"/>
          <w:szCs w:val="24"/>
        </w:rPr>
      </w:pPr>
      <w:r w:rsidRPr="007B38C0">
        <w:rPr>
          <w:rFonts w:eastAsia="Times New Roman" w:cs="Arial"/>
          <w:bCs/>
          <w:color w:val="000000"/>
          <w:szCs w:val="20"/>
          <w:lang w:eastAsia="bg-BG"/>
        </w:rPr>
        <w:t xml:space="preserve">При педиатрични пациенти с увредена бъбречна функция вж. дозирането </w:t>
      </w:r>
      <w:r w:rsidRPr="007B38C0">
        <w:rPr>
          <w:rFonts w:eastAsia="Times New Roman" w:cs="Arial"/>
          <w:bCs/>
          <w:i/>
          <w:iCs/>
          <w:color w:val="000000"/>
          <w:szCs w:val="20"/>
          <w:lang w:eastAsia="bg-BG"/>
        </w:rPr>
        <w:t>при Пациенти с нарушена бъбречна функция.</w:t>
      </w:r>
      <w:r w:rsidRPr="007B38C0">
        <w:rPr>
          <w:rFonts w:eastAsia="Times New Roman" w:cs="Arial"/>
          <w:bCs/>
          <w:color w:val="000000"/>
          <w:szCs w:val="20"/>
          <w:lang w:eastAsia="bg-BG"/>
        </w:rPr>
        <w:t xml:space="preserve"> Фармакокинетиката на флуконазол не е изследвана при педиатричната популация с нарушена бъбречна функция (за,доносени новородени”, при които често се наблюдава незрялост на бъбреците вж. по-долу).</w:t>
      </w:r>
    </w:p>
    <w:p w14:paraId="681EAD3B" w14:textId="77777777" w:rsidR="007B38C0" w:rsidRPr="007B38C0" w:rsidRDefault="007B38C0" w:rsidP="007B38C0">
      <w:pPr>
        <w:spacing w:line="240" w:lineRule="auto"/>
        <w:rPr>
          <w:rFonts w:eastAsia="Times New Roman" w:cs="Arial"/>
          <w:bCs/>
          <w:i/>
          <w:iCs/>
          <w:color w:val="000000"/>
          <w:szCs w:val="20"/>
          <w:lang w:eastAsia="bg-BG"/>
        </w:rPr>
      </w:pPr>
    </w:p>
    <w:p w14:paraId="4CF01230" w14:textId="56478CA7" w:rsidR="007B38C0" w:rsidRDefault="007B38C0" w:rsidP="007B38C0">
      <w:pPr>
        <w:spacing w:line="240" w:lineRule="auto"/>
        <w:rPr>
          <w:rFonts w:eastAsia="Times New Roman" w:cs="Arial"/>
          <w:bCs/>
          <w:i/>
          <w:iCs/>
          <w:color w:val="000000"/>
          <w:szCs w:val="20"/>
          <w:lang w:eastAsia="bg-BG"/>
        </w:rPr>
      </w:pPr>
      <w:r w:rsidRPr="007B38C0">
        <w:rPr>
          <w:rFonts w:eastAsia="Times New Roman" w:cs="Arial"/>
          <w:bCs/>
          <w:i/>
          <w:iCs/>
          <w:color w:val="000000"/>
          <w:szCs w:val="20"/>
          <w:lang w:eastAsia="bg-BG"/>
        </w:rPr>
        <w:t>Бебета. кърмачета и деиа (от 28 дни до 11 години)</w:t>
      </w:r>
    </w:p>
    <w:tbl>
      <w:tblPr>
        <w:tblStyle w:val="TableGrid"/>
        <w:tblW w:w="0" w:type="auto"/>
        <w:tblLook w:val="04A0" w:firstRow="1" w:lastRow="0" w:firstColumn="1" w:lastColumn="0" w:noHBand="0" w:noVBand="1"/>
      </w:tblPr>
      <w:tblGrid>
        <w:gridCol w:w="3145"/>
        <w:gridCol w:w="3082"/>
        <w:gridCol w:w="3123"/>
      </w:tblGrid>
      <w:tr w:rsidR="007B38C0" w14:paraId="3CE444A2" w14:textId="77777777" w:rsidTr="007B38C0">
        <w:tc>
          <w:tcPr>
            <w:tcW w:w="3192" w:type="dxa"/>
          </w:tcPr>
          <w:p w14:paraId="202917F1" w14:textId="22F3B7DA" w:rsidR="007B38C0" w:rsidRDefault="007B38C0" w:rsidP="007B38C0">
            <w:pPr>
              <w:rPr>
                <w:rFonts w:ascii="Times New Roman" w:eastAsia="Times New Roman" w:hAnsi="Times New Roman" w:cs="Times New Roman"/>
                <w:sz w:val="24"/>
                <w:szCs w:val="24"/>
              </w:rPr>
            </w:pPr>
            <w:r>
              <w:t>Индикации</w:t>
            </w:r>
          </w:p>
        </w:tc>
        <w:tc>
          <w:tcPr>
            <w:tcW w:w="3192" w:type="dxa"/>
          </w:tcPr>
          <w:p w14:paraId="63884533" w14:textId="7AE0E2A9" w:rsidR="007B38C0" w:rsidRDefault="007B38C0" w:rsidP="007B38C0">
            <w:pPr>
              <w:rPr>
                <w:rFonts w:ascii="Times New Roman" w:eastAsia="Times New Roman" w:hAnsi="Times New Roman" w:cs="Times New Roman"/>
                <w:sz w:val="24"/>
                <w:szCs w:val="24"/>
              </w:rPr>
            </w:pPr>
            <w:r>
              <w:t>Дозировка</w:t>
            </w:r>
          </w:p>
        </w:tc>
        <w:tc>
          <w:tcPr>
            <w:tcW w:w="3192" w:type="dxa"/>
          </w:tcPr>
          <w:p w14:paraId="7DD3AEC2" w14:textId="20645DA4" w:rsidR="007B38C0" w:rsidRDefault="007B38C0" w:rsidP="007B38C0">
            <w:pPr>
              <w:rPr>
                <w:rFonts w:ascii="Times New Roman" w:eastAsia="Times New Roman" w:hAnsi="Times New Roman" w:cs="Times New Roman"/>
                <w:sz w:val="24"/>
                <w:szCs w:val="24"/>
              </w:rPr>
            </w:pPr>
            <w:r>
              <w:t>Препоръки</w:t>
            </w:r>
          </w:p>
        </w:tc>
      </w:tr>
      <w:tr w:rsidR="007B38C0" w14:paraId="0A108908" w14:textId="77777777" w:rsidTr="007B38C0">
        <w:tc>
          <w:tcPr>
            <w:tcW w:w="3192" w:type="dxa"/>
          </w:tcPr>
          <w:p w14:paraId="1C29D3F2" w14:textId="456913F3" w:rsidR="007B38C0" w:rsidRDefault="007B38C0" w:rsidP="007B38C0">
            <w:pPr>
              <w:rPr>
                <w:rFonts w:ascii="Times New Roman" w:eastAsia="Times New Roman" w:hAnsi="Times New Roman" w:cs="Times New Roman"/>
                <w:sz w:val="24"/>
                <w:szCs w:val="24"/>
              </w:rPr>
            </w:pPr>
            <w:r>
              <w:t>- Кандидоза на лигавиците</w:t>
            </w:r>
          </w:p>
        </w:tc>
        <w:tc>
          <w:tcPr>
            <w:tcW w:w="3192" w:type="dxa"/>
          </w:tcPr>
          <w:p w14:paraId="0BB49D45" w14:textId="6B2F3408" w:rsidR="007B38C0" w:rsidRDefault="007B38C0" w:rsidP="007B38C0">
            <w:pPr>
              <w:rPr>
                <w:rFonts w:ascii="Times New Roman" w:eastAsia="Times New Roman" w:hAnsi="Times New Roman" w:cs="Times New Roman"/>
                <w:sz w:val="24"/>
                <w:szCs w:val="24"/>
              </w:rPr>
            </w:pPr>
            <w:r>
              <w:t xml:space="preserve">Първоначална доза: 6 </w:t>
            </w:r>
            <w:r>
              <w:rPr>
                <w:lang w:val="en-US"/>
              </w:rPr>
              <w:t>mg</w:t>
            </w:r>
            <w:r w:rsidRPr="007B38C0">
              <w:t>/</w:t>
            </w:r>
            <w:r>
              <w:rPr>
                <w:lang w:val="en-US"/>
              </w:rPr>
              <w:t>kg</w:t>
            </w:r>
            <w:r w:rsidRPr="007B38C0">
              <w:t xml:space="preserve"> </w:t>
            </w:r>
            <w:r>
              <w:t xml:space="preserve">Поддържаща доза: 3 </w:t>
            </w:r>
            <w:r>
              <w:rPr>
                <w:lang w:val="en-US"/>
              </w:rPr>
              <w:t>mg</w:t>
            </w:r>
            <w:r w:rsidRPr="007B38C0">
              <w:t>/</w:t>
            </w:r>
            <w:r>
              <w:rPr>
                <w:lang w:val="en-US"/>
              </w:rPr>
              <w:t>kg</w:t>
            </w:r>
            <w:r w:rsidRPr="007B38C0">
              <w:t xml:space="preserve"> </w:t>
            </w:r>
            <w:r>
              <w:t>дневно</w:t>
            </w:r>
          </w:p>
        </w:tc>
        <w:tc>
          <w:tcPr>
            <w:tcW w:w="3192" w:type="dxa"/>
          </w:tcPr>
          <w:p w14:paraId="2B0215F1" w14:textId="0CEC002F" w:rsidR="007B38C0" w:rsidRDefault="007B38C0" w:rsidP="007B38C0">
            <w:pPr>
              <w:rPr>
                <w:rFonts w:ascii="Times New Roman" w:eastAsia="Times New Roman" w:hAnsi="Times New Roman" w:cs="Times New Roman"/>
                <w:sz w:val="24"/>
                <w:szCs w:val="24"/>
              </w:rPr>
            </w:pPr>
            <w:r>
              <w:t>Първоначалната доза може да се използва в първия ден за по-бързо достигане на равновесна плазмена концентрация.</w:t>
            </w:r>
          </w:p>
        </w:tc>
      </w:tr>
      <w:tr w:rsidR="007B38C0" w14:paraId="54E47DB2" w14:textId="77777777" w:rsidTr="007B38C0">
        <w:tc>
          <w:tcPr>
            <w:tcW w:w="3192" w:type="dxa"/>
          </w:tcPr>
          <w:p w14:paraId="54CFC67E" w14:textId="77777777" w:rsidR="007B38C0" w:rsidRDefault="007B38C0" w:rsidP="007B38C0">
            <w:r>
              <w:t>-Инвазивна кандидоза</w:t>
            </w:r>
          </w:p>
          <w:p w14:paraId="3765C083" w14:textId="41FEAB30" w:rsidR="007B38C0" w:rsidRDefault="007B38C0" w:rsidP="007B38C0">
            <w:pPr>
              <w:rPr>
                <w:rFonts w:ascii="Times New Roman" w:eastAsia="Times New Roman" w:hAnsi="Times New Roman" w:cs="Times New Roman"/>
                <w:sz w:val="24"/>
                <w:szCs w:val="24"/>
              </w:rPr>
            </w:pPr>
            <w:r>
              <w:t>-Криптококов менингит</w:t>
            </w:r>
          </w:p>
        </w:tc>
        <w:tc>
          <w:tcPr>
            <w:tcW w:w="3192" w:type="dxa"/>
          </w:tcPr>
          <w:p w14:paraId="55973BCD" w14:textId="61FA1AFD" w:rsidR="007B38C0" w:rsidRDefault="007B38C0" w:rsidP="007B38C0">
            <w:pPr>
              <w:rPr>
                <w:rFonts w:ascii="Times New Roman" w:eastAsia="Times New Roman" w:hAnsi="Times New Roman" w:cs="Times New Roman"/>
                <w:sz w:val="24"/>
                <w:szCs w:val="24"/>
              </w:rPr>
            </w:pPr>
            <w:r>
              <w:t xml:space="preserve">Доза: 6 до 12 </w:t>
            </w:r>
            <w:r>
              <w:rPr>
                <w:lang w:val="en-US"/>
              </w:rPr>
              <w:t>mg</w:t>
            </w:r>
            <w:r w:rsidRPr="007B38C0">
              <w:rPr>
                <w:lang w:val="ru-RU"/>
              </w:rPr>
              <w:t>/</w:t>
            </w:r>
            <w:r>
              <w:rPr>
                <w:lang w:val="en-US"/>
              </w:rPr>
              <w:t>kg</w:t>
            </w:r>
            <w:r w:rsidRPr="007B38C0">
              <w:rPr>
                <w:lang w:val="ru-RU"/>
              </w:rPr>
              <w:t xml:space="preserve"> </w:t>
            </w:r>
            <w:r>
              <w:t>дневно</w:t>
            </w:r>
          </w:p>
        </w:tc>
        <w:tc>
          <w:tcPr>
            <w:tcW w:w="3192" w:type="dxa"/>
          </w:tcPr>
          <w:p w14:paraId="25DE1BFD" w14:textId="52EA51D9" w:rsidR="007B38C0" w:rsidRDefault="007B38C0" w:rsidP="007B38C0">
            <w:pPr>
              <w:rPr>
                <w:rFonts w:ascii="Times New Roman" w:eastAsia="Times New Roman" w:hAnsi="Times New Roman" w:cs="Times New Roman"/>
                <w:sz w:val="24"/>
                <w:szCs w:val="24"/>
              </w:rPr>
            </w:pPr>
            <w:r>
              <w:t>В зависимост от тежестта на заболяването.</w:t>
            </w:r>
          </w:p>
        </w:tc>
      </w:tr>
      <w:tr w:rsidR="007B38C0" w14:paraId="576EF6D5" w14:textId="77777777" w:rsidTr="007B38C0">
        <w:tc>
          <w:tcPr>
            <w:tcW w:w="3192" w:type="dxa"/>
          </w:tcPr>
          <w:p w14:paraId="5CB6E5C3" w14:textId="0252C7EE" w:rsidR="007B38C0" w:rsidRDefault="007B38C0" w:rsidP="007B38C0">
            <w:pPr>
              <w:rPr>
                <w:rFonts w:ascii="Times New Roman" w:eastAsia="Times New Roman" w:hAnsi="Times New Roman" w:cs="Times New Roman"/>
                <w:sz w:val="24"/>
                <w:szCs w:val="24"/>
              </w:rPr>
            </w:pPr>
            <w:r>
              <w:t>-Поддържаща терапия за предотвратяване на рецидиви на криптококов менингит</w:t>
            </w:r>
          </w:p>
        </w:tc>
        <w:tc>
          <w:tcPr>
            <w:tcW w:w="3192" w:type="dxa"/>
          </w:tcPr>
          <w:p w14:paraId="6F994A58" w14:textId="3CCC9D9F" w:rsidR="007B38C0" w:rsidRDefault="007B38C0" w:rsidP="007B38C0">
            <w:pPr>
              <w:rPr>
                <w:rFonts w:ascii="Times New Roman" w:eastAsia="Times New Roman" w:hAnsi="Times New Roman" w:cs="Times New Roman"/>
                <w:sz w:val="24"/>
                <w:szCs w:val="24"/>
              </w:rPr>
            </w:pPr>
            <w:r>
              <w:t xml:space="preserve">Доза: 6 </w:t>
            </w:r>
            <w:r>
              <w:rPr>
                <w:lang w:val="en-US"/>
              </w:rPr>
              <w:t xml:space="preserve">mg/kg </w:t>
            </w:r>
            <w:r>
              <w:t>дневно</w:t>
            </w:r>
          </w:p>
        </w:tc>
        <w:tc>
          <w:tcPr>
            <w:tcW w:w="3192" w:type="dxa"/>
          </w:tcPr>
          <w:p w14:paraId="66C6105F" w14:textId="10C7C465" w:rsidR="007B38C0" w:rsidRDefault="007B38C0" w:rsidP="007B38C0">
            <w:pPr>
              <w:rPr>
                <w:rFonts w:ascii="Times New Roman" w:eastAsia="Times New Roman" w:hAnsi="Times New Roman" w:cs="Times New Roman"/>
                <w:sz w:val="24"/>
                <w:szCs w:val="24"/>
              </w:rPr>
            </w:pPr>
            <w:r>
              <w:t>В зависимост от тежестта на заболяването.</w:t>
            </w:r>
          </w:p>
        </w:tc>
      </w:tr>
      <w:tr w:rsidR="007B38C0" w14:paraId="3B05A95B" w14:textId="77777777" w:rsidTr="007B38C0">
        <w:tc>
          <w:tcPr>
            <w:tcW w:w="3192" w:type="dxa"/>
          </w:tcPr>
          <w:p w14:paraId="57003FEA" w14:textId="5AC602D3" w:rsidR="007B38C0" w:rsidRDefault="007B38C0" w:rsidP="007B38C0">
            <w:pPr>
              <w:rPr>
                <w:rFonts w:ascii="Times New Roman" w:eastAsia="Times New Roman" w:hAnsi="Times New Roman" w:cs="Times New Roman"/>
                <w:sz w:val="24"/>
                <w:szCs w:val="24"/>
              </w:rPr>
            </w:pPr>
            <w:r>
              <w:t>-Профилактика на кандида инфекции при имунокомпрометирани пациенти</w:t>
            </w:r>
          </w:p>
        </w:tc>
        <w:tc>
          <w:tcPr>
            <w:tcW w:w="3192" w:type="dxa"/>
          </w:tcPr>
          <w:p w14:paraId="796731F7" w14:textId="77777777" w:rsidR="007B38C0" w:rsidRDefault="007B38C0" w:rsidP="007B38C0">
            <w:r>
              <w:t>Доза: 3 до</w:t>
            </w:r>
          </w:p>
          <w:p w14:paraId="3FA0DB7C" w14:textId="06F4BE5B" w:rsidR="007B38C0" w:rsidRDefault="007B38C0" w:rsidP="007B38C0">
            <w:pPr>
              <w:rPr>
                <w:rFonts w:ascii="Times New Roman" w:eastAsia="Times New Roman" w:hAnsi="Times New Roman" w:cs="Times New Roman"/>
                <w:sz w:val="24"/>
                <w:szCs w:val="24"/>
              </w:rPr>
            </w:pPr>
            <w:r>
              <w:t xml:space="preserve">12 </w:t>
            </w:r>
            <w:r>
              <w:rPr>
                <w:lang w:val="en-US"/>
              </w:rPr>
              <w:t>mg</w:t>
            </w:r>
            <w:r w:rsidRPr="007B38C0">
              <w:rPr>
                <w:lang w:val="ru-RU"/>
              </w:rPr>
              <w:t>/</w:t>
            </w:r>
            <w:r>
              <w:rPr>
                <w:lang w:val="en-US"/>
              </w:rPr>
              <w:t>kg</w:t>
            </w:r>
            <w:r w:rsidRPr="007B38C0">
              <w:rPr>
                <w:lang w:val="ru-RU"/>
              </w:rPr>
              <w:t xml:space="preserve"> </w:t>
            </w:r>
            <w:r>
              <w:t>дневно</w:t>
            </w:r>
          </w:p>
        </w:tc>
        <w:tc>
          <w:tcPr>
            <w:tcW w:w="3192" w:type="dxa"/>
          </w:tcPr>
          <w:p w14:paraId="1910F7F8" w14:textId="763752A4" w:rsidR="007B38C0" w:rsidRDefault="007B38C0" w:rsidP="007B38C0">
            <w:pPr>
              <w:rPr>
                <w:rFonts w:ascii="Times New Roman" w:eastAsia="Times New Roman" w:hAnsi="Times New Roman" w:cs="Times New Roman"/>
                <w:sz w:val="24"/>
                <w:szCs w:val="24"/>
              </w:rPr>
            </w:pPr>
            <w:r>
              <w:t>В зависимост от тежестта и продължителността на неутропенията (вж. Дозировка при възрастни).</w:t>
            </w:r>
          </w:p>
        </w:tc>
      </w:tr>
    </w:tbl>
    <w:p w14:paraId="11EBBF0F" w14:textId="77777777" w:rsidR="007B38C0" w:rsidRPr="007B38C0" w:rsidRDefault="007B38C0" w:rsidP="007B38C0">
      <w:pPr>
        <w:spacing w:line="240" w:lineRule="auto"/>
        <w:rPr>
          <w:rFonts w:ascii="Times New Roman" w:eastAsia="Times New Roman" w:hAnsi="Times New Roman" w:cs="Times New Roman"/>
          <w:sz w:val="24"/>
          <w:szCs w:val="24"/>
        </w:rPr>
      </w:pPr>
    </w:p>
    <w:p w14:paraId="7AA2DCFA" w14:textId="77777777" w:rsidR="007B38C0" w:rsidRPr="007B38C0" w:rsidRDefault="007B38C0" w:rsidP="007B38C0">
      <w:pPr>
        <w:spacing w:line="240" w:lineRule="auto"/>
        <w:rPr>
          <w:rFonts w:eastAsia="Times New Roman" w:cs="Arial"/>
          <w:sz w:val="28"/>
          <w:szCs w:val="24"/>
        </w:rPr>
      </w:pPr>
      <w:r w:rsidRPr="007B38C0">
        <w:rPr>
          <w:rFonts w:eastAsia="Times New Roman" w:cs="Arial"/>
          <w:bCs/>
          <w:i/>
          <w:iCs/>
          <w:color w:val="000000"/>
          <w:szCs w:val="20"/>
          <w:lang w:eastAsia="bg-BG"/>
        </w:rPr>
        <w:t>Юноши (от 12 до 17 години):</w:t>
      </w:r>
    </w:p>
    <w:p w14:paraId="55046532" w14:textId="77777777" w:rsidR="007B38C0" w:rsidRPr="007B38C0" w:rsidRDefault="007B38C0" w:rsidP="007B38C0">
      <w:pPr>
        <w:spacing w:line="240" w:lineRule="auto"/>
        <w:rPr>
          <w:rFonts w:eastAsia="Times New Roman" w:cs="Arial"/>
          <w:sz w:val="28"/>
          <w:szCs w:val="24"/>
        </w:rPr>
      </w:pPr>
      <w:r w:rsidRPr="007B38C0">
        <w:rPr>
          <w:rFonts w:eastAsia="Times New Roman" w:cs="Arial"/>
          <w:bCs/>
          <w:color w:val="000000"/>
          <w:szCs w:val="20"/>
          <w:lang w:eastAsia="bg-BG"/>
        </w:rPr>
        <w:t xml:space="preserve">Подходящата доза (за възрастни или деца) се определя в зависимост от теглото и пубертетното развитие. Клиничните данни показват, че при деца клирьнсът на флуконазол е по-висок, отколкото при възрастни. Доза от 100,200 и 400 </w:t>
      </w:r>
      <w:r w:rsidRPr="007B38C0">
        <w:rPr>
          <w:rFonts w:eastAsia="Times New Roman" w:cs="Arial"/>
          <w:bCs/>
          <w:color w:val="000000"/>
          <w:szCs w:val="20"/>
          <w:lang w:val="en-US"/>
        </w:rPr>
        <w:t>mg</w:t>
      </w:r>
      <w:r w:rsidRPr="007B38C0">
        <w:rPr>
          <w:rFonts w:eastAsia="Times New Roman" w:cs="Arial"/>
          <w:bCs/>
          <w:color w:val="000000"/>
          <w:szCs w:val="20"/>
          <w:lang w:val="ru-RU"/>
        </w:rPr>
        <w:t xml:space="preserve"> </w:t>
      </w:r>
      <w:r w:rsidRPr="007B38C0">
        <w:rPr>
          <w:rFonts w:eastAsia="Times New Roman" w:cs="Arial"/>
          <w:bCs/>
          <w:color w:val="000000"/>
          <w:szCs w:val="20"/>
          <w:lang w:eastAsia="bg-BG"/>
        </w:rPr>
        <w:t xml:space="preserve">при възрастни съответства на 3,6 и 12 </w:t>
      </w:r>
      <w:r w:rsidRPr="007B38C0">
        <w:rPr>
          <w:rFonts w:eastAsia="Times New Roman" w:cs="Arial"/>
          <w:bCs/>
          <w:color w:val="000000"/>
          <w:szCs w:val="20"/>
          <w:lang w:val="en-US"/>
        </w:rPr>
        <w:t>mg</w:t>
      </w:r>
      <w:r w:rsidRPr="007B38C0">
        <w:rPr>
          <w:rFonts w:eastAsia="Times New Roman" w:cs="Arial"/>
          <w:bCs/>
          <w:color w:val="000000"/>
          <w:szCs w:val="20"/>
          <w:lang w:val="ru-RU"/>
        </w:rPr>
        <w:t>/</w:t>
      </w:r>
      <w:r w:rsidRPr="007B38C0">
        <w:rPr>
          <w:rFonts w:eastAsia="Times New Roman" w:cs="Arial"/>
          <w:bCs/>
          <w:color w:val="000000"/>
          <w:szCs w:val="20"/>
          <w:lang w:val="en-US"/>
        </w:rPr>
        <w:t>kg</w:t>
      </w:r>
      <w:r w:rsidRPr="007B38C0">
        <w:rPr>
          <w:rFonts w:eastAsia="Times New Roman" w:cs="Arial"/>
          <w:bCs/>
          <w:color w:val="000000"/>
          <w:szCs w:val="20"/>
          <w:lang w:val="ru-RU"/>
        </w:rPr>
        <w:t xml:space="preserve"> </w:t>
      </w:r>
      <w:r w:rsidRPr="007B38C0">
        <w:rPr>
          <w:rFonts w:eastAsia="Times New Roman" w:cs="Arial"/>
          <w:bCs/>
          <w:color w:val="000000"/>
          <w:szCs w:val="20"/>
          <w:lang w:eastAsia="bg-BG"/>
        </w:rPr>
        <w:t>при деца, за достигане на сравнима системна експозиция.</w:t>
      </w:r>
    </w:p>
    <w:p w14:paraId="27A1C922" w14:textId="77777777" w:rsidR="007B38C0" w:rsidRPr="007B38C0" w:rsidRDefault="007B38C0" w:rsidP="007B38C0">
      <w:pPr>
        <w:spacing w:line="240" w:lineRule="auto"/>
        <w:rPr>
          <w:rFonts w:eastAsia="Times New Roman" w:cs="Arial"/>
          <w:bCs/>
          <w:color w:val="000000"/>
          <w:szCs w:val="20"/>
          <w:lang w:eastAsia="bg-BG"/>
        </w:rPr>
      </w:pPr>
    </w:p>
    <w:p w14:paraId="24AB0B1A" w14:textId="352D5850" w:rsidR="007B38C0" w:rsidRPr="007B38C0" w:rsidRDefault="007B38C0" w:rsidP="007B38C0">
      <w:pPr>
        <w:spacing w:line="240" w:lineRule="auto"/>
        <w:rPr>
          <w:rFonts w:eastAsia="Times New Roman" w:cs="Arial"/>
          <w:sz w:val="28"/>
          <w:szCs w:val="24"/>
        </w:rPr>
      </w:pPr>
      <w:r w:rsidRPr="007B38C0">
        <w:rPr>
          <w:rFonts w:eastAsia="Times New Roman" w:cs="Arial"/>
          <w:bCs/>
          <w:color w:val="000000"/>
          <w:szCs w:val="20"/>
          <w:lang w:eastAsia="bg-BG"/>
        </w:rPr>
        <w:t>Безопасността и ефикасността при кандидоза на гениталиите за педиатричната популация не е установена. Наличните понастоящем данни за безопасност при други индикации за педиатричната популация са описани в точка 4.8. Ако лечението за кандидоза на гениталиите е наложително при подрастващи (от 12 до 17 години) флуконазол се прилага в дози като при възрастни.</w:t>
      </w:r>
    </w:p>
    <w:p w14:paraId="52CD9DD8" w14:textId="77777777" w:rsidR="007B38C0" w:rsidRPr="007B38C0" w:rsidRDefault="007B38C0" w:rsidP="007B38C0">
      <w:pPr>
        <w:spacing w:line="240" w:lineRule="auto"/>
        <w:rPr>
          <w:rFonts w:eastAsia="Times New Roman" w:cs="Arial"/>
          <w:bCs/>
          <w:i/>
          <w:iCs/>
          <w:color w:val="000000"/>
          <w:szCs w:val="20"/>
          <w:lang w:eastAsia="bg-BG"/>
        </w:rPr>
      </w:pPr>
    </w:p>
    <w:p w14:paraId="50D5B96A" w14:textId="00B8F64D" w:rsidR="007B38C0" w:rsidRPr="007B38C0" w:rsidRDefault="007B38C0" w:rsidP="007B38C0">
      <w:pPr>
        <w:spacing w:line="240" w:lineRule="auto"/>
        <w:rPr>
          <w:rFonts w:eastAsia="Times New Roman" w:cs="Arial"/>
          <w:sz w:val="28"/>
          <w:szCs w:val="24"/>
        </w:rPr>
      </w:pPr>
      <w:r w:rsidRPr="007B38C0">
        <w:rPr>
          <w:rFonts w:eastAsia="Times New Roman" w:cs="Arial"/>
          <w:bCs/>
          <w:i/>
          <w:iCs/>
          <w:color w:val="000000"/>
          <w:szCs w:val="20"/>
          <w:lang w:eastAsia="bg-BG"/>
        </w:rPr>
        <w:t>Доносени новородени (0 до 27 дни)</w:t>
      </w:r>
    </w:p>
    <w:p w14:paraId="2555B5F9" w14:textId="635A0510" w:rsidR="007B38C0" w:rsidRDefault="007B38C0" w:rsidP="007B38C0">
      <w:pPr>
        <w:rPr>
          <w:rFonts w:eastAsia="Times New Roman" w:cs="Arial"/>
          <w:bCs/>
          <w:color w:val="000000"/>
          <w:szCs w:val="20"/>
          <w:lang w:eastAsia="bg-BG"/>
        </w:rPr>
      </w:pPr>
      <w:r w:rsidRPr="007B38C0">
        <w:rPr>
          <w:rFonts w:eastAsia="Times New Roman" w:cs="Arial"/>
          <w:bCs/>
          <w:color w:val="000000"/>
          <w:szCs w:val="20"/>
          <w:lang w:eastAsia="bg-BG"/>
        </w:rPr>
        <w:t>Новородените екскретират флуконазол бавно. При доносени новородени съществуват известни фармакокинетични данни в подкрепа на режима на дозиране, представен по-долу (вж. точка 5.2).</w:t>
      </w:r>
    </w:p>
    <w:p w14:paraId="0F8120EA" w14:textId="67D86C46" w:rsidR="007B38C0" w:rsidRDefault="007B38C0" w:rsidP="007B38C0">
      <w:pPr>
        <w:rPr>
          <w:rFonts w:eastAsia="Times New Roman" w:cs="Arial"/>
          <w:bCs/>
          <w:color w:val="000000"/>
          <w:szCs w:val="20"/>
          <w:lang w:eastAsia="bg-BG"/>
        </w:rPr>
      </w:pPr>
    </w:p>
    <w:tbl>
      <w:tblPr>
        <w:tblStyle w:val="TableGrid"/>
        <w:tblW w:w="0" w:type="auto"/>
        <w:tblLook w:val="04A0" w:firstRow="1" w:lastRow="0" w:firstColumn="1" w:lastColumn="0" w:noHBand="0" w:noVBand="1"/>
      </w:tblPr>
      <w:tblGrid>
        <w:gridCol w:w="3115"/>
        <w:gridCol w:w="3109"/>
        <w:gridCol w:w="3126"/>
      </w:tblGrid>
      <w:tr w:rsidR="007B38C0" w14:paraId="12920370" w14:textId="77777777" w:rsidTr="007B38C0">
        <w:tc>
          <w:tcPr>
            <w:tcW w:w="3192" w:type="dxa"/>
            <w:vAlign w:val="bottom"/>
          </w:tcPr>
          <w:p w14:paraId="4FDDDD2D" w14:textId="4A6A7CAE" w:rsidR="007B38C0" w:rsidRDefault="007B38C0" w:rsidP="007B38C0">
            <w:pPr>
              <w:rPr>
                <w:rFonts w:cs="Arial"/>
                <w:sz w:val="24"/>
              </w:rPr>
            </w:pPr>
            <w:r>
              <w:t>Възрастова група</w:t>
            </w:r>
          </w:p>
        </w:tc>
        <w:tc>
          <w:tcPr>
            <w:tcW w:w="3192" w:type="dxa"/>
            <w:vAlign w:val="bottom"/>
          </w:tcPr>
          <w:p w14:paraId="0D7ADBCC" w14:textId="723E0ABB" w:rsidR="007B38C0" w:rsidRDefault="007B38C0" w:rsidP="007B38C0">
            <w:pPr>
              <w:rPr>
                <w:rFonts w:cs="Arial"/>
                <w:sz w:val="24"/>
              </w:rPr>
            </w:pPr>
            <w:r>
              <w:t>Дозировка</w:t>
            </w:r>
          </w:p>
        </w:tc>
        <w:tc>
          <w:tcPr>
            <w:tcW w:w="3192" w:type="dxa"/>
          </w:tcPr>
          <w:p w14:paraId="3D4EC96C" w14:textId="512E9ADF" w:rsidR="007B38C0" w:rsidRDefault="007B38C0" w:rsidP="007B38C0">
            <w:pPr>
              <w:rPr>
                <w:rFonts w:cs="Arial"/>
                <w:sz w:val="24"/>
              </w:rPr>
            </w:pPr>
            <w:r>
              <w:rPr>
                <w:rFonts w:cs="Arial"/>
              </w:rPr>
              <w:t>Препоръки</w:t>
            </w:r>
          </w:p>
        </w:tc>
      </w:tr>
      <w:tr w:rsidR="007B38C0" w14:paraId="73E3FAF6" w14:textId="77777777" w:rsidTr="007B38C0">
        <w:tc>
          <w:tcPr>
            <w:tcW w:w="3192" w:type="dxa"/>
          </w:tcPr>
          <w:p w14:paraId="069A92F1" w14:textId="4BA91553" w:rsidR="007B38C0" w:rsidRDefault="007B38C0" w:rsidP="007B38C0">
            <w:pPr>
              <w:rPr>
                <w:rFonts w:cs="Arial"/>
                <w:sz w:val="24"/>
              </w:rPr>
            </w:pPr>
            <w:r>
              <w:t>- Доносени новородени (от 0 до 14 дни)</w:t>
            </w:r>
          </w:p>
        </w:tc>
        <w:tc>
          <w:tcPr>
            <w:tcW w:w="3192" w:type="dxa"/>
          </w:tcPr>
          <w:p w14:paraId="7303E451" w14:textId="30A40152" w:rsidR="007B38C0" w:rsidRDefault="007B38C0" w:rsidP="007B38C0">
            <w:pPr>
              <w:rPr>
                <w:rFonts w:cs="Arial"/>
                <w:sz w:val="24"/>
              </w:rPr>
            </w:pPr>
            <w:r>
              <w:t xml:space="preserve">- Прилагат се същите </w:t>
            </w:r>
            <w:r>
              <w:rPr>
                <w:lang w:val="en-US"/>
              </w:rPr>
              <w:t>mg</w:t>
            </w:r>
            <w:r w:rsidRPr="007B38C0">
              <w:rPr>
                <w:lang w:val="ru-RU"/>
              </w:rPr>
              <w:t>/</w:t>
            </w:r>
            <w:r>
              <w:rPr>
                <w:lang w:val="en-US"/>
              </w:rPr>
              <w:t>kg</w:t>
            </w:r>
            <w:r w:rsidRPr="007B38C0">
              <w:rPr>
                <w:lang w:val="ru-RU"/>
              </w:rPr>
              <w:t xml:space="preserve">, </w:t>
            </w:r>
            <w:r>
              <w:t>като при бебета, кърмачета и деца (от 28 дни до 11 години) на всеки 72 часа</w:t>
            </w:r>
          </w:p>
        </w:tc>
        <w:tc>
          <w:tcPr>
            <w:tcW w:w="3192" w:type="dxa"/>
          </w:tcPr>
          <w:p w14:paraId="1ED37D69" w14:textId="77777777" w:rsidR="007B38C0" w:rsidRDefault="007B38C0" w:rsidP="007B38C0">
            <w:r>
              <w:t>Не трябва да се надвишава максималната доза от</w:t>
            </w:r>
          </w:p>
          <w:p w14:paraId="775ADD2D" w14:textId="327ED7B9" w:rsidR="007B38C0" w:rsidRDefault="007B38C0" w:rsidP="007B38C0">
            <w:pPr>
              <w:rPr>
                <w:rFonts w:cs="Arial"/>
                <w:sz w:val="24"/>
              </w:rPr>
            </w:pPr>
            <w:r>
              <w:t xml:space="preserve">12 </w:t>
            </w:r>
            <w:r>
              <w:rPr>
                <w:lang w:val="en-US"/>
              </w:rPr>
              <w:t>mg</w:t>
            </w:r>
            <w:r w:rsidRPr="007B38C0">
              <w:rPr>
                <w:lang w:val="ru-RU"/>
              </w:rPr>
              <w:t>/</w:t>
            </w:r>
            <w:r>
              <w:rPr>
                <w:lang w:val="en-US"/>
              </w:rPr>
              <w:t>kg</w:t>
            </w:r>
            <w:r w:rsidRPr="007B38C0">
              <w:rPr>
                <w:lang w:val="ru-RU"/>
              </w:rPr>
              <w:t xml:space="preserve"> </w:t>
            </w:r>
            <w:r>
              <w:t>на всеки 72 часа</w:t>
            </w:r>
          </w:p>
        </w:tc>
      </w:tr>
      <w:tr w:rsidR="007B38C0" w14:paraId="04AD97EB" w14:textId="77777777" w:rsidTr="007B38C0">
        <w:tc>
          <w:tcPr>
            <w:tcW w:w="3192" w:type="dxa"/>
          </w:tcPr>
          <w:p w14:paraId="0C1F93B3" w14:textId="47269EFC" w:rsidR="007B38C0" w:rsidRDefault="007B38C0" w:rsidP="007B38C0">
            <w:pPr>
              <w:rPr>
                <w:rFonts w:cs="Arial"/>
                <w:sz w:val="24"/>
              </w:rPr>
            </w:pPr>
            <w:r>
              <w:t>- Доносени новородени (от 15 до 27 дни)</w:t>
            </w:r>
          </w:p>
        </w:tc>
        <w:tc>
          <w:tcPr>
            <w:tcW w:w="3192" w:type="dxa"/>
          </w:tcPr>
          <w:p w14:paraId="3271F5E5" w14:textId="2FAE0E07" w:rsidR="007B38C0" w:rsidRDefault="007B38C0" w:rsidP="007B38C0">
            <w:pPr>
              <w:rPr>
                <w:rFonts w:cs="Arial"/>
                <w:sz w:val="24"/>
              </w:rPr>
            </w:pPr>
            <w:r>
              <w:t xml:space="preserve">- Прилагат се същите </w:t>
            </w:r>
            <w:r>
              <w:rPr>
                <w:lang w:val="en-US"/>
              </w:rPr>
              <w:t>mg</w:t>
            </w:r>
            <w:r w:rsidRPr="007B38C0">
              <w:rPr>
                <w:lang w:val="ru-RU"/>
              </w:rPr>
              <w:t>/</w:t>
            </w:r>
            <w:r>
              <w:rPr>
                <w:lang w:val="en-US"/>
              </w:rPr>
              <w:t>kg</w:t>
            </w:r>
            <w:r w:rsidRPr="007B38C0">
              <w:rPr>
                <w:lang w:val="ru-RU"/>
              </w:rPr>
              <w:t xml:space="preserve">, </w:t>
            </w:r>
            <w:r>
              <w:t>като при бебета, кърмачета и деца (от 28 дни до 11 години) на всеки 48 часа</w:t>
            </w:r>
          </w:p>
        </w:tc>
        <w:tc>
          <w:tcPr>
            <w:tcW w:w="3192" w:type="dxa"/>
          </w:tcPr>
          <w:p w14:paraId="435CEC46" w14:textId="77777777" w:rsidR="007B38C0" w:rsidRDefault="007B38C0" w:rsidP="007B38C0">
            <w:r>
              <w:t>Не трябва да се надвишава максималната доза от</w:t>
            </w:r>
          </w:p>
          <w:p w14:paraId="58F3310D" w14:textId="5EE10914" w:rsidR="007B38C0" w:rsidRDefault="007B38C0" w:rsidP="007B38C0">
            <w:pPr>
              <w:rPr>
                <w:rFonts w:cs="Arial"/>
                <w:sz w:val="24"/>
              </w:rPr>
            </w:pPr>
            <w:r>
              <w:t xml:space="preserve">12 </w:t>
            </w:r>
            <w:r>
              <w:rPr>
                <w:lang w:val="en-US"/>
              </w:rPr>
              <w:t>mg</w:t>
            </w:r>
            <w:r w:rsidRPr="007B38C0">
              <w:rPr>
                <w:lang w:val="ru-RU"/>
              </w:rPr>
              <w:t>/</w:t>
            </w:r>
            <w:r>
              <w:rPr>
                <w:lang w:val="en-US"/>
              </w:rPr>
              <w:t>kg</w:t>
            </w:r>
            <w:r w:rsidRPr="007B38C0">
              <w:rPr>
                <w:lang w:val="ru-RU"/>
              </w:rPr>
              <w:t xml:space="preserve"> </w:t>
            </w:r>
            <w:r>
              <w:t>на всеки 48 часа</w:t>
            </w:r>
          </w:p>
        </w:tc>
      </w:tr>
    </w:tbl>
    <w:p w14:paraId="4F9A4EDF" w14:textId="77777777" w:rsidR="007B38C0" w:rsidRDefault="007B38C0" w:rsidP="007B38C0">
      <w:pPr>
        <w:spacing w:line="240" w:lineRule="auto"/>
        <w:rPr>
          <w:rFonts w:ascii="Times New Roman" w:eastAsia="Times New Roman" w:hAnsi="Times New Roman" w:cs="Times New Roman"/>
          <w:b/>
          <w:bCs/>
          <w:color w:val="000000"/>
          <w:sz w:val="20"/>
          <w:szCs w:val="20"/>
          <w:u w:val="single"/>
          <w:lang w:eastAsia="bg-BG"/>
        </w:rPr>
      </w:pPr>
    </w:p>
    <w:p w14:paraId="2112BA04" w14:textId="220C5EB7" w:rsidR="007B38C0" w:rsidRPr="007B38C0" w:rsidRDefault="007B38C0" w:rsidP="007B38C0">
      <w:pPr>
        <w:pStyle w:val="Heading3"/>
        <w:rPr>
          <w:rFonts w:eastAsia="Times New Roman"/>
          <w:u w:val="single"/>
        </w:rPr>
      </w:pPr>
      <w:r w:rsidRPr="007B38C0">
        <w:rPr>
          <w:rFonts w:eastAsia="Times New Roman"/>
          <w:u w:val="single"/>
          <w:lang w:eastAsia="bg-BG"/>
        </w:rPr>
        <w:t>Начин на приложение</w:t>
      </w:r>
    </w:p>
    <w:p w14:paraId="2E984142" w14:textId="77777777" w:rsidR="007B38C0" w:rsidRDefault="007B38C0" w:rsidP="007B38C0">
      <w:pPr>
        <w:rPr>
          <w:lang w:eastAsia="bg-BG"/>
        </w:rPr>
      </w:pPr>
    </w:p>
    <w:p w14:paraId="6676E200" w14:textId="79C8FCD4" w:rsidR="007B38C0" w:rsidRPr="007B38C0" w:rsidRDefault="007B38C0" w:rsidP="007B38C0">
      <w:pPr>
        <w:rPr>
          <w:sz w:val="24"/>
          <w:szCs w:val="24"/>
        </w:rPr>
      </w:pPr>
      <w:r w:rsidRPr="007B38C0">
        <w:rPr>
          <w:lang w:eastAsia="bg-BG"/>
        </w:rPr>
        <w:t>Фунголон се приема през устата или чрез интравенозна инфузия; начинът на приложение зависи от клиничното състояние на пациента. Капсулите трябва да се поглъщат цепи с достатъчно количество течност, независимо от приема на храна.</w:t>
      </w:r>
    </w:p>
    <w:p w14:paraId="74BEAD44" w14:textId="77777777" w:rsidR="007B38C0" w:rsidRPr="007B38C0" w:rsidRDefault="007B38C0" w:rsidP="007B38C0">
      <w:pPr>
        <w:rPr>
          <w:rFonts w:cs="Arial"/>
          <w:sz w:val="24"/>
        </w:rPr>
      </w:pPr>
    </w:p>
    <w:p w14:paraId="62B13D0B" w14:textId="6DD0AA49" w:rsidR="00395555" w:rsidRDefault="002C50EE" w:rsidP="008A6AF2">
      <w:pPr>
        <w:pStyle w:val="Heading2"/>
      </w:pPr>
      <w:r>
        <w:t>4.3. Противопоказания</w:t>
      </w:r>
    </w:p>
    <w:p w14:paraId="79219439" w14:textId="18404984" w:rsidR="007B38C0" w:rsidRDefault="007B38C0" w:rsidP="007B38C0"/>
    <w:p w14:paraId="77744C07" w14:textId="77777777" w:rsidR="007B38C0" w:rsidRPr="007B38C0" w:rsidRDefault="007B38C0" w:rsidP="007B38C0">
      <w:pPr>
        <w:pStyle w:val="ListParagraph"/>
        <w:numPr>
          <w:ilvl w:val="0"/>
          <w:numId w:val="38"/>
        </w:numPr>
        <w:rPr>
          <w:lang w:eastAsia="bg-BG"/>
        </w:rPr>
      </w:pPr>
      <w:r w:rsidRPr="007B38C0">
        <w:rPr>
          <w:lang w:eastAsia="bg-BG"/>
        </w:rPr>
        <w:t>Свръхчувствителност към флуконазол, към други азоли или към някое от помощните вещества, изброени в точка 6.1.</w:t>
      </w:r>
    </w:p>
    <w:p w14:paraId="4395B269" w14:textId="77777777" w:rsidR="007B38C0" w:rsidRPr="007B38C0" w:rsidRDefault="007B38C0" w:rsidP="007B38C0">
      <w:pPr>
        <w:pStyle w:val="ListParagraph"/>
        <w:numPr>
          <w:ilvl w:val="0"/>
          <w:numId w:val="38"/>
        </w:numPr>
        <w:rPr>
          <w:lang w:eastAsia="bg-BG"/>
        </w:rPr>
      </w:pPr>
      <w:r w:rsidRPr="007B38C0">
        <w:rPr>
          <w:lang w:eastAsia="bg-BG"/>
        </w:rPr>
        <w:t xml:space="preserve">При пациенти, които приемат многократно дневно по 400 </w:t>
      </w:r>
      <w:r w:rsidRPr="007B38C0">
        <w:rPr>
          <w:lang w:val="en-US"/>
        </w:rPr>
        <w:t>mg</w:t>
      </w:r>
      <w:r w:rsidRPr="007B38C0">
        <w:rPr>
          <w:lang w:val="ru-RU"/>
        </w:rPr>
        <w:t xml:space="preserve"> </w:t>
      </w:r>
      <w:r w:rsidRPr="007B38C0">
        <w:rPr>
          <w:lang w:eastAsia="bg-BG"/>
        </w:rPr>
        <w:t>флуконазол или в по-високи дози едновременното приложение с терфенадин е противопоказано. Данните се основават на резултатите, получени от проучване за лекарствени взаимодействия при многократно прилагане.</w:t>
      </w:r>
    </w:p>
    <w:p w14:paraId="60EA4860" w14:textId="77777777" w:rsidR="007B38C0" w:rsidRPr="007B38C0" w:rsidRDefault="007B38C0" w:rsidP="007B38C0">
      <w:pPr>
        <w:pStyle w:val="ListParagraph"/>
        <w:numPr>
          <w:ilvl w:val="0"/>
          <w:numId w:val="38"/>
        </w:numPr>
        <w:rPr>
          <w:lang w:eastAsia="bg-BG"/>
        </w:rPr>
      </w:pPr>
      <w:r w:rsidRPr="007B38C0">
        <w:rPr>
          <w:lang w:eastAsia="bg-BG"/>
        </w:rPr>
        <w:t>Едновременна употреба с лекарствени продукти, за които се знае, че удължават</w:t>
      </w:r>
    </w:p>
    <w:p w14:paraId="16E769BD" w14:textId="77777777" w:rsidR="007B38C0" w:rsidRPr="007B38C0" w:rsidRDefault="007B38C0" w:rsidP="007B38C0">
      <w:pPr>
        <w:pStyle w:val="ListParagraph"/>
        <w:rPr>
          <w:sz w:val="24"/>
          <w:szCs w:val="24"/>
        </w:rPr>
      </w:pPr>
      <w:r w:rsidRPr="007B38C0">
        <w:rPr>
          <w:lang w:val="en-US"/>
        </w:rPr>
        <w:t>QT</w:t>
      </w:r>
      <w:r w:rsidRPr="007B38C0">
        <w:rPr>
          <w:lang w:val="ru-RU"/>
        </w:rPr>
        <w:t xml:space="preserve"> </w:t>
      </w:r>
      <w:r w:rsidRPr="007B38C0">
        <w:rPr>
          <w:lang w:eastAsia="bg-BG"/>
        </w:rPr>
        <w:t xml:space="preserve">интервала и се метаболизират от </w:t>
      </w:r>
      <w:r w:rsidRPr="007B38C0">
        <w:rPr>
          <w:lang w:val="en-US"/>
        </w:rPr>
        <w:t>CYP</w:t>
      </w:r>
      <w:r w:rsidRPr="007B38C0">
        <w:rPr>
          <w:lang w:val="ru-RU"/>
        </w:rPr>
        <w:t>3</w:t>
      </w:r>
      <w:r w:rsidRPr="007B38C0">
        <w:rPr>
          <w:lang w:val="en-US"/>
        </w:rPr>
        <w:t>A</w:t>
      </w:r>
      <w:r w:rsidRPr="007B38C0">
        <w:rPr>
          <w:lang w:val="ru-RU"/>
        </w:rPr>
        <w:t xml:space="preserve">4, </w:t>
      </w:r>
      <w:r w:rsidRPr="007B38C0">
        <w:rPr>
          <w:lang w:eastAsia="bg-BG"/>
        </w:rPr>
        <w:t>като цизаприд, астемизол, пимозцд, хинидин и еритромицин (вж. точки 4.4 и 4.5).</w:t>
      </w:r>
    </w:p>
    <w:p w14:paraId="75511BB3" w14:textId="77777777" w:rsidR="007B38C0" w:rsidRPr="007B38C0" w:rsidRDefault="007B38C0" w:rsidP="007B38C0"/>
    <w:p w14:paraId="5A4AC413" w14:textId="18D3FBAF" w:rsidR="00395555" w:rsidRDefault="002C50EE" w:rsidP="008A6AF2">
      <w:pPr>
        <w:pStyle w:val="Heading2"/>
      </w:pPr>
      <w:r>
        <w:t>4.4. Специални предупреждения и предпазни мерки при употреба</w:t>
      </w:r>
    </w:p>
    <w:p w14:paraId="176B3275" w14:textId="067B69BB" w:rsidR="007B38C0" w:rsidRDefault="007B38C0" w:rsidP="007B38C0"/>
    <w:p w14:paraId="7620D18C" w14:textId="77777777" w:rsidR="007B38C0" w:rsidRPr="007B38C0" w:rsidRDefault="007B38C0" w:rsidP="007B38C0">
      <w:pPr>
        <w:spacing w:line="240" w:lineRule="auto"/>
        <w:rPr>
          <w:rFonts w:eastAsia="Times New Roman" w:cs="Arial"/>
        </w:rPr>
      </w:pPr>
      <w:r w:rsidRPr="007B38C0">
        <w:rPr>
          <w:rFonts w:eastAsia="Times New Roman" w:cs="Arial"/>
          <w:bCs/>
          <w:i/>
          <w:iCs/>
          <w:color w:val="000000"/>
          <w:u w:val="single"/>
          <w:lang w:val="en-US"/>
        </w:rPr>
        <w:t>Tinea</w:t>
      </w:r>
      <w:r w:rsidRPr="007B38C0">
        <w:rPr>
          <w:rFonts w:eastAsia="Times New Roman" w:cs="Arial"/>
          <w:bCs/>
          <w:i/>
          <w:iCs/>
          <w:color w:val="000000"/>
          <w:u w:val="single"/>
        </w:rPr>
        <w:t xml:space="preserve"> </w:t>
      </w:r>
      <w:proofErr w:type="spellStart"/>
      <w:r w:rsidRPr="007B38C0">
        <w:rPr>
          <w:rFonts w:eastAsia="Times New Roman" w:cs="Arial"/>
          <w:bCs/>
          <w:i/>
          <w:iCs/>
          <w:color w:val="000000"/>
          <w:u w:val="single"/>
          <w:lang w:val="en-US"/>
        </w:rPr>
        <w:t>capitis</w:t>
      </w:r>
      <w:proofErr w:type="spellEnd"/>
    </w:p>
    <w:p w14:paraId="6413E0B8" w14:textId="77777777" w:rsidR="007B38C0" w:rsidRPr="007B38C0" w:rsidRDefault="007B38C0" w:rsidP="007B38C0">
      <w:pPr>
        <w:spacing w:line="240" w:lineRule="auto"/>
        <w:rPr>
          <w:rFonts w:eastAsia="Times New Roman" w:cs="Arial"/>
        </w:rPr>
      </w:pPr>
      <w:r w:rsidRPr="007B38C0">
        <w:rPr>
          <w:rFonts w:eastAsia="Times New Roman" w:cs="Arial"/>
          <w:bCs/>
          <w:color w:val="000000"/>
          <w:lang w:eastAsia="bg-BG"/>
        </w:rPr>
        <w:t xml:space="preserve">Флуконазол е изследван за лечение на </w:t>
      </w:r>
      <w:r w:rsidRPr="007B38C0">
        <w:rPr>
          <w:rFonts w:eastAsia="Times New Roman" w:cs="Arial"/>
          <w:bCs/>
          <w:i/>
          <w:iCs/>
          <w:color w:val="000000"/>
          <w:lang w:val="en-US"/>
        </w:rPr>
        <w:t>tinea</w:t>
      </w:r>
      <w:r w:rsidRPr="007B38C0">
        <w:rPr>
          <w:rFonts w:eastAsia="Times New Roman" w:cs="Arial"/>
          <w:bCs/>
          <w:i/>
          <w:iCs/>
          <w:color w:val="000000"/>
        </w:rPr>
        <w:t xml:space="preserve"> </w:t>
      </w:r>
      <w:proofErr w:type="spellStart"/>
      <w:r w:rsidRPr="007B38C0">
        <w:rPr>
          <w:rFonts w:eastAsia="Times New Roman" w:cs="Arial"/>
          <w:bCs/>
          <w:i/>
          <w:iCs/>
          <w:color w:val="000000"/>
          <w:lang w:val="en-US"/>
        </w:rPr>
        <w:t>capitis</w:t>
      </w:r>
      <w:proofErr w:type="spellEnd"/>
      <w:r w:rsidRPr="007B38C0">
        <w:rPr>
          <w:rFonts w:eastAsia="Times New Roman" w:cs="Arial"/>
          <w:bCs/>
          <w:color w:val="000000"/>
        </w:rPr>
        <w:t xml:space="preserve"> </w:t>
      </w:r>
      <w:r w:rsidRPr="007B38C0">
        <w:rPr>
          <w:rFonts w:eastAsia="Times New Roman" w:cs="Arial"/>
          <w:bCs/>
          <w:color w:val="000000"/>
          <w:lang w:eastAsia="bg-BG"/>
        </w:rPr>
        <w:t xml:space="preserve">при деца. Доказано е, че ефикасността му не превъзхожда тази на гризеофулвин и процентът на успеваемост е по-малко от 20%, поради което не трябва да се прилага за лечение на </w:t>
      </w:r>
      <w:r w:rsidRPr="007B38C0">
        <w:rPr>
          <w:rFonts w:eastAsia="Times New Roman" w:cs="Arial"/>
          <w:bCs/>
          <w:i/>
          <w:iCs/>
          <w:color w:val="000000"/>
          <w:lang w:val="en-US"/>
        </w:rPr>
        <w:t>tinea</w:t>
      </w:r>
      <w:r w:rsidRPr="007B38C0">
        <w:rPr>
          <w:rFonts w:eastAsia="Times New Roman" w:cs="Arial"/>
          <w:bCs/>
          <w:i/>
          <w:iCs/>
          <w:color w:val="000000"/>
          <w:lang w:val="ru-RU"/>
        </w:rPr>
        <w:t xml:space="preserve"> </w:t>
      </w:r>
      <w:proofErr w:type="spellStart"/>
      <w:r w:rsidRPr="007B38C0">
        <w:rPr>
          <w:rFonts w:eastAsia="Times New Roman" w:cs="Arial"/>
          <w:bCs/>
          <w:i/>
          <w:iCs/>
          <w:color w:val="000000"/>
          <w:lang w:val="en-US"/>
        </w:rPr>
        <w:t>capitis</w:t>
      </w:r>
      <w:proofErr w:type="spellEnd"/>
      <w:r w:rsidRPr="007B38C0">
        <w:rPr>
          <w:rFonts w:eastAsia="Times New Roman" w:cs="Arial"/>
          <w:bCs/>
          <w:i/>
          <w:iCs/>
          <w:color w:val="000000"/>
          <w:lang w:val="ru-RU"/>
        </w:rPr>
        <w:t>.</w:t>
      </w:r>
    </w:p>
    <w:p w14:paraId="45F5613A" w14:textId="77777777" w:rsidR="007B38C0" w:rsidRPr="007B38C0" w:rsidRDefault="007B38C0" w:rsidP="007B38C0">
      <w:pPr>
        <w:spacing w:line="240" w:lineRule="auto"/>
        <w:rPr>
          <w:rFonts w:eastAsia="Times New Roman" w:cs="Arial"/>
          <w:bCs/>
          <w:i/>
          <w:iCs/>
          <w:color w:val="000000"/>
          <w:u w:val="single"/>
          <w:lang w:eastAsia="bg-BG"/>
        </w:rPr>
      </w:pPr>
    </w:p>
    <w:p w14:paraId="69A0CC3B" w14:textId="6188536D" w:rsidR="007B38C0" w:rsidRPr="007B38C0" w:rsidRDefault="007B38C0" w:rsidP="007B38C0">
      <w:pPr>
        <w:spacing w:line="240" w:lineRule="auto"/>
        <w:rPr>
          <w:rFonts w:eastAsia="Times New Roman" w:cs="Arial"/>
        </w:rPr>
      </w:pPr>
      <w:r w:rsidRPr="007B38C0">
        <w:rPr>
          <w:rFonts w:eastAsia="Times New Roman" w:cs="Arial"/>
          <w:bCs/>
          <w:i/>
          <w:iCs/>
          <w:color w:val="000000"/>
          <w:u w:val="single"/>
          <w:lang w:eastAsia="bg-BG"/>
        </w:rPr>
        <w:t>Криптококоза</w:t>
      </w:r>
    </w:p>
    <w:p w14:paraId="58C7E805" w14:textId="77777777" w:rsidR="007B38C0" w:rsidRPr="007B38C0" w:rsidRDefault="007B38C0" w:rsidP="007B38C0">
      <w:pPr>
        <w:spacing w:line="240" w:lineRule="auto"/>
        <w:rPr>
          <w:rFonts w:eastAsia="Times New Roman" w:cs="Arial"/>
        </w:rPr>
      </w:pPr>
      <w:r w:rsidRPr="007B38C0">
        <w:rPr>
          <w:rFonts w:eastAsia="Times New Roman" w:cs="Arial"/>
          <w:bCs/>
          <w:color w:val="000000"/>
          <w:lang w:eastAsia="bg-BG"/>
        </w:rPr>
        <w:t>Данните за ефикасност на флуконазол при лечение на криптококоза с друга локализация (напр. белодробна или кожна) са ограничени, поради което не може да се препоръча подходящо дозиране.</w:t>
      </w:r>
    </w:p>
    <w:p w14:paraId="4B6AF6BB" w14:textId="77777777" w:rsidR="007B38C0" w:rsidRPr="007B38C0" w:rsidRDefault="007B38C0" w:rsidP="007B38C0">
      <w:pPr>
        <w:spacing w:line="240" w:lineRule="auto"/>
        <w:rPr>
          <w:rFonts w:eastAsia="Times New Roman" w:cs="Arial"/>
          <w:bCs/>
          <w:i/>
          <w:iCs/>
          <w:color w:val="000000"/>
          <w:u w:val="single"/>
          <w:lang w:eastAsia="bg-BG"/>
        </w:rPr>
      </w:pPr>
    </w:p>
    <w:p w14:paraId="081CF9F0" w14:textId="049B0DBE" w:rsidR="007B38C0" w:rsidRPr="007B38C0" w:rsidRDefault="007B38C0" w:rsidP="007B38C0">
      <w:pPr>
        <w:spacing w:line="240" w:lineRule="auto"/>
        <w:rPr>
          <w:rFonts w:eastAsia="Times New Roman" w:cs="Arial"/>
        </w:rPr>
      </w:pPr>
      <w:r w:rsidRPr="007B38C0">
        <w:rPr>
          <w:rFonts w:eastAsia="Times New Roman" w:cs="Arial"/>
          <w:bCs/>
          <w:i/>
          <w:iCs/>
          <w:color w:val="000000"/>
          <w:u w:val="single"/>
          <w:lang w:eastAsia="bg-BG"/>
        </w:rPr>
        <w:t>Дълбока ендемична микоза</w:t>
      </w:r>
    </w:p>
    <w:p w14:paraId="5AAD11CD" w14:textId="77777777" w:rsidR="007B38C0" w:rsidRPr="007B38C0" w:rsidRDefault="007B38C0" w:rsidP="007B38C0">
      <w:pPr>
        <w:spacing w:line="240" w:lineRule="auto"/>
        <w:rPr>
          <w:rFonts w:eastAsia="Times New Roman" w:cs="Arial"/>
        </w:rPr>
      </w:pPr>
      <w:r w:rsidRPr="007B38C0">
        <w:rPr>
          <w:rFonts w:eastAsia="Times New Roman" w:cs="Arial"/>
          <w:bCs/>
          <w:color w:val="000000"/>
          <w:lang w:eastAsia="bg-BG"/>
        </w:rPr>
        <w:t xml:space="preserve">Данните за ефикасност на флуконазол за лечение на други форми на ендемична микоза, като </w:t>
      </w:r>
      <w:r w:rsidRPr="007B38C0">
        <w:rPr>
          <w:rFonts w:eastAsia="Times New Roman" w:cs="Arial"/>
          <w:bCs/>
          <w:i/>
          <w:iCs/>
          <w:color w:val="000000"/>
          <w:lang w:eastAsia="bg-BG"/>
        </w:rPr>
        <w:t>паракокцидиоидомикоза, кожно-лимфна споротрихоза</w:t>
      </w:r>
      <w:r w:rsidRPr="007B38C0">
        <w:rPr>
          <w:rFonts w:eastAsia="Times New Roman" w:cs="Arial"/>
          <w:bCs/>
          <w:color w:val="000000"/>
          <w:lang w:eastAsia="bg-BG"/>
        </w:rPr>
        <w:t xml:space="preserve"> и </w:t>
      </w:r>
      <w:r w:rsidRPr="007B38C0">
        <w:rPr>
          <w:rFonts w:eastAsia="Times New Roman" w:cs="Arial"/>
          <w:bCs/>
          <w:i/>
          <w:iCs/>
          <w:color w:val="000000"/>
          <w:lang w:eastAsia="bg-BG"/>
        </w:rPr>
        <w:t>хистоплазмоза</w:t>
      </w:r>
      <w:r w:rsidRPr="007B38C0">
        <w:rPr>
          <w:rFonts w:eastAsia="Times New Roman" w:cs="Arial"/>
          <w:bCs/>
          <w:color w:val="000000"/>
          <w:lang w:eastAsia="bg-BG"/>
        </w:rPr>
        <w:t xml:space="preserve"> са ограничени, поради което не може да се предложи подходящ дозов режим.</w:t>
      </w:r>
    </w:p>
    <w:p w14:paraId="07954595" w14:textId="77777777" w:rsidR="007B38C0" w:rsidRPr="007B38C0" w:rsidRDefault="007B38C0" w:rsidP="007B38C0">
      <w:pPr>
        <w:spacing w:line="240" w:lineRule="auto"/>
        <w:rPr>
          <w:rFonts w:eastAsia="Times New Roman" w:cs="Arial"/>
          <w:bCs/>
          <w:i/>
          <w:iCs/>
          <w:color w:val="000000"/>
          <w:u w:val="single"/>
          <w:lang w:eastAsia="bg-BG"/>
        </w:rPr>
      </w:pPr>
    </w:p>
    <w:p w14:paraId="3C90C65B" w14:textId="29C86346" w:rsidR="007B38C0" w:rsidRPr="007B38C0" w:rsidRDefault="007B38C0" w:rsidP="007B38C0">
      <w:pPr>
        <w:spacing w:line="240" w:lineRule="auto"/>
        <w:rPr>
          <w:rFonts w:eastAsia="Times New Roman" w:cs="Arial"/>
        </w:rPr>
      </w:pPr>
      <w:r w:rsidRPr="007B38C0">
        <w:rPr>
          <w:rFonts w:eastAsia="Times New Roman" w:cs="Arial"/>
          <w:bCs/>
          <w:i/>
          <w:iCs/>
          <w:color w:val="000000"/>
          <w:u w:val="single"/>
          <w:lang w:eastAsia="bg-BG"/>
        </w:rPr>
        <w:t>Кандидоза:</w:t>
      </w:r>
    </w:p>
    <w:p w14:paraId="19166595" w14:textId="77777777" w:rsidR="007B38C0" w:rsidRPr="007B38C0" w:rsidRDefault="007B38C0" w:rsidP="007B38C0">
      <w:pPr>
        <w:spacing w:line="240" w:lineRule="auto"/>
        <w:rPr>
          <w:rFonts w:eastAsia="Times New Roman" w:cs="Arial"/>
        </w:rPr>
      </w:pPr>
      <w:r w:rsidRPr="007B38C0">
        <w:rPr>
          <w:rFonts w:eastAsia="Times New Roman" w:cs="Arial"/>
          <w:bCs/>
          <w:color w:val="000000"/>
          <w:lang w:eastAsia="bg-BG"/>
        </w:rPr>
        <w:t xml:space="preserve">Проучванията показват повишаване на честотата на инфекциите с видове </w:t>
      </w:r>
      <w:r w:rsidRPr="007B38C0">
        <w:rPr>
          <w:rFonts w:eastAsia="Times New Roman" w:cs="Arial"/>
          <w:bCs/>
          <w:i/>
          <w:iCs/>
          <w:color w:val="000000"/>
          <w:lang w:val="en-US"/>
        </w:rPr>
        <w:t>Candida</w:t>
      </w:r>
      <w:r w:rsidRPr="007B38C0">
        <w:rPr>
          <w:rFonts w:eastAsia="Times New Roman" w:cs="Arial"/>
          <w:bCs/>
          <w:i/>
          <w:iCs/>
          <w:color w:val="000000"/>
          <w:lang w:val="ru-RU"/>
        </w:rPr>
        <w:t>,</w:t>
      </w:r>
      <w:r w:rsidRPr="007B38C0">
        <w:rPr>
          <w:rFonts w:eastAsia="Times New Roman" w:cs="Arial"/>
          <w:bCs/>
          <w:color w:val="000000"/>
          <w:lang w:val="ru-RU"/>
        </w:rPr>
        <w:t xml:space="preserve"> </w:t>
      </w:r>
      <w:r w:rsidRPr="007B38C0">
        <w:rPr>
          <w:rFonts w:eastAsia="Times New Roman" w:cs="Arial"/>
          <w:bCs/>
          <w:color w:val="000000"/>
          <w:lang w:eastAsia="bg-BG"/>
        </w:rPr>
        <w:t xml:space="preserve">различни от </w:t>
      </w:r>
      <w:r w:rsidRPr="007B38C0">
        <w:rPr>
          <w:rFonts w:eastAsia="Times New Roman" w:cs="Arial"/>
          <w:bCs/>
          <w:i/>
          <w:iCs/>
          <w:color w:val="000000"/>
          <w:lang w:eastAsia="bg-BG"/>
        </w:rPr>
        <w:t xml:space="preserve">С. </w:t>
      </w:r>
      <w:proofErr w:type="spellStart"/>
      <w:proofErr w:type="gramStart"/>
      <w:r w:rsidRPr="007B38C0">
        <w:rPr>
          <w:rFonts w:eastAsia="Times New Roman" w:cs="Arial"/>
          <w:bCs/>
          <w:i/>
          <w:iCs/>
          <w:color w:val="000000"/>
          <w:lang w:val="en-US"/>
        </w:rPr>
        <w:t>albicans</w:t>
      </w:r>
      <w:proofErr w:type="spellEnd"/>
      <w:proofErr w:type="gramEnd"/>
      <w:r w:rsidRPr="007B38C0">
        <w:rPr>
          <w:rFonts w:eastAsia="Times New Roman" w:cs="Arial"/>
          <w:bCs/>
          <w:i/>
          <w:iCs/>
          <w:color w:val="000000"/>
          <w:lang w:val="ru-RU"/>
        </w:rPr>
        <w:t>.</w:t>
      </w:r>
      <w:r w:rsidRPr="007B38C0">
        <w:rPr>
          <w:rFonts w:eastAsia="Times New Roman" w:cs="Arial"/>
          <w:bCs/>
          <w:color w:val="000000"/>
          <w:lang w:val="ru-RU"/>
        </w:rPr>
        <w:t xml:space="preserve"> </w:t>
      </w:r>
      <w:r w:rsidRPr="007B38C0">
        <w:rPr>
          <w:rFonts w:eastAsia="Times New Roman" w:cs="Arial"/>
          <w:bCs/>
          <w:color w:val="000000"/>
          <w:lang w:eastAsia="bg-BG"/>
        </w:rPr>
        <w:t xml:space="preserve">Те често са естествено резистентни (напр. </w:t>
      </w:r>
      <w:r w:rsidRPr="007B38C0">
        <w:rPr>
          <w:rFonts w:eastAsia="Times New Roman" w:cs="Arial"/>
          <w:bCs/>
          <w:i/>
          <w:iCs/>
          <w:color w:val="000000"/>
          <w:lang w:eastAsia="bg-BG"/>
        </w:rPr>
        <w:t xml:space="preserve">С. </w:t>
      </w:r>
      <w:proofErr w:type="spellStart"/>
      <w:proofErr w:type="gramStart"/>
      <w:r w:rsidRPr="007B38C0">
        <w:rPr>
          <w:rFonts w:eastAsia="Times New Roman" w:cs="Arial"/>
          <w:bCs/>
          <w:i/>
          <w:iCs/>
          <w:color w:val="000000"/>
          <w:lang w:val="en-US"/>
        </w:rPr>
        <w:t>krusei</w:t>
      </w:r>
      <w:proofErr w:type="spellEnd"/>
      <w:proofErr w:type="gramEnd"/>
      <w:r w:rsidRPr="007B38C0">
        <w:rPr>
          <w:rFonts w:eastAsia="Times New Roman" w:cs="Arial"/>
          <w:bCs/>
          <w:color w:val="000000"/>
          <w:lang w:val="ru-RU"/>
        </w:rPr>
        <w:t xml:space="preserve"> </w:t>
      </w:r>
      <w:r w:rsidRPr="007B38C0">
        <w:rPr>
          <w:rFonts w:eastAsia="Times New Roman" w:cs="Arial"/>
          <w:bCs/>
          <w:color w:val="000000"/>
          <w:lang w:eastAsia="bg-BG"/>
        </w:rPr>
        <w:t xml:space="preserve">и </w:t>
      </w:r>
      <w:r w:rsidRPr="007B38C0">
        <w:rPr>
          <w:rFonts w:eastAsia="Times New Roman" w:cs="Arial"/>
          <w:bCs/>
          <w:i/>
          <w:iCs/>
          <w:color w:val="000000"/>
          <w:lang w:eastAsia="bg-BG"/>
        </w:rPr>
        <w:t xml:space="preserve">С. </w:t>
      </w:r>
      <w:proofErr w:type="spellStart"/>
      <w:r w:rsidRPr="007B38C0">
        <w:rPr>
          <w:rFonts w:eastAsia="Times New Roman" w:cs="Arial"/>
          <w:bCs/>
          <w:i/>
          <w:iCs/>
          <w:color w:val="000000"/>
          <w:lang w:val="en-US"/>
        </w:rPr>
        <w:t>atiris</w:t>
      </w:r>
      <w:proofErr w:type="spellEnd"/>
      <w:r w:rsidRPr="007B38C0">
        <w:rPr>
          <w:rFonts w:eastAsia="Times New Roman" w:cs="Arial"/>
          <w:bCs/>
          <w:i/>
          <w:iCs/>
          <w:color w:val="000000"/>
          <w:lang w:val="ru-RU"/>
        </w:rPr>
        <w:t>)</w:t>
      </w:r>
      <w:r w:rsidRPr="007B38C0">
        <w:rPr>
          <w:rFonts w:eastAsia="Times New Roman" w:cs="Arial"/>
          <w:bCs/>
          <w:color w:val="000000"/>
          <w:lang w:val="ru-RU"/>
        </w:rPr>
        <w:t xml:space="preserve"> </w:t>
      </w:r>
      <w:r w:rsidRPr="007B38C0">
        <w:rPr>
          <w:rFonts w:eastAsia="Times New Roman" w:cs="Arial"/>
          <w:bCs/>
          <w:color w:val="000000"/>
          <w:lang w:eastAsia="bg-BG"/>
        </w:rPr>
        <w:t xml:space="preserve">или показват намалена чувствителност към флуконазол (С. </w:t>
      </w:r>
      <w:proofErr w:type="spellStart"/>
      <w:r w:rsidRPr="007B38C0">
        <w:rPr>
          <w:rFonts w:eastAsia="Times New Roman" w:cs="Arial"/>
          <w:bCs/>
          <w:i/>
          <w:iCs/>
          <w:color w:val="000000"/>
          <w:lang w:val="en-US"/>
        </w:rPr>
        <w:t>glabrata</w:t>
      </w:r>
      <w:proofErr w:type="spellEnd"/>
      <w:r w:rsidRPr="007B38C0">
        <w:rPr>
          <w:rFonts w:eastAsia="Times New Roman" w:cs="Arial"/>
          <w:bCs/>
          <w:i/>
          <w:iCs/>
          <w:color w:val="000000"/>
          <w:lang w:val="ru-RU"/>
        </w:rPr>
        <w:t>).</w:t>
      </w:r>
      <w:r w:rsidRPr="007B38C0">
        <w:rPr>
          <w:rFonts w:eastAsia="Times New Roman" w:cs="Arial"/>
          <w:bCs/>
          <w:color w:val="000000"/>
          <w:lang w:val="ru-RU"/>
        </w:rPr>
        <w:t xml:space="preserve"> </w:t>
      </w:r>
      <w:r w:rsidRPr="007B38C0">
        <w:rPr>
          <w:rFonts w:eastAsia="Times New Roman" w:cs="Arial"/>
          <w:bCs/>
          <w:color w:val="000000"/>
          <w:lang w:eastAsia="bg-BG"/>
        </w:rPr>
        <w:t>При такива инфекции може да е необходима алтернативна противогъбична терапия вследствие на неуспешно лечение. Поради това предписващите лекари се съветват да вземат предвид честотата на резис</w:t>
      </w:r>
      <w:r w:rsidRPr="007B38C0">
        <w:rPr>
          <w:rFonts w:eastAsia="Times New Roman" w:cs="Arial"/>
          <w:bCs/>
          <w:color w:val="000000"/>
          <w:u w:val="single"/>
          <w:lang w:eastAsia="bg-BG"/>
        </w:rPr>
        <w:t>тентнос</w:t>
      </w:r>
      <w:r w:rsidRPr="007B38C0">
        <w:rPr>
          <w:rFonts w:eastAsia="Times New Roman" w:cs="Arial"/>
          <w:bCs/>
          <w:color w:val="000000"/>
          <w:lang w:eastAsia="bg-BG"/>
        </w:rPr>
        <w:t xml:space="preserve">т към флуконазол при различни видове </w:t>
      </w:r>
      <w:r w:rsidRPr="007B38C0">
        <w:rPr>
          <w:rFonts w:eastAsia="Times New Roman" w:cs="Arial"/>
          <w:bCs/>
          <w:i/>
          <w:iCs/>
          <w:color w:val="000000"/>
          <w:lang w:val="en-US"/>
        </w:rPr>
        <w:t>Candida</w:t>
      </w:r>
      <w:r w:rsidRPr="007B38C0">
        <w:rPr>
          <w:rFonts w:eastAsia="Times New Roman" w:cs="Arial"/>
          <w:bCs/>
          <w:i/>
          <w:iCs/>
          <w:color w:val="000000"/>
          <w:lang w:val="ru-RU"/>
        </w:rPr>
        <w:t>.</w:t>
      </w:r>
    </w:p>
    <w:p w14:paraId="5088C3B2" w14:textId="77777777" w:rsidR="007B38C0" w:rsidRPr="007B38C0" w:rsidRDefault="007B38C0" w:rsidP="007B38C0">
      <w:pPr>
        <w:rPr>
          <w:rFonts w:eastAsia="Times New Roman" w:cs="Arial"/>
          <w:bCs/>
          <w:i/>
          <w:iCs/>
          <w:color w:val="000000"/>
          <w:u w:val="single"/>
          <w:lang w:eastAsia="bg-BG"/>
        </w:rPr>
      </w:pPr>
    </w:p>
    <w:p w14:paraId="4793D964" w14:textId="719FC5BC" w:rsidR="007B38C0" w:rsidRPr="007B38C0" w:rsidRDefault="007B38C0" w:rsidP="007B38C0">
      <w:pPr>
        <w:rPr>
          <w:rFonts w:eastAsia="Times New Roman" w:cs="Arial"/>
          <w:bCs/>
          <w:i/>
          <w:iCs/>
          <w:color w:val="000000"/>
          <w:u w:val="single"/>
          <w:lang w:eastAsia="bg-BG"/>
        </w:rPr>
      </w:pPr>
      <w:r w:rsidRPr="007B38C0">
        <w:rPr>
          <w:rFonts w:eastAsia="Times New Roman" w:cs="Arial"/>
          <w:bCs/>
          <w:i/>
          <w:iCs/>
          <w:color w:val="000000"/>
          <w:u w:val="single"/>
          <w:lang w:eastAsia="bg-BG"/>
        </w:rPr>
        <w:t>Хепатобилиарна система</w:t>
      </w:r>
    </w:p>
    <w:p w14:paraId="21054609" w14:textId="77777777" w:rsidR="007B38C0" w:rsidRPr="007B38C0" w:rsidRDefault="007B38C0" w:rsidP="007B38C0">
      <w:pPr>
        <w:spacing w:line="240" w:lineRule="auto"/>
        <w:rPr>
          <w:rFonts w:eastAsia="Times New Roman" w:cs="Arial"/>
        </w:rPr>
      </w:pPr>
      <w:r w:rsidRPr="007B38C0">
        <w:rPr>
          <w:rFonts w:eastAsia="Times New Roman" w:cs="Arial"/>
          <w:bCs/>
          <w:color w:val="000000"/>
          <w:lang w:eastAsia="bg-BG"/>
        </w:rPr>
        <w:t>Фунголон трябва да се прилага с внимание на пациенти с чернодробна дисфункция.</w:t>
      </w:r>
    </w:p>
    <w:p w14:paraId="51C9A989" w14:textId="77777777" w:rsidR="007B38C0" w:rsidRPr="007B38C0" w:rsidRDefault="007B38C0" w:rsidP="007B38C0">
      <w:pPr>
        <w:spacing w:line="240" w:lineRule="auto"/>
        <w:rPr>
          <w:rFonts w:eastAsia="Times New Roman" w:cs="Arial"/>
          <w:bCs/>
          <w:color w:val="000000"/>
          <w:lang w:eastAsia="bg-BG"/>
        </w:rPr>
      </w:pPr>
    </w:p>
    <w:p w14:paraId="625C9771" w14:textId="697F4011" w:rsidR="007B38C0" w:rsidRPr="007B38C0" w:rsidRDefault="007B38C0" w:rsidP="007B38C0">
      <w:pPr>
        <w:spacing w:line="240" w:lineRule="auto"/>
        <w:rPr>
          <w:rFonts w:eastAsia="Times New Roman" w:cs="Arial"/>
        </w:rPr>
      </w:pPr>
      <w:r w:rsidRPr="007B38C0">
        <w:rPr>
          <w:rFonts w:eastAsia="Times New Roman" w:cs="Arial"/>
          <w:bCs/>
          <w:color w:val="000000"/>
          <w:lang w:eastAsia="bg-BG"/>
        </w:rPr>
        <w:t>В редки случаи при лечение с флуконазол се наблюдава тежко чернодробно увреждане, включително летален изход, предимно при пациенти с тежки заболявания. В случаите на свързаната с флуконазол хепатотоксичност не се наблюдава видима връзка с общата дневна доза, продължителността на лечението, пола или възрастта на пациента. Хепатотоксичността при лечение с флуконазол обикновено е обратима след прекъсване на терапията.</w:t>
      </w:r>
    </w:p>
    <w:p w14:paraId="1CA24AE1" w14:textId="77777777" w:rsidR="007B38C0" w:rsidRPr="007B38C0" w:rsidRDefault="007B38C0" w:rsidP="007B38C0">
      <w:pPr>
        <w:spacing w:line="240" w:lineRule="auto"/>
        <w:rPr>
          <w:rFonts w:eastAsia="Times New Roman" w:cs="Arial"/>
          <w:bCs/>
          <w:color w:val="000000"/>
          <w:lang w:eastAsia="bg-BG"/>
        </w:rPr>
      </w:pPr>
    </w:p>
    <w:p w14:paraId="152AB188" w14:textId="4079D30C" w:rsidR="007B38C0" w:rsidRPr="007B38C0" w:rsidRDefault="007B38C0" w:rsidP="007B38C0">
      <w:pPr>
        <w:spacing w:line="240" w:lineRule="auto"/>
        <w:rPr>
          <w:rFonts w:eastAsia="Times New Roman" w:cs="Arial"/>
        </w:rPr>
      </w:pPr>
      <w:r w:rsidRPr="007B38C0">
        <w:rPr>
          <w:rFonts w:eastAsia="Times New Roman" w:cs="Arial"/>
          <w:bCs/>
          <w:color w:val="000000"/>
          <w:lang w:eastAsia="bg-BG"/>
        </w:rPr>
        <w:t>Пациенти, при които по време на лечение с флуконазол настъпват промени на чернодробните ензимни тестове, трябва да бъдат проследявани за евентуално развитие на по-тежки чернодробни увреждания.</w:t>
      </w:r>
    </w:p>
    <w:p w14:paraId="21E95BF7" w14:textId="77777777" w:rsidR="007B38C0" w:rsidRPr="007B38C0" w:rsidRDefault="007B38C0" w:rsidP="007B38C0">
      <w:pPr>
        <w:spacing w:line="240" w:lineRule="auto"/>
        <w:rPr>
          <w:rFonts w:eastAsia="Times New Roman" w:cs="Arial"/>
        </w:rPr>
      </w:pPr>
      <w:r w:rsidRPr="007B38C0">
        <w:rPr>
          <w:rFonts w:eastAsia="Times New Roman" w:cs="Arial"/>
          <w:bCs/>
          <w:color w:val="000000"/>
          <w:lang w:eastAsia="bg-BG"/>
        </w:rPr>
        <w:t>Пациентите трябва да бъдат информирани за симптомите, насочващи към тежки чернодробни ефекти (по-важни от които са астения, анорексия, персистиращи повдигане и повръщане и жълтеница). Лечението с флуконазол трябва да се прекрати незабавно и да се търси консултация с лекар.</w:t>
      </w:r>
    </w:p>
    <w:p w14:paraId="61C7FE4E" w14:textId="77777777" w:rsidR="007B38C0" w:rsidRPr="007B38C0" w:rsidRDefault="007B38C0" w:rsidP="007B38C0">
      <w:pPr>
        <w:spacing w:line="240" w:lineRule="auto"/>
        <w:rPr>
          <w:rFonts w:eastAsia="Times New Roman" w:cs="Arial"/>
          <w:bCs/>
          <w:i/>
          <w:iCs/>
          <w:color w:val="000000"/>
          <w:u w:val="single"/>
          <w:lang w:eastAsia="bg-BG"/>
        </w:rPr>
      </w:pPr>
    </w:p>
    <w:p w14:paraId="1079D6FE" w14:textId="191F5336" w:rsidR="007B38C0" w:rsidRPr="007B38C0" w:rsidRDefault="007B38C0" w:rsidP="007B38C0">
      <w:pPr>
        <w:spacing w:line="240" w:lineRule="auto"/>
        <w:rPr>
          <w:rFonts w:eastAsia="Times New Roman" w:cs="Arial"/>
        </w:rPr>
      </w:pPr>
      <w:r w:rsidRPr="007B38C0">
        <w:rPr>
          <w:rFonts w:eastAsia="Times New Roman" w:cs="Arial"/>
          <w:bCs/>
          <w:i/>
          <w:iCs/>
          <w:color w:val="000000"/>
          <w:u w:val="single"/>
          <w:lang w:eastAsia="bg-BG"/>
        </w:rPr>
        <w:t>Сърдечно-съдова система</w:t>
      </w:r>
    </w:p>
    <w:p w14:paraId="2D3993F5" w14:textId="77777777" w:rsidR="007B38C0" w:rsidRPr="007B38C0" w:rsidRDefault="007B38C0" w:rsidP="007B38C0">
      <w:pPr>
        <w:spacing w:line="240" w:lineRule="auto"/>
        <w:rPr>
          <w:rFonts w:eastAsia="Times New Roman" w:cs="Arial"/>
        </w:rPr>
      </w:pPr>
      <w:r w:rsidRPr="007B38C0">
        <w:rPr>
          <w:rFonts w:eastAsia="Times New Roman" w:cs="Arial"/>
          <w:bCs/>
          <w:color w:val="000000"/>
          <w:lang w:eastAsia="bg-BG"/>
        </w:rPr>
        <w:t xml:space="preserve">Някои азоли, вкл. флуконазол, се свързват с удължаване на </w:t>
      </w:r>
      <w:r w:rsidRPr="007B38C0">
        <w:rPr>
          <w:rFonts w:eastAsia="Times New Roman" w:cs="Arial"/>
          <w:bCs/>
          <w:color w:val="000000"/>
          <w:lang w:val="en-US"/>
        </w:rPr>
        <w:t>QT</w:t>
      </w:r>
      <w:r w:rsidRPr="007B38C0">
        <w:rPr>
          <w:rFonts w:eastAsia="Times New Roman" w:cs="Arial"/>
          <w:bCs/>
          <w:color w:val="000000"/>
          <w:lang w:val="ru-RU"/>
        </w:rPr>
        <w:t xml:space="preserve"> </w:t>
      </w:r>
      <w:r w:rsidRPr="007B38C0">
        <w:rPr>
          <w:rFonts w:eastAsia="Times New Roman" w:cs="Arial"/>
          <w:bCs/>
          <w:color w:val="000000"/>
          <w:lang w:eastAsia="bg-BG"/>
        </w:rPr>
        <w:t xml:space="preserve">интервала в електрокардиограмата. По време на постмаркетинговото проследяване има много редки случаи на удължаване на </w:t>
      </w:r>
      <w:r w:rsidRPr="007B38C0">
        <w:rPr>
          <w:rFonts w:eastAsia="Times New Roman" w:cs="Arial"/>
          <w:bCs/>
          <w:color w:val="000000"/>
          <w:lang w:val="en-US"/>
        </w:rPr>
        <w:t>QT</w:t>
      </w:r>
      <w:r w:rsidRPr="007B38C0">
        <w:rPr>
          <w:rFonts w:eastAsia="Times New Roman" w:cs="Arial"/>
          <w:bCs/>
          <w:color w:val="000000"/>
          <w:lang w:val="ru-RU"/>
        </w:rPr>
        <w:t xml:space="preserve"> </w:t>
      </w:r>
      <w:r w:rsidRPr="007B38C0">
        <w:rPr>
          <w:rFonts w:eastAsia="Times New Roman" w:cs="Arial"/>
          <w:bCs/>
          <w:color w:val="000000"/>
          <w:lang w:eastAsia="bg-BG"/>
        </w:rPr>
        <w:t xml:space="preserve">интервала и </w:t>
      </w:r>
      <w:proofErr w:type="spellStart"/>
      <w:r w:rsidRPr="007B38C0">
        <w:rPr>
          <w:rFonts w:eastAsia="Times New Roman" w:cs="Arial"/>
          <w:bCs/>
          <w:color w:val="000000"/>
          <w:lang w:val="en-US"/>
        </w:rPr>
        <w:t>torsades</w:t>
      </w:r>
      <w:proofErr w:type="spellEnd"/>
      <w:r w:rsidRPr="007B38C0">
        <w:rPr>
          <w:rFonts w:eastAsia="Times New Roman" w:cs="Arial"/>
          <w:bCs/>
          <w:color w:val="000000"/>
          <w:lang w:val="ru-RU"/>
        </w:rPr>
        <w:t xml:space="preserve"> </w:t>
      </w:r>
      <w:r w:rsidRPr="007B38C0">
        <w:rPr>
          <w:rFonts w:eastAsia="Times New Roman" w:cs="Arial"/>
          <w:bCs/>
          <w:color w:val="000000"/>
          <w:lang w:val="en-US"/>
        </w:rPr>
        <w:t>de</w:t>
      </w:r>
      <w:r w:rsidRPr="007B38C0">
        <w:rPr>
          <w:rFonts w:eastAsia="Times New Roman" w:cs="Arial"/>
          <w:bCs/>
          <w:color w:val="000000"/>
          <w:lang w:val="ru-RU"/>
        </w:rPr>
        <w:t xml:space="preserve"> </w:t>
      </w:r>
      <w:r w:rsidRPr="007B38C0">
        <w:rPr>
          <w:rFonts w:eastAsia="Times New Roman" w:cs="Arial"/>
          <w:bCs/>
          <w:color w:val="000000"/>
          <w:lang w:val="en-US"/>
        </w:rPr>
        <w:t>pointes</w:t>
      </w:r>
      <w:r w:rsidRPr="007B38C0">
        <w:rPr>
          <w:rFonts w:eastAsia="Times New Roman" w:cs="Arial"/>
          <w:bCs/>
          <w:color w:val="000000"/>
          <w:lang w:val="ru-RU"/>
        </w:rPr>
        <w:t xml:space="preserve"> </w:t>
      </w:r>
      <w:r w:rsidRPr="007B38C0">
        <w:rPr>
          <w:rFonts w:eastAsia="Times New Roman" w:cs="Arial"/>
          <w:bCs/>
          <w:color w:val="000000"/>
          <w:lang w:eastAsia="bg-BG"/>
        </w:rPr>
        <w:t xml:space="preserve">при пациенти, приемащи флуконазол. Тези съобщения са предимно при тежко болни пациенти с множество утежняващи рискови фактори, като морфологични сърдечни заболявания, електролитни нарушения и съпътстваща терапия, които може да са допринесли за удължаването на </w:t>
      </w:r>
      <w:r w:rsidRPr="007B38C0">
        <w:rPr>
          <w:rFonts w:eastAsia="Times New Roman" w:cs="Arial"/>
          <w:bCs/>
          <w:color w:val="000000"/>
          <w:lang w:val="en-US"/>
        </w:rPr>
        <w:t>QT</w:t>
      </w:r>
      <w:r w:rsidRPr="007B38C0">
        <w:rPr>
          <w:rFonts w:eastAsia="Times New Roman" w:cs="Arial"/>
          <w:bCs/>
          <w:color w:val="000000"/>
          <w:lang w:val="ru-RU"/>
        </w:rPr>
        <w:t xml:space="preserve"> </w:t>
      </w:r>
      <w:r w:rsidRPr="007B38C0">
        <w:rPr>
          <w:rFonts w:eastAsia="Times New Roman" w:cs="Arial"/>
          <w:bCs/>
          <w:color w:val="000000"/>
          <w:lang w:eastAsia="bg-BG"/>
        </w:rPr>
        <w:t>интервала.</w:t>
      </w:r>
    </w:p>
    <w:p w14:paraId="14EDF500" w14:textId="77777777" w:rsidR="007B38C0" w:rsidRPr="007B38C0" w:rsidRDefault="007B38C0" w:rsidP="007B38C0">
      <w:pPr>
        <w:spacing w:line="240" w:lineRule="auto"/>
        <w:rPr>
          <w:rFonts w:eastAsia="Times New Roman" w:cs="Arial"/>
        </w:rPr>
      </w:pPr>
      <w:r w:rsidRPr="007B38C0">
        <w:rPr>
          <w:rFonts w:eastAsia="Times New Roman" w:cs="Arial"/>
          <w:bCs/>
          <w:color w:val="000000"/>
          <w:lang w:eastAsia="bg-BG"/>
        </w:rPr>
        <w:t xml:space="preserve">Флуконазол трябва да се прилага внимателно при пациенти с потенциално проаритмогенни състояния. Едновременното приложение с други лекарствени продукти, за които е известно, че удължават </w:t>
      </w:r>
      <w:r w:rsidRPr="007B38C0">
        <w:rPr>
          <w:rFonts w:eastAsia="Times New Roman" w:cs="Arial"/>
          <w:bCs/>
          <w:color w:val="000000"/>
          <w:lang w:val="en-US"/>
        </w:rPr>
        <w:t>QT</w:t>
      </w:r>
      <w:r w:rsidRPr="007B38C0">
        <w:rPr>
          <w:rFonts w:eastAsia="Times New Roman" w:cs="Arial"/>
          <w:bCs/>
          <w:color w:val="000000"/>
          <w:lang w:val="ru-RU"/>
        </w:rPr>
        <w:t xml:space="preserve"> </w:t>
      </w:r>
      <w:r w:rsidRPr="007B38C0">
        <w:rPr>
          <w:rFonts w:eastAsia="Times New Roman" w:cs="Arial"/>
          <w:bCs/>
          <w:color w:val="000000"/>
          <w:lang w:eastAsia="bg-BG"/>
        </w:rPr>
        <w:t xml:space="preserve">интервала и които се метаболизират от </w:t>
      </w:r>
      <w:r w:rsidRPr="007B38C0">
        <w:rPr>
          <w:rFonts w:eastAsia="Times New Roman" w:cs="Arial"/>
          <w:bCs/>
          <w:color w:val="000000"/>
          <w:lang w:val="en-US"/>
        </w:rPr>
        <w:t>CYP</w:t>
      </w:r>
      <w:r w:rsidRPr="007B38C0">
        <w:rPr>
          <w:rFonts w:eastAsia="Times New Roman" w:cs="Arial"/>
          <w:bCs/>
          <w:color w:val="000000"/>
          <w:lang w:val="ru-RU"/>
        </w:rPr>
        <w:t>3</w:t>
      </w:r>
      <w:r w:rsidRPr="007B38C0">
        <w:rPr>
          <w:rFonts w:eastAsia="Times New Roman" w:cs="Arial"/>
          <w:bCs/>
          <w:color w:val="000000"/>
          <w:lang w:val="en-US"/>
        </w:rPr>
        <w:t>A</w:t>
      </w:r>
      <w:r w:rsidRPr="007B38C0">
        <w:rPr>
          <w:rFonts w:eastAsia="Times New Roman" w:cs="Arial"/>
          <w:bCs/>
          <w:color w:val="000000"/>
          <w:lang w:val="ru-RU"/>
        </w:rPr>
        <w:t xml:space="preserve">4 </w:t>
      </w:r>
      <w:r w:rsidRPr="007B38C0">
        <w:rPr>
          <w:rFonts w:eastAsia="Times New Roman" w:cs="Arial"/>
          <w:bCs/>
          <w:color w:val="000000"/>
          <w:lang w:eastAsia="bg-BG"/>
        </w:rPr>
        <w:t>е противопоказано (вж. точка 4.3 и 4.5).</w:t>
      </w:r>
    </w:p>
    <w:p w14:paraId="084AC5E6" w14:textId="77777777" w:rsidR="007B38C0" w:rsidRPr="007B38C0" w:rsidRDefault="007B38C0" w:rsidP="007B38C0">
      <w:pPr>
        <w:spacing w:line="240" w:lineRule="auto"/>
        <w:rPr>
          <w:rFonts w:eastAsia="Times New Roman" w:cs="Arial"/>
          <w:bCs/>
          <w:i/>
          <w:iCs/>
          <w:color w:val="000000"/>
          <w:u w:val="single"/>
          <w:lang w:eastAsia="bg-BG"/>
        </w:rPr>
      </w:pPr>
    </w:p>
    <w:p w14:paraId="07DCB00F" w14:textId="5073DF4F" w:rsidR="007B38C0" w:rsidRPr="007B38C0" w:rsidRDefault="007B38C0" w:rsidP="007B38C0">
      <w:pPr>
        <w:spacing w:line="240" w:lineRule="auto"/>
        <w:rPr>
          <w:rFonts w:eastAsia="Times New Roman" w:cs="Arial"/>
        </w:rPr>
      </w:pPr>
      <w:r w:rsidRPr="007B38C0">
        <w:rPr>
          <w:rFonts w:eastAsia="Times New Roman" w:cs="Arial"/>
          <w:bCs/>
          <w:i/>
          <w:iCs/>
          <w:color w:val="000000"/>
          <w:u w:val="single"/>
          <w:lang w:eastAsia="bg-BG"/>
        </w:rPr>
        <w:t>Бъбречна система</w:t>
      </w:r>
    </w:p>
    <w:p w14:paraId="385AE5A0" w14:textId="77777777" w:rsidR="007B38C0" w:rsidRPr="007B38C0" w:rsidRDefault="007B38C0" w:rsidP="007B38C0">
      <w:pPr>
        <w:spacing w:line="240" w:lineRule="auto"/>
        <w:rPr>
          <w:rFonts w:eastAsia="Times New Roman" w:cs="Arial"/>
        </w:rPr>
      </w:pPr>
      <w:r w:rsidRPr="007B38C0">
        <w:rPr>
          <w:rFonts w:eastAsia="Times New Roman" w:cs="Arial"/>
          <w:bCs/>
          <w:color w:val="000000"/>
          <w:lang w:eastAsia="bg-BG"/>
        </w:rPr>
        <w:t>Фунголон трябва да се прилага с внимание на пациенти с бъбречна дисфункция (вж. точка 4.2).</w:t>
      </w:r>
    </w:p>
    <w:p w14:paraId="2E61BD70" w14:textId="77777777" w:rsidR="007B38C0" w:rsidRPr="007B38C0" w:rsidRDefault="007B38C0" w:rsidP="007B38C0">
      <w:pPr>
        <w:spacing w:line="240" w:lineRule="auto"/>
        <w:rPr>
          <w:rFonts w:eastAsia="Times New Roman" w:cs="Arial"/>
          <w:bCs/>
          <w:i/>
          <w:iCs/>
          <w:color w:val="000000"/>
          <w:u w:val="single"/>
          <w:lang w:eastAsia="bg-BG"/>
        </w:rPr>
      </w:pPr>
    </w:p>
    <w:p w14:paraId="1227EB1E" w14:textId="3796C71F" w:rsidR="007B38C0" w:rsidRPr="007B38C0" w:rsidRDefault="007B38C0" w:rsidP="007B38C0">
      <w:pPr>
        <w:spacing w:line="240" w:lineRule="auto"/>
        <w:rPr>
          <w:rFonts w:eastAsia="Times New Roman" w:cs="Arial"/>
        </w:rPr>
      </w:pPr>
      <w:r w:rsidRPr="007B38C0">
        <w:rPr>
          <w:rFonts w:eastAsia="Times New Roman" w:cs="Arial"/>
          <w:bCs/>
          <w:i/>
          <w:iCs/>
          <w:color w:val="000000"/>
          <w:u w:val="single"/>
          <w:lang w:eastAsia="bg-BG"/>
        </w:rPr>
        <w:t>Халофантрин</w:t>
      </w:r>
    </w:p>
    <w:p w14:paraId="20739606" w14:textId="77777777" w:rsidR="007B38C0" w:rsidRPr="007B38C0" w:rsidRDefault="007B38C0" w:rsidP="007B38C0">
      <w:pPr>
        <w:spacing w:line="240" w:lineRule="auto"/>
        <w:rPr>
          <w:rFonts w:eastAsia="Times New Roman" w:cs="Arial"/>
        </w:rPr>
      </w:pPr>
      <w:r w:rsidRPr="007B38C0">
        <w:rPr>
          <w:rFonts w:eastAsia="Times New Roman" w:cs="Arial"/>
          <w:bCs/>
          <w:color w:val="000000"/>
          <w:lang w:eastAsia="bg-BG"/>
        </w:rPr>
        <w:t xml:space="preserve">Известно е, че халофантрин удължава </w:t>
      </w:r>
      <w:r w:rsidRPr="007B38C0">
        <w:rPr>
          <w:rFonts w:eastAsia="Times New Roman" w:cs="Arial"/>
          <w:bCs/>
          <w:color w:val="000000"/>
          <w:lang w:val="en-US"/>
        </w:rPr>
        <w:t>QT</w:t>
      </w:r>
      <w:r w:rsidRPr="007B38C0">
        <w:rPr>
          <w:rFonts w:eastAsia="Times New Roman" w:cs="Arial"/>
          <w:bCs/>
          <w:color w:val="000000"/>
          <w:lang w:val="ru-RU"/>
        </w:rPr>
        <w:t xml:space="preserve"> </w:t>
      </w:r>
      <w:r w:rsidRPr="007B38C0">
        <w:rPr>
          <w:rFonts w:eastAsia="Times New Roman" w:cs="Arial"/>
          <w:bCs/>
          <w:color w:val="000000"/>
          <w:lang w:eastAsia="bg-BG"/>
        </w:rPr>
        <w:t xml:space="preserve">интервала в препоръчваните терапевтични дози и е субстрат за </w:t>
      </w:r>
      <w:r w:rsidRPr="007B38C0">
        <w:rPr>
          <w:rFonts w:eastAsia="Times New Roman" w:cs="Arial"/>
          <w:bCs/>
          <w:color w:val="000000"/>
          <w:lang w:val="en-US"/>
        </w:rPr>
        <w:t>CYP</w:t>
      </w:r>
      <w:r w:rsidRPr="007B38C0">
        <w:rPr>
          <w:rFonts w:eastAsia="Times New Roman" w:cs="Arial"/>
          <w:bCs/>
          <w:color w:val="000000"/>
          <w:lang w:val="ru-RU"/>
        </w:rPr>
        <w:t>3</w:t>
      </w:r>
      <w:r w:rsidRPr="007B38C0">
        <w:rPr>
          <w:rFonts w:eastAsia="Times New Roman" w:cs="Arial"/>
          <w:bCs/>
          <w:color w:val="000000"/>
          <w:lang w:val="en-US"/>
        </w:rPr>
        <w:t>A</w:t>
      </w:r>
      <w:r w:rsidRPr="007B38C0">
        <w:rPr>
          <w:rFonts w:eastAsia="Times New Roman" w:cs="Arial"/>
          <w:bCs/>
          <w:color w:val="000000"/>
          <w:lang w:val="ru-RU"/>
        </w:rPr>
        <w:t xml:space="preserve">4, </w:t>
      </w:r>
      <w:r w:rsidRPr="007B38C0">
        <w:rPr>
          <w:rFonts w:eastAsia="Times New Roman" w:cs="Arial"/>
          <w:bCs/>
          <w:color w:val="000000"/>
          <w:lang w:eastAsia="bg-BG"/>
        </w:rPr>
        <w:t>поради което едновременното използване на халофантрин с флуконазол не се препоръчва (вж. точка 4.5).</w:t>
      </w:r>
    </w:p>
    <w:p w14:paraId="71BB85C3" w14:textId="77777777" w:rsidR="007B38C0" w:rsidRPr="007B38C0" w:rsidRDefault="007B38C0" w:rsidP="007B38C0">
      <w:pPr>
        <w:spacing w:line="240" w:lineRule="auto"/>
        <w:rPr>
          <w:rFonts w:eastAsia="Times New Roman" w:cs="Arial"/>
          <w:bCs/>
          <w:i/>
          <w:iCs/>
          <w:color w:val="000000"/>
          <w:u w:val="single"/>
          <w:lang w:eastAsia="bg-BG"/>
        </w:rPr>
      </w:pPr>
    </w:p>
    <w:p w14:paraId="0D4F1988" w14:textId="76AD4EF8" w:rsidR="007B38C0" w:rsidRPr="007B38C0" w:rsidRDefault="007B38C0" w:rsidP="007B38C0">
      <w:pPr>
        <w:spacing w:line="240" w:lineRule="auto"/>
        <w:rPr>
          <w:rFonts w:eastAsia="Times New Roman" w:cs="Arial"/>
        </w:rPr>
      </w:pPr>
      <w:r w:rsidRPr="007B38C0">
        <w:rPr>
          <w:rFonts w:eastAsia="Times New Roman" w:cs="Arial"/>
          <w:bCs/>
          <w:i/>
          <w:iCs/>
          <w:color w:val="000000"/>
          <w:u w:val="single"/>
          <w:lang w:eastAsia="bg-BG"/>
        </w:rPr>
        <w:t>Дерматологични реакиии</w:t>
      </w:r>
    </w:p>
    <w:p w14:paraId="2E933679" w14:textId="77777777" w:rsidR="007B38C0" w:rsidRPr="007B38C0" w:rsidRDefault="007B38C0" w:rsidP="007B38C0">
      <w:pPr>
        <w:spacing w:line="240" w:lineRule="auto"/>
        <w:rPr>
          <w:rFonts w:eastAsia="Times New Roman" w:cs="Arial"/>
        </w:rPr>
      </w:pPr>
      <w:r w:rsidRPr="007B38C0">
        <w:rPr>
          <w:rFonts w:eastAsia="Times New Roman" w:cs="Arial"/>
          <w:bCs/>
          <w:color w:val="000000"/>
          <w:lang w:eastAsia="bg-BG"/>
        </w:rPr>
        <w:lastRenderedPageBreak/>
        <w:t xml:space="preserve">В редки случаи при лечение с флуконазол са наблюдавани ексфолиативни кожни реакции, като синдром на </w:t>
      </w:r>
      <w:r w:rsidRPr="007B38C0">
        <w:rPr>
          <w:rFonts w:eastAsia="Times New Roman" w:cs="Arial"/>
          <w:bCs/>
          <w:color w:val="000000"/>
          <w:lang w:val="en-US"/>
        </w:rPr>
        <w:t>Stevens</w:t>
      </w:r>
      <w:r w:rsidRPr="007B38C0">
        <w:rPr>
          <w:rFonts w:eastAsia="Times New Roman" w:cs="Arial"/>
          <w:bCs/>
          <w:color w:val="000000"/>
          <w:lang w:val="ru-RU"/>
        </w:rPr>
        <w:t>-</w:t>
      </w:r>
      <w:r w:rsidRPr="007B38C0">
        <w:rPr>
          <w:rFonts w:eastAsia="Times New Roman" w:cs="Arial"/>
          <w:bCs/>
          <w:color w:val="000000"/>
          <w:lang w:val="en-US"/>
        </w:rPr>
        <w:t>Johnson</w:t>
      </w:r>
      <w:r w:rsidRPr="007B38C0">
        <w:rPr>
          <w:rFonts w:eastAsia="Times New Roman" w:cs="Arial"/>
          <w:bCs/>
          <w:color w:val="000000"/>
          <w:lang w:val="ru-RU"/>
        </w:rPr>
        <w:t xml:space="preserve"> </w:t>
      </w:r>
      <w:r w:rsidRPr="007B38C0">
        <w:rPr>
          <w:rFonts w:eastAsia="Times New Roman" w:cs="Arial"/>
          <w:bCs/>
          <w:color w:val="000000"/>
          <w:lang w:eastAsia="bg-BG"/>
        </w:rPr>
        <w:t>и токсична епидермална некролиза. Пациенти със СПИН са по- предразположени към развитие на тежки кожни реакции към много лекарства. Ако по време на лечение на повърхностни гъбичкови инфекции с флуконазол се появи обрив, който може да се дължи на флуконазол, терапията се преустановява. Ако при пациенти, лекувани за инвазивни/системни микози се появи обрив, те трябва да бъдат проследявани внимателно и при поява на булозни лезии или еритема мултиформе, терапията трябва да се преустанови.</w:t>
      </w:r>
    </w:p>
    <w:p w14:paraId="0CAA7493" w14:textId="77777777" w:rsidR="007B38C0" w:rsidRPr="007B38C0" w:rsidRDefault="007B38C0" w:rsidP="007B38C0">
      <w:pPr>
        <w:spacing w:line="240" w:lineRule="auto"/>
        <w:rPr>
          <w:rFonts w:eastAsia="Times New Roman" w:cs="Arial"/>
          <w:bCs/>
          <w:color w:val="000000"/>
          <w:lang w:eastAsia="bg-BG"/>
        </w:rPr>
      </w:pPr>
    </w:p>
    <w:p w14:paraId="609D7F0C" w14:textId="4A7BDBC2" w:rsidR="007B38C0" w:rsidRPr="007B38C0" w:rsidRDefault="007B38C0" w:rsidP="007B38C0">
      <w:pPr>
        <w:spacing w:line="240" w:lineRule="auto"/>
        <w:rPr>
          <w:rFonts w:eastAsia="Times New Roman" w:cs="Arial"/>
        </w:rPr>
      </w:pPr>
      <w:r w:rsidRPr="007B38C0">
        <w:rPr>
          <w:rFonts w:eastAsia="Times New Roman" w:cs="Arial"/>
          <w:bCs/>
          <w:color w:val="000000"/>
          <w:lang w:eastAsia="bg-BG"/>
        </w:rPr>
        <w:t xml:space="preserve">Съобщава се за лекарствена реакция с еозинофилия и системни симптоми </w:t>
      </w:r>
      <w:r w:rsidRPr="007B38C0">
        <w:rPr>
          <w:rFonts w:eastAsia="Times New Roman" w:cs="Arial"/>
          <w:bCs/>
          <w:color w:val="000000"/>
        </w:rPr>
        <w:t>(</w:t>
      </w:r>
      <w:r w:rsidRPr="007B38C0">
        <w:rPr>
          <w:rFonts w:eastAsia="Times New Roman" w:cs="Arial"/>
          <w:bCs/>
          <w:color w:val="000000"/>
          <w:lang w:val="en-US"/>
        </w:rPr>
        <w:t>drug</w:t>
      </w:r>
      <w:r w:rsidRPr="007B38C0">
        <w:rPr>
          <w:rFonts w:eastAsia="Times New Roman" w:cs="Arial"/>
          <w:bCs/>
          <w:color w:val="000000"/>
        </w:rPr>
        <w:t xml:space="preserve"> </w:t>
      </w:r>
      <w:r w:rsidRPr="007B38C0">
        <w:rPr>
          <w:rFonts w:eastAsia="Times New Roman" w:cs="Arial"/>
          <w:bCs/>
          <w:color w:val="000000"/>
          <w:lang w:val="en-US"/>
        </w:rPr>
        <w:t>reaction</w:t>
      </w:r>
      <w:r w:rsidRPr="007B38C0">
        <w:rPr>
          <w:rFonts w:eastAsia="Times New Roman" w:cs="Arial"/>
          <w:bCs/>
          <w:color w:val="000000"/>
        </w:rPr>
        <w:t xml:space="preserve"> </w:t>
      </w:r>
      <w:r w:rsidRPr="007B38C0">
        <w:rPr>
          <w:rFonts w:eastAsia="Times New Roman" w:cs="Arial"/>
          <w:bCs/>
          <w:color w:val="000000"/>
          <w:lang w:val="en-US"/>
        </w:rPr>
        <w:t>with</w:t>
      </w:r>
      <w:r w:rsidRPr="007B38C0">
        <w:rPr>
          <w:rFonts w:eastAsia="Times New Roman" w:cs="Arial"/>
          <w:bCs/>
          <w:color w:val="000000"/>
        </w:rPr>
        <w:t xml:space="preserve"> </w:t>
      </w:r>
      <w:r w:rsidRPr="007B38C0">
        <w:rPr>
          <w:rFonts w:eastAsia="Times New Roman" w:cs="Arial"/>
          <w:bCs/>
          <w:color w:val="000000"/>
          <w:lang w:val="en-US"/>
        </w:rPr>
        <w:t>eosinophilia</w:t>
      </w:r>
      <w:r w:rsidRPr="007B38C0">
        <w:rPr>
          <w:rFonts w:eastAsia="Times New Roman" w:cs="Arial"/>
          <w:bCs/>
          <w:color w:val="000000"/>
        </w:rPr>
        <w:t xml:space="preserve"> </w:t>
      </w:r>
      <w:r w:rsidRPr="007B38C0">
        <w:rPr>
          <w:rFonts w:eastAsia="Times New Roman" w:cs="Arial"/>
          <w:bCs/>
          <w:color w:val="000000"/>
          <w:lang w:val="en-US"/>
        </w:rPr>
        <w:t>and</w:t>
      </w:r>
      <w:r w:rsidRPr="007B38C0">
        <w:rPr>
          <w:rFonts w:eastAsia="Times New Roman" w:cs="Arial"/>
          <w:bCs/>
          <w:color w:val="000000"/>
        </w:rPr>
        <w:t xml:space="preserve"> </w:t>
      </w:r>
      <w:r w:rsidRPr="007B38C0">
        <w:rPr>
          <w:rFonts w:eastAsia="Times New Roman" w:cs="Arial"/>
          <w:bCs/>
          <w:color w:val="000000"/>
          <w:lang w:val="en-US"/>
        </w:rPr>
        <w:t>systemic</w:t>
      </w:r>
      <w:r w:rsidRPr="007B38C0">
        <w:rPr>
          <w:rFonts w:eastAsia="Times New Roman" w:cs="Arial"/>
          <w:bCs/>
          <w:color w:val="000000"/>
        </w:rPr>
        <w:t xml:space="preserve"> </w:t>
      </w:r>
      <w:r w:rsidRPr="007B38C0">
        <w:rPr>
          <w:rFonts w:eastAsia="Times New Roman" w:cs="Arial"/>
          <w:bCs/>
          <w:color w:val="000000"/>
          <w:lang w:val="en-US"/>
        </w:rPr>
        <w:t>symptoms</w:t>
      </w:r>
      <w:r w:rsidRPr="007B38C0">
        <w:rPr>
          <w:rFonts w:eastAsia="Times New Roman" w:cs="Arial"/>
          <w:bCs/>
          <w:color w:val="000000"/>
        </w:rPr>
        <w:t xml:space="preserve">, </w:t>
      </w:r>
      <w:r w:rsidRPr="007B38C0">
        <w:rPr>
          <w:rFonts w:eastAsia="Times New Roman" w:cs="Arial"/>
          <w:bCs/>
          <w:color w:val="000000"/>
          <w:lang w:val="en-US"/>
        </w:rPr>
        <w:t>DRESS</w:t>
      </w:r>
      <w:r w:rsidRPr="007B38C0">
        <w:rPr>
          <w:rFonts w:eastAsia="Times New Roman" w:cs="Arial"/>
          <w:bCs/>
          <w:color w:val="000000"/>
        </w:rPr>
        <w:t>).</w:t>
      </w:r>
    </w:p>
    <w:p w14:paraId="368C96A4" w14:textId="77777777" w:rsidR="007B38C0" w:rsidRPr="007B38C0" w:rsidRDefault="007B38C0" w:rsidP="007B38C0">
      <w:pPr>
        <w:spacing w:line="240" w:lineRule="auto"/>
        <w:rPr>
          <w:rFonts w:eastAsia="Times New Roman" w:cs="Arial"/>
          <w:bCs/>
          <w:i/>
          <w:iCs/>
          <w:color w:val="000000"/>
          <w:u w:val="single"/>
          <w:lang w:eastAsia="bg-BG"/>
        </w:rPr>
      </w:pPr>
    </w:p>
    <w:p w14:paraId="151FC6F4" w14:textId="42078BD7" w:rsidR="007B38C0" w:rsidRPr="007B38C0" w:rsidRDefault="007B38C0" w:rsidP="007B38C0">
      <w:pPr>
        <w:spacing w:line="240" w:lineRule="auto"/>
        <w:rPr>
          <w:rFonts w:eastAsia="Times New Roman" w:cs="Arial"/>
        </w:rPr>
      </w:pPr>
      <w:r w:rsidRPr="007B38C0">
        <w:rPr>
          <w:rFonts w:eastAsia="Times New Roman" w:cs="Arial"/>
          <w:bCs/>
          <w:i/>
          <w:iCs/>
          <w:color w:val="000000"/>
          <w:u w:val="single"/>
          <w:lang w:eastAsia="bg-BG"/>
        </w:rPr>
        <w:t>Свръхчувствителност</w:t>
      </w:r>
    </w:p>
    <w:p w14:paraId="7F203F13" w14:textId="77777777" w:rsidR="007B38C0" w:rsidRPr="007B38C0" w:rsidRDefault="007B38C0" w:rsidP="007B38C0">
      <w:pPr>
        <w:spacing w:line="240" w:lineRule="auto"/>
        <w:rPr>
          <w:rFonts w:eastAsia="Times New Roman" w:cs="Arial"/>
        </w:rPr>
      </w:pPr>
      <w:r w:rsidRPr="007B38C0">
        <w:rPr>
          <w:rFonts w:eastAsia="Times New Roman" w:cs="Arial"/>
          <w:bCs/>
          <w:color w:val="000000"/>
          <w:lang w:eastAsia="bg-BG"/>
        </w:rPr>
        <w:t>В редки случаи е наблюдавана анафилаксия (вж. точка 4.3).</w:t>
      </w:r>
    </w:p>
    <w:p w14:paraId="7667F24F" w14:textId="77777777" w:rsidR="007B38C0" w:rsidRPr="007B38C0" w:rsidRDefault="007B38C0" w:rsidP="007B38C0">
      <w:pPr>
        <w:spacing w:line="240" w:lineRule="auto"/>
        <w:rPr>
          <w:rFonts w:eastAsia="Times New Roman" w:cs="Arial"/>
          <w:bCs/>
          <w:i/>
          <w:iCs/>
          <w:color w:val="000000"/>
          <w:u w:val="single"/>
          <w:lang w:eastAsia="bg-BG"/>
        </w:rPr>
      </w:pPr>
    </w:p>
    <w:p w14:paraId="1320C433" w14:textId="0246EFBE" w:rsidR="007B38C0" w:rsidRPr="007B38C0" w:rsidRDefault="007B38C0" w:rsidP="007B38C0">
      <w:pPr>
        <w:spacing w:line="240" w:lineRule="auto"/>
        <w:rPr>
          <w:rFonts w:eastAsia="Times New Roman" w:cs="Arial"/>
        </w:rPr>
      </w:pPr>
      <w:r w:rsidRPr="007B38C0">
        <w:rPr>
          <w:rFonts w:eastAsia="Times New Roman" w:cs="Arial"/>
          <w:bCs/>
          <w:i/>
          <w:iCs/>
          <w:color w:val="000000"/>
          <w:u w:val="single"/>
          <w:lang w:eastAsia="bg-BG"/>
        </w:rPr>
        <w:t>Цитохром Р450</w:t>
      </w:r>
    </w:p>
    <w:p w14:paraId="6B139B96" w14:textId="77777777" w:rsidR="007B38C0" w:rsidRPr="007B38C0" w:rsidRDefault="007B38C0" w:rsidP="007B38C0">
      <w:pPr>
        <w:spacing w:line="240" w:lineRule="auto"/>
        <w:rPr>
          <w:rFonts w:eastAsia="Times New Roman" w:cs="Arial"/>
        </w:rPr>
      </w:pPr>
      <w:r w:rsidRPr="007B38C0">
        <w:rPr>
          <w:rFonts w:eastAsia="Times New Roman" w:cs="Arial"/>
          <w:bCs/>
          <w:color w:val="000000"/>
          <w:lang w:eastAsia="bg-BG"/>
        </w:rPr>
        <w:t xml:space="preserve">Флуконазол е мощен </w:t>
      </w:r>
      <w:r w:rsidRPr="007B38C0">
        <w:rPr>
          <w:rFonts w:eastAsia="Times New Roman" w:cs="Arial"/>
          <w:bCs/>
          <w:color w:val="000000"/>
          <w:lang w:val="en-US"/>
        </w:rPr>
        <w:t>CYP</w:t>
      </w:r>
      <w:r w:rsidRPr="007B38C0">
        <w:rPr>
          <w:rFonts w:eastAsia="Times New Roman" w:cs="Arial"/>
          <w:bCs/>
          <w:color w:val="000000"/>
          <w:lang w:val="ru-RU"/>
        </w:rPr>
        <w:t>2</w:t>
      </w:r>
      <w:r w:rsidRPr="007B38C0">
        <w:rPr>
          <w:rFonts w:eastAsia="Times New Roman" w:cs="Arial"/>
          <w:bCs/>
          <w:color w:val="000000"/>
          <w:lang w:val="en-US"/>
        </w:rPr>
        <w:t>C</w:t>
      </w:r>
      <w:r w:rsidRPr="007B38C0">
        <w:rPr>
          <w:rFonts w:eastAsia="Times New Roman" w:cs="Arial"/>
          <w:bCs/>
          <w:color w:val="000000"/>
          <w:lang w:val="ru-RU"/>
        </w:rPr>
        <w:t xml:space="preserve">9 </w:t>
      </w:r>
      <w:r w:rsidRPr="007B38C0">
        <w:rPr>
          <w:rFonts w:eastAsia="Times New Roman" w:cs="Arial"/>
          <w:bCs/>
          <w:color w:val="000000"/>
          <w:lang w:eastAsia="bg-BG"/>
        </w:rPr>
        <w:t xml:space="preserve">инхибитор и умерен </w:t>
      </w:r>
      <w:r w:rsidRPr="007B38C0">
        <w:rPr>
          <w:rFonts w:eastAsia="Times New Roman" w:cs="Arial"/>
          <w:bCs/>
          <w:color w:val="000000"/>
          <w:lang w:val="en-US"/>
        </w:rPr>
        <w:t>CYP</w:t>
      </w:r>
      <w:r w:rsidRPr="007B38C0">
        <w:rPr>
          <w:rFonts w:eastAsia="Times New Roman" w:cs="Arial"/>
          <w:bCs/>
          <w:color w:val="000000"/>
          <w:lang w:val="ru-RU"/>
        </w:rPr>
        <w:t>3</w:t>
      </w:r>
      <w:r w:rsidRPr="007B38C0">
        <w:rPr>
          <w:rFonts w:eastAsia="Times New Roman" w:cs="Arial"/>
          <w:bCs/>
          <w:color w:val="000000"/>
          <w:lang w:val="en-US"/>
        </w:rPr>
        <w:t>A</w:t>
      </w:r>
      <w:r w:rsidRPr="007B38C0">
        <w:rPr>
          <w:rFonts w:eastAsia="Times New Roman" w:cs="Arial"/>
          <w:bCs/>
          <w:color w:val="000000"/>
          <w:lang w:val="ru-RU"/>
        </w:rPr>
        <w:t xml:space="preserve">4 </w:t>
      </w:r>
      <w:r w:rsidRPr="007B38C0">
        <w:rPr>
          <w:rFonts w:eastAsia="Times New Roman" w:cs="Arial"/>
          <w:bCs/>
          <w:color w:val="000000"/>
          <w:lang w:eastAsia="bg-BG"/>
        </w:rPr>
        <w:t>инхибитор. Флуконазол е</w:t>
      </w:r>
    </w:p>
    <w:p w14:paraId="1971AB12" w14:textId="0CC7B9F0" w:rsidR="007B38C0" w:rsidRPr="007B38C0" w:rsidRDefault="007B38C0" w:rsidP="007B38C0">
      <w:pPr>
        <w:rPr>
          <w:rFonts w:eastAsia="Times New Roman" w:cs="Arial"/>
          <w:bCs/>
          <w:color w:val="000000"/>
          <w:lang w:eastAsia="bg-BG"/>
        </w:rPr>
      </w:pPr>
      <w:r w:rsidRPr="007B38C0">
        <w:rPr>
          <w:rFonts w:eastAsia="Times New Roman" w:cs="Arial"/>
          <w:bCs/>
          <w:color w:val="000000"/>
          <w:lang w:eastAsia="bg-BG"/>
        </w:rPr>
        <w:t xml:space="preserve">инхибитор и на </w:t>
      </w:r>
      <w:r w:rsidRPr="007B38C0">
        <w:rPr>
          <w:rFonts w:eastAsia="Times New Roman" w:cs="Arial"/>
          <w:bCs/>
          <w:color w:val="000000"/>
          <w:lang w:val="en-US"/>
        </w:rPr>
        <w:t>CYP</w:t>
      </w:r>
      <w:r w:rsidRPr="007B38C0">
        <w:rPr>
          <w:rFonts w:eastAsia="Times New Roman" w:cs="Arial"/>
          <w:bCs/>
          <w:color w:val="000000"/>
          <w:lang w:val="ru-RU"/>
        </w:rPr>
        <w:t>2</w:t>
      </w:r>
      <w:r w:rsidRPr="007B38C0">
        <w:rPr>
          <w:rFonts w:eastAsia="Times New Roman" w:cs="Arial"/>
          <w:bCs/>
          <w:color w:val="000000"/>
          <w:lang w:val="en-US"/>
        </w:rPr>
        <w:t>C</w:t>
      </w:r>
      <w:r w:rsidRPr="007B38C0">
        <w:rPr>
          <w:rFonts w:eastAsia="Times New Roman" w:cs="Arial"/>
          <w:bCs/>
          <w:color w:val="000000"/>
          <w:lang w:val="ru-RU"/>
        </w:rPr>
        <w:t xml:space="preserve">19. </w:t>
      </w:r>
      <w:r w:rsidRPr="007B38C0">
        <w:rPr>
          <w:rFonts w:eastAsia="Times New Roman" w:cs="Arial"/>
          <w:bCs/>
          <w:color w:val="000000"/>
          <w:lang w:eastAsia="bg-BG"/>
        </w:rPr>
        <w:t xml:space="preserve">Пациентите, лекувани с флуконазол, които приемат едновременно лекарствени продукти с тесен терапевтичен диапазон, метаболизиращи се чрез </w:t>
      </w:r>
      <w:r w:rsidRPr="007B38C0">
        <w:rPr>
          <w:rFonts w:eastAsia="Times New Roman" w:cs="Arial"/>
          <w:bCs/>
          <w:color w:val="000000"/>
          <w:lang w:val="en-US"/>
        </w:rPr>
        <w:t>CYP</w:t>
      </w:r>
      <w:r w:rsidRPr="007B38C0">
        <w:rPr>
          <w:rFonts w:eastAsia="Times New Roman" w:cs="Arial"/>
          <w:bCs/>
          <w:color w:val="000000"/>
          <w:lang w:val="ru-RU"/>
        </w:rPr>
        <w:t>2</w:t>
      </w:r>
      <w:r w:rsidRPr="007B38C0">
        <w:rPr>
          <w:rFonts w:eastAsia="Times New Roman" w:cs="Arial"/>
          <w:bCs/>
          <w:color w:val="000000"/>
          <w:lang w:val="en-US"/>
        </w:rPr>
        <w:t>C</w:t>
      </w:r>
      <w:r w:rsidRPr="007B38C0">
        <w:rPr>
          <w:rFonts w:eastAsia="Times New Roman" w:cs="Arial"/>
          <w:bCs/>
          <w:color w:val="000000"/>
          <w:lang w:val="ru-RU"/>
        </w:rPr>
        <w:t xml:space="preserve">9 </w:t>
      </w:r>
      <w:r w:rsidRPr="007B38C0">
        <w:rPr>
          <w:rFonts w:eastAsia="Times New Roman" w:cs="Arial"/>
          <w:bCs/>
          <w:color w:val="000000"/>
          <w:lang w:val="en-US"/>
        </w:rPr>
        <w:t>CYP</w:t>
      </w:r>
      <w:r w:rsidRPr="007B38C0">
        <w:rPr>
          <w:rFonts w:eastAsia="Times New Roman" w:cs="Arial"/>
          <w:bCs/>
          <w:color w:val="000000"/>
          <w:lang w:val="ru-RU"/>
        </w:rPr>
        <w:t>2</w:t>
      </w:r>
      <w:r w:rsidRPr="007B38C0">
        <w:rPr>
          <w:rFonts w:eastAsia="Times New Roman" w:cs="Arial"/>
          <w:bCs/>
          <w:color w:val="000000"/>
          <w:lang w:val="en-US"/>
        </w:rPr>
        <w:t>C</w:t>
      </w:r>
      <w:r w:rsidRPr="007B38C0">
        <w:rPr>
          <w:rFonts w:eastAsia="Times New Roman" w:cs="Arial"/>
          <w:bCs/>
          <w:color w:val="000000"/>
          <w:lang w:val="ru-RU"/>
        </w:rPr>
        <w:t xml:space="preserve">19 </w:t>
      </w:r>
      <w:r w:rsidRPr="007B38C0">
        <w:rPr>
          <w:rFonts w:eastAsia="Times New Roman" w:cs="Arial"/>
          <w:bCs/>
          <w:color w:val="000000"/>
          <w:lang w:eastAsia="bg-BG"/>
        </w:rPr>
        <w:t xml:space="preserve">и </w:t>
      </w:r>
      <w:r w:rsidRPr="007B38C0">
        <w:rPr>
          <w:rFonts w:eastAsia="Times New Roman" w:cs="Arial"/>
          <w:bCs/>
          <w:color w:val="000000"/>
          <w:lang w:val="en-US"/>
        </w:rPr>
        <w:t>CYP</w:t>
      </w:r>
      <w:r w:rsidRPr="007B38C0">
        <w:rPr>
          <w:rFonts w:eastAsia="Times New Roman" w:cs="Arial"/>
          <w:bCs/>
          <w:color w:val="000000"/>
          <w:lang w:val="ru-RU"/>
        </w:rPr>
        <w:t>3</w:t>
      </w:r>
      <w:r w:rsidRPr="007B38C0">
        <w:rPr>
          <w:rFonts w:eastAsia="Times New Roman" w:cs="Arial"/>
          <w:bCs/>
          <w:color w:val="000000"/>
          <w:lang w:val="en-US"/>
        </w:rPr>
        <w:t>A</w:t>
      </w:r>
      <w:r w:rsidRPr="007B38C0">
        <w:rPr>
          <w:rFonts w:eastAsia="Times New Roman" w:cs="Arial"/>
          <w:bCs/>
          <w:color w:val="000000"/>
          <w:lang w:val="ru-RU"/>
        </w:rPr>
        <w:t xml:space="preserve">4, </w:t>
      </w:r>
      <w:r w:rsidRPr="007B38C0">
        <w:rPr>
          <w:rFonts w:eastAsia="Times New Roman" w:cs="Arial"/>
          <w:bCs/>
          <w:color w:val="000000"/>
          <w:lang w:eastAsia="bg-BG"/>
        </w:rPr>
        <w:t>трябва да бъдат проследявани (виж т. 4.5).</w:t>
      </w:r>
    </w:p>
    <w:p w14:paraId="6534F2B1" w14:textId="3B4F6D95" w:rsidR="007B38C0" w:rsidRPr="007B38C0" w:rsidRDefault="007B38C0" w:rsidP="007B38C0">
      <w:pPr>
        <w:rPr>
          <w:rFonts w:eastAsia="Times New Roman" w:cs="Arial"/>
          <w:bCs/>
          <w:color w:val="000000"/>
          <w:lang w:eastAsia="bg-BG"/>
        </w:rPr>
      </w:pPr>
    </w:p>
    <w:p w14:paraId="13F6CA7D" w14:textId="77777777" w:rsidR="007B38C0" w:rsidRPr="007B38C0" w:rsidRDefault="007B38C0" w:rsidP="007B38C0">
      <w:pPr>
        <w:spacing w:line="240" w:lineRule="auto"/>
        <w:rPr>
          <w:rFonts w:eastAsia="Times New Roman" w:cs="Arial"/>
        </w:rPr>
      </w:pPr>
      <w:r w:rsidRPr="007B38C0">
        <w:rPr>
          <w:rFonts w:eastAsia="Times New Roman" w:cs="Arial"/>
          <w:bCs/>
          <w:i/>
          <w:iCs/>
          <w:color w:val="000000"/>
          <w:u w:val="single"/>
          <w:lang w:eastAsia="bg-BG"/>
        </w:rPr>
        <w:t>Терфенадин</w:t>
      </w:r>
    </w:p>
    <w:p w14:paraId="7C7CB43E" w14:textId="77777777" w:rsidR="007B38C0" w:rsidRPr="007B38C0" w:rsidRDefault="007B38C0" w:rsidP="007B38C0">
      <w:pPr>
        <w:spacing w:line="240" w:lineRule="auto"/>
        <w:rPr>
          <w:rFonts w:eastAsia="Times New Roman" w:cs="Arial"/>
          <w:bCs/>
          <w:color w:val="000000"/>
          <w:lang w:eastAsia="bg-BG"/>
        </w:rPr>
      </w:pPr>
      <w:r w:rsidRPr="007B38C0">
        <w:rPr>
          <w:rFonts w:eastAsia="Times New Roman" w:cs="Arial"/>
          <w:bCs/>
          <w:color w:val="000000"/>
          <w:lang w:eastAsia="bg-BG"/>
        </w:rPr>
        <w:t xml:space="preserve">Едновременното приложение на флуконазол в дневни дози, по-ниски от 400 </w:t>
      </w:r>
      <w:r w:rsidRPr="007B38C0">
        <w:rPr>
          <w:rFonts w:eastAsia="Times New Roman" w:cs="Arial"/>
          <w:bCs/>
          <w:color w:val="000000"/>
          <w:lang w:val="en-US"/>
        </w:rPr>
        <w:t>mg</w:t>
      </w:r>
      <w:r w:rsidRPr="007B38C0">
        <w:rPr>
          <w:rFonts w:eastAsia="Times New Roman" w:cs="Arial"/>
          <w:bCs/>
          <w:color w:val="000000"/>
          <w:lang w:val="ru-RU"/>
        </w:rPr>
        <w:t xml:space="preserve">, </w:t>
      </w:r>
      <w:r w:rsidRPr="007B38C0">
        <w:rPr>
          <w:rFonts w:eastAsia="Times New Roman" w:cs="Arial"/>
          <w:bCs/>
          <w:color w:val="000000"/>
          <w:lang w:eastAsia="bg-BG"/>
        </w:rPr>
        <w:t xml:space="preserve">с терфенадин трябва </w:t>
      </w:r>
    </w:p>
    <w:p w14:paraId="7DC2CE2F" w14:textId="0AD3DAC7" w:rsidR="007B38C0" w:rsidRPr="007B38C0" w:rsidRDefault="007B38C0" w:rsidP="007B38C0">
      <w:pPr>
        <w:spacing w:line="240" w:lineRule="auto"/>
        <w:rPr>
          <w:rFonts w:eastAsia="Times New Roman" w:cs="Arial"/>
        </w:rPr>
      </w:pPr>
      <w:r w:rsidRPr="007B38C0">
        <w:rPr>
          <w:rFonts w:eastAsia="Times New Roman" w:cs="Arial"/>
          <w:bCs/>
          <w:color w:val="000000"/>
          <w:lang w:eastAsia="bg-BG"/>
        </w:rPr>
        <w:t>внимателно да се мониторира (вж. точки 4.3 и 4.5).</w:t>
      </w:r>
    </w:p>
    <w:p w14:paraId="5D7AD6C3" w14:textId="77777777" w:rsidR="007B38C0" w:rsidRPr="007B38C0" w:rsidRDefault="007B38C0" w:rsidP="007B38C0">
      <w:pPr>
        <w:spacing w:line="240" w:lineRule="auto"/>
        <w:rPr>
          <w:rFonts w:eastAsia="Times New Roman" w:cs="Arial"/>
          <w:bCs/>
          <w:i/>
          <w:iCs/>
          <w:color w:val="000000"/>
          <w:u w:val="single"/>
          <w:lang w:eastAsia="bg-BG"/>
        </w:rPr>
      </w:pPr>
    </w:p>
    <w:p w14:paraId="356CEACB" w14:textId="571BB851" w:rsidR="007B38C0" w:rsidRPr="007B38C0" w:rsidRDefault="007B38C0" w:rsidP="007B38C0">
      <w:pPr>
        <w:spacing w:line="240" w:lineRule="auto"/>
        <w:rPr>
          <w:rFonts w:eastAsia="Times New Roman" w:cs="Arial"/>
        </w:rPr>
      </w:pPr>
      <w:r w:rsidRPr="007B38C0">
        <w:rPr>
          <w:rFonts w:eastAsia="Times New Roman" w:cs="Arial"/>
          <w:bCs/>
          <w:i/>
          <w:iCs/>
          <w:color w:val="000000"/>
          <w:u w:val="single"/>
          <w:lang w:eastAsia="bg-BG"/>
        </w:rPr>
        <w:t>Надбъбречна недостатъчност</w:t>
      </w:r>
    </w:p>
    <w:p w14:paraId="2E784231" w14:textId="77777777" w:rsidR="007B38C0" w:rsidRPr="007B38C0" w:rsidRDefault="007B38C0" w:rsidP="007B38C0">
      <w:pPr>
        <w:spacing w:line="240" w:lineRule="auto"/>
        <w:rPr>
          <w:rFonts w:eastAsia="Times New Roman" w:cs="Arial"/>
        </w:rPr>
      </w:pPr>
      <w:r w:rsidRPr="007B38C0">
        <w:rPr>
          <w:rFonts w:eastAsia="Times New Roman" w:cs="Arial"/>
          <w:bCs/>
          <w:color w:val="000000"/>
          <w:lang w:eastAsia="bg-BG"/>
        </w:rPr>
        <w:t>Известно е, че кетоконазол причинява надбъбречна недостатъчност и това в редки случаи би могло да се отнася и за флуконазол.</w:t>
      </w:r>
    </w:p>
    <w:p w14:paraId="56902079" w14:textId="77777777" w:rsidR="007B38C0" w:rsidRPr="007B38C0" w:rsidRDefault="007B38C0" w:rsidP="007B38C0">
      <w:pPr>
        <w:spacing w:line="240" w:lineRule="auto"/>
        <w:rPr>
          <w:rFonts w:eastAsia="Times New Roman" w:cs="Arial"/>
        </w:rPr>
      </w:pPr>
      <w:r w:rsidRPr="007B38C0">
        <w:rPr>
          <w:rFonts w:eastAsia="Times New Roman" w:cs="Arial"/>
          <w:bCs/>
          <w:color w:val="000000"/>
          <w:lang w:eastAsia="bg-BG"/>
        </w:rPr>
        <w:t>Надбъбречна недостатъчност, свързана с едновременното лечение с преднизон е описана в точка 4.5 Ефект на флуконазол върху други лекарствени продукти.</w:t>
      </w:r>
    </w:p>
    <w:p w14:paraId="1879919C" w14:textId="77777777" w:rsidR="007B38C0" w:rsidRPr="007B38C0" w:rsidRDefault="007B38C0" w:rsidP="007B38C0">
      <w:pPr>
        <w:spacing w:line="240" w:lineRule="auto"/>
        <w:rPr>
          <w:rFonts w:eastAsia="Times New Roman" w:cs="Arial"/>
          <w:bCs/>
          <w:i/>
          <w:iCs/>
          <w:color w:val="000000"/>
          <w:u w:val="single"/>
          <w:lang w:eastAsia="bg-BG"/>
        </w:rPr>
      </w:pPr>
    </w:p>
    <w:p w14:paraId="723AB784" w14:textId="65D78797" w:rsidR="007B38C0" w:rsidRPr="007B38C0" w:rsidRDefault="007B38C0" w:rsidP="007B38C0">
      <w:pPr>
        <w:spacing w:line="240" w:lineRule="auto"/>
        <w:rPr>
          <w:rFonts w:eastAsia="Times New Roman" w:cs="Arial"/>
        </w:rPr>
      </w:pPr>
      <w:r w:rsidRPr="007B38C0">
        <w:rPr>
          <w:rFonts w:eastAsia="Times New Roman" w:cs="Arial"/>
          <w:bCs/>
          <w:i/>
          <w:iCs/>
          <w:color w:val="000000"/>
          <w:u w:val="single"/>
          <w:lang w:eastAsia="bg-BG"/>
        </w:rPr>
        <w:t>Помощни вещества</w:t>
      </w:r>
    </w:p>
    <w:p w14:paraId="519F42EE" w14:textId="77777777" w:rsidR="007B38C0" w:rsidRPr="007B38C0" w:rsidRDefault="007B38C0" w:rsidP="007B38C0">
      <w:pPr>
        <w:spacing w:line="240" w:lineRule="auto"/>
        <w:rPr>
          <w:rFonts w:eastAsia="Times New Roman" w:cs="Arial"/>
        </w:rPr>
      </w:pPr>
      <w:r w:rsidRPr="007B38C0">
        <w:rPr>
          <w:rFonts w:eastAsia="Times New Roman" w:cs="Arial"/>
          <w:bCs/>
          <w:color w:val="000000"/>
          <w:lang w:eastAsia="bg-BG"/>
        </w:rPr>
        <w:t xml:space="preserve">Фунголон капсули съдържа лактоза монохидрат. Пациенти с редки наследствени проблеми, като галактозна непоносимост, </w:t>
      </w:r>
      <w:r w:rsidRPr="007B38C0">
        <w:rPr>
          <w:rFonts w:eastAsia="Times New Roman" w:cs="Arial"/>
          <w:bCs/>
          <w:color w:val="000000"/>
          <w:lang w:val="en-US"/>
        </w:rPr>
        <w:t>Lapp</w:t>
      </w:r>
      <w:r w:rsidRPr="007B38C0">
        <w:rPr>
          <w:rFonts w:eastAsia="Times New Roman" w:cs="Arial"/>
          <w:bCs/>
          <w:color w:val="000000"/>
          <w:lang w:val="ru-RU"/>
        </w:rPr>
        <w:t xml:space="preserve"> </w:t>
      </w:r>
      <w:r w:rsidRPr="007B38C0">
        <w:rPr>
          <w:rFonts w:eastAsia="Times New Roman" w:cs="Arial"/>
          <w:bCs/>
          <w:color w:val="000000"/>
          <w:lang w:eastAsia="bg-BG"/>
        </w:rPr>
        <w:t>лактазен дефицит или глюкозо-галактозна малабсорбция, не трябва да приемат този лекарствен продукт.</w:t>
      </w:r>
    </w:p>
    <w:p w14:paraId="6CE3549E" w14:textId="683215BA" w:rsidR="007B38C0" w:rsidRPr="007B38C0" w:rsidRDefault="007B38C0" w:rsidP="007B38C0"/>
    <w:p w14:paraId="1244F76A" w14:textId="500D2A85" w:rsidR="00395555" w:rsidRDefault="002C50EE" w:rsidP="008A6AF2">
      <w:pPr>
        <w:pStyle w:val="Heading2"/>
      </w:pPr>
      <w:r>
        <w:t>4.5. Взаимодействие с други лекарствени продукти и други форми на взаимодействие</w:t>
      </w:r>
    </w:p>
    <w:p w14:paraId="24251805" w14:textId="3E173A47" w:rsidR="007B38C0" w:rsidRDefault="007B38C0" w:rsidP="007B38C0"/>
    <w:p w14:paraId="6FAB8E8C" w14:textId="77777777" w:rsidR="007B38C0" w:rsidRPr="007B38C0" w:rsidRDefault="007B38C0" w:rsidP="007B38C0">
      <w:pPr>
        <w:spacing w:line="240" w:lineRule="auto"/>
        <w:rPr>
          <w:rFonts w:eastAsia="Times New Roman" w:cs="Arial"/>
        </w:rPr>
      </w:pPr>
      <w:r w:rsidRPr="007B38C0">
        <w:rPr>
          <w:rFonts w:eastAsia="Times New Roman" w:cs="Arial"/>
          <w:bCs/>
          <w:i/>
          <w:iCs/>
          <w:color w:val="000000"/>
          <w:u w:val="single"/>
          <w:lang w:eastAsia="bg-BG"/>
        </w:rPr>
        <w:t>Едновременната употреба със следните други лекарствени продукти е противопоказана:</w:t>
      </w:r>
    </w:p>
    <w:p w14:paraId="08910682" w14:textId="77777777" w:rsidR="007B38C0" w:rsidRPr="007B38C0" w:rsidRDefault="007B38C0" w:rsidP="007B38C0">
      <w:pPr>
        <w:spacing w:line="240" w:lineRule="auto"/>
        <w:rPr>
          <w:rFonts w:eastAsia="Times New Roman" w:cs="Arial"/>
          <w:bCs/>
          <w:color w:val="000000"/>
          <w:u w:val="single"/>
          <w:lang w:eastAsia="bg-BG"/>
        </w:rPr>
      </w:pPr>
    </w:p>
    <w:p w14:paraId="238893FC" w14:textId="0F85516A" w:rsidR="007B38C0" w:rsidRPr="007B38C0" w:rsidRDefault="007B38C0" w:rsidP="007B38C0">
      <w:pPr>
        <w:spacing w:line="240" w:lineRule="auto"/>
        <w:rPr>
          <w:rFonts w:eastAsia="Times New Roman" w:cs="Arial"/>
        </w:rPr>
      </w:pPr>
      <w:r w:rsidRPr="007B38C0">
        <w:rPr>
          <w:rFonts w:eastAsia="Times New Roman" w:cs="Arial"/>
          <w:bCs/>
          <w:color w:val="000000"/>
          <w:u w:val="single"/>
          <w:lang w:eastAsia="bg-BG"/>
        </w:rPr>
        <w:t>Цизаприд:</w:t>
      </w:r>
      <w:r w:rsidRPr="007B38C0">
        <w:rPr>
          <w:rFonts w:eastAsia="Times New Roman" w:cs="Arial"/>
          <w:bCs/>
          <w:color w:val="000000"/>
          <w:lang w:eastAsia="bg-BG"/>
        </w:rPr>
        <w:t xml:space="preserve"> Има съобщения за сърдечно-съдови събития, включително </w:t>
      </w:r>
      <w:proofErr w:type="spellStart"/>
      <w:r w:rsidRPr="007B38C0">
        <w:rPr>
          <w:rFonts w:eastAsia="Times New Roman" w:cs="Arial"/>
          <w:bCs/>
          <w:color w:val="000000"/>
          <w:lang w:val="en-US"/>
        </w:rPr>
        <w:t>torsades</w:t>
      </w:r>
      <w:proofErr w:type="spellEnd"/>
      <w:r w:rsidRPr="007B38C0">
        <w:rPr>
          <w:rFonts w:eastAsia="Times New Roman" w:cs="Arial"/>
          <w:bCs/>
          <w:color w:val="000000"/>
          <w:lang w:val="ru-RU"/>
        </w:rPr>
        <w:t xml:space="preserve"> </w:t>
      </w:r>
      <w:r w:rsidRPr="007B38C0">
        <w:rPr>
          <w:rFonts w:eastAsia="Times New Roman" w:cs="Arial"/>
          <w:bCs/>
          <w:color w:val="000000"/>
          <w:lang w:val="en-US"/>
        </w:rPr>
        <w:t>de</w:t>
      </w:r>
      <w:r w:rsidRPr="007B38C0">
        <w:rPr>
          <w:rFonts w:eastAsia="Times New Roman" w:cs="Arial"/>
          <w:bCs/>
          <w:color w:val="000000"/>
          <w:lang w:val="ru-RU"/>
        </w:rPr>
        <w:t xml:space="preserve"> </w:t>
      </w:r>
      <w:r w:rsidRPr="007B38C0">
        <w:rPr>
          <w:rFonts w:eastAsia="Times New Roman" w:cs="Arial"/>
          <w:bCs/>
          <w:color w:val="000000"/>
          <w:lang w:val="en-US"/>
        </w:rPr>
        <w:t>pointes</w:t>
      </w:r>
      <w:r w:rsidRPr="007B38C0">
        <w:rPr>
          <w:rFonts w:eastAsia="Times New Roman" w:cs="Arial"/>
          <w:bCs/>
          <w:color w:val="000000"/>
          <w:lang w:val="ru-RU"/>
        </w:rPr>
        <w:t xml:space="preserve">, </w:t>
      </w:r>
      <w:r w:rsidRPr="007B38C0">
        <w:rPr>
          <w:rFonts w:eastAsia="Times New Roman" w:cs="Arial"/>
          <w:bCs/>
          <w:color w:val="000000"/>
          <w:lang w:eastAsia="bg-BG"/>
        </w:rPr>
        <w:t xml:space="preserve">при пациенти, на които са прилагани едновременно флуконазол и цизаприд. В контролирано проучване е установено, че едновременната употреба на флуконазол 200 </w:t>
      </w:r>
      <w:r w:rsidRPr="007B38C0">
        <w:rPr>
          <w:rFonts w:eastAsia="Times New Roman" w:cs="Arial"/>
          <w:bCs/>
          <w:color w:val="000000"/>
          <w:lang w:val="en-US"/>
        </w:rPr>
        <w:t>mg</w:t>
      </w:r>
      <w:r w:rsidRPr="007B38C0">
        <w:rPr>
          <w:rFonts w:eastAsia="Times New Roman" w:cs="Arial"/>
          <w:bCs/>
          <w:color w:val="000000"/>
          <w:lang w:val="ru-RU"/>
        </w:rPr>
        <w:t xml:space="preserve"> </w:t>
      </w:r>
      <w:r w:rsidRPr="007B38C0">
        <w:rPr>
          <w:rFonts w:eastAsia="Times New Roman" w:cs="Arial"/>
          <w:bCs/>
          <w:color w:val="000000"/>
          <w:lang w:eastAsia="bg-BG"/>
        </w:rPr>
        <w:t xml:space="preserve">еднократно дневно и цизаприд 20 </w:t>
      </w:r>
      <w:r w:rsidRPr="007B38C0">
        <w:rPr>
          <w:rFonts w:eastAsia="Times New Roman" w:cs="Arial"/>
          <w:bCs/>
          <w:color w:val="000000"/>
          <w:lang w:val="en-US"/>
        </w:rPr>
        <w:t>mg</w:t>
      </w:r>
      <w:r w:rsidRPr="007B38C0">
        <w:rPr>
          <w:rFonts w:eastAsia="Times New Roman" w:cs="Arial"/>
          <w:bCs/>
          <w:color w:val="000000"/>
          <w:lang w:val="ru-RU"/>
        </w:rPr>
        <w:t xml:space="preserve"> </w:t>
      </w:r>
      <w:r w:rsidRPr="007B38C0">
        <w:rPr>
          <w:rFonts w:eastAsia="Times New Roman" w:cs="Arial"/>
          <w:bCs/>
          <w:color w:val="000000"/>
          <w:lang w:eastAsia="bg-BG"/>
        </w:rPr>
        <w:t xml:space="preserve">четири пъти дневно води до сигнификантно повишение на плазмените концентрации на цизаприд и удължаване на </w:t>
      </w:r>
      <w:r w:rsidRPr="007B38C0">
        <w:rPr>
          <w:rFonts w:eastAsia="Times New Roman" w:cs="Arial"/>
          <w:bCs/>
          <w:color w:val="000000"/>
          <w:lang w:val="en-US"/>
        </w:rPr>
        <w:t>QT</w:t>
      </w:r>
      <w:r w:rsidRPr="007B38C0">
        <w:rPr>
          <w:rFonts w:eastAsia="Times New Roman" w:cs="Arial"/>
          <w:bCs/>
          <w:color w:val="000000"/>
          <w:lang w:val="ru-RU"/>
        </w:rPr>
        <w:t xml:space="preserve"> </w:t>
      </w:r>
      <w:r w:rsidRPr="007B38C0">
        <w:rPr>
          <w:rFonts w:eastAsia="Times New Roman" w:cs="Arial"/>
          <w:bCs/>
          <w:color w:val="000000"/>
          <w:lang w:eastAsia="bg-BG"/>
        </w:rPr>
        <w:t>интервала. Едновременното приложение на флуконазол и цизаприд е противопоказано (вж. точка 4.3).</w:t>
      </w:r>
    </w:p>
    <w:p w14:paraId="51644A5A" w14:textId="77777777" w:rsidR="007B38C0" w:rsidRPr="007B38C0" w:rsidRDefault="007B38C0" w:rsidP="007B38C0">
      <w:pPr>
        <w:spacing w:line="240" w:lineRule="auto"/>
        <w:rPr>
          <w:rFonts w:eastAsia="Times New Roman" w:cs="Arial"/>
          <w:bCs/>
          <w:color w:val="000000"/>
          <w:u w:val="single"/>
          <w:lang w:eastAsia="bg-BG"/>
        </w:rPr>
      </w:pPr>
    </w:p>
    <w:p w14:paraId="49A1FF97" w14:textId="6D32D00C" w:rsidR="007B38C0" w:rsidRPr="007B38C0" w:rsidRDefault="007B38C0" w:rsidP="007B38C0">
      <w:pPr>
        <w:spacing w:line="240" w:lineRule="auto"/>
        <w:rPr>
          <w:rFonts w:eastAsia="Times New Roman" w:cs="Arial"/>
        </w:rPr>
      </w:pPr>
      <w:r w:rsidRPr="007B38C0">
        <w:rPr>
          <w:rFonts w:eastAsia="Times New Roman" w:cs="Arial"/>
          <w:bCs/>
          <w:color w:val="000000"/>
          <w:u w:val="single"/>
          <w:lang w:eastAsia="bg-BG"/>
        </w:rPr>
        <w:t>Терфенадин:</w:t>
      </w:r>
      <w:r w:rsidRPr="007B38C0">
        <w:rPr>
          <w:rFonts w:eastAsia="Times New Roman" w:cs="Arial"/>
          <w:bCs/>
          <w:color w:val="000000"/>
          <w:lang w:eastAsia="bg-BG"/>
        </w:rPr>
        <w:t xml:space="preserve"> Поради сериозни сърдечни аритмии, които възникват вторично в резултат на удължаване на </w:t>
      </w:r>
      <w:proofErr w:type="spellStart"/>
      <w:r w:rsidRPr="007B38C0">
        <w:rPr>
          <w:rFonts w:eastAsia="Times New Roman" w:cs="Arial"/>
          <w:bCs/>
          <w:color w:val="000000"/>
          <w:lang w:val="en-US"/>
        </w:rPr>
        <w:t>QTc</w:t>
      </w:r>
      <w:proofErr w:type="spellEnd"/>
      <w:r w:rsidRPr="007B38C0">
        <w:rPr>
          <w:rFonts w:eastAsia="Times New Roman" w:cs="Arial"/>
          <w:bCs/>
          <w:color w:val="000000"/>
          <w:lang w:val="ru-RU"/>
        </w:rPr>
        <w:t xml:space="preserve"> </w:t>
      </w:r>
      <w:r w:rsidRPr="007B38C0">
        <w:rPr>
          <w:rFonts w:eastAsia="Times New Roman" w:cs="Arial"/>
          <w:bCs/>
          <w:color w:val="000000"/>
          <w:lang w:eastAsia="bg-BG"/>
        </w:rPr>
        <w:t xml:space="preserve">интервала при пациенти, приемащи азолови антимикотици заедно с терфенадин, са проведени проучвания за взаимодействия. В проучване, при което флуконазол е прилаган в доза 200 </w:t>
      </w:r>
      <w:r w:rsidRPr="007B38C0">
        <w:rPr>
          <w:rFonts w:eastAsia="Times New Roman" w:cs="Arial"/>
          <w:bCs/>
          <w:color w:val="000000"/>
          <w:lang w:val="en-US"/>
        </w:rPr>
        <w:t>mg</w:t>
      </w:r>
      <w:r w:rsidRPr="007B38C0">
        <w:rPr>
          <w:rFonts w:eastAsia="Times New Roman" w:cs="Arial"/>
          <w:bCs/>
          <w:color w:val="000000"/>
          <w:lang w:val="ru-RU"/>
        </w:rPr>
        <w:t xml:space="preserve"> </w:t>
      </w:r>
      <w:r w:rsidRPr="007B38C0">
        <w:rPr>
          <w:rFonts w:eastAsia="Times New Roman" w:cs="Arial"/>
          <w:bCs/>
          <w:color w:val="000000"/>
          <w:lang w:eastAsia="bg-BG"/>
        </w:rPr>
        <w:t xml:space="preserve">дневно, не е установено удължаване на </w:t>
      </w:r>
      <w:proofErr w:type="spellStart"/>
      <w:r w:rsidRPr="007B38C0">
        <w:rPr>
          <w:rFonts w:eastAsia="Times New Roman" w:cs="Arial"/>
          <w:bCs/>
          <w:color w:val="000000"/>
          <w:lang w:val="en-US"/>
        </w:rPr>
        <w:t>QTc</w:t>
      </w:r>
      <w:proofErr w:type="spellEnd"/>
      <w:r w:rsidRPr="007B38C0">
        <w:rPr>
          <w:rFonts w:eastAsia="Times New Roman" w:cs="Arial"/>
          <w:bCs/>
          <w:color w:val="000000"/>
          <w:lang w:val="ru-RU"/>
        </w:rPr>
        <w:t xml:space="preserve"> </w:t>
      </w:r>
      <w:r w:rsidRPr="007B38C0">
        <w:rPr>
          <w:rFonts w:eastAsia="Times New Roman" w:cs="Arial"/>
          <w:bCs/>
          <w:color w:val="000000"/>
          <w:lang w:eastAsia="bg-BG"/>
        </w:rPr>
        <w:t xml:space="preserve">интервала. В друго проучване, при което са използвани дневни дози от 400 до 800 </w:t>
      </w:r>
      <w:r w:rsidRPr="007B38C0">
        <w:rPr>
          <w:rFonts w:eastAsia="Times New Roman" w:cs="Arial"/>
          <w:bCs/>
          <w:color w:val="000000"/>
          <w:lang w:val="en-US"/>
        </w:rPr>
        <w:t>mg</w:t>
      </w:r>
      <w:r w:rsidRPr="007B38C0">
        <w:rPr>
          <w:rFonts w:eastAsia="Times New Roman" w:cs="Arial"/>
          <w:bCs/>
          <w:color w:val="000000"/>
          <w:lang w:val="ru-RU"/>
        </w:rPr>
        <w:t xml:space="preserve"> </w:t>
      </w:r>
      <w:r w:rsidRPr="007B38C0">
        <w:rPr>
          <w:rFonts w:eastAsia="Times New Roman" w:cs="Arial"/>
          <w:bCs/>
          <w:color w:val="000000"/>
          <w:lang w:eastAsia="bg-BG"/>
        </w:rPr>
        <w:t xml:space="preserve">флуконазол, е установено, че флуконазол, приложен в дози, равни или по-високи от 400 </w:t>
      </w:r>
      <w:r w:rsidRPr="007B38C0">
        <w:rPr>
          <w:rFonts w:eastAsia="Times New Roman" w:cs="Arial"/>
          <w:bCs/>
          <w:color w:val="000000"/>
          <w:lang w:val="en-US"/>
        </w:rPr>
        <w:t>mg</w:t>
      </w:r>
      <w:r w:rsidRPr="007B38C0">
        <w:rPr>
          <w:rFonts w:eastAsia="Times New Roman" w:cs="Arial"/>
          <w:bCs/>
          <w:color w:val="000000"/>
          <w:lang w:val="ru-RU"/>
        </w:rPr>
        <w:t xml:space="preserve"> </w:t>
      </w:r>
      <w:r w:rsidRPr="007B38C0">
        <w:rPr>
          <w:rFonts w:eastAsia="Times New Roman" w:cs="Arial"/>
          <w:bCs/>
          <w:color w:val="000000"/>
          <w:lang w:eastAsia="bg-BG"/>
        </w:rPr>
        <w:t xml:space="preserve">дневно, значително повишава плазмените концентрации на терфенадин, когато двете лекарства се прилагат в комбинация. Комбинираното приложение на флуконазол в дози, равни или по-високи от 400 </w:t>
      </w:r>
      <w:r w:rsidRPr="007B38C0">
        <w:rPr>
          <w:rFonts w:eastAsia="Times New Roman" w:cs="Arial"/>
          <w:bCs/>
          <w:color w:val="000000"/>
          <w:lang w:val="en-US"/>
        </w:rPr>
        <w:t>mg</w:t>
      </w:r>
      <w:r w:rsidRPr="007B38C0">
        <w:rPr>
          <w:rFonts w:eastAsia="Times New Roman" w:cs="Arial"/>
          <w:bCs/>
          <w:color w:val="000000"/>
          <w:lang w:val="ru-RU"/>
        </w:rPr>
        <w:t xml:space="preserve">, </w:t>
      </w:r>
      <w:r w:rsidRPr="007B38C0">
        <w:rPr>
          <w:rFonts w:eastAsia="Times New Roman" w:cs="Arial"/>
          <w:bCs/>
          <w:color w:val="000000"/>
          <w:lang w:eastAsia="bg-BG"/>
        </w:rPr>
        <w:t xml:space="preserve">с терфенадин е противопоказано (вж. точка 4.3). Едновременното приложение на флуконазол в дози, по-ниски от 400 </w:t>
      </w:r>
      <w:r w:rsidRPr="007B38C0">
        <w:rPr>
          <w:rFonts w:eastAsia="Times New Roman" w:cs="Arial"/>
          <w:bCs/>
          <w:color w:val="000000"/>
          <w:lang w:val="en-US"/>
        </w:rPr>
        <w:t>mg</w:t>
      </w:r>
      <w:r w:rsidRPr="007B38C0">
        <w:rPr>
          <w:rFonts w:eastAsia="Times New Roman" w:cs="Arial"/>
          <w:bCs/>
          <w:color w:val="000000"/>
          <w:lang w:val="ru-RU"/>
        </w:rPr>
        <w:t xml:space="preserve"> </w:t>
      </w:r>
      <w:r w:rsidRPr="007B38C0">
        <w:rPr>
          <w:rFonts w:eastAsia="Times New Roman" w:cs="Arial"/>
          <w:bCs/>
          <w:color w:val="000000"/>
          <w:lang w:eastAsia="bg-BG"/>
        </w:rPr>
        <w:t>дневно, с терфенадин трябва внимателно да се мониторира.</w:t>
      </w:r>
    </w:p>
    <w:p w14:paraId="63632296" w14:textId="77777777" w:rsidR="007B38C0" w:rsidRPr="007B38C0" w:rsidRDefault="007B38C0" w:rsidP="007B38C0">
      <w:pPr>
        <w:spacing w:line="240" w:lineRule="auto"/>
        <w:rPr>
          <w:rFonts w:eastAsia="Times New Roman" w:cs="Arial"/>
          <w:bCs/>
          <w:color w:val="000000"/>
          <w:u w:val="single"/>
          <w:lang w:eastAsia="bg-BG"/>
        </w:rPr>
      </w:pPr>
    </w:p>
    <w:p w14:paraId="66D723E9" w14:textId="5CD49BA0" w:rsidR="007B38C0" w:rsidRPr="007B38C0" w:rsidRDefault="007B38C0" w:rsidP="007B38C0">
      <w:pPr>
        <w:spacing w:line="240" w:lineRule="auto"/>
        <w:rPr>
          <w:rFonts w:eastAsia="Times New Roman" w:cs="Arial"/>
        </w:rPr>
      </w:pPr>
      <w:r w:rsidRPr="007B38C0">
        <w:rPr>
          <w:rFonts w:eastAsia="Times New Roman" w:cs="Arial"/>
          <w:bCs/>
          <w:color w:val="000000"/>
          <w:u w:val="single"/>
          <w:lang w:eastAsia="bg-BG"/>
        </w:rPr>
        <w:t>Астемизол:</w:t>
      </w:r>
      <w:r w:rsidRPr="007B38C0">
        <w:rPr>
          <w:rFonts w:eastAsia="Times New Roman" w:cs="Arial"/>
          <w:bCs/>
          <w:color w:val="000000"/>
          <w:lang w:eastAsia="bg-BG"/>
        </w:rPr>
        <w:t xml:space="preserve"> Едновременното приложение на флуконазол с астемизол може да понижи клирънса на астемизол. В резултат повишените плазмени концентрации на астемизол могат да доведат до удължаване на </w:t>
      </w:r>
      <w:r w:rsidRPr="007B38C0">
        <w:rPr>
          <w:rFonts w:eastAsia="Times New Roman" w:cs="Arial"/>
          <w:bCs/>
          <w:color w:val="000000"/>
          <w:lang w:val="en-US"/>
        </w:rPr>
        <w:t>QT</w:t>
      </w:r>
      <w:r w:rsidRPr="007B38C0">
        <w:rPr>
          <w:rFonts w:eastAsia="Times New Roman" w:cs="Arial"/>
          <w:bCs/>
          <w:color w:val="000000"/>
          <w:lang w:val="ru-RU"/>
        </w:rPr>
        <w:t xml:space="preserve"> </w:t>
      </w:r>
      <w:r w:rsidRPr="007B38C0">
        <w:rPr>
          <w:rFonts w:eastAsia="Times New Roman" w:cs="Arial"/>
          <w:bCs/>
          <w:color w:val="000000"/>
          <w:lang w:eastAsia="bg-BG"/>
        </w:rPr>
        <w:t xml:space="preserve">интервала и в редки случаи до </w:t>
      </w:r>
      <w:proofErr w:type="spellStart"/>
      <w:r w:rsidRPr="007B38C0">
        <w:rPr>
          <w:rFonts w:eastAsia="Times New Roman" w:cs="Arial"/>
          <w:bCs/>
          <w:i/>
          <w:iCs/>
          <w:color w:val="000000"/>
          <w:lang w:val="en-US"/>
        </w:rPr>
        <w:t>torsades</w:t>
      </w:r>
      <w:proofErr w:type="spellEnd"/>
      <w:r w:rsidRPr="007B38C0">
        <w:rPr>
          <w:rFonts w:eastAsia="Times New Roman" w:cs="Arial"/>
          <w:bCs/>
          <w:i/>
          <w:iCs/>
          <w:color w:val="000000"/>
          <w:lang w:val="ru-RU"/>
        </w:rPr>
        <w:t xml:space="preserve"> </w:t>
      </w:r>
      <w:r w:rsidRPr="007B38C0">
        <w:rPr>
          <w:rFonts w:eastAsia="Times New Roman" w:cs="Arial"/>
          <w:bCs/>
          <w:i/>
          <w:iCs/>
          <w:color w:val="000000"/>
          <w:lang w:val="en-US"/>
        </w:rPr>
        <w:t>de</w:t>
      </w:r>
      <w:r w:rsidRPr="007B38C0">
        <w:rPr>
          <w:rFonts w:eastAsia="Times New Roman" w:cs="Arial"/>
          <w:bCs/>
          <w:i/>
          <w:iCs/>
          <w:color w:val="000000"/>
          <w:lang w:val="ru-RU"/>
        </w:rPr>
        <w:t xml:space="preserve"> </w:t>
      </w:r>
      <w:r w:rsidRPr="007B38C0">
        <w:rPr>
          <w:rFonts w:eastAsia="Times New Roman" w:cs="Arial"/>
          <w:bCs/>
          <w:i/>
          <w:iCs/>
          <w:color w:val="000000"/>
          <w:lang w:val="en-US"/>
        </w:rPr>
        <w:t>pointes</w:t>
      </w:r>
      <w:r w:rsidRPr="007B38C0">
        <w:rPr>
          <w:rFonts w:eastAsia="Times New Roman" w:cs="Arial"/>
          <w:bCs/>
          <w:i/>
          <w:iCs/>
          <w:color w:val="000000"/>
          <w:lang w:val="ru-RU"/>
        </w:rPr>
        <w:t>.</w:t>
      </w:r>
      <w:r w:rsidRPr="007B38C0">
        <w:rPr>
          <w:rFonts w:eastAsia="Times New Roman" w:cs="Arial"/>
          <w:bCs/>
          <w:color w:val="000000"/>
          <w:lang w:val="ru-RU"/>
        </w:rPr>
        <w:t xml:space="preserve"> </w:t>
      </w:r>
      <w:r w:rsidRPr="007B38C0">
        <w:rPr>
          <w:rFonts w:eastAsia="Times New Roman" w:cs="Arial"/>
          <w:bCs/>
          <w:color w:val="000000"/>
          <w:lang w:eastAsia="bg-BG"/>
        </w:rPr>
        <w:t>Едновременното приложение на флуконазол и астемизол е противопоказано (вж. точка 4.3).</w:t>
      </w:r>
    </w:p>
    <w:p w14:paraId="2C29DB73" w14:textId="77777777" w:rsidR="007B38C0" w:rsidRPr="007B38C0" w:rsidRDefault="007B38C0" w:rsidP="007B38C0">
      <w:pPr>
        <w:spacing w:line="240" w:lineRule="auto"/>
        <w:rPr>
          <w:rFonts w:eastAsia="Times New Roman" w:cs="Arial"/>
          <w:bCs/>
          <w:color w:val="000000"/>
          <w:u w:val="single"/>
          <w:lang w:eastAsia="bg-BG"/>
        </w:rPr>
      </w:pPr>
    </w:p>
    <w:p w14:paraId="66899C9A" w14:textId="6674DC07" w:rsidR="007B38C0" w:rsidRPr="007B38C0" w:rsidRDefault="007B38C0" w:rsidP="007B38C0">
      <w:pPr>
        <w:spacing w:line="240" w:lineRule="auto"/>
        <w:rPr>
          <w:rFonts w:eastAsia="Times New Roman" w:cs="Arial"/>
        </w:rPr>
      </w:pPr>
      <w:r w:rsidRPr="007B38C0">
        <w:rPr>
          <w:rFonts w:eastAsia="Times New Roman" w:cs="Arial"/>
          <w:bCs/>
          <w:color w:val="000000"/>
          <w:u w:val="single"/>
          <w:lang w:eastAsia="bg-BG"/>
        </w:rPr>
        <w:t>Пимозид:</w:t>
      </w:r>
      <w:r w:rsidRPr="007B38C0">
        <w:rPr>
          <w:rFonts w:eastAsia="Times New Roman" w:cs="Arial"/>
          <w:bCs/>
          <w:color w:val="000000"/>
          <w:lang w:eastAsia="bg-BG"/>
        </w:rPr>
        <w:t xml:space="preserve"> Въпреки че не е проучено </w:t>
      </w:r>
      <w:r w:rsidRPr="007B38C0">
        <w:rPr>
          <w:rFonts w:eastAsia="Times New Roman" w:cs="Arial"/>
          <w:bCs/>
          <w:i/>
          <w:iCs/>
          <w:color w:val="000000"/>
          <w:lang w:val="en-US"/>
        </w:rPr>
        <w:t>in</w:t>
      </w:r>
      <w:r w:rsidRPr="007B38C0">
        <w:rPr>
          <w:rFonts w:eastAsia="Times New Roman" w:cs="Arial"/>
          <w:bCs/>
          <w:i/>
          <w:iCs/>
          <w:color w:val="000000"/>
          <w:lang w:val="ru-RU"/>
        </w:rPr>
        <w:t xml:space="preserve"> </w:t>
      </w:r>
      <w:r w:rsidRPr="007B38C0">
        <w:rPr>
          <w:rFonts w:eastAsia="Times New Roman" w:cs="Arial"/>
          <w:bCs/>
          <w:i/>
          <w:iCs/>
          <w:color w:val="000000"/>
          <w:lang w:val="en-US"/>
        </w:rPr>
        <w:t>vitro</w:t>
      </w:r>
      <w:r w:rsidRPr="007B38C0">
        <w:rPr>
          <w:rFonts w:eastAsia="Times New Roman" w:cs="Arial"/>
          <w:bCs/>
          <w:color w:val="000000"/>
          <w:lang w:val="ru-RU"/>
        </w:rPr>
        <w:t xml:space="preserve"> </w:t>
      </w:r>
      <w:r w:rsidRPr="007B38C0">
        <w:rPr>
          <w:rFonts w:eastAsia="Times New Roman" w:cs="Arial"/>
          <w:bCs/>
          <w:color w:val="000000"/>
          <w:lang w:eastAsia="bg-BG"/>
        </w:rPr>
        <w:t xml:space="preserve">и </w:t>
      </w:r>
      <w:r w:rsidRPr="007B38C0">
        <w:rPr>
          <w:rFonts w:eastAsia="Times New Roman" w:cs="Arial"/>
          <w:bCs/>
          <w:i/>
          <w:iCs/>
          <w:color w:val="000000"/>
          <w:lang w:val="en-US"/>
        </w:rPr>
        <w:t>in</w:t>
      </w:r>
      <w:r w:rsidRPr="007B38C0">
        <w:rPr>
          <w:rFonts w:eastAsia="Times New Roman" w:cs="Arial"/>
          <w:bCs/>
          <w:i/>
          <w:iCs/>
          <w:color w:val="000000"/>
          <w:lang w:val="ru-RU"/>
        </w:rPr>
        <w:t xml:space="preserve"> </w:t>
      </w:r>
      <w:r w:rsidRPr="007B38C0">
        <w:rPr>
          <w:rFonts w:eastAsia="Times New Roman" w:cs="Arial"/>
          <w:bCs/>
          <w:i/>
          <w:iCs/>
          <w:color w:val="000000"/>
          <w:lang w:val="en-US"/>
        </w:rPr>
        <w:t>vivo</w:t>
      </w:r>
      <w:r w:rsidRPr="007B38C0">
        <w:rPr>
          <w:rFonts w:eastAsia="Times New Roman" w:cs="Arial"/>
          <w:bCs/>
          <w:i/>
          <w:iCs/>
          <w:color w:val="000000"/>
          <w:lang w:val="ru-RU"/>
        </w:rPr>
        <w:t>,</w:t>
      </w:r>
      <w:r w:rsidRPr="007B38C0">
        <w:rPr>
          <w:rFonts w:eastAsia="Times New Roman" w:cs="Arial"/>
          <w:bCs/>
          <w:color w:val="000000"/>
          <w:lang w:val="ru-RU"/>
        </w:rPr>
        <w:t xml:space="preserve"> </w:t>
      </w:r>
      <w:r w:rsidRPr="007B38C0">
        <w:rPr>
          <w:rFonts w:eastAsia="Times New Roman" w:cs="Arial"/>
          <w:bCs/>
          <w:color w:val="000000"/>
          <w:lang w:eastAsia="bg-BG"/>
        </w:rPr>
        <w:t xml:space="preserve">едновременното приложение на флуконазол с пимозид може да доведе до инхибиране на метаболизма на пимозид. Повишените плазмени концентрации на пимозид могат да доведат до удължаване на </w:t>
      </w:r>
      <w:r w:rsidRPr="007B38C0">
        <w:rPr>
          <w:rFonts w:eastAsia="Times New Roman" w:cs="Arial"/>
          <w:bCs/>
          <w:color w:val="000000"/>
          <w:lang w:val="en-US"/>
        </w:rPr>
        <w:t>QT</w:t>
      </w:r>
      <w:r w:rsidRPr="007B38C0">
        <w:rPr>
          <w:rFonts w:eastAsia="Times New Roman" w:cs="Arial"/>
          <w:bCs/>
          <w:color w:val="000000"/>
          <w:lang w:val="ru-RU"/>
        </w:rPr>
        <w:t xml:space="preserve"> </w:t>
      </w:r>
      <w:r w:rsidRPr="007B38C0">
        <w:rPr>
          <w:rFonts w:eastAsia="Times New Roman" w:cs="Arial"/>
          <w:bCs/>
          <w:color w:val="000000"/>
          <w:lang w:eastAsia="bg-BG"/>
        </w:rPr>
        <w:t xml:space="preserve">интервала и в редки случаи до </w:t>
      </w:r>
      <w:proofErr w:type="spellStart"/>
      <w:r w:rsidRPr="007B38C0">
        <w:rPr>
          <w:rFonts w:eastAsia="Times New Roman" w:cs="Arial"/>
          <w:bCs/>
          <w:color w:val="000000"/>
          <w:lang w:val="en-US"/>
        </w:rPr>
        <w:t>torsades</w:t>
      </w:r>
      <w:proofErr w:type="spellEnd"/>
      <w:r w:rsidRPr="007B38C0">
        <w:rPr>
          <w:rFonts w:eastAsia="Times New Roman" w:cs="Arial"/>
          <w:bCs/>
          <w:color w:val="000000"/>
          <w:lang w:val="ru-RU"/>
        </w:rPr>
        <w:t xml:space="preserve"> </w:t>
      </w:r>
      <w:r w:rsidRPr="007B38C0">
        <w:rPr>
          <w:rFonts w:eastAsia="Times New Roman" w:cs="Arial"/>
          <w:bCs/>
          <w:color w:val="000000"/>
          <w:lang w:val="en-US"/>
        </w:rPr>
        <w:t>de</w:t>
      </w:r>
      <w:r w:rsidRPr="007B38C0">
        <w:rPr>
          <w:rFonts w:eastAsia="Times New Roman" w:cs="Arial"/>
          <w:bCs/>
          <w:color w:val="000000"/>
          <w:lang w:val="ru-RU"/>
        </w:rPr>
        <w:t xml:space="preserve"> </w:t>
      </w:r>
      <w:r w:rsidRPr="007B38C0">
        <w:rPr>
          <w:rFonts w:eastAsia="Times New Roman" w:cs="Arial"/>
          <w:bCs/>
          <w:color w:val="000000"/>
          <w:lang w:val="en-US"/>
        </w:rPr>
        <w:t>pointes</w:t>
      </w:r>
      <w:r w:rsidRPr="007B38C0">
        <w:rPr>
          <w:rFonts w:eastAsia="Times New Roman" w:cs="Arial"/>
          <w:bCs/>
          <w:color w:val="000000"/>
          <w:lang w:val="ru-RU"/>
        </w:rPr>
        <w:t xml:space="preserve">. </w:t>
      </w:r>
      <w:r w:rsidRPr="007B38C0">
        <w:rPr>
          <w:rFonts w:eastAsia="Times New Roman" w:cs="Arial"/>
          <w:bCs/>
          <w:color w:val="000000"/>
          <w:lang w:eastAsia="bg-BG"/>
        </w:rPr>
        <w:t>Едновременното приложение на флуконазол и пимозид е противопоказано.</w:t>
      </w:r>
    </w:p>
    <w:p w14:paraId="084BFEA6" w14:textId="77777777" w:rsidR="007B38C0" w:rsidRPr="007B38C0" w:rsidRDefault="007B38C0" w:rsidP="007B38C0">
      <w:pPr>
        <w:rPr>
          <w:rFonts w:eastAsia="Times New Roman" w:cs="Arial"/>
          <w:bCs/>
          <w:color w:val="000000"/>
          <w:u w:val="single"/>
          <w:lang w:eastAsia="bg-BG"/>
        </w:rPr>
      </w:pPr>
    </w:p>
    <w:p w14:paraId="79733154" w14:textId="3EB36924" w:rsidR="007B38C0" w:rsidRPr="007B38C0" w:rsidRDefault="007B38C0" w:rsidP="007B38C0">
      <w:pPr>
        <w:rPr>
          <w:rFonts w:eastAsia="Times New Roman" w:cs="Arial"/>
          <w:bCs/>
          <w:color w:val="000000"/>
          <w:lang w:eastAsia="bg-BG"/>
        </w:rPr>
      </w:pPr>
      <w:r w:rsidRPr="007B38C0">
        <w:rPr>
          <w:rFonts w:eastAsia="Times New Roman" w:cs="Arial"/>
          <w:bCs/>
          <w:color w:val="000000"/>
          <w:u w:val="single"/>
          <w:lang w:eastAsia="bg-BG"/>
        </w:rPr>
        <w:t>Хинидин: В</w:t>
      </w:r>
      <w:r w:rsidRPr="007B38C0">
        <w:rPr>
          <w:rFonts w:eastAsia="Times New Roman" w:cs="Arial"/>
          <w:bCs/>
          <w:color w:val="000000"/>
          <w:lang w:eastAsia="bg-BG"/>
        </w:rPr>
        <w:t xml:space="preserve">ъпреки че не е проучено </w:t>
      </w:r>
      <w:r w:rsidRPr="007B38C0">
        <w:rPr>
          <w:rFonts w:eastAsia="Times New Roman" w:cs="Arial"/>
          <w:bCs/>
          <w:i/>
          <w:iCs/>
          <w:color w:val="000000"/>
          <w:lang w:val="en-US"/>
        </w:rPr>
        <w:t>in</w:t>
      </w:r>
      <w:r w:rsidRPr="007B38C0">
        <w:rPr>
          <w:rFonts w:eastAsia="Times New Roman" w:cs="Arial"/>
          <w:bCs/>
          <w:i/>
          <w:iCs/>
          <w:color w:val="000000"/>
          <w:lang w:val="ru-RU"/>
        </w:rPr>
        <w:t xml:space="preserve"> </w:t>
      </w:r>
      <w:r w:rsidRPr="007B38C0">
        <w:rPr>
          <w:rFonts w:eastAsia="Times New Roman" w:cs="Arial"/>
          <w:bCs/>
          <w:i/>
          <w:iCs/>
          <w:color w:val="000000"/>
          <w:lang w:val="en-US"/>
        </w:rPr>
        <w:t>vitro</w:t>
      </w:r>
      <w:r w:rsidRPr="007B38C0">
        <w:rPr>
          <w:rFonts w:eastAsia="Times New Roman" w:cs="Arial"/>
          <w:bCs/>
          <w:color w:val="000000"/>
          <w:lang w:val="ru-RU"/>
        </w:rPr>
        <w:t xml:space="preserve"> </w:t>
      </w:r>
      <w:r w:rsidRPr="007B38C0">
        <w:rPr>
          <w:rFonts w:eastAsia="Times New Roman" w:cs="Arial"/>
          <w:bCs/>
          <w:color w:val="000000"/>
          <w:lang w:eastAsia="bg-BG"/>
        </w:rPr>
        <w:t xml:space="preserve">и </w:t>
      </w:r>
      <w:r w:rsidRPr="007B38C0">
        <w:rPr>
          <w:rFonts w:eastAsia="Times New Roman" w:cs="Arial"/>
          <w:bCs/>
          <w:i/>
          <w:iCs/>
          <w:color w:val="000000"/>
          <w:lang w:val="en-US"/>
        </w:rPr>
        <w:t>in</w:t>
      </w:r>
      <w:r w:rsidRPr="007B38C0">
        <w:rPr>
          <w:rFonts w:eastAsia="Times New Roman" w:cs="Arial"/>
          <w:bCs/>
          <w:i/>
          <w:iCs/>
          <w:color w:val="000000"/>
          <w:lang w:val="ru-RU"/>
        </w:rPr>
        <w:t xml:space="preserve"> </w:t>
      </w:r>
      <w:r w:rsidRPr="007B38C0">
        <w:rPr>
          <w:rFonts w:eastAsia="Times New Roman" w:cs="Arial"/>
          <w:bCs/>
          <w:i/>
          <w:iCs/>
          <w:color w:val="000000"/>
          <w:lang w:val="en-US"/>
        </w:rPr>
        <w:t>vivo</w:t>
      </w:r>
      <w:r w:rsidRPr="007B38C0">
        <w:rPr>
          <w:rFonts w:eastAsia="Times New Roman" w:cs="Arial"/>
          <w:bCs/>
          <w:i/>
          <w:iCs/>
          <w:color w:val="000000"/>
          <w:lang w:val="ru-RU"/>
        </w:rPr>
        <w:t>,</w:t>
      </w:r>
      <w:r w:rsidRPr="007B38C0">
        <w:rPr>
          <w:rFonts w:eastAsia="Times New Roman" w:cs="Arial"/>
          <w:bCs/>
          <w:color w:val="000000"/>
          <w:lang w:val="ru-RU"/>
        </w:rPr>
        <w:t xml:space="preserve"> </w:t>
      </w:r>
      <w:r w:rsidRPr="007B38C0">
        <w:rPr>
          <w:rFonts w:eastAsia="Times New Roman" w:cs="Arial"/>
          <w:bCs/>
          <w:color w:val="000000"/>
          <w:lang w:eastAsia="bg-BG"/>
        </w:rPr>
        <w:t xml:space="preserve">едновременното приложение на флуконазол с хинидин може да доведе до инхибиране на метаболизма на хинидин. Прилагането на хинидин се свързва с удължаване на </w:t>
      </w:r>
      <w:r w:rsidRPr="007B38C0">
        <w:rPr>
          <w:rFonts w:eastAsia="Times New Roman" w:cs="Arial"/>
          <w:bCs/>
          <w:color w:val="000000"/>
          <w:lang w:val="en-US"/>
        </w:rPr>
        <w:t>QT</w:t>
      </w:r>
      <w:r w:rsidRPr="007B38C0">
        <w:rPr>
          <w:rFonts w:eastAsia="Times New Roman" w:cs="Arial"/>
          <w:bCs/>
          <w:color w:val="000000"/>
          <w:lang w:val="ru-RU"/>
        </w:rPr>
        <w:t xml:space="preserve"> </w:t>
      </w:r>
      <w:r w:rsidRPr="007B38C0">
        <w:rPr>
          <w:rFonts w:eastAsia="Times New Roman" w:cs="Arial"/>
          <w:bCs/>
          <w:color w:val="000000"/>
          <w:lang w:eastAsia="bg-BG"/>
        </w:rPr>
        <w:t xml:space="preserve">интервала и в редки случаи до </w:t>
      </w:r>
      <w:proofErr w:type="spellStart"/>
      <w:r w:rsidRPr="007B38C0">
        <w:rPr>
          <w:rFonts w:eastAsia="Times New Roman" w:cs="Arial"/>
          <w:bCs/>
          <w:i/>
          <w:iCs/>
          <w:color w:val="000000"/>
          <w:lang w:val="en-US"/>
        </w:rPr>
        <w:t>torsades</w:t>
      </w:r>
      <w:proofErr w:type="spellEnd"/>
      <w:r w:rsidRPr="007B38C0">
        <w:rPr>
          <w:rFonts w:eastAsia="Times New Roman" w:cs="Arial"/>
          <w:bCs/>
          <w:i/>
          <w:iCs/>
          <w:color w:val="000000"/>
          <w:lang w:val="ru-RU"/>
        </w:rPr>
        <w:t xml:space="preserve"> </w:t>
      </w:r>
      <w:r w:rsidRPr="007B38C0">
        <w:rPr>
          <w:rFonts w:eastAsia="Times New Roman" w:cs="Arial"/>
          <w:bCs/>
          <w:i/>
          <w:iCs/>
          <w:color w:val="000000"/>
          <w:lang w:val="en-US"/>
        </w:rPr>
        <w:t>d</w:t>
      </w:r>
      <w:r w:rsidRPr="007B38C0">
        <w:rPr>
          <w:rFonts w:eastAsia="Times New Roman" w:cs="Arial"/>
          <w:bCs/>
          <w:i/>
          <w:iCs/>
          <w:color w:val="000000"/>
          <w:u w:val="single"/>
          <w:lang w:val="en-US"/>
        </w:rPr>
        <w:t>e</w:t>
      </w:r>
      <w:r w:rsidRPr="007B38C0">
        <w:rPr>
          <w:rFonts w:eastAsia="Times New Roman" w:cs="Arial"/>
          <w:bCs/>
          <w:i/>
          <w:iCs/>
          <w:color w:val="000000"/>
          <w:u w:val="single"/>
          <w:lang w:val="ru-RU"/>
        </w:rPr>
        <w:t xml:space="preserve"> </w:t>
      </w:r>
      <w:r w:rsidRPr="007B38C0">
        <w:rPr>
          <w:rFonts w:eastAsia="Times New Roman" w:cs="Arial"/>
          <w:bCs/>
          <w:i/>
          <w:iCs/>
          <w:color w:val="000000"/>
          <w:u w:val="single"/>
          <w:lang w:val="en-US"/>
        </w:rPr>
        <w:t>poin</w:t>
      </w:r>
      <w:r w:rsidRPr="007B38C0">
        <w:rPr>
          <w:rFonts w:eastAsia="Times New Roman" w:cs="Arial"/>
          <w:bCs/>
          <w:i/>
          <w:iCs/>
          <w:color w:val="000000"/>
          <w:lang w:val="en-US"/>
        </w:rPr>
        <w:t>tes</w:t>
      </w:r>
      <w:r w:rsidRPr="007B38C0">
        <w:rPr>
          <w:rFonts w:eastAsia="Times New Roman" w:cs="Arial"/>
          <w:bCs/>
          <w:i/>
          <w:iCs/>
          <w:color w:val="000000"/>
          <w:lang w:val="ru-RU"/>
        </w:rPr>
        <w:t xml:space="preserve">. </w:t>
      </w:r>
      <w:r w:rsidRPr="007B38C0">
        <w:rPr>
          <w:rFonts w:eastAsia="Times New Roman" w:cs="Arial"/>
          <w:bCs/>
          <w:color w:val="000000"/>
          <w:lang w:eastAsia="bg-BG"/>
        </w:rPr>
        <w:t>Едновременното приложение на флуконазол и хинидин е противопоказано (вж. точка 4.3).</w:t>
      </w:r>
    </w:p>
    <w:p w14:paraId="03D56199" w14:textId="2C0DE40E" w:rsidR="007B38C0" w:rsidRPr="007B38C0" w:rsidRDefault="007B38C0" w:rsidP="007B38C0">
      <w:pPr>
        <w:rPr>
          <w:rFonts w:eastAsia="Times New Roman" w:cs="Arial"/>
          <w:bCs/>
          <w:color w:val="000000"/>
          <w:lang w:eastAsia="bg-BG"/>
        </w:rPr>
      </w:pPr>
    </w:p>
    <w:p w14:paraId="6D6CD3AD" w14:textId="77777777" w:rsidR="007B38C0" w:rsidRPr="007B38C0" w:rsidRDefault="007B38C0" w:rsidP="007B38C0">
      <w:pPr>
        <w:spacing w:line="240" w:lineRule="auto"/>
        <w:rPr>
          <w:rFonts w:eastAsia="Times New Roman" w:cs="Arial"/>
        </w:rPr>
      </w:pPr>
      <w:r w:rsidRPr="007B38C0">
        <w:rPr>
          <w:rFonts w:eastAsia="Times New Roman" w:cs="Arial"/>
          <w:bCs/>
          <w:color w:val="000000"/>
          <w:u w:val="single"/>
          <w:lang w:eastAsia="bg-BG"/>
        </w:rPr>
        <w:t>Еритромицин: При ед</w:t>
      </w:r>
      <w:r w:rsidRPr="007B38C0">
        <w:rPr>
          <w:rFonts w:eastAsia="Times New Roman" w:cs="Arial"/>
          <w:bCs/>
          <w:color w:val="000000"/>
          <w:lang w:eastAsia="bg-BG"/>
        </w:rPr>
        <w:t xml:space="preserve">новременното приложение на флуконазол с еритромицин се повишава рискът от кардиотоксичност (удължен </w:t>
      </w:r>
      <w:r w:rsidRPr="007B38C0">
        <w:rPr>
          <w:rFonts w:eastAsia="Times New Roman" w:cs="Arial"/>
          <w:bCs/>
          <w:color w:val="000000"/>
          <w:lang w:val="en-US"/>
        </w:rPr>
        <w:t>QT</w:t>
      </w:r>
      <w:r w:rsidRPr="007B38C0">
        <w:rPr>
          <w:rFonts w:eastAsia="Times New Roman" w:cs="Arial"/>
          <w:bCs/>
          <w:color w:val="000000"/>
          <w:lang w:val="ru-RU"/>
        </w:rPr>
        <w:t xml:space="preserve"> </w:t>
      </w:r>
      <w:r w:rsidRPr="007B38C0">
        <w:rPr>
          <w:rFonts w:eastAsia="Times New Roman" w:cs="Arial"/>
          <w:bCs/>
          <w:color w:val="000000"/>
          <w:lang w:eastAsia="bg-BG"/>
        </w:rPr>
        <w:t xml:space="preserve">интервал, </w:t>
      </w:r>
      <w:proofErr w:type="spellStart"/>
      <w:r w:rsidRPr="007B38C0">
        <w:rPr>
          <w:rFonts w:eastAsia="Times New Roman" w:cs="Arial"/>
          <w:bCs/>
          <w:i/>
          <w:iCs/>
          <w:color w:val="000000"/>
          <w:lang w:val="en-US"/>
        </w:rPr>
        <w:t>torsades</w:t>
      </w:r>
      <w:proofErr w:type="spellEnd"/>
      <w:r w:rsidRPr="007B38C0">
        <w:rPr>
          <w:rFonts w:eastAsia="Times New Roman" w:cs="Arial"/>
          <w:bCs/>
          <w:i/>
          <w:iCs/>
          <w:color w:val="000000"/>
          <w:lang w:val="ru-RU"/>
        </w:rPr>
        <w:t xml:space="preserve"> </w:t>
      </w:r>
      <w:r w:rsidRPr="007B38C0">
        <w:rPr>
          <w:rFonts w:eastAsia="Times New Roman" w:cs="Arial"/>
          <w:bCs/>
          <w:i/>
          <w:iCs/>
          <w:color w:val="000000"/>
          <w:lang w:val="en-US"/>
        </w:rPr>
        <w:t>de</w:t>
      </w:r>
      <w:r w:rsidRPr="007B38C0">
        <w:rPr>
          <w:rFonts w:eastAsia="Times New Roman" w:cs="Arial"/>
          <w:bCs/>
          <w:i/>
          <w:iCs/>
          <w:color w:val="000000"/>
          <w:lang w:val="ru-RU"/>
        </w:rPr>
        <w:t xml:space="preserve"> </w:t>
      </w:r>
      <w:r w:rsidRPr="007B38C0">
        <w:rPr>
          <w:rFonts w:eastAsia="Times New Roman" w:cs="Arial"/>
          <w:bCs/>
          <w:i/>
          <w:iCs/>
          <w:color w:val="000000"/>
          <w:lang w:val="en-US"/>
        </w:rPr>
        <w:t>pointes</w:t>
      </w:r>
      <w:r w:rsidRPr="007B38C0">
        <w:rPr>
          <w:rFonts w:eastAsia="Times New Roman" w:cs="Arial"/>
          <w:bCs/>
          <w:i/>
          <w:iCs/>
          <w:color w:val="000000"/>
          <w:lang w:val="ru-RU"/>
        </w:rPr>
        <w:t>)</w:t>
      </w:r>
      <w:r w:rsidRPr="007B38C0">
        <w:rPr>
          <w:rFonts w:eastAsia="Times New Roman" w:cs="Arial"/>
          <w:bCs/>
          <w:color w:val="000000"/>
          <w:lang w:val="ru-RU"/>
        </w:rPr>
        <w:t xml:space="preserve"> </w:t>
      </w:r>
      <w:r w:rsidRPr="007B38C0">
        <w:rPr>
          <w:rFonts w:eastAsia="Times New Roman" w:cs="Arial"/>
          <w:bCs/>
          <w:color w:val="000000"/>
          <w:lang w:eastAsia="bg-BG"/>
        </w:rPr>
        <w:t>и следователно от внезапна сърдечна смърт. Тази комбинация не трябва да се прилага (вж. точка 4.3).</w:t>
      </w:r>
    </w:p>
    <w:p w14:paraId="326B5E53" w14:textId="77777777" w:rsidR="007B38C0" w:rsidRPr="007B38C0" w:rsidRDefault="007B38C0" w:rsidP="007B38C0">
      <w:pPr>
        <w:spacing w:line="240" w:lineRule="auto"/>
        <w:rPr>
          <w:rFonts w:eastAsia="Times New Roman" w:cs="Arial"/>
          <w:bCs/>
          <w:i/>
          <w:iCs/>
          <w:color w:val="000000"/>
          <w:u w:val="single"/>
          <w:lang w:eastAsia="bg-BG"/>
        </w:rPr>
      </w:pPr>
    </w:p>
    <w:p w14:paraId="03018059" w14:textId="4BFC8AF3" w:rsidR="007B38C0" w:rsidRPr="007B38C0" w:rsidRDefault="007B38C0" w:rsidP="007B38C0">
      <w:pPr>
        <w:spacing w:line="240" w:lineRule="auto"/>
        <w:rPr>
          <w:rFonts w:eastAsia="Times New Roman" w:cs="Arial"/>
        </w:rPr>
      </w:pPr>
      <w:r w:rsidRPr="007B38C0">
        <w:rPr>
          <w:rFonts w:eastAsia="Times New Roman" w:cs="Arial"/>
          <w:bCs/>
          <w:i/>
          <w:iCs/>
          <w:color w:val="000000"/>
          <w:u w:val="single"/>
          <w:lang w:eastAsia="bg-BG"/>
        </w:rPr>
        <w:t>Едновременното приложение на следните лекарствени продукти не се препоръчва:</w:t>
      </w:r>
    </w:p>
    <w:p w14:paraId="2EB76077" w14:textId="77777777" w:rsidR="007B38C0" w:rsidRPr="007B38C0" w:rsidRDefault="007B38C0" w:rsidP="007B38C0">
      <w:pPr>
        <w:spacing w:line="240" w:lineRule="auto"/>
        <w:rPr>
          <w:rFonts w:eastAsia="Times New Roman" w:cs="Arial"/>
          <w:bCs/>
          <w:color w:val="000000"/>
          <w:u w:val="single"/>
          <w:lang w:eastAsia="bg-BG"/>
        </w:rPr>
      </w:pPr>
    </w:p>
    <w:p w14:paraId="6BA58A68" w14:textId="25E3C989" w:rsidR="007B38C0" w:rsidRPr="007B38C0" w:rsidRDefault="007B38C0" w:rsidP="007B38C0">
      <w:pPr>
        <w:spacing w:line="240" w:lineRule="auto"/>
        <w:rPr>
          <w:rFonts w:eastAsia="Times New Roman" w:cs="Arial"/>
        </w:rPr>
      </w:pPr>
      <w:r w:rsidRPr="007B38C0">
        <w:rPr>
          <w:rFonts w:eastAsia="Times New Roman" w:cs="Arial"/>
          <w:bCs/>
          <w:color w:val="000000"/>
          <w:u w:val="single"/>
          <w:lang w:eastAsia="bg-BG"/>
        </w:rPr>
        <w:t>Халофантрин:</w:t>
      </w:r>
      <w:r w:rsidRPr="007B38C0">
        <w:rPr>
          <w:rFonts w:eastAsia="Times New Roman" w:cs="Arial"/>
          <w:bCs/>
          <w:color w:val="000000"/>
          <w:lang w:eastAsia="bg-BG"/>
        </w:rPr>
        <w:t xml:space="preserve"> Флуконазол може да повиши плазмената концентрация на халофантрин поради инхибиращ ефект върху </w:t>
      </w:r>
      <w:r w:rsidRPr="007B38C0">
        <w:rPr>
          <w:rFonts w:eastAsia="Times New Roman" w:cs="Arial"/>
          <w:bCs/>
          <w:color w:val="000000"/>
          <w:lang w:val="en-US"/>
        </w:rPr>
        <w:t>CYP</w:t>
      </w:r>
      <w:r w:rsidRPr="007B38C0">
        <w:rPr>
          <w:rFonts w:eastAsia="Times New Roman" w:cs="Arial"/>
          <w:bCs/>
          <w:color w:val="000000"/>
          <w:lang w:val="ru-RU"/>
        </w:rPr>
        <w:t>3</w:t>
      </w:r>
      <w:r w:rsidRPr="007B38C0">
        <w:rPr>
          <w:rFonts w:eastAsia="Times New Roman" w:cs="Arial"/>
          <w:bCs/>
          <w:color w:val="000000"/>
          <w:lang w:eastAsia="bg-BG"/>
        </w:rPr>
        <w:t xml:space="preserve">А4. При едновременното приложение на флуконазол с халофантрин се повишава рискът от кардиотоксичност (удължен </w:t>
      </w:r>
      <w:r w:rsidRPr="007B38C0">
        <w:rPr>
          <w:rFonts w:eastAsia="Times New Roman" w:cs="Arial"/>
          <w:bCs/>
          <w:color w:val="000000"/>
          <w:lang w:val="en-US"/>
        </w:rPr>
        <w:t>QT</w:t>
      </w:r>
      <w:r w:rsidRPr="007B38C0">
        <w:rPr>
          <w:rFonts w:eastAsia="Times New Roman" w:cs="Arial"/>
          <w:bCs/>
          <w:color w:val="000000"/>
          <w:lang w:val="ru-RU"/>
        </w:rPr>
        <w:t xml:space="preserve"> </w:t>
      </w:r>
      <w:r w:rsidRPr="007B38C0">
        <w:rPr>
          <w:rFonts w:eastAsia="Times New Roman" w:cs="Arial"/>
          <w:bCs/>
          <w:color w:val="000000"/>
          <w:lang w:eastAsia="bg-BG"/>
        </w:rPr>
        <w:t xml:space="preserve">интервал, </w:t>
      </w:r>
      <w:proofErr w:type="spellStart"/>
      <w:r w:rsidRPr="007B38C0">
        <w:rPr>
          <w:rFonts w:eastAsia="Times New Roman" w:cs="Arial"/>
          <w:bCs/>
          <w:i/>
          <w:iCs/>
          <w:color w:val="000000"/>
          <w:lang w:val="en-US"/>
        </w:rPr>
        <w:t>torsades</w:t>
      </w:r>
      <w:proofErr w:type="spellEnd"/>
      <w:r w:rsidRPr="007B38C0">
        <w:rPr>
          <w:rFonts w:eastAsia="Times New Roman" w:cs="Arial"/>
          <w:bCs/>
          <w:i/>
          <w:iCs/>
          <w:color w:val="000000"/>
          <w:lang w:val="ru-RU"/>
        </w:rPr>
        <w:t xml:space="preserve"> </w:t>
      </w:r>
      <w:r w:rsidRPr="007B38C0">
        <w:rPr>
          <w:rFonts w:eastAsia="Times New Roman" w:cs="Arial"/>
          <w:bCs/>
          <w:i/>
          <w:iCs/>
          <w:color w:val="000000"/>
          <w:lang w:val="en-US"/>
        </w:rPr>
        <w:t>de</w:t>
      </w:r>
      <w:r w:rsidRPr="007B38C0">
        <w:rPr>
          <w:rFonts w:eastAsia="Times New Roman" w:cs="Arial"/>
          <w:bCs/>
          <w:i/>
          <w:iCs/>
          <w:color w:val="000000"/>
          <w:lang w:val="ru-RU"/>
        </w:rPr>
        <w:t xml:space="preserve"> </w:t>
      </w:r>
      <w:r w:rsidRPr="007B38C0">
        <w:rPr>
          <w:rFonts w:eastAsia="Times New Roman" w:cs="Arial"/>
          <w:bCs/>
          <w:i/>
          <w:iCs/>
          <w:color w:val="000000"/>
          <w:lang w:val="en-US"/>
        </w:rPr>
        <w:t>pointes</w:t>
      </w:r>
      <w:r w:rsidRPr="007B38C0">
        <w:rPr>
          <w:rFonts w:eastAsia="Times New Roman" w:cs="Arial"/>
          <w:bCs/>
          <w:i/>
          <w:iCs/>
          <w:color w:val="000000"/>
          <w:lang w:val="ru-RU"/>
        </w:rPr>
        <w:t>)</w:t>
      </w:r>
      <w:r w:rsidRPr="007B38C0">
        <w:rPr>
          <w:rFonts w:eastAsia="Times New Roman" w:cs="Arial"/>
          <w:bCs/>
          <w:color w:val="000000"/>
          <w:lang w:val="ru-RU"/>
        </w:rPr>
        <w:t xml:space="preserve"> </w:t>
      </w:r>
      <w:r w:rsidRPr="007B38C0">
        <w:rPr>
          <w:rFonts w:eastAsia="Times New Roman" w:cs="Arial"/>
          <w:bCs/>
          <w:color w:val="000000"/>
          <w:lang w:eastAsia="bg-BG"/>
        </w:rPr>
        <w:t>и следователно от внезапна сърдечна смърт. Тази комбинация не трябва да се прилага (вж. точка 4.3).</w:t>
      </w:r>
    </w:p>
    <w:p w14:paraId="037E788F" w14:textId="77777777" w:rsidR="007B38C0" w:rsidRPr="007B38C0" w:rsidRDefault="007B38C0" w:rsidP="007B38C0">
      <w:pPr>
        <w:spacing w:line="240" w:lineRule="auto"/>
        <w:rPr>
          <w:rFonts w:eastAsia="Times New Roman" w:cs="Arial"/>
          <w:bCs/>
          <w:color w:val="000000"/>
          <w:u w:val="single"/>
          <w:lang w:eastAsia="bg-BG"/>
        </w:rPr>
      </w:pPr>
    </w:p>
    <w:p w14:paraId="48BB9AD7" w14:textId="5FACCE98" w:rsidR="007B38C0" w:rsidRPr="007B38C0" w:rsidRDefault="007B38C0" w:rsidP="007B38C0">
      <w:pPr>
        <w:spacing w:line="240" w:lineRule="auto"/>
        <w:rPr>
          <w:rFonts w:eastAsia="Times New Roman" w:cs="Arial"/>
        </w:rPr>
      </w:pPr>
      <w:r w:rsidRPr="007B38C0">
        <w:rPr>
          <w:rFonts w:eastAsia="Times New Roman" w:cs="Arial"/>
          <w:bCs/>
          <w:color w:val="000000"/>
          <w:u w:val="single"/>
          <w:lang w:eastAsia="bg-BG"/>
        </w:rPr>
        <w:t>Амиодарон: Е</w:t>
      </w:r>
      <w:r w:rsidRPr="007B38C0">
        <w:rPr>
          <w:rFonts w:eastAsia="Times New Roman" w:cs="Arial"/>
          <w:bCs/>
          <w:color w:val="000000"/>
          <w:lang w:eastAsia="bg-BG"/>
        </w:rPr>
        <w:t xml:space="preserve">дновременното приложение на флуконазол с амиодарон може да доведе до удължаване на </w:t>
      </w:r>
      <w:r w:rsidRPr="007B38C0">
        <w:rPr>
          <w:rFonts w:eastAsia="Times New Roman" w:cs="Arial"/>
          <w:bCs/>
          <w:color w:val="000000"/>
          <w:lang w:val="en-US"/>
        </w:rPr>
        <w:t>QT</w:t>
      </w:r>
      <w:r w:rsidRPr="007B38C0">
        <w:rPr>
          <w:rFonts w:eastAsia="Times New Roman" w:cs="Arial"/>
          <w:bCs/>
          <w:color w:val="000000"/>
          <w:lang w:val="ru-RU"/>
        </w:rPr>
        <w:t xml:space="preserve"> </w:t>
      </w:r>
      <w:r w:rsidRPr="007B38C0">
        <w:rPr>
          <w:rFonts w:eastAsia="Times New Roman" w:cs="Arial"/>
          <w:bCs/>
          <w:color w:val="000000"/>
          <w:lang w:eastAsia="bg-BG"/>
        </w:rPr>
        <w:t xml:space="preserve">интервала. Ето защо, трябва да се внимава, когато двете лекарства се комбинират, особено при висока доза флуконазол (800 </w:t>
      </w:r>
      <w:r w:rsidRPr="007B38C0">
        <w:rPr>
          <w:rFonts w:eastAsia="Times New Roman" w:cs="Arial"/>
          <w:bCs/>
          <w:color w:val="000000"/>
          <w:lang w:val="en-US"/>
        </w:rPr>
        <w:t>mg</w:t>
      </w:r>
      <w:r w:rsidRPr="007B38C0">
        <w:rPr>
          <w:rFonts w:eastAsia="Times New Roman" w:cs="Arial"/>
          <w:bCs/>
          <w:color w:val="000000"/>
          <w:lang w:val="ru-RU"/>
        </w:rPr>
        <w:t>).</w:t>
      </w:r>
    </w:p>
    <w:p w14:paraId="2C234222" w14:textId="77777777" w:rsidR="007B38C0" w:rsidRPr="007B38C0" w:rsidRDefault="007B38C0" w:rsidP="007B38C0">
      <w:pPr>
        <w:spacing w:line="240" w:lineRule="auto"/>
        <w:rPr>
          <w:rFonts w:eastAsia="Times New Roman" w:cs="Arial"/>
          <w:bCs/>
          <w:i/>
          <w:iCs/>
          <w:color w:val="000000"/>
          <w:u w:val="single"/>
          <w:lang w:eastAsia="bg-BG"/>
        </w:rPr>
      </w:pPr>
    </w:p>
    <w:p w14:paraId="602FF99A" w14:textId="648A63CB" w:rsidR="007B38C0" w:rsidRPr="007B38C0" w:rsidRDefault="007B38C0" w:rsidP="007B38C0">
      <w:pPr>
        <w:spacing w:line="240" w:lineRule="auto"/>
        <w:rPr>
          <w:rFonts w:eastAsia="Times New Roman" w:cs="Arial"/>
        </w:rPr>
      </w:pPr>
      <w:r w:rsidRPr="007B38C0">
        <w:rPr>
          <w:rFonts w:eastAsia="Times New Roman" w:cs="Arial"/>
          <w:bCs/>
          <w:i/>
          <w:iCs/>
          <w:color w:val="000000"/>
          <w:u w:val="single"/>
          <w:lang w:eastAsia="bg-BG"/>
        </w:rPr>
        <w:t>При едновременното прилагане на следните лекарствени продукти е необходимо да се предприемат предпазни мерки или да се коригира дозата</w:t>
      </w:r>
    </w:p>
    <w:p w14:paraId="33ABE559" w14:textId="77777777" w:rsidR="007B38C0" w:rsidRPr="007B38C0" w:rsidRDefault="007B38C0" w:rsidP="007B38C0">
      <w:pPr>
        <w:spacing w:line="240" w:lineRule="auto"/>
        <w:rPr>
          <w:rFonts w:eastAsia="Times New Roman" w:cs="Arial"/>
          <w:bCs/>
          <w:i/>
          <w:iCs/>
          <w:color w:val="000000"/>
          <w:u w:val="single"/>
          <w:lang w:eastAsia="bg-BG"/>
        </w:rPr>
      </w:pPr>
    </w:p>
    <w:p w14:paraId="2B877E6F" w14:textId="67FEC3D6" w:rsidR="007B38C0" w:rsidRPr="007B38C0" w:rsidRDefault="007B38C0" w:rsidP="007B38C0">
      <w:pPr>
        <w:spacing w:line="240" w:lineRule="auto"/>
        <w:rPr>
          <w:rFonts w:eastAsia="Times New Roman" w:cs="Arial"/>
        </w:rPr>
      </w:pPr>
      <w:r w:rsidRPr="007B38C0">
        <w:rPr>
          <w:rFonts w:eastAsia="Times New Roman" w:cs="Arial"/>
          <w:bCs/>
          <w:i/>
          <w:iCs/>
          <w:color w:val="000000"/>
          <w:u w:val="single"/>
          <w:lang w:eastAsia="bg-BG"/>
        </w:rPr>
        <w:t>Ефект на други лекарствени продукти върху флуконазол</w:t>
      </w:r>
    </w:p>
    <w:p w14:paraId="05855AF3" w14:textId="77777777" w:rsidR="007B38C0" w:rsidRPr="007B38C0" w:rsidRDefault="007B38C0" w:rsidP="007B38C0">
      <w:pPr>
        <w:spacing w:line="240" w:lineRule="auto"/>
        <w:rPr>
          <w:rFonts w:eastAsia="Times New Roman" w:cs="Arial"/>
          <w:bCs/>
          <w:color w:val="000000"/>
          <w:u w:val="single"/>
          <w:lang w:eastAsia="bg-BG"/>
        </w:rPr>
      </w:pPr>
    </w:p>
    <w:p w14:paraId="080A3AF9" w14:textId="4851CF2A" w:rsidR="007B38C0" w:rsidRPr="007B38C0" w:rsidRDefault="007B38C0" w:rsidP="007B38C0">
      <w:pPr>
        <w:spacing w:line="240" w:lineRule="auto"/>
        <w:rPr>
          <w:rFonts w:eastAsia="Times New Roman" w:cs="Arial"/>
        </w:rPr>
      </w:pPr>
      <w:r w:rsidRPr="007B38C0">
        <w:rPr>
          <w:rFonts w:eastAsia="Times New Roman" w:cs="Arial"/>
          <w:bCs/>
          <w:color w:val="000000"/>
          <w:u w:val="single"/>
          <w:lang w:eastAsia="bg-BG"/>
        </w:rPr>
        <w:t>Рифампицин:</w:t>
      </w:r>
      <w:r w:rsidRPr="007B38C0">
        <w:rPr>
          <w:rFonts w:eastAsia="Times New Roman" w:cs="Arial"/>
          <w:bCs/>
          <w:color w:val="000000"/>
          <w:lang w:eastAsia="bg-BG"/>
        </w:rPr>
        <w:t xml:space="preserve"> Едновременното приложение на флуконазол и рифампицин е довело до намаляване на площта под кривата с 25% и скъсяване на полуживота на флуконазол с 20%. При пациенти, които получават едновременно рифампицин и флуконазол, трябва да се обмисли повишаване на дозата на флуконазол.</w:t>
      </w:r>
    </w:p>
    <w:p w14:paraId="0B852359" w14:textId="77777777" w:rsidR="007B38C0" w:rsidRPr="007B38C0" w:rsidRDefault="007B38C0" w:rsidP="007B38C0">
      <w:pPr>
        <w:spacing w:line="240" w:lineRule="auto"/>
        <w:rPr>
          <w:rFonts w:eastAsia="Times New Roman" w:cs="Arial"/>
        </w:rPr>
      </w:pPr>
      <w:r w:rsidRPr="007B38C0">
        <w:rPr>
          <w:rFonts w:eastAsia="Times New Roman" w:cs="Arial"/>
          <w:bCs/>
          <w:color w:val="000000"/>
          <w:lang w:eastAsia="bg-BG"/>
        </w:rPr>
        <w:t>Проучвания за взаимодействия показват, че когато флуконазол се приема перорално с храна, циметидин, антиациди или след лъчетерапия при костно-мозъчна трансплантация абсорбцията му не се повлиява клинично значимо.</w:t>
      </w:r>
    </w:p>
    <w:p w14:paraId="6FA5D7B9" w14:textId="77777777" w:rsidR="007B38C0" w:rsidRPr="007B38C0" w:rsidRDefault="007B38C0" w:rsidP="007B38C0">
      <w:pPr>
        <w:spacing w:line="240" w:lineRule="auto"/>
        <w:rPr>
          <w:rFonts w:eastAsia="Times New Roman" w:cs="Arial"/>
          <w:bCs/>
          <w:color w:val="000000"/>
          <w:u w:val="single"/>
          <w:lang w:eastAsia="bg-BG"/>
        </w:rPr>
      </w:pPr>
    </w:p>
    <w:p w14:paraId="0DA9CC5A" w14:textId="7F54B4B7" w:rsidR="007B38C0" w:rsidRPr="007B38C0" w:rsidRDefault="007B38C0" w:rsidP="007B38C0">
      <w:pPr>
        <w:spacing w:line="240" w:lineRule="auto"/>
        <w:rPr>
          <w:rFonts w:eastAsia="Times New Roman" w:cs="Arial"/>
        </w:rPr>
      </w:pPr>
      <w:r w:rsidRPr="007B38C0">
        <w:rPr>
          <w:rFonts w:eastAsia="Times New Roman" w:cs="Arial"/>
          <w:bCs/>
          <w:color w:val="000000"/>
          <w:u w:val="single"/>
          <w:lang w:eastAsia="bg-BG"/>
        </w:rPr>
        <w:t>Хидрохлоротиазид: В</w:t>
      </w:r>
      <w:r w:rsidRPr="007B38C0">
        <w:rPr>
          <w:rFonts w:eastAsia="Times New Roman" w:cs="Arial"/>
          <w:bCs/>
          <w:color w:val="000000"/>
          <w:lang w:eastAsia="bg-BG"/>
        </w:rPr>
        <w:t>ъв фармакокинетично проучване за взаимодействие, при едновременно многократно прилагане на хидрохлоротиазид на здрави доброволци, приемащи флуконазол, плазмената концентрация на флуконазол се повишава с 40%. При пациенти, приемащи съпътстваща терапия с диуретици, ефект от такава величина не изисква промяна в дозировката на флуконазол.</w:t>
      </w:r>
    </w:p>
    <w:p w14:paraId="221367B0" w14:textId="77777777" w:rsidR="007B38C0" w:rsidRPr="007B38C0" w:rsidRDefault="007B38C0" w:rsidP="007B38C0">
      <w:pPr>
        <w:spacing w:line="240" w:lineRule="auto"/>
        <w:rPr>
          <w:rFonts w:eastAsia="Times New Roman" w:cs="Arial"/>
          <w:bCs/>
          <w:i/>
          <w:iCs/>
          <w:color w:val="000000"/>
          <w:u w:val="single"/>
          <w:lang w:eastAsia="bg-BG"/>
        </w:rPr>
      </w:pPr>
    </w:p>
    <w:p w14:paraId="461142F4" w14:textId="31DA62F7" w:rsidR="007B38C0" w:rsidRPr="007B38C0" w:rsidRDefault="007B38C0" w:rsidP="007B38C0">
      <w:pPr>
        <w:spacing w:line="240" w:lineRule="auto"/>
        <w:rPr>
          <w:rFonts w:eastAsia="Times New Roman" w:cs="Arial"/>
        </w:rPr>
      </w:pPr>
      <w:r w:rsidRPr="007B38C0">
        <w:rPr>
          <w:rFonts w:eastAsia="Times New Roman" w:cs="Arial"/>
          <w:bCs/>
          <w:i/>
          <w:iCs/>
          <w:color w:val="000000"/>
          <w:u w:val="single"/>
          <w:lang w:eastAsia="bg-BG"/>
        </w:rPr>
        <w:t>Ефект на флуконазол върху други лекарствени продукти</w:t>
      </w:r>
    </w:p>
    <w:p w14:paraId="35BBC3D6" w14:textId="77777777" w:rsidR="007B38C0" w:rsidRPr="007B38C0" w:rsidRDefault="007B38C0" w:rsidP="007B38C0">
      <w:pPr>
        <w:spacing w:line="240" w:lineRule="auto"/>
        <w:rPr>
          <w:rFonts w:eastAsia="Times New Roman" w:cs="Arial"/>
          <w:bCs/>
          <w:color w:val="000000"/>
          <w:lang w:eastAsia="bg-BG"/>
        </w:rPr>
      </w:pPr>
    </w:p>
    <w:p w14:paraId="1F427591" w14:textId="5D7D94A1" w:rsidR="007B38C0" w:rsidRPr="007B38C0" w:rsidRDefault="007B38C0" w:rsidP="007B38C0">
      <w:pPr>
        <w:spacing w:line="240" w:lineRule="auto"/>
        <w:rPr>
          <w:rFonts w:eastAsia="Times New Roman" w:cs="Arial"/>
        </w:rPr>
      </w:pPr>
      <w:r w:rsidRPr="007B38C0">
        <w:rPr>
          <w:rFonts w:eastAsia="Times New Roman" w:cs="Arial"/>
          <w:bCs/>
          <w:color w:val="000000"/>
          <w:lang w:eastAsia="bg-BG"/>
        </w:rPr>
        <w:t xml:space="preserve">Флуконазол е мощен </w:t>
      </w:r>
      <w:r w:rsidRPr="007B38C0">
        <w:rPr>
          <w:rFonts w:eastAsia="Times New Roman" w:cs="Arial"/>
          <w:bCs/>
          <w:color w:val="000000"/>
          <w:lang w:val="en-US"/>
        </w:rPr>
        <w:t>CYP</w:t>
      </w:r>
      <w:r w:rsidRPr="007B38C0">
        <w:rPr>
          <w:rFonts w:eastAsia="Times New Roman" w:cs="Arial"/>
          <w:bCs/>
          <w:color w:val="000000"/>
          <w:lang w:val="ru-RU"/>
        </w:rPr>
        <w:t>2</w:t>
      </w:r>
      <w:r w:rsidRPr="007B38C0">
        <w:rPr>
          <w:rFonts w:eastAsia="Times New Roman" w:cs="Arial"/>
          <w:bCs/>
          <w:color w:val="000000"/>
          <w:lang w:val="en-US"/>
        </w:rPr>
        <w:t>C</w:t>
      </w:r>
      <w:r w:rsidRPr="007B38C0">
        <w:rPr>
          <w:rFonts w:eastAsia="Times New Roman" w:cs="Arial"/>
          <w:bCs/>
          <w:color w:val="000000"/>
          <w:lang w:val="ru-RU"/>
        </w:rPr>
        <w:t xml:space="preserve">9 </w:t>
      </w:r>
      <w:r w:rsidRPr="007B38C0">
        <w:rPr>
          <w:rFonts w:eastAsia="Times New Roman" w:cs="Arial"/>
          <w:bCs/>
          <w:color w:val="000000"/>
          <w:lang w:eastAsia="bg-BG"/>
        </w:rPr>
        <w:t xml:space="preserve">инхибитор и умерен </w:t>
      </w:r>
      <w:r w:rsidRPr="007B38C0">
        <w:rPr>
          <w:rFonts w:eastAsia="Times New Roman" w:cs="Arial"/>
          <w:bCs/>
          <w:color w:val="000000"/>
          <w:lang w:val="en-US"/>
        </w:rPr>
        <w:t>CYP</w:t>
      </w:r>
      <w:r w:rsidRPr="007B38C0">
        <w:rPr>
          <w:rFonts w:eastAsia="Times New Roman" w:cs="Arial"/>
          <w:bCs/>
          <w:color w:val="000000"/>
          <w:lang w:val="ru-RU"/>
        </w:rPr>
        <w:t>3</w:t>
      </w:r>
      <w:r w:rsidRPr="007B38C0">
        <w:rPr>
          <w:rFonts w:eastAsia="Times New Roman" w:cs="Arial"/>
          <w:bCs/>
          <w:color w:val="000000"/>
          <w:lang w:val="en-US"/>
        </w:rPr>
        <w:t>A</w:t>
      </w:r>
      <w:r w:rsidRPr="007B38C0">
        <w:rPr>
          <w:rFonts w:eastAsia="Times New Roman" w:cs="Arial"/>
          <w:bCs/>
          <w:color w:val="000000"/>
          <w:lang w:val="ru-RU"/>
        </w:rPr>
        <w:t xml:space="preserve">4 </w:t>
      </w:r>
      <w:r w:rsidRPr="007B38C0">
        <w:rPr>
          <w:rFonts w:eastAsia="Times New Roman" w:cs="Arial"/>
          <w:bCs/>
          <w:color w:val="000000"/>
          <w:lang w:eastAsia="bg-BG"/>
        </w:rPr>
        <w:t xml:space="preserve">инхибитор. Флуконазол е инхибитор и на </w:t>
      </w:r>
      <w:r w:rsidRPr="007B38C0">
        <w:rPr>
          <w:rFonts w:eastAsia="Times New Roman" w:cs="Arial"/>
          <w:bCs/>
          <w:color w:val="000000"/>
          <w:lang w:val="en-US"/>
        </w:rPr>
        <w:t>CYP</w:t>
      </w:r>
      <w:r w:rsidRPr="007B38C0">
        <w:rPr>
          <w:rFonts w:eastAsia="Times New Roman" w:cs="Arial"/>
          <w:bCs/>
          <w:color w:val="000000"/>
          <w:lang w:val="ru-RU"/>
        </w:rPr>
        <w:t>2</w:t>
      </w:r>
      <w:r w:rsidRPr="007B38C0">
        <w:rPr>
          <w:rFonts w:eastAsia="Times New Roman" w:cs="Arial"/>
          <w:bCs/>
          <w:color w:val="000000"/>
          <w:lang w:val="en-US"/>
        </w:rPr>
        <w:t>C</w:t>
      </w:r>
      <w:r w:rsidRPr="007B38C0">
        <w:rPr>
          <w:rFonts w:eastAsia="Times New Roman" w:cs="Arial"/>
          <w:bCs/>
          <w:color w:val="000000"/>
          <w:lang w:val="ru-RU"/>
        </w:rPr>
        <w:t xml:space="preserve">19. </w:t>
      </w:r>
      <w:r w:rsidRPr="007B38C0">
        <w:rPr>
          <w:rFonts w:eastAsia="Times New Roman" w:cs="Arial"/>
          <w:bCs/>
          <w:color w:val="000000"/>
          <w:lang w:eastAsia="bg-BG"/>
        </w:rPr>
        <w:t xml:space="preserve">В допълнение към наблюдаваните/причислени взаимодействия по- долу съществува риск от повишаване на плазмените концентрации на съединения, които се метаболизират от </w:t>
      </w:r>
      <w:r w:rsidRPr="007B38C0">
        <w:rPr>
          <w:rFonts w:eastAsia="Times New Roman" w:cs="Arial"/>
          <w:bCs/>
          <w:color w:val="000000"/>
          <w:lang w:val="en-US"/>
        </w:rPr>
        <w:t>CYP</w:t>
      </w:r>
      <w:r w:rsidRPr="007B38C0">
        <w:rPr>
          <w:rFonts w:eastAsia="Times New Roman" w:cs="Arial"/>
          <w:bCs/>
          <w:color w:val="000000"/>
          <w:lang w:val="ru-RU"/>
        </w:rPr>
        <w:t>2</w:t>
      </w:r>
      <w:r w:rsidRPr="007B38C0">
        <w:rPr>
          <w:rFonts w:eastAsia="Times New Roman" w:cs="Arial"/>
          <w:bCs/>
          <w:color w:val="000000"/>
          <w:lang w:val="en-US"/>
        </w:rPr>
        <w:t>C</w:t>
      </w:r>
      <w:r w:rsidRPr="007B38C0">
        <w:rPr>
          <w:rFonts w:eastAsia="Times New Roman" w:cs="Arial"/>
          <w:bCs/>
          <w:color w:val="000000"/>
          <w:lang w:val="ru-RU"/>
        </w:rPr>
        <w:t xml:space="preserve">9 </w:t>
      </w:r>
      <w:r w:rsidRPr="007B38C0">
        <w:rPr>
          <w:rFonts w:eastAsia="Times New Roman" w:cs="Arial"/>
          <w:bCs/>
          <w:color w:val="000000"/>
          <w:lang w:eastAsia="bg-BG"/>
        </w:rPr>
        <w:t xml:space="preserve">и </w:t>
      </w:r>
      <w:r w:rsidRPr="007B38C0">
        <w:rPr>
          <w:rFonts w:eastAsia="Times New Roman" w:cs="Arial"/>
          <w:bCs/>
          <w:color w:val="000000"/>
          <w:lang w:val="en-US"/>
        </w:rPr>
        <w:t>CYP</w:t>
      </w:r>
      <w:r w:rsidRPr="007B38C0">
        <w:rPr>
          <w:rFonts w:eastAsia="Times New Roman" w:cs="Arial"/>
          <w:bCs/>
          <w:color w:val="000000"/>
          <w:lang w:val="ru-RU"/>
        </w:rPr>
        <w:t>3</w:t>
      </w:r>
      <w:r w:rsidRPr="007B38C0">
        <w:rPr>
          <w:rFonts w:eastAsia="Times New Roman" w:cs="Arial"/>
          <w:bCs/>
          <w:color w:val="000000"/>
          <w:lang w:val="en-US"/>
        </w:rPr>
        <w:t>A</w:t>
      </w:r>
      <w:r w:rsidRPr="007B38C0">
        <w:rPr>
          <w:rFonts w:eastAsia="Times New Roman" w:cs="Arial"/>
          <w:bCs/>
          <w:color w:val="000000"/>
          <w:lang w:val="ru-RU"/>
        </w:rPr>
        <w:t xml:space="preserve">4 </w:t>
      </w:r>
      <w:r w:rsidRPr="007B38C0">
        <w:rPr>
          <w:rFonts w:eastAsia="Times New Roman" w:cs="Arial"/>
          <w:bCs/>
          <w:color w:val="000000"/>
          <w:lang w:eastAsia="bg-BG"/>
        </w:rPr>
        <w:t>при едновременното им приложение с флуконазол. Изисква се повишено внимание, когато се използват тези комбинации и внимателно мониториране на пациентите. Ензим инхибиторният ефект на флуконазол персистира 4-5 дни след прекратяване на лечението поради дългия плазмен полуживот на флуконазол (вж. точка 4.3).</w:t>
      </w:r>
    </w:p>
    <w:p w14:paraId="0154EB7A" w14:textId="77777777" w:rsidR="007B38C0" w:rsidRPr="007B38C0" w:rsidRDefault="007B38C0" w:rsidP="007B38C0">
      <w:pPr>
        <w:spacing w:line="240" w:lineRule="auto"/>
        <w:rPr>
          <w:rFonts w:eastAsia="Times New Roman" w:cs="Arial"/>
          <w:bCs/>
          <w:color w:val="000000"/>
          <w:u w:val="single"/>
          <w:lang w:eastAsia="bg-BG"/>
        </w:rPr>
      </w:pPr>
    </w:p>
    <w:p w14:paraId="53A4F6DE" w14:textId="114AE58C" w:rsidR="007B38C0" w:rsidRPr="007B38C0" w:rsidRDefault="007B38C0" w:rsidP="007B38C0">
      <w:pPr>
        <w:spacing w:line="240" w:lineRule="auto"/>
        <w:rPr>
          <w:rFonts w:eastAsia="Times New Roman" w:cs="Arial"/>
        </w:rPr>
      </w:pPr>
      <w:r w:rsidRPr="007B38C0">
        <w:rPr>
          <w:rFonts w:eastAsia="Times New Roman" w:cs="Arial"/>
          <w:bCs/>
          <w:color w:val="000000"/>
          <w:u w:val="single"/>
          <w:lang w:eastAsia="bg-BG"/>
        </w:rPr>
        <w:t>Алфентанил:</w:t>
      </w:r>
      <w:r w:rsidRPr="007B38C0">
        <w:rPr>
          <w:rFonts w:eastAsia="Times New Roman" w:cs="Arial"/>
          <w:bCs/>
          <w:color w:val="000000"/>
          <w:lang w:eastAsia="bg-BG"/>
        </w:rPr>
        <w:t xml:space="preserve"> При едновременно приложение на флуконазол 400 </w:t>
      </w:r>
      <w:r w:rsidRPr="007B38C0">
        <w:rPr>
          <w:rFonts w:eastAsia="Times New Roman" w:cs="Arial"/>
          <w:bCs/>
          <w:color w:val="000000"/>
          <w:lang w:val="en-US"/>
        </w:rPr>
        <w:t>mg</w:t>
      </w:r>
      <w:r w:rsidRPr="007B38C0">
        <w:rPr>
          <w:rFonts w:eastAsia="Times New Roman" w:cs="Arial"/>
          <w:bCs/>
          <w:color w:val="000000"/>
          <w:lang w:val="ru-RU"/>
        </w:rPr>
        <w:t xml:space="preserve"> </w:t>
      </w:r>
      <w:r w:rsidRPr="007B38C0">
        <w:rPr>
          <w:rFonts w:eastAsia="Times New Roman" w:cs="Arial"/>
          <w:bCs/>
          <w:color w:val="000000"/>
          <w:lang w:eastAsia="bg-BG"/>
        </w:rPr>
        <w:t>и 20 μ</w:t>
      </w:r>
      <w:r w:rsidRPr="007B38C0">
        <w:rPr>
          <w:rFonts w:eastAsia="Times New Roman" w:cs="Arial"/>
          <w:bCs/>
          <w:color w:val="000000"/>
          <w:lang w:val="en-US"/>
        </w:rPr>
        <w:t>g</w:t>
      </w:r>
      <w:r w:rsidRPr="007B38C0">
        <w:rPr>
          <w:rFonts w:eastAsia="Times New Roman" w:cs="Arial"/>
          <w:bCs/>
          <w:color w:val="000000"/>
          <w:lang w:val="ru-RU"/>
        </w:rPr>
        <w:t>/</w:t>
      </w:r>
      <w:r w:rsidRPr="007B38C0">
        <w:rPr>
          <w:rFonts w:eastAsia="Times New Roman" w:cs="Arial"/>
          <w:bCs/>
          <w:color w:val="000000"/>
          <w:lang w:val="en-US"/>
        </w:rPr>
        <w:t>kg</w:t>
      </w:r>
      <w:r w:rsidRPr="007B38C0">
        <w:rPr>
          <w:rFonts w:eastAsia="Times New Roman" w:cs="Arial"/>
          <w:bCs/>
          <w:color w:val="000000"/>
          <w:lang w:val="ru-RU"/>
        </w:rPr>
        <w:t xml:space="preserve"> </w:t>
      </w:r>
      <w:r w:rsidRPr="007B38C0">
        <w:rPr>
          <w:rFonts w:eastAsia="Times New Roman" w:cs="Arial"/>
          <w:bCs/>
          <w:color w:val="000000"/>
          <w:lang w:eastAsia="bg-BG"/>
        </w:rPr>
        <w:t xml:space="preserve">алфентанил интравенозно на здрави доброволци </w:t>
      </w:r>
      <w:proofErr w:type="spellStart"/>
      <w:r w:rsidRPr="007B38C0">
        <w:rPr>
          <w:rFonts w:eastAsia="Times New Roman" w:cs="Arial"/>
          <w:bCs/>
          <w:color w:val="000000"/>
          <w:lang w:val="en-US"/>
        </w:rPr>
        <w:t>AUCio</w:t>
      </w:r>
      <w:proofErr w:type="spellEnd"/>
      <w:r w:rsidRPr="007B38C0">
        <w:rPr>
          <w:rFonts w:eastAsia="Times New Roman" w:cs="Arial"/>
          <w:bCs/>
          <w:color w:val="000000"/>
          <w:lang w:val="ru-RU"/>
        </w:rPr>
        <w:t xml:space="preserve"> </w:t>
      </w:r>
      <w:r w:rsidRPr="007B38C0">
        <w:rPr>
          <w:rFonts w:eastAsia="Times New Roman" w:cs="Arial"/>
          <w:bCs/>
          <w:color w:val="000000"/>
          <w:lang w:eastAsia="bg-BG"/>
        </w:rPr>
        <w:t xml:space="preserve">на алфентанил се повишава двукратно, възможно поради инхибиране на </w:t>
      </w:r>
      <w:r w:rsidRPr="007B38C0">
        <w:rPr>
          <w:rFonts w:eastAsia="Times New Roman" w:cs="Arial"/>
          <w:bCs/>
          <w:color w:val="000000"/>
          <w:lang w:val="en-US"/>
        </w:rPr>
        <w:t>CYP</w:t>
      </w:r>
      <w:r w:rsidRPr="007B38C0">
        <w:rPr>
          <w:rFonts w:eastAsia="Times New Roman" w:cs="Arial"/>
          <w:bCs/>
          <w:color w:val="000000"/>
          <w:lang w:val="ru-RU"/>
        </w:rPr>
        <w:t>3</w:t>
      </w:r>
      <w:r w:rsidRPr="007B38C0">
        <w:rPr>
          <w:rFonts w:eastAsia="Times New Roman" w:cs="Arial"/>
          <w:bCs/>
          <w:color w:val="000000"/>
          <w:lang w:val="en-US"/>
        </w:rPr>
        <w:t>A</w:t>
      </w:r>
      <w:r w:rsidRPr="007B38C0">
        <w:rPr>
          <w:rFonts w:eastAsia="Times New Roman" w:cs="Arial"/>
          <w:bCs/>
          <w:color w:val="000000"/>
          <w:lang w:val="ru-RU"/>
        </w:rPr>
        <w:t xml:space="preserve">4 </w:t>
      </w:r>
      <w:r w:rsidRPr="007B38C0">
        <w:rPr>
          <w:rFonts w:eastAsia="Times New Roman" w:cs="Arial"/>
          <w:bCs/>
          <w:color w:val="000000"/>
          <w:lang w:eastAsia="bg-BG"/>
        </w:rPr>
        <w:t>от флуконазол. Може да е необходимо адаптиране на дозата на алденафил.</w:t>
      </w:r>
    </w:p>
    <w:p w14:paraId="1815A440" w14:textId="77777777" w:rsidR="007B38C0" w:rsidRPr="007B38C0" w:rsidRDefault="007B38C0" w:rsidP="007B38C0">
      <w:pPr>
        <w:spacing w:line="240" w:lineRule="auto"/>
        <w:rPr>
          <w:rFonts w:eastAsia="Times New Roman" w:cs="Arial"/>
          <w:bCs/>
          <w:color w:val="000000"/>
          <w:u w:val="single"/>
          <w:lang w:eastAsia="bg-BG"/>
        </w:rPr>
      </w:pPr>
    </w:p>
    <w:p w14:paraId="7A9F8F84" w14:textId="5C0E6C05" w:rsidR="007B38C0" w:rsidRPr="007B38C0" w:rsidRDefault="007B38C0" w:rsidP="007B38C0">
      <w:pPr>
        <w:spacing w:line="240" w:lineRule="auto"/>
        <w:rPr>
          <w:rFonts w:eastAsia="Times New Roman" w:cs="Arial"/>
          <w:bCs/>
          <w:color w:val="000000"/>
          <w:lang w:eastAsia="bg-BG"/>
        </w:rPr>
      </w:pPr>
      <w:r w:rsidRPr="007B38C0">
        <w:rPr>
          <w:rFonts w:eastAsia="Times New Roman" w:cs="Arial"/>
          <w:bCs/>
          <w:color w:val="000000"/>
          <w:u w:val="single"/>
          <w:lang w:eastAsia="bg-BG"/>
        </w:rPr>
        <w:t>Амитриптилин. нортриптилин:</w:t>
      </w:r>
      <w:r w:rsidRPr="007B38C0">
        <w:rPr>
          <w:rFonts w:eastAsia="Times New Roman" w:cs="Arial"/>
          <w:bCs/>
          <w:color w:val="000000"/>
          <w:lang w:eastAsia="bg-BG"/>
        </w:rPr>
        <w:t xml:space="preserve"> Флуконазол повишава ефекта на амитриптилин и нортриптилин. 5-нортриптилин и/или </w:t>
      </w:r>
      <w:r w:rsidRPr="007B38C0">
        <w:rPr>
          <w:rFonts w:eastAsia="Times New Roman" w:cs="Arial"/>
          <w:bCs/>
          <w:color w:val="000000"/>
          <w:lang w:val="en-US"/>
        </w:rPr>
        <w:t>S</w:t>
      </w:r>
      <w:r w:rsidRPr="007B38C0">
        <w:rPr>
          <w:rFonts w:eastAsia="Times New Roman" w:cs="Arial"/>
          <w:bCs/>
          <w:color w:val="000000"/>
          <w:lang w:eastAsia="bg-BG"/>
        </w:rPr>
        <w:t>-амитриптилин се определят в началото на комбинираната терапия и една седмица след това. При необходимост дозата на амитриптилин/нортриптилин трябва се адаптира.</w:t>
      </w:r>
    </w:p>
    <w:p w14:paraId="3052DBCD" w14:textId="75C71518" w:rsidR="007B38C0" w:rsidRPr="007B38C0" w:rsidRDefault="007B38C0" w:rsidP="007B38C0">
      <w:pPr>
        <w:spacing w:line="240" w:lineRule="auto"/>
        <w:rPr>
          <w:rFonts w:eastAsia="Times New Roman" w:cs="Arial"/>
          <w:bCs/>
          <w:color w:val="000000"/>
          <w:lang w:eastAsia="bg-BG"/>
        </w:rPr>
      </w:pPr>
    </w:p>
    <w:p w14:paraId="5E23A379" w14:textId="77777777" w:rsidR="007B38C0" w:rsidRPr="007B38C0" w:rsidRDefault="007B38C0" w:rsidP="007B38C0">
      <w:pPr>
        <w:spacing w:line="240" w:lineRule="auto"/>
        <w:rPr>
          <w:rFonts w:eastAsia="Times New Roman" w:cs="Arial"/>
        </w:rPr>
      </w:pPr>
      <w:r w:rsidRPr="007B38C0">
        <w:rPr>
          <w:rFonts w:eastAsia="Times New Roman" w:cs="Arial"/>
          <w:bCs/>
          <w:color w:val="000000"/>
          <w:u w:val="single"/>
          <w:lang w:eastAsia="bg-BG"/>
        </w:rPr>
        <w:t>Лмфотерицин В:</w:t>
      </w:r>
      <w:r w:rsidRPr="007B38C0">
        <w:rPr>
          <w:rFonts w:eastAsia="Times New Roman" w:cs="Arial"/>
          <w:bCs/>
          <w:color w:val="000000"/>
          <w:lang w:eastAsia="bg-BG"/>
        </w:rPr>
        <w:t xml:space="preserve"> Едновременното приложение на флуконазол и амфотерицин В при инфектирани нормални и имуносупресирани мишки показва следните резултати: малък адитивен антимикотичен ефект при системна инфекция с </w:t>
      </w:r>
      <w:r w:rsidRPr="007B38C0">
        <w:rPr>
          <w:rFonts w:eastAsia="Times New Roman" w:cs="Arial"/>
          <w:bCs/>
          <w:i/>
          <w:iCs/>
          <w:color w:val="000000"/>
          <w:lang w:eastAsia="bg-BG"/>
        </w:rPr>
        <w:t xml:space="preserve">С. </w:t>
      </w:r>
      <w:proofErr w:type="spellStart"/>
      <w:proofErr w:type="gramStart"/>
      <w:r w:rsidRPr="007B38C0">
        <w:rPr>
          <w:rFonts w:eastAsia="Times New Roman" w:cs="Arial"/>
          <w:bCs/>
          <w:i/>
          <w:iCs/>
          <w:color w:val="000000"/>
          <w:lang w:val="en-US"/>
        </w:rPr>
        <w:t>albicans</w:t>
      </w:r>
      <w:proofErr w:type="spellEnd"/>
      <w:proofErr w:type="gramEnd"/>
      <w:r w:rsidRPr="007B38C0">
        <w:rPr>
          <w:rFonts w:eastAsia="Times New Roman" w:cs="Arial"/>
          <w:bCs/>
          <w:i/>
          <w:iCs/>
          <w:color w:val="000000"/>
          <w:lang w:val="ru-RU"/>
        </w:rPr>
        <w:t>,</w:t>
      </w:r>
      <w:r w:rsidRPr="007B38C0">
        <w:rPr>
          <w:rFonts w:eastAsia="Times New Roman" w:cs="Arial"/>
          <w:bCs/>
          <w:color w:val="000000"/>
          <w:lang w:val="ru-RU"/>
        </w:rPr>
        <w:t xml:space="preserve"> </w:t>
      </w:r>
      <w:r w:rsidRPr="007B38C0">
        <w:rPr>
          <w:rFonts w:eastAsia="Times New Roman" w:cs="Arial"/>
          <w:bCs/>
          <w:color w:val="000000"/>
          <w:lang w:eastAsia="bg-BG"/>
        </w:rPr>
        <w:t xml:space="preserve">липса на взаимодействие при интракраниална инфекция с </w:t>
      </w:r>
      <w:r w:rsidRPr="007B38C0">
        <w:rPr>
          <w:rFonts w:eastAsia="Times New Roman" w:cs="Arial"/>
          <w:bCs/>
          <w:i/>
          <w:iCs/>
          <w:color w:val="000000"/>
          <w:lang w:val="en-US"/>
        </w:rPr>
        <w:t>Cryptococcus</w:t>
      </w:r>
      <w:r w:rsidRPr="007B38C0">
        <w:rPr>
          <w:rFonts w:eastAsia="Times New Roman" w:cs="Arial"/>
          <w:bCs/>
          <w:i/>
          <w:iCs/>
          <w:color w:val="000000"/>
          <w:lang w:val="ru-RU"/>
        </w:rPr>
        <w:t xml:space="preserve"> </w:t>
      </w:r>
      <w:proofErr w:type="spellStart"/>
      <w:r w:rsidRPr="007B38C0">
        <w:rPr>
          <w:rFonts w:eastAsia="Times New Roman" w:cs="Arial"/>
          <w:bCs/>
          <w:i/>
          <w:iCs/>
          <w:color w:val="000000"/>
          <w:lang w:val="en-US"/>
        </w:rPr>
        <w:t>neoformans</w:t>
      </w:r>
      <w:proofErr w:type="spellEnd"/>
      <w:r w:rsidRPr="007B38C0">
        <w:rPr>
          <w:rFonts w:eastAsia="Times New Roman" w:cs="Arial"/>
          <w:bCs/>
          <w:color w:val="000000"/>
          <w:lang w:val="ru-RU"/>
        </w:rPr>
        <w:t xml:space="preserve"> </w:t>
      </w:r>
      <w:r w:rsidRPr="007B38C0">
        <w:rPr>
          <w:rFonts w:eastAsia="Times New Roman" w:cs="Arial"/>
          <w:bCs/>
          <w:color w:val="000000"/>
          <w:lang w:eastAsia="bg-BG"/>
        </w:rPr>
        <w:t xml:space="preserve">и антагонизъм между двете лекарства при системна инфекция с </w:t>
      </w:r>
      <w:r w:rsidRPr="007B38C0">
        <w:rPr>
          <w:rFonts w:eastAsia="Times New Roman" w:cs="Arial"/>
          <w:bCs/>
          <w:i/>
          <w:iCs/>
          <w:color w:val="000000"/>
          <w:lang w:val="en-US"/>
        </w:rPr>
        <w:t>A</w:t>
      </w:r>
      <w:r w:rsidRPr="007B38C0">
        <w:rPr>
          <w:rFonts w:eastAsia="Times New Roman" w:cs="Arial"/>
          <w:bCs/>
          <w:i/>
          <w:iCs/>
          <w:color w:val="000000"/>
          <w:lang w:val="ru-RU"/>
        </w:rPr>
        <w:t xml:space="preserve">. </w:t>
      </w:r>
      <w:proofErr w:type="spellStart"/>
      <w:r w:rsidRPr="007B38C0">
        <w:rPr>
          <w:rFonts w:eastAsia="Times New Roman" w:cs="Arial"/>
          <w:bCs/>
          <w:i/>
          <w:iCs/>
          <w:color w:val="000000"/>
          <w:lang w:val="en-US"/>
        </w:rPr>
        <w:t>fumigatus</w:t>
      </w:r>
      <w:proofErr w:type="spellEnd"/>
      <w:r w:rsidRPr="007B38C0">
        <w:rPr>
          <w:rFonts w:eastAsia="Times New Roman" w:cs="Arial"/>
          <w:bCs/>
          <w:i/>
          <w:iCs/>
          <w:color w:val="000000"/>
          <w:lang w:val="ru-RU"/>
        </w:rPr>
        <w:t>.</w:t>
      </w:r>
      <w:r w:rsidRPr="007B38C0">
        <w:rPr>
          <w:rFonts w:eastAsia="Times New Roman" w:cs="Arial"/>
          <w:bCs/>
          <w:color w:val="000000"/>
          <w:lang w:val="ru-RU"/>
        </w:rPr>
        <w:t xml:space="preserve"> </w:t>
      </w:r>
      <w:r w:rsidRPr="007B38C0">
        <w:rPr>
          <w:rFonts w:eastAsia="Times New Roman" w:cs="Arial"/>
          <w:bCs/>
          <w:color w:val="000000"/>
          <w:lang w:eastAsia="bg-BG"/>
        </w:rPr>
        <w:t>Клиничната значимост на резултатите, получени от тези проучвания, не е известна.</w:t>
      </w:r>
    </w:p>
    <w:p w14:paraId="41196C75" w14:textId="77777777" w:rsidR="007B38C0" w:rsidRPr="007B38C0" w:rsidRDefault="007B38C0" w:rsidP="007B38C0">
      <w:pPr>
        <w:spacing w:line="240" w:lineRule="auto"/>
        <w:rPr>
          <w:rFonts w:eastAsia="Times New Roman" w:cs="Arial"/>
          <w:bCs/>
          <w:color w:val="000000"/>
          <w:u w:val="single"/>
          <w:lang w:eastAsia="bg-BG"/>
        </w:rPr>
      </w:pPr>
    </w:p>
    <w:p w14:paraId="18432FE0" w14:textId="05985C4B" w:rsidR="007B38C0" w:rsidRPr="007B38C0" w:rsidRDefault="007B38C0" w:rsidP="007B38C0">
      <w:pPr>
        <w:spacing w:line="240" w:lineRule="auto"/>
        <w:rPr>
          <w:rFonts w:eastAsia="Times New Roman" w:cs="Arial"/>
        </w:rPr>
      </w:pPr>
      <w:r w:rsidRPr="007B38C0">
        <w:rPr>
          <w:rFonts w:eastAsia="Times New Roman" w:cs="Arial"/>
          <w:bCs/>
          <w:color w:val="000000"/>
          <w:u w:val="single"/>
          <w:lang w:eastAsia="bg-BG"/>
        </w:rPr>
        <w:t>Антикоагуланти:</w:t>
      </w:r>
      <w:r w:rsidRPr="007B38C0">
        <w:rPr>
          <w:rFonts w:eastAsia="Times New Roman" w:cs="Arial"/>
          <w:bCs/>
          <w:color w:val="000000"/>
          <w:lang w:eastAsia="bg-BG"/>
        </w:rPr>
        <w:t xml:space="preserve"> При постмаркетинговия опит, както и при другите азолови антимикотични средства, са получени съобщения за кървене (суфузии, епистаксис, гастроингестинално кървене, хематурия и мелена), свързани с удължаване на протромбиновото време при пациенти, приемащи едновременно флуконазол и варфарин. При едновременно прилагане на флуконазол с варфарин протромбиновото време се удължава до 2 пъти, поради възможно потискане на метаболизма на варфарин от </w:t>
      </w:r>
      <w:r w:rsidRPr="007B38C0">
        <w:rPr>
          <w:rFonts w:eastAsia="Times New Roman" w:cs="Arial"/>
          <w:bCs/>
          <w:color w:val="000000"/>
          <w:lang w:val="en-US"/>
        </w:rPr>
        <w:t>CYP</w:t>
      </w:r>
      <w:r w:rsidRPr="007B38C0">
        <w:rPr>
          <w:rFonts w:eastAsia="Times New Roman" w:cs="Arial"/>
          <w:bCs/>
          <w:color w:val="000000"/>
          <w:lang w:val="ru-RU"/>
        </w:rPr>
        <w:t>2</w:t>
      </w:r>
      <w:r w:rsidRPr="007B38C0">
        <w:rPr>
          <w:rFonts w:eastAsia="Times New Roman" w:cs="Arial"/>
          <w:bCs/>
          <w:color w:val="000000"/>
          <w:lang w:val="en-US"/>
        </w:rPr>
        <w:t>C</w:t>
      </w:r>
      <w:r w:rsidRPr="007B38C0">
        <w:rPr>
          <w:rFonts w:eastAsia="Times New Roman" w:cs="Arial"/>
          <w:bCs/>
          <w:color w:val="000000"/>
          <w:lang w:val="ru-RU"/>
        </w:rPr>
        <w:t xml:space="preserve">9. </w:t>
      </w:r>
      <w:r w:rsidRPr="007B38C0">
        <w:rPr>
          <w:rFonts w:eastAsia="Times New Roman" w:cs="Arial"/>
          <w:bCs/>
          <w:color w:val="000000"/>
          <w:lang w:eastAsia="bg-BG"/>
        </w:rPr>
        <w:t xml:space="preserve">Протромбиновото </w:t>
      </w:r>
      <w:r w:rsidRPr="007B38C0">
        <w:rPr>
          <w:rFonts w:eastAsia="Times New Roman" w:cs="Arial"/>
          <w:bCs/>
          <w:color w:val="000000"/>
          <w:lang w:eastAsia="bg-BG"/>
        </w:rPr>
        <w:lastRenderedPageBreak/>
        <w:t>време при пациенти, приемащи кумаринов тип антикоагуланти или индандион, трябва да бъде внимателно мониторирано. Може да се наложи адаптиране на дозата на антикоагуланта.</w:t>
      </w:r>
    </w:p>
    <w:p w14:paraId="52B70CEB" w14:textId="77777777" w:rsidR="007B38C0" w:rsidRPr="007B38C0" w:rsidRDefault="007B38C0" w:rsidP="007B38C0">
      <w:pPr>
        <w:spacing w:line="240" w:lineRule="auto"/>
        <w:rPr>
          <w:rFonts w:eastAsia="Times New Roman" w:cs="Arial"/>
          <w:bCs/>
          <w:color w:val="000000"/>
          <w:u w:val="single"/>
          <w:lang w:eastAsia="bg-BG"/>
        </w:rPr>
      </w:pPr>
    </w:p>
    <w:p w14:paraId="649072D3" w14:textId="1460700B" w:rsidR="007B38C0" w:rsidRPr="007B38C0" w:rsidRDefault="007B38C0" w:rsidP="007B38C0">
      <w:pPr>
        <w:spacing w:line="240" w:lineRule="auto"/>
        <w:rPr>
          <w:rFonts w:eastAsia="Times New Roman" w:cs="Arial"/>
        </w:rPr>
      </w:pPr>
      <w:r w:rsidRPr="007B38C0">
        <w:rPr>
          <w:rFonts w:eastAsia="Times New Roman" w:cs="Arial"/>
          <w:bCs/>
          <w:color w:val="000000"/>
          <w:u w:val="single"/>
          <w:lang w:eastAsia="bg-BG"/>
        </w:rPr>
        <w:t>Бензодиазепини (краткодействащи), т.е. мидазолам, триазолам:</w:t>
      </w:r>
      <w:r w:rsidRPr="007B38C0">
        <w:rPr>
          <w:rFonts w:eastAsia="Times New Roman" w:cs="Arial"/>
          <w:bCs/>
          <w:color w:val="000000"/>
          <w:lang w:eastAsia="bg-BG"/>
        </w:rPr>
        <w:t xml:space="preserve"> След перорално приложение на мидазолам флуконазол е довел до значително увеличение на концентрацията на мидазолам и до психомоторни ефекти. Едновременният прием на 200 </w:t>
      </w:r>
      <w:r w:rsidRPr="007B38C0">
        <w:rPr>
          <w:rFonts w:eastAsia="Times New Roman" w:cs="Arial"/>
          <w:bCs/>
          <w:color w:val="000000"/>
          <w:lang w:val="en-US"/>
        </w:rPr>
        <w:t>mg</w:t>
      </w:r>
      <w:r w:rsidRPr="007B38C0">
        <w:rPr>
          <w:rFonts w:eastAsia="Times New Roman" w:cs="Arial"/>
          <w:bCs/>
          <w:color w:val="000000"/>
          <w:lang w:val="ru-RU"/>
        </w:rPr>
        <w:t xml:space="preserve"> </w:t>
      </w:r>
      <w:r w:rsidRPr="007B38C0">
        <w:rPr>
          <w:rFonts w:eastAsia="Times New Roman" w:cs="Arial"/>
          <w:bCs/>
          <w:color w:val="000000"/>
          <w:lang w:eastAsia="bg-BG"/>
        </w:rPr>
        <w:t xml:space="preserve">флуконазол и 7,5 </w:t>
      </w:r>
      <w:r w:rsidRPr="007B38C0">
        <w:rPr>
          <w:rFonts w:eastAsia="Times New Roman" w:cs="Arial"/>
          <w:bCs/>
          <w:color w:val="000000"/>
          <w:lang w:val="en-US"/>
        </w:rPr>
        <w:t>mg</w:t>
      </w:r>
      <w:r w:rsidRPr="007B38C0">
        <w:rPr>
          <w:rFonts w:eastAsia="Times New Roman" w:cs="Arial"/>
          <w:bCs/>
          <w:color w:val="000000"/>
          <w:lang w:val="ru-RU"/>
        </w:rPr>
        <w:t xml:space="preserve"> </w:t>
      </w:r>
      <w:r w:rsidRPr="007B38C0">
        <w:rPr>
          <w:rFonts w:eastAsia="Times New Roman" w:cs="Arial"/>
          <w:bCs/>
          <w:color w:val="000000"/>
          <w:lang w:eastAsia="bg-BG"/>
        </w:rPr>
        <w:t xml:space="preserve">мидазолам перорално повишава </w:t>
      </w:r>
      <w:r w:rsidRPr="007B38C0">
        <w:rPr>
          <w:rFonts w:eastAsia="Times New Roman" w:cs="Arial"/>
          <w:bCs/>
          <w:color w:val="000000"/>
          <w:lang w:val="en-US"/>
        </w:rPr>
        <w:t>AUC</w:t>
      </w:r>
      <w:r w:rsidRPr="007B38C0">
        <w:rPr>
          <w:rFonts w:eastAsia="Times New Roman" w:cs="Arial"/>
          <w:bCs/>
          <w:color w:val="000000"/>
          <w:lang w:val="ru-RU"/>
        </w:rPr>
        <w:t xml:space="preserve"> </w:t>
      </w:r>
      <w:r w:rsidRPr="007B38C0">
        <w:rPr>
          <w:rFonts w:eastAsia="Times New Roman" w:cs="Arial"/>
          <w:bCs/>
          <w:color w:val="000000"/>
          <w:lang w:eastAsia="bg-BG"/>
        </w:rPr>
        <w:t xml:space="preserve">и елиминационния полуживот съответно 3,7 и 2,2 пъти. При едновременен перорален прием на флуконазол 200 </w:t>
      </w:r>
      <w:r w:rsidRPr="007B38C0">
        <w:rPr>
          <w:rFonts w:eastAsia="Times New Roman" w:cs="Arial"/>
          <w:bCs/>
          <w:color w:val="000000"/>
          <w:lang w:val="en-US"/>
        </w:rPr>
        <w:t>mg</w:t>
      </w:r>
      <w:r w:rsidRPr="007B38C0">
        <w:rPr>
          <w:rFonts w:eastAsia="Times New Roman" w:cs="Arial"/>
          <w:bCs/>
          <w:color w:val="000000"/>
          <w:lang w:val="ru-RU"/>
        </w:rPr>
        <w:t xml:space="preserve"> </w:t>
      </w:r>
      <w:r w:rsidRPr="007B38C0">
        <w:rPr>
          <w:rFonts w:eastAsia="Times New Roman" w:cs="Arial"/>
          <w:bCs/>
          <w:color w:val="000000"/>
          <w:lang w:eastAsia="bg-BG"/>
        </w:rPr>
        <w:t xml:space="preserve">дневно и 0,25 </w:t>
      </w:r>
      <w:r w:rsidRPr="007B38C0">
        <w:rPr>
          <w:rFonts w:eastAsia="Times New Roman" w:cs="Arial"/>
          <w:bCs/>
          <w:color w:val="000000"/>
          <w:lang w:val="en-US"/>
        </w:rPr>
        <w:t>mg</w:t>
      </w:r>
      <w:r w:rsidRPr="007B38C0">
        <w:rPr>
          <w:rFonts w:eastAsia="Times New Roman" w:cs="Arial"/>
          <w:bCs/>
          <w:color w:val="000000"/>
          <w:lang w:val="ru-RU"/>
        </w:rPr>
        <w:t xml:space="preserve"> </w:t>
      </w:r>
      <w:r w:rsidRPr="007B38C0">
        <w:rPr>
          <w:rFonts w:eastAsia="Times New Roman" w:cs="Arial"/>
          <w:bCs/>
          <w:color w:val="000000"/>
          <w:lang w:eastAsia="bg-BG"/>
        </w:rPr>
        <w:t xml:space="preserve">триазолам </w:t>
      </w:r>
      <w:r w:rsidRPr="007B38C0">
        <w:rPr>
          <w:rFonts w:eastAsia="Times New Roman" w:cs="Arial"/>
          <w:bCs/>
          <w:color w:val="000000"/>
          <w:lang w:val="en-US"/>
        </w:rPr>
        <w:t>AUC</w:t>
      </w:r>
      <w:r w:rsidRPr="007B38C0">
        <w:rPr>
          <w:rFonts w:eastAsia="Times New Roman" w:cs="Arial"/>
          <w:bCs/>
          <w:color w:val="000000"/>
          <w:lang w:val="ru-RU"/>
        </w:rPr>
        <w:t xml:space="preserve"> </w:t>
      </w:r>
      <w:r w:rsidRPr="007B38C0">
        <w:rPr>
          <w:rFonts w:eastAsia="Times New Roman" w:cs="Arial"/>
          <w:bCs/>
          <w:color w:val="000000"/>
          <w:lang w:eastAsia="bg-BG"/>
        </w:rPr>
        <w:t>и елиминационният живот на триазолам се повишават съответно с 4,4 и 2,3 пъти. По-силен и по- продължителен ефект на триазолам е наблюдаван след едновременен прием с флуконазол. Ако е необходима едновременна терапия с бензодиазепини при пациенти, приемащи флуконазол, трябва да се обмисли понижаване на бензодиазепиновата доза и пациентите трябва да бъдат подходящо мониторирани.</w:t>
      </w:r>
    </w:p>
    <w:p w14:paraId="287758DA" w14:textId="77777777" w:rsidR="007B38C0" w:rsidRPr="007B38C0" w:rsidRDefault="007B38C0" w:rsidP="007B38C0">
      <w:pPr>
        <w:spacing w:line="240" w:lineRule="auto"/>
        <w:rPr>
          <w:rFonts w:eastAsia="Times New Roman" w:cs="Arial"/>
          <w:bCs/>
          <w:color w:val="000000"/>
          <w:u w:val="single"/>
          <w:lang w:eastAsia="bg-BG"/>
        </w:rPr>
      </w:pPr>
    </w:p>
    <w:p w14:paraId="1491E950" w14:textId="537772AE" w:rsidR="007B38C0" w:rsidRPr="007B38C0" w:rsidRDefault="007B38C0" w:rsidP="007B38C0">
      <w:pPr>
        <w:spacing w:line="240" w:lineRule="auto"/>
        <w:rPr>
          <w:rFonts w:eastAsia="Times New Roman" w:cs="Arial"/>
        </w:rPr>
      </w:pPr>
      <w:r w:rsidRPr="007B38C0">
        <w:rPr>
          <w:rFonts w:eastAsia="Times New Roman" w:cs="Arial"/>
          <w:bCs/>
          <w:color w:val="000000"/>
          <w:u w:val="single"/>
          <w:lang w:eastAsia="bg-BG"/>
        </w:rPr>
        <w:t>Карбамазепин:</w:t>
      </w:r>
      <w:r w:rsidRPr="007B38C0">
        <w:rPr>
          <w:rFonts w:eastAsia="Times New Roman" w:cs="Arial"/>
          <w:bCs/>
          <w:color w:val="000000"/>
          <w:lang w:eastAsia="bg-BG"/>
        </w:rPr>
        <w:t xml:space="preserve"> Флуконазол инхибира метаболизма на карбамазепин, като се установява повишаване на плазмения карбамазепин с 30%. Съществува риск от развитие на карбамазепинова токсичност. Може да се наложи адаптиране на дозата на карбамазепин в зависимост от съотношението концентрация/ефект.</w:t>
      </w:r>
    </w:p>
    <w:p w14:paraId="1BE0A681" w14:textId="77777777" w:rsidR="007B38C0" w:rsidRPr="007B38C0" w:rsidRDefault="007B38C0" w:rsidP="007B38C0">
      <w:pPr>
        <w:spacing w:line="240" w:lineRule="auto"/>
        <w:rPr>
          <w:rFonts w:eastAsia="Times New Roman" w:cs="Arial"/>
          <w:bCs/>
          <w:color w:val="000000"/>
          <w:u w:val="single"/>
          <w:lang w:eastAsia="bg-BG"/>
        </w:rPr>
      </w:pPr>
    </w:p>
    <w:p w14:paraId="3CB061AD" w14:textId="63F728AF" w:rsidR="007B38C0" w:rsidRPr="007B38C0" w:rsidRDefault="007B38C0" w:rsidP="007B38C0">
      <w:pPr>
        <w:spacing w:line="240" w:lineRule="auto"/>
        <w:rPr>
          <w:rFonts w:eastAsia="Times New Roman" w:cs="Arial"/>
        </w:rPr>
      </w:pPr>
      <w:r w:rsidRPr="007B38C0">
        <w:rPr>
          <w:rFonts w:eastAsia="Times New Roman" w:cs="Arial"/>
          <w:bCs/>
          <w:color w:val="000000"/>
          <w:u w:val="single"/>
          <w:lang w:eastAsia="bg-BG"/>
        </w:rPr>
        <w:t>Калциеви антагонисти:</w:t>
      </w:r>
      <w:r w:rsidRPr="007B38C0">
        <w:rPr>
          <w:rFonts w:eastAsia="Times New Roman" w:cs="Arial"/>
          <w:bCs/>
          <w:color w:val="000000"/>
          <w:lang w:eastAsia="bg-BG"/>
        </w:rPr>
        <w:t xml:space="preserve"> Някои калциеви антагонисти (нифедипин, израдипин, амлодипин, верапамил и фелодипин) се метаболизират чрез </w:t>
      </w:r>
      <w:r w:rsidRPr="007B38C0">
        <w:rPr>
          <w:rFonts w:eastAsia="Times New Roman" w:cs="Arial"/>
          <w:bCs/>
          <w:color w:val="000000"/>
          <w:lang w:val="en-US"/>
        </w:rPr>
        <w:t>CYP</w:t>
      </w:r>
      <w:r w:rsidRPr="007B38C0">
        <w:rPr>
          <w:rFonts w:eastAsia="Times New Roman" w:cs="Arial"/>
          <w:bCs/>
          <w:color w:val="000000"/>
        </w:rPr>
        <w:t>3</w:t>
      </w:r>
      <w:r w:rsidRPr="007B38C0">
        <w:rPr>
          <w:rFonts w:eastAsia="Times New Roman" w:cs="Arial"/>
          <w:bCs/>
          <w:color w:val="000000"/>
          <w:lang w:val="en-US"/>
        </w:rPr>
        <w:t>A</w:t>
      </w:r>
      <w:r w:rsidRPr="007B38C0">
        <w:rPr>
          <w:rFonts w:eastAsia="Times New Roman" w:cs="Arial"/>
          <w:bCs/>
          <w:color w:val="000000"/>
        </w:rPr>
        <w:t xml:space="preserve">4. </w:t>
      </w:r>
      <w:r w:rsidRPr="007B38C0">
        <w:rPr>
          <w:rFonts w:eastAsia="Times New Roman" w:cs="Arial"/>
          <w:bCs/>
          <w:color w:val="000000"/>
          <w:lang w:eastAsia="bg-BG"/>
        </w:rPr>
        <w:t>Флуконазол има потенциал да повиши системната експозиция на калциевите антагонисти. Препоръчително е често мониториране за нежелани лекарствени реакции.</w:t>
      </w:r>
    </w:p>
    <w:p w14:paraId="2F40CCA2" w14:textId="77777777" w:rsidR="007B38C0" w:rsidRPr="007B38C0" w:rsidRDefault="007B38C0" w:rsidP="007B38C0">
      <w:pPr>
        <w:spacing w:line="240" w:lineRule="auto"/>
        <w:rPr>
          <w:rFonts w:eastAsia="Times New Roman" w:cs="Arial"/>
          <w:bCs/>
          <w:color w:val="000000"/>
          <w:u w:val="single"/>
          <w:lang w:eastAsia="bg-BG"/>
        </w:rPr>
      </w:pPr>
    </w:p>
    <w:p w14:paraId="56C031BE" w14:textId="2FD8E7C9" w:rsidR="007B38C0" w:rsidRPr="007B38C0" w:rsidRDefault="007B38C0" w:rsidP="007B38C0">
      <w:pPr>
        <w:spacing w:line="240" w:lineRule="auto"/>
        <w:rPr>
          <w:rFonts w:eastAsia="Times New Roman" w:cs="Arial"/>
          <w:bCs/>
          <w:color w:val="000000"/>
          <w:lang w:eastAsia="bg-BG"/>
        </w:rPr>
      </w:pPr>
      <w:r w:rsidRPr="007B38C0">
        <w:rPr>
          <w:rFonts w:eastAsia="Times New Roman" w:cs="Arial"/>
          <w:bCs/>
          <w:color w:val="000000"/>
          <w:u w:val="single"/>
          <w:lang w:eastAsia="bg-BG"/>
        </w:rPr>
        <w:t>Целекоксиб:</w:t>
      </w:r>
      <w:r w:rsidRPr="007B38C0">
        <w:rPr>
          <w:rFonts w:eastAsia="Times New Roman" w:cs="Arial"/>
          <w:bCs/>
          <w:color w:val="000000"/>
          <w:lang w:eastAsia="bg-BG"/>
        </w:rPr>
        <w:t xml:space="preserve"> По време на едновременното приложение на флуконазол (200 </w:t>
      </w:r>
      <w:r w:rsidRPr="007B38C0">
        <w:rPr>
          <w:rFonts w:eastAsia="Times New Roman" w:cs="Arial"/>
          <w:bCs/>
          <w:color w:val="000000"/>
          <w:lang w:val="en-US"/>
        </w:rPr>
        <w:t>mg</w:t>
      </w:r>
      <w:r w:rsidRPr="007B38C0">
        <w:rPr>
          <w:rFonts w:eastAsia="Times New Roman" w:cs="Arial"/>
          <w:bCs/>
          <w:color w:val="000000"/>
          <w:lang w:val="ru-RU"/>
        </w:rPr>
        <w:t xml:space="preserve"> </w:t>
      </w:r>
      <w:r w:rsidRPr="007B38C0">
        <w:rPr>
          <w:rFonts w:eastAsia="Times New Roman" w:cs="Arial"/>
          <w:bCs/>
          <w:color w:val="000000"/>
          <w:lang w:eastAsia="bg-BG"/>
        </w:rPr>
        <w:t xml:space="preserve">дневно) и целекоксиб (200 </w:t>
      </w:r>
      <w:r w:rsidRPr="007B38C0">
        <w:rPr>
          <w:rFonts w:eastAsia="Times New Roman" w:cs="Arial"/>
          <w:bCs/>
          <w:color w:val="000000"/>
          <w:lang w:val="en-US"/>
        </w:rPr>
        <w:t>mg</w:t>
      </w:r>
      <w:r w:rsidRPr="007B38C0">
        <w:rPr>
          <w:rFonts w:eastAsia="Times New Roman" w:cs="Arial"/>
          <w:bCs/>
          <w:color w:val="000000"/>
          <w:lang w:val="ru-RU"/>
        </w:rPr>
        <w:t xml:space="preserve">) </w:t>
      </w:r>
      <w:r w:rsidRPr="007B38C0">
        <w:rPr>
          <w:rFonts w:eastAsia="Times New Roman" w:cs="Arial"/>
          <w:bCs/>
          <w:color w:val="000000"/>
          <w:lang w:eastAsia="bg-BG"/>
        </w:rPr>
        <w:t xml:space="preserve">Стлах и </w:t>
      </w:r>
      <w:r w:rsidRPr="007B38C0">
        <w:rPr>
          <w:rFonts w:eastAsia="Times New Roman" w:cs="Arial"/>
          <w:bCs/>
          <w:color w:val="000000"/>
          <w:lang w:val="en-US"/>
        </w:rPr>
        <w:t>AUC</w:t>
      </w:r>
      <w:r w:rsidRPr="007B38C0">
        <w:rPr>
          <w:rFonts w:eastAsia="Times New Roman" w:cs="Arial"/>
          <w:bCs/>
          <w:color w:val="000000"/>
          <w:lang w:val="ru-RU"/>
        </w:rPr>
        <w:t xml:space="preserve"> </w:t>
      </w:r>
      <w:r w:rsidRPr="007B38C0">
        <w:rPr>
          <w:rFonts w:eastAsia="Times New Roman" w:cs="Arial"/>
          <w:bCs/>
          <w:color w:val="000000"/>
          <w:lang w:eastAsia="bg-BG"/>
        </w:rPr>
        <w:t xml:space="preserve">на целекоксиб се повишава с 68% и 134% съответно. Може да е необходимо </w:t>
      </w:r>
    </w:p>
    <w:p w14:paraId="55A00BDA" w14:textId="5353F3E3" w:rsidR="007B38C0" w:rsidRPr="007B38C0" w:rsidRDefault="007B38C0" w:rsidP="007B38C0">
      <w:pPr>
        <w:spacing w:line="240" w:lineRule="auto"/>
        <w:rPr>
          <w:rFonts w:eastAsia="Times New Roman" w:cs="Arial"/>
        </w:rPr>
      </w:pPr>
      <w:r w:rsidRPr="007B38C0">
        <w:rPr>
          <w:rFonts w:eastAsia="Times New Roman" w:cs="Arial"/>
          <w:bCs/>
          <w:color w:val="000000"/>
          <w:lang w:eastAsia="bg-BG"/>
        </w:rPr>
        <w:t>понижаване на дозата на целекоксиб наполовина, когато се комбинира с флуконазол.</w:t>
      </w:r>
    </w:p>
    <w:p w14:paraId="2B1716F8" w14:textId="77777777" w:rsidR="007B38C0" w:rsidRPr="007B38C0" w:rsidRDefault="007B38C0" w:rsidP="007B38C0">
      <w:pPr>
        <w:spacing w:line="240" w:lineRule="auto"/>
        <w:rPr>
          <w:rFonts w:eastAsia="Times New Roman" w:cs="Arial"/>
          <w:bCs/>
          <w:color w:val="000000"/>
          <w:u w:val="single"/>
          <w:lang w:eastAsia="bg-BG"/>
        </w:rPr>
      </w:pPr>
    </w:p>
    <w:p w14:paraId="77F39A82" w14:textId="26411D8B" w:rsidR="007B38C0" w:rsidRPr="007B38C0" w:rsidRDefault="007B38C0" w:rsidP="007B38C0">
      <w:pPr>
        <w:spacing w:line="240" w:lineRule="auto"/>
        <w:rPr>
          <w:rFonts w:eastAsia="Times New Roman" w:cs="Arial"/>
        </w:rPr>
      </w:pPr>
      <w:r w:rsidRPr="007B38C0">
        <w:rPr>
          <w:rFonts w:eastAsia="Times New Roman" w:cs="Arial"/>
          <w:bCs/>
          <w:color w:val="000000"/>
          <w:u w:val="single"/>
          <w:lang w:eastAsia="bg-BG"/>
        </w:rPr>
        <w:t>Циклофосфамид:</w:t>
      </w:r>
      <w:r w:rsidRPr="007B38C0">
        <w:rPr>
          <w:rFonts w:eastAsia="Times New Roman" w:cs="Arial"/>
          <w:bCs/>
          <w:color w:val="000000"/>
          <w:lang w:eastAsia="bg-BG"/>
        </w:rPr>
        <w:t xml:space="preserve"> При комбинирана терапия с циклофосфамид и флуконазол се повишават стойностите на билирубина и креатинина в серума. Комбинацията може да се използва, като се има предвид рискът от повишен серумен билирубин и креатинин.</w:t>
      </w:r>
    </w:p>
    <w:p w14:paraId="4C221A33" w14:textId="77777777" w:rsidR="007B38C0" w:rsidRPr="007B38C0" w:rsidRDefault="007B38C0" w:rsidP="007B38C0">
      <w:pPr>
        <w:spacing w:line="240" w:lineRule="auto"/>
        <w:rPr>
          <w:rFonts w:eastAsia="Times New Roman" w:cs="Arial"/>
          <w:bCs/>
          <w:color w:val="000000"/>
          <w:u w:val="single"/>
          <w:lang w:eastAsia="bg-BG"/>
        </w:rPr>
      </w:pPr>
    </w:p>
    <w:p w14:paraId="577B7824" w14:textId="2450D5AD" w:rsidR="007B38C0" w:rsidRPr="007B38C0" w:rsidRDefault="007B38C0" w:rsidP="007B38C0">
      <w:pPr>
        <w:spacing w:line="240" w:lineRule="auto"/>
        <w:rPr>
          <w:rFonts w:eastAsia="Times New Roman" w:cs="Arial"/>
        </w:rPr>
      </w:pPr>
      <w:r w:rsidRPr="007B38C0">
        <w:rPr>
          <w:rFonts w:eastAsia="Times New Roman" w:cs="Arial"/>
          <w:bCs/>
          <w:color w:val="000000"/>
          <w:u w:val="single"/>
          <w:lang w:eastAsia="bg-BG"/>
        </w:rPr>
        <w:t>Фентанил:</w:t>
      </w:r>
      <w:r w:rsidRPr="007B38C0">
        <w:rPr>
          <w:rFonts w:eastAsia="Times New Roman" w:cs="Arial"/>
          <w:bCs/>
          <w:color w:val="000000"/>
          <w:lang w:eastAsia="bg-BG"/>
        </w:rPr>
        <w:t xml:space="preserve"> Съобщено е за фатален случай поради възможно взаимодействие на фентанил с флуконазол. Известно е, че флуконазол забавя значимо елиминирането на фентанил при здрави доброволци. Увеличената концентрация на фентанил може да доведе до респираторна депресия. Пациентите трябва да бъдат мониторирани внимателно за възможен риск от респираторна депресия. Възможно е да се наложи корекция на дозата на фентанил.</w:t>
      </w:r>
    </w:p>
    <w:p w14:paraId="06EBEF88" w14:textId="77777777" w:rsidR="007B38C0" w:rsidRPr="007B38C0" w:rsidRDefault="007B38C0" w:rsidP="007B38C0">
      <w:pPr>
        <w:spacing w:line="240" w:lineRule="auto"/>
        <w:rPr>
          <w:rFonts w:eastAsia="Times New Roman" w:cs="Arial"/>
          <w:bCs/>
          <w:color w:val="000000"/>
          <w:u w:val="single"/>
          <w:lang w:val="en-US"/>
        </w:rPr>
      </w:pPr>
    </w:p>
    <w:p w14:paraId="5944BC37" w14:textId="77777777" w:rsidR="007B38C0" w:rsidRPr="007B38C0" w:rsidRDefault="007B38C0" w:rsidP="007B38C0">
      <w:pPr>
        <w:rPr>
          <w:rFonts w:eastAsia="Times New Roman" w:cs="Arial"/>
        </w:rPr>
      </w:pPr>
      <w:r w:rsidRPr="007B38C0">
        <w:rPr>
          <w:rFonts w:eastAsia="Times New Roman" w:cs="Arial"/>
          <w:bCs/>
          <w:color w:val="000000"/>
          <w:u w:val="single"/>
          <w:lang w:val="en-US"/>
        </w:rPr>
        <w:t>HMG</w:t>
      </w:r>
      <w:r w:rsidRPr="007B38C0">
        <w:rPr>
          <w:rFonts w:eastAsia="Times New Roman" w:cs="Arial"/>
          <w:bCs/>
          <w:color w:val="000000"/>
          <w:u w:val="single"/>
        </w:rPr>
        <w:t>-</w:t>
      </w:r>
      <w:r w:rsidRPr="007B38C0">
        <w:rPr>
          <w:rFonts w:eastAsia="Times New Roman" w:cs="Arial"/>
          <w:bCs/>
          <w:color w:val="000000"/>
          <w:u w:val="single"/>
          <w:lang w:val="en-US"/>
        </w:rPr>
        <w:t>CoA</w:t>
      </w:r>
      <w:r w:rsidRPr="007B38C0">
        <w:rPr>
          <w:rFonts w:eastAsia="Times New Roman" w:cs="Arial"/>
          <w:bCs/>
          <w:color w:val="000000"/>
          <w:u w:val="single"/>
        </w:rPr>
        <w:t xml:space="preserve"> </w:t>
      </w:r>
      <w:r w:rsidRPr="007B38C0">
        <w:rPr>
          <w:rFonts w:eastAsia="Times New Roman" w:cs="Arial"/>
          <w:bCs/>
          <w:color w:val="000000"/>
          <w:u w:val="single"/>
          <w:lang w:eastAsia="bg-BG"/>
        </w:rPr>
        <w:t>редуктазни инхибитори:</w:t>
      </w:r>
      <w:r w:rsidRPr="007B38C0">
        <w:rPr>
          <w:rFonts w:eastAsia="Times New Roman" w:cs="Arial"/>
          <w:bCs/>
          <w:color w:val="000000"/>
          <w:lang w:eastAsia="bg-BG"/>
        </w:rPr>
        <w:t xml:space="preserve"> Рискът от миопатия и рабдомиолиза се повишава, когато флуконазол се прилага едновременно с </w:t>
      </w:r>
      <w:r w:rsidRPr="007B38C0">
        <w:rPr>
          <w:rFonts w:eastAsia="Times New Roman" w:cs="Arial"/>
          <w:bCs/>
          <w:color w:val="000000"/>
          <w:lang w:val="en-US"/>
        </w:rPr>
        <w:t>HMG</w:t>
      </w:r>
      <w:r w:rsidRPr="007B38C0">
        <w:rPr>
          <w:rFonts w:eastAsia="Times New Roman" w:cs="Arial"/>
          <w:bCs/>
          <w:color w:val="000000"/>
        </w:rPr>
        <w:t>-</w:t>
      </w:r>
      <w:r w:rsidRPr="007B38C0">
        <w:rPr>
          <w:rFonts w:eastAsia="Times New Roman" w:cs="Arial"/>
          <w:bCs/>
          <w:color w:val="000000"/>
          <w:lang w:val="en-US"/>
        </w:rPr>
        <w:t>CoA</w:t>
      </w:r>
      <w:r w:rsidRPr="007B38C0">
        <w:rPr>
          <w:rFonts w:eastAsia="Times New Roman" w:cs="Arial"/>
          <w:bCs/>
          <w:color w:val="000000"/>
        </w:rPr>
        <w:t xml:space="preserve"> </w:t>
      </w:r>
      <w:r w:rsidRPr="007B38C0">
        <w:rPr>
          <w:rFonts w:eastAsia="Times New Roman" w:cs="Arial"/>
          <w:bCs/>
          <w:color w:val="000000"/>
          <w:lang w:eastAsia="bg-BG"/>
        </w:rPr>
        <w:t xml:space="preserve">редуктазни иихибитори, метаболизиращи се чрез </w:t>
      </w:r>
      <w:r w:rsidRPr="007B38C0">
        <w:rPr>
          <w:rFonts w:eastAsia="Times New Roman" w:cs="Arial"/>
          <w:bCs/>
          <w:color w:val="000000"/>
          <w:lang w:val="en-US"/>
        </w:rPr>
        <w:t>CYP</w:t>
      </w:r>
      <w:r w:rsidRPr="007B38C0">
        <w:rPr>
          <w:rFonts w:eastAsia="Times New Roman" w:cs="Arial"/>
          <w:bCs/>
          <w:color w:val="000000"/>
        </w:rPr>
        <w:t>3</w:t>
      </w:r>
      <w:r w:rsidRPr="007B38C0">
        <w:rPr>
          <w:rFonts w:eastAsia="Times New Roman" w:cs="Arial"/>
          <w:bCs/>
          <w:color w:val="000000"/>
          <w:lang w:val="en-US"/>
        </w:rPr>
        <w:t>A</w:t>
      </w:r>
      <w:r w:rsidRPr="007B38C0">
        <w:rPr>
          <w:rFonts w:eastAsia="Times New Roman" w:cs="Arial"/>
          <w:bCs/>
          <w:color w:val="000000"/>
        </w:rPr>
        <w:t xml:space="preserve">4, </w:t>
      </w:r>
      <w:r w:rsidRPr="007B38C0">
        <w:rPr>
          <w:rFonts w:eastAsia="Times New Roman" w:cs="Arial"/>
          <w:bCs/>
          <w:color w:val="000000"/>
          <w:lang w:eastAsia="bg-BG"/>
        </w:rPr>
        <w:t xml:space="preserve">като аторвастатин и симвастатин или чрез </w:t>
      </w:r>
      <w:r w:rsidRPr="007B38C0">
        <w:rPr>
          <w:rFonts w:eastAsia="Times New Roman" w:cs="Arial"/>
          <w:bCs/>
          <w:color w:val="000000"/>
          <w:lang w:val="en-US"/>
        </w:rPr>
        <w:t>CYP</w:t>
      </w:r>
      <w:r w:rsidRPr="007B38C0">
        <w:rPr>
          <w:rFonts w:eastAsia="Times New Roman" w:cs="Arial"/>
          <w:bCs/>
          <w:color w:val="000000"/>
        </w:rPr>
        <w:t>2</w:t>
      </w:r>
      <w:r w:rsidRPr="007B38C0">
        <w:rPr>
          <w:rFonts w:eastAsia="Times New Roman" w:cs="Arial"/>
          <w:bCs/>
          <w:color w:val="000000"/>
          <w:lang w:val="en-US"/>
        </w:rPr>
        <w:t>C</w:t>
      </w:r>
      <w:r w:rsidRPr="007B38C0">
        <w:rPr>
          <w:rFonts w:eastAsia="Times New Roman" w:cs="Arial"/>
          <w:bCs/>
          <w:color w:val="000000"/>
        </w:rPr>
        <w:t xml:space="preserve">9 </w:t>
      </w:r>
      <w:r w:rsidRPr="007B38C0">
        <w:rPr>
          <w:rFonts w:eastAsia="Times New Roman" w:cs="Arial"/>
          <w:bCs/>
          <w:color w:val="000000"/>
          <w:lang w:eastAsia="bg-BG"/>
        </w:rPr>
        <w:t xml:space="preserve">като флувастатин. Ако е необходима комбинирана терапия, пациентът трябва да се наблюдава за симптоми на миопатия и рабдомиолиза и креатининкиназата трябва да се мониторира. </w:t>
      </w:r>
      <w:r w:rsidRPr="007B38C0">
        <w:rPr>
          <w:rFonts w:eastAsia="Times New Roman" w:cs="Arial"/>
          <w:bCs/>
          <w:color w:val="000000"/>
          <w:lang w:val="en-US"/>
        </w:rPr>
        <w:t>HMG</w:t>
      </w:r>
      <w:r w:rsidRPr="007B38C0">
        <w:rPr>
          <w:rFonts w:eastAsia="Times New Roman" w:cs="Arial"/>
          <w:bCs/>
          <w:color w:val="000000"/>
          <w:lang w:val="ru-RU"/>
        </w:rPr>
        <w:t>-</w:t>
      </w:r>
      <w:r w:rsidRPr="007B38C0">
        <w:rPr>
          <w:rFonts w:eastAsia="Times New Roman" w:cs="Arial"/>
          <w:bCs/>
          <w:color w:val="000000"/>
          <w:lang w:val="en-US"/>
        </w:rPr>
        <w:t>CoA</w:t>
      </w:r>
      <w:r w:rsidRPr="007B38C0">
        <w:rPr>
          <w:rFonts w:eastAsia="Times New Roman" w:cs="Arial"/>
          <w:bCs/>
          <w:color w:val="000000"/>
          <w:lang w:val="ru-RU"/>
        </w:rPr>
        <w:t xml:space="preserve"> </w:t>
      </w:r>
      <w:r w:rsidRPr="007B38C0">
        <w:rPr>
          <w:rFonts w:eastAsia="Times New Roman" w:cs="Arial"/>
          <w:bCs/>
          <w:color w:val="000000"/>
          <w:lang w:eastAsia="bg-BG"/>
        </w:rPr>
        <w:t>редуктазните инхибитори трябва да се спрат, ако се наблюдава значимо увеличаване на креатининкиназата или се диагностицират или предполагат миопатия/рабдомиолиза.</w:t>
      </w:r>
    </w:p>
    <w:p w14:paraId="607EADE7" w14:textId="77777777" w:rsidR="007B38C0" w:rsidRPr="007B38C0" w:rsidRDefault="007B38C0" w:rsidP="007B38C0">
      <w:pPr>
        <w:spacing w:line="240" w:lineRule="auto"/>
        <w:rPr>
          <w:rFonts w:eastAsia="Times New Roman" w:cs="Arial"/>
          <w:bCs/>
          <w:color w:val="000000"/>
          <w:u w:val="single"/>
          <w:lang w:eastAsia="bg-BG"/>
        </w:rPr>
      </w:pPr>
    </w:p>
    <w:p w14:paraId="3CF563BF" w14:textId="3D82DDAB" w:rsidR="007B38C0" w:rsidRPr="007B38C0" w:rsidRDefault="007B38C0" w:rsidP="007B38C0">
      <w:pPr>
        <w:spacing w:line="240" w:lineRule="auto"/>
        <w:rPr>
          <w:rFonts w:eastAsia="Times New Roman" w:cs="Arial"/>
        </w:rPr>
      </w:pPr>
      <w:r w:rsidRPr="007B38C0">
        <w:rPr>
          <w:rFonts w:eastAsia="Times New Roman" w:cs="Arial"/>
          <w:bCs/>
          <w:color w:val="000000"/>
          <w:u w:val="single"/>
          <w:lang w:eastAsia="bg-BG"/>
        </w:rPr>
        <w:t>Имуносупресори (циклоспорин. еверолимус. сиролимус и такролимус):</w:t>
      </w:r>
    </w:p>
    <w:p w14:paraId="5565CD53" w14:textId="77777777" w:rsidR="007B38C0" w:rsidRPr="007B38C0" w:rsidRDefault="007B38C0" w:rsidP="007B38C0">
      <w:pPr>
        <w:spacing w:line="240" w:lineRule="auto"/>
        <w:rPr>
          <w:rFonts w:eastAsia="Times New Roman" w:cs="Arial"/>
          <w:bCs/>
          <w:color w:val="000000"/>
          <w:u w:val="single"/>
          <w:lang w:eastAsia="bg-BG"/>
        </w:rPr>
      </w:pPr>
    </w:p>
    <w:p w14:paraId="2D006117" w14:textId="6E29D1E2" w:rsidR="007B38C0" w:rsidRPr="007B38C0" w:rsidRDefault="007B38C0" w:rsidP="007B38C0">
      <w:pPr>
        <w:spacing w:line="240" w:lineRule="auto"/>
        <w:rPr>
          <w:rFonts w:eastAsia="Times New Roman" w:cs="Arial"/>
        </w:rPr>
      </w:pPr>
      <w:r w:rsidRPr="007B38C0">
        <w:rPr>
          <w:rFonts w:eastAsia="Times New Roman" w:cs="Arial"/>
          <w:bCs/>
          <w:color w:val="000000"/>
          <w:u w:val="single"/>
          <w:lang w:eastAsia="bg-BG"/>
        </w:rPr>
        <w:t>Циклоспорин:</w:t>
      </w:r>
      <w:r w:rsidRPr="007B38C0">
        <w:rPr>
          <w:rFonts w:eastAsia="Times New Roman" w:cs="Arial"/>
          <w:bCs/>
          <w:color w:val="000000"/>
          <w:lang w:eastAsia="bg-BG"/>
        </w:rPr>
        <w:t xml:space="preserve"> Флуконазол повишава значимо концентрацията и </w:t>
      </w:r>
      <w:r w:rsidRPr="007B38C0">
        <w:rPr>
          <w:rFonts w:eastAsia="Times New Roman" w:cs="Arial"/>
          <w:bCs/>
          <w:color w:val="000000"/>
          <w:lang w:val="en-US"/>
        </w:rPr>
        <w:t>AUC</w:t>
      </w:r>
      <w:r w:rsidRPr="007B38C0">
        <w:rPr>
          <w:rFonts w:eastAsia="Times New Roman" w:cs="Arial"/>
          <w:bCs/>
          <w:color w:val="000000"/>
          <w:lang w:val="ru-RU"/>
        </w:rPr>
        <w:t xml:space="preserve"> </w:t>
      </w:r>
      <w:r w:rsidRPr="007B38C0">
        <w:rPr>
          <w:rFonts w:eastAsia="Times New Roman" w:cs="Arial"/>
          <w:bCs/>
          <w:color w:val="000000"/>
          <w:lang w:eastAsia="bg-BG"/>
        </w:rPr>
        <w:t xml:space="preserve">на циклоспорин. При едновременно лечение с 200 </w:t>
      </w:r>
      <w:r w:rsidRPr="007B38C0">
        <w:rPr>
          <w:rFonts w:eastAsia="Times New Roman" w:cs="Arial"/>
          <w:bCs/>
          <w:color w:val="000000"/>
          <w:lang w:val="en-US"/>
        </w:rPr>
        <w:t>mg</w:t>
      </w:r>
      <w:r w:rsidRPr="007B38C0">
        <w:rPr>
          <w:rFonts w:eastAsia="Times New Roman" w:cs="Arial"/>
          <w:bCs/>
          <w:color w:val="000000"/>
          <w:lang w:val="ru-RU"/>
        </w:rPr>
        <w:t xml:space="preserve"> </w:t>
      </w:r>
      <w:r w:rsidRPr="007B38C0">
        <w:rPr>
          <w:rFonts w:eastAsia="Times New Roman" w:cs="Arial"/>
          <w:bCs/>
          <w:color w:val="000000"/>
          <w:lang w:eastAsia="bg-BG"/>
        </w:rPr>
        <w:t xml:space="preserve">флуконазол дневно и циклоспорин 2,7 </w:t>
      </w:r>
      <w:r w:rsidRPr="007B38C0">
        <w:rPr>
          <w:rFonts w:eastAsia="Times New Roman" w:cs="Arial"/>
          <w:bCs/>
          <w:color w:val="000000"/>
          <w:lang w:val="en-US"/>
        </w:rPr>
        <w:t>mg</w:t>
      </w:r>
      <w:r w:rsidRPr="007B38C0">
        <w:rPr>
          <w:rFonts w:eastAsia="Times New Roman" w:cs="Arial"/>
          <w:bCs/>
          <w:color w:val="000000"/>
          <w:lang w:val="ru-RU"/>
        </w:rPr>
        <w:t>/</w:t>
      </w:r>
      <w:r w:rsidRPr="007B38C0">
        <w:rPr>
          <w:rFonts w:eastAsia="Times New Roman" w:cs="Arial"/>
          <w:bCs/>
          <w:color w:val="000000"/>
          <w:lang w:val="en-US"/>
        </w:rPr>
        <w:t>kg</w:t>
      </w:r>
      <w:r w:rsidRPr="007B38C0">
        <w:rPr>
          <w:rFonts w:eastAsia="Times New Roman" w:cs="Arial"/>
          <w:bCs/>
          <w:color w:val="000000"/>
          <w:lang w:val="ru-RU"/>
        </w:rPr>
        <w:t xml:space="preserve"> </w:t>
      </w:r>
      <w:r w:rsidRPr="007B38C0">
        <w:rPr>
          <w:rFonts w:eastAsia="Times New Roman" w:cs="Arial"/>
          <w:bCs/>
          <w:color w:val="000000"/>
          <w:lang w:eastAsia="bg-BG"/>
        </w:rPr>
        <w:t xml:space="preserve">дневно се наблюдава повишаване на </w:t>
      </w:r>
      <w:r w:rsidRPr="007B38C0">
        <w:rPr>
          <w:rFonts w:eastAsia="Times New Roman" w:cs="Arial"/>
          <w:bCs/>
          <w:color w:val="000000"/>
          <w:lang w:val="en-US"/>
        </w:rPr>
        <w:t>AUC</w:t>
      </w:r>
      <w:r w:rsidRPr="007B38C0">
        <w:rPr>
          <w:rFonts w:eastAsia="Times New Roman" w:cs="Arial"/>
          <w:bCs/>
          <w:color w:val="000000"/>
          <w:lang w:val="ru-RU"/>
        </w:rPr>
        <w:t xml:space="preserve"> </w:t>
      </w:r>
      <w:r w:rsidRPr="007B38C0">
        <w:rPr>
          <w:rFonts w:eastAsia="Times New Roman" w:cs="Arial"/>
          <w:bCs/>
          <w:color w:val="000000"/>
          <w:lang w:eastAsia="bg-BG"/>
        </w:rPr>
        <w:t>1,8 пъти. Тази комбинация може да се използва, като се понижи дозата на циклоспорин в зависимост от концентрацията на циклоспорин.</w:t>
      </w:r>
    </w:p>
    <w:p w14:paraId="21AFBE72" w14:textId="77777777" w:rsidR="007B38C0" w:rsidRPr="007B38C0" w:rsidRDefault="007B38C0" w:rsidP="007B38C0">
      <w:pPr>
        <w:spacing w:line="240" w:lineRule="auto"/>
        <w:rPr>
          <w:rFonts w:eastAsia="Times New Roman" w:cs="Arial"/>
          <w:bCs/>
          <w:color w:val="000000"/>
          <w:u w:val="single"/>
          <w:lang w:eastAsia="bg-BG"/>
        </w:rPr>
      </w:pPr>
    </w:p>
    <w:p w14:paraId="02998CDF" w14:textId="4A00F47A" w:rsidR="007B38C0" w:rsidRPr="007B38C0" w:rsidRDefault="007B38C0" w:rsidP="007B38C0">
      <w:pPr>
        <w:spacing w:line="240" w:lineRule="auto"/>
        <w:rPr>
          <w:rFonts w:eastAsia="Times New Roman" w:cs="Arial"/>
        </w:rPr>
      </w:pPr>
      <w:r w:rsidRPr="007B38C0">
        <w:rPr>
          <w:rFonts w:eastAsia="Times New Roman" w:cs="Arial"/>
          <w:bCs/>
          <w:color w:val="000000"/>
          <w:u w:val="single"/>
          <w:lang w:eastAsia="bg-BG"/>
        </w:rPr>
        <w:t xml:space="preserve">Еверолимус: </w:t>
      </w:r>
      <w:r w:rsidRPr="007B38C0">
        <w:rPr>
          <w:rFonts w:eastAsia="Times New Roman" w:cs="Arial"/>
          <w:bCs/>
          <w:color w:val="000000"/>
          <w:lang w:eastAsia="bg-BG"/>
        </w:rPr>
        <w:t xml:space="preserve">Въпреки че няма </w:t>
      </w:r>
      <w:r w:rsidRPr="007B38C0">
        <w:rPr>
          <w:rFonts w:eastAsia="Times New Roman" w:cs="Arial"/>
          <w:bCs/>
          <w:i/>
          <w:iCs/>
          <w:color w:val="000000"/>
          <w:lang w:val="en-US"/>
        </w:rPr>
        <w:t>in</w:t>
      </w:r>
      <w:r w:rsidRPr="007B38C0">
        <w:rPr>
          <w:rFonts w:eastAsia="Times New Roman" w:cs="Arial"/>
          <w:bCs/>
          <w:i/>
          <w:iCs/>
          <w:color w:val="000000"/>
          <w:lang w:val="ru-RU"/>
        </w:rPr>
        <w:t xml:space="preserve"> </w:t>
      </w:r>
      <w:r w:rsidRPr="007B38C0">
        <w:rPr>
          <w:rFonts w:eastAsia="Times New Roman" w:cs="Arial"/>
          <w:bCs/>
          <w:i/>
          <w:iCs/>
          <w:color w:val="000000"/>
          <w:lang w:val="en-US"/>
        </w:rPr>
        <w:t>vivo</w:t>
      </w:r>
      <w:r w:rsidRPr="007B38C0">
        <w:rPr>
          <w:rFonts w:eastAsia="Times New Roman" w:cs="Arial"/>
          <w:bCs/>
          <w:color w:val="000000"/>
          <w:lang w:val="ru-RU"/>
        </w:rPr>
        <w:t xml:space="preserve"> </w:t>
      </w:r>
      <w:r w:rsidRPr="007B38C0">
        <w:rPr>
          <w:rFonts w:eastAsia="Times New Roman" w:cs="Arial"/>
          <w:bCs/>
          <w:color w:val="000000"/>
          <w:lang w:eastAsia="bg-BG"/>
        </w:rPr>
        <w:t xml:space="preserve">и </w:t>
      </w:r>
      <w:r w:rsidRPr="007B38C0">
        <w:rPr>
          <w:rFonts w:eastAsia="Times New Roman" w:cs="Arial"/>
          <w:bCs/>
          <w:i/>
          <w:iCs/>
          <w:color w:val="000000"/>
          <w:lang w:val="en-US"/>
        </w:rPr>
        <w:t>in</w:t>
      </w:r>
      <w:r w:rsidRPr="007B38C0">
        <w:rPr>
          <w:rFonts w:eastAsia="Times New Roman" w:cs="Arial"/>
          <w:bCs/>
          <w:i/>
          <w:iCs/>
          <w:color w:val="000000"/>
          <w:lang w:val="ru-RU"/>
        </w:rPr>
        <w:t xml:space="preserve"> </w:t>
      </w:r>
      <w:r w:rsidRPr="007B38C0">
        <w:rPr>
          <w:rFonts w:eastAsia="Times New Roman" w:cs="Arial"/>
          <w:bCs/>
          <w:i/>
          <w:iCs/>
          <w:color w:val="000000"/>
          <w:lang w:val="en-US"/>
        </w:rPr>
        <w:t>vitro</w:t>
      </w:r>
      <w:r w:rsidRPr="007B38C0">
        <w:rPr>
          <w:rFonts w:eastAsia="Times New Roman" w:cs="Arial"/>
          <w:bCs/>
          <w:color w:val="000000"/>
          <w:lang w:val="ru-RU"/>
        </w:rPr>
        <w:t xml:space="preserve"> </w:t>
      </w:r>
      <w:r w:rsidRPr="007B38C0">
        <w:rPr>
          <w:rFonts w:eastAsia="Times New Roman" w:cs="Arial"/>
          <w:bCs/>
          <w:color w:val="000000"/>
          <w:lang w:eastAsia="bg-BG"/>
        </w:rPr>
        <w:t xml:space="preserve">проучвания флуконазол може да повиши плазмената концентрация на еверолимус чрез инхибиране на </w:t>
      </w:r>
      <w:r w:rsidRPr="007B38C0">
        <w:rPr>
          <w:rFonts w:eastAsia="Times New Roman" w:cs="Arial"/>
          <w:bCs/>
          <w:color w:val="000000"/>
          <w:lang w:val="en-US"/>
        </w:rPr>
        <w:t>CYP</w:t>
      </w:r>
      <w:r w:rsidRPr="007B38C0">
        <w:rPr>
          <w:rFonts w:eastAsia="Times New Roman" w:cs="Arial"/>
          <w:bCs/>
          <w:color w:val="000000"/>
          <w:lang w:val="ru-RU"/>
        </w:rPr>
        <w:t>3</w:t>
      </w:r>
      <w:r w:rsidRPr="007B38C0">
        <w:rPr>
          <w:rFonts w:eastAsia="Times New Roman" w:cs="Arial"/>
          <w:bCs/>
          <w:color w:val="000000"/>
          <w:lang w:val="en-US"/>
        </w:rPr>
        <w:t>A</w:t>
      </w:r>
      <w:r w:rsidRPr="007B38C0">
        <w:rPr>
          <w:rFonts w:eastAsia="Times New Roman" w:cs="Arial"/>
          <w:bCs/>
          <w:color w:val="000000"/>
          <w:lang w:val="ru-RU"/>
        </w:rPr>
        <w:t>4.</w:t>
      </w:r>
    </w:p>
    <w:p w14:paraId="3FDADA99" w14:textId="77777777" w:rsidR="007B38C0" w:rsidRPr="007B38C0" w:rsidRDefault="007B38C0" w:rsidP="007B38C0">
      <w:pPr>
        <w:spacing w:line="240" w:lineRule="auto"/>
        <w:rPr>
          <w:rFonts w:eastAsia="Times New Roman" w:cs="Arial"/>
          <w:bCs/>
          <w:color w:val="000000"/>
          <w:u w:val="single"/>
          <w:lang w:eastAsia="bg-BG"/>
        </w:rPr>
      </w:pPr>
    </w:p>
    <w:p w14:paraId="57BDEE7F" w14:textId="085BABCF" w:rsidR="007B38C0" w:rsidRPr="007B38C0" w:rsidRDefault="007B38C0" w:rsidP="007B38C0">
      <w:pPr>
        <w:spacing w:line="240" w:lineRule="auto"/>
        <w:rPr>
          <w:rFonts w:eastAsia="Times New Roman" w:cs="Arial"/>
        </w:rPr>
      </w:pPr>
      <w:r w:rsidRPr="007B38C0">
        <w:rPr>
          <w:rFonts w:eastAsia="Times New Roman" w:cs="Arial"/>
          <w:bCs/>
          <w:color w:val="000000"/>
          <w:u w:val="single"/>
          <w:lang w:eastAsia="bg-BG"/>
        </w:rPr>
        <w:t>Сиролимус:</w:t>
      </w:r>
      <w:r w:rsidRPr="007B38C0">
        <w:rPr>
          <w:rFonts w:eastAsia="Times New Roman" w:cs="Arial"/>
          <w:bCs/>
          <w:color w:val="000000"/>
          <w:lang w:eastAsia="bg-BG"/>
        </w:rPr>
        <w:t xml:space="preserve"> Флуконазол повишава плазмените концентрации на сиролимус вероятно чрез инхибиране на метаболизма на сиролимус чрез </w:t>
      </w:r>
      <w:r w:rsidRPr="007B38C0">
        <w:rPr>
          <w:rFonts w:eastAsia="Times New Roman" w:cs="Arial"/>
          <w:bCs/>
          <w:color w:val="000000"/>
          <w:lang w:val="en-US"/>
        </w:rPr>
        <w:t>CYP</w:t>
      </w:r>
      <w:r w:rsidRPr="007B38C0">
        <w:rPr>
          <w:rFonts w:eastAsia="Times New Roman" w:cs="Arial"/>
          <w:bCs/>
          <w:color w:val="000000"/>
          <w:lang w:val="ru-RU"/>
        </w:rPr>
        <w:t>3</w:t>
      </w:r>
      <w:r w:rsidRPr="007B38C0">
        <w:rPr>
          <w:rFonts w:eastAsia="Times New Roman" w:cs="Arial"/>
          <w:bCs/>
          <w:color w:val="000000"/>
          <w:lang w:val="en-US"/>
        </w:rPr>
        <w:t>A</w:t>
      </w:r>
      <w:r w:rsidRPr="007B38C0">
        <w:rPr>
          <w:rFonts w:eastAsia="Times New Roman" w:cs="Arial"/>
          <w:bCs/>
          <w:color w:val="000000"/>
          <w:lang w:val="ru-RU"/>
        </w:rPr>
        <w:t xml:space="preserve">4 </w:t>
      </w:r>
      <w:r w:rsidRPr="007B38C0">
        <w:rPr>
          <w:rFonts w:eastAsia="Times New Roman" w:cs="Arial"/>
          <w:bCs/>
          <w:color w:val="000000"/>
          <w:lang w:eastAsia="bg-BG"/>
        </w:rPr>
        <w:t>и Р-гликопротеин. Тази комбинация може да се използва, като се адаптира дозата на сиролимус в зависимост от съотношението ефект/концентрация.</w:t>
      </w:r>
    </w:p>
    <w:p w14:paraId="1B07768C" w14:textId="77777777" w:rsidR="007B38C0" w:rsidRPr="007B38C0" w:rsidRDefault="007B38C0" w:rsidP="007B38C0">
      <w:pPr>
        <w:spacing w:line="240" w:lineRule="auto"/>
        <w:rPr>
          <w:rFonts w:eastAsia="Times New Roman" w:cs="Arial"/>
          <w:bCs/>
          <w:color w:val="000000"/>
          <w:u w:val="single"/>
          <w:lang w:eastAsia="bg-BG"/>
        </w:rPr>
      </w:pPr>
    </w:p>
    <w:p w14:paraId="2C7373C7" w14:textId="13FE3A18" w:rsidR="007B38C0" w:rsidRPr="007B38C0" w:rsidRDefault="007B38C0" w:rsidP="007B38C0">
      <w:pPr>
        <w:spacing w:line="240" w:lineRule="auto"/>
        <w:rPr>
          <w:rFonts w:eastAsia="Times New Roman" w:cs="Arial"/>
        </w:rPr>
      </w:pPr>
      <w:r w:rsidRPr="007B38C0">
        <w:rPr>
          <w:rFonts w:eastAsia="Times New Roman" w:cs="Arial"/>
          <w:bCs/>
          <w:color w:val="000000"/>
          <w:u w:val="single"/>
          <w:lang w:eastAsia="bg-BG"/>
        </w:rPr>
        <w:t>Такролимус:</w:t>
      </w:r>
      <w:r w:rsidRPr="007B38C0">
        <w:rPr>
          <w:rFonts w:eastAsia="Times New Roman" w:cs="Arial"/>
          <w:bCs/>
          <w:color w:val="000000"/>
          <w:lang w:eastAsia="bg-BG"/>
        </w:rPr>
        <w:t xml:space="preserve"> Флуконазол може да повиши до 5 пъти плазмените концентрации на перорално приемания такролимус поради инхибиране на метаболизма на такролимус чрез </w:t>
      </w:r>
      <w:r w:rsidRPr="007B38C0">
        <w:rPr>
          <w:rFonts w:eastAsia="Times New Roman" w:cs="Arial"/>
          <w:bCs/>
          <w:color w:val="000000"/>
          <w:lang w:val="en-US"/>
        </w:rPr>
        <w:t>CYP</w:t>
      </w:r>
      <w:r w:rsidRPr="007B38C0">
        <w:rPr>
          <w:rFonts w:eastAsia="Times New Roman" w:cs="Arial"/>
          <w:bCs/>
          <w:color w:val="000000"/>
          <w:lang w:val="ru-RU"/>
        </w:rPr>
        <w:t>3</w:t>
      </w:r>
      <w:r w:rsidRPr="007B38C0">
        <w:rPr>
          <w:rFonts w:eastAsia="Times New Roman" w:cs="Arial"/>
          <w:bCs/>
          <w:color w:val="000000"/>
          <w:lang w:val="en-US"/>
        </w:rPr>
        <w:t>A</w:t>
      </w:r>
      <w:r w:rsidRPr="007B38C0">
        <w:rPr>
          <w:rFonts w:eastAsia="Times New Roman" w:cs="Arial"/>
          <w:bCs/>
          <w:color w:val="000000"/>
          <w:lang w:val="ru-RU"/>
        </w:rPr>
        <w:t xml:space="preserve">4 </w:t>
      </w:r>
      <w:r w:rsidRPr="007B38C0">
        <w:rPr>
          <w:rFonts w:eastAsia="Times New Roman" w:cs="Arial"/>
          <w:bCs/>
          <w:color w:val="000000"/>
          <w:lang w:eastAsia="bg-BG"/>
        </w:rPr>
        <w:t>в червата. Няма наблюдавани значими фармакокинетични промени, когато такролимус се прилага интравенозно. Повишените стойности на такролимус се свързват с нефротоксичност. Дозата на перорално прилагания такролимус трябва да се намали в зависимост от концентрацията на такролимус.</w:t>
      </w:r>
    </w:p>
    <w:p w14:paraId="1472D265" w14:textId="77777777" w:rsidR="007B38C0" w:rsidRPr="007B38C0" w:rsidRDefault="007B38C0" w:rsidP="007B38C0">
      <w:pPr>
        <w:spacing w:line="240" w:lineRule="auto"/>
        <w:rPr>
          <w:rFonts w:eastAsia="Times New Roman" w:cs="Arial"/>
          <w:bCs/>
          <w:color w:val="000000"/>
          <w:u w:val="single"/>
          <w:lang w:eastAsia="bg-BG"/>
        </w:rPr>
      </w:pPr>
    </w:p>
    <w:p w14:paraId="642D6A83" w14:textId="60A0D0B0" w:rsidR="007B38C0" w:rsidRPr="007B38C0" w:rsidRDefault="007B38C0" w:rsidP="007B38C0">
      <w:pPr>
        <w:spacing w:line="240" w:lineRule="auto"/>
        <w:rPr>
          <w:rFonts w:eastAsia="Times New Roman" w:cs="Arial"/>
        </w:rPr>
      </w:pPr>
      <w:r w:rsidRPr="007B38C0">
        <w:rPr>
          <w:rFonts w:eastAsia="Times New Roman" w:cs="Arial"/>
          <w:bCs/>
          <w:color w:val="000000"/>
          <w:u w:val="single"/>
          <w:lang w:eastAsia="bg-BG"/>
        </w:rPr>
        <w:t>Лосартан:</w:t>
      </w:r>
      <w:r w:rsidRPr="007B38C0">
        <w:rPr>
          <w:rFonts w:eastAsia="Times New Roman" w:cs="Arial"/>
          <w:bCs/>
          <w:color w:val="000000"/>
          <w:lang w:eastAsia="bg-BG"/>
        </w:rPr>
        <w:t xml:space="preserve"> Флуконазол инхибира метаболизма на лосартан до неговия активен метаболит (Е-31 74), отговорен за най-голяма част от неговия ангиотензин-</w:t>
      </w:r>
      <w:r w:rsidRPr="007B38C0">
        <w:rPr>
          <w:rFonts w:eastAsia="Times New Roman" w:cs="Arial"/>
          <w:bCs/>
          <w:color w:val="000000"/>
          <w:lang w:val="en-US"/>
        </w:rPr>
        <w:t>II</w:t>
      </w:r>
      <w:r w:rsidRPr="007B38C0">
        <w:rPr>
          <w:rFonts w:eastAsia="Times New Roman" w:cs="Arial"/>
          <w:bCs/>
          <w:color w:val="000000"/>
          <w:lang w:eastAsia="bg-BG"/>
        </w:rPr>
        <w:t>-рецепторен антагонизъм при лечението с лосартан. Пациентите трябва постоянно да наблюдават стойностите на артериалното си налягане.</w:t>
      </w:r>
    </w:p>
    <w:p w14:paraId="672063C8" w14:textId="77777777" w:rsidR="007B38C0" w:rsidRPr="007B38C0" w:rsidRDefault="007B38C0" w:rsidP="007B38C0">
      <w:pPr>
        <w:spacing w:line="240" w:lineRule="auto"/>
        <w:rPr>
          <w:rFonts w:eastAsia="Times New Roman" w:cs="Arial"/>
          <w:bCs/>
          <w:color w:val="000000"/>
          <w:u w:val="single"/>
          <w:lang w:eastAsia="bg-BG"/>
        </w:rPr>
      </w:pPr>
    </w:p>
    <w:p w14:paraId="3D5C1FE5" w14:textId="352F0004" w:rsidR="007B38C0" w:rsidRPr="007B38C0" w:rsidRDefault="007B38C0" w:rsidP="007B38C0">
      <w:pPr>
        <w:spacing w:line="240" w:lineRule="auto"/>
        <w:rPr>
          <w:rFonts w:eastAsia="Times New Roman" w:cs="Arial"/>
        </w:rPr>
      </w:pPr>
      <w:r w:rsidRPr="007B38C0">
        <w:rPr>
          <w:rFonts w:eastAsia="Times New Roman" w:cs="Arial"/>
          <w:bCs/>
          <w:color w:val="000000"/>
          <w:u w:val="single"/>
          <w:lang w:eastAsia="bg-BG"/>
        </w:rPr>
        <w:t>Металон:</w:t>
      </w:r>
      <w:r w:rsidRPr="007B38C0">
        <w:rPr>
          <w:rFonts w:eastAsia="Times New Roman" w:cs="Arial"/>
          <w:bCs/>
          <w:color w:val="000000"/>
          <w:lang w:eastAsia="bg-BG"/>
        </w:rPr>
        <w:t xml:space="preserve"> Флуконазол може да повиши плазмената концентрация на метадон. Може да е необходимо адаптиране на дозата на метадон.</w:t>
      </w:r>
    </w:p>
    <w:p w14:paraId="2C222696" w14:textId="77777777" w:rsidR="007B38C0" w:rsidRPr="007B38C0" w:rsidRDefault="007B38C0" w:rsidP="007B38C0">
      <w:pPr>
        <w:spacing w:line="240" w:lineRule="auto"/>
        <w:rPr>
          <w:rFonts w:eastAsia="Times New Roman" w:cs="Arial"/>
          <w:bCs/>
          <w:color w:val="000000"/>
          <w:u w:val="single"/>
          <w:lang w:eastAsia="bg-BG"/>
        </w:rPr>
      </w:pPr>
    </w:p>
    <w:p w14:paraId="12407B25" w14:textId="2D54E000" w:rsidR="007B38C0" w:rsidRPr="007B38C0" w:rsidRDefault="007B38C0" w:rsidP="007B38C0">
      <w:pPr>
        <w:spacing w:line="240" w:lineRule="auto"/>
        <w:rPr>
          <w:rFonts w:eastAsia="Times New Roman" w:cs="Arial"/>
        </w:rPr>
      </w:pPr>
      <w:r w:rsidRPr="007B38C0">
        <w:rPr>
          <w:rFonts w:eastAsia="Times New Roman" w:cs="Arial"/>
          <w:bCs/>
          <w:color w:val="000000"/>
          <w:u w:val="single"/>
          <w:lang w:eastAsia="bg-BG"/>
        </w:rPr>
        <w:t>Нестероидни противовъзпалителни средства:</w:t>
      </w:r>
      <w:r w:rsidRPr="007B38C0">
        <w:rPr>
          <w:rFonts w:eastAsia="Times New Roman" w:cs="Arial"/>
          <w:bCs/>
          <w:color w:val="000000"/>
          <w:u w:val="single"/>
          <w:lang w:val="ru-RU"/>
        </w:rPr>
        <w:t xml:space="preserve"> </w:t>
      </w:r>
      <w:proofErr w:type="spellStart"/>
      <w:r w:rsidRPr="007B38C0">
        <w:rPr>
          <w:rFonts w:eastAsia="Times New Roman" w:cs="Arial"/>
          <w:bCs/>
          <w:color w:val="000000"/>
          <w:u w:val="single"/>
          <w:lang w:val="en-US"/>
        </w:rPr>
        <w:t>C</w:t>
      </w:r>
      <w:r w:rsidRPr="007B38C0">
        <w:rPr>
          <w:rFonts w:eastAsia="Times New Roman" w:cs="Arial"/>
          <w:bCs/>
          <w:color w:val="000000"/>
          <w:u w:val="single"/>
          <w:vertAlign w:val="subscript"/>
          <w:lang w:val="en-US"/>
        </w:rPr>
        <w:t>max</w:t>
      </w:r>
      <w:proofErr w:type="spellEnd"/>
      <w:r w:rsidRPr="007B38C0">
        <w:rPr>
          <w:rFonts w:eastAsia="Times New Roman" w:cs="Arial"/>
          <w:bCs/>
          <w:color w:val="000000"/>
          <w:u w:val="single"/>
          <w:lang w:val="ru-RU"/>
        </w:rPr>
        <w:t xml:space="preserve"> </w:t>
      </w:r>
      <w:r w:rsidRPr="007B38C0">
        <w:rPr>
          <w:rFonts w:eastAsia="Times New Roman" w:cs="Arial"/>
          <w:bCs/>
          <w:color w:val="000000"/>
          <w:lang w:eastAsia="bg-BG"/>
        </w:rPr>
        <w:t xml:space="preserve">и </w:t>
      </w:r>
      <w:r w:rsidRPr="007B38C0">
        <w:rPr>
          <w:rFonts w:eastAsia="Times New Roman" w:cs="Arial"/>
          <w:bCs/>
          <w:color w:val="000000"/>
          <w:lang w:val="en-US"/>
        </w:rPr>
        <w:t>AUC</w:t>
      </w:r>
      <w:r w:rsidRPr="007B38C0">
        <w:rPr>
          <w:rFonts w:eastAsia="Times New Roman" w:cs="Arial"/>
          <w:bCs/>
          <w:color w:val="000000"/>
          <w:lang w:val="ru-RU"/>
        </w:rPr>
        <w:t xml:space="preserve"> </w:t>
      </w:r>
      <w:r w:rsidRPr="007B38C0">
        <w:rPr>
          <w:rFonts w:eastAsia="Times New Roman" w:cs="Arial"/>
          <w:bCs/>
          <w:color w:val="000000"/>
          <w:lang w:eastAsia="bg-BG"/>
        </w:rPr>
        <w:t>на флурбипрофен се повишават с 23%</w:t>
      </w:r>
    </w:p>
    <w:p w14:paraId="4EC103F2" w14:textId="77777777" w:rsidR="007B38C0" w:rsidRPr="007B38C0" w:rsidRDefault="007B38C0" w:rsidP="007B38C0">
      <w:pPr>
        <w:spacing w:line="240" w:lineRule="auto"/>
        <w:rPr>
          <w:rFonts w:eastAsia="Times New Roman" w:cs="Arial"/>
        </w:rPr>
      </w:pPr>
      <w:r w:rsidRPr="007B38C0">
        <w:rPr>
          <w:rFonts w:eastAsia="Times New Roman" w:cs="Arial"/>
          <w:bCs/>
          <w:color w:val="000000"/>
          <w:lang w:eastAsia="bg-BG"/>
        </w:rPr>
        <w:t>и 81% съответно, когато се прилага с флуконазол, в сравнение със самостоятелното приложение на флурбипрофен. Подобно, С</w:t>
      </w:r>
      <w:r w:rsidRPr="007B38C0">
        <w:rPr>
          <w:rFonts w:eastAsia="Times New Roman" w:cs="Arial"/>
          <w:bCs/>
          <w:color w:val="000000"/>
          <w:vertAlign w:val="subscript"/>
          <w:lang w:val="en-US"/>
        </w:rPr>
        <w:t>max</w:t>
      </w:r>
      <w:r w:rsidRPr="007B38C0">
        <w:rPr>
          <w:rFonts w:eastAsia="Times New Roman" w:cs="Arial"/>
          <w:bCs/>
          <w:color w:val="000000"/>
          <w:lang w:eastAsia="bg-BG"/>
        </w:rPr>
        <w:t xml:space="preserve"> и </w:t>
      </w:r>
      <w:r w:rsidRPr="007B38C0">
        <w:rPr>
          <w:rFonts w:eastAsia="Times New Roman" w:cs="Arial"/>
          <w:bCs/>
          <w:color w:val="000000"/>
          <w:lang w:val="en-US"/>
        </w:rPr>
        <w:t>AUC</w:t>
      </w:r>
      <w:r w:rsidRPr="007B38C0">
        <w:rPr>
          <w:rFonts w:eastAsia="Times New Roman" w:cs="Arial"/>
          <w:bCs/>
          <w:color w:val="000000"/>
          <w:lang w:val="ru-RU"/>
        </w:rPr>
        <w:t xml:space="preserve"> </w:t>
      </w:r>
      <w:r w:rsidRPr="007B38C0">
        <w:rPr>
          <w:rFonts w:eastAsia="Times New Roman" w:cs="Arial"/>
          <w:bCs/>
          <w:color w:val="000000"/>
          <w:lang w:eastAsia="bg-BG"/>
        </w:rPr>
        <w:t xml:space="preserve">на фармакологично активния изомер </w:t>
      </w:r>
      <w:r w:rsidRPr="007B38C0">
        <w:rPr>
          <w:rFonts w:eastAsia="Times New Roman" w:cs="Arial"/>
          <w:bCs/>
          <w:color w:val="000000"/>
          <w:lang w:val="ru-RU"/>
        </w:rPr>
        <w:t>[</w:t>
      </w:r>
      <w:r w:rsidRPr="007B38C0">
        <w:rPr>
          <w:rFonts w:eastAsia="Times New Roman" w:cs="Arial"/>
          <w:bCs/>
          <w:color w:val="000000"/>
          <w:lang w:val="en-US"/>
        </w:rPr>
        <w:t>S</w:t>
      </w:r>
      <w:r w:rsidRPr="007B38C0">
        <w:rPr>
          <w:rFonts w:eastAsia="Times New Roman" w:cs="Arial"/>
          <w:bCs/>
          <w:color w:val="000000"/>
          <w:lang w:val="ru-RU"/>
        </w:rPr>
        <w:t xml:space="preserve">- </w:t>
      </w:r>
      <w:r w:rsidRPr="007B38C0">
        <w:rPr>
          <w:rFonts w:eastAsia="Times New Roman" w:cs="Arial"/>
          <w:bCs/>
          <w:color w:val="000000"/>
          <w:lang w:eastAsia="bg-BG"/>
        </w:rPr>
        <w:t xml:space="preserve">(+)-ибупрофен] се повишават с 15% и 82% съответно, когато флуконазол се прилага едновременно с рацемичен ибупрофен (400 </w:t>
      </w:r>
      <w:r w:rsidRPr="007B38C0">
        <w:rPr>
          <w:rFonts w:eastAsia="Times New Roman" w:cs="Arial"/>
          <w:bCs/>
          <w:color w:val="000000"/>
          <w:lang w:val="en-US"/>
        </w:rPr>
        <w:t>mg</w:t>
      </w:r>
      <w:r w:rsidRPr="007B38C0">
        <w:rPr>
          <w:rFonts w:eastAsia="Times New Roman" w:cs="Arial"/>
          <w:bCs/>
          <w:color w:val="000000"/>
          <w:lang w:val="ru-RU"/>
        </w:rPr>
        <w:t xml:space="preserve">), </w:t>
      </w:r>
      <w:r w:rsidRPr="007B38C0">
        <w:rPr>
          <w:rFonts w:eastAsia="Times New Roman" w:cs="Arial"/>
          <w:bCs/>
          <w:color w:val="000000"/>
          <w:lang w:eastAsia="bg-BG"/>
        </w:rPr>
        <w:t>в сравнение със самостоятелно приложение на рацемичен ибупрофен.</w:t>
      </w:r>
    </w:p>
    <w:p w14:paraId="0D090015" w14:textId="77777777" w:rsidR="007B38C0" w:rsidRPr="007B38C0" w:rsidRDefault="007B38C0" w:rsidP="007B38C0">
      <w:pPr>
        <w:spacing w:line="240" w:lineRule="auto"/>
        <w:rPr>
          <w:rFonts w:eastAsia="Times New Roman" w:cs="Arial"/>
          <w:bCs/>
          <w:color w:val="000000"/>
          <w:lang w:eastAsia="bg-BG"/>
        </w:rPr>
      </w:pPr>
    </w:p>
    <w:p w14:paraId="5DC13C05" w14:textId="41DE6D04" w:rsidR="007B38C0" w:rsidRPr="007B38C0" w:rsidRDefault="007B38C0" w:rsidP="007B38C0">
      <w:pPr>
        <w:spacing w:line="240" w:lineRule="auto"/>
        <w:rPr>
          <w:rFonts w:eastAsia="Times New Roman" w:cs="Arial"/>
        </w:rPr>
      </w:pPr>
      <w:r w:rsidRPr="007B38C0">
        <w:rPr>
          <w:rFonts w:eastAsia="Times New Roman" w:cs="Arial"/>
          <w:bCs/>
          <w:color w:val="000000"/>
          <w:lang w:eastAsia="bg-BG"/>
        </w:rPr>
        <w:t xml:space="preserve">Въпреки че не е специфично проучен, флуконазол има потенциал да повиши системната експозиция на други НСПВС, които се метаболизират от </w:t>
      </w:r>
      <w:r w:rsidRPr="007B38C0">
        <w:rPr>
          <w:rFonts w:eastAsia="Times New Roman" w:cs="Arial"/>
          <w:bCs/>
          <w:color w:val="000000"/>
          <w:lang w:val="en-US"/>
        </w:rPr>
        <w:t>CYP</w:t>
      </w:r>
      <w:r w:rsidRPr="007B38C0">
        <w:rPr>
          <w:rFonts w:eastAsia="Times New Roman" w:cs="Arial"/>
          <w:bCs/>
          <w:color w:val="000000"/>
          <w:lang w:val="ru-RU"/>
        </w:rPr>
        <w:t>2</w:t>
      </w:r>
      <w:r w:rsidRPr="007B38C0">
        <w:rPr>
          <w:rFonts w:eastAsia="Times New Roman" w:cs="Arial"/>
          <w:bCs/>
          <w:color w:val="000000"/>
          <w:lang w:val="en-US"/>
        </w:rPr>
        <w:t>C</w:t>
      </w:r>
      <w:r w:rsidRPr="007B38C0">
        <w:rPr>
          <w:rFonts w:eastAsia="Times New Roman" w:cs="Arial"/>
          <w:bCs/>
          <w:color w:val="000000"/>
          <w:lang w:val="ru-RU"/>
        </w:rPr>
        <w:t xml:space="preserve">9 </w:t>
      </w:r>
      <w:r w:rsidRPr="007B38C0">
        <w:rPr>
          <w:rFonts w:eastAsia="Times New Roman" w:cs="Arial"/>
          <w:bCs/>
          <w:color w:val="000000"/>
          <w:lang w:eastAsia="bg-BG"/>
        </w:rPr>
        <w:t>(напр. напроксен, лорноксикам, мелоксикам, диклофенак). Препоръчва се често наблюдение за нежелани лекарствени реакции и токсичност, свързани с НСПВС. Може да е необходимо адаптиране на дозата на НСПВС.</w:t>
      </w:r>
    </w:p>
    <w:p w14:paraId="1953E0A9" w14:textId="77777777" w:rsidR="007B38C0" w:rsidRPr="007B38C0" w:rsidRDefault="007B38C0" w:rsidP="007B38C0">
      <w:pPr>
        <w:spacing w:line="240" w:lineRule="auto"/>
        <w:rPr>
          <w:rFonts w:eastAsia="Times New Roman" w:cs="Arial"/>
          <w:bCs/>
          <w:color w:val="000000"/>
          <w:u w:val="single"/>
          <w:lang w:eastAsia="bg-BG"/>
        </w:rPr>
      </w:pPr>
    </w:p>
    <w:p w14:paraId="5928753D" w14:textId="27D7B552" w:rsidR="007B38C0" w:rsidRPr="007B38C0" w:rsidRDefault="007B38C0" w:rsidP="007B38C0">
      <w:pPr>
        <w:spacing w:line="240" w:lineRule="auto"/>
        <w:rPr>
          <w:rFonts w:eastAsia="Times New Roman" w:cs="Arial"/>
        </w:rPr>
      </w:pPr>
      <w:r w:rsidRPr="007B38C0">
        <w:rPr>
          <w:rFonts w:eastAsia="Times New Roman" w:cs="Arial"/>
          <w:bCs/>
          <w:color w:val="000000"/>
          <w:u w:val="single"/>
          <w:lang w:eastAsia="bg-BG"/>
        </w:rPr>
        <w:t>Фенитоин:</w:t>
      </w:r>
      <w:r w:rsidRPr="007B38C0">
        <w:rPr>
          <w:rFonts w:eastAsia="Times New Roman" w:cs="Arial"/>
          <w:bCs/>
          <w:color w:val="000000"/>
          <w:lang w:eastAsia="bg-BG"/>
        </w:rPr>
        <w:t xml:space="preserve"> Флуконазол инхибира чернодробния метаболизъм на фенитоин. Едновременното многократно приложение на 200 </w:t>
      </w:r>
      <w:r w:rsidRPr="007B38C0">
        <w:rPr>
          <w:rFonts w:eastAsia="Times New Roman" w:cs="Arial"/>
          <w:bCs/>
          <w:color w:val="000000"/>
          <w:lang w:val="en-US"/>
        </w:rPr>
        <w:t>mg</w:t>
      </w:r>
      <w:r w:rsidRPr="007B38C0">
        <w:rPr>
          <w:rFonts w:eastAsia="Times New Roman" w:cs="Arial"/>
          <w:bCs/>
          <w:color w:val="000000"/>
          <w:lang w:val="ru-RU"/>
        </w:rPr>
        <w:t xml:space="preserve"> </w:t>
      </w:r>
      <w:r w:rsidRPr="007B38C0">
        <w:rPr>
          <w:rFonts w:eastAsia="Times New Roman" w:cs="Arial"/>
          <w:bCs/>
          <w:color w:val="000000"/>
          <w:lang w:eastAsia="bg-BG"/>
        </w:rPr>
        <w:t xml:space="preserve">флуконазол и 250 </w:t>
      </w:r>
      <w:r w:rsidRPr="007B38C0">
        <w:rPr>
          <w:rFonts w:eastAsia="Times New Roman" w:cs="Arial"/>
          <w:bCs/>
          <w:color w:val="000000"/>
          <w:lang w:val="en-US"/>
        </w:rPr>
        <w:t>mg</w:t>
      </w:r>
      <w:r w:rsidRPr="007B38C0">
        <w:rPr>
          <w:rFonts w:eastAsia="Times New Roman" w:cs="Arial"/>
          <w:bCs/>
          <w:color w:val="000000"/>
          <w:lang w:val="ru-RU"/>
        </w:rPr>
        <w:t xml:space="preserve"> </w:t>
      </w:r>
      <w:r w:rsidRPr="007B38C0">
        <w:rPr>
          <w:rFonts w:eastAsia="Times New Roman" w:cs="Arial"/>
          <w:bCs/>
          <w:color w:val="000000"/>
          <w:lang w:eastAsia="bg-BG"/>
        </w:rPr>
        <w:t xml:space="preserve">фенитоин интравенозно води до нарастване на </w:t>
      </w:r>
      <w:r w:rsidRPr="007B38C0">
        <w:rPr>
          <w:rFonts w:eastAsia="Times New Roman" w:cs="Arial"/>
          <w:bCs/>
          <w:color w:val="000000"/>
          <w:lang w:val="en-US"/>
        </w:rPr>
        <w:t>AUC</w:t>
      </w:r>
      <w:r w:rsidRPr="007B38C0">
        <w:rPr>
          <w:rFonts w:eastAsia="Times New Roman" w:cs="Arial"/>
          <w:bCs/>
          <w:color w:val="000000"/>
          <w:vertAlign w:val="subscript"/>
          <w:lang w:val="ru-RU"/>
        </w:rPr>
        <w:t>24</w:t>
      </w:r>
      <w:r w:rsidRPr="007B38C0">
        <w:rPr>
          <w:rFonts w:eastAsia="Times New Roman" w:cs="Arial"/>
          <w:bCs/>
          <w:color w:val="000000"/>
          <w:lang w:val="ru-RU"/>
        </w:rPr>
        <w:t xml:space="preserve"> </w:t>
      </w:r>
      <w:r w:rsidRPr="007B38C0">
        <w:rPr>
          <w:rFonts w:eastAsia="Times New Roman" w:cs="Arial"/>
          <w:bCs/>
          <w:color w:val="000000"/>
          <w:lang w:eastAsia="bg-BG"/>
        </w:rPr>
        <w:t>на фенитоин със 75% и С</w:t>
      </w:r>
      <w:r w:rsidRPr="007B38C0">
        <w:rPr>
          <w:rFonts w:eastAsia="Times New Roman" w:cs="Arial"/>
          <w:bCs/>
          <w:color w:val="000000"/>
          <w:vertAlign w:val="subscript"/>
          <w:lang w:val="en-US"/>
        </w:rPr>
        <w:t>max</w:t>
      </w:r>
      <w:r w:rsidRPr="007B38C0">
        <w:rPr>
          <w:rFonts w:eastAsia="Times New Roman" w:cs="Arial"/>
          <w:bCs/>
          <w:color w:val="000000"/>
          <w:lang w:eastAsia="bg-BG"/>
        </w:rPr>
        <w:t xml:space="preserve"> със 128%. При едновременно приложение плазмените концентрации на фенитоин трябва да се мониторират, за да се избегне ф</w:t>
      </w:r>
      <w:r w:rsidRPr="007B38C0">
        <w:rPr>
          <w:rFonts w:eastAsia="Times New Roman" w:cs="Arial"/>
          <w:bCs/>
          <w:color w:val="000000"/>
          <w:u w:val="single"/>
          <w:lang w:eastAsia="bg-BG"/>
        </w:rPr>
        <w:t>енит</w:t>
      </w:r>
      <w:r w:rsidRPr="007B38C0">
        <w:rPr>
          <w:rFonts w:eastAsia="Times New Roman" w:cs="Arial"/>
          <w:bCs/>
          <w:color w:val="000000"/>
          <w:lang w:eastAsia="bg-BG"/>
        </w:rPr>
        <w:t>оинова токсичност.</w:t>
      </w:r>
    </w:p>
    <w:p w14:paraId="56E4EFFE" w14:textId="77777777" w:rsidR="007B38C0" w:rsidRPr="007B38C0" w:rsidRDefault="007B38C0" w:rsidP="007B38C0">
      <w:pPr>
        <w:spacing w:line="240" w:lineRule="auto"/>
        <w:rPr>
          <w:rFonts w:eastAsia="Times New Roman" w:cs="Arial"/>
          <w:bCs/>
          <w:color w:val="000000"/>
          <w:u w:val="single"/>
          <w:lang w:eastAsia="bg-BG"/>
        </w:rPr>
      </w:pPr>
    </w:p>
    <w:p w14:paraId="002694CF" w14:textId="7ADBA20E" w:rsidR="007B38C0" w:rsidRPr="007B38C0" w:rsidRDefault="007B38C0" w:rsidP="007B38C0">
      <w:pPr>
        <w:spacing w:line="240" w:lineRule="auto"/>
        <w:rPr>
          <w:rFonts w:eastAsia="Times New Roman" w:cs="Arial"/>
        </w:rPr>
      </w:pPr>
      <w:r w:rsidRPr="007B38C0">
        <w:rPr>
          <w:rFonts w:eastAsia="Times New Roman" w:cs="Arial"/>
          <w:bCs/>
          <w:color w:val="000000"/>
          <w:u w:val="single"/>
          <w:lang w:eastAsia="bg-BG"/>
        </w:rPr>
        <w:lastRenderedPageBreak/>
        <w:t>Преднизон:</w:t>
      </w:r>
      <w:r w:rsidRPr="007B38C0">
        <w:rPr>
          <w:rFonts w:eastAsia="Times New Roman" w:cs="Arial"/>
          <w:bCs/>
          <w:color w:val="000000"/>
          <w:lang w:eastAsia="bg-BG"/>
        </w:rPr>
        <w:t xml:space="preserve"> Съобщава се за пациент с чернодробна трансплантация, лекуван с преднизон, който</w:t>
      </w:r>
    </w:p>
    <w:p w14:paraId="4CDCD12B" w14:textId="77777777" w:rsidR="007B38C0" w:rsidRPr="007B38C0" w:rsidRDefault="007B38C0" w:rsidP="007B38C0">
      <w:pPr>
        <w:rPr>
          <w:rFonts w:eastAsia="Times New Roman" w:cs="Arial"/>
        </w:rPr>
      </w:pPr>
      <w:r w:rsidRPr="007B38C0">
        <w:rPr>
          <w:rFonts w:eastAsia="Times New Roman" w:cs="Arial"/>
          <w:bCs/>
          <w:color w:val="000000"/>
          <w:lang w:eastAsia="bg-BG"/>
        </w:rPr>
        <w:t xml:space="preserve">развива остра надбъбречна недостатъчност след прекъсване на тримесечна терапия с флуконазол. Предполага се, че прекъсването на терапията с флуконазол увеличава активността на </w:t>
      </w:r>
      <w:r w:rsidRPr="007B38C0">
        <w:rPr>
          <w:rFonts w:eastAsia="Times New Roman" w:cs="Arial"/>
          <w:bCs/>
          <w:color w:val="000000"/>
          <w:lang w:val="en-US"/>
        </w:rPr>
        <w:t>CYP</w:t>
      </w:r>
      <w:r w:rsidRPr="007B38C0">
        <w:rPr>
          <w:rFonts w:eastAsia="Times New Roman" w:cs="Arial"/>
          <w:bCs/>
          <w:color w:val="000000"/>
          <w:lang w:val="ru-RU"/>
        </w:rPr>
        <w:t>3</w:t>
      </w:r>
      <w:r w:rsidRPr="007B38C0">
        <w:rPr>
          <w:rFonts w:eastAsia="Times New Roman" w:cs="Arial"/>
          <w:bCs/>
          <w:color w:val="000000"/>
          <w:lang w:val="en-US"/>
        </w:rPr>
        <w:t>A</w:t>
      </w:r>
      <w:r w:rsidRPr="007B38C0">
        <w:rPr>
          <w:rFonts w:eastAsia="Times New Roman" w:cs="Arial"/>
          <w:bCs/>
          <w:color w:val="000000"/>
          <w:lang w:val="ru-RU"/>
        </w:rPr>
        <w:t xml:space="preserve">4, </w:t>
      </w:r>
      <w:r w:rsidRPr="007B38C0">
        <w:rPr>
          <w:rFonts w:eastAsia="Times New Roman" w:cs="Arial"/>
          <w:bCs/>
          <w:color w:val="000000"/>
          <w:lang w:eastAsia="bg-BG"/>
        </w:rPr>
        <w:t>което води до повишен метаболизъм на преднизон. Пациентите на продължително лечение с флуконазол и преднизон трябва да бъдат внимателно проследявани за недостатъчност на надбъбречната кора при спиране на флуконазол.</w:t>
      </w:r>
    </w:p>
    <w:p w14:paraId="734FADB2" w14:textId="77777777" w:rsidR="007B38C0" w:rsidRPr="007B38C0" w:rsidRDefault="007B38C0" w:rsidP="007B38C0">
      <w:pPr>
        <w:spacing w:line="240" w:lineRule="auto"/>
        <w:rPr>
          <w:rFonts w:eastAsia="Times New Roman" w:cs="Arial"/>
          <w:bCs/>
          <w:color w:val="000000"/>
          <w:lang w:eastAsia="bg-BG"/>
        </w:rPr>
      </w:pPr>
    </w:p>
    <w:p w14:paraId="4E513AA2" w14:textId="317BBEB3" w:rsidR="007B38C0" w:rsidRPr="007B38C0" w:rsidRDefault="007B38C0" w:rsidP="007B38C0">
      <w:pPr>
        <w:spacing w:line="240" w:lineRule="auto"/>
        <w:rPr>
          <w:rFonts w:eastAsia="Times New Roman" w:cs="Arial"/>
        </w:rPr>
      </w:pPr>
      <w:r w:rsidRPr="007B38C0">
        <w:rPr>
          <w:rFonts w:eastAsia="Times New Roman" w:cs="Arial"/>
          <w:bCs/>
          <w:color w:val="000000"/>
          <w:lang w:eastAsia="bg-BG"/>
        </w:rPr>
        <w:t xml:space="preserve">Рнфабутин: Флуконазол повишава плазмените концентрации иа рифабутин и </w:t>
      </w:r>
      <w:r w:rsidRPr="007B38C0">
        <w:rPr>
          <w:rFonts w:eastAsia="Times New Roman" w:cs="Arial"/>
          <w:bCs/>
          <w:color w:val="000000"/>
          <w:lang w:val="en-US"/>
        </w:rPr>
        <w:t>AUC</w:t>
      </w:r>
      <w:r w:rsidRPr="007B38C0">
        <w:rPr>
          <w:rFonts w:eastAsia="Times New Roman" w:cs="Arial"/>
          <w:bCs/>
          <w:color w:val="000000"/>
          <w:lang w:val="ru-RU"/>
        </w:rPr>
        <w:t xml:space="preserve"> </w:t>
      </w:r>
      <w:r w:rsidRPr="007B38C0">
        <w:rPr>
          <w:rFonts w:eastAsia="Times New Roman" w:cs="Arial"/>
          <w:bCs/>
          <w:color w:val="000000"/>
          <w:lang w:eastAsia="bg-BG"/>
        </w:rPr>
        <w:t>иа рифабутин се повишава до 80%. Има съобщения за увент при пациенти, при които се прилагат едновременно флуконазол и рифабутин. Прн комбинирана терапия трябва да се имат предвид симптомите на токсичност от рнфабутин.</w:t>
      </w:r>
    </w:p>
    <w:p w14:paraId="2B9C97E4" w14:textId="77777777" w:rsidR="007B38C0" w:rsidRPr="007B38C0" w:rsidRDefault="007B38C0" w:rsidP="007B38C0">
      <w:pPr>
        <w:spacing w:line="240" w:lineRule="auto"/>
        <w:rPr>
          <w:rFonts w:eastAsia="Times New Roman" w:cs="Arial"/>
          <w:bCs/>
          <w:color w:val="000000"/>
          <w:u w:val="single"/>
          <w:lang w:eastAsia="bg-BG"/>
        </w:rPr>
      </w:pPr>
    </w:p>
    <w:p w14:paraId="1D4334CB" w14:textId="7380B494" w:rsidR="007B38C0" w:rsidRPr="007B38C0" w:rsidRDefault="007B38C0" w:rsidP="007B38C0">
      <w:pPr>
        <w:spacing w:line="240" w:lineRule="auto"/>
        <w:rPr>
          <w:rFonts w:eastAsia="Times New Roman" w:cs="Arial"/>
        </w:rPr>
      </w:pPr>
      <w:r w:rsidRPr="007B38C0">
        <w:rPr>
          <w:rFonts w:eastAsia="Times New Roman" w:cs="Arial"/>
          <w:bCs/>
          <w:color w:val="000000"/>
          <w:u w:val="single"/>
          <w:lang w:eastAsia="bg-BG"/>
        </w:rPr>
        <w:t>Саквинавир:</w:t>
      </w:r>
      <w:r w:rsidRPr="007B38C0">
        <w:rPr>
          <w:rFonts w:eastAsia="Times New Roman" w:cs="Arial"/>
          <w:bCs/>
          <w:color w:val="000000"/>
          <w:lang w:eastAsia="bg-BG"/>
        </w:rPr>
        <w:t xml:space="preserve"> Флуконазол повишава </w:t>
      </w:r>
      <w:r w:rsidRPr="007B38C0">
        <w:rPr>
          <w:rFonts w:eastAsia="Times New Roman" w:cs="Arial"/>
          <w:bCs/>
          <w:color w:val="000000"/>
          <w:lang w:val="en-US"/>
        </w:rPr>
        <w:t>AUC</w:t>
      </w:r>
      <w:r w:rsidRPr="007B38C0">
        <w:rPr>
          <w:rFonts w:eastAsia="Times New Roman" w:cs="Arial"/>
          <w:bCs/>
          <w:color w:val="000000"/>
          <w:lang w:val="ru-RU"/>
        </w:rPr>
        <w:t xml:space="preserve"> </w:t>
      </w:r>
      <w:r w:rsidRPr="007B38C0">
        <w:rPr>
          <w:rFonts w:eastAsia="Times New Roman" w:cs="Arial"/>
          <w:bCs/>
          <w:color w:val="000000"/>
          <w:lang w:eastAsia="bg-BG"/>
        </w:rPr>
        <w:t>на саквинавир с приблизително 50%, С</w:t>
      </w:r>
      <w:r w:rsidRPr="007B38C0">
        <w:rPr>
          <w:rFonts w:eastAsia="Times New Roman" w:cs="Arial"/>
          <w:bCs/>
          <w:color w:val="000000"/>
          <w:vertAlign w:val="subscript"/>
          <w:lang w:val="en-US"/>
        </w:rPr>
        <w:t>max</w:t>
      </w:r>
      <w:r w:rsidRPr="007B38C0">
        <w:rPr>
          <w:rFonts w:eastAsia="Times New Roman" w:cs="Arial"/>
          <w:bCs/>
          <w:color w:val="000000"/>
          <w:lang w:eastAsia="bg-BG"/>
        </w:rPr>
        <w:t xml:space="preserve"> с приблизително 55% и намалява клирънса на саквинавир с приблизително 50%, поради инхибирането на чернодробния метаболизъм на саквинавир от </w:t>
      </w:r>
      <w:r w:rsidRPr="007B38C0">
        <w:rPr>
          <w:rFonts w:eastAsia="Times New Roman" w:cs="Arial"/>
          <w:bCs/>
          <w:color w:val="000000"/>
          <w:lang w:val="en-US"/>
        </w:rPr>
        <w:t>CYP</w:t>
      </w:r>
      <w:r w:rsidRPr="007B38C0">
        <w:rPr>
          <w:rFonts w:eastAsia="Times New Roman" w:cs="Arial"/>
          <w:bCs/>
          <w:color w:val="000000"/>
          <w:lang w:val="ru-RU"/>
        </w:rPr>
        <w:t>3</w:t>
      </w:r>
      <w:r w:rsidRPr="007B38C0">
        <w:rPr>
          <w:rFonts w:eastAsia="Times New Roman" w:cs="Arial"/>
          <w:bCs/>
          <w:color w:val="000000"/>
          <w:lang w:val="en-US"/>
        </w:rPr>
        <w:t>A</w:t>
      </w:r>
      <w:r w:rsidRPr="007B38C0">
        <w:rPr>
          <w:rFonts w:eastAsia="Times New Roman" w:cs="Arial"/>
          <w:bCs/>
          <w:color w:val="000000"/>
          <w:lang w:val="ru-RU"/>
        </w:rPr>
        <w:t xml:space="preserve">4 </w:t>
      </w:r>
      <w:r w:rsidRPr="007B38C0">
        <w:rPr>
          <w:rFonts w:eastAsia="Times New Roman" w:cs="Arial"/>
          <w:bCs/>
          <w:color w:val="000000"/>
          <w:lang w:eastAsia="bg-BG"/>
        </w:rPr>
        <w:t>и инхибирането на Р-гликопротеин. Може да се наложи адаптиране на дозата на саквинавир.</w:t>
      </w:r>
    </w:p>
    <w:p w14:paraId="2D355EC0" w14:textId="77777777" w:rsidR="007B38C0" w:rsidRPr="007B38C0" w:rsidRDefault="007B38C0" w:rsidP="007B38C0">
      <w:pPr>
        <w:spacing w:line="240" w:lineRule="auto"/>
        <w:rPr>
          <w:rFonts w:eastAsia="Times New Roman" w:cs="Arial"/>
          <w:bCs/>
          <w:color w:val="000000"/>
          <w:u w:val="single"/>
          <w:lang w:eastAsia="bg-BG"/>
        </w:rPr>
      </w:pPr>
    </w:p>
    <w:p w14:paraId="364CFE5A" w14:textId="01F849D7" w:rsidR="007B38C0" w:rsidRPr="007B38C0" w:rsidRDefault="007B38C0" w:rsidP="007B38C0">
      <w:pPr>
        <w:spacing w:line="240" w:lineRule="auto"/>
        <w:rPr>
          <w:rFonts w:eastAsia="Times New Roman" w:cs="Arial"/>
        </w:rPr>
      </w:pPr>
      <w:r w:rsidRPr="007B38C0">
        <w:rPr>
          <w:rFonts w:eastAsia="Times New Roman" w:cs="Arial"/>
          <w:bCs/>
          <w:color w:val="000000"/>
          <w:u w:val="single"/>
          <w:lang w:eastAsia="bg-BG"/>
        </w:rPr>
        <w:t>Сулфанилурейни лекарствени продукти:</w:t>
      </w:r>
      <w:r w:rsidRPr="007B38C0">
        <w:rPr>
          <w:rFonts w:eastAsia="Times New Roman" w:cs="Arial"/>
          <w:bCs/>
          <w:color w:val="000000"/>
          <w:lang w:eastAsia="bg-BG"/>
        </w:rPr>
        <w:t xml:space="preserve"> Установено е, че флуконазол удължава плазмения полуживот на едновременно прилаганите перорални сулфанилурейни средства (напр. хлорпропамид, глибенкламид, глипизид, толбутамид) при здрави доброволци. По време на едновременно приложение се препоръчва често мониториране на кръвната захар и подходящо понижаване на дозата на сулфанилурейния продукт.</w:t>
      </w:r>
    </w:p>
    <w:p w14:paraId="7FD3F8AF" w14:textId="77777777" w:rsidR="007B38C0" w:rsidRPr="007B38C0" w:rsidRDefault="007B38C0" w:rsidP="007B38C0">
      <w:pPr>
        <w:spacing w:line="240" w:lineRule="auto"/>
        <w:rPr>
          <w:rFonts w:eastAsia="Times New Roman" w:cs="Arial"/>
          <w:bCs/>
          <w:color w:val="000000"/>
          <w:u w:val="single"/>
          <w:lang w:eastAsia="bg-BG"/>
        </w:rPr>
      </w:pPr>
    </w:p>
    <w:p w14:paraId="42C69BC9" w14:textId="3968AD7A" w:rsidR="007B38C0" w:rsidRPr="007B38C0" w:rsidRDefault="007B38C0" w:rsidP="007B38C0">
      <w:pPr>
        <w:spacing w:line="240" w:lineRule="auto"/>
        <w:rPr>
          <w:rFonts w:eastAsia="Times New Roman" w:cs="Arial"/>
        </w:rPr>
      </w:pPr>
      <w:r w:rsidRPr="007B38C0">
        <w:rPr>
          <w:rFonts w:eastAsia="Times New Roman" w:cs="Arial"/>
          <w:bCs/>
          <w:color w:val="000000"/>
          <w:u w:val="single"/>
          <w:lang w:eastAsia="bg-BG"/>
        </w:rPr>
        <w:t>Теофилин:</w:t>
      </w:r>
      <w:r w:rsidRPr="007B38C0">
        <w:rPr>
          <w:rFonts w:eastAsia="Times New Roman" w:cs="Arial"/>
          <w:bCs/>
          <w:color w:val="000000"/>
          <w:lang w:eastAsia="bg-BG"/>
        </w:rPr>
        <w:t xml:space="preserve"> В плацебо-контролирано проучване за взаимодействие, след прилагане на 200 </w:t>
      </w:r>
      <w:r w:rsidRPr="007B38C0">
        <w:rPr>
          <w:rFonts w:eastAsia="Times New Roman" w:cs="Arial"/>
          <w:bCs/>
          <w:color w:val="000000"/>
          <w:lang w:val="en-US"/>
        </w:rPr>
        <w:t>mg</w:t>
      </w:r>
      <w:r w:rsidRPr="007B38C0">
        <w:rPr>
          <w:rFonts w:eastAsia="Times New Roman" w:cs="Arial"/>
          <w:bCs/>
          <w:color w:val="000000"/>
          <w:lang w:val="ru-RU"/>
        </w:rPr>
        <w:t xml:space="preserve"> </w:t>
      </w:r>
      <w:r w:rsidRPr="007B38C0">
        <w:rPr>
          <w:rFonts w:eastAsia="Times New Roman" w:cs="Arial"/>
          <w:bCs/>
          <w:color w:val="000000"/>
          <w:lang w:eastAsia="bg-BG"/>
        </w:rPr>
        <w:t>флуконазол в продължение на 14 дни средният плазмен клирънс на теофилин се понижава с 18%. Пациентите, които приемат високи дози теофилин или при които рискът от поява на теофилинова токсичност по други причини е висок, трябва да се наблюдават за признаци на теофилинова токсичност, докато приемат флуконазол. Терапията трябва да се модифицира, ако възникнат признаци на токсичност.</w:t>
      </w:r>
    </w:p>
    <w:p w14:paraId="1F4BC8F2" w14:textId="77777777" w:rsidR="007B38C0" w:rsidRPr="007B38C0" w:rsidRDefault="007B38C0" w:rsidP="007B38C0">
      <w:pPr>
        <w:spacing w:line="240" w:lineRule="auto"/>
        <w:rPr>
          <w:rFonts w:eastAsia="Times New Roman" w:cs="Arial"/>
          <w:bCs/>
          <w:color w:val="000000"/>
          <w:u w:val="single"/>
          <w:lang w:eastAsia="bg-BG"/>
        </w:rPr>
      </w:pPr>
    </w:p>
    <w:p w14:paraId="585346BC" w14:textId="4426CB23" w:rsidR="007B38C0" w:rsidRPr="007B38C0" w:rsidRDefault="007B38C0" w:rsidP="007B38C0">
      <w:pPr>
        <w:spacing w:line="240" w:lineRule="auto"/>
        <w:rPr>
          <w:rFonts w:eastAsia="Times New Roman" w:cs="Arial"/>
        </w:rPr>
      </w:pPr>
      <w:r w:rsidRPr="007B38C0">
        <w:rPr>
          <w:rFonts w:eastAsia="Times New Roman" w:cs="Arial"/>
          <w:bCs/>
          <w:color w:val="000000"/>
          <w:u w:val="single"/>
          <w:lang w:eastAsia="bg-BG"/>
        </w:rPr>
        <w:t>Винка алкалоиди:</w:t>
      </w:r>
      <w:r w:rsidRPr="007B38C0">
        <w:rPr>
          <w:rFonts w:eastAsia="Times New Roman" w:cs="Arial"/>
          <w:bCs/>
          <w:color w:val="000000"/>
          <w:lang w:eastAsia="bg-BG"/>
        </w:rPr>
        <w:t xml:space="preserve"> Въпреки че не е проучено, флуконазол може да повиши плазмените концентрации на винка алкалоидите (напр. винкристин и винбластин) и да доведе до невротоксичност, което е възможно поради инхибиращия ефект на </w:t>
      </w:r>
      <w:r w:rsidRPr="007B38C0">
        <w:rPr>
          <w:rFonts w:eastAsia="Times New Roman" w:cs="Arial"/>
          <w:bCs/>
          <w:color w:val="000000"/>
          <w:lang w:val="en-US"/>
        </w:rPr>
        <w:t>CYP</w:t>
      </w:r>
      <w:r w:rsidRPr="007B38C0">
        <w:rPr>
          <w:rFonts w:eastAsia="Times New Roman" w:cs="Arial"/>
          <w:bCs/>
          <w:color w:val="000000"/>
          <w:lang w:val="ru-RU"/>
        </w:rPr>
        <w:t>3</w:t>
      </w:r>
      <w:r w:rsidRPr="007B38C0">
        <w:rPr>
          <w:rFonts w:eastAsia="Times New Roman" w:cs="Arial"/>
          <w:bCs/>
          <w:color w:val="000000"/>
          <w:lang w:val="en-US"/>
        </w:rPr>
        <w:t>A</w:t>
      </w:r>
      <w:r w:rsidRPr="007B38C0">
        <w:rPr>
          <w:rFonts w:eastAsia="Times New Roman" w:cs="Arial"/>
          <w:bCs/>
          <w:color w:val="000000"/>
          <w:lang w:val="ru-RU"/>
        </w:rPr>
        <w:t>4.</w:t>
      </w:r>
    </w:p>
    <w:p w14:paraId="22D79974" w14:textId="77777777" w:rsidR="007B38C0" w:rsidRPr="007B38C0" w:rsidRDefault="007B38C0" w:rsidP="007B38C0">
      <w:pPr>
        <w:spacing w:line="240" w:lineRule="auto"/>
        <w:rPr>
          <w:rFonts w:eastAsia="Times New Roman" w:cs="Arial"/>
          <w:bCs/>
          <w:color w:val="000000"/>
          <w:u w:val="single"/>
          <w:lang w:eastAsia="bg-BG"/>
        </w:rPr>
      </w:pPr>
    </w:p>
    <w:p w14:paraId="0DCD7689" w14:textId="6B5B2642" w:rsidR="007B38C0" w:rsidRPr="007B38C0" w:rsidRDefault="007B38C0" w:rsidP="007B38C0">
      <w:pPr>
        <w:spacing w:line="240" w:lineRule="auto"/>
        <w:rPr>
          <w:rFonts w:eastAsia="Times New Roman" w:cs="Arial"/>
        </w:rPr>
      </w:pPr>
      <w:r w:rsidRPr="007B38C0">
        <w:rPr>
          <w:rFonts w:eastAsia="Times New Roman" w:cs="Arial"/>
          <w:bCs/>
          <w:color w:val="000000"/>
          <w:u w:val="single"/>
          <w:lang w:eastAsia="bg-BG"/>
        </w:rPr>
        <w:t>Витамин А:</w:t>
      </w:r>
      <w:r w:rsidRPr="007B38C0">
        <w:rPr>
          <w:rFonts w:eastAsia="Times New Roman" w:cs="Arial"/>
          <w:bCs/>
          <w:color w:val="000000"/>
          <w:lang w:eastAsia="bg-BG"/>
        </w:rPr>
        <w:t xml:space="preserve"> При пациент, приемащ комбинирана терапия с трансретиноидна киселина (киселинна форма на витамин А) и флуконазол са наблюдавани нежелани лекарствени реакции, свързани с ЦНС под формата на церебрален псевдотумор, които са отзвучали при прекратяване на лечението с флуконазол. Тази комбинация може да се използва, но трябва да се има предвид рискът за ЦНС нежелани реакции.</w:t>
      </w:r>
    </w:p>
    <w:p w14:paraId="469F610E" w14:textId="77777777" w:rsidR="007B38C0" w:rsidRPr="007B38C0" w:rsidRDefault="007B38C0" w:rsidP="007B38C0">
      <w:pPr>
        <w:spacing w:line="240" w:lineRule="auto"/>
        <w:rPr>
          <w:rFonts w:eastAsia="Times New Roman" w:cs="Arial"/>
          <w:bCs/>
          <w:color w:val="000000"/>
          <w:u w:val="single"/>
          <w:lang w:eastAsia="bg-BG"/>
        </w:rPr>
      </w:pPr>
    </w:p>
    <w:p w14:paraId="1E493040" w14:textId="1F060FF8" w:rsidR="007B38C0" w:rsidRPr="007B38C0" w:rsidRDefault="007B38C0" w:rsidP="007B38C0">
      <w:pPr>
        <w:spacing w:line="240" w:lineRule="auto"/>
        <w:rPr>
          <w:rFonts w:eastAsia="Times New Roman" w:cs="Arial"/>
        </w:rPr>
      </w:pPr>
      <w:r w:rsidRPr="007B38C0">
        <w:rPr>
          <w:rFonts w:eastAsia="Times New Roman" w:cs="Arial"/>
          <w:bCs/>
          <w:color w:val="000000"/>
          <w:u w:val="single"/>
          <w:lang w:eastAsia="bg-BG"/>
        </w:rPr>
        <w:t>Вориконазол:</w:t>
      </w:r>
      <w:r w:rsidRPr="007B38C0">
        <w:rPr>
          <w:rFonts w:eastAsia="Times New Roman" w:cs="Arial"/>
          <w:bCs/>
          <w:color w:val="000000"/>
          <w:lang w:eastAsia="bg-BG"/>
        </w:rPr>
        <w:t xml:space="preserve"> </w:t>
      </w:r>
      <w:r w:rsidRPr="007B38C0">
        <w:rPr>
          <w:rFonts w:eastAsia="Times New Roman" w:cs="Arial"/>
          <w:bCs/>
          <w:color w:val="000000"/>
          <w:lang w:val="ru-RU"/>
        </w:rPr>
        <w:t>(</w:t>
      </w:r>
      <w:r w:rsidRPr="007B38C0">
        <w:rPr>
          <w:rFonts w:eastAsia="Times New Roman" w:cs="Arial"/>
          <w:bCs/>
          <w:color w:val="000000"/>
          <w:lang w:val="en-US"/>
        </w:rPr>
        <w:t>CYP</w:t>
      </w:r>
      <w:r w:rsidRPr="007B38C0">
        <w:rPr>
          <w:rFonts w:eastAsia="Times New Roman" w:cs="Arial"/>
          <w:bCs/>
          <w:color w:val="000000"/>
          <w:lang w:val="ru-RU"/>
        </w:rPr>
        <w:t>2</w:t>
      </w:r>
      <w:r w:rsidRPr="007B38C0">
        <w:rPr>
          <w:rFonts w:eastAsia="Times New Roman" w:cs="Arial"/>
          <w:bCs/>
          <w:color w:val="000000"/>
          <w:lang w:val="en-US"/>
        </w:rPr>
        <w:t>C</w:t>
      </w:r>
      <w:r w:rsidRPr="007B38C0">
        <w:rPr>
          <w:rFonts w:eastAsia="Times New Roman" w:cs="Arial"/>
          <w:bCs/>
          <w:color w:val="000000"/>
          <w:lang w:val="ru-RU"/>
        </w:rPr>
        <w:t xml:space="preserve">9 </w:t>
      </w:r>
      <w:r w:rsidRPr="007B38C0">
        <w:rPr>
          <w:rFonts w:eastAsia="Times New Roman" w:cs="Arial"/>
          <w:bCs/>
          <w:color w:val="000000"/>
          <w:lang w:eastAsia="bg-BG"/>
        </w:rPr>
        <w:t xml:space="preserve">и </w:t>
      </w:r>
      <w:r w:rsidRPr="007B38C0">
        <w:rPr>
          <w:rFonts w:eastAsia="Times New Roman" w:cs="Arial"/>
          <w:bCs/>
          <w:color w:val="000000"/>
          <w:lang w:val="en-US"/>
        </w:rPr>
        <w:t>CYP</w:t>
      </w:r>
      <w:r w:rsidRPr="007B38C0">
        <w:rPr>
          <w:rFonts w:eastAsia="Times New Roman" w:cs="Arial"/>
          <w:bCs/>
          <w:color w:val="000000"/>
          <w:lang w:val="ru-RU"/>
        </w:rPr>
        <w:t>3</w:t>
      </w:r>
      <w:r w:rsidRPr="007B38C0">
        <w:rPr>
          <w:rFonts w:eastAsia="Times New Roman" w:cs="Arial"/>
          <w:bCs/>
          <w:color w:val="000000"/>
          <w:lang w:val="en-US"/>
        </w:rPr>
        <w:t>A</w:t>
      </w:r>
      <w:r w:rsidRPr="007B38C0">
        <w:rPr>
          <w:rFonts w:eastAsia="Times New Roman" w:cs="Arial"/>
          <w:bCs/>
          <w:color w:val="000000"/>
          <w:lang w:val="ru-RU"/>
        </w:rPr>
        <w:t xml:space="preserve">4 </w:t>
      </w:r>
      <w:r w:rsidRPr="007B38C0">
        <w:rPr>
          <w:rFonts w:eastAsia="Times New Roman" w:cs="Arial"/>
          <w:bCs/>
          <w:color w:val="000000"/>
          <w:lang w:eastAsia="bg-BG"/>
        </w:rPr>
        <w:t xml:space="preserve">инхибитор): При едновременно перорално приложение на вориконазол (по 400 </w:t>
      </w:r>
      <w:r w:rsidRPr="007B38C0">
        <w:rPr>
          <w:rFonts w:eastAsia="Times New Roman" w:cs="Arial"/>
          <w:bCs/>
          <w:color w:val="000000"/>
          <w:lang w:val="en-US"/>
        </w:rPr>
        <w:t>mg</w:t>
      </w:r>
      <w:r w:rsidRPr="007B38C0">
        <w:rPr>
          <w:rFonts w:eastAsia="Times New Roman" w:cs="Arial"/>
          <w:bCs/>
          <w:color w:val="000000"/>
          <w:lang w:val="ru-RU"/>
        </w:rPr>
        <w:t xml:space="preserve"> </w:t>
      </w:r>
      <w:r w:rsidRPr="007B38C0">
        <w:rPr>
          <w:rFonts w:eastAsia="Times New Roman" w:cs="Arial"/>
          <w:bCs/>
          <w:color w:val="000000"/>
          <w:lang w:eastAsia="bg-BG"/>
        </w:rPr>
        <w:t xml:space="preserve">на 12 часа през ден 1-ви, след което по 200 </w:t>
      </w:r>
      <w:r w:rsidRPr="007B38C0">
        <w:rPr>
          <w:rFonts w:eastAsia="Times New Roman" w:cs="Arial"/>
          <w:bCs/>
          <w:color w:val="000000"/>
          <w:lang w:val="en-US"/>
        </w:rPr>
        <w:t>mg</w:t>
      </w:r>
      <w:r w:rsidRPr="007B38C0">
        <w:rPr>
          <w:rFonts w:eastAsia="Times New Roman" w:cs="Arial"/>
          <w:bCs/>
          <w:color w:val="000000"/>
          <w:lang w:val="ru-RU"/>
        </w:rPr>
        <w:t xml:space="preserve"> </w:t>
      </w:r>
      <w:r w:rsidRPr="007B38C0">
        <w:rPr>
          <w:rFonts w:eastAsia="Times New Roman" w:cs="Arial"/>
          <w:bCs/>
          <w:color w:val="000000"/>
          <w:lang w:eastAsia="bg-BG"/>
        </w:rPr>
        <w:t xml:space="preserve">на 12 часа в продължение на 2,5 дни) и флуконазол (по 400 </w:t>
      </w:r>
      <w:r w:rsidRPr="007B38C0">
        <w:rPr>
          <w:rFonts w:eastAsia="Times New Roman" w:cs="Arial"/>
          <w:bCs/>
          <w:color w:val="000000"/>
          <w:lang w:val="en-US"/>
        </w:rPr>
        <w:t>mg</w:t>
      </w:r>
      <w:r w:rsidRPr="007B38C0">
        <w:rPr>
          <w:rFonts w:eastAsia="Times New Roman" w:cs="Arial"/>
          <w:bCs/>
          <w:color w:val="000000"/>
          <w:lang w:val="ru-RU"/>
        </w:rPr>
        <w:t xml:space="preserve"> </w:t>
      </w:r>
      <w:r w:rsidRPr="007B38C0">
        <w:rPr>
          <w:rFonts w:eastAsia="Times New Roman" w:cs="Arial"/>
          <w:bCs/>
          <w:color w:val="000000"/>
          <w:lang w:eastAsia="bg-BG"/>
        </w:rPr>
        <w:t xml:space="preserve">на ден 1-ви, след което по 200 </w:t>
      </w:r>
      <w:r w:rsidRPr="007B38C0">
        <w:rPr>
          <w:rFonts w:eastAsia="Times New Roman" w:cs="Arial"/>
          <w:bCs/>
          <w:color w:val="000000"/>
          <w:lang w:val="en-US"/>
        </w:rPr>
        <w:t>mg</w:t>
      </w:r>
      <w:r w:rsidRPr="007B38C0">
        <w:rPr>
          <w:rFonts w:eastAsia="Times New Roman" w:cs="Arial"/>
          <w:bCs/>
          <w:color w:val="000000"/>
          <w:lang w:val="ru-RU"/>
        </w:rPr>
        <w:t xml:space="preserve"> </w:t>
      </w:r>
      <w:r w:rsidRPr="007B38C0">
        <w:rPr>
          <w:rFonts w:eastAsia="Times New Roman" w:cs="Arial"/>
          <w:bCs/>
          <w:color w:val="000000"/>
          <w:lang w:eastAsia="bg-BG"/>
        </w:rPr>
        <w:t xml:space="preserve">за 24 часа в продължение на 4 дни) на 8 здрави мъже доброволци стойностите на Стах и </w:t>
      </w:r>
      <w:proofErr w:type="spellStart"/>
      <w:r w:rsidRPr="007B38C0">
        <w:rPr>
          <w:rFonts w:eastAsia="Times New Roman" w:cs="Arial"/>
          <w:bCs/>
          <w:color w:val="000000"/>
          <w:lang w:val="en-US"/>
        </w:rPr>
        <w:t>AUCt</w:t>
      </w:r>
      <w:proofErr w:type="spellEnd"/>
      <w:r w:rsidRPr="007B38C0">
        <w:rPr>
          <w:rFonts w:eastAsia="Times New Roman" w:cs="Arial"/>
          <w:bCs/>
          <w:color w:val="000000"/>
          <w:lang w:val="ru-RU"/>
        </w:rPr>
        <w:t xml:space="preserve"> </w:t>
      </w:r>
      <w:r w:rsidRPr="007B38C0">
        <w:rPr>
          <w:rFonts w:eastAsia="Times New Roman" w:cs="Arial"/>
          <w:bCs/>
          <w:color w:val="000000"/>
          <w:lang w:eastAsia="bg-BG"/>
        </w:rPr>
        <w:t xml:space="preserve">на вориконазол се повишават средно с 57% (90% </w:t>
      </w:r>
      <w:r w:rsidRPr="007B38C0">
        <w:rPr>
          <w:rFonts w:eastAsia="Times New Roman" w:cs="Arial"/>
          <w:bCs/>
          <w:color w:val="000000"/>
          <w:lang w:val="en-US"/>
        </w:rPr>
        <w:t>CI</w:t>
      </w:r>
      <w:r w:rsidRPr="007B38C0">
        <w:rPr>
          <w:rFonts w:eastAsia="Times New Roman" w:cs="Arial"/>
          <w:bCs/>
          <w:color w:val="000000"/>
          <w:lang w:val="ru-RU"/>
        </w:rPr>
        <w:t xml:space="preserve">: </w:t>
      </w:r>
      <w:r w:rsidRPr="007B38C0">
        <w:rPr>
          <w:rFonts w:eastAsia="Times New Roman" w:cs="Arial"/>
          <w:bCs/>
          <w:color w:val="000000"/>
          <w:lang w:eastAsia="bg-BG"/>
        </w:rPr>
        <w:t xml:space="preserve">20%, 107%) и 79% (90% </w:t>
      </w:r>
      <w:r w:rsidRPr="007B38C0">
        <w:rPr>
          <w:rFonts w:eastAsia="Times New Roman" w:cs="Arial"/>
          <w:bCs/>
          <w:color w:val="000000"/>
          <w:lang w:val="en-US"/>
        </w:rPr>
        <w:t>CI</w:t>
      </w:r>
      <w:r w:rsidRPr="007B38C0">
        <w:rPr>
          <w:rFonts w:eastAsia="Times New Roman" w:cs="Arial"/>
          <w:bCs/>
          <w:color w:val="000000"/>
          <w:lang w:val="ru-RU"/>
        </w:rPr>
        <w:t xml:space="preserve">: </w:t>
      </w:r>
      <w:r w:rsidRPr="007B38C0">
        <w:rPr>
          <w:rFonts w:eastAsia="Times New Roman" w:cs="Arial"/>
          <w:bCs/>
          <w:color w:val="000000"/>
          <w:lang w:eastAsia="bg-BG"/>
        </w:rPr>
        <w:t>40%, 128%) съответно. Не е установено при какви редуцирани дози или при каква честота на приложение се елиминират тези ефекти. Необходимо е мониториране на вориконазол свързаните нежелани събития, когато вориконазол се прилага непосредствено след флуконазол.</w:t>
      </w:r>
    </w:p>
    <w:p w14:paraId="71171ED0" w14:textId="77777777" w:rsidR="007B38C0" w:rsidRPr="007B38C0" w:rsidRDefault="007B38C0" w:rsidP="007B38C0">
      <w:pPr>
        <w:spacing w:line="240" w:lineRule="auto"/>
        <w:rPr>
          <w:rFonts w:eastAsia="Times New Roman" w:cs="Arial"/>
          <w:bCs/>
          <w:color w:val="000000"/>
          <w:u w:val="single"/>
          <w:lang w:eastAsia="bg-BG"/>
        </w:rPr>
      </w:pPr>
    </w:p>
    <w:p w14:paraId="78CCCFDA" w14:textId="1006D49C" w:rsidR="007B38C0" w:rsidRPr="007B38C0" w:rsidRDefault="007B38C0" w:rsidP="007B38C0">
      <w:pPr>
        <w:spacing w:line="240" w:lineRule="auto"/>
        <w:rPr>
          <w:rFonts w:eastAsia="Times New Roman" w:cs="Arial"/>
        </w:rPr>
      </w:pPr>
      <w:r w:rsidRPr="007B38C0">
        <w:rPr>
          <w:rFonts w:eastAsia="Times New Roman" w:cs="Arial"/>
          <w:bCs/>
          <w:color w:val="000000"/>
          <w:u w:val="single"/>
          <w:lang w:eastAsia="bg-BG"/>
        </w:rPr>
        <w:t>Зидовудин:</w:t>
      </w:r>
      <w:r w:rsidRPr="007B38C0">
        <w:rPr>
          <w:rFonts w:eastAsia="Times New Roman" w:cs="Arial"/>
          <w:bCs/>
          <w:color w:val="000000"/>
          <w:lang w:eastAsia="bg-BG"/>
        </w:rPr>
        <w:t xml:space="preserve"> Флуконазол повишава С</w:t>
      </w:r>
      <w:r w:rsidRPr="007B38C0">
        <w:rPr>
          <w:rFonts w:eastAsia="Times New Roman" w:cs="Arial"/>
          <w:bCs/>
          <w:color w:val="000000"/>
          <w:vertAlign w:val="subscript"/>
          <w:lang w:val="en-US"/>
        </w:rPr>
        <w:t>max</w:t>
      </w:r>
      <w:r w:rsidRPr="007B38C0">
        <w:rPr>
          <w:rFonts w:eastAsia="Times New Roman" w:cs="Arial"/>
          <w:bCs/>
          <w:color w:val="000000"/>
          <w:lang w:eastAsia="bg-BG"/>
        </w:rPr>
        <w:t xml:space="preserve"> и </w:t>
      </w:r>
      <w:r w:rsidRPr="007B38C0">
        <w:rPr>
          <w:rFonts w:eastAsia="Times New Roman" w:cs="Arial"/>
          <w:bCs/>
          <w:color w:val="000000"/>
          <w:lang w:val="en-US"/>
        </w:rPr>
        <w:t>AUC</w:t>
      </w:r>
      <w:r w:rsidRPr="007B38C0">
        <w:rPr>
          <w:rFonts w:eastAsia="Times New Roman" w:cs="Arial"/>
          <w:bCs/>
          <w:color w:val="000000"/>
          <w:lang w:val="ru-RU"/>
        </w:rPr>
        <w:t xml:space="preserve"> </w:t>
      </w:r>
      <w:r w:rsidRPr="007B38C0">
        <w:rPr>
          <w:rFonts w:eastAsia="Times New Roman" w:cs="Arial"/>
          <w:bCs/>
          <w:color w:val="000000"/>
          <w:lang w:eastAsia="bg-BG"/>
        </w:rPr>
        <w:t>на зидовудин с 84% и 74% съответно, поради приблизително 45% намаление на пероралния клирънс на зидовудин. Полуживотьт на зидовудин е също така удължен с приблизително 128% при комбинирана терапия с флуконазол. Пациентите, получаващи тази комбинация, трябва да бъдат наблюдавани за развитие на нежелани реакции, свързани със зидовудин. Възможно е да се наложи понижаване н</w:t>
      </w:r>
      <w:r w:rsidRPr="007B38C0">
        <w:rPr>
          <w:rFonts w:eastAsia="Times New Roman" w:cs="Arial"/>
          <w:bCs/>
          <w:color w:val="000000"/>
          <w:u w:val="single"/>
          <w:lang w:eastAsia="bg-BG"/>
        </w:rPr>
        <w:t>адозата</w:t>
      </w:r>
      <w:r w:rsidRPr="007B38C0">
        <w:rPr>
          <w:rFonts w:eastAsia="Times New Roman" w:cs="Arial"/>
          <w:bCs/>
          <w:color w:val="000000"/>
          <w:lang w:eastAsia="bg-BG"/>
        </w:rPr>
        <w:t xml:space="preserve"> на зидовудин.</w:t>
      </w:r>
    </w:p>
    <w:p w14:paraId="656C8A69" w14:textId="77777777" w:rsidR="007B38C0" w:rsidRPr="007B38C0" w:rsidRDefault="007B38C0" w:rsidP="007B38C0">
      <w:pPr>
        <w:spacing w:line="240" w:lineRule="auto"/>
        <w:rPr>
          <w:rFonts w:eastAsia="Times New Roman" w:cs="Arial"/>
          <w:bCs/>
          <w:color w:val="000000"/>
          <w:u w:val="single"/>
          <w:lang w:eastAsia="bg-BG"/>
        </w:rPr>
      </w:pPr>
    </w:p>
    <w:p w14:paraId="006128DA" w14:textId="77777777" w:rsidR="007B38C0" w:rsidRPr="007B38C0" w:rsidRDefault="007B38C0" w:rsidP="007B38C0">
      <w:pPr>
        <w:rPr>
          <w:rFonts w:eastAsia="Times New Roman" w:cs="Arial"/>
        </w:rPr>
      </w:pPr>
      <w:r w:rsidRPr="007B38C0">
        <w:rPr>
          <w:rFonts w:eastAsia="Times New Roman" w:cs="Arial"/>
          <w:bCs/>
          <w:color w:val="000000"/>
          <w:u w:val="single"/>
          <w:lang w:eastAsia="bg-BG"/>
        </w:rPr>
        <w:t>Азитромицин:</w:t>
      </w:r>
      <w:r w:rsidRPr="007B38C0">
        <w:rPr>
          <w:rFonts w:eastAsia="Times New Roman" w:cs="Arial"/>
          <w:bCs/>
          <w:color w:val="000000"/>
          <w:lang w:eastAsia="bg-BG"/>
        </w:rPr>
        <w:t xml:space="preserve"> В открито, рандомизирано, тройно-кръстосано проучване при</w:t>
      </w:r>
      <w:r w:rsidRPr="007B38C0">
        <w:rPr>
          <w:rFonts w:eastAsia="Times New Roman" w:cs="Arial"/>
          <w:bCs/>
          <w:color w:val="000000"/>
        </w:rPr>
        <w:t xml:space="preserve"> 18 </w:t>
      </w:r>
      <w:r w:rsidRPr="007B38C0">
        <w:rPr>
          <w:rFonts w:eastAsia="Times New Roman" w:cs="Arial"/>
          <w:bCs/>
          <w:color w:val="000000"/>
          <w:lang w:eastAsia="bg-BG"/>
        </w:rPr>
        <w:t>здрави доброволци е оценен ефектът на еднократна перорална доза азитромицин 1 200</w:t>
      </w:r>
      <w:r w:rsidRPr="007B38C0">
        <w:rPr>
          <w:rFonts w:eastAsia="Times New Roman" w:cs="Arial"/>
          <w:bCs/>
          <w:color w:val="000000"/>
          <w:lang w:val="en-US"/>
        </w:rPr>
        <w:t>mg</w:t>
      </w:r>
      <w:r w:rsidRPr="007B38C0">
        <w:rPr>
          <w:rFonts w:eastAsia="Times New Roman" w:cs="Arial"/>
          <w:bCs/>
          <w:color w:val="000000"/>
        </w:rPr>
        <w:t xml:space="preserve">  </w:t>
      </w:r>
      <w:r w:rsidRPr="007B38C0">
        <w:rPr>
          <w:rFonts w:eastAsia="Times New Roman" w:cs="Arial"/>
          <w:bCs/>
          <w:color w:val="000000"/>
          <w:lang w:eastAsia="bg-BG"/>
        </w:rPr>
        <w:t xml:space="preserve">върху фармакокинетикага на еднократна перорална доза флуконазол 800 </w:t>
      </w:r>
      <w:r w:rsidRPr="007B38C0">
        <w:rPr>
          <w:rFonts w:eastAsia="Times New Roman" w:cs="Arial"/>
          <w:bCs/>
          <w:color w:val="000000"/>
          <w:lang w:val="en-US"/>
        </w:rPr>
        <w:t>mg</w:t>
      </w:r>
      <w:r w:rsidRPr="007B38C0">
        <w:rPr>
          <w:rFonts w:eastAsia="Times New Roman" w:cs="Arial"/>
          <w:bCs/>
          <w:color w:val="000000"/>
        </w:rPr>
        <w:t xml:space="preserve">, </w:t>
      </w:r>
      <w:r w:rsidRPr="007B38C0">
        <w:rPr>
          <w:rFonts w:eastAsia="Times New Roman" w:cs="Arial"/>
          <w:bCs/>
          <w:color w:val="000000"/>
          <w:lang w:eastAsia="bg-BG"/>
        </w:rPr>
        <w:t>както и ефектите на флуконазол върху фармакокинетикага на азитромицин. Не е установено сигнификантно фармакокинетично взаимодействие между флуконазол и азитромицин.</w:t>
      </w:r>
    </w:p>
    <w:p w14:paraId="26E88A7C" w14:textId="77777777" w:rsidR="007B38C0" w:rsidRPr="007B38C0" w:rsidRDefault="007B38C0" w:rsidP="007B38C0">
      <w:pPr>
        <w:spacing w:line="240" w:lineRule="auto"/>
        <w:rPr>
          <w:rFonts w:eastAsia="Times New Roman" w:cs="Arial"/>
          <w:bCs/>
          <w:color w:val="000000"/>
          <w:u w:val="single"/>
          <w:lang w:eastAsia="bg-BG"/>
        </w:rPr>
      </w:pPr>
    </w:p>
    <w:p w14:paraId="644EDEC5" w14:textId="124CC9DB" w:rsidR="007B38C0" w:rsidRPr="007B38C0" w:rsidRDefault="007B38C0" w:rsidP="007B38C0">
      <w:pPr>
        <w:spacing w:line="240" w:lineRule="auto"/>
        <w:rPr>
          <w:rFonts w:eastAsia="Times New Roman" w:cs="Arial"/>
        </w:rPr>
      </w:pPr>
      <w:r w:rsidRPr="007B38C0">
        <w:rPr>
          <w:rFonts w:eastAsia="Times New Roman" w:cs="Arial"/>
          <w:bCs/>
          <w:color w:val="000000"/>
          <w:u w:val="single"/>
          <w:lang w:eastAsia="bg-BG"/>
        </w:rPr>
        <w:t>Перорални контрацептиви:</w:t>
      </w:r>
      <w:r w:rsidRPr="007B38C0">
        <w:rPr>
          <w:rFonts w:eastAsia="Times New Roman" w:cs="Arial"/>
          <w:bCs/>
          <w:color w:val="000000"/>
          <w:lang w:eastAsia="bg-BG"/>
        </w:rPr>
        <w:t xml:space="preserve"> Проведени са две фармакокинетични проучвания с комбинирани перорални контрацептиви и многократни дози флуконазол. Не са установени значими ефекти върху хормоналното ниво при проучването с 50 </w:t>
      </w:r>
      <w:r w:rsidRPr="007B38C0">
        <w:rPr>
          <w:rFonts w:eastAsia="Times New Roman" w:cs="Arial"/>
          <w:bCs/>
          <w:color w:val="000000"/>
          <w:lang w:val="en-US"/>
        </w:rPr>
        <w:t>mg</w:t>
      </w:r>
      <w:r w:rsidRPr="007B38C0">
        <w:rPr>
          <w:rFonts w:eastAsia="Times New Roman" w:cs="Arial"/>
          <w:bCs/>
          <w:color w:val="000000"/>
          <w:lang w:val="ru-RU"/>
        </w:rPr>
        <w:t xml:space="preserve"> </w:t>
      </w:r>
      <w:r w:rsidRPr="007B38C0">
        <w:rPr>
          <w:rFonts w:eastAsia="Times New Roman" w:cs="Arial"/>
          <w:bCs/>
          <w:color w:val="000000"/>
          <w:lang w:eastAsia="bg-BG"/>
        </w:rPr>
        <w:t xml:space="preserve">флуконазол, докато при 200 </w:t>
      </w:r>
      <w:r w:rsidRPr="007B38C0">
        <w:rPr>
          <w:rFonts w:eastAsia="Times New Roman" w:cs="Arial"/>
          <w:bCs/>
          <w:color w:val="000000"/>
          <w:lang w:val="en-US"/>
        </w:rPr>
        <w:t>mg</w:t>
      </w:r>
      <w:r w:rsidRPr="007B38C0">
        <w:rPr>
          <w:rFonts w:eastAsia="Times New Roman" w:cs="Arial"/>
          <w:bCs/>
          <w:color w:val="000000"/>
          <w:lang w:val="ru-RU"/>
        </w:rPr>
        <w:t xml:space="preserve"> </w:t>
      </w:r>
      <w:r w:rsidRPr="007B38C0">
        <w:rPr>
          <w:rFonts w:eastAsia="Times New Roman" w:cs="Arial"/>
          <w:bCs/>
          <w:color w:val="000000"/>
          <w:lang w:eastAsia="bg-BG"/>
        </w:rPr>
        <w:t xml:space="preserve">дневно площта под кривата на етинилестрадиол и левоноргестрел е нараснала съответно с 40% </w:t>
      </w:r>
      <w:r w:rsidRPr="007B38C0">
        <w:rPr>
          <w:rFonts w:eastAsia="Times New Roman" w:cs="Arial"/>
          <w:bCs/>
          <w:i/>
          <w:iCs/>
          <w:color w:val="000000"/>
          <w:lang w:eastAsia="bg-BG"/>
        </w:rPr>
        <w:t>и</w:t>
      </w:r>
      <w:r w:rsidRPr="007B38C0">
        <w:rPr>
          <w:rFonts w:eastAsia="Times New Roman" w:cs="Arial"/>
          <w:bCs/>
          <w:color w:val="000000"/>
          <w:lang w:eastAsia="bg-BG"/>
        </w:rPr>
        <w:t xml:space="preserve"> 24%. Следователно не може да се очаква многократно прилаганият в такива дози флуконазол да има неблагоприятен ефект върху ефективността на комбинираните перорални контрацептиви.</w:t>
      </w:r>
    </w:p>
    <w:p w14:paraId="2BF2ACC7" w14:textId="7585ECC6" w:rsidR="007B38C0" w:rsidRPr="007B38C0" w:rsidRDefault="007B38C0" w:rsidP="007B38C0"/>
    <w:p w14:paraId="6EADE4D6" w14:textId="2DD9540D" w:rsidR="00395555" w:rsidRDefault="002C50EE" w:rsidP="008A6AF2">
      <w:pPr>
        <w:pStyle w:val="Heading2"/>
      </w:pPr>
      <w:r>
        <w:t>4.6. Фертилитет, бременност и кърмене</w:t>
      </w:r>
    </w:p>
    <w:p w14:paraId="057A54C3" w14:textId="41126EBE" w:rsidR="007B38C0" w:rsidRDefault="007B38C0" w:rsidP="007B38C0"/>
    <w:p w14:paraId="3829F119" w14:textId="77777777" w:rsidR="007B38C0" w:rsidRPr="007B38C0" w:rsidRDefault="007B38C0" w:rsidP="007B38C0">
      <w:pPr>
        <w:pStyle w:val="Heading3"/>
        <w:rPr>
          <w:rFonts w:eastAsia="Times New Roman"/>
          <w:i/>
          <w:u w:val="single"/>
        </w:rPr>
      </w:pPr>
      <w:r w:rsidRPr="007B38C0">
        <w:rPr>
          <w:rFonts w:eastAsia="Times New Roman"/>
          <w:i/>
          <w:u w:val="single"/>
          <w:lang w:eastAsia="bg-BG"/>
        </w:rPr>
        <w:t>Бременност</w:t>
      </w:r>
    </w:p>
    <w:p w14:paraId="3C132A0B" w14:textId="77777777" w:rsidR="007B38C0" w:rsidRPr="007B38C0" w:rsidRDefault="007B38C0" w:rsidP="007B38C0">
      <w:pPr>
        <w:spacing w:line="240" w:lineRule="auto"/>
        <w:rPr>
          <w:rFonts w:eastAsia="Times New Roman" w:cs="Arial"/>
        </w:rPr>
      </w:pPr>
      <w:r w:rsidRPr="007B38C0">
        <w:rPr>
          <w:rFonts w:eastAsia="Times New Roman" w:cs="Arial"/>
          <w:bCs/>
          <w:color w:val="000000"/>
          <w:lang w:eastAsia="bg-BG"/>
        </w:rPr>
        <w:t>Едно обсервационно проучване показва наличие на увеличен риск от спонтанен аборт при жени, лекувани с флуконазол през първото тримесечие.</w:t>
      </w:r>
    </w:p>
    <w:p w14:paraId="5E58827B" w14:textId="77777777" w:rsidR="007B38C0" w:rsidRPr="007B38C0" w:rsidRDefault="007B38C0" w:rsidP="007B38C0">
      <w:pPr>
        <w:spacing w:line="240" w:lineRule="auto"/>
        <w:rPr>
          <w:rFonts w:eastAsia="Times New Roman" w:cs="Arial"/>
          <w:bCs/>
          <w:color w:val="000000"/>
          <w:lang w:eastAsia="bg-BG"/>
        </w:rPr>
      </w:pPr>
    </w:p>
    <w:p w14:paraId="4640B94B" w14:textId="36866EE1" w:rsidR="007B38C0" w:rsidRPr="007B38C0" w:rsidRDefault="007B38C0" w:rsidP="007B38C0">
      <w:pPr>
        <w:spacing w:line="240" w:lineRule="auto"/>
        <w:rPr>
          <w:rFonts w:eastAsia="Times New Roman" w:cs="Arial"/>
        </w:rPr>
      </w:pPr>
      <w:r w:rsidRPr="007B38C0">
        <w:rPr>
          <w:rFonts w:eastAsia="Times New Roman" w:cs="Arial"/>
          <w:bCs/>
          <w:color w:val="000000"/>
          <w:lang w:eastAsia="bg-BG"/>
        </w:rPr>
        <w:t xml:space="preserve">Данните от няколко хиляди бременни жени, лекувани с кумулативна доза ≤150 </w:t>
      </w:r>
      <w:r w:rsidRPr="007B38C0">
        <w:rPr>
          <w:rFonts w:eastAsia="Times New Roman" w:cs="Arial"/>
          <w:bCs/>
          <w:color w:val="000000"/>
          <w:lang w:val="en-US"/>
        </w:rPr>
        <w:t>mg</w:t>
      </w:r>
      <w:r w:rsidRPr="007B38C0">
        <w:rPr>
          <w:rFonts w:eastAsia="Times New Roman" w:cs="Arial"/>
          <w:bCs/>
          <w:color w:val="000000"/>
          <w:lang w:val="ru-RU"/>
        </w:rPr>
        <w:t xml:space="preserve"> </w:t>
      </w:r>
      <w:r w:rsidRPr="007B38C0">
        <w:rPr>
          <w:rFonts w:eastAsia="Times New Roman" w:cs="Arial"/>
          <w:bCs/>
          <w:color w:val="000000"/>
          <w:lang w:eastAsia="bg-BG"/>
        </w:rPr>
        <w:t xml:space="preserve">флуконазол, приложени през първия триместър, не показват повишение на общия риск от малформации на фетуса. В едно голямо обсервационно кохортно проучване експозицията на перорален флуконазол през първия триместър се свързва с леко повишен риск от мускулно-скелетни малформации, съответстващи на приблизително 1 допълнителен случай на 1 000 жени, лекувани с кумулативни дози ≤450 </w:t>
      </w:r>
      <w:r w:rsidRPr="007B38C0">
        <w:rPr>
          <w:rFonts w:eastAsia="Times New Roman" w:cs="Arial"/>
          <w:bCs/>
          <w:color w:val="000000"/>
          <w:lang w:val="en-US"/>
        </w:rPr>
        <w:t>mg</w:t>
      </w:r>
      <w:r w:rsidRPr="007B38C0">
        <w:rPr>
          <w:rFonts w:eastAsia="Times New Roman" w:cs="Arial"/>
          <w:bCs/>
          <w:color w:val="000000"/>
          <w:lang w:val="ru-RU"/>
        </w:rPr>
        <w:t xml:space="preserve">, </w:t>
      </w:r>
      <w:r w:rsidRPr="007B38C0">
        <w:rPr>
          <w:rFonts w:eastAsia="Times New Roman" w:cs="Arial"/>
          <w:bCs/>
          <w:color w:val="000000"/>
          <w:lang w:eastAsia="bg-BG"/>
        </w:rPr>
        <w:t xml:space="preserve">в сравнение с жени, лекувани с азоли за локално приложение, и на приблизително 4 допълнителни случая на 1 000 жени, лекувани с кумулативни дози над 450 </w:t>
      </w:r>
      <w:r w:rsidRPr="007B38C0">
        <w:rPr>
          <w:rFonts w:eastAsia="Times New Roman" w:cs="Arial"/>
          <w:bCs/>
          <w:color w:val="000000"/>
          <w:lang w:val="en-US"/>
        </w:rPr>
        <w:t>mg</w:t>
      </w:r>
      <w:r w:rsidRPr="007B38C0">
        <w:rPr>
          <w:rFonts w:eastAsia="Times New Roman" w:cs="Arial"/>
          <w:bCs/>
          <w:color w:val="000000"/>
          <w:lang w:val="ru-RU"/>
        </w:rPr>
        <w:t xml:space="preserve">. </w:t>
      </w:r>
      <w:r w:rsidRPr="007B38C0">
        <w:rPr>
          <w:rFonts w:eastAsia="Times New Roman" w:cs="Arial"/>
          <w:bCs/>
          <w:color w:val="000000"/>
          <w:lang w:eastAsia="bg-BG"/>
        </w:rPr>
        <w:t xml:space="preserve">Коригираният относителен риск е 1,29 (95% </w:t>
      </w:r>
      <w:r w:rsidRPr="007B38C0">
        <w:rPr>
          <w:rFonts w:eastAsia="Times New Roman" w:cs="Arial"/>
          <w:bCs/>
          <w:color w:val="000000"/>
          <w:lang w:val="en-US"/>
        </w:rPr>
        <w:t>CI</w:t>
      </w:r>
      <w:r w:rsidRPr="007B38C0">
        <w:rPr>
          <w:rFonts w:eastAsia="Times New Roman" w:cs="Arial"/>
          <w:bCs/>
          <w:color w:val="000000"/>
          <w:lang w:val="ru-RU"/>
        </w:rPr>
        <w:t xml:space="preserve"> </w:t>
      </w:r>
      <w:r w:rsidRPr="007B38C0">
        <w:rPr>
          <w:rFonts w:eastAsia="Times New Roman" w:cs="Arial"/>
          <w:bCs/>
          <w:color w:val="000000"/>
          <w:lang w:eastAsia="bg-BG"/>
        </w:rPr>
        <w:t xml:space="preserve">1,05 до 1,58) за 150 </w:t>
      </w:r>
      <w:r w:rsidRPr="007B38C0">
        <w:rPr>
          <w:rFonts w:eastAsia="Times New Roman" w:cs="Arial"/>
          <w:bCs/>
          <w:color w:val="000000"/>
          <w:lang w:val="en-US"/>
        </w:rPr>
        <w:t>mg</w:t>
      </w:r>
      <w:r w:rsidRPr="007B38C0">
        <w:rPr>
          <w:rFonts w:eastAsia="Times New Roman" w:cs="Arial"/>
          <w:bCs/>
          <w:color w:val="000000"/>
          <w:lang w:val="ru-RU"/>
        </w:rPr>
        <w:t xml:space="preserve"> </w:t>
      </w:r>
      <w:r w:rsidRPr="007B38C0">
        <w:rPr>
          <w:rFonts w:eastAsia="Times New Roman" w:cs="Arial"/>
          <w:bCs/>
          <w:color w:val="000000"/>
          <w:lang w:eastAsia="bg-BG"/>
        </w:rPr>
        <w:t xml:space="preserve">перорален флуконазол и 1,98 (95% </w:t>
      </w:r>
      <w:r w:rsidRPr="007B38C0">
        <w:rPr>
          <w:rFonts w:eastAsia="Times New Roman" w:cs="Arial"/>
          <w:bCs/>
          <w:color w:val="000000"/>
          <w:lang w:val="en-US"/>
        </w:rPr>
        <w:t>CI</w:t>
      </w:r>
      <w:r w:rsidRPr="007B38C0">
        <w:rPr>
          <w:rFonts w:eastAsia="Times New Roman" w:cs="Arial"/>
          <w:bCs/>
          <w:color w:val="000000"/>
          <w:lang w:val="ru-RU"/>
        </w:rPr>
        <w:t xml:space="preserve"> </w:t>
      </w:r>
      <w:r w:rsidRPr="007B38C0">
        <w:rPr>
          <w:rFonts w:eastAsia="Times New Roman" w:cs="Arial"/>
          <w:bCs/>
          <w:color w:val="000000"/>
          <w:lang w:eastAsia="bg-BG"/>
        </w:rPr>
        <w:t xml:space="preserve">1,23 до 3,17) за дози над 450 </w:t>
      </w:r>
      <w:r w:rsidRPr="007B38C0">
        <w:rPr>
          <w:rFonts w:eastAsia="Times New Roman" w:cs="Arial"/>
          <w:bCs/>
          <w:color w:val="000000"/>
          <w:lang w:val="en-US"/>
        </w:rPr>
        <w:t>mg</w:t>
      </w:r>
      <w:r w:rsidRPr="007B38C0">
        <w:rPr>
          <w:rFonts w:eastAsia="Times New Roman" w:cs="Arial"/>
          <w:bCs/>
          <w:color w:val="000000"/>
          <w:lang w:val="ru-RU"/>
        </w:rPr>
        <w:t xml:space="preserve"> </w:t>
      </w:r>
      <w:r w:rsidRPr="007B38C0">
        <w:rPr>
          <w:rFonts w:eastAsia="Times New Roman" w:cs="Arial"/>
          <w:bCs/>
          <w:color w:val="000000"/>
          <w:lang w:eastAsia="bg-BG"/>
        </w:rPr>
        <w:t>флуконазол.</w:t>
      </w:r>
    </w:p>
    <w:p w14:paraId="7B5CE9E8" w14:textId="77777777" w:rsidR="007B38C0" w:rsidRPr="007B38C0" w:rsidRDefault="007B38C0" w:rsidP="007B38C0">
      <w:pPr>
        <w:spacing w:line="240" w:lineRule="auto"/>
        <w:rPr>
          <w:rFonts w:eastAsia="Times New Roman" w:cs="Arial"/>
          <w:bCs/>
          <w:color w:val="000000"/>
          <w:lang w:eastAsia="bg-BG"/>
        </w:rPr>
      </w:pPr>
    </w:p>
    <w:p w14:paraId="3C114F28" w14:textId="1CF84432" w:rsidR="007B38C0" w:rsidRPr="007B38C0" w:rsidRDefault="007B38C0" w:rsidP="007B38C0">
      <w:pPr>
        <w:spacing w:line="240" w:lineRule="auto"/>
        <w:rPr>
          <w:rFonts w:eastAsia="Times New Roman" w:cs="Arial"/>
        </w:rPr>
      </w:pPr>
      <w:r w:rsidRPr="007B38C0">
        <w:rPr>
          <w:rFonts w:eastAsia="Times New Roman" w:cs="Arial"/>
          <w:bCs/>
          <w:color w:val="000000"/>
          <w:lang w:eastAsia="bg-BG"/>
        </w:rPr>
        <w:t xml:space="preserve">Съобщава се за множествени вродени аномалии при деца (вкл. брахицефалия, дисплазия на ушите, прекадено голяма предна фонтанела, изкривяване на фемура и радио-хумерална синостоза), чиито майки са лекувани най-малко три месеца с високи дози (400-800 </w:t>
      </w:r>
      <w:r w:rsidRPr="007B38C0">
        <w:rPr>
          <w:rFonts w:eastAsia="Times New Roman" w:cs="Arial"/>
          <w:bCs/>
          <w:color w:val="000000"/>
          <w:lang w:val="en-US"/>
        </w:rPr>
        <w:t>mg</w:t>
      </w:r>
      <w:r w:rsidRPr="007B38C0">
        <w:rPr>
          <w:rFonts w:eastAsia="Times New Roman" w:cs="Arial"/>
          <w:bCs/>
          <w:color w:val="000000"/>
          <w:lang w:eastAsia="bg-BG"/>
        </w:rPr>
        <w:t>/дневно) флуконазол за кокцидиоидомикоза. Връзката между употребата на флуконазол и тези събития не е ясна.</w:t>
      </w:r>
    </w:p>
    <w:p w14:paraId="0568B519" w14:textId="77777777" w:rsidR="007B38C0" w:rsidRPr="007B38C0" w:rsidRDefault="007B38C0" w:rsidP="007B38C0">
      <w:pPr>
        <w:spacing w:line="240" w:lineRule="auto"/>
        <w:rPr>
          <w:rFonts w:eastAsia="Times New Roman" w:cs="Arial"/>
          <w:bCs/>
          <w:color w:val="000000"/>
          <w:lang w:eastAsia="bg-BG"/>
        </w:rPr>
      </w:pPr>
    </w:p>
    <w:p w14:paraId="7F16945C" w14:textId="548B7733" w:rsidR="007B38C0" w:rsidRPr="007B38C0" w:rsidRDefault="007B38C0" w:rsidP="007B38C0">
      <w:pPr>
        <w:spacing w:line="240" w:lineRule="auto"/>
        <w:rPr>
          <w:rFonts w:eastAsia="Times New Roman" w:cs="Arial"/>
        </w:rPr>
      </w:pPr>
      <w:r w:rsidRPr="007B38C0">
        <w:rPr>
          <w:rFonts w:eastAsia="Times New Roman" w:cs="Arial"/>
          <w:bCs/>
          <w:color w:val="000000"/>
          <w:lang w:eastAsia="bg-BG"/>
        </w:rPr>
        <w:t>Проучванията при животни показват репродуктивна токсичност (вж. точка 5.3).</w:t>
      </w:r>
    </w:p>
    <w:p w14:paraId="1A65F598" w14:textId="77777777" w:rsidR="007B38C0" w:rsidRPr="007B38C0" w:rsidRDefault="007B38C0" w:rsidP="007B38C0">
      <w:pPr>
        <w:spacing w:line="240" w:lineRule="auto"/>
        <w:rPr>
          <w:rFonts w:eastAsia="Times New Roman" w:cs="Arial"/>
          <w:bCs/>
          <w:color w:val="000000"/>
          <w:lang w:eastAsia="bg-BG"/>
        </w:rPr>
      </w:pPr>
    </w:p>
    <w:p w14:paraId="20467DAB" w14:textId="2C036C7E" w:rsidR="007B38C0" w:rsidRPr="007B38C0" w:rsidRDefault="007B38C0" w:rsidP="007B38C0">
      <w:pPr>
        <w:spacing w:line="240" w:lineRule="auto"/>
        <w:rPr>
          <w:rFonts w:eastAsia="Times New Roman" w:cs="Arial"/>
        </w:rPr>
      </w:pPr>
      <w:r w:rsidRPr="007B38C0">
        <w:rPr>
          <w:rFonts w:eastAsia="Times New Roman" w:cs="Arial"/>
          <w:bCs/>
          <w:color w:val="000000"/>
          <w:lang w:eastAsia="bg-BG"/>
        </w:rPr>
        <w:t>Флуконазол не трябва да се прилага по време на бременност в стандартни дози и кратковременно, освен в случай на крайна необходимост.</w:t>
      </w:r>
    </w:p>
    <w:p w14:paraId="65CAB15F" w14:textId="77777777" w:rsidR="007B38C0" w:rsidRPr="007B38C0" w:rsidRDefault="007B38C0" w:rsidP="007B38C0">
      <w:pPr>
        <w:spacing w:line="240" w:lineRule="auto"/>
        <w:rPr>
          <w:rFonts w:eastAsia="Times New Roman" w:cs="Arial"/>
          <w:bCs/>
          <w:color w:val="000000"/>
          <w:lang w:eastAsia="bg-BG"/>
        </w:rPr>
      </w:pPr>
    </w:p>
    <w:p w14:paraId="4B4FC07E" w14:textId="2C2014CC" w:rsidR="007B38C0" w:rsidRPr="007B38C0" w:rsidRDefault="007B38C0" w:rsidP="007B38C0">
      <w:pPr>
        <w:spacing w:line="240" w:lineRule="auto"/>
        <w:rPr>
          <w:rFonts w:eastAsia="Times New Roman" w:cs="Arial"/>
        </w:rPr>
      </w:pPr>
      <w:r w:rsidRPr="007B38C0">
        <w:rPr>
          <w:rFonts w:eastAsia="Times New Roman" w:cs="Arial"/>
          <w:bCs/>
          <w:color w:val="000000"/>
          <w:lang w:eastAsia="bg-BG"/>
        </w:rPr>
        <w:t>По време на бременност флуконазол не трябва да се прилага във високи дози и за продължително, освен при животозастрашаващи инфекции.</w:t>
      </w:r>
    </w:p>
    <w:p w14:paraId="469A64F6" w14:textId="77777777" w:rsidR="007B38C0" w:rsidRPr="007B38C0" w:rsidRDefault="007B38C0" w:rsidP="007B38C0">
      <w:pPr>
        <w:spacing w:line="240" w:lineRule="auto"/>
        <w:rPr>
          <w:rFonts w:eastAsia="Times New Roman" w:cs="Arial"/>
          <w:bCs/>
          <w:i/>
          <w:iCs/>
          <w:color w:val="000000"/>
          <w:u w:val="single"/>
          <w:lang w:eastAsia="bg-BG"/>
        </w:rPr>
      </w:pPr>
    </w:p>
    <w:p w14:paraId="4D988487" w14:textId="40A2F4E9" w:rsidR="007B38C0" w:rsidRPr="007B38C0" w:rsidRDefault="007B38C0" w:rsidP="007B38C0">
      <w:pPr>
        <w:pStyle w:val="Heading3"/>
        <w:rPr>
          <w:rFonts w:eastAsia="Times New Roman"/>
          <w:i/>
          <w:u w:val="single"/>
        </w:rPr>
      </w:pPr>
      <w:r w:rsidRPr="007B38C0">
        <w:rPr>
          <w:rFonts w:eastAsia="Times New Roman"/>
          <w:i/>
          <w:u w:val="single"/>
          <w:lang w:eastAsia="bg-BG"/>
        </w:rPr>
        <w:t>Кърмене</w:t>
      </w:r>
    </w:p>
    <w:p w14:paraId="6F211851" w14:textId="77777777" w:rsidR="007B38C0" w:rsidRPr="007B38C0" w:rsidRDefault="007B38C0" w:rsidP="007B38C0">
      <w:pPr>
        <w:spacing w:line="240" w:lineRule="auto"/>
        <w:rPr>
          <w:rFonts w:eastAsia="Times New Roman" w:cs="Arial"/>
        </w:rPr>
      </w:pPr>
      <w:r w:rsidRPr="007B38C0">
        <w:rPr>
          <w:rFonts w:eastAsia="Times New Roman" w:cs="Arial"/>
          <w:bCs/>
          <w:color w:val="000000"/>
          <w:lang w:eastAsia="bg-BG"/>
        </w:rPr>
        <w:t xml:space="preserve">Флуконазол се открива в кърмата в концентрации, по-ниски от тези в плазмата. Кърменето може да продължи след прилагане на еднократна стандартна доза от 200 </w:t>
      </w:r>
      <w:r w:rsidRPr="007B38C0">
        <w:rPr>
          <w:rFonts w:eastAsia="Times New Roman" w:cs="Arial"/>
          <w:bCs/>
          <w:color w:val="000000"/>
          <w:lang w:val="en-US"/>
        </w:rPr>
        <w:t>mg</w:t>
      </w:r>
      <w:r w:rsidRPr="007B38C0">
        <w:rPr>
          <w:rFonts w:eastAsia="Times New Roman" w:cs="Arial"/>
          <w:bCs/>
          <w:color w:val="000000"/>
          <w:lang w:val="ru-RU"/>
        </w:rPr>
        <w:t xml:space="preserve"> </w:t>
      </w:r>
      <w:r w:rsidRPr="007B38C0">
        <w:rPr>
          <w:rFonts w:eastAsia="Times New Roman" w:cs="Arial"/>
          <w:bCs/>
          <w:color w:val="000000"/>
          <w:lang w:eastAsia="bg-BG"/>
        </w:rPr>
        <w:t>или по-малко. Не се препоръчва кърмене след многократно прилагане или след прилагане на високи дози флуконазол.</w:t>
      </w:r>
    </w:p>
    <w:p w14:paraId="3300CC1B" w14:textId="77777777" w:rsidR="007B38C0" w:rsidRPr="007B38C0" w:rsidRDefault="007B38C0" w:rsidP="007B38C0">
      <w:pPr>
        <w:spacing w:line="240" w:lineRule="auto"/>
        <w:rPr>
          <w:rFonts w:eastAsia="Times New Roman" w:cs="Arial"/>
          <w:bCs/>
          <w:i/>
          <w:iCs/>
          <w:color w:val="000000"/>
          <w:u w:val="single"/>
          <w:lang w:eastAsia="bg-BG"/>
        </w:rPr>
      </w:pPr>
    </w:p>
    <w:p w14:paraId="63AEBD21" w14:textId="1D612623" w:rsidR="007B38C0" w:rsidRPr="007B38C0" w:rsidRDefault="007B38C0" w:rsidP="007B38C0">
      <w:pPr>
        <w:pStyle w:val="Heading3"/>
        <w:rPr>
          <w:rFonts w:eastAsia="Times New Roman"/>
          <w:i/>
          <w:u w:val="single"/>
        </w:rPr>
      </w:pPr>
      <w:r w:rsidRPr="007B38C0">
        <w:rPr>
          <w:rFonts w:eastAsia="Times New Roman"/>
          <w:i/>
          <w:u w:val="single"/>
          <w:lang w:eastAsia="bg-BG"/>
        </w:rPr>
        <w:t>Фертилитет</w:t>
      </w:r>
    </w:p>
    <w:p w14:paraId="419A95CC" w14:textId="2F5CFCF6" w:rsidR="007B38C0" w:rsidRPr="007B38C0" w:rsidRDefault="007B38C0" w:rsidP="007B38C0">
      <w:pPr>
        <w:spacing w:line="240" w:lineRule="auto"/>
        <w:rPr>
          <w:rFonts w:eastAsia="Times New Roman" w:cs="Arial"/>
        </w:rPr>
      </w:pPr>
      <w:r w:rsidRPr="007B38C0">
        <w:rPr>
          <w:rFonts w:eastAsia="Times New Roman" w:cs="Arial"/>
          <w:bCs/>
          <w:color w:val="000000"/>
          <w:lang w:eastAsia="bg-BG"/>
        </w:rPr>
        <w:t>Флуконазол не оказва влияние върху фертилитета на мъжки и женски плъхове (вж. точка 53).</w:t>
      </w:r>
    </w:p>
    <w:p w14:paraId="7B2F47CF" w14:textId="77777777" w:rsidR="007B38C0" w:rsidRPr="007B38C0" w:rsidRDefault="007B38C0" w:rsidP="007B38C0"/>
    <w:p w14:paraId="5766770B" w14:textId="38506362" w:rsidR="00395555" w:rsidRDefault="002C50EE" w:rsidP="008A6AF2">
      <w:pPr>
        <w:pStyle w:val="Heading2"/>
      </w:pPr>
      <w:r>
        <w:t>4.7. Ефекти върху способността за шофиране и работа с машини</w:t>
      </w:r>
    </w:p>
    <w:p w14:paraId="7F017B31" w14:textId="76E009C6" w:rsidR="007B38C0" w:rsidRDefault="007B38C0" w:rsidP="007B38C0"/>
    <w:p w14:paraId="0BE3DE41" w14:textId="616840E1" w:rsidR="007B38C0" w:rsidRDefault="007B38C0" w:rsidP="007B38C0">
      <w:r>
        <w:t>Не са провеждани проучвания за ефекта на флуконазол върху способността за шофиране и работата с машини. Пациентите трябва да бъдат предупредени за възможна поява на змайване и гърчове (вж. точка 4.8), когато приемат флуконазол и да бъдат посъветвани да се шофира и да не работят с машини в случай, че се наблюдават тези симптоми.</w:t>
      </w:r>
    </w:p>
    <w:p w14:paraId="778DE3C8" w14:textId="77777777" w:rsidR="007B38C0" w:rsidRPr="007B38C0" w:rsidRDefault="007B38C0" w:rsidP="007B38C0"/>
    <w:p w14:paraId="4FE16E21" w14:textId="19686D04" w:rsidR="00395555" w:rsidRDefault="002C50EE" w:rsidP="008A6AF2">
      <w:pPr>
        <w:pStyle w:val="Heading2"/>
      </w:pPr>
      <w:r>
        <w:t>4.8. Нежелани лекарствени реакции</w:t>
      </w:r>
    </w:p>
    <w:p w14:paraId="562AE195" w14:textId="461CF4A2" w:rsidR="007B38C0" w:rsidRDefault="007B38C0" w:rsidP="007B38C0"/>
    <w:p w14:paraId="683158AC" w14:textId="77777777" w:rsidR="007B38C0" w:rsidRPr="007B38C0" w:rsidRDefault="007B38C0" w:rsidP="007B38C0">
      <w:pPr>
        <w:rPr>
          <w:sz w:val="24"/>
          <w:szCs w:val="24"/>
        </w:rPr>
      </w:pPr>
      <w:r w:rsidRPr="007B38C0">
        <w:rPr>
          <w:lang w:eastAsia="bg-BG"/>
        </w:rPr>
        <w:t>Най-често наблюдаваните нежелани лекарствени реакции (&gt;1/10) са: главоболие, болка в областта на корема, диария, повдигане, повръщане, повишени стойности на аланинаминотрансферазата и аспартатаминотрансферазата, повишени стойности на алкалната фосфатаза в кръвта и обрив.</w:t>
      </w:r>
    </w:p>
    <w:p w14:paraId="79C9FE21" w14:textId="77777777" w:rsidR="007B38C0" w:rsidRDefault="007B38C0" w:rsidP="007B38C0">
      <w:pPr>
        <w:rPr>
          <w:lang w:eastAsia="bg-BG"/>
        </w:rPr>
      </w:pPr>
    </w:p>
    <w:p w14:paraId="4823B59F" w14:textId="733600CF" w:rsidR="007B38C0" w:rsidRPr="007B38C0" w:rsidRDefault="007B38C0" w:rsidP="007B38C0">
      <w:pPr>
        <w:rPr>
          <w:sz w:val="24"/>
          <w:szCs w:val="24"/>
        </w:rPr>
      </w:pPr>
      <w:r w:rsidRPr="007B38C0">
        <w:rPr>
          <w:lang w:eastAsia="bg-BG"/>
        </w:rPr>
        <w:t xml:space="preserve">Съобщава се за лекарствена реакция с еозинофилия и системни симптоми </w:t>
      </w:r>
      <w:r w:rsidRPr="007B38C0">
        <w:rPr>
          <w:lang w:val="ru-RU"/>
        </w:rPr>
        <w:t>(</w:t>
      </w:r>
      <w:r w:rsidRPr="007B38C0">
        <w:rPr>
          <w:lang w:val="en-US"/>
        </w:rPr>
        <w:t>DRESS</w:t>
      </w:r>
      <w:r w:rsidRPr="007B38C0">
        <w:rPr>
          <w:lang w:val="ru-RU"/>
        </w:rPr>
        <w:t xml:space="preserve">) </w:t>
      </w:r>
      <w:r w:rsidRPr="007B38C0">
        <w:rPr>
          <w:lang w:eastAsia="bg-BG"/>
        </w:rPr>
        <w:t>във връзка с лечението с флуконазол (вж. точка 4.4).</w:t>
      </w:r>
    </w:p>
    <w:p w14:paraId="07D78C82" w14:textId="77777777" w:rsidR="007B38C0" w:rsidRDefault="007B38C0" w:rsidP="007B38C0">
      <w:pPr>
        <w:rPr>
          <w:lang w:eastAsia="bg-BG"/>
        </w:rPr>
      </w:pPr>
    </w:p>
    <w:p w14:paraId="1CFB6743" w14:textId="73B5284A" w:rsidR="007B38C0" w:rsidRPr="007B38C0" w:rsidRDefault="007B38C0" w:rsidP="007B38C0">
      <w:pPr>
        <w:rPr>
          <w:sz w:val="24"/>
          <w:szCs w:val="24"/>
        </w:rPr>
      </w:pPr>
      <w:r w:rsidRPr="007B38C0">
        <w:rPr>
          <w:lang w:eastAsia="bg-BG"/>
        </w:rPr>
        <w:t>Следните нежелани лекарствени реакции са били наблюдавани и съобщавани по време на лечението с флуконазол със следните честоти: много чести (≥1/10), чести (≥1/100 до &lt;1/10), нечести (≥1/1 000 до &lt;1/100), редки (≥1/10 000 до &lt;1/1 000), много редки (&lt;1/10 000), с неизвестна честота (от наличните данни не може да бъде направена оценка).</w:t>
      </w:r>
    </w:p>
    <w:p w14:paraId="5FE1CD15" w14:textId="55273EC9" w:rsidR="007B38C0" w:rsidRDefault="007B38C0" w:rsidP="007B38C0"/>
    <w:tbl>
      <w:tblPr>
        <w:tblStyle w:val="TableGrid"/>
        <w:tblW w:w="0" w:type="auto"/>
        <w:tblLook w:val="04A0" w:firstRow="1" w:lastRow="0" w:firstColumn="1" w:lastColumn="0" w:noHBand="0" w:noVBand="1"/>
      </w:tblPr>
      <w:tblGrid>
        <w:gridCol w:w="1598"/>
        <w:gridCol w:w="2586"/>
        <w:gridCol w:w="1626"/>
        <w:gridCol w:w="2186"/>
        <w:gridCol w:w="1354"/>
      </w:tblGrid>
      <w:tr w:rsidR="007B38C0" w14:paraId="42469B7F" w14:textId="77777777" w:rsidTr="003F6BE7">
        <w:tc>
          <w:tcPr>
            <w:tcW w:w="1637" w:type="dxa"/>
          </w:tcPr>
          <w:p w14:paraId="49DD47AC" w14:textId="6985A071" w:rsidR="007B38C0" w:rsidRDefault="007B38C0" w:rsidP="007B38C0">
            <w:r>
              <w:t>Системо- органна класификация</w:t>
            </w:r>
          </w:p>
        </w:tc>
        <w:tc>
          <w:tcPr>
            <w:tcW w:w="2651" w:type="dxa"/>
          </w:tcPr>
          <w:p w14:paraId="4913694D" w14:textId="4669048A" w:rsidR="007B38C0" w:rsidRDefault="007B38C0" w:rsidP="007B38C0">
            <w:r>
              <w:t>Чести</w:t>
            </w:r>
          </w:p>
        </w:tc>
        <w:tc>
          <w:tcPr>
            <w:tcW w:w="1664" w:type="dxa"/>
          </w:tcPr>
          <w:p w14:paraId="08BB8452" w14:textId="45E0003E" w:rsidR="007B38C0" w:rsidRDefault="007B38C0" w:rsidP="007B38C0">
            <w:r>
              <w:t>Нечести</w:t>
            </w:r>
          </w:p>
        </w:tc>
        <w:tc>
          <w:tcPr>
            <w:tcW w:w="2239" w:type="dxa"/>
          </w:tcPr>
          <w:p w14:paraId="1CCFECFF" w14:textId="3D7629C2" w:rsidR="007B38C0" w:rsidRDefault="007B38C0" w:rsidP="007B38C0">
            <w:r>
              <w:t>Редки</w:t>
            </w:r>
          </w:p>
        </w:tc>
        <w:tc>
          <w:tcPr>
            <w:tcW w:w="1385" w:type="dxa"/>
          </w:tcPr>
          <w:p w14:paraId="6FC3B6BE" w14:textId="792CCC24" w:rsidR="007B38C0" w:rsidRDefault="007B38C0" w:rsidP="007B38C0">
            <w:r>
              <w:t>С неизвестна честота</w:t>
            </w:r>
          </w:p>
        </w:tc>
      </w:tr>
      <w:tr w:rsidR="007B38C0" w14:paraId="320F81EE" w14:textId="77777777" w:rsidTr="003F6BE7">
        <w:tc>
          <w:tcPr>
            <w:tcW w:w="1637" w:type="dxa"/>
          </w:tcPr>
          <w:p w14:paraId="29C8365F" w14:textId="46A08B05" w:rsidR="007B38C0" w:rsidRDefault="007B38C0" w:rsidP="007B38C0">
            <w:r>
              <w:t>Нарушения на кръвта и лимфната система</w:t>
            </w:r>
          </w:p>
        </w:tc>
        <w:tc>
          <w:tcPr>
            <w:tcW w:w="2651" w:type="dxa"/>
          </w:tcPr>
          <w:p w14:paraId="00DAAF2F" w14:textId="77777777" w:rsidR="007B38C0" w:rsidRDefault="007B38C0" w:rsidP="007B38C0"/>
        </w:tc>
        <w:tc>
          <w:tcPr>
            <w:tcW w:w="1664" w:type="dxa"/>
          </w:tcPr>
          <w:p w14:paraId="607F5B4A" w14:textId="18022818" w:rsidR="007B38C0" w:rsidRDefault="007B38C0" w:rsidP="007B38C0">
            <w:r>
              <w:t>Анемия</w:t>
            </w:r>
          </w:p>
        </w:tc>
        <w:tc>
          <w:tcPr>
            <w:tcW w:w="2239" w:type="dxa"/>
          </w:tcPr>
          <w:p w14:paraId="10DE0F16" w14:textId="25C8DC10" w:rsidR="007B38C0" w:rsidRDefault="007B38C0" w:rsidP="007B38C0">
            <w:r>
              <w:t>Агранулоцитоза, левкопения, тромбоцитопения, неутропения</w:t>
            </w:r>
          </w:p>
        </w:tc>
        <w:tc>
          <w:tcPr>
            <w:tcW w:w="1385" w:type="dxa"/>
          </w:tcPr>
          <w:p w14:paraId="31F57ED5" w14:textId="77777777" w:rsidR="007B38C0" w:rsidRDefault="007B38C0" w:rsidP="007B38C0"/>
        </w:tc>
      </w:tr>
      <w:tr w:rsidR="007B38C0" w14:paraId="06800D91" w14:textId="77777777" w:rsidTr="003F6BE7">
        <w:tc>
          <w:tcPr>
            <w:tcW w:w="1637" w:type="dxa"/>
          </w:tcPr>
          <w:p w14:paraId="17F8450E" w14:textId="25AF2642" w:rsidR="007B38C0" w:rsidRDefault="007B38C0" w:rsidP="007B38C0">
            <w:r>
              <w:lastRenderedPageBreak/>
              <w:t>Нарушения на имунната система</w:t>
            </w:r>
          </w:p>
        </w:tc>
        <w:tc>
          <w:tcPr>
            <w:tcW w:w="2651" w:type="dxa"/>
          </w:tcPr>
          <w:p w14:paraId="2A7DE967" w14:textId="77777777" w:rsidR="007B38C0" w:rsidRDefault="007B38C0" w:rsidP="007B38C0"/>
        </w:tc>
        <w:tc>
          <w:tcPr>
            <w:tcW w:w="1664" w:type="dxa"/>
          </w:tcPr>
          <w:p w14:paraId="3B6FDA8D" w14:textId="77777777" w:rsidR="007B38C0" w:rsidRDefault="007B38C0" w:rsidP="007B38C0"/>
        </w:tc>
        <w:tc>
          <w:tcPr>
            <w:tcW w:w="2239" w:type="dxa"/>
          </w:tcPr>
          <w:p w14:paraId="4D202DA9" w14:textId="4B5B80A7" w:rsidR="007B38C0" w:rsidRDefault="007B38C0" w:rsidP="007B38C0">
            <w:r>
              <w:t>Анафилаксия</w:t>
            </w:r>
          </w:p>
        </w:tc>
        <w:tc>
          <w:tcPr>
            <w:tcW w:w="1385" w:type="dxa"/>
          </w:tcPr>
          <w:p w14:paraId="66848F73" w14:textId="77777777" w:rsidR="007B38C0" w:rsidRDefault="007B38C0" w:rsidP="007B38C0"/>
        </w:tc>
      </w:tr>
      <w:tr w:rsidR="007B38C0" w14:paraId="76101A12" w14:textId="77777777" w:rsidTr="003F6BE7">
        <w:tc>
          <w:tcPr>
            <w:tcW w:w="1637" w:type="dxa"/>
          </w:tcPr>
          <w:p w14:paraId="79951E88" w14:textId="106355DF" w:rsidR="007B38C0" w:rsidRDefault="007B38C0" w:rsidP="007B38C0">
            <w:r>
              <w:t>Нарушения на метаболизма и храненето</w:t>
            </w:r>
          </w:p>
        </w:tc>
        <w:tc>
          <w:tcPr>
            <w:tcW w:w="2651" w:type="dxa"/>
          </w:tcPr>
          <w:p w14:paraId="68C143B6" w14:textId="77777777" w:rsidR="007B38C0" w:rsidRDefault="007B38C0" w:rsidP="007B38C0"/>
        </w:tc>
        <w:tc>
          <w:tcPr>
            <w:tcW w:w="1664" w:type="dxa"/>
          </w:tcPr>
          <w:p w14:paraId="594F8424" w14:textId="4DE1FF43" w:rsidR="007B38C0" w:rsidRDefault="007B38C0" w:rsidP="007B38C0">
            <w:r>
              <w:t>Понижен апетит</w:t>
            </w:r>
          </w:p>
        </w:tc>
        <w:tc>
          <w:tcPr>
            <w:tcW w:w="2239" w:type="dxa"/>
          </w:tcPr>
          <w:p w14:paraId="5A8D4FEA" w14:textId="720A9078" w:rsidR="007B38C0" w:rsidRDefault="007B38C0" w:rsidP="007B38C0">
            <w:r>
              <w:t>Хиперхолестеролемия, хипертриглицеридеми я, хипокалиемия</w:t>
            </w:r>
          </w:p>
        </w:tc>
        <w:tc>
          <w:tcPr>
            <w:tcW w:w="1385" w:type="dxa"/>
          </w:tcPr>
          <w:p w14:paraId="7A3FA0FE" w14:textId="77777777" w:rsidR="007B38C0" w:rsidRDefault="007B38C0" w:rsidP="007B38C0"/>
        </w:tc>
      </w:tr>
      <w:tr w:rsidR="007B38C0" w14:paraId="07914D5A" w14:textId="77777777" w:rsidTr="003F6BE7">
        <w:tc>
          <w:tcPr>
            <w:tcW w:w="1637" w:type="dxa"/>
          </w:tcPr>
          <w:p w14:paraId="62C510A9" w14:textId="1A553159" w:rsidR="007B38C0" w:rsidRDefault="007B38C0" w:rsidP="007B38C0">
            <w:r>
              <w:t>Психични нарушения</w:t>
            </w:r>
          </w:p>
        </w:tc>
        <w:tc>
          <w:tcPr>
            <w:tcW w:w="2651" w:type="dxa"/>
          </w:tcPr>
          <w:p w14:paraId="3D1D016E" w14:textId="77777777" w:rsidR="007B38C0" w:rsidRDefault="007B38C0" w:rsidP="007B38C0"/>
        </w:tc>
        <w:tc>
          <w:tcPr>
            <w:tcW w:w="1664" w:type="dxa"/>
          </w:tcPr>
          <w:p w14:paraId="1CCCB13B" w14:textId="5152F095" w:rsidR="007B38C0" w:rsidRDefault="007B38C0" w:rsidP="007B38C0">
            <w:r>
              <w:t>Сомнолентност, инсомния</w:t>
            </w:r>
          </w:p>
        </w:tc>
        <w:tc>
          <w:tcPr>
            <w:tcW w:w="2239" w:type="dxa"/>
          </w:tcPr>
          <w:p w14:paraId="73B7D6DC" w14:textId="77777777" w:rsidR="007B38C0" w:rsidRDefault="007B38C0" w:rsidP="007B38C0"/>
        </w:tc>
        <w:tc>
          <w:tcPr>
            <w:tcW w:w="1385" w:type="dxa"/>
          </w:tcPr>
          <w:p w14:paraId="6EBA9920" w14:textId="77777777" w:rsidR="007B38C0" w:rsidRDefault="007B38C0" w:rsidP="007B38C0"/>
        </w:tc>
      </w:tr>
      <w:tr w:rsidR="007B38C0" w14:paraId="0207E225" w14:textId="77777777" w:rsidTr="003F6BE7">
        <w:tc>
          <w:tcPr>
            <w:tcW w:w="1637" w:type="dxa"/>
          </w:tcPr>
          <w:p w14:paraId="6C511862" w14:textId="4275C0B3" w:rsidR="007B38C0" w:rsidRDefault="007B38C0" w:rsidP="007B38C0">
            <w:r>
              <w:t>Нарушения на нервната система</w:t>
            </w:r>
          </w:p>
        </w:tc>
        <w:tc>
          <w:tcPr>
            <w:tcW w:w="2651" w:type="dxa"/>
          </w:tcPr>
          <w:p w14:paraId="7E216B9F" w14:textId="3A6E703D" w:rsidR="007B38C0" w:rsidRDefault="007B38C0" w:rsidP="007B38C0">
            <w:r>
              <w:t>Главоболие</w:t>
            </w:r>
          </w:p>
        </w:tc>
        <w:tc>
          <w:tcPr>
            <w:tcW w:w="1664" w:type="dxa"/>
          </w:tcPr>
          <w:p w14:paraId="632AB50F" w14:textId="39D4AC80" w:rsidR="007B38C0" w:rsidRDefault="007B38C0" w:rsidP="007B38C0">
            <w:r>
              <w:t>Гърчове, парестезия, замайване, промяна във вкуса</w:t>
            </w:r>
          </w:p>
        </w:tc>
        <w:tc>
          <w:tcPr>
            <w:tcW w:w="2239" w:type="dxa"/>
          </w:tcPr>
          <w:p w14:paraId="7870FBDA" w14:textId="2EEA8A42" w:rsidR="007B38C0" w:rsidRDefault="007B38C0" w:rsidP="007B38C0">
            <w:r>
              <w:t>Тремор</w:t>
            </w:r>
          </w:p>
        </w:tc>
        <w:tc>
          <w:tcPr>
            <w:tcW w:w="1385" w:type="dxa"/>
          </w:tcPr>
          <w:p w14:paraId="217AE09E" w14:textId="77777777" w:rsidR="007B38C0" w:rsidRDefault="007B38C0" w:rsidP="007B38C0"/>
        </w:tc>
      </w:tr>
      <w:tr w:rsidR="007B38C0" w14:paraId="098B9433" w14:textId="77777777" w:rsidTr="003F6BE7">
        <w:tc>
          <w:tcPr>
            <w:tcW w:w="1637" w:type="dxa"/>
          </w:tcPr>
          <w:p w14:paraId="037B69A1" w14:textId="76C6E50F" w:rsidR="007B38C0" w:rsidRDefault="007B38C0" w:rsidP="007B38C0">
            <w:r>
              <w:t>Нарушения на ухото и лабиринта</w:t>
            </w:r>
          </w:p>
        </w:tc>
        <w:tc>
          <w:tcPr>
            <w:tcW w:w="2651" w:type="dxa"/>
          </w:tcPr>
          <w:p w14:paraId="30900435" w14:textId="77777777" w:rsidR="007B38C0" w:rsidRDefault="007B38C0" w:rsidP="007B38C0"/>
        </w:tc>
        <w:tc>
          <w:tcPr>
            <w:tcW w:w="1664" w:type="dxa"/>
          </w:tcPr>
          <w:p w14:paraId="1FFE3100" w14:textId="474E5D8B" w:rsidR="007B38C0" w:rsidRDefault="007B38C0" w:rsidP="007B38C0">
            <w:r>
              <w:t>Вертиго</w:t>
            </w:r>
          </w:p>
        </w:tc>
        <w:tc>
          <w:tcPr>
            <w:tcW w:w="2239" w:type="dxa"/>
          </w:tcPr>
          <w:p w14:paraId="75AA89BA" w14:textId="77777777" w:rsidR="007B38C0" w:rsidRDefault="007B38C0" w:rsidP="007B38C0"/>
        </w:tc>
        <w:tc>
          <w:tcPr>
            <w:tcW w:w="1385" w:type="dxa"/>
          </w:tcPr>
          <w:p w14:paraId="2A729A06" w14:textId="77777777" w:rsidR="007B38C0" w:rsidRDefault="007B38C0" w:rsidP="007B38C0"/>
        </w:tc>
      </w:tr>
      <w:tr w:rsidR="007B38C0" w14:paraId="160170EA" w14:textId="77777777" w:rsidTr="003F6BE7">
        <w:tc>
          <w:tcPr>
            <w:tcW w:w="1637" w:type="dxa"/>
          </w:tcPr>
          <w:p w14:paraId="4AC12EF6" w14:textId="24678952" w:rsidR="007B38C0" w:rsidRDefault="007B38C0" w:rsidP="007B38C0">
            <w:r>
              <w:t>Сърдечни нарушения</w:t>
            </w:r>
          </w:p>
        </w:tc>
        <w:tc>
          <w:tcPr>
            <w:tcW w:w="2651" w:type="dxa"/>
          </w:tcPr>
          <w:p w14:paraId="70336350" w14:textId="77777777" w:rsidR="007B38C0" w:rsidRDefault="007B38C0" w:rsidP="007B38C0"/>
        </w:tc>
        <w:tc>
          <w:tcPr>
            <w:tcW w:w="1664" w:type="dxa"/>
          </w:tcPr>
          <w:p w14:paraId="7E75ECFE" w14:textId="77777777" w:rsidR="007B38C0" w:rsidRDefault="007B38C0" w:rsidP="007B38C0"/>
        </w:tc>
        <w:tc>
          <w:tcPr>
            <w:tcW w:w="2239" w:type="dxa"/>
          </w:tcPr>
          <w:p w14:paraId="330BD0E0" w14:textId="77777777" w:rsidR="007B38C0" w:rsidRDefault="007B38C0" w:rsidP="007B38C0">
            <w:proofErr w:type="spellStart"/>
            <w:r>
              <w:rPr>
                <w:i/>
                <w:iCs/>
                <w:sz w:val="20"/>
                <w:szCs w:val="20"/>
                <w:lang w:val="en-US"/>
              </w:rPr>
              <w:t>Torsades</w:t>
            </w:r>
            <w:proofErr w:type="spellEnd"/>
            <w:r w:rsidRPr="007B38C0">
              <w:rPr>
                <w:i/>
                <w:iCs/>
                <w:sz w:val="20"/>
                <w:szCs w:val="20"/>
                <w:lang w:val="ru-RU"/>
              </w:rPr>
              <w:t xml:space="preserve"> </w:t>
            </w:r>
            <w:r>
              <w:rPr>
                <w:i/>
                <w:iCs/>
                <w:sz w:val="20"/>
                <w:szCs w:val="20"/>
                <w:lang w:val="en-US"/>
              </w:rPr>
              <w:t>de</w:t>
            </w:r>
            <w:r w:rsidRPr="007B38C0">
              <w:rPr>
                <w:i/>
                <w:iCs/>
                <w:sz w:val="20"/>
                <w:szCs w:val="20"/>
                <w:lang w:val="ru-RU"/>
              </w:rPr>
              <w:t xml:space="preserve"> </w:t>
            </w:r>
            <w:r>
              <w:rPr>
                <w:i/>
                <w:iCs/>
                <w:sz w:val="20"/>
                <w:szCs w:val="20"/>
                <w:lang w:val="en-US"/>
              </w:rPr>
              <w:t>pointes</w:t>
            </w:r>
            <w:r w:rsidRPr="007B38C0">
              <w:rPr>
                <w:lang w:val="ru-RU"/>
              </w:rPr>
              <w:t xml:space="preserve"> </w:t>
            </w:r>
            <w:r>
              <w:t xml:space="preserve">(вж. точка 4.4), удължаване на </w:t>
            </w:r>
            <w:r>
              <w:rPr>
                <w:lang w:val="en-US"/>
              </w:rPr>
              <w:t>QT</w:t>
            </w:r>
            <w:r w:rsidRPr="007B38C0">
              <w:rPr>
                <w:lang w:val="ru-RU"/>
              </w:rPr>
              <w:t xml:space="preserve"> </w:t>
            </w:r>
            <w:r>
              <w:t>интервала (вж.</w:t>
            </w:r>
          </w:p>
          <w:p w14:paraId="0D11D313" w14:textId="67590328" w:rsidR="007B38C0" w:rsidRDefault="007B38C0" w:rsidP="007B38C0">
            <w:r>
              <w:t>точка 4.4)</w:t>
            </w:r>
          </w:p>
        </w:tc>
        <w:tc>
          <w:tcPr>
            <w:tcW w:w="1385" w:type="dxa"/>
          </w:tcPr>
          <w:p w14:paraId="7FDB2AAF" w14:textId="77777777" w:rsidR="007B38C0" w:rsidRDefault="007B38C0" w:rsidP="007B38C0"/>
        </w:tc>
      </w:tr>
      <w:tr w:rsidR="007B38C0" w14:paraId="313EE7FD" w14:textId="77777777" w:rsidTr="003F6BE7">
        <w:tc>
          <w:tcPr>
            <w:tcW w:w="1637" w:type="dxa"/>
          </w:tcPr>
          <w:p w14:paraId="505585DE" w14:textId="5CDAF0F1" w:rsidR="007B38C0" w:rsidRDefault="007B38C0" w:rsidP="007B38C0">
            <w:r>
              <w:t>Стомашно- чревни нарушения</w:t>
            </w:r>
          </w:p>
        </w:tc>
        <w:tc>
          <w:tcPr>
            <w:tcW w:w="2651" w:type="dxa"/>
          </w:tcPr>
          <w:p w14:paraId="7BFD6CB6" w14:textId="565A3E77" w:rsidR="007B38C0" w:rsidRDefault="007B38C0" w:rsidP="007B38C0">
            <w:r>
              <w:t>Болка в областта на корема, повръщане, диария, повдигане</w:t>
            </w:r>
          </w:p>
        </w:tc>
        <w:tc>
          <w:tcPr>
            <w:tcW w:w="1664" w:type="dxa"/>
          </w:tcPr>
          <w:p w14:paraId="444084DE" w14:textId="5F1B512B" w:rsidR="007B38C0" w:rsidRDefault="007B38C0" w:rsidP="007B38C0">
            <w:r>
              <w:t>Констипация, диспепсия, флатуленция, сухота в устата</w:t>
            </w:r>
          </w:p>
        </w:tc>
        <w:tc>
          <w:tcPr>
            <w:tcW w:w="2239" w:type="dxa"/>
          </w:tcPr>
          <w:p w14:paraId="7A361123" w14:textId="77777777" w:rsidR="007B38C0" w:rsidRDefault="007B38C0" w:rsidP="007B38C0"/>
        </w:tc>
        <w:tc>
          <w:tcPr>
            <w:tcW w:w="1385" w:type="dxa"/>
          </w:tcPr>
          <w:p w14:paraId="073C596A" w14:textId="77777777" w:rsidR="007B38C0" w:rsidRDefault="007B38C0" w:rsidP="007B38C0"/>
        </w:tc>
      </w:tr>
      <w:tr w:rsidR="007B38C0" w14:paraId="4395948C" w14:textId="77777777" w:rsidTr="003F6BE7">
        <w:tc>
          <w:tcPr>
            <w:tcW w:w="1637" w:type="dxa"/>
          </w:tcPr>
          <w:p w14:paraId="55569C64" w14:textId="3605B4B7" w:rsidR="007B38C0" w:rsidRDefault="007B38C0" w:rsidP="007B38C0">
            <w:r>
              <w:t>Хепатобнлиарн и нарушения</w:t>
            </w:r>
          </w:p>
        </w:tc>
        <w:tc>
          <w:tcPr>
            <w:tcW w:w="2651" w:type="dxa"/>
          </w:tcPr>
          <w:p w14:paraId="76BA8D1B" w14:textId="13F29F02" w:rsidR="007B38C0" w:rsidRDefault="007B38C0" w:rsidP="007B38C0">
            <w:r>
              <w:t>Повишени стойности на аланинаминотрансферазат а (вж. точка 4.4), повишени стойности на аспартатминотрансферазат а (вж. точка 4.4), повишени стойности на алкалната фосфатаза в кръвта (вж. точка 4.4)</w:t>
            </w:r>
          </w:p>
        </w:tc>
        <w:tc>
          <w:tcPr>
            <w:tcW w:w="1664" w:type="dxa"/>
          </w:tcPr>
          <w:p w14:paraId="6DC42A69" w14:textId="5DCAD0FD" w:rsidR="007B38C0" w:rsidRDefault="007B38C0" w:rsidP="007B38C0">
            <w:r>
              <w:t>Холестаза (вж. точка 4.4), жълтеница (вж. точка 4.4), повишаване на билирубина (вж. точка 4.4)</w:t>
            </w:r>
          </w:p>
        </w:tc>
        <w:tc>
          <w:tcPr>
            <w:tcW w:w="2239" w:type="dxa"/>
          </w:tcPr>
          <w:p w14:paraId="199BE3AD" w14:textId="48C05BC4" w:rsidR="007B38C0" w:rsidRDefault="007B38C0" w:rsidP="007B38C0">
            <w:r>
              <w:t>Чернодробна недостатъчност (вж. точка 4.4), хепатоцелуларна некроза (вж. точка 4.4), хепатит (вж. точка 4.4), хепатоцелуларно увреждане (вж. точка 4.4)</w:t>
            </w:r>
          </w:p>
        </w:tc>
        <w:tc>
          <w:tcPr>
            <w:tcW w:w="1385" w:type="dxa"/>
          </w:tcPr>
          <w:p w14:paraId="0C7A1C1F" w14:textId="77777777" w:rsidR="007B38C0" w:rsidRDefault="007B38C0" w:rsidP="007B38C0"/>
        </w:tc>
      </w:tr>
      <w:tr w:rsidR="007B38C0" w14:paraId="4597AF09" w14:textId="77777777" w:rsidTr="003F6BE7">
        <w:tc>
          <w:tcPr>
            <w:tcW w:w="1637" w:type="dxa"/>
          </w:tcPr>
          <w:p w14:paraId="5C709D0B" w14:textId="1556491E" w:rsidR="007B38C0" w:rsidRDefault="007B38C0" w:rsidP="007B38C0">
            <w:r>
              <w:t xml:space="preserve">Нарушения на кожата и </w:t>
            </w:r>
            <w:r w:rsidRPr="007B38C0">
              <w:t>подкожната тъкан</w:t>
            </w:r>
          </w:p>
        </w:tc>
        <w:tc>
          <w:tcPr>
            <w:tcW w:w="2651" w:type="dxa"/>
          </w:tcPr>
          <w:p w14:paraId="67459532" w14:textId="465950ED" w:rsidR="007B38C0" w:rsidRDefault="007B38C0" w:rsidP="007B38C0">
            <w:r>
              <w:t>Обрив (вж. точка 4.4)</w:t>
            </w:r>
          </w:p>
        </w:tc>
        <w:tc>
          <w:tcPr>
            <w:tcW w:w="1664" w:type="dxa"/>
          </w:tcPr>
          <w:p w14:paraId="51EA64CB" w14:textId="6179113D" w:rsidR="003F6BE7" w:rsidRPr="003F6BE7" w:rsidRDefault="007B38C0" w:rsidP="003F6BE7">
            <w:pPr>
              <w:rPr>
                <w:sz w:val="24"/>
                <w:szCs w:val="24"/>
              </w:rPr>
            </w:pPr>
            <w:r>
              <w:t>Лекарствени ерупции (вж.</w:t>
            </w:r>
            <w:r w:rsidR="003F6BE7">
              <w:t xml:space="preserve"> </w:t>
            </w:r>
            <w:r w:rsidR="003F6BE7" w:rsidRPr="003F6BE7">
              <w:rPr>
                <w:lang w:eastAsia="bg-BG"/>
              </w:rPr>
              <w:t>точка 4.4)</w:t>
            </w:r>
            <w:r w:rsidR="003F6BE7">
              <w:rPr>
                <w:lang w:eastAsia="bg-BG"/>
              </w:rPr>
              <w:t>*</w:t>
            </w:r>
            <w:r w:rsidR="003F6BE7" w:rsidRPr="003F6BE7">
              <w:rPr>
                <w:lang w:eastAsia="bg-BG"/>
              </w:rPr>
              <w:t xml:space="preserve">, уртикария (вж. точка 4.4), </w:t>
            </w:r>
            <w:r w:rsidR="003F6BE7" w:rsidRPr="003F6BE7">
              <w:rPr>
                <w:lang w:eastAsia="bg-BG"/>
              </w:rPr>
              <w:lastRenderedPageBreak/>
              <w:t>пруритус, повишено</w:t>
            </w:r>
          </w:p>
          <w:p w14:paraId="2829A8DF" w14:textId="77777777" w:rsidR="003F6BE7" w:rsidRPr="003F6BE7" w:rsidRDefault="003F6BE7" w:rsidP="003F6BE7">
            <w:pPr>
              <w:rPr>
                <w:sz w:val="24"/>
                <w:szCs w:val="24"/>
              </w:rPr>
            </w:pPr>
            <w:r w:rsidRPr="003F6BE7">
              <w:rPr>
                <w:lang w:eastAsia="bg-BG"/>
              </w:rPr>
              <w:t>изпотяване</w:t>
            </w:r>
          </w:p>
          <w:p w14:paraId="73799613" w14:textId="5DED3AF9" w:rsidR="007B38C0" w:rsidRDefault="007B38C0" w:rsidP="007B38C0"/>
        </w:tc>
        <w:tc>
          <w:tcPr>
            <w:tcW w:w="2239" w:type="dxa"/>
          </w:tcPr>
          <w:p w14:paraId="1A7F3ADC" w14:textId="0D18EF75" w:rsidR="007B38C0" w:rsidRPr="003F6BE7" w:rsidRDefault="007B38C0" w:rsidP="007B38C0">
            <w:pPr>
              <w:rPr>
                <w:rFonts w:ascii="Times New Roman" w:eastAsia="Times New Roman" w:hAnsi="Times New Roman" w:cs="Times New Roman"/>
                <w:sz w:val="24"/>
                <w:szCs w:val="24"/>
              </w:rPr>
            </w:pPr>
            <w:r>
              <w:lastRenderedPageBreak/>
              <w:t>Токсична епидермална некролиза (вж.</w:t>
            </w:r>
            <w:r w:rsidR="003F6BE7">
              <w:t xml:space="preserve"> </w:t>
            </w:r>
            <w:r w:rsidR="003F6BE7" w:rsidRPr="003F6BE7">
              <w:rPr>
                <w:lang w:eastAsia="bg-BG"/>
              </w:rPr>
              <w:t xml:space="preserve">4.4), синдром на </w:t>
            </w:r>
            <w:r w:rsidR="003F6BE7" w:rsidRPr="003F6BE7">
              <w:rPr>
                <w:lang w:val="en-US"/>
              </w:rPr>
              <w:t>Stevens</w:t>
            </w:r>
            <w:r w:rsidR="003F6BE7" w:rsidRPr="003F6BE7">
              <w:rPr>
                <w:lang w:val="ru-RU"/>
              </w:rPr>
              <w:t>-</w:t>
            </w:r>
            <w:r w:rsidR="003F6BE7" w:rsidRPr="003F6BE7">
              <w:rPr>
                <w:lang w:val="en-US"/>
              </w:rPr>
              <w:t>Johnson</w:t>
            </w:r>
            <w:r w:rsidR="003F6BE7" w:rsidRPr="003F6BE7">
              <w:rPr>
                <w:lang w:val="ru-RU"/>
              </w:rPr>
              <w:t xml:space="preserve"> </w:t>
            </w:r>
            <w:r w:rsidR="003F6BE7" w:rsidRPr="003F6BE7">
              <w:rPr>
                <w:lang w:eastAsia="bg-BG"/>
              </w:rPr>
              <w:t xml:space="preserve">(вж. точка 4.4), остра </w:t>
            </w:r>
            <w:r w:rsidR="003F6BE7" w:rsidRPr="003F6BE7">
              <w:rPr>
                <w:lang w:eastAsia="bg-BG"/>
              </w:rPr>
              <w:lastRenderedPageBreak/>
              <w:t>генерализирана екзантематозна- пустулоза (вж. точка 4.4), ексфолиативен дерматит, ангиоедем, едем на лицето, алопеция</w:t>
            </w:r>
          </w:p>
        </w:tc>
        <w:tc>
          <w:tcPr>
            <w:tcW w:w="1385" w:type="dxa"/>
          </w:tcPr>
          <w:p w14:paraId="642874E4" w14:textId="77777777" w:rsidR="007B38C0" w:rsidRDefault="007B38C0" w:rsidP="007B38C0">
            <w:r>
              <w:lastRenderedPageBreak/>
              <w:t>Лекарствена</w:t>
            </w:r>
          </w:p>
          <w:p w14:paraId="16876E5A" w14:textId="77777777" w:rsidR="007B38C0" w:rsidRDefault="007B38C0" w:rsidP="007B38C0">
            <w:r>
              <w:t>реакция с</w:t>
            </w:r>
          </w:p>
          <w:p w14:paraId="1E01C963" w14:textId="5E657997" w:rsidR="003F6BE7" w:rsidRPr="003F6BE7" w:rsidRDefault="003F6BE7" w:rsidP="003F6BE7">
            <w:pPr>
              <w:rPr>
                <w:lang w:val="ru-RU"/>
              </w:rPr>
            </w:pPr>
            <w:r>
              <w:t xml:space="preserve">еозинофилия и системни </w:t>
            </w:r>
            <w:r>
              <w:lastRenderedPageBreak/>
              <w:t xml:space="preserve">симптоми </w:t>
            </w:r>
            <w:r w:rsidRPr="003F6BE7">
              <w:rPr>
                <w:lang w:val="ru-RU"/>
              </w:rPr>
              <w:t>(</w:t>
            </w:r>
            <w:r>
              <w:rPr>
                <w:lang w:val="en-US"/>
              </w:rPr>
              <w:t>DRESS</w:t>
            </w:r>
            <w:r w:rsidRPr="003F6BE7">
              <w:rPr>
                <w:lang w:val="ru-RU"/>
              </w:rPr>
              <w:t>)</w:t>
            </w:r>
          </w:p>
        </w:tc>
      </w:tr>
      <w:tr w:rsidR="003F6BE7" w14:paraId="4C534478" w14:textId="77777777" w:rsidTr="003F6BE7">
        <w:tc>
          <w:tcPr>
            <w:tcW w:w="1637" w:type="dxa"/>
          </w:tcPr>
          <w:p w14:paraId="6722BE77" w14:textId="59340D20" w:rsidR="003F6BE7" w:rsidRDefault="003F6BE7" w:rsidP="003F6BE7">
            <w:r>
              <w:t>Нарушения на мускулно- скелетната система и съединителната тъкан</w:t>
            </w:r>
          </w:p>
        </w:tc>
        <w:tc>
          <w:tcPr>
            <w:tcW w:w="2651" w:type="dxa"/>
          </w:tcPr>
          <w:p w14:paraId="3AF1BF09" w14:textId="77777777" w:rsidR="003F6BE7" w:rsidRDefault="003F6BE7" w:rsidP="003F6BE7"/>
        </w:tc>
        <w:tc>
          <w:tcPr>
            <w:tcW w:w="1664" w:type="dxa"/>
          </w:tcPr>
          <w:p w14:paraId="673A9402" w14:textId="3CE875FE" w:rsidR="003F6BE7" w:rsidRDefault="003F6BE7" w:rsidP="003F6BE7">
            <w:r>
              <w:t>Миалгия</w:t>
            </w:r>
          </w:p>
        </w:tc>
        <w:tc>
          <w:tcPr>
            <w:tcW w:w="2239" w:type="dxa"/>
          </w:tcPr>
          <w:p w14:paraId="4D4D0577" w14:textId="77777777" w:rsidR="003F6BE7" w:rsidRDefault="003F6BE7" w:rsidP="003F6BE7"/>
        </w:tc>
        <w:tc>
          <w:tcPr>
            <w:tcW w:w="1385" w:type="dxa"/>
          </w:tcPr>
          <w:p w14:paraId="1ED77FEC" w14:textId="77777777" w:rsidR="003F6BE7" w:rsidRDefault="003F6BE7" w:rsidP="003F6BE7"/>
        </w:tc>
      </w:tr>
      <w:tr w:rsidR="003F6BE7" w14:paraId="3703E309" w14:textId="77777777" w:rsidTr="003F6BE7">
        <w:tc>
          <w:tcPr>
            <w:tcW w:w="1637" w:type="dxa"/>
          </w:tcPr>
          <w:p w14:paraId="3176913A" w14:textId="3D03644B" w:rsidR="003F6BE7" w:rsidRDefault="003F6BE7" w:rsidP="003F6BE7">
            <w:r>
              <w:t>Общи нарушения и ефекти на мястото на приложение</w:t>
            </w:r>
          </w:p>
        </w:tc>
        <w:tc>
          <w:tcPr>
            <w:tcW w:w="2651" w:type="dxa"/>
          </w:tcPr>
          <w:p w14:paraId="2CAE2B8C" w14:textId="77777777" w:rsidR="003F6BE7" w:rsidRDefault="003F6BE7" w:rsidP="003F6BE7"/>
        </w:tc>
        <w:tc>
          <w:tcPr>
            <w:tcW w:w="1664" w:type="dxa"/>
          </w:tcPr>
          <w:p w14:paraId="30C96CA8" w14:textId="462B74FA" w:rsidR="003F6BE7" w:rsidRDefault="003F6BE7" w:rsidP="003F6BE7">
            <w:r>
              <w:t>Умора, неразположение , астения, температура</w:t>
            </w:r>
          </w:p>
        </w:tc>
        <w:tc>
          <w:tcPr>
            <w:tcW w:w="2239" w:type="dxa"/>
          </w:tcPr>
          <w:p w14:paraId="3A5A37DB" w14:textId="77777777" w:rsidR="003F6BE7" w:rsidRDefault="003F6BE7" w:rsidP="003F6BE7"/>
        </w:tc>
        <w:tc>
          <w:tcPr>
            <w:tcW w:w="1385" w:type="dxa"/>
          </w:tcPr>
          <w:p w14:paraId="321DA9B2" w14:textId="77777777" w:rsidR="003F6BE7" w:rsidRDefault="003F6BE7" w:rsidP="003F6BE7"/>
        </w:tc>
      </w:tr>
    </w:tbl>
    <w:p w14:paraId="6CE5F52E" w14:textId="044EE377" w:rsidR="003F6BE7" w:rsidRPr="003F6BE7" w:rsidRDefault="003F6BE7" w:rsidP="003F6BE7">
      <w:pPr>
        <w:rPr>
          <w:sz w:val="24"/>
          <w:szCs w:val="24"/>
        </w:rPr>
      </w:pPr>
      <w:r>
        <w:rPr>
          <w:lang w:eastAsia="bg-BG"/>
        </w:rPr>
        <w:t>*</w:t>
      </w:r>
      <w:r w:rsidRPr="003F6BE7">
        <w:rPr>
          <w:lang w:eastAsia="bg-BG"/>
        </w:rPr>
        <w:t>включително фиксирана лекарствена ерупция</w:t>
      </w:r>
    </w:p>
    <w:p w14:paraId="5D72485C" w14:textId="77777777" w:rsidR="003F6BE7" w:rsidRDefault="003F6BE7" w:rsidP="003F6BE7">
      <w:pPr>
        <w:rPr>
          <w:u w:val="single"/>
          <w:lang w:eastAsia="bg-BG"/>
        </w:rPr>
      </w:pPr>
    </w:p>
    <w:p w14:paraId="4CFBCBFD" w14:textId="34272990" w:rsidR="003F6BE7" w:rsidRPr="003F6BE7" w:rsidRDefault="003F6BE7" w:rsidP="003F6BE7">
      <w:pPr>
        <w:rPr>
          <w:sz w:val="24"/>
          <w:szCs w:val="24"/>
        </w:rPr>
      </w:pPr>
      <w:r w:rsidRPr="003F6BE7">
        <w:rPr>
          <w:u w:val="single"/>
          <w:lang w:eastAsia="bg-BG"/>
        </w:rPr>
        <w:t>Педиатрична популация</w:t>
      </w:r>
    </w:p>
    <w:p w14:paraId="72CD8080" w14:textId="77777777" w:rsidR="003F6BE7" w:rsidRPr="003F6BE7" w:rsidRDefault="003F6BE7" w:rsidP="003F6BE7">
      <w:pPr>
        <w:rPr>
          <w:sz w:val="24"/>
          <w:szCs w:val="24"/>
        </w:rPr>
      </w:pPr>
      <w:r w:rsidRPr="003F6BE7">
        <w:rPr>
          <w:lang w:eastAsia="bg-BG"/>
        </w:rPr>
        <w:t>Характеристиката и честотата на нежеланите реакции и лабораторни отклонения, отбелязани по време на педиатричните клинични проучвания, са сравними с тези, наблюдавани при възрастни.</w:t>
      </w:r>
    </w:p>
    <w:p w14:paraId="7ADE1060" w14:textId="77777777" w:rsidR="003F6BE7" w:rsidRDefault="003F6BE7" w:rsidP="003F6BE7">
      <w:pPr>
        <w:rPr>
          <w:u w:val="single"/>
          <w:lang w:eastAsia="bg-BG"/>
        </w:rPr>
      </w:pPr>
    </w:p>
    <w:p w14:paraId="50C7954D" w14:textId="03A56345" w:rsidR="003F6BE7" w:rsidRPr="003F6BE7" w:rsidRDefault="003F6BE7" w:rsidP="003F6BE7">
      <w:pPr>
        <w:rPr>
          <w:sz w:val="24"/>
          <w:szCs w:val="24"/>
        </w:rPr>
      </w:pPr>
      <w:r w:rsidRPr="003F6BE7">
        <w:rPr>
          <w:u w:val="single"/>
          <w:lang w:eastAsia="bg-BG"/>
        </w:rPr>
        <w:t>Съобщаване на подозирани нежелани реакции</w:t>
      </w:r>
    </w:p>
    <w:p w14:paraId="13B78CE8" w14:textId="77777777" w:rsidR="003F6BE7" w:rsidRPr="003F6BE7" w:rsidRDefault="003F6BE7" w:rsidP="003F6BE7">
      <w:pPr>
        <w:rPr>
          <w:sz w:val="24"/>
          <w:szCs w:val="24"/>
        </w:rPr>
      </w:pPr>
      <w:r w:rsidRPr="003F6BE7">
        <w:rPr>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ул.,Дамян Груев” № 8,1303 София, тел.: 02 8903417, уебсайт: </w:t>
      </w:r>
      <w:r w:rsidRPr="003F6BE7">
        <w:rPr>
          <w:sz w:val="24"/>
          <w:szCs w:val="24"/>
        </w:rPr>
        <w:fldChar w:fldCharType="begin"/>
      </w:r>
      <w:r w:rsidRPr="003F6BE7">
        <w:rPr>
          <w:sz w:val="24"/>
          <w:szCs w:val="24"/>
        </w:rPr>
        <w:instrText xml:space="preserve"> HYPERLINK "http://www.bda.bg" </w:instrText>
      </w:r>
      <w:r w:rsidRPr="003F6BE7">
        <w:rPr>
          <w:sz w:val="24"/>
          <w:szCs w:val="24"/>
        </w:rPr>
      </w:r>
      <w:r w:rsidRPr="003F6BE7">
        <w:rPr>
          <w:sz w:val="24"/>
          <w:szCs w:val="24"/>
        </w:rPr>
        <w:fldChar w:fldCharType="separate"/>
      </w:r>
      <w:r w:rsidRPr="003F6BE7">
        <w:rPr>
          <w:lang w:val="en-US"/>
        </w:rPr>
        <w:t>www</w:t>
      </w:r>
      <w:r w:rsidRPr="003F6BE7">
        <w:rPr>
          <w:lang w:val="ru-RU"/>
        </w:rPr>
        <w:t>.</w:t>
      </w:r>
      <w:proofErr w:type="spellStart"/>
      <w:r w:rsidRPr="003F6BE7">
        <w:rPr>
          <w:lang w:val="en-US"/>
        </w:rPr>
        <w:t>bda</w:t>
      </w:r>
      <w:proofErr w:type="spellEnd"/>
      <w:r w:rsidRPr="003F6BE7">
        <w:rPr>
          <w:lang w:val="ru-RU"/>
        </w:rPr>
        <w:t>.</w:t>
      </w:r>
      <w:proofErr w:type="spellStart"/>
      <w:r w:rsidRPr="003F6BE7">
        <w:rPr>
          <w:lang w:val="en-US"/>
        </w:rPr>
        <w:t>bg</w:t>
      </w:r>
      <w:proofErr w:type="spellEnd"/>
      <w:r w:rsidRPr="003F6BE7">
        <w:rPr>
          <w:sz w:val="24"/>
          <w:szCs w:val="24"/>
        </w:rPr>
        <w:fldChar w:fldCharType="end"/>
      </w:r>
      <w:r w:rsidRPr="003F6BE7">
        <w:rPr>
          <w:lang w:val="ru-RU"/>
        </w:rPr>
        <w:t>.</w:t>
      </w:r>
    </w:p>
    <w:p w14:paraId="5DA0762A" w14:textId="77777777" w:rsidR="007B38C0" w:rsidRPr="007B38C0" w:rsidRDefault="007B38C0" w:rsidP="007B38C0"/>
    <w:p w14:paraId="4ED30546" w14:textId="7C973629" w:rsidR="007C605B" w:rsidRDefault="002C50EE" w:rsidP="009F1313">
      <w:pPr>
        <w:pStyle w:val="Heading2"/>
      </w:pPr>
      <w:r>
        <w:t>4.9. Предозиране</w:t>
      </w:r>
    </w:p>
    <w:p w14:paraId="5005BD67" w14:textId="073FF1A9" w:rsidR="003F6BE7" w:rsidRDefault="003F6BE7" w:rsidP="003F6BE7"/>
    <w:p w14:paraId="723E7C7E" w14:textId="77777777" w:rsidR="003F6BE7" w:rsidRPr="003F6BE7" w:rsidRDefault="003F6BE7" w:rsidP="003F6BE7">
      <w:pPr>
        <w:rPr>
          <w:sz w:val="24"/>
          <w:szCs w:val="24"/>
        </w:rPr>
      </w:pPr>
      <w:r w:rsidRPr="003F6BE7">
        <w:rPr>
          <w:lang w:eastAsia="bg-BG"/>
        </w:rPr>
        <w:t>Има съобщения за предозиране с флуконазол с поява на халюцинации и параноидно поведение. В случай на предозиране трябва да се приложи симптоматично лечение (с подпомагащи мерки и промивка на стомаха, ако е необходимо).</w:t>
      </w:r>
    </w:p>
    <w:p w14:paraId="623ACF41" w14:textId="77777777" w:rsidR="003F6BE7" w:rsidRPr="003F6BE7" w:rsidRDefault="003F6BE7" w:rsidP="003F6BE7">
      <w:pPr>
        <w:rPr>
          <w:sz w:val="24"/>
          <w:szCs w:val="24"/>
        </w:rPr>
      </w:pPr>
      <w:r w:rsidRPr="003F6BE7">
        <w:rPr>
          <w:lang w:eastAsia="bg-BG"/>
        </w:rPr>
        <w:t>Флуконазол се екскретира в голяма степен с урината; форсираната диуреза може да повиши скоростта на елиминиране. Тричасова хемодиализа намалява плазмените концентрации с приблизително 50%.</w:t>
      </w:r>
    </w:p>
    <w:p w14:paraId="3B26A0AF" w14:textId="77777777" w:rsidR="003F6BE7" w:rsidRPr="003F6BE7" w:rsidRDefault="003F6BE7" w:rsidP="003F6BE7"/>
    <w:p w14:paraId="02081B24" w14:textId="1F46E296" w:rsidR="00395555" w:rsidRPr="00395555" w:rsidRDefault="002C50EE" w:rsidP="008A6AF2">
      <w:pPr>
        <w:pStyle w:val="Heading1"/>
      </w:pPr>
      <w:r>
        <w:lastRenderedPageBreak/>
        <w:t>5. ФАРМАКОЛОГИЧНИ СВОЙСТВА</w:t>
      </w:r>
    </w:p>
    <w:p w14:paraId="5350637D" w14:textId="052DD698" w:rsidR="00395555" w:rsidRDefault="002C50EE" w:rsidP="008A6AF2">
      <w:pPr>
        <w:pStyle w:val="Heading2"/>
      </w:pPr>
      <w:r>
        <w:t>5.1. Фармакодинамични свойства</w:t>
      </w:r>
    </w:p>
    <w:p w14:paraId="4A8E40DD" w14:textId="4E5B283D" w:rsidR="003F6BE7" w:rsidRDefault="003F6BE7" w:rsidP="003F6BE7"/>
    <w:p w14:paraId="0C5559C0" w14:textId="77777777" w:rsidR="003F6BE7" w:rsidRPr="003F6BE7" w:rsidRDefault="003F6BE7" w:rsidP="003F6BE7">
      <w:pPr>
        <w:spacing w:line="240" w:lineRule="auto"/>
        <w:rPr>
          <w:rFonts w:eastAsia="Times New Roman" w:cs="Arial"/>
          <w:sz w:val="28"/>
          <w:szCs w:val="24"/>
        </w:rPr>
      </w:pPr>
      <w:r w:rsidRPr="003F6BE7">
        <w:rPr>
          <w:rFonts w:eastAsia="Times New Roman" w:cs="Arial"/>
          <w:bCs/>
          <w:color w:val="000000"/>
          <w:szCs w:val="20"/>
          <w:u w:val="single"/>
          <w:lang w:eastAsia="bg-BG"/>
        </w:rPr>
        <w:t>АТС класификация</w:t>
      </w:r>
    </w:p>
    <w:p w14:paraId="4160E468" w14:textId="77777777" w:rsidR="003F6BE7" w:rsidRPr="003F6BE7" w:rsidRDefault="003F6BE7" w:rsidP="003F6BE7">
      <w:pPr>
        <w:spacing w:line="240" w:lineRule="auto"/>
        <w:rPr>
          <w:rFonts w:eastAsia="Times New Roman" w:cs="Arial"/>
          <w:sz w:val="28"/>
          <w:szCs w:val="24"/>
        </w:rPr>
      </w:pPr>
      <w:r w:rsidRPr="003F6BE7">
        <w:rPr>
          <w:rFonts w:eastAsia="Times New Roman" w:cs="Arial"/>
          <w:bCs/>
          <w:color w:val="000000"/>
          <w:szCs w:val="20"/>
          <w:lang w:eastAsia="bg-BG"/>
        </w:rPr>
        <w:t>Фармакотерапевтична група: Антимикотици за системна употреба, триазолови производни.</w:t>
      </w:r>
    </w:p>
    <w:p w14:paraId="3D273276" w14:textId="77777777" w:rsidR="003F6BE7" w:rsidRPr="003F6BE7" w:rsidRDefault="003F6BE7" w:rsidP="003F6BE7">
      <w:pPr>
        <w:spacing w:line="240" w:lineRule="auto"/>
        <w:rPr>
          <w:rFonts w:eastAsia="Times New Roman" w:cs="Arial"/>
          <w:sz w:val="28"/>
          <w:szCs w:val="24"/>
        </w:rPr>
      </w:pPr>
      <w:r w:rsidRPr="003F6BE7">
        <w:rPr>
          <w:rFonts w:eastAsia="Times New Roman" w:cs="Arial"/>
          <w:bCs/>
          <w:color w:val="000000"/>
          <w:szCs w:val="20"/>
          <w:lang w:eastAsia="bg-BG"/>
        </w:rPr>
        <w:t xml:space="preserve">АТС код </w:t>
      </w:r>
      <w:r w:rsidRPr="003F6BE7">
        <w:rPr>
          <w:rFonts w:eastAsia="Times New Roman" w:cs="Arial"/>
          <w:bCs/>
          <w:color w:val="000000"/>
          <w:szCs w:val="20"/>
          <w:lang w:val="en-US"/>
        </w:rPr>
        <w:t>J</w:t>
      </w:r>
      <w:r w:rsidRPr="003F6BE7">
        <w:rPr>
          <w:rFonts w:eastAsia="Times New Roman" w:cs="Arial"/>
          <w:bCs/>
          <w:color w:val="000000"/>
          <w:szCs w:val="20"/>
          <w:lang w:eastAsia="bg-BG"/>
        </w:rPr>
        <w:t>02АС01</w:t>
      </w:r>
    </w:p>
    <w:p w14:paraId="1716D502" w14:textId="77777777" w:rsidR="003F6BE7" w:rsidRPr="003F6BE7" w:rsidRDefault="003F6BE7" w:rsidP="003F6BE7">
      <w:pPr>
        <w:spacing w:line="240" w:lineRule="auto"/>
        <w:rPr>
          <w:rFonts w:eastAsia="Times New Roman" w:cs="Arial"/>
          <w:bCs/>
          <w:color w:val="000000"/>
          <w:szCs w:val="20"/>
          <w:u w:val="single"/>
          <w:lang w:eastAsia="bg-BG"/>
        </w:rPr>
      </w:pPr>
    </w:p>
    <w:p w14:paraId="23C7BA0D" w14:textId="718F0745" w:rsidR="003F6BE7" w:rsidRPr="003F6BE7" w:rsidRDefault="003F6BE7" w:rsidP="003F6BE7">
      <w:pPr>
        <w:spacing w:line="240" w:lineRule="auto"/>
        <w:rPr>
          <w:rFonts w:eastAsia="Times New Roman" w:cs="Arial"/>
          <w:sz w:val="28"/>
          <w:szCs w:val="24"/>
        </w:rPr>
      </w:pPr>
      <w:r w:rsidRPr="003F6BE7">
        <w:rPr>
          <w:rFonts w:eastAsia="Times New Roman" w:cs="Arial"/>
          <w:bCs/>
          <w:color w:val="000000"/>
          <w:szCs w:val="20"/>
          <w:u w:val="single"/>
          <w:lang w:eastAsia="bg-BG"/>
        </w:rPr>
        <w:t>Механизъм на действие</w:t>
      </w:r>
    </w:p>
    <w:p w14:paraId="13DBD52A" w14:textId="77777777" w:rsidR="003F6BE7" w:rsidRPr="003F6BE7" w:rsidRDefault="003F6BE7" w:rsidP="003F6BE7">
      <w:pPr>
        <w:rPr>
          <w:rFonts w:eastAsia="Times New Roman" w:cs="Arial"/>
          <w:sz w:val="28"/>
          <w:szCs w:val="24"/>
        </w:rPr>
      </w:pPr>
      <w:r w:rsidRPr="003F6BE7">
        <w:rPr>
          <w:rFonts w:eastAsia="Times New Roman" w:cs="Arial"/>
          <w:bCs/>
          <w:color w:val="000000"/>
          <w:szCs w:val="20"/>
          <w:lang w:eastAsia="bg-BG"/>
        </w:rPr>
        <w:t xml:space="preserve">Флуконазол е триазолов антимикотик. Основно действа като потиска цитохром </w:t>
      </w:r>
      <w:r w:rsidRPr="003F6BE7">
        <w:rPr>
          <w:rFonts w:eastAsia="Times New Roman" w:cs="Arial"/>
          <w:bCs/>
          <w:color w:val="000000"/>
          <w:szCs w:val="20"/>
          <w:lang w:val="en-US"/>
        </w:rPr>
        <w:t>P</w:t>
      </w:r>
      <w:r w:rsidRPr="003F6BE7">
        <w:rPr>
          <w:rFonts w:eastAsia="Times New Roman" w:cs="Arial"/>
          <w:bCs/>
          <w:color w:val="000000"/>
          <w:szCs w:val="20"/>
          <w:lang w:val="ru-RU"/>
        </w:rPr>
        <w:t>450</w:t>
      </w:r>
      <w:r w:rsidRPr="003F6BE7">
        <w:rPr>
          <w:rFonts w:eastAsia="Times New Roman" w:cs="Arial"/>
          <w:bCs/>
          <w:color w:val="000000"/>
          <w:szCs w:val="20"/>
          <w:lang w:eastAsia="bg-BG"/>
        </w:rPr>
        <w:t xml:space="preserve"> опосредстваната 14-алфа-ланостерол деметилация при гъбичките, важна стъпка в биосинтеза на ергостерол. Кумулирането на 14-алфа-метил стеролите корелира с последващото понижаване на ергостерол в клетъчната мембрана и вероятно е отговорно за антифунгалната активност на флуконазол. Флуконазол показва по-висока селекгивност към цитохром Р450 ензимна система на гъбичките, отколкото към цитохром Р450 ензимна система на бозайниците.</w:t>
      </w:r>
    </w:p>
    <w:p w14:paraId="175DA677" w14:textId="77777777" w:rsidR="003F6BE7" w:rsidRPr="003F6BE7" w:rsidRDefault="003F6BE7" w:rsidP="003F6BE7">
      <w:pPr>
        <w:spacing w:line="240" w:lineRule="auto"/>
        <w:rPr>
          <w:rFonts w:eastAsia="Times New Roman" w:cs="Arial"/>
          <w:bCs/>
          <w:color w:val="000000"/>
          <w:szCs w:val="20"/>
          <w:lang w:eastAsia="bg-BG"/>
        </w:rPr>
      </w:pPr>
    </w:p>
    <w:p w14:paraId="738D6773" w14:textId="11B2E73C" w:rsidR="003F6BE7" w:rsidRPr="003F6BE7" w:rsidRDefault="003F6BE7" w:rsidP="003F6BE7">
      <w:pPr>
        <w:spacing w:line="240" w:lineRule="auto"/>
        <w:rPr>
          <w:rFonts w:eastAsia="Times New Roman" w:cs="Arial"/>
          <w:sz w:val="28"/>
          <w:szCs w:val="24"/>
        </w:rPr>
      </w:pPr>
      <w:r w:rsidRPr="003F6BE7">
        <w:rPr>
          <w:rFonts w:eastAsia="Times New Roman" w:cs="Arial"/>
          <w:bCs/>
          <w:color w:val="000000"/>
          <w:szCs w:val="20"/>
          <w:lang w:eastAsia="bg-BG"/>
        </w:rPr>
        <w:t xml:space="preserve">Прилаган в доза 50 </w:t>
      </w:r>
      <w:r w:rsidRPr="003F6BE7">
        <w:rPr>
          <w:rFonts w:eastAsia="Times New Roman" w:cs="Arial"/>
          <w:bCs/>
          <w:color w:val="000000"/>
          <w:szCs w:val="20"/>
          <w:lang w:val="en-US"/>
        </w:rPr>
        <w:t>mg</w:t>
      </w:r>
      <w:r w:rsidRPr="003F6BE7">
        <w:rPr>
          <w:rFonts w:eastAsia="Times New Roman" w:cs="Arial"/>
          <w:bCs/>
          <w:color w:val="000000"/>
          <w:szCs w:val="20"/>
          <w:lang w:val="ru-RU"/>
        </w:rPr>
        <w:t xml:space="preserve"> </w:t>
      </w:r>
      <w:r w:rsidRPr="003F6BE7">
        <w:rPr>
          <w:rFonts w:eastAsia="Times New Roman" w:cs="Arial"/>
          <w:bCs/>
          <w:color w:val="000000"/>
          <w:szCs w:val="20"/>
          <w:lang w:eastAsia="bg-BG"/>
        </w:rPr>
        <w:t xml:space="preserve">дневно в продължение на 28 дни, флуконазол не оказва ефект върху плазмените концентрации на тестостерон при мъже или върху концентрацията на стероидите при жени в детеродна възраст. Прилаган в дози от 200 до 400 </w:t>
      </w:r>
      <w:r w:rsidRPr="003F6BE7">
        <w:rPr>
          <w:rFonts w:eastAsia="Times New Roman" w:cs="Arial"/>
          <w:bCs/>
          <w:color w:val="000000"/>
          <w:szCs w:val="20"/>
          <w:lang w:val="en-US"/>
        </w:rPr>
        <w:t>mg</w:t>
      </w:r>
      <w:r w:rsidRPr="003F6BE7">
        <w:rPr>
          <w:rFonts w:eastAsia="Times New Roman" w:cs="Arial"/>
          <w:bCs/>
          <w:color w:val="000000"/>
          <w:szCs w:val="20"/>
          <w:lang w:val="ru-RU"/>
        </w:rPr>
        <w:t xml:space="preserve"> </w:t>
      </w:r>
      <w:r w:rsidRPr="003F6BE7">
        <w:rPr>
          <w:rFonts w:eastAsia="Times New Roman" w:cs="Arial"/>
          <w:bCs/>
          <w:color w:val="000000"/>
          <w:szCs w:val="20"/>
          <w:lang w:eastAsia="bg-BG"/>
        </w:rPr>
        <w:t xml:space="preserve">дневно не оказва статистически значим ефект върху стойностите на ендогенните стероиди или на АСТН стимулиран отговор при здрави мъже доброволци. Проучвания за взаимодействие с антипирин показват, че еднократно или многократно прилагане на дози от 50 </w:t>
      </w:r>
      <w:r w:rsidRPr="003F6BE7">
        <w:rPr>
          <w:rFonts w:eastAsia="Times New Roman" w:cs="Arial"/>
          <w:bCs/>
          <w:color w:val="000000"/>
          <w:szCs w:val="20"/>
          <w:lang w:val="en-US"/>
        </w:rPr>
        <w:t>mg</w:t>
      </w:r>
      <w:r w:rsidRPr="003F6BE7">
        <w:rPr>
          <w:rFonts w:eastAsia="Times New Roman" w:cs="Arial"/>
          <w:bCs/>
          <w:color w:val="000000"/>
          <w:szCs w:val="20"/>
          <w:lang w:val="ru-RU"/>
        </w:rPr>
        <w:t xml:space="preserve"> </w:t>
      </w:r>
      <w:r w:rsidRPr="003F6BE7">
        <w:rPr>
          <w:rFonts w:eastAsia="Times New Roman" w:cs="Arial"/>
          <w:bCs/>
          <w:color w:val="000000"/>
          <w:szCs w:val="20"/>
          <w:lang w:eastAsia="bg-BG"/>
        </w:rPr>
        <w:t>не оказват влияние въху неговия метаболизъм.</w:t>
      </w:r>
    </w:p>
    <w:p w14:paraId="782DD78B" w14:textId="77777777" w:rsidR="003F6BE7" w:rsidRPr="003F6BE7" w:rsidRDefault="003F6BE7" w:rsidP="003F6BE7">
      <w:pPr>
        <w:spacing w:line="240" w:lineRule="auto"/>
        <w:rPr>
          <w:rFonts w:eastAsia="Times New Roman" w:cs="Arial"/>
          <w:bCs/>
          <w:i/>
          <w:iCs/>
          <w:color w:val="000000"/>
          <w:szCs w:val="20"/>
          <w:u w:val="single"/>
          <w:lang w:val="en-US"/>
        </w:rPr>
      </w:pPr>
    </w:p>
    <w:p w14:paraId="12C693A7" w14:textId="3A340197" w:rsidR="003F6BE7" w:rsidRPr="003F6BE7" w:rsidRDefault="003F6BE7" w:rsidP="003F6BE7">
      <w:pPr>
        <w:spacing w:line="240" w:lineRule="auto"/>
        <w:rPr>
          <w:rFonts w:eastAsia="Times New Roman" w:cs="Arial"/>
          <w:sz w:val="28"/>
          <w:szCs w:val="24"/>
        </w:rPr>
      </w:pPr>
      <w:r w:rsidRPr="003F6BE7">
        <w:rPr>
          <w:rFonts w:eastAsia="Times New Roman" w:cs="Arial"/>
          <w:bCs/>
          <w:i/>
          <w:iCs/>
          <w:color w:val="000000"/>
          <w:szCs w:val="20"/>
          <w:u w:val="single"/>
          <w:lang w:val="en-US"/>
        </w:rPr>
        <w:t>In</w:t>
      </w:r>
      <w:r w:rsidRPr="003F6BE7">
        <w:rPr>
          <w:rFonts w:eastAsia="Times New Roman" w:cs="Arial"/>
          <w:bCs/>
          <w:i/>
          <w:iCs/>
          <w:color w:val="000000"/>
          <w:szCs w:val="20"/>
          <w:u w:val="single"/>
          <w:lang w:val="ru-RU"/>
        </w:rPr>
        <w:t xml:space="preserve"> </w:t>
      </w:r>
      <w:r w:rsidRPr="003F6BE7">
        <w:rPr>
          <w:rFonts w:eastAsia="Times New Roman" w:cs="Arial"/>
          <w:bCs/>
          <w:i/>
          <w:iCs/>
          <w:color w:val="000000"/>
          <w:szCs w:val="20"/>
          <w:u w:val="single"/>
          <w:lang w:val="en-US"/>
        </w:rPr>
        <w:t>vitro</w:t>
      </w:r>
      <w:r w:rsidRPr="003F6BE7">
        <w:rPr>
          <w:rFonts w:eastAsia="Times New Roman" w:cs="Arial"/>
          <w:bCs/>
          <w:color w:val="000000"/>
          <w:szCs w:val="20"/>
          <w:u w:val="single"/>
          <w:lang w:val="ru-RU"/>
        </w:rPr>
        <w:t xml:space="preserve"> </w:t>
      </w:r>
      <w:r w:rsidRPr="003F6BE7">
        <w:rPr>
          <w:rFonts w:eastAsia="Times New Roman" w:cs="Arial"/>
          <w:bCs/>
          <w:color w:val="000000"/>
          <w:szCs w:val="20"/>
          <w:u w:val="single"/>
          <w:lang w:eastAsia="bg-BG"/>
        </w:rPr>
        <w:t>чувствителност</w:t>
      </w:r>
    </w:p>
    <w:p w14:paraId="671B1E4B" w14:textId="77777777" w:rsidR="003F6BE7" w:rsidRPr="003F6BE7" w:rsidRDefault="003F6BE7" w:rsidP="003F6BE7">
      <w:pPr>
        <w:spacing w:line="240" w:lineRule="auto"/>
        <w:rPr>
          <w:rFonts w:eastAsia="Times New Roman" w:cs="Arial"/>
          <w:sz w:val="28"/>
          <w:szCs w:val="24"/>
        </w:rPr>
      </w:pPr>
      <w:r w:rsidRPr="003F6BE7">
        <w:rPr>
          <w:rFonts w:eastAsia="Times New Roman" w:cs="Arial"/>
          <w:bCs/>
          <w:i/>
          <w:iCs/>
          <w:color w:val="000000"/>
          <w:szCs w:val="20"/>
          <w:lang w:val="en-US"/>
        </w:rPr>
        <w:t>In</w:t>
      </w:r>
      <w:r w:rsidRPr="003F6BE7">
        <w:rPr>
          <w:rFonts w:eastAsia="Times New Roman" w:cs="Arial"/>
          <w:bCs/>
          <w:i/>
          <w:iCs/>
          <w:color w:val="000000"/>
          <w:szCs w:val="20"/>
          <w:lang w:val="ru-RU"/>
        </w:rPr>
        <w:t xml:space="preserve"> </w:t>
      </w:r>
      <w:r w:rsidRPr="003F6BE7">
        <w:rPr>
          <w:rFonts w:eastAsia="Times New Roman" w:cs="Arial"/>
          <w:bCs/>
          <w:i/>
          <w:iCs/>
          <w:color w:val="000000"/>
          <w:szCs w:val="20"/>
          <w:lang w:val="en-US"/>
        </w:rPr>
        <w:t>vitro</w:t>
      </w:r>
      <w:r w:rsidRPr="003F6BE7">
        <w:rPr>
          <w:rFonts w:eastAsia="Times New Roman" w:cs="Arial"/>
          <w:bCs/>
          <w:color w:val="000000"/>
          <w:szCs w:val="20"/>
          <w:lang w:val="ru-RU"/>
        </w:rPr>
        <w:t xml:space="preserve"> </w:t>
      </w:r>
      <w:r w:rsidRPr="003F6BE7">
        <w:rPr>
          <w:rFonts w:eastAsia="Times New Roman" w:cs="Arial"/>
          <w:bCs/>
          <w:color w:val="000000"/>
          <w:szCs w:val="20"/>
          <w:lang w:eastAsia="bg-BG"/>
        </w:rPr>
        <w:t xml:space="preserve">флуконазол показва антимикотична активност срещу по-честите клинични видове </w:t>
      </w:r>
      <w:r w:rsidRPr="003F6BE7">
        <w:rPr>
          <w:rFonts w:eastAsia="Times New Roman" w:cs="Arial"/>
          <w:bCs/>
          <w:i/>
          <w:iCs/>
          <w:color w:val="000000"/>
          <w:szCs w:val="20"/>
          <w:lang w:val="en-US"/>
        </w:rPr>
        <w:t>Candida</w:t>
      </w:r>
      <w:r w:rsidRPr="003F6BE7">
        <w:rPr>
          <w:rFonts w:eastAsia="Times New Roman" w:cs="Arial"/>
          <w:bCs/>
          <w:color w:val="000000"/>
          <w:szCs w:val="20"/>
          <w:lang w:val="ru-RU"/>
        </w:rPr>
        <w:t xml:space="preserve"> </w:t>
      </w:r>
      <w:r w:rsidRPr="003F6BE7">
        <w:rPr>
          <w:rFonts w:eastAsia="Times New Roman" w:cs="Arial"/>
          <w:bCs/>
          <w:color w:val="000000"/>
          <w:szCs w:val="20"/>
          <w:lang w:eastAsia="bg-BG"/>
        </w:rPr>
        <w:t xml:space="preserve">(вкл. </w:t>
      </w:r>
      <w:r w:rsidRPr="003F6BE7">
        <w:rPr>
          <w:rFonts w:eastAsia="Times New Roman" w:cs="Arial"/>
          <w:bCs/>
          <w:i/>
          <w:iCs/>
          <w:color w:val="000000"/>
          <w:szCs w:val="20"/>
          <w:lang w:eastAsia="bg-BG"/>
        </w:rPr>
        <w:t xml:space="preserve">С. </w:t>
      </w:r>
      <w:proofErr w:type="spellStart"/>
      <w:proofErr w:type="gramStart"/>
      <w:r w:rsidRPr="003F6BE7">
        <w:rPr>
          <w:rFonts w:eastAsia="Times New Roman" w:cs="Arial"/>
          <w:bCs/>
          <w:i/>
          <w:iCs/>
          <w:color w:val="000000"/>
          <w:szCs w:val="20"/>
          <w:lang w:val="en-US"/>
        </w:rPr>
        <w:t>albicans</w:t>
      </w:r>
      <w:proofErr w:type="spellEnd"/>
      <w:proofErr w:type="gramEnd"/>
      <w:r w:rsidRPr="003F6BE7">
        <w:rPr>
          <w:rFonts w:eastAsia="Times New Roman" w:cs="Arial"/>
          <w:bCs/>
          <w:i/>
          <w:iCs/>
          <w:color w:val="000000"/>
          <w:szCs w:val="20"/>
        </w:rPr>
        <w:t xml:space="preserve">, </w:t>
      </w:r>
      <w:r w:rsidRPr="003F6BE7">
        <w:rPr>
          <w:rFonts w:eastAsia="Times New Roman" w:cs="Arial"/>
          <w:bCs/>
          <w:i/>
          <w:iCs/>
          <w:color w:val="000000"/>
          <w:szCs w:val="20"/>
          <w:lang w:eastAsia="bg-BG"/>
        </w:rPr>
        <w:t xml:space="preserve">С. </w:t>
      </w:r>
      <w:proofErr w:type="spellStart"/>
      <w:r w:rsidRPr="003F6BE7">
        <w:rPr>
          <w:rFonts w:eastAsia="Times New Roman" w:cs="Arial"/>
          <w:bCs/>
          <w:i/>
          <w:iCs/>
          <w:color w:val="000000"/>
          <w:szCs w:val="20"/>
          <w:lang w:val="en-US"/>
        </w:rPr>
        <w:t>parapsilosis</w:t>
      </w:r>
      <w:proofErr w:type="spellEnd"/>
      <w:r w:rsidRPr="003F6BE7">
        <w:rPr>
          <w:rFonts w:eastAsia="Times New Roman" w:cs="Arial"/>
          <w:bCs/>
          <w:i/>
          <w:iCs/>
          <w:color w:val="000000"/>
          <w:szCs w:val="20"/>
        </w:rPr>
        <w:t xml:space="preserve">, </w:t>
      </w:r>
      <w:r w:rsidRPr="003F6BE7">
        <w:rPr>
          <w:rFonts w:eastAsia="Times New Roman" w:cs="Arial"/>
          <w:bCs/>
          <w:i/>
          <w:iCs/>
          <w:color w:val="000000"/>
          <w:szCs w:val="20"/>
          <w:lang w:eastAsia="bg-BG"/>
        </w:rPr>
        <w:t xml:space="preserve">С. </w:t>
      </w:r>
      <w:proofErr w:type="spellStart"/>
      <w:r w:rsidRPr="003F6BE7">
        <w:rPr>
          <w:rFonts w:eastAsia="Times New Roman" w:cs="Arial"/>
          <w:bCs/>
          <w:i/>
          <w:iCs/>
          <w:color w:val="000000"/>
          <w:szCs w:val="20"/>
          <w:lang w:val="en-US"/>
        </w:rPr>
        <w:t>tropicalis</w:t>
      </w:r>
      <w:proofErr w:type="spellEnd"/>
      <w:r w:rsidRPr="003F6BE7">
        <w:rPr>
          <w:rFonts w:eastAsia="Times New Roman" w:cs="Arial"/>
          <w:bCs/>
          <w:i/>
          <w:iCs/>
          <w:color w:val="000000"/>
          <w:szCs w:val="20"/>
        </w:rPr>
        <w:t xml:space="preserve">). </w:t>
      </w:r>
      <w:proofErr w:type="spellStart"/>
      <w:r w:rsidRPr="003F6BE7">
        <w:rPr>
          <w:rFonts w:eastAsia="Times New Roman" w:cs="Arial"/>
          <w:bCs/>
          <w:i/>
          <w:iCs/>
          <w:color w:val="000000"/>
          <w:szCs w:val="20"/>
          <w:lang w:val="en-US"/>
        </w:rPr>
        <w:t>Cglabrata</w:t>
      </w:r>
      <w:proofErr w:type="spellEnd"/>
      <w:r w:rsidRPr="003F6BE7">
        <w:rPr>
          <w:rFonts w:eastAsia="Times New Roman" w:cs="Arial"/>
          <w:bCs/>
          <w:color w:val="000000"/>
          <w:szCs w:val="20"/>
        </w:rPr>
        <w:t xml:space="preserve"> </w:t>
      </w:r>
      <w:r w:rsidRPr="003F6BE7">
        <w:rPr>
          <w:rFonts w:eastAsia="Times New Roman" w:cs="Arial"/>
          <w:bCs/>
          <w:color w:val="000000"/>
          <w:szCs w:val="20"/>
          <w:lang w:eastAsia="bg-BG"/>
        </w:rPr>
        <w:t xml:space="preserve">показва намалена чувствителност към флуконазол, докато </w:t>
      </w:r>
      <w:r w:rsidRPr="003F6BE7">
        <w:rPr>
          <w:rFonts w:eastAsia="Times New Roman" w:cs="Arial"/>
          <w:bCs/>
          <w:i/>
          <w:iCs/>
          <w:color w:val="000000"/>
          <w:szCs w:val="20"/>
          <w:lang w:eastAsia="bg-BG"/>
        </w:rPr>
        <w:t xml:space="preserve">С. </w:t>
      </w:r>
      <w:proofErr w:type="spellStart"/>
      <w:r w:rsidRPr="003F6BE7">
        <w:rPr>
          <w:rFonts w:eastAsia="Times New Roman" w:cs="Arial"/>
          <w:bCs/>
          <w:i/>
          <w:iCs/>
          <w:color w:val="000000"/>
          <w:szCs w:val="20"/>
          <w:lang w:val="en-US"/>
        </w:rPr>
        <w:t>krusei</w:t>
      </w:r>
      <w:proofErr w:type="spellEnd"/>
      <w:r w:rsidRPr="003F6BE7">
        <w:rPr>
          <w:rFonts w:eastAsia="Times New Roman" w:cs="Arial"/>
          <w:bCs/>
          <w:color w:val="000000"/>
          <w:szCs w:val="20"/>
        </w:rPr>
        <w:t xml:space="preserve"> </w:t>
      </w:r>
      <w:r w:rsidRPr="003F6BE7">
        <w:rPr>
          <w:rFonts w:eastAsia="Times New Roman" w:cs="Arial"/>
          <w:bCs/>
          <w:color w:val="000000"/>
          <w:szCs w:val="20"/>
          <w:lang w:eastAsia="bg-BG"/>
        </w:rPr>
        <w:t xml:space="preserve">и </w:t>
      </w:r>
      <w:r w:rsidRPr="003F6BE7">
        <w:rPr>
          <w:rFonts w:eastAsia="Times New Roman" w:cs="Arial"/>
          <w:bCs/>
          <w:i/>
          <w:iCs/>
          <w:color w:val="000000"/>
          <w:szCs w:val="20"/>
          <w:lang w:eastAsia="bg-BG"/>
        </w:rPr>
        <w:t xml:space="preserve">С. </w:t>
      </w:r>
      <w:proofErr w:type="spellStart"/>
      <w:r w:rsidRPr="003F6BE7">
        <w:rPr>
          <w:rFonts w:eastAsia="Times New Roman" w:cs="Arial"/>
          <w:bCs/>
          <w:i/>
          <w:iCs/>
          <w:color w:val="000000"/>
          <w:szCs w:val="20"/>
          <w:lang w:val="en-US"/>
        </w:rPr>
        <w:t>auris</w:t>
      </w:r>
      <w:proofErr w:type="spellEnd"/>
      <w:r w:rsidRPr="003F6BE7">
        <w:rPr>
          <w:rFonts w:eastAsia="Times New Roman" w:cs="Arial"/>
          <w:bCs/>
          <w:color w:val="000000"/>
          <w:szCs w:val="20"/>
        </w:rPr>
        <w:t xml:space="preserve"> </w:t>
      </w:r>
      <w:r w:rsidRPr="003F6BE7">
        <w:rPr>
          <w:rFonts w:eastAsia="Times New Roman" w:cs="Arial"/>
          <w:bCs/>
          <w:color w:val="000000"/>
          <w:szCs w:val="20"/>
          <w:lang w:eastAsia="bg-BG"/>
        </w:rPr>
        <w:t xml:space="preserve">са резистентни към флуконазол. Флуконазол показва </w:t>
      </w:r>
      <w:r w:rsidRPr="003F6BE7">
        <w:rPr>
          <w:rFonts w:eastAsia="Times New Roman" w:cs="Arial"/>
          <w:bCs/>
          <w:i/>
          <w:iCs/>
          <w:color w:val="000000"/>
          <w:szCs w:val="20"/>
          <w:lang w:val="en-US"/>
        </w:rPr>
        <w:t>in</w:t>
      </w:r>
      <w:r w:rsidRPr="003F6BE7">
        <w:rPr>
          <w:rFonts w:eastAsia="Times New Roman" w:cs="Arial"/>
          <w:bCs/>
          <w:i/>
          <w:iCs/>
          <w:color w:val="000000"/>
          <w:szCs w:val="20"/>
        </w:rPr>
        <w:t xml:space="preserve"> </w:t>
      </w:r>
      <w:r w:rsidRPr="003F6BE7">
        <w:rPr>
          <w:rFonts w:eastAsia="Times New Roman" w:cs="Arial"/>
          <w:bCs/>
          <w:i/>
          <w:iCs/>
          <w:color w:val="000000"/>
          <w:szCs w:val="20"/>
          <w:lang w:val="en-US"/>
        </w:rPr>
        <w:t>vitro</w:t>
      </w:r>
      <w:r w:rsidRPr="003F6BE7">
        <w:rPr>
          <w:rFonts w:eastAsia="Times New Roman" w:cs="Arial"/>
          <w:bCs/>
          <w:color w:val="000000"/>
          <w:szCs w:val="20"/>
        </w:rPr>
        <w:t xml:space="preserve"> </w:t>
      </w:r>
      <w:r w:rsidRPr="003F6BE7">
        <w:rPr>
          <w:rFonts w:eastAsia="Times New Roman" w:cs="Arial"/>
          <w:bCs/>
          <w:color w:val="000000"/>
          <w:szCs w:val="20"/>
          <w:lang w:eastAsia="bg-BG"/>
        </w:rPr>
        <w:t xml:space="preserve">активност срещу </w:t>
      </w:r>
      <w:r w:rsidRPr="003F6BE7">
        <w:rPr>
          <w:rFonts w:eastAsia="Times New Roman" w:cs="Arial"/>
          <w:bCs/>
          <w:i/>
          <w:iCs/>
          <w:color w:val="000000"/>
          <w:szCs w:val="20"/>
          <w:lang w:val="en-US"/>
        </w:rPr>
        <w:t>Cryptococcus</w:t>
      </w:r>
      <w:r w:rsidRPr="003F6BE7">
        <w:rPr>
          <w:rFonts w:eastAsia="Times New Roman" w:cs="Arial"/>
          <w:bCs/>
          <w:i/>
          <w:iCs/>
          <w:color w:val="000000"/>
          <w:szCs w:val="20"/>
        </w:rPr>
        <w:t xml:space="preserve"> </w:t>
      </w:r>
      <w:proofErr w:type="spellStart"/>
      <w:r w:rsidRPr="003F6BE7">
        <w:rPr>
          <w:rFonts w:eastAsia="Times New Roman" w:cs="Arial"/>
          <w:bCs/>
          <w:i/>
          <w:iCs/>
          <w:color w:val="000000"/>
          <w:szCs w:val="20"/>
          <w:lang w:val="en-US"/>
        </w:rPr>
        <w:t>neoformans</w:t>
      </w:r>
      <w:proofErr w:type="spellEnd"/>
      <w:r w:rsidRPr="003F6BE7">
        <w:rPr>
          <w:rFonts w:eastAsia="Times New Roman" w:cs="Arial"/>
          <w:bCs/>
          <w:color w:val="000000"/>
          <w:szCs w:val="20"/>
        </w:rPr>
        <w:t xml:space="preserve"> </w:t>
      </w:r>
      <w:r w:rsidRPr="003F6BE7">
        <w:rPr>
          <w:rFonts w:eastAsia="Times New Roman" w:cs="Arial"/>
          <w:bCs/>
          <w:color w:val="000000"/>
          <w:szCs w:val="20"/>
          <w:lang w:eastAsia="bg-BG"/>
        </w:rPr>
        <w:t xml:space="preserve">и </w:t>
      </w:r>
      <w:r w:rsidRPr="003F6BE7">
        <w:rPr>
          <w:rFonts w:eastAsia="Times New Roman" w:cs="Arial"/>
          <w:bCs/>
          <w:i/>
          <w:iCs/>
          <w:color w:val="000000"/>
          <w:szCs w:val="20"/>
          <w:lang w:val="en-US"/>
        </w:rPr>
        <w:t>Cryptococcus</w:t>
      </w:r>
      <w:r w:rsidRPr="003F6BE7">
        <w:rPr>
          <w:rFonts w:eastAsia="Times New Roman" w:cs="Arial"/>
          <w:bCs/>
          <w:i/>
          <w:iCs/>
          <w:color w:val="000000"/>
          <w:szCs w:val="20"/>
        </w:rPr>
        <w:t xml:space="preserve"> </w:t>
      </w:r>
      <w:proofErr w:type="spellStart"/>
      <w:r w:rsidRPr="003F6BE7">
        <w:rPr>
          <w:rFonts w:eastAsia="Times New Roman" w:cs="Arial"/>
          <w:bCs/>
          <w:i/>
          <w:iCs/>
          <w:color w:val="000000"/>
          <w:szCs w:val="20"/>
          <w:lang w:val="en-US"/>
        </w:rPr>
        <w:t>gatii</w:t>
      </w:r>
      <w:proofErr w:type="spellEnd"/>
      <w:r w:rsidRPr="003F6BE7">
        <w:rPr>
          <w:rFonts w:eastAsia="Times New Roman" w:cs="Arial"/>
          <w:bCs/>
          <w:i/>
          <w:iCs/>
          <w:color w:val="000000"/>
          <w:szCs w:val="20"/>
        </w:rPr>
        <w:t xml:space="preserve">, </w:t>
      </w:r>
      <w:r w:rsidRPr="003F6BE7">
        <w:rPr>
          <w:rFonts w:eastAsia="Times New Roman" w:cs="Arial"/>
          <w:bCs/>
          <w:color w:val="000000"/>
          <w:szCs w:val="20"/>
          <w:lang w:eastAsia="bg-BG"/>
        </w:rPr>
        <w:t xml:space="preserve">както и срещу ендемичните плесени </w:t>
      </w:r>
      <w:proofErr w:type="spellStart"/>
      <w:r w:rsidRPr="003F6BE7">
        <w:rPr>
          <w:rFonts w:eastAsia="Times New Roman" w:cs="Arial"/>
          <w:bCs/>
          <w:i/>
          <w:iCs/>
          <w:color w:val="000000"/>
          <w:szCs w:val="20"/>
          <w:lang w:val="en-US"/>
        </w:rPr>
        <w:t>Blastomyces</w:t>
      </w:r>
      <w:proofErr w:type="spellEnd"/>
      <w:r w:rsidRPr="003F6BE7">
        <w:rPr>
          <w:rFonts w:eastAsia="Times New Roman" w:cs="Arial"/>
          <w:bCs/>
          <w:i/>
          <w:iCs/>
          <w:color w:val="000000"/>
          <w:szCs w:val="20"/>
        </w:rPr>
        <w:t xml:space="preserve"> </w:t>
      </w:r>
      <w:proofErr w:type="spellStart"/>
      <w:r w:rsidRPr="003F6BE7">
        <w:rPr>
          <w:rFonts w:eastAsia="Times New Roman" w:cs="Arial"/>
          <w:bCs/>
          <w:i/>
          <w:iCs/>
          <w:color w:val="000000"/>
          <w:szCs w:val="20"/>
          <w:lang w:val="en-US"/>
        </w:rPr>
        <w:t>dermatiditis</w:t>
      </w:r>
      <w:proofErr w:type="spellEnd"/>
      <w:r w:rsidRPr="003F6BE7">
        <w:rPr>
          <w:rFonts w:eastAsia="Times New Roman" w:cs="Arial"/>
          <w:bCs/>
          <w:i/>
          <w:iCs/>
          <w:color w:val="000000"/>
          <w:szCs w:val="20"/>
        </w:rPr>
        <w:t xml:space="preserve">, </w:t>
      </w:r>
      <w:proofErr w:type="spellStart"/>
      <w:r w:rsidRPr="003F6BE7">
        <w:rPr>
          <w:rFonts w:eastAsia="Times New Roman" w:cs="Arial"/>
          <w:bCs/>
          <w:i/>
          <w:iCs/>
          <w:color w:val="000000"/>
          <w:szCs w:val="20"/>
          <w:lang w:val="en-US"/>
        </w:rPr>
        <w:t>Coccidioides</w:t>
      </w:r>
      <w:proofErr w:type="spellEnd"/>
      <w:r w:rsidRPr="003F6BE7">
        <w:rPr>
          <w:rFonts w:eastAsia="Times New Roman" w:cs="Arial"/>
          <w:bCs/>
          <w:i/>
          <w:iCs/>
          <w:color w:val="000000"/>
          <w:szCs w:val="20"/>
        </w:rPr>
        <w:t xml:space="preserve"> </w:t>
      </w:r>
      <w:proofErr w:type="spellStart"/>
      <w:r w:rsidRPr="003F6BE7">
        <w:rPr>
          <w:rFonts w:eastAsia="Times New Roman" w:cs="Arial"/>
          <w:bCs/>
          <w:i/>
          <w:iCs/>
          <w:color w:val="000000"/>
          <w:szCs w:val="20"/>
          <w:lang w:val="en-US"/>
        </w:rPr>
        <w:t>immitis</w:t>
      </w:r>
      <w:proofErr w:type="spellEnd"/>
      <w:r w:rsidRPr="003F6BE7">
        <w:rPr>
          <w:rFonts w:eastAsia="Times New Roman" w:cs="Arial"/>
          <w:bCs/>
          <w:i/>
          <w:iCs/>
          <w:color w:val="000000"/>
          <w:szCs w:val="20"/>
        </w:rPr>
        <w:t xml:space="preserve">, </w:t>
      </w:r>
      <w:proofErr w:type="spellStart"/>
      <w:r w:rsidRPr="003F6BE7">
        <w:rPr>
          <w:rFonts w:eastAsia="Times New Roman" w:cs="Arial"/>
          <w:bCs/>
          <w:i/>
          <w:iCs/>
          <w:color w:val="000000"/>
          <w:szCs w:val="20"/>
          <w:lang w:val="en-US"/>
        </w:rPr>
        <w:t>Histoplasma</w:t>
      </w:r>
      <w:proofErr w:type="spellEnd"/>
      <w:r w:rsidRPr="003F6BE7">
        <w:rPr>
          <w:rFonts w:eastAsia="Times New Roman" w:cs="Arial"/>
          <w:bCs/>
          <w:i/>
          <w:iCs/>
          <w:color w:val="000000"/>
          <w:szCs w:val="20"/>
        </w:rPr>
        <w:t xml:space="preserve"> </w:t>
      </w:r>
      <w:proofErr w:type="spellStart"/>
      <w:r w:rsidRPr="003F6BE7">
        <w:rPr>
          <w:rFonts w:eastAsia="Times New Roman" w:cs="Arial"/>
          <w:bCs/>
          <w:i/>
          <w:iCs/>
          <w:color w:val="000000"/>
          <w:szCs w:val="20"/>
          <w:lang w:val="en-US"/>
        </w:rPr>
        <w:t>capsulatum</w:t>
      </w:r>
      <w:proofErr w:type="spellEnd"/>
      <w:r w:rsidRPr="003F6BE7">
        <w:rPr>
          <w:rFonts w:eastAsia="Times New Roman" w:cs="Arial"/>
          <w:bCs/>
          <w:color w:val="000000"/>
          <w:szCs w:val="20"/>
        </w:rPr>
        <w:t xml:space="preserve"> </w:t>
      </w:r>
      <w:r w:rsidRPr="003F6BE7">
        <w:rPr>
          <w:rFonts w:eastAsia="Times New Roman" w:cs="Arial"/>
          <w:bCs/>
          <w:color w:val="000000"/>
          <w:szCs w:val="20"/>
          <w:lang w:eastAsia="bg-BG"/>
        </w:rPr>
        <w:t xml:space="preserve">и </w:t>
      </w:r>
      <w:proofErr w:type="spellStart"/>
      <w:r w:rsidRPr="003F6BE7">
        <w:rPr>
          <w:rFonts w:eastAsia="Times New Roman" w:cs="Arial"/>
          <w:bCs/>
          <w:i/>
          <w:iCs/>
          <w:color w:val="000000"/>
          <w:szCs w:val="20"/>
          <w:lang w:val="en-US"/>
        </w:rPr>
        <w:t>Paracoccidioides</w:t>
      </w:r>
      <w:proofErr w:type="spellEnd"/>
      <w:r w:rsidRPr="003F6BE7">
        <w:rPr>
          <w:rFonts w:eastAsia="Times New Roman" w:cs="Arial"/>
          <w:bCs/>
          <w:i/>
          <w:iCs/>
          <w:color w:val="000000"/>
          <w:szCs w:val="20"/>
        </w:rPr>
        <w:t xml:space="preserve"> </w:t>
      </w:r>
      <w:proofErr w:type="spellStart"/>
      <w:r w:rsidRPr="003F6BE7">
        <w:rPr>
          <w:rFonts w:eastAsia="Times New Roman" w:cs="Arial"/>
          <w:bCs/>
          <w:i/>
          <w:iCs/>
          <w:color w:val="000000"/>
          <w:szCs w:val="20"/>
          <w:lang w:val="en-US"/>
        </w:rPr>
        <w:t>brasiliensis</w:t>
      </w:r>
      <w:proofErr w:type="spellEnd"/>
      <w:r w:rsidRPr="003F6BE7">
        <w:rPr>
          <w:rFonts w:eastAsia="Times New Roman" w:cs="Arial"/>
          <w:bCs/>
          <w:i/>
          <w:iCs/>
          <w:color w:val="000000"/>
          <w:szCs w:val="20"/>
        </w:rPr>
        <w:t>.</w:t>
      </w:r>
    </w:p>
    <w:p w14:paraId="00117EA4" w14:textId="77777777" w:rsidR="003F6BE7" w:rsidRPr="003F6BE7" w:rsidRDefault="003F6BE7" w:rsidP="003F6BE7">
      <w:pPr>
        <w:spacing w:line="240" w:lineRule="auto"/>
        <w:rPr>
          <w:rFonts w:eastAsia="Times New Roman" w:cs="Arial"/>
          <w:bCs/>
          <w:color w:val="000000"/>
          <w:szCs w:val="20"/>
          <w:u w:val="single"/>
          <w:lang w:eastAsia="bg-BG"/>
        </w:rPr>
      </w:pPr>
    </w:p>
    <w:p w14:paraId="16661F08" w14:textId="1FCC6A2A" w:rsidR="003F6BE7" w:rsidRPr="003F6BE7" w:rsidRDefault="003F6BE7" w:rsidP="003F6BE7">
      <w:pPr>
        <w:spacing w:line="240" w:lineRule="auto"/>
        <w:rPr>
          <w:rFonts w:eastAsia="Times New Roman" w:cs="Arial"/>
          <w:sz w:val="28"/>
          <w:szCs w:val="24"/>
        </w:rPr>
      </w:pPr>
      <w:r w:rsidRPr="003F6BE7">
        <w:rPr>
          <w:rFonts w:eastAsia="Times New Roman" w:cs="Arial"/>
          <w:bCs/>
          <w:color w:val="000000"/>
          <w:szCs w:val="20"/>
          <w:u w:val="single"/>
          <w:lang w:eastAsia="bg-BG"/>
        </w:rPr>
        <w:t>Връзка фармакокинетика-фармакодинамика</w:t>
      </w:r>
    </w:p>
    <w:p w14:paraId="66C12C14" w14:textId="77777777" w:rsidR="003F6BE7" w:rsidRPr="003F6BE7" w:rsidRDefault="003F6BE7" w:rsidP="003F6BE7">
      <w:pPr>
        <w:spacing w:line="240" w:lineRule="auto"/>
        <w:rPr>
          <w:rFonts w:eastAsia="Times New Roman" w:cs="Arial"/>
          <w:sz w:val="28"/>
          <w:szCs w:val="24"/>
        </w:rPr>
      </w:pPr>
      <w:r w:rsidRPr="003F6BE7">
        <w:rPr>
          <w:rFonts w:eastAsia="Times New Roman" w:cs="Arial"/>
          <w:bCs/>
          <w:color w:val="000000"/>
          <w:szCs w:val="20"/>
          <w:lang w:eastAsia="bg-BG"/>
        </w:rPr>
        <w:t xml:space="preserve">В проучвания върху животни е установена корелация между МНК и ефикасността при експериментални микози, причинени от </w:t>
      </w:r>
      <w:r w:rsidRPr="003F6BE7">
        <w:rPr>
          <w:rFonts w:eastAsia="Times New Roman" w:cs="Arial"/>
          <w:bCs/>
          <w:i/>
          <w:iCs/>
          <w:color w:val="000000"/>
          <w:szCs w:val="20"/>
          <w:lang w:val="en-US"/>
        </w:rPr>
        <w:t>Candida</w:t>
      </w:r>
      <w:r w:rsidRPr="003F6BE7">
        <w:rPr>
          <w:rFonts w:eastAsia="Times New Roman" w:cs="Arial"/>
          <w:bCs/>
          <w:i/>
          <w:iCs/>
          <w:color w:val="000000"/>
          <w:szCs w:val="20"/>
          <w:lang w:val="ru-RU"/>
        </w:rPr>
        <w:t xml:space="preserve"> </w:t>
      </w:r>
      <w:proofErr w:type="spellStart"/>
      <w:r w:rsidRPr="003F6BE7">
        <w:rPr>
          <w:rFonts w:eastAsia="Times New Roman" w:cs="Arial"/>
          <w:bCs/>
          <w:i/>
          <w:iCs/>
          <w:color w:val="000000"/>
          <w:szCs w:val="20"/>
          <w:lang w:val="en-US"/>
        </w:rPr>
        <w:t>spp</w:t>
      </w:r>
      <w:proofErr w:type="spellEnd"/>
      <w:r w:rsidRPr="003F6BE7">
        <w:rPr>
          <w:rFonts w:eastAsia="Times New Roman" w:cs="Arial"/>
          <w:bCs/>
          <w:i/>
          <w:iCs/>
          <w:color w:val="000000"/>
          <w:szCs w:val="20"/>
          <w:lang w:val="ru-RU"/>
        </w:rPr>
        <w:t>.</w:t>
      </w:r>
      <w:r w:rsidRPr="003F6BE7">
        <w:rPr>
          <w:rFonts w:eastAsia="Times New Roman" w:cs="Arial"/>
          <w:bCs/>
          <w:color w:val="000000"/>
          <w:szCs w:val="20"/>
          <w:lang w:val="ru-RU"/>
        </w:rPr>
        <w:t xml:space="preserve"> </w:t>
      </w:r>
      <w:r w:rsidRPr="003F6BE7">
        <w:rPr>
          <w:rFonts w:eastAsia="Times New Roman" w:cs="Arial"/>
          <w:bCs/>
          <w:color w:val="000000"/>
          <w:szCs w:val="20"/>
          <w:lang w:eastAsia="bg-BG"/>
        </w:rPr>
        <w:t xml:space="preserve">В клинични проучвания линейната връзка между </w:t>
      </w:r>
      <w:r w:rsidRPr="003F6BE7">
        <w:rPr>
          <w:rFonts w:eastAsia="Times New Roman" w:cs="Arial"/>
          <w:bCs/>
          <w:color w:val="000000"/>
          <w:szCs w:val="20"/>
          <w:lang w:val="en-US"/>
        </w:rPr>
        <w:t>AUC</w:t>
      </w:r>
      <w:r w:rsidRPr="003F6BE7">
        <w:rPr>
          <w:rFonts w:eastAsia="Times New Roman" w:cs="Arial"/>
          <w:bCs/>
          <w:color w:val="000000"/>
          <w:szCs w:val="20"/>
          <w:lang w:val="ru-RU"/>
        </w:rPr>
        <w:t xml:space="preserve"> </w:t>
      </w:r>
      <w:r w:rsidRPr="003F6BE7">
        <w:rPr>
          <w:rFonts w:eastAsia="Times New Roman" w:cs="Arial"/>
          <w:bCs/>
          <w:color w:val="000000"/>
          <w:szCs w:val="20"/>
          <w:lang w:eastAsia="bg-BG"/>
        </w:rPr>
        <w:t xml:space="preserve">и дозата флуконазол е почти 1:1. На лице е пряка непълна връзка между </w:t>
      </w:r>
      <w:r w:rsidRPr="003F6BE7">
        <w:rPr>
          <w:rFonts w:eastAsia="Times New Roman" w:cs="Arial"/>
          <w:bCs/>
          <w:color w:val="000000"/>
          <w:szCs w:val="20"/>
          <w:lang w:val="en-US"/>
        </w:rPr>
        <w:t>AUC</w:t>
      </w:r>
      <w:r w:rsidRPr="003F6BE7">
        <w:rPr>
          <w:rFonts w:eastAsia="Times New Roman" w:cs="Arial"/>
          <w:bCs/>
          <w:color w:val="000000"/>
          <w:szCs w:val="20"/>
          <w:lang w:val="ru-RU"/>
        </w:rPr>
        <w:t xml:space="preserve"> </w:t>
      </w:r>
      <w:r w:rsidRPr="003F6BE7">
        <w:rPr>
          <w:rFonts w:eastAsia="Times New Roman" w:cs="Arial"/>
          <w:bCs/>
          <w:color w:val="000000"/>
          <w:szCs w:val="20"/>
          <w:lang w:eastAsia="bg-BG"/>
        </w:rPr>
        <w:t>или дозата и успешния клиничен отговор при лечението на орална кандидоза и в по-малка степен при лечението на кандидемия. Подобно излекуване е по-малко вероятно за инфекции, причинени от щамове с високи МНК към флуконазол.</w:t>
      </w:r>
    </w:p>
    <w:p w14:paraId="79432416" w14:textId="77777777" w:rsidR="003F6BE7" w:rsidRPr="003F6BE7" w:rsidRDefault="003F6BE7" w:rsidP="003F6BE7">
      <w:pPr>
        <w:spacing w:line="240" w:lineRule="auto"/>
        <w:rPr>
          <w:rFonts w:eastAsia="Times New Roman" w:cs="Arial"/>
          <w:bCs/>
          <w:color w:val="000000"/>
          <w:szCs w:val="20"/>
          <w:u w:val="single"/>
          <w:lang w:eastAsia="bg-BG"/>
        </w:rPr>
      </w:pPr>
    </w:p>
    <w:p w14:paraId="1BC4E19F" w14:textId="47F41129" w:rsidR="003F6BE7" w:rsidRPr="003F6BE7" w:rsidRDefault="003F6BE7" w:rsidP="003F6BE7">
      <w:pPr>
        <w:spacing w:line="240" w:lineRule="auto"/>
        <w:rPr>
          <w:rFonts w:eastAsia="Times New Roman" w:cs="Arial"/>
          <w:sz w:val="28"/>
          <w:szCs w:val="24"/>
        </w:rPr>
      </w:pPr>
      <w:r w:rsidRPr="003F6BE7">
        <w:rPr>
          <w:rFonts w:eastAsia="Times New Roman" w:cs="Arial"/>
          <w:bCs/>
          <w:color w:val="000000"/>
          <w:szCs w:val="20"/>
          <w:u w:val="single"/>
          <w:lang w:eastAsia="bg-BG"/>
        </w:rPr>
        <w:t>Механизъм на резистентност</w:t>
      </w:r>
    </w:p>
    <w:p w14:paraId="6B1048E1" w14:textId="77777777" w:rsidR="003F6BE7" w:rsidRPr="003F6BE7" w:rsidRDefault="003F6BE7" w:rsidP="003F6BE7">
      <w:pPr>
        <w:spacing w:line="240" w:lineRule="auto"/>
        <w:rPr>
          <w:rFonts w:eastAsia="Times New Roman" w:cs="Arial"/>
          <w:sz w:val="28"/>
          <w:szCs w:val="24"/>
        </w:rPr>
      </w:pPr>
      <w:r w:rsidRPr="003F6BE7">
        <w:rPr>
          <w:rFonts w:eastAsia="Times New Roman" w:cs="Arial"/>
          <w:bCs/>
          <w:i/>
          <w:iCs/>
          <w:color w:val="000000"/>
          <w:szCs w:val="20"/>
          <w:lang w:val="en-US"/>
        </w:rPr>
        <w:t>Candida</w:t>
      </w:r>
      <w:r w:rsidRPr="003F6BE7">
        <w:rPr>
          <w:rFonts w:eastAsia="Times New Roman" w:cs="Arial"/>
          <w:bCs/>
          <w:i/>
          <w:iCs/>
          <w:color w:val="000000"/>
          <w:szCs w:val="20"/>
          <w:lang w:val="ru-RU"/>
        </w:rPr>
        <w:t xml:space="preserve"> </w:t>
      </w:r>
      <w:proofErr w:type="spellStart"/>
      <w:r w:rsidRPr="003F6BE7">
        <w:rPr>
          <w:rFonts w:eastAsia="Times New Roman" w:cs="Arial"/>
          <w:bCs/>
          <w:i/>
          <w:iCs/>
          <w:color w:val="000000"/>
          <w:szCs w:val="20"/>
          <w:lang w:val="en-US"/>
        </w:rPr>
        <w:t>spp</w:t>
      </w:r>
      <w:proofErr w:type="spellEnd"/>
      <w:r w:rsidRPr="003F6BE7">
        <w:rPr>
          <w:rFonts w:eastAsia="Times New Roman" w:cs="Arial"/>
          <w:bCs/>
          <w:i/>
          <w:iCs/>
          <w:color w:val="000000"/>
          <w:szCs w:val="20"/>
          <w:lang w:val="ru-RU"/>
        </w:rPr>
        <w:t>.</w:t>
      </w:r>
      <w:r w:rsidRPr="003F6BE7">
        <w:rPr>
          <w:rFonts w:eastAsia="Times New Roman" w:cs="Arial"/>
          <w:bCs/>
          <w:color w:val="000000"/>
          <w:szCs w:val="20"/>
          <w:lang w:val="ru-RU"/>
        </w:rPr>
        <w:t xml:space="preserve"> </w:t>
      </w:r>
      <w:r w:rsidRPr="003F6BE7">
        <w:rPr>
          <w:rFonts w:eastAsia="Times New Roman" w:cs="Arial"/>
          <w:bCs/>
          <w:color w:val="000000"/>
          <w:szCs w:val="20"/>
          <w:lang w:eastAsia="bg-BG"/>
        </w:rPr>
        <w:t xml:space="preserve">развиват множество механизми на резистентност към азолови антимикотици. При гъбични видове, които развиват един или повече механизми на резистентност обикновено МИК към флуконазол са високи, което се отразява неблагоприятно на клиничната ефикасност </w:t>
      </w:r>
      <w:r w:rsidRPr="003F6BE7">
        <w:rPr>
          <w:rFonts w:eastAsia="Times New Roman" w:cs="Arial"/>
          <w:bCs/>
          <w:i/>
          <w:iCs/>
          <w:color w:val="000000"/>
          <w:szCs w:val="20"/>
          <w:lang w:val="en-US"/>
        </w:rPr>
        <w:t>in</w:t>
      </w:r>
      <w:r w:rsidRPr="003F6BE7">
        <w:rPr>
          <w:rFonts w:eastAsia="Times New Roman" w:cs="Arial"/>
          <w:bCs/>
          <w:i/>
          <w:iCs/>
          <w:color w:val="000000"/>
          <w:szCs w:val="20"/>
          <w:lang w:val="ru-RU"/>
        </w:rPr>
        <w:t xml:space="preserve"> </w:t>
      </w:r>
      <w:r w:rsidRPr="003F6BE7">
        <w:rPr>
          <w:rFonts w:eastAsia="Times New Roman" w:cs="Arial"/>
          <w:bCs/>
          <w:i/>
          <w:iCs/>
          <w:color w:val="000000"/>
          <w:szCs w:val="20"/>
          <w:lang w:val="en-US"/>
        </w:rPr>
        <w:t>vivo</w:t>
      </w:r>
      <w:r w:rsidRPr="003F6BE7">
        <w:rPr>
          <w:rFonts w:eastAsia="Times New Roman" w:cs="Arial"/>
          <w:bCs/>
          <w:i/>
          <w:iCs/>
          <w:color w:val="000000"/>
          <w:szCs w:val="20"/>
          <w:lang w:val="ru-RU"/>
        </w:rPr>
        <w:t>.</w:t>
      </w:r>
    </w:p>
    <w:p w14:paraId="3F415203" w14:textId="77777777" w:rsidR="003F6BE7" w:rsidRPr="003F6BE7" w:rsidRDefault="003F6BE7" w:rsidP="003F6BE7">
      <w:pPr>
        <w:spacing w:line="240" w:lineRule="auto"/>
        <w:rPr>
          <w:rFonts w:eastAsia="Times New Roman" w:cs="Arial"/>
          <w:bCs/>
          <w:color w:val="000000"/>
          <w:szCs w:val="20"/>
          <w:lang w:eastAsia="bg-BG"/>
        </w:rPr>
      </w:pPr>
    </w:p>
    <w:p w14:paraId="6AC8E1D0" w14:textId="39DF1BFB" w:rsidR="003F6BE7" w:rsidRPr="003F6BE7" w:rsidRDefault="003F6BE7" w:rsidP="003F6BE7">
      <w:pPr>
        <w:spacing w:line="240" w:lineRule="auto"/>
        <w:rPr>
          <w:rFonts w:eastAsia="Times New Roman" w:cs="Arial"/>
          <w:sz w:val="28"/>
          <w:szCs w:val="24"/>
        </w:rPr>
      </w:pPr>
      <w:r w:rsidRPr="003F6BE7">
        <w:rPr>
          <w:rFonts w:eastAsia="Times New Roman" w:cs="Arial"/>
          <w:bCs/>
          <w:color w:val="000000"/>
          <w:szCs w:val="20"/>
          <w:lang w:eastAsia="bg-BG"/>
        </w:rPr>
        <w:t xml:space="preserve">Има съобщения за суперинфекция, предизвикана от видове </w:t>
      </w:r>
      <w:r w:rsidRPr="003F6BE7">
        <w:rPr>
          <w:rFonts w:eastAsia="Times New Roman" w:cs="Arial"/>
          <w:bCs/>
          <w:i/>
          <w:iCs/>
          <w:color w:val="000000"/>
          <w:szCs w:val="20"/>
          <w:lang w:val="en-US"/>
        </w:rPr>
        <w:t>Candida</w:t>
      </w:r>
      <w:r w:rsidRPr="003F6BE7">
        <w:rPr>
          <w:rFonts w:eastAsia="Times New Roman" w:cs="Arial"/>
          <w:bCs/>
          <w:i/>
          <w:iCs/>
          <w:color w:val="000000"/>
          <w:szCs w:val="20"/>
          <w:lang w:val="ru-RU"/>
        </w:rPr>
        <w:t>,</w:t>
      </w:r>
      <w:r w:rsidRPr="003F6BE7">
        <w:rPr>
          <w:rFonts w:eastAsia="Times New Roman" w:cs="Arial"/>
          <w:bCs/>
          <w:color w:val="000000"/>
          <w:szCs w:val="20"/>
          <w:lang w:val="ru-RU"/>
        </w:rPr>
        <w:t xml:space="preserve"> </w:t>
      </w:r>
      <w:r w:rsidRPr="003F6BE7">
        <w:rPr>
          <w:rFonts w:eastAsia="Times New Roman" w:cs="Arial"/>
          <w:bCs/>
          <w:color w:val="000000"/>
          <w:szCs w:val="20"/>
          <w:lang w:eastAsia="bg-BG"/>
        </w:rPr>
        <w:t xml:space="preserve">различни от </w:t>
      </w:r>
      <w:r w:rsidRPr="003F6BE7">
        <w:rPr>
          <w:rFonts w:eastAsia="Times New Roman" w:cs="Arial"/>
          <w:bCs/>
          <w:i/>
          <w:iCs/>
          <w:color w:val="000000"/>
          <w:szCs w:val="20"/>
          <w:lang w:eastAsia="bg-BG"/>
        </w:rPr>
        <w:t xml:space="preserve">С. </w:t>
      </w:r>
      <w:proofErr w:type="spellStart"/>
      <w:proofErr w:type="gramStart"/>
      <w:r w:rsidRPr="003F6BE7">
        <w:rPr>
          <w:rFonts w:eastAsia="Times New Roman" w:cs="Arial"/>
          <w:bCs/>
          <w:i/>
          <w:iCs/>
          <w:color w:val="000000"/>
          <w:szCs w:val="20"/>
          <w:lang w:val="en-US"/>
        </w:rPr>
        <w:t>albicans</w:t>
      </w:r>
      <w:proofErr w:type="spellEnd"/>
      <w:proofErr w:type="gramEnd"/>
      <w:r w:rsidRPr="003F6BE7">
        <w:rPr>
          <w:rFonts w:eastAsia="Times New Roman" w:cs="Arial"/>
          <w:bCs/>
          <w:i/>
          <w:iCs/>
          <w:color w:val="000000"/>
          <w:szCs w:val="20"/>
          <w:lang w:val="ru-RU"/>
        </w:rPr>
        <w:t xml:space="preserve">, </w:t>
      </w:r>
      <w:r w:rsidRPr="003F6BE7">
        <w:rPr>
          <w:rFonts w:eastAsia="Times New Roman" w:cs="Arial"/>
          <w:bCs/>
          <w:color w:val="000000"/>
          <w:szCs w:val="20"/>
          <w:lang w:eastAsia="bg-BG"/>
        </w:rPr>
        <w:t xml:space="preserve">които често имат присъща намалена чувствителност (С. </w:t>
      </w:r>
      <w:proofErr w:type="spellStart"/>
      <w:r w:rsidRPr="003F6BE7">
        <w:rPr>
          <w:rFonts w:eastAsia="Times New Roman" w:cs="Arial"/>
          <w:bCs/>
          <w:i/>
          <w:iCs/>
          <w:color w:val="000000"/>
          <w:szCs w:val="20"/>
          <w:lang w:val="en-US"/>
        </w:rPr>
        <w:t>glabrata</w:t>
      </w:r>
      <w:proofErr w:type="spellEnd"/>
      <w:r w:rsidRPr="003F6BE7">
        <w:rPr>
          <w:rFonts w:eastAsia="Times New Roman" w:cs="Arial"/>
          <w:bCs/>
          <w:i/>
          <w:iCs/>
          <w:color w:val="000000"/>
          <w:szCs w:val="20"/>
          <w:lang w:val="ru-RU"/>
        </w:rPr>
        <w:t>)</w:t>
      </w:r>
      <w:r w:rsidRPr="003F6BE7">
        <w:rPr>
          <w:rFonts w:eastAsia="Times New Roman" w:cs="Arial"/>
          <w:bCs/>
          <w:color w:val="000000"/>
          <w:szCs w:val="20"/>
          <w:lang w:val="ru-RU"/>
        </w:rPr>
        <w:t xml:space="preserve"> </w:t>
      </w:r>
      <w:r w:rsidRPr="003F6BE7">
        <w:rPr>
          <w:rFonts w:eastAsia="Times New Roman" w:cs="Arial"/>
          <w:bCs/>
          <w:color w:val="000000"/>
          <w:szCs w:val="20"/>
          <w:lang w:eastAsia="bg-BG"/>
        </w:rPr>
        <w:t xml:space="preserve">или </w:t>
      </w:r>
      <w:r w:rsidRPr="003F6BE7">
        <w:rPr>
          <w:rFonts w:eastAsia="Times New Roman" w:cs="Arial"/>
          <w:bCs/>
          <w:color w:val="000000"/>
          <w:szCs w:val="20"/>
          <w:lang w:eastAsia="bg-BG"/>
        </w:rPr>
        <w:lastRenderedPageBreak/>
        <w:t xml:space="preserve">резистентност към флуконазол (напр. С. </w:t>
      </w:r>
      <w:proofErr w:type="spellStart"/>
      <w:r w:rsidRPr="003F6BE7">
        <w:rPr>
          <w:rFonts w:eastAsia="Times New Roman" w:cs="Arial"/>
          <w:bCs/>
          <w:i/>
          <w:iCs/>
          <w:color w:val="000000"/>
          <w:szCs w:val="20"/>
          <w:lang w:val="en-US"/>
        </w:rPr>
        <w:t>Krusei</w:t>
      </w:r>
      <w:proofErr w:type="spellEnd"/>
      <w:r w:rsidRPr="003F6BE7">
        <w:rPr>
          <w:rFonts w:eastAsia="Times New Roman" w:cs="Arial"/>
          <w:bCs/>
          <w:i/>
          <w:iCs/>
          <w:color w:val="000000"/>
          <w:szCs w:val="20"/>
          <w:lang w:val="ru-RU"/>
        </w:rPr>
        <w:t xml:space="preserve">, </w:t>
      </w:r>
      <w:r w:rsidRPr="003F6BE7">
        <w:rPr>
          <w:rFonts w:eastAsia="Times New Roman" w:cs="Arial"/>
          <w:bCs/>
          <w:i/>
          <w:iCs/>
          <w:color w:val="000000"/>
          <w:szCs w:val="20"/>
          <w:lang w:eastAsia="bg-BG"/>
        </w:rPr>
        <w:t xml:space="preserve">С. </w:t>
      </w:r>
      <w:proofErr w:type="spellStart"/>
      <w:r w:rsidRPr="003F6BE7">
        <w:rPr>
          <w:rFonts w:eastAsia="Times New Roman" w:cs="Arial"/>
          <w:bCs/>
          <w:i/>
          <w:iCs/>
          <w:color w:val="000000"/>
          <w:szCs w:val="20"/>
          <w:lang w:val="en-US"/>
        </w:rPr>
        <w:t>auris</w:t>
      </w:r>
      <w:proofErr w:type="spellEnd"/>
      <w:r w:rsidRPr="003F6BE7">
        <w:rPr>
          <w:rFonts w:eastAsia="Times New Roman" w:cs="Arial"/>
          <w:bCs/>
          <w:i/>
          <w:iCs/>
          <w:color w:val="000000"/>
          <w:szCs w:val="20"/>
          <w:lang w:val="ru-RU"/>
        </w:rPr>
        <w:t>).</w:t>
      </w:r>
      <w:r w:rsidRPr="003F6BE7">
        <w:rPr>
          <w:rFonts w:eastAsia="Times New Roman" w:cs="Arial"/>
          <w:bCs/>
          <w:color w:val="000000"/>
          <w:szCs w:val="20"/>
          <w:lang w:val="ru-RU"/>
        </w:rPr>
        <w:t xml:space="preserve"> </w:t>
      </w:r>
      <w:r w:rsidRPr="003F6BE7">
        <w:rPr>
          <w:rFonts w:eastAsia="Times New Roman" w:cs="Arial"/>
          <w:bCs/>
          <w:color w:val="000000"/>
          <w:szCs w:val="20"/>
          <w:lang w:eastAsia="bg-BG"/>
        </w:rPr>
        <w:t>При такива инфекции може да е необходима алтернативна противогъбична терапия.</w:t>
      </w:r>
    </w:p>
    <w:p w14:paraId="43088B91" w14:textId="77777777" w:rsidR="003F6BE7" w:rsidRPr="003F6BE7" w:rsidRDefault="003F6BE7" w:rsidP="003F6BE7">
      <w:pPr>
        <w:spacing w:line="240" w:lineRule="auto"/>
        <w:rPr>
          <w:rFonts w:eastAsia="Times New Roman" w:cs="Arial"/>
          <w:bCs/>
          <w:color w:val="000000"/>
          <w:szCs w:val="20"/>
          <w:u w:val="single"/>
          <w:lang w:eastAsia="bg-BG"/>
        </w:rPr>
      </w:pPr>
    </w:p>
    <w:p w14:paraId="378BCEFE" w14:textId="0D279840" w:rsidR="003F6BE7" w:rsidRPr="003F6BE7" w:rsidRDefault="003F6BE7" w:rsidP="003F6BE7">
      <w:pPr>
        <w:spacing w:line="240" w:lineRule="auto"/>
        <w:rPr>
          <w:rFonts w:eastAsia="Times New Roman" w:cs="Arial"/>
          <w:sz w:val="28"/>
          <w:szCs w:val="24"/>
        </w:rPr>
      </w:pPr>
      <w:r w:rsidRPr="003F6BE7">
        <w:rPr>
          <w:rFonts w:eastAsia="Times New Roman" w:cs="Arial"/>
          <w:bCs/>
          <w:color w:val="000000"/>
          <w:szCs w:val="20"/>
          <w:u w:val="single"/>
          <w:lang w:eastAsia="bg-BG"/>
        </w:rPr>
        <w:t xml:space="preserve">Граници на чувствителност (съгласно </w:t>
      </w:r>
      <w:r w:rsidRPr="003F6BE7">
        <w:rPr>
          <w:rFonts w:eastAsia="Times New Roman" w:cs="Arial"/>
          <w:bCs/>
          <w:color w:val="000000"/>
          <w:szCs w:val="20"/>
          <w:u w:val="single"/>
          <w:lang w:val="en-US"/>
        </w:rPr>
        <w:t>EUCAST</w:t>
      </w:r>
      <w:r w:rsidRPr="003F6BE7">
        <w:rPr>
          <w:rFonts w:eastAsia="Times New Roman" w:cs="Arial"/>
          <w:bCs/>
          <w:color w:val="000000"/>
          <w:szCs w:val="20"/>
          <w:u w:val="single"/>
          <w:lang w:val="ru-RU"/>
        </w:rPr>
        <w:t>)</w:t>
      </w:r>
    </w:p>
    <w:p w14:paraId="0990A571" w14:textId="77777777" w:rsidR="003F6BE7" w:rsidRPr="003F6BE7" w:rsidRDefault="003F6BE7" w:rsidP="003F6BE7">
      <w:pPr>
        <w:spacing w:line="240" w:lineRule="auto"/>
        <w:rPr>
          <w:rFonts w:eastAsia="Times New Roman" w:cs="Arial"/>
          <w:sz w:val="28"/>
          <w:szCs w:val="24"/>
        </w:rPr>
      </w:pPr>
      <w:r w:rsidRPr="003F6BE7">
        <w:rPr>
          <w:rFonts w:eastAsia="Times New Roman" w:cs="Arial"/>
          <w:bCs/>
          <w:color w:val="000000"/>
          <w:szCs w:val="20"/>
          <w:lang w:eastAsia="bg-BG"/>
        </w:rPr>
        <w:t xml:space="preserve">На основата на анализите от фармакокинетичните/фармакодинамични (ФК/ФД) данни, </w:t>
      </w:r>
      <w:r w:rsidRPr="003F6BE7">
        <w:rPr>
          <w:rFonts w:eastAsia="Times New Roman" w:cs="Arial"/>
          <w:bCs/>
          <w:i/>
          <w:iCs/>
          <w:color w:val="000000"/>
          <w:szCs w:val="20"/>
          <w:lang w:val="en-US"/>
        </w:rPr>
        <w:t>in</w:t>
      </w:r>
      <w:r w:rsidRPr="003F6BE7">
        <w:rPr>
          <w:rFonts w:eastAsia="Times New Roman" w:cs="Arial"/>
          <w:bCs/>
          <w:i/>
          <w:iCs/>
          <w:color w:val="000000"/>
          <w:szCs w:val="20"/>
          <w:lang w:val="ru-RU"/>
        </w:rPr>
        <w:t xml:space="preserve"> </w:t>
      </w:r>
      <w:r w:rsidRPr="003F6BE7">
        <w:rPr>
          <w:rFonts w:eastAsia="Times New Roman" w:cs="Arial"/>
          <w:bCs/>
          <w:i/>
          <w:iCs/>
          <w:color w:val="000000"/>
          <w:szCs w:val="20"/>
          <w:lang w:val="en-US"/>
        </w:rPr>
        <w:t>vitro</w:t>
      </w:r>
      <w:r w:rsidRPr="003F6BE7">
        <w:rPr>
          <w:rFonts w:eastAsia="Times New Roman" w:cs="Arial"/>
          <w:bCs/>
          <w:i/>
          <w:iCs/>
          <w:color w:val="000000"/>
          <w:szCs w:val="20"/>
          <w:lang w:val="ru-RU"/>
        </w:rPr>
        <w:t xml:space="preserve"> </w:t>
      </w:r>
      <w:r w:rsidRPr="003F6BE7">
        <w:rPr>
          <w:rFonts w:eastAsia="Times New Roman" w:cs="Arial"/>
          <w:bCs/>
          <w:color w:val="000000"/>
          <w:szCs w:val="20"/>
          <w:lang w:eastAsia="bg-BG"/>
        </w:rPr>
        <w:t xml:space="preserve">чувствителността и клиничния отговор </w:t>
      </w:r>
      <w:r w:rsidRPr="003F6BE7">
        <w:rPr>
          <w:rFonts w:eastAsia="Times New Roman" w:cs="Arial"/>
          <w:bCs/>
          <w:color w:val="000000"/>
          <w:szCs w:val="20"/>
          <w:lang w:val="en-US"/>
        </w:rPr>
        <w:t>EUCAST</w:t>
      </w:r>
      <w:r w:rsidRPr="003F6BE7">
        <w:rPr>
          <w:rFonts w:eastAsia="Times New Roman" w:cs="Arial"/>
          <w:bCs/>
          <w:color w:val="000000"/>
          <w:szCs w:val="20"/>
          <w:lang w:val="ru-RU"/>
        </w:rPr>
        <w:t>-</w:t>
      </w:r>
      <w:r w:rsidRPr="003F6BE7">
        <w:rPr>
          <w:rFonts w:eastAsia="Times New Roman" w:cs="Arial"/>
          <w:bCs/>
          <w:color w:val="000000"/>
          <w:szCs w:val="20"/>
          <w:lang w:val="en-US"/>
        </w:rPr>
        <w:t>AFST</w:t>
      </w:r>
      <w:r w:rsidRPr="003F6BE7">
        <w:rPr>
          <w:rFonts w:eastAsia="Times New Roman" w:cs="Arial"/>
          <w:bCs/>
          <w:color w:val="000000"/>
          <w:szCs w:val="20"/>
          <w:lang w:val="ru-RU"/>
        </w:rPr>
        <w:t xml:space="preserve"> </w:t>
      </w:r>
      <w:r w:rsidRPr="003F6BE7">
        <w:rPr>
          <w:rFonts w:eastAsia="Times New Roman" w:cs="Arial"/>
          <w:bCs/>
          <w:color w:val="000000"/>
          <w:szCs w:val="20"/>
          <w:lang w:eastAsia="bg-BG"/>
        </w:rPr>
        <w:t xml:space="preserve">(Европейски Комитет по Тестване на Антимикробна Чувствителност - субкомитет по Тестване на Антимикотична Чувствителност) определя границите на чувствителност към флуконазол за </w:t>
      </w:r>
      <w:r w:rsidRPr="003F6BE7">
        <w:rPr>
          <w:rFonts w:eastAsia="Times New Roman" w:cs="Arial"/>
          <w:bCs/>
          <w:i/>
          <w:iCs/>
          <w:color w:val="000000"/>
          <w:szCs w:val="20"/>
          <w:lang w:val="en-US"/>
        </w:rPr>
        <w:t>Candida</w:t>
      </w:r>
      <w:r w:rsidRPr="003F6BE7">
        <w:rPr>
          <w:rFonts w:eastAsia="Times New Roman" w:cs="Arial"/>
          <w:bCs/>
          <w:i/>
          <w:iCs/>
          <w:color w:val="000000"/>
          <w:szCs w:val="20"/>
          <w:lang w:val="ru-RU"/>
        </w:rPr>
        <w:t xml:space="preserve"> </w:t>
      </w:r>
      <w:proofErr w:type="spellStart"/>
      <w:r w:rsidRPr="003F6BE7">
        <w:rPr>
          <w:rFonts w:eastAsia="Times New Roman" w:cs="Arial"/>
          <w:bCs/>
          <w:i/>
          <w:iCs/>
          <w:color w:val="000000"/>
          <w:szCs w:val="20"/>
          <w:lang w:val="en-US"/>
        </w:rPr>
        <w:t>spp</w:t>
      </w:r>
      <w:proofErr w:type="spellEnd"/>
      <w:r w:rsidRPr="003F6BE7">
        <w:rPr>
          <w:rFonts w:eastAsia="Times New Roman" w:cs="Arial"/>
          <w:bCs/>
          <w:i/>
          <w:iCs/>
          <w:color w:val="000000"/>
          <w:szCs w:val="20"/>
          <w:lang w:val="ru-RU"/>
        </w:rPr>
        <w:t>.</w:t>
      </w:r>
      <w:r w:rsidRPr="003F6BE7">
        <w:rPr>
          <w:rFonts w:eastAsia="Times New Roman" w:cs="Arial"/>
          <w:bCs/>
          <w:color w:val="000000"/>
          <w:szCs w:val="20"/>
          <w:lang w:val="ru-RU"/>
        </w:rPr>
        <w:t xml:space="preserve"> (</w:t>
      </w:r>
      <w:r w:rsidRPr="003F6BE7">
        <w:rPr>
          <w:rFonts w:eastAsia="Times New Roman" w:cs="Arial"/>
          <w:bCs/>
          <w:color w:val="000000"/>
          <w:szCs w:val="20"/>
          <w:lang w:val="en-US"/>
        </w:rPr>
        <w:t>EUCAST</w:t>
      </w:r>
      <w:r w:rsidRPr="003F6BE7">
        <w:rPr>
          <w:rFonts w:eastAsia="Times New Roman" w:cs="Arial"/>
          <w:bCs/>
          <w:color w:val="000000"/>
          <w:szCs w:val="20"/>
          <w:lang w:val="ru-RU"/>
        </w:rPr>
        <w:t xml:space="preserve"> </w:t>
      </w:r>
      <w:r w:rsidRPr="003F6BE7">
        <w:rPr>
          <w:rFonts w:eastAsia="Times New Roman" w:cs="Arial"/>
          <w:bCs/>
          <w:color w:val="000000"/>
          <w:szCs w:val="20"/>
          <w:lang w:eastAsia="bg-BG"/>
        </w:rPr>
        <w:t>Флуконазол документ обосновка (2007) - версия 2). Границите са разделени на две - на несвързани с вида; определени на базата на ФК/ФД данни, които не зависят от разпределението на МИК за специфичните видове и на видово свързани за основните причинители на инфекции при хора. Границите на чувствителност са представени в таблицата по-долу:</w:t>
      </w:r>
    </w:p>
    <w:tbl>
      <w:tblPr>
        <w:tblStyle w:val="TableGrid"/>
        <w:tblW w:w="0" w:type="auto"/>
        <w:tblLook w:val="04A0" w:firstRow="1" w:lastRow="0" w:firstColumn="1" w:lastColumn="0" w:noHBand="0" w:noVBand="1"/>
      </w:tblPr>
      <w:tblGrid>
        <w:gridCol w:w="1521"/>
        <w:gridCol w:w="1135"/>
        <w:gridCol w:w="1135"/>
        <w:gridCol w:w="1135"/>
        <w:gridCol w:w="1378"/>
        <w:gridCol w:w="1170"/>
        <w:gridCol w:w="1876"/>
      </w:tblGrid>
      <w:tr w:rsidR="003F6BE7" w14:paraId="453A4882" w14:textId="77777777" w:rsidTr="003F6BE7">
        <w:tc>
          <w:tcPr>
            <w:tcW w:w="1521" w:type="dxa"/>
          </w:tcPr>
          <w:p w14:paraId="5D7CD7AA" w14:textId="06B0CFCA" w:rsidR="003F6BE7" w:rsidRDefault="003F6BE7" w:rsidP="003F6BE7">
            <w:r>
              <w:t>Антимикотик</w:t>
            </w:r>
          </w:p>
        </w:tc>
        <w:tc>
          <w:tcPr>
            <w:tcW w:w="6179" w:type="dxa"/>
            <w:gridSpan w:val="5"/>
          </w:tcPr>
          <w:p w14:paraId="7002F891" w14:textId="482030E1" w:rsidR="003F6BE7" w:rsidRDefault="003F6BE7" w:rsidP="003F6BE7">
            <w:r>
              <w:t xml:space="preserve">Граници на чувствителност, свързани с вида </w:t>
            </w:r>
            <w:r w:rsidRPr="003F6BE7">
              <w:rPr>
                <w:lang w:val="ru-RU"/>
              </w:rPr>
              <w:t>(</w:t>
            </w:r>
            <w:r>
              <w:rPr>
                <w:lang w:val="en-US"/>
              </w:rPr>
              <w:t>S</w:t>
            </w:r>
            <w:r>
              <w:t>≤</w:t>
            </w:r>
            <w:r w:rsidRPr="003F6BE7">
              <w:rPr>
                <w:lang w:val="ru-RU"/>
              </w:rPr>
              <w:t>/</w:t>
            </w:r>
            <w:r>
              <w:rPr>
                <w:lang w:val="en-US"/>
              </w:rPr>
              <w:t>R</w:t>
            </w:r>
            <w:r w:rsidRPr="003F6BE7">
              <w:rPr>
                <w:lang w:val="ru-RU"/>
              </w:rPr>
              <w:t>&gt;)</w:t>
            </w:r>
          </w:p>
        </w:tc>
        <w:tc>
          <w:tcPr>
            <w:tcW w:w="1876" w:type="dxa"/>
          </w:tcPr>
          <w:p w14:paraId="3D06B428" w14:textId="15FFFFEF" w:rsidR="003F6BE7" w:rsidRDefault="003F6BE7" w:rsidP="003F6BE7">
            <w:r>
              <w:t>Граници на чувствителност, не свързани с вида</w:t>
            </w:r>
            <w:r>
              <w:rPr>
                <w:vertAlign w:val="superscript"/>
              </w:rPr>
              <w:t xml:space="preserve">А </w:t>
            </w:r>
            <w:r w:rsidRPr="003F6BE7">
              <w:rPr>
                <w:lang w:val="ru-RU"/>
              </w:rPr>
              <w:t>(</w:t>
            </w:r>
            <w:r>
              <w:rPr>
                <w:lang w:val="en-US"/>
              </w:rPr>
              <w:t>S</w:t>
            </w:r>
            <w:r>
              <w:t>≤</w:t>
            </w:r>
            <w:r w:rsidRPr="003F6BE7">
              <w:rPr>
                <w:lang w:val="ru-RU"/>
              </w:rPr>
              <w:t>/</w:t>
            </w:r>
            <w:r>
              <w:rPr>
                <w:lang w:val="en-US"/>
              </w:rPr>
              <w:t>R</w:t>
            </w:r>
            <w:r w:rsidRPr="003F6BE7">
              <w:rPr>
                <w:lang w:val="ru-RU"/>
              </w:rPr>
              <w:t>&gt;)</w:t>
            </w:r>
          </w:p>
        </w:tc>
      </w:tr>
      <w:tr w:rsidR="003F6BE7" w14:paraId="06B79FA0" w14:textId="77777777" w:rsidTr="003F6BE7">
        <w:tc>
          <w:tcPr>
            <w:tcW w:w="1521" w:type="dxa"/>
          </w:tcPr>
          <w:p w14:paraId="67FC853B" w14:textId="77777777" w:rsidR="003F6BE7" w:rsidRDefault="003F6BE7" w:rsidP="003F6BE7"/>
        </w:tc>
        <w:tc>
          <w:tcPr>
            <w:tcW w:w="1193" w:type="dxa"/>
          </w:tcPr>
          <w:p w14:paraId="5D9018C0" w14:textId="24DA954D" w:rsidR="003F6BE7" w:rsidRDefault="003F6BE7" w:rsidP="003F6BE7">
            <w:r>
              <w:t>Candida albicans</w:t>
            </w:r>
          </w:p>
        </w:tc>
        <w:tc>
          <w:tcPr>
            <w:tcW w:w="1194" w:type="dxa"/>
          </w:tcPr>
          <w:p w14:paraId="7C12624D" w14:textId="709E5FCB" w:rsidR="003F6BE7" w:rsidRDefault="003F6BE7" w:rsidP="003F6BE7">
            <w:r>
              <w:t>Candida glabrata</w:t>
            </w:r>
          </w:p>
        </w:tc>
        <w:tc>
          <w:tcPr>
            <w:tcW w:w="1194" w:type="dxa"/>
          </w:tcPr>
          <w:p w14:paraId="68521B08" w14:textId="06CDF120" w:rsidR="003F6BE7" w:rsidRDefault="003F6BE7" w:rsidP="003F6BE7">
            <w:r>
              <w:t>Candida krusei</w:t>
            </w:r>
          </w:p>
        </w:tc>
        <w:tc>
          <w:tcPr>
            <w:tcW w:w="1378" w:type="dxa"/>
          </w:tcPr>
          <w:p w14:paraId="30E3F3E0" w14:textId="25A80E33" w:rsidR="003F6BE7" w:rsidRDefault="003F6BE7" w:rsidP="003F6BE7">
            <w:r>
              <w:t>Candida parapsilosis</w:t>
            </w:r>
          </w:p>
        </w:tc>
        <w:tc>
          <w:tcPr>
            <w:tcW w:w="1220" w:type="dxa"/>
          </w:tcPr>
          <w:p w14:paraId="340F966B" w14:textId="3B358F7F" w:rsidR="003F6BE7" w:rsidRDefault="003F6BE7" w:rsidP="003F6BE7">
            <w:r>
              <w:t>Candida tropicalis</w:t>
            </w:r>
          </w:p>
        </w:tc>
        <w:tc>
          <w:tcPr>
            <w:tcW w:w="1876" w:type="dxa"/>
          </w:tcPr>
          <w:p w14:paraId="550A49A2" w14:textId="77777777" w:rsidR="003F6BE7" w:rsidRDefault="003F6BE7" w:rsidP="003F6BE7"/>
        </w:tc>
      </w:tr>
      <w:tr w:rsidR="003F6BE7" w14:paraId="6F7B9B1D" w14:textId="77777777" w:rsidTr="003F6BE7">
        <w:tc>
          <w:tcPr>
            <w:tcW w:w="1521" w:type="dxa"/>
          </w:tcPr>
          <w:p w14:paraId="4D737373" w14:textId="10CED43B" w:rsidR="003F6BE7" w:rsidRDefault="003F6BE7" w:rsidP="003F6BE7">
            <w:r>
              <w:t>Fluconazole</w:t>
            </w:r>
          </w:p>
        </w:tc>
        <w:tc>
          <w:tcPr>
            <w:tcW w:w="1193" w:type="dxa"/>
          </w:tcPr>
          <w:p w14:paraId="6120D0B3" w14:textId="69B08DC8" w:rsidR="003F6BE7" w:rsidRDefault="003F6BE7" w:rsidP="003F6BE7">
            <w:r>
              <w:rPr>
                <w:lang w:eastAsia="bg-BG"/>
              </w:rPr>
              <w:t>2/4</w:t>
            </w:r>
          </w:p>
        </w:tc>
        <w:tc>
          <w:tcPr>
            <w:tcW w:w="1194" w:type="dxa"/>
          </w:tcPr>
          <w:p w14:paraId="42F35FA2" w14:textId="353C3442" w:rsidR="003F6BE7" w:rsidRDefault="003F6BE7" w:rsidP="003F6BE7">
            <w:r>
              <w:t>IE</w:t>
            </w:r>
          </w:p>
        </w:tc>
        <w:tc>
          <w:tcPr>
            <w:tcW w:w="1194" w:type="dxa"/>
          </w:tcPr>
          <w:p w14:paraId="0DA8A651" w14:textId="3345FD24" w:rsidR="003F6BE7" w:rsidRDefault="003F6BE7" w:rsidP="003F6BE7">
            <w:r>
              <w:rPr>
                <w:rFonts w:cs="Arial"/>
              </w:rPr>
              <w:t>--</w:t>
            </w:r>
          </w:p>
        </w:tc>
        <w:tc>
          <w:tcPr>
            <w:tcW w:w="1378" w:type="dxa"/>
          </w:tcPr>
          <w:p w14:paraId="1A012A73" w14:textId="5AD85B1C" w:rsidR="003F6BE7" w:rsidRDefault="003F6BE7" w:rsidP="003F6BE7">
            <w:r>
              <w:rPr>
                <w:lang w:eastAsia="bg-BG"/>
              </w:rPr>
              <w:t>2/4</w:t>
            </w:r>
          </w:p>
        </w:tc>
        <w:tc>
          <w:tcPr>
            <w:tcW w:w="1220" w:type="dxa"/>
          </w:tcPr>
          <w:p w14:paraId="39C63A05" w14:textId="392C1B63" w:rsidR="003F6BE7" w:rsidRPr="003F6BE7" w:rsidRDefault="003F6BE7" w:rsidP="003F6BE7">
            <w:r w:rsidRPr="003F6BE7">
              <w:rPr>
                <w:lang w:eastAsia="bg-BG"/>
              </w:rPr>
              <w:t>2/4</w:t>
            </w:r>
          </w:p>
        </w:tc>
        <w:tc>
          <w:tcPr>
            <w:tcW w:w="1876" w:type="dxa"/>
          </w:tcPr>
          <w:p w14:paraId="04ACAD28" w14:textId="6C23731D" w:rsidR="003F6BE7" w:rsidRPr="003F6BE7" w:rsidRDefault="003F6BE7" w:rsidP="003F6BE7">
            <w:r w:rsidRPr="003F6BE7">
              <w:rPr>
                <w:bCs/>
                <w:sz w:val="20"/>
                <w:szCs w:val="20"/>
                <w:lang w:eastAsia="bg-BG"/>
              </w:rPr>
              <w:t>2/4</w:t>
            </w:r>
          </w:p>
        </w:tc>
      </w:tr>
    </w:tbl>
    <w:p w14:paraId="1D4DF33C" w14:textId="77777777" w:rsidR="003F6BE7" w:rsidRPr="003F6BE7" w:rsidRDefault="003F6BE7" w:rsidP="003F6BE7">
      <w:pPr>
        <w:rPr>
          <w:sz w:val="24"/>
          <w:szCs w:val="24"/>
        </w:rPr>
      </w:pPr>
      <w:r w:rsidRPr="003F6BE7">
        <w:rPr>
          <w:lang w:val="en-US"/>
        </w:rPr>
        <w:t xml:space="preserve">S = </w:t>
      </w:r>
      <w:r w:rsidRPr="003F6BE7">
        <w:rPr>
          <w:lang w:eastAsia="bg-BG"/>
        </w:rPr>
        <w:t xml:space="preserve">чувствителни; </w:t>
      </w:r>
      <w:r w:rsidRPr="003F6BE7">
        <w:rPr>
          <w:lang w:val="en-US"/>
        </w:rPr>
        <w:t xml:space="preserve">R = </w:t>
      </w:r>
      <w:r w:rsidRPr="003F6BE7">
        <w:rPr>
          <w:lang w:eastAsia="bg-BG"/>
        </w:rPr>
        <w:t>резистентни</w:t>
      </w:r>
    </w:p>
    <w:p w14:paraId="5278FB0B" w14:textId="77777777" w:rsidR="003F6BE7" w:rsidRPr="003F6BE7" w:rsidRDefault="003F6BE7" w:rsidP="003F6BE7">
      <w:pPr>
        <w:rPr>
          <w:sz w:val="24"/>
          <w:szCs w:val="24"/>
        </w:rPr>
      </w:pPr>
      <w:r w:rsidRPr="003F6BE7">
        <w:rPr>
          <w:lang w:val="en-US"/>
        </w:rPr>
        <w:t>A</w:t>
      </w:r>
      <w:r w:rsidRPr="003F6BE7">
        <w:rPr>
          <w:lang w:val="ru-RU"/>
        </w:rPr>
        <w:t xml:space="preserve"> = </w:t>
      </w:r>
      <w:r w:rsidRPr="003F6BE7">
        <w:rPr>
          <w:lang w:eastAsia="bg-BG"/>
        </w:rPr>
        <w:t>Граници на чувствителност, несвързани с вида</w:t>
      </w:r>
      <w:proofErr w:type="gramStart"/>
      <w:r w:rsidRPr="003F6BE7">
        <w:rPr>
          <w:lang w:eastAsia="bg-BG"/>
        </w:rPr>
        <w:t>;</w:t>
      </w:r>
      <w:proofErr w:type="gramEnd"/>
      <w:r w:rsidRPr="003F6BE7">
        <w:rPr>
          <w:lang w:eastAsia="bg-BG"/>
        </w:rPr>
        <w:t xml:space="preserve"> определени на базата на ФК/ФД данни, които не зависят от разпределението на МНК за специфичните видове. Използват се само за организми, за които специфичните граници на чувствителност не са определени.</w:t>
      </w:r>
    </w:p>
    <w:p w14:paraId="0643C252" w14:textId="0A0BC139" w:rsidR="003F6BE7" w:rsidRPr="003F6BE7" w:rsidRDefault="003F6BE7" w:rsidP="003F6BE7">
      <w:pPr>
        <w:rPr>
          <w:sz w:val="24"/>
          <w:szCs w:val="24"/>
        </w:rPr>
      </w:pPr>
      <w:r>
        <w:rPr>
          <w:lang w:eastAsia="bg-BG"/>
        </w:rPr>
        <w:t>-</w:t>
      </w:r>
      <w:r w:rsidRPr="003F6BE7">
        <w:rPr>
          <w:lang w:eastAsia="bg-BG"/>
        </w:rPr>
        <w:t>- = Тестване за чувствителност не се препоръчва, тъй като видът не се поддава на терапия с флуконазол</w:t>
      </w:r>
    </w:p>
    <w:p w14:paraId="708277C9" w14:textId="77777777" w:rsidR="003F6BE7" w:rsidRPr="003F6BE7" w:rsidRDefault="003F6BE7" w:rsidP="003F6BE7">
      <w:pPr>
        <w:rPr>
          <w:sz w:val="24"/>
          <w:szCs w:val="24"/>
        </w:rPr>
      </w:pPr>
      <w:r w:rsidRPr="003F6BE7">
        <w:rPr>
          <w:lang w:val="en-US"/>
        </w:rPr>
        <w:t>IE</w:t>
      </w:r>
      <w:r w:rsidRPr="003F6BE7">
        <w:rPr>
          <w:lang w:val="ru-RU"/>
        </w:rPr>
        <w:t xml:space="preserve"> </w:t>
      </w:r>
      <w:r w:rsidRPr="003F6BE7">
        <w:rPr>
          <w:lang w:eastAsia="bg-BG"/>
        </w:rPr>
        <w:t>= Има недостатъчно данни, че видът се поддава на успешно лечение с флуконазол.</w:t>
      </w:r>
    </w:p>
    <w:p w14:paraId="1A2390B7" w14:textId="4354949E" w:rsidR="003F6BE7" w:rsidRPr="003F6BE7" w:rsidRDefault="003F6BE7" w:rsidP="003F6BE7"/>
    <w:p w14:paraId="26535098" w14:textId="1F0D1723" w:rsidR="00395555" w:rsidRDefault="002C50EE" w:rsidP="008A6AF2">
      <w:pPr>
        <w:pStyle w:val="Heading2"/>
      </w:pPr>
      <w:r>
        <w:t>5.2. Фармакокинетични свойства</w:t>
      </w:r>
    </w:p>
    <w:p w14:paraId="543D5103" w14:textId="4F59BBE0" w:rsidR="003F6BE7" w:rsidRDefault="003F6BE7" w:rsidP="003F6BE7"/>
    <w:p w14:paraId="0597374F" w14:textId="77777777" w:rsidR="003F6BE7" w:rsidRPr="003F6BE7" w:rsidRDefault="003F6BE7" w:rsidP="003F6BE7">
      <w:pPr>
        <w:spacing w:line="240" w:lineRule="auto"/>
        <w:rPr>
          <w:rFonts w:eastAsia="Times New Roman" w:cs="Arial"/>
          <w:sz w:val="28"/>
          <w:szCs w:val="24"/>
        </w:rPr>
      </w:pPr>
      <w:r w:rsidRPr="003F6BE7">
        <w:rPr>
          <w:rFonts w:eastAsia="Times New Roman" w:cs="Arial"/>
          <w:bCs/>
          <w:color w:val="000000"/>
          <w:szCs w:val="20"/>
          <w:lang w:eastAsia="bg-BG"/>
        </w:rPr>
        <w:t>Фармакокинетичните свойства на флуконазол са сходни след интравенозно или перорално приложение.</w:t>
      </w:r>
    </w:p>
    <w:p w14:paraId="076001B9" w14:textId="77777777" w:rsidR="003F6BE7" w:rsidRPr="003F6BE7" w:rsidRDefault="003F6BE7" w:rsidP="003F6BE7">
      <w:pPr>
        <w:spacing w:line="240" w:lineRule="auto"/>
        <w:rPr>
          <w:rFonts w:eastAsia="Times New Roman" w:cs="Arial"/>
          <w:bCs/>
          <w:color w:val="000000"/>
          <w:szCs w:val="20"/>
          <w:u w:val="single"/>
          <w:lang w:eastAsia="bg-BG"/>
        </w:rPr>
      </w:pPr>
    </w:p>
    <w:p w14:paraId="153196DC" w14:textId="3DB5ED5E" w:rsidR="003F6BE7" w:rsidRPr="003F6BE7" w:rsidRDefault="003F6BE7" w:rsidP="003F6BE7">
      <w:pPr>
        <w:pStyle w:val="Heading3"/>
        <w:rPr>
          <w:rFonts w:eastAsia="Times New Roman"/>
          <w:sz w:val="28"/>
          <w:u w:val="single"/>
        </w:rPr>
      </w:pPr>
      <w:r w:rsidRPr="003F6BE7">
        <w:rPr>
          <w:rFonts w:eastAsia="Times New Roman"/>
          <w:u w:val="single"/>
          <w:lang w:eastAsia="bg-BG"/>
        </w:rPr>
        <w:t>Абсорбция</w:t>
      </w:r>
    </w:p>
    <w:p w14:paraId="2A754280" w14:textId="77777777" w:rsidR="003F6BE7" w:rsidRPr="003F6BE7" w:rsidRDefault="003F6BE7" w:rsidP="003F6BE7">
      <w:pPr>
        <w:spacing w:line="240" w:lineRule="auto"/>
        <w:rPr>
          <w:rFonts w:eastAsia="Times New Roman" w:cs="Arial"/>
          <w:sz w:val="28"/>
          <w:szCs w:val="24"/>
        </w:rPr>
      </w:pPr>
      <w:r w:rsidRPr="003F6BE7">
        <w:rPr>
          <w:rFonts w:eastAsia="Times New Roman" w:cs="Arial"/>
          <w:bCs/>
          <w:color w:val="000000"/>
          <w:szCs w:val="20"/>
          <w:lang w:eastAsia="bg-BG"/>
        </w:rPr>
        <w:t>След перорално приложение флуконазол се резорбира добре и плазмените концентрации (и системната бионаличност) са над 90% от концентрациите, които се достигат след интравенозно въвеждане. Абсорбцията от гастроинтестиналния тракт не се повлиява при едновременен прием с храна. Максималните плазмени концентрации на гладно се достигат между 0,5 и 1,5 часа след приема. Плазмените концентрации са пропорционални на дозата. Деветдесет процента от равновесните концентрации се достигат на 4-5 ден след многократно приложение на еднократна дневна доза. Приложението на натоварваща доза (през първия ден), която е два пъти по-висока от обичайната дневна доза, позволява достигане на 90% от равновесните плазмени концентрации на втория ден след началото на лечението.</w:t>
      </w:r>
    </w:p>
    <w:p w14:paraId="36498667" w14:textId="77777777" w:rsidR="003F6BE7" w:rsidRPr="003F6BE7" w:rsidRDefault="003F6BE7" w:rsidP="003F6BE7">
      <w:pPr>
        <w:spacing w:line="240" w:lineRule="auto"/>
        <w:rPr>
          <w:rFonts w:eastAsia="Times New Roman" w:cs="Arial"/>
          <w:bCs/>
          <w:color w:val="000000"/>
          <w:szCs w:val="20"/>
          <w:u w:val="single"/>
          <w:lang w:eastAsia="bg-BG"/>
        </w:rPr>
      </w:pPr>
    </w:p>
    <w:p w14:paraId="6F84F466" w14:textId="23D4D058" w:rsidR="003F6BE7" w:rsidRPr="003F6BE7" w:rsidRDefault="003F6BE7" w:rsidP="003F6BE7">
      <w:pPr>
        <w:pStyle w:val="Heading3"/>
        <w:rPr>
          <w:rFonts w:eastAsia="Times New Roman"/>
          <w:sz w:val="28"/>
          <w:u w:val="single"/>
        </w:rPr>
      </w:pPr>
      <w:r w:rsidRPr="003F6BE7">
        <w:rPr>
          <w:rFonts w:eastAsia="Times New Roman"/>
          <w:u w:val="single"/>
          <w:lang w:eastAsia="bg-BG"/>
        </w:rPr>
        <w:lastRenderedPageBreak/>
        <w:t>Разпределение</w:t>
      </w:r>
    </w:p>
    <w:p w14:paraId="5AA0ED55" w14:textId="77777777" w:rsidR="003F6BE7" w:rsidRPr="003F6BE7" w:rsidRDefault="003F6BE7" w:rsidP="003F6BE7">
      <w:pPr>
        <w:spacing w:line="240" w:lineRule="auto"/>
        <w:rPr>
          <w:rFonts w:eastAsia="Times New Roman" w:cs="Arial"/>
          <w:sz w:val="28"/>
          <w:szCs w:val="24"/>
        </w:rPr>
      </w:pPr>
      <w:r w:rsidRPr="003F6BE7">
        <w:rPr>
          <w:rFonts w:eastAsia="Times New Roman" w:cs="Arial"/>
          <w:bCs/>
          <w:color w:val="000000"/>
          <w:szCs w:val="20"/>
          <w:lang w:eastAsia="bg-BG"/>
        </w:rPr>
        <w:t>Обемът на разпределение е близък до обема на водата в организма. Свързването с плазмените протеини е ниско (11-12%).</w:t>
      </w:r>
    </w:p>
    <w:p w14:paraId="66FA1A6E" w14:textId="77777777" w:rsidR="003F6BE7" w:rsidRPr="003F6BE7" w:rsidRDefault="003F6BE7" w:rsidP="003F6BE7">
      <w:pPr>
        <w:spacing w:line="240" w:lineRule="auto"/>
        <w:rPr>
          <w:rFonts w:eastAsia="Times New Roman" w:cs="Arial"/>
          <w:bCs/>
          <w:color w:val="000000"/>
          <w:szCs w:val="20"/>
          <w:lang w:eastAsia="bg-BG"/>
        </w:rPr>
      </w:pPr>
    </w:p>
    <w:p w14:paraId="6ABDAE84" w14:textId="56110BAF" w:rsidR="003F6BE7" w:rsidRPr="003F6BE7" w:rsidRDefault="003F6BE7" w:rsidP="003F6BE7">
      <w:pPr>
        <w:spacing w:line="240" w:lineRule="auto"/>
        <w:rPr>
          <w:rFonts w:eastAsia="Times New Roman" w:cs="Arial"/>
          <w:sz w:val="28"/>
          <w:szCs w:val="24"/>
        </w:rPr>
      </w:pPr>
      <w:r w:rsidRPr="003F6BE7">
        <w:rPr>
          <w:rFonts w:eastAsia="Times New Roman" w:cs="Arial"/>
          <w:bCs/>
          <w:color w:val="000000"/>
          <w:szCs w:val="20"/>
          <w:lang w:eastAsia="bg-BG"/>
        </w:rPr>
        <w:t>Флуконазол прониква добре във всички изследвани телесни течности. Концентрациите на флуконазол в слюнката и храчката са близки до тези в плазмата. При пациенти с микотичен менингит концентрациите на флуконазол в цереброспиналната течност са приблизително 80% от съответните плазмени концентрации.</w:t>
      </w:r>
    </w:p>
    <w:p w14:paraId="1C46755C" w14:textId="77777777" w:rsidR="003F6BE7" w:rsidRPr="003F6BE7" w:rsidRDefault="003F6BE7" w:rsidP="003F6BE7">
      <w:pPr>
        <w:spacing w:line="240" w:lineRule="auto"/>
        <w:rPr>
          <w:rFonts w:eastAsia="Times New Roman" w:cs="Arial"/>
          <w:bCs/>
          <w:color w:val="000000"/>
          <w:szCs w:val="20"/>
          <w:lang w:eastAsia="bg-BG"/>
        </w:rPr>
      </w:pPr>
    </w:p>
    <w:p w14:paraId="09DCF997" w14:textId="7E3D99E9" w:rsidR="003F6BE7" w:rsidRPr="003F6BE7" w:rsidRDefault="003F6BE7" w:rsidP="003F6BE7">
      <w:pPr>
        <w:spacing w:line="240" w:lineRule="auto"/>
        <w:rPr>
          <w:rFonts w:eastAsia="Times New Roman" w:cs="Arial"/>
          <w:sz w:val="28"/>
          <w:szCs w:val="24"/>
        </w:rPr>
      </w:pPr>
      <w:r w:rsidRPr="003F6BE7">
        <w:rPr>
          <w:rFonts w:eastAsia="Times New Roman" w:cs="Arial"/>
          <w:bCs/>
          <w:color w:val="000000"/>
          <w:szCs w:val="20"/>
          <w:lang w:eastAsia="bg-BG"/>
        </w:rPr>
        <w:t xml:space="preserve">Високи концентрации на флуконазол в кожата, превишаващи плазмените, се достигат в стратум корнеум, епидермис-дерма и потта. Флуконазол кумулира в стратум корнеум. След прилагане на доза от 50 </w:t>
      </w:r>
      <w:r w:rsidRPr="003F6BE7">
        <w:rPr>
          <w:rFonts w:eastAsia="Times New Roman" w:cs="Arial"/>
          <w:bCs/>
          <w:color w:val="000000"/>
          <w:szCs w:val="20"/>
          <w:lang w:val="en-US"/>
        </w:rPr>
        <w:t>mg</w:t>
      </w:r>
      <w:r w:rsidRPr="003F6BE7">
        <w:rPr>
          <w:rFonts w:eastAsia="Times New Roman" w:cs="Arial"/>
          <w:bCs/>
          <w:color w:val="000000"/>
          <w:szCs w:val="20"/>
          <w:lang w:val="ru-RU"/>
        </w:rPr>
        <w:t xml:space="preserve"> </w:t>
      </w:r>
      <w:r w:rsidRPr="003F6BE7">
        <w:rPr>
          <w:rFonts w:eastAsia="Times New Roman" w:cs="Arial"/>
          <w:bCs/>
          <w:color w:val="000000"/>
          <w:szCs w:val="20"/>
          <w:lang w:eastAsia="bg-BG"/>
        </w:rPr>
        <w:t xml:space="preserve">еднократно дневно концентрацията на флуконазол в плазмата след 12 дни е 73 </w:t>
      </w:r>
      <w:proofErr w:type="spellStart"/>
      <w:r w:rsidRPr="003F6BE7">
        <w:rPr>
          <w:rFonts w:eastAsia="Times New Roman" w:cs="Arial"/>
          <w:bCs/>
          <w:color w:val="000000"/>
          <w:szCs w:val="20"/>
          <w:lang w:val="en-US"/>
        </w:rPr>
        <w:t>pg</w:t>
      </w:r>
      <w:proofErr w:type="spellEnd"/>
      <w:r w:rsidRPr="003F6BE7">
        <w:rPr>
          <w:rFonts w:eastAsia="Times New Roman" w:cs="Arial"/>
          <w:bCs/>
          <w:color w:val="000000"/>
          <w:szCs w:val="20"/>
          <w:lang w:val="ru-RU"/>
        </w:rPr>
        <w:t>/</w:t>
      </w:r>
      <w:r w:rsidRPr="003F6BE7">
        <w:rPr>
          <w:rFonts w:eastAsia="Times New Roman" w:cs="Arial"/>
          <w:bCs/>
          <w:color w:val="000000"/>
          <w:szCs w:val="20"/>
          <w:lang w:val="en-US"/>
        </w:rPr>
        <w:t>g</w:t>
      </w:r>
      <w:r w:rsidRPr="003F6BE7">
        <w:rPr>
          <w:rFonts w:eastAsia="Times New Roman" w:cs="Arial"/>
          <w:bCs/>
          <w:color w:val="000000"/>
          <w:szCs w:val="20"/>
          <w:lang w:val="ru-RU"/>
        </w:rPr>
        <w:t xml:space="preserve">, </w:t>
      </w:r>
      <w:r w:rsidRPr="003F6BE7">
        <w:rPr>
          <w:rFonts w:eastAsia="Times New Roman" w:cs="Arial"/>
          <w:bCs/>
          <w:color w:val="000000"/>
          <w:szCs w:val="20"/>
          <w:lang w:eastAsia="bg-BG"/>
        </w:rPr>
        <w:t xml:space="preserve">като 7 дни след прекратяване на лечението тя е от порядъка на 5,8 </w:t>
      </w:r>
      <w:proofErr w:type="spellStart"/>
      <w:r w:rsidRPr="003F6BE7">
        <w:rPr>
          <w:rFonts w:eastAsia="Times New Roman" w:cs="Arial"/>
          <w:bCs/>
          <w:color w:val="000000"/>
          <w:szCs w:val="20"/>
          <w:lang w:val="en-US"/>
        </w:rPr>
        <w:t>pg</w:t>
      </w:r>
      <w:proofErr w:type="spellEnd"/>
      <w:r w:rsidRPr="003F6BE7">
        <w:rPr>
          <w:rFonts w:eastAsia="Times New Roman" w:cs="Arial"/>
          <w:bCs/>
          <w:color w:val="000000"/>
          <w:szCs w:val="20"/>
          <w:lang w:val="ru-RU"/>
        </w:rPr>
        <w:t>/</w:t>
      </w:r>
      <w:r w:rsidRPr="003F6BE7">
        <w:rPr>
          <w:rFonts w:eastAsia="Times New Roman" w:cs="Arial"/>
          <w:bCs/>
          <w:color w:val="000000"/>
          <w:szCs w:val="20"/>
          <w:lang w:val="en-US"/>
        </w:rPr>
        <w:t>g</w:t>
      </w:r>
      <w:r w:rsidRPr="003F6BE7">
        <w:rPr>
          <w:rFonts w:eastAsia="Times New Roman" w:cs="Arial"/>
          <w:bCs/>
          <w:color w:val="000000"/>
          <w:szCs w:val="20"/>
          <w:lang w:val="ru-RU"/>
        </w:rPr>
        <w:t xml:space="preserve">. </w:t>
      </w:r>
      <w:r w:rsidRPr="003F6BE7">
        <w:rPr>
          <w:rFonts w:eastAsia="Times New Roman" w:cs="Arial"/>
          <w:bCs/>
          <w:color w:val="000000"/>
          <w:szCs w:val="20"/>
          <w:lang w:eastAsia="bg-BG"/>
        </w:rPr>
        <w:t xml:space="preserve">При доза 150 </w:t>
      </w:r>
      <w:r w:rsidRPr="003F6BE7">
        <w:rPr>
          <w:rFonts w:eastAsia="Times New Roman" w:cs="Arial"/>
          <w:bCs/>
          <w:color w:val="000000"/>
          <w:szCs w:val="20"/>
          <w:lang w:val="en-US"/>
        </w:rPr>
        <w:t>mg</w:t>
      </w:r>
      <w:r w:rsidRPr="003F6BE7">
        <w:rPr>
          <w:rFonts w:eastAsia="Times New Roman" w:cs="Arial"/>
          <w:bCs/>
          <w:color w:val="000000"/>
          <w:szCs w:val="20"/>
          <w:lang w:val="ru-RU"/>
        </w:rPr>
        <w:t xml:space="preserve"> </w:t>
      </w:r>
      <w:r w:rsidRPr="003F6BE7">
        <w:rPr>
          <w:rFonts w:eastAsia="Times New Roman" w:cs="Arial"/>
          <w:bCs/>
          <w:color w:val="000000"/>
          <w:szCs w:val="20"/>
          <w:lang w:eastAsia="bg-BG"/>
        </w:rPr>
        <w:t xml:space="preserve">веднъж седмично концентрациите на флуконазол в стратум корнеум на седмия ден са 23,4 </w:t>
      </w:r>
      <w:proofErr w:type="spellStart"/>
      <w:r w:rsidRPr="003F6BE7">
        <w:rPr>
          <w:rFonts w:eastAsia="Times New Roman" w:cs="Arial"/>
          <w:bCs/>
          <w:color w:val="000000"/>
          <w:szCs w:val="20"/>
          <w:lang w:val="en-US"/>
        </w:rPr>
        <w:t>pg</w:t>
      </w:r>
      <w:proofErr w:type="spellEnd"/>
      <w:r w:rsidRPr="003F6BE7">
        <w:rPr>
          <w:rFonts w:eastAsia="Times New Roman" w:cs="Arial"/>
          <w:bCs/>
          <w:color w:val="000000"/>
          <w:szCs w:val="20"/>
          <w:lang w:val="ru-RU"/>
        </w:rPr>
        <w:t>/</w:t>
      </w:r>
      <w:r w:rsidRPr="003F6BE7">
        <w:rPr>
          <w:rFonts w:eastAsia="Times New Roman" w:cs="Arial"/>
          <w:bCs/>
          <w:color w:val="000000"/>
          <w:szCs w:val="20"/>
          <w:lang w:val="en-US"/>
        </w:rPr>
        <w:t>g</w:t>
      </w:r>
      <w:r w:rsidRPr="003F6BE7">
        <w:rPr>
          <w:rFonts w:eastAsia="Times New Roman" w:cs="Arial"/>
          <w:bCs/>
          <w:color w:val="000000"/>
          <w:szCs w:val="20"/>
          <w:lang w:val="ru-RU"/>
        </w:rPr>
        <w:t xml:space="preserve"> </w:t>
      </w:r>
      <w:r w:rsidRPr="003F6BE7">
        <w:rPr>
          <w:rFonts w:eastAsia="Times New Roman" w:cs="Arial"/>
          <w:bCs/>
          <w:color w:val="000000"/>
          <w:szCs w:val="20"/>
          <w:lang w:eastAsia="bg-BG"/>
        </w:rPr>
        <w:t>и съответно седем дни след втората доза са все още 7,1 μ</w:t>
      </w:r>
      <w:r w:rsidRPr="003F6BE7">
        <w:rPr>
          <w:rFonts w:eastAsia="Times New Roman" w:cs="Arial"/>
          <w:bCs/>
          <w:color w:val="000000"/>
          <w:szCs w:val="20"/>
          <w:lang w:val="en-US"/>
        </w:rPr>
        <w:t>g</w:t>
      </w:r>
      <w:r w:rsidRPr="003F6BE7">
        <w:rPr>
          <w:rFonts w:eastAsia="Times New Roman" w:cs="Arial"/>
          <w:bCs/>
          <w:color w:val="000000"/>
          <w:szCs w:val="20"/>
          <w:lang w:val="ru-RU"/>
        </w:rPr>
        <w:t>/</w:t>
      </w:r>
      <w:r w:rsidRPr="003F6BE7">
        <w:rPr>
          <w:rFonts w:eastAsia="Times New Roman" w:cs="Arial"/>
          <w:bCs/>
          <w:color w:val="000000"/>
          <w:szCs w:val="20"/>
          <w:lang w:val="en-US"/>
        </w:rPr>
        <w:t>g</w:t>
      </w:r>
      <w:r w:rsidRPr="003F6BE7">
        <w:rPr>
          <w:rFonts w:eastAsia="Times New Roman" w:cs="Arial"/>
          <w:bCs/>
          <w:color w:val="000000"/>
          <w:szCs w:val="20"/>
          <w:lang w:val="ru-RU"/>
        </w:rPr>
        <w:t>.</w:t>
      </w:r>
    </w:p>
    <w:p w14:paraId="74C32A60" w14:textId="77777777" w:rsidR="003F6BE7" w:rsidRPr="003F6BE7" w:rsidRDefault="003F6BE7" w:rsidP="003F6BE7">
      <w:pPr>
        <w:spacing w:line="240" w:lineRule="auto"/>
        <w:rPr>
          <w:rFonts w:eastAsia="Times New Roman" w:cs="Arial"/>
          <w:bCs/>
          <w:color w:val="000000"/>
          <w:szCs w:val="20"/>
          <w:lang w:eastAsia="bg-BG"/>
        </w:rPr>
      </w:pPr>
    </w:p>
    <w:p w14:paraId="7D5FBE17" w14:textId="47BE90BB" w:rsidR="003F6BE7" w:rsidRPr="003F6BE7" w:rsidRDefault="003F6BE7" w:rsidP="003F6BE7">
      <w:pPr>
        <w:spacing w:line="240" w:lineRule="auto"/>
        <w:rPr>
          <w:rFonts w:eastAsia="Times New Roman" w:cs="Arial"/>
          <w:sz w:val="28"/>
          <w:szCs w:val="24"/>
        </w:rPr>
      </w:pPr>
      <w:r w:rsidRPr="003F6BE7">
        <w:rPr>
          <w:rFonts w:eastAsia="Times New Roman" w:cs="Arial"/>
          <w:bCs/>
          <w:color w:val="000000"/>
          <w:szCs w:val="20"/>
          <w:lang w:eastAsia="bg-BG"/>
        </w:rPr>
        <w:t xml:space="preserve">Концентрацията на флуконазол в ноктите след 4 месеца лечение при доза 150 </w:t>
      </w:r>
      <w:r w:rsidRPr="003F6BE7">
        <w:rPr>
          <w:rFonts w:eastAsia="Times New Roman" w:cs="Arial"/>
          <w:bCs/>
          <w:color w:val="000000"/>
          <w:szCs w:val="20"/>
          <w:lang w:val="en-US"/>
        </w:rPr>
        <w:t>mg</w:t>
      </w:r>
      <w:r w:rsidRPr="003F6BE7">
        <w:rPr>
          <w:rFonts w:eastAsia="Times New Roman" w:cs="Arial"/>
          <w:bCs/>
          <w:color w:val="000000"/>
          <w:szCs w:val="20"/>
          <w:lang w:val="ru-RU"/>
        </w:rPr>
        <w:t xml:space="preserve"> </w:t>
      </w:r>
      <w:r w:rsidRPr="003F6BE7">
        <w:rPr>
          <w:rFonts w:eastAsia="Times New Roman" w:cs="Arial"/>
          <w:bCs/>
          <w:color w:val="000000"/>
          <w:szCs w:val="20"/>
          <w:lang w:eastAsia="bg-BG"/>
        </w:rPr>
        <w:t>веднъж седмично е съответно 4,05 μ</w:t>
      </w:r>
      <w:r w:rsidRPr="003F6BE7">
        <w:rPr>
          <w:rFonts w:eastAsia="Times New Roman" w:cs="Arial"/>
          <w:bCs/>
          <w:color w:val="000000"/>
          <w:szCs w:val="20"/>
          <w:lang w:val="en-US"/>
        </w:rPr>
        <w:t>g</w:t>
      </w:r>
      <w:r w:rsidRPr="003F6BE7">
        <w:rPr>
          <w:rFonts w:eastAsia="Times New Roman" w:cs="Arial"/>
          <w:bCs/>
          <w:color w:val="000000"/>
          <w:szCs w:val="20"/>
          <w:lang w:val="ru-RU"/>
        </w:rPr>
        <w:t>/</w:t>
      </w:r>
      <w:r w:rsidRPr="003F6BE7">
        <w:rPr>
          <w:rFonts w:eastAsia="Times New Roman" w:cs="Arial"/>
          <w:bCs/>
          <w:color w:val="000000"/>
          <w:szCs w:val="20"/>
          <w:lang w:val="en-US"/>
        </w:rPr>
        <w:t>g</w:t>
      </w:r>
      <w:r w:rsidRPr="003F6BE7">
        <w:rPr>
          <w:rFonts w:eastAsia="Times New Roman" w:cs="Arial"/>
          <w:bCs/>
          <w:color w:val="000000"/>
          <w:szCs w:val="20"/>
          <w:lang w:val="ru-RU"/>
        </w:rPr>
        <w:t xml:space="preserve"> </w:t>
      </w:r>
      <w:r w:rsidRPr="003F6BE7">
        <w:rPr>
          <w:rFonts w:eastAsia="Times New Roman" w:cs="Arial"/>
          <w:bCs/>
          <w:color w:val="000000"/>
          <w:szCs w:val="20"/>
          <w:lang w:eastAsia="bg-BG"/>
        </w:rPr>
        <w:t>при здрави и 1.8 μ</w:t>
      </w:r>
      <w:r w:rsidRPr="003F6BE7">
        <w:rPr>
          <w:rFonts w:eastAsia="Times New Roman" w:cs="Arial"/>
          <w:bCs/>
          <w:color w:val="000000"/>
          <w:szCs w:val="20"/>
          <w:lang w:val="en-US"/>
        </w:rPr>
        <w:t>g</w:t>
      </w:r>
      <w:r w:rsidRPr="003F6BE7">
        <w:rPr>
          <w:rFonts w:eastAsia="Times New Roman" w:cs="Arial"/>
          <w:bCs/>
          <w:color w:val="000000"/>
          <w:szCs w:val="20"/>
          <w:lang w:val="ru-RU"/>
        </w:rPr>
        <w:t>/</w:t>
      </w:r>
      <w:r w:rsidRPr="003F6BE7">
        <w:rPr>
          <w:rFonts w:eastAsia="Times New Roman" w:cs="Arial"/>
          <w:bCs/>
          <w:color w:val="000000"/>
          <w:szCs w:val="20"/>
          <w:lang w:val="en-US"/>
        </w:rPr>
        <w:t>g</w:t>
      </w:r>
      <w:r w:rsidRPr="003F6BE7">
        <w:rPr>
          <w:rFonts w:eastAsia="Times New Roman" w:cs="Arial"/>
          <w:bCs/>
          <w:color w:val="000000"/>
          <w:szCs w:val="20"/>
          <w:lang w:val="ru-RU"/>
        </w:rPr>
        <w:t xml:space="preserve"> </w:t>
      </w:r>
      <w:r w:rsidRPr="003F6BE7">
        <w:rPr>
          <w:rFonts w:eastAsia="Times New Roman" w:cs="Arial"/>
          <w:bCs/>
          <w:color w:val="000000"/>
          <w:szCs w:val="20"/>
          <w:lang w:eastAsia="bg-BG"/>
        </w:rPr>
        <w:t>при заразени нокти. Концентрации на флуконазол се измерват в ноктите и шест месеца след приключване на лечението.</w:t>
      </w:r>
    </w:p>
    <w:p w14:paraId="706AAEBE" w14:textId="77777777" w:rsidR="003F6BE7" w:rsidRPr="003F6BE7" w:rsidRDefault="003F6BE7" w:rsidP="003F6BE7">
      <w:pPr>
        <w:spacing w:line="240" w:lineRule="auto"/>
        <w:rPr>
          <w:rFonts w:eastAsia="Times New Roman" w:cs="Arial"/>
          <w:bCs/>
          <w:color w:val="000000"/>
          <w:szCs w:val="20"/>
          <w:u w:val="single"/>
          <w:lang w:eastAsia="bg-BG"/>
        </w:rPr>
      </w:pPr>
    </w:p>
    <w:p w14:paraId="5D0C66F3" w14:textId="1CAE93D9" w:rsidR="003F6BE7" w:rsidRPr="003F6BE7" w:rsidRDefault="003F6BE7" w:rsidP="003F6BE7">
      <w:pPr>
        <w:pStyle w:val="Heading3"/>
        <w:rPr>
          <w:rFonts w:eastAsia="Times New Roman"/>
          <w:sz w:val="28"/>
          <w:u w:val="single"/>
        </w:rPr>
      </w:pPr>
      <w:r w:rsidRPr="003F6BE7">
        <w:rPr>
          <w:rFonts w:eastAsia="Times New Roman"/>
          <w:u w:val="single"/>
          <w:lang w:eastAsia="bg-BG"/>
        </w:rPr>
        <w:t>Биотрансформация</w:t>
      </w:r>
    </w:p>
    <w:p w14:paraId="6D62E888" w14:textId="77777777" w:rsidR="003F6BE7" w:rsidRPr="003F6BE7" w:rsidRDefault="003F6BE7" w:rsidP="003F6BE7">
      <w:pPr>
        <w:rPr>
          <w:rFonts w:eastAsia="Times New Roman" w:cs="Arial"/>
          <w:sz w:val="28"/>
          <w:szCs w:val="24"/>
        </w:rPr>
      </w:pPr>
      <w:r w:rsidRPr="003F6BE7">
        <w:rPr>
          <w:rFonts w:eastAsia="Times New Roman" w:cs="Arial"/>
          <w:bCs/>
          <w:color w:val="000000"/>
          <w:szCs w:val="20"/>
          <w:lang w:eastAsia="bg-BG"/>
        </w:rPr>
        <w:t xml:space="preserve">Флуконазол се метаболизира в незначителна степен. След прилагане на белязана с радиоактивен елемент доза само 11% се елиминира променена в урината. Флуконазол е селективен инхибитор на изоензими </w:t>
      </w:r>
      <w:r w:rsidRPr="003F6BE7">
        <w:rPr>
          <w:rFonts w:eastAsia="Times New Roman" w:cs="Arial"/>
          <w:bCs/>
          <w:color w:val="000000"/>
          <w:szCs w:val="20"/>
          <w:lang w:val="en-US"/>
        </w:rPr>
        <w:t>CYP</w:t>
      </w:r>
      <w:r w:rsidRPr="003F6BE7">
        <w:rPr>
          <w:rFonts w:eastAsia="Times New Roman" w:cs="Arial"/>
          <w:bCs/>
          <w:color w:val="000000"/>
          <w:szCs w:val="20"/>
          <w:lang w:val="ru-RU"/>
        </w:rPr>
        <w:t>2</w:t>
      </w:r>
      <w:r w:rsidRPr="003F6BE7">
        <w:rPr>
          <w:rFonts w:eastAsia="Times New Roman" w:cs="Arial"/>
          <w:bCs/>
          <w:color w:val="000000"/>
          <w:szCs w:val="20"/>
          <w:lang w:val="en-US"/>
        </w:rPr>
        <w:t>C</w:t>
      </w:r>
      <w:r w:rsidRPr="003F6BE7">
        <w:rPr>
          <w:rFonts w:eastAsia="Times New Roman" w:cs="Arial"/>
          <w:bCs/>
          <w:color w:val="000000"/>
          <w:szCs w:val="20"/>
          <w:lang w:val="ru-RU"/>
        </w:rPr>
        <w:t xml:space="preserve">9 </w:t>
      </w:r>
      <w:r w:rsidRPr="003F6BE7">
        <w:rPr>
          <w:rFonts w:eastAsia="Times New Roman" w:cs="Arial"/>
          <w:bCs/>
          <w:color w:val="000000"/>
          <w:szCs w:val="20"/>
          <w:lang w:eastAsia="bg-BG"/>
        </w:rPr>
        <w:t xml:space="preserve">и </w:t>
      </w:r>
      <w:r w:rsidRPr="003F6BE7">
        <w:rPr>
          <w:rFonts w:eastAsia="Times New Roman" w:cs="Arial"/>
          <w:bCs/>
          <w:color w:val="000000"/>
          <w:szCs w:val="20"/>
          <w:lang w:val="en-US"/>
        </w:rPr>
        <w:t>CYP</w:t>
      </w:r>
      <w:r w:rsidRPr="003F6BE7">
        <w:rPr>
          <w:rFonts w:eastAsia="Times New Roman" w:cs="Arial"/>
          <w:bCs/>
          <w:color w:val="000000"/>
          <w:szCs w:val="20"/>
          <w:lang w:val="ru-RU"/>
        </w:rPr>
        <w:t>3</w:t>
      </w:r>
      <w:r w:rsidRPr="003F6BE7">
        <w:rPr>
          <w:rFonts w:eastAsia="Times New Roman" w:cs="Arial"/>
          <w:bCs/>
          <w:color w:val="000000"/>
          <w:szCs w:val="20"/>
          <w:lang w:val="en-US"/>
        </w:rPr>
        <w:t>A</w:t>
      </w:r>
      <w:r w:rsidRPr="003F6BE7">
        <w:rPr>
          <w:rFonts w:eastAsia="Times New Roman" w:cs="Arial"/>
          <w:bCs/>
          <w:color w:val="000000"/>
          <w:szCs w:val="20"/>
          <w:lang w:val="ru-RU"/>
        </w:rPr>
        <w:t xml:space="preserve">4 </w:t>
      </w:r>
      <w:r w:rsidRPr="003F6BE7">
        <w:rPr>
          <w:rFonts w:eastAsia="Times New Roman" w:cs="Arial"/>
          <w:bCs/>
          <w:color w:val="000000"/>
          <w:szCs w:val="20"/>
          <w:lang w:eastAsia="bg-BG"/>
        </w:rPr>
        <w:t xml:space="preserve">(вж. точка 4.5). Флуконазол е също така инхибитор на изоензим </w:t>
      </w:r>
      <w:r w:rsidRPr="003F6BE7">
        <w:rPr>
          <w:rFonts w:eastAsia="Times New Roman" w:cs="Arial"/>
          <w:bCs/>
          <w:color w:val="000000"/>
          <w:szCs w:val="20"/>
          <w:lang w:val="en-US"/>
        </w:rPr>
        <w:t>CYP</w:t>
      </w:r>
      <w:r w:rsidRPr="003F6BE7">
        <w:rPr>
          <w:rFonts w:eastAsia="Times New Roman" w:cs="Arial"/>
          <w:bCs/>
          <w:color w:val="000000"/>
          <w:szCs w:val="20"/>
          <w:lang w:val="ru-RU"/>
        </w:rPr>
        <w:t>2</w:t>
      </w:r>
      <w:r w:rsidRPr="003F6BE7">
        <w:rPr>
          <w:rFonts w:eastAsia="Times New Roman" w:cs="Arial"/>
          <w:bCs/>
          <w:color w:val="000000"/>
          <w:szCs w:val="20"/>
          <w:lang w:val="en-US"/>
        </w:rPr>
        <w:t>C</w:t>
      </w:r>
      <w:r w:rsidRPr="003F6BE7">
        <w:rPr>
          <w:rFonts w:eastAsia="Times New Roman" w:cs="Arial"/>
          <w:bCs/>
          <w:color w:val="000000"/>
          <w:szCs w:val="20"/>
          <w:lang w:val="ru-RU"/>
        </w:rPr>
        <w:t>19.</w:t>
      </w:r>
    </w:p>
    <w:p w14:paraId="4E5D9A3C" w14:textId="77777777" w:rsidR="003F6BE7" w:rsidRPr="003F6BE7" w:rsidRDefault="003F6BE7" w:rsidP="003F6BE7">
      <w:pPr>
        <w:spacing w:line="240" w:lineRule="auto"/>
        <w:rPr>
          <w:rFonts w:eastAsia="Times New Roman" w:cs="Arial"/>
          <w:bCs/>
          <w:color w:val="000000"/>
          <w:szCs w:val="20"/>
          <w:u w:val="single"/>
          <w:lang w:eastAsia="bg-BG"/>
        </w:rPr>
      </w:pPr>
    </w:p>
    <w:p w14:paraId="067F9FB9" w14:textId="718D21FB" w:rsidR="003F6BE7" w:rsidRPr="003F6BE7" w:rsidRDefault="003F6BE7" w:rsidP="003F6BE7">
      <w:pPr>
        <w:pStyle w:val="Heading3"/>
        <w:rPr>
          <w:rFonts w:eastAsia="Times New Roman"/>
          <w:sz w:val="28"/>
          <w:u w:val="single"/>
        </w:rPr>
      </w:pPr>
      <w:r w:rsidRPr="003F6BE7">
        <w:rPr>
          <w:rFonts w:eastAsia="Times New Roman"/>
          <w:u w:val="single"/>
          <w:lang w:eastAsia="bg-BG"/>
        </w:rPr>
        <w:t>Елиминиране</w:t>
      </w:r>
    </w:p>
    <w:p w14:paraId="691F287D" w14:textId="77777777" w:rsidR="003F6BE7" w:rsidRPr="003F6BE7" w:rsidRDefault="003F6BE7" w:rsidP="003F6BE7">
      <w:pPr>
        <w:spacing w:line="240" w:lineRule="auto"/>
        <w:rPr>
          <w:rFonts w:eastAsia="Times New Roman" w:cs="Arial"/>
          <w:sz w:val="28"/>
          <w:szCs w:val="24"/>
        </w:rPr>
      </w:pPr>
      <w:r w:rsidRPr="003F6BE7">
        <w:rPr>
          <w:rFonts w:eastAsia="Times New Roman" w:cs="Arial"/>
          <w:bCs/>
          <w:color w:val="000000"/>
          <w:szCs w:val="20"/>
          <w:lang w:eastAsia="bg-BG"/>
        </w:rPr>
        <w:t>Елиминационният полуживот на флуконазол е приблизително 30 часа. Основният път на екскреция е бъбречният, като приблизително 80% от приетата доза се екскретира непроменена в урината. Клирънсът на флуконазол е пропорционален на клирънса на креатинина. Няма данни за метаболити в кръвообращението.</w:t>
      </w:r>
    </w:p>
    <w:p w14:paraId="2119B04C" w14:textId="77777777" w:rsidR="003F6BE7" w:rsidRPr="003F6BE7" w:rsidRDefault="003F6BE7" w:rsidP="003F6BE7">
      <w:pPr>
        <w:spacing w:line="240" w:lineRule="auto"/>
        <w:rPr>
          <w:rFonts w:eastAsia="Times New Roman" w:cs="Arial"/>
          <w:bCs/>
          <w:color w:val="000000"/>
          <w:szCs w:val="20"/>
          <w:lang w:eastAsia="bg-BG"/>
        </w:rPr>
      </w:pPr>
    </w:p>
    <w:p w14:paraId="6B612AA9" w14:textId="400BD5E6" w:rsidR="003F6BE7" w:rsidRPr="003F6BE7" w:rsidRDefault="003F6BE7" w:rsidP="003F6BE7">
      <w:pPr>
        <w:spacing w:line="240" w:lineRule="auto"/>
        <w:rPr>
          <w:rFonts w:eastAsia="Times New Roman" w:cs="Arial"/>
          <w:sz w:val="28"/>
          <w:szCs w:val="24"/>
        </w:rPr>
      </w:pPr>
      <w:r w:rsidRPr="003F6BE7">
        <w:rPr>
          <w:rFonts w:eastAsia="Times New Roman" w:cs="Arial"/>
          <w:bCs/>
          <w:color w:val="000000"/>
          <w:szCs w:val="20"/>
          <w:lang w:eastAsia="bg-BG"/>
        </w:rPr>
        <w:t>Дългият елиминационен полуживот създава предпоставки за лечение на вагиналната кандидоза с еднократна доза, а за лечение на останалите микози - с еднократен дневен и еднократен седмичен прием на лекарството.</w:t>
      </w:r>
    </w:p>
    <w:p w14:paraId="6AEA7809" w14:textId="77777777" w:rsidR="003F6BE7" w:rsidRPr="003F6BE7" w:rsidRDefault="003F6BE7" w:rsidP="003F6BE7">
      <w:pPr>
        <w:spacing w:line="240" w:lineRule="auto"/>
        <w:rPr>
          <w:rFonts w:eastAsia="Times New Roman" w:cs="Arial"/>
          <w:bCs/>
          <w:color w:val="000000"/>
          <w:szCs w:val="20"/>
          <w:u w:val="single"/>
          <w:lang w:eastAsia="bg-BG"/>
        </w:rPr>
      </w:pPr>
    </w:p>
    <w:p w14:paraId="09AE7AC7" w14:textId="7ABACA29" w:rsidR="003F6BE7" w:rsidRPr="003F6BE7" w:rsidRDefault="003F6BE7" w:rsidP="003F6BE7">
      <w:pPr>
        <w:spacing w:line="240" w:lineRule="auto"/>
        <w:rPr>
          <w:rFonts w:eastAsia="Times New Roman" w:cs="Arial"/>
          <w:sz w:val="28"/>
          <w:szCs w:val="24"/>
        </w:rPr>
      </w:pPr>
      <w:r w:rsidRPr="003F6BE7">
        <w:rPr>
          <w:rFonts w:eastAsia="Times New Roman" w:cs="Arial"/>
          <w:bCs/>
          <w:color w:val="000000"/>
          <w:szCs w:val="20"/>
          <w:u w:val="single"/>
          <w:lang w:eastAsia="bg-BG"/>
        </w:rPr>
        <w:t>Фармакокинетика при бъбречно увреждане</w:t>
      </w:r>
    </w:p>
    <w:p w14:paraId="05A8CEA2" w14:textId="77777777" w:rsidR="003F6BE7" w:rsidRPr="003F6BE7" w:rsidRDefault="003F6BE7" w:rsidP="003F6BE7">
      <w:pPr>
        <w:spacing w:line="240" w:lineRule="auto"/>
        <w:rPr>
          <w:rFonts w:eastAsia="Times New Roman" w:cs="Arial"/>
          <w:sz w:val="28"/>
          <w:szCs w:val="24"/>
        </w:rPr>
      </w:pPr>
      <w:r w:rsidRPr="003F6BE7">
        <w:rPr>
          <w:rFonts w:eastAsia="Times New Roman" w:cs="Arial"/>
          <w:bCs/>
          <w:color w:val="000000"/>
          <w:szCs w:val="20"/>
          <w:lang w:eastAsia="bg-BG"/>
        </w:rPr>
        <w:t xml:space="preserve">При пациенти с тежка бъбречна недостатъчност </w:t>
      </w:r>
      <w:r w:rsidRPr="003F6BE7">
        <w:rPr>
          <w:rFonts w:eastAsia="Times New Roman" w:cs="Arial"/>
          <w:bCs/>
          <w:color w:val="000000"/>
          <w:szCs w:val="20"/>
          <w:lang w:val="ru-RU"/>
        </w:rPr>
        <w:t>(</w:t>
      </w:r>
      <w:r w:rsidRPr="003F6BE7">
        <w:rPr>
          <w:rFonts w:eastAsia="Times New Roman" w:cs="Arial"/>
          <w:bCs/>
          <w:color w:val="000000"/>
          <w:szCs w:val="20"/>
          <w:lang w:val="en-US"/>
        </w:rPr>
        <w:t>GFR</w:t>
      </w:r>
      <w:r w:rsidRPr="003F6BE7">
        <w:rPr>
          <w:rFonts w:eastAsia="Times New Roman" w:cs="Arial"/>
          <w:bCs/>
          <w:color w:val="000000"/>
          <w:szCs w:val="20"/>
          <w:lang w:val="ru-RU"/>
        </w:rPr>
        <w:t xml:space="preserve"> </w:t>
      </w:r>
      <w:r w:rsidRPr="003F6BE7">
        <w:rPr>
          <w:rFonts w:eastAsia="Times New Roman" w:cs="Arial"/>
          <w:bCs/>
          <w:color w:val="000000"/>
          <w:szCs w:val="20"/>
          <w:lang w:eastAsia="bg-BG"/>
        </w:rPr>
        <w:t xml:space="preserve">&lt; 20 </w:t>
      </w:r>
      <w:r w:rsidRPr="003F6BE7">
        <w:rPr>
          <w:rFonts w:eastAsia="Times New Roman" w:cs="Arial"/>
          <w:bCs/>
          <w:color w:val="000000"/>
          <w:szCs w:val="20"/>
          <w:lang w:val="en-US"/>
        </w:rPr>
        <w:t>ml</w:t>
      </w:r>
      <w:r w:rsidRPr="003F6BE7">
        <w:rPr>
          <w:rFonts w:eastAsia="Times New Roman" w:cs="Arial"/>
          <w:bCs/>
          <w:color w:val="000000"/>
          <w:szCs w:val="20"/>
          <w:lang w:val="ru-RU"/>
        </w:rPr>
        <w:t>/</w:t>
      </w:r>
      <w:r w:rsidRPr="003F6BE7">
        <w:rPr>
          <w:rFonts w:eastAsia="Times New Roman" w:cs="Arial"/>
          <w:bCs/>
          <w:color w:val="000000"/>
          <w:szCs w:val="20"/>
          <w:lang w:val="en-US"/>
        </w:rPr>
        <w:t>min</w:t>
      </w:r>
      <w:r w:rsidRPr="003F6BE7">
        <w:rPr>
          <w:rFonts w:eastAsia="Times New Roman" w:cs="Arial"/>
          <w:bCs/>
          <w:color w:val="000000"/>
          <w:szCs w:val="20"/>
          <w:lang w:val="ru-RU"/>
        </w:rPr>
        <w:t xml:space="preserve">) </w:t>
      </w:r>
      <w:r w:rsidRPr="003F6BE7">
        <w:rPr>
          <w:rFonts w:eastAsia="Times New Roman" w:cs="Arial"/>
          <w:bCs/>
          <w:color w:val="000000"/>
          <w:szCs w:val="20"/>
          <w:lang w:eastAsia="bg-BG"/>
        </w:rPr>
        <w:t>полуживотът се удължава от 30 на 98 часа и се изисква съответното редуциране на дозата. Флуконазол се отстранява от плазмата чрез хемодиализа и в по-ниска степен при перитонеална диализа. След 3 часова хемодиализа около 50% флуконазол се елиминира от кръвта.</w:t>
      </w:r>
    </w:p>
    <w:p w14:paraId="38CF108D" w14:textId="77777777" w:rsidR="003F6BE7" w:rsidRPr="003F6BE7" w:rsidRDefault="003F6BE7" w:rsidP="003F6BE7">
      <w:pPr>
        <w:spacing w:line="240" w:lineRule="auto"/>
        <w:rPr>
          <w:rFonts w:eastAsia="Times New Roman" w:cs="Arial"/>
          <w:bCs/>
          <w:color w:val="000000"/>
          <w:szCs w:val="20"/>
          <w:u w:val="single"/>
          <w:lang w:eastAsia="bg-BG"/>
        </w:rPr>
      </w:pPr>
    </w:p>
    <w:p w14:paraId="380BC204" w14:textId="6BC9D3CB" w:rsidR="003F6BE7" w:rsidRPr="003F6BE7" w:rsidRDefault="003F6BE7" w:rsidP="003F6BE7">
      <w:pPr>
        <w:spacing w:line="240" w:lineRule="auto"/>
        <w:rPr>
          <w:rFonts w:eastAsia="Times New Roman" w:cs="Arial"/>
          <w:sz w:val="28"/>
          <w:szCs w:val="24"/>
        </w:rPr>
      </w:pPr>
      <w:r w:rsidRPr="003F6BE7">
        <w:rPr>
          <w:rFonts w:eastAsia="Times New Roman" w:cs="Arial"/>
          <w:bCs/>
          <w:color w:val="000000"/>
          <w:szCs w:val="20"/>
          <w:u w:val="single"/>
          <w:lang w:eastAsia="bg-BG"/>
        </w:rPr>
        <w:t>Фармакокинетика при деца</w:t>
      </w:r>
    </w:p>
    <w:p w14:paraId="361EF0E4" w14:textId="77777777" w:rsidR="003F6BE7" w:rsidRPr="003F6BE7" w:rsidRDefault="003F6BE7" w:rsidP="003F6BE7">
      <w:pPr>
        <w:spacing w:line="240" w:lineRule="auto"/>
        <w:rPr>
          <w:rFonts w:eastAsia="Times New Roman" w:cs="Arial"/>
          <w:sz w:val="28"/>
          <w:szCs w:val="24"/>
        </w:rPr>
      </w:pPr>
      <w:r w:rsidRPr="003F6BE7">
        <w:rPr>
          <w:rFonts w:eastAsia="Times New Roman" w:cs="Arial"/>
          <w:bCs/>
          <w:color w:val="000000"/>
          <w:szCs w:val="20"/>
          <w:lang w:eastAsia="bg-BG"/>
        </w:rPr>
        <w:t>Фармакокинетичните данни са оценени при 113 пациенти в 5 клинични изпитвания: 2 изпитвания с приложение на единична доза, 2 изпитвания с многократно дозиране и едно изпитване при преждевременно родени деца. Данните от едно изпитване са били невъзможни за интерпретиране, поради извършени промени в лекарствената форма по време на изследването. Допълнителни данни са налични от проучване с милосърдна цел</w:t>
      </w:r>
    </w:p>
    <w:p w14:paraId="786C3F6B" w14:textId="77777777" w:rsidR="003F6BE7" w:rsidRPr="003F6BE7" w:rsidRDefault="003F6BE7" w:rsidP="003F6BE7">
      <w:pPr>
        <w:spacing w:line="240" w:lineRule="auto"/>
        <w:rPr>
          <w:rFonts w:eastAsia="Times New Roman" w:cs="Arial"/>
          <w:bCs/>
          <w:color w:val="000000"/>
          <w:szCs w:val="20"/>
          <w:lang w:eastAsia="bg-BG"/>
        </w:rPr>
      </w:pPr>
    </w:p>
    <w:p w14:paraId="5C0C21B5" w14:textId="45B97FE5" w:rsidR="003F6BE7" w:rsidRPr="003F6BE7" w:rsidRDefault="003F6BE7" w:rsidP="003F6BE7">
      <w:pPr>
        <w:spacing w:line="240" w:lineRule="auto"/>
        <w:rPr>
          <w:rFonts w:eastAsia="Times New Roman" w:cs="Arial"/>
          <w:sz w:val="28"/>
          <w:szCs w:val="24"/>
        </w:rPr>
      </w:pPr>
      <w:r w:rsidRPr="003F6BE7">
        <w:rPr>
          <w:rFonts w:eastAsia="Times New Roman" w:cs="Arial"/>
          <w:bCs/>
          <w:color w:val="000000"/>
          <w:szCs w:val="20"/>
          <w:lang w:eastAsia="bg-BG"/>
        </w:rPr>
        <w:lastRenderedPageBreak/>
        <w:t xml:space="preserve">След приложение на 2-8 </w:t>
      </w:r>
      <w:r w:rsidRPr="003F6BE7">
        <w:rPr>
          <w:rFonts w:eastAsia="Times New Roman" w:cs="Arial"/>
          <w:bCs/>
          <w:color w:val="000000"/>
          <w:szCs w:val="20"/>
          <w:lang w:val="en-US"/>
        </w:rPr>
        <w:t>mg</w:t>
      </w:r>
      <w:r w:rsidRPr="003F6BE7">
        <w:rPr>
          <w:rFonts w:eastAsia="Times New Roman" w:cs="Arial"/>
          <w:bCs/>
          <w:color w:val="000000"/>
          <w:szCs w:val="20"/>
          <w:lang w:val="ru-RU"/>
        </w:rPr>
        <w:t>/</w:t>
      </w:r>
      <w:r w:rsidRPr="003F6BE7">
        <w:rPr>
          <w:rFonts w:eastAsia="Times New Roman" w:cs="Arial"/>
          <w:bCs/>
          <w:color w:val="000000"/>
          <w:szCs w:val="20"/>
          <w:lang w:val="en-US"/>
        </w:rPr>
        <w:t>kg</w:t>
      </w:r>
      <w:r w:rsidRPr="003F6BE7">
        <w:rPr>
          <w:rFonts w:eastAsia="Times New Roman" w:cs="Arial"/>
          <w:bCs/>
          <w:color w:val="000000"/>
          <w:szCs w:val="20"/>
          <w:lang w:val="ru-RU"/>
        </w:rPr>
        <w:t xml:space="preserve"> </w:t>
      </w:r>
      <w:r w:rsidRPr="003F6BE7">
        <w:rPr>
          <w:rFonts w:eastAsia="Times New Roman" w:cs="Arial"/>
          <w:bCs/>
          <w:color w:val="000000"/>
          <w:szCs w:val="20"/>
          <w:lang w:eastAsia="bg-BG"/>
        </w:rPr>
        <w:t xml:space="preserve">флуконазол на деца на възраст между 9 месеца и 15 години е установена </w:t>
      </w:r>
      <w:r w:rsidRPr="003F6BE7">
        <w:rPr>
          <w:rFonts w:eastAsia="Times New Roman" w:cs="Arial"/>
          <w:bCs/>
          <w:color w:val="000000"/>
          <w:szCs w:val="20"/>
          <w:lang w:val="en-US"/>
        </w:rPr>
        <w:t>AUC</w:t>
      </w:r>
      <w:r w:rsidRPr="003F6BE7">
        <w:rPr>
          <w:rFonts w:eastAsia="Times New Roman" w:cs="Arial"/>
          <w:bCs/>
          <w:color w:val="000000"/>
          <w:szCs w:val="20"/>
          <w:lang w:val="ru-RU"/>
        </w:rPr>
        <w:t xml:space="preserve"> </w:t>
      </w:r>
      <w:r w:rsidRPr="003F6BE7">
        <w:rPr>
          <w:rFonts w:eastAsia="Times New Roman" w:cs="Arial"/>
          <w:bCs/>
          <w:color w:val="000000"/>
          <w:szCs w:val="20"/>
          <w:lang w:eastAsia="bg-BG"/>
        </w:rPr>
        <w:t>от около 38 μ</w:t>
      </w:r>
      <w:r w:rsidRPr="003F6BE7">
        <w:rPr>
          <w:rFonts w:eastAsia="Times New Roman" w:cs="Arial"/>
          <w:bCs/>
          <w:color w:val="000000"/>
          <w:szCs w:val="20"/>
          <w:lang w:val="en-US"/>
        </w:rPr>
        <w:t>g</w:t>
      </w:r>
      <w:r w:rsidRPr="003F6BE7">
        <w:rPr>
          <w:rFonts w:eastAsia="Times New Roman" w:cs="Arial"/>
          <w:bCs/>
          <w:color w:val="000000"/>
          <w:szCs w:val="20"/>
          <w:lang w:val="ru-RU"/>
        </w:rPr>
        <w:t>.</w:t>
      </w:r>
      <w:r w:rsidRPr="003F6BE7">
        <w:rPr>
          <w:rFonts w:eastAsia="Times New Roman" w:cs="Arial"/>
          <w:bCs/>
          <w:color w:val="000000"/>
          <w:szCs w:val="20"/>
          <w:lang w:val="en-US"/>
        </w:rPr>
        <w:t>h</w:t>
      </w:r>
      <w:r w:rsidRPr="003F6BE7">
        <w:rPr>
          <w:rFonts w:eastAsia="Times New Roman" w:cs="Arial"/>
          <w:bCs/>
          <w:color w:val="000000"/>
          <w:szCs w:val="20"/>
          <w:lang w:val="ru-RU"/>
        </w:rPr>
        <w:t>/</w:t>
      </w:r>
      <w:r w:rsidRPr="003F6BE7">
        <w:rPr>
          <w:rFonts w:eastAsia="Times New Roman" w:cs="Arial"/>
          <w:bCs/>
          <w:color w:val="000000"/>
          <w:szCs w:val="20"/>
          <w:lang w:val="en-US"/>
        </w:rPr>
        <w:t>ml</w:t>
      </w:r>
      <w:r w:rsidRPr="003F6BE7">
        <w:rPr>
          <w:rFonts w:eastAsia="Times New Roman" w:cs="Arial"/>
          <w:bCs/>
          <w:color w:val="000000"/>
          <w:szCs w:val="20"/>
          <w:lang w:val="ru-RU"/>
        </w:rPr>
        <w:t xml:space="preserve"> </w:t>
      </w:r>
      <w:r w:rsidRPr="003F6BE7">
        <w:rPr>
          <w:rFonts w:eastAsia="Times New Roman" w:cs="Arial"/>
          <w:bCs/>
          <w:color w:val="000000"/>
          <w:szCs w:val="20"/>
          <w:lang w:eastAsia="bg-BG"/>
        </w:rPr>
        <w:t xml:space="preserve">при доза 1 </w:t>
      </w:r>
      <w:r w:rsidRPr="003F6BE7">
        <w:rPr>
          <w:rFonts w:eastAsia="Times New Roman" w:cs="Arial"/>
          <w:bCs/>
          <w:color w:val="000000"/>
          <w:szCs w:val="20"/>
          <w:lang w:val="en-US"/>
        </w:rPr>
        <w:t>mg</w:t>
      </w:r>
      <w:r w:rsidRPr="003F6BE7">
        <w:rPr>
          <w:rFonts w:eastAsia="Times New Roman" w:cs="Arial"/>
          <w:bCs/>
          <w:color w:val="000000"/>
          <w:szCs w:val="20"/>
          <w:lang w:val="ru-RU"/>
        </w:rPr>
        <w:t>/</w:t>
      </w:r>
      <w:r w:rsidRPr="003F6BE7">
        <w:rPr>
          <w:rFonts w:eastAsia="Times New Roman" w:cs="Arial"/>
          <w:bCs/>
          <w:color w:val="000000"/>
          <w:szCs w:val="20"/>
          <w:lang w:val="en-US"/>
        </w:rPr>
        <w:t>kg</w:t>
      </w:r>
      <w:r w:rsidRPr="003F6BE7">
        <w:rPr>
          <w:rFonts w:eastAsia="Times New Roman" w:cs="Arial"/>
          <w:bCs/>
          <w:color w:val="000000"/>
          <w:szCs w:val="20"/>
          <w:lang w:val="ru-RU"/>
        </w:rPr>
        <w:t xml:space="preserve">. </w:t>
      </w:r>
      <w:r w:rsidRPr="003F6BE7">
        <w:rPr>
          <w:rFonts w:eastAsia="Times New Roman" w:cs="Arial"/>
          <w:bCs/>
          <w:color w:val="000000"/>
          <w:szCs w:val="20"/>
          <w:lang w:eastAsia="bg-BG"/>
        </w:rPr>
        <w:t xml:space="preserve">Средният плазмен елиминационен полуживот на флуконазол варира между 15 и 18 часа, а обемът на разпределение е около 880 </w:t>
      </w:r>
      <w:r w:rsidRPr="003F6BE7">
        <w:rPr>
          <w:rFonts w:eastAsia="Times New Roman" w:cs="Arial"/>
          <w:bCs/>
          <w:color w:val="000000"/>
          <w:szCs w:val="20"/>
          <w:lang w:val="en-US"/>
        </w:rPr>
        <w:t>ml</w:t>
      </w:r>
      <w:r w:rsidRPr="003F6BE7">
        <w:rPr>
          <w:rFonts w:eastAsia="Times New Roman" w:cs="Arial"/>
          <w:bCs/>
          <w:color w:val="000000"/>
          <w:szCs w:val="20"/>
          <w:lang w:val="ru-RU"/>
        </w:rPr>
        <w:t>/</w:t>
      </w:r>
      <w:r w:rsidRPr="003F6BE7">
        <w:rPr>
          <w:rFonts w:eastAsia="Times New Roman" w:cs="Arial"/>
          <w:bCs/>
          <w:color w:val="000000"/>
          <w:szCs w:val="20"/>
          <w:lang w:val="en-US"/>
        </w:rPr>
        <w:t>kg</w:t>
      </w:r>
      <w:r w:rsidRPr="003F6BE7">
        <w:rPr>
          <w:rFonts w:eastAsia="Times New Roman" w:cs="Arial"/>
          <w:bCs/>
          <w:color w:val="000000"/>
          <w:szCs w:val="20"/>
          <w:lang w:val="ru-RU"/>
        </w:rPr>
        <w:t xml:space="preserve"> </w:t>
      </w:r>
      <w:r w:rsidRPr="003F6BE7">
        <w:rPr>
          <w:rFonts w:eastAsia="Times New Roman" w:cs="Arial"/>
          <w:bCs/>
          <w:color w:val="000000"/>
          <w:szCs w:val="20"/>
          <w:lang w:eastAsia="bg-BG"/>
        </w:rPr>
        <w:t xml:space="preserve">след многократно приложение. По-дълъг плазмен полуживот на флуконазол от около 24 часа е бил установен след еднократно дозиране. Това е сравнимо с елиминационния полуживот на флуконазол след еднократно приложение на 3 </w:t>
      </w:r>
      <w:r w:rsidRPr="003F6BE7">
        <w:rPr>
          <w:rFonts w:eastAsia="Times New Roman" w:cs="Arial"/>
          <w:bCs/>
          <w:color w:val="000000"/>
          <w:szCs w:val="20"/>
          <w:lang w:val="en-US"/>
        </w:rPr>
        <w:t>mg</w:t>
      </w:r>
      <w:r w:rsidRPr="003F6BE7">
        <w:rPr>
          <w:rFonts w:eastAsia="Times New Roman" w:cs="Arial"/>
          <w:bCs/>
          <w:color w:val="000000"/>
          <w:szCs w:val="20"/>
          <w:lang w:val="ru-RU"/>
        </w:rPr>
        <w:t>/</w:t>
      </w:r>
      <w:r w:rsidRPr="003F6BE7">
        <w:rPr>
          <w:rFonts w:eastAsia="Times New Roman" w:cs="Arial"/>
          <w:bCs/>
          <w:color w:val="000000"/>
          <w:szCs w:val="20"/>
          <w:lang w:val="en-US"/>
        </w:rPr>
        <w:t>kg</w:t>
      </w:r>
      <w:r w:rsidRPr="003F6BE7">
        <w:rPr>
          <w:rFonts w:eastAsia="Times New Roman" w:cs="Arial"/>
          <w:bCs/>
          <w:color w:val="000000"/>
          <w:szCs w:val="20"/>
          <w:lang w:val="ru-RU"/>
        </w:rPr>
        <w:t xml:space="preserve"> </w:t>
      </w:r>
      <w:r w:rsidRPr="003F6BE7">
        <w:rPr>
          <w:rFonts w:eastAsia="Times New Roman" w:cs="Arial"/>
          <w:bCs/>
          <w:color w:val="000000"/>
          <w:szCs w:val="20"/>
          <w:lang w:eastAsia="bg-BG"/>
        </w:rPr>
        <w:t xml:space="preserve">венозно на деца на възраст от 11 дни до 11 месеца. Обемът на разпределение в тази възрастова група е около 950 </w:t>
      </w:r>
      <w:r w:rsidRPr="003F6BE7">
        <w:rPr>
          <w:rFonts w:eastAsia="Times New Roman" w:cs="Arial"/>
          <w:bCs/>
          <w:color w:val="000000"/>
          <w:szCs w:val="20"/>
          <w:lang w:val="en-US"/>
        </w:rPr>
        <w:t>ml</w:t>
      </w:r>
      <w:r w:rsidRPr="003F6BE7">
        <w:rPr>
          <w:rFonts w:eastAsia="Times New Roman" w:cs="Arial"/>
          <w:bCs/>
          <w:color w:val="000000"/>
          <w:szCs w:val="20"/>
          <w:lang w:val="ru-RU"/>
        </w:rPr>
        <w:t>/</w:t>
      </w:r>
      <w:r w:rsidRPr="003F6BE7">
        <w:rPr>
          <w:rFonts w:eastAsia="Times New Roman" w:cs="Arial"/>
          <w:bCs/>
          <w:color w:val="000000"/>
          <w:szCs w:val="20"/>
          <w:lang w:val="en-US"/>
        </w:rPr>
        <w:t>kg</w:t>
      </w:r>
      <w:r w:rsidRPr="003F6BE7">
        <w:rPr>
          <w:rFonts w:eastAsia="Times New Roman" w:cs="Arial"/>
          <w:bCs/>
          <w:color w:val="000000"/>
          <w:szCs w:val="20"/>
          <w:lang w:val="ru-RU"/>
        </w:rPr>
        <w:t>.</w:t>
      </w:r>
    </w:p>
    <w:p w14:paraId="0ECC111F" w14:textId="77777777" w:rsidR="003F6BE7" w:rsidRPr="003F6BE7" w:rsidRDefault="003F6BE7" w:rsidP="003F6BE7">
      <w:pPr>
        <w:spacing w:line="240" w:lineRule="auto"/>
        <w:rPr>
          <w:rFonts w:eastAsia="Times New Roman" w:cs="Arial"/>
          <w:bCs/>
          <w:color w:val="000000"/>
          <w:szCs w:val="20"/>
          <w:lang w:eastAsia="bg-BG"/>
        </w:rPr>
      </w:pPr>
    </w:p>
    <w:p w14:paraId="58761683" w14:textId="35335EE4" w:rsidR="003F6BE7" w:rsidRPr="003F6BE7" w:rsidRDefault="003F6BE7" w:rsidP="003F6BE7">
      <w:pPr>
        <w:spacing w:line="240" w:lineRule="auto"/>
        <w:rPr>
          <w:rFonts w:eastAsia="Times New Roman" w:cs="Arial"/>
          <w:sz w:val="28"/>
          <w:szCs w:val="24"/>
        </w:rPr>
      </w:pPr>
      <w:r w:rsidRPr="003F6BE7">
        <w:rPr>
          <w:rFonts w:eastAsia="Times New Roman" w:cs="Arial"/>
          <w:bCs/>
          <w:color w:val="000000"/>
          <w:szCs w:val="20"/>
          <w:lang w:eastAsia="bg-BG"/>
        </w:rPr>
        <w:t xml:space="preserve">Опитът с флуконазол при новородени е ограничен до фармакокинетични изследвания при преждевременно родени. Средната възраст при първо дозиране е била 24 часа (в рамките 9-36 часа), а средното тегло при раждане е било 0,9 </w:t>
      </w:r>
      <w:r w:rsidRPr="003F6BE7">
        <w:rPr>
          <w:rFonts w:eastAsia="Times New Roman" w:cs="Arial"/>
          <w:bCs/>
          <w:color w:val="000000"/>
          <w:szCs w:val="20"/>
          <w:lang w:val="en-US"/>
        </w:rPr>
        <w:t>kg</w:t>
      </w:r>
      <w:r w:rsidRPr="003F6BE7">
        <w:rPr>
          <w:rFonts w:eastAsia="Times New Roman" w:cs="Arial"/>
          <w:bCs/>
          <w:color w:val="000000"/>
          <w:szCs w:val="20"/>
          <w:lang w:val="ru-RU"/>
        </w:rPr>
        <w:t xml:space="preserve"> </w:t>
      </w:r>
      <w:r w:rsidRPr="003F6BE7">
        <w:rPr>
          <w:rFonts w:eastAsia="Times New Roman" w:cs="Arial"/>
          <w:bCs/>
          <w:color w:val="000000"/>
          <w:szCs w:val="20"/>
          <w:lang w:eastAsia="bg-BG"/>
        </w:rPr>
        <w:t xml:space="preserve">(в рамките 0,75-1,10 </w:t>
      </w:r>
      <w:r w:rsidRPr="003F6BE7">
        <w:rPr>
          <w:rFonts w:eastAsia="Times New Roman" w:cs="Arial"/>
          <w:bCs/>
          <w:color w:val="000000"/>
          <w:szCs w:val="20"/>
          <w:lang w:val="en-US"/>
        </w:rPr>
        <w:t>kg</w:t>
      </w:r>
      <w:r w:rsidRPr="003F6BE7">
        <w:rPr>
          <w:rFonts w:eastAsia="Times New Roman" w:cs="Arial"/>
          <w:bCs/>
          <w:color w:val="000000"/>
          <w:szCs w:val="20"/>
          <w:lang w:val="ru-RU"/>
        </w:rPr>
        <w:t xml:space="preserve">) </w:t>
      </w:r>
      <w:r w:rsidRPr="003F6BE7">
        <w:rPr>
          <w:rFonts w:eastAsia="Times New Roman" w:cs="Arial"/>
          <w:bCs/>
          <w:color w:val="000000"/>
          <w:szCs w:val="20"/>
          <w:lang w:eastAsia="bg-BG"/>
        </w:rPr>
        <w:t xml:space="preserve">при 12 преждевременно родени със средна гестационна възраст от около 28 седмици. Седем пациенти са завършили протокола; флуконазол е приложен чрез интравенозна инфузия в доза 6 </w:t>
      </w:r>
      <w:r w:rsidRPr="003F6BE7">
        <w:rPr>
          <w:rFonts w:eastAsia="Times New Roman" w:cs="Arial"/>
          <w:bCs/>
          <w:color w:val="000000"/>
          <w:szCs w:val="20"/>
          <w:lang w:val="en-US"/>
        </w:rPr>
        <w:t>mg</w:t>
      </w:r>
      <w:r w:rsidRPr="003F6BE7">
        <w:rPr>
          <w:rFonts w:eastAsia="Times New Roman" w:cs="Arial"/>
          <w:bCs/>
          <w:color w:val="000000"/>
          <w:szCs w:val="20"/>
          <w:lang w:val="ru-RU"/>
        </w:rPr>
        <w:t>/</w:t>
      </w:r>
      <w:r w:rsidRPr="003F6BE7">
        <w:rPr>
          <w:rFonts w:eastAsia="Times New Roman" w:cs="Arial"/>
          <w:bCs/>
          <w:color w:val="000000"/>
          <w:szCs w:val="20"/>
          <w:lang w:val="en-US"/>
        </w:rPr>
        <w:t>kg</w:t>
      </w:r>
      <w:r w:rsidRPr="003F6BE7">
        <w:rPr>
          <w:rFonts w:eastAsia="Times New Roman" w:cs="Arial"/>
          <w:bCs/>
          <w:color w:val="000000"/>
          <w:szCs w:val="20"/>
          <w:lang w:val="ru-RU"/>
        </w:rPr>
        <w:t xml:space="preserve">, </w:t>
      </w:r>
      <w:r w:rsidRPr="003F6BE7">
        <w:rPr>
          <w:rFonts w:eastAsia="Times New Roman" w:cs="Arial"/>
          <w:bCs/>
          <w:color w:val="000000"/>
          <w:szCs w:val="20"/>
          <w:lang w:eastAsia="bg-BG"/>
        </w:rPr>
        <w:t xml:space="preserve">прилагана на всеки 72 часа за максимум пет дози. Средният елиминационен полуживот е бил 74 часа (в рамките от 44 до 185 часа) през първия ден и е намалял с времето средно до 53 часа (в рамките от 30 до 131 часа) на седмия и до 47 часа (в рамките от 27 до 68 часа) на тринадесетия ден. Площта под кривата </w:t>
      </w:r>
      <w:r w:rsidRPr="003F6BE7">
        <w:rPr>
          <w:rFonts w:eastAsia="Times New Roman" w:cs="Arial"/>
          <w:bCs/>
          <w:color w:val="000000"/>
          <w:szCs w:val="20"/>
          <w:lang w:val="ru-RU"/>
        </w:rPr>
        <w:t>(</w:t>
      </w:r>
      <w:r w:rsidRPr="003F6BE7">
        <w:rPr>
          <w:rFonts w:eastAsia="Times New Roman" w:cs="Arial"/>
          <w:bCs/>
          <w:color w:val="000000"/>
          <w:szCs w:val="20"/>
          <w:lang w:eastAsia="bg-BG"/>
        </w:rPr>
        <w:t>μ</w:t>
      </w:r>
      <w:r w:rsidRPr="003F6BE7">
        <w:rPr>
          <w:rFonts w:eastAsia="Times New Roman" w:cs="Arial"/>
          <w:bCs/>
          <w:color w:val="000000"/>
          <w:szCs w:val="20"/>
          <w:lang w:val="en-US"/>
        </w:rPr>
        <w:t>g</w:t>
      </w:r>
      <w:r w:rsidRPr="003F6BE7">
        <w:rPr>
          <w:rFonts w:eastAsia="Times New Roman" w:cs="Arial"/>
          <w:bCs/>
          <w:color w:val="000000"/>
          <w:szCs w:val="20"/>
          <w:lang w:val="ru-RU"/>
        </w:rPr>
        <w:t>.</w:t>
      </w:r>
      <w:r w:rsidRPr="003F6BE7">
        <w:rPr>
          <w:rFonts w:eastAsia="Times New Roman" w:cs="Arial"/>
          <w:bCs/>
          <w:color w:val="000000"/>
          <w:szCs w:val="20"/>
          <w:lang w:val="en-US"/>
        </w:rPr>
        <w:t>h</w:t>
      </w:r>
      <w:r w:rsidRPr="003F6BE7">
        <w:rPr>
          <w:rFonts w:eastAsia="Times New Roman" w:cs="Arial"/>
          <w:bCs/>
          <w:color w:val="000000"/>
          <w:szCs w:val="20"/>
          <w:lang w:val="ru-RU"/>
        </w:rPr>
        <w:t>/</w:t>
      </w:r>
      <w:r w:rsidRPr="003F6BE7">
        <w:rPr>
          <w:rFonts w:eastAsia="Times New Roman" w:cs="Arial"/>
          <w:bCs/>
          <w:color w:val="000000"/>
          <w:szCs w:val="20"/>
          <w:lang w:val="en-US"/>
        </w:rPr>
        <w:t>ml</w:t>
      </w:r>
      <w:r w:rsidRPr="003F6BE7">
        <w:rPr>
          <w:rFonts w:eastAsia="Times New Roman" w:cs="Arial"/>
          <w:bCs/>
          <w:color w:val="000000"/>
          <w:szCs w:val="20"/>
          <w:lang w:val="ru-RU"/>
        </w:rPr>
        <w:t xml:space="preserve">) </w:t>
      </w:r>
      <w:r w:rsidRPr="003F6BE7">
        <w:rPr>
          <w:rFonts w:eastAsia="Times New Roman" w:cs="Arial"/>
          <w:bCs/>
          <w:color w:val="000000"/>
          <w:szCs w:val="20"/>
          <w:lang w:eastAsia="bg-BG"/>
        </w:rPr>
        <w:t xml:space="preserve">е 271 (в рамките от 173 до 385) на първия ден и се е увеличила средно до 490 (в рамките от 292 до 734) на седмия ден, и е намаляла средно до 360 (в рамките от 167 до 566) на тринадесетия ден. Обемът на разпределение </w:t>
      </w:r>
      <w:r w:rsidRPr="003F6BE7">
        <w:rPr>
          <w:rFonts w:eastAsia="Times New Roman" w:cs="Arial"/>
          <w:bCs/>
          <w:color w:val="000000"/>
          <w:szCs w:val="20"/>
          <w:lang w:val="ru-RU"/>
        </w:rPr>
        <w:t>(</w:t>
      </w:r>
      <w:r w:rsidRPr="003F6BE7">
        <w:rPr>
          <w:rFonts w:eastAsia="Times New Roman" w:cs="Arial"/>
          <w:bCs/>
          <w:color w:val="000000"/>
          <w:szCs w:val="20"/>
          <w:lang w:val="en-US"/>
        </w:rPr>
        <w:t>ml</w:t>
      </w:r>
      <w:r w:rsidRPr="003F6BE7">
        <w:rPr>
          <w:rFonts w:eastAsia="Times New Roman" w:cs="Arial"/>
          <w:bCs/>
          <w:color w:val="000000"/>
          <w:szCs w:val="20"/>
          <w:lang w:val="ru-RU"/>
        </w:rPr>
        <w:t>/</w:t>
      </w:r>
      <w:r w:rsidRPr="003F6BE7">
        <w:rPr>
          <w:rFonts w:eastAsia="Times New Roman" w:cs="Arial"/>
          <w:bCs/>
          <w:color w:val="000000"/>
          <w:szCs w:val="20"/>
          <w:lang w:val="en-US"/>
        </w:rPr>
        <w:t>kg</w:t>
      </w:r>
      <w:r w:rsidRPr="003F6BE7">
        <w:rPr>
          <w:rFonts w:eastAsia="Times New Roman" w:cs="Arial"/>
          <w:bCs/>
          <w:color w:val="000000"/>
          <w:szCs w:val="20"/>
          <w:lang w:val="ru-RU"/>
        </w:rPr>
        <w:t xml:space="preserve">) </w:t>
      </w:r>
      <w:r w:rsidRPr="003F6BE7">
        <w:rPr>
          <w:rFonts w:eastAsia="Times New Roman" w:cs="Arial"/>
          <w:bCs/>
          <w:color w:val="000000"/>
          <w:szCs w:val="20"/>
          <w:lang w:eastAsia="bg-BG"/>
        </w:rPr>
        <w:t>е 1183 (в рамките от 1070 до 1470) на първия ден и се е увеличил с времето средно до 1184 (в рамките от 510 до 2130) на седмия и 1328 (в рамките от 1040 до 1680) на тринадесетия ден.</w:t>
      </w:r>
    </w:p>
    <w:p w14:paraId="112435DF" w14:textId="77777777" w:rsidR="003F6BE7" w:rsidRPr="003F6BE7" w:rsidRDefault="003F6BE7" w:rsidP="003F6BE7">
      <w:pPr>
        <w:spacing w:line="240" w:lineRule="auto"/>
        <w:rPr>
          <w:rFonts w:eastAsia="Times New Roman" w:cs="Arial"/>
          <w:bCs/>
          <w:color w:val="000000"/>
          <w:szCs w:val="20"/>
          <w:u w:val="single"/>
          <w:lang w:eastAsia="bg-BG"/>
        </w:rPr>
      </w:pPr>
    </w:p>
    <w:p w14:paraId="454A7FCC" w14:textId="35802BFC" w:rsidR="003F6BE7" w:rsidRPr="003F6BE7" w:rsidRDefault="003F6BE7" w:rsidP="003F6BE7">
      <w:pPr>
        <w:spacing w:line="240" w:lineRule="auto"/>
        <w:rPr>
          <w:rFonts w:eastAsia="Times New Roman" w:cs="Arial"/>
          <w:sz w:val="28"/>
          <w:szCs w:val="24"/>
        </w:rPr>
      </w:pPr>
      <w:r w:rsidRPr="003F6BE7">
        <w:rPr>
          <w:rFonts w:eastAsia="Times New Roman" w:cs="Arial"/>
          <w:bCs/>
          <w:color w:val="000000"/>
          <w:szCs w:val="20"/>
          <w:u w:val="single"/>
          <w:lang w:eastAsia="bg-BG"/>
        </w:rPr>
        <w:t>Фармакокинетика пои папиенти в старческа възраст</w:t>
      </w:r>
    </w:p>
    <w:p w14:paraId="561597A4" w14:textId="77777777" w:rsidR="003F6BE7" w:rsidRPr="003F6BE7" w:rsidRDefault="003F6BE7" w:rsidP="003F6BE7">
      <w:pPr>
        <w:spacing w:line="240" w:lineRule="auto"/>
        <w:rPr>
          <w:rFonts w:eastAsia="Times New Roman" w:cs="Arial"/>
          <w:sz w:val="28"/>
          <w:szCs w:val="24"/>
        </w:rPr>
      </w:pPr>
      <w:r w:rsidRPr="003F6BE7">
        <w:rPr>
          <w:rFonts w:eastAsia="Times New Roman" w:cs="Arial"/>
          <w:bCs/>
          <w:color w:val="000000"/>
          <w:szCs w:val="20"/>
          <w:lang w:eastAsia="bg-BG"/>
        </w:rPr>
        <w:t xml:space="preserve">Проведено е фармакокинетично проучване върху 22 пациенти на възраст 65 и над 65 години с еднократно прилагане на 50 </w:t>
      </w:r>
      <w:r w:rsidRPr="003F6BE7">
        <w:rPr>
          <w:rFonts w:eastAsia="Times New Roman" w:cs="Arial"/>
          <w:bCs/>
          <w:color w:val="000000"/>
          <w:szCs w:val="20"/>
          <w:lang w:val="en-US"/>
        </w:rPr>
        <w:t>mg</w:t>
      </w:r>
      <w:r w:rsidRPr="003F6BE7">
        <w:rPr>
          <w:rFonts w:eastAsia="Times New Roman" w:cs="Arial"/>
          <w:bCs/>
          <w:color w:val="000000"/>
          <w:szCs w:val="20"/>
          <w:lang w:val="ru-RU"/>
        </w:rPr>
        <w:t xml:space="preserve"> </w:t>
      </w:r>
      <w:r w:rsidRPr="003F6BE7">
        <w:rPr>
          <w:rFonts w:eastAsia="Times New Roman" w:cs="Arial"/>
          <w:bCs/>
          <w:color w:val="000000"/>
          <w:szCs w:val="20"/>
          <w:lang w:eastAsia="bg-BG"/>
        </w:rPr>
        <w:t>флуконазол. Десет от пациентите приемат диуретици, ка</w:t>
      </w:r>
      <w:r w:rsidRPr="003F6BE7">
        <w:rPr>
          <w:rFonts w:eastAsia="Times New Roman" w:cs="Arial"/>
          <w:bCs/>
          <w:color w:val="000000"/>
          <w:szCs w:val="20"/>
          <w:u w:val="single"/>
          <w:lang w:eastAsia="bg-BG"/>
        </w:rPr>
        <w:t xml:space="preserve">то </w:t>
      </w:r>
      <w:r w:rsidRPr="003F6BE7">
        <w:rPr>
          <w:rFonts w:eastAsia="Times New Roman" w:cs="Arial"/>
          <w:bCs/>
          <w:color w:val="000000"/>
          <w:szCs w:val="20"/>
          <w:lang w:eastAsia="bg-BG"/>
        </w:rPr>
        <w:t>съпътстваща терапия. Стойностите на С</w:t>
      </w:r>
      <w:r w:rsidRPr="003F6BE7">
        <w:rPr>
          <w:rFonts w:eastAsia="Times New Roman" w:cs="Arial"/>
          <w:bCs/>
          <w:color w:val="000000"/>
          <w:szCs w:val="20"/>
          <w:vertAlign w:val="subscript"/>
          <w:lang w:val="en-US"/>
        </w:rPr>
        <w:t>max</w:t>
      </w:r>
      <w:r w:rsidRPr="003F6BE7">
        <w:rPr>
          <w:rFonts w:eastAsia="Times New Roman" w:cs="Arial"/>
          <w:bCs/>
          <w:color w:val="000000"/>
          <w:szCs w:val="20"/>
          <w:lang w:eastAsia="bg-BG"/>
        </w:rPr>
        <w:t xml:space="preserve"> 1,3 часа след дозирането са от порядъка 1 ,54 μ</w:t>
      </w:r>
      <w:r w:rsidRPr="003F6BE7">
        <w:rPr>
          <w:rFonts w:eastAsia="Times New Roman" w:cs="Arial"/>
          <w:bCs/>
          <w:color w:val="000000"/>
          <w:szCs w:val="20"/>
          <w:lang w:val="en-US"/>
        </w:rPr>
        <w:t>g</w:t>
      </w:r>
      <w:r w:rsidRPr="003F6BE7">
        <w:rPr>
          <w:rFonts w:eastAsia="Times New Roman" w:cs="Arial"/>
          <w:bCs/>
          <w:color w:val="000000"/>
          <w:szCs w:val="20"/>
          <w:lang w:val="ru-RU"/>
        </w:rPr>
        <w:t>/</w:t>
      </w:r>
      <w:r w:rsidRPr="003F6BE7">
        <w:rPr>
          <w:rFonts w:eastAsia="Times New Roman" w:cs="Arial"/>
          <w:bCs/>
          <w:color w:val="000000"/>
          <w:szCs w:val="20"/>
          <w:lang w:val="en-US"/>
        </w:rPr>
        <w:t>ml</w:t>
      </w:r>
      <w:r w:rsidRPr="003F6BE7">
        <w:rPr>
          <w:rFonts w:eastAsia="Times New Roman" w:cs="Arial"/>
          <w:bCs/>
          <w:color w:val="000000"/>
          <w:szCs w:val="20"/>
          <w:lang w:val="ru-RU"/>
        </w:rPr>
        <w:t xml:space="preserve">. </w:t>
      </w:r>
      <w:r w:rsidRPr="003F6BE7">
        <w:rPr>
          <w:rFonts w:eastAsia="Times New Roman" w:cs="Arial"/>
          <w:bCs/>
          <w:color w:val="000000"/>
          <w:szCs w:val="20"/>
          <w:lang w:eastAsia="bg-BG"/>
        </w:rPr>
        <w:t xml:space="preserve">Средните стойности на </w:t>
      </w:r>
      <w:r w:rsidRPr="003F6BE7">
        <w:rPr>
          <w:rFonts w:eastAsia="Times New Roman" w:cs="Arial"/>
          <w:bCs/>
          <w:color w:val="000000"/>
          <w:szCs w:val="20"/>
          <w:lang w:val="en-US"/>
        </w:rPr>
        <w:t>AUC</w:t>
      </w:r>
      <w:r w:rsidRPr="003F6BE7">
        <w:rPr>
          <w:rFonts w:eastAsia="Times New Roman" w:cs="Arial"/>
          <w:bCs/>
          <w:color w:val="000000"/>
          <w:szCs w:val="20"/>
          <w:lang w:val="ru-RU"/>
        </w:rPr>
        <w:t xml:space="preserve"> </w:t>
      </w:r>
      <w:r w:rsidRPr="003F6BE7">
        <w:rPr>
          <w:rFonts w:eastAsia="Times New Roman" w:cs="Arial"/>
          <w:bCs/>
          <w:color w:val="000000"/>
          <w:szCs w:val="20"/>
          <w:lang w:eastAsia="bg-BG"/>
        </w:rPr>
        <w:t>са 76,4 ±20,3 μ</w:t>
      </w:r>
      <w:r w:rsidRPr="003F6BE7">
        <w:rPr>
          <w:rFonts w:eastAsia="Times New Roman" w:cs="Arial"/>
          <w:bCs/>
          <w:color w:val="000000"/>
          <w:szCs w:val="20"/>
          <w:lang w:val="en-US"/>
        </w:rPr>
        <w:t>g</w:t>
      </w:r>
      <w:r w:rsidRPr="003F6BE7">
        <w:rPr>
          <w:rFonts w:eastAsia="Times New Roman" w:cs="Arial"/>
          <w:bCs/>
          <w:color w:val="000000"/>
          <w:szCs w:val="20"/>
          <w:lang w:val="ru-RU"/>
        </w:rPr>
        <w:t>.</w:t>
      </w:r>
      <w:r w:rsidRPr="003F6BE7">
        <w:rPr>
          <w:rFonts w:eastAsia="Times New Roman" w:cs="Arial"/>
          <w:bCs/>
          <w:color w:val="000000"/>
          <w:szCs w:val="20"/>
          <w:lang w:val="en-US"/>
        </w:rPr>
        <w:t>h</w:t>
      </w:r>
      <w:r w:rsidRPr="003F6BE7">
        <w:rPr>
          <w:rFonts w:eastAsia="Times New Roman" w:cs="Arial"/>
          <w:bCs/>
          <w:color w:val="000000"/>
          <w:szCs w:val="20"/>
          <w:lang w:val="ru-RU"/>
        </w:rPr>
        <w:t>/</w:t>
      </w:r>
      <w:r w:rsidRPr="003F6BE7">
        <w:rPr>
          <w:rFonts w:eastAsia="Times New Roman" w:cs="Arial"/>
          <w:bCs/>
          <w:color w:val="000000"/>
          <w:szCs w:val="20"/>
          <w:lang w:val="en-US"/>
        </w:rPr>
        <w:t>ml</w:t>
      </w:r>
      <w:r w:rsidRPr="003F6BE7">
        <w:rPr>
          <w:rFonts w:eastAsia="Times New Roman" w:cs="Arial"/>
          <w:bCs/>
          <w:color w:val="000000"/>
          <w:szCs w:val="20"/>
          <w:lang w:val="ru-RU"/>
        </w:rPr>
        <w:t xml:space="preserve">, </w:t>
      </w:r>
      <w:r w:rsidRPr="003F6BE7">
        <w:rPr>
          <w:rFonts w:eastAsia="Times New Roman" w:cs="Arial"/>
          <w:bCs/>
          <w:color w:val="000000"/>
          <w:szCs w:val="20"/>
          <w:lang w:eastAsia="bg-BG"/>
        </w:rPr>
        <w:t>а на терминалния</w:t>
      </w:r>
      <w:r w:rsidRPr="003F6BE7">
        <w:rPr>
          <w:rFonts w:eastAsia="Times New Roman" w:cs="Arial"/>
          <w:bCs/>
          <w:color w:val="000000"/>
          <w:szCs w:val="20"/>
          <w:lang w:val="ru-RU"/>
        </w:rPr>
        <w:t xml:space="preserve"> </w:t>
      </w:r>
      <w:r w:rsidRPr="003F6BE7">
        <w:rPr>
          <w:rFonts w:eastAsia="Times New Roman" w:cs="Arial"/>
          <w:bCs/>
          <w:color w:val="000000"/>
          <w:szCs w:val="20"/>
          <w:lang w:eastAsia="bg-BG"/>
        </w:rPr>
        <w:t>полуживот- 46,2 часа. Стойностите на фармакокинетичните параметри са по-високи от аналогичните, установените при млади мъже доброволци. Едновременният прием на диуретици не повлиява</w:t>
      </w:r>
    </w:p>
    <w:p w14:paraId="1E01C9A0" w14:textId="77777777" w:rsidR="003F6BE7" w:rsidRPr="003F6BE7" w:rsidRDefault="003F6BE7" w:rsidP="003F6BE7">
      <w:pPr>
        <w:rPr>
          <w:rFonts w:eastAsia="Times New Roman" w:cs="Arial"/>
          <w:sz w:val="28"/>
          <w:szCs w:val="24"/>
        </w:rPr>
      </w:pPr>
      <w:r w:rsidRPr="003F6BE7">
        <w:rPr>
          <w:rFonts w:eastAsia="Times New Roman" w:cs="Arial"/>
          <w:bCs/>
          <w:color w:val="000000"/>
          <w:szCs w:val="20"/>
          <w:lang w:eastAsia="bg-BG"/>
        </w:rPr>
        <w:t xml:space="preserve">статистически значимо </w:t>
      </w:r>
      <w:r w:rsidRPr="003F6BE7">
        <w:rPr>
          <w:rFonts w:eastAsia="Times New Roman" w:cs="Arial"/>
          <w:bCs/>
          <w:color w:val="000000"/>
          <w:szCs w:val="20"/>
          <w:lang w:val="en-US"/>
        </w:rPr>
        <w:t>AUC</w:t>
      </w:r>
      <w:r w:rsidRPr="003F6BE7">
        <w:rPr>
          <w:rFonts w:eastAsia="Times New Roman" w:cs="Arial"/>
          <w:bCs/>
          <w:color w:val="000000"/>
          <w:szCs w:val="20"/>
          <w:lang w:val="ru-RU"/>
        </w:rPr>
        <w:t xml:space="preserve"> </w:t>
      </w:r>
      <w:r w:rsidRPr="003F6BE7">
        <w:rPr>
          <w:rFonts w:eastAsia="Times New Roman" w:cs="Arial"/>
          <w:bCs/>
          <w:color w:val="000000"/>
          <w:szCs w:val="20"/>
          <w:lang w:eastAsia="bg-BG"/>
        </w:rPr>
        <w:t>или С</w:t>
      </w:r>
      <w:r w:rsidRPr="003F6BE7">
        <w:rPr>
          <w:rFonts w:eastAsia="Times New Roman" w:cs="Arial"/>
          <w:bCs/>
          <w:color w:val="000000"/>
          <w:szCs w:val="20"/>
          <w:vertAlign w:val="subscript"/>
          <w:lang w:val="en-US"/>
        </w:rPr>
        <w:t>max</w:t>
      </w:r>
      <w:r w:rsidRPr="003F6BE7">
        <w:rPr>
          <w:rFonts w:eastAsia="Times New Roman" w:cs="Arial"/>
          <w:bCs/>
          <w:color w:val="000000"/>
          <w:szCs w:val="20"/>
          <w:lang w:eastAsia="bg-BG"/>
        </w:rPr>
        <w:t xml:space="preserve">. Като допълнение креатининовият клирънс на (74 </w:t>
      </w:r>
      <w:r w:rsidRPr="003F6BE7">
        <w:rPr>
          <w:rFonts w:eastAsia="Times New Roman" w:cs="Arial"/>
          <w:bCs/>
          <w:color w:val="000000"/>
          <w:szCs w:val="20"/>
          <w:lang w:val="en-US"/>
        </w:rPr>
        <w:t>ml</w:t>
      </w:r>
      <w:r w:rsidRPr="003F6BE7">
        <w:rPr>
          <w:rFonts w:eastAsia="Times New Roman" w:cs="Arial"/>
          <w:bCs/>
          <w:color w:val="000000"/>
          <w:szCs w:val="20"/>
          <w:lang w:val="ru-RU"/>
        </w:rPr>
        <w:t>/</w:t>
      </w:r>
      <w:r w:rsidRPr="003F6BE7">
        <w:rPr>
          <w:rFonts w:eastAsia="Times New Roman" w:cs="Arial"/>
          <w:bCs/>
          <w:color w:val="000000"/>
          <w:szCs w:val="20"/>
          <w:lang w:val="en-US"/>
        </w:rPr>
        <w:t>min</w:t>
      </w:r>
      <w:r w:rsidRPr="003F6BE7">
        <w:rPr>
          <w:rFonts w:eastAsia="Times New Roman" w:cs="Arial"/>
          <w:bCs/>
          <w:color w:val="000000"/>
          <w:szCs w:val="20"/>
          <w:lang w:val="ru-RU"/>
        </w:rPr>
        <w:t xml:space="preserve">), </w:t>
      </w:r>
      <w:r w:rsidRPr="003F6BE7">
        <w:rPr>
          <w:rFonts w:eastAsia="Times New Roman" w:cs="Arial"/>
          <w:bCs/>
          <w:color w:val="000000"/>
          <w:szCs w:val="20"/>
          <w:lang w:eastAsia="bg-BG"/>
        </w:rPr>
        <w:t xml:space="preserve">процентът на екскретирания непроменен флуконазол в урината (0-24 часа, 22%) и бъбречният клирънс на флуконазол (0,124 </w:t>
      </w:r>
      <w:r w:rsidRPr="003F6BE7">
        <w:rPr>
          <w:rFonts w:eastAsia="Times New Roman" w:cs="Arial"/>
          <w:bCs/>
          <w:color w:val="000000"/>
          <w:szCs w:val="20"/>
          <w:lang w:val="en-US"/>
        </w:rPr>
        <w:t>ml</w:t>
      </w:r>
      <w:r w:rsidRPr="003F6BE7">
        <w:rPr>
          <w:rFonts w:eastAsia="Times New Roman" w:cs="Arial"/>
          <w:bCs/>
          <w:color w:val="000000"/>
          <w:szCs w:val="20"/>
          <w:lang w:val="ru-RU"/>
        </w:rPr>
        <w:t>/</w:t>
      </w:r>
      <w:r w:rsidRPr="003F6BE7">
        <w:rPr>
          <w:rFonts w:eastAsia="Times New Roman" w:cs="Arial"/>
          <w:bCs/>
          <w:color w:val="000000"/>
          <w:szCs w:val="20"/>
          <w:lang w:val="en-US"/>
        </w:rPr>
        <w:t>min</w:t>
      </w:r>
      <w:r w:rsidRPr="003F6BE7">
        <w:rPr>
          <w:rFonts w:eastAsia="Times New Roman" w:cs="Arial"/>
          <w:bCs/>
          <w:color w:val="000000"/>
          <w:szCs w:val="20"/>
          <w:lang w:val="ru-RU"/>
        </w:rPr>
        <w:t>/</w:t>
      </w:r>
      <w:r w:rsidRPr="003F6BE7">
        <w:rPr>
          <w:rFonts w:eastAsia="Times New Roman" w:cs="Arial"/>
          <w:bCs/>
          <w:color w:val="000000"/>
          <w:szCs w:val="20"/>
          <w:lang w:val="en-US"/>
        </w:rPr>
        <w:t>kg</w:t>
      </w:r>
      <w:r w:rsidRPr="003F6BE7">
        <w:rPr>
          <w:rFonts w:eastAsia="Times New Roman" w:cs="Arial"/>
          <w:bCs/>
          <w:color w:val="000000"/>
          <w:szCs w:val="20"/>
          <w:lang w:val="ru-RU"/>
        </w:rPr>
        <w:t xml:space="preserve">) </w:t>
      </w:r>
      <w:r w:rsidRPr="003F6BE7">
        <w:rPr>
          <w:rFonts w:eastAsia="Times New Roman" w:cs="Arial"/>
          <w:bCs/>
          <w:color w:val="000000"/>
          <w:szCs w:val="20"/>
          <w:lang w:eastAsia="bg-BG"/>
        </w:rPr>
        <w:t>при пациенти в старческа възраст са като цяло с по-ниски стойности от тези, установени при млади доброволци. Промяната на параметрите на флуконазол при пациенти в старческа възраст е свързана с понижената бъбречна функция, характерна за тази възрастова група.</w:t>
      </w:r>
    </w:p>
    <w:p w14:paraId="40896DC5" w14:textId="443AC9BA" w:rsidR="003F6BE7" w:rsidRPr="003F6BE7" w:rsidRDefault="003F6BE7" w:rsidP="003F6BE7"/>
    <w:p w14:paraId="028E658A" w14:textId="6A63868A" w:rsidR="00395555" w:rsidRDefault="002C50EE" w:rsidP="008A6AF2">
      <w:pPr>
        <w:pStyle w:val="Heading2"/>
      </w:pPr>
      <w:r>
        <w:t>5.3. Предклинични данни за безопасност</w:t>
      </w:r>
    </w:p>
    <w:p w14:paraId="072D4483" w14:textId="6EAA0A0A" w:rsidR="003F6BE7" w:rsidRDefault="003F6BE7" w:rsidP="003F6BE7"/>
    <w:p w14:paraId="2DFD3573" w14:textId="77777777" w:rsidR="003F6BE7" w:rsidRPr="003F6BE7" w:rsidRDefault="003F6BE7" w:rsidP="003F6BE7">
      <w:pPr>
        <w:spacing w:line="240" w:lineRule="auto"/>
        <w:rPr>
          <w:rFonts w:eastAsia="Times New Roman" w:cs="Arial"/>
          <w:sz w:val="28"/>
          <w:szCs w:val="24"/>
        </w:rPr>
      </w:pPr>
      <w:r w:rsidRPr="003F6BE7">
        <w:rPr>
          <w:rFonts w:eastAsia="Times New Roman" w:cs="Arial"/>
          <w:bCs/>
          <w:color w:val="000000"/>
          <w:szCs w:val="20"/>
          <w:lang w:eastAsia="bg-BG"/>
        </w:rPr>
        <w:t>В неклиничните изпитвания са наблюдавани ефекти само в дози, които слабо надвишават релевантните дози за клинична употреба.</w:t>
      </w:r>
    </w:p>
    <w:p w14:paraId="58A4BAB3" w14:textId="77777777" w:rsidR="003F6BE7" w:rsidRPr="003F6BE7" w:rsidRDefault="003F6BE7" w:rsidP="003F6BE7">
      <w:pPr>
        <w:spacing w:line="240" w:lineRule="auto"/>
        <w:rPr>
          <w:rFonts w:eastAsia="Times New Roman" w:cs="Arial"/>
          <w:bCs/>
          <w:color w:val="000000"/>
          <w:szCs w:val="20"/>
          <w:u w:val="single"/>
          <w:lang w:eastAsia="bg-BG"/>
        </w:rPr>
      </w:pPr>
    </w:p>
    <w:p w14:paraId="65F846CE" w14:textId="6037D2F4" w:rsidR="003F6BE7" w:rsidRPr="003F6BE7" w:rsidRDefault="003F6BE7" w:rsidP="003F6BE7">
      <w:pPr>
        <w:spacing w:line="240" w:lineRule="auto"/>
        <w:rPr>
          <w:rFonts w:eastAsia="Times New Roman" w:cs="Arial"/>
          <w:sz w:val="28"/>
          <w:szCs w:val="24"/>
        </w:rPr>
      </w:pPr>
      <w:r w:rsidRPr="003F6BE7">
        <w:rPr>
          <w:rFonts w:eastAsia="Times New Roman" w:cs="Arial"/>
          <w:bCs/>
          <w:color w:val="000000"/>
          <w:szCs w:val="20"/>
          <w:u w:val="single"/>
          <w:lang w:eastAsia="bg-BG"/>
        </w:rPr>
        <w:t>Каниерогенеза:</w:t>
      </w:r>
    </w:p>
    <w:p w14:paraId="00C1385D" w14:textId="77777777" w:rsidR="003F6BE7" w:rsidRPr="003F6BE7" w:rsidRDefault="003F6BE7" w:rsidP="003F6BE7">
      <w:pPr>
        <w:spacing w:line="240" w:lineRule="auto"/>
        <w:rPr>
          <w:rFonts w:eastAsia="Times New Roman" w:cs="Arial"/>
          <w:sz w:val="28"/>
          <w:szCs w:val="24"/>
        </w:rPr>
      </w:pPr>
      <w:r w:rsidRPr="003F6BE7">
        <w:rPr>
          <w:rFonts w:eastAsia="Times New Roman" w:cs="Arial"/>
          <w:bCs/>
          <w:color w:val="000000"/>
          <w:szCs w:val="20"/>
          <w:lang w:eastAsia="bg-BG"/>
        </w:rPr>
        <w:t xml:space="preserve">Няма данни за канцерогенен потенциал на флуконазол при мишки и при плъхове, третирани перорално в продължение на 24 месеца с дози от 2,5, 5 или 10 </w:t>
      </w:r>
      <w:r w:rsidRPr="003F6BE7">
        <w:rPr>
          <w:rFonts w:eastAsia="Times New Roman" w:cs="Arial"/>
          <w:bCs/>
          <w:color w:val="000000"/>
          <w:szCs w:val="20"/>
          <w:lang w:val="en-US"/>
        </w:rPr>
        <w:t>mg</w:t>
      </w:r>
      <w:r w:rsidRPr="003F6BE7">
        <w:rPr>
          <w:rFonts w:eastAsia="Times New Roman" w:cs="Arial"/>
          <w:bCs/>
          <w:color w:val="000000"/>
          <w:szCs w:val="20"/>
          <w:lang w:val="ru-RU"/>
        </w:rPr>
        <w:t>/</w:t>
      </w:r>
      <w:r w:rsidRPr="003F6BE7">
        <w:rPr>
          <w:rFonts w:eastAsia="Times New Roman" w:cs="Arial"/>
          <w:bCs/>
          <w:color w:val="000000"/>
          <w:szCs w:val="20"/>
          <w:lang w:val="en-US"/>
        </w:rPr>
        <w:t>kg</w:t>
      </w:r>
      <w:r w:rsidRPr="003F6BE7">
        <w:rPr>
          <w:rFonts w:eastAsia="Times New Roman" w:cs="Arial"/>
          <w:bCs/>
          <w:color w:val="000000"/>
          <w:szCs w:val="20"/>
          <w:lang w:eastAsia="bg-BG"/>
        </w:rPr>
        <w:t xml:space="preserve">/дн (приблизително 27 пъти по-високи от препоръчваните дози при хора). При мъжки плъхове, третирани с 5 и 10 </w:t>
      </w:r>
      <w:r w:rsidRPr="003F6BE7">
        <w:rPr>
          <w:rFonts w:eastAsia="Times New Roman" w:cs="Arial"/>
          <w:bCs/>
          <w:color w:val="000000"/>
          <w:szCs w:val="20"/>
          <w:lang w:val="en-US"/>
        </w:rPr>
        <w:t>mg</w:t>
      </w:r>
      <w:r w:rsidRPr="003F6BE7">
        <w:rPr>
          <w:rFonts w:eastAsia="Times New Roman" w:cs="Arial"/>
          <w:bCs/>
          <w:color w:val="000000"/>
          <w:szCs w:val="20"/>
          <w:lang w:val="ru-RU"/>
        </w:rPr>
        <w:t>/</w:t>
      </w:r>
      <w:r w:rsidRPr="003F6BE7">
        <w:rPr>
          <w:rFonts w:eastAsia="Times New Roman" w:cs="Arial"/>
          <w:bCs/>
          <w:color w:val="000000"/>
          <w:szCs w:val="20"/>
          <w:lang w:val="en-US"/>
        </w:rPr>
        <w:t>kg</w:t>
      </w:r>
      <w:r w:rsidRPr="003F6BE7">
        <w:rPr>
          <w:rFonts w:eastAsia="Times New Roman" w:cs="Arial"/>
          <w:bCs/>
          <w:color w:val="000000"/>
          <w:szCs w:val="20"/>
          <w:lang w:eastAsia="bg-BG"/>
        </w:rPr>
        <w:t>/дн, е наблюдавано нарастване на честотата на хепатоцелуларен аденом.</w:t>
      </w:r>
    </w:p>
    <w:p w14:paraId="042024FE" w14:textId="77777777" w:rsidR="003F6BE7" w:rsidRPr="003F6BE7" w:rsidRDefault="003F6BE7" w:rsidP="003F6BE7">
      <w:pPr>
        <w:spacing w:line="240" w:lineRule="auto"/>
        <w:rPr>
          <w:rFonts w:eastAsia="Times New Roman" w:cs="Arial"/>
          <w:bCs/>
          <w:color w:val="000000"/>
          <w:szCs w:val="20"/>
          <w:u w:val="single"/>
          <w:lang w:eastAsia="bg-BG"/>
        </w:rPr>
      </w:pPr>
    </w:p>
    <w:p w14:paraId="0F9BEE00" w14:textId="7DC83181" w:rsidR="003F6BE7" w:rsidRPr="003F6BE7" w:rsidRDefault="003F6BE7" w:rsidP="003F6BE7">
      <w:pPr>
        <w:spacing w:line="240" w:lineRule="auto"/>
        <w:rPr>
          <w:rFonts w:eastAsia="Times New Roman" w:cs="Arial"/>
          <w:sz w:val="28"/>
          <w:szCs w:val="24"/>
        </w:rPr>
      </w:pPr>
      <w:r w:rsidRPr="003F6BE7">
        <w:rPr>
          <w:rFonts w:eastAsia="Times New Roman" w:cs="Arial"/>
          <w:bCs/>
          <w:color w:val="000000"/>
          <w:szCs w:val="20"/>
          <w:u w:val="single"/>
          <w:lang w:eastAsia="bg-BG"/>
        </w:rPr>
        <w:t>Репродуктивна токсичност:</w:t>
      </w:r>
    </w:p>
    <w:p w14:paraId="6C0641E7" w14:textId="77777777" w:rsidR="003F6BE7" w:rsidRPr="003F6BE7" w:rsidRDefault="003F6BE7" w:rsidP="003F6BE7">
      <w:pPr>
        <w:spacing w:line="240" w:lineRule="auto"/>
        <w:rPr>
          <w:rFonts w:eastAsia="Times New Roman" w:cs="Arial"/>
          <w:sz w:val="28"/>
          <w:szCs w:val="24"/>
        </w:rPr>
      </w:pPr>
      <w:r w:rsidRPr="003F6BE7">
        <w:rPr>
          <w:rFonts w:eastAsia="Times New Roman" w:cs="Arial"/>
          <w:bCs/>
          <w:color w:val="000000"/>
          <w:szCs w:val="20"/>
          <w:lang w:eastAsia="bg-BG"/>
        </w:rPr>
        <w:t xml:space="preserve">Флуконазол не оказва влияние върху фертилигета на женски или мъжки плъхове при перорално приложение на дневни дози от 5,10 или 20 </w:t>
      </w:r>
      <w:r w:rsidRPr="003F6BE7">
        <w:rPr>
          <w:rFonts w:eastAsia="Times New Roman" w:cs="Arial"/>
          <w:bCs/>
          <w:color w:val="000000"/>
          <w:szCs w:val="20"/>
          <w:lang w:val="en-US"/>
        </w:rPr>
        <w:t>mg</w:t>
      </w:r>
      <w:r w:rsidRPr="003F6BE7">
        <w:rPr>
          <w:rFonts w:eastAsia="Times New Roman" w:cs="Arial"/>
          <w:bCs/>
          <w:color w:val="000000"/>
          <w:szCs w:val="20"/>
          <w:lang w:val="ru-RU"/>
        </w:rPr>
        <w:t>/</w:t>
      </w:r>
      <w:r w:rsidRPr="003F6BE7">
        <w:rPr>
          <w:rFonts w:eastAsia="Times New Roman" w:cs="Arial"/>
          <w:bCs/>
          <w:color w:val="000000"/>
          <w:szCs w:val="20"/>
          <w:lang w:val="en-US"/>
        </w:rPr>
        <w:t>kg</w:t>
      </w:r>
      <w:r w:rsidRPr="003F6BE7">
        <w:rPr>
          <w:rFonts w:eastAsia="Times New Roman" w:cs="Arial"/>
          <w:bCs/>
          <w:color w:val="000000"/>
          <w:szCs w:val="20"/>
          <w:lang w:val="ru-RU"/>
        </w:rPr>
        <w:t xml:space="preserve"> </w:t>
      </w:r>
      <w:r w:rsidRPr="003F6BE7">
        <w:rPr>
          <w:rFonts w:eastAsia="Times New Roman" w:cs="Arial"/>
          <w:bCs/>
          <w:color w:val="000000"/>
          <w:szCs w:val="20"/>
          <w:lang w:eastAsia="bg-BG"/>
        </w:rPr>
        <w:t xml:space="preserve">или парентерално в доза 5,25 или 75 </w:t>
      </w:r>
      <w:r w:rsidRPr="003F6BE7">
        <w:rPr>
          <w:rFonts w:eastAsia="Times New Roman" w:cs="Arial"/>
          <w:bCs/>
          <w:color w:val="000000"/>
          <w:szCs w:val="20"/>
          <w:lang w:val="en-US"/>
        </w:rPr>
        <w:t>mg</w:t>
      </w:r>
      <w:r w:rsidRPr="003F6BE7">
        <w:rPr>
          <w:rFonts w:eastAsia="Times New Roman" w:cs="Arial"/>
          <w:bCs/>
          <w:color w:val="000000"/>
          <w:szCs w:val="20"/>
          <w:lang w:val="ru-RU"/>
        </w:rPr>
        <w:t>/</w:t>
      </w:r>
      <w:r w:rsidRPr="003F6BE7">
        <w:rPr>
          <w:rFonts w:eastAsia="Times New Roman" w:cs="Arial"/>
          <w:bCs/>
          <w:color w:val="000000"/>
          <w:szCs w:val="20"/>
          <w:lang w:val="en-US"/>
        </w:rPr>
        <w:t>kg</w:t>
      </w:r>
      <w:r w:rsidRPr="003F6BE7">
        <w:rPr>
          <w:rFonts w:eastAsia="Times New Roman" w:cs="Arial"/>
          <w:bCs/>
          <w:color w:val="000000"/>
          <w:szCs w:val="20"/>
          <w:lang w:val="ru-RU"/>
        </w:rPr>
        <w:t xml:space="preserve">. </w:t>
      </w:r>
      <w:r w:rsidRPr="003F6BE7">
        <w:rPr>
          <w:rFonts w:eastAsia="Times New Roman" w:cs="Arial"/>
          <w:bCs/>
          <w:color w:val="000000"/>
          <w:szCs w:val="20"/>
          <w:lang w:eastAsia="bg-BG"/>
        </w:rPr>
        <w:t xml:space="preserve">При дози от порядъка на 80 до 320 </w:t>
      </w:r>
      <w:r w:rsidRPr="003F6BE7">
        <w:rPr>
          <w:rFonts w:eastAsia="Times New Roman" w:cs="Arial"/>
          <w:bCs/>
          <w:color w:val="000000"/>
          <w:szCs w:val="20"/>
          <w:lang w:val="en-US"/>
        </w:rPr>
        <w:t>mg</w:t>
      </w:r>
      <w:r w:rsidRPr="003F6BE7">
        <w:rPr>
          <w:rFonts w:eastAsia="Times New Roman" w:cs="Arial"/>
          <w:bCs/>
          <w:color w:val="000000"/>
          <w:szCs w:val="20"/>
          <w:lang w:val="ru-RU"/>
        </w:rPr>
        <w:t>/</w:t>
      </w:r>
      <w:r w:rsidRPr="003F6BE7">
        <w:rPr>
          <w:rFonts w:eastAsia="Times New Roman" w:cs="Arial"/>
          <w:bCs/>
          <w:color w:val="000000"/>
          <w:szCs w:val="20"/>
          <w:lang w:val="en-US"/>
        </w:rPr>
        <w:t>kg</w:t>
      </w:r>
      <w:r w:rsidRPr="003F6BE7">
        <w:rPr>
          <w:rFonts w:eastAsia="Times New Roman" w:cs="Arial"/>
          <w:bCs/>
          <w:color w:val="000000"/>
          <w:szCs w:val="20"/>
          <w:lang w:val="ru-RU"/>
        </w:rPr>
        <w:t xml:space="preserve">, </w:t>
      </w:r>
      <w:r w:rsidRPr="003F6BE7">
        <w:rPr>
          <w:rFonts w:eastAsia="Times New Roman" w:cs="Arial"/>
          <w:bCs/>
          <w:color w:val="000000"/>
          <w:szCs w:val="20"/>
          <w:lang w:eastAsia="bg-BG"/>
        </w:rPr>
        <w:t>приложени върху плъхове се повишава ембриолеталитетьт и честотата на феталните аномалии, вкл. деформирани ребра, разцепване на небцето и анормална кранио-фациална осификация.</w:t>
      </w:r>
    </w:p>
    <w:p w14:paraId="0A83CFD1" w14:textId="77777777" w:rsidR="003F6BE7" w:rsidRPr="003F6BE7" w:rsidRDefault="003F6BE7" w:rsidP="003F6BE7">
      <w:pPr>
        <w:spacing w:line="240" w:lineRule="auto"/>
        <w:rPr>
          <w:rFonts w:eastAsia="Times New Roman" w:cs="Arial"/>
          <w:bCs/>
          <w:color w:val="000000"/>
          <w:szCs w:val="20"/>
          <w:lang w:eastAsia="bg-BG"/>
        </w:rPr>
      </w:pPr>
    </w:p>
    <w:p w14:paraId="471B2055" w14:textId="7CA96B3C" w:rsidR="003F6BE7" w:rsidRPr="003F6BE7" w:rsidRDefault="003F6BE7" w:rsidP="003F6BE7">
      <w:pPr>
        <w:spacing w:line="240" w:lineRule="auto"/>
        <w:rPr>
          <w:rFonts w:eastAsia="Times New Roman" w:cs="Arial"/>
          <w:sz w:val="28"/>
          <w:szCs w:val="24"/>
        </w:rPr>
      </w:pPr>
      <w:r w:rsidRPr="003F6BE7">
        <w:rPr>
          <w:rFonts w:eastAsia="Times New Roman" w:cs="Arial"/>
          <w:bCs/>
          <w:color w:val="000000"/>
          <w:szCs w:val="20"/>
          <w:lang w:eastAsia="bg-BG"/>
        </w:rPr>
        <w:t xml:space="preserve">Няма ефекти върху плода при дози от 5 или 10 </w:t>
      </w:r>
      <w:r w:rsidRPr="003F6BE7">
        <w:rPr>
          <w:rFonts w:eastAsia="Times New Roman" w:cs="Arial"/>
          <w:bCs/>
          <w:color w:val="000000"/>
          <w:szCs w:val="20"/>
          <w:lang w:val="en-US"/>
        </w:rPr>
        <w:t>mg</w:t>
      </w:r>
      <w:r w:rsidRPr="003F6BE7">
        <w:rPr>
          <w:rFonts w:eastAsia="Times New Roman" w:cs="Arial"/>
          <w:bCs/>
          <w:color w:val="000000"/>
          <w:szCs w:val="20"/>
          <w:lang w:val="ru-RU"/>
        </w:rPr>
        <w:t>/</w:t>
      </w:r>
      <w:r w:rsidRPr="003F6BE7">
        <w:rPr>
          <w:rFonts w:eastAsia="Times New Roman" w:cs="Arial"/>
          <w:bCs/>
          <w:color w:val="000000"/>
          <w:szCs w:val="20"/>
          <w:lang w:val="en-US"/>
        </w:rPr>
        <w:t>kg</w:t>
      </w:r>
      <w:r w:rsidRPr="003F6BE7">
        <w:rPr>
          <w:rFonts w:eastAsia="Times New Roman" w:cs="Arial"/>
          <w:bCs/>
          <w:color w:val="000000"/>
          <w:szCs w:val="20"/>
          <w:lang w:val="ru-RU"/>
        </w:rPr>
        <w:t xml:space="preserve">; </w:t>
      </w:r>
      <w:r w:rsidRPr="003F6BE7">
        <w:rPr>
          <w:rFonts w:eastAsia="Times New Roman" w:cs="Arial"/>
          <w:bCs/>
          <w:color w:val="000000"/>
          <w:szCs w:val="20"/>
          <w:lang w:eastAsia="bg-BG"/>
        </w:rPr>
        <w:t xml:space="preserve">повишаване на феталните анатомични аномалии (увеличен брой ребра, разширено бъбречно легенче) и забавяне на осификацията се наблюдават при прилагане на по-високи дози от порядъка на 25 и 50 </w:t>
      </w:r>
      <w:r w:rsidRPr="003F6BE7">
        <w:rPr>
          <w:rFonts w:eastAsia="Times New Roman" w:cs="Arial"/>
          <w:bCs/>
          <w:color w:val="000000"/>
          <w:szCs w:val="20"/>
          <w:lang w:val="en-US"/>
        </w:rPr>
        <w:t>mg</w:t>
      </w:r>
      <w:r w:rsidRPr="003F6BE7">
        <w:rPr>
          <w:rFonts w:eastAsia="Times New Roman" w:cs="Arial"/>
          <w:bCs/>
          <w:color w:val="000000"/>
          <w:szCs w:val="20"/>
          <w:lang w:val="ru-RU"/>
        </w:rPr>
        <w:t>/</w:t>
      </w:r>
      <w:r w:rsidRPr="003F6BE7">
        <w:rPr>
          <w:rFonts w:eastAsia="Times New Roman" w:cs="Arial"/>
          <w:bCs/>
          <w:color w:val="000000"/>
          <w:szCs w:val="20"/>
          <w:lang w:val="en-US"/>
        </w:rPr>
        <w:t>kg</w:t>
      </w:r>
      <w:r w:rsidRPr="003F6BE7">
        <w:rPr>
          <w:rFonts w:eastAsia="Times New Roman" w:cs="Arial"/>
          <w:bCs/>
          <w:color w:val="000000"/>
          <w:szCs w:val="20"/>
          <w:lang w:val="ru-RU"/>
        </w:rPr>
        <w:t>.</w:t>
      </w:r>
    </w:p>
    <w:p w14:paraId="0C50012B" w14:textId="39BA011D" w:rsidR="003F6BE7" w:rsidRDefault="003F6BE7" w:rsidP="003F6BE7">
      <w:pPr>
        <w:spacing w:line="240" w:lineRule="auto"/>
        <w:rPr>
          <w:rFonts w:eastAsia="Times New Roman" w:cs="Arial"/>
          <w:bCs/>
          <w:color w:val="000000"/>
          <w:szCs w:val="20"/>
          <w:lang w:eastAsia="bg-BG"/>
        </w:rPr>
      </w:pPr>
      <w:r w:rsidRPr="003F6BE7">
        <w:rPr>
          <w:rFonts w:eastAsia="Times New Roman" w:cs="Arial"/>
          <w:bCs/>
          <w:color w:val="000000"/>
          <w:szCs w:val="20"/>
          <w:lang w:eastAsia="bg-BG"/>
        </w:rPr>
        <w:t xml:space="preserve">В едно перинатално проучване при плъхове е установено, че интравенозното въвеждане на 20 </w:t>
      </w:r>
      <w:r w:rsidRPr="003F6BE7">
        <w:rPr>
          <w:rFonts w:eastAsia="Times New Roman" w:cs="Arial"/>
          <w:bCs/>
          <w:color w:val="000000"/>
          <w:szCs w:val="20"/>
          <w:lang w:val="en-US"/>
        </w:rPr>
        <w:t>mg</w:t>
      </w:r>
      <w:r w:rsidRPr="003F6BE7">
        <w:rPr>
          <w:rFonts w:eastAsia="Times New Roman" w:cs="Arial"/>
          <w:bCs/>
          <w:color w:val="000000"/>
          <w:szCs w:val="20"/>
          <w:lang w:val="ru-RU"/>
        </w:rPr>
        <w:t>/</w:t>
      </w:r>
      <w:r w:rsidRPr="003F6BE7">
        <w:rPr>
          <w:rFonts w:eastAsia="Times New Roman" w:cs="Arial"/>
          <w:bCs/>
          <w:color w:val="000000"/>
          <w:szCs w:val="20"/>
          <w:lang w:val="en-US"/>
        </w:rPr>
        <w:t>kg</w:t>
      </w:r>
      <w:r w:rsidRPr="003F6BE7">
        <w:rPr>
          <w:rFonts w:eastAsia="Times New Roman" w:cs="Arial"/>
          <w:bCs/>
          <w:color w:val="000000"/>
          <w:szCs w:val="20"/>
          <w:lang w:val="ru-RU"/>
        </w:rPr>
        <w:t xml:space="preserve"> </w:t>
      </w:r>
      <w:r w:rsidRPr="003F6BE7">
        <w:rPr>
          <w:rFonts w:eastAsia="Times New Roman" w:cs="Arial"/>
          <w:bCs/>
          <w:color w:val="000000"/>
          <w:szCs w:val="20"/>
          <w:lang w:eastAsia="bg-BG"/>
        </w:rPr>
        <w:t xml:space="preserve">и 40 </w:t>
      </w:r>
      <w:r w:rsidRPr="003F6BE7">
        <w:rPr>
          <w:rFonts w:eastAsia="Times New Roman" w:cs="Arial"/>
          <w:bCs/>
          <w:color w:val="000000"/>
          <w:szCs w:val="20"/>
          <w:lang w:val="en-US"/>
        </w:rPr>
        <w:t>mg</w:t>
      </w:r>
      <w:r w:rsidRPr="003F6BE7">
        <w:rPr>
          <w:rFonts w:eastAsia="Times New Roman" w:cs="Arial"/>
          <w:bCs/>
          <w:color w:val="000000"/>
          <w:szCs w:val="20"/>
          <w:lang w:val="ru-RU"/>
        </w:rPr>
        <w:t>/</w:t>
      </w:r>
      <w:r w:rsidRPr="003F6BE7">
        <w:rPr>
          <w:rFonts w:eastAsia="Times New Roman" w:cs="Arial"/>
          <w:bCs/>
          <w:color w:val="000000"/>
          <w:szCs w:val="20"/>
          <w:lang w:val="en-US"/>
        </w:rPr>
        <w:t>kg</w:t>
      </w:r>
      <w:r w:rsidRPr="003F6BE7">
        <w:rPr>
          <w:rFonts w:eastAsia="Times New Roman" w:cs="Arial"/>
          <w:bCs/>
          <w:color w:val="000000"/>
          <w:szCs w:val="20"/>
          <w:lang w:val="ru-RU"/>
        </w:rPr>
        <w:t xml:space="preserve"> </w:t>
      </w:r>
      <w:r w:rsidRPr="003F6BE7">
        <w:rPr>
          <w:rFonts w:eastAsia="Times New Roman" w:cs="Arial"/>
          <w:bCs/>
          <w:color w:val="000000"/>
          <w:szCs w:val="20"/>
          <w:lang w:eastAsia="bg-BG"/>
        </w:rPr>
        <w:t xml:space="preserve">е провокирало дистоция и пролонгиране на раждането при няколко животни. Такъв ефект не е наблюдаван при доза от 5 </w:t>
      </w:r>
      <w:r w:rsidRPr="003F6BE7">
        <w:rPr>
          <w:rFonts w:eastAsia="Times New Roman" w:cs="Arial"/>
          <w:bCs/>
          <w:color w:val="000000"/>
          <w:szCs w:val="20"/>
          <w:lang w:val="en-US"/>
        </w:rPr>
        <w:t>mg</w:t>
      </w:r>
      <w:r w:rsidRPr="003F6BE7">
        <w:rPr>
          <w:rFonts w:eastAsia="Times New Roman" w:cs="Arial"/>
          <w:bCs/>
          <w:color w:val="000000"/>
          <w:szCs w:val="20"/>
          <w:lang w:val="ru-RU"/>
        </w:rPr>
        <w:t>/</w:t>
      </w:r>
      <w:r w:rsidRPr="003F6BE7">
        <w:rPr>
          <w:rFonts w:eastAsia="Times New Roman" w:cs="Arial"/>
          <w:bCs/>
          <w:color w:val="000000"/>
          <w:szCs w:val="20"/>
          <w:lang w:val="en-US"/>
        </w:rPr>
        <w:t>kg</w:t>
      </w:r>
      <w:r w:rsidRPr="003F6BE7">
        <w:rPr>
          <w:rFonts w:eastAsia="Times New Roman" w:cs="Arial"/>
          <w:bCs/>
          <w:color w:val="000000"/>
          <w:szCs w:val="20"/>
          <w:lang w:val="ru-RU"/>
        </w:rPr>
        <w:t xml:space="preserve">. </w:t>
      </w:r>
      <w:r w:rsidRPr="003F6BE7">
        <w:rPr>
          <w:rFonts w:eastAsia="Times New Roman" w:cs="Arial"/>
          <w:bCs/>
          <w:color w:val="000000"/>
          <w:szCs w:val="20"/>
          <w:lang w:eastAsia="bg-BG"/>
        </w:rPr>
        <w:t>Нарушенията в родовия процес, наблюдавани при тези дози, са довели до леко повишаване на броя на мъртвородените и намаляване на преживяемостта на новородените. Въздействието върху родовия процес при плъхове съответства на това при видово специфично понижаване на естрогенното ниво под въздействие на високите дози флуконазол. При жени, лекувани с флуконазол, не са наблюдавани такива хормонални промени (вж. точка 5.1).</w:t>
      </w:r>
    </w:p>
    <w:p w14:paraId="2FC98F00" w14:textId="77777777" w:rsidR="003F6BE7" w:rsidRPr="003F6BE7" w:rsidRDefault="003F6BE7" w:rsidP="003F6BE7">
      <w:pPr>
        <w:spacing w:line="240" w:lineRule="auto"/>
        <w:rPr>
          <w:rFonts w:eastAsia="Times New Roman" w:cs="Arial"/>
          <w:sz w:val="28"/>
          <w:szCs w:val="24"/>
        </w:rPr>
      </w:pPr>
    </w:p>
    <w:p w14:paraId="6A7820AB" w14:textId="627FC831" w:rsidR="008A6AF2" w:rsidRDefault="002C50EE" w:rsidP="00395555">
      <w:pPr>
        <w:pStyle w:val="Heading1"/>
      </w:pPr>
      <w:r>
        <w:t>7. ПРИТЕЖАТЕЛ НА РАЗРЕШЕНИЕТО ЗА УПОТРЕБА</w:t>
      </w:r>
    </w:p>
    <w:p w14:paraId="5B2FEDCB" w14:textId="58C27776" w:rsidR="003F6BE7" w:rsidRDefault="003F6BE7" w:rsidP="003F6BE7"/>
    <w:p w14:paraId="45E35C41" w14:textId="77777777" w:rsidR="003F6BE7" w:rsidRPr="003F6BE7" w:rsidRDefault="003F6BE7" w:rsidP="003F6BE7">
      <w:pPr>
        <w:rPr>
          <w:sz w:val="24"/>
          <w:szCs w:val="24"/>
        </w:rPr>
      </w:pPr>
      <w:r w:rsidRPr="003F6BE7">
        <w:rPr>
          <w:lang w:eastAsia="bg-BG"/>
        </w:rPr>
        <w:t>Тева Фарма ЕАД</w:t>
      </w:r>
    </w:p>
    <w:p w14:paraId="3E570F24" w14:textId="77777777" w:rsidR="003F6BE7" w:rsidRPr="003F6BE7" w:rsidRDefault="003F6BE7" w:rsidP="003F6BE7">
      <w:pPr>
        <w:rPr>
          <w:sz w:val="24"/>
          <w:szCs w:val="24"/>
        </w:rPr>
      </w:pPr>
      <w:r w:rsidRPr="003F6BE7">
        <w:rPr>
          <w:lang w:eastAsia="bg-BG"/>
        </w:rPr>
        <w:t>ул. „Люба Величкова“ № 9,1407 София</w:t>
      </w:r>
    </w:p>
    <w:p w14:paraId="376DC73B" w14:textId="2CECB6A4" w:rsidR="003F6BE7" w:rsidRPr="003F6BE7" w:rsidRDefault="003F6BE7" w:rsidP="003F6BE7">
      <w:r w:rsidRPr="003F6BE7">
        <w:rPr>
          <w:lang w:eastAsia="bg-BG"/>
        </w:rPr>
        <w:t>България</w:t>
      </w:r>
    </w:p>
    <w:p w14:paraId="04840D59" w14:textId="44D47237" w:rsidR="002C50EE" w:rsidRDefault="002C50EE" w:rsidP="00395555">
      <w:pPr>
        <w:pStyle w:val="Heading1"/>
      </w:pPr>
      <w:r>
        <w:t>8. НОМЕР НА РАЗРЕШЕНИЕТО ЗА УПОТРЕБА</w:t>
      </w:r>
    </w:p>
    <w:p w14:paraId="252E92E8" w14:textId="06C6897A" w:rsidR="003F6BE7" w:rsidRDefault="003F6BE7" w:rsidP="003F6BE7"/>
    <w:p w14:paraId="0994D3D5" w14:textId="1EE2D8B4" w:rsidR="003F6BE7" w:rsidRDefault="003F6BE7" w:rsidP="003F6BE7">
      <w:pPr>
        <w:rPr>
          <w:lang w:eastAsia="bg-BG"/>
        </w:rPr>
      </w:pPr>
      <w:r w:rsidRPr="003F6BE7">
        <w:rPr>
          <w:lang w:val="en-US"/>
        </w:rPr>
        <w:t>Per</w:t>
      </w:r>
      <w:r w:rsidRPr="003F6BE7">
        <w:rPr>
          <w:lang w:val="ru-RU"/>
        </w:rPr>
        <w:t xml:space="preserve">. </w:t>
      </w:r>
      <w:r w:rsidRPr="003F6BE7">
        <w:rPr>
          <w:lang w:eastAsia="bg-BG"/>
        </w:rPr>
        <w:t>№20030544</w:t>
      </w:r>
    </w:p>
    <w:p w14:paraId="7FA02BFB" w14:textId="77777777" w:rsidR="003F6BE7" w:rsidRPr="003F6BE7" w:rsidRDefault="003F6BE7" w:rsidP="003F6BE7">
      <w:pPr>
        <w:rPr>
          <w:sz w:val="24"/>
          <w:szCs w:val="24"/>
        </w:rPr>
      </w:pPr>
    </w:p>
    <w:p w14:paraId="2CCB5832" w14:textId="3EC43E09" w:rsidR="007C605B" w:rsidRDefault="002C50EE" w:rsidP="007C605B">
      <w:pPr>
        <w:pStyle w:val="Heading1"/>
      </w:pPr>
      <w:r>
        <w:t>9. ДАТА НА ПЪРВО РАЗРЕШАВАНЕ/ПОДНОВЯВАНЕ НА РАЗРЕШЕНИЕТО ЗА УПОТРЕБА</w:t>
      </w:r>
    </w:p>
    <w:p w14:paraId="098CB0DF" w14:textId="756A0711" w:rsidR="003F6BE7" w:rsidRDefault="003F6BE7" w:rsidP="003F6BE7"/>
    <w:p w14:paraId="62F614AC" w14:textId="77777777" w:rsidR="003F6BE7" w:rsidRPr="003F6BE7" w:rsidRDefault="003F6BE7" w:rsidP="003F6BE7">
      <w:pPr>
        <w:rPr>
          <w:sz w:val="24"/>
          <w:szCs w:val="24"/>
        </w:rPr>
      </w:pPr>
      <w:r w:rsidRPr="003F6BE7">
        <w:rPr>
          <w:lang w:eastAsia="bg-BG"/>
        </w:rPr>
        <w:t>Дата на първо разрешаване: 25.07.2003 г.</w:t>
      </w:r>
    </w:p>
    <w:p w14:paraId="7F9E0FE2" w14:textId="1583EC32" w:rsidR="003F6BE7" w:rsidRPr="003F6BE7" w:rsidRDefault="003F6BE7" w:rsidP="003F6BE7">
      <w:r w:rsidRPr="003F6BE7">
        <w:rPr>
          <w:lang w:eastAsia="bg-BG"/>
        </w:rPr>
        <w:t>Дата на последно подновяване: 13.11.2008 г.</w:t>
      </w:r>
    </w:p>
    <w:p w14:paraId="0E9D0119" w14:textId="0245C6D7" w:rsidR="002C50EE" w:rsidRDefault="002C50EE" w:rsidP="002C50EE">
      <w:pPr>
        <w:pStyle w:val="Heading1"/>
      </w:pPr>
      <w:r>
        <w:t>10. ДАТА НА АКТУАЛИЗИРАНЕ НА ТЕКСТА</w:t>
      </w:r>
    </w:p>
    <w:bookmarkEnd w:id="0"/>
    <w:p w14:paraId="43FB38A2" w14:textId="07457C89" w:rsidR="007C605B" w:rsidRPr="003E3126" w:rsidRDefault="003F6BE7" w:rsidP="003F6BE7">
      <w:r>
        <w:t>18.02.2021</w:t>
      </w:r>
      <w:bookmarkStart w:id="1" w:name="_GoBack"/>
      <w:bookmarkEnd w:id="1"/>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38F7A87"/>
    <w:multiLevelType w:val="hybridMultilevel"/>
    <w:tmpl w:val="B94A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62B07"/>
    <w:multiLevelType w:val="hybridMultilevel"/>
    <w:tmpl w:val="A2983A04"/>
    <w:lvl w:ilvl="0" w:tplc="5D5C08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A00A6"/>
    <w:multiLevelType w:val="hybridMultilevel"/>
    <w:tmpl w:val="8D9E75A6"/>
    <w:lvl w:ilvl="0" w:tplc="5D5C08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7C753D"/>
    <w:multiLevelType w:val="hybridMultilevel"/>
    <w:tmpl w:val="090A10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9D095B"/>
    <w:multiLevelType w:val="hybridMultilevel"/>
    <w:tmpl w:val="4E78D954"/>
    <w:lvl w:ilvl="0" w:tplc="5D5C08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410E7A59"/>
    <w:multiLevelType w:val="hybridMultilevel"/>
    <w:tmpl w:val="E7CA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6"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1F5ADF"/>
    <w:multiLevelType w:val="hybridMultilevel"/>
    <w:tmpl w:val="C2F6E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2"/>
  </w:num>
  <w:num w:numId="2">
    <w:abstractNumId w:val="0"/>
  </w:num>
  <w:num w:numId="3">
    <w:abstractNumId w:val="15"/>
  </w:num>
  <w:num w:numId="4">
    <w:abstractNumId w:val="3"/>
  </w:num>
  <w:num w:numId="5">
    <w:abstractNumId w:val="1"/>
  </w:num>
  <w:num w:numId="6">
    <w:abstractNumId w:val="20"/>
  </w:num>
  <w:num w:numId="7">
    <w:abstractNumId w:val="13"/>
  </w:num>
  <w:num w:numId="8">
    <w:abstractNumId w:val="19"/>
  </w:num>
  <w:num w:numId="9">
    <w:abstractNumId w:val="2"/>
  </w:num>
  <w:num w:numId="10">
    <w:abstractNumId w:val="4"/>
  </w:num>
  <w:num w:numId="11">
    <w:abstractNumId w:val="34"/>
  </w:num>
  <w:num w:numId="12">
    <w:abstractNumId w:val="17"/>
  </w:num>
  <w:num w:numId="13">
    <w:abstractNumId w:val="24"/>
  </w:num>
  <w:num w:numId="14">
    <w:abstractNumId w:val="14"/>
  </w:num>
  <w:num w:numId="15">
    <w:abstractNumId w:val="33"/>
  </w:num>
  <w:num w:numId="16">
    <w:abstractNumId w:val="12"/>
  </w:num>
  <w:num w:numId="17">
    <w:abstractNumId w:val="29"/>
  </w:num>
  <w:num w:numId="18">
    <w:abstractNumId w:val="8"/>
  </w:num>
  <w:num w:numId="19">
    <w:abstractNumId w:val="31"/>
  </w:num>
  <w:num w:numId="20">
    <w:abstractNumId w:val="28"/>
  </w:num>
  <w:num w:numId="21">
    <w:abstractNumId w:val="22"/>
  </w:num>
  <w:num w:numId="22">
    <w:abstractNumId w:val="30"/>
  </w:num>
  <w:num w:numId="23">
    <w:abstractNumId w:val="23"/>
  </w:num>
  <w:num w:numId="24">
    <w:abstractNumId w:val="10"/>
  </w:num>
  <w:num w:numId="25">
    <w:abstractNumId w:val="27"/>
  </w:num>
  <w:num w:numId="26">
    <w:abstractNumId w:val="26"/>
  </w:num>
  <w:num w:numId="27">
    <w:abstractNumId w:val="35"/>
  </w:num>
  <w:num w:numId="28">
    <w:abstractNumId w:val="6"/>
  </w:num>
  <w:num w:numId="29">
    <w:abstractNumId w:val="25"/>
  </w:num>
  <w:num w:numId="30">
    <w:abstractNumId w:val="37"/>
  </w:num>
  <w:num w:numId="31">
    <w:abstractNumId w:val="5"/>
  </w:num>
  <w:num w:numId="32">
    <w:abstractNumId w:val="36"/>
  </w:num>
  <w:num w:numId="33">
    <w:abstractNumId w:val="7"/>
  </w:num>
  <w:num w:numId="34">
    <w:abstractNumId w:val="9"/>
  </w:num>
  <w:num w:numId="35">
    <w:abstractNumId w:val="18"/>
  </w:num>
  <w:num w:numId="36">
    <w:abstractNumId w:val="11"/>
  </w:num>
  <w:num w:numId="37">
    <w:abstractNumId w:val="16"/>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3F6BE7"/>
    <w:rsid w:val="004D4D6B"/>
    <w:rsid w:val="00517A5B"/>
    <w:rsid w:val="00593A00"/>
    <w:rsid w:val="005A66D9"/>
    <w:rsid w:val="00605BCA"/>
    <w:rsid w:val="006158A1"/>
    <w:rsid w:val="00617B1F"/>
    <w:rsid w:val="00672487"/>
    <w:rsid w:val="00672600"/>
    <w:rsid w:val="00681D4A"/>
    <w:rsid w:val="00685882"/>
    <w:rsid w:val="0075649D"/>
    <w:rsid w:val="007B38C0"/>
    <w:rsid w:val="007C605B"/>
    <w:rsid w:val="00814073"/>
    <w:rsid w:val="00826F0D"/>
    <w:rsid w:val="00893B92"/>
    <w:rsid w:val="008A6AF2"/>
    <w:rsid w:val="008C70A2"/>
    <w:rsid w:val="009773E4"/>
    <w:rsid w:val="009B171C"/>
    <w:rsid w:val="009F1313"/>
    <w:rsid w:val="00A20351"/>
    <w:rsid w:val="00AA23EC"/>
    <w:rsid w:val="00AC63CE"/>
    <w:rsid w:val="00AE2107"/>
    <w:rsid w:val="00B275A8"/>
    <w:rsid w:val="00BF2600"/>
    <w:rsid w:val="00C0049F"/>
    <w:rsid w:val="00C07B84"/>
    <w:rsid w:val="00C33464"/>
    <w:rsid w:val="00C809A7"/>
    <w:rsid w:val="00C83063"/>
    <w:rsid w:val="00C87E90"/>
    <w:rsid w:val="00CA1B5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7843</Words>
  <Characters>44707</Characters>
  <Application>Microsoft Office Word</Application>
  <DocSecurity>0</DocSecurity>
  <Lines>372</Lines>
  <Paragraphs>104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2022-01-19T00:50:00Z</dcterms:created>
  <dcterms:modified xsi:type="dcterms:W3CDTF">2022-01-19T00:50:00Z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