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09CEB67B" w:rsidR="002C50EE" w:rsidRDefault="002C50EE" w:rsidP="002C50EE">
      <w:pPr>
        <w:pStyle w:val="Heading1"/>
        <w:jc w:val="center"/>
      </w:pPr>
      <w:bookmarkStart w:id="0" w:name="_Hlk63124480"/>
      <w:r>
        <w:t>КРАТКА ХАРАКТЕРИСТИКА НА ПРОДУКТА</w:t>
      </w:r>
    </w:p>
    <w:p w14:paraId="5A3B4435" w14:textId="77777777" w:rsidR="0091385D" w:rsidRPr="0091385D" w:rsidRDefault="0091385D" w:rsidP="0091385D"/>
    <w:p w14:paraId="3320F4BE" w14:textId="2EB48694" w:rsidR="00C40420" w:rsidRDefault="00DD466D" w:rsidP="004A448E">
      <w:pPr>
        <w:pStyle w:val="Heading1"/>
      </w:pPr>
      <w:r>
        <w:t>1.ИМЕ НА ЛЕКАРСТВЕНИЯ ПРОДУКТ</w:t>
      </w:r>
    </w:p>
    <w:p w14:paraId="5E9BA472" w14:textId="14008A99" w:rsidR="0091385D" w:rsidRDefault="0091385D" w:rsidP="0091385D"/>
    <w:p w14:paraId="5F07142C" w14:textId="77777777"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lang w:eastAsia="bg-BG"/>
        </w:rPr>
        <w:t xml:space="preserve">Габагамма 300 </w:t>
      </w:r>
      <w:r w:rsidRPr="000540E0">
        <w:rPr>
          <w:rFonts w:eastAsia="Times New Roman" w:cs="Arial"/>
          <w:color w:val="000000"/>
          <w:szCs w:val="20"/>
          <w:lang w:val="en-US"/>
        </w:rPr>
        <w:t xml:space="preserve">mg </w:t>
      </w:r>
      <w:r w:rsidRPr="000540E0">
        <w:rPr>
          <w:rFonts w:eastAsia="Times New Roman" w:cs="Arial"/>
          <w:color w:val="000000"/>
          <w:szCs w:val="20"/>
          <w:lang w:eastAsia="bg-BG"/>
        </w:rPr>
        <w:t>твърди капсули</w:t>
      </w:r>
    </w:p>
    <w:p w14:paraId="73D1D99C" w14:textId="2D9DB9DF" w:rsidR="0091385D" w:rsidRPr="000540E0" w:rsidRDefault="000540E0" w:rsidP="000540E0">
      <w:pPr>
        <w:rPr>
          <w:rFonts w:cs="Arial"/>
          <w:sz w:val="24"/>
        </w:rPr>
      </w:pPr>
      <w:proofErr w:type="spellStart"/>
      <w:r w:rsidRPr="000540E0">
        <w:rPr>
          <w:rFonts w:eastAsia="Times New Roman" w:cs="Arial"/>
          <w:color w:val="000000"/>
          <w:szCs w:val="20"/>
          <w:lang w:val="en-US"/>
        </w:rPr>
        <w:t>Gabagamma</w:t>
      </w:r>
      <w:proofErr w:type="spellEnd"/>
      <w:r w:rsidRPr="000540E0">
        <w:rPr>
          <w:rFonts w:eastAsia="Times New Roman" w:cs="Arial"/>
          <w:color w:val="000000"/>
          <w:szCs w:val="20"/>
          <w:lang w:val="en-US"/>
        </w:rPr>
        <w:t xml:space="preserve"> </w:t>
      </w:r>
      <w:r w:rsidRPr="000540E0">
        <w:rPr>
          <w:rFonts w:eastAsia="Times New Roman" w:cs="Arial"/>
          <w:color w:val="000000"/>
          <w:szCs w:val="20"/>
          <w:lang w:eastAsia="bg-BG"/>
        </w:rPr>
        <w:t xml:space="preserve">300 </w:t>
      </w:r>
      <w:r w:rsidRPr="000540E0">
        <w:rPr>
          <w:rFonts w:eastAsia="Times New Roman" w:cs="Arial"/>
          <w:color w:val="000000"/>
          <w:szCs w:val="20"/>
          <w:lang w:val="en-US"/>
        </w:rPr>
        <w:t>mg capsules, hard</w:t>
      </w:r>
    </w:p>
    <w:p w14:paraId="1E8447D1" w14:textId="77777777" w:rsidR="0091385D" w:rsidRPr="0091385D" w:rsidRDefault="0091385D" w:rsidP="0091385D"/>
    <w:p w14:paraId="6920A680" w14:textId="53C3EFCC" w:rsidR="00C40420" w:rsidRDefault="00DD466D" w:rsidP="004A448E">
      <w:pPr>
        <w:pStyle w:val="Heading1"/>
      </w:pPr>
      <w:r>
        <w:t>2. КАЧЕСТВЕН И КОЛИЧЕСТВЕН СЪСТАВ</w:t>
      </w:r>
    </w:p>
    <w:p w14:paraId="1ED33AE8" w14:textId="288788EF" w:rsidR="0091385D" w:rsidRDefault="0091385D" w:rsidP="0091385D"/>
    <w:p w14:paraId="6E76D4F0" w14:textId="77777777"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lang w:eastAsia="bg-BG"/>
        </w:rPr>
        <w:t xml:space="preserve">Всяка твърда капсула съдържа 300 </w:t>
      </w:r>
      <w:r w:rsidRPr="000540E0">
        <w:rPr>
          <w:rFonts w:eastAsia="Times New Roman" w:cs="Arial"/>
          <w:color w:val="000000"/>
          <w:szCs w:val="20"/>
          <w:lang w:val="en-US"/>
        </w:rPr>
        <w:t xml:space="preserve">mg </w:t>
      </w:r>
      <w:r w:rsidRPr="000540E0">
        <w:rPr>
          <w:rFonts w:eastAsia="Times New Roman" w:cs="Arial"/>
          <w:color w:val="000000"/>
          <w:szCs w:val="20"/>
          <w:lang w:eastAsia="bg-BG"/>
        </w:rPr>
        <w:t xml:space="preserve">габапентин </w:t>
      </w:r>
      <w:r w:rsidRPr="000540E0">
        <w:rPr>
          <w:rFonts w:eastAsia="Times New Roman" w:cs="Arial"/>
          <w:i/>
          <w:iCs/>
          <w:color w:val="000000"/>
          <w:szCs w:val="20"/>
          <w:lang w:val="en-US"/>
        </w:rPr>
        <w:t>(gabapentin).</w:t>
      </w:r>
    </w:p>
    <w:p w14:paraId="77E02FF7" w14:textId="77777777" w:rsidR="000540E0" w:rsidRPr="000540E0" w:rsidRDefault="000540E0" w:rsidP="000540E0">
      <w:pPr>
        <w:spacing w:line="240" w:lineRule="auto"/>
        <w:rPr>
          <w:rFonts w:eastAsia="Times New Roman" w:cs="Arial"/>
          <w:color w:val="000000"/>
          <w:szCs w:val="20"/>
          <w:lang w:eastAsia="bg-BG"/>
        </w:rPr>
      </w:pPr>
    </w:p>
    <w:p w14:paraId="5FD3FC4A" w14:textId="4AFD70E0"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lang w:eastAsia="bg-BG"/>
        </w:rPr>
        <w:t>Помощно вещество с известно действие:</w:t>
      </w:r>
    </w:p>
    <w:p w14:paraId="62827B85" w14:textId="77777777"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lang w:eastAsia="bg-BG"/>
        </w:rPr>
        <w:t xml:space="preserve">Всяка твърда капсула от 300 </w:t>
      </w:r>
      <w:r w:rsidRPr="000540E0">
        <w:rPr>
          <w:rFonts w:eastAsia="Times New Roman" w:cs="Arial"/>
          <w:color w:val="000000"/>
          <w:szCs w:val="20"/>
          <w:lang w:val="en-US"/>
        </w:rPr>
        <w:t xml:space="preserve">mg </w:t>
      </w:r>
      <w:r w:rsidRPr="000540E0">
        <w:rPr>
          <w:rFonts w:eastAsia="Times New Roman" w:cs="Arial"/>
          <w:color w:val="000000"/>
          <w:szCs w:val="20"/>
          <w:lang w:eastAsia="bg-BG"/>
        </w:rPr>
        <w:t xml:space="preserve">съдържа 67,5 </w:t>
      </w:r>
      <w:r w:rsidRPr="000540E0">
        <w:rPr>
          <w:rFonts w:eastAsia="Times New Roman" w:cs="Arial"/>
          <w:color w:val="000000"/>
          <w:szCs w:val="20"/>
          <w:lang w:val="en-US"/>
        </w:rPr>
        <w:t xml:space="preserve">mg </w:t>
      </w:r>
      <w:r w:rsidRPr="000540E0">
        <w:rPr>
          <w:rFonts w:eastAsia="Times New Roman" w:cs="Arial"/>
          <w:color w:val="000000"/>
          <w:szCs w:val="20"/>
          <w:lang w:eastAsia="bg-BG"/>
        </w:rPr>
        <w:t>лактоза безводна</w:t>
      </w:r>
    </w:p>
    <w:p w14:paraId="1C1B19D9" w14:textId="77777777" w:rsidR="000540E0" w:rsidRPr="000540E0" w:rsidRDefault="000540E0" w:rsidP="000540E0">
      <w:pPr>
        <w:rPr>
          <w:rFonts w:eastAsia="Times New Roman" w:cs="Arial"/>
          <w:color w:val="000000"/>
          <w:szCs w:val="20"/>
          <w:lang w:eastAsia="bg-BG"/>
        </w:rPr>
      </w:pPr>
    </w:p>
    <w:p w14:paraId="729D0A91" w14:textId="6E9D1AD4" w:rsidR="0091385D" w:rsidRPr="000540E0" w:rsidRDefault="000540E0" w:rsidP="000540E0">
      <w:pPr>
        <w:rPr>
          <w:rFonts w:cs="Arial"/>
          <w:sz w:val="24"/>
        </w:rPr>
      </w:pPr>
      <w:r w:rsidRPr="000540E0">
        <w:rPr>
          <w:rFonts w:eastAsia="Times New Roman" w:cs="Arial"/>
          <w:color w:val="000000"/>
          <w:szCs w:val="20"/>
          <w:lang w:eastAsia="bg-BG"/>
        </w:rPr>
        <w:t>За пълния списък на помощните вещества, вж. точка 6.1.</w:t>
      </w:r>
    </w:p>
    <w:p w14:paraId="03110A50" w14:textId="77777777" w:rsidR="0091385D" w:rsidRPr="0091385D" w:rsidRDefault="0091385D" w:rsidP="0091385D"/>
    <w:p w14:paraId="614984C4" w14:textId="3FC552C3" w:rsidR="008A6AF2" w:rsidRDefault="00DD466D" w:rsidP="002C50EE">
      <w:pPr>
        <w:pStyle w:val="Heading1"/>
      </w:pPr>
      <w:r>
        <w:t>3. ЛЕКАРСТВЕНА ФОРМА</w:t>
      </w:r>
    </w:p>
    <w:p w14:paraId="1004E96C" w14:textId="277B91E7" w:rsidR="0091385D" w:rsidRDefault="0091385D" w:rsidP="0091385D"/>
    <w:p w14:paraId="4A991133" w14:textId="17FF5A3D" w:rsidR="0091385D" w:rsidRPr="000540E0" w:rsidRDefault="000540E0" w:rsidP="0091385D">
      <w:pPr>
        <w:rPr>
          <w:rFonts w:cs="Arial"/>
          <w:sz w:val="24"/>
        </w:rPr>
      </w:pPr>
      <w:r w:rsidRPr="000540E0">
        <w:rPr>
          <w:rFonts w:cs="Arial"/>
          <w:szCs w:val="20"/>
        </w:rPr>
        <w:t xml:space="preserve">Габагамма 300 </w:t>
      </w:r>
      <w:r w:rsidRPr="000540E0">
        <w:rPr>
          <w:rFonts w:cs="Arial"/>
          <w:szCs w:val="20"/>
          <w:lang w:val="en-US"/>
        </w:rPr>
        <w:t xml:space="preserve">mg </w:t>
      </w:r>
      <w:r w:rsidRPr="000540E0">
        <w:rPr>
          <w:rFonts w:cs="Arial"/>
          <w:szCs w:val="20"/>
        </w:rPr>
        <w:t>твърди капсули: твърда желатинова капсула с жълто непрозрачно тяло и капаче.</w:t>
      </w:r>
    </w:p>
    <w:p w14:paraId="4129ADBB" w14:textId="77777777" w:rsidR="0091385D" w:rsidRPr="0091385D" w:rsidRDefault="0091385D" w:rsidP="0091385D"/>
    <w:p w14:paraId="490FC2C4" w14:textId="76FABE77" w:rsidR="002C50EE" w:rsidRDefault="002C50EE" w:rsidP="002C50EE">
      <w:pPr>
        <w:pStyle w:val="Heading1"/>
      </w:pPr>
      <w:r>
        <w:t>4. КЛИНИЧНИ ДАННИ</w:t>
      </w:r>
    </w:p>
    <w:p w14:paraId="0C69CBC7" w14:textId="77777777" w:rsidR="0091385D" w:rsidRPr="0091385D" w:rsidRDefault="0091385D" w:rsidP="0091385D"/>
    <w:p w14:paraId="0C8E6903" w14:textId="51BB3E2D" w:rsidR="008134C8" w:rsidRDefault="002C50EE" w:rsidP="004A448E">
      <w:pPr>
        <w:pStyle w:val="Heading2"/>
      </w:pPr>
      <w:r>
        <w:t>4.1. Терапевтични показания</w:t>
      </w:r>
    </w:p>
    <w:p w14:paraId="174D169F" w14:textId="0369962D" w:rsidR="0091385D" w:rsidRDefault="0091385D" w:rsidP="0091385D"/>
    <w:p w14:paraId="15E3C9B1" w14:textId="77777777"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u w:val="single"/>
          <w:lang w:eastAsia="bg-BG"/>
        </w:rPr>
        <w:t>Епилепсия</w:t>
      </w:r>
    </w:p>
    <w:p w14:paraId="07993C8B" w14:textId="77777777" w:rsidR="000540E0" w:rsidRPr="000540E0" w:rsidRDefault="000540E0" w:rsidP="000540E0">
      <w:pPr>
        <w:spacing w:line="240" w:lineRule="auto"/>
        <w:rPr>
          <w:rFonts w:eastAsia="Times New Roman" w:cs="Arial"/>
          <w:color w:val="000000"/>
          <w:szCs w:val="20"/>
          <w:lang w:eastAsia="bg-BG"/>
        </w:rPr>
      </w:pPr>
    </w:p>
    <w:p w14:paraId="5EBD4F69" w14:textId="40F16414"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lang w:eastAsia="bg-BG"/>
        </w:rPr>
        <w:t>Габапентин е показан за добавъчна терапия при лечение на парциални пристъпи със или без вторична генерализация, при възрастни и деца на 6 и повече години (вж точка 5.1).</w:t>
      </w:r>
    </w:p>
    <w:p w14:paraId="4E341B8D" w14:textId="77777777" w:rsidR="000540E0" w:rsidRPr="000540E0" w:rsidRDefault="000540E0" w:rsidP="000540E0">
      <w:pPr>
        <w:spacing w:line="240" w:lineRule="auto"/>
        <w:rPr>
          <w:rFonts w:eastAsia="Times New Roman" w:cs="Arial"/>
          <w:color w:val="000000"/>
          <w:szCs w:val="20"/>
          <w:lang w:eastAsia="bg-BG"/>
        </w:rPr>
      </w:pPr>
    </w:p>
    <w:p w14:paraId="1F9C4D42" w14:textId="1CB45BD7"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lang w:eastAsia="bg-BG"/>
        </w:rPr>
        <w:t>Габапентин е показан за монотерапия за лечение на парциални пристъпи със или без вторична генерализация при възрастни и юноши на 12 и повече години.</w:t>
      </w:r>
    </w:p>
    <w:p w14:paraId="03D54CC2" w14:textId="77777777" w:rsidR="000540E0" w:rsidRPr="000540E0" w:rsidRDefault="000540E0" w:rsidP="000540E0">
      <w:pPr>
        <w:spacing w:line="240" w:lineRule="auto"/>
        <w:rPr>
          <w:rFonts w:eastAsia="Times New Roman" w:cs="Arial"/>
          <w:color w:val="000000"/>
          <w:szCs w:val="20"/>
          <w:u w:val="single"/>
          <w:lang w:eastAsia="bg-BG"/>
        </w:rPr>
      </w:pPr>
    </w:p>
    <w:p w14:paraId="4A4C95D9" w14:textId="4011BEE6"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u w:val="single"/>
          <w:lang w:eastAsia="bg-BG"/>
        </w:rPr>
        <w:t>Лечение на периферна невропатна болка</w:t>
      </w:r>
    </w:p>
    <w:p w14:paraId="5C27FFB3" w14:textId="77777777" w:rsidR="000540E0" w:rsidRPr="000540E0" w:rsidRDefault="000540E0" w:rsidP="000540E0">
      <w:pPr>
        <w:rPr>
          <w:rFonts w:eastAsia="Times New Roman" w:cs="Arial"/>
          <w:color w:val="000000"/>
          <w:szCs w:val="20"/>
          <w:lang w:eastAsia="bg-BG"/>
        </w:rPr>
      </w:pPr>
    </w:p>
    <w:p w14:paraId="04B2E99C" w14:textId="28EE61BB" w:rsidR="0091385D" w:rsidRPr="000540E0" w:rsidRDefault="000540E0" w:rsidP="000540E0">
      <w:pPr>
        <w:rPr>
          <w:rFonts w:cs="Arial"/>
          <w:sz w:val="24"/>
        </w:rPr>
      </w:pPr>
      <w:r w:rsidRPr="000540E0">
        <w:rPr>
          <w:rFonts w:eastAsia="Times New Roman" w:cs="Arial"/>
          <w:color w:val="000000"/>
          <w:szCs w:val="20"/>
          <w:lang w:eastAsia="bg-BG"/>
        </w:rPr>
        <w:t>Габапентин е показан за лечение на периферна невропатна болка, като болезнена диабетна невропатия и постхерпетична невралгия при възрастни.</w:t>
      </w:r>
    </w:p>
    <w:p w14:paraId="6DFA4B9D" w14:textId="77777777" w:rsidR="0091385D" w:rsidRPr="0091385D" w:rsidRDefault="0091385D" w:rsidP="0091385D"/>
    <w:p w14:paraId="30BE2C7B" w14:textId="3633C1E4" w:rsidR="008134C8" w:rsidRDefault="002C50EE" w:rsidP="004A448E">
      <w:pPr>
        <w:pStyle w:val="Heading2"/>
      </w:pPr>
      <w:r>
        <w:t>4.2. Дозировка и начин на приложение</w:t>
      </w:r>
    </w:p>
    <w:p w14:paraId="7AA22B68" w14:textId="3A681DFB" w:rsidR="0091385D" w:rsidRDefault="0091385D" w:rsidP="0091385D"/>
    <w:p w14:paraId="2B6C4538" w14:textId="77777777" w:rsidR="000540E0" w:rsidRPr="00072A35" w:rsidRDefault="000540E0" w:rsidP="00072A35">
      <w:pPr>
        <w:pStyle w:val="Heading3"/>
        <w:rPr>
          <w:rFonts w:eastAsia="Times New Roman"/>
          <w:sz w:val="28"/>
          <w:u w:val="single"/>
          <w:lang w:eastAsia="bg-BG"/>
        </w:rPr>
      </w:pPr>
      <w:r w:rsidRPr="00072A35">
        <w:rPr>
          <w:rFonts w:eastAsia="Times New Roman"/>
          <w:u w:val="single"/>
          <w:lang w:eastAsia="bg-BG"/>
        </w:rPr>
        <w:lastRenderedPageBreak/>
        <w:t>Дозировка</w:t>
      </w:r>
    </w:p>
    <w:p w14:paraId="01D8C7D1" w14:textId="77777777" w:rsidR="000540E0" w:rsidRPr="000540E0" w:rsidRDefault="000540E0" w:rsidP="000540E0">
      <w:pPr>
        <w:spacing w:line="240" w:lineRule="auto"/>
        <w:rPr>
          <w:rFonts w:eastAsia="Times New Roman" w:cs="Arial"/>
          <w:color w:val="000000"/>
          <w:szCs w:val="20"/>
          <w:lang w:eastAsia="bg-BG"/>
        </w:rPr>
      </w:pPr>
    </w:p>
    <w:p w14:paraId="73A834BB" w14:textId="57696872"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lang w:eastAsia="bg-BG"/>
        </w:rPr>
        <w:t>В Таблица 1 е описана схема на титриране за започване на терапията за всички показания, която се препоръчва при възрастни и юноши на възраст 12 и повече години.</w:t>
      </w:r>
    </w:p>
    <w:p w14:paraId="798FD5BF" w14:textId="77777777" w:rsidR="000540E0" w:rsidRPr="000540E0" w:rsidRDefault="000540E0" w:rsidP="000540E0">
      <w:pPr>
        <w:rPr>
          <w:rFonts w:eastAsia="Times New Roman" w:cs="Arial"/>
          <w:color w:val="000000"/>
          <w:szCs w:val="20"/>
          <w:lang w:eastAsia="bg-BG"/>
        </w:rPr>
      </w:pPr>
    </w:p>
    <w:p w14:paraId="475300EC" w14:textId="74764DB4" w:rsidR="0091385D" w:rsidRPr="000540E0" w:rsidRDefault="000540E0" w:rsidP="000540E0">
      <w:pPr>
        <w:rPr>
          <w:rFonts w:cs="Arial"/>
          <w:sz w:val="24"/>
        </w:rPr>
      </w:pPr>
      <w:r w:rsidRPr="000540E0">
        <w:rPr>
          <w:rFonts w:eastAsia="Times New Roman" w:cs="Arial"/>
          <w:color w:val="000000"/>
          <w:szCs w:val="20"/>
          <w:lang w:eastAsia="bg-BG"/>
        </w:rPr>
        <w:t>При деца на възраст под 12 години указанията за дозиране са представени в отделно подзаглавие по-долу в тази точка.</w:t>
      </w:r>
    </w:p>
    <w:p w14:paraId="6ACAF645" w14:textId="4BACC8D9" w:rsidR="0091385D" w:rsidRDefault="0091385D" w:rsidP="0091385D"/>
    <w:tbl>
      <w:tblPr>
        <w:tblStyle w:val="TableGrid"/>
        <w:tblW w:w="0" w:type="auto"/>
        <w:tblLook w:val="04A0" w:firstRow="1" w:lastRow="0" w:firstColumn="1" w:lastColumn="0" w:noHBand="0" w:noVBand="1"/>
      </w:tblPr>
      <w:tblGrid>
        <w:gridCol w:w="3116"/>
        <w:gridCol w:w="3117"/>
        <w:gridCol w:w="3117"/>
      </w:tblGrid>
      <w:tr w:rsidR="000540E0" w14:paraId="44642668" w14:textId="77777777" w:rsidTr="001D27B6">
        <w:tc>
          <w:tcPr>
            <w:tcW w:w="9500" w:type="dxa"/>
            <w:gridSpan w:val="3"/>
          </w:tcPr>
          <w:p w14:paraId="6E9E27A7" w14:textId="328CB2E2" w:rsidR="000540E0" w:rsidRPr="000540E0" w:rsidRDefault="000540E0" w:rsidP="000540E0">
            <w:r w:rsidRPr="000540E0">
              <w:rPr>
                <w:szCs w:val="20"/>
              </w:rPr>
              <w:t>Таблица 1</w:t>
            </w:r>
          </w:p>
        </w:tc>
      </w:tr>
      <w:tr w:rsidR="000540E0" w14:paraId="6A09A7B4" w14:textId="77777777" w:rsidTr="00E544AB">
        <w:tc>
          <w:tcPr>
            <w:tcW w:w="9500" w:type="dxa"/>
            <w:gridSpan w:val="3"/>
          </w:tcPr>
          <w:p w14:paraId="65D651B6" w14:textId="5AB74D8F" w:rsidR="000540E0" w:rsidRPr="000540E0" w:rsidRDefault="000540E0" w:rsidP="000540E0">
            <w:r w:rsidRPr="000540E0">
              <w:rPr>
                <w:szCs w:val="20"/>
              </w:rPr>
              <w:t>СХЕМА НА ДОЗИРАНЕ - НАЧАЛНО ТИТРИРАНЕ</w:t>
            </w:r>
          </w:p>
        </w:tc>
      </w:tr>
      <w:tr w:rsidR="000540E0" w14:paraId="59434C73" w14:textId="77777777" w:rsidTr="000540E0">
        <w:tc>
          <w:tcPr>
            <w:tcW w:w="3166" w:type="dxa"/>
          </w:tcPr>
          <w:p w14:paraId="0F739682" w14:textId="0F4A7E97" w:rsidR="000540E0" w:rsidRPr="000540E0" w:rsidRDefault="000540E0" w:rsidP="000540E0">
            <w:r w:rsidRPr="000540E0">
              <w:rPr>
                <w:szCs w:val="20"/>
              </w:rPr>
              <w:t>Ден 1</w:t>
            </w:r>
          </w:p>
        </w:tc>
        <w:tc>
          <w:tcPr>
            <w:tcW w:w="3167" w:type="dxa"/>
          </w:tcPr>
          <w:p w14:paraId="6061C534" w14:textId="37E72AF7" w:rsidR="000540E0" w:rsidRPr="000540E0" w:rsidRDefault="000540E0" w:rsidP="000540E0">
            <w:r w:rsidRPr="000540E0">
              <w:rPr>
                <w:szCs w:val="20"/>
              </w:rPr>
              <w:t>Ден 2</w:t>
            </w:r>
          </w:p>
        </w:tc>
        <w:tc>
          <w:tcPr>
            <w:tcW w:w="3167" w:type="dxa"/>
          </w:tcPr>
          <w:p w14:paraId="21D73CC6" w14:textId="3A6823D7" w:rsidR="000540E0" w:rsidRPr="000540E0" w:rsidRDefault="000540E0" w:rsidP="000540E0">
            <w:r w:rsidRPr="000540E0">
              <w:rPr>
                <w:szCs w:val="20"/>
              </w:rPr>
              <w:t>Ден 3</w:t>
            </w:r>
          </w:p>
        </w:tc>
      </w:tr>
      <w:tr w:rsidR="000540E0" w14:paraId="52B49855" w14:textId="77777777" w:rsidTr="000540E0">
        <w:tc>
          <w:tcPr>
            <w:tcW w:w="3166" w:type="dxa"/>
          </w:tcPr>
          <w:p w14:paraId="05D8AD6D" w14:textId="4833CE57" w:rsidR="000540E0" w:rsidRPr="000540E0" w:rsidRDefault="000540E0" w:rsidP="000540E0">
            <w:r w:rsidRPr="000540E0">
              <w:rPr>
                <w:szCs w:val="20"/>
              </w:rPr>
              <w:t xml:space="preserve">300 </w:t>
            </w:r>
            <w:r w:rsidRPr="000540E0">
              <w:rPr>
                <w:szCs w:val="20"/>
                <w:lang w:val="en-US"/>
              </w:rPr>
              <w:t xml:space="preserve">mg </w:t>
            </w:r>
            <w:r w:rsidRPr="000540E0">
              <w:rPr>
                <w:szCs w:val="20"/>
              </w:rPr>
              <w:t>веднъж дневно</w:t>
            </w:r>
          </w:p>
        </w:tc>
        <w:tc>
          <w:tcPr>
            <w:tcW w:w="3167" w:type="dxa"/>
          </w:tcPr>
          <w:p w14:paraId="6481D350" w14:textId="067FB447" w:rsidR="000540E0" w:rsidRPr="000540E0" w:rsidRDefault="000540E0" w:rsidP="000540E0">
            <w:r w:rsidRPr="000540E0">
              <w:rPr>
                <w:szCs w:val="20"/>
              </w:rPr>
              <w:t xml:space="preserve">300 </w:t>
            </w:r>
            <w:r w:rsidRPr="000540E0">
              <w:rPr>
                <w:szCs w:val="20"/>
                <w:lang w:val="en-US"/>
              </w:rPr>
              <w:t xml:space="preserve">mg </w:t>
            </w:r>
            <w:r w:rsidRPr="000540E0">
              <w:rPr>
                <w:szCs w:val="20"/>
              </w:rPr>
              <w:t>два пъти дневно</w:t>
            </w:r>
          </w:p>
        </w:tc>
        <w:tc>
          <w:tcPr>
            <w:tcW w:w="3167" w:type="dxa"/>
          </w:tcPr>
          <w:p w14:paraId="63947E0D" w14:textId="6C33C502" w:rsidR="000540E0" w:rsidRPr="000540E0" w:rsidRDefault="000540E0" w:rsidP="000540E0">
            <w:r w:rsidRPr="000540E0">
              <w:rPr>
                <w:szCs w:val="20"/>
              </w:rPr>
              <w:t xml:space="preserve">300 </w:t>
            </w:r>
            <w:r w:rsidRPr="000540E0">
              <w:rPr>
                <w:szCs w:val="20"/>
                <w:lang w:val="en-US"/>
              </w:rPr>
              <w:t xml:space="preserve">mg </w:t>
            </w:r>
            <w:r w:rsidRPr="000540E0">
              <w:rPr>
                <w:szCs w:val="20"/>
              </w:rPr>
              <w:t>три пъти дневно</w:t>
            </w:r>
          </w:p>
        </w:tc>
      </w:tr>
    </w:tbl>
    <w:p w14:paraId="3EA21A87" w14:textId="1E50C2D8" w:rsidR="000540E0" w:rsidRDefault="000540E0" w:rsidP="0091385D"/>
    <w:p w14:paraId="1B4FA5A6" w14:textId="5992883A" w:rsidR="000540E0" w:rsidRDefault="000540E0" w:rsidP="0091385D"/>
    <w:p w14:paraId="3FE4D224" w14:textId="77777777"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u w:val="single"/>
          <w:lang w:eastAsia="bg-BG"/>
        </w:rPr>
        <w:t>Спиране на лечението с габапентин</w:t>
      </w:r>
    </w:p>
    <w:p w14:paraId="0EA7F89C" w14:textId="77777777" w:rsidR="000540E0" w:rsidRPr="000540E0" w:rsidRDefault="000540E0" w:rsidP="000540E0">
      <w:pPr>
        <w:spacing w:line="240" w:lineRule="auto"/>
        <w:rPr>
          <w:rFonts w:eastAsia="Times New Roman" w:cs="Arial"/>
          <w:color w:val="000000"/>
          <w:szCs w:val="20"/>
          <w:lang w:eastAsia="bg-BG"/>
        </w:rPr>
      </w:pPr>
    </w:p>
    <w:p w14:paraId="485E797B" w14:textId="0F4CC180"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lang w:eastAsia="bg-BG"/>
        </w:rPr>
        <w:t>В съответствие с настоящата клинична практика, когато се налага прекратяване на терапията с габапентин, това трябва да се направи постепенно, за период най-малко 1 седмица, независимо от показанието.</w:t>
      </w:r>
    </w:p>
    <w:p w14:paraId="601F2874" w14:textId="77777777" w:rsidR="000540E0" w:rsidRPr="000540E0" w:rsidRDefault="000540E0" w:rsidP="000540E0">
      <w:pPr>
        <w:spacing w:line="240" w:lineRule="auto"/>
        <w:rPr>
          <w:rFonts w:eastAsia="Times New Roman" w:cs="Arial"/>
          <w:color w:val="000000"/>
          <w:szCs w:val="20"/>
          <w:u w:val="single"/>
          <w:lang w:eastAsia="bg-BG"/>
        </w:rPr>
      </w:pPr>
    </w:p>
    <w:p w14:paraId="6B674BAF" w14:textId="5CF9397C"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u w:val="single"/>
          <w:lang w:eastAsia="bg-BG"/>
        </w:rPr>
        <w:t>Епилепсия</w:t>
      </w:r>
    </w:p>
    <w:p w14:paraId="47EA8C6F" w14:textId="77777777" w:rsidR="000540E0" w:rsidRPr="000540E0" w:rsidRDefault="000540E0" w:rsidP="000540E0">
      <w:pPr>
        <w:spacing w:line="240" w:lineRule="auto"/>
        <w:rPr>
          <w:rFonts w:eastAsia="Times New Roman" w:cs="Arial"/>
          <w:color w:val="000000"/>
          <w:szCs w:val="20"/>
          <w:lang w:eastAsia="bg-BG"/>
        </w:rPr>
      </w:pPr>
    </w:p>
    <w:p w14:paraId="74CF56E8" w14:textId="265FE540"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lang w:eastAsia="bg-BG"/>
        </w:rPr>
        <w:t>По принцип епилепсията изисква дългосрочно лечение. Дозировката се определя от лекуващия лекар, в съответствие с индивидуалната поносимост и ефикасност.</w:t>
      </w:r>
    </w:p>
    <w:p w14:paraId="6B644187" w14:textId="77777777" w:rsidR="000540E0" w:rsidRPr="000540E0" w:rsidRDefault="000540E0" w:rsidP="000540E0">
      <w:pPr>
        <w:spacing w:line="240" w:lineRule="auto"/>
        <w:rPr>
          <w:rFonts w:eastAsia="Times New Roman" w:cs="Arial"/>
          <w:i/>
          <w:iCs/>
          <w:color w:val="000000"/>
          <w:szCs w:val="20"/>
          <w:lang w:eastAsia="bg-BG"/>
        </w:rPr>
      </w:pPr>
    </w:p>
    <w:p w14:paraId="5145F67F" w14:textId="0C1A6368" w:rsidR="000540E0" w:rsidRPr="000540E0" w:rsidRDefault="000540E0" w:rsidP="000540E0">
      <w:pPr>
        <w:spacing w:line="240" w:lineRule="auto"/>
        <w:rPr>
          <w:rFonts w:eastAsia="Times New Roman" w:cs="Arial"/>
          <w:sz w:val="28"/>
          <w:szCs w:val="24"/>
          <w:lang w:eastAsia="bg-BG"/>
        </w:rPr>
      </w:pPr>
      <w:r w:rsidRPr="000540E0">
        <w:rPr>
          <w:rFonts w:eastAsia="Times New Roman" w:cs="Arial"/>
          <w:i/>
          <w:iCs/>
          <w:color w:val="000000"/>
          <w:szCs w:val="20"/>
          <w:lang w:eastAsia="bg-BG"/>
        </w:rPr>
        <w:t>Възрастни и юноши</w:t>
      </w:r>
    </w:p>
    <w:p w14:paraId="38E6C2E9" w14:textId="77777777" w:rsidR="000540E0" w:rsidRPr="000540E0" w:rsidRDefault="000540E0" w:rsidP="000540E0">
      <w:pPr>
        <w:spacing w:line="240" w:lineRule="auto"/>
        <w:rPr>
          <w:rFonts w:eastAsia="Times New Roman" w:cs="Arial"/>
          <w:color w:val="000000"/>
          <w:szCs w:val="20"/>
          <w:lang w:eastAsia="bg-BG"/>
        </w:rPr>
      </w:pPr>
    </w:p>
    <w:p w14:paraId="040E357D" w14:textId="0032D374"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lang w:eastAsia="bg-BG"/>
        </w:rPr>
        <w:t xml:space="preserve">В клинични проучвания, ефективният дозов интервал е бил 900 </w:t>
      </w:r>
      <w:r w:rsidRPr="000540E0">
        <w:rPr>
          <w:rFonts w:eastAsia="Times New Roman" w:cs="Arial"/>
          <w:color w:val="000000"/>
          <w:szCs w:val="20"/>
          <w:lang w:val="en-US"/>
        </w:rPr>
        <w:t xml:space="preserve">mg </w:t>
      </w:r>
      <w:r w:rsidRPr="000540E0">
        <w:rPr>
          <w:rFonts w:eastAsia="Times New Roman" w:cs="Arial"/>
          <w:color w:val="000000"/>
          <w:szCs w:val="20"/>
          <w:lang w:eastAsia="bg-BG"/>
        </w:rPr>
        <w:t xml:space="preserve">дневно до 3600 </w:t>
      </w:r>
      <w:r w:rsidRPr="000540E0">
        <w:rPr>
          <w:rFonts w:eastAsia="Times New Roman" w:cs="Arial"/>
          <w:color w:val="000000"/>
          <w:szCs w:val="20"/>
          <w:lang w:val="en-US"/>
        </w:rPr>
        <w:t xml:space="preserve">mg </w:t>
      </w:r>
      <w:r w:rsidRPr="000540E0">
        <w:rPr>
          <w:rFonts w:eastAsia="Times New Roman" w:cs="Arial"/>
          <w:color w:val="000000"/>
          <w:szCs w:val="20"/>
          <w:lang w:eastAsia="bg-BG"/>
        </w:rPr>
        <w:t xml:space="preserve">дневно. Терапията може да бъде започната с титриране на дозата, както е описано в Таблица 1, или чрез прилагане на 300 </w:t>
      </w:r>
      <w:r w:rsidRPr="000540E0">
        <w:rPr>
          <w:rFonts w:eastAsia="Times New Roman" w:cs="Arial"/>
          <w:color w:val="000000"/>
          <w:szCs w:val="20"/>
          <w:lang w:val="en-US"/>
        </w:rPr>
        <w:t xml:space="preserve">mg </w:t>
      </w:r>
      <w:r w:rsidRPr="000540E0">
        <w:rPr>
          <w:rFonts w:eastAsia="Times New Roman" w:cs="Arial"/>
          <w:color w:val="000000"/>
          <w:szCs w:val="20"/>
          <w:lang w:eastAsia="bg-BG"/>
        </w:rPr>
        <w:t xml:space="preserve">три пъти на ден (ТПД) в Ден 1. След това, въз основа на индивидуалния отговор и поносимостта на пациента дневната доза може да бъде допълнително увеличавана на стъпки по 300 </w:t>
      </w:r>
      <w:r w:rsidRPr="000540E0">
        <w:rPr>
          <w:rFonts w:eastAsia="Times New Roman" w:cs="Arial"/>
          <w:color w:val="000000"/>
          <w:szCs w:val="20"/>
          <w:lang w:val="en-US"/>
        </w:rPr>
        <w:t>mg</w:t>
      </w:r>
      <w:r w:rsidRPr="000540E0">
        <w:rPr>
          <w:rFonts w:eastAsia="Times New Roman" w:cs="Arial"/>
          <w:color w:val="000000"/>
          <w:szCs w:val="20"/>
          <w:lang w:eastAsia="bg-BG"/>
        </w:rPr>
        <w:t xml:space="preserve">/ден през 2-3 дни до максимална доза от 3600 </w:t>
      </w:r>
      <w:r w:rsidRPr="000540E0">
        <w:rPr>
          <w:rFonts w:eastAsia="Times New Roman" w:cs="Arial"/>
          <w:color w:val="000000"/>
          <w:szCs w:val="20"/>
          <w:lang w:val="en-US"/>
        </w:rPr>
        <w:t>mg</w:t>
      </w:r>
      <w:r w:rsidRPr="000540E0">
        <w:rPr>
          <w:rFonts w:eastAsia="Times New Roman" w:cs="Arial"/>
          <w:color w:val="000000"/>
          <w:szCs w:val="20"/>
          <w:lang w:eastAsia="bg-BG"/>
        </w:rPr>
        <w:t xml:space="preserve">/ден. При индивидуални пациенти може да е подходящо по-бавно титриране на дозата на габапентин. Минималното време за достигане на доза от 1800 </w:t>
      </w:r>
      <w:r w:rsidRPr="000540E0">
        <w:rPr>
          <w:rFonts w:eastAsia="Times New Roman" w:cs="Arial"/>
          <w:color w:val="000000"/>
          <w:szCs w:val="20"/>
          <w:lang w:val="en-US"/>
        </w:rPr>
        <w:t>mg</w:t>
      </w:r>
      <w:r w:rsidRPr="000540E0">
        <w:rPr>
          <w:rFonts w:eastAsia="Times New Roman" w:cs="Arial"/>
          <w:color w:val="000000"/>
          <w:szCs w:val="20"/>
          <w:lang w:eastAsia="bg-BG"/>
        </w:rPr>
        <w:t xml:space="preserve">/ден е една седмица, за достигане на 2400 </w:t>
      </w:r>
      <w:r w:rsidRPr="000540E0">
        <w:rPr>
          <w:rFonts w:eastAsia="Times New Roman" w:cs="Arial"/>
          <w:color w:val="000000"/>
          <w:szCs w:val="20"/>
          <w:lang w:val="en-US"/>
        </w:rPr>
        <w:t>mg</w:t>
      </w:r>
      <w:r w:rsidRPr="000540E0">
        <w:rPr>
          <w:rFonts w:eastAsia="Times New Roman" w:cs="Arial"/>
          <w:color w:val="000000"/>
          <w:szCs w:val="20"/>
          <w:lang w:eastAsia="bg-BG"/>
        </w:rPr>
        <w:t xml:space="preserve">/ден е общо две седмици, а за достигане на 3600 </w:t>
      </w:r>
      <w:r w:rsidRPr="000540E0">
        <w:rPr>
          <w:rFonts w:eastAsia="Times New Roman" w:cs="Arial"/>
          <w:color w:val="000000"/>
          <w:szCs w:val="20"/>
          <w:lang w:val="en-US"/>
        </w:rPr>
        <w:t>mg</w:t>
      </w:r>
      <w:r w:rsidRPr="000540E0">
        <w:rPr>
          <w:rFonts w:eastAsia="Times New Roman" w:cs="Arial"/>
          <w:color w:val="000000"/>
          <w:szCs w:val="20"/>
          <w:lang w:eastAsia="bg-BG"/>
        </w:rPr>
        <w:t xml:space="preserve">/ден е общо три седмици. Дози до 4800 </w:t>
      </w:r>
      <w:r w:rsidRPr="000540E0">
        <w:rPr>
          <w:rFonts w:eastAsia="Times New Roman" w:cs="Arial"/>
          <w:color w:val="000000"/>
          <w:szCs w:val="20"/>
          <w:lang w:val="en-US"/>
        </w:rPr>
        <w:t xml:space="preserve">mg/ </w:t>
      </w:r>
      <w:r w:rsidRPr="000540E0">
        <w:rPr>
          <w:rFonts w:eastAsia="Times New Roman" w:cs="Arial"/>
          <w:color w:val="000000"/>
          <w:szCs w:val="20"/>
          <w:lang w:eastAsia="bg-BG"/>
        </w:rPr>
        <w:t>ден са се понасяли добре по време на дългосрочни отворени клинични проучвания. Общата дневна доза трябва да бъде разделена на три равни дози, като максималният интервал между дозите не трябва да надвишава 12 часа, за да се предотврати появата на конвулсии.</w:t>
      </w:r>
    </w:p>
    <w:p w14:paraId="5B3C1821" w14:textId="77777777" w:rsidR="000540E0" w:rsidRPr="000540E0" w:rsidRDefault="000540E0" w:rsidP="000540E0">
      <w:pPr>
        <w:spacing w:line="240" w:lineRule="auto"/>
        <w:rPr>
          <w:rFonts w:eastAsia="Times New Roman" w:cs="Arial"/>
          <w:i/>
          <w:iCs/>
          <w:color w:val="000000"/>
          <w:szCs w:val="20"/>
          <w:lang w:eastAsia="bg-BG"/>
        </w:rPr>
      </w:pPr>
    </w:p>
    <w:p w14:paraId="3026BD99" w14:textId="07D04036" w:rsidR="000540E0" w:rsidRPr="000540E0" w:rsidRDefault="000540E0" w:rsidP="000540E0">
      <w:pPr>
        <w:spacing w:line="240" w:lineRule="auto"/>
        <w:rPr>
          <w:rFonts w:eastAsia="Times New Roman" w:cs="Arial"/>
          <w:sz w:val="28"/>
          <w:szCs w:val="24"/>
          <w:lang w:eastAsia="bg-BG"/>
        </w:rPr>
      </w:pPr>
      <w:r w:rsidRPr="000540E0">
        <w:rPr>
          <w:rFonts w:eastAsia="Times New Roman" w:cs="Arial"/>
          <w:i/>
          <w:iCs/>
          <w:color w:val="000000"/>
          <w:szCs w:val="20"/>
          <w:lang w:eastAsia="bg-BG"/>
        </w:rPr>
        <w:t>Деца на възраст 6 и повече години</w:t>
      </w:r>
    </w:p>
    <w:p w14:paraId="7EEDF3B0" w14:textId="77777777" w:rsidR="000540E0" w:rsidRPr="000540E0" w:rsidRDefault="000540E0" w:rsidP="000540E0">
      <w:pPr>
        <w:spacing w:line="240" w:lineRule="auto"/>
        <w:rPr>
          <w:rFonts w:eastAsia="Times New Roman" w:cs="Arial"/>
          <w:color w:val="000000"/>
          <w:szCs w:val="20"/>
          <w:lang w:eastAsia="bg-BG"/>
        </w:rPr>
      </w:pPr>
    </w:p>
    <w:p w14:paraId="59447178" w14:textId="2B7692E4"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lang w:eastAsia="bg-BG"/>
        </w:rPr>
        <w:t xml:space="preserve">Началната доза трябва да варира от 10 до 15 </w:t>
      </w:r>
      <w:r w:rsidRPr="000540E0">
        <w:rPr>
          <w:rFonts w:eastAsia="Times New Roman" w:cs="Arial"/>
          <w:color w:val="000000"/>
          <w:szCs w:val="20"/>
          <w:lang w:val="en-US"/>
        </w:rPr>
        <w:t>mg/kg</w:t>
      </w:r>
      <w:r w:rsidRPr="000540E0">
        <w:rPr>
          <w:rFonts w:eastAsia="Times New Roman" w:cs="Arial"/>
          <w:color w:val="000000"/>
          <w:szCs w:val="20"/>
          <w:lang w:eastAsia="bg-BG"/>
        </w:rPr>
        <w:t xml:space="preserve">/ден и ефективната доза се достига чрез възходящо титриране за период от приблизително 3 дни. Ефективната доза на габапентин при деца на 6 и повече години е 25 до 35 </w:t>
      </w:r>
      <w:r w:rsidRPr="000540E0">
        <w:rPr>
          <w:rFonts w:eastAsia="Times New Roman" w:cs="Arial"/>
          <w:color w:val="000000"/>
          <w:szCs w:val="20"/>
          <w:lang w:val="en-US"/>
        </w:rPr>
        <w:t>mg/kg</w:t>
      </w:r>
      <w:r w:rsidRPr="000540E0">
        <w:rPr>
          <w:rFonts w:eastAsia="Times New Roman" w:cs="Arial"/>
          <w:color w:val="000000"/>
          <w:szCs w:val="20"/>
          <w:lang w:eastAsia="bg-BG"/>
        </w:rPr>
        <w:t xml:space="preserve">/ден. Дози до 50 </w:t>
      </w:r>
      <w:r w:rsidRPr="000540E0">
        <w:rPr>
          <w:rFonts w:eastAsia="Times New Roman" w:cs="Arial"/>
          <w:color w:val="000000"/>
          <w:szCs w:val="20"/>
          <w:lang w:val="en-US"/>
        </w:rPr>
        <w:t>mg/kg</w:t>
      </w:r>
      <w:r w:rsidRPr="000540E0">
        <w:rPr>
          <w:rFonts w:eastAsia="Times New Roman" w:cs="Arial"/>
          <w:color w:val="000000"/>
          <w:szCs w:val="20"/>
          <w:lang w:eastAsia="bg-BG"/>
        </w:rPr>
        <w:t>/ден са понасяни добре в дългосрочно клинично проучване. Общата дневна доза трябва да бъде разделена в три единични дози, максималният интервал от време между дозите не трябва да надвишава 12 часа.</w:t>
      </w:r>
    </w:p>
    <w:p w14:paraId="752267A5" w14:textId="77777777" w:rsidR="000540E0" w:rsidRPr="000540E0" w:rsidRDefault="000540E0" w:rsidP="000540E0">
      <w:pPr>
        <w:spacing w:line="240" w:lineRule="auto"/>
        <w:rPr>
          <w:rFonts w:eastAsia="Times New Roman" w:cs="Arial"/>
          <w:color w:val="000000"/>
          <w:szCs w:val="20"/>
          <w:lang w:eastAsia="bg-BG"/>
        </w:rPr>
      </w:pPr>
    </w:p>
    <w:p w14:paraId="31C1EF19" w14:textId="09AAB65B"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lang w:eastAsia="bg-BG"/>
        </w:rPr>
        <w:lastRenderedPageBreak/>
        <w:t>Не е необходимо мониториране на плазмените концентрации на габапентин, за да се оптимизира терапията с габапентин. Освен това габапентин може да се прилага в комбинация с други антиепилептични лекарствени продукти, без опасения относно промяна на плазмените концентрации на габапентин или на серумните концентрации на другите антиепилептични лекарствени продукти.</w:t>
      </w:r>
    </w:p>
    <w:p w14:paraId="45D30C65" w14:textId="77777777" w:rsidR="000540E0" w:rsidRPr="000540E0" w:rsidRDefault="000540E0" w:rsidP="000540E0">
      <w:pPr>
        <w:spacing w:line="240" w:lineRule="auto"/>
        <w:rPr>
          <w:rFonts w:eastAsia="Times New Roman" w:cs="Arial"/>
          <w:color w:val="000000"/>
          <w:szCs w:val="20"/>
          <w:u w:val="single"/>
          <w:lang w:eastAsia="bg-BG"/>
        </w:rPr>
      </w:pPr>
    </w:p>
    <w:p w14:paraId="77FE5823" w14:textId="43EF13AF"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u w:val="single"/>
          <w:lang w:eastAsia="bg-BG"/>
        </w:rPr>
        <w:t>Периферна невропатна болка</w:t>
      </w:r>
    </w:p>
    <w:p w14:paraId="3474B1DC" w14:textId="77777777" w:rsidR="000540E0" w:rsidRPr="000540E0" w:rsidRDefault="000540E0" w:rsidP="000540E0">
      <w:pPr>
        <w:spacing w:line="240" w:lineRule="auto"/>
        <w:rPr>
          <w:rFonts w:eastAsia="Times New Roman" w:cs="Arial"/>
          <w:i/>
          <w:iCs/>
          <w:color w:val="000000"/>
          <w:szCs w:val="20"/>
          <w:lang w:eastAsia="bg-BG"/>
        </w:rPr>
      </w:pPr>
    </w:p>
    <w:p w14:paraId="7388308C" w14:textId="4C8F6724" w:rsidR="000540E0" w:rsidRPr="000540E0" w:rsidRDefault="000540E0" w:rsidP="000540E0">
      <w:pPr>
        <w:spacing w:line="240" w:lineRule="auto"/>
        <w:rPr>
          <w:rFonts w:eastAsia="Times New Roman" w:cs="Arial"/>
          <w:sz w:val="28"/>
          <w:szCs w:val="24"/>
          <w:lang w:eastAsia="bg-BG"/>
        </w:rPr>
      </w:pPr>
      <w:r w:rsidRPr="000540E0">
        <w:rPr>
          <w:rFonts w:eastAsia="Times New Roman" w:cs="Arial"/>
          <w:i/>
          <w:iCs/>
          <w:color w:val="000000"/>
          <w:szCs w:val="20"/>
          <w:lang w:eastAsia="bg-BG"/>
        </w:rPr>
        <w:t>Възрастни</w:t>
      </w:r>
    </w:p>
    <w:p w14:paraId="2D5D4DCC" w14:textId="77777777" w:rsidR="000540E0" w:rsidRPr="000540E0" w:rsidRDefault="000540E0" w:rsidP="000540E0">
      <w:pPr>
        <w:rPr>
          <w:rFonts w:eastAsia="Times New Roman" w:cs="Arial"/>
          <w:color w:val="000000"/>
          <w:szCs w:val="20"/>
          <w:lang w:eastAsia="bg-BG"/>
        </w:rPr>
      </w:pPr>
    </w:p>
    <w:p w14:paraId="148DCA4D" w14:textId="77777777" w:rsidR="000540E0" w:rsidRPr="000540E0" w:rsidRDefault="000540E0" w:rsidP="000540E0">
      <w:pPr>
        <w:rPr>
          <w:rFonts w:eastAsia="Times New Roman" w:cs="Arial"/>
          <w:sz w:val="28"/>
          <w:szCs w:val="24"/>
          <w:lang w:eastAsia="bg-BG"/>
        </w:rPr>
      </w:pPr>
      <w:r w:rsidRPr="000540E0">
        <w:rPr>
          <w:rFonts w:eastAsia="Times New Roman" w:cs="Arial"/>
          <w:color w:val="000000"/>
          <w:szCs w:val="20"/>
          <w:lang w:eastAsia="bg-BG"/>
        </w:rPr>
        <w:t xml:space="preserve">Терапията може да започне с титриране на дозата, както е описано в Таблица 1. Друга възможност е началната доза да бъде 900 </w:t>
      </w:r>
      <w:r w:rsidRPr="000540E0">
        <w:rPr>
          <w:rFonts w:eastAsia="Times New Roman" w:cs="Arial"/>
          <w:color w:val="000000"/>
          <w:szCs w:val="20"/>
          <w:lang w:val="en-US"/>
        </w:rPr>
        <w:t>mg</w:t>
      </w:r>
      <w:r w:rsidRPr="000540E0">
        <w:rPr>
          <w:rFonts w:eastAsia="Times New Roman" w:cs="Arial"/>
          <w:color w:val="000000"/>
          <w:szCs w:val="20"/>
          <w:lang w:eastAsia="bg-BG"/>
        </w:rPr>
        <w:t xml:space="preserve">/ден, прилагана разделена на три равни дози. След това въз основа на индивидуалния отговор и поносимостта на пациента дозата може да бъде допълнително увеличавана на стъпки от 300 </w:t>
      </w:r>
      <w:r w:rsidRPr="000540E0">
        <w:rPr>
          <w:rFonts w:eastAsia="Times New Roman" w:cs="Arial"/>
          <w:color w:val="000000"/>
          <w:szCs w:val="20"/>
          <w:lang w:val="en-US"/>
        </w:rPr>
        <w:t>mg</w:t>
      </w:r>
      <w:r w:rsidRPr="000540E0">
        <w:rPr>
          <w:rFonts w:eastAsia="Times New Roman" w:cs="Arial"/>
          <w:color w:val="000000"/>
          <w:szCs w:val="20"/>
          <w:lang w:eastAsia="bg-BG"/>
        </w:rPr>
        <w:t xml:space="preserve">/ден през 2-3 дни до максимална доза от 3600 </w:t>
      </w:r>
      <w:r w:rsidRPr="000540E0">
        <w:rPr>
          <w:rFonts w:eastAsia="Times New Roman" w:cs="Arial"/>
          <w:color w:val="000000"/>
          <w:szCs w:val="20"/>
          <w:lang w:val="en-US"/>
        </w:rPr>
        <w:t>mg</w:t>
      </w:r>
      <w:r w:rsidRPr="000540E0">
        <w:rPr>
          <w:rFonts w:eastAsia="Times New Roman" w:cs="Arial"/>
          <w:color w:val="000000"/>
          <w:szCs w:val="20"/>
          <w:lang w:eastAsia="bg-BG"/>
        </w:rPr>
        <w:t>/ден. При индивидуални пациенти може</w:t>
      </w:r>
      <w:r>
        <w:rPr>
          <w:rFonts w:eastAsia="Times New Roman" w:cs="Arial"/>
          <w:color w:val="000000"/>
          <w:szCs w:val="20"/>
          <w:lang w:val="en-US" w:eastAsia="bg-BG"/>
        </w:rPr>
        <w:t xml:space="preserve"> </w:t>
      </w:r>
      <w:r w:rsidRPr="000540E0">
        <w:rPr>
          <w:rFonts w:eastAsia="Times New Roman" w:cs="Arial"/>
          <w:color w:val="000000"/>
          <w:szCs w:val="20"/>
          <w:lang w:eastAsia="bg-BG"/>
        </w:rPr>
        <w:t xml:space="preserve">да е подходящо по-бавно титриране на дозата на габапентин. Минималното време за достигане на доза от 1800 </w:t>
      </w:r>
      <w:r w:rsidRPr="000540E0">
        <w:rPr>
          <w:rFonts w:eastAsia="Times New Roman" w:cs="Arial"/>
          <w:color w:val="000000"/>
          <w:szCs w:val="20"/>
          <w:lang w:val="en-US"/>
        </w:rPr>
        <w:t>mg</w:t>
      </w:r>
      <w:r w:rsidRPr="000540E0">
        <w:rPr>
          <w:rFonts w:eastAsia="Times New Roman" w:cs="Arial"/>
          <w:color w:val="000000"/>
          <w:szCs w:val="20"/>
          <w:lang w:eastAsia="bg-BG"/>
        </w:rPr>
        <w:t xml:space="preserve">/ден е една седмица, за достигане на 2400 </w:t>
      </w:r>
      <w:r w:rsidRPr="000540E0">
        <w:rPr>
          <w:rFonts w:eastAsia="Times New Roman" w:cs="Arial"/>
          <w:color w:val="000000"/>
          <w:szCs w:val="20"/>
          <w:lang w:val="en-US"/>
        </w:rPr>
        <w:t>mg</w:t>
      </w:r>
      <w:r w:rsidRPr="000540E0">
        <w:rPr>
          <w:rFonts w:eastAsia="Times New Roman" w:cs="Arial"/>
          <w:color w:val="000000"/>
          <w:szCs w:val="20"/>
          <w:lang w:eastAsia="bg-BG"/>
        </w:rPr>
        <w:t xml:space="preserve">/ден е общо 2 седмици, а за достигане на 3600 </w:t>
      </w:r>
      <w:r w:rsidRPr="000540E0">
        <w:rPr>
          <w:rFonts w:eastAsia="Times New Roman" w:cs="Arial"/>
          <w:color w:val="000000"/>
          <w:szCs w:val="20"/>
          <w:lang w:val="en-US"/>
        </w:rPr>
        <w:t>mg</w:t>
      </w:r>
      <w:r w:rsidRPr="000540E0">
        <w:rPr>
          <w:rFonts w:eastAsia="Times New Roman" w:cs="Arial"/>
          <w:color w:val="000000"/>
          <w:szCs w:val="20"/>
          <w:lang w:eastAsia="bg-BG"/>
        </w:rPr>
        <w:t xml:space="preserve">/ден е общо </w:t>
      </w:r>
      <w:r w:rsidRPr="000540E0">
        <w:rPr>
          <w:rFonts w:eastAsia="Times New Roman" w:cs="Arial"/>
          <w:i/>
          <w:iCs/>
          <w:color w:val="000000"/>
          <w:szCs w:val="20"/>
          <w:lang w:eastAsia="bg-BG"/>
        </w:rPr>
        <w:t>3</w:t>
      </w:r>
      <w:r w:rsidRPr="000540E0">
        <w:rPr>
          <w:rFonts w:eastAsia="Times New Roman" w:cs="Arial"/>
          <w:color w:val="000000"/>
          <w:szCs w:val="20"/>
          <w:lang w:eastAsia="bg-BG"/>
        </w:rPr>
        <w:t xml:space="preserve"> седмици.</w:t>
      </w:r>
    </w:p>
    <w:p w14:paraId="4219D18C" w14:textId="77777777" w:rsidR="000540E0" w:rsidRPr="000540E0" w:rsidRDefault="000540E0" w:rsidP="000540E0">
      <w:pPr>
        <w:spacing w:line="240" w:lineRule="auto"/>
        <w:rPr>
          <w:rFonts w:eastAsia="Times New Roman" w:cs="Arial"/>
          <w:color w:val="000000"/>
          <w:szCs w:val="20"/>
          <w:lang w:eastAsia="bg-BG"/>
        </w:rPr>
      </w:pPr>
    </w:p>
    <w:p w14:paraId="1E96A4D8" w14:textId="156E4355"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lang w:eastAsia="bg-BG"/>
        </w:rPr>
        <w:t>Ефикасността и безопасността при лечение на периферна невропатна болка, като болка при диабетна невропатия и постхерпетична невралгия, не са изследвани в условията на клинични проучвания с продължителност на лечението над 5 месеца. Ако при пациента се налага приложение за срок над 5 месеца за лечение на периферна невропатна болка, лекуващият лекар трябва да направи оценка на клиничното състояние на пациента и да определи дали е необходима допълнителна терапия.</w:t>
      </w:r>
    </w:p>
    <w:p w14:paraId="5D8D8374" w14:textId="77777777" w:rsidR="000540E0" w:rsidRPr="000540E0" w:rsidRDefault="000540E0" w:rsidP="000540E0">
      <w:pPr>
        <w:spacing w:line="240" w:lineRule="auto"/>
        <w:rPr>
          <w:rFonts w:eastAsia="Times New Roman" w:cs="Arial"/>
          <w:color w:val="000000"/>
          <w:szCs w:val="20"/>
          <w:u w:val="single"/>
          <w:lang w:eastAsia="bg-BG"/>
        </w:rPr>
      </w:pPr>
    </w:p>
    <w:p w14:paraId="143EC724" w14:textId="7388AE24"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u w:val="single"/>
          <w:lang w:eastAsia="bg-BG"/>
        </w:rPr>
        <w:t>Инструкции за всички области на терапевтичните показания</w:t>
      </w:r>
    </w:p>
    <w:p w14:paraId="1CEAF70C" w14:textId="77777777" w:rsidR="000540E0" w:rsidRPr="000540E0" w:rsidRDefault="000540E0" w:rsidP="000540E0">
      <w:pPr>
        <w:spacing w:line="240" w:lineRule="auto"/>
        <w:rPr>
          <w:rFonts w:eastAsia="Times New Roman" w:cs="Arial"/>
          <w:color w:val="000000"/>
          <w:szCs w:val="20"/>
          <w:lang w:eastAsia="bg-BG"/>
        </w:rPr>
      </w:pPr>
    </w:p>
    <w:p w14:paraId="476A6D4B" w14:textId="18F8D408"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lang w:eastAsia="bg-BG"/>
        </w:rPr>
        <w:t>При пациенти в лошо общо здравословно състояние, т.е. ниско телесно тегло, след органна трансплантация и т.н., дозата трябва да се титрира по-бавно, като се използва лекарствената форма с по-малка дозировка или по-дълги интервали между повишаванията на дозировката.</w:t>
      </w:r>
    </w:p>
    <w:p w14:paraId="0EEAD558" w14:textId="77777777" w:rsidR="000540E0" w:rsidRPr="000540E0" w:rsidRDefault="000540E0" w:rsidP="000540E0">
      <w:pPr>
        <w:spacing w:line="240" w:lineRule="auto"/>
        <w:rPr>
          <w:rFonts w:eastAsia="Times New Roman" w:cs="Arial"/>
          <w:color w:val="000000"/>
          <w:szCs w:val="20"/>
          <w:u w:val="single"/>
          <w:lang w:eastAsia="bg-BG"/>
        </w:rPr>
      </w:pPr>
    </w:p>
    <w:p w14:paraId="58EFBF72" w14:textId="7D144D6A"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u w:val="single"/>
          <w:lang w:eastAsia="bg-BG"/>
        </w:rPr>
        <w:t>Пациенти в старческа възраст (над 65 години)</w:t>
      </w:r>
    </w:p>
    <w:p w14:paraId="4DDF03CF" w14:textId="77777777" w:rsidR="000540E0" w:rsidRPr="000540E0" w:rsidRDefault="000540E0" w:rsidP="000540E0">
      <w:pPr>
        <w:spacing w:line="240" w:lineRule="auto"/>
        <w:rPr>
          <w:rFonts w:eastAsia="Times New Roman" w:cs="Arial"/>
          <w:color w:val="000000"/>
          <w:szCs w:val="20"/>
          <w:lang w:eastAsia="bg-BG"/>
        </w:rPr>
      </w:pPr>
    </w:p>
    <w:p w14:paraId="00905328" w14:textId="620751EE"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lang w:eastAsia="bg-BG"/>
        </w:rPr>
        <w:t>При пациенти в старческа възраст може да се наложи корекция на дозата поради намаляване на бъбречната функция с възрастта (вж. Таблица 2). При пациентите в старческа възраст е възможно по-често да се появяват сомнолентност, периферен оток и астения.</w:t>
      </w:r>
    </w:p>
    <w:p w14:paraId="01690654" w14:textId="77777777" w:rsidR="000540E0" w:rsidRPr="000540E0" w:rsidRDefault="000540E0" w:rsidP="000540E0">
      <w:pPr>
        <w:spacing w:line="240" w:lineRule="auto"/>
        <w:rPr>
          <w:rFonts w:eastAsia="Times New Roman" w:cs="Arial"/>
          <w:color w:val="000000"/>
          <w:szCs w:val="20"/>
          <w:u w:val="single"/>
          <w:lang w:eastAsia="bg-BG"/>
        </w:rPr>
      </w:pPr>
    </w:p>
    <w:p w14:paraId="3BD2D7BC" w14:textId="7FA1E8B3"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u w:val="single"/>
          <w:lang w:eastAsia="bg-BG"/>
        </w:rPr>
        <w:t>Пациенти с бъбречно увреждане</w:t>
      </w:r>
    </w:p>
    <w:p w14:paraId="22AB159A" w14:textId="17F67EAF"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lang w:eastAsia="bg-BG"/>
        </w:rPr>
        <w:t xml:space="preserve">Корекция на дозата се препоръчва при пациенти с компрометирана бъбречна функция, както е описано в Таблица 2 и /или при пациенти на хемодиализа. Габапентин 100 </w:t>
      </w:r>
      <w:r w:rsidRPr="000540E0">
        <w:rPr>
          <w:rFonts w:eastAsia="Times New Roman" w:cs="Arial"/>
          <w:color w:val="000000"/>
          <w:szCs w:val="20"/>
          <w:lang w:val="en-US"/>
        </w:rPr>
        <w:t xml:space="preserve">mg </w:t>
      </w:r>
      <w:r w:rsidRPr="000540E0">
        <w:rPr>
          <w:rFonts w:eastAsia="Times New Roman" w:cs="Arial"/>
          <w:color w:val="000000"/>
          <w:szCs w:val="20"/>
          <w:lang w:eastAsia="bg-BG"/>
        </w:rPr>
        <w:t>капсули може да се използва за спазване на препоръките относно дозата при пациенти с бъбречна недостатъчност.</w:t>
      </w:r>
    </w:p>
    <w:p w14:paraId="108A81E2" w14:textId="77777777" w:rsidR="000540E0" w:rsidRPr="000540E0" w:rsidRDefault="000540E0" w:rsidP="000540E0">
      <w:pPr>
        <w:spacing w:line="240" w:lineRule="auto"/>
        <w:rPr>
          <w:rFonts w:eastAsia="Times New Roman" w:cs="Arial"/>
          <w:color w:val="000000"/>
          <w:szCs w:val="20"/>
          <w:lang w:eastAsia="bg-BG"/>
        </w:rPr>
      </w:pPr>
    </w:p>
    <w:p w14:paraId="18686CC5" w14:textId="6666CB1A"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lang w:eastAsia="bg-BG"/>
        </w:rPr>
        <w:t>Таблица 2</w:t>
      </w:r>
    </w:p>
    <w:p w14:paraId="6580F861" w14:textId="79218167" w:rsidR="000540E0" w:rsidRPr="000540E0" w:rsidRDefault="000540E0" w:rsidP="000540E0">
      <w:pPr>
        <w:rPr>
          <w:rFonts w:cs="Arial"/>
          <w:sz w:val="28"/>
          <w:lang w:val="en-US"/>
        </w:rPr>
      </w:pPr>
      <w:r w:rsidRPr="000540E0">
        <w:rPr>
          <w:rFonts w:eastAsia="Times New Roman" w:cs="Arial"/>
          <w:color w:val="000000"/>
          <w:szCs w:val="20"/>
          <w:lang w:eastAsia="bg-BG"/>
        </w:rPr>
        <w:t>ДОЗИРАНЕ НА ГАБАПЕНТИН ПРИ ВЪЗРАСТНИ В ЗАВИСИМОСТ ОТ БЪБРЕЧНАТА ФУНКЦИЯ</w:t>
      </w:r>
    </w:p>
    <w:p w14:paraId="1F3062F3" w14:textId="48FBE698" w:rsidR="000540E0" w:rsidRDefault="000540E0" w:rsidP="0091385D"/>
    <w:tbl>
      <w:tblPr>
        <w:tblStyle w:val="TableGrid"/>
        <w:tblW w:w="0" w:type="auto"/>
        <w:tblLook w:val="04A0" w:firstRow="1" w:lastRow="0" w:firstColumn="1" w:lastColumn="0" w:noHBand="0" w:noVBand="1"/>
      </w:tblPr>
      <w:tblGrid>
        <w:gridCol w:w="4680"/>
        <w:gridCol w:w="4670"/>
      </w:tblGrid>
      <w:tr w:rsidR="000540E0" w14:paraId="29FB1F1C" w14:textId="77777777" w:rsidTr="000540E0">
        <w:tc>
          <w:tcPr>
            <w:tcW w:w="4750" w:type="dxa"/>
          </w:tcPr>
          <w:p w14:paraId="45314F4A" w14:textId="34F55E80" w:rsidR="000540E0" w:rsidRPr="000540E0" w:rsidRDefault="000540E0" w:rsidP="000540E0">
            <w:r w:rsidRPr="000540E0">
              <w:rPr>
                <w:szCs w:val="20"/>
              </w:rPr>
              <w:lastRenderedPageBreak/>
              <w:t xml:space="preserve">Креатининов клирънс </w:t>
            </w:r>
            <w:r w:rsidRPr="000540E0">
              <w:rPr>
                <w:szCs w:val="20"/>
                <w:lang w:val="en-US"/>
              </w:rPr>
              <w:t>(ml/min)</w:t>
            </w:r>
          </w:p>
        </w:tc>
        <w:tc>
          <w:tcPr>
            <w:tcW w:w="4750" w:type="dxa"/>
          </w:tcPr>
          <w:p w14:paraId="0FBB92CB" w14:textId="44371B15" w:rsidR="000540E0" w:rsidRPr="000540E0" w:rsidRDefault="000540E0" w:rsidP="000540E0">
            <w:r w:rsidRPr="000540E0">
              <w:rPr>
                <w:szCs w:val="20"/>
              </w:rPr>
              <w:t>Обща дневна доза</w:t>
            </w:r>
            <w:r w:rsidRPr="000540E0">
              <w:rPr>
                <w:szCs w:val="20"/>
                <w:vertAlign w:val="superscript"/>
              </w:rPr>
              <w:t>а</w:t>
            </w:r>
            <w:r w:rsidRPr="000540E0">
              <w:rPr>
                <w:szCs w:val="20"/>
              </w:rPr>
              <w:t xml:space="preserve"> </w:t>
            </w:r>
            <w:r w:rsidRPr="000540E0">
              <w:rPr>
                <w:szCs w:val="20"/>
                <w:lang w:val="en-US"/>
              </w:rPr>
              <w:t>(mg</w:t>
            </w:r>
            <w:r w:rsidRPr="000540E0">
              <w:rPr>
                <w:szCs w:val="20"/>
              </w:rPr>
              <w:t>/ден)</w:t>
            </w:r>
          </w:p>
        </w:tc>
      </w:tr>
      <w:tr w:rsidR="000540E0" w14:paraId="49064657" w14:textId="77777777" w:rsidTr="000540E0">
        <w:tc>
          <w:tcPr>
            <w:tcW w:w="4750" w:type="dxa"/>
          </w:tcPr>
          <w:p w14:paraId="21E532D7" w14:textId="1116D284" w:rsidR="000540E0" w:rsidRPr="000540E0" w:rsidRDefault="000540E0" w:rsidP="000540E0">
            <w:r w:rsidRPr="000540E0">
              <w:rPr>
                <w:szCs w:val="20"/>
              </w:rPr>
              <w:t>≥80</w:t>
            </w:r>
          </w:p>
        </w:tc>
        <w:tc>
          <w:tcPr>
            <w:tcW w:w="4750" w:type="dxa"/>
          </w:tcPr>
          <w:p w14:paraId="70DC2863" w14:textId="3396DC48" w:rsidR="000540E0" w:rsidRPr="000540E0" w:rsidRDefault="000540E0" w:rsidP="000540E0">
            <w:r w:rsidRPr="000540E0">
              <w:rPr>
                <w:szCs w:val="20"/>
              </w:rPr>
              <w:t>900-3600</w:t>
            </w:r>
          </w:p>
        </w:tc>
      </w:tr>
      <w:tr w:rsidR="000540E0" w14:paraId="33CA73DA" w14:textId="77777777" w:rsidTr="000540E0">
        <w:tc>
          <w:tcPr>
            <w:tcW w:w="4750" w:type="dxa"/>
          </w:tcPr>
          <w:p w14:paraId="10C5527F" w14:textId="3D8D9730" w:rsidR="000540E0" w:rsidRPr="000540E0" w:rsidRDefault="000540E0" w:rsidP="000540E0">
            <w:r w:rsidRPr="000540E0">
              <w:rPr>
                <w:szCs w:val="20"/>
              </w:rPr>
              <w:t>50-79</w:t>
            </w:r>
          </w:p>
        </w:tc>
        <w:tc>
          <w:tcPr>
            <w:tcW w:w="4750" w:type="dxa"/>
          </w:tcPr>
          <w:p w14:paraId="7CFA9246" w14:textId="7BEDEEE4" w:rsidR="000540E0" w:rsidRPr="000540E0" w:rsidRDefault="000540E0" w:rsidP="000540E0">
            <w:r w:rsidRPr="000540E0">
              <w:rPr>
                <w:szCs w:val="20"/>
              </w:rPr>
              <w:t>600-1800</w:t>
            </w:r>
          </w:p>
        </w:tc>
      </w:tr>
      <w:tr w:rsidR="000540E0" w14:paraId="7D322645" w14:textId="77777777" w:rsidTr="000540E0">
        <w:tc>
          <w:tcPr>
            <w:tcW w:w="4750" w:type="dxa"/>
          </w:tcPr>
          <w:p w14:paraId="78CB45BD" w14:textId="71F29497" w:rsidR="000540E0" w:rsidRPr="000540E0" w:rsidRDefault="000540E0" w:rsidP="000540E0">
            <w:r w:rsidRPr="000540E0">
              <w:rPr>
                <w:szCs w:val="20"/>
              </w:rPr>
              <w:t>30-49</w:t>
            </w:r>
          </w:p>
        </w:tc>
        <w:tc>
          <w:tcPr>
            <w:tcW w:w="4750" w:type="dxa"/>
          </w:tcPr>
          <w:p w14:paraId="293F51CE" w14:textId="023B5720" w:rsidR="000540E0" w:rsidRPr="000540E0" w:rsidRDefault="000540E0" w:rsidP="000540E0">
            <w:r w:rsidRPr="000540E0">
              <w:rPr>
                <w:szCs w:val="20"/>
              </w:rPr>
              <w:t>300-900</w:t>
            </w:r>
          </w:p>
        </w:tc>
      </w:tr>
      <w:tr w:rsidR="000540E0" w14:paraId="39966158" w14:textId="77777777" w:rsidTr="000540E0">
        <w:tc>
          <w:tcPr>
            <w:tcW w:w="4750" w:type="dxa"/>
          </w:tcPr>
          <w:p w14:paraId="07F32E7D" w14:textId="398A1A40" w:rsidR="000540E0" w:rsidRPr="000540E0" w:rsidRDefault="000540E0" w:rsidP="000540E0">
            <w:r w:rsidRPr="000540E0">
              <w:rPr>
                <w:szCs w:val="20"/>
              </w:rPr>
              <w:t>15-29</w:t>
            </w:r>
          </w:p>
        </w:tc>
        <w:tc>
          <w:tcPr>
            <w:tcW w:w="4750" w:type="dxa"/>
          </w:tcPr>
          <w:p w14:paraId="174B29FC" w14:textId="021DE8DD" w:rsidR="000540E0" w:rsidRPr="000540E0" w:rsidRDefault="000540E0" w:rsidP="000540E0">
            <w:r w:rsidRPr="000540E0">
              <w:rPr>
                <w:szCs w:val="20"/>
              </w:rPr>
              <w:t>15</w:t>
            </w:r>
            <w:r w:rsidRPr="000540E0">
              <w:rPr>
                <w:szCs w:val="20"/>
                <w:vertAlign w:val="superscript"/>
              </w:rPr>
              <w:t xml:space="preserve">б </w:t>
            </w:r>
            <w:r w:rsidRPr="000540E0">
              <w:rPr>
                <w:szCs w:val="20"/>
              </w:rPr>
              <w:t>-600</w:t>
            </w:r>
          </w:p>
        </w:tc>
      </w:tr>
      <w:tr w:rsidR="000540E0" w14:paraId="791DF61C" w14:textId="77777777" w:rsidTr="000540E0">
        <w:tc>
          <w:tcPr>
            <w:tcW w:w="4750" w:type="dxa"/>
          </w:tcPr>
          <w:p w14:paraId="59213AAB" w14:textId="507B2812" w:rsidR="000540E0" w:rsidRPr="000540E0" w:rsidRDefault="000540E0" w:rsidP="000540E0">
            <w:r w:rsidRPr="000540E0">
              <w:rPr>
                <w:szCs w:val="20"/>
              </w:rPr>
              <w:t>&lt;15</w:t>
            </w:r>
            <w:r w:rsidRPr="000540E0">
              <w:rPr>
                <w:szCs w:val="20"/>
                <w:vertAlign w:val="superscript"/>
              </w:rPr>
              <w:t>в</w:t>
            </w:r>
          </w:p>
        </w:tc>
        <w:tc>
          <w:tcPr>
            <w:tcW w:w="4750" w:type="dxa"/>
          </w:tcPr>
          <w:p w14:paraId="6AD499D2" w14:textId="1FBD26D1" w:rsidR="000540E0" w:rsidRPr="000540E0" w:rsidRDefault="000540E0" w:rsidP="000540E0">
            <w:r w:rsidRPr="000540E0">
              <w:rPr>
                <w:szCs w:val="20"/>
              </w:rPr>
              <w:t>150</w:t>
            </w:r>
            <w:r w:rsidRPr="000540E0">
              <w:rPr>
                <w:szCs w:val="20"/>
                <w:vertAlign w:val="superscript"/>
              </w:rPr>
              <w:t>б</w:t>
            </w:r>
            <w:r w:rsidRPr="000540E0">
              <w:rPr>
                <w:szCs w:val="20"/>
              </w:rPr>
              <w:t xml:space="preserve"> -300</w:t>
            </w:r>
          </w:p>
        </w:tc>
      </w:tr>
    </w:tbl>
    <w:p w14:paraId="02CA2ED6" w14:textId="3686D61A" w:rsidR="000540E0" w:rsidRDefault="000540E0" w:rsidP="0091385D"/>
    <w:p w14:paraId="6BF9782F" w14:textId="77777777"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vertAlign w:val="superscript"/>
          <w:lang w:eastAsia="bg-BG"/>
        </w:rPr>
        <w:t>а</w:t>
      </w:r>
      <w:r w:rsidRPr="000540E0">
        <w:rPr>
          <w:rFonts w:eastAsia="Times New Roman" w:cs="Arial"/>
          <w:color w:val="000000"/>
          <w:szCs w:val="20"/>
          <w:lang w:eastAsia="bg-BG"/>
        </w:rPr>
        <w:t xml:space="preserve">Общата дневна доза трябва да се прилага разделена в три равни единични дози. Редуцираните дози се използват при пациенти с бъбречно увреждане (креатининов клирънс &lt; 79 </w:t>
      </w:r>
      <w:r w:rsidRPr="000540E0">
        <w:rPr>
          <w:rFonts w:eastAsia="Times New Roman" w:cs="Arial"/>
          <w:color w:val="000000"/>
          <w:szCs w:val="20"/>
          <w:lang w:val="en-US"/>
        </w:rPr>
        <w:t>ml/min).</w:t>
      </w:r>
    </w:p>
    <w:p w14:paraId="5C84A11A" w14:textId="77777777"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vertAlign w:val="superscript"/>
          <w:lang w:eastAsia="bg-BG"/>
        </w:rPr>
        <w:t>6</w:t>
      </w:r>
      <w:r w:rsidRPr="000540E0">
        <w:rPr>
          <w:rFonts w:eastAsia="Times New Roman" w:cs="Arial"/>
          <w:color w:val="000000"/>
          <w:szCs w:val="20"/>
          <w:lang w:eastAsia="bg-BG"/>
        </w:rPr>
        <w:t xml:space="preserve"> Дневната доза от 150 </w:t>
      </w:r>
      <w:r w:rsidRPr="000540E0">
        <w:rPr>
          <w:rFonts w:eastAsia="Times New Roman" w:cs="Arial"/>
          <w:color w:val="000000"/>
          <w:szCs w:val="20"/>
          <w:lang w:val="en-US"/>
        </w:rPr>
        <w:t xml:space="preserve">mg </w:t>
      </w:r>
      <w:r w:rsidRPr="000540E0">
        <w:rPr>
          <w:rFonts w:eastAsia="Times New Roman" w:cs="Arial"/>
          <w:color w:val="000000"/>
          <w:szCs w:val="20"/>
          <w:lang w:eastAsia="bg-BG"/>
        </w:rPr>
        <w:t xml:space="preserve">да се прилага като 300 </w:t>
      </w:r>
      <w:r w:rsidRPr="000540E0">
        <w:rPr>
          <w:rFonts w:eastAsia="Times New Roman" w:cs="Arial"/>
          <w:color w:val="000000"/>
          <w:szCs w:val="20"/>
          <w:lang w:val="en-US"/>
        </w:rPr>
        <w:t xml:space="preserve">mg </w:t>
      </w:r>
      <w:r w:rsidRPr="000540E0">
        <w:rPr>
          <w:rFonts w:eastAsia="Times New Roman" w:cs="Arial"/>
          <w:color w:val="000000"/>
          <w:szCs w:val="20"/>
          <w:lang w:eastAsia="bg-BG"/>
        </w:rPr>
        <w:t>през ден.</w:t>
      </w:r>
    </w:p>
    <w:p w14:paraId="6725505D" w14:textId="77777777"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vertAlign w:val="superscript"/>
          <w:lang w:eastAsia="bg-BG"/>
        </w:rPr>
        <w:t>в</w:t>
      </w:r>
      <w:r w:rsidRPr="000540E0">
        <w:rPr>
          <w:rFonts w:eastAsia="Times New Roman" w:cs="Arial"/>
          <w:color w:val="000000"/>
          <w:szCs w:val="20"/>
          <w:lang w:eastAsia="bg-BG"/>
        </w:rPr>
        <w:t xml:space="preserve">При пациенти с креатининов клирънс &lt;15 </w:t>
      </w:r>
      <w:r w:rsidRPr="000540E0">
        <w:rPr>
          <w:rFonts w:eastAsia="Times New Roman" w:cs="Arial"/>
          <w:color w:val="000000"/>
          <w:szCs w:val="20"/>
          <w:lang w:val="en-US"/>
        </w:rPr>
        <w:t xml:space="preserve">ml/min </w:t>
      </w:r>
      <w:r w:rsidRPr="000540E0">
        <w:rPr>
          <w:rFonts w:eastAsia="Times New Roman" w:cs="Arial"/>
          <w:color w:val="000000"/>
          <w:szCs w:val="20"/>
          <w:lang w:eastAsia="bg-BG"/>
        </w:rPr>
        <w:t xml:space="preserve">дневната доза трябва да се намали пропорционално на креатининовия клирънс (напр. пациенти с креатининов клирънс 7,5 </w:t>
      </w:r>
      <w:r w:rsidRPr="000540E0">
        <w:rPr>
          <w:rFonts w:eastAsia="Times New Roman" w:cs="Arial"/>
          <w:color w:val="000000"/>
          <w:szCs w:val="20"/>
          <w:lang w:val="en-US"/>
        </w:rPr>
        <w:t xml:space="preserve">ml/min </w:t>
      </w:r>
      <w:r w:rsidRPr="000540E0">
        <w:rPr>
          <w:rFonts w:eastAsia="Times New Roman" w:cs="Arial"/>
          <w:color w:val="000000"/>
          <w:szCs w:val="20"/>
          <w:lang w:eastAsia="bg-BG"/>
        </w:rPr>
        <w:t xml:space="preserve">трябва да получават половината от дневната доза, която получават пациентите с креатининов клирънс 15 </w:t>
      </w:r>
      <w:r w:rsidRPr="000540E0">
        <w:rPr>
          <w:rFonts w:eastAsia="Times New Roman" w:cs="Arial"/>
          <w:color w:val="000000"/>
          <w:szCs w:val="20"/>
          <w:lang w:val="en-US"/>
        </w:rPr>
        <w:t>ml/min).</w:t>
      </w:r>
    </w:p>
    <w:p w14:paraId="46FD5C30" w14:textId="77777777" w:rsidR="000540E0" w:rsidRPr="000540E0" w:rsidRDefault="000540E0" w:rsidP="000540E0">
      <w:pPr>
        <w:spacing w:line="240" w:lineRule="auto"/>
        <w:rPr>
          <w:rFonts w:eastAsia="Times New Roman" w:cs="Arial"/>
          <w:color w:val="000000"/>
          <w:szCs w:val="20"/>
          <w:u w:val="single"/>
          <w:lang w:eastAsia="bg-BG"/>
        </w:rPr>
      </w:pPr>
    </w:p>
    <w:p w14:paraId="1D88EB89" w14:textId="010F675F"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u w:val="single"/>
          <w:lang w:eastAsia="bg-BG"/>
        </w:rPr>
        <w:t>Употреба при пациенти на хемодиализа</w:t>
      </w:r>
    </w:p>
    <w:p w14:paraId="5717703B" w14:textId="77777777" w:rsidR="000540E0" w:rsidRPr="000540E0" w:rsidRDefault="000540E0" w:rsidP="000540E0">
      <w:pPr>
        <w:rPr>
          <w:rFonts w:eastAsia="Times New Roman" w:cs="Arial"/>
          <w:color w:val="000000"/>
          <w:szCs w:val="20"/>
          <w:lang w:eastAsia="bg-BG"/>
        </w:rPr>
      </w:pPr>
    </w:p>
    <w:p w14:paraId="6DD0636E" w14:textId="00C66B85" w:rsidR="000540E0" w:rsidRPr="000540E0" w:rsidRDefault="000540E0" w:rsidP="000540E0">
      <w:pPr>
        <w:rPr>
          <w:rFonts w:cs="Arial"/>
          <w:sz w:val="24"/>
        </w:rPr>
      </w:pPr>
      <w:r w:rsidRPr="000540E0">
        <w:rPr>
          <w:rFonts w:eastAsia="Times New Roman" w:cs="Arial"/>
          <w:color w:val="000000"/>
          <w:szCs w:val="20"/>
          <w:lang w:eastAsia="bg-BG"/>
        </w:rPr>
        <w:t xml:space="preserve">При анурични пациенти на хемодиализа, които никога не са получавали габапентин, се препоръчва натоварваща доза от 300 до 400 </w:t>
      </w:r>
      <w:r w:rsidRPr="000540E0">
        <w:rPr>
          <w:rFonts w:eastAsia="Times New Roman" w:cs="Arial"/>
          <w:color w:val="000000"/>
          <w:szCs w:val="20"/>
          <w:lang w:val="en-US"/>
        </w:rPr>
        <w:t xml:space="preserve">mg, </w:t>
      </w:r>
      <w:r w:rsidRPr="000540E0">
        <w:rPr>
          <w:rFonts w:eastAsia="Times New Roman" w:cs="Arial"/>
          <w:color w:val="000000"/>
          <w:szCs w:val="20"/>
          <w:lang w:eastAsia="bg-BG"/>
        </w:rPr>
        <w:t xml:space="preserve">след това се приемат 200 до 300 </w:t>
      </w:r>
      <w:r w:rsidRPr="000540E0">
        <w:rPr>
          <w:rFonts w:eastAsia="Times New Roman" w:cs="Arial"/>
          <w:color w:val="000000"/>
          <w:szCs w:val="20"/>
          <w:lang w:val="en-US"/>
        </w:rPr>
        <w:t xml:space="preserve">mg </w:t>
      </w:r>
      <w:r w:rsidRPr="000540E0">
        <w:rPr>
          <w:rFonts w:eastAsia="Times New Roman" w:cs="Arial"/>
          <w:color w:val="000000"/>
          <w:szCs w:val="20"/>
          <w:lang w:eastAsia="bg-BG"/>
        </w:rPr>
        <w:t>габапентин след всеки 4 часа хемодиализа. В дните без хемодиализа не трябва да се прилага лечение с габапентин.</w:t>
      </w:r>
    </w:p>
    <w:p w14:paraId="44981BFD" w14:textId="20B217BD" w:rsidR="000540E0" w:rsidRDefault="000540E0" w:rsidP="0091385D"/>
    <w:p w14:paraId="6545D3DC" w14:textId="77777777"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lang w:eastAsia="bg-BG"/>
        </w:rPr>
        <w:t xml:space="preserve">При пациентите е увредена бъбречна функция на хемодиализа, поддържащата доза на габапентин трябва да е съобразена с препоръките за дозиране, представени в Таблица 2. В допълнение към поддържащата доза се препоръчва допълнително след всеки 4 часа хемодиализа да се приемат от 200 до 300 </w:t>
      </w:r>
      <w:r w:rsidRPr="000540E0">
        <w:rPr>
          <w:rFonts w:eastAsia="Times New Roman" w:cs="Arial"/>
          <w:color w:val="000000"/>
          <w:szCs w:val="20"/>
          <w:lang w:val="en-US"/>
        </w:rPr>
        <w:t xml:space="preserve">mg </w:t>
      </w:r>
      <w:r w:rsidRPr="000540E0">
        <w:rPr>
          <w:rFonts w:eastAsia="Times New Roman" w:cs="Arial"/>
          <w:color w:val="000000"/>
          <w:szCs w:val="20"/>
          <w:lang w:eastAsia="bg-BG"/>
        </w:rPr>
        <w:t>габапентин.</w:t>
      </w:r>
    </w:p>
    <w:p w14:paraId="78E8903B" w14:textId="77777777" w:rsidR="000540E0" w:rsidRPr="000540E0" w:rsidRDefault="000540E0" w:rsidP="000540E0">
      <w:pPr>
        <w:spacing w:line="240" w:lineRule="auto"/>
        <w:rPr>
          <w:rFonts w:eastAsia="Times New Roman" w:cs="Arial"/>
          <w:color w:val="000000"/>
          <w:szCs w:val="20"/>
          <w:u w:val="single"/>
          <w:lang w:eastAsia="bg-BG"/>
        </w:rPr>
      </w:pPr>
    </w:p>
    <w:p w14:paraId="42DD8294" w14:textId="079EF9FA" w:rsidR="000540E0" w:rsidRPr="00072A35" w:rsidRDefault="000540E0" w:rsidP="00072A35">
      <w:pPr>
        <w:pStyle w:val="Heading3"/>
        <w:rPr>
          <w:rFonts w:eastAsia="Times New Roman"/>
          <w:sz w:val="28"/>
          <w:u w:val="single"/>
          <w:lang w:eastAsia="bg-BG"/>
        </w:rPr>
      </w:pPr>
      <w:r w:rsidRPr="00072A35">
        <w:rPr>
          <w:rFonts w:eastAsia="Times New Roman"/>
          <w:u w:val="single"/>
          <w:lang w:eastAsia="bg-BG"/>
        </w:rPr>
        <w:t>Начин на приложение</w:t>
      </w:r>
    </w:p>
    <w:p w14:paraId="46E73192" w14:textId="77777777"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lang w:eastAsia="bg-BG"/>
        </w:rPr>
        <w:t>За перорално приложение.</w:t>
      </w:r>
    </w:p>
    <w:p w14:paraId="427F9799" w14:textId="77777777" w:rsidR="000540E0" w:rsidRPr="000540E0" w:rsidRDefault="000540E0" w:rsidP="000540E0">
      <w:pPr>
        <w:rPr>
          <w:rFonts w:eastAsia="Times New Roman" w:cs="Arial"/>
          <w:color w:val="000000"/>
          <w:szCs w:val="20"/>
          <w:lang w:eastAsia="bg-BG"/>
        </w:rPr>
      </w:pPr>
    </w:p>
    <w:p w14:paraId="6B458267" w14:textId="0CF23247" w:rsidR="000540E0" w:rsidRPr="000540E0" w:rsidRDefault="000540E0" w:rsidP="000540E0">
      <w:pPr>
        <w:rPr>
          <w:rFonts w:cs="Arial"/>
          <w:sz w:val="24"/>
        </w:rPr>
      </w:pPr>
      <w:r w:rsidRPr="000540E0">
        <w:rPr>
          <w:rFonts w:eastAsia="Times New Roman" w:cs="Arial"/>
          <w:color w:val="000000"/>
          <w:szCs w:val="20"/>
          <w:lang w:eastAsia="bg-BG"/>
        </w:rPr>
        <w:t>Габапентин може да се прилага със или без храна и капсулата трябва да се поглъща цяла с достатъчно количество течност (напр. с чаша вода).</w:t>
      </w:r>
    </w:p>
    <w:p w14:paraId="32414FF6" w14:textId="77777777" w:rsidR="000540E0" w:rsidRPr="0091385D" w:rsidRDefault="000540E0" w:rsidP="0091385D"/>
    <w:p w14:paraId="28C984E8" w14:textId="0756AE28" w:rsidR="008134C8" w:rsidRDefault="002C50EE" w:rsidP="004A448E">
      <w:pPr>
        <w:pStyle w:val="Heading2"/>
      </w:pPr>
      <w:r>
        <w:t>4.3. Противопоказания</w:t>
      </w:r>
    </w:p>
    <w:p w14:paraId="2363D607" w14:textId="48168570" w:rsidR="0091385D" w:rsidRDefault="0091385D" w:rsidP="0091385D"/>
    <w:p w14:paraId="2309EAB0" w14:textId="6977BEA4" w:rsidR="0091385D" w:rsidRPr="00AB10B9" w:rsidRDefault="000540E0" w:rsidP="0091385D">
      <w:pPr>
        <w:rPr>
          <w:sz w:val="24"/>
        </w:rPr>
      </w:pPr>
      <w:r w:rsidRPr="00AB10B9">
        <w:rPr>
          <w:szCs w:val="20"/>
        </w:rPr>
        <w:t>Свръхчувствителност към активното вещество или към някое от помощните вещества, изброени в точка 6.1.</w:t>
      </w:r>
    </w:p>
    <w:p w14:paraId="31B39DC6" w14:textId="77777777" w:rsidR="0091385D" w:rsidRPr="0091385D" w:rsidRDefault="0091385D" w:rsidP="0091385D"/>
    <w:p w14:paraId="212F509C" w14:textId="52B87D4F" w:rsidR="004F498A" w:rsidRDefault="002C50EE" w:rsidP="004A448E">
      <w:pPr>
        <w:pStyle w:val="Heading2"/>
      </w:pPr>
      <w:r>
        <w:t>4.4. Специални предупреждения и предпазни мерки при употреба</w:t>
      </w:r>
    </w:p>
    <w:p w14:paraId="0AAC2B60" w14:textId="0A08B607" w:rsidR="0091385D" w:rsidRDefault="0091385D" w:rsidP="0091385D"/>
    <w:p w14:paraId="3E833785" w14:textId="77777777"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u w:val="single"/>
          <w:lang w:eastAsia="bg-BG"/>
        </w:rPr>
        <w:t xml:space="preserve">Лекарствен обрив с еозинофилия и системни симптоми </w:t>
      </w:r>
      <w:r w:rsidRPr="000540E0">
        <w:rPr>
          <w:rFonts w:eastAsia="Times New Roman" w:cs="Arial"/>
          <w:color w:val="000000"/>
          <w:szCs w:val="20"/>
          <w:u w:val="single"/>
          <w:lang w:val="en-US"/>
        </w:rPr>
        <w:t>(Drug Rash with Eosinophilia and Systemic Symptoms (DRESS))</w:t>
      </w:r>
    </w:p>
    <w:p w14:paraId="461AE388" w14:textId="77777777" w:rsidR="000540E0" w:rsidRPr="000540E0" w:rsidRDefault="000540E0" w:rsidP="000540E0">
      <w:pPr>
        <w:spacing w:line="240" w:lineRule="auto"/>
        <w:rPr>
          <w:rFonts w:eastAsia="Times New Roman" w:cs="Arial"/>
          <w:color w:val="000000"/>
          <w:szCs w:val="20"/>
          <w:lang w:eastAsia="bg-BG"/>
        </w:rPr>
      </w:pPr>
    </w:p>
    <w:p w14:paraId="4AF5BB83" w14:textId="3CFCB790"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lang w:eastAsia="bg-BG"/>
        </w:rPr>
        <w:t xml:space="preserve">При пациентите, приемащи антиепилептични лекарства, включително габапентин, се съобщава за тежки, животозастрашаващи, системни реакции на свръхчувствителност, известни като лекарствен обрив с еозинофилия и системни симптоми </w:t>
      </w:r>
      <w:r w:rsidRPr="000540E0">
        <w:rPr>
          <w:rFonts w:eastAsia="Times New Roman" w:cs="Arial"/>
          <w:color w:val="000000"/>
          <w:szCs w:val="20"/>
          <w:u w:val="single"/>
          <w:lang w:val="en-US"/>
        </w:rPr>
        <w:t>(Drug Rash with Eosinophilia and Systemic Symptoms (DRESS))</w:t>
      </w:r>
      <w:r w:rsidRPr="000540E0">
        <w:rPr>
          <w:rFonts w:eastAsia="Times New Roman" w:cs="Arial"/>
          <w:color w:val="000000"/>
          <w:szCs w:val="20"/>
          <w:lang w:val="en-US"/>
        </w:rPr>
        <w:t xml:space="preserve"> </w:t>
      </w:r>
      <w:r w:rsidRPr="000540E0">
        <w:rPr>
          <w:rFonts w:eastAsia="Times New Roman" w:cs="Arial"/>
          <w:color w:val="000000"/>
          <w:szCs w:val="20"/>
          <w:lang w:eastAsia="bg-BG"/>
        </w:rPr>
        <w:t xml:space="preserve">(вж. точка </w:t>
      </w:r>
      <w:r w:rsidRPr="000540E0">
        <w:rPr>
          <w:rFonts w:eastAsia="Times New Roman" w:cs="Arial"/>
          <w:color w:val="000000"/>
          <w:szCs w:val="20"/>
          <w:lang w:val="en-US"/>
        </w:rPr>
        <w:t>4.8)</w:t>
      </w:r>
    </w:p>
    <w:p w14:paraId="278F61B2" w14:textId="77777777" w:rsidR="000540E0" w:rsidRPr="000540E0" w:rsidRDefault="000540E0" w:rsidP="000540E0">
      <w:pPr>
        <w:spacing w:line="240" w:lineRule="auto"/>
        <w:rPr>
          <w:rFonts w:eastAsia="Times New Roman" w:cs="Arial"/>
          <w:color w:val="000000"/>
          <w:szCs w:val="20"/>
          <w:lang w:eastAsia="bg-BG"/>
        </w:rPr>
      </w:pPr>
    </w:p>
    <w:p w14:paraId="50277465" w14:textId="1097B88B"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lang w:eastAsia="bg-BG"/>
        </w:rPr>
        <w:t>Важно е да се отбележи, че ранните симптоми на свръхчувствителност, като треска или лимфаденопатия, могат да се наблюдават и без наличие на видим обрив. При поява на такива признаци или симптоми, състоянието на пациента трябва да се оцени незабавно. Приемът на габапентин трябва да бъде прекратен, ако не може да се установи алтернативна етиология на посочените признаци или симптоми.</w:t>
      </w:r>
    </w:p>
    <w:p w14:paraId="1F5C3FDE" w14:textId="77777777" w:rsidR="000540E0" w:rsidRPr="000540E0" w:rsidRDefault="000540E0" w:rsidP="000540E0">
      <w:pPr>
        <w:spacing w:line="240" w:lineRule="auto"/>
        <w:rPr>
          <w:rFonts w:eastAsia="Times New Roman" w:cs="Arial"/>
          <w:color w:val="000000"/>
          <w:szCs w:val="20"/>
          <w:u w:val="single"/>
          <w:lang w:eastAsia="bg-BG"/>
        </w:rPr>
      </w:pPr>
    </w:p>
    <w:p w14:paraId="14A91E6F" w14:textId="42A3C228"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u w:val="single"/>
          <w:lang w:eastAsia="bg-BG"/>
        </w:rPr>
        <w:t>Анафилаксия</w:t>
      </w:r>
    </w:p>
    <w:p w14:paraId="08123179" w14:textId="77777777" w:rsidR="000540E0" w:rsidRPr="000540E0" w:rsidRDefault="000540E0" w:rsidP="000540E0">
      <w:pPr>
        <w:spacing w:line="240" w:lineRule="auto"/>
        <w:rPr>
          <w:rFonts w:eastAsia="Times New Roman" w:cs="Arial"/>
          <w:color w:val="000000"/>
          <w:szCs w:val="20"/>
          <w:lang w:eastAsia="bg-BG"/>
        </w:rPr>
      </w:pPr>
    </w:p>
    <w:p w14:paraId="370156B3" w14:textId="310AD821"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lang w:eastAsia="bg-BG"/>
        </w:rPr>
        <w:t>Габапентин може да предизвика анафилаксия. Признаците и симптомите в докладваните случаи включват затруднено дишане, подуване на устните, гърлото и езика, и хипотония, и изискват спешно лечение. Пациентите трябва да бъдат инструктирани да спрат приема на габапентин и незабавно да потърсят лекарска помощ, ако почувстват признаци или симптоми на анафилаксия (вж. точка 4.8).</w:t>
      </w:r>
    </w:p>
    <w:p w14:paraId="5E07FB1D" w14:textId="77777777" w:rsidR="000540E0" w:rsidRPr="000540E0" w:rsidRDefault="000540E0" w:rsidP="000540E0">
      <w:pPr>
        <w:spacing w:line="240" w:lineRule="auto"/>
        <w:rPr>
          <w:rFonts w:eastAsia="Times New Roman" w:cs="Arial"/>
          <w:color w:val="000000"/>
          <w:szCs w:val="20"/>
          <w:u w:val="single"/>
          <w:lang w:eastAsia="bg-BG"/>
        </w:rPr>
      </w:pPr>
    </w:p>
    <w:p w14:paraId="4967EAB7" w14:textId="3D00AD5F"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u w:val="single"/>
          <w:lang w:eastAsia="bg-BG"/>
        </w:rPr>
        <w:t>Суицидна идеация и поведение</w:t>
      </w:r>
    </w:p>
    <w:p w14:paraId="7D19DD5E" w14:textId="77777777" w:rsidR="000540E0" w:rsidRPr="000540E0" w:rsidRDefault="000540E0" w:rsidP="000540E0">
      <w:pPr>
        <w:spacing w:line="240" w:lineRule="auto"/>
        <w:rPr>
          <w:rFonts w:eastAsia="Times New Roman" w:cs="Arial"/>
          <w:color w:val="000000"/>
          <w:szCs w:val="20"/>
          <w:lang w:eastAsia="bg-BG"/>
        </w:rPr>
      </w:pPr>
    </w:p>
    <w:p w14:paraId="32A45894" w14:textId="73396D0F"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lang w:eastAsia="bg-BG"/>
        </w:rPr>
        <w:t xml:space="preserve">Суицидна идеация и поведение се съобщават при пациенти, лекувани с антиепилептични средства за няколко показания. Мета-анализ на рандомизирани плацебо-контролирани проучвания на антиепилептични лекарствени средства също показва леко повишаване на риска от суицидна идеация и поведение. Механизмът на този риск е неизвестен </w:t>
      </w:r>
      <w:r w:rsidRPr="000540E0">
        <w:rPr>
          <w:rFonts w:eastAsia="Times New Roman" w:cs="Arial"/>
          <w:b/>
          <w:bCs/>
          <w:i/>
          <w:iCs/>
          <w:color w:val="000000"/>
          <w:szCs w:val="20"/>
          <w:lang w:eastAsia="bg-BG"/>
        </w:rPr>
        <w:t>и</w:t>
      </w:r>
      <w:r w:rsidRPr="000540E0">
        <w:rPr>
          <w:rFonts w:eastAsia="Times New Roman" w:cs="Arial"/>
          <w:color w:val="000000"/>
          <w:szCs w:val="20"/>
          <w:lang w:eastAsia="bg-BG"/>
        </w:rPr>
        <w:t xml:space="preserve"> наличните данни не изключват възможността за повишен риск при габапентин.</w:t>
      </w:r>
    </w:p>
    <w:p w14:paraId="2F05C1ED" w14:textId="77777777" w:rsidR="000540E0" w:rsidRPr="000540E0" w:rsidRDefault="000540E0" w:rsidP="000540E0">
      <w:pPr>
        <w:spacing w:line="240" w:lineRule="auto"/>
        <w:rPr>
          <w:rFonts w:eastAsia="Times New Roman" w:cs="Arial"/>
          <w:color w:val="000000"/>
          <w:szCs w:val="20"/>
          <w:lang w:eastAsia="bg-BG"/>
        </w:rPr>
      </w:pPr>
    </w:p>
    <w:p w14:paraId="65E70765" w14:textId="644E6857"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lang w:eastAsia="bg-BG"/>
        </w:rPr>
        <w:t>Поради това пациентите трябва да бъдат наблюдавани за признаци на суицидна идеация и поведения и да се обмисли подходящо лечение. Пациентите (и лицата, които се грижат за тях) трябва да бъдат посъветвани да търсят медицинска помощ при поява на признаци на суицидна идеация или поведение.</w:t>
      </w:r>
    </w:p>
    <w:p w14:paraId="4F6D6A94" w14:textId="77777777" w:rsidR="000540E0" w:rsidRPr="000540E0" w:rsidRDefault="000540E0" w:rsidP="000540E0">
      <w:pPr>
        <w:spacing w:line="240" w:lineRule="auto"/>
        <w:rPr>
          <w:rFonts w:eastAsia="Times New Roman" w:cs="Arial"/>
          <w:b/>
          <w:bCs/>
          <w:i/>
          <w:iCs/>
          <w:color w:val="000000"/>
          <w:szCs w:val="20"/>
          <w:u w:val="single"/>
          <w:lang w:eastAsia="bg-BG"/>
        </w:rPr>
      </w:pPr>
    </w:p>
    <w:p w14:paraId="6B13A187" w14:textId="0AED5F4B" w:rsidR="000540E0" w:rsidRPr="000540E0" w:rsidRDefault="000540E0" w:rsidP="000540E0">
      <w:pPr>
        <w:spacing w:line="240" w:lineRule="auto"/>
        <w:rPr>
          <w:rFonts w:eastAsia="Times New Roman" w:cs="Arial"/>
          <w:sz w:val="28"/>
          <w:szCs w:val="24"/>
          <w:lang w:eastAsia="bg-BG"/>
        </w:rPr>
      </w:pPr>
      <w:r w:rsidRPr="000540E0">
        <w:rPr>
          <w:rFonts w:eastAsia="Times New Roman" w:cs="Arial"/>
          <w:b/>
          <w:bCs/>
          <w:i/>
          <w:iCs/>
          <w:color w:val="000000"/>
          <w:szCs w:val="20"/>
          <w:u w:val="single"/>
          <w:lang w:eastAsia="bg-BG"/>
        </w:rPr>
        <w:t>Остър</w:t>
      </w:r>
      <w:r w:rsidRPr="000540E0">
        <w:rPr>
          <w:rFonts w:eastAsia="Times New Roman" w:cs="Arial"/>
          <w:color w:val="000000"/>
          <w:szCs w:val="20"/>
          <w:u w:val="single"/>
          <w:lang w:eastAsia="bg-BG"/>
        </w:rPr>
        <w:t xml:space="preserve"> панкреатит</w:t>
      </w:r>
      <w:bookmarkStart w:id="1" w:name="bookmark0"/>
      <w:bookmarkEnd w:id="1"/>
    </w:p>
    <w:p w14:paraId="6B28B133" w14:textId="77777777" w:rsidR="000540E0" w:rsidRPr="000540E0" w:rsidRDefault="000540E0" w:rsidP="000540E0">
      <w:pPr>
        <w:spacing w:line="240" w:lineRule="auto"/>
        <w:rPr>
          <w:rFonts w:eastAsia="Times New Roman" w:cs="Arial"/>
          <w:sz w:val="28"/>
          <w:szCs w:val="24"/>
          <w:lang w:eastAsia="bg-BG"/>
        </w:rPr>
      </w:pPr>
    </w:p>
    <w:p w14:paraId="0B3BEE35" w14:textId="1322E6CB" w:rsidR="0091385D" w:rsidRPr="000540E0" w:rsidRDefault="000540E0" w:rsidP="000540E0">
      <w:pPr>
        <w:rPr>
          <w:rFonts w:cs="Arial"/>
          <w:sz w:val="24"/>
        </w:rPr>
      </w:pPr>
      <w:r w:rsidRPr="000540E0">
        <w:rPr>
          <w:rFonts w:eastAsia="Times New Roman" w:cs="Arial"/>
          <w:color w:val="000000"/>
          <w:szCs w:val="20"/>
          <w:lang w:eastAsia="bg-BG"/>
        </w:rPr>
        <w:t>Ако пациентът развие остър панкреатит по време на лечение с габапентин, трябва да се обмисли спиране на лечението с габапентин (вж. точка 4.8).</w:t>
      </w:r>
    </w:p>
    <w:p w14:paraId="24E3E82F" w14:textId="60D5CD79" w:rsidR="0091385D" w:rsidRDefault="0091385D" w:rsidP="0091385D"/>
    <w:p w14:paraId="43460B91" w14:textId="77777777"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u w:val="single"/>
          <w:lang w:eastAsia="bg-BG"/>
        </w:rPr>
        <w:t>Гърчове</w:t>
      </w:r>
    </w:p>
    <w:p w14:paraId="2BCEB9AF" w14:textId="77777777" w:rsidR="000540E0" w:rsidRPr="000540E0" w:rsidRDefault="000540E0" w:rsidP="000540E0">
      <w:pPr>
        <w:spacing w:line="240" w:lineRule="auto"/>
        <w:rPr>
          <w:rFonts w:eastAsia="Times New Roman" w:cs="Arial"/>
          <w:color w:val="000000"/>
          <w:szCs w:val="20"/>
          <w:lang w:eastAsia="bg-BG"/>
        </w:rPr>
      </w:pPr>
    </w:p>
    <w:p w14:paraId="71369516" w14:textId="5C5B0B56"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lang w:eastAsia="bg-BG"/>
        </w:rPr>
        <w:t>Въпреки, че няма доказателства за нова поява на гърчове при терапия с габапентин, внезапното прекъсване на антиконвулсантите при пациенти с епилепсия може да отключи „статус епилептикус“ (вж. точка 4.2).</w:t>
      </w:r>
    </w:p>
    <w:p w14:paraId="4FDF7DDC" w14:textId="77777777" w:rsidR="000540E0" w:rsidRPr="000540E0" w:rsidRDefault="000540E0" w:rsidP="000540E0">
      <w:pPr>
        <w:spacing w:line="240" w:lineRule="auto"/>
        <w:rPr>
          <w:rFonts w:eastAsia="Times New Roman" w:cs="Arial"/>
          <w:color w:val="000000"/>
          <w:szCs w:val="20"/>
          <w:lang w:eastAsia="bg-BG"/>
        </w:rPr>
      </w:pPr>
    </w:p>
    <w:p w14:paraId="56025DE8" w14:textId="34B64771"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lang w:eastAsia="bg-BG"/>
        </w:rPr>
        <w:t xml:space="preserve">Както при други антиепилептични лекарствени продукти, при лечение с габапентин при някои пациенти може да се повиши честотата </w:t>
      </w:r>
      <w:r w:rsidRPr="000540E0">
        <w:rPr>
          <w:rFonts w:eastAsia="Times New Roman" w:cs="Arial"/>
          <w:i/>
          <w:iCs/>
          <w:color w:val="000000"/>
          <w:szCs w:val="20"/>
          <w:lang w:eastAsia="bg-BG"/>
        </w:rPr>
        <w:t>на гърчовете или да се</w:t>
      </w:r>
      <w:r w:rsidRPr="000540E0">
        <w:rPr>
          <w:rFonts w:eastAsia="Times New Roman" w:cs="Arial"/>
          <w:color w:val="000000"/>
          <w:szCs w:val="20"/>
          <w:lang w:eastAsia="bg-BG"/>
        </w:rPr>
        <w:t xml:space="preserve"> появят нов тип гърчове.</w:t>
      </w:r>
    </w:p>
    <w:p w14:paraId="42CD6309" w14:textId="77777777" w:rsidR="000540E0" w:rsidRPr="000540E0" w:rsidRDefault="000540E0" w:rsidP="000540E0">
      <w:pPr>
        <w:spacing w:line="240" w:lineRule="auto"/>
        <w:rPr>
          <w:rFonts w:eastAsia="Times New Roman" w:cs="Arial"/>
          <w:color w:val="000000"/>
          <w:szCs w:val="20"/>
          <w:lang w:eastAsia="bg-BG"/>
        </w:rPr>
      </w:pPr>
    </w:p>
    <w:p w14:paraId="33D9834B" w14:textId="4BEC4985"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lang w:eastAsia="bg-BG"/>
        </w:rPr>
        <w:t>Както при други антиепилептични лекарствени продукти, опитите да се оттеглят едновременно прилагани антиепилептични лекарства при лечение на рефрактерни пациенти, приемащи повече от един епилептичен лекарствен продукт, с цел да се постигне монотерапия с габапентин, са с ниска честота на успех.</w:t>
      </w:r>
    </w:p>
    <w:p w14:paraId="7C25715A" w14:textId="77777777" w:rsidR="000540E0" w:rsidRPr="000540E0" w:rsidRDefault="000540E0" w:rsidP="000540E0">
      <w:pPr>
        <w:spacing w:line="240" w:lineRule="auto"/>
        <w:rPr>
          <w:rFonts w:eastAsia="Times New Roman" w:cs="Arial"/>
          <w:color w:val="000000"/>
          <w:szCs w:val="20"/>
          <w:lang w:eastAsia="bg-BG"/>
        </w:rPr>
      </w:pPr>
    </w:p>
    <w:p w14:paraId="3A8EB14F" w14:textId="5C5D2370"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lang w:eastAsia="bg-BG"/>
        </w:rPr>
        <w:t xml:space="preserve">Смята се, че габапентин не е ефективен срещу първични генерализирани гърчове, като например абсанс, и при някои пациенти може да влоши тези гърчове. Поради това е </w:t>
      </w:r>
      <w:r w:rsidRPr="000540E0">
        <w:rPr>
          <w:rFonts w:eastAsia="Times New Roman" w:cs="Arial"/>
          <w:color w:val="000000"/>
          <w:szCs w:val="20"/>
          <w:lang w:eastAsia="bg-BG"/>
        </w:rPr>
        <w:lastRenderedPageBreak/>
        <w:t>необходимо повишено внимание при използване на габапентин при пациенти със смесени гърчове, включително абсанси.</w:t>
      </w:r>
    </w:p>
    <w:p w14:paraId="4C710C1A" w14:textId="77777777" w:rsidR="000540E0" w:rsidRPr="000540E0" w:rsidRDefault="000540E0" w:rsidP="000540E0">
      <w:pPr>
        <w:spacing w:line="240" w:lineRule="auto"/>
        <w:rPr>
          <w:rFonts w:eastAsia="Times New Roman" w:cs="Arial"/>
          <w:color w:val="000000"/>
          <w:szCs w:val="20"/>
          <w:u w:val="single"/>
          <w:lang w:eastAsia="bg-BG"/>
        </w:rPr>
      </w:pPr>
    </w:p>
    <w:p w14:paraId="0F34EE1B" w14:textId="437A7897"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u w:val="single"/>
          <w:lang w:eastAsia="bg-BG"/>
        </w:rPr>
        <w:t>Замаяност, сънливост, загуба на съзнание, объркване и умствено увреждане</w:t>
      </w:r>
    </w:p>
    <w:p w14:paraId="7C9F4371" w14:textId="77777777"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lang w:eastAsia="bg-BG"/>
        </w:rPr>
        <w:t>Лечението с габапентин е свързано със замаяност и сомнолентност, които биха могли да увеличат появата на инцидентно нараняване (падане). Има също постмаркетингови съобщения за объркване, загуба на съзнание и умствено увреждане. Затова пациентите трябва да бъдат посъветвани да подхождат с повишено внимание, докато не свикнат с потенциалните ефекти на лекарствения продукт.</w:t>
      </w:r>
    </w:p>
    <w:p w14:paraId="5A033E41" w14:textId="77777777" w:rsidR="000540E0" w:rsidRPr="000540E0" w:rsidRDefault="000540E0" w:rsidP="000540E0">
      <w:pPr>
        <w:spacing w:line="240" w:lineRule="auto"/>
        <w:rPr>
          <w:rFonts w:eastAsia="Times New Roman" w:cs="Arial"/>
          <w:color w:val="000000"/>
          <w:szCs w:val="20"/>
          <w:u w:val="single"/>
          <w:lang w:eastAsia="bg-BG"/>
        </w:rPr>
      </w:pPr>
    </w:p>
    <w:p w14:paraId="04EB4AC1" w14:textId="27EA13B8"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u w:val="single"/>
          <w:lang w:eastAsia="bg-BG"/>
        </w:rPr>
        <w:t>Едновременна употреба с опиоиди</w:t>
      </w:r>
    </w:p>
    <w:p w14:paraId="1F20278D" w14:textId="77777777" w:rsidR="000540E0" w:rsidRPr="000540E0" w:rsidRDefault="000540E0" w:rsidP="000540E0">
      <w:pPr>
        <w:spacing w:line="240" w:lineRule="auto"/>
        <w:rPr>
          <w:rFonts w:eastAsia="Times New Roman" w:cs="Arial"/>
          <w:color w:val="000000"/>
          <w:szCs w:val="20"/>
          <w:lang w:eastAsia="bg-BG"/>
        </w:rPr>
      </w:pPr>
    </w:p>
    <w:p w14:paraId="519F759A" w14:textId="4978173C"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lang w:eastAsia="bg-BG"/>
        </w:rPr>
        <w:t>Пациенти, при които се изисква едновременно лечение с опиоиди, трябва да бъдат наблюдавани внимателно за признаци на потискане на централната нервна система (ЦНС), като сомнолентност, седация и респираторна депресия. Пациентите, които приемат едновременно габапентин и морфин, може да развият повишени концентрации на габапентин. Дозата на габапентин или опиоидите трябва да бъде подходящо намалена (вж. точка 4.5).</w:t>
      </w:r>
    </w:p>
    <w:p w14:paraId="41666E09" w14:textId="77777777" w:rsidR="000540E0" w:rsidRPr="000540E0" w:rsidRDefault="000540E0" w:rsidP="000540E0">
      <w:pPr>
        <w:spacing w:line="240" w:lineRule="auto"/>
        <w:rPr>
          <w:rFonts w:eastAsia="Times New Roman" w:cs="Arial"/>
          <w:color w:val="000000"/>
          <w:szCs w:val="20"/>
          <w:u w:val="single"/>
          <w:lang w:eastAsia="bg-BG"/>
        </w:rPr>
      </w:pPr>
    </w:p>
    <w:p w14:paraId="6D6F6438" w14:textId="2F99FC07"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u w:val="single"/>
          <w:lang w:eastAsia="bg-BG"/>
        </w:rPr>
        <w:t>Респираторна депресия</w:t>
      </w:r>
    </w:p>
    <w:p w14:paraId="16E0B82A" w14:textId="77777777" w:rsidR="000540E0" w:rsidRPr="000540E0" w:rsidRDefault="000540E0" w:rsidP="000540E0">
      <w:pPr>
        <w:spacing w:line="240" w:lineRule="auto"/>
        <w:rPr>
          <w:rFonts w:eastAsia="Times New Roman" w:cs="Arial"/>
          <w:color w:val="000000"/>
          <w:szCs w:val="20"/>
          <w:lang w:eastAsia="bg-BG"/>
        </w:rPr>
      </w:pPr>
    </w:p>
    <w:p w14:paraId="656498ED" w14:textId="119832C7"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lang w:eastAsia="bg-BG"/>
        </w:rPr>
        <w:t>Габапентин е свързан с тежка респираторна депресия. Пациенти с нарушена респираторна функция, респираторно или неврологично заболяване, бъбречно увреждане, едновременна употреба на депресанти на ЦНС и пациенти в старческа възраст може да са изложени на по-голям риск от изпитване на тази тежка нежелана реакция. Възможно е да се наложи адаптиране на дозата при тези пациенти.</w:t>
      </w:r>
    </w:p>
    <w:p w14:paraId="69CC534D" w14:textId="77777777" w:rsidR="000540E0" w:rsidRPr="000540E0" w:rsidRDefault="000540E0" w:rsidP="000540E0">
      <w:pPr>
        <w:spacing w:line="240" w:lineRule="auto"/>
        <w:rPr>
          <w:rFonts w:eastAsia="Times New Roman" w:cs="Arial"/>
          <w:color w:val="000000"/>
          <w:szCs w:val="20"/>
          <w:u w:val="single"/>
          <w:lang w:eastAsia="bg-BG"/>
        </w:rPr>
      </w:pPr>
    </w:p>
    <w:p w14:paraId="5F4B9B2E" w14:textId="4605DBC1"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u w:val="single"/>
          <w:lang w:eastAsia="bg-BG"/>
        </w:rPr>
        <w:t>Старческа възраст (над 65 години)</w:t>
      </w:r>
    </w:p>
    <w:p w14:paraId="6DFA4ADB" w14:textId="77777777" w:rsidR="000540E0" w:rsidRPr="000540E0" w:rsidRDefault="000540E0" w:rsidP="000540E0">
      <w:pPr>
        <w:spacing w:line="240" w:lineRule="auto"/>
        <w:rPr>
          <w:rFonts w:eastAsia="Times New Roman" w:cs="Arial"/>
          <w:color w:val="000000"/>
          <w:szCs w:val="20"/>
          <w:lang w:eastAsia="bg-BG"/>
        </w:rPr>
      </w:pPr>
    </w:p>
    <w:p w14:paraId="728D20CE" w14:textId="5EA4A928"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lang w:eastAsia="bg-BG"/>
        </w:rPr>
        <w:t>Не са провеждани систематични проучвания с габапентин при пациенти на възраст 65 и повече години. В двойносляпо проучване с пациенти с невропатна болка се установява известно повишаване на процента на възникване на сомнолентност, периферен оток и астения при пациенти на възраст 65 и повече години, в сравнение с по-младите пациенти. С изключение на тези резултати, клиничните изследвания в тази възрастова група не показват различен профил на нежеланите събития, в сравнение с наблюдавания при по- младите пациенти.</w:t>
      </w:r>
    </w:p>
    <w:p w14:paraId="1D0153EF" w14:textId="77777777" w:rsidR="000540E0" w:rsidRPr="000540E0" w:rsidRDefault="000540E0" w:rsidP="000540E0">
      <w:pPr>
        <w:spacing w:line="240" w:lineRule="auto"/>
        <w:rPr>
          <w:rFonts w:eastAsia="Times New Roman" w:cs="Arial"/>
          <w:color w:val="000000"/>
          <w:szCs w:val="20"/>
          <w:u w:val="single"/>
          <w:lang w:eastAsia="bg-BG"/>
        </w:rPr>
      </w:pPr>
    </w:p>
    <w:p w14:paraId="2B306AA9" w14:textId="36169FE8"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u w:val="single"/>
          <w:lang w:eastAsia="bg-BG"/>
        </w:rPr>
        <w:t>Педиатрична популация</w:t>
      </w:r>
    </w:p>
    <w:p w14:paraId="6155E475" w14:textId="77777777" w:rsidR="000540E0" w:rsidRPr="000540E0" w:rsidRDefault="000540E0" w:rsidP="000540E0">
      <w:pPr>
        <w:rPr>
          <w:rFonts w:eastAsia="Times New Roman" w:cs="Arial"/>
          <w:color w:val="000000"/>
          <w:szCs w:val="20"/>
          <w:lang w:eastAsia="bg-BG"/>
        </w:rPr>
      </w:pPr>
    </w:p>
    <w:p w14:paraId="053894B8" w14:textId="56FDCAB2" w:rsidR="000540E0" w:rsidRPr="000540E0" w:rsidRDefault="000540E0" w:rsidP="000540E0">
      <w:pPr>
        <w:rPr>
          <w:rFonts w:cs="Arial"/>
          <w:sz w:val="24"/>
        </w:rPr>
      </w:pPr>
      <w:r w:rsidRPr="000540E0">
        <w:rPr>
          <w:rFonts w:eastAsia="Times New Roman" w:cs="Arial"/>
          <w:color w:val="000000"/>
          <w:szCs w:val="20"/>
          <w:lang w:eastAsia="bg-BG"/>
        </w:rPr>
        <w:t>Ефектите от дългосрочната терапия (повече от 36 седмици) с габапентин върху ученето, интелигентността  и развитието при деца и юноши не са добре проучени. Ползите от дългосрочна терапия трябва да се преценят внимателно спрямо потенциалните рискове.|</w:t>
      </w:r>
    </w:p>
    <w:p w14:paraId="3EC31278" w14:textId="56B9A32B" w:rsidR="000540E0" w:rsidRDefault="000540E0" w:rsidP="0091385D"/>
    <w:p w14:paraId="42FE7959" w14:textId="77777777"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u w:val="single"/>
          <w:lang w:eastAsia="bg-BG"/>
        </w:rPr>
        <w:t>Злоупотреба и зависимост</w:t>
      </w:r>
    </w:p>
    <w:p w14:paraId="7DC6B827" w14:textId="77777777" w:rsidR="000540E0" w:rsidRPr="000540E0" w:rsidRDefault="000540E0" w:rsidP="000540E0">
      <w:pPr>
        <w:spacing w:line="240" w:lineRule="auto"/>
        <w:rPr>
          <w:rFonts w:eastAsia="Times New Roman" w:cs="Arial"/>
          <w:color w:val="000000"/>
          <w:szCs w:val="20"/>
          <w:lang w:eastAsia="bg-BG"/>
        </w:rPr>
      </w:pPr>
    </w:p>
    <w:p w14:paraId="378229F8" w14:textId="77010917"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lang w:eastAsia="bg-BG"/>
        </w:rPr>
        <w:t>В базата с постмаркетингови данни са докладвани случаи на злоупотреба и зависимост. Внимателно оценявайте пациентите с анамнеза за злоупотреба с лекарства и ги наблюдавайте за евентуални признаци на злоупотреба с габапентин, например поведение на търсене на лекарството, ескалация на дозата, развитие на поносимост.</w:t>
      </w:r>
    </w:p>
    <w:p w14:paraId="7AC8736D" w14:textId="77777777" w:rsidR="000540E0" w:rsidRPr="000540E0" w:rsidRDefault="000540E0" w:rsidP="000540E0">
      <w:pPr>
        <w:spacing w:line="240" w:lineRule="auto"/>
        <w:rPr>
          <w:rFonts w:eastAsia="Times New Roman" w:cs="Arial"/>
          <w:color w:val="000000"/>
          <w:szCs w:val="20"/>
          <w:u w:val="single"/>
          <w:lang w:eastAsia="bg-BG"/>
        </w:rPr>
      </w:pPr>
    </w:p>
    <w:p w14:paraId="1790D262" w14:textId="5D9D68C0"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u w:val="single"/>
          <w:lang w:eastAsia="bg-BG"/>
        </w:rPr>
        <w:lastRenderedPageBreak/>
        <w:t>Лабораторни изследвания</w:t>
      </w:r>
    </w:p>
    <w:p w14:paraId="0B6428A5" w14:textId="77777777" w:rsidR="000540E0" w:rsidRPr="000540E0" w:rsidRDefault="000540E0" w:rsidP="000540E0">
      <w:pPr>
        <w:spacing w:line="240" w:lineRule="auto"/>
        <w:rPr>
          <w:rFonts w:eastAsia="Times New Roman" w:cs="Arial"/>
          <w:color w:val="000000"/>
          <w:szCs w:val="20"/>
          <w:lang w:eastAsia="bg-BG"/>
        </w:rPr>
      </w:pPr>
    </w:p>
    <w:p w14:paraId="29E3B16D" w14:textId="4EF367FD"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lang w:eastAsia="bg-BG"/>
        </w:rPr>
        <w:t>Могат да бъдат отчетени фалшиво положителни резултати при полуколичествено определяне на общ белтък в урината с тест-лента. Поради това се препоръчва потвърждаване на положителния резултат с методи, основаващи се на друг аналитичен принцип, като например биуретова проба, турбидиметрични или оцветителни методи, или използване на алтернативните методи от самото начало.</w:t>
      </w:r>
    </w:p>
    <w:p w14:paraId="7D466E38" w14:textId="77777777" w:rsidR="000540E0" w:rsidRPr="000540E0" w:rsidRDefault="000540E0" w:rsidP="000540E0">
      <w:pPr>
        <w:spacing w:line="240" w:lineRule="auto"/>
        <w:rPr>
          <w:rFonts w:eastAsia="Times New Roman" w:cs="Arial"/>
          <w:color w:val="000000"/>
          <w:szCs w:val="20"/>
          <w:lang w:eastAsia="bg-BG"/>
        </w:rPr>
      </w:pPr>
    </w:p>
    <w:p w14:paraId="1F1A6270" w14:textId="4B93B9A9"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lang w:eastAsia="bg-BG"/>
        </w:rPr>
        <w:t>Габагамма твърди капсули съдържа лактоза.</w:t>
      </w:r>
    </w:p>
    <w:p w14:paraId="2AB59917" w14:textId="523F333C" w:rsidR="000540E0" w:rsidRPr="000540E0" w:rsidRDefault="000540E0" w:rsidP="000540E0">
      <w:pPr>
        <w:rPr>
          <w:rFonts w:cs="Arial"/>
          <w:sz w:val="24"/>
        </w:rPr>
      </w:pPr>
      <w:r w:rsidRPr="000540E0">
        <w:rPr>
          <w:rFonts w:eastAsia="Times New Roman" w:cs="Arial"/>
          <w:color w:val="000000"/>
          <w:szCs w:val="20"/>
          <w:lang w:eastAsia="bg-BG"/>
        </w:rPr>
        <w:t>Пациенти с редки наследствени проблеми на непоносимост към галактоза, пълен лактазен дефицит или глюкозо-галактозна малабсорбция не трябва да приемат това лекарство.</w:t>
      </w:r>
    </w:p>
    <w:p w14:paraId="1AC40481" w14:textId="77777777" w:rsidR="000540E0" w:rsidRPr="0091385D" w:rsidRDefault="000540E0" w:rsidP="0091385D"/>
    <w:p w14:paraId="619DED1E" w14:textId="564F257F" w:rsidR="004F498A" w:rsidRDefault="002C50EE" w:rsidP="004A448E">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355E4B7C" w14:textId="7D829F6C" w:rsidR="0091385D" w:rsidRDefault="0091385D" w:rsidP="0091385D"/>
    <w:p w14:paraId="142B4D61" w14:textId="77777777"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lang w:eastAsia="bg-BG"/>
        </w:rPr>
        <w:t>Има спонтанни и литературни съобщения за респираторна депресия и/или седация, свързани с габапентин и употреба на опиоиди. При някои от тези съобщения авторите обръщат специално внимание на комбинирането на габапентин и опиоиди, особено при пациенти в старческа възраст.</w:t>
      </w:r>
    </w:p>
    <w:p w14:paraId="24801D34" w14:textId="77777777" w:rsidR="000540E0" w:rsidRPr="000540E0" w:rsidRDefault="000540E0" w:rsidP="000540E0">
      <w:pPr>
        <w:spacing w:line="240" w:lineRule="auto"/>
        <w:rPr>
          <w:rFonts w:eastAsia="Times New Roman" w:cs="Arial"/>
          <w:color w:val="000000"/>
          <w:szCs w:val="20"/>
          <w:lang w:eastAsia="bg-BG"/>
        </w:rPr>
      </w:pPr>
    </w:p>
    <w:p w14:paraId="5C444094" w14:textId="267D0045"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lang w:eastAsia="bg-BG"/>
        </w:rPr>
        <w:t xml:space="preserve">В проучване, включващо здрави доброволци </w:t>
      </w:r>
      <w:r w:rsidRPr="000540E0">
        <w:rPr>
          <w:rFonts w:eastAsia="Times New Roman" w:cs="Arial"/>
          <w:color w:val="000000"/>
          <w:szCs w:val="20"/>
          <w:lang w:val="en-US"/>
        </w:rPr>
        <w:t xml:space="preserve">(N=12), </w:t>
      </w:r>
      <w:r w:rsidRPr="000540E0">
        <w:rPr>
          <w:rFonts w:eastAsia="Times New Roman" w:cs="Arial"/>
          <w:color w:val="000000"/>
          <w:szCs w:val="20"/>
          <w:lang w:eastAsia="bg-BG"/>
        </w:rPr>
        <w:t xml:space="preserve">при прилагане на 60 </w:t>
      </w:r>
      <w:r w:rsidRPr="000540E0">
        <w:rPr>
          <w:rFonts w:eastAsia="Times New Roman" w:cs="Arial"/>
          <w:color w:val="000000"/>
          <w:szCs w:val="20"/>
          <w:lang w:val="en-US"/>
        </w:rPr>
        <w:t xml:space="preserve">mg </w:t>
      </w:r>
      <w:r w:rsidRPr="000540E0">
        <w:rPr>
          <w:rFonts w:eastAsia="Times New Roman" w:cs="Arial"/>
          <w:color w:val="000000"/>
          <w:szCs w:val="20"/>
          <w:lang w:eastAsia="bg-BG"/>
        </w:rPr>
        <w:t xml:space="preserve">морфин капсула с контролирано освобождаване 2 часа преди прилагането на 600 </w:t>
      </w:r>
      <w:r w:rsidRPr="000540E0">
        <w:rPr>
          <w:rFonts w:eastAsia="Times New Roman" w:cs="Arial"/>
          <w:color w:val="000000"/>
          <w:szCs w:val="20"/>
          <w:lang w:val="en-US"/>
        </w:rPr>
        <w:t xml:space="preserve">mg </w:t>
      </w:r>
      <w:r w:rsidRPr="000540E0">
        <w:rPr>
          <w:rFonts w:eastAsia="Times New Roman" w:cs="Arial"/>
          <w:color w:val="000000"/>
          <w:szCs w:val="20"/>
          <w:lang w:eastAsia="bg-BG"/>
        </w:rPr>
        <w:t xml:space="preserve">капсула габапентин, средната площ под кривата </w:t>
      </w:r>
      <w:r w:rsidRPr="000540E0">
        <w:rPr>
          <w:rFonts w:eastAsia="Times New Roman" w:cs="Arial"/>
          <w:color w:val="000000"/>
          <w:szCs w:val="20"/>
          <w:lang w:val="en-US"/>
        </w:rPr>
        <w:t xml:space="preserve">(AUC) </w:t>
      </w:r>
      <w:r w:rsidRPr="000540E0">
        <w:rPr>
          <w:rFonts w:eastAsia="Times New Roman" w:cs="Arial"/>
          <w:color w:val="000000"/>
          <w:szCs w:val="20"/>
          <w:lang w:eastAsia="bg-BG"/>
        </w:rPr>
        <w:t>на габапентин се е увеличила с 44 % спрямо габапентин, приложен без морфин. Поради това пациентите, при които се налага едновременно лечение с опиоиди, трябва да бъдат внимателно наблюдавани за признаци на потискане на ЦНС, като сомнолентност, седация и респираторна депресия, като трябва съответно да се намали дозата на габапентин или на опиоидите.</w:t>
      </w:r>
    </w:p>
    <w:p w14:paraId="5D5771C9" w14:textId="77777777" w:rsidR="000540E0" w:rsidRPr="000540E0" w:rsidRDefault="000540E0" w:rsidP="000540E0">
      <w:pPr>
        <w:spacing w:line="240" w:lineRule="auto"/>
        <w:rPr>
          <w:rFonts w:eastAsia="Times New Roman" w:cs="Arial"/>
          <w:color w:val="000000"/>
          <w:szCs w:val="20"/>
          <w:lang w:eastAsia="bg-BG"/>
        </w:rPr>
      </w:pPr>
    </w:p>
    <w:p w14:paraId="416E4C66" w14:textId="61ED07F7"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lang w:eastAsia="bg-BG"/>
        </w:rPr>
        <w:t>Не са установени взаимодействия между габапентин и фенобарбитал, фенитоин, валпроева киселина или карбамазепин.</w:t>
      </w:r>
    </w:p>
    <w:p w14:paraId="026C5210" w14:textId="77777777" w:rsidR="000540E0" w:rsidRPr="000540E0" w:rsidRDefault="000540E0" w:rsidP="000540E0">
      <w:pPr>
        <w:spacing w:line="240" w:lineRule="auto"/>
        <w:rPr>
          <w:rFonts w:eastAsia="Times New Roman" w:cs="Arial"/>
          <w:color w:val="000000"/>
          <w:szCs w:val="20"/>
          <w:lang w:eastAsia="bg-BG"/>
        </w:rPr>
      </w:pPr>
    </w:p>
    <w:p w14:paraId="3F75CEB4" w14:textId="7EB50ACD"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lang w:eastAsia="bg-BG"/>
        </w:rPr>
        <w:t>Фармакокинетиката на габапентин след достигане на стационарно състояние при здрави хора е подобна на тази при пациенти с епилепсия, получаващи тези антиепилептични продукти.</w:t>
      </w:r>
    </w:p>
    <w:p w14:paraId="3A4AE648" w14:textId="77777777" w:rsidR="000540E0" w:rsidRPr="000540E0" w:rsidRDefault="000540E0" w:rsidP="000540E0">
      <w:pPr>
        <w:spacing w:line="240" w:lineRule="auto"/>
        <w:rPr>
          <w:rFonts w:eastAsia="Times New Roman" w:cs="Arial"/>
          <w:color w:val="000000"/>
          <w:szCs w:val="20"/>
          <w:lang w:eastAsia="bg-BG"/>
        </w:rPr>
      </w:pPr>
    </w:p>
    <w:p w14:paraId="2587AD94" w14:textId="1094DF65"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lang w:eastAsia="bg-BG"/>
        </w:rPr>
        <w:t>Едновременният прием на габапентин с перорални контрацептиви, съдържащи норетиндрон и/или етинил естрадиол, не повлиява фармакокинетиката в стационарно състояние на нито една от съставките.</w:t>
      </w:r>
    </w:p>
    <w:p w14:paraId="2097A9CD" w14:textId="77777777" w:rsidR="000540E0" w:rsidRPr="000540E0" w:rsidRDefault="000540E0" w:rsidP="000540E0">
      <w:pPr>
        <w:spacing w:line="240" w:lineRule="auto"/>
        <w:rPr>
          <w:rFonts w:eastAsia="Times New Roman" w:cs="Arial"/>
          <w:color w:val="000000"/>
          <w:szCs w:val="20"/>
          <w:lang w:eastAsia="bg-BG"/>
        </w:rPr>
      </w:pPr>
    </w:p>
    <w:p w14:paraId="611AC69A" w14:textId="667138A9"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lang w:eastAsia="bg-BG"/>
        </w:rPr>
        <w:t>Едновременният прием на габапентин с антиациди, съдържащи алуминий и магнезий, намалява бионаличността на габапентин до 24 %. Препоръчва се габапентин да се приема най-рано два часа след прием на антиацид.</w:t>
      </w:r>
    </w:p>
    <w:p w14:paraId="14274FA1" w14:textId="77777777" w:rsidR="000540E0" w:rsidRPr="000540E0" w:rsidRDefault="000540E0" w:rsidP="000540E0">
      <w:pPr>
        <w:spacing w:line="240" w:lineRule="auto"/>
        <w:rPr>
          <w:rFonts w:eastAsia="Times New Roman" w:cs="Arial"/>
          <w:color w:val="000000"/>
          <w:szCs w:val="20"/>
          <w:lang w:eastAsia="bg-BG"/>
        </w:rPr>
      </w:pPr>
    </w:p>
    <w:p w14:paraId="5B41F8DB" w14:textId="7559E15B" w:rsidR="000540E0" w:rsidRPr="000540E0" w:rsidRDefault="000540E0" w:rsidP="000540E0">
      <w:pPr>
        <w:spacing w:line="240" w:lineRule="auto"/>
        <w:rPr>
          <w:rFonts w:eastAsia="Times New Roman" w:cs="Arial"/>
          <w:sz w:val="28"/>
          <w:szCs w:val="24"/>
          <w:lang w:eastAsia="bg-BG"/>
        </w:rPr>
      </w:pPr>
      <w:r w:rsidRPr="000540E0">
        <w:rPr>
          <w:rFonts w:eastAsia="Times New Roman" w:cs="Arial"/>
          <w:color w:val="000000"/>
          <w:szCs w:val="20"/>
          <w:lang w:eastAsia="bg-BG"/>
        </w:rPr>
        <w:t>Пробенецид не променя бъбречната екскреция на габапентин.</w:t>
      </w:r>
    </w:p>
    <w:p w14:paraId="3AC0A4A0" w14:textId="77777777" w:rsidR="000540E0" w:rsidRPr="000540E0" w:rsidRDefault="000540E0" w:rsidP="000540E0">
      <w:pPr>
        <w:rPr>
          <w:rFonts w:eastAsia="Times New Roman" w:cs="Arial"/>
          <w:color w:val="000000"/>
          <w:szCs w:val="20"/>
          <w:lang w:eastAsia="bg-BG"/>
        </w:rPr>
      </w:pPr>
    </w:p>
    <w:p w14:paraId="172AE819" w14:textId="432698CC" w:rsidR="0091385D" w:rsidRPr="000540E0" w:rsidRDefault="000540E0" w:rsidP="000540E0">
      <w:pPr>
        <w:rPr>
          <w:rFonts w:cs="Arial"/>
          <w:sz w:val="24"/>
        </w:rPr>
      </w:pPr>
      <w:r w:rsidRPr="000540E0">
        <w:rPr>
          <w:rFonts w:eastAsia="Times New Roman" w:cs="Arial"/>
          <w:color w:val="000000"/>
          <w:szCs w:val="20"/>
          <w:lang w:eastAsia="bg-BG"/>
        </w:rPr>
        <w:t>При едновременен прием на габапентин и циметидин е наблюдавано слабо намаление на бъбречната екскреция на габапентин, което не се очаква да има клинично значение.</w:t>
      </w:r>
    </w:p>
    <w:p w14:paraId="5B2761C5" w14:textId="77777777" w:rsidR="0091385D" w:rsidRPr="0091385D" w:rsidRDefault="0091385D" w:rsidP="0091385D"/>
    <w:p w14:paraId="394A7584" w14:textId="10DEA5B3" w:rsidR="004F498A" w:rsidRDefault="002C50EE" w:rsidP="004A448E">
      <w:pPr>
        <w:pStyle w:val="Heading2"/>
      </w:pPr>
      <w:r>
        <w:lastRenderedPageBreak/>
        <w:t>4.6. Фертилитет, бременност и кърмене</w:t>
      </w:r>
    </w:p>
    <w:p w14:paraId="4887836B" w14:textId="11C96CFA" w:rsidR="0091385D" w:rsidRDefault="0091385D" w:rsidP="0091385D"/>
    <w:p w14:paraId="011FB4B0" w14:textId="77777777" w:rsidR="00DB12D2" w:rsidRPr="00072A35" w:rsidRDefault="00DB12D2" w:rsidP="00072A35">
      <w:pPr>
        <w:pStyle w:val="Heading3"/>
        <w:rPr>
          <w:rFonts w:eastAsia="Times New Roman"/>
          <w:sz w:val="28"/>
          <w:u w:val="single"/>
          <w:lang w:eastAsia="bg-BG"/>
        </w:rPr>
      </w:pPr>
      <w:r w:rsidRPr="00072A35">
        <w:rPr>
          <w:rFonts w:eastAsia="Times New Roman"/>
          <w:u w:val="single"/>
          <w:lang w:eastAsia="bg-BG"/>
        </w:rPr>
        <w:t>Бременност</w:t>
      </w:r>
    </w:p>
    <w:p w14:paraId="46FD6AA2" w14:textId="77777777" w:rsidR="00DB12D2" w:rsidRPr="00DB12D2" w:rsidRDefault="00DB12D2" w:rsidP="00DB12D2">
      <w:pPr>
        <w:spacing w:line="240" w:lineRule="auto"/>
        <w:rPr>
          <w:rFonts w:eastAsia="Times New Roman" w:cs="Arial"/>
          <w:i/>
          <w:iCs/>
          <w:color w:val="000000"/>
          <w:szCs w:val="20"/>
          <w:lang w:eastAsia="bg-BG"/>
        </w:rPr>
      </w:pPr>
    </w:p>
    <w:p w14:paraId="38636714" w14:textId="58AB8440" w:rsidR="00DB12D2" w:rsidRPr="00DB12D2" w:rsidRDefault="00DB12D2" w:rsidP="00DB12D2">
      <w:pPr>
        <w:spacing w:line="240" w:lineRule="auto"/>
        <w:rPr>
          <w:rFonts w:eastAsia="Times New Roman" w:cs="Arial"/>
          <w:sz w:val="28"/>
          <w:szCs w:val="24"/>
          <w:lang w:eastAsia="bg-BG"/>
        </w:rPr>
      </w:pPr>
      <w:r w:rsidRPr="00DB12D2">
        <w:rPr>
          <w:rFonts w:eastAsia="Times New Roman" w:cs="Arial"/>
          <w:i/>
          <w:iCs/>
          <w:color w:val="000000"/>
          <w:szCs w:val="20"/>
          <w:lang w:eastAsia="bg-BG"/>
        </w:rPr>
        <w:t>Риск свързан с епилепсия и общо с антиепилептичните лекарствени продукти</w:t>
      </w:r>
    </w:p>
    <w:p w14:paraId="65EE82D7" w14:textId="77777777" w:rsidR="00DB12D2" w:rsidRPr="00DB12D2" w:rsidRDefault="00DB12D2" w:rsidP="00DB12D2">
      <w:pPr>
        <w:spacing w:line="240" w:lineRule="auto"/>
        <w:rPr>
          <w:rFonts w:eastAsia="Times New Roman" w:cs="Arial"/>
          <w:color w:val="000000"/>
          <w:szCs w:val="20"/>
          <w:lang w:eastAsia="bg-BG"/>
        </w:rPr>
      </w:pPr>
    </w:p>
    <w:p w14:paraId="58764B5F" w14:textId="02F0AB76" w:rsidR="00DB12D2" w:rsidRPr="00DB12D2" w:rsidRDefault="00DB12D2" w:rsidP="00DB12D2">
      <w:pPr>
        <w:spacing w:line="240" w:lineRule="auto"/>
        <w:rPr>
          <w:rFonts w:eastAsia="Times New Roman" w:cs="Arial"/>
          <w:sz w:val="28"/>
          <w:szCs w:val="24"/>
          <w:lang w:eastAsia="bg-BG"/>
        </w:rPr>
      </w:pPr>
      <w:r w:rsidRPr="00DB12D2">
        <w:rPr>
          <w:rFonts w:eastAsia="Times New Roman" w:cs="Arial"/>
          <w:color w:val="000000"/>
          <w:szCs w:val="20"/>
          <w:lang w:eastAsia="bg-BG"/>
        </w:rPr>
        <w:t>Рискът от вродени дефекти е 2 - 3 пъти по-висок в поколението на майки, лекувани с антиепилептичен лекарствен продукт. Най-често съобщавани са заешка устна, сърдечно-съдови малформации и дефекти на нервната тръба. Възможно е политерапията с антиепилептични лекарствени продукти да е свързана с по- висок риск от вродени малформации, отколкото монотерапията, поради което е важно в практиката да се прилага монотерапия, винаги когато има такава възможност.</w:t>
      </w:r>
    </w:p>
    <w:p w14:paraId="4D367066" w14:textId="77777777" w:rsidR="00DB12D2" w:rsidRPr="00DB12D2" w:rsidRDefault="00DB12D2" w:rsidP="00DB12D2">
      <w:pPr>
        <w:spacing w:line="240" w:lineRule="auto"/>
        <w:rPr>
          <w:rFonts w:eastAsia="Times New Roman" w:cs="Arial"/>
          <w:sz w:val="28"/>
          <w:szCs w:val="24"/>
          <w:lang w:eastAsia="bg-BG"/>
        </w:rPr>
      </w:pPr>
      <w:r w:rsidRPr="00DB12D2">
        <w:rPr>
          <w:rFonts w:eastAsia="Times New Roman" w:cs="Arial"/>
          <w:color w:val="000000"/>
          <w:szCs w:val="20"/>
          <w:lang w:eastAsia="bg-BG"/>
        </w:rPr>
        <w:t>Жените, за които има вероятност да забременеят или имат детероден потенциал, трябва да се посъветват от специалист и когато жената планира да забременее - да се преразгледа необходимостта от антиепилептична терапия. Не трябва да се предприема рязко прекратяване на антиепилептичната терапия, тъй като това може да доведе до поява на гърчове, поради ефект на отнемане на лечението, които биха могли да дадат сериозно отражение върху майката и детето. Рядко се наблюдава забавено развитие при деца на майки с епилепсия. Не е възможно да се разграничи дали забавеното развитие се дължи на генетични, социални фактори, епилепсията на майката или от антиепилептичното лечение.</w:t>
      </w:r>
    </w:p>
    <w:p w14:paraId="49BE6FC9" w14:textId="77777777" w:rsidR="00DB12D2" w:rsidRPr="00DB12D2" w:rsidRDefault="00DB12D2" w:rsidP="00DB12D2">
      <w:pPr>
        <w:spacing w:line="240" w:lineRule="auto"/>
        <w:rPr>
          <w:rFonts w:eastAsia="Times New Roman" w:cs="Arial"/>
          <w:i/>
          <w:iCs/>
          <w:color w:val="000000"/>
          <w:szCs w:val="20"/>
          <w:lang w:eastAsia="bg-BG"/>
        </w:rPr>
      </w:pPr>
    </w:p>
    <w:p w14:paraId="3C82E0AE" w14:textId="0A1E5C0F" w:rsidR="00DB12D2" w:rsidRPr="00DB12D2" w:rsidRDefault="00DB12D2" w:rsidP="00DB12D2">
      <w:pPr>
        <w:spacing w:line="240" w:lineRule="auto"/>
        <w:rPr>
          <w:rFonts w:eastAsia="Times New Roman" w:cs="Arial"/>
          <w:sz w:val="28"/>
          <w:szCs w:val="24"/>
          <w:lang w:eastAsia="bg-BG"/>
        </w:rPr>
      </w:pPr>
      <w:r w:rsidRPr="00DB12D2">
        <w:rPr>
          <w:rFonts w:eastAsia="Times New Roman" w:cs="Arial"/>
          <w:i/>
          <w:iCs/>
          <w:color w:val="000000"/>
          <w:szCs w:val="20"/>
          <w:lang w:eastAsia="bg-BG"/>
        </w:rPr>
        <w:t>Риск, свързан с габапентин</w:t>
      </w:r>
    </w:p>
    <w:p w14:paraId="28181F5B" w14:textId="77777777" w:rsidR="00DB12D2" w:rsidRPr="00DB12D2" w:rsidRDefault="00DB12D2" w:rsidP="00DB12D2">
      <w:pPr>
        <w:spacing w:line="240" w:lineRule="auto"/>
        <w:rPr>
          <w:rFonts w:eastAsia="Times New Roman" w:cs="Arial"/>
          <w:color w:val="000000"/>
          <w:szCs w:val="20"/>
          <w:lang w:eastAsia="bg-BG"/>
        </w:rPr>
      </w:pPr>
    </w:p>
    <w:p w14:paraId="03F25512" w14:textId="29D33EAC" w:rsidR="00DB12D2" w:rsidRPr="00DB12D2" w:rsidRDefault="00DB12D2" w:rsidP="00DB12D2">
      <w:pPr>
        <w:spacing w:line="240" w:lineRule="auto"/>
        <w:rPr>
          <w:rFonts w:eastAsia="Times New Roman" w:cs="Arial"/>
          <w:sz w:val="28"/>
          <w:szCs w:val="24"/>
          <w:lang w:eastAsia="bg-BG"/>
        </w:rPr>
      </w:pPr>
      <w:r w:rsidRPr="00DB12D2">
        <w:rPr>
          <w:rFonts w:eastAsia="Times New Roman" w:cs="Arial"/>
          <w:color w:val="000000"/>
          <w:szCs w:val="20"/>
          <w:lang w:eastAsia="bg-BG"/>
        </w:rPr>
        <w:t>Габапентин преминава в плацентата.</w:t>
      </w:r>
    </w:p>
    <w:p w14:paraId="4C6E7336" w14:textId="77777777" w:rsidR="00DB12D2" w:rsidRPr="00DB12D2" w:rsidRDefault="00DB12D2" w:rsidP="00DB12D2">
      <w:pPr>
        <w:spacing w:line="240" w:lineRule="auto"/>
        <w:rPr>
          <w:rFonts w:eastAsia="Times New Roman" w:cs="Arial"/>
          <w:color w:val="000000"/>
          <w:szCs w:val="20"/>
          <w:lang w:eastAsia="bg-BG"/>
        </w:rPr>
      </w:pPr>
    </w:p>
    <w:p w14:paraId="02B64F90" w14:textId="4077BBDA" w:rsidR="00DB12D2" w:rsidRPr="00DB12D2" w:rsidRDefault="00DB12D2" w:rsidP="00DB12D2">
      <w:pPr>
        <w:spacing w:line="240" w:lineRule="auto"/>
        <w:rPr>
          <w:rFonts w:eastAsia="Times New Roman" w:cs="Arial"/>
          <w:sz w:val="28"/>
          <w:szCs w:val="24"/>
          <w:lang w:eastAsia="bg-BG"/>
        </w:rPr>
      </w:pPr>
      <w:r w:rsidRPr="00DB12D2">
        <w:rPr>
          <w:rFonts w:eastAsia="Times New Roman" w:cs="Arial"/>
          <w:color w:val="000000"/>
          <w:szCs w:val="20"/>
          <w:lang w:eastAsia="bg-BG"/>
        </w:rPr>
        <w:t>Липсват или има ограничени данни от употребата на габапентин при бременни жени.</w:t>
      </w:r>
    </w:p>
    <w:p w14:paraId="66E8C024" w14:textId="77777777" w:rsidR="00DB12D2" w:rsidRPr="00DB12D2" w:rsidRDefault="00DB12D2" w:rsidP="00DB12D2">
      <w:pPr>
        <w:spacing w:line="240" w:lineRule="auto"/>
        <w:rPr>
          <w:rFonts w:eastAsia="Times New Roman" w:cs="Arial"/>
          <w:color w:val="000000"/>
          <w:szCs w:val="20"/>
          <w:lang w:eastAsia="bg-BG"/>
        </w:rPr>
      </w:pPr>
    </w:p>
    <w:p w14:paraId="2716E762" w14:textId="4446B05D" w:rsidR="00DB12D2" w:rsidRPr="00DB12D2" w:rsidRDefault="00DB12D2" w:rsidP="00DB12D2">
      <w:pPr>
        <w:spacing w:line="240" w:lineRule="auto"/>
        <w:rPr>
          <w:rFonts w:eastAsia="Times New Roman" w:cs="Arial"/>
          <w:sz w:val="28"/>
          <w:szCs w:val="24"/>
          <w:lang w:eastAsia="bg-BG"/>
        </w:rPr>
      </w:pPr>
      <w:r w:rsidRPr="00DB12D2">
        <w:rPr>
          <w:rFonts w:eastAsia="Times New Roman" w:cs="Arial"/>
          <w:color w:val="000000"/>
          <w:szCs w:val="20"/>
          <w:lang w:eastAsia="bg-BG"/>
        </w:rPr>
        <w:t>Проучванията при животни показват репродуктивна токсичност (вж. точка 5.3). Потенциалният риск при хора не е известен. Габапентин не трябва да се прилага по време на бременност, освен ако потенциалната полза за майката категорично надвишава потенциалния риск за плода.</w:t>
      </w:r>
    </w:p>
    <w:p w14:paraId="0BE767FD" w14:textId="77777777" w:rsidR="00DB12D2" w:rsidRPr="00DB12D2" w:rsidRDefault="00DB12D2" w:rsidP="00DB12D2">
      <w:pPr>
        <w:spacing w:line="240" w:lineRule="auto"/>
        <w:rPr>
          <w:rFonts w:eastAsia="Times New Roman" w:cs="Arial"/>
          <w:color w:val="000000"/>
          <w:szCs w:val="20"/>
          <w:lang w:eastAsia="bg-BG"/>
        </w:rPr>
      </w:pPr>
    </w:p>
    <w:p w14:paraId="34B76A8E" w14:textId="0A20158D" w:rsidR="00DB12D2" w:rsidRPr="00DB12D2" w:rsidRDefault="00DB12D2" w:rsidP="00DB12D2">
      <w:pPr>
        <w:spacing w:line="240" w:lineRule="auto"/>
        <w:rPr>
          <w:rFonts w:eastAsia="Times New Roman" w:cs="Arial"/>
          <w:sz w:val="28"/>
          <w:szCs w:val="24"/>
          <w:lang w:eastAsia="bg-BG"/>
        </w:rPr>
      </w:pPr>
      <w:r w:rsidRPr="00DB12D2">
        <w:rPr>
          <w:rFonts w:eastAsia="Times New Roman" w:cs="Arial"/>
          <w:color w:val="000000"/>
          <w:szCs w:val="20"/>
          <w:lang w:eastAsia="bg-BG"/>
        </w:rPr>
        <w:t>Не е възможно да се направи окончателно заключение дали лечението с габапентин е причина за повишаване на риска от вродени малформации, ако се приема по време на бременност, поради самото заболяване от епилепсия и едновременно прилаганите антиепилептични лекарствени продукти при всяка от съобщените бременности.</w:t>
      </w:r>
    </w:p>
    <w:p w14:paraId="0BAC6B6E" w14:textId="77777777" w:rsidR="00DB12D2" w:rsidRPr="00DB12D2" w:rsidRDefault="00DB12D2" w:rsidP="00DB12D2">
      <w:pPr>
        <w:spacing w:line="240" w:lineRule="auto"/>
        <w:rPr>
          <w:rFonts w:eastAsia="Times New Roman" w:cs="Arial"/>
          <w:color w:val="000000"/>
          <w:szCs w:val="20"/>
          <w:u w:val="single"/>
          <w:lang w:eastAsia="bg-BG"/>
        </w:rPr>
      </w:pPr>
    </w:p>
    <w:p w14:paraId="7B7F8CCB" w14:textId="478D1D5E" w:rsidR="00DB12D2" w:rsidRPr="00072A35" w:rsidRDefault="00DB12D2" w:rsidP="00072A35">
      <w:pPr>
        <w:pStyle w:val="Heading3"/>
        <w:rPr>
          <w:rFonts w:eastAsia="Times New Roman"/>
          <w:sz w:val="28"/>
          <w:u w:val="single"/>
          <w:lang w:eastAsia="bg-BG"/>
        </w:rPr>
      </w:pPr>
      <w:r w:rsidRPr="00072A35">
        <w:rPr>
          <w:rFonts w:eastAsia="Times New Roman"/>
          <w:u w:val="single"/>
          <w:lang w:eastAsia="bg-BG"/>
        </w:rPr>
        <w:t>Кърмене</w:t>
      </w:r>
    </w:p>
    <w:p w14:paraId="138C7650" w14:textId="77777777" w:rsidR="00DB12D2" w:rsidRPr="00DB12D2" w:rsidRDefault="00DB12D2" w:rsidP="00DB12D2">
      <w:pPr>
        <w:spacing w:line="240" w:lineRule="auto"/>
        <w:rPr>
          <w:rFonts w:eastAsia="Times New Roman" w:cs="Arial"/>
          <w:color w:val="000000"/>
          <w:szCs w:val="20"/>
          <w:lang w:eastAsia="bg-BG"/>
        </w:rPr>
      </w:pPr>
    </w:p>
    <w:p w14:paraId="67494553" w14:textId="70A20AFD" w:rsidR="00DB12D2" w:rsidRPr="00DB12D2" w:rsidRDefault="00DB12D2" w:rsidP="00DB12D2">
      <w:pPr>
        <w:spacing w:line="240" w:lineRule="auto"/>
        <w:rPr>
          <w:rFonts w:eastAsia="Times New Roman" w:cs="Arial"/>
          <w:sz w:val="28"/>
          <w:szCs w:val="24"/>
          <w:lang w:eastAsia="bg-BG"/>
        </w:rPr>
      </w:pPr>
      <w:r w:rsidRPr="00DB12D2">
        <w:rPr>
          <w:rFonts w:eastAsia="Times New Roman" w:cs="Arial"/>
          <w:color w:val="000000"/>
          <w:szCs w:val="20"/>
          <w:lang w:eastAsia="bg-BG"/>
        </w:rPr>
        <w:t>Габапентин се екскретира в кърмата. Поради това, че ефектът върху кърмачето е неизвестен, трябва внимателно да се прецени прилагането на лекарствения продукт при кърмещи майки. Габапентин трябва да се използва при кърмещи майки, само ако ползата категорично надвишава риска.</w:t>
      </w:r>
    </w:p>
    <w:p w14:paraId="33389A76" w14:textId="77777777" w:rsidR="00DB12D2" w:rsidRPr="00DB12D2" w:rsidRDefault="00DB12D2" w:rsidP="00DB12D2">
      <w:pPr>
        <w:spacing w:line="240" w:lineRule="auto"/>
        <w:rPr>
          <w:rFonts w:eastAsia="Times New Roman" w:cs="Arial"/>
          <w:color w:val="000000"/>
          <w:szCs w:val="20"/>
          <w:u w:val="single"/>
          <w:lang w:eastAsia="bg-BG"/>
        </w:rPr>
      </w:pPr>
    </w:p>
    <w:p w14:paraId="00F56B7B" w14:textId="0EA38BD8" w:rsidR="00DB12D2" w:rsidRPr="00072A35" w:rsidRDefault="00DB12D2" w:rsidP="00072A35">
      <w:pPr>
        <w:pStyle w:val="Heading3"/>
        <w:rPr>
          <w:rFonts w:eastAsia="Times New Roman"/>
          <w:sz w:val="28"/>
          <w:u w:val="single"/>
          <w:lang w:eastAsia="bg-BG"/>
        </w:rPr>
      </w:pPr>
      <w:r w:rsidRPr="00072A35">
        <w:rPr>
          <w:rFonts w:eastAsia="Times New Roman"/>
          <w:u w:val="single"/>
          <w:lang w:eastAsia="bg-BG"/>
        </w:rPr>
        <w:t>Фертилитет</w:t>
      </w:r>
    </w:p>
    <w:p w14:paraId="63BD8CFE" w14:textId="77777777" w:rsidR="00DB12D2" w:rsidRPr="00DB12D2" w:rsidRDefault="00DB12D2" w:rsidP="00DB12D2">
      <w:pPr>
        <w:rPr>
          <w:rFonts w:eastAsia="Times New Roman" w:cs="Arial"/>
          <w:color w:val="000000"/>
          <w:szCs w:val="20"/>
          <w:lang w:eastAsia="bg-BG"/>
        </w:rPr>
      </w:pPr>
    </w:p>
    <w:p w14:paraId="776662C5" w14:textId="1D8A752A" w:rsidR="0091385D" w:rsidRPr="00DB12D2" w:rsidRDefault="00DB12D2" w:rsidP="00DB12D2">
      <w:pPr>
        <w:rPr>
          <w:rFonts w:cs="Arial"/>
          <w:sz w:val="24"/>
        </w:rPr>
      </w:pPr>
      <w:r w:rsidRPr="00DB12D2">
        <w:rPr>
          <w:rFonts w:eastAsia="Times New Roman" w:cs="Arial"/>
          <w:color w:val="000000"/>
          <w:szCs w:val="20"/>
          <w:lang w:eastAsia="bg-BG"/>
        </w:rPr>
        <w:t>Няма ефект върху фертилитета при проучванията върху животни (вж. точка 5.3).</w:t>
      </w:r>
    </w:p>
    <w:p w14:paraId="3E8789C3" w14:textId="77777777" w:rsidR="0091385D" w:rsidRPr="0091385D" w:rsidRDefault="0091385D" w:rsidP="0091385D"/>
    <w:p w14:paraId="064DF1DE" w14:textId="70BCC16C" w:rsidR="00CF77F7" w:rsidRDefault="002C50EE" w:rsidP="004A448E">
      <w:pPr>
        <w:pStyle w:val="Heading2"/>
      </w:pPr>
      <w:r>
        <w:lastRenderedPageBreak/>
        <w:t>4.7. Ефекти върху способността за шофиране и работа с машини</w:t>
      </w:r>
    </w:p>
    <w:p w14:paraId="1455464C" w14:textId="2676810A" w:rsidR="0091385D" w:rsidRDefault="0091385D" w:rsidP="0091385D"/>
    <w:p w14:paraId="73AAAABF" w14:textId="77777777" w:rsidR="00DB12D2" w:rsidRPr="00DB12D2" w:rsidRDefault="00DB12D2" w:rsidP="00DB12D2">
      <w:pPr>
        <w:spacing w:line="240" w:lineRule="auto"/>
        <w:rPr>
          <w:rFonts w:eastAsia="Times New Roman" w:cs="Arial"/>
          <w:sz w:val="28"/>
          <w:szCs w:val="24"/>
          <w:lang w:eastAsia="bg-BG"/>
        </w:rPr>
      </w:pPr>
      <w:r w:rsidRPr="00DB12D2">
        <w:rPr>
          <w:rFonts w:eastAsia="Times New Roman" w:cs="Arial"/>
          <w:color w:val="000000"/>
          <w:szCs w:val="20"/>
          <w:lang w:eastAsia="bg-BG"/>
        </w:rPr>
        <w:t xml:space="preserve">Габапентин повлиява в малка или умерена степен способността за шофиране и работа с машини. Габапентин влияе върху централната нервна система и може да причини сънливост, замаяност и други свързани симптоми. Дори и да са само с лека или умерена степен, тези нежелани реакции може да са потенциално опасни за пациенти при шофиране или работа с машини. Това е валидно особено в началото на лечението и </w:t>
      </w:r>
    </w:p>
    <w:p w14:paraId="2B4135A6" w14:textId="75655898" w:rsidR="0091385D" w:rsidRPr="00DB12D2" w:rsidRDefault="00DB12D2" w:rsidP="00DB12D2">
      <w:pPr>
        <w:rPr>
          <w:rFonts w:cs="Arial"/>
          <w:sz w:val="24"/>
        </w:rPr>
      </w:pPr>
      <w:r w:rsidRPr="00DB12D2">
        <w:rPr>
          <w:rFonts w:eastAsia="Times New Roman" w:cs="Arial"/>
          <w:color w:val="000000"/>
          <w:szCs w:val="20"/>
          <w:lang w:eastAsia="bg-BG"/>
        </w:rPr>
        <w:t>след повишаване на дозата.</w:t>
      </w:r>
    </w:p>
    <w:p w14:paraId="35801A15" w14:textId="77777777" w:rsidR="0091385D" w:rsidRPr="0091385D" w:rsidRDefault="0091385D" w:rsidP="0091385D"/>
    <w:p w14:paraId="37A3FD9F" w14:textId="0E7561E3" w:rsidR="00CF77F7" w:rsidRDefault="002C50EE" w:rsidP="004A448E">
      <w:pPr>
        <w:pStyle w:val="Heading2"/>
      </w:pPr>
      <w:r>
        <w:t>4.8. Нежелани лекарствени реакции</w:t>
      </w:r>
    </w:p>
    <w:p w14:paraId="4838F52A" w14:textId="4C2232D6" w:rsidR="0091385D" w:rsidRDefault="0091385D" w:rsidP="0091385D"/>
    <w:p w14:paraId="4A8EE42A" w14:textId="77777777" w:rsidR="00DB12D2" w:rsidRPr="00DB12D2" w:rsidRDefault="00DB12D2" w:rsidP="00DB12D2">
      <w:pPr>
        <w:spacing w:line="240" w:lineRule="auto"/>
        <w:rPr>
          <w:rFonts w:eastAsia="Times New Roman" w:cs="Arial"/>
          <w:sz w:val="28"/>
          <w:szCs w:val="24"/>
          <w:lang w:eastAsia="bg-BG"/>
        </w:rPr>
      </w:pPr>
      <w:r w:rsidRPr="00DB12D2">
        <w:rPr>
          <w:rFonts w:eastAsia="Times New Roman" w:cs="Arial"/>
          <w:color w:val="000000"/>
          <w:szCs w:val="20"/>
          <w:lang w:eastAsia="bg-BG"/>
        </w:rPr>
        <w:t>Нежеланите лекарствени реакции, наблюдавани по време на клиничните проучвания, проведени при епилепсия (допълваща и монотерапия) и невропатна болка, са представени в общ списък по-долу, групирани по вид и честота: (много чести (≥ 1/10); чести (≥ 1/100 до &lt;1/10); нечести (≥ 1/1,000 до &lt;1/100); редки (≥1/10, 000 до &lt;1/1, 000); много редки (&lt;1/10, 000). Когато е наблюдавана нежелана реакция с различни честоти при различните клинични проучвания, тя е записана с най-високата отразена честота.</w:t>
      </w:r>
    </w:p>
    <w:p w14:paraId="054EFBA1" w14:textId="77777777" w:rsidR="00DB12D2" w:rsidRPr="00DB12D2" w:rsidRDefault="00DB12D2" w:rsidP="00DB12D2">
      <w:pPr>
        <w:spacing w:line="240" w:lineRule="auto"/>
        <w:rPr>
          <w:rFonts w:eastAsia="Times New Roman" w:cs="Arial"/>
          <w:color w:val="000000"/>
          <w:szCs w:val="20"/>
          <w:lang w:eastAsia="bg-BG"/>
        </w:rPr>
      </w:pPr>
    </w:p>
    <w:p w14:paraId="66D3FB1E" w14:textId="17327213" w:rsidR="00DB12D2" w:rsidRPr="00DB12D2" w:rsidRDefault="00DB12D2" w:rsidP="00DB12D2">
      <w:pPr>
        <w:spacing w:line="240" w:lineRule="auto"/>
        <w:rPr>
          <w:rFonts w:eastAsia="Times New Roman" w:cs="Arial"/>
          <w:sz w:val="28"/>
          <w:szCs w:val="24"/>
          <w:lang w:eastAsia="bg-BG"/>
        </w:rPr>
      </w:pPr>
      <w:r w:rsidRPr="00DB12D2">
        <w:rPr>
          <w:rFonts w:eastAsia="Times New Roman" w:cs="Arial"/>
          <w:color w:val="000000"/>
          <w:szCs w:val="20"/>
          <w:lang w:eastAsia="bg-BG"/>
        </w:rPr>
        <w:t>Допълнителни нежелани реакции, докладвани по време на постмаркетинговия опит, са включени с неизвестна честота (от наличните данни не може да бъде направена оценка), представени с курсив в списъка по-долу.</w:t>
      </w:r>
    </w:p>
    <w:p w14:paraId="47941690" w14:textId="77777777" w:rsidR="00DB12D2" w:rsidRPr="00DB12D2" w:rsidRDefault="00DB12D2" w:rsidP="00DB12D2">
      <w:pPr>
        <w:rPr>
          <w:rFonts w:eastAsia="Times New Roman" w:cs="Arial"/>
          <w:color w:val="000000"/>
          <w:szCs w:val="20"/>
          <w:lang w:eastAsia="bg-BG"/>
        </w:rPr>
      </w:pPr>
    </w:p>
    <w:p w14:paraId="570508C4" w14:textId="093EC18E" w:rsidR="0091385D" w:rsidRPr="00DB12D2" w:rsidRDefault="00DB12D2" w:rsidP="00DB12D2">
      <w:pPr>
        <w:rPr>
          <w:rFonts w:cs="Arial"/>
          <w:sz w:val="24"/>
        </w:rPr>
      </w:pPr>
      <w:r w:rsidRPr="00DB12D2">
        <w:rPr>
          <w:rFonts w:eastAsia="Times New Roman" w:cs="Arial"/>
          <w:color w:val="000000"/>
          <w:szCs w:val="20"/>
          <w:lang w:eastAsia="bg-BG"/>
        </w:rPr>
        <w:t>При всяко групиране в зависимост от честотата, нежеланите лекарствени реакции се изброяват в низходящ ред по отношение на тяхната сериозност.</w:t>
      </w:r>
    </w:p>
    <w:p w14:paraId="43E3C48F" w14:textId="2604C1B1" w:rsidR="0091385D" w:rsidRDefault="0091385D" w:rsidP="0091385D"/>
    <w:tbl>
      <w:tblPr>
        <w:tblStyle w:val="TableGrid"/>
        <w:tblW w:w="0" w:type="auto"/>
        <w:tblLook w:val="04A0" w:firstRow="1" w:lastRow="0" w:firstColumn="1" w:lastColumn="0" w:noHBand="0" w:noVBand="1"/>
      </w:tblPr>
      <w:tblGrid>
        <w:gridCol w:w="4657"/>
        <w:gridCol w:w="4693"/>
      </w:tblGrid>
      <w:tr w:rsidR="00DB12D2" w14:paraId="6ACB788F" w14:textId="77777777" w:rsidTr="007E4BDC">
        <w:tc>
          <w:tcPr>
            <w:tcW w:w="4755" w:type="dxa"/>
          </w:tcPr>
          <w:p w14:paraId="5D309727" w14:textId="5432AB24" w:rsidR="00DB12D2" w:rsidRPr="00072A35" w:rsidRDefault="00DB12D2" w:rsidP="00DB12D2">
            <w:pPr>
              <w:rPr>
                <w:rFonts w:cs="Arial"/>
              </w:rPr>
            </w:pPr>
            <w:r w:rsidRPr="00072A35">
              <w:rPr>
                <w:rFonts w:cs="Arial"/>
                <w:b/>
                <w:bCs/>
              </w:rPr>
              <w:t>Системо-органен клас</w:t>
            </w:r>
          </w:p>
        </w:tc>
        <w:tc>
          <w:tcPr>
            <w:tcW w:w="4755" w:type="dxa"/>
          </w:tcPr>
          <w:p w14:paraId="2C238C56" w14:textId="36DC61F7" w:rsidR="00DB12D2" w:rsidRPr="00072A35" w:rsidRDefault="00DB12D2" w:rsidP="00DB12D2">
            <w:pPr>
              <w:rPr>
                <w:rFonts w:cs="Arial"/>
              </w:rPr>
            </w:pPr>
            <w:r w:rsidRPr="00072A35">
              <w:rPr>
                <w:rFonts w:cs="Arial"/>
                <w:b/>
                <w:bCs/>
              </w:rPr>
              <w:t>Нежелана лекарствена реакция</w:t>
            </w:r>
          </w:p>
        </w:tc>
      </w:tr>
      <w:tr w:rsidR="00DB12D2" w14:paraId="0CAEA903" w14:textId="77777777" w:rsidTr="007E4BDC">
        <w:tc>
          <w:tcPr>
            <w:tcW w:w="9510" w:type="dxa"/>
            <w:gridSpan w:val="2"/>
          </w:tcPr>
          <w:p w14:paraId="2BFFBAD1" w14:textId="45824C23" w:rsidR="00DB12D2" w:rsidRPr="00072A35" w:rsidRDefault="00DB12D2" w:rsidP="0091385D">
            <w:pPr>
              <w:rPr>
                <w:rFonts w:cs="Arial"/>
              </w:rPr>
            </w:pPr>
            <w:r w:rsidRPr="00072A35">
              <w:rPr>
                <w:rFonts w:cs="Arial"/>
                <w:b/>
                <w:bCs/>
              </w:rPr>
              <w:t>Инфекции и инфестации</w:t>
            </w:r>
          </w:p>
        </w:tc>
      </w:tr>
      <w:tr w:rsidR="00DB12D2" w14:paraId="20D14844" w14:textId="77777777" w:rsidTr="007E4BDC">
        <w:tc>
          <w:tcPr>
            <w:tcW w:w="4755" w:type="dxa"/>
            <w:vAlign w:val="bottom"/>
          </w:tcPr>
          <w:p w14:paraId="23969DB3" w14:textId="49E6E946" w:rsidR="00DB12D2" w:rsidRPr="00072A35" w:rsidRDefault="00DB12D2" w:rsidP="00DB12D2">
            <w:pPr>
              <w:rPr>
                <w:rFonts w:cs="Arial"/>
              </w:rPr>
            </w:pPr>
            <w:r w:rsidRPr="00072A35">
              <w:rPr>
                <w:rFonts w:cs="Arial"/>
              </w:rPr>
              <w:t>Много чести</w:t>
            </w:r>
          </w:p>
        </w:tc>
        <w:tc>
          <w:tcPr>
            <w:tcW w:w="4755" w:type="dxa"/>
            <w:vAlign w:val="bottom"/>
          </w:tcPr>
          <w:p w14:paraId="642CAC0D" w14:textId="3A900868" w:rsidR="00DB12D2" w:rsidRPr="00072A35" w:rsidRDefault="00DB12D2" w:rsidP="00DB12D2">
            <w:pPr>
              <w:rPr>
                <w:rFonts w:cs="Arial"/>
              </w:rPr>
            </w:pPr>
            <w:r w:rsidRPr="00072A35">
              <w:rPr>
                <w:rFonts w:cs="Arial"/>
              </w:rPr>
              <w:t>вирусна инфекция</w:t>
            </w:r>
          </w:p>
        </w:tc>
      </w:tr>
      <w:tr w:rsidR="00DB12D2" w14:paraId="7C72E599" w14:textId="77777777" w:rsidTr="007E4BDC">
        <w:tc>
          <w:tcPr>
            <w:tcW w:w="4755" w:type="dxa"/>
          </w:tcPr>
          <w:p w14:paraId="17CE0E81" w14:textId="429F5FCA" w:rsidR="00DB12D2" w:rsidRPr="00072A35" w:rsidRDefault="00DB12D2" w:rsidP="00DB12D2">
            <w:pPr>
              <w:rPr>
                <w:rFonts w:cs="Arial"/>
              </w:rPr>
            </w:pPr>
            <w:r w:rsidRPr="00072A35">
              <w:rPr>
                <w:rFonts w:cs="Arial"/>
              </w:rPr>
              <w:t>Чести</w:t>
            </w:r>
          </w:p>
        </w:tc>
        <w:tc>
          <w:tcPr>
            <w:tcW w:w="4755" w:type="dxa"/>
            <w:vAlign w:val="bottom"/>
          </w:tcPr>
          <w:p w14:paraId="570F2E5F" w14:textId="772A9256" w:rsidR="00DB12D2" w:rsidRPr="00072A35" w:rsidRDefault="00DB12D2" w:rsidP="00DB12D2">
            <w:pPr>
              <w:rPr>
                <w:rFonts w:cs="Arial"/>
              </w:rPr>
            </w:pPr>
            <w:r w:rsidRPr="00072A35">
              <w:rPr>
                <w:rFonts w:cs="Arial"/>
              </w:rPr>
              <w:t>пневмония, респираторна инфекция, инфекция на пикочните пътища отитис медна</w:t>
            </w:r>
          </w:p>
        </w:tc>
      </w:tr>
      <w:tr w:rsidR="00DB12D2" w14:paraId="71B7FD8F" w14:textId="77777777" w:rsidTr="007E4BDC">
        <w:tc>
          <w:tcPr>
            <w:tcW w:w="9510" w:type="dxa"/>
            <w:gridSpan w:val="2"/>
          </w:tcPr>
          <w:p w14:paraId="30ACD6C4" w14:textId="09B2B514" w:rsidR="00DB12D2" w:rsidRPr="00072A35" w:rsidRDefault="00DB12D2" w:rsidP="0091385D">
            <w:pPr>
              <w:rPr>
                <w:rFonts w:cs="Arial"/>
              </w:rPr>
            </w:pPr>
            <w:r w:rsidRPr="00072A35">
              <w:rPr>
                <w:rFonts w:cs="Arial"/>
                <w:b/>
                <w:bCs/>
              </w:rPr>
              <w:t>Нарушения на кръвта и лимфната система</w:t>
            </w:r>
          </w:p>
        </w:tc>
      </w:tr>
      <w:tr w:rsidR="00DB12D2" w14:paraId="08C8C854" w14:textId="77777777" w:rsidTr="007E4BDC">
        <w:tc>
          <w:tcPr>
            <w:tcW w:w="4755" w:type="dxa"/>
            <w:vAlign w:val="center"/>
          </w:tcPr>
          <w:p w14:paraId="3A87476B" w14:textId="7263EB5F" w:rsidR="00DB12D2" w:rsidRPr="00072A35" w:rsidRDefault="00DB12D2" w:rsidP="00DB12D2">
            <w:pPr>
              <w:rPr>
                <w:rFonts w:cs="Arial"/>
              </w:rPr>
            </w:pPr>
            <w:r w:rsidRPr="00072A35">
              <w:rPr>
                <w:rFonts w:cs="Arial"/>
              </w:rPr>
              <w:t>Чести</w:t>
            </w:r>
          </w:p>
        </w:tc>
        <w:tc>
          <w:tcPr>
            <w:tcW w:w="4755" w:type="dxa"/>
            <w:vAlign w:val="center"/>
          </w:tcPr>
          <w:p w14:paraId="72CBA012" w14:textId="7E498143" w:rsidR="00DB12D2" w:rsidRPr="00072A35" w:rsidRDefault="00DB12D2" w:rsidP="00DB12D2">
            <w:pPr>
              <w:rPr>
                <w:rFonts w:cs="Arial"/>
              </w:rPr>
            </w:pPr>
            <w:r w:rsidRPr="00072A35">
              <w:rPr>
                <w:rFonts w:cs="Arial"/>
              </w:rPr>
              <w:t>Левкопения</w:t>
            </w:r>
          </w:p>
        </w:tc>
      </w:tr>
      <w:tr w:rsidR="00DB12D2" w14:paraId="36E83D21" w14:textId="77777777" w:rsidTr="007E4BDC">
        <w:tc>
          <w:tcPr>
            <w:tcW w:w="4755" w:type="dxa"/>
            <w:vAlign w:val="bottom"/>
          </w:tcPr>
          <w:p w14:paraId="19BA06AD" w14:textId="64F0DAF4" w:rsidR="00DB12D2" w:rsidRPr="00072A35" w:rsidRDefault="00DB12D2" w:rsidP="00DB12D2">
            <w:pPr>
              <w:rPr>
                <w:rFonts w:cs="Arial"/>
              </w:rPr>
            </w:pPr>
            <w:r w:rsidRPr="00072A35">
              <w:rPr>
                <w:rFonts w:cs="Arial"/>
              </w:rPr>
              <w:t>С неизвестна честота</w:t>
            </w:r>
          </w:p>
        </w:tc>
        <w:tc>
          <w:tcPr>
            <w:tcW w:w="4755" w:type="dxa"/>
            <w:vAlign w:val="bottom"/>
          </w:tcPr>
          <w:p w14:paraId="109ECB41" w14:textId="070CA6F9" w:rsidR="00DB12D2" w:rsidRPr="00072A35" w:rsidRDefault="00DB12D2" w:rsidP="00DB12D2">
            <w:pPr>
              <w:rPr>
                <w:rFonts w:cs="Arial"/>
              </w:rPr>
            </w:pPr>
            <w:r w:rsidRPr="00072A35">
              <w:rPr>
                <w:rFonts w:cs="Arial"/>
                <w:i/>
                <w:iCs/>
              </w:rPr>
              <w:t>Тромбоцитопения</w:t>
            </w:r>
          </w:p>
        </w:tc>
      </w:tr>
      <w:tr w:rsidR="00DB12D2" w14:paraId="431BA755" w14:textId="77777777" w:rsidTr="007E4BDC">
        <w:tc>
          <w:tcPr>
            <w:tcW w:w="9510" w:type="dxa"/>
            <w:gridSpan w:val="2"/>
          </w:tcPr>
          <w:p w14:paraId="25A842E9" w14:textId="66C57C0E" w:rsidR="00DB12D2" w:rsidRPr="00072A35" w:rsidRDefault="00DB12D2" w:rsidP="0091385D">
            <w:pPr>
              <w:rPr>
                <w:rFonts w:cs="Arial"/>
              </w:rPr>
            </w:pPr>
            <w:r w:rsidRPr="00072A35">
              <w:rPr>
                <w:rFonts w:cs="Arial"/>
                <w:b/>
                <w:bCs/>
              </w:rPr>
              <w:t>Нарушения на имунната система</w:t>
            </w:r>
          </w:p>
        </w:tc>
      </w:tr>
      <w:tr w:rsidR="00DB12D2" w14:paraId="27A0055E" w14:textId="77777777" w:rsidTr="007E4BDC">
        <w:tc>
          <w:tcPr>
            <w:tcW w:w="4755" w:type="dxa"/>
            <w:vAlign w:val="bottom"/>
          </w:tcPr>
          <w:p w14:paraId="16EF34AF" w14:textId="3A0D5BBB" w:rsidR="00DB12D2" w:rsidRPr="00072A35" w:rsidRDefault="00DB12D2" w:rsidP="00DB12D2">
            <w:pPr>
              <w:rPr>
                <w:rFonts w:cs="Arial"/>
              </w:rPr>
            </w:pPr>
            <w:r w:rsidRPr="00072A35">
              <w:rPr>
                <w:rFonts w:cs="Arial"/>
              </w:rPr>
              <w:t>Нечести</w:t>
            </w:r>
          </w:p>
        </w:tc>
        <w:tc>
          <w:tcPr>
            <w:tcW w:w="4755" w:type="dxa"/>
            <w:vAlign w:val="bottom"/>
          </w:tcPr>
          <w:p w14:paraId="71C4D804" w14:textId="2D84F525" w:rsidR="00DB12D2" w:rsidRPr="00072A35" w:rsidRDefault="00DB12D2" w:rsidP="00DB12D2">
            <w:pPr>
              <w:rPr>
                <w:rFonts w:cs="Arial"/>
              </w:rPr>
            </w:pPr>
            <w:r w:rsidRPr="00072A35">
              <w:rPr>
                <w:rFonts w:cs="Arial"/>
              </w:rPr>
              <w:t>алергични реакции (напр. уртикария)</w:t>
            </w:r>
          </w:p>
        </w:tc>
      </w:tr>
      <w:tr w:rsidR="00DB12D2" w14:paraId="68F3DC84" w14:textId="77777777" w:rsidTr="007E4BDC">
        <w:tc>
          <w:tcPr>
            <w:tcW w:w="4755" w:type="dxa"/>
          </w:tcPr>
          <w:p w14:paraId="40FAC0FD" w14:textId="60BD489B" w:rsidR="00DB12D2" w:rsidRPr="00072A35" w:rsidRDefault="00DB12D2" w:rsidP="00DB12D2">
            <w:pPr>
              <w:rPr>
                <w:rFonts w:cs="Arial"/>
              </w:rPr>
            </w:pPr>
            <w:r w:rsidRPr="00072A35">
              <w:rPr>
                <w:rFonts w:cs="Arial"/>
              </w:rPr>
              <w:t>С неизвестна честота</w:t>
            </w:r>
          </w:p>
        </w:tc>
        <w:tc>
          <w:tcPr>
            <w:tcW w:w="4755" w:type="dxa"/>
            <w:vAlign w:val="bottom"/>
          </w:tcPr>
          <w:p w14:paraId="6ECA7B94" w14:textId="58975D0A" w:rsidR="00DB12D2" w:rsidRPr="00072A35" w:rsidRDefault="00DB12D2" w:rsidP="00DB12D2">
            <w:pPr>
              <w:rPr>
                <w:rFonts w:cs="Arial"/>
              </w:rPr>
            </w:pPr>
            <w:r w:rsidRPr="00072A35">
              <w:rPr>
                <w:rFonts w:cs="Arial"/>
                <w:i/>
                <w:iCs/>
              </w:rPr>
              <w:t>синдром на свръхчувствителност (системна реакция с променливи симптоми, които могат да включват треска, обрив, хепатит, лимфаденопатия, еозинофилия, както понякога други признаци и симптом), анафилаксия (вж. точка 4.4)</w:t>
            </w:r>
          </w:p>
        </w:tc>
      </w:tr>
      <w:tr w:rsidR="00DB12D2" w14:paraId="0276D51F" w14:textId="77777777" w:rsidTr="007E4BDC">
        <w:tc>
          <w:tcPr>
            <w:tcW w:w="9510" w:type="dxa"/>
            <w:gridSpan w:val="2"/>
          </w:tcPr>
          <w:p w14:paraId="66D4881E" w14:textId="443B9DCE" w:rsidR="00DB12D2" w:rsidRPr="00072A35" w:rsidRDefault="00DB12D2" w:rsidP="0091385D">
            <w:pPr>
              <w:rPr>
                <w:rFonts w:cs="Arial"/>
              </w:rPr>
            </w:pPr>
            <w:r w:rsidRPr="00072A35">
              <w:rPr>
                <w:rFonts w:cs="Arial"/>
                <w:b/>
                <w:bCs/>
              </w:rPr>
              <w:t>Нарушения на метаболизма и храненето</w:t>
            </w:r>
          </w:p>
        </w:tc>
      </w:tr>
      <w:tr w:rsidR="00DB12D2" w14:paraId="61EEF572" w14:textId="77777777" w:rsidTr="007E4BDC">
        <w:tc>
          <w:tcPr>
            <w:tcW w:w="4755" w:type="dxa"/>
            <w:vAlign w:val="bottom"/>
          </w:tcPr>
          <w:p w14:paraId="23DAC128" w14:textId="6E010572" w:rsidR="00DB12D2" w:rsidRPr="00072A35" w:rsidRDefault="00DB12D2" w:rsidP="00DB12D2">
            <w:pPr>
              <w:rPr>
                <w:rFonts w:cs="Arial"/>
              </w:rPr>
            </w:pPr>
            <w:r w:rsidRPr="00072A35">
              <w:rPr>
                <w:rFonts w:cs="Arial"/>
              </w:rPr>
              <w:t>Чести</w:t>
            </w:r>
          </w:p>
        </w:tc>
        <w:tc>
          <w:tcPr>
            <w:tcW w:w="4755" w:type="dxa"/>
            <w:vAlign w:val="bottom"/>
          </w:tcPr>
          <w:p w14:paraId="1A30EC89" w14:textId="383AD1A3" w:rsidR="00DB12D2" w:rsidRPr="00072A35" w:rsidRDefault="00DB12D2" w:rsidP="00DB12D2">
            <w:pPr>
              <w:rPr>
                <w:rFonts w:cs="Arial"/>
              </w:rPr>
            </w:pPr>
            <w:r w:rsidRPr="00072A35">
              <w:rPr>
                <w:rFonts w:cs="Arial"/>
              </w:rPr>
              <w:t>анорексия, повишен апетит</w:t>
            </w:r>
          </w:p>
        </w:tc>
      </w:tr>
      <w:tr w:rsidR="00DB12D2" w14:paraId="5EC6C2F6" w14:textId="77777777" w:rsidTr="007E4BDC">
        <w:tc>
          <w:tcPr>
            <w:tcW w:w="4755" w:type="dxa"/>
            <w:vAlign w:val="bottom"/>
          </w:tcPr>
          <w:p w14:paraId="274B00AA" w14:textId="4389315B" w:rsidR="00DB12D2" w:rsidRPr="00072A35" w:rsidRDefault="00DB12D2" w:rsidP="00DB12D2">
            <w:pPr>
              <w:rPr>
                <w:rFonts w:cs="Arial"/>
              </w:rPr>
            </w:pPr>
            <w:r w:rsidRPr="00072A35">
              <w:rPr>
                <w:rFonts w:cs="Arial"/>
              </w:rPr>
              <w:t>Нечести</w:t>
            </w:r>
          </w:p>
        </w:tc>
        <w:tc>
          <w:tcPr>
            <w:tcW w:w="4755" w:type="dxa"/>
            <w:vAlign w:val="bottom"/>
          </w:tcPr>
          <w:p w14:paraId="036542F7" w14:textId="0137536B" w:rsidR="00DB12D2" w:rsidRPr="00072A35" w:rsidRDefault="00DB12D2" w:rsidP="00DB12D2">
            <w:pPr>
              <w:rPr>
                <w:rFonts w:cs="Arial"/>
              </w:rPr>
            </w:pPr>
            <w:r w:rsidRPr="00072A35">
              <w:rPr>
                <w:rFonts w:cs="Arial"/>
              </w:rPr>
              <w:t>хипергликемия (най-често наблюдавана при пациенти с диабет)</w:t>
            </w:r>
          </w:p>
        </w:tc>
      </w:tr>
      <w:tr w:rsidR="00DB12D2" w14:paraId="02D559B2" w14:textId="77777777" w:rsidTr="007E4BDC">
        <w:tc>
          <w:tcPr>
            <w:tcW w:w="4755" w:type="dxa"/>
            <w:vAlign w:val="bottom"/>
          </w:tcPr>
          <w:p w14:paraId="0A325147" w14:textId="4287DDCD" w:rsidR="00DB12D2" w:rsidRPr="00072A35" w:rsidRDefault="00DB12D2" w:rsidP="00DB12D2">
            <w:pPr>
              <w:rPr>
                <w:rFonts w:cs="Arial"/>
              </w:rPr>
            </w:pPr>
            <w:r w:rsidRPr="00072A35">
              <w:rPr>
                <w:rFonts w:cs="Arial"/>
              </w:rPr>
              <w:lastRenderedPageBreak/>
              <w:t>Редки</w:t>
            </w:r>
          </w:p>
        </w:tc>
        <w:tc>
          <w:tcPr>
            <w:tcW w:w="4755" w:type="dxa"/>
            <w:vAlign w:val="bottom"/>
          </w:tcPr>
          <w:p w14:paraId="4764D893" w14:textId="7154E893" w:rsidR="00DB12D2" w:rsidRPr="00072A35" w:rsidRDefault="00DB12D2" w:rsidP="00DB12D2">
            <w:pPr>
              <w:rPr>
                <w:rFonts w:cs="Arial"/>
              </w:rPr>
            </w:pPr>
            <w:r w:rsidRPr="00072A35">
              <w:rPr>
                <w:rFonts w:cs="Arial"/>
              </w:rPr>
              <w:t>хипогликемия (най-често наблюдавана при пациенти с диабет)</w:t>
            </w:r>
          </w:p>
        </w:tc>
      </w:tr>
      <w:tr w:rsidR="00DB12D2" w14:paraId="1BF46208" w14:textId="77777777" w:rsidTr="007E4BDC">
        <w:tc>
          <w:tcPr>
            <w:tcW w:w="4755" w:type="dxa"/>
            <w:vAlign w:val="bottom"/>
          </w:tcPr>
          <w:p w14:paraId="4DDEB06B" w14:textId="616B324E" w:rsidR="00DB12D2" w:rsidRPr="00072A35" w:rsidRDefault="00DB12D2" w:rsidP="00DB12D2">
            <w:pPr>
              <w:rPr>
                <w:rFonts w:cs="Arial"/>
              </w:rPr>
            </w:pPr>
            <w:r w:rsidRPr="00072A35">
              <w:rPr>
                <w:rFonts w:cs="Arial"/>
              </w:rPr>
              <w:t>С неизвестна честота</w:t>
            </w:r>
          </w:p>
        </w:tc>
        <w:tc>
          <w:tcPr>
            <w:tcW w:w="4755" w:type="dxa"/>
            <w:vAlign w:val="bottom"/>
          </w:tcPr>
          <w:p w14:paraId="7322DFE6" w14:textId="6875D18B" w:rsidR="00DB12D2" w:rsidRPr="00072A35" w:rsidRDefault="00DB12D2" w:rsidP="00DB12D2">
            <w:pPr>
              <w:rPr>
                <w:rFonts w:cs="Arial"/>
              </w:rPr>
            </w:pPr>
            <w:r w:rsidRPr="00072A35">
              <w:rPr>
                <w:rFonts w:cs="Arial"/>
                <w:i/>
                <w:iCs/>
              </w:rPr>
              <w:t>хипонатриемия</w:t>
            </w:r>
          </w:p>
        </w:tc>
      </w:tr>
      <w:tr w:rsidR="00DB12D2" w14:paraId="55A8385E" w14:textId="77777777" w:rsidTr="007E4BDC">
        <w:tc>
          <w:tcPr>
            <w:tcW w:w="9510" w:type="dxa"/>
            <w:gridSpan w:val="2"/>
          </w:tcPr>
          <w:p w14:paraId="01668926" w14:textId="37A46741" w:rsidR="00DB12D2" w:rsidRPr="00072A35" w:rsidRDefault="00DB12D2" w:rsidP="0091385D">
            <w:pPr>
              <w:rPr>
                <w:rFonts w:cs="Arial"/>
              </w:rPr>
            </w:pPr>
            <w:r w:rsidRPr="00072A35">
              <w:rPr>
                <w:rFonts w:cs="Arial"/>
                <w:b/>
                <w:bCs/>
              </w:rPr>
              <w:t>Психични нарушения</w:t>
            </w:r>
          </w:p>
        </w:tc>
      </w:tr>
      <w:tr w:rsidR="00DB12D2" w14:paraId="0A990158" w14:textId="77777777" w:rsidTr="007E4BDC">
        <w:tc>
          <w:tcPr>
            <w:tcW w:w="4755" w:type="dxa"/>
          </w:tcPr>
          <w:p w14:paraId="31874584" w14:textId="47AD840A" w:rsidR="00DB12D2" w:rsidRPr="00072A35" w:rsidRDefault="00DB12D2" w:rsidP="00DB12D2">
            <w:pPr>
              <w:rPr>
                <w:rFonts w:cs="Arial"/>
              </w:rPr>
            </w:pPr>
            <w:r w:rsidRPr="00072A35">
              <w:rPr>
                <w:rFonts w:cs="Arial"/>
              </w:rPr>
              <w:t>Чести</w:t>
            </w:r>
          </w:p>
        </w:tc>
        <w:tc>
          <w:tcPr>
            <w:tcW w:w="4755" w:type="dxa"/>
            <w:vAlign w:val="bottom"/>
          </w:tcPr>
          <w:p w14:paraId="2D82B651" w14:textId="66AF6020" w:rsidR="00DB12D2" w:rsidRPr="00072A35" w:rsidRDefault="00DB12D2" w:rsidP="00DB12D2">
            <w:pPr>
              <w:rPr>
                <w:rFonts w:cs="Arial"/>
              </w:rPr>
            </w:pPr>
            <w:r w:rsidRPr="00072A35">
              <w:rPr>
                <w:rFonts w:cs="Arial"/>
              </w:rPr>
              <w:t>враждебност, объркване и емоционална лабилност, депресия, тревожност, нервност, абнормно мислене</w:t>
            </w:r>
          </w:p>
        </w:tc>
      </w:tr>
      <w:tr w:rsidR="00DB12D2" w14:paraId="5C5F7DC5" w14:textId="77777777" w:rsidTr="007E4BDC">
        <w:tc>
          <w:tcPr>
            <w:tcW w:w="4755" w:type="dxa"/>
          </w:tcPr>
          <w:p w14:paraId="2AD53E20" w14:textId="7107AC6D" w:rsidR="00DB12D2" w:rsidRPr="00072A35" w:rsidRDefault="00DB12D2" w:rsidP="00DB12D2">
            <w:pPr>
              <w:rPr>
                <w:rFonts w:cs="Arial"/>
              </w:rPr>
            </w:pPr>
            <w:r w:rsidRPr="00072A35">
              <w:rPr>
                <w:rFonts w:cs="Arial"/>
              </w:rPr>
              <w:t>Нечести</w:t>
            </w:r>
          </w:p>
        </w:tc>
        <w:tc>
          <w:tcPr>
            <w:tcW w:w="4755" w:type="dxa"/>
          </w:tcPr>
          <w:p w14:paraId="51BD0B18" w14:textId="4E6EB4A7" w:rsidR="00DB12D2" w:rsidRPr="00072A35" w:rsidRDefault="00DB12D2" w:rsidP="00DB12D2">
            <w:pPr>
              <w:rPr>
                <w:rFonts w:cs="Arial"/>
              </w:rPr>
            </w:pPr>
            <w:r w:rsidRPr="00072A35">
              <w:rPr>
                <w:rFonts w:cs="Arial"/>
              </w:rPr>
              <w:t>възбуда</w:t>
            </w:r>
          </w:p>
        </w:tc>
      </w:tr>
      <w:tr w:rsidR="00DB12D2" w14:paraId="1B363C72" w14:textId="77777777" w:rsidTr="007E4BDC">
        <w:tc>
          <w:tcPr>
            <w:tcW w:w="4755" w:type="dxa"/>
          </w:tcPr>
          <w:p w14:paraId="5668D78A" w14:textId="0815499B" w:rsidR="00DB12D2" w:rsidRPr="00072A35" w:rsidRDefault="00DB12D2" w:rsidP="00DB12D2">
            <w:pPr>
              <w:rPr>
                <w:rFonts w:cs="Arial"/>
              </w:rPr>
            </w:pPr>
            <w:r w:rsidRPr="00072A35">
              <w:rPr>
                <w:rFonts w:cs="Arial"/>
              </w:rPr>
              <w:t>С неизвестна честота</w:t>
            </w:r>
          </w:p>
        </w:tc>
        <w:tc>
          <w:tcPr>
            <w:tcW w:w="4755" w:type="dxa"/>
          </w:tcPr>
          <w:p w14:paraId="33B5781B" w14:textId="77777777" w:rsidR="00DB12D2" w:rsidRPr="00072A35" w:rsidRDefault="00DB12D2" w:rsidP="00DB12D2">
            <w:pPr>
              <w:rPr>
                <w:rFonts w:cs="Arial"/>
              </w:rPr>
            </w:pPr>
          </w:p>
          <w:p w14:paraId="0F21B555" w14:textId="53CD7182" w:rsidR="00DB12D2" w:rsidRPr="00072A35" w:rsidRDefault="00DB12D2" w:rsidP="00DB12D2">
            <w:pPr>
              <w:rPr>
                <w:rFonts w:cs="Arial"/>
              </w:rPr>
            </w:pPr>
            <w:r w:rsidRPr="00072A35">
              <w:rPr>
                <w:rFonts w:cs="Arial"/>
                <w:i/>
                <w:iCs/>
              </w:rPr>
              <w:t>Халюцинации</w:t>
            </w:r>
          </w:p>
        </w:tc>
      </w:tr>
      <w:tr w:rsidR="00DB12D2" w14:paraId="0EEAA864" w14:textId="77777777" w:rsidTr="007E4BDC">
        <w:tc>
          <w:tcPr>
            <w:tcW w:w="9510" w:type="dxa"/>
            <w:gridSpan w:val="2"/>
          </w:tcPr>
          <w:p w14:paraId="106BB425" w14:textId="27C1C5FD" w:rsidR="00DB12D2" w:rsidRPr="00072A35" w:rsidRDefault="007E4BDC" w:rsidP="0091385D">
            <w:pPr>
              <w:rPr>
                <w:rFonts w:cs="Arial"/>
              </w:rPr>
            </w:pPr>
            <w:r w:rsidRPr="00072A35">
              <w:rPr>
                <w:rFonts w:cs="Arial"/>
                <w:b/>
                <w:bCs/>
              </w:rPr>
              <w:t>Нарушения на нервната систем</w:t>
            </w:r>
          </w:p>
        </w:tc>
      </w:tr>
      <w:tr w:rsidR="00DB12D2" w14:paraId="2C7DE0FE" w14:textId="77777777" w:rsidTr="007E4BDC">
        <w:tc>
          <w:tcPr>
            <w:tcW w:w="4755" w:type="dxa"/>
          </w:tcPr>
          <w:p w14:paraId="5B4AB99A" w14:textId="2982054A" w:rsidR="00DB12D2" w:rsidRPr="00072A35" w:rsidRDefault="00DB12D2" w:rsidP="0091385D">
            <w:pPr>
              <w:rPr>
                <w:rFonts w:cs="Arial"/>
              </w:rPr>
            </w:pPr>
            <w:r w:rsidRPr="00072A35">
              <w:rPr>
                <w:rFonts w:cs="Arial"/>
              </w:rPr>
              <w:t>Много чести</w:t>
            </w:r>
          </w:p>
        </w:tc>
        <w:tc>
          <w:tcPr>
            <w:tcW w:w="4755" w:type="dxa"/>
          </w:tcPr>
          <w:p w14:paraId="5CBF2867" w14:textId="6CD0B435" w:rsidR="00DB12D2" w:rsidRPr="00072A35" w:rsidRDefault="00DB12D2" w:rsidP="0091385D">
            <w:pPr>
              <w:rPr>
                <w:rFonts w:cs="Arial"/>
              </w:rPr>
            </w:pPr>
            <w:r w:rsidRPr="00072A35">
              <w:rPr>
                <w:rFonts w:cs="Arial"/>
              </w:rPr>
              <w:t>сомнолентност, замаяност, атаксия</w:t>
            </w:r>
          </w:p>
        </w:tc>
      </w:tr>
      <w:tr w:rsidR="00DB12D2" w14:paraId="461DAC8C" w14:textId="77777777" w:rsidTr="007E4BDC">
        <w:tc>
          <w:tcPr>
            <w:tcW w:w="4755" w:type="dxa"/>
          </w:tcPr>
          <w:p w14:paraId="742D477D" w14:textId="177525F4" w:rsidR="00DB12D2" w:rsidRPr="00072A35" w:rsidRDefault="00DB12D2" w:rsidP="00DB12D2">
            <w:pPr>
              <w:rPr>
                <w:rFonts w:cs="Arial"/>
              </w:rPr>
            </w:pPr>
            <w:r w:rsidRPr="00072A35">
              <w:rPr>
                <w:rFonts w:cs="Arial"/>
              </w:rPr>
              <w:t>Чести</w:t>
            </w:r>
          </w:p>
        </w:tc>
        <w:tc>
          <w:tcPr>
            <w:tcW w:w="4755" w:type="dxa"/>
            <w:vAlign w:val="center"/>
          </w:tcPr>
          <w:p w14:paraId="081C70BD" w14:textId="043DCD52" w:rsidR="00DB12D2" w:rsidRPr="00072A35" w:rsidRDefault="00DB12D2" w:rsidP="00DB12D2">
            <w:pPr>
              <w:rPr>
                <w:rFonts w:cs="Arial"/>
              </w:rPr>
            </w:pPr>
            <w:r w:rsidRPr="00072A35">
              <w:rPr>
                <w:rFonts w:cs="Arial"/>
              </w:rPr>
              <w:t>конвулсии, хиперкинезии, дизартрия, амнезия, тремор, безсъние, главоболие, усещания като парестезия, хипестезия, нарушена координация, нистагъм, засилени, понижени или липсващи рефлекси</w:t>
            </w:r>
          </w:p>
        </w:tc>
      </w:tr>
      <w:tr w:rsidR="00DB12D2" w14:paraId="07BE0869" w14:textId="77777777" w:rsidTr="007E4BDC">
        <w:tc>
          <w:tcPr>
            <w:tcW w:w="4755" w:type="dxa"/>
            <w:vAlign w:val="bottom"/>
          </w:tcPr>
          <w:p w14:paraId="7B713EF0" w14:textId="51FA87CC" w:rsidR="00DB12D2" w:rsidRPr="00072A35" w:rsidRDefault="00DB12D2" w:rsidP="00DB12D2">
            <w:pPr>
              <w:rPr>
                <w:rFonts w:cs="Arial"/>
              </w:rPr>
            </w:pPr>
            <w:r w:rsidRPr="00072A35">
              <w:rPr>
                <w:rFonts w:cs="Arial"/>
              </w:rPr>
              <w:t>Нечести</w:t>
            </w:r>
          </w:p>
        </w:tc>
        <w:tc>
          <w:tcPr>
            <w:tcW w:w="4755" w:type="dxa"/>
            <w:vAlign w:val="bottom"/>
          </w:tcPr>
          <w:p w14:paraId="42887359" w14:textId="1338821E" w:rsidR="00DB12D2" w:rsidRPr="00072A35" w:rsidRDefault="00DB12D2" w:rsidP="00DB12D2">
            <w:pPr>
              <w:rPr>
                <w:rFonts w:cs="Arial"/>
              </w:rPr>
            </w:pPr>
            <w:r w:rsidRPr="00072A35">
              <w:rPr>
                <w:rFonts w:cs="Arial"/>
              </w:rPr>
              <w:t>хипокинезия, умствено увреждане</w:t>
            </w:r>
          </w:p>
        </w:tc>
      </w:tr>
      <w:tr w:rsidR="00DB12D2" w14:paraId="25D17E19" w14:textId="77777777" w:rsidTr="007E4BDC">
        <w:tc>
          <w:tcPr>
            <w:tcW w:w="4755" w:type="dxa"/>
            <w:vAlign w:val="bottom"/>
          </w:tcPr>
          <w:p w14:paraId="205546EA" w14:textId="79E466AD" w:rsidR="00DB12D2" w:rsidRPr="00072A35" w:rsidRDefault="00DB12D2" w:rsidP="00DB12D2">
            <w:pPr>
              <w:rPr>
                <w:rFonts w:cs="Arial"/>
              </w:rPr>
            </w:pPr>
            <w:r w:rsidRPr="00072A35">
              <w:rPr>
                <w:rFonts w:cs="Arial"/>
              </w:rPr>
              <w:t>Редки</w:t>
            </w:r>
          </w:p>
        </w:tc>
        <w:tc>
          <w:tcPr>
            <w:tcW w:w="4755" w:type="dxa"/>
            <w:vAlign w:val="bottom"/>
          </w:tcPr>
          <w:p w14:paraId="028E3D47" w14:textId="4A43FA60" w:rsidR="00DB12D2" w:rsidRPr="00072A35" w:rsidRDefault="00DB12D2" w:rsidP="00DB12D2">
            <w:pPr>
              <w:rPr>
                <w:rFonts w:cs="Arial"/>
              </w:rPr>
            </w:pPr>
            <w:r w:rsidRPr="00072A35">
              <w:rPr>
                <w:rFonts w:cs="Arial"/>
              </w:rPr>
              <w:t>загуба на съзнание</w:t>
            </w:r>
          </w:p>
        </w:tc>
      </w:tr>
      <w:tr w:rsidR="00DB12D2" w14:paraId="58270770" w14:textId="77777777" w:rsidTr="007E4BDC">
        <w:tc>
          <w:tcPr>
            <w:tcW w:w="4755" w:type="dxa"/>
          </w:tcPr>
          <w:p w14:paraId="70DF4C7D" w14:textId="2CE914B6" w:rsidR="00DB12D2" w:rsidRPr="00072A35" w:rsidRDefault="00DB12D2" w:rsidP="00DB12D2">
            <w:pPr>
              <w:rPr>
                <w:rFonts w:cs="Arial"/>
              </w:rPr>
            </w:pPr>
            <w:r w:rsidRPr="00072A35">
              <w:rPr>
                <w:rFonts w:cs="Arial"/>
              </w:rPr>
              <w:t>С неизвестна честота</w:t>
            </w:r>
          </w:p>
        </w:tc>
        <w:tc>
          <w:tcPr>
            <w:tcW w:w="4755" w:type="dxa"/>
            <w:vAlign w:val="bottom"/>
          </w:tcPr>
          <w:p w14:paraId="41864C39" w14:textId="04CC49CF" w:rsidR="00DB12D2" w:rsidRPr="00072A35" w:rsidRDefault="00DB12D2" w:rsidP="00DB12D2">
            <w:pPr>
              <w:rPr>
                <w:rFonts w:cs="Arial"/>
              </w:rPr>
            </w:pPr>
            <w:r w:rsidRPr="00072A35">
              <w:rPr>
                <w:rFonts w:cs="Arial"/>
                <w:i/>
                <w:iCs/>
              </w:rPr>
              <w:t>други двигателни нарушения (напр. хореоатетоза, дискинезия, дистония)</w:t>
            </w:r>
          </w:p>
        </w:tc>
      </w:tr>
      <w:tr w:rsidR="00DB12D2" w14:paraId="3A2E7111" w14:textId="77777777" w:rsidTr="007E4BDC">
        <w:tc>
          <w:tcPr>
            <w:tcW w:w="9510" w:type="dxa"/>
            <w:gridSpan w:val="2"/>
          </w:tcPr>
          <w:p w14:paraId="1D9D64BD" w14:textId="55F8C482" w:rsidR="00DB12D2" w:rsidRPr="00072A35" w:rsidRDefault="007E4BDC" w:rsidP="0091385D">
            <w:pPr>
              <w:rPr>
                <w:rFonts w:cs="Arial"/>
              </w:rPr>
            </w:pPr>
            <w:r w:rsidRPr="00072A35">
              <w:rPr>
                <w:rFonts w:cs="Arial"/>
                <w:b/>
                <w:bCs/>
              </w:rPr>
              <w:t>Нарушения на очите</w:t>
            </w:r>
          </w:p>
        </w:tc>
      </w:tr>
      <w:tr w:rsidR="00DB12D2" w14:paraId="0F913455" w14:textId="77777777" w:rsidTr="007E4BDC">
        <w:tc>
          <w:tcPr>
            <w:tcW w:w="4755" w:type="dxa"/>
            <w:vAlign w:val="bottom"/>
          </w:tcPr>
          <w:p w14:paraId="22B45AD1" w14:textId="7CE6C2EB" w:rsidR="00DB12D2" w:rsidRPr="00072A35" w:rsidRDefault="00DB12D2" w:rsidP="00DB12D2">
            <w:pPr>
              <w:rPr>
                <w:rFonts w:cs="Arial"/>
              </w:rPr>
            </w:pPr>
            <w:r w:rsidRPr="00072A35">
              <w:rPr>
                <w:rFonts w:cs="Arial"/>
              </w:rPr>
              <w:t>Чести</w:t>
            </w:r>
          </w:p>
        </w:tc>
        <w:tc>
          <w:tcPr>
            <w:tcW w:w="4755" w:type="dxa"/>
            <w:vAlign w:val="bottom"/>
          </w:tcPr>
          <w:p w14:paraId="7C0CBBE5" w14:textId="3BD0A536" w:rsidR="00DB12D2" w:rsidRPr="00072A35" w:rsidRDefault="00DB12D2" w:rsidP="00DB12D2">
            <w:pPr>
              <w:rPr>
                <w:rFonts w:cs="Arial"/>
              </w:rPr>
            </w:pPr>
            <w:r w:rsidRPr="00072A35">
              <w:rPr>
                <w:rFonts w:cs="Arial"/>
              </w:rPr>
              <w:t>зрителни смущения като амблиопия, диплопия</w:t>
            </w:r>
          </w:p>
        </w:tc>
      </w:tr>
      <w:tr w:rsidR="00DB12D2" w14:paraId="371FC8B6" w14:textId="77777777" w:rsidTr="007E4BDC">
        <w:tc>
          <w:tcPr>
            <w:tcW w:w="9510" w:type="dxa"/>
            <w:gridSpan w:val="2"/>
          </w:tcPr>
          <w:p w14:paraId="7582D484" w14:textId="1B1D3FC4" w:rsidR="00DB12D2" w:rsidRPr="00072A35" w:rsidRDefault="007E4BDC" w:rsidP="0091385D">
            <w:pPr>
              <w:rPr>
                <w:rFonts w:cs="Arial"/>
              </w:rPr>
            </w:pPr>
            <w:r w:rsidRPr="00072A35">
              <w:rPr>
                <w:rFonts w:cs="Arial"/>
                <w:b/>
                <w:bCs/>
              </w:rPr>
              <w:t>Нарушения на ухото и лабиринта</w:t>
            </w:r>
          </w:p>
        </w:tc>
      </w:tr>
      <w:tr w:rsidR="00DB12D2" w14:paraId="3CD378F2" w14:textId="77777777" w:rsidTr="007E4BDC">
        <w:tc>
          <w:tcPr>
            <w:tcW w:w="4755" w:type="dxa"/>
            <w:vAlign w:val="bottom"/>
          </w:tcPr>
          <w:p w14:paraId="5963B23A" w14:textId="40E0C26F" w:rsidR="00DB12D2" w:rsidRPr="00072A35" w:rsidRDefault="00DB12D2" w:rsidP="00DB12D2">
            <w:pPr>
              <w:rPr>
                <w:rFonts w:cs="Arial"/>
              </w:rPr>
            </w:pPr>
            <w:r w:rsidRPr="00072A35">
              <w:rPr>
                <w:rFonts w:cs="Arial"/>
              </w:rPr>
              <w:t>Чести</w:t>
            </w:r>
          </w:p>
        </w:tc>
        <w:tc>
          <w:tcPr>
            <w:tcW w:w="4755" w:type="dxa"/>
            <w:vAlign w:val="bottom"/>
          </w:tcPr>
          <w:p w14:paraId="60B9392E" w14:textId="098FFB99" w:rsidR="00DB12D2" w:rsidRPr="00072A35" w:rsidRDefault="00DB12D2" w:rsidP="00DB12D2">
            <w:pPr>
              <w:rPr>
                <w:rFonts w:cs="Arial"/>
              </w:rPr>
            </w:pPr>
            <w:r w:rsidRPr="00072A35">
              <w:rPr>
                <w:rFonts w:cs="Arial"/>
              </w:rPr>
              <w:t>Световъртеж</w:t>
            </w:r>
          </w:p>
        </w:tc>
      </w:tr>
      <w:tr w:rsidR="00DB12D2" w14:paraId="7F4233F3" w14:textId="77777777" w:rsidTr="007E4BDC">
        <w:tc>
          <w:tcPr>
            <w:tcW w:w="4755" w:type="dxa"/>
            <w:vAlign w:val="bottom"/>
          </w:tcPr>
          <w:p w14:paraId="17D3B096" w14:textId="73B3E183" w:rsidR="00DB12D2" w:rsidRPr="00072A35" w:rsidRDefault="00DB12D2" w:rsidP="00DB12D2">
            <w:pPr>
              <w:rPr>
                <w:rFonts w:cs="Arial"/>
              </w:rPr>
            </w:pPr>
            <w:r w:rsidRPr="00072A35">
              <w:rPr>
                <w:rFonts w:cs="Arial"/>
              </w:rPr>
              <w:t>С неизвестна честота</w:t>
            </w:r>
          </w:p>
        </w:tc>
        <w:tc>
          <w:tcPr>
            <w:tcW w:w="4755" w:type="dxa"/>
            <w:vAlign w:val="bottom"/>
          </w:tcPr>
          <w:p w14:paraId="2F2A27B6" w14:textId="56DF62FD" w:rsidR="00DB12D2" w:rsidRPr="00072A35" w:rsidRDefault="00DB12D2" w:rsidP="00DB12D2">
            <w:pPr>
              <w:rPr>
                <w:rFonts w:cs="Arial"/>
              </w:rPr>
            </w:pPr>
            <w:r w:rsidRPr="00072A35">
              <w:rPr>
                <w:rFonts w:cs="Arial"/>
                <w:i/>
                <w:iCs/>
              </w:rPr>
              <w:t>Тинитус</w:t>
            </w:r>
          </w:p>
        </w:tc>
      </w:tr>
      <w:tr w:rsidR="00DB12D2" w14:paraId="6C75CC01" w14:textId="77777777" w:rsidTr="007E4BDC">
        <w:tc>
          <w:tcPr>
            <w:tcW w:w="9510" w:type="dxa"/>
            <w:gridSpan w:val="2"/>
          </w:tcPr>
          <w:p w14:paraId="29924BE1" w14:textId="721013CE" w:rsidR="00DB12D2" w:rsidRPr="00072A35" w:rsidRDefault="007E4BDC" w:rsidP="0091385D">
            <w:pPr>
              <w:rPr>
                <w:rFonts w:cs="Arial"/>
              </w:rPr>
            </w:pPr>
            <w:r w:rsidRPr="00072A35">
              <w:rPr>
                <w:rFonts w:cs="Arial"/>
                <w:b/>
                <w:bCs/>
              </w:rPr>
              <w:t>Сърдечни нарушения</w:t>
            </w:r>
          </w:p>
        </w:tc>
      </w:tr>
      <w:tr w:rsidR="00DB12D2" w14:paraId="103DB212" w14:textId="77777777" w:rsidTr="007E4BDC">
        <w:tc>
          <w:tcPr>
            <w:tcW w:w="4755" w:type="dxa"/>
            <w:vAlign w:val="center"/>
          </w:tcPr>
          <w:p w14:paraId="7E203753" w14:textId="2FF0B562" w:rsidR="00DB12D2" w:rsidRPr="00072A35" w:rsidRDefault="00DB12D2" w:rsidP="00DB12D2">
            <w:pPr>
              <w:rPr>
                <w:rFonts w:cs="Arial"/>
              </w:rPr>
            </w:pPr>
            <w:r w:rsidRPr="00072A35">
              <w:rPr>
                <w:rFonts w:cs="Arial"/>
              </w:rPr>
              <w:t>Нечести</w:t>
            </w:r>
          </w:p>
        </w:tc>
        <w:tc>
          <w:tcPr>
            <w:tcW w:w="4755" w:type="dxa"/>
            <w:vAlign w:val="center"/>
          </w:tcPr>
          <w:p w14:paraId="34F759D3" w14:textId="406B396F" w:rsidR="00DB12D2" w:rsidRPr="00072A35" w:rsidRDefault="00DB12D2" w:rsidP="00DB12D2">
            <w:pPr>
              <w:rPr>
                <w:rFonts w:cs="Arial"/>
              </w:rPr>
            </w:pPr>
            <w:r w:rsidRPr="00072A35">
              <w:rPr>
                <w:rFonts w:cs="Arial"/>
              </w:rPr>
              <w:t>Палпитации</w:t>
            </w:r>
          </w:p>
        </w:tc>
      </w:tr>
      <w:tr w:rsidR="00DB12D2" w14:paraId="7FAC04D8" w14:textId="77777777" w:rsidTr="007E4BDC">
        <w:tc>
          <w:tcPr>
            <w:tcW w:w="9510" w:type="dxa"/>
            <w:gridSpan w:val="2"/>
          </w:tcPr>
          <w:p w14:paraId="556786D2" w14:textId="638263C8" w:rsidR="00DB12D2" w:rsidRPr="00072A35" w:rsidRDefault="007E4BDC" w:rsidP="0091385D">
            <w:pPr>
              <w:rPr>
                <w:rFonts w:cs="Arial"/>
              </w:rPr>
            </w:pPr>
            <w:r w:rsidRPr="00072A35">
              <w:rPr>
                <w:rFonts w:cs="Arial"/>
                <w:b/>
                <w:bCs/>
              </w:rPr>
              <w:t>Съдови нарушения</w:t>
            </w:r>
          </w:p>
        </w:tc>
      </w:tr>
      <w:tr w:rsidR="00DB12D2" w14:paraId="2BA0A0E4" w14:textId="77777777" w:rsidTr="007E4BDC">
        <w:tc>
          <w:tcPr>
            <w:tcW w:w="4755" w:type="dxa"/>
            <w:vAlign w:val="bottom"/>
          </w:tcPr>
          <w:p w14:paraId="0542DB84" w14:textId="2E7F0F91" w:rsidR="00DB12D2" w:rsidRPr="00072A35" w:rsidRDefault="00DB12D2" w:rsidP="00DB12D2">
            <w:pPr>
              <w:rPr>
                <w:rFonts w:cs="Arial"/>
              </w:rPr>
            </w:pPr>
            <w:r w:rsidRPr="00072A35">
              <w:rPr>
                <w:rFonts w:cs="Arial"/>
              </w:rPr>
              <w:t>Чести</w:t>
            </w:r>
          </w:p>
        </w:tc>
        <w:tc>
          <w:tcPr>
            <w:tcW w:w="4755" w:type="dxa"/>
            <w:vAlign w:val="bottom"/>
          </w:tcPr>
          <w:p w14:paraId="70EC12F8" w14:textId="5B850C29" w:rsidR="00DB12D2" w:rsidRPr="00072A35" w:rsidRDefault="00DB12D2" w:rsidP="00DB12D2">
            <w:pPr>
              <w:rPr>
                <w:rFonts w:cs="Arial"/>
              </w:rPr>
            </w:pPr>
            <w:r w:rsidRPr="00072A35">
              <w:rPr>
                <w:rFonts w:cs="Arial"/>
              </w:rPr>
              <w:t>хипертония, вазодилатация</w:t>
            </w:r>
          </w:p>
        </w:tc>
      </w:tr>
      <w:tr w:rsidR="00DB12D2" w14:paraId="119AFC92" w14:textId="77777777" w:rsidTr="007E4BDC">
        <w:tc>
          <w:tcPr>
            <w:tcW w:w="9510" w:type="dxa"/>
            <w:gridSpan w:val="2"/>
          </w:tcPr>
          <w:p w14:paraId="2B9516DE" w14:textId="10B8B413" w:rsidR="00DB12D2" w:rsidRPr="00072A35" w:rsidRDefault="007E4BDC" w:rsidP="0091385D">
            <w:pPr>
              <w:rPr>
                <w:rFonts w:cs="Arial"/>
              </w:rPr>
            </w:pPr>
            <w:r w:rsidRPr="00072A35">
              <w:rPr>
                <w:rFonts w:cs="Arial"/>
                <w:b/>
                <w:bCs/>
              </w:rPr>
              <w:t>Респираторни, гръдни и медиастинални нарушения</w:t>
            </w:r>
          </w:p>
        </w:tc>
      </w:tr>
      <w:tr w:rsidR="00DB12D2" w14:paraId="367FFBAB" w14:textId="77777777" w:rsidTr="007E4BDC">
        <w:tc>
          <w:tcPr>
            <w:tcW w:w="4755" w:type="dxa"/>
            <w:vAlign w:val="bottom"/>
          </w:tcPr>
          <w:p w14:paraId="01D8302E" w14:textId="7038AEDE" w:rsidR="00DB12D2" w:rsidRPr="00072A35" w:rsidRDefault="00DB12D2" w:rsidP="00DB12D2">
            <w:pPr>
              <w:rPr>
                <w:rFonts w:cs="Arial"/>
              </w:rPr>
            </w:pPr>
            <w:r w:rsidRPr="00072A35">
              <w:rPr>
                <w:rFonts w:cs="Arial"/>
              </w:rPr>
              <w:t>Чести</w:t>
            </w:r>
          </w:p>
        </w:tc>
        <w:tc>
          <w:tcPr>
            <w:tcW w:w="4755" w:type="dxa"/>
            <w:vAlign w:val="bottom"/>
          </w:tcPr>
          <w:p w14:paraId="5DBCFE98" w14:textId="220F3551" w:rsidR="00DB12D2" w:rsidRPr="00072A35" w:rsidRDefault="00DB12D2" w:rsidP="00DB12D2">
            <w:pPr>
              <w:rPr>
                <w:rFonts w:cs="Arial"/>
              </w:rPr>
            </w:pPr>
            <w:r w:rsidRPr="00072A35">
              <w:rPr>
                <w:rFonts w:cs="Arial"/>
              </w:rPr>
              <w:t>диспнея, бронхит, фарингит, кашлица, ринит</w:t>
            </w:r>
          </w:p>
        </w:tc>
      </w:tr>
      <w:tr w:rsidR="00DB12D2" w14:paraId="51B74FA5" w14:textId="77777777" w:rsidTr="007E4BDC">
        <w:tc>
          <w:tcPr>
            <w:tcW w:w="4755" w:type="dxa"/>
            <w:vAlign w:val="bottom"/>
          </w:tcPr>
          <w:p w14:paraId="7CF7688A" w14:textId="1C4ABA24" w:rsidR="00DB12D2" w:rsidRPr="00072A35" w:rsidRDefault="00DB12D2" w:rsidP="00DB12D2">
            <w:pPr>
              <w:rPr>
                <w:rFonts w:cs="Arial"/>
              </w:rPr>
            </w:pPr>
            <w:r w:rsidRPr="00072A35">
              <w:rPr>
                <w:rFonts w:cs="Arial"/>
              </w:rPr>
              <w:t>Редки</w:t>
            </w:r>
          </w:p>
        </w:tc>
        <w:tc>
          <w:tcPr>
            <w:tcW w:w="4755" w:type="dxa"/>
            <w:vAlign w:val="bottom"/>
          </w:tcPr>
          <w:p w14:paraId="3A7265C7" w14:textId="79D3AC6D" w:rsidR="00DB12D2" w:rsidRPr="00072A35" w:rsidRDefault="00DB12D2" w:rsidP="00DB12D2">
            <w:pPr>
              <w:rPr>
                <w:rFonts w:cs="Arial"/>
              </w:rPr>
            </w:pPr>
            <w:r w:rsidRPr="00072A35">
              <w:rPr>
                <w:rFonts w:cs="Arial"/>
              </w:rPr>
              <w:t>респираторна депресия</w:t>
            </w:r>
          </w:p>
        </w:tc>
      </w:tr>
      <w:tr w:rsidR="007E4BDC" w14:paraId="571C2CD4" w14:textId="77777777" w:rsidTr="007E4BDC">
        <w:tc>
          <w:tcPr>
            <w:tcW w:w="9510" w:type="dxa"/>
            <w:gridSpan w:val="2"/>
            <w:vAlign w:val="bottom"/>
          </w:tcPr>
          <w:p w14:paraId="1A5201CF" w14:textId="41DB139A" w:rsidR="007E4BDC" w:rsidRPr="00072A35" w:rsidRDefault="007E4BDC" w:rsidP="00DB12D2">
            <w:pPr>
              <w:rPr>
                <w:rFonts w:cs="Arial"/>
              </w:rPr>
            </w:pPr>
            <w:r w:rsidRPr="00072A35">
              <w:rPr>
                <w:rFonts w:cs="Arial"/>
                <w:b/>
                <w:bCs/>
              </w:rPr>
              <w:t>Стомашно-чревни нарушения</w:t>
            </w:r>
          </w:p>
        </w:tc>
      </w:tr>
      <w:tr w:rsidR="007E4BDC" w14:paraId="33860681" w14:textId="77777777" w:rsidTr="007E4BDC">
        <w:tc>
          <w:tcPr>
            <w:tcW w:w="4755" w:type="dxa"/>
          </w:tcPr>
          <w:p w14:paraId="4F78CBED" w14:textId="5AABBC19" w:rsidR="007E4BDC" w:rsidRPr="00072A35" w:rsidRDefault="007E4BDC" w:rsidP="007E4BDC">
            <w:pPr>
              <w:rPr>
                <w:rFonts w:cs="Arial"/>
              </w:rPr>
            </w:pPr>
            <w:r w:rsidRPr="00072A35">
              <w:rPr>
                <w:rFonts w:cs="Arial"/>
              </w:rPr>
              <w:t>Чести</w:t>
            </w:r>
          </w:p>
        </w:tc>
        <w:tc>
          <w:tcPr>
            <w:tcW w:w="4755" w:type="dxa"/>
            <w:vAlign w:val="bottom"/>
          </w:tcPr>
          <w:p w14:paraId="68342540" w14:textId="095BEF44" w:rsidR="007E4BDC" w:rsidRPr="00072A35" w:rsidRDefault="007E4BDC" w:rsidP="007E4BDC">
            <w:pPr>
              <w:rPr>
                <w:rFonts w:cs="Arial"/>
              </w:rPr>
            </w:pPr>
            <w:r w:rsidRPr="00072A35">
              <w:rPr>
                <w:rFonts w:cs="Arial"/>
              </w:rPr>
              <w:t>повръщане, гадене, зъбни аномалии, гингивит, диария, коремна болка, диспепсия, запек, сухота в устата или гърлото, флатуленция</w:t>
            </w:r>
          </w:p>
        </w:tc>
      </w:tr>
      <w:tr w:rsidR="007E4BDC" w14:paraId="05A41765" w14:textId="77777777" w:rsidTr="007E4BDC">
        <w:tc>
          <w:tcPr>
            <w:tcW w:w="4755" w:type="dxa"/>
            <w:vAlign w:val="bottom"/>
          </w:tcPr>
          <w:p w14:paraId="707A2AAA" w14:textId="26F6B190" w:rsidR="007E4BDC" w:rsidRPr="00072A35" w:rsidRDefault="007E4BDC" w:rsidP="007E4BDC">
            <w:pPr>
              <w:rPr>
                <w:rFonts w:cs="Arial"/>
              </w:rPr>
            </w:pPr>
            <w:r w:rsidRPr="00072A35">
              <w:rPr>
                <w:rFonts w:cs="Arial"/>
              </w:rPr>
              <w:t>Нечести</w:t>
            </w:r>
          </w:p>
        </w:tc>
        <w:tc>
          <w:tcPr>
            <w:tcW w:w="4755" w:type="dxa"/>
            <w:vAlign w:val="bottom"/>
          </w:tcPr>
          <w:p w14:paraId="19C3BFDC" w14:textId="61069B15" w:rsidR="007E4BDC" w:rsidRPr="00072A35" w:rsidRDefault="007E4BDC" w:rsidP="007E4BDC">
            <w:pPr>
              <w:rPr>
                <w:rFonts w:cs="Arial"/>
              </w:rPr>
            </w:pPr>
            <w:r w:rsidRPr="00072A35">
              <w:rPr>
                <w:rFonts w:cs="Arial"/>
              </w:rPr>
              <w:t>Дисфагия</w:t>
            </w:r>
          </w:p>
        </w:tc>
      </w:tr>
      <w:tr w:rsidR="007E4BDC" w14:paraId="0AD8A831" w14:textId="77777777" w:rsidTr="007E4BDC">
        <w:tc>
          <w:tcPr>
            <w:tcW w:w="4755" w:type="dxa"/>
            <w:vAlign w:val="center"/>
          </w:tcPr>
          <w:p w14:paraId="6F5C9EC8" w14:textId="55785031" w:rsidR="007E4BDC" w:rsidRPr="00072A35" w:rsidRDefault="007E4BDC" w:rsidP="007E4BDC">
            <w:pPr>
              <w:rPr>
                <w:rFonts w:cs="Arial"/>
              </w:rPr>
            </w:pPr>
            <w:r w:rsidRPr="00072A35">
              <w:rPr>
                <w:rFonts w:cs="Arial"/>
              </w:rPr>
              <w:t>С неизвестна честота</w:t>
            </w:r>
          </w:p>
        </w:tc>
        <w:tc>
          <w:tcPr>
            <w:tcW w:w="4755" w:type="dxa"/>
          </w:tcPr>
          <w:p w14:paraId="03A9404C" w14:textId="77777777" w:rsidR="007E4BDC" w:rsidRPr="00072A35" w:rsidRDefault="007E4BDC" w:rsidP="007E4BDC">
            <w:pPr>
              <w:rPr>
                <w:rFonts w:cs="Arial"/>
              </w:rPr>
            </w:pPr>
          </w:p>
          <w:p w14:paraId="4F4450B2" w14:textId="0F144495" w:rsidR="007E4BDC" w:rsidRPr="00072A35" w:rsidRDefault="007E4BDC" w:rsidP="007E4BDC">
            <w:pPr>
              <w:rPr>
                <w:rFonts w:cs="Arial"/>
              </w:rPr>
            </w:pPr>
            <w:r w:rsidRPr="00072A35">
              <w:rPr>
                <w:rFonts w:cs="Arial"/>
                <w:i/>
                <w:iCs/>
              </w:rPr>
              <w:t>Панкреатит</w:t>
            </w:r>
          </w:p>
        </w:tc>
      </w:tr>
      <w:tr w:rsidR="007E4BDC" w14:paraId="4159B45A" w14:textId="77777777" w:rsidTr="007E4BDC">
        <w:tc>
          <w:tcPr>
            <w:tcW w:w="9510" w:type="dxa"/>
            <w:gridSpan w:val="2"/>
            <w:vAlign w:val="bottom"/>
          </w:tcPr>
          <w:p w14:paraId="649BA018" w14:textId="74849E72" w:rsidR="007E4BDC" w:rsidRPr="00072A35" w:rsidRDefault="007E4BDC" w:rsidP="007E4BDC">
            <w:pPr>
              <w:spacing w:line="240" w:lineRule="auto"/>
              <w:rPr>
                <w:rFonts w:eastAsia="Times New Roman" w:cs="Arial"/>
                <w:lang w:eastAsia="bg-BG"/>
              </w:rPr>
            </w:pPr>
            <w:r w:rsidRPr="007E4BDC">
              <w:rPr>
                <w:rFonts w:eastAsia="Times New Roman" w:cs="Arial"/>
                <w:b/>
                <w:bCs/>
                <w:color w:val="000000"/>
                <w:lang w:eastAsia="bg-BG"/>
              </w:rPr>
              <w:t>Хепатобилиарни нарушения</w:t>
            </w:r>
          </w:p>
        </w:tc>
      </w:tr>
      <w:tr w:rsidR="007E4BDC" w14:paraId="553448DD" w14:textId="77777777" w:rsidTr="007E4BDC">
        <w:tc>
          <w:tcPr>
            <w:tcW w:w="4755" w:type="dxa"/>
            <w:vAlign w:val="bottom"/>
          </w:tcPr>
          <w:p w14:paraId="2CCD07FF" w14:textId="3167E260" w:rsidR="007E4BDC" w:rsidRPr="00072A35" w:rsidRDefault="007E4BDC" w:rsidP="007E4BDC">
            <w:pPr>
              <w:rPr>
                <w:rFonts w:cs="Arial"/>
              </w:rPr>
            </w:pPr>
            <w:r w:rsidRPr="00072A35">
              <w:rPr>
                <w:rFonts w:cs="Arial"/>
              </w:rPr>
              <w:t>С неизвестна честота</w:t>
            </w:r>
          </w:p>
        </w:tc>
        <w:tc>
          <w:tcPr>
            <w:tcW w:w="4755" w:type="dxa"/>
            <w:vAlign w:val="bottom"/>
          </w:tcPr>
          <w:p w14:paraId="50B89B8D" w14:textId="796450F1" w:rsidR="007E4BDC" w:rsidRPr="00072A35" w:rsidRDefault="007E4BDC" w:rsidP="007E4BDC">
            <w:pPr>
              <w:rPr>
                <w:rFonts w:cs="Arial"/>
              </w:rPr>
            </w:pPr>
            <w:r w:rsidRPr="00072A35">
              <w:rPr>
                <w:rFonts w:cs="Arial"/>
                <w:i/>
                <w:iCs/>
              </w:rPr>
              <w:t>хепатит, жълтеница</w:t>
            </w:r>
          </w:p>
        </w:tc>
      </w:tr>
      <w:tr w:rsidR="007E4BDC" w14:paraId="60E74806" w14:textId="77777777" w:rsidTr="007E4BDC">
        <w:tc>
          <w:tcPr>
            <w:tcW w:w="9510" w:type="dxa"/>
            <w:gridSpan w:val="2"/>
            <w:vAlign w:val="bottom"/>
          </w:tcPr>
          <w:p w14:paraId="62FEB80A" w14:textId="71841931" w:rsidR="007E4BDC" w:rsidRPr="00072A35" w:rsidRDefault="007E4BDC" w:rsidP="00DB12D2">
            <w:pPr>
              <w:rPr>
                <w:rFonts w:cs="Arial"/>
              </w:rPr>
            </w:pPr>
            <w:r w:rsidRPr="00072A35">
              <w:rPr>
                <w:rFonts w:cs="Arial"/>
                <w:b/>
                <w:bCs/>
              </w:rPr>
              <w:lastRenderedPageBreak/>
              <w:t>Нарушения на кожата и подкожната тъкан</w:t>
            </w:r>
          </w:p>
        </w:tc>
      </w:tr>
      <w:tr w:rsidR="007E4BDC" w14:paraId="34CF74FA" w14:textId="77777777" w:rsidTr="007E4BDC">
        <w:tc>
          <w:tcPr>
            <w:tcW w:w="4755" w:type="dxa"/>
          </w:tcPr>
          <w:p w14:paraId="2716C56B" w14:textId="021A8CD8" w:rsidR="007E4BDC" w:rsidRPr="00072A35" w:rsidRDefault="007E4BDC" w:rsidP="007E4BDC">
            <w:pPr>
              <w:rPr>
                <w:rFonts w:cs="Arial"/>
              </w:rPr>
            </w:pPr>
            <w:r w:rsidRPr="00072A35">
              <w:rPr>
                <w:rFonts w:cs="Arial"/>
              </w:rPr>
              <w:t>Чести</w:t>
            </w:r>
          </w:p>
        </w:tc>
        <w:tc>
          <w:tcPr>
            <w:tcW w:w="4755" w:type="dxa"/>
            <w:vAlign w:val="bottom"/>
          </w:tcPr>
          <w:p w14:paraId="2FA05451" w14:textId="4F99FA3B" w:rsidR="007E4BDC" w:rsidRPr="00072A35" w:rsidRDefault="007E4BDC" w:rsidP="007E4BDC">
            <w:pPr>
              <w:rPr>
                <w:rFonts w:cs="Arial"/>
              </w:rPr>
            </w:pPr>
            <w:r w:rsidRPr="00072A35">
              <w:rPr>
                <w:rFonts w:cs="Arial"/>
              </w:rPr>
              <w:t>лицев едем, пурпура, често описвана като натъртване в резултат на физическа травма, обрив, пруритус, акне</w:t>
            </w:r>
          </w:p>
        </w:tc>
      </w:tr>
      <w:tr w:rsidR="007E4BDC" w14:paraId="6319B44D" w14:textId="77777777" w:rsidTr="007E4BDC">
        <w:tc>
          <w:tcPr>
            <w:tcW w:w="4755" w:type="dxa"/>
          </w:tcPr>
          <w:p w14:paraId="196080AD" w14:textId="61219961" w:rsidR="007E4BDC" w:rsidRPr="00072A35" w:rsidRDefault="007E4BDC" w:rsidP="007E4BDC">
            <w:pPr>
              <w:rPr>
                <w:rFonts w:cs="Arial"/>
              </w:rPr>
            </w:pPr>
            <w:r w:rsidRPr="00072A35">
              <w:rPr>
                <w:rFonts w:cs="Arial"/>
              </w:rPr>
              <w:t>С неизвестна честота</w:t>
            </w:r>
          </w:p>
        </w:tc>
        <w:tc>
          <w:tcPr>
            <w:tcW w:w="4755" w:type="dxa"/>
            <w:vAlign w:val="bottom"/>
          </w:tcPr>
          <w:p w14:paraId="26353AB3" w14:textId="6105F6F4" w:rsidR="007E4BDC" w:rsidRPr="00072A35" w:rsidRDefault="007E4BDC" w:rsidP="007E4BDC">
            <w:pPr>
              <w:rPr>
                <w:rFonts w:cs="Arial"/>
              </w:rPr>
            </w:pPr>
            <w:r w:rsidRPr="00072A35">
              <w:rPr>
                <w:rFonts w:cs="Arial"/>
                <w:i/>
                <w:iCs/>
              </w:rPr>
              <w:t xml:space="preserve">синдром на </w:t>
            </w:r>
            <w:r w:rsidRPr="00072A35">
              <w:rPr>
                <w:rFonts w:cs="Arial"/>
                <w:i/>
                <w:iCs/>
                <w:lang w:val="en-US"/>
              </w:rPr>
              <w:t xml:space="preserve">Stevens-Johnson, </w:t>
            </w:r>
            <w:r w:rsidRPr="00072A35">
              <w:rPr>
                <w:rFonts w:cs="Arial"/>
                <w:i/>
                <w:iCs/>
              </w:rPr>
              <w:t xml:space="preserve">ангиоедем,, </w:t>
            </w:r>
            <w:r w:rsidRPr="00072A35">
              <w:rPr>
                <w:rFonts w:cs="Arial"/>
              </w:rPr>
              <w:t>еритема мултиформе,</w:t>
            </w:r>
            <w:r w:rsidRPr="00072A35">
              <w:rPr>
                <w:rFonts w:cs="Arial"/>
                <w:i/>
                <w:iCs/>
              </w:rPr>
              <w:t xml:space="preserve"> алопеция, лекарствен обрив с еозинофилия и системни симптоми (вж. точка 4.4)</w:t>
            </w:r>
          </w:p>
        </w:tc>
      </w:tr>
      <w:tr w:rsidR="007E4BDC" w14:paraId="3CEDD6B8" w14:textId="77777777" w:rsidTr="004D3EF1">
        <w:tc>
          <w:tcPr>
            <w:tcW w:w="9510" w:type="dxa"/>
            <w:gridSpan w:val="2"/>
            <w:vAlign w:val="bottom"/>
          </w:tcPr>
          <w:p w14:paraId="584DD4E9" w14:textId="01B42381" w:rsidR="007E4BDC" w:rsidRPr="00072A35" w:rsidRDefault="007E4BDC" w:rsidP="00DB12D2">
            <w:pPr>
              <w:rPr>
                <w:rFonts w:cs="Arial"/>
              </w:rPr>
            </w:pPr>
            <w:r w:rsidRPr="00072A35">
              <w:rPr>
                <w:rFonts w:cs="Arial"/>
                <w:b/>
                <w:bCs/>
              </w:rPr>
              <w:t>Нарушения на мускулно-скелетната система и съединителната тъкан</w:t>
            </w:r>
          </w:p>
        </w:tc>
      </w:tr>
      <w:tr w:rsidR="007E4BDC" w14:paraId="584B3C4B" w14:textId="77777777" w:rsidTr="007E4BDC">
        <w:tc>
          <w:tcPr>
            <w:tcW w:w="4755" w:type="dxa"/>
          </w:tcPr>
          <w:p w14:paraId="0690B464" w14:textId="66325ED8" w:rsidR="007E4BDC" w:rsidRPr="00072A35" w:rsidRDefault="007E4BDC" w:rsidP="0091385D">
            <w:pPr>
              <w:rPr>
                <w:rFonts w:cs="Arial"/>
              </w:rPr>
            </w:pPr>
            <w:r w:rsidRPr="00072A35">
              <w:rPr>
                <w:rFonts w:cs="Arial"/>
              </w:rPr>
              <w:t>Чести</w:t>
            </w:r>
          </w:p>
        </w:tc>
        <w:tc>
          <w:tcPr>
            <w:tcW w:w="4755" w:type="dxa"/>
          </w:tcPr>
          <w:p w14:paraId="78651107" w14:textId="17F0666A" w:rsidR="007E4BDC" w:rsidRPr="00072A35" w:rsidRDefault="007E4BDC" w:rsidP="0091385D">
            <w:pPr>
              <w:rPr>
                <w:rFonts w:cs="Arial"/>
              </w:rPr>
            </w:pPr>
            <w:r w:rsidRPr="00072A35">
              <w:rPr>
                <w:rFonts w:cs="Arial"/>
              </w:rPr>
              <w:t>артралгия, миалгия, болка в гърба, мускулно потрепване</w:t>
            </w:r>
          </w:p>
        </w:tc>
      </w:tr>
      <w:tr w:rsidR="007E4BDC" w14:paraId="3F98A51E" w14:textId="77777777" w:rsidTr="007E4BDC">
        <w:tc>
          <w:tcPr>
            <w:tcW w:w="4755" w:type="dxa"/>
          </w:tcPr>
          <w:p w14:paraId="5954E1BC" w14:textId="5150A431" w:rsidR="007E4BDC" w:rsidRPr="00072A35" w:rsidRDefault="007E4BDC" w:rsidP="007E4BDC">
            <w:pPr>
              <w:rPr>
                <w:rFonts w:cs="Arial"/>
              </w:rPr>
            </w:pPr>
            <w:r w:rsidRPr="00072A35">
              <w:rPr>
                <w:rFonts w:cs="Arial"/>
              </w:rPr>
              <w:t>С неизвестна честота</w:t>
            </w:r>
          </w:p>
        </w:tc>
        <w:tc>
          <w:tcPr>
            <w:tcW w:w="4755" w:type="dxa"/>
          </w:tcPr>
          <w:p w14:paraId="2864D6FE" w14:textId="1DB7C724" w:rsidR="007E4BDC" w:rsidRPr="00072A35" w:rsidRDefault="007E4BDC" w:rsidP="007E4BDC">
            <w:pPr>
              <w:rPr>
                <w:rFonts w:cs="Arial"/>
              </w:rPr>
            </w:pPr>
            <w:r w:rsidRPr="00072A35">
              <w:rPr>
                <w:rFonts w:cs="Arial"/>
                <w:i/>
                <w:iCs/>
              </w:rPr>
              <w:t>рабдомиолиза, миоклонус</w:t>
            </w:r>
          </w:p>
        </w:tc>
      </w:tr>
      <w:tr w:rsidR="007E4BDC" w14:paraId="3F79A40E" w14:textId="77777777" w:rsidTr="00F84FD3">
        <w:tc>
          <w:tcPr>
            <w:tcW w:w="9510" w:type="dxa"/>
            <w:gridSpan w:val="2"/>
          </w:tcPr>
          <w:p w14:paraId="3C706904" w14:textId="4558A23B" w:rsidR="007E4BDC" w:rsidRPr="00072A35" w:rsidRDefault="007E4BDC" w:rsidP="0091385D">
            <w:pPr>
              <w:rPr>
                <w:rFonts w:cs="Arial"/>
              </w:rPr>
            </w:pPr>
            <w:r w:rsidRPr="00072A35">
              <w:rPr>
                <w:rFonts w:cs="Arial"/>
                <w:b/>
                <w:bCs/>
              </w:rPr>
              <w:t>Нарушения на бъбреците и пикочните пътища</w:t>
            </w:r>
          </w:p>
        </w:tc>
      </w:tr>
      <w:tr w:rsidR="007E4BDC" w14:paraId="2225FCE7" w14:textId="77777777" w:rsidTr="007E4BDC">
        <w:tc>
          <w:tcPr>
            <w:tcW w:w="4755" w:type="dxa"/>
          </w:tcPr>
          <w:p w14:paraId="3897929D" w14:textId="22A3FCA5" w:rsidR="007E4BDC" w:rsidRPr="00072A35" w:rsidRDefault="007E4BDC" w:rsidP="007E4BDC">
            <w:pPr>
              <w:rPr>
                <w:rFonts w:cs="Arial"/>
              </w:rPr>
            </w:pPr>
            <w:r w:rsidRPr="00072A35">
              <w:rPr>
                <w:rFonts w:cs="Arial"/>
              </w:rPr>
              <w:t>С неизвестна честота</w:t>
            </w:r>
          </w:p>
        </w:tc>
        <w:tc>
          <w:tcPr>
            <w:tcW w:w="4755" w:type="dxa"/>
          </w:tcPr>
          <w:p w14:paraId="29E06F99" w14:textId="082003D6" w:rsidR="007E4BDC" w:rsidRPr="00072A35" w:rsidRDefault="007E4BDC" w:rsidP="007E4BDC">
            <w:pPr>
              <w:rPr>
                <w:rFonts w:cs="Arial"/>
              </w:rPr>
            </w:pPr>
            <w:r w:rsidRPr="00072A35">
              <w:rPr>
                <w:rFonts w:cs="Arial"/>
                <w:i/>
                <w:iCs/>
              </w:rPr>
              <w:t>остра бъбречна недостатъчност, инконтиненция</w:t>
            </w:r>
          </w:p>
        </w:tc>
      </w:tr>
      <w:tr w:rsidR="007E4BDC" w14:paraId="0920AFD3" w14:textId="77777777" w:rsidTr="004823FD">
        <w:tc>
          <w:tcPr>
            <w:tcW w:w="9510" w:type="dxa"/>
            <w:gridSpan w:val="2"/>
          </w:tcPr>
          <w:p w14:paraId="61760EBF" w14:textId="6601DC39" w:rsidR="007E4BDC" w:rsidRPr="00072A35" w:rsidRDefault="007E4BDC" w:rsidP="0091385D">
            <w:pPr>
              <w:rPr>
                <w:rFonts w:cs="Arial"/>
              </w:rPr>
            </w:pPr>
            <w:r w:rsidRPr="00072A35">
              <w:rPr>
                <w:rFonts w:cs="Arial"/>
                <w:b/>
                <w:bCs/>
              </w:rPr>
              <w:t>Нарушения на възпроизводителната система и гърдата</w:t>
            </w:r>
          </w:p>
        </w:tc>
      </w:tr>
      <w:tr w:rsidR="007E4BDC" w14:paraId="532F9FEF" w14:textId="77777777" w:rsidTr="007E4BDC">
        <w:tc>
          <w:tcPr>
            <w:tcW w:w="4755" w:type="dxa"/>
          </w:tcPr>
          <w:p w14:paraId="4605DD7C" w14:textId="6C70B4E1" w:rsidR="007E4BDC" w:rsidRPr="00072A35" w:rsidRDefault="007E4BDC" w:rsidP="007E4BDC">
            <w:pPr>
              <w:rPr>
                <w:rFonts w:cs="Arial"/>
              </w:rPr>
            </w:pPr>
            <w:r w:rsidRPr="00072A35">
              <w:rPr>
                <w:rFonts w:cs="Arial"/>
              </w:rPr>
              <w:t>Чести</w:t>
            </w:r>
          </w:p>
        </w:tc>
        <w:tc>
          <w:tcPr>
            <w:tcW w:w="4755" w:type="dxa"/>
          </w:tcPr>
          <w:p w14:paraId="6A0EC1D9" w14:textId="3AD80BFB" w:rsidR="007E4BDC" w:rsidRPr="00072A35" w:rsidRDefault="007E4BDC" w:rsidP="007E4BDC">
            <w:pPr>
              <w:rPr>
                <w:rFonts w:cs="Arial"/>
              </w:rPr>
            </w:pPr>
            <w:r w:rsidRPr="00072A35">
              <w:rPr>
                <w:rFonts w:cs="Arial"/>
              </w:rPr>
              <w:t>импотентност</w:t>
            </w:r>
          </w:p>
        </w:tc>
      </w:tr>
      <w:tr w:rsidR="007E4BDC" w14:paraId="49C4A819" w14:textId="77777777" w:rsidTr="007E4BDC">
        <w:tc>
          <w:tcPr>
            <w:tcW w:w="4755" w:type="dxa"/>
          </w:tcPr>
          <w:p w14:paraId="65178890" w14:textId="0D5079EC" w:rsidR="007E4BDC" w:rsidRPr="00072A35" w:rsidRDefault="007E4BDC" w:rsidP="007E4BDC">
            <w:pPr>
              <w:rPr>
                <w:rFonts w:cs="Arial"/>
              </w:rPr>
            </w:pPr>
            <w:r w:rsidRPr="00072A35">
              <w:rPr>
                <w:rFonts w:cs="Arial"/>
              </w:rPr>
              <w:t>С неизвестна честота</w:t>
            </w:r>
          </w:p>
        </w:tc>
        <w:tc>
          <w:tcPr>
            <w:tcW w:w="4755" w:type="dxa"/>
          </w:tcPr>
          <w:p w14:paraId="52DED600" w14:textId="63620F20" w:rsidR="007E4BDC" w:rsidRPr="00072A35" w:rsidRDefault="007E4BDC" w:rsidP="007E4BDC">
            <w:pPr>
              <w:rPr>
                <w:rFonts w:cs="Arial"/>
              </w:rPr>
            </w:pPr>
            <w:r w:rsidRPr="00072A35">
              <w:rPr>
                <w:rFonts w:cs="Arial"/>
                <w:i/>
                <w:iCs/>
              </w:rPr>
              <w:t>хипертрофия на гърдата, гинекомастия, сексуална дисфункция (включително промени в либидото, нарушения на еякулацията и аноргазмия)</w:t>
            </w:r>
          </w:p>
        </w:tc>
      </w:tr>
      <w:tr w:rsidR="007E4BDC" w14:paraId="638926CC" w14:textId="77777777" w:rsidTr="00EC3A5E">
        <w:tc>
          <w:tcPr>
            <w:tcW w:w="9510" w:type="dxa"/>
            <w:gridSpan w:val="2"/>
          </w:tcPr>
          <w:p w14:paraId="5B6241F4" w14:textId="2E2B84E9" w:rsidR="007E4BDC" w:rsidRPr="00072A35" w:rsidRDefault="007E4BDC" w:rsidP="0091385D">
            <w:pPr>
              <w:rPr>
                <w:rFonts w:cs="Arial"/>
              </w:rPr>
            </w:pPr>
            <w:r w:rsidRPr="00072A35">
              <w:rPr>
                <w:rFonts w:cs="Arial"/>
                <w:b/>
                <w:bCs/>
              </w:rPr>
              <w:t>Общи нарушения и ефекти на мястото на приложение</w:t>
            </w:r>
          </w:p>
        </w:tc>
      </w:tr>
      <w:tr w:rsidR="007E4BDC" w14:paraId="26AE6DC3" w14:textId="77777777" w:rsidTr="007E4BDC">
        <w:tc>
          <w:tcPr>
            <w:tcW w:w="4755" w:type="dxa"/>
          </w:tcPr>
          <w:p w14:paraId="1FA2554D" w14:textId="27031EAB" w:rsidR="007E4BDC" w:rsidRPr="00072A35" w:rsidRDefault="007E4BDC" w:rsidP="007E4BDC">
            <w:pPr>
              <w:rPr>
                <w:rFonts w:cs="Arial"/>
              </w:rPr>
            </w:pPr>
            <w:r w:rsidRPr="00072A35">
              <w:rPr>
                <w:rFonts w:cs="Arial"/>
              </w:rPr>
              <w:t>Много чести</w:t>
            </w:r>
          </w:p>
        </w:tc>
        <w:tc>
          <w:tcPr>
            <w:tcW w:w="4755" w:type="dxa"/>
          </w:tcPr>
          <w:p w14:paraId="31AF21BF" w14:textId="3DBC5FBC" w:rsidR="007E4BDC" w:rsidRPr="00072A35" w:rsidRDefault="007E4BDC" w:rsidP="007E4BDC">
            <w:pPr>
              <w:rPr>
                <w:rFonts w:cs="Arial"/>
              </w:rPr>
            </w:pPr>
            <w:r w:rsidRPr="00072A35">
              <w:rPr>
                <w:rFonts w:cs="Arial"/>
              </w:rPr>
              <w:t>умора, треска</w:t>
            </w:r>
          </w:p>
        </w:tc>
      </w:tr>
      <w:tr w:rsidR="007E4BDC" w14:paraId="191173D3" w14:textId="77777777" w:rsidTr="007E4BDC">
        <w:tc>
          <w:tcPr>
            <w:tcW w:w="4755" w:type="dxa"/>
          </w:tcPr>
          <w:p w14:paraId="0CB58F5C" w14:textId="7EB1926C" w:rsidR="007E4BDC" w:rsidRPr="00072A35" w:rsidRDefault="007E4BDC" w:rsidP="007E4BDC">
            <w:pPr>
              <w:rPr>
                <w:rFonts w:cs="Arial"/>
              </w:rPr>
            </w:pPr>
            <w:r w:rsidRPr="00072A35">
              <w:rPr>
                <w:rFonts w:cs="Arial"/>
              </w:rPr>
              <w:t>Чести</w:t>
            </w:r>
          </w:p>
        </w:tc>
        <w:tc>
          <w:tcPr>
            <w:tcW w:w="4755" w:type="dxa"/>
          </w:tcPr>
          <w:p w14:paraId="2C4974C5" w14:textId="7D4B4559" w:rsidR="007E4BDC" w:rsidRPr="00072A35" w:rsidRDefault="007E4BDC" w:rsidP="007E4BDC">
            <w:pPr>
              <w:rPr>
                <w:rFonts w:cs="Arial"/>
              </w:rPr>
            </w:pPr>
            <w:r w:rsidRPr="00072A35">
              <w:rPr>
                <w:rFonts w:cs="Arial"/>
              </w:rPr>
              <w:t>периферен едем, нарушена походка, астения, болка, общо неразположение, грипоподобен синдром</w:t>
            </w:r>
          </w:p>
        </w:tc>
      </w:tr>
      <w:tr w:rsidR="007E4BDC" w14:paraId="02E4E276" w14:textId="77777777" w:rsidTr="007E4BDC">
        <w:tc>
          <w:tcPr>
            <w:tcW w:w="4755" w:type="dxa"/>
          </w:tcPr>
          <w:p w14:paraId="4D95195A" w14:textId="4BB05AF2" w:rsidR="007E4BDC" w:rsidRPr="00072A35" w:rsidRDefault="007E4BDC" w:rsidP="007E4BDC">
            <w:pPr>
              <w:rPr>
                <w:rFonts w:cs="Arial"/>
              </w:rPr>
            </w:pPr>
            <w:r w:rsidRPr="00072A35">
              <w:rPr>
                <w:rFonts w:cs="Arial"/>
              </w:rPr>
              <w:t>Нечести</w:t>
            </w:r>
          </w:p>
        </w:tc>
        <w:tc>
          <w:tcPr>
            <w:tcW w:w="4755" w:type="dxa"/>
          </w:tcPr>
          <w:p w14:paraId="6BFA7845" w14:textId="479DDA3E" w:rsidR="007E4BDC" w:rsidRPr="00072A35" w:rsidRDefault="007E4BDC" w:rsidP="007E4BDC">
            <w:pPr>
              <w:rPr>
                <w:rFonts w:cs="Arial"/>
              </w:rPr>
            </w:pPr>
            <w:r w:rsidRPr="00072A35">
              <w:rPr>
                <w:rFonts w:cs="Arial"/>
              </w:rPr>
              <w:t>генерализиран едем</w:t>
            </w:r>
          </w:p>
        </w:tc>
      </w:tr>
      <w:tr w:rsidR="007E4BDC" w14:paraId="7D795446" w14:textId="77777777" w:rsidTr="007E4BDC">
        <w:tc>
          <w:tcPr>
            <w:tcW w:w="4755" w:type="dxa"/>
          </w:tcPr>
          <w:p w14:paraId="21D071DB" w14:textId="0DCA5EAF" w:rsidR="007E4BDC" w:rsidRPr="00072A35" w:rsidRDefault="007E4BDC" w:rsidP="007E4BDC">
            <w:pPr>
              <w:rPr>
                <w:rFonts w:cs="Arial"/>
              </w:rPr>
            </w:pPr>
            <w:r w:rsidRPr="00072A35">
              <w:rPr>
                <w:rFonts w:cs="Arial"/>
              </w:rPr>
              <w:t>С неизвестна честота</w:t>
            </w:r>
          </w:p>
        </w:tc>
        <w:tc>
          <w:tcPr>
            <w:tcW w:w="4755" w:type="dxa"/>
          </w:tcPr>
          <w:p w14:paraId="54AC9FBF" w14:textId="279F111B" w:rsidR="007E4BDC" w:rsidRPr="00072A35" w:rsidRDefault="007E4BDC" w:rsidP="007E4BDC">
            <w:pPr>
              <w:rPr>
                <w:rFonts w:cs="Arial"/>
              </w:rPr>
            </w:pPr>
            <w:r w:rsidRPr="00072A35">
              <w:rPr>
                <w:rFonts w:cs="Arial"/>
                <w:i/>
                <w:iCs/>
              </w:rPr>
              <w:t>реакции на отнемане (най-често тревожност, безсъние, гадене, болки, изпотяване), гръдна болка. Съобщава се за случаи на внезапна, необяснима смърт, като причинно-следствена връзка с лечението с габапентин не е установена.</w:t>
            </w:r>
          </w:p>
        </w:tc>
      </w:tr>
      <w:tr w:rsidR="007E4BDC" w14:paraId="7F1A29B0" w14:textId="77777777" w:rsidTr="000C429F">
        <w:trPr>
          <w:trHeight w:val="746"/>
        </w:trPr>
        <w:tc>
          <w:tcPr>
            <w:tcW w:w="4755" w:type="dxa"/>
          </w:tcPr>
          <w:p w14:paraId="32A3053B" w14:textId="40FB15E4" w:rsidR="007E4BDC" w:rsidRPr="00072A35" w:rsidRDefault="007E4BDC" w:rsidP="007E4BDC">
            <w:pPr>
              <w:rPr>
                <w:rFonts w:cs="Arial"/>
              </w:rPr>
            </w:pPr>
            <w:r w:rsidRPr="00072A35">
              <w:rPr>
                <w:rFonts w:cs="Arial"/>
              </w:rPr>
              <w:t>Чести</w:t>
            </w:r>
          </w:p>
        </w:tc>
        <w:tc>
          <w:tcPr>
            <w:tcW w:w="4755" w:type="dxa"/>
          </w:tcPr>
          <w:p w14:paraId="330C6F64" w14:textId="41D141CF" w:rsidR="007E4BDC" w:rsidRPr="00072A35" w:rsidRDefault="007E4BDC" w:rsidP="007E4BDC">
            <w:pPr>
              <w:rPr>
                <w:rFonts w:cs="Arial"/>
              </w:rPr>
            </w:pPr>
            <w:r w:rsidRPr="00072A35">
              <w:rPr>
                <w:rFonts w:cs="Arial"/>
              </w:rPr>
              <w:t>намален брой бели кръвни клетки(левкоцити), покачване на телесното тегло</w:t>
            </w:r>
          </w:p>
        </w:tc>
      </w:tr>
      <w:tr w:rsidR="007E4BDC" w14:paraId="625D15E5" w14:textId="77777777" w:rsidTr="007E4BDC">
        <w:tc>
          <w:tcPr>
            <w:tcW w:w="4755" w:type="dxa"/>
          </w:tcPr>
          <w:p w14:paraId="4ACC8547" w14:textId="7502003B" w:rsidR="007E4BDC" w:rsidRPr="00072A35" w:rsidRDefault="007E4BDC" w:rsidP="007E4BDC">
            <w:pPr>
              <w:rPr>
                <w:rFonts w:cs="Arial"/>
              </w:rPr>
            </w:pPr>
            <w:r w:rsidRPr="00072A35">
              <w:rPr>
                <w:rFonts w:cs="Arial"/>
              </w:rPr>
              <w:t>Нечести</w:t>
            </w:r>
          </w:p>
        </w:tc>
        <w:tc>
          <w:tcPr>
            <w:tcW w:w="4755" w:type="dxa"/>
          </w:tcPr>
          <w:p w14:paraId="2321CA5D" w14:textId="68CFD3AA" w:rsidR="007E4BDC" w:rsidRPr="00072A35" w:rsidRDefault="007E4BDC" w:rsidP="007E4BDC">
            <w:pPr>
              <w:rPr>
                <w:rFonts w:cs="Arial"/>
              </w:rPr>
            </w:pPr>
            <w:r w:rsidRPr="00072A35">
              <w:rPr>
                <w:rFonts w:cs="Arial"/>
              </w:rPr>
              <w:t>повишени стойности на чернодробните функционални тестове СГОТ (АСАТ), СГПТ (АЛАТ) и билирубин</w:t>
            </w:r>
          </w:p>
        </w:tc>
      </w:tr>
      <w:tr w:rsidR="007E4BDC" w14:paraId="44813AEC" w14:textId="77777777" w:rsidTr="007E4BDC">
        <w:tc>
          <w:tcPr>
            <w:tcW w:w="4755" w:type="dxa"/>
          </w:tcPr>
          <w:p w14:paraId="281DD04E" w14:textId="2C58A2B0" w:rsidR="007E4BDC" w:rsidRPr="00072A35" w:rsidRDefault="007E4BDC" w:rsidP="007E4BDC">
            <w:pPr>
              <w:spacing w:line="240" w:lineRule="auto"/>
              <w:rPr>
                <w:rFonts w:eastAsia="Times New Roman" w:cs="Arial"/>
                <w:lang w:eastAsia="bg-BG"/>
              </w:rPr>
            </w:pPr>
            <w:r w:rsidRPr="007E4BDC">
              <w:rPr>
                <w:rFonts w:eastAsia="Times New Roman" w:cs="Arial"/>
                <w:color w:val="000000"/>
                <w:lang w:eastAsia="bg-BG"/>
              </w:rPr>
              <w:t>С неизвестна честота</w:t>
            </w:r>
          </w:p>
        </w:tc>
        <w:tc>
          <w:tcPr>
            <w:tcW w:w="4755" w:type="dxa"/>
          </w:tcPr>
          <w:p w14:paraId="1ACCF936" w14:textId="38FC62FC" w:rsidR="007E4BDC" w:rsidRPr="00072A35" w:rsidRDefault="007E4BDC" w:rsidP="0091385D">
            <w:pPr>
              <w:rPr>
                <w:rFonts w:cs="Arial"/>
              </w:rPr>
            </w:pPr>
            <w:r w:rsidRPr="00072A35">
              <w:rPr>
                <w:rFonts w:cs="Arial"/>
                <w:i/>
                <w:iCs/>
              </w:rPr>
              <w:t>повишена креатин фосфокиназа в кръвта</w:t>
            </w:r>
          </w:p>
        </w:tc>
      </w:tr>
      <w:tr w:rsidR="007E4BDC" w14:paraId="36FC9E14" w14:textId="77777777" w:rsidTr="000A2A5B">
        <w:tc>
          <w:tcPr>
            <w:tcW w:w="9510" w:type="dxa"/>
            <w:gridSpan w:val="2"/>
          </w:tcPr>
          <w:p w14:paraId="1C8F0D44" w14:textId="67CBF9D2" w:rsidR="007E4BDC" w:rsidRPr="00072A35" w:rsidRDefault="007E4BDC" w:rsidP="0091385D">
            <w:pPr>
              <w:rPr>
                <w:rFonts w:cs="Arial"/>
              </w:rPr>
            </w:pPr>
            <w:r w:rsidRPr="00072A35">
              <w:rPr>
                <w:rFonts w:cs="Arial"/>
                <w:b/>
                <w:bCs/>
              </w:rPr>
              <w:t>Травми, отравяния и ннтервенции възникнали в резултат на усложнения</w:t>
            </w:r>
          </w:p>
        </w:tc>
      </w:tr>
      <w:tr w:rsidR="007E4BDC" w14:paraId="2065FFEF" w14:textId="77777777" w:rsidTr="007E4BDC">
        <w:tc>
          <w:tcPr>
            <w:tcW w:w="4755" w:type="dxa"/>
          </w:tcPr>
          <w:p w14:paraId="14493DD5" w14:textId="236DFA2C" w:rsidR="007E4BDC" w:rsidRPr="00072A35" w:rsidRDefault="007E4BDC" w:rsidP="0091385D">
            <w:pPr>
              <w:rPr>
                <w:rFonts w:cs="Arial"/>
              </w:rPr>
            </w:pPr>
            <w:r w:rsidRPr="00072A35">
              <w:rPr>
                <w:rFonts w:cs="Arial"/>
              </w:rPr>
              <w:t>Чести</w:t>
            </w:r>
          </w:p>
        </w:tc>
        <w:tc>
          <w:tcPr>
            <w:tcW w:w="4755" w:type="dxa"/>
          </w:tcPr>
          <w:p w14:paraId="58D5E2AE" w14:textId="41788C0E" w:rsidR="007E4BDC" w:rsidRPr="00072A35" w:rsidRDefault="00072A35" w:rsidP="0091385D">
            <w:pPr>
              <w:rPr>
                <w:rFonts w:cs="Arial"/>
              </w:rPr>
            </w:pPr>
            <w:r w:rsidRPr="00072A35">
              <w:rPr>
                <w:rFonts w:cs="Arial"/>
              </w:rPr>
              <w:t>инцидентно нараняване, фрактура, абразия</w:t>
            </w:r>
          </w:p>
        </w:tc>
      </w:tr>
      <w:tr w:rsidR="007E4BDC" w14:paraId="6012C397" w14:textId="77777777" w:rsidTr="007E4BDC">
        <w:tc>
          <w:tcPr>
            <w:tcW w:w="4755" w:type="dxa"/>
          </w:tcPr>
          <w:p w14:paraId="39AB6838" w14:textId="77777777" w:rsidR="007E4BDC" w:rsidRPr="007E4BDC" w:rsidRDefault="007E4BDC" w:rsidP="007E4BDC">
            <w:pPr>
              <w:spacing w:line="240" w:lineRule="auto"/>
              <w:rPr>
                <w:rFonts w:eastAsia="Times New Roman" w:cs="Arial"/>
                <w:lang w:eastAsia="bg-BG"/>
              </w:rPr>
            </w:pPr>
            <w:r w:rsidRPr="007E4BDC">
              <w:rPr>
                <w:rFonts w:eastAsia="Times New Roman" w:cs="Arial"/>
                <w:color w:val="000000"/>
                <w:lang w:eastAsia="bg-BG"/>
              </w:rPr>
              <w:t>Нечести</w:t>
            </w:r>
          </w:p>
          <w:p w14:paraId="04183BAF" w14:textId="77777777" w:rsidR="007E4BDC" w:rsidRPr="00072A35" w:rsidRDefault="007E4BDC" w:rsidP="0091385D">
            <w:pPr>
              <w:rPr>
                <w:rFonts w:cs="Arial"/>
              </w:rPr>
            </w:pPr>
          </w:p>
        </w:tc>
        <w:tc>
          <w:tcPr>
            <w:tcW w:w="4755" w:type="dxa"/>
          </w:tcPr>
          <w:p w14:paraId="30B66378" w14:textId="3434669F" w:rsidR="007E4BDC" w:rsidRPr="00072A35" w:rsidRDefault="00072A35" w:rsidP="0091385D">
            <w:pPr>
              <w:rPr>
                <w:rFonts w:cs="Arial"/>
              </w:rPr>
            </w:pPr>
            <w:r w:rsidRPr="00072A35">
              <w:rPr>
                <w:rFonts w:cs="Arial"/>
              </w:rPr>
              <w:t>Падане</w:t>
            </w:r>
          </w:p>
        </w:tc>
      </w:tr>
    </w:tbl>
    <w:p w14:paraId="1F875EB9" w14:textId="69775382" w:rsidR="00DB12D2" w:rsidRDefault="00DB12D2" w:rsidP="0091385D"/>
    <w:p w14:paraId="33BC491D" w14:textId="77777777" w:rsidR="00072A35" w:rsidRPr="00072A35" w:rsidRDefault="00072A35" w:rsidP="00072A35">
      <w:pPr>
        <w:spacing w:line="240" w:lineRule="auto"/>
        <w:rPr>
          <w:rFonts w:eastAsia="Times New Roman" w:cs="Arial"/>
          <w:sz w:val="28"/>
          <w:szCs w:val="24"/>
          <w:lang w:eastAsia="bg-BG"/>
        </w:rPr>
      </w:pPr>
      <w:r w:rsidRPr="00072A35">
        <w:rPr>
          <w:rFonts w:eastAsia="Times New Roman" w:cs="Arial"/>
          <w:color w:val="000000"/>
          <w:szCs w:val="20"/>
          <w:lang w:eastAsia="bg-BG"/>
        </w:rPr>
        <w:t>По време на лечението с габапентин се съобщава за случаи на остър панкреатит. Връзката с габапентин е неясна (вж. точка 4.4).</w:t>
      </w:r>
    </w:p>
    <w:p w14:paraId="567DBF6C" w14:textId="77777777" w:rsidR="00072A35" w:rsidRPr="00072A35" w:rsidRDefault="00072A35" w:rsidP="00072A35">
      <w:pPr>
        <w:spacing w:line="240" w:lineRule="auto"/>
        <w:rPr>
          <w:rFonts w:eastAsia="Times New Roman" w:cs="Arial"/>
          <w:color w:val="000000"/>
          <w:szCs w:val="20"/>
          <w:lang w:eastAsia="bg-BG"/>
        </w:rPr>
      </w:pPr>
    </w:p>
    <w:p w14:paraId="594DAB29" w14:textId="4E05FB12" w:rsidR="00072A35" w:rsidRPr="00072A35" w:rsidRDefault="00072A35" w:rsidP="00072A35">
      <w:pPr>
        <w:spacing w:line="240" w:lineRule="auto"/>
        <w:rPr>
          <w:rFonts w:eastAsia="Times New Roman" w:cs="Arial"/>
          <w:sz w:val="28"/>
          <w:szCs w:val="24"/>
          <w:lang w:eastAsia="bg-BG"/>
        </w:rPr>
      </w:pPr>
      <w:r w:rsidRPr="00072A35">
        <w:rPr>
          <w:rFonts w:eastAsia="Times New Roman" w:cs="Arial"/>
          <w:color w:val="000000"/>
          <w:szCs w:val="20"/>
          <w:lang w:eastAsia="bg-BG"/>
        </w:rPr>
        <w:t xml:space="preserve">При пациенти </w:t>
      </w:r>
      <w:r w:rsidRPr="00072A35">
        <w:rPr>
          <w:rFonts w:eastAsia="Times New Roman" w:cs="Arial"/>
          <w:i/>
          <w:iCs/>
          <w:color w:val="000000"/>
          <w:szCs w:val="20"/>
          <w:lang w:eastAsia="bg-BG"/>
        </w:rPr>
        <w:t>на</w:t>
      </w:r>
      <w:r w:rsidRPr="00072A35">
        <w:rPr>
          <w:rFonts w:eastAsia="Times New Roman" w:cs="Arial"/>
          <w:color w:val="000000"/>
          <w:szCs w:val="20"/>
          <w:lang w:eastAsia="bg-BG"/>
        </w:rPr>
        <w:t xml:space="preserve"> хемодиализа, поради терминална бъбречна недостатъчност се съобщава за миопатия с повишени нива на креатинкиназата.</w:t>
      </w:r>
    </w:p>
    <w:p w14:paraId="071C9F22" w14:textId="77777777" w:rsidR="00072A35" w:rsidRPr="00072A35" w:rsidRDefault="00072A35" w:rsidP="00072A35">
      <w:pPr>
        <w:rPr>
          <w:rFonts w:eastAsia="Times New Roman" w:cs="Arial"/>
          <w:color w:val="000000"/>
          <w:szCs w:val="20"/>
          <w:lang w:eastAsia="bg-BG"/>
        </w:rPr>
      </w:pPr>
    </w:p>
    <w:p w14:paraId="21CB9744" w14:textId="312582EE" w:rsidR="00072A35" w:rsidRPr="00072A35" w:rsidRDefault="00072A35" w:rsidP="00072A35">
      <w:pPr>
        <w:rPr>
          <w:rFonts w:cs="Arial"/>
          <w:sz w:val="24"/>
        </w:rPr>
      </w:pPr>
      <w:r w:rsidRPr="00072A35">
        <w:rPr>
          <w:rFonts w:eastAsia="Times New Roman" w:cs="Arial"/>
          <w:color w:val="000000"/>
          <w:szCs w:val="20"/>
          <w:lang w:eastAsia="bg-BG"/>
        </w:rPr>
        <w:t>За инфекции на респираторните пътища, отитис медиа, гърчове и бронхит се съобщава само в клиничните проучвания при деца. В клиничните проучвания при деца допълнително се съобщава често и за агресивно поведение и хиперкинезии.</w:t>
      </w:r>
    </w:p>
    <w:p w14:paraId="4CC97288" w14:textId="07DDC6D5" w:rsidR="00DB12D2" w:rsidRDefault="00DB12D2" w:rsidP="0091385D"/>
    <w:p w14:paraId="44AF4D87" w14:textId="77777777" w:rsidR="00072A35" w:rsidRPr="00072A35" w:rsidRDefault="00072A35" w:rsidP="00072A35">
      <w:pPr>
        <w:spacing w:line="240" w:lineRule="auto"/>
        <w:rPr>
          <w:rFonts w:eastAsia="Times New Roman" w:cs="Arial"/>
          <w:lang w:eastAsia="bg-BG"/>
        </w:rPr>
      </w:pPr>
      <w:r w:rsidRPr="00072A35">
        <w:rPr>
          <w:rFonts w:eastAsia="Times New Roman" w:cs="Arial"/>
          <w:color w:val="000000"/>
          <w:u w:val="single"/>
          <w:lang w:eastAsia="bg-BG"/>
        </w:rPr>
        <w:t>Съобщаване на подозирани нежелани реакции</w:t>
      </w:r>
    </w:p>
    <w:p w14:paraId="62218D01" w14:textId="143E11B5" w:rsidR="00072A35" w:rsidRPr="00072A35" w:rsidRDefault="00072A35" w:rsidP="00072A35">
      <w:pPr>
        <w:rPr>
          <w:rFonts w:cs="Arial"/>
        </w:rPr>
      </w:pPr>
      <w:r w:rsidRPr="00072A35">
        <w:rPr>
          <w:rFonts w:eastAsia="Times New Roman" w:cs="Arial"/>
          <w:color w:val="000000"/>
          <w:lang w:eastAsia="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Изпълнителна агенция по лекарствата, ул.,Дамян Груев” № 8,1303 София, Тел.: +35 928903417, уебсайт: </w:t>
      </w:r>
      <w:r w:rsidRPr="00072A35">
        <w:rPr>
          <w:rFonts w:eastAsia="Times New Roman" w:cs="Arial"/>
          <w:lang w:eastAsia="bg-BG"/>
        </w:rPr>
        <w:fldChar w:fldCharType="begin"/>
      </w:r>
      <w:r w:rsidRPr="00072A35">
        <w:rPr>
          <w:rFonts w:eastAsia="Times New Roman" w:cs="Arial"/>
          <w:lang w:eastAsia="bg-BG"/>
        </w:rPr>
        <w:instrText xml:space="preserve"> HYPERLINK "http://www.bda.bg" </w:instrText>
      </w:r>
      <w:r w:rsidRPr="00072A35">
        <w:rPr>
          <w:rFonts w:eastAsia="Times New Roman" w:cs="Arial"/>
          <w:lang w:eastAsia="bg-BG"/>
        </w:rPr>
        <w:fldChar w:fldCharType="separate"/>
      </w:r>
      <w:r w:rsidRPr="00072A35">
        <w:rPr>
          <w:rFonts w:eastAsia="Times New Roman" w:cs="Arial"/>
          <w:color w:val="000000"/>
          <w:u w:val="single"/>
          <w:lang w:val="en-US"/>
        </w:rPr>
        <w:t>www.bda.bg</w:t>
      </w:r>
      <w:r w:rsidRPr="00072A35">
        <w:rPr>
          <w:rFonts w:eastAsia="Times New Roman" w:cs="Arial"/>
          <w:lang w:eastAsia="bg-BG"/>
        </w:rPr>
        <w:fldChar w:fldCharType="end"/>
      </w:r>
      <w:r w:rsidRPr="00072A35">
        <w:rPr>
          <w:rFonts w:eastAsia="Times New Roman" w:cs="Arial"/>
          <w:color w:val="000000"/>
          <w:u w:val="single"/>
          <w:lang w:val="en-US"/>
        </w:rPr>
        <w:t>.</w:t>
      </w:r>
    </w:p>
    <w:p w14:paraId="621BA79A" w14:textId="77777777" w:rsidR="00072A35" w:rsidRPr="0091385D" w:rsidRDefault="00072A35" w:rsidP="0091385D"/>
    <w:p w14:paraId="0A023CE0" w14:textId="13F87CFD" w:rsidR="00CF77F7" w:rsidRDefault="002C50EE" w:rsidP="004A448E">
      <w:pPr>
        <w:pStyle w:val="Heading2"/>
      </w:pPr>
      <w:r>
        <w:t>4.9. Предозиране</w:t>
      </w:r>
    </w:p>
    <w:p w14:paraId="3EDFC3FC" w14:textId="296E7EBA" w:rsidR="0091385D" w:rsidRDefault="0091385D" w:rsidP="0091385D"/>
    <w:p w14:paraId="2A807B29" w14:textId="77777777" w:rsidR="00072A35" w:rsidRPr="00072A35" w:rsidRDefault="00072A35" w:rsidP="00072A35">
      <w:pPr>
        <w:spacing w:line="240" w:lineRule="auto"/>
        <w:rPr>
          <w:rFonts w:eastAsia="Times New Roman" w:cs="Arial"/>
          <w:sz w:val="28"/>
          <w:szCs w:val="24"/>
          <w:lang w:eastAsia="bg-BG"/>
        </w:rPr>
      </w:pPr>
      <w:r w:rsidRPr="00072A35">
        <w:rPr>
          <w:rFonts w:eastAsia="Times New Roman" w:cs="Arial"/>
          <w:color w:val="000000"/>
          <w:szCs w:val="20"/>
          <w:lang w:eastAsia="bg-BG"/>
        </w:rPr>
        <w:t xml:space="preserve">Остра, животозастрашаваща токсичност при предозиране с габапентин в дози до 49 </w:t>
      </w:r>
      <w:r w:rsidRPr="00072A35">
        <w:rPr>
          <w:rFonts w:eastAsia="Times New Roman" w:cs="Arial"/>
          <w:color w:val="000000"/>
          <w:szCs w:val="20"/>
          <w:lang w:val="en-US"/>
        </w:rPr>
        <w:t xml:space="preserve">g </w:t>
      </w:r>
      <w:r w:rsidRPr="00072A35">
        <w:rPr>
          <w:rFonts w:eastAsia="Times New Roman" w:cs="Arial"/>
          <w:color w:val="000000"/>
          <w:szCs w:val="20"/>
          <w:lang w:eastAsia="bg-BG"/>
        </w:rPr>
        <w:t>не е наблюдавана. Симптомите на предозиране са били: замаяност, двойно виждане, неясна реч, сънливост, загуба на съзнание, летаргия и лека диария. Всички пациенти са се възстановили напълно след поддържаща терапия. Намалената абсорбция на габапентин при прием на по-високи дози може да ограничи абсорбцията при предозиране, като по такъв начин се намалява токсичността при предозиране.</w:t>
      </w:r>
    </w:p>
    <w:p w14:paraId="76535E02" w14:textId="77777777" w:rsidR="00072A35" w:rsidRPr="00072A35" w:rsidRDefault="00072A35" w:rsidP="00072A35">
      <w:pPr>
        <w:spacing w:line="240" w:lineRule="auto"/>
        <w:rPr>
          <w:rFonts w:eastAsia="Times New Roman" w:cs="Arial"/>
          <w:color w:val="000000"/>
          <w:szCs w:val="20"/>
          <w:lang w:eastAsia="bg-BG"/>
        </w:rPr>
      </w:pPr>
    </w:p>
    <w:p w14:paraId="1E0190AA" w14:textId="3E3AF199" w:rsidR="00072A35" w:rsidRPr="00072A35" w:rsidRDefault="00072A35" w:rsidP="00072A35">
      <w:pPr>
        <w:spacing w:line="240" w:lineRule="auto"/>
        <w:rPr>
          <w:rFonts w:eastAsia="Times New Roman" w:cs="Arial"/>
          <w:sz w:val="28"/>
          <w:szCs w:val="24"/>
          <w:lang w:eastAsia="bg-BG"/>
        </w:rPr>
      </w:pPr>
      <w:r w:rsidRPr="00072A35">
        <w:rPr>
          <w:rFonts w:eastAsia="Times New Roman" w:cs="Arial"/>
          <w:color w:val="000000"/>
          <w:szCs w:val="20"/>
          <w:lang w:eastAsia="bg-BG"/>
        </w:rPr>
        <w:t>Предозирането с габапентин, особено в комбинация с други потискащи ЦНС лекарствени продукти, може да доведе до кома.</w:t>
      </w:r>
    </w:p>
    <w:p w14:paraId="7E5E83D2" w14:textId="77777777" w:rsidR="00072A35" w:rsidRPr="00072A35" w:rsidRDefault="00072A35" w:rsidP="00072A35">
      <w:pPr>
        <w:spacing w:line="240" w:lineRule="auto"/>
        <w:rPr>
          <w:rFonts w:eastAsia="Times New Roman" w:cs="Arial"/>
          <w:color w:val="000000"/>
          <w:szCs w:val="20"/>
          <w:lang w:eastAsia="bg-BG"/>
        </w:rPr>
      </w:pPr>
    </w:p>
    <w:p w14:paraId="3D178926" w14:textId="774A7459" w:rsidR="00072A35" w:rsidRPr="00072A35" w:rsidRDefault="00072A35" w:rsidP="00072A35">
      <w:pPr>
        <w:spacing w:line="240" w:lineRule="auto"/>
        <w:rPr>
          <w:rFonts w:eastAsia="Times New Roman" w:cs="Arial"/>
          <w:sz w:val="28"/>
          <w:szCs w:val="24"/>
          <w:lang w:eastAsia="bg-BG"/>
        </w:rPr>
      </w:pPr>
      <w:r w:rsidRPr="00072A35">
        <w:rPr>
          <w:rFonts w:eastAsia="Times New Roman" w:cs="Arial"/>
          <w:color w:val="000000"/>
          <w:szCs w:val="20"/>
          <w:lang w:eastAsia="bg-BG"/>
        </w:rPr>
        <w:t>Въпреки, че габапентин може да бъде отстранен от циркулацията с хемодиализа, наличният опит показва, че това обикновено не е необходимо. Въпреки това обаче, при пациенти с тежко бъбречно увреждане хемодиализата може да бъде показана.</w:t>
      </w:r>
    </w:p>
    <w:p w14:paraId="51CF11D4" w14:textId="77777777" w:rsidR="00072A35" w:rsidRPr="00072A35" w:rsidRDefault="00072A35" w:rsidP="00072A35">
      <w:pPr>
        <w:rPr>
          <w:rFonts w:eastAsia="Times New Roman" w:cs="Arial"/>
          <w:color w:val="000000"/>
          <w:szCs w:val="20"/>
          <w:lang w:eastAsia="bg-BG"/>
        </w:rPr>
      </w:pPr>
    </w:p>
    <w:p w14:paraId="0F0079CB" w14:textId="0AF41B7C" w:rsidR="0091385D" w:rsidRPr="00072A35" w:rsidRDefault="00072A35" w:rsidP="00072A35">
      <w:pPr>
        <w:rPr>
          <w:rFonts w:cs="Arial"/>
          <w:sz w:val="24"/>
        </w:rPr>
      </w:pPr>
      <w:r w:rsidRPr="00072A35">
        <w:rPr>
          <w:rFonts w:eastAsia="Times New Roman" w:cs="Arial"/>
          <w:color w:val="000000"/>
          <w:szCs w:val="20"/>
          <w:lang w:eastAsia="bg-BG"/>
        </w:rPr>
        <w:t xml:space="preserve">Пероралната летална доза на габапентин не е била установена при мишки и плъхове, които са получили дози по-високи от 8000 </w:t>
      </w:r>
      <w:r w:rsidRPr="00072A35">
        <w:rPr>
          <w:rFonts w:eastAsia="Times New Roman" w:cs="Arial"/>
          <w:color w:val="000000"/>
          <w:szCs w:val="20"/>
          <w:lang w:val="en-US"/>
        </w:rPr>
        <w:t xml:space="preserve">mg/kg. </w:t>
      </w:r>
      <w:r w:rsidRPr="00072A35">
        <w:rPr>
          <w:rFonts w:eastAsia="Times New Roman" w:cs="Arial"/>
          <w:color w:val="000000"/>
          <w:szCs w:val="20"/>
          <w:lang w:eastAsia="bg-BG"/>
        </w:rPr>
        <w:t>Признаците на остра токсичност при животни са включвали атаксия, затруднено дишане, птоза, намалена активност или възбуда.</w:t>
      </w:r>
    </w:p>
    <w:p w14:paraId="48FF1584" w14:textId="77777777" w:rsidR="0091385D" w:rsidRPr="0091385D" w:rsidRDefault="0091385D" w:rsidP="0091385D"/>
    <w:p w14:paraId="02081B24" w14:textId="7CE94171" w:rsidR="00395555" w:rsidRDefault="002C50EE" w:rsidP="008A6AF2">
      <w:pPr>
        <w:pStyle w:val="Heading1"/>
      </w:pPr>
      <w:r>
        <w:t>5. ФАРМАКОЛОГИЧНИ СВОЙСТВА</w:t>
      </w:r>
    </w:p>
    <w:p w14:paraId="1B8079C0" w14:textId="77777777" w:rsidR="0091385D" w:rsidRPr="0091385D" w:rsidRDefault="0091385D" w:rsidP="0091385D"/>
    <w:p w14:paraId="32B6DE66" w14:textId="2ACB6B3B" w:rsidR="00CF77F7" w:rsidRDefault="002C50EE" w:rsidP="004A448E">
      <w:pPr>
        <w:pStyle w:val="Heading2"/>
      </w:pPr>
      <w:r>
        <w:t>5.1. Фармакодинамични свойства</w:t>
      </w:r>
    </w:p>
    <w:p w14:paraId="58DD7DEA" w14:textId="44345EC9" w:rsidR="0091385D" w:rsidRDefault="0091385D" w:rsidP="0091385D"/>
    <w:p w14:paraId="2B862507" w14:textId="77777777" w:rsidR="00072A35" w:rsidRPr="00072A35" w:rsidRDefault="00072A35" w:rsidP="00072A35">
      <w:pPr>
        <w:spacing w:line="240" w:lineRule="auto"/>
        <w:rPr>
          <w:rFonts w:eastAsia="Times New Roman" w:cs="Arial"/>
          <w:sz w:val="28"/>
          <w:szCs w:val="24"/>
          <w:lang w:eastAsia="bg-BG"/>
        </w:rPr>
      </w:pPr>
      <w:r w:rsidRPr="00072A35">
        <w:rPr>
          <w:rFonts w:eastAsia="Times New Roman" w:cs="Arial"/>
          <w:color w:val="000000"/>
          <w:szCs w:val="20"/>
          <w:lang w:eastAsia="bg-BG"/>
        </w:rPr>
        <w:t xml:space="preserve">Фармакотерапевтична група: Антиепилептици, Други Антиепилептици АТС код: </w:t>
      </w:r>
      <w:r w:rsidRPr="00072A35">
        <w:rPr>
          <w:rFonts w:eastAsia="Times New Roman" w:cs="Arial"/>
          <w:color w:val="000000"/>
          <w:szCs w:val="20"/>
          <w:lang w:val="en-US"/>
        </w:rPr>
        <w:t>N03AX12</w:t>
      </w:r>
    </w:p>
    <w:p w14:paraId="3DF193F9" w14:textId="77777777" w:rsidR="00072A35" w:rsidRDefault="00072A35" w:rsidP="00072A35">
      <w:pPr>
        <w:spacing w:line="240" w:lineRule="auto"/>
        <w:rPr>
          <w:rFonts w:ascii="Times New Roman" w:eastAsia="Times New Roman" w:hAnsi="Times New Roman" w:cs="Times New Roman"/>
          <w:color w:val="000000"/>
          <w:sz w:val="20"/>
          <w:szCs w:val="20"/>
          <w:u w:val="single"/>
          <w:lang w:eastAsia="bg-BG"/>
        </w:rPr>
      </w:pPr>
    </w:p>
    <w:p w14:paraId="5447465F" w14:textId="03F08A2D" w:rsidR="00072A35" w:rsidRPr="00072A35" w:rsidRDefault="00072A35" w:rsidP="00072A35">
      <w:pPr>
        <w:spacing w:line="240" w:lineRule="auto"/>
        <w:rPr>
          <w:rFonts w:eastAsia="Times New Roman" w:cs="Arial"/>
          <w:sz w:val="28"/>
          <w:szCs w:val="24"/>
          <w:lang w:eastAsia="bg-BG"/>
        </w:rPr>
      </w:pPr>
      <w:r w:rsidRPr="00072A35">
        <w:rPr>
          <w:rFonts w:eastAsia="Times New Roman" w:cs="Arial"/>
          <w:color w:val="000000"/>
          <w:szCs w:val="20"/>
          <w:u w:val="single"/>
          <w:lang w:eastAsia="bg-BG"/>
        </w:rPr>
        <w:t>Механизъм на действие</w:t>
      </w:r>
    </w:p>
    <w:p w14:paraId="3A0599F8" w14:textId="77777777" w:rsidR="00072A35" w:rsidRPr="00072A35" w:rsidRDefault="00072A35" w:rsidP="00072A35">
      <w:pPr>
        <w:spacing w:line="240" w:lineRule="auto"/>
        <w:rPr>
          <w:rFonts w:eastAsia="Times New Roman" w:cs="Arial"/>
          <w:color w:val="000000"/>
          <w:szCs w:val="20"/>
          <w:lang w:eastAsia="bg-BG"/>
        </w:rPr>
      </w:pPr>
    </w:p>
    <w:p w14:paraId="4D6399A1" w14:textId="5B828A6F" w:rsidR="00072A35" w:rsidRPr="00072A35" w:rsidRDefault="00072A35" w:rsidP="00072A35">
      <w:pPr>
        <w:spacing w:line="240" w:lineRule="auto"/>
        <w:rPr>
          <w:rFonts w:eastAsia="Times New Roman" w:cs="Arial"/>
          <w:sz w:val="28"/>
          <w:szCs w:val="24"/>
          <w:lang w:eastAsia="bg-BG"/>
        </w:rPr>
      </w:pPr>
      <w:r w:rsidRPr="00072A35">
        <w:rPr>
          <w:rFonts w:eastAsia="Times New Roman" w:cs="Arial"/>
          <w:color w:val="000000"/>
          <w:szCs w:val="20"/>
          <w:lang w:eastAsia="bg-BG"/>
        </w:rPr>
        <w:t xml:space="preserve">Габапентин лесно преминава в мозъка и предотвратява припадъци при редица животински модели на епилепсия. Габапентин не притежава афинитет към </w:t>
      </w:r>
      <w:r w:rsidRPr="00072A35">
        <w:rPr>
          <w:rFonts w:eastAsia="Times New Roman" w:cs="Arial"/>
          <w:color w:val="000000"/>
          <w:szCs w:val="20"/>
          <w:lang w:val="en-US"/>
        </w:rPr>
        <w:t>GAB</w:t>
      </w:r>
      <w:r w:rsidRPr="00072A35">
        <w:rPr>
          <w:rFonts w:eastAsia="Times New Roman" w:cs="Arial"/>
          <w:color w:val="000000"/>
          <w:szCs w:val="20"/>
          <w:lang w:eastAsia="bg-BG"/>
        </w:rPr>
        <w:t xml:space="preserve">АА или </w:t>
      </w:r>
      <w:r w:rsidRPr="00072A35">
        <w:rPr>
          <w:rFonts w:eastAsia="Times New Roman" w:cs="Arial"/>
          <w:color w:val="000000"/>
          <w:szCs w:val="20"/>
          <w:lang w:val="en-US"/>
        </w:rPr>
        <w:t xml:space="preserve">GABAB </w:t>
      </w:r>
      <w:r w:rsidRPr="00072A35">
        <w:rPr>
          <w:rFonts w:eastAsia="Times New Roman" w:cs="Arial"/>
          <w:color w:val="000000"/>
          <w:szCs w:val="20"/>
          <w:lang w:eastAsia="bg-BG"/>
        </w:rPr>
        <w:t xml:space="preserve">рецепторите, нито променя метаболизма на </w:t>
      </w:r>
      <w:r w:rsidRPr="00072A35">
        <w:rPr>
          <w:rFonts w:eastAsia="Times New Roman" w:cs="Arial"/>
          <w:color w:val="000000"/>
          <w:szCs w:val="20"/>
          <w:lang w:val="en-US"/>
        </w:rPr>
        <w:t xml:space="preserve">GABA. </w:t>
      </w:r>
      <w:r w:rsidRPr="00072A35">
        <w:rPr>
          <w:rFonts w:eastAsia="Times New Roman" w:cs="Arial"/>
          <w:color w:val="000000"/>
          <w:szCs w:val="20"/>
          <w:lang w:eastAsia="bg-BG"/>
        </w:rPr>
        <w:t>Не се свързва с други невротрансмитерни рецептори в мозъка и не взаимодейства с натриевите канали. Габапентин се свързва с висок афинитет с α2δ (алфа-2-делта) субединицата на волтаж-зависимите калциеви канали и се предполага, че свързването с α2δ субединицата може да играе роля в противогърчовите ефекти на габапентин при животни. Скринирането на голям обем данни не предполага друга прицелна за медикамента структура, различна от α2δ.</w:t>
      </w:r>
    </w:p>
    <w:p w14:paraId="0F5C1AF3" w14:textId="77777777" w:rsidR="00072A35" w:rsidRPr="00072A35" w:rsidRDefault="00072A35" w:rsidP="00072A35">
      <w:pPr>
        <w:rPr>
          <w:rFonts w:eastAsia="Times New Roman" w:cs="Arial"/>
          <w:color w:val="000000"/>
          <w:szCs w:val="20"/>
          <w:lang w:eastAsia="bg-BG"/>
        </w:rPr>
      </w:pPr>
    </w:p>
    <w:p w14:paraId="28252AA0" w14:textId="68F1627C" w:rsidR="0091385D" w:rsidRPr="00072A35" w:rsidRDefault="00072A35" w:rsidP="00072A35">
      <w:pPr>
        <w:rPr>
          <w:rFonts w:cs="Arial"/>
          <w:sz w:val="24"/>
        </w:rPr>
      </w:pPr>
      <w:r w:rsidRPr="00072A35">
        <w:rPr>
          <w:rFonts w:eastAsia="Times New Roman" w:cs="Arial"/>
          <w:color w:val="000000"/>
          <w:szCs w:val="20"/>
          <w:lang w:eastAsia="bg-BG"/>
        </w:rPr>
        <w:t>Данните от редица предклинични модели показват, че фармакологичната активност на габапентин може да се медиира посредством понижаване на освобождаването на възбудни невротрансмитери в части от централната нервна система, чрез свързване с α2δ. Тази активност може да подкрепя противогърчовото действие на габапентин. Предстои да се изясни значимостта на това действие на габапентин по отношение на противогърчовите ефекти при хора.</w:t>
      </w:r>
    </w:p>
    <w:p w14:paraId="36152471" w14:textId="08E39735" w:rsidR="0091385D" w:rsidRDefault="0091385D" w:rsidP="0091385D"/>
    <w:p w14:paraId="742DE919" w14:textId="77777777" w:rsidR="00072A35" w:rsidRPr="00072A35" w:rsidRDefault="00072A35" w:rsidP="00072A35">
      <w:pPr>
        <w:spacing w:line="240" w:lineRule="auto"/>
        <w:rPr>
          <w:rFonts w:eastAsia="Times New Roman" w:cs="Arial"/>
          <w:sz w:val="28"/>
          <w:szCs w:val="24"/>
          <w:lang w:eastAsia="bg-BG"/>
        </w:rPr>
      </w:pPr>
      <w:r w:rsidRPr="00072A35">
        <w:rPr>
          <w:rFonts w:eastAsia="Times New Roman" w:cs="Arial"/>
          <w:color w:val="000000"/>
          <w:szCs w:val="20"/>
          <w:lang w:eastAsia="bg-BG"/>
        </w:rPr>
        <w:t>Габапентин показва ефикасност и при редица предклинични животински болкови модели. Предполага се, че специфичното свързване на габапентин α2δ субединицата води до няколко различни действия, които може да са отговорни за аналгетичното действие при животински модели. Аналгетичното действие на габапентин може да произхожда от гръбначния мозък, както и от по-висши мозъчни центрове, чрез взаимодействия с низходящите, инхибиращи болката пътища. Значението на тези предклинични свойства за клиничното действие при хора е неизвестно.</w:t>
      </w:r>
    </w:p>
    <w:p w14:paraId="5AA4BB5E" w14:textId="77777777" w:rsidR="00072A35" w:rsidRPr="00072A35" w:rsidRDefault="00072A35" w:rsidP="00072A35">
      <w:pPr>
        <w:spacing w:line="240" w:lineRule="auto"/>
        <w:rPr>
          <w:rFonts w:eastAsia="Times New Roman" w:cs="Arial"/>
          <w:color w:val="000000"/>
          <w:szCs w:val="20"/>
          <w:u w:val="single"/>
          <w:lang w:eastAsia="bg-BG"/>
        </w:rPr>
      </w:pPr>
    </w:p>
    <w:p w14:paraId="20545839" w14:textId="25E8FE5D" w:rsidR="00072A35" w:rsidRPr="00072A35" w:rsidRDefault="00072A35" w:rsidP="00072A35">
      <w:pPr>
        <w:spacing w:line="240" w:lineRule="auto"/>
        <w:rPr>
          <w:rFonts w:eastAsia="Times New Roman" w:cs="Arial"/>
          <w:sz w:val="28"/>
          <w:szCs w:val="24"/>
          <w:lang w:eastAsia="bg-BG"/>
        </w:rPr>
      </w:pPr>
      <w:r w:rsidRPr="00072A35">
        <w:rPr>
          <w:rFonts w:eastAsia="Times New Roman" w:cs="Arial"/>
          <w:color w:val="000000"/>
          <w:szCs w:val="20"/>
          <w:u w:val="single"/>
          <w:lang w:eastAsia="bg-BG"/>
        </w:rPr>
        <w:t>Клинична ефикасност и безопасност</w:t>
      </w:r>
    </w:p>
    <w:p w14:paraId="33EC842C" w14:textId="77777777" w:rsidR="00072A35" w:rsidRPr="00072A35" w:rsidRDefault="00072A35" w:rsidP="00072A35">
      <w:pPr>
        <w:spacing w:line="240" w:lineRule="auto"/>
        <w:rPr>
          <w:rFonts w:eastAsia="Times New Roman" w:cs="Arial"/>
          <w:color w:val="000000"/>
          <w:szCs w:val="20"/>
          <w:lang w:eastAsia="bg-BG"/>
        </w:rPr>
      </w:pPr>
    </w:p>
    <w:p w14:paraId="5EC94B29" w14:textId="7672F9F8" w:rsidR="00072A35" w:rsidRPr="00072A35" w:rsidRDefault="00072A35" w:rsidP="00072A35">
      <w:pPr>
        <w:spacing w:line="240" w:lineRule="auto"/>
        <w:rPr>
          <w:rFonts w:eastAsia="Times New Roman" w:cs="Arial"/>
          <w:sz w:val="28"/>
          <w:szCs w:val="24"/>
          <w:lang w:eastAsia="bg-BG"/>
        </w:rPr>
      </w:pPr>
      <w:r w:rsidRPr="00072A35">
        <w:rPr>
          <w:rFonts w:eastAsia="Times New Roman" w:cs="Arial"/>
          <w:color w:val="000000"/>
          <w:szCs w:val="20"/>
          <w:lang w:eastAsia="bg-BG"/>
        </w:rPr>
        <w:t>Клинично проучване като допълваща терапия за парциални пристъпи при педиатрични пациенти, чиято възраст варира от 3 до 12 години, е показало числена, но не статистически значима разлика в 50 % честота на отговорилите в полза на групата на габапентин в сравнение с плацебо. Допълнителни анализи след завършване на проучването на честотите на отговорилите участници по възраст не показват статистически значим ефект на възрастта, като непрекъсната и като дихотомна величина (възрастови групи 3-5 и 6-12 години).</w:t>
      </w:r>
    </w:p>
    <w:p w14:paraId="325DDEFF" w14:textId="77777777" w:rsidR="00072A35" w:rsidRPr="00072A35" w:rsidRDefault="00072A35" w:rsidP="00072A35">
      <w:pPr>
        <w:rPr>
          <w:rFonts w:eastAsia="Times New Roman" w:cs="Arial"/>
          <w:color w:val="000000"/>
          <w:szCs w:val="20"/>
          <w:lang w:eastAsia="bg-BG"/>
        </w:rPr>
      </w:pPr>
    </w:p>
    <w:p w14:paraId="1E2C7192" w14:textId="1397672D" w:rsidR="00072A35" w:rsidRPr="00072A35" w:rsidRDefault="00072A35" w:rsidP="00072A35">
      <w:pPr>
        <w:rPr>
          <w:rFonts w:cs="Arial"/>
          <w:sz w:val="24"/>
        </w:rPr>
      </w:pPr>
      <w:r w:rsidRPr="00072A35">
        <w:rPr>
          <w:rFonts w:eastAsia="Times New Roman" w:cs="Arial"/>
          <w:color w:val="000000"/>
          <w:szCs w:val="20"/>
          <w:lang w:eastAsia="bg-BG"/>
        </w:rPr>
        <w:t>Данните от този допълнителен анализ след завършване на проучването са представени в следната таблица:</w:t>
      </w:r>
    </w:p>
    <w:p w14:paraId="6A9AB85C" w14:textId="5640B893" w:rsidR="00072A35" w:rsidRDefault="00072A35" w:rsidP="0091385D"/>
    <w:tbl>
      <w:tblPr>
        <w:tblStyle w:val="TableGrid"/>
        <w:tblW w:w="0" w:type="auto"/>
        <w:tblLook w:val="04A0" w:firstRow="1" w:lastRow="0" w:firstColumn="1" w:lastColumn="0" w:noHBand="0" w:noVBand="1"/>
      </w:tblPr>
      <w:tblGrid>
        <w:gridCol w:w="2338"/>
        <w:gridCol w:w="2343"/>
        <w:gridCol w:w="2339"/>
        <w:gridCol w:w="2330"/>
      </w:tblGrid>
      <w:tr w:rsidR="00072A35" w14:paraId="312CBEDD" w14:textId="77777777" w:rsidTr="002718D2">
        <w:tc>
          <w:tcPr>
            <w:tcW w:w="9500" w:type="dxa"/>
            <w:gridSpan w:val="4"/>
          </w:tcPr>
          <w:p w14:paraId="268DD759" w14:textId="77777777" w:rsidR="00072A35" w:rsidRPr="00072A35" w:rsidRDefault="00072A35" w:rsidP="00072A35">
            <w:pPr>
              <w:jc w:val="center"/>
              <w:rPr>
                <w:szCs w:val="20"/>
              </w:rPr>
            </w:pPr>
            <w:r w:rsidRPr="00072A35">
              <w:rPr>
                <w:szCs w:val="20"/>
              </w:rPr>
              <w:t>Отговор (</w:t>
            </w:r>
            <w:r w:rsidRPr="00072A35">
              <w:rPr>
                <w:szCs w:val="20"/>
                <w:vertAlign w:val="superscript"/>
              </w:rPr>
              <w:t>≥</w:t>
            </w:r>
            <w:r w:rsidRPr="00072A35">
              <w:rPr>
                <w:szCs w:val="20"/>
              </w:rPr>
              <w:t xml:space="preserve">50% с подобрение) по лечение и възраст </w:t>
            </w:r>
          </w:p>
          <w:p w14:paraId="3BFE987D" w14:textId="64FF05C9" w:rsidR="00072A35" w:rsidRPr="00072A35" w:rsidRDefault="00072A35" w:rsidP="00072A35">
            <w:pPr>
              <w:jc w:val="center"/>
            </w:pPr>
            <w:r w:rsidRPr="00072A35">
              <w:rPr>
                <w:szCs w:val="20"/>
                <w:lang w:val="en-US"/>
              </w:rPr>
              <w:t xml:space="preserve">MITT* </w:t>
            </w:r>
            <w:r w:rsidRPr="00072A35">
              <w:rPr>
                <w:szCs w:val="20"/>
              </w:rPr>
              <w:t>популация</w:t>
            </w:r>
          </w:p>
        </w:tc>
      </w:tr>
      <w:tr w:rsidR="00072A35" w14:paraId="3F5ECB4B" w14:textId="77777777" w:rsidTr="00072A35">
        <w:tc>
          <w:tcPr>
            <w:tcW w:w="2375" w:type="dxa"/>
          </w:tcPr>
          <w:p w14:paraId="1CA2FAC1" w14:textId="4E7A0DEF" w:rsidR="00072A35" w:rsidRPr="00072A35" w:rsidRDefault="00072A35" w:rsidP="00072A35">
            <w:r w:rsidRPr="00072A35">
              <w:rPr>
                <w:szCs w:val="20"/>
              </w:rPr>
              <w:t>Възрастова категория</w:t>
            </w:r>
          </w:p>
        </w:tc>
        <w:tc>
          <w:tcPr>
            <w:tcW w:w="2375" w:type="dxa"/>
          </w:tcPr>
          <w:p w14:paraId="337A891E" w14:textId="3B75641D" w:rsidR="00072A35" w:rsidRPr="00072A35" w:rsidRDefault="00072A35" w:rsidP="00072A35">
            <w:r w:rsidRPr="00072A35">
              <w:rPr>
                <w:szCs w:val="20"/>
              </w:rPr>
              <w:t>Плацебо</w:t>
            </w:r>
          </w:p>
        </w:tc>
        <w:tc>
          <w:tcPr>
            <w:tcW w:w="2375" w:type="dxa"/>
          </w:tcPr>
          <w:p w14:paraId="7EEB16EA" w14:textId="218E81A8" w:rsidR="00072A35" w:rsidRPr="00072A35" w:rsidRDefault="00072A35" w:rsidP="00072A35">
            <w:r w:rsidRPr="00072A35">
              <w:rPr>
                <w:szCs w:val="20"/>
              </w:rPr>
              <w:t>Габапентин</w:t>
            </w:r>
          </w:p>
        </w:tc>
        <w:tc>
          <w:tcPr>
            <w:tcW w:w="2375" w:type="dxa"/>
          </w:tcPr>
          <w:p w14:paraId="1BDB191A" w14:textId="7310CAB1" w:rsidR="00072A35" w:rsidRPr="00072A35" w:rsidRDefault="00072A35" w:rsidP="00072A35">
            <w:r w:rsidRPr="00072A35">
              <w:rPr>
                <w:szCs w:val="20"/>
              </w:rPr>
              <w:t>Р-Стойност</w:t>
            </w:r>
          </w:p>
        </w:tc>
      </w:tr>
      <w:tr w:rsidR="00072A35" w14:paraId="0EBABBD1" w14:textId="77777777" w:rsidTr="00072A35">
        <w:tc>
          <w:tcPr>
            <w:tcW w:w="2375" w:type="dxa"/>
          </w:tcPr>
          <w:p w14:paraId="32A9D5B6" w14:textId="663CDF23" w:rsidR="00072A35" w:rsidRPr="00072A35" w:rsidRDefault="00072A35" w:rsidP="00072A35">
            <w:r w:rsidRPr="00072A35">
              <w:rPr>
                <w:szCs w:val="20"/>
              </w:rPr>
              <w:t>&lt; бгодишна възраст</w:t>
            </w:r>
          </w:p>
        </w:tc>
        <w:tc>
          <w:tcPr>
            <w:tcW w:w="2375" w:type="dxa"/>
          </w:tcPr>
          <w:p w14:paraId="38787C50" w14:textId="48491EDA" w:rsidR="00072A35" w:rsidRPr="00072A35" w:rsidRDefault="00072A35" w:rsidP="00072A35">
            <w:r w:rsidRPr="00072A35">
              <w:rPr>
                <w:szCs w:val="20"/>
              </w:rPr>
              <w:t>4/21 (19,0%)</w:t>
            </w:r>
          </w:p>
        </w:tc>
        <w:tc>
          <w:tcPr>
            <w:tcW w:w="2375" w:type="dxa"/>
          </w:tcPr>
          <w:p w14:paraId="0145D0B3" w14:textId="38316291" w:rsidR="00072A35" w:rsidRPr="00072A35" w:rsidRDefault="00072A35" w:rsidP="00072A35">
            <w:r w:rsidRPr="00072A35">
              <w:rPr>
                <w:szCs w:val="20"/>
              </w:rPr>
              <w:t>4/17(23,5%)</w:t>
            </w:r>
          </w:p>
        </w:tc>
        <w:tc>
          <w:tcPr>
            <w:tcW w:w="2375" w:type="dxa"/>
          </w:tcPr>
          <w:p w14:paraId="6E640903" w14:textId="599F388E" w:rsidR="00072A35" w:rsidRPr="00072A35" w:rsidRDefault="00072A35" w:rsidP="00072A35">
            <w:r w:rsidRPr="00072A35">
              <w:rPr>
                <w:szCs w:val="20"/>
              </w:rPr>
              <w:t>0,7362</w:t>
            </w:r>
          </w:p>
        </w:tc>
      </w:tr>
      <w:tr w:rsidR="00072A35" w14:paraId="35145DBD" w14:textId="77777777" w:rsidTr="00072A35">
        <w:tc>
          <w:tcPr>
            <w:tcW w:w="2375" w:type="dxa"/>
          </w:tcPr>
          <w:p w14:paraId="2CC40C61" w14:textId="4C497E4B" w:rsidR="00072A35" w:rsidRPr="00072A35" w:rsidRDefault="00072A35" w:rsidP="00072A35">
            <w:r w:rsidRPr="00072A35">
              <w:rPr>
                <w:szCs w:val="20"/>
              </w:rPr>
              <w:t>6 до 12-годишна възраст</w:t>
            </w:r>
          </w:p>
        </w:tc>
        <w:tc>
          <w:tcPr>
            <w:tcW w:w="2375" w:type="dxa"/>
          </w:tcPr>
          <w:p w14:paraId="781BBBB4" w14:textId="3A7EF3DD" w:rsidR="00072A35" w:rsidRPr="00072A35" w:rsidRDefault="00072A35" w:rsidP="00072A35">
            <w:r w:rsidRPr="00072A35">
              <w:rPr>
                <w:szCs w:val="20"/>
              </w:rPr>
              <w:t>17/99(17,2%)</w:t>
            </w:r>
          </w:p>
        </w:tc>
        <w:tc>
          <w:tcPr>
            <w:tcW w:w="2375" w:type="dxa"/>
          </w:tcPr>
          <w:p w14:paraId="5AFCD9C1" w14:textId="335E3F5A" w:rsidR="00072A35" w:rsidRPr="00072A35" w:rsidRDefault="00072A35" w:rsidP="00072A35">
            <w:r w:rsidRPr="00072A35">
              <w:rPr>
                <w:szCs w:val="20"/>
              </w:rPr>
              <w:t>20/96 (20,8%)</w:t>
            </w:r>
          </w:p>
        </w:tc>
        <w:tc>
          <w:tcPr>
            <w:tcW w:w="2375" w:type="dxa"/>
          </w:tcPr>
          <w:p w14:paraId="313ABA93" w14:textId="41B11FE9" w:rsidR="00072A35" w:rsidRPr="00072A35" w:rsidRDefault="00072A35" w:rsidP="00072A35">
            <w:r w:rsidRPr="00072A35">
              <w:rPr>
                <w:szCs w:val="20"/>
              </w:rPr>
              <w:t>0,5144</w:t>
            </w:r>
          </w:p>
        </w:tc>
      </w:tr>
    </w:tbl>
    <w:p w14:paraId="0BF5B460" w14:textId="5EA27165" w:rsidR="00072A35" w:rsidRDefault="00072A35" w:rsidP="0091385D"/>
    <w:p w14:paraId="18E50DBB" w14:textId="7AA7AAF6" w:rsidR="00072A35" w:rsidRPr="00072A35" w:rsidRDefault="00072A35" w:rsidP="0091385D">
      <w:pPr>
        <w:rPr>
          <w:sz w:val="24"/>
        </w:rPr>
      </w:pPr>
      <w:r w:rsidRPr="00072A35">
        <w:rPr>
          <w:szCs w:val="20"/>
          <w:lang w:val="en-US"/>
        </w:rPr>
        <w:t xml:space="preserve">*The modified intent to treat population - </w:t>
      </w:r>
      <w:r w:rsidRPr="00072A35">
        <w:rPr>
          <w:szCs w:val="20"/>
        </w:rPr>
        <w:t xml:space="preserve">Модифицираната популация </w:t>
      </w:r>
      <w:r w:rsidRPr="00072A35">
        <w:rPr>
          <w:szCs w:val="20"/>
          <w:lang w:val="en-US"/>
        </w:rPr>
        <w:t xml:space="preserve">c </w:t>
      </w:r>
      <w:r w:rsidRPr="00072A35">
        <w:rPr>
          <w:szCs w:val="20"/>
        </w:rPr>
        <w:t xml:space="preserve">намерение за лечение е дефинирана като всички пациенти, рандомизирани на проучвания медикамент, </w:t>
      </w:r>
      <w:r w:rsidRPr="00072A35">
        <w:rPr>
          <w:szCs w:val="20"/>
        </w:rPr>
        <w:lastRenderedPageBreak/>
        <w:t>които са имали годни за оценка дневници на пристъпите, предоставени за 28 дни, както на изходно ниво, така и в двойносляпата фаза.</w:t>
      </w:r>
    </w:p>
    <w:p w14:paraId="0EE6E1AA" w14:textId="77777777" w:rsidR="00072A35" w:rsidRPr="0091385D" w:rsidRDefault="00072A35" w:rsidP="0091385D"/>
    <w:p w14:paraId="35F84B81" w14:textId="6423E5BB" w:rsidR="00CF77F7" w:rsidRDefault="002C50EE" w:rsidP="004A448E">
      <w:pPr>
        <w:pStyle w:val="Heading2"/>
      </w:pPr>
      <w:r>
        <w:t>5.2. Фармакокинетични свойства</w:t>
      </w:r>
    </w:p>
    <w:p w14:paraId="5031193D" w14:textId="06A21EFE" w:rsidR="0091385D" w:rsidRDefault="0091385D" w:rsidP="0091385D"/>
    <w:p w14:paraId="752CCB5D" w14:textId="77777777" w:rsidR="00072A35" w:rsidRPr="00072A35" w:rsidRDefault="00072A35" w:rsidP="00072A35">
      <w:pPr>
        <w:pStyle w:val="Heading3"/>
        <w:rPr>
          <w:rFonts w:eastAsia="Times New Roman"/>
          <w:sz w:val="28"/>
          <w:u w:val="single"/>
          <w:lang w:eastAsia="bg-BG"/>
        </w:rPr>
      </w:pPr>
      <w:r w:rsidRPr="00072A35">
        <w:rPr>
          <w:rFonts w:eastAsia="Times New Roman"/>
          <w:u w:val="single"/>
          <w:lang w:eastAsia="bg-BG"/>
        </w:rPr>
        <w:t>Абсорбция</w:t>
      </w:r>
    </w:p>
    <w:p w14:paraId="65D66CC2" w14:textId="77777777" w:rsidR="00072A35" w:rsidRPr="00072A35" w:rsidRDefault="00072A35" w:rsidP="00072A35">
      <w:pPr>
        <w:spacing w:line="240" w:lineRule="auto"/>
        <w:rPr>
          <w:rFonts w:eastAsia="Times New Roman" w:cs="Arial"/>
          <w:color w:val="000000"/>
          <w:szCs w:val="20"/>
          <w:lang w:eastAsia="bg-BG"/>
        </w:rPr>
      </w:pPr>
    </w:p>
    <w:p w14:paraId="5282A865" w14:textId="6394FDB8" w:rsidR="00072A35" w:rsidRPr="00072A35" w:rsidRDefault="00072A35" w:rsidP="00072A35">
      <w:pPr>
        <w:spacing w:line="240" w:lineRule="auto"/>
        <w:rPr>
          <w:rFonts w:eastAsia="Times New Roman" w:cs="Arial"/>
          <w:sz w:val="28"/>
          <w:szCs w:val="24"/>
          <w:lang w:eastAsia="bg-BG"/>
        </w:rPr>
      </w:pPr>
      <w:r w:rsidRPr="00072A35">
        <w:rPr>
          <w:rFonts w:eastAsia="Times New Roman" w:cs="Arial"/>
          <w:color w:val="000000"/>
          <w:szCs w:val="20"/>
          <w:lang w:eastAsia="bg-BG"/>
        </w:rPr>
        <w:t xml:space="preserve">Върховите плазмени концентрации на габапентин се наблюдават в рамките на 2-3 часа след перорален прием. Бионаличността на габапентин (част от абсорбираната доза) показва тенденция към намаляване с повишаване на дозата. Абсолютната бионаличност на капсула от 300 </w:t>
      </w:r>
      <w:r w:rsidRPr="00072A35">
        <w:rPr>
          <w:rFonts w:eastAsia="Times New Roman" w:cs="Arial"/>
          <w:color w:val="000000"/>
          <w:szCs w:val="20"/>
          <w:lang w:val="en-US"/>
        </w:rPr>
        <w:t xml:space="preserve">mg </w:t>
      </w:r>
      <w:r w:rsidRPr="00072A35">
        <w:rPr>
          <w:rFonts w:eastAsia="Times New Roman" w:cs="Arial"/>
          <w:color w:val="000000"/>
          <w:szCs w:val="20"/>
          <w:lang w:eastAsia="bg-BG"/>
        </w:rPr>
        <w:t>е приблизително 60%.</w:t>
      </w:r>
    </w:p>
    <w:p w14:paraId="7982FD09" w14:textId="77777777" w:rsidR="00072A35" w:rsidRPr="00072A35" w:rsidRDefault="00072A35" w:rsidP="00072A35">
      <w:pPr>
        <w:spacing w:line="240" w:lineRule="auto"/>
        <w:rPr>
          <w:rFonts w:eastAsia="Times New Roman" w:cs="Arial"/>
          <w:sz w:val="28"/>
          <w:szCs w:val="24"/>
          <w:lang w:eastAsia="bg-BG"/>
        </w:rPr>
      </w:pPr>
      <w:r w:rsidRPr="00072A35">
        <w:rPr>
          <w:rFonts w:eastAsia="Times New Roman" w:cs="Arial"/>
          <w:color w:val="000000"/>
          <w:szCs w:val="20"/>
          <w:lang w:eastAsia="bg-BG"/>
        </w:rPr>
        <w:t>Храната, вкл. с високо съдържание на мазнини, не оказва клинично значим ефект върху фармакокинетиката на габапентин.</w:t>
      </w:r>
    </w:p>
    <w:p w14:paraId="0DA86C9B" w14:textId="77777777" w:rsidR="00072A35" w:rsidRPr="00072A35" w:rsidRDefault="00072A35" w:rsidP="00072A35">
      <w:pPr>
        <w:spacing w:line="240" w:lineRule="auto"/>
        <w:rPr>
          <w:rFonts w:eastAsia="Times New Roman" w:cs="Arial"/>
          <w:color w:val="000000"/>
          <w:szCs w:val="20"/>
          <w:lang w:eastAsia="bg-BG"/>
        </w:rPr>
      </w:pPr>
    </w:p>
    <w:p w14:paraId="31323403" w14:textId="6E174469" w:rsidR="00072A35" w:rsidRPr="00072A35" w:rsidRDefault="00072A35" w:rsidP="00072A35">
      <w:pPr>
        <w:spacing w:line="240" w:lineRule="auto"/>
        <w:rPr>
          <w:rFonts w:eastAsia="Times New Roman" w:cs="Arial"/>
          <w:sz w:val="28"/>
          <w:szCs w:val="24"/>
          <w:lang w:eastAsia="bg-BG"/>
        </w:rPr>
      </w:pPr>
      <w:r w:rsidRPr="00072A35">
        <w:rPr>
          <w:rFonts w:eastAsia="Times New Roman" w:cs="Arial"/>
          <w:color w:val="000000"/>
          <w:szCs w:val="20"/>
          <w:lang w:eastAsia="bg-BG"/>
        </w:rPr>
        <w:t>Фармакокинетиката на габапентин не се повлиява от повтарящ се прием. Въпреки че, плазмените концентрации на габапентин в клинични проучвания са били обикновено между 2 μ</w:t>
      </w:r>
      <w:r w:rsidRPr="00072A35">
        <w:rPr>
          <w:rFonts w:eastAsia="Times New Roman" w:cs="Arial"/>
          <w:color w:val="000000"/>
          <w:szCs w:val="20"/>
          <w:lang w:val="en-US"/>
        </w:rPr>
        <w:t xml:space="preserve">g/ml </w:t>
      </w:r>
      <w:r w:rsidRPr="00072A35">
        <w:rPr>
          <w:rFonts w:eastAsia="Times New Roman" w:cs="Arial"/>
          <w:color w:val="000000"/>
          <w:szCs w:val="20"/>
          <w:lang w:eastAsia="bg-BG"/>
        </w:rPr>
        <w:t>и 20 μ</w:t>
      </w:r>
      <w:r w:rsidRPr="00072A35">
        <w:rPr>
          <w:rFonts w:eastAsia="Times New Roman" w:cs="Arial"/>
          <w:color w:val="000000"/>
          <w:szCs w:val="20"/>
          <w:lang w:val="en-US"/>
        </w:rPr>
        <w:t xml:space="preserve">g/ml, </w:t>
      </w:r>
      <w:r w:rsidRPr="00072A35">
        <w:rPr>
          <w:rFonts w:eastAsia="Times New Roman" w:cs="Arial"/>
          <w:color w:val="000000"/>
          <w:szCs w:val="20"/>
          <w:lang w:eastAsia="bg-BG"/>
        </w:rPr>
        <w:t>такива концентрации не са показателни за безопасността или ефективността.</w:t>
      </w:r>
    </w:p>
    <w:p w14:paraId="6FAFA916" w14:textId="77777777" w:rsidR="00072A35" w:rsidRPr="00072A35" w:rsidRDefault="00072A35" w:rsidP="00072A35">
      <w:pPr>
        <w:rPr>
          <w:rFonts w:eastAsia="Times New Roman" w:cs="Arial"/>
          <w:color w:val="000000"/>
          <w:szCs w:val="20"/>
          <w:lang w:eastAsia="bg-BG"/>
        </w:rPr>
      </w:pPr>
    </w:p>
    <w:p w14:paraId="148BA3FC" w14:textId="115B1E8C" w:rsidR="0091385D" w:rsidRPr="00072A35" w:rsidRDefault="00072A35" w:rsidP="00072A35">
      <w:pPr>
        <w:rPr>
          <w:rFonts w:cs="Arial"/>
          <w:sz w:val="24"/>
        </w:rPr>
      </w:pPr>
      <w:r w:rsidRPr="00072A35">
        <w:rPr>
          <w:rFonts w:eastAsia="Times New Roman" w:cs="Arial"/>
          <w:color w:val="000000"/>
          <w:szCs w:val="20"/>
          <w:lang w:eastAsia="bg-BG"/>
        </w:rPr>
        <w:t>Фармакокинетичните параметри са дадени в Таблица 3.</w:t>
      </w:r>
    </w:p>
    <w:p w14:paraId="4EE1BB0B" w14:textId="60A41A33" w:rsidR="0091385D" w:rsidRDefault="0091385D" w:rsidP="0091385D"/>
    <w:p w14:paraId="128E1190" w14:textId="0ABB8176" w:rsidR="00072A35" w:rsidRPr="00AB10B9" w:rsidRDefault="00072A35" w:rsidP="0091385D">
      <w:pPr>
        <w:rPr>
          <w:sz w:val="24"/>
        </w:rPr>
      </w:pPr>
      <w:r w:rsidRPr="00AB10B9">
        <w:rPr>
          <w:szCs w:val="20"/>
          <w:u w:val="single"/>
        </w:rPr>
        <w:t>Таблица 3:</w:t>
      </w:r>
    </w:p>
    <w:p w14:paraId="536A7603" w14:textId="639B8758" w:rsidR="00072A35" w:rsidRPr="00AB10B9" w:rsidRDefault="00072A35" w:rsidP="0091385D">
      <w:pPr>
        <w:rPr>
          <w:sz w:val="24"/>
        </w:rPr>
      </w:pPr>
      <w:r w:rsidRPr="00AB10B9">
        <w:rPr>
          <w:szCs w:val="20"/>
        </w:rPr>
        <w:t xml:space="preserve">Обобщение на средните стойности </w:t>
      </w:r>
      <w:r w:rsidRPr="00AB10B9">
        <w:rPr>
          <w:szCs w:val="20"/>
          <w:lang w:val="en-US"/>
        </w:rPr>
        <w:t xml:space="preserve">(%CV) </w:t>
      </w:r>
      <w:r w:rsidRPr="00AB10B9">
        <w:rPr>
          <w:szCs w:val="20"/>
        </w:rPr>
        <w:t>на фармакокинетичните параметри на габапентин в стационарно състояние след прием на всеки 8 часа</w:t>
      </w:r>
    </w:p>
    <w:tbl>
      <w:tblPr>
        <w:tblStyle w:val="TableGrid"/>
        <w:tblW w:w="0" w:type="auto"/>
        <w:tblLook w:val="04A0" w:firstRow="1" w:lastRow="0" w:firstColumn="1" w:lastColumn="0" w:noHBand="0" w:noVBand="1"/>
      </w:tblPr>
      <w:tblGrid>
        <w:gridCol w:w="2167"/>
        <w:gridCol w:w="1220"/>
        <w:gridCol w:w="1175"/>
        <w:gridCol w:w="1219"/>
        <w:gridCol w:w="1175"/>
        <w:gridCol w:w="1219"/>
        <w:gridCol w:w="1175"/>
      </w:tblGrid>
      <w:tr w:rsidR="00072A35" w14:paraId="4C45AE6B" w14:textId="77777777" w:rsidTr="00F8568C">
        <w:tc>
          <w:tcPr>
            <w:tcW w:w="1990" w:type="dxa"/>
          </w:tcPr>
          <w:p w14:paraId="2614C7D9" w14:textId="09FE72BE" w:rsidR="00072A35" w:rsidRPr="00AB10B9" w:rsidRDefault="00072A35" w:rsidP="00072A35">
            <w:bookmarkStart w:id="2" w:name="_GoBack" w:colFirst="0" w:colLast="6"/>
            <w:r w:rsidRPr="00AB10B9">
              <w:rPr>
                <w:szCs w:val="20"/>
                <w:lang w:eastAsia="bg-BG"/>
              </w:rPr>
              <w:t>Фармакокинетичен параметър</w:t>
            </w:r>
          </w:p>
        </w:tc>
        <w:tc>
          <w:tcPr>
            <w:tcW w:w="2529" w:type="dxa"/>
            <w:gridSpan w:val="2"/>
          </w:tcPr>
          <w:p w14:paraId="47EAC346" w14:textId="14523A43" w:rsidR="00072A35" w:rsidRPr="00AB10B9" w:rsidRDefault="00072A35" w:rsidP="00072A35">
            <w:pPr>
              <w:jc w:val="center"/>
              <w:rPr>
                <w:szCs w:val="20"/>
              </w:rPr>
            </w:pPr>
            <w:r w:rsidRPr="00AB10B9">
              <w:rPr>
                <w:szCs w:val="20"/>
              </w:rPr>
              <w:t>300 mg</w:t>
            </w:r>
          </w:p>
          <w:p w14:paraId="6CA01F5A" w14:textId="1D866559" w:rsidR="00072A35" w:rsidRPr="00AB10B9" w:rsidRDefault="00072A35" w:rsidP="00072A35">
            <w:pPr>
              <w:jc w:val="center"/>
            </w:pPr>
            <w:r w:rsidRPr="00AB10B9">
              <w:rPr>
                <w:szCs w:val="20"/>
              </w:rPr>
              <w:t>(N = 7)</w:t>
            </w:r>
          </w:p>
        </w:tc>
        <w:tc>
          <w:tcPr>
            <w:tcW w:w="1264" w:type="dxa"/>
          </w:tcPr>
          <w:p w14:paraId="5B16ECA7" w14:textId="3191CA0C" w:rsidR="00072A35" w:rsidRPr="00AB10B9" w:rsidRDefault="00072A35" w:rsidP="00072A35">
            <w:pPr>
              <w:jc w:val="center"/>
              <w:rPr>
                <w:lang w:eastAsia="bg-BG"/>
              </w:rPr>
            </w:pPr>
            <w:r w:rsidRPr="00AB10B9">
              <w:rPr>
                <w:szCs w:val="20"/>
              </w:rPr>
              <w:t>400 mg</w:t>
            </w:r>
          </w:p>
          <w:p w14:paraId="55DFB8C7" w14:textId="198196E4" w:rsidR="00072A35" w:rsidRPr="00AB10B9" w:rsidRDefault="00072A35" w:rsidP="00072A35">
            <w:pPr>
              <w:jc w:val="center"/>
            </w:pPr>
            <w:r w:rsidRPr="00AB10B9">
              <w:rPr>
                <w:szCs w:val="20"/>
              </w:rPr>
              <w:t>(N = 14)</w:t>
            </w:r>
          </w:p>
        </w:tc>
        <w:tc>
          <w:tcPr>
            <w:tcW w:w="3793" w:type="dxa"/>
            <w:gridSpan w:val="3"/>
          </w:tcPr>
          <w:p w14:paraId="3980CEB2" w14:textId="5E7F2B64" w:rsidR="00072A35" w:rsidRPr="00AB10B9" w:rsidRDefault="00072A35" w:rsidP="00072A35">
            <w:pPr>
              <w:jc w:val="center"/>
              <w:rPr>
                <w:szCs w:val="20"/>
              </w:rPr>
            </w:pPr>
            <w:r w:rsidRPr="00AB10B9">
              <w:rPr>
                <w:szCs w:val="20"/>
              </w:rPr>
              <w:t>800 mg</w:t>
            </w:r>
          </w:p>
          <w:p w14:paraId="0AB7E7D6" w14:textId="23060880" w:rsidR="00072A35" w:rsidRPr="00AB10B9" w:rsidRDefault="00072A35" w:rsidP="00072A35">
            <w:pPr>
              <w:jc w:val="center"/>
            </w:pPr>
            <w:r w:rsidRPr="00AB10B9">
              <w:rPr>
                <w:szCs w:val="20"/>
              </w:rPr>
              <w:t>(N=14)</w:t>
            </w:r>
          </w:p>
        </w:tc>
      </w:tr>
      <w:tr w:rsidR="00072A35" w14:paraId="75504C7E" w14:textId="77777777" w:rsidTr="00072A35">
        <w:tc>
          <w:tcPr>
            <w:tcW w:w="1990" w:type="dxa"/>
          </w:tcPr>
          <w:p w14:paraId="2841291F" w14:textId="77777777" w:rsidR="00072A35" w:rsidRPr="00AB10B9" w:rsidRDefault="00072A35" w:rsidP="00072A35"/>
        </w:tc>
        <w:tc>
          <w:tcPr>
            <w:tcW w:w="1265" w:type="dxa"/>
          </w:tcPr>
          <w:p w14:paraId="66D35377" w14:textId="06E8C55A" w:rsidR="00072A35" w:rsidRPr="00AB10B9" w:rsidRDefault="00072A35" w:rsidP="00072A35">
            <w:r w:rsidRPr="00AB10B9">
              <w:rPr>
                <w:szCs w:val="20"/>
                <w:lang w:eastAsia="bg-BG"/>
              </w:rPr>
              <w:t>Средна</w:t>
            </w:r>
          </w:p>
        </w:tc>
        <w:tc>
          <w:tcPr>
            <w:tcW w:w="1264" w:type="dxa"/>
          </w:tcPr>
          <w:p w14:paraId="5435E7D4" w14:textId="2AE7CE49" w:rsidR="00072A35" w:rsidRPr="00AB10B9" w:rsidRDefault="00072A35" w:rsidP="00072A35">
            <w:r w:rsidRPr="00AB10B9">
              <w:rPr>
                <w:szCs w:val="20"/>
              </w:rPr>
              <w:t>%CV</w:t>
            </w:r>
          </w:p>
        </w:tc>
        <w:tc>
          <w:tcPr>
            <w:tcW w:w="1264" w:type="dxa"/>
          </w:tcPr>
          <w:p w14:paraId="330B8390" w14:textId="4B92E1A2" w:rsidR="00072A35" w:rsidRPr="00AB10B9" w:rsidRDefault="00072A35" w:rsidP="00072A35">
            <w:r w:rsidRPr="00AB10B9">
              <w:rPr>
                <w:szCs w:val="20"/>
                <w:lang w:eastAsia="bg-BG"/>
              </w:rPr>
              <w:t>Средна</w:t>
            </w:r>
          </w:p>
        </w:tc>
        <w:tc>
          <w:tcPr>
            <w:tcW w:w="1264" w:type="dxa"/>
          </w:tcPr>
          <w:p w14:paraId="5BC2F318" w14:textId="5CE6D5BF" w:rsidR="00072A35" w:rsidRPr="00AB10B9" w:rsidRDefault="00072A35" w:rsidP="00072A35">
            <w:r w:rsidRPr="00AB10B9">
              <w:rPr>
                <w:szCs w:val="20"/>
              </w:rPr>
              <w:t>%CV</w:t>
            </w:r>
          </w:p>
        </w:tc>
        <w:tc>
          <w:tcPr>
            <w:tcW w:w="1264" w:type="dxa"/>
          </w:tcPr>
          <w:p w14:paraId="60F4BA01" w14:textId="43D951F3" w:rsidR="00072A35" w:rsidRPr="00AB10B9" w:rsidRDefault="00072A35" w:rsidP="00072A35">
            <w:r w:rsidRPr="00AB10B9">
              <w:rPr>
                <w:szCs w:val="20"/>
              </w:rPr>
              <w:t xml:space="preserve"> </w:t>
            </w:r>
            <w:r w:rsidRPr="00AB10B9">
              <w:rPr>
                <w:szCs w:val="20"/>
                <w:lang w:eastAsia="bg-BG"/>
              </w:rPr>
              <w:t>Средна</w:t>
            </w:r>
          </w:p>
        </w:tc>
        <w:tc>
          <w:tcPr>
            <w:tcW w:w="1265" w:type="dxa"/>
          </w:tcPr>
          <w:p w14:paraId="2790B3D9" w14:textId="0329B278" w:rsidR="00072A35" w:rsidRPr="00AB10B9" w:rsidRDefault="00072A35" w:rsidP="00072A35">
            <w:r w:rsidRPr="00AB10B9">
              <w:rPr>
                <w:szCs w:val="20"/>
              </w:rPr>
              <w:t>%CV</w:t>
            </w:r>
          </w:p>
        </w:tc>
      </w:tr>
      <w:tr w:rsidR="00072A35" w14:paraId="37B80A0A" w14:textId="77777777" w:rsidTr="00072A35">
        <w:tc>
          <w:tcPr>
            <w:tcW w:w="1990" w:type="dxa"/>
          </w:tcPr>
          <w:p w14:paraId="2493749D" w14:textId="0184A8C9" w:rsidR="00072A35" w:rsidRPr="00AB10B9" w:rsidRDefault="00072A35" w:rsidP="00072A35">
            <w:r w:rsidRPr="00AB10B9">
              <w:rPr>
                <w:szCs w:val="20"/>
              </w:rPr>
              <w:t>Cmax (</w:t>
            </w:r>
            <w:r w:rsidRPr="00AB10B9">
              <w:rPr>
                <w:szCs w:val="20"/>
                <w:lang w:eastAsia="bg-BG"/>
              </w:rPr>
              <w:t>μ</w:t>
            </w:r>
            <w:r w:rsidRPr="00AB10B9">
              <w:rPr>
                <w:szCs w:val="20"/>
              </w:rPr>
              <w:t>g/ml)</w:t>
            </w:r>
          </w:p>
        </w:tc>
        <w:tc>
          <w:tcPr>
            <w:tcW w:w="1265" w:type="dxa"/>
          </w:tcPr>
          <w:p w14:paraId="47ED61CF" w14:textId="19E19007" w:rsidR="00072A35" w:rsidRPr="00AB10B9" w:rsidRDefault="00072A35" w:rsidP="00072A35">
            <w:r w:rsidRPr="00AB10B9">
              <w:rPr>
                <w:szCs w:val="20"/>
              </w:rPr>
              <w:t>4,02</w:t>
            </w:r>
          </w:p>
        </w:tc>
        <w:tc>
          <w:tcPr>
            <w:tcW w:w="1264" w:type="dxa"/>
          </w:tcPr>
          <w:p w14:paraId="78CE1391" w14:textId="7D5F1749" w:rsidR="00072A35" w:rsidRPr="00AB10B9" w:rsidRDefault="00072A35" w:rsidP="00072A35">
            <w:r w:rsidRPr="00AB10B9">
              <w:rPr>
                <w:szCs w:val="20"/>
              </w:rPr>
              <w:t>(24)</w:t>
            </w:r>
          </w:p>
        </w:tc>
        <w:tc>
          <w:tcPr>
            <w:tcW w:w="1264" w:type="dxa"/>
          </w:tcPr>
          <w:p w14:paraId="14D1ABEC" w14:textId="1EA2EEAF" w:rsidR="00072A35" w:rsidRPr="00AB10B9" w:rsidRDefault="00072A35" w:rsidP="00072A35">
            <w:r w:rsidRPr="00AB10B9">
              <w:rPr>
                <w:szCs w:val="20"/>
              </w:rPr>
              <w:t>5,74</w:t>
            </w:r>
          </w:p>
        </w:tc>
        <w:tc>
          <w:tcPr>
            <w:tcW w:w="1264" w:type="dxa"/>
          </w:tcPr>
          <w:p w14:paraId="4ABD3528" w14:textId="6BAB716F" w:rsidR="00072A35" w:rsidRPr="00AB10B9" w:rsidRDefault="00072A35" w:rsidP="00072A35">
            <w:r w:rsidRPr="00AB10B9">
              <w:rPr>
                <w:szCs w:val="20"/>
              </w:rPr>
              <w:t>(38)</w:t>
            </w:r>
          </w:p>
        </w:tc>
        <w:tc>
          <w:tcPr>
            <w:tcW w:w="1264" w:type="dxa"/>
          </w:tcPr>
          <w:p w14:paraId="57AD10C1" w14:textId="71B05B3D" w:rsidR="00072A35" w:rsidRPr="00AB10B9" w:rsidRDefault="00072A35" w:rsidP="00072A35">
            <w:r w:rsidRPr="00AB10B9">
              <w:rPr>
                <w:szCs w:val="20"/>
              </w:rPr>
              <w:t>8,71</w:t>
            </w:r>
          </w:p>
        </w:tc>
        <w:tc>
          <w:tcPr>
            <w:tcW w:w="1265" w:type="dxa"/>
          </w:tcPr>
          <w:p w14:paraId="2568920F" w14:textId="15A93577" w:rsidR="00072A35" w:rsidRPr="00AB10B9" w:rsidRDefault="00072A35" w:rsidP="00072A35">
            <w:r w:rsidRPr="00AB10B9">
              <w:rPr>
                <w:szCs w:val="20"/>
              </w:rPr>
              <w:t>(29)</w:t>
            </w:r>
          </w:p>
        </w:tc>
      </w:tr>
      <w:tr w:rsidR="00072A35" w14:paraId="73EDEE64" w14:textId="77777777" w:rsidTr="00072A35">
        <w:tc>
          <w:tcPr>
            <w:tcW w:w="1990" w:type="dxa"/>
          </w:tcPr>
          <w:p w14:paraId="2A65EB24" w14:textId="594BDE9D" w:rsidR="00072A35" w:rsidRPr="00AB10B9" w:rsidRDefault="00072A35" w:rsidP="00072A35">
            <w:r w:rsidRPr="00AB10B9">
              <w:rPr>
                <w:szCs w:val="20"/>
              </w:rPr>
              <w:t>t</w:t>
            </w:r>
            <w:r w:rsidRPr="00AB10B9">
              <w:rPr>
                <w:szCs w:val="20"/>
                <w:vertAlign w:val="subscript"/>
              </w:rPr>
              <w:t xml:space="preserve">max </w:t>
            </w:r>
            <w:r w:rsidRPr="00AB10B9">
              <w:rPr>
                <w:szCs w:val="20"/>
              </w:rPr>
              <w:t>(hr)</w:t>
            </w:r>
          </w:p>
        </w:tc>
        <w:tc>
          <w:tcPr>
            <w:tcW w:w="1265" w:type="dxa"/>
          </w:tcPr>
          <w:p w14:paraId="22FA7ED3" w14:textId="440D34F2" w:rsidR="00072A35" w:rsidRPr="00AB10B9" w:rsidRDefault="00072A35" w:rsidP="00072A35">
            <w:r w:rsidRPr="00AB10B9">
              <w:rPr>
                <w:szCs w:val="20"/>
              </w:rPr>
              <w:t>2,7</w:t>
            </w:r>
          </w:p>
        </w:tc>
        <w:tc>
          <w:tcPr>
            <w:tcW w:w="1264" w:type="dxa"/>
          </w:tcPr>
          <w:p w14:paraId="7EE027B6" w14:textId="49B4F145" w:rsidR="00072A35" w:rsidRPr="00AB10B9" w:rsidRDefault="00072A35" w:rsidP="00072A35">
            <w:r w:rsidRPr="00AB10B9">
              <w:rPr>
                <w:szCs w:val="20"/>
              </w:rPr>
              <w:t>(18)</w:t>
            </w:r>
          </w:p>
        </w:tc>
        <w:tc>
          <w:tcPr>
            <w:tcW w:w="1264" w:type="dxa"/>
          </w:tcPr>
          <w:p w14:paraId="786060C2" w14:textId="2B2BA291" w:rsidR="00072A35" w:rsidRPr="00AB10B9" w:rsidRDefault="00072A35" w:rsidP="00072A35">
            <w:r w:rsidRPr="00AB10B9">
              <w:rPr>
                <w:szCs w:val="20"/>
              </w:rPr>
              <w:t>2,1</w:t>
            </w:r>
          </w:p>
        </w:tc>
        <w:tc>
          <w:tcPr>
            <w:tcW w:w="1264" w:type="dxa"/>
          </w:tcPr>
          <w:p w14:paraId="246CE532" w14:textId="4408563D" w:rsidR="00072A35" w:rsidRPr="00AB10B9" w:rsidRDefault="00072A35" w:rsidP="00072A35">
            <w:r w:rsidRPr="00AB10B9">
              <w:rPr>
                <w:szCs w:val="20"/>
              </w:rPr>
              <w:t>(54)</w:t>
            </w:r>
          </w:p>
        </w:tc>
        <w:tc>
          <w:tcPr>
            <w:tcW w:w="1264" w:type="dxa"/>
          </w:tcPr>
          <w:p w14:paraId="00A1663E" w14:textId="1774DBD7" w:rsidR="00072A35" w:rsidRPr="00AB10B9" w:rsidRDefault="00072A35" w:rsidP="00072A35">
            <w:r w:rsidRPr="00AB10B9">
              <w:rPr>
                <w:szCs w:val="20"/>
              </w:rPr>
              <w:t>1,6</w:t>
            </w:r>
          </w:p>
        </w:tc>
        <w:tc>
          <w:tcPr>
            <w:tcW w:w="1265" w:type="dxa"/>
          </w:tcPr>
          <w:p w14:paraId="4ADBF90B" w14:textId="79229720" w:rsidR="00072A35" w:rsidRPr="00AB10B9" w:rsidRDefault="00072A35" w:rsidP="00072A35">
            <w:r w:rsidRPr="00AB10B9">
              <w:rPr>
                <w:szCs w:val="20"/>
              </w:rPr>
              <w:t>(76)</w:t>
            </w:r>
          </w:p>
        </w:tc>
      </w:tr>
      <w:tr w:rsidR="00072A35" w14:paraId="4DEA35CA" w14:textId="77777777" w:rsidTr="00072A35">
        <w:tc>
          <w:tcPr>
            <w:tcW w:w="1990" w:type="dxa"/>
          </w:tcPr>
          <w:p w14:paraId="09DF5E01" w14:textId="4EA824B2" w:rsidR="00072A35" w:rsidRPr="00AB10B9" w:rsidRDefault="00072A35" w:rsidP="00072A35">
            <w:r w:rsidRPr="00AB10B9">
              <w:rPr>
                <w:szCs w:val="20"/>
              </w:rPr>
              <w:t>T</w:t>
            </w:r>
            <w:r w:rsidRPr="00AB10B9">
              <w:rPr>
                <w:szCs w:val="20"/>
                <w:vertAlign w:val="subscript"/>
              </w:rPr>
              <w:t>l/2</w:t>
            </w:r>
            <w:r w:rsidRPr="00AB10B9">
              <w:rPr>
                <w:szCs w:val="20"/>
              </w:rPr>
              <w:t xml:space="preserve"> (hr)</w:t>
            </w:r>
          </w:p>
        </w:tc>
        <w:tc>
          <w:tcPr>
            <w:tcW w:w="1265" w:type="dxa"/>
          </w:tcPr>
          <w:p w14:paraId="59260096" w14:textId="3D98B73D" w:rsidR="00072A35" w:rsidRPr="00AB10B9" w:rsidRDefault="00072A35" w:rsidP="00072A35">
            <w:r w:rsidRPr="00AB10B9">
              <w:rPr>
                <w:szCs w:val="20"/>
              </w:rPr>
              <w:t>5,2</w:t>
            </w:r>
          </w:p>
        </w:tc>
        <w:tc>
          <w:tcPr>
            <w:tcW w:w="1264" w:type="dxa"/>
          </w:tcPr>
          <w:p w14:paraId="21F16B7C" w14:textId="26BA6A77" w:rsidR="00072A35" w:rsidRPr="00AB10B9" w:rsidRDefault="00072A35" w:rsidP="00072A35">
            <w:r w:rsidRPr="00AB10B9">
              <w:rPr>
                <w:szCs w:val="20"/>
              </w:rPr>
              <w:t>(12)</w:t>
            </w:r>
          </w:p>
        </w:tc>
        <w:tc>
          <w:tcPr>
            <w:tcW w:w="1264" w:type="dxa"/>
          </w:tcPr>
          <w:p w14:paraId="45B54A97" w14:textId="0EE13988" w:rsidR="00072A35" w:rsidRPr="00AB10B9" w:rsidRDefault="00072A35" w:rsidP="00072A35">
            <w:r w:rsidRPr="00AB10B9">
              <w:rPr>
                <w:szCs w:val="20"/>
              </w:rPr>
              <w:t>10,8</w:t>
            </w:r>
          </w:p>
        </w:tc>
        <w:tc>
          <w:tcPr>
            <w:tcW w:w="1264" w:type="dxa"/>
          </w:tcPr>
          <w:p w14:paraId="56FB54D3" w14:textId="7168C1F0" w:rsidR="00072A35" w:rsidRPr="00AB10B9" w:rsidRDefault="00072A35" w:rsidP="00072A35">
            <w:r w:rsidRPr="00AB10B9">
              <w:rPr>
                <w:szCs w:val="20"/>
              </w:rPr>
              <w:t>(89)</w:t>
            </w:r>
          </w:p>
        </w:tc>
        <w:tc>
          <w:tcPr>
            <w:tcW w:w="1264" w:type="dxa"/>
          </w:tcPr>
          <w:p w14:paraId="02F217EB" w14:textId="3F0CA687" w:rsidR="00072A35" w:rsidRPr="00AB10B9" w:rsidRDefault="00072A35" w:rsidP="00072A35">
            <w:r w:rsidRPr="00AB10B9">
              <w:rPr>
                <w:szCs w:val="20"/>
              </w:rPr>
              <w:t xml:space="preserve"> 10,6</w:t>
            </w:r>
          </w:p>
        </w:tc>
        <w:tc>
          <w:tcPr>
            <w:tcW w:w="1265" w:type="dxa"/>
          </w:tcPr>
          <w:p w14:paraId="1C8C501D" w14:textId="635D6547" w:rsidR="00072A35" w:rsidRPr="00AB10B9" w:rsidRDefault="00072A35" w:rsidP="00072A35">
            <w:r w:rsidRPr="00AB10B9">
              <w:rPr>
                <w:szCs w:val="20"/>
              </w:rPr>
              <w:t>(41)</w:t>
            </w:r>
          </w:p>
        </w:tc>
      </w:tr>
      <w:tr w:rsidR="00072A35" w14:paraId="0AD89B38" w14:textId="77777777" w:rsidTr="00072A35">
        <w:tc>
          <w:tcPr>
            <w:tcW w:w="1990" w:type="dxa"/>
          </w:tcPr>
          <w:p w14:paraId="2394A90B" w14:textId="77777777" w:rsidR="00072A35" w:rsidRPr="00AB10B9" w:rsidRDefault="00072A35" w:rsidP="00072A35">
            <w:pPr>
              <w:rPr>
                <w:lang w:eastAsia="bg-BG"/>
              </w:rPr>
            </w:pPr>
            <w:r w:rsidRPr="00AB10B9">
              <w:rPr>
                <w:szCs w:val="20"/>
              </w:rPr>
              <w:t>AUC (0-8)</w:t>
            </w:r>
          </w:p>
          <w:p w14:paraId="2D1E5B47" w14:textId="1925BF73" w:rsidR="00072A35" w:rsidRPr="00AB10B9" w:rsidRDefault="00072A35" w:rsidP="00072A35">
            <w:r w:rsidRPr="00AB10B9">
              <w:rPr>
                <w:szCs w:val="20"/>
                <w:lang w:eastAsia="bg-BG"/>
              </w:rPr>
              <w:t>μ</w:t>
            </w:r>
            <w:r w:rsidRPr="00AB10B9">
              <w:rPr>
                <w:szCs w:val="20"/>
              </w:rPr>
              <w:t>g*hr/ml)</w:t>
            </w:r>
          </w:p>
        </w:tc>
        <w:tc>
          <w:tcPr>
            <w:tcW w:w="1265" w:type="dxa"/>
          </w:tcPr>
          <w:p w14:paraId="00A084EB" w14:textId="58931FC3" w:rsidR="00072A35" w:rsidRPr="00AB10B9" w:rsidRDefault="00072A35" w:rsidP="00072A35">
            <w:r w:rsidRPr="00AB10B9">
              <w:rPr>
                <w:szCs w:val="20"/>
              </w:rPr>
              <w:t>24,8</w:t>
            </w:r>
          </w:p>
        </w:tc>
        <w:tc>
          <w:tcPr>
            <w:tcW w:w="1264" w:type="dxa"/>
          </w:tcPr>
          <w:p w14:paraId="2917E1D8" w14:textId="1F364F16" w:rsidR="00072A35" w:rsidRPr="00AB10B9" w:rsidRDefault="00072A35" w:rsidP="00072A35">
            <w:r w:rsidRPr="00AB10B9">
              <w:rPr>
                <w:szCs w:val="20"/>
              </w:rPr>
              <w:t>(24)</w:t>
            </w:r>
          </w:p>
        </w:tc>
        <w:tc>
          <w:tcPr>
            <w:tcW w:w="1264" w:type="dxa"/>
          </w:tcPr>
          <w:p w14:paraId="143FF756" w14:textId="5AE5027B" w:rsidR="00072A35" w:rsidRPr="00AB10B9" w:rsidRDefault="00072A35" w:rsidP="00072A35">
            <w:r w:rsidRPr="00AB10B9">
              <w:rPr>
                <w:szCs w:val="20"/>
              </w:rPr>
              <w:t>34,5</w:t>
            </w:r>
          </w:p>
        </w:tc>
        <w:tc>
          <w:tcPr>
            <w:tcW w:w="1264" w:type="dxa"/>
          </w:tcPr>
          <w:p w14:paraId="75005161" w14:textId="1E9D10E9" w:rsidR="00072A35" w:rsidRPr="00AB10B9" w:rsidRDefault="00072A35" w:rsidP="00072A35">
            <w:r w:rsidRPr="00AB10B9">
              <w:rPr>
                <w:szCs w:val="20"/>
              </w:rPr>
              <w:t>(34)</w:t>
            </w:r>
          </w:p>
        </w:tc>
        <w:tc>
          <w:tcPr>
            <w:tcW w:w="1264" w:type="dxa"/>
          </w:tcPr>
          <w:p w14:paraId="283EE219" w14:textId="110345A3" w:rsidR="00072A35" w:rsidRPr="00AB10B9" w:rsidRDefault="00072A35" w:rsidP="00072A35">
            <w:r w:rsidRPr="00AB10B9">
              <w:rPr>
                <w:szCs w:val="20"/>
              </w:rPr>
              <w:t>51,4</w:t>
            </w:r>
          </w:p>
        </w:tc>
        <w:tc>
          <w:tcPr>
            <w:tcW w:w="1265" w:type="dxa"/>
          </w:tcPr>
          <w:p w14:paraId="0F74B1E0" w14:textId="459346D2" w:rsidR="00072A35" w:rsidRPr="00AB10B9" w:rsidRDefault="00072A35" w:rsidP="00072A35">
            <w:r w:rsidRPr="00AB10B9">
              <w:rPr>
                <w:szCs w:val="20"/>
              </w:rPr>
              <w:t>(27)</w:t>
            </w:r>
          </w:p>
        </w:tc>
      </w:tr>
      <w:tr w:rsidR="00072A35" w14:paraId="69BB0D25" w14:textId="77777777" w:rsidTr="00072A35">
        <w:tc>
          <w:tcPr>
            <w:tcW w:w="1990" w:type="dxa"/>
          </w:tcPr>
          <w:p w14:paraId="32C779B4" w14:textId="582E57F2" w:rsidR="00072A35" w:rsidRPr="00AB10B9" w:rsidRDefault="00072A35" w:rsidP="00072A35">
            <w:r w:rsidRPr="00AB10B9">
              <w:rPr>
                <w:szCs w:val="20"/>
              </w:rPr>
              <w:t>Ae%(%)</w:t>
            </w:r>
          </w:p>
        </w:tc>
        <w:tc>
          <w:tcPr>
            <w:tcW w:w="1265" w:type="dxa"/>
          </w:tcPr>
          <w:p w14:paraId="2994B75F" w14:textId="0184D145" w:rsidR="00072A35" w:rsidRPr="00AB10B9" w:rsidRDefault="00072A35" w:rsidP="00072A35">
            <w:r w:rsidRPr="00AB10B9">
              <w:rPr>
                <w:szCs w:val="20"/>
              </w:rPr>
              <w:t>HH</w:t>
            </w:r>
          </w:p>
        </w:tc>
        <w:tc>
          <w:tcPr>
            <w:tcW w:w="1264" w:type="dxa"/>
          </w:tcPr>
          <w:p w14:paraId="494B8E34" w14:textId="5F5CE21C" w:rsidR="00072A35" w:rsidRPr="00AB10B9" w:rsidRDefault="00072A35" w:rsidP="00072A35">
            <w:r w:rsidRPr="00AB10B9">
              <w:rPr>
                <w:szCs w:val="20"/>
              </w:rPr>
              <w:t>HH</w:t>
            </w:r>
          </w:p>
        </w:tc>
        <w:tc>
          <w:tcPr>
            <w:tcW w:w="1264" w:type="dxa"/>
          </w:tcPr>
          <w:p w14:paraId="729B40CC" w14:textId="0A9E8786" w:rsidR="00072A35" w:rsidRPr="00AB10B9" w:rsidRDefault="00072A35" w:rsidP="00072A35">
            <w:r w:rsidRPr="00AB10B9">
              <w:rPr>
                <w:szCs w:val="20"/>
              </w:rPr>
              <w:t>47,2</w:t>
            </w:r>
          </w:p>
        </w:tc>
        <w:tc>
          <w:tcPr>
            <w:tcW w:w="1264" w:type="dxa"/>
          </w:tcPr>
          <w:p w14:paraId="4911BF21" w14:textId="7EC1E117" w:rsidR="00072A35" w:rsidRPr="00AB10B9" w:rsidRDefault="00072A35" w:rsidP="00072A35">
            <w:r w:rsidRPr="00AB10B9">
              <w:rPr>
                <w:szCs w:val="20"/>
              </w:rPr>
              <w:t>(25)</w:t>
            </w:r>
          </w:p>
        </w:tc>
        <w:tc>
          <w:tcPr>
            <w:tcW w:w="1264" w:type="dxa"/>
          </w:tcPr>
          <w:p w14:paraId="48DE39EB" w14:textId="3E10C081" w:rsidR="00072A35" w:rsidRPr="00AB10B9" w:rsidRDefault="00072A35" w:rsidP="00072A35">
            <w:r w:rsidRPr="00AB10B9">
              <w:rPr>
                <w:szCs w:val="20"/>
              </w:rPr>
              <w:t>34,4</w:t>
            </w:r>
          </w:p>
        </w:tc>
        <w:tc>
          <w:tcPr>
            <w:tcW w:w="1265" w:type="dxa"/>
          </w:tcPr>
          <w:p w14:paraId="1060B98D" w14:textId="23B5E304" w:rsidR="00072A35" w:rsidRPr="00AB10B9" w:rsidRDefault="00072A35" w:rsidP="00072A35">
            <w:r w:rsidRPr="00AB10B9">
              <w:rPr>
                <w:szCs w:val="20"/>
              </w:rPr>
              <w:t>(37)</w:t>
            </w:r>
          </w:p>
        </w:tc>
      </w:tr>
      <w:bookmarkEnd w:id="2"/>
    </w:tbl>
    <w:p w14:paraId="094126CD" w14:textId="4FB07312" w:rsidR="00072A35" w:rsidRDefault="00072A35" w:rsidP="0091385D"/>
    <w:p w14:paraId="6CF967DE" w14:textId="77777777" w:rsidR="00072A35" w:rsidRPr="00072A35" w:rsidRDefault="00072A35" w:rsidP="00072A35">
      <w:pPr>
        <w:spacing w:line="240" w:lineRule="auto"/>
        <w:rPr>
          <w:rFonts w:eastAsia="Times New Roman" w:cs="Arial"/>
          <w:lang w:eastAsia="bg-BG"/>
        </w:rPr>
      </w:pPr>
      <w:r w:rsidRPr="00072A35">
        <w:rPr>
          <w:rFonts w:eastAsia="Times New Roman" w:cs="Arial"/>
          <w:color w:val="000000"/>
          <w:lang w:val="en-US"/>
        </w:rPr>
        <w:t>C</w:t>
      </w:r>
      <w:r w:rsidRPr="00072A35">
        <w:rPr>
          <w:rFonts w:eastAsia="Times New Roman" w:cs="Arial"/>
          <w:color w:val="000000"/>
          <w:vertAlign w:val="subscript"/>
          <w:lang w:val="en-US"/>
        </w:rPr>
        <w:t xml:space="preserve">m </w:t>
      </w:r>
      <w:r w:rsidRPr="00072A35">
        <w:rPr>
          <w:rFonts w:eastAsia="Times New Roman" w:cs="Arial"/>
          <w:color w:val="000000"/>
          <w:vertAlign w:val="subscript"/>
          <w:lang w:eastAsia="bg-BG"/>
        </w:rPr>
        <w:t xml:space="preserve">ах </w:t>
      </w:r>
      <w:r w:rsidRPr="00072A35">
        <w:rPr>
          <w:rFonts w:eastAsia="Times New Roman" w:cs="Arial"/>
          <w:color w:val="000000"/>
          <w:lang w:eastAsia="bg-BG"/>
        </w:rPr>
        <w:t>Максимална плазмена концентрация при стационарно състояние</w:t>
      </w:r>
    </w:p>
    <w:p w14:paraId="371290D5" w14:textId="77777777" w:rsidR="00072A35" w:rsidRPr="00072A35" w:rsidRDefault="00072A35" w:rsidP="00072A35">
      <w:pPr>
        <w:spacing w:line="240" w:lineRule="auto"/>
        <w:rPr>
          <w:rFonts w:eastAsia="Times New Roman" w:cs="Arial"/>
          <w:lang w:eastAsia="bg-BG"/>
        </w:rPr>
      </w:pPr>
      <w:proofErr w:type="spellStart"/>
      <w:proofErr w:type="gramStart"/>
      <w:r w:rsidRPr="00072A35">
        <w:rPr>
          <w:rFonts w:eastAsia="Times New Roman" w:cs="Arial"/>
          <w:color w:val="000000"/>
          <w:lang w:val="en-US"/>
        </w:rPr>
        <w:t>t</w:t>
      </w:r>
      <w:r w:rsidRPr="00072A35">
        <w:rPr>
          <w:rFonts w:eastAsia="Times New Roman" w:cs="Arial"/>
          <w:color w:val="000000"/>
          <w:vertAlign w:val="subscript"/>
          <w:lang w:val="en-US"/>
        </w:rPr>
        <w:t>max</w:t>
      </w:r>
      <w:proofErr w:type="spellEnd"/>
      <w:proofErr w:type="gramEnd"/>
      <w:r w:rsidRPr="00072A35">
        <w:rPr>
          <w:rFonts w:eastAsia="Times New Roman" w:cs="Arial"/>
          <w:color w:val="000000"/>
          <w:lang w:val="en-US"/>
        </w:rPr>
        <w:t xml:space="preserve"> </w:t>
      </w:r>
      <w:r w:rsidRPr="00072A35">
        <w:rPr>
          <w:rFonts w:eastAsia="Times New Roman" w:cs="Arial"/>
          <w:color w:val="000000"/>
          <w:lang w:eastAsia="bg-BG"/>
        </w:rPr>
        <w:t>= Време до достигане на С</w:t>
      </w:r>
      <w:r w:rsidRPr="00072A35">
        <w:rPr>
          <w:rFonts w:eastAsia="Times New Roman" w:cs="Arial"/>
          <w:color w:val="000000"/>
          <w:vertAlign w:val="subscript"/>
          <w:lang w:val="en-US"/>
        </w:rPr>
        <w:t>max</w:t>
      </w:r>
    </w:p>
    <w:p w14:paraId="5E4B057B" w14:textId="77777777" w:rsidR="00072A35" w:rsidRPr="00072A35" w:rsidRDefault="00072A35" w:rsidP="00072A35">
      <w:pPr>
        <w:spacing w:line="240" w:lineRule="auto"/>
        <w:rPr>
          <w:rFonts w:eastAsia="Times New Roman" w:cs="Arial"/>
          <w:lang w:eastAsia="bg-BG"/>
        </w:rPr>
      </w:pPr>
      <w:r w:rsidRPr="00072A35">
        <w:rPr>
          <w:rFonts w:eastAsia="Times New Roman" w:cs="Arial"/>
          <w:smallCaps/>
          <w:color w:val="000000"/>
          <w:lang w:val="en-US"/>
        </w:rPr>
        <w:t>Tl/?</w:t>
      </w:r>
      <w:r w:rsidRPr="00072A35">
        <w:rPr>
          <w:rFonts w:eastAsia="Times New Roman" w:cs="Arial"/>
          <w:color w:val="000000"/>
          <w:lang w:val="en-US"/>
        </w:rPr>
        <w:t xml:space="preserve"> </w:t>
      </w:r>
      <w:r w:rsidRPr="00072A35">
        <w:rPr>
          <w:rFonts w:eastAsia="Times New Roman" w:cs="Arial"/>
          <w:color w:val="000000"/>
          <w:lang w:eastAsia="bg-BG"/>
        </w:rPr>
        <w:t>= Полуживот на елиминиране</w:t>
      </w:r>
    </w:p>
    <w:p w14:paraId="7F1E322C" w14:textId="77777777" w:rsidR="00072A35" w:rsidRPr="00072A35" w:rsidRDefault="00072A35" w:rsidP="00072A35">
      <w:pPr>
        <w:spacing w:line="240" w:lineRule="auto"/>
        <w:rPr>
          <w:rFonts w:eastAsia="Times New Roman" w:cs="Arial"/>
          <w:lang w:eastAsia="bg-BG"/>
        </w:rPr>
      </w:pPr>
      <w:proofErr w:type="gramStart"/>
      <w:r w:rsidRPr="00072A35">
        <w:rPr>
          <w:rFonts w:eastAsia="Times New Roman" w:cs="Arial"/>
          <w:color w:val="000000"/>
          <w:lang w:val="en-US"/>
        </w:rPr>
        <w:t>AUC(</w:t>
      </w:r>
      <w:proofErr w:type="gramEnd"/>
      <w:r w:rsidRPr="00072A35">
        <w:rPr>
          <w:rFonts w:eastAsia="Times New Roman" w:cs="Arial"/>
          <w:color w:val="000000"/>
          <w:lang w:val="en-US"/>
        </w:rPr>
        <w:t xml:space="preserve">0-8) </w:t>
      </w:r>
      <w:r w:rsidRPr="00072A35">
        <w:rPr>
          <w:rFonts w:eastAsia="Times New Roman" w:cs="Arial"/>
          <w:color w:val="000000"/>
          <w:lang w:eastAsia="bg-BG"/>
        </w:rPr>
        <w:t>= Площ под кривата на плазмената концентрация и времето в стационарно състояние за време ; от 0 до 8 часа след дозата</w:t>
      </w:r>
    </w:p>
    <w:p w14:paraId="4477B0CE" w14:textId="77777777" w:rsidR="00072A35" w:rsidRPr="00072A35" w:rsidRDefault="00072A35" w:rsidP="00072A35">
      <w:pPr>
        <w:spacing w:line="240" w:lineRule="auto"/>
        <w:rPr>
          <w:rFonts w:eastAsia="Times New Roman" w:cs="Arial"/>
          <w:lang w:eastAsia="bg-BG"/>
        </w:rPr>
      </w:pPr>
      <w:r w:rsidRPr="00072A35">
        <w:rPr>
          <w:rFonts w:eastAsia="Times New Roman" w:cs="Arial"/>
          <w:color w:val="000000"/>
          <w:lang w:eastAsia="bg-BG"/>
        </w:rPr>
        <w:t>Ае% = Процент от дозата, екскретираната в непроменен вид в урината за време от 0 до 8 часа след дозата</w:t>
      </w:r>
    </w:p>
    <w:p w14:paraId="3EC69B30" w14:textId="77777777" w:rsidR="00072A35" w:rsidRPr="00072A35" w:rsidRDefault="00072A35" w:rsidP="00072A35">
      <w:pPr>
        <w:spacing w:line="240" w:lineRule="auto"/>
        <w:rPr>
          <w:rFonts w:eastAsia="Times New Roman" w:cs="Arial"/>
          <w:lang w:eastAsia="bg-BG"/>
        </w:rPr>
      </w:pPr>
      <w:r w:rsidRPr="00072A35">
        <w:rPr>
          <w:rFonts w:eastAsia="Times New Roman" w:cs="Arial"/>
          <w:color w:val="000000"/>
          <w:lang w:eastAsia="bg-BG"/>
        </w:rPr>
        <w:t>НН = Не е налично</w:t>
      </w:r>
    </w:p>
    <w:p w14:paraId="50B0CDFD" w14:textId="77777777" w:rsidR="00072A35" w:rsidRPr="00072A35" w:rsidRDefault="00072A35" w:rsidP="00072A35">
      <w:pPr>
        <w:spacing w:line="240" w:lineRule="auto"/>
        <w:rPr>
          <w:rFonts w:eastAsia="Times New Roman" w:cs="Arial"/>
          <w:color w:val="000000"/>
          <w:u w:val="single"/>
          <w:lang w:eastAsia="bg-BG"/>
        </w:rPr>
      </w:pPr>
    </w:p>
    <w:p w14:paraId="643C5DCC" w14:textId="6FD81BD6" w:rsidR="00072A35" w:rsidRPr="00072A35" w:rsidRDefault="00072A35" w:rsidP="00072A35">
      <w:pPr>
        <w:pStyle w:val="Heading3"/>
        <w:rPr>
          <w:rFonts w:eastAsia="Times New Roman"/>
          <w:u w:val="single"/>
          <w:lang w:eastAsia="bg-BG"/>
        </w:rPr>
      </w:pPr>
      <w:r w:rsidRPr="00072A35">
        <w:rPr>
          <w:rFonts w:eastAsia="Times New Roman"/>
          <w:u w:val="single"/>
          <w:lang w:eastAsia="bg-BG"/>
        </w:rPr>
        <w:t>Разпределение</w:t>
      </w:r>
    </w:p>
    <w:p w14:paraId="59C4EE49" w14:textId="77777777" w:rsidR="00072A35" w:rsidRPr="00072A35" w:rsidRDefault="00072A35" w:rsidP="00072A35">
      <w:pPr>
        <w:spacing w:line="240" w:lineRule="auto"/>
        <w:rPr>
          <w:rFonts w:eastAsia="Times New Roman" w:cs="Arial"/>
          <w:color w:val="000000"/>
          <w:lang w:eastAsia="bg-BG"/>
        </w:rPr>
      </w:pPr>
    </w:p>
    <w:p w14:paraId="7AE74162" w14:textId="29DB3675" w:rsidR="00072A35" w:rsidRPr="00072A35" w:rsidRDefault="00072A35" w:rsidP="00072A35">
      <w:pPr>
        <w:spacing w:line="240" w:lineRule="auto"/>
        <w:rPr>
          <w:rFonts w:eastAsia="Times New Roman" w:cs="Arial"/>
          <w:lang w:eastAsia="bg-BG"/>
        </w:rPr>
      </w:pPr>
      <w:r w:rsidRPr="00072A35">
        <w:rPr>
          <w:rFonts w:eastAsia="Times New Roman" w:cs="Arial"/>
          <w:color w:val="000000"/>
          <w:lang w:eastAsia="bg-BG"/>
        </w:rPr>
        <w:t xml:space="preserve">Габапентин не се свързва с плазмените протеини и неговият обем на разпределение 57,7 литра. При пациенти с епилепсия, концентрациите на габапентин в гръбначно-мозъчната </w:t>
      </w:r>
      <w:r w:rsidRPr="00072A35">
        <w:rPr>
          <w:rFonts w:eastAsia="Times New Roman" w:cs="Arial"/>
          <w:color w:val="000000"/>
          <w:lang w:eastAsia="bg-BG"/>
        </w:rPr>
        <w:lastRenderedPageBreak/>
        <w:t>течност са приблизително 20% от съответните стационарни минимални плазмени концентрации. Габапентин се открива в кърмата на кърмещи жени.</w:t>
      </w:r>
    </w:p>
    <w:p w14:paraId="6C211A51" w14:textId="77777777" w:rsidR="00072A35" w:rsidRPr="00072A35" w:rsidRDefault="00072A35" w:rsidP="00072A35">
      <w:pPr>
        <w:spacing w:line="240" w:lineRule="auto"/>
        <w:rPr>
          <w:rFonts w:eastAsia="Times New Roman" w:cs="Arial"/>
          <w:color w:val="000000"/>
          <w:u w:val="single"/>
          <w:lang w:eastAsia="bg-BG"/>
        </w:rPr>
      </w:pPr>
    </w:p>
    <w:p w14:paraId="14C44A7C" w14:textId="72F640CE" w:rsidR="00072A35" w:rsidRPr="00072A35" w:rsidRDefault="00072A35" w:rsidP="00072A35">
      <w:pPr>
        <w:pStyle w:val="Heading3"/>
        <w:rPr>
          <w:rFonts w:eastAsia="Times New Roman"/>
          <w:u w:val="single"/>
          <w:lang w:eastAsia="bg-BG"/>
        </w:rPr>
      </w:pPr>
      <w:r w:rsidRPr="00072A35">
        <w:rPr>
          <w:rFonts w:eastAsia="Times New Roman"/>
          <w:u w:val="single"/>
          <w:lang w:eastAsia="bg-BG"/>
        </w:rPr>
        <w:t>Биотрансформация</w:t>
      </w:r>
    </w:p>
    <w:p w14:paraId="496A3084" w14:textId="77777777" w:rsidR="00072A35" w:rsidRPr="00072A35" w:rsidRDefault="00072A35" w:rsidP="00072A35">
      <w:pPr>
        <w:spacing w:line="240" w:lineRule="auto"/>
        <w:rPr>
          <w:rFonts w:eastAsia="Times New Roman" w:cs="Arial"/>
          <w:lang w:eastAsia="bg-BG"/>
        </w:rPr>
      </w:pPr>
      <w:r w:rsidRPr="00072A35">
        <w:rPr>
          <w:rFonts w:eastAsia="Times New Roman" w:cs="Arial"/>
          <w:color w:val="000000"/>
          <w:lang w:eastAsia="bg-BG"/>
        </w:rPr>
        <w:t>Няма данни за метаболизъм на габапентин при хора. Габапентин не индуцира чернодробни оксидазни ензими със смесена функция, отговорни за лекарствения метаболизъм.</w:t>
      </w:r>
    </w:p>
    <w:p w14:paraId="66E23EB0" w14:textId="77777777" w:rsidR="00072A35" w:rsidRPr="00072A35" w:rsidRDefault="00072A35" w:rsidP="00072A35">
      <w:pPr>
        <w:spacing w:line="240" w:lineRule="auto"/>
        <w:rPr>
          <w:rFonts w:eastAsia="Times New Roman" w:cs="Arial"/>
          <w:color w:val="000000"/>
          <w:u w:val="single"/>
          <w:lang w:eastAsia="bg-BG"/>
        </w:rPr>
      </w:pPr>
    </w:p>
    <w:p w14:paraId="09D41E02" w14:textId="4CFB7C74" w:rsidR="00072A35" w:rsidRPr="00072A35" w:rsidRDefault="00072A35" w:rsidP="00072A35">
      <w:pPr>
        <w:pStyle w:val="Heading3"/>
        <w:rPr>
          <w:rFonts w:eastAsia="Times New Roman"/>
          <w:u w:val="single"/>
          <w:lang w:eastAsia="bg-BG"/>
        </w:rPr>
      </w:pPr>
      <w:r w:rsidRPr="00072A35">
        <w:rPr>
          <w:rFonts w:eastAsia="Times New Roman"/>
          <w:u w:val="single"/>
          <w:lang w:eastAsia="bg-BG"/>
        </w:rPr>
        <w:t>Елиминиране</w:t>
      </w:r>
    </w:p>
    <w:p w14:paraId="5DCD1581" w14:textId="77777777" w:rsidR="00072A35" w:rsidRPr="00072A35" w:rsidRDefault="00072A35" w:rsidP="00072A35">
      <w:pPr>
        <w:spacing w:line="240" w:lineRule="auto"/>
        <w:rPr>
          <w:rFonts w:eastAsia="Times New Roman" w:cs="Arial"/>
          <w:color w:val="000000"/>
          <w:lang w:eastAsia="bg-BG"/>
        </w:rPr>
      </w:pPr>
    </w:p>
    <w:p w14:paraId="298FF557" w14:textId="108BC9E5" w:rsidR="00072A35" w:rsidRPr="00072A35" w:rsidRDefault="00072A35" w:rsidP="00072A35">
      <w:pPr>
        <w:spacing w:line="240" w:lineRule="auto"/>
        <w:rPr>
          <w:rFonts w:eastAsia="Times New Roman" w:cs="Arial"/>
          <w:lang w:eastAsia="bg-BG"/>
        </w:rPr>
      </w:pPr>
      <w:r w:rsidRPr="00072A35">
        <w:rPr>
          <w:rFonts w:eastAsia="Times New Roman" w:cs="Arial"/>
          <w:color w:val="000000"/>
          <w:lang w:eastAsia="bg-BG"/>
        </w:rPr>
        <w:t>Габапентин се елиминира непроменен само чрез бъбречна екскреция.</w:t>
      </w:r>
    </w:p>
    <w:p w14:paraId="12C3D071" w14:textId="77777777" w:rsidR="00072A35" w:rsidRPr="00072A35" w:rsidRDefault="00072A35" w:rsidP="00072A35">
      <w:pPr>
        <w:spacing w:line="240" w:lineRule="auto"/>
        <w:rPr>
          <w:rFonts w:eastAsia="Times New Roman" w:cs="Arial"/>
          <w:lang w:eastAsia="bg-BG"/>
        </w:rPr>
      </w:pPr>
      <w:r w:rsidRPr="00072A35">
        <w:rPr>
          <w:rFonts w:eastAsia="Times New Roman" w:cs="Arial"/>
          <w:color w:val="000000"/>
          <w:lang w:eastAsia="bg-BG"/>
        </w:rPr>
        <w:t>Полуживотът на елеминиране на габапентин не зависи от дозата и е около 5 до 7 часа.</w:t>
      </w:r>
    </w:p>
    <w:p w14:paraId="78FEBDDB" w14:textId="77777777" w:rsidR="00072A35" w:rsidRPr="00072A35" w:rsidRDefault="00072A35" w:rsidP="00072A35">
      <w:pPr>
        <w:spacing w:line="240" w:lineRule="auto"/>
        <w:rPr>
          <w:rFonts w:eastAsia="Times New Roman" w:cs="Arial"/>
          <w:color w:val="000000"/>
          <w:lang w:eastAsia="bg-BG"/>
        </w:rPr>
      </w:pPr>
    </w:p>
    <w:p w14:paraId="7D203D9D" w14:textId="1FBEE25D" w:rsidR="00072A35" w:rsidRPr="00072A35" w:rsidRDefault="00072A35" w:rsidP="00072A35">
      <w:pPr>
        <w:spacing w:line="240" w:lineRule="auto"/>
        <w:rPr>
          <w:rFonts w:eastAsia="Times New Roman" w:cs="Arial"/>
          <w:lang w:eastAsia="bg-BG"/>
        </w:rPr>
      </w:pPr>
      <w:r w:rsidRPr="00072A35">
        <w:rPr>
          <w:rFonts w:eastAsia="Times New Roman" w:cs="Arial"/>
          <w:color w:val="000000"/>
          <w:lang w:eastAsia="bg-BG"/>
        </w:rPr>
        <w:t>При пациенти в старческа възраст и при пациенти с нарушена бъбречна функция, плазменият клирънс на габапентин е намален. Константата на скоростта на елиминиране, плазменият клирънс и бъбречния клирънс са правопропорционални на креатининовия клирънс.</w:t>
      </w:r>
    </w:p>
    <w:p w14:paraId="5DC1ECC1" w14:textId="77777777" w:rsidR="00072A35" w:rsidRPr="00072A35" w:rsidRDefault="00072A35" w:rsidP="00072A35">
      <w:pPr>
        <w:rPr>
          <w:rFonts w:eastAsia="Times New Roman" w:cs="Arial"/>
          <w:color w:val="000000"/>
          <w:lang w:eastAsia="bg-BG"/>
        </w:rPr>
      </w:pPr>
    </w:p>
    <w:p w14:paraId="3F3B47EA" w14:textId="5FC683FA" w:rsidR="00072A35" w:rsidRPr="00072A35" w:rsidRDefault="00072A35" w:rsidP="00072A35">
      <w:pPr>
        <w:rPr>
          <w:rFonts w:cs="Arial"/>
        </w:rPr>
      </w:pPr>
      <w:r w:rsidRPr="00072A35">
        <w:rPr>
          <w:rFonts w:eastAsia="Times New Roman" w:cs="Arial"/>
          <w:color w:val="000000"/>
          <w:lang w:eastAsia="bg-BG"/>
        </w:rPr>
        <w:t>Габапентин може да бъде отстранен от плазмата с хемодиализа. Препоръчва се коригиране на дозата при пациенти с компрометирана бъбречна функция или пациенти на хемодиализа (вж. точка 4.2.)</w:t>
      </w:r>
    </w:p>
    <w:p w14:paraId="14C2A683" w14:textId="7EF1C94B" w:rsidR="00072A35" w:rsidRDefault="00072A35" w:rsidP="0091385D"/>
    <w:p w14:paraId="2C1A44B9" w14:textId="77777777" w:rsidR="00072A35" w:rsidRPr="00072A35" w:rsidRDefault="00072A35" w:rsidP="00072A35">
      <w:pPr>
        <w:spacing w:line="240" w:lineRule="auto"/>
        <w:rPr>
          <w:rFonts w:eastAsia="Times New Roman" w:cs="Arial"/>
          <w:lang w:eastAsia="bg-BG"/>
        </w:rPr>
      </w:pPr>
      <w:r w:rsidRPr="00072A35">
        <w:rPr>
          <w:rFonts w:eastAsia="Times New Roman" w:cs="Arial"/>
          <w:color w:val="000000"/>
          <w:lang w:eastAsia="bg-BG"/>
        </w:rPr>
        <w:t xml:space="preserve">Фармакокинетиката на габапентин при деца е определена при 50 здрави индивиди на възраст между 1 месец до 12 години. Като цяло плазмените концентрации на габапентин при деца на възраст над 5 години са подобни на тези при възрастни, при дозиране </w:t>
      </w:r>
      <w:r w:rsidRPr="00072A35">
        <w:rPr>
          <w:rFonts w:eastAsia="Times New Roman" w:cs="Arial"/>
          <w:color w:val="000000"/>
          <w:lang w:val="en-US"/>
        </w:rPr>
        <w:t>mg/kg.</w:t>
      </w:r>
    </w:p>
    <w:p w14:paraId="64351CEC" w14:textId="77777777" w:rsidR="00072A35" w:rsidRPr="00072A35" w:rsidRDefault="00072A35" w:rsidP="00072A35">
      <w:pPr>
        <w:spacing w:line="240" w:lineRule="auto"/>
        <w:rPr>
          <w:rFonts w:eastAsia="Times New Roman" w:cs="Arial"/>
          <w:color w:val="000000"/>
          <w:lang w:eastAsia="bg-BG"/>
        </w:rPr>
      </w:pPr>
    </w:p>
    <w:p w14:paraId="06CB39B6" w14:textId="6EC705C4" w:rsidR="00072A35" w:rsidRPr="00072A35" w:rsidRDefault="00072A35" w:rsidP="00072A35">
      <w:pPr>
        <w:spacing w:line="240" w:lineRule="auto"/>
        <w:rPr>
          <w:rFonts w:eastAsia="Times New Roman" w:cs="Arial"/>
          <w:lang w:eastAsia="bg-BG"/>
        </w:rPr>
      </w:pPr>
      <w:r w:rsidRPr="00072A35">
        <w:rPr>
          <w:rFonts w:eastAsia="Times New Roman" w:cs="Arial"/>
          <w:color w:val="000000"/>
          <w:lang w:eastAsia="bg-BG"/>
        </w:rPr>
        <w:t xml:space="preserve">Във фармакокинетично проучване при 24 здрави педиатрични индивиди на възраст между 1 месец и 48 месеца са установени приблизително 30% по-ниска експозиция </w:t>
      </w:r>
      <w:r w:rsidRPr="00072A35">
        <w:rPr>
          <w:rFonts w:eastAsia="Times New Roman" w:cs="Arial"/>
          <w:color w:val="000000"/>
          <w:lang w:val="en-US"/>
        </w:rPr>
        <w:t xml:space="preserve">(AUC), </w:t>
      </w:r>
      <w:r w:rsidRPr="00072A35">
        <w:rPr>
          <w:rFonts w:eastAsia="Times New Roman" w:cs="Arial"/>
          <w:color w:val="000000"/>
          <w:lang w:eastAsia="bg-BG"/>
        </w:rPr>
        <w:t>по-ниска С</w:t>
      </w:r>
      <w:r w:rsidRPr="00072A35">
        <w:rPr>
          <w:rFonts w:eastAsia="Times New Roman" w:cs="Arial"/>
          <w:color w:val="000000"/>
          <w:vertAlign w:val="subscript"/>
          <w:lang w:val="en-US"/>
        </w:rPr>
        <w:t>max</w:t>
      </w:r>
      <w:r w:rsidRPr="00072A35">
        <w:rPr>
          <w:rFonts w:eastAsia="Times New Roman" w:cs="Arial"/>
          <w:color w:val="000000"/>
          <w:lang w:eastAsia="bg-BG"/>
        </w:rPr>
        <w:t xml:space="preserve"> и по-висок клирънс за телесно тегло, в сравнение с наличните съобщени данни за деца на повече от 5 години.</w:t>
      </w:r>
    </w:p>
    <w:p w14:paraId="618963D0" w14:textId="77777777" w:rsidR="00072A35" w:rsidRPr="00072A35" w:rsidRDefault="00072A35" w:rsidP="00072A35">
      <w:pPr>
        <w:spacing w:line="240" w:lineRule="auto"/>
        <w:rPr>
          <w:rFonts w:eastAsia="Times New Roman" w:cs="Arial"/>
          <w:color w:val="000000"/>
          <w:u w:val="single"/>
          <w:lang w:eastAsia="bg-BG"/>
        </w:rPr>
      </w:pPr>
    </w:p>
    <w:p w14:paraId="3D71C00D" w14:textId="1B7B3ABF" w:rsidR="00072A35" w:rsidRPr="00072A35" w:rsidRDefault="00072A35" w:rsidP="00072A35">
      <w:pPr>
        <w:pStyle w:val="Heading3"/>
        <w:rPr>
          <w:rFonts w:eastAsia="Times New Roman"/>
          <w:u w:val="single"/>
          <w:lang w:eastAsia="bg-BG"/>
        </w:rPr>
      </w:pPr>
      <w:r w:rsidRPr="00072A35">
        <w:rPr>
          <w:rFonts w:eastAsia="Times New Roman"/>
          <w:u w:val="single"/>
          <w:lang w:eastAsia="bg-BG"/>
        </w:rPr>
        <w:t>Линейност / нелинейност</w:t>
      </w:r>
    </w:p>
    <w:p w14:paraId="6E6BAAD3" w14:textId="77777777" w:rsidR="00072A35" w:rsidRPr="00072A35" w:rsidRDefault="00072A35" w:rsidP="00072A35">
      <w:pPr>
        <w:rPr>
          <w:rFonts w:eastAsia="Times New Roman" w:cs="Arial"/>
          <w:color w:val="000000"/>
          <w:lang w:eastAsia="bg-BG"/>
        </w:rPr>
      </w:pPr>
    </w:p>
    <w:p w14:paraId="1CC45170" w14:textId="64A37927" w:rsidR="00072A35" w:rsidRPr="00072A35" w:rsidRDefault="00072A35" w:rsidP="00072A35">
      <w:pPr>
        <w:rPr>
          <w:rFonts w:cs="Arial"/>
        </w:rPr>
      </w:pPr>
      <w:r w:rsidRPr="00072A35">
        <w:rPr>
          <w:rFonts w:eastAsia="Times New Roman" w:cs="Arial"/>
          <w:color w:val="000000"/>
          <w:lang w:eastAsia="bg-BG"/>
        </w:rPr>
        <w:t xml:space="preserve">Бионаличността на габапентин (част от абсорбираната доза) намалява с увеличаване на дозата, което придава нелинеен характер на фармакокинетичните параметри, включващи параметъра за бионаличност </w:t>
      </w:r>
      <w:r w:rsidRPr="00072A35">
        <w:rPr>
          <w:rFonts w:eastAsia="Times New Roman" w:cs="Arial"/>
          <w:color w:val="000000"/>
          <w:lang w:val="en-US"/>
        </w:rPr>
        <w:t xml:space="preserve">(F), </w:t>
      </w:r>
      <w:r w:rsidRPr="00072A35">
        <w:rPr>
          <w:rFonts w:eastAsia="Times New Roman" w:cs="Arial"/>
          <w:color w:val="000000"/>
          <w:lang w:eastAsia="bg-BG"/>
        </w:rPr>
        <w:t xml:space="preserve">напр. Ае%, </w:t>
      </w:r>
      <w:r w:rsidRPr="00072A35">
        <w:rPr>
          <w:rFonts w:eastAsia="Times New Roman" w:cs="Arial"/>
          <w:color w:val="000000"/>
          <w:lang w:val="en-US"/>
        </w:rPr>
        <w:t xml:space="preserve">CL/F, </w:t>
      </w:r>
      <w:proofErr w:type="spellStart"/>
      <w:r w:rsidRPr="00072A35">
        <w:rPr>
          <w:rFonts w:eastAsia="Times New Roman" w:cs="Arial"/>
          <w:color w:val="000000"/>
          <w:lang w:val="en-US"/>
        </w:rPr>
        <w:t>Vd</w:t>
      </w:r>
      <w:proofErr w:type="spellEnd"/>
      <w:r w:rsidRPr="00072A35">
        <w:rPr>
          <w:rFonts w:eastAsia="Times New Roman" w:cs="Arial"/>
          <w:color w:val="000000"/>
          <w:lang w:val="en-US"/>
        </w:rPr>
        <w:t xml:space="preserve">/F. </w:t>
      </w:r>
      <w:r w:rsidRPr="00072A35">
        <w:rPr>
          <w:rFonts w:eastAsia="Times New Roman" w:cs="Arial"/>
          <w:color w:val="000000"/>
          <w:lang w:eastAsia="bg-BG"/>
        </w:rPr>
        <w:t xml:space="preserve">Фармакокинетиката на елиминиране (фармакокинетични параметри, които не включват </w:t>
      </w:r>
      <w:r w:rsidRPr="00072A35">
        <w:rPr>
          <w:rFonts w:eastAsia="Times New Roman" w:cs="Arial"/>
          <w:color w:val="000000"/>
          <w:lang w:val="en-US"/>
        </w:rPr>
        <w:t xml:space="preserve">F </w:t>
      </w:r>
      <w:r w:rsidRPr="00072A35">
        <w:rPr>
          <w:rFonts w:eastAsia="Times New Roman" w:cs="Arial"/>
          <w:color w:val="000000"/>
          <w:lang w:eastAsia="bg-BG"/>
        </w:rPr>
        <w:t>като С</w:t>
      </w:r>
      <w:proofErr w:type="spellStart"/>
      <w:r w:rsidRPr="00072A35">
        <w:rPr>
          <w:rFonts w:eastAsia="Times New Roman" w:cs="Arial"/>
          <w:color w:val="000000"/>
          <w:lang w:val="en-US"/>
        </w:rPr>
        <w:t>Lr</w:t>
      </w:r>
      <w:proofErr w:type="spellEnd"/>
      <w:r w:rsidRPr="00072A35">
        <w:rPr>
          <w:rFonts w:eastAsia="Times New Roman" w:cs="Arial"/>
          <w:color w:val="000000"/>
          <w:lang w:val="en-US"/>
        </w:rPr>
        <w:t xml:space="preserve"> </w:t>
      </w:r>
      <w:r w:rsidRPr="00072A35">
        <w:rPr>
          <w:rFonts w:eastAsia="Times New Roman" w:cs="Arial"/>
          <w:color w:val="000000"/>
          <w:lang w:eastAsia="bg-BG"/>
        </w:rPr>
        <w:t>и Т1/2) най-добре се описва чрез линейна фармакокинетика. Стационарните плазмени концентрации на габапентин могат да се предвидят от данните след еднократна доза.</w:t>
      </w:r>
    </w:p>
    <w:p w14:paraId="4ACE3A2B" w14:textId="77777777" w:rsidR="00072A35" w:rsidRPr="0091385D" w:rsidRDefault="00072A35" w:rsidP="0091385D"/>
    <w:p w14:paraId="648E39DA" w14:textId="44D16CBD" w:rsidR="00CF77F7" w:rsidRDefault="002C50EE" w:rsidP="004A448E">
      <w:pPr>
        <w:pStyle w:val="Heading2"/>
      </w:pPr>
      <w:r>
        <w:t>5.3. Предклинични данни за безопасност</w:t>
      </w:r>
    </w:p>
    <w:p w14:paraId="31455D09" w14:textId="4D0EFBF5" w:rsidR="0091385D" w:rsidRDefault="0091385D" w:rsidP="0091385D"/>
    <w:p w14:paraId="72687727" w14:textId="77777777" w:rsidR="00072A35" w:rsidRPr="00072A35" w:rsidRDefault="00072A35" w:rsidP="00072A35">
      <w:pPr>
        <w:spacing w:line="240" w:lineRule="auto"/>
        <w:rPr>
          <w:rFonts w:eastAsia="Times New Roman" w:cs="Arial"/>
          <w:sz w:val="28"/>
          <w:szCs w:val="24"/>
          <w:lang w:eastAsia="bg-BG"/>
        </w:rPr>
      </w:pPr>
      <w:r w:rsidRPr="00072A35">
        <w:rPr>
          <w:rFonts w:eastAsia="Times New Roman" w:cs="Arial"/>
          <w:color w:val="000000"/>
          <w:szCs w:val="20"/>
          <w:u w:val="single"/>
          <w:lang w:eastAsia="bg-BG"/>
        </w:rPr>
        <w:t>Канцероген пост</w:t>
      </w:r>
    </w:p>
    <w:p w14:paraId="183A1400" w14:textId="77777777" w:rsidR="00072A35" w:rsidRPr="00072A35" w:rsidRDefault="00072A35" w:rsidP="00072A35">
      <w:pPr>
        <w:spacing w:line="240" w:lineRule="auto"/>
        <w:rPr>
          <w:rFonts w:eastAsia="Times New Roman" w:cs="Arial"/>
          <w:color w:val="000000"/>
          <w:szCs w:val="20"/>
          <w:lang w:eastAsia="bg-BG"/>
        </w:rPr>
      </w:pPr>
    </w:p>
    <w:p w14:paraId="2CAFFC4B" w14:textId="63F71052" w:rsidR="00072A35" w:rsidRPr="00072A35" w:rsidRDefault="00072A35" w:rsidP="00072A35">
      <w:pPr>
        <w:spacing w:line="240" w:lineRule="auto"/>
        <w:rPr>
          <w:rFonts w:eastAsia="Times New Roman" w:cs="Arial"/>
          <w:sz w:val="28"/>
          <w:szCs w:val="24"/>
          <w:lang w:eastAsia="bg-BG"/>
        </w:rPr>
      </w:pPr>
      <w:r w:rsidRPr="00072A35">
        <w:rPr>
          <w:rFonts w:eastAsia="Times New Roman" w:cs="Arial"/>
          <w:color w:val="000000"/>
          <w:szCs w:val="20"/>
          <w:lang w:eastAsia="bg-BG"/>
        </w:rPr>
        <w:t xml:space="preserve">Габапентин е прилаган в храната на мишки в дози от 200, 600 и 2000 </w:t>
      </w:r>
      <w:r w:rsidRPr="00072A35">
        <w:rPr>
          <w:rFonts w:eastAsia="Times New Roman" w:cs="Arial"/>
          <w:color w:val="000000"/>
          <w:szCs w:val="20"/>
          <w:lang w:val="en-US"/>
        </w:rPr>
        <w:t>mg/kg</w:t>
      </w:r>
      <w:r w:rsidRPr="00072A35">
        <w:rPr>
          <w:rFonts w:eastAsia="Times New Roman" w:cs="Arial"/>
          <w:color w:val="000000"/>
          <w:szCs w:val="20"/>
          <w:lang w:eastAsia="bg-BG"/>
        </w:rPr>
        <w:t xml:space="preserve">/ден </w:t>
      </w:r>
      <w:r w:rsidRPr="00072A35">
        <w:rPr>
          <w:rFonts w:eastAsia="Times New Roman" w:cs="Arial"/>
          <w:i/>
          <w:iCs/>
          <w:color w:val="000000"/>
          <w:szCs w:val="20"/>
          <w:lang w:eastAsia="bg-BG"/>
        </w:rPr>
        <w:t>и</w:t>
      </w:r>
      <w:r w:rsidRPr="00072A35">
        <w:rPr>
          <w:rFonts w:eastAsia="Times New Roman" w:cs="Arial"/>
          <w:color w:val="000000"/>
          <w:szCs w:val="20"/>
          <w:lang w:eastAsia="bg-BG"/>
        </w:rPr>
        <w:t xml:space="preserve"> на плъхове в дози от 250, 1000 и 2000 </w:t>
      </w:r>
      <w:r w:rsidRPr="00072A35">
        <w:rPr>
          <w:rFonts w:eastAsia="Times New Roman" w:cs="Arial"/>
          <w:color w:val="000000"/>
          <w:szCs w:val="20"/>
          <w:lang w:val="en-US"/>
        </w:rPr>
        <w:t>mg/kg</w:t>
      </w:r>
      <w:r w:rsidRPr="00072A35">
        <w:rPr>
          <w:rFonts w:eastAsia="Times New Roman" w:cs="Arial"/>
          <w:color w:val="000000"/>
          <w:szCs w:val="20"/>
          <w:lang w:eastAsia="bg-BG"/>
        </w:rPr>
        <w:t xml:space="preserve">/ден в продължение на 2 години. Статистически значимо повишаване на честотата на ацинарноклетъчни тумори на панкреаса е било установено само при мъжките плъхове при най-високата доза. Максималните плазмени </w:t>
      </w:r>
      <w:r w:rsidRPr="00072A35">
        <w:rPr>
          <w:rFonts w:eastAsia="Times New Roman" w:cs="Arial"/>
          <w:color w:val="000000"/>
          <w:szCs w:val="20"/>
          <w:lang w:eastAsia="bg-BG"/>
        </w:rPr>
        <w:lastRenderedPageBreak/>
        <w:t xml:space="preserve">концентрации на лекарството при плъхове за дозата от 2000 </w:t>
      </w:r>
      <w:r w:rsidRPr="00072A35">
        <w:rPr>
          <w:rFonts w:eastAsia="Times New Roman" w:cs="Arial"/>
          <w:color w:val="000000"/>
          <w:szCs w:val="20"/>
          <w:lang w:val="en-US"/>
        </w:rPr>
        <w:t>mg/kg</w:t>
      </w:r>
      <w:r w:rsidRPr="00072A35">
        <w:rPr>
          <w:rFonts w:eastAsia="Times New Roman" w:cs="Arial"/>
          <w:color w:val="000000"/>
          <w:szCs w:val="20"/>
          <w:lang w:eastAsia="bg-BG"/>
        </w:rPr>
        <w:t xml:space="preserve">/ден са били 10 пъти по-високи, отколкото плазмените концентрации в човешкия организъм при доза 3600 </w:t>
      </w:r>
      <w:r w:rsidRPr="00072A35">
        <w:rPr>
          <w:rFonts w:eastAsia="Times New Roman" w:cs="Arial"/>
          <w:color w:val="000000"/>
          <w:szCs w:val="20"/>
          <w:lang w:val="en-US"/>
        </w:rPr>
        <w:t>mg</w:t>
      </w:r>
      <w:r w:rsidRPr="00072A35">
        <w:rPr>
          <w:rFonts w:eastAsia="Times New Roman" w:cs="Arial"/>
          <w:color w:val="000000"/>
          <w:szCs w:val="20"/>
          <w:lang w:eastAsia="bg-BG"/>
        </w:rPr>
        <w:t>/ден. Ацинарноклетьчните тумори на панкреаса при мъжките плъхове са с ниска степен на малигненост и не повлияват преживяемостга, не метастазират или инвазират в околните тъкани и са подобни на тези, наблюдавани при контролните животни. Връзката на тези панкреасни ацинарноклетъчни тумори при мъжките плъхове с канцерогенния риск за човека е неясна.</w:t>
      </w:r>
    </w:p>
    <w:p w14:paraId="2524640D" w14:textId="77777777" w:rsidR="00072A35" w:rsidRPr="00072A35" w:rsidRDefault="00072A35" w:rsidP="00072A35">
      <w:pPr>
        <w:spacing w:line="240" w:lineRule="auto"/>
        <w:rPr>
          <w:rFonts w:eastAsia="Times New Roman" w:cs="Arial"/>
          <w:color w:val="000000"/>
          <w:szCs w:val="20"/>
          <w:u w:val="single"/>
          <w:lang w:eastAsia="bg-BG"/>
        </w:rPr>
      </w:pPr>
    </w:p>
    <w:p w14:paraId="766E9D16" w14:textId="071E014C" w:rsidR="00072A35" w:rsidRPr="00072A35" w:rsidRDefault="00072A35" w:rsidP="00072A35">
      <w:pPr>
        <w:spacing w:line="240" w:lineRule="auto"/>
        <w:rPr>
          <w:rFonts w:eastAsia="Times New Roman" w:cs="Arial"/>
          <w:sz w:val="28"/>
          <w:szCs w:val="24"/>
          <w:lang w:eastAsia="bg-BG"/>
        </w:rPr>
      </w:pPr>
      <w:r w:rsidRPr="00072A35">
        <w:rPr>
          <w:rFonts w:eastAsia="Times New Roman" w:cs="Arial"/>
          <w:color w:val="000000"/>
          <w:szCs w:val="20"/>
          <w:u w:val="single"/>
          <w:lang w:eastAsia="bg-BG"/>
        </w:rPr>
        <w:t>Мутагененност</w:t>
      </w:r>
    </w:p>
    <w:p w14:paraId="44B56B8C" w14:textId="77777777" w:rsidR="00072A35" w:rsidRPr="00072A35" w:rsidRDefault="00072A35" w:rsidP="00072A35">
      <w:pPr>
        <w:spacing w:line="240" w:lineRule="auto"/>
        <w:rPr>
          <w:rFonts w:eastAsia="Times New Roman" w:cs="Arial"/>
          <w:color w:val="000000"/>
          <w:szCs w:val="20"/>
          <w:lang w:eastAsia="bg-BG"/>
        </w:rPr>
      </w:pPr>
    </w:p>
    <w:p w14:paraId="0C8D5F03" w14:textId="001F1D58" w:rsidR="00072A35" w:rsidRPr="00072A35" w:rsidRDefault="00072A35" w:rsidP="00072A35">
      <w:pPr>
        <w:spacing w:line="240" w:lineRule="auto"/>
        <w:rPr>
          <w:rFonts w:eastAsia="Times New Roman" w:cs="Arial"/>
          <w:sz w:val="28"/>
          <w:szCs w:val="24"/>
          <w:lang w:eastAsia="bg-BG"/>
        </w:rPr>
      </w:pPr>
      <w:r w:rsidRPr="00072A35">
        <w:rPr>
          <w:rFonts w:eastAsia="Times New Roman" w:cs="Arial"/>
          <w:color w:val="000000"/>
          <w:szCs w:val="20"/>
          <w:lang w:eastAsia="bg-BG"/>
        </w:rPr>
        <w:t xml:space="preserve">Габапентин не показва генотоксичен потенциал. Габапентин не е мутагенен </w:t>
      </w:r>
      <w:r w:rsidRPr="00072A35">
        <w:rPr>
          <w:rFonts w:eastAsia="Times New Roman" w:cs="Arial"/>
          <w:i/>
          <w:iCs/>
          <w:color w:val="000000"/>
          <w:szCs w:val="20"/>
          <w:lang w:val="en-US"/>
        </w:rPr>
        <w:t>in vitro</w:t>
      </w:r>
      <w:r w:rsidRPr="00072A35">
        <w:rPr>
          <w:rFonts w:eastAsia="Times New Roman" w:cs="Arial"/>
          <w:color w:val="000000"/>
          <w:szCs w:val="20"/>
          <w:lang w:val="en-US"/>
        </w:rPr>
        <w:t xml:space="preserve"> </w:t>
      </w:r>
      <w:r w:rsidRPr="00072A35">
        <w:rPr>
          <w:rFonts w:eastAsia="Times New Roman" w:cs="Arial"/>
          <w:color w:val="000000"/>
          <w:szCs w:val="20"/>
          <w:lang w:eastAsia="bg-BG"/>
        </w:rPr>
        <w:t xml:space="preserve">при стандартните тестове с бактериални клетки или клетки от бозайници. Габапентин не предизвика структурни хромозомни аберации в клетки от бозайници нито </w:t>
      </w:r>
      <w:r w:rsidRPr="00072A35">
        <w:rPr>
          <w:rFonts w:eastAsia="Times New Roman" w:cs="Arial"/>
          <w:i/>
          <w:iCs/>
          <w:color w:val="000000"/>
          <w:szCs w:val="20"/>
          <w:lang w:val="en-US"/>
        </w:rPr>
        <w:t>in vitro,</w:t>
      </w:r>
      <w:r w:rsidRPr="00072A35">
        <w:rPr>
          <w:rFonts w:eastAsia="Times New Roman" w:cs="Arial"/>
          <w:color w:val="000000"/>
          <w:szCs w:val="20"/>
          <w:lang w:val="en-US"/>
        </w:rPr>
        <w:t xml:space="preserve"> </w:t>
      </w:r>
      <w:r w:rsidRPr="00072A35">
        <w:rPr>
          <w:rFonts w:eastAsia="Times New Roman" w:cs="Arial"/>
          <w:color w:val="000000"/>
          <w:szCs w:val="20"/>
          <w:lang w:eastAsia="bg-BG"/>
        </w:rPr>
        <w:t xml:space="preserve">нито </w:t>
      </w:r>
      <w:r w:rsidRPr="00072A35">
        <w:rPr>
          <w:rFonts w:eastAsia="Times New Roman" w:cs="Arial"/>
          <w:i/>
          <w:iCs/>
          <w:color w:val="000000"/>
          <w:szCs w:val="20"/>
          <w:lang w:val="en-US"/>
        </w:rPr>
        <w:t>in vivo,</w:t>
      </w:r>
      <w:r w:rsidRPr="00072A35">
        <w:rPr>
          <w:rFonts w:eastAsia="Times New Roman" w:cs="Arial"/>
          <w:color w:val="000000"/>
          <w:szCs w:val="20"/>
          <w:lang w:val="en-US"/>
        </w:rPr>
        <w:t xml:space="preserve"> </w:t>
      </w:r>
      <w:r w:rsidRPr="00072A35">
        <w:rPr>
          <w:rFonts w:eastAsia="Times New Roman" w:cs="Arial"/>
          <w:color w:val="000000"/>
          <w:szCs w:val="20"/>
          <w:lang w:eastAsia="bg-BG"/>
        </w:rPr>
        <w:t>и не предизвика формиране на микронуклеуси в костния мозък на хамстери.</w:t>
      </w:r>
    </w:p>
    <w:p w14:paraId="3117F415" w14:textId="77777777" w:rsidR="00072A35" w:rsidRPr="00072A35" w:rsidRDefault="00072A35" w:rsidP="00072A35">
      <w:pPr>
        <w:spacing w:line="240" w:lineRule="auto"/>
        <w:rPr>
          <w:rFonts w:eastAsia="Times New Roman" w:cs="Arial"/>
          <w:color w:val="000000"/>
          <w:szCs w:val="20"/>
          <w:u w:val="single"/>
          <w:lang w:eastAsia="bg-BG"/>
        </w:rPr>
      </w:pPr>
    </w:p>
    <w:p w14:paraId="2682C00C" w14:textId="7EEBA4A3" w:rsidR="00072A35" w:rsidRPr="00072A35" w:rsidRDefault="00072A35" w:rsidP="00072A35">
      <w:pPr>
        <w:spacing w:line="240" w:lineRule="auto"/>
        <w:rPr>
          <w:rFonts w:eastAsia="Times New Roman" w:cs="Arial"/>
          <w:sz w:val="28"/>
          <w:szCs w:val="24"/>
          <w:lang w:eastAsia="bg-BG"/>
        </w:rPr>
      </w:pPr>
      <w:r w:rsidRPr="00072A35">
        <w:rPr>
          <w:rFonts w:eastAsia="Times New Roman" w:cs="Arial"/>
          <w:color w:val="000000"/>
          <w:szCs w:val="20"/>
          <w:u w:val="single"/>
          <w:lang w:eastAsia="bg-BG"/>
        </w:rPr>
        <w:t>Нарушения на фертилитета</w:t>
      </w:r>
    </w:p>
    <w:p w14:paraId="139BE839" w14:textId="77777777" w:rsidR="00072A35" w:rsidRPr="00072A35" w:rsidRDefault="00072A35" w:rsidP="00072A35">
      <w:pPr>
        <w:spacing w:line="240" w:lineRule="auto"/>
        <w:rPr>
          <w:rFonts w:eastAsia="Times New Roman" w:cs="Arial"/>
          <w:color w:val="000000"/>
          <w:szCs w:val="20"/>
          <w:lang w:eastAsia="bg-BG"/>
        </w:rPr>
      </w:pPr>
    </w:p>
    <w:p w14:paraId="010E4A8E" w14:textId="7EFB8EA2" w:rsidR="00072A35" w:rsidRPr="00072A35" w:rsidRDefault="00072A35" w:rsidP="00072A35">
      <w:pPr>
        <w:spacing w:line="240" w:lineRule="auto"/>
        <w:rPr>
          <w:rFonts w:eastAsia="Times New Roman" w:cs="Arial"/>
          <w:sz w:val="28"/>
          <w:szCs w:val="24"/>
          <w:lang w:eastAsia="bg-BG"/>
        </w:rPr>
      </w:pPr>
      <w:r w:rsidRPr="00072A35">
        <w:rPr>
          <w:rFonts w:eastAsia="Times New Roman" w:cs="Arial"/>
          <w:color w:val="000000"/>
          <w:szCs w:val="20"/>
          <w:lang w:eastAsia="bg-BG"/>
        </w:rPr>
        <w:t xml:space="preserve">Не са наблюдавани нежелани ефекти върху фертилитета и репродуктивната способност при плъхове в дози до 2000 </w:t>
      </w:r>
      <w:r w:rsidRPr="00072A35">
        <w:rPr>
          <w:rFonts w:eastAsia="Times New Roman" w:cs="Arial"/>
          <w:color w:val="000000"/>
          <w:szCs w:val="20"/>
          <w:lang w:val="en-US"/>
        </w:rPr>
        <w:t xml:space="preserve">mg/kg </w:t>
      </w:r>
      <w:r w:rsidRPr="00072A35">
        <w:rPr>
          <w:rFonts w:eastAsia="Times New Roman" w:cs="Arial"/>
          <w:color w:val="000000"/>
          <w:szCs w:val="20"/>
          <w:lang w:eastAsia="bg-BG"/>
        </w:rPr>
        <w:t xml:space="preserve">(приблизително пет пъти повече от максималната дневна доза за хора, определена за единица телесна повърхност в </w:t>
      </w:r>
      <w:r w:rsidRPr="00072A35">
        <w:rPr>
          <w:rFonts w:eastAsia="Times New Roman" w:cs="Arial"/>
          <w:color w:val="000000"/>
          <w:szCs w:val="20"/>
          <w:lang w:val="en-US"/>
        </w:rPr>
        <w:t>mg/m</w:t>
      </w:r>
      <w:r w:rsidRPr="00072A35">
        <w:rPr>
          <w:rFonts w:eastAsia="Times New Roman" w:cs="Arial"/>
          <w:color w:val="000000"/>
          <w:szCs w:val="20"/>
          <w:vertAlign w:val="superscript"/>
          <w:lang w:val="en-US"/>
        </w:rPr>
        <w:t>2</w:t>
      </w:r>
      <w:r w:rsidRPr="00072A35">
        <w:rPr>
          <w:rFonts w:eastAsia="Times New Roman" w:cs="Arial"/>
          <w:color w:val="000000"/>
          <w:szCs w:val="20"/>
          <w:lang w:val="en-US"/>
        </w:rPr>
        <w:t>).</w:t>
      </w:r>
    </w:p>
    <w:p w14:paraId="5D00D5A0" w14:textId="77777777" w:rsidR="00072A35" w:rsidRPr="00072A35" w:rsidRDefault="00072A35" w:rsidP="00072A35">
      <w:pPr>
        <w:spacing w:line="240" w:lineRule="auto"/>
        <w:rPr>
          <w:rFonts w:eastAsia="Times New Roman" w:cs="Arial"/>
          <w:color w:val="000000"/>
          <w:szCs w:val="20"/>
          <w:u w:val="single"/>
          <w:lang w:eastAsia="bg-BG"/>
        </w:rPr>
      </w:pPr>
    </w:p>
    <w:p w14:paraId="1C4ED3EC" w14:textId="6C06D406" w:rsidR="00072A35" w:rsidRPr="00072A35" w:rsidRDefault="00072A35" w:rsidP="00072A35">
      <w:pPr>
        <w:spacing w:line="240" w:lineRule="auto"/>
        <w:rPr>
          <w:rFonts w:eastAsia="Times New Roman" w:cs="Arial"/>
          <w:sz w:val="28"/>
          <w:szCs w:val="24"/>
          <w:lang w:eastAsia="bg-BG"/>
        </w:rPr>
      </w:pPr>
      <w:r w:rsidRPr="00072A35">
        <w:rPr>
          <w:rFonts w:eastAsia="Times New Roman" w:cs="Arial"/>
          <w:color w:val="000000"/>
          <w:szCs w:val="20"/>
          <w:u w:val="single"/>
          <w:lang w:eastAsia="bg-BG"/>
        </w:rPr>
        <w:t>Тератогенност</w:t>
      </w:r>
    </w:p>
    <w:p w14:paraId="2CE1C31C" w14:textId="77777777" w:rsidR="00072A35" w:rsidRPr="00072A35" w:rsidRDefault="00072A35" w:rsidP="00072A35">
      <w:pPr>
        <w:spacing w:line="240" w:lineRule="auto"/>
        <w:rPr>
          <w:rFonts w:eastAsia="Times New Roman" w:cs="Arial"/>
          <w:color w:val="000000"/>
          <w:szCs w:val="20"/>
          <w:lang w:eastAsia="bg-BG"/>
        </w:rPr>
      </w:pPr>
    </w:p>
    <w:p w14:paraId="1724D044" w14:textId="42E02B16" w:rsidR="00072A35" w:rsidRPr="00072A35" w:rsidRDefault="00072A35" w:rsidP="00072A35">
      <w:pPr>
        <w:spacing w:line="240" w:lineRule="auto"/>
        <w:rPr>
          <w:rFonts w:eastAsia="Times New Roman" w:cs="Arial"/>
          <w:sz w:val="28"/>
          <w:szCs w:val="24"/>
          <w:lang w:eastAsia="bg-BG"/>
        </w:rPr>
      </w:pPr>
      <w:r w:rsidRPr="00072A35">
        <w:rPr>
          <w:rFonts w:eastAsia="Times New Roman" w:cs="Arial"/>
          <w:color w:val="000000"/>
          <w:szCs w:val="20"/>
          <w:lang w:eastAsia="bg-BG"/>
        </w:rPr>
        <w:t xml:space="preserve">Габапентин не увеличава честотата на малформациите в сравнение с контролите в потомството на мишки, плъхове или зайци при дози съответно 50, 30 и 25 пъти, по-високи от дневната доза при човека от 3600 </w:t>
      </w:r>
      <w:r w:rsidRPr="00072A35">
        <w:rPr>
          <w:rFonts w:eastAsia="Times New Roman" w:cs="Arial"/>
          <w:color w:val="000000"/>
          <w:szCs w:val="20"/>
          <w:lang w:val="en-US"/>
        </w:rPr>
        <w:t xml:space="preserve">mg </w:t>
      </w:r>
      <w:r w:rsidRPr="00072A35">
        <w:rPr>
          <w:rFonts w:eastAsia="Times New Roman" w:cs="Arial"/>
          <w:color w:val="000000"/>
          <w:szCs w:val="20"/>
          <w:lang w:eastAsia="bg-BG"/>
        </w:rPr>
        <w:t xml:space="preserve">(съответно четири, пет или осем пъти повече от дневната доза при човек, измерена в </w:t>
      </w:r>
      <w:r w:rsidRPr="00072A35">
        <w:rPr>
          <w:rFonts w:eastAsia="Times New Roman" w:cs="Arial"/>
          <w:color w:val="000000"/>
          <w:szCs w:val="20"/>
          <w:lang w:val="en-US"/>
        </w:rPr>
        <w:t>mg/m</w:t>
      </w:r>
      <w:r w:rsidRPr="00072A35">
        <w:rPr>
          <w:rFonts w:eastAsia="Times New Roman" w:cs="Arial"/>
          <w:color w:val="000000"/>
          <w:szCs w:val="20"/>
          <w:vertAlign w:val="superscript"/>
          <w:lang w:val="en-US"/>
        </w:rPr>
        <w:t>2</w:t>
      </w:r>
      <w:r w:rsidRPr="00072A35">
        <w:rPr>
          <w:rFonts w:eastAsia="Times New Roman" w:cs="Arial"/>
          <w:color w:val="000000"/>
          <w:szCs w:val="20"/>
          <w:lang w:val="en-US"/>
        </w:rPr>
        <w:t>)</w:t>
      </w:r>
    </w:p>
    <w:p w14:paraId="2FD61493" w14:textId="77777777" w:rsidR="00072A35" w:rsidRPr="00072A35" w:rsidRDefault="00072A35" w:rsidP="00072A35">
      <w:pPr>
        <w:rPr>
          <w:rFonts w:eastAsia="Times New Roman" w:cs="Arial"/>
          <w:color w:val="000000"/>
          <w:szCs w:val="20"/>
          <w:lang w:eastAsia="bg-BG"/>
        </w:rPr>
      </w:pPr>
    </w:p>
    <w:p w14:paraId="1B5DFC82" w14:textId="77777777" w:rsidR="00072A35" w:rsidRPr="00072A35" w:rsidRDefault="00072A35" w:rsidP="00072A35">
      <w:pPr>
        <w:rPr>
          <w:rFonts w:eastAsia="Times New Roman" w:cs="Arial"/>
          <w:sz w:val="28"/>
          <w:szCs w:val="24"/>
          <w:lang w:eastAsia="bg-BG"/>
        </w:rPr>
      </w:pPr>
      <w:r w:rsidRPr="00072A35">
        <w:rPr>
          <w:rFonts w:eastAsia="Times New Roman" w:cs="Arial"/>
          <w:color w:val="000000"/>
          <w:szCs w:val="20"/>
          <w:lang w:eastAsia="bg-BG"/>
        </w:rPr>
        <w:t xml:space="preserve">Габапентин причинява забавяне на осификацията на черепа, прешлените, костите на предните и задните крайници при гризачи, което е показателно за ретардация на растежа на фетуса. Тези ефекти се появяват когато бременни мишки получават перорално дози от 1000 или 3000 </w:t>
      </w:r>
      <w:r w:rsidRPr="00072A35">
        <w:rPr>
          <w:rFonts w:eastAsia="Times New Roman" w:cs="Arial"/>
          <w:color w:val="000000"/>
          <w:szCs w:val="20"/>
          <w:lang w:val="en-US"/>
        </w:rPr>
        <w:t>mg/kg/</w:t>
      </w:r>
      <w:r w:rsidRPr="00072A35">
        <w:rPr>
          <w:rFonts w:eastAsia="Times New Roman" w:cs="Arial"/>
          <w:color w:val="000000"/>
          <w:szCs w:val="20"/>
          <w:lang w:eastAsia="bg-BG"/>
        </w:rPr>
        <w:t>ден в периода на органогенезата</w:t>
      </w:r>
      <w:r>
        <w:rPr>
          <w:rFonts w:eastAsia="Times New Roman" w:cs="Arial"/>
          <w:color w:val="000000"/>
          <w:szCs w:val="20"/>
          <w:lang w:eastAsia="bg-BG"/>
        </w:rPr>
        <w:t xml:space="preserve"> </w:t>
      </w:r>
      <w:r w:rsidRPr="00072A35">
        <w:rPr>
          <w:rFonts w:eastAsia="Times New Roman" w:cs="Arial"/>
          <w:color w:val="000000"/>
          <w:szCs w:val="20"/>
          <w:lang w:eastAsia="bg-BG"/>
        </w:rPr>
        <w:t xml:space="preserve">и на плъхове - дози от 2000 </w:t>
      </w:r>
      <w:r w:rsidRPr="00072A35">
        <w:rPr>
          <w:rFonts w:eastAsia="Times New Roman" w:cs="Arial"/>
          <w:color w:val="000000"/>
          <w:szCs w:val="20"/>
          <w:lang w:val="en-US"/>
        </w:rPr>
        <w:t xml:space="preserve">mg/kg </w:t>
      </w:r>
      <w:r w:rsidRPr="00072A35">
        <w:rPr>
          <w:rFonts w:eastAsia="Times New Roman" w:cs="Arial"/>
          <w:color w:val="000000"/>
          <w:szCs w:val="20"/>
          <w:lang w:eastAsia="bg-BG"/>
        </w:rPr>
        <w:t xml:space="preserve">преди и по време на периода на чифтосване и през цялата бременност. Тези дози са приблизително 1 до 5 пъти по-високи от дозата при хора от 3600 </w:t>
      </w:r>
      <w:r w:rsidRPr="00072A35">
        <w:rPr>
          <w:rFonts w:eastAsia="Times New Roman" w:cs="Arial"/>
          <w:color w:val="000000"/>
          <w:szCs w:val="20"/>
          <w:lang w:val="en-US"/>
        </w:rPr>
        <w:t xml:space="preserve">mg, </w:t>
      </w:r>
      <w:r w:rsidRPr="00072A35">
        <w:rPr>
          <w:rFonts w:eastAsia="Times New Roman" w:cs="Arial"/>
          <w:color w:val="000000"/>
          <w:szCs w:val="20"/>
          <w:lang w:eastAsia="bg-BG"/>
        </w:rPr>
        <w:t xml:space="preserve">измерена за </w:t>
      </w:r>
      <w:r w:rsidRPr="00072A35">
        <w:rPr>
          <w:rFonts w:eastAsia="Times New Roman" w:cs="Arial"/>
          <w:color w:val="000000"/>
          <w:szCs w:val="20"/>
          <w:lang w:val="en-US"/>
        </w:rPr>
        <w:t>mg/m</w:t>
      </w:r>
      <w:r w:rsidRPr="00072A35">
        <w:rPr>
          <w:rFonts w:eastAsia="Times New Roman" w:cs="Arial"/>
          <w:color w:val="000000"/>
          <w:szCs w:val="20"/>
          <w:vertAlign w:val="superscript"/>
          <w:lang w:val="en-US"/>
        </w:rPr>
        <w:t>2</w:t>
      </w:r>
      <w:r w:rsidRPr="00072A35">
        <w:rPr>
          <w:rFonts w:eastAsia="Times New Roman" w:cs="Arial"/>
          <w:color w:val="000000"/>
          <w:szCs w:val="20"/>
          <w:lang w:val="en-US"/>
        </w:rPr>
        <w:t>.</w:t>
      </w:r>
    </w:p>
    <w:p w14:paraId="74BE0383" w14:textId="77777777" w:rsidR="00072A35" w:rsidRPr="00072A35" w:rsidRDefault="00072A35" w:rsidP="00072A35">
      <w:pPr>
        <w:spacing w:line="240" w:lineRule="auto"/>
        <w:rPr>
          <w:rFonts w:eastAsia="Times New Roman" w:cs="Arial"/>
          <w:color w:val="000000"/>
          <w:szCs w:val="20"/>
          <w:lang w:eastAsia="bg-BG"/>
        </w:rPr>
      </w:pPr>
    </w:p>
    <w:p w14:paraId="7FACBA8D" w14:textId="72EC77D4" w:rsidR="00072A35" w:rsidRPr="00072A35" w:rsidRDefault="00072A35" w:rsidP="00072A35">
      <w:pPr>
        <w:spacing w:line="240" w:lineRule="auto"/>
        <w:rPr>
          <w:rFonts w:eastAsia="Times New Roman" w:cs="Arial"/>
          <w:sz w:val="28"/>
          <w:szCs w:val="24"/>
          <w:lang w:eastAsia="bg-BG"/>
        </w:rPr>
      </w:pPr>
      <w:r w:rsidRPr="00072A35">
        <w:rPr>
          <w:rFonts w:eastAsia="Times New Roman" w:cs="Arial"/>
          <w:color w:val="000000"/>
          <w:szCs w:val="20"/>
          <w:lang w:eastAsia="bg-BG"/>
        </w:rPr>
        <w:t xml:space="preserve">Не са забелязани ефекти при бременни мишки, на които е давана дозата от 500 </w:t>
      </w:r>
      <w:r w:rsidRPr="00072A35">
        <w:rPr>
          <w:rFonts w:eastAsia="Times New Roman" w:cs="Arial"/>
          <w:color w:val="000000"/>
          <w:szCs w:val="20"/>
          <w:lang w:val="en-US"/>
        </w:rPr>
        <w:t>mg/kg</w:t>
      </w:r>
      <w:r w:rsidRPr="00072A35">
        <w:rPr>
          <w:rFonts w:eastAsia="Times New Roman" w:cs="Arial"/>
          <w:color w:val="000000"/>
          <w:szCs w:val="20"/>
          <w:lang w:eastAsia="bg-BG"/>
        </w:rPr>
        <w:t>/ден (около 1/2</w:t>
      </w:r>
      <w:r w:rsidRPr="00072A35">
        <w:rPr>
          <w:rFonts w:eastAsia="Times New Roman" w:cs="Arial"/>
          <w:color w:val="000000"/>
          <w:szCs w:val="20"/>
          <w:lang w:val="en-US"/>
        </w:rPr>
        <w:t xml:space="preserve"> </w:t>
      </w:r>
      <w:r w:rsidRPr="00072A35">
        <w:rPr>
          <w:rFonts w:eastAsia="Times New Roman" w:cs="Arial"/>
          <w:color w:val="000000"/>
          <w:szCs w:val="20"/>
          <w:lang w:eastAsia="bg-BG"/>
        </w:rPr>
        <w:t xml:space="preserve">от дневната доза за хора за </w:t>
      </w:r>
      <w:r w:rsidRPr="00072A35">
        <w:rPr>
          <w:rFonts w:eastAsia="Times New Roman" w:cs="Arial"/>
          <w:color w:val="000000"/>
          <w:szCs w:val="20"/>
          <w:lang w:val="en-US"/>
        </w:rPr>
        <w:t>mg/m</w:t>
      </w:r>
      <w:r w:rsidRPr="00072A35">
        <w:rPr>
          <w:rFonts w:eastAsia="Times New Roman" w:cs="Arial"/>
          <w:color w:val="000000"/>
          <w:szCs w:val="20"/>
          <w:vertAlign w:val="superscript"/>
          <w:lang w:val="en-US"/>
        </w:rPr>
        <w:t>2</w:t>
      </w:r>
      <w:r w:rsidRPr="00072A35">
        <w:rPr>
          <w:rFonts w:eastAsia="Times New Roman" w:cs="Arial"/>
          <w:color w:val="000000"/>
          <w:szCs w:val="20"/>
          <w:lang w:val="en-US"/>
        </w:rPr>
        <w:t>).</w:t>
      </w:r>
    </w:p>
    <w:p w14:paraId="5EB578E9" w14:textId="77777777" w:rsidR="00072A35" w:rsidRPr="00072A35" w:rsidRDefault="00072A35" w:rsidP="00072A35">
      <w:pPr>
        <w:spacing w:line="240" w:lineRule="auto"/>
        <w:rPr>
          <w:rFonts w:eastAsia="Times New Roman" w:cs="Arial"/>
          <w:color w:val="000000"/>
          <w:szCs w:val="20"/>
          <w:lang w:eastAsia="bg-BG"/>
        </w:rPr>
      </w:pPr>
    </w:p>
    <w:p w14:paraId="207D9D53" w14:textId="122CE0B7" w:rsidR="00072A35" w:rsidRPr="00072A35" w:rsidRDefault="00072A35" w:rsidP="00072A35">
      <w:pPr>
        <w:spacing w:line="240" w:lineRule="auto"/>
        <w:rPr>
          <w:rFonts w:eastAsia="Times New Roman" w:cs="Arial"/>
          <w:sz w:val="28"/>
          <w:szCs w:val="24"/>
          <w:lang w:eastAsia="bg-BG"/>
        </w:rPr>
      </w:pPr>
      <w:r w:rsidRPr="00072A35">
        <w:rPr>
          <w:rFonts w:eastAsia="Times New Roman" w:cs="Arial"/>
          <w:color w:val="000000"/>
          <w:szCs w:val="20"/>
          <w:lang w:eastAsia="bg-BG"/>
        </w:rPr>
        <w:t xml:space="preserve">Увеличаване на честотата на хидроуретер и/или хидронефроза е наблюдавана при плъхове, на които е давана доза от 2000 </w:t>
      </w:r>
      <w:r w:rsidRPr="00072A35">
        <w:rPr>
          <w:rFonts w:eastAsia="Times New Roman" w:cs="Arial"/>
          <w:color w:val="000000"/>
          <w:szCs w:val="20"/>
          <w:lang w:val="en-US"/>
        </w:rPr>
        <w:t>mg/kg</w:t>
      </w:r>
      <w:r w:rsidRPr="00072A35">
        <w:rPr>
          <w:rFonts w:eastAsia="Times New Roman" w:cs="Arial"/>
          <w:color w:val="000000"/>
          <w:szCs w:val="20"/>
          <w:lang w:eastAsia="bg-BG"/>
        </w:rPr>
        <w:t xml:space="preserve">/ден в проучване върху фертилитета и общата репродукция, 1500 </w:t>
      </w:r>
      <w:r w:rsidRPr="00072A35">
        <w:rPr>
          <w:rFonts w:eastAsia="Times New Roman" w:cs="Arial"/>
          <w:color w:val="000000"/>
          <w:szCs w:val="20"/>
          <w:lang w:val="en-US"/>
        </w:rPr>
        <w:t>mg/kg</w:t>
      </w:r>
      <w:r w:rsidRPr="00072A35">
        <w:rPr>
          <w:rFonts w:eastAsia="Times New Roman" w:cs="Arial"/>
          <w:color w:val="000000"/>
          <w:szCs w:val="20"/>
          <w:lang w:eastAsia="bg-BG"/>
        </w:rPr>
        <w:t xml:space="preserve">/ден в проучване за тератогенностт и 500, 1000 и 2000 </w:t>
      </w:r>
      <w:r w:rsidRPr="00072A35">
        <w:rPr>
          <w:rFonts w:eastAsia="Times New Roman" w:cs="Arial"/>
          <w:color w:val="000000"/>
          <w:szCs w:val="20"/>
          <w:lang w:val="en-US"/>
        </w:rPr>
        <w:t>mg/kg</w:t>
      </w:r>
      <w:r w:rsidRPr="00072A35">
        <w:rPr>
          <w:rFonts w:eastAsia="Times New Roman" w:cs="Arial"/>
          <w:color w:val="000000"/>
          <w:szCs w:val="20"/>
          <w:lang w:eastAsia="bg-BG"/>
        </w:rPr>
        <w:t xml:space="preserve">/ден в перинатално и постнатално проучване. Значението на тези резултати не е изяснено, но те са били свързани със забавено развитие. Тези дози са също приблизително 1 до 5 пъти по-високи от човешката доза от 3600 </w:t>
      </w:r>
      <w:r w:rsidRPr="00072A35">
        <w:rPr>
          <w:rFonts w:eastAsia="Times New Roman" w:cs="Arial"/>
          <w:color w:val="000000"/>
          <w:szCs w:val="20"/>
          <w:lang w:val="en-US"/>
        </w:rPr>
        <w:t xml:space="preserve">mg </w:t>
      </w:r>
      <w:r w:rsidRPr="00072A35">
        <w:rPr>
          <w:rFonts w:eastAsia="Times New Roman" w:cs="Arial"/>
          <w:color w:val="000000"/>
          <w:szCs w:val="20"/>
          <w:lang w:eastAsia="bg-BG"/>
        </w:rPr>
        <w:t xml:space="preserve">в </w:t>
      </w:r>
      <w:r w:rsidRPr="00072A35">
        <w:rPr>
          <w:rFonts w:eastAsia="Times New Roman" w:cs="Arial"/>
          <w:color w:val="000000"/>
          <w:szCs w:val="20"/>
          <w:lang w:val="en-US"/>
        </w:rPr>
        <w:t>mg/m</w:t>
      </w:r>
      <w:r w:rsidRPr="00072A35">
        <w:rPr>
          <w:rFonts w:eastAsia="Times New Roman" w:cs="Arial"/>
          <w:color w:val="000000"/>
          <w:szCs w:val="20"/>
          <w:vertAlign w:val="superscript"/>
          <w:lang w:val="en-US"/>
        </w:rPr>
        <w:t>2</w:t>
      </w:r>
      <w:r w:rsidRPr="00072A35">
        <w:rPr>
          <w:rFonts w:eastAsia="Times New Roman" w:cs="Arial"/>
          <w:color w:val="000000"/>
          <w:szCs w:val="20"/>
          <w:lang w:val="en-US"/>
        </w:rPr>
        <w:t>.</w:t>
      </w:r>
    </w:p>
    <w:p w14:paraId="7B1123F9" w14:textId="77777777" w:rsidR="00072A35" w:rsidRPr="00072A35" w:rsidRDefault="00072A35" w:rsidP="00072A35">
      <w:pPr>
        <w:rPr>
          <w:rFonts w:eastAsia="Times New Roman" w:cs="Arial"/>
          <w:color w:val="000000"/>
          <w:szCs w:val="20"/>
          <w:lang w:eastAsia="bg-BG"/>
        </w:rPr>
      </w:pPr>
    </w:p>
    <w:p w14:paraId="52E4D01A" w14:textId="3899B067" w:rsidR="0091385D" w:rsidRPr="00072A35" w:rsidRDefault="00072A35" w:rsidP="00072A35">
      <w:pPr>
        <w:rPr>
          <w:rFonts w:cs="Arial"/>
          <w:sz w:val="28"/>
        </w:rPr>
      </w:pPr>
      <w:r w:rsidRPr="00072A35">
        <w:rPr>
          <w:rFonts w:eastAsia="Times New Roman" w:cs="Arial"/>
          <w:color w:val="000000"/>
          <w:szCs w:val="20"/>
          <w:lang w:eastAsia="bg-BG"/>
        </w:rPr>
        <w:t xml:space="preserve">В тератологично проучване при зайци увеличение на честотата на постимплантационната загуба на плода е настъпило при бременни женски, приемали дози от 60, 300 и 1500 </w:t>
      </w:r>
      <w:r w:rsidRPr="00072A35">
        <w:rPr>
          <w:rFonts w:eastAsia="Times New Roman" w:cs="Arial"/>
          <w:color w:val="000000"/>
          <w:szCs w:val="20"/>
          <w:lang w:val="en-US"/>
        </w:rPr>
        <w:t>mg/kg</w:t>
      </w:r>
      <w:r w:rsidRPr="00072A35">
        <w:rPr>
          <w:rFonts w:eastAsia="Times New Roman" w:cs="Arial"/>
          <w:color w:val="000000"/>
          <w:szCs w:val="20"/>
          <w:lang w:eastAsia="bg-BG"/>
        </w:rPr>
        <w:t xml:space="preserve">/ден по време на органогенезата. Тези дози са около 0,3 до 8 пъти по-високи от </w:t>
      </w:r>
      <w:r w:rsidRPr="00072A35">
        <w:rPr>
          <w:rFonts w:eastAsia="Times New Roman" w:cs="Arial"/>
          <w:color w:val="000000"/>
          <w:szCs w:val="20"/>
          <w:lang w:eastAsia="bg-BG"/>
        </w:rPr>
        <w:lastRenderedPageBreak/>
        <w:t xml:space="preserve">дневната доза при хора от 3600 </w:t>
      </w:r>
      <w:r w:rsidRPr="00072A35">
        <w:rPr>
          <w:rFonts w:eastAsia="Times New Roman" w:cs="Arial"/>
          <w:color w:val="000000"/>
          <w:szCs w:val="20"/>
          <w:lang w:val="en-US"/>
        </w:rPr>
        <w:t xml:space="preserve">mg </w:t>
      </w:r>
      <w:r w:rsidRPr="00072A35">
        <w:rPr>
          <w:rFonts w:eastAsia="Times New Roman" w:cs="Arial"/>
          <w:color w:val="000000"/>
          <w:szCs w:val="20"/>
          <w:lang w:eastAsia="bg-BG"/>
        </w:rPr>
        <w:t xml:space="preserve">в </w:t>
      </w:r>
      <w:r w:rsidRPr="00072A35">
        <w:rPr>
          <w:rFonts w:eastAsia="Times New Roman" w:cs="Arial"/>
          <w:color w:val="000000"/>
          <w:szCs w:val="20"/>
          <w:lang w:val="en-US"/>
        </w:rPr>
        <w:t>mg/m</w:t>
      </w:r>
      <w:r w:rsidRPr="00072A35">
        <w:rPr>
          <w:rFonts w:eastAsia="Times New Roman" w:cs="Arial"/>
          <w:color w:val="000000"/>
          <w:szCs w:val="20"/>
          <w:vertAlign w:val="superscript"/>
          <w:lang w:val="en-US"/>
        </w:rPr>
        <w:t>2</w:t>
      </w:r>
      <w:r w:rsidRPr="00072A35">
        <w:rPr>
          <w:rFonts w:eastAsia="Times New Roman" w:cs="Arial"/>
          <w:color w:val="000000"/>
          <w:szCs w:val="20"/>
          <w:lang w:val="en-US"/>
        </w:rPr>
        <w:t xml:space="preserve">. </w:t>
      </w:r>
      <w:r w:rsidRPr="00072A35">
        <w:rPr>
          <w:rFonts w:eastAsia="Times New Roman" w:cs="Arial"/>
          <w:color w:val="000000"/>
          <w:szCs w:val="20"/>
          <w:lang w:eastAsia="bg-BG"/>
        </w:rPr>
        <w:t>Границите на безопасност са ограничени, за да се изключи риск от подобни ефекти при хора.</w:t>
      </w:r>
    </w:p>
    <w:p w14:paraId="20E967BE" w14:textId="77777777" w:rsidR="0091385D" w:rsidRPr="0091385D" w:rsidRDefault="0091385D" w:rsidP="0091385D"/>
    <w:p w14:paraId="6A7820AB" w14:textId="353DB6D2" w:rsidR="008A6AF2" w:rsidRDefault="002C50EE" w:rsidP="00395555">
      <w:pPr>
        <w:pStyle w:val="Heading1"/>
      </w:pPr>
      <w:r>
        <w:t>7. ПРИТЕЖАТЕЛ НА РАЗРЕШЕНИЕТО ЗА УПОТРЕБА</w:t>
      </w:r>
    </w:p>
    <w:p w14:paraId="1B9B651E" w14:textId="3382E6AC" w:rsidR="0091385D" w:rsidRDefault="0091385D" w:rsidP="0091385D"/>
    <w:p w14:paraId="04A225B7" w14:textId="77777777" w:rsidR="00072A35" w:rsidRPr="00072A35" w:rsidRDefault="00072A35" w:rsidP="00072A35">
      <w:pPr>
        <w:spacing w:line="240" w:lineRule="auto"/>
        <w:rPr>
          <w:rFonts w:eastAsia="Times New Roman" w:cs="Arial"/>
          <w:lang w:val="en-US" w:eastAsia="bg-BG"/>
        </w:rPr>
      </w:pPr>
      <w:r w:rsidRPr="00072A35">
        <w:rPr>
          <w:rFonts w:eastAsia="Times New Roman" w:cs="Arial"/>
          <w:color w:val="000000"/>
          <w:lang w:eastAsia="bg-BG"/>
        </w:rPr>
        <w:t>Wörwag</w:t>
      </w:r>
      <w:r w:rsidRPr="00072A35">
        <w:rPr>
          <w:rFonts w:eastAsia="Times New Roman" w:cs="Arial"/>
          <w:color w:val="000000"/>
          <w:lang w:val="en-US"/>
        </w:rPr>
        <w:t xml:space="preserve"> Pharma GmbH </w:t>
      </w:r>
      <w:r w:rsidRPr="00072A35">
        <w:rPr>
          <w:rFonts w:eastAsia="Times New Roman" w:cs="Arial"/>
          <w:color w:val="000000"/>
          <w:lang w:eastAsia="bg-BG"/>
        </w:rPr>
        <w:t xml:space="preserve">&amp; </w:t>
      </w:r>
      <w:r w:rsidRPr="00072A35">
        <w:rPr>
          <w:rFonts w:eastAsia="Times New Roman" w:cs="Arial"/>
          <w:color w:val="000000"/>
          <w:lang w:val="en-US"/>
        </w:rPr>
        <w:t>CO. KG</w:t>
      </w:r>
    </w:p>
    <w:p w14:paraId="5B8D9946" w14:textId="77777777" w:rsidR="00072A35" w:rsidRPr="00072A35" w:rsidRDefault="00072A35" w:rsidP="00072A35">
      <w:pPr>
        <w:spacing w:line="240" w:lineRule="auto"/>
        <w:rPr>
          <w:rFonts w:eastAsia="Times New Roman" w:cs="Arial"/>
          <w:lang w:val="en-US" w:eastAsia="bg-BG"/>
        </w:rPr>
      </w:pPr>
      <w:proofErr w:type="spellStart"/>
      <w:r w:rsidRPr="00072A35">
        <w:rPr>
          <w:rFonts w:eastAsia="Times New Roman" w:cs="Arial"/>
          <w:color w:val="000000"/>
          <w:lang w:val="en-US"/>
        </w:rPr>
        <w:t>Flugfeld-Allee</w:t>
      </w:r>
      <w:proofErr w:type="spellEnd"/>
      <w:r w:rsidRPr="00072A35">
        <w:rPr>
          <w:rFonts w:eastAsia="Times New Roman" w:cs="Arial"/>
          <w:color w:val="000000"/>
          <w:lang w:val="en-US"/>
        </w:rPr>
        <w:t xml:space="preserve"> 24</w:t>
      </w:r>
    </w:p>
    <w:p w14:paraId="623DEA52" w14:textId="77777777" w:rsidR="00072A35" w:rsidRPr="00072A35" w:rsidRDefault="00072A35" w:rsidP="00072A35">
      <w:pPr>
        <w:spacing w:line="240" w:lineRule="auto"/>
        <w:rPr>
          <w:rFonts w:eastAsia="Times New Roman" w:cs="Arial"/>
          <w:lang w:val="en-US" w:eastAsia="bg-BG"/>
        </w:rPr>
      </w:pPr>
      <w:r w:rsidRPr="00072A35">
        <w:rPr>
          <w:rFonts w:eastAsia="Times New Roman" w:cs="Arial"/>
          <w:color w:val="000000"/>
          <w:lang w:val="en-US"/>
        </w:rPr>
        <w:t xml:space="preserve">71034 </w:t>
      </w:r>
      <w:proofErr w:type="spellStart"/>
      <w:r w:rsidRPr="00072A35">
        <w:rPr>
          <w:rFonts w:eastAsia="Times New Roman" w:cs="Arial"/>
          <w:color w:val="000000"/>
          <w:lang w:val="en-US"/>
        </w:rPr>
        <w:t>Boblingen</w:t>
      </w:r>
      <w:proofErr w:type="spellEnd"/>
    </w:p>
    <w:p w14:paraId="7C532819" w14:textId="77777777" w:rsidR="00072A35" w:rsidRPr="00072A35" w:rsidRDefault="00072A35" w:rsidP="00072A35">
      <w:pPr>
        <w:spacing w:line="240" w:lineRule="auto"/>
        <w:rPr>
          <w:rFonts w:eastAsia="Times New Roman" w:cs="Arial"/>
          <w:lang w:val="en-US" w:eastAsia="bg-BG"/>
        </w:rPr>
      </w:pPr>
      <w:r w:rsidRPr="00072A35">
        <w:rPr>
          <w:rFonts w:eastAsia="Times New Roman" w:cs="Arial"/>
          <w:color w:val="000000"/>
          <w:lang w:eastAsia="bg-BG"/>
        </w:rPr>
        <w:t>Германия</w:t>
      </w:r>
    </w:p>
    <w:p w14:paraId="1D363EE5" w14:textId="77777777" w:rsidR="00072A35" w:rsidRPr="00072A35" w:rsidRDefault="00072A35" w:rsidP="00072A35">
      <w:pPr>
        <w:spacing w:line="240" w:lineRule="auto"/>
        <w:rPr>
          <w:rFonts w:eastAsia="Times New Roman" w:cs="Arial"/>
          <w:lang w:val="en-US" w:eastAsia="bg-BG"/>
        </w:rPr>
      </w:pPr>
      <w:r w:rsidRPr="00072A35">
        <w:rPr>
          <w:rFonts w:eastAsia="Times New Roman" w:cs="Arial"/>
          <w:color w:val="000000"/>
          <w:lang w:eastAsia="bg-BG"/>
        </w:rPr>
        <w:t>Тел.: +49(0)7031/6204-0</w:t>
      </w:r>
    </w:p>
    <w:p w14:paraId="45179BC0" w14:textId="77777777" w:rsidR="00072A35" w:rsidRPr="00072A35" w:rsidRDefault="00072A35" w:rsidP="00072A35">
      <w:pPr>
        <w:spacing w:line="240" w:lineRule="auto"/>
        <w:rPr>
          <w:rFonts w:eastAsia="Times New Roman" w:cs="Arial"/>
          <w:lang w:val="en-US" w:eastAsia="bg-BG"/>
        </w:rPr>
      </w:pPr>
      <w:r w:rsidRPr="00072A35">
        <w:rPr>
          <w:rFonts w:eastAsia="Times New Roman" w:cs="Arial"/>
          <w:color w:val="000000"/>
          <w:lang w:eastAsia="bg-BG"/>
        </w:rPr>
        <w:t>Факс: +49(0)7031/6204-31</w:t>
      </w:r>
    </w:p>
    <w:p w14:paraId="3FD825DB" w14:textId="35BEF64F" w:rsidR="0091385D" w:rsidRPr="00072A35" w:rsidRDefault="00072A35" w:rsidP="00072A35">
      <w:pPr>
        <w:rPr>
          <w:rFonts w:cs="Arial"/>
        </w:rPr>
      </w:pPr>
      <w:r w:rsidRPr="00072A35">
        <w:rPr>
          <w:rFonts w:eastAsia="Times New Roman" w:cs="Arial"/>
          <w:color w:val="000000"/>
          <w:lang w:val="en-US"/>
        </w:rPr>
        <w:t xml:space="preserve">E-mail: </w:t>
      </w:r>
      <w:hyperlink r:id="rId5" w:history="1">
        <w:r w:rsidRPr="00072A35">
          <w:rPr>
            <w:rFonts w:eastAsia="Times New Roman" w:cs="Arial"/>
            <w:color w:val="000000"/>
            <w:u w:val="single"/>
            <w:lang w:val="en-US"/>
          </w:rPr>
          <w:t>info@woerwagpharma.com</w:t>
        </w:r>
      </w:hyperlink>
    </w:p>
    <w:p w14:paraId="129C7566" w14:textId="77777777" w:rsidR="0091385D" w:rsidRPr="0091385D" w:rsidRDefault="0091385D" w:rsidP="0091385D"/>
    <w:p w14:paraId="7BA1BA64" w14:textId="17509450" w:rsidR="00CF77F7" w:rsidRDefault="002C50EE" w:rsidP="004A448E">
      <w:pPr>
        <w:pStyle w:val="Heading1"/>
      </w:pPr>
      <w:r>
        <w:t>8. НОМЕР НА РАЗРЕШЕНИЕТО ЗА УПОТРЕБА</w:t>
      </w:r>
    </w:p>
    <w:p w14:paraId="095674C4" w14:textId="54CA436A" w:rsidR="0091385D" w:rsidRDefault="0091385D" w:rsidP="0091385D"/>
    <w:p w14:paraId="6E892CE5" w14:textId="7A4FB35A" w:rsidR="0091385D" w:rsidRPr="00072A35" w:rsidRDefault="00072A35" w:rsidP="0091385D">
      <w:pPr>
        <w:rPr>
          <w:rFonts w:cs="Arial"/>
        </w:rPr>
      </w:pPr>
      <w:r w:rsidRPr="00072A35">
        <w:rPr>
          <w:rFonts w:cs="Arial"/>
        </w:rPr>
        <w:t>20060712</w:t>
      </w:r>
    </w:p>
    <w:p w14:paraId="62EF7F8B" w14:textId="77777777" w:rsidR="0091385D" w:rsidRPr="0091385D" w:rsidRDefault="0091385D" w:rsidP="0091385D"/>
    <w:p w14:paraId="2CCB5832" w14:textId="18FCD95B" w:rsidR="007C605B" w:rsidRDefault="002C50EE" w:rsidP="007C605B">
      <w:pPr>
        <w:pStyle w:val="Heading1"/>
      </w:pPr>
      <w:r>
        <w:t>9. ДАТА НА ПЪРВО РАЗРЕШАВАНЕ/ПОДНОВЯВАНЕ НА РАЗРЕШЕНИЕТО ЗА УПОТРЕБА</w:t>
      </w:r>
    </w:p>
    <w:p w14:paraId="372B3414" w14:textId="0F79A9B4" w:rsidR="0091385D" w:rsidRDefault="0091385D" w:rsidP="0091385D"/>
    <w:p w14:paraId="3FAE423E" w14:textId="77777777" w:rsidR="00072A35" w:rsidRPr="00072A35" w:rsidRDefault="00072A35" w:rsidP="00072A35">
      <w:pPr>
        <w:spacing w:line="240" w:lineRule="auto"/>
        <w:rPr>
          <w:rFonts w:eastAsia="Times New Roman" w:cs="Arial"/>
          <w:lang w:eastAsia="bg-BG"/>
        </w:rPr>
      </w:pPr>
      <w:r w:rsidRPr="00072A35">
        <w:rPr>
          <w:rFonts w:eastAsia="Times New Roman" w:cs="Arial"/>
          <w:color w:val="000000"/>
          <w:lang w:eastAsia="bg-BG"/>
        </w:rPr>
        <w:t>Дата на първо разрешение: 08 Декември 2006 г.</w:t>
      </w:r>
    </w:p>
    <w:p w14:paraId="497007FA" w14:textId="1B302003" w:rsidR="0091385D" w:rsidRPr="00072A35" w:rsidRDefault="00072A35" w:rsidP="00072A35">
      <w:pPr>
        <w:rPr>
          <w:rFonts w:cs="Arial"/>
        </w:rPr>
      </w:pPr>
      <w:r w:rsidRPr="00072A35">
        <w:rPr>
          <w:rFonts w:eastAsia="Times New Roman" w:cs="Arial"/>
          <w:color w:val="000000"/>
          <w:lang w:eastAsia="bg-BG"/>
        </w:rPr>
        <w:t>Дата на последно подновяване: 12 Януари 2012 г.</w:t>
      </w:r>
    </w:p>
    <w:p w14:paraId="0A56E09D" w14:textId="77777777" w:rsidR="0091385D" w:rsidRPr="0091385D" w:rsidRDefault="0091385D" w:rsidP="0091385D"/>
    <w:p w14:paraId="0E9D0119" w14:textId="1FEC128A" w:rsidR="002C50EE" w:rsidRDefault="002C50EE" w:rsidP="002C50EE">
      <w:pPr>
        <w:pStyle w:val="Heading1"/>
      </w:pPr>
      <w:r>
        <w:t>10. ДАТА НА АКТУАЛИЗИРАНЕ НА ТЕКСТА</w:t>
      </w:r>
    </w:p>
    <w:p w14:paraId="3E8FFCC4" w14:textId="34E0D3BB" w:rsidR="0091385D" w:rsidRDefault="0091385D" w:rsidP="0091385D"/>
    <w:p w14:paraId="30276F52" w14:textId="6437A3C4" w:rsidR="0091385D" w:rsidRPr="00072A35" w:rsidRDefault="00072A35" w:rsidP="0091385D">
      <w:pPr>
        <w:rPr>
          <w:rFonts w:cs="Arial"/>
        </w:rPr>
      </w:pPr>
      <w:r w:rsidRPr="00072A35">
        <w:rPr>
          <w:rFonts w:cs="Arial"/>
        </w:rPr>
        <w:t>10/2021</w:t>
      </w:r>
    </w:p>
    <w:p w14:paraId="6B00148E" w14:textId="77777777" w:rsidR="0091385D" w:rsidRPr="0091385D" w:rsidRDefault="0091385D" w:rsidP="0091385D"/>
    <w:bookmarkEnd w:id="0"/>
    <w:p w14:paraId="43FB38A2" w14:textId="5500C507" w:rsidR="007C605B" w:rsidRPr="003E3126" w:rsidRDefault="007C605B" w:rsidP="00CF77F7"/>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0"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5"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0"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6"/>
  </w:num>
  <w:num w:numId="2">
    <w:abstractNumId w:val="0"/>
  </w:num>
  <w:num w:numId="3">
    <w:abstractNumId w:val="12"/>
  </w:num>
  <w:num w:numId="4">
    <w:abstractNumId w:val="3"/>
  </w:num>
  <w:num w:numId="5">
    <w:abstractNumId w:val="1"/>
  </w:num>
  <w:num w:numId="6">
    <w:abstractNumId w:val="15"/>
  </w:num>
  <w:num w:numId="7">
    <w:abstractNumId w:val="10"/>
  </w:num>
  <w:num w:numId="8">
    <w:abstractNumId w:val="14"/>
  </w:num>
  <w:num w:numId="9">
    <w:abstractNumId w:val="2"/>
  </w:num>
  <w:num w:numId="10">
    <w:abstractNumId w:val="4"/>
  </w:num>
  <w:num w:numId="11">
    <w:abstractNumId w:val="29"/>
  </w:num>
  <w:num w:numId="12">
    <w:abstractNumId w:val="13"/>
  </w:num>
  <w:num w:numId="13">
    <w:abstractNumId w:val="18"/>
  </w:num>
  <w:num w:numId="14">
    <w:abstractNumId w:val="11"/>
  </w:num>
  <w:num w:numId="15">
    <w:abstractNumId w:val="28"/>
  </w:num>
  <w:num w:numId="16">
    <w:abstractNumId w:val="9"/>
  </w:num>
  <w:num w:numId="17">
    <w:abstractNumId w:val="23"/>
  </w:num>
  <w:num w:numId="18">
    <w:abstractNumId w:val="7"/>
  </w:num>
  <w:num w:numId="19">
    <w:abstractNumId w:val="25"/>
  </w:num>
  <w:num w:numId="20">
    <w:abstractNumId w:val="22"/>
  </w:num>
  <w:num w:numId="21">
    <w:abstractNumId w:val="16"/>
  </w:num>
  <w:num w:numId="22">
    <w:abstractNumId w:val="24"/>
  </w:num>
  <w:num w:numId="23">
    <w:abstractNumId w:val="17"/>
  </w:num>
  <w:num w:numId="24">
    <w:abstractNumId w:val="8"/>
  </w:num>
  <w:num w:numId="25">
    <w:abstractNumId w:val="21"/>
  </w:num>
  <w:num w:numId="26">
    <w:abstractNumId w:val="20"/>
  </w:num>
  <w:num w:numId="27">
    <w:abstractNumId w:val="30"/>
  </w:num>
  <w:num w:numId="28">
    <w:abstractNumId w:val="6"/>
  </w:num>
  <w:num w:numId="29">
    <w:abstractNumId w:val="19"/>
  </w:num>
  <w:num w:numId="30">
    <w:abstractNumId w:val="33"/>
  </w:num>
  <w:num w:numId="31">
    <w:abstractNumId w:val="5"/>
  </w:num>
  <w:num w:numId="32">
    <w:abstractNumId w:val="32"/>
  </w:num>
  <w:num w:numId="33">
    <w:abstractNumId w:val="27"/>
  </w:num>
  <w:num w:numId="3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0540E0"/>
    <w:rsid w:val="00072A35"/>
    <w:rsid w:val="00185A46"/>
    <w:rsid w:val="001915B6"/>
    <w:rsid w:val="001D1B23"/>
    <w:rsid w:val="002B3C38"/>
    <w:rsid w:val="002B4DBB"/>
    <w:rsid w:val="002C50EE"/>
    <w:rsid w:val="00340A0A"/>
    <w:rsid w:val="003765DC"/>
    <w:rsid w:val="00395555"/>
    <w:rsid w:val="003E3126"/>
    <w:rsid w:val="00426E5F"/>
    <w:rsid w:val="004A448E"/>
    <w:rsid w:val="004D4D6B"/>
    <w:rsid w:val="004F1CE7"/>
    <w:rsid w:val="004F498A"/>
    <w:rsid w:val="00517A5B"/>
    <w:rsid w:val="00593A00"/>
    <w:rsid w:val="005A66D9"/>
    <w:rsid w:val="00605BCA"/>
    <w:rsid w:val="006158A1"/>
    <w:rsid w:val="00617B1F"/>
    <w:rsid w:val="00672487"/>
    <w:rsid w:val="00672600"/>
    <w:rsid w:val="00681D4A"/>
    <w:rsid w:val="00685882"/>
    <w:rsid w:val="0075649D"/>
    <w:rsid w:val="007C605B"/>
    <w:rsid w:val="007E4BDC"/>
    <w:rsid w:val="008134C8"/>
    <w:rsid w:val="00814073"/>
    <w:rsid w:val="00826F0D"/>
    <w:rsid w:val="00893B92"/>
    <w:rsid w:val="008A6AF2"/>
    <w:rsid w:val="008C70A2"/>
    <w:rsid w:val="0091385D"/>
    <w:rsid w:val="009773E4"/>
    <w:rsid w:val="009B171C"/>
    <w:rsid w:val="009F1313"/>
    <w:rsid w:val="00A20351"/>
    <w:rsid w:val="00A65A81"/>
    <w:rsid w:val="00AA23EC"/>
    <w:rsid w:val="00AB10B9"/>
    <w:rsid w:val="00AC63CE"/>
    <w:rsid w:val="00AE2107"/>
    <w:rsid w:val="00B275A8"/>
    <w:rsid w:val="00BF2600"/>
    <w:rsid w:val="00C0049F"/>
    <w:rsid w:val="00C07B84"/>
    <w:rsid w:val="00C33464"/>
    <w:rsid w:val="00C40420"/>
    <w:rsid w:val="00C809A7"/>
    <w:rsid w:val="00C83063"/>
    <w:rsid w:val="00C87E90"/>
    <w:rsid w:val="00CA1B57"/>
    <w:rsid w:val="00CF77F7"/>
    <w:rsid w:val="00D86297"/>
    <w:rsid w:val="00DB12D2"/>
    <w:rsid w:val="00DD466D"/>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woerwagpharma.co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17</Pages>
  <Words>5298</Words>
  <Characters>30200</Characters>
  <Application>Microsoft Office Word</Application>
  <DocSecurity>0</DocSecurity>
  <Lines>251</Lines>
  <Paragraphs>70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Потребител на Windows</cp:lastModifiedBy>
  <cp:revision>3</cp:revision>
  <dcterms:created xsi:type="dcterms:W3CDTF">2022-07-31T01:59:00Z</dcterms:created>
  <dcterms:modified xsi:type="dcterms:W3CDTF">2022-07-31T14:14:00Z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