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F67F05D" w14:textId="77777777" w:rsidR="00902D5F" w:rsidRDefault="00902D5F" w:rsidP="0091385D">
      <w:r>
        <w:rPr>
          <w:b/>
          <w:bCs/>
        </w:rPr>
        <w:t xml:space="preserve">ГелоМиртол форте </w:t>
      </w:r>
      <w:r>
        <w:t xml:space="preserve">300 </w:t>
      </w:r>
      <w:r>
        <w:rPr>
          <w:lang w:val="en-US"/>
        </w:rPr>
        <w:t xml:space="preserve">mg </w:t>
      </w:r>
      <w:r>
        <w:t xml:space="preserve">стомашно-устойчиви капсули, меки </w:t>
      </w:r>
    </w:p>
    <w:p w14:paraId="69AC8148" w14:textId="29ADE647" w:rsidR="00EC41ED" w:rsidRDefault="00902D5F" w:rsidP="0091385D">
      <w:proofErr w:type="spellStart"/>
      <w:r>
        <w:rPr>
          <w:b/>
          <w:bCs/>
          <w:lang w:val="en-US"/>
        </w:rPr>
        <w:t>GeloMyrtol</w:t>
      </w:r>
      <w:proofErr w:type="spellEnd"/>
      <w:r>
        <w:rPr>
          <w:b/>
          <w:bCs/>
          <w:lang w:val="en-US"/>
        </w:rPr>
        <w:t xml:space="preserve"> forte </w:t>
      </w:r>
      <w:r>
        <w:t xml:space="preserve">300 </w:t>
      </w:r>
      <w:r>
        <w:rPr>
          <w:lang w:val="en-US"/>
        </w:rPr>
        <w:t>mg gastro-resistant capsules, soft</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0D8C1C20"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 xml:space="preserve">Една стомашно-устойчива капсула съдържа 300 </w:t>
      </w:r>
      <w:r w:rsidRPr="00902D5F">
        <w:rPr>
          <w:rFonts w:eastAsia="Times New Roman" w:cs="Arial"/>
          <w:color w:val="000000"/>
          <w:lang w:val="en-US"/>
        </w:rPr>
        <w:t xml:space="preserve">mg </w:t>
      </w:r>
      <w:r w:rsidRPr="00902D5F">
        <w:rPr>
          <w:rFonts w:eastAsia="Times New Roman" w:cs="Arial"/>
          <w:color w:val="000000"/>
          <w:lang w:eastAsia="bg-BG"/>
        </w:rPr>
        <w:t>дестилат от смес от пречистени етерични масла от евкалипт, сладък портокал, мирта и лимон (66:32:1:1)</w:t>
      </w:r>
    </w:p>
    <w:p w14:paraId="20E19F85" w14:textId="77777777" w:rsidR="00902D5F" w:rsidRPr="00902D5F" w:rsidRDefault="00902D5F" w:rsidP="00902D5F">
      <w:pPr>
        <w:rPr>
          <w:rFonts w:eastAsia="Times New Roman" w:cs="Arial"/>
          <w:color w:val="000000"/>
          <w:lang w:eastAsia="bg-BG"/>
        </w:rPr>
      </w:pPr>
    </w:p>
    <w:p w14:paraId="54632B43" w14:textId="0485ECFF" w:rsidR="00EC41ED" w:rsidRPr="00902D5F" w:rsidRDefault="00902D5F" w:rsidP="00902D5F">
      <w:pPr>
        <w:rPr>
          <w:rFonts w:cs="Arial"/>
        </w:rPr>
      </w:pPr>
      <w:r w:rsidRPr="00902D5F">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43244F0" w14:textId="7EBF9A66" w:rsidR="00EC41ED" w:rsidRDefault="00902D5F" w:rsidP="0091385D">
      <w:r>
        <w:t>Стомашно-устойчива капсула, мека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4DE96668" w:rsidR="0091385D" w:rsidRDefault="00902D5F" w:rsidP="0091385D">
      <w:r>
        <w:t>Симптоматично лечение на остри и хронични бронхити и синуити.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4453CA4C" w14:textId="77777777" w:rsidR="00902D5F" w:rsidRPr="00902D5F" w:rsidRDefault="00902D5F" w:rsidP="00902D5F">
      <w:pPr>
        <w:pStyle w:val="Heading3"/>
        <w:rPr>
          <w:rFonts w:eastAsia="Times New Roman"/>
          <w:u w:val="single"/>
          <w:lang w:eastAsia="bg-BG"/>
        </w:rPr>
      </w:pPr>
      <w:r w:rsidRPr="00902D5F">
        <w:rPr>
          <w:rFonts w:eastAsia="Times New Roman"/>
          <w:u w:val="single"/>
          <w:lang w:eastAsia="bg-BG"/>
        </w:rPr>
        <w:t>Дозировка</w:t>
      </w:r>
    </w:p>
    <w:p w14:paraId="174A102D" w14:textId="77777777" w:rsidR="00902D5F" w:rsidRPr="00902D5F" w:rsidRDefault="00902D5F" w:rsidP="00902D5F">
      <w:pPr>
        <w:rPr>
          <w:rFonts w:eastAsia="Times New Roman" w:cs="Arial"/>
          <w:color w:val="000000"/>
          <w:lang w:eastAsia="bg-BG"/>
        </w:rPr>
      </w:pPr>
    </w:p>
    <w:p w14:paraId="7FBF1BCE" w14:textId="0F5B57C8" w:rsidR="00EC41ED" w:rsidRPr="00902D5F" w:rsidRDefault="00902D5F" w:rsidP="00902D5F">
      <w:pPr>
        <w:rPr>
          <w:rFonts w:eastAsia="Times New Roman" w:cs="Arial"/>
          <w:color w:val="000000"/>
          <w:lang w:eastAsia="bg-BG"/>
        </w:rPr>
      </w:pPr>
      <w:r w:rsidRPr="00902D5F">
        <w:rPr>
          <w:rFonts w:eastAsia="Times New Roman" w:cs="Arial"/>
          <w:color w:val="000000"/>
          <w:lang w:eastAsia="bg-BG"/>
        </w:rPr>
        <w:t>В случай, че не е предписано друго, се прилагат следните препоръки за дозиране:</w:t>
      </w:r>
    </w:p>
    <w:p w14:paraId="3E43476F" w14:textId="36183482" w:rsidR="00902D5F" w:rsidRPr="00902D5F" w:rsidRDefault="00902D5F" w:rsidP="00902D5F">
      <w:pPr>
        <w:rPr>
          <w:rFonts w:eastAsia="Times New Roman" w:cs="Arial"/>
          <w:color w:val="000000"/>
          <w:lang w:eastAsia="bg-BG"/>
        </w:rPr>
      </w:pPr>
    </w:p>
    <w:tbl>
      <w:tblPr>
        <w:tblStyle w:val="TableGrid"/>
        <w:tblW w:w="0" w:type="auto"/>
        <w:tblLook w:val="04A0" w:firstRow="1" w:lastRow="0" w:firstColumn="1" w:lastColumn="0" w:noHBand="0" w:noVBand="1"/>
      </w:tblPr>
      <w:tblGrid>
        <w:gridCol w:w="3116"/>
        <w:gridCol w:w="3117"/>
        <w:gridCol w:w="3117"/>
      </w:tblGrid>
      <w:tr w:rsidR="00902D5F" w:rsidRPr="00902D5F" w14:paraId="1F7E0F9E" w14:textId="77777777" w:rsidTr="00902D5F">
        <w:tc>
          <w:tcPr>
            <w:tcW w:w="3116" w:type="dxa"/>
          </w:tcPr>
          <w:p w14:paraId="0CABE2DD" w14:textId="4989AB55" w:rsidR="00902D5F" w:rsidRPr="00902D5F" w:rsidRDefault="00902D5F" w:rsidP="00902D5F">
            <w:pPr>
              <w:rPr>
                <w:rFonts w:cs="Arial"/>
              </w:rPr>
            </w:pPr>
            <w:r w:rsidRPr="00902D5F">
              <w:rPr>
                <w:rFonts w:cs="Arial"/>
                <w:b/>
                <w:bCs/>
              </w:rPr>
              <w:t>Възраст</w:t>
            </w:r>
          </w:p>
        </w:tc>
        <w:tc>
          <w:tcPr>
            <w:tcW w:w="3117" w:type="dxa"/>
          </w:tcPr>
          <w:p w14:paraId="392B01F1" w14:textId="417EA89B" w:rsidR="00902D5F" w:rsidRPr="00902D5F" w:rsidRDefault="00902D5F" w:rsidP="00902D5F">
            <w:pPr>
              <w:rPr>
                <w:rFonts w:cs="Arial"/>
              </w:rPr>
            </w:pPr>
            <w:r w:rsidRPr="00902D5F">
              <w:rPr>
                <w:rFonts w:cs="Arial"/>
                <w:b/>
                <w:bCs/>
              </w:rPr>
              <w:t>При остри възпалителни състояния:</w:t>
            </w:r>
          </w:p>
        </w:tc>
        <w:tc>
          <w:tcPr>
            <w:tcW w:w="3117" w:type="dxa"/>
          </w:tcPr>
          <w:p w14:paraId="41F6433B" w14:textId="33171C26" w:rsidR="00902D5F" w:rsidRPr="00902D5F" w:rsidRDefault="00902D5F" w:rsidP="00902D5F">
            <w:pPr>
              <w:rPr>
                <w:rFonts w:cs="Arial"/>
              </w:rPr>
            </w:pPr>
            <w:r w:rsidRPr="00902D5F">
              <w:rPr>
                <w:rFonts w:cs="Arial"/>
                <w:b/>
                <w:bCs/>
              </w:rPr>
              <w:t>При хронични възпалителни състояния</w:t>
            </w:r>
          </w:p>
        </w:tc>
      </w:tr>
      <w:tr w:rsidR="00902D5F" w:rsidRPr="00902D5F" w14:paraId="50DFAC02" w14:textId="77777777" w:rsidTr="00902D5F">
        <w:tc>
          <w:tcPr>
            <w:tcW w:w="3116" w:type="dxa"/>
          </w:tcPr>
          <w:p w14:paraId="4229EA6E" w14:textId="189FAF7B" w:rsidR="00902D5F" w:rsidRPr="00902D5F" w:rsidRDefault="00902D5F" w:rsidP="00902D5F">
            <w:pPr>
              <w:rPr>
                <w:rFonts w:cs="Arial"/>
              </w:rPr>
            </w:pPr>
            <w:r w:rsidRPr="00902D5F">
              <w:rPr>
                <w:rFonts w:cs="Arial"/>
                <w:b/>
                <w:bCs/>
              </w:rPr>
              <w:t>&gt; 10 години</w:t>
            </w:r>
          </w:p>
        </w:tc>
        <w:tc>
          <w:tcPr>
            <w:tcW w:w="3117" w:type="dxa"/>
          </w:tcPr>
          <w:p w14:paraId="5D13431E" w14:textId="411BB4B6" w:rsidR="00902D5F" w:rsidRPr="00902D5F" w:rsidRDefault="00902D5F" w:rsidP="00902D5F">
            <w:pPr>
              <w:rPr>
                <w:rFonts w:cs="Arial"/>
              </w:rPr>
            </w:pPr>
            <w:r w:rsidRPr="00902D5F">
              <w:rPr>
                <w:rFonts w:cs="Arial"/>
                <w:b/>
                <w:bCs/>
              </w:rPr>
              <w:t>1 капсула 3-4 пъти на ден</w:t>
            </w:r>
          </w:p>
        </w:tc>
        <w:tc>
          <w:tcPr>
            <w:tcW w:w="3117" w:type="dxa"/>
          </w:tcPr>
          <w:p w14:paraId="4702C8D7" w14:textId="5EF07857" w:rsidR="00902D5F" w:rsidRPr="00902D5F" w:rsidRDefault="00902D5F" w:rsidP="00902D5F">
            <w:pPr>
              <w:rPr>
                <w:rFonts w:cs="Arial"/>
              </w:rPr>
            </w:pPr>
            <w:r w:rsidRPr="00902D5F">
              <w:rPr>
                <w:rFonts w:cs="Arial"/>
                <w:b/>
                <w:bCs/>
              </w:rPr>
              <w:t>1 капсула 2-3 пъти на ден</w:t>
            </w:r>
          </w:p>
        </w:tc>
      </w:tr>
    </w:tbl>
    <w:p w14:paraId="59A32821" w14:textId="4A4593B9" w:rsidR="00902D5F" w:rsidRPr="00902D5F" w:rsidRDefault="00902D5F" w:rsidP="00902D5F">
      <w:pPr>
        <w:rPr>
          <w:rFonts w:cs="Arial"/>
        </w:rPr>
      </w:pPr>
    </w:p>
    <w:p w14:paraId="7FDA718F" w14:textId="77777777" w:rsidR="00902D5F" w:rsidRPr="00902D5F" w:rsidRDefault="00902D5F" w:rsidP="00902D5F">
      <w:pPr>
        <w:pStyle w:val="Heading3"/>
        <w:rPr>
          <w:rFonts w:eastAsia="Times New Roman"/>
          <w:u w:val="single"/>
          <w:lang w:eastAsia="bg-BG"/>
        </w:rPr>
      </w:pPr>
      <w:r w:rsidRPr="00902D5F">
        <w:rPr>
          <w:rFonts w:eastAsia="Times New Roman"/>
          <w:u w:val="single"/>
          <w:lang w:eastAsia="bg-BG"/>
        </w:rPr>
        <w:t>Начин на приложение</w:t>
      </w:r>
    </w:p>
    <w:p w14:paraId="777F5793" w14:textId="77777777" w:rsidR="00902D5F" w:rsidRPr="00902D5F" w:rsidRDefault="00902D5F" w:rsidP="00902D5F">
      <w:pPr>
        <w:rPr>
          <w:rFonts w:eastAsia="Times New Roman" w:cs="Arial"/>
          <w:color w:val="000000"/>
          <w:lang w:eastAsia="bg-BG"/>
        </w:rPr>
      </w:pPr>
    </w:p>
    <w:p w14:paraId="6A40EC2F" w14:textId="07CA5083" w:rsidR="00902D5F" w:rsidRPr="00902D5F" w:rsidRDefault="00902D5F" w:rsidP="00902D5F">
      <w:pPr>
        <w:rPr>
          <w:rFonts w:cs="Arial"/>
        </w:rPr>
      </w:pPr>
      <w:r w:rsidRPr="00902D5F">
        <w:rPr>
          <w:rFonts w:eastAsia="Times New Roman" w:cs="Arial"/>
          <w:color w:val="000000"/>
          <w:lang w:eastAsia="bg-BG"/>
        </w:rPr>
        <w:t>Капсулите трябва да се приемат, без да се дъвчат ½ час преди хранене с голямо количество хладка течност. Последната доза може да се приема преди лягане.</w:t>
      </w:r>
    </w:p>
    <w:p w14:paraId="132F3111" w14:textId="77777777" w:rsidR="005B0F27" w:rsidRPr="0091385D" w:rsidRDefault="005B0F27" w:rsidP="0091385D"/>
    <w:p w14:paraId="28C984E8" w14:textId="0756AE28" w:rsidR="008134C8" w:rsidRDefault="002C50EE" w:rsidP="004A448E">
      <w:pPr>
        <w:pStyle w:val="Heading2"/>
      </w:pPr>
      <w:r>
        <w:lastRenderedPageBreak/>
        <w:t>4.3. Противопоказания</w:t>
      </w:r>
    </w:p>
    <w:p w14:paraId="2363D607" w14:textId="619A99CE" w:rsidR="0091385D" w:rsidRDefault="0091385D" w:rsidP="0091385D"/>
    <w:p w14:paraId="3EE554FF" w14:textId="77777777" w:rsidR="00902D5F" w:rsidRDefault="00902D5F" w:rsidP="00902D5F">
      <w:r>
        <w:t>ГелоМиртол форте не може да се използва:</w:t>
      </w:r>
    </w:p>
    <w:p w14:paraId="0CE36599" w14:textId="77777777" w:rsidR="00902D5F" w:rsidRPr="00902D5F" w:rsidRDefault="00902D5F" w:rsidP="00902D5F">
      <w:pPr>
        <w:pStyle w:val="ListParagraph"/>
        <w:numPr>
          <w:ilvl w:val="0"/>
          <w:numId w:val="38"/>
        </w:numPr>
        <w:rPr>
          <w:rFonts w:cs="Arial"/>
          <w:szCs w:val="24"/>
        </w:rPr>
      </w:pPr>
      <w:r w:rsidRPr="00902D5F">
        <w:rPr>
          <w:rFonts w:cs="Arial"/>
          <w:szCs w:val="24"/>
        </w:rPr>
        <w:t>при пациенти, страдащи от възпалителни гастроинтестинални и билиарни нарушения или тежко чернодробно заболяване;</w:t>
      </w:r>
    </w:p>
    <w:p w14:paraId="787261A4" w14:textId="77777777" w:rsidR="00902D5F" w:rsidRPr="00902D5F" w:rsidRDefault="00902D5F" w:rsidP="00902D5F">
      <w:pPr>
        <w:pStyle w:val="ListParagraph"/>
        <w:numPr>
          <w:ilvl w:val="0"/>
          <w:numId w:val="38"/>
        </w:numPr>
        <w:rPr>
          <w:rFonts w:cs="Arial"/>
          <w:szCs w:val="24"/>
        </w:rPr>
      </w:pPr>
      <w:r w:rsidRPr="00902D5F">
        <w:rPr>
          <w:rFonts w:eastAsia="Times New Roman" w:cs="Arial"/>
          <w:color w:val="000000"/>
          <w:szCs w:val="24"/>
          <w:lang w:eastAsia="bg-BG"/>
        </w:rPr>
        <w:t>ако е налице свръхчувствителност към активното вещество или към някое от помощните вещества, изброени в точка 6.1;</w:t>
      </w:r>
    </w:p>
    <w:p w14:paraId="028CC33D" w14:textId="2FE828CF" w:rsidR="00902D5F" w:rsidRPr="00902D5F" w:rsidRDefault="00902D5F" w:rsidP="00902D5F">
      <w:pPr>
        <w:pStyle w:val="ListParagraph"/>
        <w:numPr>
          <w:ilvl w:val="0"/>
          <w:numId w:val="38"/>
        </w:numPr>
        <w:rPr>
          <w:rFonts w:cs="Arial"/>
          <w:szCs w:val="24"/>
        </w:rPr>
      </w:pPr>
      <w:r w:rsidRPr="00902D5F">
        <w:rPr>
          <w:rFonts w:eastAsia="Times New Roman" w:cs="Arial"/>
          <w:color w:val="000000"/>
          <w:szCs w:val="24"/>
          <w:lang w:eastAsia="bg-BG"/>
        </w:rPr>
        <w:t>при деца под 10 годишна възраст.</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6BE6C268" w14:textId="77777777" w:rsidR="00902D5F" w:rsidRPr="00902D5F" w:rsidRDefault="00902D5F" w:rsidP="00902D5F">
      <w:pPr>
        <w:spacing w:line="240" w:lineRule="auto"/>
        <w:rPr>
          <w:rFonts w:eastAsia="Times New Roman" w:cs="Arial"/>
          <w:szCs w:val="24"/>
          <w:lang w:eastAsia="bg-BG"/>
        </w:rPr>
      </w:pPr>
      <w:r w:rsidRPr="00902D5F">
        <w:rPr>
          <w:rFonts w:eastAsia="Times New Roman" w:cs="Arial"/>
          <w:color w:val="000000"/>
          <w:szCs w:val="24"/>
          <w:lang w:eastAsia="bg-BG"/>
        </w:rPr>
        <w:t>Ако симптомите при пациентите продължат или се влошат или, ако те получат задух или висока температура, ако започнат да изкашлят храчки, които съдържат кръв или гной, трябва незабавно да се консултират с лекар.</w:t>
      </w:r>
    </w:p>
    <w:p w14:paraId="51569D79" w14:textId="77777777" w:rsidR="00902D5F" w:rsidRPr="00902D5F" w:rsidRDefault="00902D5F" w:rsidP="00902D5F">
      <w:pPr>
        <w:spacing w:line="240" w:lineRule="auto"/>
        <w:rPr>
          <w:rFonts w:eastAsia="Times New Roman" w:cs="Arial"/>
          <w:color w:val="000000"/>
          <w:szCs w:val="24"/>
          <w:lang w:eastAsia="bg-BG"/>
        </w:rPr>
      </w:pPr>
    </w:p>
    <w:p w14:paraId="0EBD08A5" w14:textId="7C1F218A" w:rsidR="00902D5F" w:rsidRPr="00902D5F" w:rsidRDefault="00902D5F" w:rsidP="00902D5F">
      <w:pPr>
        <w:spacing w:line="240" w:lineRule="auto"/>
        <w:rPr>
          <w:rFonts w:eastAsia="Times New Roman" w:cs="Arial"/>
          <w:szCs w:val="24"/>
          <w:lang w:eastAsia="bg-BG"/>
        </w:rPr>
      </w:pPr>
      <w:r w:rsidRPr="00902D5F">
        <w:rPr>
          <w:rFonts w:eastAsia="Times New Roman" w:cs="Arial"/>
          <w:color w:val="000000"/>
          <w:szCs w:val="24"/>
          <w:lang w:eastAsia="bg-BG"/>
        </w:rPr>
        <w:t>Ако пациентите страдат от бронхиална астма, магарешка кашлица или други респираторни заболявалия, съпроводени от свръхчувствителност на дихателната система, трябва да приемате това лекарство, само след като са говорили със своя лекар.</w:t>
      </w:r>
    </w:p>
    <w:p w14:paraId="01ACCB5F" w14:textId="77777777" w:rsidR="00902D5F" w:rsidRPr="00902D5F" w:rsidRDefault="00902D5F" w:rsidP="00902D5F">
      <w:pPr>
        <w:spacing w:line="240" w:lineRule="auto"/>
        <w:rPr>
          <w:rFonts w:eastAsia="Times New Roman" w:cs="Arial"/>
          <w:color w:val="000000"/>
          <w:szCs w:val="24"/>
          <w:lang w:eastAsia="bg-BG"/>
        </w:rPr>
      </w:pPr>
    </w:p>
    <w:p w14:paraId="050154F9" w14:textId="02E40BFE" w:rsidR="00902D5F" w:rsidRPr="00902D5F" w:rsidRDefault="00902D5F" w:rsidP="00902D5F">
      <w:pPr>
        <w:spacing w:line="240" w:lineRule="auto"/>
        <w:rPr>
          <w:rFonts w:eastAsia="Times New Roman" w:cs="Arial"/>
          <w:szCs w:val="24"/>
          <w:lang w:eastAsia="bg-BG"/>
        </w:rPr>
      </w:pPr>
      <w:r w:rsidRPr="00902D5F">
        <w:rPr>
          <w:rFonts w:eastAsia="Times New Roman" w:cs="Arial"/>
          <w:color w:val="000000"/>
          <w:szCs w:val="24"/>
          <w:lang w:eastAsia="bg-BG"/>
        </w:rPr>
        <w:t>Пациенти, които страдат от рядка наследствена непоносимост към фруктоза, не трябва да приемат това лекарство.</w:t>
      </w:r>
    </w:p>
    <w:p w14:paraId="4922DE0C" w14:textId="77777777" w:rsidR="00902D5F" w:rsidRPr="00902D5F" w:rsidRDefault="00902D5F" w:rsidP="00902D5F">
      <w:pPr>
        <w:rPr>
          <w:rFonts w:eastAsia="Times New Roman" w:cs="Arial"/>
          <w:color w:val="000000"/>
          <w:szCs w:val="24"/>
          <w:lang w:eastAsia="bg-BG"/>
        </w:rPr>
      </w:pPr>
    </w:p>
    <w:p w14:paraId="0E28BBDE" w14:textId="5D02A28D" w:rsidR="007A2185" w:rsidRPr="00902D5F" w:rsidRDefault="00902D5F" w:rsidP="00902D5F">
      <w:pPr>
        <w:rPr>
          <w:rFonts w:cs="Arial"/>
          <w:szCs w:val="24"/>
        </w:rPr>
      </w:pPr>
      <w:r w:rsidRPr="00902D5F">
        <w:rPr>
          <w:rFonts w:eastAsia="Times New Roman" w:cs="Arial"/>
          <w:color w:val="000000"/>
          <w:szCs w:val="24"/>
          <w:lang w:eastAsia="bg-BG"/>
        </w:rPr>
        <w:t xml:space="preserve">Това лекарство не е подходящо за деца под 10 години. За деца от 4 до 9- годишна възраст е наличен Миртол 120 </w:t>
      </w:r>
      <w:r w:rsidRPr="00902D5F">
        <w:rPr>
          <w:rFonts w:eastAsia="Times New Roman" w:cs="Arial"/>
          <w:color w:val="000000"/>
          <w:szCs w:val="24"/>
          <w:lang w:val="en-US"/>
        </w:rPr>
        <w:t xml:space="preserve">mg </w:t>
      </w:r>
      <w:r w:rsidRPr="00902D5F">
        <w:rPr>
          <w:rFonts w:eastAsia="Times New Roman" w:cs="Arial"/>
          <w:color w:val="000000"/>
          <w:szCs w:val="24"/>
          <w:lang w:eastAsia="bg-BG"/>
        </w:rPr>
        <w:t>капсули.</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2761C5" w14:textId="373CC51C" w:rsidR="0091385D" w:rsidRPr="00902D5F" w:rsidRDefault="00902D5F" w:rsidP="0091385D">
      <w:pPr>
        <w:rPr>
          <w:rFonts w:cs="Arial"/>
          <w:szCs w:val="24"/>
        </w:rPr>
      </w:pPr>
      <w:r w:rsidRPr="00902D5F">
        <w:rPr>
          <w:rFonts w:cs="Arial"/>
          <w:szCs w:val="24"/>
        </w:rPr>
        <w:t>В терапевтични дози няма известни взаимодействия.</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4D7AC6C5" w14:textId="77777777" w:rsidR="00902D5F" w:rsidRPr="00902D5F" w:rsidRDefault="00902D5F" w:rsidP="00902D5F">
      <w:pPr>
        <w:pStyle w:val="Heading3"/>
        <w:rPr>
          <w:rFonts w:eastAsia="Times New Roman"/>
          <w:u w:val="single"/>
          <w:lang w:eastAsia="bg-BG"/>
        </w:rPr>
      </w:pPr>
      <w:r w:rsidRPr="00902D5F">
        <w:rPr>
          <w:rFonts w:eastAsia="Times New Roman"/>
          <w:u w:val="single"/>
          <w:lang w:eastAsia="bg-BG"/>
        </w:rPr>
        <w:t>Бременност</w:t>
      </w:r>
    </w:p>
    <w:p w14:paraId="7A2857F8" w14:textId="77777777" w:rsidR="00902D5F" w:rsidRPr="00902D5F" w:rsidRDefault="00902D5F" w:rsidP="00902D5F">
      <w:pPr>
        <w:spacing w:line="240" w:lineRule="auto"/>
        <w:rPr>
          <w:rFonts w:eastAsia="Times New Roman" w:cs="Arial"/>
          <w:szCs w:val="24"/>
          <w:lang w:eastAsia="bg-BG"/>
        </w:rPr>
      </w:pPr>
      <w:r w:rsidRPr="00902D5F">
        <w:rPr>
          <w:rFonts w:eastAsia="Times New Roman" w:cs="Arial"/>
          <w:color w:val="000000"/>
          <w:szCs w:val="24"/>
          <w:lang w:eastAsia="bg-BG"/>
        </w:rPr>
        <w:t>Проучвания при животни, както и десетилетия терапевтичен опит с това лекарство при хора, не показват репродуктивна токсичност. Ето защо, това лекарство може да се използва по време на бременност, ако е клинично показано. Както при всички лекарства, по време на бременност е необходима консултация с лекар преди употребата на това лекарство.</w:t>
      </w:r>
    </w:p>
    <w:p w14:paraId="7280C762" w14:textId="77777777" w:rsidR="00902D5F" w:rsidRPr="00902D5F" w:rsidRDefault="00902D5F" w:rsidP="00902D5F">
      <w:pPr>
        <w:spacing w:line="240" w:lineRule="auto"/>
        <w:rPr>
          <w:rFonts w:eastAsia="Times New Roman" w:cs="Arial"/>
          <w:color w:val="000000"/>
          <w:szCs w:val="24"/>
          <w:u w:val="single"/>
          <w:lang w:eastAsia="bg-BG"/>
        </w:rPr>
      </w:pPr>
    </w:p>
    <w:p w14:paraId="78C3AE37" w14:textId="51CAF75F" w:rsidR="00902D5F" w:rsidRPr="00902D5F" w:rsidRDefault="00902D5F" w:rsidP="00902D5F">
      <w:pPr>
        <w:pStyle w:val="Heading3"/>
        <w:rPr>
          <w:rFonts w:eastAsia="Times New Roman"/>
          <w:u w:val="single"/>
          <w:lang w:eastAsia="bg-BG"/>
        </w:rPr>
      </w:pPr>
      <w:r w:rsidRPr="00902D5F">
        <w:rPr>
          <w:rFonts w:eastAsia="Times New Roman"/>
          <w:u w:val="single"/>
          <w:lang w:eastAsia="bg-BG"/>
        </w:rPr>
        <w:t>Кърмене</w:t>
      </w:r>
    </w:p>
    <w:p w14:paraId="05FF6E31" w14:textId="77777777" w:rsidR="00902D5F" w:rsidRPr="00902D5F" w:rsidRDefault="00902D5F" w:rsidP="00902D5F">
      <w:pPr>
        <w:spacing w:line="240" w:lineRule="auto"/>
        <w:rPr>
          <w:rFonts w:eastAsia="Times New Roman" w:cs="Arial"/>
          <w:szCs w:val="24"/>
          <w:lang w:eastAsia="bg-BG"/>
        </w:rPr>
      </w:pPr>
      <w:r w:rsidRPr="00902D5F">
        <w:rPr>
          <w:rFonts w:eastAsia="Times New Roman" w:cs="Arial"/>
          <w:color w:val="000000"/>
          <w:szCs w:val="24"/>
          <w:lang w:eastAsia="bg-BG"/>
        </w:rPr>
        <w:t>Поради липофилните свойства на това лекарство, преминаването в кърмата трябва да се счита за много вероятно. Тестовете върху животни, обаче, показват, че плазмената концентрация е под границата на откриване при малките. Както при всички лекарства, по време на кърмене е необходима консултация с лекар преди употребата на това лекарство.</w:t>
      </w:r>
    </w:p>
    <w:p w14:paraId="440A14C1" w14:textId="77777777" w:rsidR="00902D5F" w:rsidRPr="00902D5F" w:rsidRDefault="00902D5F" w:rsidP="00902D5F">
      <w:pPr>
        <w:spacing w:line="240" w:lineRule="auto"/>
        <w:rPr>
          <w:rFonts w:eastAsia="Times New Roman" w:cs="Arial"/>
          <w:strike/>
          <w:color w:val="000000"/>
          <w:szCs w:val="24"/>
          <w:u w:val="single"/>
          <w:lang w:eastAsia="bg-BG"/>
        </w:rPr>
      </w:pPr>
    </w:p>
    <w:p w14:paraId="33330B2B" w14:textId="64199230" w:rsidR="00902D5F" w:rsidRPr="00902D5F" w:rsidRDefault="00902D5F" w:rsidP="00902D5F">
      <w:pPr>
        <w:pStyle w:val="Heading3"/>
        <w:rPr>
          <w:rFonts w:eastAsia="Times New Roman"/>
          <w:u w:val="single"/>
          <w:lang w:eastAsia="bg-BG"/>
        </w:rPr>
      </w:pPr>
      <w:r w:rsidRPr="00902D5F">
        <w:rPr>
          <w:rFonts w:eastAsia="Times New Roman"/>
          <w:u w:val="single"/>
          <w:lang w:eastAsia="bg-BG"/>
        </w:rPr>
        <w:lastRenderedPageBreak/>
        <w:t>Фертилитет</w:t>
      </w:r>
    </w:p>
    <w:p w14:paraId="102F0D07" w14:textId="48404165" w:rsidR="007A2185" w:rsidRPr="00902D5F" w:rsidRDefault="00902D5F" w:rsidP="00902D5F">
      <w:pPr>
        <w:rPr>
          <w:rFonts w:cs="Arial"/>
          <w:szCs w:val="24"/>
        </w:rPr>
      </w:pPr>
      <w:r w:rsidRPr="00902D5F">
        <w:rPr>
          <w:rFonts w:eastAsia="Times New Roman" w:cs="Arial"/>
          <w:color w:val="000000"/>
          <w:szCs w:val="24"/>
          <w:lang w:eastAsia="bg-BG"/>
        </w:rPr>
        <w:t>Няма налични данни за ефекта на това лекарство върху фертилитета при хора. При плъхове не се наблюдава ефект върху чифтосването и фертилитета при лечение с ГелоМиртол форте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5459A1AB" w:rsidR="007A2185" w:rsidRDefault="00902D5F" w:rsidP="0091385D">
      <w:r>
        <w:t>Не са известни.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5ADE2BF4" w:rsidR="007A2185" w:rsidRPr="00902D5F" w:rsidRDefault="00902D5F" w:rsidP="0091385D">
      <w:pPr>
        <w:rPr>
          <w:rFonts w:cs="Arial"/>
        </w:rPr>
      </w:pPr>
      <w:r w:rsidRPr="00902D5F">
        <w:rPr>
          <w:rFonts w:cs="Arial"/>
        </w:rPr>
        <w:t>Нежеланите реакции са изброени по-долу в низходящ ред според честотата на възникване:</w:t>
      </w:r>
    </w:p>
    <w:p w14:paraId="18490DAE" w14:textId="459E7E1D" w:rsidR="00902D5F" w:rsidRDefault="00902D5F" w:rsidP="0091385D"/>
    <w:tbl>
      <w:tblPr>
        <w:tblStyle w:val="TableGrid"/>
        <w:tblW w:w="0" w:type="auto"/>
        <w:tblLook w:val="04A0" w:firstRow="1" w:lastRow="0" w:firstColumn="1" w:lastColumn="0" w:noHBand="0" w:noVBand="1"/>
      </w:tblPr>
      <w:tblGrid>
        <w:gridCol w:w="4675"/>
        <w:gridCol w:w="4675"/>
      </w:tblGrid>
      <w:tr w:rsidR="00902D5F" w14:paraId="748E59DB" w14:textId="77777777" w:rsidTr="00902D5F">
        <w:tc>
          <w:tcPr>
            <w:tcW w:w="4675" w:type="dxa"/>
          </w:tcPr>
          <w:p w14:paraId="7B471AF1" w14:textId="2479F276" w:rsidR="00902D5F" w:rsidRPr="00902D5F" w:rsidRDefault="00902D5F" w:rsidP="00902D5F">
            <w:r w:rsidRPr="00902D5F">
              <w:rPr>
                <w:szCs w:val="20"/>
              </w:rPr>
              <w:t>Много чести</w:t>
            </w:r>
          </w:p>
        </w:tc>
        <w:tc>
          <w:tcPr>
            <w:tcW w:w="4675" w:type="dxa"/>
          </w:tcPr>
          <w:p w14:paraId="71E18A95" w14:textId="755765D1" w:rsidR="00902D5F" w:rsidRPr="00902D5F" w:rsidRDefault="00902D5F" w:rsidP="00902D5F">
            <w:r w:rsidRPr="00902D5F">
              <w:rPr>
                <w:szCs w:val="20"/>
              </w:rPr>
              <w:t>(≥ 1/10)</w:t>
            </w:r>
          </w:p>
        </w:tc>
      </w:tr>
      <w:tr w:rsidR="00902D5F" w14:paraId="76792FF8" w14:textId="77777777" w:rsidTr="00902D5F">
        <w:tc>
          <w:tcPr>
            <w:tcW w:w="4675" w:type="dxa"/>
          </w:tcPr>
          <w:p w14:paraId="141A1DC6" w14:textId="34E9F1AC" w:rsidR="00902D5F" w:rsidRPr="00902D5F" w:rsidRDefault="00902D5F" w:rsidP="00902D5F">
            <w:r w:rsidRPr="00902D5F">
              <w:rPr>
                <w:szCs w:val="20"/>
              </w:rPr>
              <w:t>Чести</w:t>
            </w:r>
          </w:p>
        </w:tc>
        <w:tc>
          <w:tcPr>
            <w:tcW w:w="4675" w:type="dxa"/>
          </w:tcPr>
          <w:p w14:paraId="48F4E81B" w14:textId="0DE918F2" w:rsidR="00902D5F" w:rsidRPr="00902D5F" w:rsidRDefault="00902D5F" w:rsidP="00902D5F">
            <w:r w:rsidRPr="00902D5F">
              <w:rPr>
                <w:szCs w:val="20"/>
              </w:rPr>
              <w:t>(≥ 1/100 до &lt; 1/10)</w:t>
            </w:r>
          </w:p>
        </w:tc>
      </w:tr>
      <w:tr w:rsidR="00902D5F" w14:paraId="20476600" w14:textId="77777777" w:rsidTr="00902D5F">
        <w:tc>
          <w:tcPr>
            <w:tcW w:w="4675" w:type="dxa"/>
          </w:tcPr>
          <w:p w14:paraId="223226F8" w14:textId="426EBE00" w:rsidR="00902D5F" w:rsidRPr="00902D5F" w:rsidRDefault="00902D5F" w:rsidP="00902D5F">
            <w:r w:rsidRPr="00902D5F">
              <w:rPr>
                <w:szCs w:val="20"/>
              </w:rPr>
              <w:t>Нечести</w:t>
            </w:r>
          </w:p>
        </w:tc>
        <w:tc>
          <w:tcPr>
            <w:tcW w:w="4675" w:type="dxa"/>
          </w:tcPr>
          <w:p w14:paraId="790DC4E4" w14:textId="2D7BE7C8" w:rsidR="00902D5F" w:rsidRPr="00902D5F" w:rsidRDefault="00902D5F" w:rsidP="00902D5F">
            <w:r w:rsidRPr="00902D5F">
              <w:rPr>
                <w:szCs w:val="20"/>
              </w:rPr>
              <w:t>(≥ 1/1,000 до &lt; 1/100)</w:t>
            </w:r>
          </w:p>
        </w:tc>
      </w:tr>
      <w:tr w:rsidR="00902D5F" w14:paraId="202179C4" w14:textId="77777777" w:rsidTr="00902D5F">
        <w:tc>
          <w:tcPr>
            <w:tcW w:w="4675" w:type="dxa"/>
          </w:tcPr>
          <w:p w14:paraId="6E20DB8C" w14:textId="0577BF13" w:rsidR="00902D5F" w:rsidRPr="00902D5F" w:rsidRDefault="00902D5F" w:rsidP="00902D5F">
            <w:r w:rsidRPr="00902D5F">
              <w:rPr>
                <w:szCs w:val="20"/>
              </w:rPr>
              <w:t>Редки</w:t>
            </w:r>
          </w:p>
        </w:tc>
        <w:tc>
          <w:tcPr>
            <w:tcW w:w="4675" w:type="dxa"/>
          </w:tcPr>
          <w:p w14:paraId="7D9389FC" w14:textId="5DE9E017" w:rsidR="00902D5F" w:rsidRPr="00902D5F" w:rsidRDefault="00902D5F" w:rsidP="00902D5F">
            <w:r w:rsidRPr="00902D5F">
              <w:rPr>
                <w:szCs w:val="20"/>
              </w:rPr>
              <w:t>(≥ 1/10.000 до &lt; 1/1.000)</w:t>
            </w:r>
          </w:p>
        </w:tc>
      </w:tr>
      <w:tr w:rsidR="00902D5F" w14:paraId="3A92A8B0" w14:textId="77777777" w:rsidTr="00902D5F">
        <w:tc>
          <w:tcPr>
            <w:tcW w:w="4675" w:type="dxa"/>
          </w:tcPr>
          <w:p w14:paraId="3F49195D" w14:textId="7046C84A" w:rsidR="00902D5F" w:rsidRPr="00902D5F" w:rsidRDefault="00902D5F" w:rsidP="00902D5F">
            <w:r w:rsidRPr="00902D5F">
              <w:rPr>
                <w:szCs w:val="20"/>
              </w:rPr>
              <w:t>Много редки</w:t>
            </w:r>
          </w:p>
        </w:tc>
        <w:tc>
          <w:tcPr>
            <w:tcW w:w="4675" w:type="dxa"/>
          </w:tcPr>
          <w:p w14:paraId="725ED15C" w14:textId="667EBB56" w:rsidR="00902D5F" w:rsidRPr="00902D5F" w:rsidRDefault="00902D5F" w:rsidP="00902D5F">
            <w:r w:rsidRPr="00902D5F">
              <w:rPr>
                <w:szCs w:val="20"/>
              </w:rPr>
              <w:t>(&lt; 1/10,000)</w:t>
            </w:r>
          </w:p>
        </w:tc>
      </w:tr>
      <w:tr w:rsidR="00902D5F" w14:paraId="286BF0E7" w14:textId="77777777" w:rsidTr="00902D5F">
        <w:tc>
          <w:tcPr>
            <w:tcW w:w="4675" w:type="dxa"/>
          </w:tcPr>
          <w:p w14:paraId="275E41EE" w14:textId="26E5C735" w:rsidR="00902D5F" w:rsidRPr="00902D5F" w:rsidRDefault="00902D5F" w:rsidP="00902D5F">
            <w:r w:rsidRPr="00902D5F">
              <w:rPr>
                <w:szCs w:val="20"/>
              </w:rPr>
              <w:t>С неизвестна честота</w:t>
            </w:r>
          </w:p>
        </w:tc>
        <w:tc>
          <w:tcPr>
            <w:tcW w:w="4675" w:type="dxa"/>
          </w:tcPr>
          <w:p w14:paraId="661400B4" w14:textId="5818047C" w:rsidR="00902D5F" w:rsidRPr="00902D5F" w:rsidRDefault="00902D5F" w:rsidP="00902D5F">
            <w:r w:rsidRPr="00902D5F">
              <w:rPr>
                <w:szCs w:val="20"/>
              </w:rPr>
              <w:t>(от наличните данни не може да бъде направена оценка]</w:t>
            </w:r>
          </w:p>
        </w:tc>
      </w:tr>
    </w:tbl>
    <w:p w14:paraId="3ED4A5C8" w14:textId="2C70E6C9" w:rsidR="00902D5F" w:rsidRDefault="00902D5F" w:rsidP="0091385D"/>
    <w:p w14:paraId="0BB3B4B5"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u w:val="single"/>
          <w:lang w:eastAsia="bg-BG"/>
        </w:rPr>
        <w:t>Стомашно-чревни нарушения:</w:t>
      </w:r>
    </w:p>
    <w:p w14:paraId="0828337D"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Нечести: възможно е да се появят стомашно-чревни оплаквания като стомашна болка/ епигастриален дискомфорт; промяна на вкуса.</w:t>
      </w:r>
    </w:p>
    <w:p w14:paraId="094BEA93"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Редки: гадене, повръщане или диария.</w:t>
      </w:r>
    </w:p>
    <w:p w14:paraId="3D7FE366" w14:textId="77777777" w:rsidR="00902D5F" w:rsidRPr="00902D5F" w:rsidRDefault="00902D5F" w:rsidP="00902D5F">
      <w:pPr>
        <w:spacing w:line="240" w:lineRule="auto"/>
        <w:rPr>
          <w:rFonts w:eastAsia="Times New Roman" w:cs="Arial"/>
          <w:color w:val="000000"/>
          <w:u w:val="single"/>
          <w:lang w:eastAsia="bg-BG"/>
        </w:rPr>
      </w:pPr>
    </w:p>
    <w:p w14:paraId="4072CAAA" w14:textId="4D4A7BE5" w:rsidR="00902D5F" w:rsidRPr="00902D5F" w:rsidRDefault="00902D5F" w:rsidP="00902D5F">
      <w:pPr>
        <w:spacing w:line="240" w:lineRule="auto"/>
        <w:rPr>
          <w:rFonts w:eastAsia="Times New Roman" w:cs="Arial"/>
          <w:lang w:eastAsia="bg-BG"/>
        </w:rPr>
      </w:pPr>
      <w:r w:rsidRPr="00902D5F">
        <w:rPr>
          <w:rFonts w:eastAsia="Times New Roman" w:cs="Arial"/>
          <w:color w:val="000000"/>
          <w:u w:val="single"/>
          <w:lang w:eastAsia="bg-BG"/>
        </w:rPr>
        <w:t>Нарушения на имунната система:</w:t>
      </w:r>
    </w:p>
    <w:p w14:paraId="0ED5BD9E"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Редки: съобщава се за реакции на свръхчувствителност (например кожен обрив, пруритус, оток на лицето, диспнея или нарушения на кръвообращението).</w:t>
      </w:r>
    </w:p>
    <w:p w14:paraId="668667D6" w14:textId="77777777" w:rsidR="00902D5F" w:rsidRPr="00902D5F" w:rsidRDefault="00902D5F" w:rsidP="00902D5F">
      <w:pPr>
        <w:spacing w:line="240" w:lineRule="auto"/>
        <w:rPr>
          <w:rFonts w:eastAsia="Times New Roman" w:cs="Arial"/>
          <w:color w:val="000000"/>
          <w:u w:val="single"/>
          <w:lang w:eastAsia="bg-BG"/>
        </w:rPr>
      </w:pPr>
    </w:p>
    <w:p w14:paraId="38D8126B" w14:textId="057B4EB0" w:rsidR="00902D5F" w:rsidRPr="00902D5F" w:rsidRDefault="00902D5F" w:rsidP="00902D5F">
      <w:pPr>
        <w:spacing w:line="240" w:lineRule="auto"/>
        <w:rPr>
          <w:rFonts w:eastAsia="Times New Roman" w:cs="Arial"/>
          <w:lang w:eastAsia="bg-BG"/>
        </w:rPr>
      </w:pPr>
      <w:r w:rsidRPr="00902D5F">
        <w:rPr>
          <w:rFonts w:eastAsia="Times New Roman" w:cs="Arial"/>
          <w:color w:val="000000"/>
          <w:u w:val="single"/>
          <w:lang w:eastAsia="bg-BG"/>
        </w:rPr>
        <w:t>Нарушения на бъбреците и пикочните пътища:</w:t>
      </w:r>
    </w:p>
    <w:p w14:paraId="5447594E"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Много редки: възможно е да възникне раздвижване на съществуващи камъни в бъбреците.</w:t>
      </w:r>
    </w:p>
    <w:p w14:paraId="06D71CDF" w14:textId="77777777" w:rsidR="00902D5F" w:rsidRPr="00902D5F" w:rsidRDefault="00902D5F" w:rsidP="00902D5F">
      <w:pPr>
        <w:spacing w:line="240" w:lineRule="auto"/>
        <w:rPr>
          <w:rFonts w:eastAsia="Times New Roman" w:cs="Arial"/>
          <w:color w:val="000000"/>
          <w:u w:val="single"/>
          <w:lang w:eastAsia="bg-BG"/>
        </w:rPr>
      </w:pPr>
    </w:p>
    <w:p w14:paraId="5039D549" w14:textId="797489CB" w:rsidR="00902D5F" w:rsidRPr="00902D5F" w:rsidRDefault="00902D5F" w:rsidP="00902D5F">
      <w:pPr>
        <w:spacing w:line="240" w:lineRule="auto"/>
        <w:rPr>
          <w:rFonts w:eastAsia="Times New Roman" w:cs="Arial"/>
          <w:lang w:eastAsia="bg-BG"/>
        </w:rPr>
      </w:pPr>
      <w:r w:rsidRPr="00902D5F">
        <w:rPr>
          <w:rFonts w:eastAsia="Times New Roman" w:cs="Arial"/>
          <w:color w:val="000000"/>
          <w:u w:val="single"/>
          <w:lang w:eastAsia="bg-BG"/>
        </w:rPr>
        <w:t>Хепатобилиарни нарушения:</w:t>
      </w:r>
    </w:p>
    <w:p w14:paraId="55B82417"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Много редки: възможно е да възникне раздвижване на съществуващи камъни в жлъчката.</w:t>
      </w:r>
    </w:p>
    <w:p w14:paraId="1A6A420C" w14:textId="77777777" w:rsidR="00902D5F" w:rsidRPr="00902D5F" w:rsidRDefault="00902D5F" w:rsidP="00902D5F">
      <w:pPr>
        <w:spacing w:line="240" w:lineRule="auto"/>
        <w:rPr>
          <w:rFonts w:eastAsia="Times New Roman" w:cs="Arial"/>
          <w:color w:val="000000"/>
          <w:u w:val="single"/>
          <w:lang w:eastAsia="bg-BG"/>
        </w:rPr>
      </w:pPr>
    </w:p>
    <w:p w14:paraId="144D66A4" w14:textId="33CEAA5B" w:rsidR="00902D5F" w:rsidRPr="00902D5F" w:rsidRDefault="00902D5F" w:rsidP="00902D5F">
      <w:pPr>
        <w:spacing w:line="240" w:lineRule="auto"/>
        <w:rPr>
          <w:rFonts w:eastAsia="Times New Roman" w:cs="Arial"/>
          <w:lang w:eastAsia="bg-BG"/>
        </w:rPr>
      </w:pPr>
      <w:r w:rsidRPr="00902D5F">
        <w:rPr>
          <w:rFonts w:eastAsia="Times New Roman" w:cs="Arial"/>
          <w:color w:val="000000"/>
          <w:u w:val="single"/>
          <w:lang w:eastAsia="bg-BG"/>
        </w:rPr>
        <w:t>Съобщаване на подозирани нежелани реакпии</w:t>
      </w:r>
    </w:p>
    <w:p w14:paraId="786764B6"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w:t>
      </w:r>
    </w:p>
    <w:p w14:paraId="318F90BB"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ул. „Дамян Груев” № 8</w:t>
      </w:r>
    </w:p>
    <w:p w14:paraId="6BB01E16"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1303 София</w:t>
      </w:r>
    </w:p>
    <w:p w14:paraId="5E7F2F1F" w14:textId="77777777" w:rsidR="00902D5F" w:rsidRPr="00902D5F" w:rsidRDefault="00902D5F" w:rsidP="00902D5F">
      <w:pPr>
        <w:spacing w:line="240" w:lineRule="auto"/>
        <w:rPr>
          <w:rFonts w:eastAsia="Times New Roman" w:cs="Arial"/>
          <w:lang w:eastAsia="bg-BG"/>
        </w:rPr>
      </w:pPr>
      <w:r w:rsidRPr="00902D5F">
        <w:rPr>
          <w:rFonts w:eastAsia="Times New Roman" w:cs="Arial"/>
          <w:color w:val="000000"/>
          <w:lang w:eastAsia="bg-BG"/>
        </w:rPr>
        <w:t>Тел.:+359 2 8903417</w:t>
      </w:r>
    </w:p>
    <w:p w14:paraId="4019EDE8" w14:textId="503F9F4A" w:rsidR="00902D5F" w:rsidRPr="00902D5F" w:rsidRDefault="00902D5F" w:rsidP="00902D5F">
      <w:pPr>
        <w:rPr>
          <w:rFonts w:cs="Arial"/>
        </w:rPr>
      </w:pPr>
      <w:r w:rsidRPr="00902D5F">
        <w:rPr>
          <w:rFonts w:eastAsia="Times New Roman" w:cs="Arial"/>
          <w:color w:val="000000"/>
          <w:lang w:eastAsia="bg-BG"/>
        </w:rPr>
        <w:t xml:space="preserve">уебсайт: </w:t>
      </w:r>
      <w:hyperlink r:id="rId5" w:history="1">
        <w:r w:rsidRPr="00902D5F">
          <w:rPr>
            <w:rFonts w:eastAsia="Times New Roman" w:cs="Arial"/>
            <w:color w:val="000000"/>
            <w:u w:val="single"/>
            <w:lang w:val="en-US"/>
          </w:rPr>
          <w:t>www.bda.bg</w:t>
        </w:r>
      </w:hyperlink>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27D7F58C" w:rsidR="007A2185" w:rsidRDefault="00902D5F" w:rsidP="0091385D">
      <w:r>
        <w:t>Не са докладвани случаи на предозиране.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038F692B" w14:textId="6298F362" w:rsidR="007A2185" w:rsidRDefault="00902D5F" w:rsidP="0091385D">
      <w:r>
        <w:t xml:space="preserve">ГелоМиртол форте има както секретолитичен, така и секретомоторен ефект. Гъстият секрет се втечнява, отделянето му се засилва и по този начин се подпомага експекторацията. При проучвания с животни е установено, че след перорално приложение в съответствие с клиничната употреба, се активира секретообразуването, което е предпоставка за терапевтичното му използване като секретолитично средство. В допълнение към неговата секретолитична активност, по-нататъшни проучвания с животни и </w:t>
      </w:r>
      <w:r>
        <w:rPr>
          <w:lang w:val="en-US"/>
        </w:rPr>
        <w:t xml:space="preserve">in vitro </w:t>
      </w:r>
      <w:r>
        <w:t>изследвания показват антимикробно действие при високи дози. Освен това са демонстрирани противовъзпалителни ефекти в подходящи модели. Като цяло всички тези ефекти имат роля при терапевтичната употреба на ГелоМиртол форте.</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657A10D0" w14:textId="77777777" w:rsidR="00902D5F" w:rsidRPr="00902D5F" w:rsidRDefault="00902D5F" w:rsidP="00902D5F">
      <w:pPr>
        <w:pStyle w:val="Heading3"/>
        <w:rPr>
          <w:rFonts w:eastAsia="Times New Roman"/>
          <w:u w:val="single"/>
          <w:lang w:eastAsia="bg-BG"/>
        </w:rPr>
      </w:pPr>
      <w:r w:rsidRPr="00902D5F">
        <w:rPr>
          <w:rFonts w:eastAsia="Times New Roman"/>
          <w:u w:val="single"/>
          <w:lang w:eastAsia="bg-BG"/>
        </w:rPr>
        <w:t>Абсорбция:</w:t>
      </w:r>
    </w:p>
    <w:p w14:paraId="16E3FB2B" w14:textId="77777777" w:rsidR="00902D5F" w:rsidRPr="00902D5F" w:rsidRDefault="00902D5F" w:rsidP="00902D5F">
      <w:pPr>
        <w:spacing w:line="240" w:lineRule="auto"/>
        <w:rPr>
          <w:rFonts w:eastAsia="Times New Roman" w:cs="Arial"/>
          <w:sz w:val="24"/>
          <w:szCs w:val="24"/>
          <w:lang w:eastAsia="bg-BG"/>
        </w:rPr>
      </w:pPr>
      <w:r w:rsidRPr="00902D5F">
        <w:rPr>
          <w:rFonts w:eastAsia="Times New Roman" w:cs="Arial"/>
          <w:color w:val="000000"/>
          <w:lang w:eastAsia="bg-BG"/>
        </w:rPr>
        <w:t xml:space="preserve">Пикови плазмени нива на 1,8 цинеол, лимонен и а-пинен се наблюдават приблизително 1-3 часа след приемането на капсулите ГелоМиртол форте. </w:t>
      </w:r>
      <w:r w:rsidRPr="00902D5F">
        <w:rPr>
          <w:rFonts w:eastAsia="Times New Roman" w:cs="Arial"/>
          <w:color w:val="000000"/>
          <w:lang w:val="en-US"/>
        </w:rPr>
        <w:t xml:space="preserve">AUC </w:t>
      </w:r>
      <w:r w:rsidRPr="00902D5F">
        <w:rPr>
          <w:rFonts w:eastAsia="Times New Roman" w:cs="Arial"/>
          <w:color w:val="000000"/>
          <w:lang w:eastAsia="bg-BG"/>
        </w:rPr>
        <w:t>стойностите за 1</w:t>
      </w:r>
      <w:proofErr w:type="gramStart"/>
      <w:r w:rsidRPr="00902D5F">
        <w:rPr>
          <w:rFonts w:eastAsia="Times New Roman" w:cs="Arial"/>
          <w:color w:val="000000"/>
          <w:lang w:eastAsia="bg-BG"/>
        </w:rPr>
        <w:t>,8</w:t>
      </w:r>
      <w:proofErr w:type="gramEnd"/>
      <w:r w:rsidRPr="00902D5F">
        <w:rPr>
          <w:rFonts w:eastAsia="Times New Roman" w:cs="Arial"/>
          <w:color w:val="000000"/>
          <w:lang w:eastAsia="bg-BG"/>
        </w:rPr>
        <w:t xml:space="preserve"> цинеол са около 20 пъти по-високи от стойностите на </w:t>
      </w:r>
      <w:r w:rsidRPr="00902D5F">
        <w:rPr>
          <w:rFonts w:eastAsia="Times New Roman" w:cs="Arial"/>
          <w:color w:val="000000"/>
          <w:lang w:val="en-US"/>
        </w:rPr>
        <w:t xml:space="preserve">AUC </w:t>
      </w:r>
      <w:r w:rsidRPr="00902D5F">
        <w:rPr>
          <w:rFonts w:eastAsia="Times New Roman" w:cs="Arial"/>
          <w:color w:val="000000"/>
          <w:lang w:eastAsia="bg-BG"/>
        </w:rPr>
        <w:t>за лимонен и а-пинен. Съществуват широки интер- и интраиндивидуални разлики в стойностите на С</w:t>
      </w:r>
      <w:r w:rsidRPr="00902D5F">
        <w:rPr>
          <w:rFonts w:eastAsia="Times New Roman" w:cs="Arial"/>
          <w:color w:val="000000"/>
          <w:vertAlign w:val="subscript"/>
          <w:lang w:val="en-US"/>
        </w:rPr>
        <w:t>m</w:t>
      </w:r>
      <w:r w:rsidRPr="00902D5F">
        <w:rPr>
          <w:rFonts w:eastAsia="Times New Roman" w:cs="Arial"/>
          <w:color w:val="000000"/>
          <w:vertAlign w:val="subscript"/>
          <w:lang w:eastAsia="bg-BG"/>
        </w:rPr>
        <w:t>ах</w:t>
      </w:r>
      <w:r w:rsidRPr="00902D5F">
        <w:rPr>
          <w:rFonts w:eastAsia="Times New Roman" w:cs="Arial"/>
          <w:color w:val="000000"/>
          <w:lang w:eastAsia="bg-BG"/>
        </w:rPr>
        <w:t xml:space="preserve"> и </w:t>
      </w:r>
      <w:r w:rsidRPr="00902D5F">
        <w:rPr>
          <w:rFonts w:eastAsia="Times New Roman" w:cs="Arial"/>
          <w:color w:val="000000"/>
          <w:lang w:val="en-US"/>
        </w:rPr>
        <w:t xml:space="preserve">AUC </w:t>
      </w:r>
      <w:r w:rsidRPr="00902D5F">
        <w:rPr>
          <w:rFonts w:eastAsia="Times New Roman" w:cs="Arial"/>
          <w:color w:val="000000"/>
          <w:lang w:eastAsia="bg-BG"/>
        </w:rPr>
        <w:t>на трите основни вещества.</w:t>
      </w:r>
    </w:p>
    <w:p w14:paraId="1B55E249" w14:textId="77777777" w:rsidR="00902D5F" w:rsidRPr="00902D5F" w:rsidRDefault="00902D5F" w:rsidP="00902D5F">
      <w:pPr>
        <w:spacing w:line="240" w:lineRule="auto"/>
        <w:rPr>
          <w:rFonts w:eastAsia="Times New Roman" w:cs="Arial"/>
          <w:color w:val="000000"/>
          <w:u w:val="single"/>
          <w:lang w:eastAsia="bg-BG"/>
        </w:rPr>
      </w:pPr>
    </w:p>
    <w:p w14:paraId="432760E9" w14:textId="34D1B84C" w:rsidR="00902D5F" w:rsidRPr="00902D5F" w:rsidRDefault="00902D5F" w:rsidP="00902D5F">
      <w:pPr>
        <w:spacing w:line="240" w:lineRule="auto"/>
        <w:rPr>
          <w:rFonts w:eastAsia="Times New Roman" w:cs="Arial"/>
          <w:color w:val="000000"/>
          <w:u w:val="single"/>
          <w:lang w:eastAsia="bg-BG"/>
        </w:rPr>
      </w:pPr>
      <w:r w:rsidRPr="00902D5F">
        <w:rPr>
          <w:rStyle w:val="Heading3Char"/>
          <w:u w:val="single"/>
          <w:lang w:eastAsia="bg-BG"/>
        </w:rPr>
        <w:t>Метаболизъм:</w:t>
      </w:r>
      <w:r w:rsidRPr="00902D5F">
        <w:rPr>
          <w:rFonts w:eastAsia="Times New Roman" w:cs="Arial"/>
          <w:color w:val="000000"/>
          <w:lang w:eastAsia="bg-BG"/>
        </w:rPr>
        <w:t>Трите основни вещества 1,8 цинеол, лимонен и а-пинен са предимно хидроксилирани с последващо частично или пълно глюкурониране. Лимоненът се превръща главно в дихидроперилова киселина, перилова киселина и лимонен-1,2-диол.</w:t>
      </w:r>
    </w:p>
    <w:p w14:paraId="711E52FD" w14:textId="77777777" w:rsidR="00902D5F" w:rsidRPr="00902D5F" w:rsidRDefault="00902D5F" w:rsidP="00902D5F">
      <w:pPr>
        <w:spacing w:line="240" w:lineRule="auto"/>
        <w:rPr>
          <w:rFonts w:eastAsia="Times New Roman" w:cs="Arial"/>
          <w:color w:val="000000"/>
          <w:u w:val="single"/>
          <w:lang w:eastAsia="bg-BG"/>
        </w:rPr>
      </w:pPr>
    </w:p>
    <w:p w14:paraId="58BD9EA3" w14:textId="48D6BD05" w:rsidR="00902D5F" w:rsidRPr="00902D5F" w:rsidRDefault="00902D5F" w:rsidP="00902D5F">
      <w:pPr>
        <w:pStyle w:val="Heading3"/>
        <w:rPr>
          <w:rFonts w:eastAsia="Times New Roman"/>
          <w:u w:val="single"/>
          <w:lang w:eastAsia="bg-BG"/>
        </w:rPr>
      </w:pPr>
      <w:r w:rsidRPr="00902D5F">
        <w:rPr>
          <w:rFonts w:eastAsia="Times New Roman"/>
          <w:u w:val="single"/>
          <w:lang w:eastAsia="bg-BG"/>
        </w:rPr>
        <w:t>Екскреция:</w:t>
      </w:r>
    </w:p>
    <w:p w14:paraId="45551830" w14:textId="7D7BC4CD" w:rsidR="007A2185" w:rsidRPr="00902D5F" w:rsidRDefault="00902D5F" w:rsidP="00902D5F">
      <w:pPr>
        <w:rPr>
          <w:rFonts w:cs="Arial"/>
        </w:rPr>
      </w:pPr>
      <w:r w:rsidRPr="00902D5F">
        <w:rPr>
          <w:rFonts w:eastAsia="Times New Roman" w:cs="Arial"/>
          <w:color w:val="000000"/>
          <w:lang w:eastAsia="bg-BG"/>
        </w:rPr>
        <w:t>Трите основни вещества се екскретират главно като метаболити в урината. Фракция се отделя с дишането.</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7C12AD46" w14:textId="77777777" w:rsidR="00902D5F" w:rsidRPr="00902D5F" w:rsidRDefault="00902D5F" w:rsidP="00902D5F">
      <w:pPr>
        <w:spacing w:line="240" w:lineRule="auto"/>
        <w:rPr>
          <w:rFonts w:eastAsia="Times New Roman" w:cs="Arial"/>
          <w:sz w:val="24"/>
          <w:szCs w:val="24"/>
          <w:lang w:eastAsia="bg-BG"/>
        </w:rPr>
      </w:pPr>
      <w:r w:rsidRPr="00902D5F">
        <w:rPr>
          <w:rFonts w:eastAsia="Times New Roman" w:cs="Arial"/>
          <w:color w:val="000000"/>
          <w:lang w:eastAsia="bg-BG"/>
        </w:rPr>
        <w:t>Хроничното приложение на дестилат от смес от пречистени етерични масла от евкалипт, сладък портокал, мирта и лимон при плъхове и кучета за повече от 26 седмици, не е свързано с появата на някаква хистопатологична токсичност, която да е релевантна за хора.</w:t>
      </w:r>
    </w:p>
    <w:p w14:paraId="738E5608" w14:textId="77777777" w:rsidR="00902D5F" w:rsidRPr="00902D5F" w:rsidRDefault="00902D5F" w:rsidP="00902D5F">
      <w:pPr>
        <w:spacing w:line="240" w:lineRule="auto"/>
        <w:rPr>
          <w:rFonts w:eastAsia="Times New Roman" w:cs="Arial"/>
          <w:sz w:val="24"/>
          <w:szCs w:val="24"/>
          <w:lang w:eastAsia="bg-BG"/>
        </w:rPr>
      </w:pPr>
      <w:r w:rsidRPr="00902D5F">
        <w:rPr>
          <w:rFonts w:eastAsia="Times New Roman" w:cs="Arial"/>
          <w:color w:val="000000"/>
          <w:lang w:eastAsia="bg-BG"/>
        </w:rPr>
        <w:t>Ефектите, които възникват във фармакологичните проучвания за безопасност след перорално приложение на много високи дози, отразяват вече известните ефекти на етеричните масла.</w:t>
      </w:r>
    </w:p>
    <w:p w14:paraId="1F1044E8" w14:textId="77777777" w:rsidR="00902D5F" w:rsidRPr="00902D5F" w:rsidRDefault="00902D5F" w:rsidP="00902D5F">
      <w:pPr>
        <w:rPr>
          <w:rFonts w:eastAsia="Times New Roman" w:cs="Arial"/>
          <w:color w:val="000000"/>
          <w:lang w:eastAsia="bg-BG"/>
        </w:rPr>
      </w:pPr>
    </w:p>
    <w:p w14:paraId="7DB75F1D" w14:textId="77777777" w:rsidR="00902D5F" w:rsidRPr="00902D5F" w:rsidRDefault="00902D5F" w:rsidP="00902D5F">
      <w:pPr>
        <w:rPr>
          <w:rFonts w:eastAsia="Times New Roman" w:cs="Arial"/>
          <w:sz w:val="24"/>
          <w:szCs w:val="24"/>
          <w:lang w:eastAsia="bg-BG"/>
        </w:rPr>
      </w:pPr>
      <w:r w:rsidRPr="00902D5F">
        <w:rPr>
          <w:rFonts w:eastAsia="Times New Roman" w:cs="Arial"/>
          <w:color w:val="000000"/>
          <w:lang w:eastAsia="bg-BG"/>
        </w:rPr>
        <w:t>Седацията на ЦНС и намаляването на локомоторната активност, наблюдавани след много високи дози, се дължат вероятно на неспецифични мембранн</w:t>
      </w:r>
      <w:r w:rsidRPr="00902D5F">
        <w:rPr>
          <w:rFonts w:eastAsia="Times New Roman" w:cs="Arial"/>
          <w:color w:val="000000"/>
          <w:lang w:val="en-US"/>
        </w:rPr>
        <w:t>r</w:t>
      </w:r>
      <w:r w:rsidRPr="00902D5F">
        <w:rPr>
          <w:rFonts w:eastAsia="Times New Roman" w:cs="Arial"/>
          <w:color w:val="000000"/>
          <w:lang w:eastAsia="bg-BG"/>
        </w:rPr>
        <w:t xml:space="preserve"> ефекти, които се проявяват като инхибиторни ефекти в структурите на централната нервна система. Повишеният кръвоток в бъбреците, който води до увеличаване на скоростта на гломерулната филтрация, се счита, че е причината за повишения диуретичен ефект. Ефект върху гладката мускулатура е потвърден</w:t>
      </w:r>
      <w:r w:rsidRPr="00902D5F">
        <w:rPr>
          <w:rFonts w:eastAsia="Times New Roman" w:cs="Arial"/>
          <w:color w:val="000000"/>
          <w:lang w:val="en-US" w:eastAsia="bg-BG"/>
        </w:rPr>
        <w:t xml:space="preserve"> </w:t>
      </w:r>
      <w:r w:rsidRPr="00902D5F">
        <w:rPr>
          <w:rFonts w:eastAsia="Times New Roman" w:cs="Arial"/>
          <w:color w:val="000000"/>
          <w:lang w:eastAsia="bg-BG"/>
        </w:rPr>
        <w:t>в проучвания на стомашно-чревния тракт, при които стомашно-чревният мотилитет е намален. Наблюдава се също намаляване в производството на стомашен сок, за което не може да се намери фармакологично обяснение. Функцията на сърдечно-съдовата и дихателната система не е повлияна.</w:t>
      </w:r>
    </w:p>
    <w:p w14:paraId="357176FB" w14:textId="77777777" w:rsidR="00902D5F" w:rsidRPr="00902D5F" w:rsidRDefault="00902D5F" w:rsidP="00902D5F">
      <w:pPr>
        <w:rPr>
          <w:rFonts w:eastAsia="Times New Roman" w:cs="Arial"/>
          <w:color w:val="000000"/>
          <w:lang w:eastAsia="bg-BG"/>
        </w:rPr>
      </w:pPr>
    </w:p>
    <w:p w14:paraId="13A7B62A" w14:textId="7907A5D3" w:rsidR="007A2185" w:rsidRPr="00902D5F" w:rsidRDefault="00902D5F" w:rsidP="00902D5F">
      <w:pPr>
        <w:rPr>
          <w:rFonts w:cs="Arial"/>
          <w:lang w:val="en-US"/>
        </w:rPr>
      </w:pPr>
      <w:r w:rsidRPr="00902D5F">
        <w:rPr>
          <w:rFonts w:eastAsia="Times New Roman" w:cs="Arial"/>
          <w:color w:val="000000"/>
          <w:lang w:eastAsia="bg-BG"/>
        </w:rPr>
        <w:t>При проучвания с животни няма данни за нарушен мъжки или женски фертилитет или за тератогенен потенциал. При проучвания с плъхове е доказано, че 1,8 цинеол преминава през плацентата. При дозировка под токсичната за майката доза, пре- и постнаталното развитие не е повлияно неблагоприятно.</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79A12C16" w14:textId="77777777" w:rsidR="00902D5F" w:rsidRPr="00902D5F" w:rsidRDefault="00902D5F" w:rsidP="00902D5F">
      <w:pPr>
        <w:spacing w:line="240" w:lineRule="auto"/>
        <w:rPr>
          <w:rFonts w:eastAsia="Times New Roman" w:cs="Arial"/>
          <w:sz w:val="24"/>
          <w:szCs w:val="24"/>
          <w:lang w:val="en-US" w:eastAsia="bg-BG"/>
        </w:rPr>
      </w:pPr>
      <w:r w:rsidRPr="00902D5F">
        <w:rPr>
          <w:rFonts w:eastAsia="Times New Roman" w:cs="Arial"/>
          <w:color w:val="000000"/>
          <w:lang w:val="en-US"/>
        </w:rPr>
        <w:t>G. Pohl-</w:t>
      </w:r>
      <w:proofErr w:type="spellStart"/>
      <w:r w:rsidRPr="00902D5F">
        <w:rPr>
          <w:rFonts w:eastAsia="Times New Roman" w:cs="Arial"/>
          <w:color w:val="000000"/>
          <w:lang w:val="en-US"/>
        </w:rPr>
        <w:t>Boskamp</w:t>
      </w:r>
      <w:proofErr w:type="spellEnd"/>
      <w:r w:rsidRPr="00902D5F">
        <w:rPr>
          <w:rFonts w:eastAsia="Times New Roman" w:cs="Arial"/>
          <w:color w:val="000000"/>
          <w:lang w:val="en-US"/>
        </w:rPr>
        <w:t xml:space="preserve"> GmbH </w:t>
      </w:r>
      <w:r w:rsidRPr="00902D5F">
        <w:rPr>
          <w:rFonts w:eastAsia="Times New Roman" w:cs="Arial"/>
          <w:color w:val="000000"/>
          <w:lang w:eastAsia="bg-BG"/>
        </w:rPr>
        <w:t xml:space="preserve">&amp; </w:t>
      </w:r>
      <w:r w:rsidRPr="00902D5F">
        <w:rPr>
          <w:rFonts w:eastAsia="Times New Roman" w:cs="Arial"/>
          <w:color w:val="000000"/>
          <w:lang w:val="en-US"/>
        </w:rPr>
        <w:t>Co.KG</w:t>
      </w:r>
    </w:p>
    <w:p w14:paraId="372545DF" w14:textId="77777777" w:rsidR="00902D5F" w:rsidRPr="00902D5F" w:rsidRDefault="00902D5F" w:rsidP="00902D5F">
      <w:pPr>
        <w:spacing w:line="240" w:lineRule="auto"/>
        <w:rPr>
          <w:rFonts w:eastAsia="Times New Roman" w:cs="Arial"/>
          <w:sz w:val="24"/>
          <w:szCs w:val="24"/>
          <w:lang w:val="en-US" w:eastAsia="bg-BG"/>
        </w:rPr>
      </w:pPr>
      <w:proofErr w:type="spellStart"/>
      <w:r w:rsidRPr="00902D5F">
        <w:rPr>
          <w:rFonts w:eastAsia="Times New Roman" w:cs="Arial"/>
          <w:color w:val="000000"/>
          <w:lang w:val="en-US"/>
        </w:rPr>
        <w:t>Kieler</w:t>
      </w:r>
      <w:proofErr w:type="spellEnd"/>
      <w:r w:rsidRPr="00902D5F">
        <w:rPr>
          <w:rFonts w:eastAsia="Times New Roman" w:cs="Arial"/>
          <w:color w:val="000000"/>
          <w:lang w:val="en-US"/>
        </w:rPr>
        <w:t xml:space="preserve"> </w:t>
      </w:r>
      <w:proofErr w:type="spellStart"/>
      <w:r w:rsidRPr="00902D5F">
        <w:rPr>
          <w:rFonts w:eastAsia="Times New Roman" w:cs="Arial"/>
          <w:color w:val="000000"/>
          <w:lang w:val="en-US"/>
        </w:rPr>
        <w:t>Strasse</w:t>
      </w:r>
      <w:proofErr w:type="spellEnd"/>
      <w:r w:rsidRPr="00902D5F">
        <w:rPr>
          <w:rFonts w:eastAsia="Times New Roman" w:cs="Arial"/>
          <w:color w:val="000000"/>
          <w:lang w:val="en-US"/>
        </w:rPr>
        <w:t xml:space="preserve"> 11</w:t>
      </w:r>
    </w:p>
    <w:p w14:paraId="2BF65BD9" w14:textId="77777777" w:rsidR="00902D5F" w:rsidRPr="00902D5F" w:rsidRDefault="00902D5F" w:rsidP="00902D5F">
      <w:pPr>
        <w:spacing w:line="240" w:lineRule="auto"/>
        <w:rPr>
          <w:rFonts w:eastAsia="Times New Roman" w:cs="Arial"/>
          <w:sz w:val="24"/>
          <w:szCs w:val="24"/>
          <w:lang w:val="en-US" w:eastAsia="bg-BG"/>
        </w:rPr>
      </w:pPr>
      <w:r w:rsidRPr="00902D5F">
        <w:rPr>
          <w:rFonts w:eastAsia="Times New Roman" w:cs="Arial"/>
          <w:color w:val="000000"/>
          <w:lang w:val="en-US"/>
        </w:rPr>
        <w:t xml:space="preserve">25551 </w:t>
      </w:r>
      <w:proofErr w:type="spellStart"/>
      <w:r w:rsidRPr="00902D5F">
        <w:rPr>
          <w:rFonts w:eastAsia="Times New Roman" w:cs="Arial"/>
          <w:color w:val="000000"/>
          <w:lang w:val="en-US"/>
        </w:rPr>
        <w:t>Hohenlockstedt</w:t>
      </w:r>
      <w:proofErr w:type="spellEnd"/>
      <w:r w:rsidRPr="00902D5F">
        <w:rPr>
          <w:rFonts w:eastAsia="Times New Roman" w:cs="Arial"/>
          <w:color w:val="000000"/>
          <w:lang w:val="en-US"/>
        </w:rPr>
        <w:t>,</w:t>
      </w:r>
    </w:p>
    <w:p w14:paraId="4F02909F" w14:textId="252E5386" w:rsidR="007A2185" w:rsidRPr="00902D5F" w:rsidRDefault="00902D5F" w:rsidP="00902D5F">
      <w:pPr>
        <w:rPr>
          <w:rFonts w:cs="Arial"/>
        </w:rPr>
      </w:pPr>
      <w:r w:rsidRPr="00902D5F">
        <w:rPr>
          <w:rFonts w:eastAsia="Times New Roman" w:cs="Arial"/>
          <w:color w:val="000000"/>
          <w:lang w:eastAsia="bg-BG"/>
        </w:rPr>
        <w:t>Германия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14CBDAB6" w:rsidR="007A2185" w:rsidRPr="00902D5F" w:rsidRDefault="00902D5F" w:rsidP="0091385D">
      <w:pPr>
        <w:rPr>
          <w:rFonts w:cs="Arial"/>
        </w:rPr>
      </w:pPr>
      <w:r w:rsidRPr="00902D5F">
        <w:rPr>
          <w:rFonts w:cs="Arial"/>
        </w:rPr>
        <w:t>Регистрационен номер № 20000736</w:t>
      </w:r>
    </w:p>
    <w:p w14:paraId="62EF7F8B" w14:textId="77777777" w:rsidR="0091385D" w:rsidRPr="0091385D" w:rsidRDefault="0091385D" w:rsidP="0091385D">
      <w:bookmarkStart w:id="1" w:name="_GoBack"/>
      <w:bookmarkEnd w:id="1"/>
    </w:p>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70E96868" w14:textId="77777777" w:rsidR="00902D5F" w:rsidRPr="00902D5F" w:rsidRDefault="00902D5F" w:rsidP="00902D5F">
      <w:pPr>
        <w:spacing w:line="240" w:lineRule="auto"/>
        <w:rPr>
          <w:rFonts w:eastAsia="Times New Roman" w:cs="Arial"/>
          <w:sz w:val="24"/>
          <w:szCs w:val="24"/>
          <w:lang w:eastAsia="bg-BG"/>
        </w:rPr>
      </w:pPr>
      <w:r w:rsidRPr="00902D5F">
        <w:rPr>
          <w:rFonts w:eastAsia="Times New Roman" w:cs="Arial"/>
          <w:color w:val="000000"/>
          <w:lang w:eastAsia="bg-BG"/>
        </w:rPr>
        <w:t>Дата на първо разрешаване 12.12.2000</w:t>
      </w:r>
    </w:p>
    <w:p w14:paraId="6C57D8B6" w14:textId="455748C7" w:rsidR="007A2185" w:rsidRPr="00902D5F" w:rsidRDefault="00902D5F" w:rsidP="00902D5F">
      <w:pPr>
        <w:rPr>
          <w:rFonts w:cs="Arial"/>
        </w:rPr>
      </w:pPr>
      <w:r w:rsidRPr="00902D5F">
        <w:rPr>
          <w:rFonts w:eastAsia="Times New Roman" w:cs="Arial"/>
          <w:color w:val="000000"/>
          <w:lang w:eastAsia="bg-BG"/>
        </w:rPr>
        <w:t>Дата на последно подновяване 15.06.20012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2AB5ADE1" w:rsidR="007A2185" w:rsidRPr="00902D5F" w:rsidRDefault="00902D5F" w:rsidP="0091385D">
      <w:pPr>
        <w:rPr>
          <w:rFonts w:cs="Arial"/>
        </w:rPr>
      </w:pPr>
      <w:r w:rsidRPr="00902D5F">
        <w:rPr>
          <w:rFonts w:cs="Arial"/>
        </w:rPr>
        <w:t>Март 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3DA243A9"/>
    <w:multiLevelType w:val="hybridMultilevel"/>
    <w:tmpl w:val="FD66F42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43476"/>
    <w:multiLevelType w:val="hybridMultilevel"/>
    <w:tmpl w:val="B014A0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5376D"/>
    <w:multiLevelType w:val="hybridMultilevel"/>
    <w:tmpl w:val="0756CCE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2"/>
  </w:num>
  <w:num w:numId="4">
    <w:abstractNumId w:val="3"/>
  </w:num>
  <w:num w:numId="5">
    <w:abstractNumId w:val="1"/>
  </w:num>
  <w:num w:numId="6">
    <w:abstractNumId w:val="17"/>
  </w:num>
  <w:num w:numId="7">
    <w:abstractNumId w:val="10"/>
  </w:num>
  <w:num w:numId="8">
    <w:abstractNumId w:val="15"/>
  </w:num>
  <w:num w:numId="9">
    <w:abstractNumId w:val="2"/>
  </w:num>
  <w:num w:numId="10">
    <w:abstractNumId w:val="4"/>
  </w:num>
  <w:num w:numId="11">
    <w:abstractNumId w:val="33"/>
  </w:num>
  <w:num w:numId="12">
    <w:abstractNumId w:val="14"/>
  </w:num>
  <w:num w:numId="13">
    <w:abstractNumId w:val="20"/>
  </w:num>
  <w:num w:numId="14">
    <w:abstractNumId w:val="11"/>
  </w:num>
  <w:num w:numId="15">
    <w:abstractNumId w:val="32"/>
  </w:num>
  <w:num w:numId="16">
    <w:abstractNumId w:val="9"/>
  </w:num>
  <w:num w:numId="17">
    <w:abstractNumId w:val="25"/>
  </w:num>
  <w:num w:numId="18">
    <w:abstractNumId w:val="7"/>
  </w:num>
  <w:num w:numId="19">
    <w:abstractNumId w:val="29"/>
  </w:num>
  <w:num w:numId="20">
    <w:abstractNumId w:val="24"/>
  </w:num>
  <w:num w:numId="21">
    <w:abstractNumId w:val="18"/>
  </w:num>
  <w:num w:numId="22">
    <w:abstractNumId w:val="27"/>
  </w:num>
  <w:num w:numId="23">
    <w:abstractNumId w:val="19"/>
  </w:num>
  <w:num w:numId="24">
    <w:abstractNumId w:val="8"/>
  </w:num>
  <w:num w:numId="25">
    <w:abstractNumId w:val="23"/>
  </w:num>
  <w:num w:numId="26">
    <w:abstractNumId w:val="22"/>
  </w:num>
  <w:num w:numId="27">
    <w:abstractNumId w:val="34"/>
  </w:num>
  <w:num w:numId="28">
    <w:abstractNumId w:val="6"/>
  </w:num>
  <w:num w:numId="29">
    <w:abstractNumId w:val="21"/>
  </w:num>
  <w:num w:numId="30">
    <w:abstractNumId w:val="37"/>
  </w:num>
  <w:num w:numId="31">
    <w:abstractNumId w:val="5"/>
  </w:num>
  <w:num w:numId="32">
    <w:abstractNumId w:val="36"/>
  </w:num>
  <w:num w:numId="33">
    <w:abstractNumId w:val="31"/>
  </w:num>
  <w:num w:numId="34">
    <w:abstractNumId w:val="35"/>
  </w:num>
  <w:num w:numId="35">
    <w:abstractNumId w:val="13"/>
  </w:num>
  <w:num w:numId="36">
    <w:abstractNumId w:val="16"/>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02D5F"/>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2023-03-03T13:28:00Z</dcterms:created>
  <dcterms:modified xsi:type="dcterms:W3CDTF">2023-03-03T13:28:00Z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