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72F65A22" w14:textId="5BD5CD61" w:rsidR="005133C1" w:rsidRPr="005133C1" w:rsidRDefault="005133C1" w:rsidP="005133C1">
      <w:pPr>
        <w:spacing w:line="240" w:lineRule="auto"/>
        <w:rPr>
          <w:rFonts w:eastAsia="Times New Roman" w:cs="Arial"/>
          <w:lang w:val="en-US" w:eastAsia="bg-BG"/>
        </w:rPr>
      </w:pPr>
      <w:r w:rsidRPr="005133C1">
        <w:rPr>
          <w:rFonts w:eastAsia="Times New Roman" w:cs="Arial"/>
          <w:color w:val="000000"/>
          <w:lang w:eastAsia="bg-BG"/>
        </w:rPr>
        <w:t xml:space="preserve">Гемцитабин Актавис 40 </w:t>
      </w:r>
      <w:r w:rsidRPr="005133C1">
        <w:rPr>
          <w:rFonts w:eastAsia="Times New Roman" w:cs="Arial"/>
          <w:color w:val="000000"/>
          <w:lang w:val="en-US"/>
        </w:rPr>
        <w:t xml:space="preserve">mg/ml </w:t>
      </w:r>
      <w:r w:rsidRPr="005133C1">
        <w:rPr>
          <w:rFonts w:eastAsia="Times New Roman" w:cs="Arial"/>
          <w:color w:val="000000"/>
          <w:lang w:eastAsia="bg-BG"/>
        </w:rPr>
        <w:t>концентрат за инфузионен разтвор</w:t>
      </w:r>
    </w:p>
    <w:p w14:paraId="5015A1FD" w14:textId="6FECBA5E" w:rsidR="00A73575" w:rsidRPr="005133C1" w:rsidRDefault="005133C1" w:rsidP="005133C1">
      <w:pPr>
        <w:rPr>
          <w:rFonts w:cs="Arial"/>
        </w:rPr>
      </w:pPr>
      <w:r w:rsidRPr="005133C1">
        <w:rPr>
          <w:rFonts w:eastAsia="Times New Roman" w:cs="Arial"/>
          <w:color w:val="000000"/>
          <w:lang w:val="en-US"/>
        </w:rPr>
        <w:t xml:space="preserve">Gemcitabine Actavis </w:t>
      </w:r>
      <w:r w:rsidRPr="005133C1">
        <w:rPr>
          <w:rFonts w:eastAsia="Times New Roman" w:cs="Arial"/>
          <w:color w:val="000000"/>
          <w:lang w:eastAsia="bg-BG"/>
        </w:rPr>
        <w:t xml:space="preserve">40 </w:t>
      </w:r>
      <w:r w:rsidRPr="005133C1">
        <w:rPr>
          <w:rFonts w:eastAsia="Times New Roman" w:cs="Arial"/>
          <w:color w:val="000000"/>
          <w:lang w:val="en-US"/>
        </w:rPr>
        <w:t>mg/ml concentrate for solution for in fusion</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39616A80" w14:textId="77777777"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 xml:space="preserve">Всеки </w:t>
      </w:r>
      <w:r w:rsidRPr="005133C1">
        <w:rPr>
          <w:rFonts w:eastAsia="Times New Roman" w:cs="Arial"/>
          <w:color w:val="000000"/>
          <w:lang w:val="en-US"/>
        </w:rPr>
        <w:t xml:space="preserve">ml </w:t>
      </w:r>
      <w:r w:rsidRPr="005133C1">
        <w:rPr>
          <w:rFonts w:eastAsia="Times New Roman" w:cs="Arial"/>
          <w:color w:val="000000"/>
          <w:lang w:eastAsia="bg-BG"/>
        </w:rPr>
        <w:t xml:space="preserve">концентрат за инфузионен разтвор съдържа 40 </w:t>
      </w:r>
      <w:r w:rsidRPr="005133C1">
        <w:rPr>
          <w:rFonts w:eastAsia="Times New Roman" w:cs="Arial"/>
          <w:color w:val="000000"/>
          <w:lang w:val="en-US"/>
        </w:rPr>
        <w:t xml:space="preserve">mg </w:t>
      </w:r>
      <w:r w:rsidRPr="005133C1">
        <w:rPr>
          <w:rFonts w:eastAsia="Times New Roman" w:cs="Arial"/>
          <w:color w:val="000000"/>
          <w:lang w:eastAsia="bg-BG"/>
        </w:rPr>
        <w:t xml:space="preserve">гемцитабин </w:t>
      </w:r>
      <w:r w:rsidRPr="005133C1">
        <w:rPr>
          <w:rFonts w:eastAsia="Times New Roman" w:cs="Arial"/>
          <w:i/>
          <w:iCs/>
          <w:color w:val="000000"/>
          <w:lang w:val="en-US"/>
        </w:rPr>
        <w:t>(gemcitabine)</w:t>
      </w:r>
      <w:r w:rsidRPr="005133C1">
        <w:rPr>
          <w:rFonts w:eastAsia="Times New Roman" w:cs="Arial"/>
          <w:color w:val="000000"/>
          <w:lang w:val="en-US"/>
        </w:rPr>
        <w:t xml:space="preserve"> </w:t>
      </w:r>
      <w:r w:rsidRPr="005133C1">
        <w:rPr>
          <w:rFonts w:eastAsia="Times New Roman" w:cs="Arial"/>
          <w:color w:val="000000"/>
          <w:lang w:eastAsia="bg-BG"/>
        </w:rPr>
        <w:t>(като гемцитабинов хидрохлорид).</w:t>
      </w:r>
    </w:p>
    <w:p w14:paraId="19AB4CB7" w14:textId="77777777" w:rsidR="005133C1" w:rsidRPr="005133C1" w:rsidRDefault="005133C1" w:rsidP="005133C1">
      <w:pPr>
        <w:spacing w:line="240" w:lineRule="auto"/>
        <w:rPr>
          <w:rFonts w:eastAsia="Times New Roman" w:cs="Arial"/>
          <w:color w:val="000000"/>
          <w:lang w:eastAsia="bg-BG"/>
        </w:rPr>
      </w:pPr>
    </w:p>
    <w:p w14:paraId="693F865E" w14:textId="399EBC51"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 xml:space="preserve">Всеки флакон от 5 </w:t>
      </w:r>
      <w:r w:rsidRPr="005133C1">
        <w:rPr>
          <w:rFonts w:eastAsia="Times New Roman" w:cs="Arial"/>
          <w:color w:val="000000"/>
          <w:lang w:val="en-US"/>
        </w:rPr>
        <w:t xml:space="preserve">ml </w:t>
      </w:r>
      <w:r w:rsidRPr="005133C1">
        <w:rPr>
          <w:rFonts w:eastAsia="Times New Roman" w:cs="Arial"/>
          <w:color w:val="000000"/>
          <w:lang w:eastAsia="bg-BG"/>
        </w:rPr>
        <w:t xml:space="preserve">съдържа 200 </w:t>
      </w:r>
      <w:r w:rsidRPr="005133C1">
        <w:rPr>
          <w:rFonts w:eastAsia="Times New Roman" w:cs="Arial"/>
          <w:color w:val="000000"/>
          <w:lang w:val="en-US"/>
        </w:rPr>
        <w:t xml:space="preserve">mg </w:t>
      </w:r>
      <w:r w:rsidRPr="005133C1">
        <w:rPr>
          <w:rFonts w:eastAsia="Times New Roman" w:cs="Arial"/>
          <w:color w:val="000000"/>
          <w:lang w:eastAsia="bg-BG"/>
        </w:rPr>
        <w:t xml:space="preserve">гемцитабин </w:t>
      </w:r>
      <w:r w:rsidRPr="005133C1">
        <w:rPr>
          <w:rFonts w:eastAsia="Times New Roman" w:cs="Arial"/>
          <w:i/>
          <w:iCs/>
          <w:color w:val="000000"/>
          <w:lang w:val="en-US"/>
        </w:rPr>
        <w:t>(gemcitabine)</w:t>
      </w:r>
      <w:r w:rsidRPr="005133C1">
        <w:rPr>
          <w:rFonts w:eastAsia="Times New Roman" w:cs="Arial"/>
          <w:color w:val="000000"/>
          <w:lang w:val="en-US"/>
        </w:rPr>
        <w:t xml:space="preserve"> </w:t>
      </w:r>
      <w:r w:rsidRPr="005133C1">
        <w:rPr>
          <w:rFonts w:eastAsia="Times New Roman" w:cs="Arial"/>
          <w:color w:val="000000"/>
          <w:lang w:eastAsia="bg-BG"/>
        </w:rPr>
        <w:t>(като гемцитабинов хидрохлорид).</w:t>
      </w:r>
    </w:p>
    <w:p w14:paraId="4512A422" w14:textId="77777777"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 xml:space="preserve">Всеки флакон от </w:t>
      </w:r>
      <w:r w:rsidRPr="005133C1">
        <w:rPr>
          <w:rFonts w:eastAsia="Times New Roman" w:cs="Arial"/>
          <w:i/>
          <w:iCs/>
          <w:color w:val="000000"/>
          <w:lang w:eastAsia="bg-BG"/>
        </w:rPr>
        <w:t>25</w:t>
      </w:r>
      <w:r w:rsidRPr="005133C1">
        <w:rPr>
          <w:rFonts w:eastAsia="Times New Roman" w:cs="Arial"/>
          <w:color w:val="000000"/>
          <w:lang w:eastAsia="bg-BG"/>
        </w:rPr>
        <w:t xml:space="preserve"> </w:t>
      </w:r>
      <w:r w:rsidRPr="005133C1">
        <w:rPr>
          <w:rFonts w:eastAsia="Times New Roman" w:cs="Arial"/>
          <w:color w:val="000000"/>
          <w:lang w:val="en-US"/>
        </w:rPr>
        <w:t xml:space="preserve">ml </w:t>
      </w:r>
      <w:r w:rsidRPr="005133C1">
        <w:rPr>
          <w:rFonts w:eastAsia="Times New Roman" w:cs="Arial"/>
          <w:color w:val="000000"/>
          <w:lang w:eastAsia="bg-BG"/>
        </w:rPr>
        <w:t xml:space="preserve">съдържа 1 </w:t>
      </w:r>
      <w:r w:rsidRPr="005133C1">
        <w:rPr>
          <w:rFonts w:eastAsia="Times New Roman" w:cs="Arial"/>
          <w:color w:val="000000"/>
          <w:lang w:val="en-US"/>
        </w:rPr>
        <w:t xml:space="preserve">g </w:t>
      </w:r>
      <w:r w:rsidRPr="005133C1">
        <w:rPr>
          <w:rFonts w:eastAsia="Times New Roman" w:cs="Arial"/>
          <w:color w:val="000000"/>
          <w:lang w:eastAsia="bg-BG"/>
        </w:rPr>
        <w:t xml:space="preserve">гемцитабин </w:t>
      </w:r>
      <w:r w:rsidRPr="005133C1">
        <w:rPr>
          <w:rFonts w:eastAsia="Times New Roman" w:cs="Arial"/>
          <w:i/>
          <w:iCs/>
          <w:color w:val="000000"/>
          <w:lang w:val="en-US"/>
        </w:rPr>
        <w:t>(gemcitabine)</w:t>
      </w:r>
      <w:r w:rsidRPr="005133C1">
        <w:rPr>
          <w:rFonts w:eastAsia="Times New Roman" w:cs="Arial"/>
          <w:color w:val="000000"/>
          <w:lang w:val="en-US"/>
        </w:rPr>
        <w:t xml:space="preserve"> </w:t>
      </w:r>
      <w:r w:rsidRPr="005133C1">
        <w:rPr>
          <w:rFonts w:eastAsia="Times New Roman" w:cs="Arial"/>
          <w:color w:val="000000"/>
          <w:lang w:eastAsia="bg-BG"/>
        </w:rPr>
        <w:t>(като гемцитабинов хидрохлорид).</w:t>
      </w:r>
    </w:p>
    <w:p w14:paraId="772F79F9" w14:textId="77777777"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 xml:space="preserve">Всеки флакон от 50 </w:t>
      </w:r>
      <w:r w:rsidRPr="005133C1">
        <w:rPr>
          <w:rFonts w:eastAsia="Times New Roman" w:cs="Arial"/>
          <w:color w:val="000000"/>
          <w:lang w:val="en-US"/>
        </w:rPr>
        <w:t xml:space="preserve">ml </w:t>
      </w:r>
      <w:r w:rsidRPr="005133C1">
        <w:rPr>
          <w:rFonts w:eastAsia="Times New Roman" w:cs="Arial"/>
          <w:color w:val="000000"/>
          <w:lang w:eastAsia="bg-BG"/>
        </w:rPr>
        <w:t xml:space="preserve">съдържа 2 </w:t>
      </w:r>
      <w:r w:rsidRPr="005133C1">
        <w:rPr>
          <w:rFonts w:eastAsia="Times New Roman" w:cs="Arial"/>
          <w:color w:val="000000"/>
          <w:lang w:val="en-US"/>
        </w:rPr>
        <w:t xml:space="preserve">g </w:t>
      </w:r>
      <w:r w:rsidRPr="005133C1">
        <w:rPr>
          <w:rFonts w:eastAsia="Times New Roman" w:cs="Arial"/>
          <w:color w:val="000000"/>
          <w:lang w:eastAsia="bg-BG"/>
        </w:rPr>
        <w:t xml:space="preserve">гемцитабин </w:t>
      </w:r>
      <w:r w:rsidRPr="005133C1">
        <w:rPr>
          <w:rFonts w:eastAsia="Times New Roman" w:cs="Arial"/>
          <w:i/>
          <w:iCs/>
          <w:color w:val="000000"/>
          <w:lang w:val="en-US"/>
        </w:rPr>
        <w:t>(gemcitabine)</w:t>
      </w:r>
      <w:r w:rsidRPr="005133C1">
        <w:rPr>
          <w:rFonts w:eastAsia="Times New Roman" w:cs="Arial"/>
          <w:color w:val="000000"/>
          <w:lang w:val="en-US"/>
        </w:rPr>
        <w:t xml:space="preserve"> </w:t>
      </w:r>
      <w:r w:rsidRPr="005133C1">
        <w:rPr>
          <w:rFonts w:eastAsia="Times New Roman" w:cs="Arial"/>
          <w:color w:val="000000"/>
          <w:lang w:eastAsia="bg-BG"/>
        </w:rPr>
        <w:t>(като гемцитабинов хидрохлорид).</w:t>
      </w:r>
    </w:p>
    <w:p w14:paraId="17BFF174" w14:textId="77777777" w:rsidR="005133C1" w:rsidRPr="005133C1" w:rsidRDefault="005133C1" w:rsidP="005133C1">
      <w:pPr>
        <w:rPr>
          <w:rFonts w:eastAsia="Times New Roman" w:cs="Arial"/>
          <w:color w:val="000000"/>
          <w:lang w:eastAsia="bg-BG"/>
        </w:rPr>
      </w:pPr>
    </w:p>
    <w:p w14:paraId="03110A50" w14:textId="5CF0AA3E" w:rsidR="0091385D" w:rsidRPr="005133C1" w:rsidRDefault="005133C1" w:rsidP="005133C1">
      <w:pPr>
        <w:rPr>
          <w:rFonts w:cs="Arial"/>
        </w:rPr>
      </w:pPr>
      <w:r w:rsidRPr="005133C1">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71985067" w14:textId="77777777"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Концентрат за инфузионен разтвор</w:t>
      </w:r>
    </w:p>
    <w:p w14:paraId="20D151EA" w14:textId="77777777" w:rsidR="005133C1" w:rsidRPr="005133C1" w:rsidRDefault="005133C1" w:rsidP="005133C1">
      <w:pPr>
        <w:spacing w:line="240" w:lineRule="auto"/>
        <w:rPr>
          <w:rFonts w:eastAsia="Times New Roman" w:cs="Arial"/>
          <w:color w:val="000000"/>
          <w:lang w:val="en-US"/>
        </w:rPr>
      </w:pPr>
    </w:p>
    <w:p w14:paraId="7B5166AA" w14:textId="351925F1" w:rsidR="005133C1" w:rsidRPr="005133C1" w:rsidRDefault="005133C1" w:rsidP="005133C1">
      <w:pPr>
        <w:spacing w:line="240" w:lineRule="auto"/>
        <w:rPr>
          <w:rFonts w:eastAsia="Times New Roman" w:cs="Arial"/>
          <w:sz w:val="24"/>
          <w:szCs w:val="24"/>
          <w:lang w:eastAsia="bg-BG"/>
        </w:rPr>
      </w:pPr>
      <w:proofErr w:type="gramStart"/>
      <w:r w:rsidRPr="005133C1">
        <w:rPr>
          <w:rFonts w:eastAsia="Times New Roman" w:cs="Arial"/>
          <w:color w:val="000000"/>
          <w:lang w:val="en-US"/>
        </w:rPr>
        <w:t>pH</w:t>
      </w:r>
      <w:proofErr w:type="gramEnd"/>
      <w:r w:rsidRPr="005133C1">
        <w:rPr>
          <w:rFonts w:eastAsia="Times New Roman" w:cs="Arial"/>
          <w:color w:val="000000"/>
          <w:lang w:val="en-US"/>
        </w:rPr>
        <w:t xml:space="preserve"> </w:t>
      </w:r>
      <w:r w:rsidRPr="005133C1">
        <w:rPr>
          <w:rFonts w:eastAsia="Times New Roman" w:cs="Arial"/>
          <w:color w:val="000000"/>
          <w:lang w:eastAsia="bg-BG"/>
        </w:rPr>
        <w:t xml:space="preserve">на концентрата е 2,4 ± 0,4, а осмолалитетът е 270-280 </w:t>
      </w:r>
      <w:proofErr w:type="spellStart"/>
      <w:r w:rsidRPr="005133C1">
        <w:rPr>
          <w:rFonts w:eastAsia="Times New Roman" w:cs="Arial"/>
          <w:color w:val="000000"/>
          <w:lang w:val="en-US"/>
        </w:rPr>
        <w:t>mOsm</w:t>
      </w:r>
      <w:proofErr w:type="spellEnd"/>
      <w:r w:rsidRPr="005133C1">
        <w:rPr>
          <w:rFonts w:eastAsia="Times New Roman" w:cs="Arial"/>
          <w:color w:val="000000"/>
          <w:lang w:val="en-US"/>
        </w:rPr>
        <w:t>/kg.</w:t>
      </w:r>
    </w:p>
    <w:p w14:paraId="4129ADBB" w14:textId="7CDC93A5" w:rsidR="0091385D" w:rsidRPr="005133C1" w:rsidRDefault="005133C1" w:rsidP="005133C1">
      <w:pPr>
        <w:rPr>
          <w:rFonts w:cs="Arial"/>
        </w:rPr>
      </w:pPr>
      <w:r w:rsidRPr="005133C1">
        <w:rPr>
          <w:rFonts w:eastAsia="Times New Roman" w:cs="Arial"/>
          <w:color w:val="000000"/>
          <w:lang w:eastAsia="bg-BG"/>
        </w:rPr>
        <w:t>Бистър, безцветен или бледожълт разтвор</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0E9E89AD" w14:textId="77777777"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Гемцитабин е показан за лечение на локално напреднал или метастатичен карцином на пикочния мехур в комбинация с цисплатин.</w:t>
      </w:r>
    </w:p>
    <w:p w14:paraId="7A61B328" w14:textId="77777777" w:rsidR="005133C1" w:rsidRPr="005133C1" w:rsidRDefault="005133C1" w:rsidP="005133C1">
      <w:pPr>
        <w:spacing w:line="240" w:lineRule="auto"/>
        <w:rPr>
          <w:rFonts w:eastAsia="Times New Roman" w:cs="Arial"/>
          <w:color w:val="000000"/>
          <w:lang w:eastAsia="bg-BG"/>
        </w:rPr>
      </w:pPr>
    </w:p>
    <w:p w14:paraId="73146997" w14:textId="0FE5B51C"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Гемцитабин е показан за лечение на пациенти с локално напреднал или метастатичен аденокарцином иа панкреаса.</w:t>
      </w:r>
    </w:p>
    <w:p w14:paraId="34CF4DBA" w14:textId="77777777" w:rsidR="005133C1" w:rsidRPr="005133C1" w:rsidRDefault="005133C1" w:rsidP="005133C1">
      <w:pPr>
        <w:spacing w:line="240" w:lineRule="auto"/>
        <w:rPr>
          <w:rFonts w:eastAsia="Times New Roman" w:cs="Arial"/>
          <w:color w:val="000000"/>
          <w:lang w:eastAsia="bg-BG"/>
        </w:rPr>
      </w:pPr>
    </w:p>
    <w:p w14:paraId="7123CB73" w14:textId="6368569A"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Гемцитабин в комбинация с цисплатин е показан като терапия от първа линия на пациенти с локално напреднал или метастатичен недребноклетьчен белодробен карцином (НДКБДК), Монотерапия с гемцитабин може да се има предвид при пациенти в старческа възраст или при тези с функционален статус 2.</w:t>
      </w:r>
    </w:p>
    <w:p w14:paraId="08520707" w14:textId="77777777" w:rsidR="005133C1" w:rsidRPr="005133C1" w:rsidRDefault="005133C1" w:rsidP="005133C1">
      <w:pPr>
        <w:spacing w:line="240" w:lineRule="auto"/>
        <w:rPr>
          <w:rFonts w:eastAsia="Times New Roman" w:cs="Arial"/>
          <w:color w:val="000000"/>
          <w:lang w:eastAsia="bg-BG"/>
        </w:rPr>
      </w:pPr>
    </w:p>
    <w:p w14:paraId="0540F5E3" w14:textId="11230A62"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В комбинация с карбоплатин гемцитабин е показан за лечение на пациенти с локално напреднал или метастатичен епителен рак на яйчниците при пациенти с рецидив на заболяването след ремисия от поне 6 месеца след първа линия терапия на основата на платина.</w:t>
      </w:r>
    </w:p>
    <w:p w14:paraId="4D0D0EBC" w14:textId="77777777" w:rsidR="005133C1" w:rsidRPr="005133C1" w:rsidRDefault="005133C1" w:rsidP="005133C1">
      <w:pPr>
        <w:spacing w:line="240" w:lineRule="auto"/>
        <w:rPr>
          <w:rFonts w:eastAsia="Times New Roman" w:cs="Arial"/>
          <w:color w:val="000000"/>
          <w:lang w:eastAsia="bg-BG"/>
        </w:rPr>
      </w:pPr>
    </w:p>
    <w:p w14:paraId="2825C9BA" w14:textId="4DE45E93"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В комбинация с паклитаксел гемцитабин е показан за лечение на пациенти с неоперабилен и</w:t>
      </w:r>
    </w:p>
    <w:p w14:paraId="04B2E99C" w14:textId="21A57AE4" w:rsidR="0091385D" w:rsidRPr="005133C1" w:rsidRDefault="005133C1" w:rsidP="005133C1">
      <w:pPr>
        <w:rPr>
          <w:rFonts w:cs="Arial"/>
        </w:rPr>
      </w:pPr>
      <w:r w:rsidRPr="005133C1">
        <w:rPr>
          <w:rFonts w:eastAsia="Times New Roman" w:cs="Arial"/>
          <w:color w:val="000000"/>
          <w:lang w:eastAsia="bg-BG"/>
        </w:rPr>
        <w:t xml:space="preserve">локално рецидивиращ или метастатичен рак на гърдата, получили рецидив след </w:t>
      </w:r>
      <w:r w:rsidRPr="005133C1">
        <w:rPr>
          <w:rFonts w:cs="Arial"/>
        </w:rPr>
        <w:t>адювантна/неоадювантна химиотерапия. Предшестваща химиотерапия трябва да включва антрациклин, освен ако не е клинично противопоказано.</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39E622C1" w14:textId="77777777"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Лечението с гемцитабин трябва да се назначава само от лекар с опит в прилагането на антитуморна химиотерапия.</w:t>
      </w:r>
    </w:p>
    <w:p w14:paraId="565E24EC" w14:textId="77777777" w:rsidR="005133C1" w:rsidRPr="005133C1" w:rsidRDefault="005133C1" w:rsidP="005133C1">
      <w:pPr>
        <w:spacing w:line="240" w:lineRule="auto"/>
        <w:rPr>
          <w:rFonts w:eastAsia="Times New Roman" w:cs="Arial"/>
          <w:color w:val="000000"/>
          <w:u w:val="single"/>
          <w:lang w:eastAsia="bg-BG"/>
        </w:rPr>
      </w:pPr>
    </w:p>
    <w:p w14:paraId="4CD00B7F" w14:textId="50F8082A" w:rsidR="005133C1" w:rsidRPr="00B026D2" w:rsidRDefault="005133C1" w:rsidP="00B026D2">
      <w:pPr>
        <w:pStyle w:val="Heading3"/>
        <w:rPr>
          <w:rFonts w:eastAsia="Times New Roman"/>
          <w:u w:val="single"/>
          <w:lang w:eastAsia="bg-BG"/>
        </w:rPr>
      </w:pPr>
      <w:r w:rsidRPr="00B026D2">
        <w:rPr>
          <w:rFonts w:eastAsia="Times New Roman"/>
          <w:u w:val="single"/>
          <w:lang w:eastAsia="bg-BG"/>
        </w:rPr>
        <w:t>Дозировка</w:t>
      </w:r>
    </w:p>
    <w:p w14:paraId="5376D3BC" w14:textId="77777777" w:rsidR="005133C1" w:rsidRPr="005133C1" w:rsidRDefault="005133C1" w:rsidP="005133C1">
      <w:pPr>
        <w:spacing w:line="240" w:lineRule="auto"/>
        <w:rPr>
          <w:rFonts w:eastAsia="Times New Roman" w:cs="Arial"/>
          <w:i/>
          <w:iCs/>
          <w:color w:val="000000"/>
          <w:u w:val="single"/>
          <w:lang w:eastAsia="bg-BG"/>
        </w:rPr>
      </w:pPr>
    </w:p>
    <w:p w14:paraId="6455E89E" w14:textId="74BB60A0" w:rsidR="005133C1" w:rsidRPr="005133C1" w:rsidRDefault="005133C1" w:rsidP="005133C1">
      <w:pPr>
        <w:spacing w:line="240" w:lineRule="auto"/>
        <w:rPr>
          <w:rFonts w:eastAsia="Times New Roman" w:cs="Arial"/>
          <w:sz w:val="24"/>
          <w:szCs w:val="24"/>
          <w:lang w:eastAsia="bg-BG"/>
        </w:rPr>
      </w:pPr>
      <w:r w:rsidRPr="005133C1">
        <w:rPr>
          <w:rFonts w:eastAsia="Times New Roman" w:cs="Arial"/>
          <w:i/>
          <w:iCs/>
          <w:color w:val="000000"/>
          <w:u w:val="single"/>
          <w:lang w:eastAsia="bg-BG"/>
        </w:rPr>
        <w:t>Карцином на пикочния мехур</w:t>
      </w:r>
    </w:p>
    <w:p w14:paraId="4EC9DB4D" w14:textId="77777777" w:rsidR="005133C1" w:rsidRPr="005133C1" w:rsidRDefault="005133C1" w:rsidP="005133C1">
      <w:pPr>
        <w:spacing w:line="240" w:lineRule="auto"/>
        <w:rPr>
          <w:rFonts w:eastAsia="Times New Roman" w:cs="Arial"/>
          <w:sz w:val="24"/>
          <w:szCs w:val="24"/>
          <w:lang w:eastAsia="bg-BG"/>
        </w:rPr>
      </w:pPr>
      <w:r w:rsidRPr="005133C1">
        <w:rPr>
          <w:rFonts w:eastAsia="Times New Roman" w:cs="Arial"/>
          <w:i/>
          <w:iCs/>
          <w:color w:val="000000"/>
          <w:lang w:eastAsia="bg-BG"/>
        </w:rPr>
        <w:t>Комбинирана употреба</w:t>
      </w:r>
    </w:p>
    <w:p w14:paraId="30EEF403" w14:textId="77777777"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 xml:space="preserve">Препоръчителната доза гемцитабин е 1 000 </w:t>
      </w:r>
      <w:r w:rsidRPr="005133C1">
        <w:rPr>
          <w:rFonts w:eastAsia="Times New Roman" w:cs="Arial"/>
          <w:color w:val="000000"/>
          <w:lang w:val="en-US"/>
        </w:rPr>
        <w:t>mg/m</w:t>
      </w:r>
      <w:r w:rsidRPr="005133C1">
        <w:rPr>
          <w:rFonts w:eastAsia="Times New Roman" w:cs="Arial"/>
          <w:color w:val="000000"/>
          <w:vertAlign w:val="superscript"/>
          <w:lang w:val="en-US"/>
        </w:rPr>
        <w:t>2</w:t>
      </w:r>
      <w:r w:rsidRPr="005133C1">
        <w:rPr>
          <w:rFonts w:eastAsia="Times New Roman" w:cs="Arial"/>
          <w:color w:val="000000"/>
          <w:lang w:val="en-US"/>
        </w:rPr>
        <w:t xml:space="preserve">, </w:t>
      </w:r>
      <w:r w:rsidRPr="005133C1">
        <w:rPr>
          <w:rFonts w:eastAsia="Times New Roman" w:cs="Arial"/>
          <w:color w:val="000000"/>
          <w:lang w:eastAsia="bg-BG"/>
        </w:rPr>
        <w:t xml:space="preserve">приложена като 30-минутна инфузия. Дозата трябва да се прилага на 1-вия, 8-мия и 15-ия ден от всеки 28-дневен цикъл, в комбинация с цисплатин. Цисплатин се прилага в препоръчителната доза от 70 </w:t>
      </w:r>
      <w:r w:rsidRPr="005133C1">
        <w:rPr>
          <w:rFonts w:eastAsia="Times New Roman" w:cs="Arial"/>
          <w:color w:val="000000"/>
          <w:lang w:val="en-US"/>
        </w:rPr>
        <w:t>mg/m</w:t>
      </w:r>
      <w:r w:rsidRPr="005133C1">
        <w:rPr>
          <w:rFonts w:eastAsia="Times New Roman" w:cs="Arial"/>
          <w:color w:val="000000"/>
          <w:vertAlign w:val="superscript"/>
          <w:lang w:val="en-US"/>
        </w:rPr>
        <w:t>2</w:t>
      </w:r>
      <w:r w:rsidRPr="005133C1">
        <w:rPr>
          <w:rFonts w:eastAsia="Times New Roman" w:cs="Arial"/>
          <w:color w:val="000000"/>
          <w:lang w:val="en-US"/>
        </w:rPr>
        <w:t xml:space="preserve"> </w:t>
      </w:r>
      <w:r w:rsidRPr="005133C1">
        <w:rPr>
          <w:rFonts w:eastAsia="Times New Roman" w:cs="Arial"/>
          <w:color w:val="000000"/>
          <w:lang w:eastAsia="bg-BG"/>
        </w:rPr>
        <w:t>на 1-вия ден след гемцитабин или на 2-ия ден на всеки 28-дневен цикъл. Този 4-седмичен цикъл след това се повтаря. Понижаване на дозата с всеки цикъл или в рамките на един цикъл може да се извърши въз основа на степента на токсичност, наблюдавана при пациента.</w:t>
      </w:r>
    </w:p>
    <w:p w14:paraId="67F8DB0A" w14:textId="77777777" w:rsidR="005133C1" w:rsidRPr="005133C1" w:rsidRDefault="005133C1" w:rsidP="005133C1">
      <w:pPr>
        <w:spacing w:line="240" w:lineRule="auto"/>
        <w:rPr>
          <w:rFonts w:eastAsia="Times New Roman" w:cs="Arial"/>
          <w:i/>
          <w:iCs/>
          <w:color w:val="000000"/>
          <w:u w:val="single"/>
          <w:lang w:eastAsia="bg-BG"/>
        </w:rPr>
      </w:pPr>
    </w:p>
    <w:p w14:paraId="5A13E52A" w14:textId="04E1DD71" w:rsidR="005133C1" w:rsidRPr="005133C1" w:rsidRDefault="005133C1" w:rsidP="005133C1">
      <w:pPr>
        <w:spacing w:line="240" w:lineRule="auto"/>
        <w:rPr>
          <w:rFonts w:eastAsia="Times New Roman" w:cs="Arial"/>
          <w:sz w:val="24"/>
          <w:szCs w:val="24"/>
          <w:lang w:eastAsia="bg-BG"/>
        </w:rPr>
      </w:pPr>
      <w:r w:rsidRPr="005133C1">
        <w:rPr>
          <w:rFonts w:eastAsia="Times New Roman" w:cs="Arial"/>
          <w:i/>
          <w:iCs/>
          <w:color w:val="000000"/>
          <w:u w:val="single"/>
          <w:lang w:eastAsia="bg-BG"/>
        </w:rPr>
        <w:t>Карцином на панкреаса</w:t>
      </w:r>
    </w:p>
    <w:p w14:paraId="484B6070" w14:textId="77777777"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 xml:space="preserve">Препоръчителната доза гемцитабин е 1 000 </w:t>
      </w:r>
      <w:r w:rsidRPr="005133C1">
        <w:rPr>
          <w:rFonts w:eastAsia="Times New Roman" w:cs="Arial"/>
          <w:color w:val="000000"/>
          <w:lang w:val="en-US"/>
        </w:rPr>
        <w:t>mg/m</w:t>
      </w:r>
      <w:r w:rsidRPr="005133C1">
        <w:rPr>
          <w:rFonts w:eastAsia="Times New Roman" w:cs="Arial"/>
          <w:color w:val="000000"/>
          <w:vertAlign w:val="superscript"/>
          <w:lang w:val="en-US"/>
        </w:rPr>
        <w:t>2</w:t>
      </w:r>
      <w:r w:rsidRPr="005133C1">
        <w:rPr>
          <w:rFonts w:eastAsia="Times New Roman" w:cs="Arial"/>
          <w:color w:val="000000"/>
          <w:lang w:val="en-US"/>
        </w:rPr>
        <w:t xml:space="preserve">, </w:t>
      </w:r>
      <w:r w:rsidRPr="005133C1">
        <w:rPr>
          <w:rFonts w:eastAsia="Times New Roman" w:cs="Arial"/>
          <w:color w:val="000000"/>
          <w:lang w:eastAsia="bg-BG"/>
        </w:rPr>
        <w:t>приложена като 30-минутна интравенозна инфузия. Тази доза трябва да се повтаря веднъж седмично за период до 7 седмици, последвано от една седмица почивка. Следващите цикли трябва да се състоят от инжектиране един път седмично за 3 последователни седмици, с изключение на всяка 4-та седмица. Понижаване на дозата с всеки цикъл или в рамките на един цикъл може да се извърши въз основа на степента на токсичност, наблюдавана при пациента.</w:t>
      </w:r>
    </w:p>
    <w:p w14:paraId="6BED2CF0" w14:textId="77777777" w:rsidR="005133C1" w:rsidRPr="005133C1" w:rsidRDefault="005133C1" w:rsidP="005133C1">
      <w:pPr>
        <w:spacing w:line="240" w:lineRule="auto"/>
        <w:rPr>
          <w:rFonts w:eastAsia="Times New Roman" w:cs="Arial"/>
          <w:i/>
          <w:iCs/>
          <w:color w:val="000000"/>
          <w:u w:val="single"/>
          <w:lang w:eastAsia="bg-BG"/>
        </w:rPr>
      </w:pPr>
    </w:p>
    <w:p w14:paraId="0EBF7CE9" w14:textId="4021CE1E" w:rsidR="005133C1" w:rsidRPr="005133C1" w:rsidRDefault="005133C1" w:rsidP="005133C1">
      <w:pPr>
        <w:spacing w:line="240" w:lineRule="auto"/>
        <w:rPr>
          <w:rFonts w:eastAsia="Times New Roman" w:cs="Arial"/>
          <w:sz w:val="24"/>
          <w:szCs w:val="24"/>
          <w:lang w:eastAsia="bg-BG"/>
        </w:rPr>
      </w:pPr>
      <w:r w:rsidRPr="005133C1">
        <w:rPr>
          <w:rFonts w:eastAsia="Times New Roman" w:cs="Arial"/>
          <w:i/>
          <w:iCs/>
          <w:color w:val="000000"/>
          <w:u w:val="single"/>
          <w:lang w:eastAsia="bg-BG"/>
        </w:rPr>
        <w:t>Недребноклетъчен белодробен карцином</w:t>
      </w:r>
    </w:p>
    <w:p w14:paraId="6327B06A" w14:textId="77777777" w:rsidR="005133C1" w:rsidRPr="005133C1" w:rsidRDefault="005133C1" w:rsidP="005133C1">
      <w:pPr>
        <w:spacing w:line="240" w:lineRule="auto"/>
        <w:rPr>
          <w:rFonts w:eastAsia="Times New Roman" w:cs="Arial"/>
          <w:sz w:val="24"/>
          <w:szCs w:val="24"/>
          <w:lang w:eastAsia="bg-BG"/>
        </w:rPr>
      </w:pPr>
      <w:r w:rsidRPr="005133C1">
        <w:rPr>
          <w:rFonts w:eastAsia="Times New Roman" w:cs="Arial"/>
          <w:i/>
          <w:iCs/>
          <w:color w:val="000000"/>
          <w:lang w:eastAsia="bg-BG"/>
        </w:rPr>
        <w:t>Монотерапия</w:t>
      </w:r>
    </w:p>
    <w:p w14:paraId="04A7AE13" w14:textId="77777777"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 xml:space="preserve">Препоръчителната доза за гемцитабин е 1 000 </w:t>
      </w:r>
      <w:r w:rsidRPr="005133C1">
        <w:rPr>
          <w:rFonts w:eastAsia="Times New Roman" w:cs="Arial"/>
          <w:color w:val="000000"/>
          <w:lang w:val="en-US"/>
        </w:rPr>
        <w:t>mg/m</w:t>
      </w:r>
      <w:r w:rsidRPr="005133C1">
        <w:rPr>
          <w:rFonts w:eastAsia="Times New Roman" w:cs="Arial"/>
          <w:color w:val="000000"/>
          <w:vertAlign w:val="superscript"/>
          <w:lang w:val="en-US"/>
        </w:rPr>
        <w:t>2</w:t>
      </w:r>
      <w:r w:rsidRPr="005133C1">
        <w:rPr>
          <w:rFonts w:eastAsia="Times New Roman" w:cs="Arial"/>
          <w:color w:val="000000"/>
          <w:lang w:val="en-US"/>
        </w:rPr>
        <w:t xml:space="preserve">, </w:t>
      </w:r>
      <w:r w:rsidRPr="005133C1">
        <w:rPr>
          <w:rFonts w:eastAsia="Times New Roman" w:cs="Arial"/>
          <w:color w:val="000000"/>
          <w:lang w:eastAsia="bg-BG"/>
        </w:rPr>
        <w:t>приложена като 30-минутна интравенозна инфузия. Тази доза трябва да се повтаря веднъж седмично за 3 седмици, последвани от 1-седмичен период на почивка. След това този 4-седмичен цикъл се повтаря. Понижаване на дозата с всеки цикъл или в рамките на един цикъл може да се извърши въз основа на степента на токсичност, наблюдавана при пациента.</w:t>
      </w:r>
    </w:p>
    <w:p w14:paraId="7843124B" w14:textId="77777777" w:rsidR="005133C1" w:rsidRPr="005133C1" w:rsidRDefault="005133C1" w:rsidP="005133C1">
      <w:pPr>
        <w:spacing w:line="240" w:lineRule="auto"/>
        <w:rPr>
          <w:rFonts w:eastAsia="Times New Roman" w:cs="Arial"/>
          <w:i/>
          <w:iCs/>
          <w:color w:val="000000"/>
          <w:lang w:eastAsia="bg-BG"/>
        </w:rPr>
      </w:pPr>
    </w:p>
    <w:p w14:paraId="2FCDC108" w14:textId="43E661CF" w:rsidR="005133C1" w:rsidRPr="005133C1" w:rsidRDefault="005133C1" w:rsidP="005133C1">
      <w:pPr>
        <w:spacing w:line="240" w:lineRule="auto"/>
        <w:rPr>
          <w:rFonts w:eastAsia="Times New Roman" w:cs="Arial"/>
          <w:sz w:val="24"/>
          <w:szCs w:val="24"/>
          <w:lang w:eastAsia="bg-BG"/>
        </w:rPr>
      </w:pPr>
      <w:r w:rsidRPr="005133C1">
        <w:rPr>
          <w:rFonts w:eastAsia="Times New Roman" w:cs="Arial"/>
          <w:i/>
          <w:iCs/>
          <w:color w:val="000000"/>
          <w:lang w:eastAsia="bg-BG"/>
        </w:rPr>
        <w:t>Комбинирана употреба</w:t>
      </w:r>
    </w:p>
    <w:p w14:paraId="0373173E" w14:textId="77777777"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t xml:space="preserve">Препоръчителната доза гемцитабин е 1 250 </w:t>
      </w:r>
      <w:r w:rsidRPr="005133C1">
        <w:rPr>
          <w:rFonts w:eastAsia="Times New Roman" w:cs="Arial"/>
          <w:color w:val="000000"/>
          <w:lang w:val="en-US"/>
        </w:rPr>
        <w:t>mg/m</w:t>
      </w:r>
      <w:r w:rsidRPr="005133C1">
        <w:rPr>
          <w:rFonts w:eastAsia="Times New Roman" w:cs="Arial"/>
          <w:color w:val="000000"/>
          <w:vertAlign w:val="superscript"/>
          <w:lang w:val="en-US"/>
        </w:rPr>
        <w:t>2</w:t>
      </w:r>
      <w:r w:rsidRPr="005133C1">
        <w:rPr>
          <w:rFonts w:eastAsia="Times New Roman" w:cs="Arial"/>
          <w:color w:val="000000"/>
          <w:lang w:val="en-US"/>
        </w:rPr>
        <w:t xml:space="preserve"> </w:t>
      </w:r>
      <w:r w:rsidRPr="005133C1">
        <w:rPr>
          <w:rFonts w:eastAsia="Times New Roman" w:cs="Arial"/>
          <w:color w:val="000000"/>
          <w:lang w:eastAsia="bg-BG"/>
        </w:rPr>
        <w:t>телесна повърхност, приложена като 30- минутна интравенозна инфузия на 1 -ви и 8-и ден от лечебния цикъл (21 дни). Понижаване на дозата с всеки цикъл или в рамките на един цикъл може да се извърши въз основа на степента на токсичност, наблюдавана при пациента.</w:t>
      </w:r>
    </w:p>
    <w:p w14:paraId="714F5600" w14:textId="77777777" w:rsidR="005133C1" w:rsidRPr="005133C1" w:rsidRDefault="005133C1" w:rsidP="005133C1">
      <w:pPr>
        <w:spacing w:line="240" w:lineRule="auto"/>
        <w:rPr>
          <w:rFonts w:eastAsia="Times New Roman" w:cs="Arial"/>
          <w:sz w:val="24"/>
          <w:szCs w:val="24"/>
          <w:lang w:eastAsia="bg-BG"/>
        </w:rPr>
      </w:pPr>
      <w:r w:rsidRPr="005133C1">
        <w:rPr>
          <w:rFonts w:eastAsia="Times New Roman" w:cs="Arial"/>
          <w:color w:val="000000"/>
          <w:lang w:eastAsia="bg-BG"/>
        </w:rPr>
        <w:lastRenderedPageBreak/>
        <w:t xml:space="preserve">Цисплатин се прилага в дози между 75-100 </w:t>
      </w:r>
      <w:r w:rsidRPr="005133C1">
        <w:rPr>
          <w:rFonts w:eastAsia="Times New Roman" w:cs="Arial"/>
          <w:color w:val="000000"/>
          <w:lang w:val="en-US"/>
        </w:rPr>
        <w:t>mg/m</w:t>
      </w:r>
      <w:r w:rsidRPr="005133C1">
        <w:rPr>
          <w:rFonts w:eastAsia="Times New Roman" w:cs="Arial"/>
          <w:color w:val="000000"/>
          <w:vertAlign w:val="superscript"/>
          <w:lang w:val="en-US"/>
        </w:rPr>
        <w:t>2</w:t>
      </w:r>
      <w:r w:rsidRPr="005133C1">
        <w:rPr>
          <w:rFonts w:eastAsia="Times New Roman" w:cs="Arial"/>
          <w:color w:val="000000"/>
          <w:lang w:val="en-US"/>
        </w:rPr>
        <w:t xml:space="preserve"> </w:t>
      </w:r>
      <w:r w:rsidRPr="005133C1">
        <w:rPr>
          <w:rFonts w:eastAsia="Times New Roman" w:cs="Arial"/>
          <w:color w:val="000000"/>
          <w:lang w:eastAsia="bg-BG"/>
        </w:rPr>
        <w:t>един път на всеки 3 седмици.</w:t>
      </w:r>
    </w:p>
    <w:p w14:paraId="3DCB8627" w14:textId="77777777" w:rsidR="005133C1" w:rsidRPr="005133C1" w:rsidRDefault="005133C1" w:rsidP="005133C1">
      <w:pPr>
        <w:spacing w:line="240" w:lineRule="auto"/>
        <w:rPr>
          <w:rFonts w:eastAsia="Times New Roman" w:cs="Arial"/>
          <w:i/>
          <w:iCs/>
          <w:color w:val="000000"/>
          <w:u w:val="single"/>
          <w:lang w:eastAsia="bg-BG"/>
        </w:rPr>
      </w:pPr>
    </w:p>
    <w:p w14:paraId="0BA32BD9" w14:textId="025624B9" w:rsidR="005133C1" w:rsidRPr="005133C1" w:rsidRDefault="005133C1" w:rsidP="005133C1">
      <w:pPr>
        <w:spacing w:line="240" w:lineRule="auto"/>
        <w:rPr>
          <w:rFonts w:eastAsia="Times New Roman" w:cs="Arial"/>
          <w:sz w:val="24"/>
          <w:szCs w:val="24"/>
          <w:lang w:eastAsia="bg-BG"/>
        </w:rPr>
      </w:pPr>
      <w:r w:rsidRPr="005133C1">
        <w:rPr>
          <w:rFonts w:eastAsia="Times New Roman" w:cs="Arial"/>
          <w:i/>
          <w:iCs/>
          <w:color w:val="000000"/>
          <w:u w:val="single"/>
          <w:lang w:eastAsia="bg-BG"/>
        </w:rPr>
        <w:t>Карцином на гърдата</w:t>
      </w:r>
    </w:p>
    <w:p w14:paraId="0DD5E267" w14:textId="77777777" w:rsidR="005133C1" w:rsidRPr="005133C1" w:rsidRDefault="005133C1" w:rsidP="005133C1">
      <w:pPr>
        <w:spacing w:line="240" w:lineRule="auto"/>
        <w:rPr>
          <w:rFonts w:eastAsia="Times New Roman" w:cs="Arial"/>
          <w:sz w:val="24"/>
          <w:szCs w:val="24"/>
          <w:lang w:eastAsia="bg-BG"/>
        </w:rPr>
      </w:pPr>
      <w:r w:rsidRPr="005133C1">
        <w:rPr>
          <w:rFonts w:eastAsia="Times New Roman" w:cs="Arial"/>
          <w:i/>
          <w:iCs/>
          <w:color w:val="000000"/>
          <w:lang w:eastAsia="bg-BG"/>
        </w:rPr>
        <w:t>Комбинирано приложение</w:t>
      </w:r>
    </w:p>
    <w:p w14:paraId="475300EC" w14:textId="0157F74B" w:rsidR="0091385D" w:rsidRPr="005133C1" w:rsidRDefault="005133C1" w:rsidP="005133C1">
      <w:pPr>
        <w:rPr>
          <w:rFonts w:cs="Arial"/>
        </w:rPr>
      </w:pPr>
      <w:r w:rsidRPr="005133C1">
        <w:rPr>
          <w:rFonts w:eastAsia="Times New Roman" w:cs="Arial"/>
          <w:color w:val="000000"/>
          <w:lang w:eastAsia="bg-BG"/>
        </w:rPr>
        <w:t xml:space="preserve">Препоръчва се гемцитабин в комбинация с паклитаксел, като паклитаксел (175 </w:t>
      </w:r>
      <w:r w:rsidRPr="005133C1">
        <w:rPr>
          <w:rFonts w:eastAsia="Times New Roman" w:cs="Arial"/>
          <w:color w:val="000000"/>
          <w:lang w:val="en-US"/>
        </w:rPr>
        <w:t>mg/m</w:t>
      </w:r>
      <w:r w:rsidRPr="005133C1">
        <w:rPr>
          <w:rFonts w:eastAsia="Times New Roman" w:cs="Arial"/>
          <w:color w:val="000000"/>
          <w:vertAlign w:val="superscript"/>
          <w:lang w:val="en-US"/>
        </w:rPr>
        <w:t>2</w:t>
      </w:r>
      <w:r w:rsidRPr="005133C1">
        <w:rPr>
          <w:rFonts w:eastAsia="Times New Roman" w:cs="Arial"/>
          <w:color w:val="000000"/>
          <w:lang w:val="en-US"/>
        </w:rPr>
        <w:t xml:space="preserve">) </w:t>
      </w:r>
      <w:r w:rsidRPr="005133C1">
        <w:rPr>
          <w:rFonts w:eastAsia="Times New Roman" w:cs="Arial"/>
          <w:color w:val="000000"/>
          <w:lang w:eastAsia="bg-BG"/>
        </w:rPr>
        <w:t xml:space="preserve">се прилага на 1 -вия ден за приблизително 3 часа като интравенозна инфузия, последвано от гемцитабин (1 250 </w:t>
      </w:r>
      <w:r w:rsidRPr="005133C1">
        <w:rPr>
          <w:rFonts w:eastAsia="Times New Roman" w:cs="Arial"/>
          <w:color w:val="000000"/>
          <w:lang w:val="en-US"/>
        </w:rPr>
        <w:t>mg/m</w:t>
      </w:r>
      <w:r w:rsidRPr="005133C1">
        <w:rPr>
          <w:rFonts w:eastAsia="Times New Roman" w:cs="Arial"/>
          <w:color w:val="000000"/>
          <w:vertAlign w:val="superscript"/>
          <w:lang w:val="en-US"/>
        </w:rPr>
        <w:t>2</w:t>
      </w:r>
      <w:r w:rsidRPr="005133C1">
        <w:rPr>
          <w:rFonts w:eastAsia="Times New Roman" w:cs="Arial"/>
          <w:color w:val="000000"/>
          <w:lang w:val="en-US"/>
        </w:rPr>
        <w:t xml:space="preserve">) </w:t>
      </w:r>
      <w:r w:rsidRPr="005133C1">
        <w:rPr>
          <w:rFonts w:eastAsia="Times New Roman" w:cs="Arial"/>
          <w:color w:val="000000"/>
          <w:lang w:eastAsia="bg-BG"/>
        </w:rPr>
        <w:t>като 30-минутна интравенозна инфузия на 1-ви и 8-и ден от всеки 21-дневен цикъл. Понижаване на дозата с всеки цикъл или в рамките на един цикъл може да се извърши въз основа на степента на токсичност, наблюдавана при пациента. Преди започване на комбинацията гемцитабин + паклитаксел, пациентът трябва да има абсолютен брой на гранулоцити поне 1 500 (х 10</w:t>
      </w:r>
      <w:r w:rsidRPr="005133C1">
        <w:rPr>
          <w:rFonts w:eastAsia="Times New Roman" w:cs="Arial"/>
          <w:color w:val="000000"/>
          <w:vertAlign w:val="superscript"/>
          <w:lang w:eastAsia="bg-BG"/>
        </w:rPr>
        <w:t>6</w:t>
      </w:r>
      <w:r w:rsidRPr="005133C1">
        <w:rPr>
          <w:rFonts w:eastAsia="Times New Roman" w:cs="Arial"/>
          <w:color w:val="000000"/>
          <w:lang w:eastAsia="bg-BG"/>
        </w:rPr>
        <w:t>/</w:t>
      </w:r>
      <w:r w:rsidRPr="005133C1">
        <w:rPr>
          <w:rFonts w:eastAsia="Times New Roman" w:cs="Arial"/>
          <w:color w:val="000000"/>
          <w:lang w:val="en-US" w:eastAsia="bg-BG"/>
        </w:rPr>
        <w:t>l</w:t>
      </w:r>
      <w:r w:rsidRPr="005133C1">
        <w:rPr>
          <w:rFonts w:eastAsia="Times New Roman" w:cs="Arial"/>
          <w:color w:val="000000"/>
          <w:lang w:eastAsia="bg-BG"/>
        </w:rPr>
        <w:t>).</w:t>
      </w:r>
    </w:p>
    <w:p w14:paraId="6ACAF645" w14:textId="1CAD5A63" w:rsidR="0091385D" w:rsidRDefault="0091385D" w:rsidP="0091385D"/>
    <w:p w14:paraId="65B2A6E8" w14:textId="77777777" w:rsidR="005133C1" w:rsidRPr="005133C1" w:rsidRDefault="005133C1" w:rsidP="005133C1">
      <w:pPr>
        <w:spacing w:line="240" w:lineRule="auto"/>
        <w:rPr>
          <w:rFonts w:eastAsia="Times New Roman" w:cs="Arial"/>
          <w:lang w:eastAsia="bg-BG"/>
        </w:rPr>
      </w:pPr>
      <w:r w:rsidRPr="005133C1">
        <w:rPr>
          <w:rFonts w:eastAsia="Times New Roman" w:cs="Arial"/>
          <w:i/>
          <w:iCs/>
          <w:color w:val="000000"/>
          <w:u w:val="single"/>
          <w:lang w:eastAsia="bg-BG"/>
        </w:rPr>
        <w:t>Карцином на яйчника</w:t>
      </w:r>
    </w:p>
    <w:p w14:paraId="11B9FB69" w14:textId="77777777" w:rsidR="005133C1" w:rsidRPr="005133C1" w:rsidRDefault="005133C1" w:rsidP="005133C1">
      <w:pPr>
        <w:spacing w:line="240" w:lineRule="auto"/>
        <w:rPr>
          <w:rFonts w:eastAsia="Times New Roman" w:cs="Arial"/>
          <w:lang w:eastAsia="bg-BG"/>
        </w:rPr>
      </w:pPr>
      <w:r w:rsidRPr="005133C1">
        <w:rPr>
          <w:rFonts w:eastAsia="Times New Roman" w:cs="Arial"/>
          <w:i/>
          <w:iCs/>
          <w:color w:val="000000"/>
          <w:lang w:eastAsia="bg-BG"/>
        </w:rPr>
        <w:t>Комбинирано приложение</w:t>
      </w:r>
    </w:p>
    <w:p w14:paraId="26EE988E" w14:textId="77777777" w:rsidR="005133C1" w:rsidRPr="005133C1" w:rsidRDefault="005133C1" w:rsidP="005133C1">
      <w:pPr>
        <w:spacing w:line="240" w:lineRule="auto"/>
        <w:rPr>
          <w:rFonts w:eastAsia="Times New Roman" w:cs="Arial"/>
          <w:lang w:eastAsia="bg-BG"/>
        </w:rPr>
      </w:pPr>
      <w:r w:rsidRPr="005133C1">
        <w:rPr>
          <w:rFonts w:eastAsia="Times New Roman" w:cs="Arial"/>
          <w:color w:val="000000"/>
          <w:lang w:eastAsia="bg-BG"/>
        </w:rPr>
        <w:t xml:space="preserve">Препоръчва се гемцитабин в комбинация с карбоплатин, като се използва гемцитабин 1 000 </w:t>
      </w:r>
      <w:r w:rsidRPr="005133C1">
        <w:rPr>
          <w:rFonts w:eastAsia="Times New Roman" w:cs="Arial"/>
          <w:color w:val="000000"/>
          <w:lang w:val="en-US"/>
        </w:rPr>
        <w:t>mg/m</w:t>
      </w:r>
      <w:r w:rsidRPr="005133C1">
        <w:rPr>
          <w:rFonts w:eastAsia="Times New Roman" w:cs="Arial"/>
          <w:color w:val="000000"/>
          <w:vertAlign w:val="superscript"/>
          <w:lang w:val="en-US"/>
        </w:rPr>
        <w:t>2</w:t>
      </w:r>
      <w:r w:rsidRPr="005133C1">
        <w:rPr>
          <w:rFonts w:eastAsia="Times New Roman" w:cs="Arial"/>
          <w:color w:val="000000"/>
          <w:lang w:val="en-US"/>
        </w:rPr>
        <w:t xml:space="preserve">, </w:t>
      </w:r>
      <w:r w:rsidRPr="005133C1">
        <w:rPr>
          <w:rFonts w:eastAsia="Times New Roman" w:cs="Arial"/>
          <w:color w:val="000000"/>
          <w:lang w:eastAsia="bg-BG"/>
        </w:rPr>
        <w:t xml:space="preserve">приложен на 1-ви и 8-и ден от всеки 21-дневен цикъл като 30-минутна интравенозна инфузия. След гемцитабин, карбоплатин се прилага на 1-ви ден в съответствие с таргетна площ под кривата </w:t>
      </w:r>
      <w:r w:rsidRPr="005133C1">
        <w:rPr>
          <w:rFonts w:eastAsia="Times New Roman" w:cs="Arial"/>
          <w:color w:val="000000"/>
          <w:lang w:val="en-US"/>
        </w:rPr>
        <w:t xml:space="preserve">(AUC) </w:t>
      </w:r>
      <w:r w:rsidRPr="005133C1">
        <w:rPr>
          <w:rFonts w:eastAsia="Times New Roman" w:cs="Arial"/>
          <w:color w:val="000000"/>
          <w:lang w:eastAsia="bg-BG"/>
        </w:rPr>
        <w:t xml:space="preserve">от 4,0 </w:t>
      </w:r>
      <w:r w:rsidRPr="005133C1">
        <w:rPr>
          <w:rFonts w:eastAsia="Times New Roman" w:cs="Arial"/>
          <w:color w:val="000000"/>
          <w:lang w:val="en-US"/>
        </w:rPr>
        <w:t xml:space="preserve">mg/ml-min. </w:t>
      </w:r>
      <w:r w:rsidRPr="005133C1">
        <w:rPr>
          <w:rFonts w:eastAsia="Times New Roman" w:cs="Arial"/>
          <w:color w:val="000000"/>
          <w:lang w:eastAsia="bg-BG"/>
        </w:rPr>
        <w:t>Понижаване на дозата с всеки цикъл или в рамките на един цикъл може да се извърши въз основа на степента на токсичност, наблюдавана при пациента.</w:t>
      </w:r>
    </w:p>
    <w:p w14:paraId="5520609C" w14:textId="77777777" w:rsidR="005133C1" w:rsidRPr="00B026D2" w:rsidRDefault="005133C1" w:rsidP="005133C1">
      <w:pPr>
        <w:spacing w:line="240" w:lineRule="auto"/>
        <w:rPr>
          <w:rFonts w:eastAsia="Times New Roman" w:cs="Arial"/>
          <w:color w:val="000000"/>
          <w:u w:val="single"/>
          <w:lang w:eastAsia="bg-BG"/>
        </w:rPr>
      </w:pPr>
    </w:p>
    <w:p w14:paraId="2A5F35E9" w14:textId="2E498281" w:rsidR="005133C1" w:rsidRPr="005133C1" w:rsidRDefault="005133C1" w:rsidP="005133C1">
      <w:pPr>
        <w:spacing w:line="240" w:lineRule="auto"/>
        <w:rPr>
          <w:rFonts w:eastAsia="Times New Roman" w:cs="Arial"/>
          <w:lang w:eastAsia="bg-BG"/>
        </w:rPr>
      </w:pPr>
      <w:r w:rsidRPr="005133C1">
        <w:rPr>
          <w:rFonts w:eastAsia="Times New Roman" w:cs="Arial"/>
          <w:color w:val="000000"/>
          <w:u w:val="single"/>
          <w:lang w:eastAsia="bg-BG"/>
        </w:rPr>
        <w:t>Мониторинг за токсичност и промяна на дозата поради токсичност</w:t>
      </w:r>
    </w:p>
    <w:p w14:paraId="21A3F992" w14:textId="77777777" w:rsidR="005133C1" w:rsidRPr="005133C1" w:rsidRDefault="005133C1" w:rsidP="005133C1">
      <w:pPr>
        <w:spacing w:line="240" w:lineRule="auto"/>
        <w:rPr>
          <w:rFonts w:eastAsia="Times New Roman" w:cs="Arial"/>
          <w:lang w:eastAsia="bg-BG"/>
        </w:rPr>
      </w:pPr>
      <w:r w:rsidRPr="005133C1">
        <w:rPr>
          <w:rFonts w:eastAsia="Times New Roman" w:cs="Arial"/>
          <w:i/>
          <w:iCs/>
          <w:color w:val="000000"/>
          <w:u w:val="single"/>
          <w:lang w:eastAsia="bg-BG"/>
        </w:rPr>
        <w:t>Промяна на дозата поради нехематологична токсичност</w:t>
      </w:r>
    </w:p>
    <w:p w14:paraId="2AAA2C48" w14:textId="77777777" w:rsidR="005133C1" w:rsidRPr="005133C1" w:rsidRDefault="005133C1" w:rsidP="005133C1">
      <w:pPr>
        <w:spacing w:line="240" w:lineRule="auto"/>
        <w:rPr>
          <w:rFonts w:eastAsia="Times New Roman" w:cs="Arial"/>
          <w:lang w:eastAsia="bg-BG"/>
        </w:rPr>
      </w:pPr>
      <w:r w:rsidRPr="005133C1">
        <w:rPr>
          <w:rFonts w:eastAsia="Times New Roman" w:cs="Arial"/>
          <w:color w:val="000000"/>
          <w:lang w:eastAsia="bg-BG"/>
        </w:rPr>
        <w:t>Трябва да се провежда периодичен физикален преглед и контрол на бъбречната и чернодробната функция, за да се открива нехематологична токсичност.</w:t>
      </w:r>
    </w:p>
    <w:p w14:paraId="362AFA03" w14:textId="77777777" w:rsidR="005133C1" w:rsidRPr="00B026D2" w:rsidRDefault="005133C1" w:rsidP="005133C1">
      <w:pPr>
        <w:spacing w:line="240" w:lineRule="auto"/>
        <w:rPr>
          <w:rFonts w:eastAsia="Times New Roman" w:cs="Arial"/>
          <w:color w:val="000000"/>
          <w:lang w:eastAsia="bg-BG"/>
        </w:rPr>
      </w:pPr>
    </w:p>
    <w:p w14:paraId="5D71A29E" w14:textId="56272107" w:rsidR="005133C1" w:rsidRPr="005133C1" w:rsidRDefault="005133C1" w:rsidP="005133C1">
      <w:pPr>
        <w:spacing w:line="240" w:lineRule="auto"/>
        <w:rPr>
          <w:rFonts w:eastAsia="Times New Roman" w:cs="Arial"/>
          <w:lang w:eastAsia="bg-BG"/>
        </w:rPr>
      </w:pPr>
      <w:r w:rsidRPr="005133C1">
        <w:rPr>
          <w:rFonts w:eastAsia="Times New Roman" w:cs="Arial"/>
          <w:color w:val="000000"/>
          <w:lang w:eastAsia="bg-BG"/>
        </w:rPr>
        <w:t>Понижаване на дозата с всеки цикъл или в рамките на един цикъл може да се извърши въз основа на степента на токсичност, наблюдавана при пациента. По приницп, при тежка (3 или 4 степен) нехематологична токсичност, с изключение на гадене/повръщане, лечението с гемцитабин трябва да се прекрати или дозата да се понижи в зависимост от решението на лекуващия лекар. Лечението трябва да се прекъсне, докато, според лекуващия лекар, токсичността отзвучи.</w:t>
      </w:r>
    </w:p>
    <w:p w14:paraId="2E8F59CD" w14:textId="77777777" w:rsidR="005133C1" w:rsidRPr="00B026D2" w:rsidRDefault="005133C1" w:rsidP="005133C1">
      <w:pPr>
        <w:spacing w:line="240" w:lineRule="auto"/>
        <w:rPr>
          <w:rFonts w:eastAsia="Times New Roman" w:cs="Arial"/>
          <w:color w:val="000000"/>
          <w:lang w:eastAsia="bg-BG"/>
        </w:rPr>
      </w:pPr>
    </w:p>
    <w:p w14:paraId="6B7866C8" w14:textId="29C61138" w:rsidR="005133C1" w:rsidRPr="005133C1" w:rsidRDefault="005133C1" w:rsidP="005133C1">
      <w:pPr>
        <w:spacing w:line="240" w:lineRule="auto"/>
        <w:rPr>
          <w:rFonts w:eastAsia="Times New Roman" w:cs="Arial"/>
          <w:lang w:eastAsia="bg-BG"/>
        </w:rPr>
      </w:pPr>
      <w:r w:rsidRPr="005133C1">
        <w:rPr>
          <w:rFonts w:eastAsia="Times New Roman" w:cs="Arial"/>
          <w:color w:val="000000"/>
          <w:lang w:eastAsia="bg-BG"/>
        </w:rPr>
        <w:t>За адаптиране дозата на цисплатин, карбоплатин и паклитаксел при комбинирано лечение, моля потърсете информация в съответната кратка характеристика на продукта.</w:t>
      </w:r>
    </w:p>
    <w:p w14:paraId="39D27125" w14:textId="77777777" w:rsidR="005133C1" w:rsidRPr="00B026D2" w:rsidRDefault="005133C1" w:rsidP="005133C1">
      <w:pPr>
        <w:spacing w:line="240" w:lineRule="auto"/>
        <w:rPr>
          <w:rFonts w:eastAsia="Times New Roman" w:cs="Arial"/>
          <w:i/>
          <w:iCs/>
          <w:color w:val="000000"/>
          <w:u w:val="single"/>
          <w:lang w:eastAsia="bg-BG"/>
        </w:rPr>
      </w:pPr>
    </w:p>
    <w:p w14:paraId="050BE944" w14:textId="4C74D9C0" w:rsidR="005133C1" w:rsidRPr="005133C1" w:rsidRDefault="005133C1" w:rsidP="005133C1">
      <w:pPr>
        <w:spacing w:line="240" w:lineRule="auto"/>
        <w:rPr>
          <w:rFonts w:eastAsia="Times New Roman" w:cs="Arial"/>
          <w:lang w:eastAsia="bg-BG"/>
        </w:rPr>
      </w:pPr>
      <w:r w:rsidRPr="005133C1">
        <w:rPr>
          <w:rFonts w:eastAsia="Times New Roman" w:cs="Arial"/>
          <w:i/>
          <w:iCs/>
          <w:color w:val="000000"/>
          <w:u w:val="single"/>
          <w:lang w:eastAsia="bg-BG"/>
        </w:rPr>
        <w:t>Промяна на дозата поради хематологична токсичност</w:t>
      </w:r>
    </w:p>
    <w:p w14:paraId="35008AAE" w14:textId="77777777" w:rsidR="005133C1" w:rsidRPr="005133C1" w:rsidRDefault="005133C1" w:rsidP="005133C1">
      <w:pPr>
        <w:spacing w:line="240" w:lineRule="auto"/>
        <w:rPr>
          <w:rFonts w:eastAsia="Times New Roman" w:cs="Arial"/>
          <w:lang w:eastAsia="bg-BG"/>
        </w:rPr>
      </w:pPr>
      <w:r w:rsidRPr="005133C1">
        <w:rPr>
          <w:rFonts w:eastAsia="Times New Roman" w:cs="Arial"/>
          <w:i/>
          <w:iCs/>
          <w:color w:val="000000"/>
          <w:lang w:eastAsia="bg-BG"/>
        </w:rPr>
        <w:t>Начало на цикъла</w:t>
      </w:r>
    </w:p>
    <w:p w14:paraId="70D4F8CB" w14:textId="77777777" w:rsidR="005133C1" w:rsidRPr="005133C1" w:rsidRDefault="005133C1" w:rsidP="005133C1">
      <w:pPr>
        <w:spacing w:line="240" w:lineRule="auto"/>
        <w:rPr>
          <w:rFonts w:eastAsia="Times New Roman" w:cs="Arial"/>
          <w:lang w:eastAsia="bg-BG"/>
        </w:rPr>
      </w:pPr>
      <w:r w:rsidRPr="005133C1">
        <w:rPr>
          <w:rFonts w:eastAsia="Times New Roman" w:cs="Arial"/>
          <w:color w:val="000000"/>
          <w:lang w:eastAsia="bg-BG"/>
        </w:rPr>
        <w:t>За всички показания пациентът трябва да бъде мониториран преди прилагане на всяка доза за броя на тромбоцити и гранулоцити. Преди началото на цикъла пациентите трябва да имат абсолютен брой гранулоцити поне 1 500 (х 10</w:t>
      </w:r>
      <w:r w:rsidRPr="005133C1">
        <w:rPr>
          <w:rFonts w:eastAsia="Times New Roman" w:cs="Arial"/>
          <w:color w:val="000000"/>
          <w:vertAlign w:val="superscript"/>
          <w:lang w:eastAsia="bg-BG"/>
        </w:rPr>
        <w:t>6</w:t>
      </w:r>
      <w:r w:rsidRPr="005133C1">
        <w:rPr>
          <w:rFonts w:eastAsia="Times New Roman" w:cs="Arial"/>
          <w:color w:val="000000"/>
          <w:lang w:eastAsia="bg-BG"/>
        </w:rPr>
        <w:t>/1) и брой на тромбоцити 100 000 (х 10</w:t>
      </w:r>
      <w:r w:rsidRPr="005133C1">
        <w:rPr>
          <w:rFonts w:eastAsia="Times New Roman" w:cs="Arial"/>
          <w:color w:val="000000"/>
          <w:vertAlign w:val="superscript"/>
          <w:lang w:eastAsia="bg-BG"/>
        </w:rPr>
        <w:t>6</w:t>
      </w:r>
      <w:r w:rsidRPr="005133C1">
        <w:rPr>
          <w:rFonts w:eastAsia="Times New Roman" w:cs="Arial"/>
          <w:color w:val="000000"/>
          <w:lang w:eastAsia="bg-BG"/>
        </w:rPr>
        <w:t>/1).</w:t>
      </w:r>
    </w:p>
    <w:p w14:paraId="3B278B76" w14:textId="77777777" w:rsidR="005133C1" w:rsidRPr="00B026D2" w:rsidRDefault="005133C1" w:rsidP="005133C1">
      <w:pPr>
        <w:spacing w:line="240" w:lineRule="auto"/>
        <w:rPr>
          <w:rFonts w:eastAsia="Times New Roman" w:cs="Arial"/>
          <w:i/>
          <w:iCs/>
          <w:color w:val="000000"/>
          <w:lang w:eastAsia="bg-BG"/>
        </w:rPr>
      </w:pPr>
    </w:p>
    <w:p w14:paraId="35597DCE" w14:textId="594B5C7A" w:rsidR="005133C1" w:rsidRPr="005133C1" w:rsidRDefault="005133C1" w:rsidP="005133C1">
      <w:pPr>
        <w:spacing w:line="240" w:lineRule="auto"/>
        <w:rPr>
          <w:rFonts w:eastAsia="Times New Roman" w:cs="Arial"/>
          <w:lang w:eastAsia="bg-BG"/>
        </w:rPr>
      </w:pPr>
      <w:r w:rsidRPr="005133C1">
        <w:rPr>
          <w:rFonts w:eastAsia="Times New Roman" w:cs="Arial"/>
          <w:i/>
          <w:iCs/>
          <w:color w:val="000000"/>
          <w:lang w:eastAsia="bg-BG"/>
        </w:rPr>
        <w:t>В рамките на цикъла</w:t>
      </w:r>
    </w:p>
    <w:p w14:paraId="417143C2" w14:textId="453C1DA1" w:rsidR="005133C1" w:rsidRPr="00B026D2" w:rsidRDefault="005133C1" w:rsidP="005133C1">
      <w:pPr>
        <w:rPr>
          <w:rFonts w:cs="Arial"/>
        </w:rPr>
      </w:pPr>
      <w:r w:rsidRPr="00B026D2">
        <w:rPr>
          <w:rFonts w:eastAsia="Times New Roman" w:cs="Arial"/>
          <w:color w:val="000000"/>
          <w:lang w:eastAsia="bg-BG"/>
        </w:rPr>
        <w:t>Промени в дозата на гемцитабин в рамките на цикъла трябва да се извършват съгласно следните таблици:</w:t>
      </w:r>
    </w:p>
    <w:p w14:paraId="2F758F76" w14:textId="771E1138" w:rsidR="005133C1" w:rsidRPr="00B026D2" w:rsidRDefault="005133C1" w:rsidP="0091385D">
      <w:pPr>
        <w:rPr>
          <w:rFonts w:cs="Arial"/>
        </w:rPr>
      </w:pPr>
    </w:p>
    <w:tbl>
      <w:tblPr>
        <w:tblStyle w:val="TableGrid"/>
        <w:tblW w:w="0" w:type="auto"/>
        <w:tblLook w:val="04A0" w:firstRow="1" w:lastRow="0" w:firstColumn="1" w:lastColumn="0" w:noHBand="0" w:noVBand="1"/>
      </w:tblPr>
      <w:tblGrid>
        <w:gridCol w:w="2375"/>
        <w:gridCol w:w="2375"/>
        <w:gridCol w:w="2375"/>
        <w:gridCol w:w="2375"/>
      </w:tblGrid>
      <w:tr w:rsidR="005133C1" w:rsidRPr="00B026D2" w14:paraId="597CE92A" w14:textId="77777777" w:rsidTr="007437D2">
        <w:tc>
          <w:tcPr>
            <w:tcW w:w="9500" w:type="dxa"/>
            <w:gridSpan w:val="4"/>
          </w:tcPr>
          <w:p w14:paraId="25A8D840" w14:textId="23616ED1" w:rsidR="005133C1" w:rsidRPr="00B026D2" w:rsidRDefault="005133C1" w:rsidP="0091385D">
            <w:pPr>
              <w:rPr>
                <w:rFonts w:cs="Arial"/>
              </w:rPr>
            </w:pPr>
            <w:r w:rsidRPr="00B026D2">
              <w:rPr>
                <w:rFonts w:cs="Arial"/>
                <w:b/>
                <w:bCs/>
              </w:rPr>
              <w:t>Корекция на дозата иа гемцитабин в рамките на един цикъл при карцином на пикочния мехур, НДКБДК и карцином на панкреаса, прилаган като монотерапия или в комбинация с цисплатин</w:t>
            </w:r>
          </w:p>
        </w:tc>
      </w:tr>
      <w:tr w:rsidR="005133C1" w:rsidRPr="00B026D2" w14:paraId="7E34E633" w14:textId="77777777" w:rsidTr="007437D2">
        <w:tc>
          <w:tcPr>
            <w:tcW w:w="4750" w:type="dxa"/>
            <w:gridSpan w:val="2"/>
          </w:tcPr>
          <w:p w14:paraId="4904CC32" w14:textId="7B627BB3" w:rsidR="005133C1" w:rsidRPr="00B026D2" w:rsidRDefault="005133C1" w:rsidP="005133C1">
            <w:pPr>
              <w:jc w:val="center"/>
              <w:rPr>
                <w:rFonts w:cs="Arial"/>
                <w:b/>
                <w:bCs/>
              </w:rPr>
            </w:pPr>
            <w:r w:rsidRPr="00B026D2">
              <w:rPr>
                <w:rFonts w:cs="Arial"/>
                <w:b/>
                <w:bCs/>
              </w:rPr>
              <w:lastRenderedPageBreak/>
              <w:t>Абсолютен брой на гранулоцити</w:t>
            </w:r>
          </w:p>
          <w:p w14:paraId="76642814" w14:textId="77777777" w:rsidR="005133C1" w:rsidRPr="00B026D2" w:rsidRDefault="005133C1" w:rsidP="005133C1">
            <w:pPr>
              <w:jc w:val="center"/>
              <w:rPr>
                <w:rFonts w:cs="Arial"/>
              </w:rPr>
            </w:pPr>
          </w:p>
          <w:p w14:paraId="1A6CF4D3" w14:textId="0AC6088B" w:rsidR="005133C1" w:rsidRPr="00B026D2" w:rsidRDefault="005133C1" w:rsidP="005133C1">
            <w:pPr>
              <w:jc w:val="center"/>
              <w:rPr>
                <w:rFonts w:cs="Arial"/>
              </w:rPr>
            </w:pPr>
            <w:r w:rsidRPr="00B026D2">
              <w:rPr>
                <w:rFonts w:cs="Arial"/>
              </w:rPr>
              <w:t>(х 10</w:t>
            </w:r>
            <w:r w:rsidRPr="00B026D2">
              <w:rPr>
                <w:rFonts w:cs="Arial"/>
                <w:vertAlign w:val="superscript"/>
                <w:lang w:val="en-US"/>
              </w:rPr>
              <w:t>6</w:t>
            </w:r>
            <w:r w:rsidRPr="00B026D2">
              <w:rPr>
                <w:rFonts w:cs="Arial"/>
              </w:rPr>
              <w:t>/l)</w:t>
            </w:r>
          </w:p>
        </w:tc>
        <w:tc>
          <w:tcPr>
            <w:tcW w:w="2375" w:type="dxa"/>
          </w:tcPr>
          <w:p w14:paraId="0C901D21" w14:textId="0C308CB9" w:rsidR="005133C1" w:rsidRPr="00B026D2" w:rsidRDefault="005133C1" w:rsidP="005133C1">
            <w:pPr>
              <w:jc w:val="center"/>
              <w:rPr>
                <w:rFonts w:cs="Arial"/>
                <w:b/>
                <w:bCs/>
              </w:rPr>
            </w:pPr>
            <w:r w:rsidRPr="00B026D2">
              <w:rPr>
                <w:rFonts w:cs="Arial"/>
                <w:b/>
                <w:bCs/>
              </w:rPr>
              <w:t>Брой на тромбоцити</w:t>
            </w:r>
          </w:p>
          <w:p w14:paraId="60F91140" w14:textId="5369284D" w:rsidR="005133C1" w:rsidRPr="00B026D2" w:rsidRDefault="005133C1" w:rsidP="005133C1">
            <w:pPr>
              <w:jc w:val="center"/>
              <w:rPr>
                <w:rFonts w:cs="Arial"/>
              </w:rPr>
            </w:pPr>
            <w:r w:rsidRPr="00B026D2">
              <w:rPr>
                <w:rFonts w:cs="Arial"/>
                <w:b/>
                <w:bCs/>
              </w:rPr>
              <w:t>(х 10</w:t>
            </w:r>
            <w:r w:rsidRPr="00B026D2">
              <w:rPr>
                <w:rFonts w:cs="Arial"/>
                <w:b/>
                <w:bCs/>
                <w:vertAlign w:val="superscript"/>
              </w:rPr>
              <w:t>6</w:t>
            </w:r>
            <w:r w:rsidRPr="00B026D2">
              <w:rPr>
                <w:rFonts w:cs="Arial"/>
                <w:b/>
                <w:bCs/>
              </w:rPr>
              <w:t>/l)</w:t>
            </w:r>
          </w:p>
        </w:tc>
        <w:tc>
          <w:tcPr>
            <w:tcW w:w="2375" w:type="dxa"/>
          </w:tcPr>
          <w:p w14:paraId="4E17B2D8" w14:textId="62A15B11" w:rsidR="005133C1" w:rsidRPr="00B026D2" w:rsidRDefault="005133C1" w:rsidP="005133C1">
            <w:pPr>
              <w:jc w:val="center"/>
              <w:rPr>
                <w:rFonts w:cs="Arial"/>
              </w:rPr>
            </w:pPr>
            <w:r w:rsidRPr="00B026D2">
              <w:rPr>
                <w:rFonts w:cs="Arial"/>
                <w:b/>
                <w:bCs/>
              </w:rPr>
              <w:t>Процент от стандартната доза на гемцитабин (%)</w:t>
            </w:r>
          </w:p>
        </w:tc>
      </w:tr>
      <w:tr w:rsidR="005133C1" w:rsidRPr="00B026D2" w14:paraId="2693B3AF" w14:textId="77777777" w:rsidTr="005133C1">
        <w:tc>
          <w:tcPr>
            <w:tcW w:w="2375" w:type="dxa"/>
          </w:tcPr>
          <w:p w14:paraId="4E703BA5" w14:textId="5431D430" w:rsidR="005133C1" w:rsidRPr="00B026D2" w:rsidRDefault="005133C1" w:rsidP="005133C1">
            <w:pPr>
              <w:rPr>
                <w:rFonts w:cs="Arial"/>
              </w:rPr>
            </w:pPr>
            <w:r w:rsidRPr="00B026D2">
              <w:rPr>
                <w:rFonts w:cs="Arial"/>
              </w:rPr>
              <w:t>&gt; 1 000</w:t>
            </w:r>
          </w:p>
        </w:tc>
        <w:tc>
          <w:tcPr>
            <w:tcW w:w="2375" w:type="dxa"/>
          </w:tcPr>
          <w:p w14:paraId="42AD125E" w14:textId="16A615F3" w:rsidR="005133C1" w:rsidRPr="00B026D2" w:rsidRDefault="005133C1" w:rsidP="005133C1">
            <w:pPr>
              <w:rPr>
                <w:rFonts w:cs="Arial"/>
              </w:rPr>
            </w:pPr>
            <w:r w:rsidRPr="00B026D2">
              <w:rPr>
                <w:rFonts w:cs="Arial"/>
              </w:rPr>
              <w:t>и</w:t>
            </w:r>
          </w:p>
        </w:tc>
        <w:tc>
          <w:tcPr>
            <w:tcW w:w="2375" w:type="dxa"/>
          </w:tcPr>
          <w:p w14:paraId="04A6696F" w14:textId="7CA4BCF4" w:rsidR="005133C1" w:rsidRPr="00B026D2" w:rsidRDefault="005133C1" w:rsidP="005133C1">
            <w:pPr>
              <w:rPr>
                <w:rFonts w:cs="Arial"/>
              </w:rPr>
            </w:pPr>
            <w:r w:rsidRPr="00B026D2">
              <w:rPr>
                <w:rFonts w:cs="Arial"/>
              </w:rPr>
              <w:t>&gt; 100 000</w:t>
            </w:r>
          </w:p>
        </w:tc>
        <w:tc>
          <w:tcPr>
            <w:tcW w:w="2375" w:type="dxa"/>
          </w:tcPr>
          <w:p w14:paraId="7F276D29" w14:textId="56F1C6E3" w:rsidR="005133C1" w:rsidRPr="00B026D2" w:rsidRDefault="005133C1" w:rsidP="005133C1">
            <w:pPr>
              <w:rPr>
                <w:rFonts w:cs="Arial"/>
              </w:rPr>
            </w:pPr>
            <w:r w:rsidRPr="00B026D2">
              <w:rPr>
                <w:rFonts w:cs="Arial"/>
              </w:rPr>
              <w:t>100</w:t>
            </w:r>
          </w:p>
        </w:tc>
      </w:tr>
      <w:tr w:rsidR="005133C1" w:rsidRPr="00B026D2" w14:paraId="5234FA27" w14:textId="77777777" w:rsidTr="005133C1">
        <w:tc>
          <w:tcPr>
            <w:tcW w:w="2375" w:type="dxa"/>
          </w:tcPr>
          <w:p w14:paraId="0B6108BC" w14:textId="1467E230" w:rsidR="005133C1" w:rsidRPr="00B026D2" w:rsidRDefault="005133C1" w:rsidP="005133C1">
            <w:pPr>
              <w:rPr>
                <w:rFonts w:cs="Arial"/>
              </w:rPr>
            </w:pPr>
            <w:r w:rsidRPr="00B026D2">
              <w:rPr>
                <w:rFonts w:cs="Arial"/>
              </w:rPr>
              <w:t>500 - 1 000</w:t>
            </w:r>
          </w:p>
        </w:tc>
        <w:tc>
          <w:tcPr>
            <w:tcW w:w="2375" w:type="dxa"/>
          </w:tcPr>
          <w:p w14:paraId="2498C4B4" w14:textId="705CF83E" w:rsidR="005133C1" w:rsidRPr="00B026D2" w:rsidRDefault="005133C1" w:rsidP="005133C1">
            <w:pPr>
              <w:rPr>
                <w:rFonts w:cs="Arial"/>
              </w:rPr>
            </w:pPr>
            <w:r w:rsidRPr="00B026D2">
              <w:rPr>
                <w:rFonts w:cs="Arial"/>
              </w:rPr>
              <w:t>или</w:t>
            </w:r>
          </w:p>
        </w:tc>
        <w:tc>
          <w:tcPr>
            <w:tcW w:w="2375" w:type="dxa"/>
          </w:tcPr>
          <w:p w14:paraId="13BEEDE8" w14:textId="39AC5431" w:rsidR="005133C1" w:rsidRPr="00B026D2" w:rsidRDefault="005133C1" w:rsidP="005133C1">
            <w:pPr>
              <w:rPr>
                <w:rFonts w:cs="Arial"/>
              </w:rPr>
            </w:pPr>
            <w:r w:rsidRPr="00B026D2">
              <w:rPr>
                <w:rFonts w:cs="Arial"/>
              </w:rPr>
              <w:t>50 000-100 000</w:t>
            </w:r>
          </w:p>
        </w:tc>
        <w:tc>
          <w:tcPr>
            <w:tcW w:w="2375" w:type="dxa"/>
          </w:tcPr>
          <w:p w14:paraId="1EB99FD2" w14:textId="2326A469" w:rsidR="005133C1" w:rsidRPr="00B026D2" w:rsidRDefault="005133C1" w:rsidP="005133C1">
            <w:pPr>
              <w:rPr>
                <w:rFonts w:cs="Arial"/>
              </w:rPr>
            </w:pPr>
            <w:r w:rsidRPr="00B026D2">
              <w:rPr>
                <w:rFonts w:cs="Arial"/>
              </w:rPr>
              <w:t>75</w:t>
            </w:r>
          </w:p>
        </w:tc>
      </w:tr>
      <w:tr w:rsidR="005133C1" w:rsidRPr="00B026D2" w14:paraId="61A4AA3C" w14:textId="77777777" w:rsidTr="005133C1">
        <w:tc>
          <w:tcPr>
            <w:tcW w:w="2375" w:type="dxa"/>
          </w:tcPr>
          <w:p w14:paraId="556D9337" w14:textId="1C7E03FF" w:rsidR="005133C1" w:rsidRPr="00B026D2" w:rsidRDefault="005133C1" w:rsidP="005133C1">
            <w:pPr>
              <w:rPr>
                <w:rFonts w:cs="Arial"/>
              </w:rPr>
            </w:pPr>
            <w:r w:rsidRPr="00B026D2">
              <w:rPr>
                <w:rFonts w:cs="Arial"/>
              </w:rPr>
              <w:t>&lt;500</w:t>
            </w:r>
          </w:p>
        </w:tc>
        <w:tc>
          <w:tcPr>
            <w:tcW w:w="2375" w:type="dxa"/>
          </w:tcPr>
          <w:p w14:paraId="67B59825" w14:textId="296C1BCA" w:rsidR="005133C1" w:rsidRPr="00B026D2" w:rsidRDefault="005133C1" w:rsidP="005133C1">
            <w:pPr>
              <w:rPr>
                <w:rFonts w:cs="Arial"/>
              </w:rPr>
            </w:pPr>
            <w:r w:rsidRPr="00B026D2">
              <w:rPr>
                <w:rFonts w:cs="Arial"/>
              </w:rPr>
              <w:t>или</w:t>
            </w:r>
          </w:p>
        </w:tc>
        <w:tc>
          <w:tcPr>
            <w:tcW w:w="2375" w:type="dxa"/>
          </w:tcPr>
          <w:p w14:paraId="3C9AA440" w14:textId="3372D92B" w:rsidR="005133C1" w:rsidRPr="00B026D2" w:rsidRDefault="005133C1" w:rsidP="005133C1">
            <w:pPr>
              <w:rPr>
                <w:rFonts w:cs="Arial"/>
              </w:rPr>
            </w:pPr>
            <w:r w:rsidRPr="00B026D2">
              <w:rPr>
                <w:rFonts w:cs="Arial"/>
              </w:rPr>
              <w:t>&lt; 50 000</w:t>
            </w:r>
          </w:p>
        </w:tc>
        <w:tc>
          <w:tcPr>
            <w:tcW w:w="2375" w:type="dxa"/>
          </w:tcPr>
          <w:p w14:paraId="139BF8CE" w14:textId="3862687E" w:rsidR="005133C1" w:rsidRPr="00B026D2" w:rsidRDefault="005133C1" w:rsidP="005133C1">
            <w:pPr>
              <w:rPr>
                <w:rFonts w:cs="Arial"/>
                <w:lang w:val="en-US"/>
              </w:rPr>
            </w:pPr>
            <w:r w:rsidRPr="00B026D2">
              <w:rPr>
                <w:rFonts w:cs="Arial"/>
              </w:rPr>
              <w:t>Пропускане на доза</w:t>
            </w:r>
            <w:r w:rsidRPr="00B026D2">
              <w:rPr>
                <w:rFonts w:cs="Arial"/>
                <w:lang w:val="en-US"/>
              </w:rPr>
              <w:t>*</w:t>
            </w:r>
          </w:p>
        </w:tc>
      </w:tr>
    </w:tbl>
    <w:p w14:paraId="57878C00" w14:textId="7623AE38" w:rsidR="005133C1" w:rsidRPr="00B026D2" w:rsidRDefault="005133C1" w:rsidP="0091385D">
      <w:pPr>
        <w:rPr>
          <w:rFonts w:cs="Arial"/>
        </w:rPr>
      </w:pPr>
    </w:p>
    <w:p w14:paraId="51DF84E4" w14:textId="77777777" w:rsidR="005133C1" w:rsidRPr="00B026D2" w:rsidRDefault="005133C1" w:rsidP="0091385D">
      <w:pPr>
        <w:rPr>
          <w:rFonts w:cs="Arial"/>
        </w:rPr>
      </w:pPr>
    </w:p>
    <w:p w14:paraId="0BE0EA31" w14:textId="7CC85B9F" w:rsidR="005133C1" w:rsidRPr="005133C1" w:rsidRDefault="005133C1" w:rsidP="005133C1">
      <w:pPr>
        <w:spacing w:line="240" w:lineRule="auto"/>
        <w:rPr>
          <w:rFonts w:eastAsia="Times New Roman" w:cs="Arial"/>
          <w:lang w:eastAsia="bg-BG"/>
        </w:rPr>
      </w:pPr>
      <w:r w:rsidRPr="005133C1">
        <w:rPr>
          <w:rFonts w:eastAsia="Times New Roman" w:cs="Arial"/>
          <w:color w:val="000000"/>
          <w:lang w:eastAsia="bg-BG"/>
        </w:rPr>
        <w:t>*Пропуснатото лечение не се възстановява в рамките на цикъла преди абсолютния брой на гранулоцитите да достигне поне 500 (х10</w:t>
      </w:r>
      <w:r w:rsidRPr="005133C1">
        <w:rPr>
          <w:rFonts w:eastAsia="Times New Roman" w:cs="Arial"/>
          <w:color w:val="000000"/>
          <w:vertAlign w:val="superscript"/>
          <w:lang w:eastAsia="bg-BG"/>
        </w:rPr>
        <w:t>6</w:t>
      </w:r>
      <w:r w:rsidRPr="005133C1">
        <w:rPr>
          <w:rFonts w:eastAsia="Times New Roman" w:cs="Arial"/>
          <w:color w:val="000000"/>
          <w:lang w:eastAsia="bg-BG"/>
        </w:rPr>
        <w:t>/</w:t>
      </w:r>
      <w:r w:rsidRPr="00B026D2">
        <w:rPr>
          <w:rFonts w:eastAsia="Times New Roman" w:cs="Arial"/>
          <w:color w:val="000000"/>
          <w:lang w:val="en-US" w:eastAsia="bg-BG"/>
        </w:rPr>
        <w:t>l</w:t>
      </w:r>
      <w:r w:rsidRPr="005133C1">
        <w:rPr>
          <w:rFonts w:eastAsia="Times New Roman" w:cs="Arial"/>
          <w:color w:val="000000"/>
          <w:lang w:eastAsia="bg-BG"/>
        </w:rPr>
        <w:t>) и броят на тромбоцитите да достигне 50 000 (х10</w:t>
      </w:r>
      <w:r w:rsidRPr="005133C1">
        <w:rPr>
          <w:rFonts w:eastAsia="Times New Roman" w:cs="Arial"/>
          <w:color w:val="000000"/>
          <w:vertAlign w:val="superscript"/>
          <w:lang w:eastAsia="bg-BG"/>
        </w:rPr>
        <w:t>6</w:t>
      </w:r>
      <w:r w:rsidRPr="00B026D2">
        <w:rPr>
          <w:rFonts w:eastAsia="Times New Roman" w:cs="Arial"/>
          <w:color w:val="000000"/>
          <w:lang w:eastAsia="bg-BG"/>
        </w:rPr>
        <w:t>/</w:t>
      </w:r>
      <w:r w:rsidRPr="00B026D2">
        <w:rPr>
          <w:rFonts w:cs="Arial"/>
        </w:rPr>
        <w:t>l</w:t>
      </w:r>
      <w:r w:rsidRPr="005133C1">
        <w:rPr>
          <w:rFonts w:eastAsia="Times New Roman" w:cs="Arial"/>
          <w:color w:val="000000"/>
          <w:lang w:eastAsia="bg-BG"/>
        </w:rPr>
        <w:t>).</w:t>
      </w:r>
    </w:p>
    <w:p w14:paraId="64D05905" w14:textId="77777777" w:rsidR="005133C1" w:rsidRPr="00B026D2" w:rsidRDefault="005133C1" w:rsidP="005133C1">
      <w:pPr>
        <w:rPr>
          <w:rFonts w:eastAsia="Times New Roman" w:cs="Arial"/>
          <w:b/>
          <w:bCs/>
          <w:color w:val="000000"/>
          <w:lang w:eastAsia="bg-BG"/>
        </w:rPr>
      </w:pPr>
    </w:p>
    <w:p w14:paraId="18D673C3" w14:textId="5FAC01DD" w:rsidR="005133C1" w:rsidRPr="00B026D2" w:rsidRDefault="005133C1" w:rsidP="005133C1">
      <w:pPr>
        <w:rPr>
          <w:rFonts w:cs="Arial"/>
        </w:rPr>
      </w:pPr>
      <w:r w:rsidRPr="00B026D2">
        <w:rPr>
          <w:rFonts w:eastAsia="Times New Roman" w:cs="Arial"/>
          <w:b/>
          <w:bCs/>
          <w:color w:val="000000"/>
          <w:lang w:eastAsia="bg-BG"/>
        </w:rPr>
        <w:t>Корекция на дозата на гемцитабин в рамките на един цикъл при карцином на гърдата, прилаган в комбинация с паклитаксел</w:t>
      </w:r>
    </w:p>
    <w:p w14:paraId="407A7623" w14:textId="27F3F793" w:rsidR="005133C1" w:rsidRPr="00B026D2" w:rsidRDefault="005133C1" w:rsidP="0091385D">
      <w:pPr>
        <w:rPr>
          <w:rFonts w:cs="Arial"/>
        </w:rPr>
      </w:pPr>
    </w:p>
    <w:tbl>
      <w:tblPr>
        <w:tblStyle w:val="TableGrid"/>
        <w:tblW w:w="0" w:type="auto"/>
        <w:tblLook w:val="04A0" w:firstRow="1" w:lastRow="0" w:firstColumn="1" w:lastColumn="0" w:noHBand="0" w:noVBand="1"/>
      </w:tblPr>
      <w:tblGrid>
        <w:gridCol w:w="2375"/>
        <w:gridCol w:w="2375"/>
        <w:gridCol w:w="2375"/>
        <w:gridCol w:w="2375"/>
      </w:tblGrid>
      <w:tr w:rsidR="00B026D2" w:rsidRPr="00B026D2" w14:paraId="7DBCD7FA" w14:textId="77777777" w:rsidTr="007437D2">
        <w:tc>
          <w:tcPr>
            <w:tcW w:w="4750" w:type="dxa"/>
            <w:gridSpan w:val="2"/>
          </w:tcPr>
          <w:p w14:paraId="2C93919A" w14:textId="679B71DC" w:rsidR="00B026D2" w:rsidRPr="00B026D2" w:rsidRDefault="00B026D2" w:rsidP="00B026D2">
            <w:pPr>
              <w:rPr>
                <w:rFonts w:cs="Arial"/>
              </w:rPr>
            </w:pPr>
            <w:r w:rsidRPr="00B026D2">
              <w:rPr>
                <w:rFonts w:cs="Arial"/>
                <w:b/>
                <w:bCs/>
              </w:rPr>
              <w:t>Абсолютен брой на гранулоцити (х 10*71)</w:t>
            </w:r>
          </w:p>
        </w:tc>
        <w:tc>
          <w:tcPr>
            <w:tcW w:w="2375" w:type="dxa"/>
          </w:tcPr>
          <w:p w14:paraId="34458F9F" w14:textId="516BF83C" w:rsidR="00B026D2" w:rsidRPr="00B026D2" w:rsidRDefault="00B026D2" w:rsidP="00B026D2">
            <w:pPr>
              <w:rPr>
                <w:rFonts w:cs="Arial"/>
              </w:rPr>
            </w:pPr>
            <w:r w:rsidRPr="00B026D2">
              <w:rPr>
                <w:rFonts w:cs="Arial"/>
                <w:b/>
                <w:bCs/>
              </w:rPr>
              <w:t>Брой на тромбоцити (х 10*71)</w:t>
            </w:r>
          </w:p>
        </w:tc>
        <w:tc>
          <w:tcPr>
            <w:tcW w:w="2375" w:type="dxa"/>
          </w:tcPr>
          <w:p w14:paraId="6BA395F5" w14:textId="361F048B" w:rsidR="00B026D2" w:rsidRPr="00B026D2" w:rsidRDefault="00B026D2" w:rsidP="00B026D2">
            <w:pPr>
              <w:rPr>
                <w:rFonts w:cs="Arial"/>
              </w:rPr>
            </w:pPr>
            <w:r w:rsidRPr="00B026D2">
              <w:rPr>
                <w:rFonts w:cs="Arial"/>
                <w:b/>
                <w:bCs/>
              </w:rPr>
              <w:t>Процент от стандартната доза на гемцитабин (%)</w:t>
            </w:r>
          </w:p>
        </w:tc>
      </w:tr>
      <w:tr w:rsidR="00B026D2" w:rsidRPr="00B026D2" w14:paraId="2D27FFD8" w14:textId="77777777" w:rsidTr="005133C1">
        <w:tc>
          <w:tcPr>
            <w:tcW w:w="2375" w:type="dxa"/>
          </w:tcPr>
          <w:p w14:paraId="07E032F0" w14:textId="5E11F2C9" w:rsidR="00B026D2" w:rsidRPr="00B026D2" w:rsidRDefault="00B026D2" w:rsidP="00B026D2">
            <w:pPr>
              <w:rPr>
                <w:rFonts w:cs="Arial"/>
              </w:rPr>
            </w:pPr>
            <w:r w:rsidRPr="00B026D2">
              <w:rPr>
                <w:rFonts w:cs="Arial"/>
              </w:rPr>
              <w:t>≥ 1 200</w:t>
            </w:r>
          </w:p>
        </w:tc>
        <w:tc>
          <w:tcPr>
            <w:tcW w:w="2375" w:type="dxa"/>
          </w:tcPr>
          <w:p w14:paraId="3F0EC7B3" w14:textId="719BF477" w:rsidR="00B026D2" w:rsidRPr="00B026D2" w:rsidRDefault="00B026D2" w:rsidP="00B026D2">
            <w:pPr>
              <w:rPr>
                <w:rFonts w:cs="Arial"/>
              </w:rPr>
            </w:pPr>
            <w:r w:rsidRPr="00B026D2">
              <w:rPr>
                <w:rFonts w:cs="Arial"/>
              </w:rPr>
              <w:t>и</w:t>
            </w:r>
          </w:p>
        </w:tc>
        <w:tc>
          <w:tcPr>
            <w:tcW w:w="2375" w:type="dxa"/>
          </w:tcPr>
          <w:p w14:paraId="351005CE" w14:textId="06FE6535" w:rsidR="00B026D2" w:rsidRPr="00B026D2" w:rsidRDefault="00B026D2" w:rsidP="00B026D2">
            <w:pPr>
              <w:rPr>
                <w:rFonts w:cs="Arial"/>
              </w:rPr>
            </w:pPr>
            <w:r w:rsidRPr="00B026D2">
              <w:rPr>
                <w:rFonts w:cs="Arial"/>
              </w:rPr>
              <w:t>&gt; 75 000</w:t>
            </w:r>
          </w:p>
        </w:tc>
        <w:tc>
          <w:tcPr>
            <w:tcW w:w="2375" w:type="dxa"/>
          </w:tcPr>
          <w:p w14:paraId="42BB7944" w14:textId="687D4BFD" w:rsidR="00B026D2" w:rsidRPr="00B026D2" w:rsidRDefault="00B026D2" w:rsidP="00B026D2">
            <w:pPr>
              <w:rPr>
                <w:rFonts w:cs="Arial"/>
              </w:rPr>
            </w:pPr>
            <w:r w:rsidRPr="00B026D2">
              <w:rPr>
                <w:rFonts w:cs="Arial"/>
              </w:rPr>
              <w:t>100</w:t>
            </w:r>
          </w:p>
        </w:tc>
      </w:tr>
      <w:tr w:rsidR="00B026D2" w:rsidRPr="00B026D2" w14:paraId="071691A2" w14:textId="77777777" w:rsidTr="005133C1">
        <w:tc>
          <w:tcPr>
            <w:tcW w:w="2375" w:type="dxa"/>
          </w:tcPr>
          <w:p w14:paraId="50B69B50" w14:textId="29D9096B" w:rsidR="00B026D2" w:rsidRPr="00B026D2" w:rsidRDefault="00B026D2" w:rsidP="00B026D2">
            <w:pPr>
              <w:rPr>
                <w:rFonts w:cs="Arial"/>
              </w:rPr>
            </w:pPr>
            <w:r w:rsidRPr="00B026D2">
              <w:rPr>
                <w:rFonts w:cs="Arial"/>
              </w:rPr>
              <w:t>1 000 - &lt; 1 200</w:t>
            </w:r>
          </w:p>
        </w:tc>
        <w:tc>
          <w:tcPr>
            <w:tcW w:w="2375" w:type="dxa"/>
          </w:tcPr>
          <w:p w14:paraId="087131E5" w14:textId="064B25EA" w:rsidR="00B026D2" w:rsidRPr="00B026D2" w:rsidRDefault="00B026D2" w:rsidP="00B026D2">
            <w:pPr>
              <w:rPr>
                <w:rFonts w:cs="Arial"/>
              </w:rPr>
            </w:pPr>
            <w:r w:rsidRPr="00B026D2">
              <w:rPr>
                <w:rFonts w:cs="Arial"/>
              </w:rPr>
              <w:t>или</w:t>
            </w:r>
          </w:p>
        </w:tc>
        <w:tc>
          <w:tcPr>
            <w:tcW w:w="2375" w:type="dxa"/>
          </w:tcPr>
          <w:p w14:paraId="7993CBE5" w14:textId="0BFA45E5" w:rsidR="00B026D2" w:rsidRPr="00B026D2" w:rsidRDefault="00B026D2" w:rsidP="00B026D2">
            <w:pPr>
              <w:rPr>
                <w:rFonts w:cs="Arial"/>
              </w:rPr>
            </w:pPr>
            <w:r w:rsidRPr="00B026D2">
              <w:rPr>
                <w:rFonts w:cs="Arial"/>
              </w:rPr>
              <w:t>50 000 - 75 000</w:t>
            </w:r>
          </w:p>
        </w:tc>
        <w:tc>
          <w:tcPr>
            <w:tcW w:w="2375" w:type="dxa"/>
          </w:tcPr>
          <w:p w14:paraId="360208C1" w14:textId="1B582B66" w:rsidR="00B026D2" w:rsidRPr="00B026D2" w:rsidRDefault="00B026D2" w:rsidP="00B026D2">
            <w:pPr>
              <w:rPr>
                <w:rFonts w:cs="Arial"/>
              </w:rPr>
            </w:pPr>
            <w:r w:rsidRPr="00B026D2">
              <w:rPr>
                <w:rFonts w:cs="Arial"/>
              </w:rPr>
              <w:t>75</w:t>
            </w:r>
          </w:p>
        </w:tc>
      </w:tr>
      <w:tr w:rsidR="00B026D2" w:rsidRPr="00B026D2" w14:paraId="5DF36542" w14:textId="77777777" w:rsidTr="005133C1">
        <w:tc>
          <w:tcPr>
            <w:tcW w:w="2375" w:type="dxa"/>
          </w:tcPr>
          <w:p w14:paraId="07DDAC34" w14:textId="2085AD4A" w:rsidR="00B026D2" w:rsidRPr="00B026D2" w:rsidRDefault="00B026D2" w:rsidP="00B026D2">
            <w:pPr>
              <w:rPr>
                <w:rFonts w:cs="Arial"/>
              </w:rPr>
            </w:pPr>
            <w:r w:rsidRPr="00B026D2">
              <w:rPr>
                <w:rFonts w:cs="Arial"/>
              </w:rPr>
              <w:t>700 - &lt; 1 000</w:t>
            </w:r>
          </w:p>
        </w:tc>
        <w:tc>
          <w:tcPr>
            <w:tcW w:w="2375" w:type="dxa"/>
          </w:tcPr>
          <w:p w14:paraId="5E23EAC8" w14:textId="4355C36E" w:rsidR="00B026D2" w:rsidRPr="00B026D2" w:rsidRDefault="00B026D2" w:rsidP="00B026D2">
            <w:pPr>
              <w:rPr>
                <w:rFonts w:cs="Arial"/>
              </w:rPr>
            </w:pPr>
            <w:r w:rsidRPr="00B026D2">
              <w:rPr>
                <w:rFonts w:cs="Arial"/>
              </w:rPr>
              <w:t>и</w:t>
            </w:r>
          </w:p>
        </w:tc>
        <w:tc>
          <w:tcPr>
            <w:tcW w:w="2375" w:type="dxa"/>
          </w:tcPr>
          <w:p w14:paraId="22F2D4B9" w14:textId="4C371ABE" w:rsidR="00B026D2" w:rsidRPr="00B026D2" w:rsidRDefault="00B026D2" w:rsidP="00B026D2">
            <w:pPr>
              <w:rPr>
                <w:rFonts w:cs="Arial"/>
              </w:rPr>
            </w:pPr>
            <w:r w:rsidRPr="00B026D2">
              <w:rPr>
                <w:rFonts w:cs="Arial"/>
              </w:rPr>
              <w:t>≥ 50 000</w:t>
            </w:r>
          </w:p>
        </w:tc>
        <w:tc>
          <w:tcPr>
            <w:tcW w:w="2375" w:type="dxa"/>
          </w:tcPr>
          <w:p w14:paraId="58D77D6B" w14:textId="7909C54F" w:rsidR="00B026D2" w:rsidRPr="00B026D2" w:rsidRDefault="00B026D2" w:rsidP="00B026D2">
            <w:pPr>
              <w:rPr>
                <w:rFonts w:cs="Arial"/>
              </w:rPr>
            </w:pPr>
            <w:r w:rsidRPr="00B026D2">
              <w:rPr>
                <w:rFonts w:cs="Arial"/>
              </w:rPr>
              <w:t>50</w:t>
            </w:r>
          </w:p>
        </w:tc>
      </w:tr>
      <w:tr w:rsidR="00B026D2" w:rsidRPr="00B026D2" w14:paraId="1F1DD398" w14:textId="77777777" w:rsidTr="005133C1">
        <w:tc>
          <w:tcPr>
            <w:tcW w:w="2375" w:type="dxa"/>
          </w:tcPr>
          <w:p w14:paraId="5D808AB0" w14:textId="06E3632F" w:rsidR="00B026D2" w:rsidRPr="00B026D2" w:rsidRDefault="00B026D2" w:rsidP="00B026D2">
            <w:pPr>
              <w:rPr>
                <w:rFonts w:cs="Arial"/>
              </w:rPr>
            </w:pPr>
            <w:r w:rsidRPr="00B026D2">
              <w:rPr>
                <w:rFonts w:cs="Arial"/>
              </w:rPr>
              <w:t>&lt;700</w:t>
            </w:r>
          </w:p>
        </w:tc>
        <w:tc>
          <w:tcPr>
            <w:tcW w:w="2375" w:type="dxa"/>
          </w:tcPr>
          <w:p w14:paraId="2755697D" w14:textId="5C60C2BC" w:rsidR="00B026D2" w:rsidRPr="00B026D2" w:rsidRDefault="00B026D2" w:rsidP="00B026D2">
            <w:pPr>
              <w:rPr>
                <w:rFonts w:cs="Arial"/>
              </w:rPr>
            </w:pPr>
            <w:r w:rsidRPr="00B026D2">
              <w:rPr>
                <w:rFonts w:cs="Arial"/>
              </w:rPr>
              <w:t>или</w:t>
            </w:r>
          </w:p>
        </w:tc>
        <w:tc>
          <w:tcPr>
            <w:tcW w:w="2375" w:type="dxa"/>
          </w:tcPr>
          <w:p w14:paraId="12BCBB4D" w14:textId="071B9D23" w:rsidR="00B026D2" w:rsidRPr="00B026D2" w:rsidRDefault="00B026D2" w:rsidP="00B026D2">
            <w:pPr>
              <w:rPr>
                <w:rFonts w:cs="Arial"/>
              </w:rPr>
            </w:pPr>
            <w:r w:rsidRPr="00B026D2">
              <w:rPr>
                <w:rFonts w:cs="Arial"/>
              </w:rPr>
              <w:t>&lt; 50 000</w:t>
            </w:r>
          </w:p>
        </w:tc>
        <w:tc>
          <w:tcPr>
            <w:tcW w:w="2375" w:type="dxa"/>
          </w:tcPr>
          <w:p w14:paraId="6D6A391C" w14:textId="75FFD5E7" w:rsidR="00B026D2" w:rsidRPr="00B026D2" w:rsidRDefault="00B026D2" w:rsidP="00B026D2">
            <w:pPr>
              <w:rPr>
                <w:rFonts w:cs="Arial"/>
              </w:rPr>
            </w:pPr>
            <w:r w:rsidRPr="00B026D2">
              <w:rPr>
                <w:rFonts w:cs="Arial"/>
              </w:rPr>
              <w:t>Пропускане на доза*</w:t>
            </w:r>
          </w:p>
        </w:tc>
      </w:tr>
    </w:tbl>
    <w:p w14:paraId="556D8550" w14:textId="6143DAC3" w:rsidR="005133C1" w:rsidRDefault="005133C1" w:rsidP="0091385D"/>
    <w:p w14:paraId="032C6068" w14:textId="587B2908" w:rsidR="005133C1" w:rsidRDefault="005133C1" w:rsidP="0091385D"/>
    <w:p w14:paraId="07E1FB0B" w14:textId="691578DC" w:rsidR="005133C1" w:rsidRPr="005133C1" w:rsidRDefault="005133C1" w:rsidP="0091385D">
      <w:r w:rsidRPr="005133C1">
        <w:t>* Пропуснатото лечение не се възстановява в рамките на цикъла. Лечението започва на 1 -ви ден от следващия цикъл, когато абсолютният брой на гранулоцитите достигне поне 1 500 (х10</w:t>
      </w:r>
      <w:r w:rsidRPr="005133C1">
        <w:rPr>
          <w:vertAlign w:val="superscript"/>
        </w:rPr>
        <w:t>6</w:t>
      </w:r>
      <w:r>
        <w:t>/l</w:t>
      </w:r>
      <w:r w:rsidRPr="005133C1">
        <w:t>) и броят на тромбоцитите достигне 100 000 (х10</w:t>
      </w:r>
      <w:r w:rsidRPr="005133C1">
        <w:rPr>
          <w:vertAlign w:val="superscript"/>
        </w:rPr>
        <w:t>6</w:t>
      </w:r>
      <w:r>
        <w:t>/l</w:t>
      </w:r>
      <w:r w:rsidRPr="005133C1">
        <w:t>).</w:t>
      </w:r>
    </w:p>
    <w:p w14:paraId="4D556D03" w14:textId="564B41C3" w:rsidR="005133C1" w:rsidRDefault="005133C1" w:rsidP="0091385D"/>
    <w:tbl>
      <w:tblPr>
        <w:tblStyle w:val="TableGrid"/>
        <w:tblW w:w="0" w:type="auto"/>
        <w:tblLook w:val="04A0" w:firstRow="1" w:lastRow="0" w:firstColumn="1" w:lastColumn="0" w:noHBand="0" w:noVBand="1"/>
      </w:tblPr>
      <w:tblGrid>
        <w:gridCol w:w="2375"/>
        <w:gridCol w:w="2375"/>
        <w:gridCol w:w="2375"/>
        <w:gridCol w:w="2375"/>
      </w:tblGrid>
      <w:tr w:rsidR="005133C1" w14:paraId="152F7CD5" w14:textId="77777777" w:rsidTr="007437D2">
        <w:tc>
          <w:tcPr>
            <w:tcW w:w="9500" w:type="dxa"/>
            <w:gridSpan w:val="4"/>
          </w:tcPr>
          <w:p w14:paraId="155FBF02" w14:textId="79888798" w:rsidR="005133C1" w:rsidRDefault="00B026D2" w:rsidP="0091385D">
            <w:r>
              <w:rPr>
                <w:b/>
                <w:bCs/>
              </w:rPr>
              <w:t>Корекция на дозата на гемцитабин в рамките на цикъла при карцином на яйчника, прилаган в комбинация с карбоплатин</w:t>
            </w:r>
          </w:p>
        </w:tc>
      </w:tr>
      <w:tr w:rsidR="00B026D2" w14:paraId="210A5E26" w14:textId="77777777" w:rsidTr="007437D2">
        <w:tc>
          <w:tcPr>
            <w:tcW w:w="4750" w:type="dxa"/>
            <w:gridSpan w:val="2"/>
          </w:tcPr>
          <w:p w14:paraId="4E244B4F" w14:textId="6EF0D784" w:rsidR="00B026D2" w:rsidRPr="00B026D2" w:rsidRDefault="00B026D2" w:rsidP="00B026D2">
            <w:r w:rsidRPr="00B026D2">
              <w:rPr>
                <w:b/>
                <w:bCs/>
              </w:rPr>
              <w:t>Абсолютен брой на гранулоцити (х 10*71)</w:t>
            </w:r>
          </w:p>
        </w:tc>
        <w:tc>
          <w:tcPr>
            <w:tcW w:w="2375" w:type="dxa"/>
          </w:tcPr>
          <w:p w14:paraId="6169F0F6" w14:textId="2888CDF4" w:rsidR="00B026D2" w:rsidRPr="00B026D2" w:rsidRDefault="00B026D2" w:rsidP="00B026D2">
            <w:r w:rsidRPr="00B026D2">
              <w:rPr>
                <w:b/>
                <w:bCs/>
              </w:rPr>
              <w:t>Брой на тромбоцити (х 10</w:t>
            </w:r>
            <w:r w:rsidRPr="00B026D2">
              <w:rPr>
                <w:b/>
                <w:bCs/>
                <w:vertAlign w:val="superscript"/>
              </w:rPr>
              <w:t>6</w:t>
            </w:r>
            <w:r w:rsidRPr="00B026D2">
              <w:rPr>
                <w:b/>
                <w:bCs/>
              </w:rPr>
              <w:t>/1)</w:t>
            </w:r>
          </w:p>
        </w:tc>
        <w:tc>
          <w:tcPr>
            <w:tcW w:w="2375" w:type="dxa"/>
          </w:tcPr>
          <w:p w14:paraId="384DF059" w14:textId="2351CBCE" w:rsidR="00B026D2" w:rsidRPr="00B026D2" w:rsidRDefault="00B026D2" w:rsidP="00B026D2">
            <w:r w:rsidRPr="00B026D2">
              <w:rPr>
                <w:b/>
                <w:bCs/>
              </w:rPr>
              <w:t>Процент от стандартната доза на гемцитабин (%)</w:t>
            </w:r>
          </w:p>
        </w:tc>
      </w:tr>
      <w:tr w:rsidR="00B026D2" w14:paraId="79B91F22" w14:textId="77777777" w:rsidTr="005133C1">
        <w:tc>
          <w:tcPr>
            <w:tcW w:w="2375" w:type="dxa"/>
          </w:tcPr>
          <w:p w14:paraId="25CAAD26" w14:textId="46A3AF8F" w:rsidR="00B026D2" w:rsidRPr="00B026D2" w:rsidRDefault="00B026D2" w:rsidP="00B026D2">
            <w:r w:rsidRPr="00B026D2">
              <w:t>&gt; 1 500</w:t>
            </w:r>
          </w:p>
        </w:tc>
        <w:tc>
          <w:tcPr>
            <w:tcW w:w="2375" w:type="dxa"/>
          </w:tcPr>
          <w:p w14:paraId="6B61605F" w14:textId="1092E056" w:rsidR="00B026D2" w:rsidRPr="00B026D2" w:rsidRDefault="00B026D2" w:rsidP="00B026D2">
            <w:r w:rsidRPr="00B026D2">
              <w:t>и</w:t>
            </w:r>
          </w:p>
        </w:tc>
        <w:tc>
          <w:tcPr>
            <w:tcW w:w="2375" w:type="dxa"/>
          </w:tcPr>
          <w:p w14:paraId="11BB06FD" w14:textId="6DB4FF7B" w:rsidR="00B026D2" w:rsidRPr="00B026D2" w:rsidRDefault="00B026D2" w:rsidP="00B026D2">
            <w:r w:rsidRPr="00B026D2">
              <w:t>≥ 100 000</w:t>
            </w:r>
          </w:p>
        </w:tc>
        <w:tc>
          <w:tcPr>
            <w:tcW w:w="2375" w:type="dxa"/>
          </w:tcPr>
          <w:p w14:paraId="4F07CFBB" w14:textId="53BA1362" w:rsidR="00B026D2" w:rsidRPr="00B026D2" w:rsidRDefault="00B026D2" w:rsidP="00B026D2">
            <w:r w:rsidRPr="00B026D2">
              <w:t>100</w:t>
            </w:r>
          </w:p>
        </w:tc>
      </w:tr>
      <w:tr w:rsidR="00B026D2" w14:paraId="2D4AEDD1" w14:textId="77777777" w:rsidTr="005133C1">
        <w:tc>
          <w:tcPr>
            <w:tcW w:w="2375" w:type="dxa"/>
          </w:tcPr>
          <w:p w14:paraId="4DEC5243" w14:textId="248680A1" w:rsidR="00B026D2" w:rsidRPr="00B026D2" w:rsidRDefault="00B026D2" w:rsidP="00B026D2">
            <w:r w:rsidRPr="00B026D2">
              <w:t>1 000 - 1 500</w:t>
            </w:r>
          </w:p>
        </w:tc>
        <w:tc>
          <w:tcPr>
            <w:tcW w:w="2375" w:type="dxa"/>
          </w:tcPr>
          <w:p w14:paraId="7E1CB85E" w14:textId="570154CA" w:rsidR="00B026D2" w:rsidRPr="00B026D2" w:rsidRDefault="00B026D2" w:rsidP="00B026D2">
            <w:r w:rsidRPr="00B026D2">
              <w:t>или</w:t>
            </w:r>
          </w:p>
        </w:tc>
        <w:tc>
          <w:tcPr>
            <w:tcW w:w="2375" w:type="dxa"/>
          </w:tcPr>
          <w:p w14:paraId="2ED9DACC" w14:textId="691E9AFA" w:rsidR="00B026D2" w:rsidRPr="00B026D2" w:rsidRDefault="00B026D2" w:rsidP="00B026D2">
            <w:r w:rsidRPr="00B026D2">
              <w:t>75 000- 100 000</w:t>
            </w:r>
          </w:p>
        </w:tc>
        <w:tc>
          <w:tcPr>
            <w:tcW w:w="2375" w:type="dxa"/>
          </w:tcPr>
          <w:p w14:paraId="76AB8645" w14:textId="562C619B" w:rsidR="00B026D2" w:rsidRPr="00B026D2" w:rsidRDefault="00B026D2" w:rsidP="00B026D2">
            <w:r w:rsidRPr="00B026D2">
              <w:t>50</w:t>
            </w:r>
          </w:p>
        </w:tc>
      </w:tr>
      <w:tr w:rsidR="00B026D2" w14:paraId="05CE62E9" w14:textId="77777777" w:rsidTr="005133C1">
        <w:tc>
          <w:tcPr>
            <w:tcW w:w="2375" w:type="dxa"/>
          </w:tcPr>
          <w:p w14:paraId="2E92425E" w14:textId="7FA949A7" w:rsidR="00B026D2" w:rsidRPr="00B026D2" w:rsidRDefault="00B026D2" w:rsidP="00B026D2">
            <w:r w:rsidRPr="00B026D2">
              <w:t>&lt;1000</w:t>
            </w:r>
          </w:p>
        </w:tc>
        <w:tc>
          <w:tcPr>
            <w:tcW w:w="2375" w:type="dxa"/>
          </w:tcPr>
          <w:p w14:paraId="3C08E904" w14:textId="1C7B7D69" w:rsidR="00B026D2" w:rsidRPr="00B026D2" w:rsidRDefault="00B026D2" w:rsidP="00B026D2">
            <w:r w:rsidRPr="00B026D2">
              <w:t>или</w:t>
            </w:r>
          </w:p>
        </w:tc>
        <w:tc>
          <w:tcPr>
            <w:tcW w:w="2375" w:type="dxa"/>
          </w:tcPr>
          <w:p w14:paraId="3CE00244" w14:textId="4886F4CB" w:rsidR="00B026D2" w:rsidRPr="00B026D2" w:rsidRDefault="00B026D2" w:rsidP="00B026D2">
            <w:r w:rsidRPr="00B026D2">
              <w:t>&lt; 75 000</w:t>
            </w:r>
          </w:p>
        </w:tc>
        <w:tc>
          <w:tcPr>
            <w:tcW w:w="2375" w:type="dxa"/>
          </w:tcPr>
          <w:p w14:paraId="78C3ACF0" w14:textId="68D1F2EA" w:rsidR="00B026D2" w:rsidRPr="00B026D2" w:rsidRDefault="00B026D2" w:rsidP="00B026D2">
            <w:r>
              <w:t>Пропускане на доза</w:t>
            </w:r>
            <w:r w:rsidRPr="00B026D2">
              <w:t>*</w:t>
            </w:r>
          </w:p>
        </w:tc>
      </w:tr>
    </w:tbl>
    <w:p w14:paraId="2026C3FD" w14:textId="0A3974D7" w:rsidR="005133C1" w:rsidRDefault="005133C1" w:rsidP="0091385D"/>
    <w:p w14:paraId="066504ED"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*Пропуснатото лечение не се възстановява в рамките на цикъла. Лечението започва на 1-ви ден от следващия цикъл, когато абсолютният брой на гранулоцитите достигне поне 1 500 (х10</w:t>
      </w:r>
      <w:r w:rsidRPr="00B026D2">
        <w:rPr>
          <w:rFonts w:eastAsia="Times New Roman" w:cs="Arial"/>
          <w:color w:val="000000"/>
          <w:vertAlign w:val="superscript"/>
          <w:lang w:eastAsia="bg-BG"/>
        </w:rPr>
        <w:t>6</w:t>
      </w:r>
      <w:r w:rsidRPr="00B026D2">
        <w:rPr>
          <w:rFonts w:eastAsia="Times New Roman" w:cs="Arial"/>
          <w:color w:val="000000"/>
          <w:lang w:eastAsia="bg-BG"/>
        </w:rPr>
        <w:t>/1) и броят на тромбоцитите достигне 100 000 (х 10*71).</w:t>
      </w:r>
    </w:p>
    <w:p w14:paraId="0F216F2E" w14:textId="77777777" w:rsidR="00B026D2" w:rsidRPr="00B026D2" w:rsidRDefault="00B026D2" w:rsidP="00B026D2">
      <w:pPr>
        <w:spacing w:line="240" w:lineRule="auto"/>
        <w:rPr>
          <w:rFonts w:eastAsia="Times New Roman" w:cs="Arial"/>
          <w:i/>
          <w:iCs/>
          <w:color w:val="000000"/>
          <w:lang w:eastAsia="bg-BG"/>
        </w:rPr>
      </w:pPr>
    </w:p>
    <w:p w14:paraId="6C7AAE7E" w14:textId="6CDA55FB" w:rsidR="00B026D2" w:rsidRPr="00B026D2" w:rsidRDefault="00B026D2" w:rsidP="00B026D2">
      <w:pPr>
        <w:spacing w:line="240" w:lineRule="auto"/>
        <w:rPr>
          <w:rFonts w:eastAsia="Times New Roman" w:cs="Arial"/>
          <w:sz w:val="24"/>
          <w:szCs w:val="24"/>
          <w:lang w:eastAsia="bg-BG"/>
        </w:rPr>
      </w:pPr>
      <w:r w:rsidRPr="00B026D2">
        <w:rPr>
          <w:rFonts w:eastAsia="Times New Roman" w:cs="Arial"/>
          <w:i/>
          <w:iCs/>
          <w:color w:val="000000"/>
          <w:lang w:eastAsia="bg-BG"/>
        </w:rPr>
        <w:t>Промени на дозата поради хематологична токсичност в последващи цикли за всички показания</w:t>
      </w:r>
    </w:p>
    <w:p w14:paraId="39851308"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Дозата на гемцитабин трябва да се редуцира до 75% от първоначалната стартова доза за цикъла в случай на следната хематологична токсичност:</w:t>
      </w:r>
    </w:p>
    <w:p w14:paraId="37D325A4" w14:textId="77777777" w:rsidR="00B026D2" w:rsidRDefault="00B026D2" w:rsidP="00DC4567">
      <w:pPr>
        <w:pStyle w:val="ListParagraph"/>
        <w:numPr>
          <w:ilvl w:val="0"/>
          <w:numId w:val="1"/>
        </w:numPr>
        <w:spacing w:line="240" w:lineRule="auto"/>
        <w:rPr>
          <w:rFonts w:eastAsia="Times New Roman" w:cs="Arial"/>
          <w:color w:val="000000"/>
          <w:lang w:eastAsia="bg-BG"/>
        </w:rPr>
      </w:pPr>
      <w:r w:rsidRPr="00B026D2">
        <w:rPr>
          <w:rFonts w:eastAsia="Times New Roman" w:cs="Arial"/>
          <w:color w:val="000000"/>
          <w:lang w:eastAsia="bg-BG"/>
        </w:rPr>
        <w:t>Абсолютен брой на гранулоцитите &lt; 500 х 10</w:t>
      </w:r>
      <w:r w:rsidRPr="00B026D2">
        <w:rPr>
          <w:rFonts w:eastAsia="Times New Roman" w:cs="Arial"/>
          <w:color w:val="000000"/>
          <w:vertAlign w:val="superscript"/>
          <w:lang w:eastAsia="bg-BG"/>
        </w:rPr>
        <w:t>6</w:t>
      </w:r>
      <w:r w:rsidRPr="00B026D2">
        <w:rPr>
          <w:rFonts w:eastAsia="Times New Roman" w:cs="Arial"/>
          <w:color w:val="000000"/>
          <w:lang w:eastAsia="bg-BG"/>
        </w:rPr>
        <w:t>/1 за повече от 5 дни</w:t>
      </w:r>
    </w:p>
    <w:p w14:paraId="5C4DB3AA" w14:textId="77777777" w:rsidR="00B026D2" w:rsidRDefault="00B026D2" w:rsidP="00DC4567">
      <w:pPr>
        <w:pStyle w:val="ListParagraph"/>
        <w:numPr>
          <w:ilvl w:val="0"/>
          <w:numId w:val="1"/>
        </w:numPr>
        <w:spacing w:line="240" w:lineRule="auto"/>
        <w:rPr>
          <w:rFonts w:eastAsia="Times New Roman" w:cs="Arial"/>
          <w:color w:val="000000"/>
          <w:lang w:eastAsia="bg-BG"/>
        </w:rPr>
      </w:pPr>
      <w:r w:rsidRPr="00B026D2">
        <w:rPr>
          <w:rFonts w:eastAsia="Times New Roman" w:cs="Arial"/>
          <w:color w:val="000000"/>
          <w:lang w:eastAsia="bg-BG"/>
        </w:rPr>
        <w:t>Абсолютен брой на гранулоцитите &lt; 100 х 10</w:t>
      </w:r>
      <w:r w:rsidRPr="00B026D2">
        <w:rPr>
          <w:rFonts w:eastAsia="Times New Roman" w:cs="Arial"/>
          <w:color w:val="000000"/>
          <w:vertAlign w:val="superscript"/>
          <w:lang w:eastAsia="bg-BG"/>
        </w:rPr>
        <w:t>6</w:t>
      </w:r>
      <w:r w:rsidRPr="00B026D2">
        <w:rPr>
          <w:rFonts w:eastAsia="Times New Roman" w:cs="Arial"/>
          <w:color w:val="000000"/>
          <w:lang w:eastAsia="bg-BG"/>
        </w:rPr>
        <w:t>/1 за повече от 3 дни</w:t>
      </w:r>
    </w:p>
    <w:p w14:paraId="74F94E69" w14:textId="77777777" w:rsidR="00B026D2" w:rsidRDefault="00B026D2" w:rsidP="00DC4567">
      <w:pPr>
        <w:pStyle w:val="ListParagraph"/>
        <w:numPr>
          <w:ilvl w:val="0"/>
          <w:numId w:val="1"/>
        </w:numPr>
        <w:spacing w:line="240" w:lineRule="auto"/>
        <w:rPr>
          <w:rFonts w:eastAsia="Times New Roman" w:cs="Arial"/>
          <w:color w:val="000000"/>
          <w:lang w:eastAsia="bg-BG"/>
        </w:rPr>
      </w:pPr>
      <w:r w:rsidRPr="00B026D2">
        <w:rPr>
          <w:rFonts w:eastAsia="Times New Roman" w:cs="Arial"/>
          <w:color w:val="000000"/>
          <w:lang w:eastAsia="bg-BG"/>
        </w:rPr>
        <w:t>Фебрилна неутропения</w:t>
      </w:r>
    </w:p>
    <w:p w14:paraId="0E136561" w14:textId="77777777" w:rsidR="00B026D2" w:rsidRDefault="00B026D2" w:rsidP="00DC4567">
      <w:pPr>
        <w:pStyle w:val="ListParagraph"/>
        <w:numPr>
          <w:ilvl w:val="0"/>
          <w:numId w:val="1"/>
        </w:numPr>
        <w:spacing w:line="240" w:lineRule="auto"/>
        <w:rPr>
          <w:rFonts w:eastAsia="Times New Roman" w:cs="Arial"/>
          <w:color w:val="000000"/>
          <w:lang w:eastAsia="bg-BG"/>
        </w:rPr>
      </w:pPr>
      <w:r w:rsidRPr="00B026D2">
        <w:rPr>
          <w:rFonts w:eastAsia="Times New Roman" w:cs="Arial"/>
          <w:color w:val="000000"/>
          <w:lang w:eastAsia="bg-BG"/>
        </w:rPr>
        <w:lastRenderedPageBreak/>
        <w:t>Тромбоцити &lt; 25 000 х 10*71</w:t>
      </w:r>
    </w:p>
    <w:p w14:paraId="7D5E56FE" w14:textId="3684573C" w:rsidR="00B026D2" w:rsidRPr="00B026D2" w:rsidRDefault="00B026D2" w:rsidP="00DC4567">
      <w:pPr>
        <w:pStyle w:val="ListParagraph"/>
        <w:numPr>
          <w:ilvl w:val="0"/>
          <w:numId w:val="1"/>
        </w:numPr>
        <w:spacing w:line="240" w:lineRule="auto"/>
        <w:rPr>
          <w:rFonts w:eastAsia="Times New Roman" w:cs="Arial"/>
          <w:color w:val="000000"/>
          <w:lang w:eastAsia="bg-BG"/>
        </w:rPr>
      </w:pPr>
      <w:r w:rsidRPr="00B026D2">
        <w:rPr>
          <w:rFonts w:eastAsia="Times New Roman" w:cs="Arial"/>
          <w:color w:val="000000"/>
          <w:lang w:eastAsia="bg-BG"/>
        </w:rPr>
        <w:t>Забавяне на цикъла с повече от една седмица поради токсичност</w:t>
      </w:r>
    </w:p>
    <w:p w14:paraId="1C7AB127" w14:textId="77777777" w:rsidR="00B026D2" w:rsidRPr="00B026D2" w:rsidRDefault="00B026D2" w:rsidP="00B026D2">
      <w:pPr>
        <w:spacing w:line="240" w:lineRule="auto"/>
        <w:rPr>
          <w:rFonts w:eastAsia="Times New Roman" w:cs="Arial"/>
          <w:color w:val="000000"/>
          <w:u w:val="single"/>
          <w:lang w:eastAsia="bg-BG"/>
        </w:rPr>
      </w:pPr>
    </w:p>
    <w:p w14:paraId="273C46C3" w14:textId="3E389A0D" w:rsidR="00B026D2" w:rsidRPr="00B026D2" w:rsidRDefault="00B026D2" w:rsidP="00B026D2">
      <w:pPr>
        <w:pStyle w:val="Heading3"/>
        <w:rPr>
          <w:rFonts w:eastAsia="Times New Roman"/>
          <w:u w:val="single"/>
          <w:lang w:eastAsia="bg-BG"/>
        </w:rPr>
      </w:pPr>
      <w:r w:rsidRPr="00B026D2">
        <w:rPr>
          <w:rFonts w:eastAsia="Times New Roman"/>
          <w:u w:val="single"/>
          <w:lang w:eastAsia="bg-BG"/>
        </w:rPr>
        <w:t xml:space="preserve">Начин </w:t>
      </w:r>
      <w:bookmarkStart w:id="1" w:name="_GoBack"/>
      <w:bookmarkEnd w:id="1"/>
      <w:r w:rsidRPr="00B026D2">
        <w:rPr>
          <w:rFonts w:eastAsia="Times New Roman"/>
          <w:u w:val="single"/>
          <w:lang w:eastAsia="bg-BG"/>
        </w:rPr>
        <w:t>на приложение</w:t>
      </w:r>
    </w:p>
    <w:p w14:paraId="33187182" w14:textId="77777777" w:rsidR="00B026D2" w:rsidRPr="00B026D2" w:rsidRDefault="00B026D2" w:rsidP="00B026D2">
      <w:pPr>
        <w:spacing w:line="240" w:lineRule="auto"/>
        <w:rPr>
          <w:rFonts w:eastAsia="Times New Roman" w:cs="Arial"/>
          <w:color w:val="000000"/>
          <w:lang w:eastAsia="bg-BG"/>
        </w:rPr>
      </w:pPr>
    </w:p>
    <w:p w14:paraId="4E735D50" w14:textId="29EAE323"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Гемцитабин Актавис се понася добре по време на инфузия и може да се прилага амбулаторно. Ако настъпи екстравазация, инфузията обикновено трябва да се спре веднага и да започне отново в друг кръвоносен съд. Пациентът трябва внимателно да се проследява след приложението.</w:t>
      </w:r>
    </w:p>
    <w:p w14:paraId="3ABF3B36" w14:textId="77777777" w:rsidR="00B026D2" w:rsidRPr="00B026D2" w:rsidRDefault="00B026D2" w:rsidP="00B026D2">
      <w:pPr>
        <w:spacing w:line="240" w:lineRule="auto"/>
        <w:rPr>
          <w:rFonts w:eastAsia="Times New Roman" w:cs="Arial"/>
          <w:color w:val="000000"/>
          <w:lang w:eastAsia="bg-BG"/>
        </w:rPr>
      </w:pPr>
    </w:p>
    <w:p w14:paraId="3ACFA1ED" w14:textId="4BC7601E"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За указания за разтваряне на лекарствения продукт преди приложение, вижте точка 6.6.</w:t>
      </w:r>
    </w:p>
    <w:p w14:paraId="5FF248A9" w14:textId="77777777" w:rsidR="00B026D2" w:rsidRPr="00B026D2" w:rsidRDefault="00B026D2" w:rsidP="00B026D2">
      <w:pPr>
        <w:spacing w:line="240" w:lineRule="auto"/>
        <w:rPr>
          <w:rFonts w:eastAsia="Times New Roman" w:cs="Arial"/>
          <w:color w:val="000000"/>
          <w:u w:val="single"/>
          <w:lang w:eastAsia="bg-BG"/>
        </w:rPr>
      </w:pPr>
    </w:p>
    <w:p w14:paraId="4A83CF19" w14:textId="554F5810"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u w:val="single"/>
          <w:lang w:eastAsia="bg-BG"/>
        </w:rPr>
        <w:t>Специални популации</w:t>
      </w:r>
    </w:p>
    <w:p w14:paraId="3A76E7CD" w14:textId="77777777" w:rsidR="00B026D2" w:rsidRPr="00B026D2" w:rsidRDefault="00B026D2" w:rsidP="00B026D2">
      <w:pPr>
        <w:spacing w:line="240" w:lineRule="auto"/>
        <w:rPr>
          <w:rFonts w:eastAsia="Times New Roman" w:cs="Arial"/>
          <w:i/>
          <w:iCs/>
          <w:color w:val="000000"/>
          <w:u w:val="single"/>
          <w:lang w:eastAsia="bg-BG"/>
        </w:rPr>
      </w:pPr>
    </w:p>
    <w:p w14:paraId="3DACCF4B" w14:textId="10B2E7E5" w:rsidR="00B026D2" w:rsidRPr="00B026D2" w:rsidRDefault="00B026D2" w:rsidP="00B026D2">
      <w:pPr>
        <w:spacing w:line="240" w:lineRule="auto"/>
        <w:rPr>
          <w:rFonts w:eastAsia="Times New Roman" w:cs="Arial"/>
          <w:sz w:val="24"/>
          <w:szCs w:val="24"/>
          <w:lang w:eastAsia="bg-BG"/>
        </w:rPr>
      </w:pPr>
      <w:r w:rsidRPr="00B026D2">
        <w:rPr>
          <w:rFonts w:eastAsia="Times New Roman" w:cs="Arial"/>
          <w:i/>
          <w:iCs/>
          <w:color w:val="000000"/>
          <w:u w:val="single"/>
          <w:lang w:eastAsia="bg-BG"/>
        </w:rPr>
        <w:t>Пациенти с бъбречно или чернодробно увреждане</w:t>
      </w:r>
    </w:p>
    <w:p w14:paraId="29994897"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Гемцитабин Актавис трябва да се прилага с повишено внимание при пациенти с чернодробно или бъбречно увреждане, тъй като няма достатъчно информация от клинични проучвания, за да се направят точни препоръки за дозата при тези популации пациенти (вж. точки 4.4 и 5.2).</w:t>
      </w:r>
    </w:p>
    <w:p w14:paraId="78DB8A9D" w14:textId="77777777" w:rsidR="00B026D2" w:rsidRPr="00B026D2" w:rsidRDefault="00B026D2" w:rsidP="00B026D2">
      <w:pPr>
        <w:spacing w:line="240" w:lineRule="auto"/>
        <w:rPr>
          <w:rFonts w:eastAsia="Times New Roman" w:cs="Arial"/>
          <w:i/>
          <w:iCs/>
          <w:color w:val="000000"/>
          <w:u w:val="single"/>
          <w:lang w:eastAsia="bg-BG"/>
        </w:rPr>
      </w:pPr>
    </w:p>
    <w:p w14:paraId="7882823F" w14:textId="7EA7725E" w:rsidR="00B026D2" w:rsidRPr="00B026D2" w:rsidRDefault="00B026D2" w:rsidP="00B026D2">
      <w:pPr>
        <w:spacing w:line="240" w:lineRule="auto"/>
        <w:rPr>
          <w:rFonts w:eastAsia="Times New Roman" w:cs="Arial"/>
          <w:sz w:val="24"/>
          <w:szCs w:val="24"/>
          <w:lang w:eastAsia="bg-BG"/>
        </w:rPr>
      </w:pPr>
      <w:r w:rsidRPr="00B026D2">
        <w:rPr>
          <w:rFonts w:eastAsia="Times New Roman" w:cs="Arial"/>
          <w:i/>
          <w:iCs/>
          <w:color w:val="000000"/>
          <w:u w:val="single"/>
          <w:lang w:eastAsia="bg-BG"/>
        </w:rPr>
        <w:t>Пациенти в старческа възраст (&gt; 65 години)</w:t>
      </w:r>
    </w:p>
    <w:p w14:paraId="59440ADC" w14:textId="41CBB056" w:rsidR="005133C1" w:rsidRPr="00B026D2" w:rsidRDefault="00B026D2" w:rsidP="00B026D2">
      <w:pPr>
        <w:rPr>
          <w:rFonts w:cs="Arial"/>
        </w:rPr>
      </w:pPr>
      <w:r w:rsidRPr="00B026D2">
        <w:rPr>
          <w:rFonts w:eastAsia="Times New Roman" w:cs="Arial"/>
          <w:color w:val="000000"/>
          <w:lang w:eastAsia="bg-BG"/>
        </w:rPr>
        <w:t>Гемцитабин Актавис се понася добре от пациенти на възраст над 65 години. Няма</w:t>
      </w:r>
      <w:r w:rsidRPr="00B026D2">
        <w:rPr>
          <w:rFonts w:eastAsia="Times New Roman" w:cs="Arial"/>
          <w:color w:val="000000"/>
          <w:lang w:val="en-US"/>
        </w:rPr>
        <w:t xml:space="preserve"> </w:t>
      </w:r>
      <w:r w:rsidRPr="00B026D2">
        <w:rPr>
          <w:rFonts w:eastAsia="Times New Roman" w:cs="Arial"/>
          <w:color w:val="000000"/>
          <w:lang w:eastAsia="bg-BG"/>
        </w:rPr>
        <w:t>данни, показващи, че при пациенти в старческа възраст е необходимо коригиране на дозата, различно от вече препоръчаното за всички пациенти (вж. точка 5.2).</w:t>
      </w:r>
    </w:p>
    <w:p w14:paraId="76B4FA18" w14:textId="1924DFC8" w:rsidR="005133C1" w:rsidRDefault="005133C1" w:rsidP="0091385D"/>
    <w:p w14:paraId="1849AF90"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i/>
          <w:iCs/>
          <w:color w:val="000000"/>
          <w:u w:val="single"/>
          <w:lang w:eastAsia="bg-BG"/>
        </w:rPr>
        <w:t>Педиатрична популация (&lt; 18 години)</w:t>
      </w:r>
    </w:p>
    <w:p w14:paraId="36A9AF35" w14:textId="5DE0E0A2" w:rsidR="00B026D2" w:rsidRPr="00B026D2" w:rsidRDefault="00B026D2" w:rsidP="00B026D2">
      <w:pPr>
        <w:rPr>
          <w:rFonts w:cs="Arial"/>
        </w:rPr>
      </w:pPr>
      <w:r w:rsidRPr="00B026D2">
        <w:rPr>
          <w:rFonts w:eastAsia="Times New Roman" w:cs="Arial"/>
          <w:color w:val="000000"/>
          <w:lang w:eastAsia="bg-BG"/>
        </w:rPr>
        <w:t>Гемцитабин Актавис не се препоръчва за употреба при деца под 18-годишна възраст поради недостатъчно данни за безопасност и ефикасност.</w:t>
      </w:r>
    </w:p>
    <w:p w14:paraId="49FF9276" w14:textId="77777777" w:rsidR="00B026D2" w:rsidRPr="0091385D" w:rsidRDefault="00B026D2"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030187E9"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2309EAB0" w14:textId="6CC797A9" w:rsidR="0091385D" w:rsidRPr="00B026D2" w:rsidRDefault="00B026D2" w:rsidP="00B026D2">
      <w:pPr>
        <w:rPr>
          <w:rFonts w:cs="Arial"/>
        </w:rPr>
      </w:pPr>
      <w:r w:rsidRPr="00B026D2">
        <w:rPr>
          <w:rFonts w:eastAsia="Times New Roman" w:cs="Arial"/>
          <w:color w:val="000000"/>
          <w:lang w:eastAsia="bg-BG"/>
        </w:rPr>
        <w:t>Кърмене (вж. точка 4.6).</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6E7E81CA"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Доказано е, че удължаването на времето за инфузия и повишаване на честотата на приложение водят до повишена токсичност.</w:t>
      </w:r>
    </w:p>
    <w:p w14:paraId="2395F593" w14:textId="77777777" w:rsidR="00B026D2" w:rsidRPr="00B026D2" w:rsidRDefault="00B026D2" w:rsidP="00B026D2">
      <w:pPr>
        <w:spacing w:line="240" w:lineRule="auto"/>
        <w:rPr>
          <w:rFonts w:eastAsia="Times New Roman" w:cs="Arial"/>
          <w:color w:val="000000"/>
          <w:u w:val="single"/>
          <w:lang w:eastAsia="bg-BG"/>
        </w:rPr>
      </w:pPr>
    </w:p>
    <w:p w14:paraId="064623F0" w14:textId="48B003FE"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u w:val="single"/>
          <w:lang w:eastAsia="bg-BG"/>
        </w:rPr>
        <w:t>Хематологична токсичност</w:t>
      </w:r>
    </w:p>
    <w:p w14:paraId="4BDD63E9"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Гемцитабин може да потисне костномозъчната функция, което се проявява чрез левкопения, тромбоцитопения и анемия.</w:t>
      </w:r>
    </w:p>
    <w:p w14:paraId="074EC48E"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Пациентите, получаващи гемцитабин, трябва да се мониторират за брой тромбоцити, левкоцити и гранулоцити преди прилагане на всяка доза. Трябва да се обмисли прекратяване или промяна на лечението, когато се открие лекарствено-индуцирана костномозъчна депресия (вж. точка 4.2). Все пак, миелосупресията е краткотрайна, като обикновено не води до редукция на дозата и рядко води до прекратяване на лечението.</w:t>
      </w:r>
    </w:p>
    <w:p w14:paraId="73D72611"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lastRenderedPageBreak/>
        <w:t>Периферната кръвна картина може да продължи да се влошава след като се прекрати приложението на гемцитабин. При пациенти с нарушена функция на костния мозък лечението трябва да започне с повишено внимание. Както при лечение с други цитостатици, рискът от кумулативна костномозъчна супресия трябва да се има предвид, когато лечение с гемцитабин се прилага заедно с друга химиотерапия.</w:t>
      </w:r>
    </w:p>
    <w:p w14:paraId="0B72A852" w14:textId="77777777" w:rsidR="00B026D2" w:rsidRPr="00B026D2" w:rsidRDefault="00B026D2" w:rsidP="00B026D2">
      <w:pPr>
        <w:spacing w:line="240" w:lineRule="auto"/>
        <w:rPr>
          <w:rFonts w:eastAsia="Times New Roman" w:cs="Arial"/>
          <w:color w:val="000000"/>
          <w:u w:val="single"/>
          <w:lang w:eastAsia="bg-BG"/>
        </w:rPr>
      </w:pPr>
    </w:p>
    <w:p w14:paraId="1FDC5A01" w14:textId="1EFA82A5"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u w:val="single"/>
          <w:lang w:eastAsia="bg-BG"/>
        </w:rPr>
        <w:t>Чернодробно и бъбречно увреждане</w:t>
      </w:r>
    </w:p>
    <w:p w14:paraId="6375ADB4"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Приложение на гемцитабин при пациенти с чернодробни метастази или с анамнеза за прекаран хепатит, алкохолизъм или чернодробна цироза може да доведе до обостряне на съпътстваща чернодробна недостатъчност.</w:t>
      </w:r>
    </w:p>
    <w:p w14:paraId="61291D15" w14:textId="77777777" w:rsidR="00B026D2" w:rsidRPr="00B026D2" w:rsidRDefault="00B026D2" w:rsidP="00B026D2">
      <w:pPr>
        <w:spacing w:line="240" w:lineRule="auto"/>
        <w:rPr>
          <w:rFonts w:eastAsia="Times New Roman" w:cs="Arial"/>
          <w:color w:val="000000"/>
          <w:lang w:eastAsia="bg-BG"/>
        </w:rPr>
      </w:pPr>
    </w:p>
    <w:p w14:paraId="3495CE53" w14:textId="0819CF0F"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Периодично трябва да се извършва лабораторна оценка на бъбречната и чернодробната функция (включително вирусологични изследвания).</w:t>
      </w:r>
    </w:p>
    <w:p w14:paraId="2AF4B03D" w14:textId="77777777" w:rsidR="00B026D2" w:rsidRPr="00B026D2" w:rsidRDefault="00B026D2" w:rsidP="00B026D2">
      <w:pPr>
        <w:spacing w:line="240" w:lineRule="auto"/>
        <w:rPr>
          <w:rFonts w:eastAsia="Times New Roman" w:cs="Arial"/>
          <w:color w:val="000000"/>
          <w:lang w:eastAsia="bg-BG"/>
        </w:rPr>
      </w:pPr>
    </w:p>
    <w:p w14:paraId="72190A42" w14:textId="1CCE21D5"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Гемцитабин трябва да се прилага внимателно при пациенти с чернодробно или бъбречно увреждане, тъй като информацията от клинични проучвания е недостатъчна, за да позволи точни препоръки за дозиране при тази популация пациенти (вж. точка 4.2).</w:t>
      </w:r>
    </w:p>
    <w:p w14:paraId="2AE7E1CC" w14:textId="77777777" w:rsidR="00B026D2" w:rsidRPr="00B026D2" w:rsidRDefault="00B026D2" w:rsidP="00B026D2">
      <w:pPr>
        <w:spacing w:line="240" w:lineRule="auto"/>
        <w:rPr>
          <w:rFonts w:eastAsia="Times New Roman" w:cs="Arial"/>
          <w:color w:val="000000"/>
          <w:u w:val="single"/>
          <w:lang w:eastAsia="bg-BG"/>
        </w:rPr>
      </w:pPr>
    </w:p>
    <w:p w14:paraId="45AB8A73" w14:textId="1C1D4B8B"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u w:val="single"/>
          <w:lang w:eastAsia="bg-BG"/>
        </w:rPr>
        <w:t>Съпътстваща лъчетерапия</w:t>
      </w:r>
    </w:p>
    <w:p w14:paraId="60EB3D02"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Съпътстваща лъчетерапия (прилагана едновременно или след интервал от &lt;7 дни): има съобщения за токсичност (вж. точка 4.5 за подробности и препоръки за употреба).</w:t>
      </w:r>
    </w:p>
    <w:p w14:paraId="18817DDC" w14:textId="77777777" w:rsidR="00B026D2" w:rsidRPr="00B026D2" w:rsidRDefault="00B026D2" w:rsidP="00B026D2">
      <w:pPr>
        <w:spacing w:line="240" w:lineRule="auto"/>
        <w:rPr>
          <w:rFonts w:eastAsia="Times New Roman" w:cs="Arial"/>
          <w:color w:val="000000"/>
          <w:u w:val="single"/>
          <w:lang w:eastAsia="bg-BG"/>
        </w:rPr>
      </w:pPr>
    </w:p>
    <w:p w14:paraId="3B9070C2" w14:textId="014D9609"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u w:val="single"/>
          <w:lang w:eastAsia="bg-BG"/>
        </w:rPr>
        <w:t>Живи ваксини</w:t>
      </w:r>
    </w:p>
    <w:p w14:paraId="2F42A60F"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Ваксина срещу жълта треска и други живи атенюирани ваксини не се препоръчват при пациенти, лекувани с гемцитабин (вж. точка 4.5).</w:t>
      </w:r>
    </w:p>
    <w:p w14:paraId="5F2B6625" w14:textId="77777777" w:rsidR="00B026D2" w:rsidRPr="00B026D2" w:rsidRDefault="00B026D2" w:rsidP="00B026D2">
      <w:pPr>
        <w:spacing w:line="240" w:lineRule="auto"/>
        <w:rPr>
          <w:rFonts w:eastAsia="Times New Roman" w:cs="Arial"/>
          <w:color w:val="000000"/>
          <w:u w:val="single"/>
          <w:lang w:eastAsia="bg-BG"/>
        </w:rPr>
      </w:pPr>
    </w:p>
    <w:p w14:paraId="2AE95049" w14:textId="3AC6294E"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u w:val="single"/>
          <w:lang w:eastAsia="bg-BG"/>
        </w:rPr>
        <w:t>Синдром на постериорна обратима енцефалопатия</w:t>
      </w:r>
    </w:p>
    <w:p w14:paraId="773DE603" w14:textId="77777777" w:rsidR="00B026D2" w:rsidRPr="00B026D2" w:rsidRDefault="00B026D2" w:rsidP="00B026D2">
      <w:pPr>
        <w:rPr>
          <w:rFonts w:eastAsia="Times New Roman" w:cs="Arial"/>
          <w:sz w:val="24"/>
          <w:szCs w:val="24"/>
          <w:lang w:eastAsia="bg-BG"/>
        </w:rPr>
      </w:pPr>
      <w:r w:rsidRPr="00B026D2">
        <w:rPr>
          <w:rFonts w:eastAsia="Times New Roman" w:cs="Arial"/>
          <w:color w:val="000000"/>
          <w:lang w:eastAsia="bg-BG"/>
        </w:rPr>
        <w:t xml:space="preserve">Съобщения за синдром на обратима постериорна енцефалопатия </w:t>
      </w:r>
      <w:r w:rsidRPr="00B026D2">
        <w:rPr>
          <w:rFonts w:eastAsia="Times New Roman" w:cs="Arial"/>
          <w:color w:val="000000"/>
          <w:lang w:val="en-US"/>
        </w:rPr>
        <w:t xml:space="preserve">(PRES) </w:t>
      </w:r>
      <w:r w:rsidRPr="00B026D2">
        <w:rPr>
          <w:rFonts w:eastAsia="Times New Roman" w:cs="Arial"/>
          <w:color w:val="000000"/>
          <w:lang w:eastAsia="bg-BG"/>
        </w:rPr>
        <w:t>с потенциално тежки последствия е съобщаван при пациенти получаващи гемцитабин самостоятелно или в комбинация с други химиотерапевтични средства. Остра хипертония и гърчове са съобщавани</w:t>
      </w:r>
      <w:r w:rsidRPr="00B026D2">
        <w:rPr>
          <w:rFonts w:eastAsia="Times New Roman" w:cs="Arial"/>
          <w:color w:val="000000"/>
          <w:lang w:val="en-US" w:eastAsia="bg-BG"/>
        </w:rPr>
        <w:t xml:space="preserve"> </w:t>
      </w:r>
      <w:r w:rsidRPr="00B026D2">
        <w:rPr>
          <w:rFonts w:eastAsia="Times New Roman" w:cs="Arial"/>
          <w:color w:val="000000"/>
          <w:lang w:eastAsia="bg-BG"/>
        </w:rPr>
        <w:t xml:space="preserve">при повечето пациенти, приемащи гемцитабин, които са получили </w:t>
      </w:r>
      <w:r w:rsidRPr="00B026D2">
        <w:rPr>
          <w:rFonts w:eastAsia="Times New Roman" w:cs="Arial"/>
          <w:color w:val="000000"/>
          <w:lang w:val="en-US"/>
        </w:rPr>
        <w:t xml:space="preserve">PRES, </w:t>
      </w:r>
      <w:r w:rsidRPr="00B026D2">
        <w:rPr>
          <w:rFonts w:eastAsia="Times New Roman" w:cs="Arial"/>
          <w:color w:val="000000"/>
          <w:lang w:eastAsia="bg-BG"/>
        </w:rPr>
        <w:t xml:space="preserve">но могат да се наблюдават също и други симптоми, като главоболие, летаргия, обърканост и слепота. Диагнозата се потвърждава най-точно с ядрено магнитен резонанс (ЯМР). При прилагане на подходящи поддържащи мерки </w:t>
      </w:r>
      <w:r w:rsidRPr="00B026D2">
        <w:rPr>
          <w:rFonts w:eastAsia="Times New Roman" w:cs="Arial"/>
          <w:color w:val="000000"/>
          <w:lang w:val="en-US"/>
        </w:rPr>
        <w:t xml:space="preserve">PRES </w:t>
      </w:r>
      <w:r w:rsidRPr="00B026D2">
        <w:rPr>
          <w:rFonts w:eastAsia="Times New Roman" w:cs="Arial"/>
          <w:color w:val="000000"/>
          <w:lang w:eastAsia="bg-BG"/>
        </w:rPr>
        <w:t xml:space="preserve">обикновено е обратим. Гемцитабин трябва да бъде прекратен окончателно и да се приложат поддържащи мерки, включващи контрол на артериалното налягане и противогърчово лечение, ако </w:t>
      </w:r>
      <w:r w:rsidRPr="00B026D2">
        <w:rPr>
          <w:rFonts w:eastAsia="Times New Roman" w:cs="Arial"/>
          <w:color w:val="000000"/>
          <w:lang w:val="en-US"/>
        </w:rPr>
        <w:t xml:space="preserve">PRES </w:t>
      </w:r>
      <w:r w:rsidRPr="00B026D2">
        <w:rPr>
          <w:rFonts w:eastAsia="Times New Roman" w:cs="Arial"/>
          <w:color w:val="000000"/>
          <w:lang w:eastAsia="bg-BG"/>
        </w:rPr>
        <w:t>се развие по време на терапията.</w:t>
      </w:r>
    </w:p>
    <w:p w14:paraId="701D8DD4" w14:textId="77777777" w:rsidR="00B026D2" w:rsidRPr="00B026D2" w:rsidRDefault="00B026D2" w:rsidP="00B026D2">
      <w:pPr>
        <w:spacing w:line="240" w:lineRule="auto"/>
        <w:rPr>
          <w:rFonts w:eastAsia="Times New Roman" w:cs="Arial"/>
          <w:color w:val="000000"/>
          <w:u w:val="single"/>
          <w:lang w:eastAsia="bg-BG"/>
        </w:rPr>
      </w:pPr>
    </w:p>
    <w:p w14:paraId="1CADEE6A" w14:textId="22C81014"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u w:val="single"/>
          <w:lang w:eastAsia="bg-BG"/>
        </w:rPr>
        <w:t>Сърдечно-съдова токсичност</w:t>
      </w:r>
    </w:p>
    <w:p w14:paraId="57A00C95"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Поради риск от сърдечни и/или съдови заболявания при прилагане на гемцитабин, специално внимание трябва да се прояви при пациенти с анамнеза за сърдечно-съдови събития.</w:t>
      </w:r>
    </w:p>
    <w:p w14:paraId="28FDB206" w14:textId="77777777" w:rsidR="00B026D2" w:rsidRPr="00B026D2" w:rsidRDefault="00B026D2" w:rsidP="00B026D2">
      <w:pPr>
        <w:spacing w:line="240" w:lineRule="auto"/>
        <w:rPr>
          <w:rFonts w:eastAsia="Times New Roman" w:cs="Arial"/>
          <w:i/>
          <w:iCs/>
          <w:color w:val="000000"/>
          <w:lang w:eastAsia="bg-BG"/>
        </w:rPr>
      </w:pPr>
    </w:p>
    <w:p w14:paraId="320F932F" w14:textId="38D6F18E" w:rsidR="00B026D2" w:rsidRPr="00B026D2" w:rsidRDefault="00B026D2" w:rsidP="00B026D2">
      <w:pPr>
        <w:spacing w:line="240" w:lineRule="auto"/>
        <w:rPr>
          <w:rFonts w:eastAsia="Times New Roman" w:cs="Arial"/>
          <w:sz w:val="24"/>
          <w:szCs w:val="24"/>
          <w:lang w:eastAsia="bg-BG"/>
        </w:rPr>
      </w:pPr>
      <w:r w:rsidRPr="00B026D2">
        <w:rPr>
          <w:rFonts w:eastAsia="Times New Roman" w:cs="Arial"/>
          <w:i/>
          <w:iCs/>
          <w:color w:val="000000"/>
          <w:lang w:eastAsia="bg-BG"/>
        </w:rPr>
        <w:t>Синдром на повишена капилярна пропускливост</w:t>
      </w:r>
    </w:p>
    <w:p w14:paraId="1A8E50DC"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 xml:space="preserve">Синдром на повишена капилярна пропускливост е съобщаван при пациенти получаващи гемцитабин самостоятелно или в комбинация с други химиотерапевтични средства (вж. точка 4.8). Състоянието обикновено е лечимо, ако бъде разпознато на ранен етап и се използват подходящи мерки, но са съобщавани фатални случаи. Състоянието е свързано със системен капилярен свръхпермеабилитет, при който течности и протеини от интравазалното пространство изтичат в интерстициума. Клиничните характеристики са: </w:t>
      </w:r>
      <w:r w:rsidRPr="00B026D2">
        <w:rPr>
          <w:rFonts w:eastAsia="Times New Roman" w:cs="Arial"/>
          <w:color w:val="000000"/>
          <w:lang w:eastAsia="bg-BG"/>
        </w:rPr>
        <w:lastRenderedPageBreak/>
        <w:t>генерализиран оток, наддаване на тегло, хипоалбуминемия, тежка хипотония, остра бъбречна недостатъчност и белодробен оток. Ако се развие синдром на повишена капилярна пропускливост по време на лечението, гемцитабин трябва да се преустанови и да се приложат поддържащи мерки. Синдром на повишена капилярна пропускливост може да възникне и на по-късен етап от лечението и в литературата се свързва с респираторен дистрес синдром при възрастни.</w:t>
      </w:r>
    </w:p>
    <w:p w14:paraId="6FD39355" w14:textId="77777777" w:rsidR="00B026D2" w:rsidRPr="00B026D2" w:rsidRDefault="00B026D2" w:rsidP="00B026D2">
      <w:pPr>
        <w:spacing w:line="240" w:lineRule="auto"/>
        <w:rPr>
          <w:rFonts w:eastAsia="Times New Roman" w:cs="Arial"/>
          <w:color w:val="000000"/>
          <w:u w:val="single"/>
          <w:lang w:eastAsia="bg-BG"/>
        </w:rPr>
      </w:pPr>
    </w:p>
    <w:p w14:paraId="60C0D924" w14:textId="320E760D"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u w:val="single"/>
          <w:lang w:eastAsia="bg-BG"/>
        </w:rPr>
        <w:t>Белодробна токсичност</w:t>
      </w:r>
    </w:p>
    <w:p w14:paraId="61573662"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Съобщавани са белодробни ефекти, понякога тежки (като например белодробен оток, интерстициален пневмонит и остър респираторен дистрес синдром при възрастни (ОРДС)) във връзка с лечението с гемцитабин. Ако се развият подобни ефекти, трябва да се обмисли спиране на лечението с гемцитабин. Ранното прилагане на поддържащи мерки може да помогне за облекчаване на състоянието.</w:t>
      </w:r>
    </w:p>
    <w:p w14:paraId="2DE50D50" w14:textId="77777777" w:rsidR="00B026D2" w:rsidRPr="00B026D2" w:rsidRDefault="00B026D2" w:rsidP="00B026D2">
      <w:pPr>
        <w:spacing w:line="240" w:lineRule="auto"/>
        <w:rPr>
          <w:rFonts w:eastAsia="Times New Roman" w:cs="Arial"/>
          <w:color w:val="000000"/>
          <w:u w:val="single"/>
          <w:lang w:eastAsia="bg-BG"/>
        </w:rPr>
      </w:pPr>
    </w:p>
    <w:p w14:paraId="69CE348D" w14:textId="33E3313F"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u w:val="single"/>
          <w:lang w:eastAsia="bg-BG"/>
        </w:rPr>
        <w:t>Бъбречна токсичност</w:t>
      </w:r>
    </w:p>
    <w:p w14:paraId="26C2F518"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i/>
          <w:iCs/>
          <w:color w:val="000000"/>
          <w:lang w:eastAsia="bg-BG"/>
        </w:rPr>
        <w:t>Хемолитично-уремичен синдром</w:t>
      </w:r>
    </w:p>
    <w:p w14:paraId="20415477"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Клинични находки, съответстващи на хемолитично-уремичен синдром (ХУС), са съобщавани рядко при пациенти, получаващи гемцитабин (вж. точка 4.8). ХУС е потенциално животозастрашаващо състояние. Гемцитабин трябва да се прекрати при първите признаци на микроангиопатична хемолитична анемия, като например бързо спадащ хемоглобин със съпътстваща тромбоцитопения, повишаване на серумния билирубин, на серумния креатинин, на уреята или на ЛДХ. Бъбречната недостатъчност може да бъде необратима след прекратяване на лечението и може да е необходима диализа.</w:t>
      </w:r>
    </w:p>
    <w:p w14:paraId="76C3011C" w14:textId="77777777" w:rsidR="00B026D2" w:rsidRPr="00B026D2" w:rsidRDefault="00B026D2" w:rsidP="00B026D2">
      <w:pPr>
        <w:spacing w:line="240" w:lineRule="auto"/>
        <w:rPr>
          <w:rFonts w:eastAsia="Times New Roman" w:cs="Arial"/>
          <w:color w:val="000000"/>
          <w:u w:val="single"/>
          <w:lang w:eastAsia="bg-BG"/>
        </w:rPr>
      </w:pPr>
    </w:p>
    <w:p w14:paraId="05521C4C" w14:textId="473C7E38"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u w:val="single"/>
          <w:lang w:eastAsia="bg-BG"/>
        </w:rPr>
        <w:t>Фертилитет</w:t>
      </w:r>
    </w:p>
    <w:p w14:paraId="0B3BEE35" w14:textId="3A143287" w:rsidR="0091385D" w:rsidRPr="00B026D2" w:rsidRDefault="00B026D2" w:rsidP="00B026D2">
      <w:pPr>
        <w:rPr>
          <w:rFonts w:cs="Arial"/>
          <w:lang w:val="en-US"/>
        </w:rPr>
      </w:pPr>
      <w:r w:rsidRPr="00B026D2">
        <w:rPr>
          <w:rFonts w:eastAsia="Times New Roman" w:cs="Arial"/>
          <w:color w:val="000000"/>
          <w:lang w:eastAsia="bg-BG"/>
        </w:rPr>
        <w:t>При проучвания върху фертилитета, гемцитабин причинява хипосперматогенеза при мишки от мъжки пол (вж. точка 5.3). Поради това мъжете, лекувани с гемцитабин, се съветват да не стават бащи по време на и до 6 месеца след лечението и да потърсят допълнителен съвет относно криоконсервиране на сперма преди лечението, поради възможността за безплодие, дължащо се на лечението с гемцитабин (вж. точка 4.6).</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E4F7CBC"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Не са провеждани конкретни проучвания за взаимодействия (вж. точка 5.2)</w:t>
      </w:r>
    </w:p>
    <w:p w14:paraId="704D5BD8" w14:textId="77777777" w:rsidR="00B026D2" w:rsidRPr="00B026D2" w:rsidRDefault="00B026D2" w:rsidP="00B026D2">
      <w:pPr>
        <w:spacing w:line="240" w:lineRule="auto"/>
        <w:rPr>
          <w:rFonts w:eastAsia="Times New Roman" w:cs="Arial"/>
          <w:color w:val="000000"/>
          <w:u w:val="single"/>
          <w:lang w:eastAsia="bg-BG"/>
        </w:rPr>
      </w:pPr>
    </w:p>
    <w:p w14:paraId="0A7119DB" w14:textId="2DD57099"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u w:val="single"/>
          <w:lang w:eastAsia="bg-BG"/>
        </w:rPr>
        <w:t>Лъчетерапия</w:t>
      </w:r>
    </w:p>
    <w:p w14:paraId="2FF9AD11"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 xml:space="preserve">Едновременно приложение (прилагана едновременно или след интервал от ≤ 7 дни) - Токсичността, свързана с това мултимодално лечение, зависи от много различни фактори, включително дозата гемцитабин, честотата на приложение на гемцитабин, дозата на облъчване, техниката на планиране на лъчетерапията, таргентната тъкан и таргентния обем. Предклиничните и клиничните проучвания показват, че гемцитабин има радиосензитивна активност. В едно проучване, при което гемцитабин е прилаган в доза от 1 000 </w:t>
      </w:r>
      <w:r w:rsidRPr="00B026D2">
        <w:rPr>
          <w:rFonts w:eastAsia="Times New Roman" w:cs="Arial"/>
          <w:color w:val="000000"/>
          <w:lang w:val="en-US"/>
        </w:rPr>
        <w:t>mg/m</w:t>
      </w:r>
      <w:r w:rsidRPr="00B026D2">
        <w:rPr>
          <w:rFonts w:eastAsia="Times New Roman" w:cs="Arial"/>
          <w:color w:val="000000"/>
          <w:vertAlign w:val="superscript"/>
          <w:lang w:val="en-US"/>
        </w:rPr>
        <w:t xml:space="preserve">2 </w:t>
      </w:r>
      <w:r w:rsidRPr="00B026D2">
        <w:rPr>
          <w:rFonts w:eastAsia="Times New Roman" w:cs="Arial"/>
          <w:color w:val="000000"/>
          <w:lang w:eastAsia="bg-BG"/>
        </w:rPr>
        <w:t xml:space="preserve">едновременно до 6 последователни седмици с терапевтично облъчване на гръдния кош на пациенти с недребноклетьчен белодробен карцином, е наблюдавана сигнификантна токсичност под формата на тежък и потенциално животозастрашаващ мукозит, особено езофагит, а пневмонит е наблюдаван особено при пациенти, получаващи големи обеми облъчване [средни терапевтични обеми 4 795 </w:t>
      </w:r>
      <w:r w:rsidRPr="00B026D2">
        <w:rPr>
          <w:rFonts w:eastAsia="Times New Roman" w:cs="Arial"/>
          <w:color w:val="000000"/>
          <w:lang w:val="en-US"/>
        </w:rPr>
        <w:t>cm</w:t>
      </w:r>
      <w:r w:rsidRPr="00B026D2">
        <w:rPr>
          <w:rFonts w:eastAsia="Times New Roman" w:cs="Arial"/>
          <w:color w:val="000000"/>
          <w:vertAlign w:val="superscript"/>
          <w:lang w:val="en-US"/>
        </w:rPr>
        <w:t>3</w:t>
      </w:r>
      <w:r w:rsidRPr="00B026D2">
        <w:rPr>
          <w:rFonts w:eastAsia="Times New Roman" w:cs="Arial"/>
          <w:color w:val="000000"/>
          <w:lang w:val="en-US"/>
        </w:rPr>
        <w:t xml:space="preserve">]. </w:t>
      </w:r>
      <w:r w:rsidRPr="00B026D2">
        <w:rPr>
          <w:rFonts w:eastAsia="Times New Roman" w:cs="Arial"/>
          <w:color w:val="000000"/>
          <w:lang w:eastAsia="bg-BG"/>
        </w:rPr>
        <w:t xml:space="preserve">Проведените впоследствие проучвания допускат, че е възможно прилагане на </w:t>
      </w:r>
      <w:r w:rsidRPr="00B026D2">
        <w:rPr>
          <w:rFonts w:eastAsia="Times New Roman" w:cs="Arial"/>
          <w:color w:val="000000"/>
          <w:lang w:eastAsia="bg-BG"/>
        </w:rPr>
        <w:lastRenderedPageBreak/>
        <w:t xml:space="preserve">гемцитабин в по-ниски дози в комбинация с лъчетерапия с предсказуема токсичност, като например фаза II при недребноклетъчния белодробен карцином, където са приложени радиационни дози на гръдния кош от 66 </w:t>
      </w:r>
      <w:proofErr w:type="spellStart"/>
      <w:r w:rsidRPr="00B026D2">
        <w:rPr>
          <w:rFonts w:eastAsia="Times New Roman" w:cs="Arial"/>
          <w:color w:val="000000"/>
          <w:lang w:val="en-US"/>
        </w:rPr>
        <w:t>Gy</w:t>
      </w:r>
      <w:proofErr w:type="spellEnd"/>
      <w:r w:rsidRPr="00B026D2">
        <w:rPr>
          <w:rFonts w:eastAsia="Times New Roman" w:cs="Arial"/>
          <w:color w:val="000000"/>
          <w:lang w:val="en-US"/>
        </w:rPr>
        <w:t xml:space="preserve"> </w:t>
      </w:r>
      <w:r w:rsidRPr="00B026D2">
        <w:rPr>
          <w:rFonts w:eastAsia="Times New Roman" w:cs="Arial"/>
          <w:color w:val="000000"/>
          <w:lang w:eastAsia="bg-BG"/>
        </w:rPr>
        <w:t xml:space="preserve">едновременно с прилагане на гемцитабин (600 </w:t>
      </w:r>
      <w:r w:rsidRPr="00B026D2">
        <w:rPr>
          <w:rFonts w:eastAsia="Times New Roman" w:cs="Arial"/>
          <w:color w:val="000000"/>
          <w:lang w:val="en-US"/>
        </w:rPr>
        <w:t>mg/m</w:t>
      </w:r>
      <w:r w:rsidRPr="00B026D2">
        <w:rPr>
          <w:rFonts w:eastAsia="Times New Roman" w:cs="Arial"/>
          <w:color w:val="000000"/>
          <w:vertAlign w:val="superscript"/>
          <w:lang w:val="en-US"/>
        </w:rPr>
        <w:t>2</w:t>
      </w:r>
      <w:r w:rsidRPr="00B026D2">
        <w:rPr>
          <w:rFonts w:eastAsia="Times New Roman" w:cs="Arial"/>
          <w:color w:val="000000"/>
          <w:lang w:val="en-US"/>
        </w:rPr>
        <w:t xml:space="preserve">, </w:t>
      </w:r>
      <w:r w:rsidRPr="00B026D2">
        <w:rPr>
          <w:rFonts w:eastAsia="Times New Roman" w:cs="Arial"/>
          <w:color w:val="000000"/>
          <w:lang w:eastAsia="bg-BG"/>
        </w:rPr>
        <w:t xml:space="preserve">четири пъти) и цисплатин (80 </w:t>
      </w:r>
      <w:r w:rsidRPr="00B026D2">
        <w:rPr>
          <w:rFonts w:eastAsia="Times New Roman" w:cs="Arial"/>
          <w:color w:val="000000"/>
          <w:lang w:val="en-US"/>
        </w:rPr>
        <w:t>mg/m</w:t>
      </w:r>
      <w:r w:rsidRPr="00B026D2">
        <w:rPr>
          <w:rFonts w:eastAsia="Times New Roman" w:cs="Arial"/>
          <w:color w:val="000000"/>
          <w:vertAlign w:val="superscript"/>
          <w:lang w:val="en-US"/>
        </w:rPr>
        <w:t>2</w:t>
      </w:r>
      <w:r w:rsidRPr="00B026D2">
        <w:rPr>
          <w:rFonts w:eastAsia="Times New Roman" w:cs="Arial"/>
          <w:color w:val="000000"/>
          <w:lang w:val="en-US"/>
        </w:rPr>
        <w:t xml:space="preserve"> </w:t>
      </w:r>
      <w:r w:rsidRPr="00B026D2">
        <w:rPr>
          <w:rFonts w:eastAsia="Times New Roman" w:cs="Arial"/>
          <w:color w:val="000000"/>
          <w:lang w:eastAsia="bg-BG"/>
        </w:rPr>
        <w:t>двукратно) в продължение на 6 седмици. Оптималният режим за безопасно приложение на гемцитабин с терапевтични дози облъчване засега не е определен при всички видове тумори.</w:t>
      </w:r>
    </w:p>
    <w:p w14:paraId="7730FFE2" w14:textId="77777777" w:rsidR="00B026D2" w:rsidRPr="00B026D2" w:rsidRDefault="00B026D2" w:rsidP="00B026D2">
      <w:pPr>
        <w:spacing w:line="240" w:lineRule="auto"/>
        <w:rPr>
          <w:rFonts w:eastAsia="Times New Roman" w:cs="Arial"/>
          <w:color w:val="000000"/>
          <w:lang w:eastAsia="bg-BG"/>
        </w:rPr>
      </w:pPr>
    </w:p>
    <w:p w14:paraId="18713C18" w14:textId="0F4F7B11"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Неедновременно приложение (прилагана след интервал от &gt;7 дни) - анализът на данните не показва увеличена токсичност, когато гемцитабин е прилаган повече от 7 дни преди или след лъчетерапията, освен късни токсични прояви след облъчване. Данните показват, че лечението с гемцитабин може да бъде започнато след отзвучаване на острите ефекти от облъчването или поне 1 седмица след облъчването.</w:t>
      </w:r>
    </w:p>
    <w:p w14:paraId="79A0EA39" w14:textId="77777777" w:rsidR="00B026D2" w:rsidRPr="00B026D2" w:rsidRDefault="00B026D2" w:rsidP="00B026D2">
      <w:pPr>
        <w:spacing w:line="240" w:lineRule="auto"/>
        <w:rPr>
          <w:rFonts w:eastAsia="Times New Roman" w:cs="Arial"/>
          <w:color w:val="000000"/>
          <w:lang w:eastAsia="bg-BG"/>
        </w:rPr>
      </w:pPr>
    </w:p>
    <w:p w14:paraId="4B1B332B" w14:textId="65228DA5"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Съобщава се за радиационно увреждане на таргентни тъкани (напр.езофагит, колит и пневмонит), както при едновременното, така и при неедновременно приложение на гемцитабин.</w:t>
      </w:r>
    </w:p>
    <w:p w14:paraId="07958D04" w14:textId="77777777" w:rsidR="00B026D2" w:rsidRPr="00B026D2" w:rsidRDefault="00B026D2" w:rsidP="00B026D2">
      <w:pPr>
        <w:spacing w:line="240" w:lineRule="auto"/>
        <w:rPr>
          <w:rFonts w:eastAsia="Times New Roman" w:cs="Arial"/>
          <w:color w:val="000000"/>
          <w:u w:val="single"/>
          <w:lang w:eastAsia="bg-BG"/>
        </w:rPr>
      </w:pPr>
    </w:p>
    <w:p w14:paraId="6D86D947" w14:textId="2D469381"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u w:val="single"/>
          <w:lang w:eastAsia="bg-BG"/>
        </w:rPr>
        <w:t>Други</w:t>
      </w:r>
    </w:p>
    <w:p w14:paraId="172AE819" w14:textId="694A5EC5" w:rsidR="0091385D" w:rsidRPr="00B026D2" w:rsidRDefault="00B026D2" w:rsidP="00B026D2">
      <w:pPr>
        <w:rPr>
          <w:rFonts w:cs="Arial"/>
        </w:rPr>
      </w:pPr>
      <w:r w:rsidRPr="00B026D2">
        <w:rPr>
          <w:rFonts w:eastAsia="Times New Roman" w:cs="Arial"/>
          <w:color w:val="000000"/>
          <w:lang w:eastAsia="bg-BG"/>
        </w:rPr>
        <w:t>Ваксина срещу жълта треска и други живи атенюирани ваксини не се препоръчват поради риска от системно, възможно фатално заболяване, особено при имуносупресирани пациенти.</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231BAB80" w14:textId="77777777" w:rsidR="00B026D2" w:rsidRPr="00B026D2" w:rsidRDefault="00B026D2" w:rsidP="00B026D2">
      <w:pPr>
        <w:pStyle w:val="Heading3"/>
        <w:rPr>
          <w:rFonts w:eastAsia="Times New Roman"/>
          <w:u w:val="single"/>
          <w:lang w:eastAsia="bg-BG"/>
        </w:rPr>
      </w:pPr>
      <w:r w:rsidRPr="00B026D2">
        <w:rPr>
          <w:rFonts w:eastAsia="Times New Roman"/>
          <w:u w:val="single"/>
          <w:lang w:eastAsia="bg-BG"/>
        </w:rPr>
        <w:t>Бременност</w:t>
      </w:r>
    </w:p>
    <w:p w14:paraId="778F2204"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Няма достатъчно данни за употребата на гемцитабин при бременни жени. Проучвания при животни показват репродуктивна токсичност (вж. точка 5.3). Въз основа на резултатите от проучвания при животни и на механизма на действие на гемцитабин, това вещество не трябва да се използва по време на бременност, освен при категорична необходимост. Жените трябва да бъдат съветвани да не забременяват по време на лечението с гемцитабин и да съобщят на своя лекуващ лекар незабавно, ако това се случи въпреки всичко.</w:t>
      </w:r>
    </w:p>
    <w:p w14:paraId="50D71C25" w14:textId="77777777" w:rsidR="00B026D2" w:rsidRPr="00B026D2" w:rsidRDefault="00B026D2" w:rsidP="00B026D2">
      <w:pPr>
        <w:spacing w:line="240" w:lineRule="auto"/>
        <w:rPr>
          <w:rFonts w:eastAsia="Times New Roman" w:cs="Arial"/>
          <w:color w:val="000000"/>
          <w:u w:val="single"/>
          <w:lang w:eastAsia="bg-BG"/>
        </w:rPr>
      </w:pPr>
    </w:p>
    <w:p w14:paraId="4918EF76" w14:textId="70D90664" w:rsidR="00B026D2" w:rsidRPr="00B026D2" w:rsidRDefault="00B026D2" w:rsidP="00B026D2">
      <w:pPr>
        <w:pStyle w:val="Heading3"/>
        <w:rPr>
          <w:rFonts w:eastAsia="Times New Roman"/>
          <w:u w:val="single"/>
          <w:lang w:eastAsia="bg-BG"/>
        </w:rPr>
      </w:pPr>
      <w:r w:rsidRPr="00B026D2">
        <w:rPr>
          <w:rFonts w:eastAsia="Times New Roman"/>
          <w:u w:val="single"/>
          <w:lang w:eastAsia="bg-BG"/>
        </w:rPr>
        <w:t>Кърмене</w:t>
      </w:r>
    </w:p>
    <w:p w14:paraId="5CA74D05"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Не е известно дали гемцитабин се екскретира в кърмата и нежелани лекарствени реакции при кърмачето не могат да бъдат изключени. Кърменето трябва да се преустанови по време на лечение с гемцитабин.</w:t>
      </w:r>
    </w:p>
    <w:p w14:paraId="57D6CE84" w14:textId="77777777" w:rsidR="00B026D2" w:rsidRPr="00B026D2" w:rsidRDefault="00B026D2" w:rsidP="00B026D2">
      <w:pPr>
        <w:spacing w:line="240" w:lineRule="auto"/>
        <w:rPr>
          <w:rFonts w:eastAsia="Times New Roman" w:cs="Arial"/>
          <w:color w:val="000000"/>
          <w:u w:val="single"/>
          <w:lang w:eastAsia="bg-BG"/>
        </w:rPr>
      </w:pPr>
    </w:p>
    <w:p w14:paraId="194299C7" w14:textId="675F8DFB" w:rsidR="00B026D2" w:rsidRPr="00B026D2" w:rsidRDefault="00B026D2" w:rsidP="00B026D2">
      <w:pPr>
        <w:pStyle w:val="Heading3"/>
        <w:rPr>
          <w:rFonts w:eastAsia="Times New Roman"/>
          <w:u w:val="single"/>
          <w:lang w:eastAsia="bg-BG"/>
        </w:rPr>
      </w:pPr>
      <w:r w:rsidRPr="00B026D2">
        <w:rPr>
          <w:rFonts w:eastAsia="Times New Roman"/>
          <w:u w:val="single"/>
          <w:lang w:eastAsia="bg-BG"/>
        </w:rPr>
        <w:t>Фертилитет</w:t>
      </w:r>
    </w:p>
    <w:p w14:paraId="776662C5" w14:textId="6B2BC238" w:rsidR="0091385D" w:rsidRPr="00B026D2" w:rsidRDefault="00B026D2" w:rsidP="00B026D2">
      <w:pPr>
        <w:rPr>
          <w:rFonts w:cs="Arial"/>
          <w:lang w:val="en-US"/>
        </w:rPr>
      </w:pPr>
      <w:r w:rsidRPr="00B026D2">
        <w:rPr>
          <w:rFonts w:eastAsia="Times New Roman" w:cs="Arial"/>
          <w:color w:val="000000"/>
          <w:lang w:eastAsia="bg-BG"/>
        </w:rPr>
        <w:t>При проучвания върху фертилитета, гемцитабин причинява хипосперматогенеза при мишки от мъжки пол (вж. точка 5.3). Поради това мъжете, лекувани с гемцитабин, се съветват да не</w:t>
      </w:r>
      <w:r w:rsidRPr="00B026D2">
        <w:rPr>
          <w:rFonts w:eastAsia="Times New Roman" w:cs="Arial"/>
          <w:color w:val="000000"/>
          <w:lang w:val="en-US" w:eastAsia="bg-BG"/>
        </w:rPr>
        <w:t xml:space="preserve"> </w:t>
      </w:r>
      <w:r w:rsidRPr="00B026D2">
        <w:rPr>
          <w:rFonts w:cs="Arial"/>
        </w:rPr>
        <w:t>стават бащи по време на и до 6 месеца след лечението и преди лечението да потърсят допълнителен съвет относно криоконсервиране на сперма, поради възможността за безплодие, дължащо се на лечението с гемцитабин.</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5A4BE9C1" w:rsidR="0091385D" w:rsidRPr="00B026D2" w:rsidRDefault="00B026D2" w:rsidP="0091385D">
      <w:pPr>
        <w:rPr>
          <w:rFonts w:cs="Arial"/>
        </w:rPr>
      </w:pPr>
      <w:r w:rsidRPr="00B026D2">
        <w:rPr>
          <w:rFonts w:cs="Arial"/>
        </w:rPr>
        <w:lastRenderedPageBreak/>
        <w:t>Не са провеждани проучвания за ефектите върху способността за шофиране и работа с машини. Съобщавано е обаче, че гемцитабин причинява лека до умерена сомнолентност, особено при едновременна употреба на алкохол. Пациентите трябва да бъдат предупредени да не шофират и да не работят с машини, докато се установи, че тяхната бдителност не е засегната.</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12C682E4"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 xml:space="preserve">Най-честите съобщавани нежелани лекарствени реакции, свързани с лечението с гемцитабин са: гадене със или без повръщане, повишени чернодробни трансаминази </w:t>
      </w:r>
      <w:r w:rsidRPr="00B026D2">
        <w:rPr>
          <w:rFonts w:eastAsia="Times New Roman" w:cs="Arial"/>
          <w:color w:val="000000"/>
          <w:lang w:val="en-US"/>
        </w:rPr>
        <w:t xml:space="preserve">(AST/ALT) </w:t>
      </w:r>
      <w:r w:rsidRPr="00B026D2">
        <w:rPr>
          <w:rFonts w:eastAsia="Times New Roman" w:cs="Arial"/>
          <w:color w:val="000000"/>
          <w:lang w:eastAsia="bg-BG"/>
        </w:rPr>
        <w:t>и алкална фосфатаза, съобщени при приблизително 60% от пациентите; протеинурия и хематурия, съобщени при приблизително 50% от пациентите; диспнея, съобщена при 10-40% от пациентите (най-висока честота при пациентите с белодробен карцином); алергични кожни обриви, проявяващи се при приблизително 25% от пациентите и свързани със сърбеж при 10% от пациентите.</w:t>
      </w:r>
    </w:p>
    <w:p w14:paraId="20287FC6" w14:textId="77777777" w:rsidR="00B026D2" w:rsidRPr="00B026D2" w:rsidRDefault="00B026D2" w:rsidP="00B026D2">
      <w:pPr>
        <w:spacing w:line="240" w:lineRule="auto"/>
        <w:rPr>
          <w:rFonts w:eastAsia="Times New Roman" w:cs="Arial"/>
          <w:color w:val="000000"/>
          <w:lang w:eastAsia="bg-BG"/>
        </w:rPr>
      </w:pPr>
    </w:p>
    <w:p w14:paraId="64982244" w14:textId="64976C74"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Честотата и тежестта на нежеланите реакции са повлияни от дозата, скоростта на инфузия и интервалите между дозите (вж. точка 4.4). Доза-лимитиращи нежелани реакции са намаляване на броя на тромбоцитите, левкоцитите и гранулоцитите (вж. точка 4.2).</w:t>
      </w:r>
    </w:p>
    <w:p w14:paraId="2E0F1494" w14:textId="77777777" w:rsidR="00B026D2" w:rsidRPr="00B026D2" w:rsidRDefault="00B026D2" w:rsidP="00B026D2">
      <w:pPr>
        <w:spacing w:line="240" w:lineRule="auto"/>
        <w:rPr>
          <w:rFonts w:eastAsia="Times New Roman" w:cs="Arial"/>
          <w:color w:val="000000"/>
          <w:u w:val="single"/>
          <w:lang w:eastAsia="bg-BG"/>
        </w:rPr>
      </w:pPr>
    </w:p>
    <w:p w14:paraId="3B6788CF" w14:textId="4CBA9C68"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u w:val="single"/>
          <w:lang w:eastAsia="bg-BG"/>
        </w:rPr>
        <w:t>Данни от клинични проучвания</w:t>
      </w:r>
    </w:p>
    <w:p w14:paraId="0DF83B94" w14:textId="77777777" w:rsidR="00B026D2" w:rsidRPr="00B026D2" w:rsidRDefault="00B026D2" w:rsidP="00B026D2">
      <w:pPr>
        <w:spacing w:line="240" w:lineRule="auto"/>
        <w:rPr>
          <w:rFonts w:eastAsia="Times New Roman" w:cs="Arial"/>
          <w:sz w:val="24"/>
          <w:szCs w:val="24"/>
          <w:lang w:eastAsia="bg-BG"/>
        </w:rPr>
      </w:pPr>
      <w:r w:rsidRPr="00B026D2">
        <w:rPr>
          <w:rFonts w:eastAsia="Times New Roman" w:cs="Arial"/>
          <w:color w:val="000000"/>
          <w:lang w:eastAsia="bg-BG"/>
        </w:rPr>
        <w:t>Честотите се определят като: много чести (≥1/10), чести (≥1/100 до &lt;1/10), нечести (≥1/1 000 до &lt;1/100), редки (&gt;1/10 000 до &lt;1/1 000), много редки (&lt;1/10 000).</w:t>
      </w:r>
    </w:p>
    <w:p w14:paraId="5FDBBDFD" w14:textId="77777777" w:rsidR="00B026D2" w:rsidRPr="00B026D2" w:rsidRDefault="00B026D2" w:rsidP="00B026D2">
      <w:pPr>
        <w:rPr>
          <w:rFonts w:eastAsia="Times New Roman" w:cs="Arial"/>
          <w:color w:val="000000"/>
          <w:lang w:eastAsia="bg-BG"/>
        </w:rPr>
      </w:pPr>
    </w:p>
    <w:p w14:paraId="570508C4" w14:textId="13954098" w:rsidR="0091385D" w:rsidRPr="00B026D2" w:rsidRDefault="00B026D2" w:rsidP="00B026D2">
      <w:pPr>
        <w:rPr>
          <w:rFonts w:cs="Arial"/>
        </w:rPr>
      </w:pPr>
      <w:r w:rsidRPr="00B026D2">
        <w:rPr>
          <w:rFonts w:eastAsia="Times New Roman" w:cs="Arial"/>
          <w:color w:val="000000"/>
          <w:lang w:eastAsia="bg-BG"/>
        </w:rPr>
        <w:t>Следната таблица на нежеланите реакции и честоти се основава на данни от клинични проучвания. При всяко групиране в зависимост от честотата, нежеланите реакции са представени в низходящ ред по отношение на тяхната сериозност.</w:t>
      </w:r>
    </w:p>
    <w:p w14:paraId="43E3C48F" w14:textId="2926BA00" w:rsidR="0091385D" w:rsidRDefault="0091385D" w:rsidP="0091385D"/>
    <w:tbl>
      <w:tblPr>
        <w:tblStyle w:val="TableGrid"/>
        <w:tblW w:w="0" w:type="auto"/>
        <w:tblLook w:val="04A0" w:firstRow="1" w:lastRow="0" w:firstColumn="1" w:lastColumn="0" w:noHBand="0" w:noVBand="1"/>
      </w:tblPr>
      <w:tblGrid>
        <w:gridCol w:w="4750"/>
        <w:gridCol w:w="4750"/>
      </w:tblGrid>
      <w:tr w:rsidR="00B026D2" w14:paraId="7B61DE5B" w14:textId="77777777" w:rsidTr="007437D2">
        <w:tc>
          <w:tcPr>
            <w:tcW w:w="4750" w:type="dxa"/>
            <w:vAlign w:val="bottom"/>
          </w:tcPr>
          <w:p w14:paraId="0C81FCAC" w14:textId="71037D32" w:rsidR="00B026D2" w:rsidRPr="00B026D2" w:rsidRDefault="00B026D2" w:rsidP="00B026D2">
            <w:r w:rsidRPr="00B026D2">
              <w:rPr>
                <w:b/>
                <w:bCs/>
              </w:rPr>
              <w:t>Системно-органни класове</w:t>
            </w:r>
          </w:p>
        </w:tc>
        <w:tc>
          <w:tcPr>
            <w:tcW w:w="4750" w:type="dxa"/>
            <w:vAlign w:val="bottom"/>
          </w:tcPr>
          <w:p w14:paraId="71C706EE" w14:textId="2DE6C9C5" w:rsidR="00B026D2" w:rsidRPr="000105EF" w:rsidRDefault="00B026D2" w:rsidP="00B026D2">
            <w:pPr>
              <w:rPr>
                <w:rFonts w:cs="Arial"/>
              </w:rPr>
            </w:pPr>
            <w:r w:rsidRPr="000105EF">
              <w:rPr>
                <w:rFonts w:cs="Arial"/>
                <w:b/>
                <w:bCs/>
              </w:rPr>
              <w:t>Групиране по честота</w:t>
            </w:r>
          </w:p>
        </w:tc>
      </w:tr>
      <w:tr w:rsidR="00B026D2" w14:paraId="256A602B" w14:textId="77777777" w:rsidTr="007437D2">
        <w:tc>
          <w:tcPr>
            <w:tcW w:w="4750" w:type="dxa"/>
          </w:tcPr>
          <w:p w14:paraId="749C39AC" w14:textId="09D765E8" w:rsidR="00B026D2" w:rsidRPr="00B026D2" w:rsidRDefault="00B026D2" w:rsidP="00B026D2">
            <w:r w:rsidRPr="00B026D2">
              <w:rPr>
                <w:b/>
                <w:bCs/>
                <w:i/>
                <w:iCs/>
              </w:rPr>
              <w:t>Инфекции и инфестации</w:t>
            </w:r>
          </w:p>
        </w:tc>
        <w:tc>
          <w:tcPr>
            <w:tcW w:w="4750" w:type="dxa"/>
            <w:vAlign w:val="bottom"/>
          </w:tcPr>
          <w:p w14:paraId="276D38DE" w14:textId="77777777" w:rsidR="00B026D2" w:rsidRPr="000105EF" w:rsidRDefault="00B026D2" w:rsidP="00B026D2">
            <w:pPr>
              <w:rPr>
                <w:rFonts w:cs="Arial"/>
              </w:rPr>
            </w:pPr>
            <w:r w:rsidRPr="000105EF">
              <w:rPr>
                <w:rFonts w:cs="Arial"/>
                <w:i/>
                <w:iCs/>
              </w:rPr>
              <w:t>Чести</w:t>
            </w:r>
          </w:p>
          <w:p w14:paraId="242B7058" w14:textId="77777777" w:rsidR="00B026D2" w:rsidRPr="000105EF" w:rsidRDefault="00B026D2" w:rsidP="00B026D2">
            <w:pPr>
              <w:rPr>
                <w:rFonts w:cs="Arial"/>
              </w:rPr>
            </w:pPr>
            <w:r w:rsidRPr="000105EF">
              <w:rPr>
                <w:rFonts w:cs="Arial"/>
              </w:rPr>
              <w:t>• Инфекции</w:t>
            </w:r>
          </w:p>
          <w:p w14:paraId="21568FE1" w14:textId="77777777" w:rsidR="000105EF" w:rsidRPr="000105EF" w:rsidRDefault="000105EF" w:rsidP="00B026D2">
            <w:pPr>
              <w:rPr>
                <w:rFonts w:cs="Arial"/>
                <w:i/>
                <w:iCs/>
              </w:rPr>
            </w:pPr>
          </w:p>
          <w:p w14:paraId="3181B5B0" w14:textId="517F7273" w:rsidR="00B026D2" w:rsidRPr="000105EF" w:rsidRDefault="00B026D2" w:rsidP="00B026D2">
            <w:pPr>
              <w:rPr>
                <w:rFonts w:cs="Arial"/>
              </w:rPr>
            </w:pPr>
            <w:r w:rsidRPr="000105EF">
              <w:rPr>
                <w:rFonts w:cs="Arial"/>
                <w:i/>
                <w:iCs/>
              </w:rPr>
              <w:t>С неизвестна честота</w:t>
            </w:r>
          </w:p>
          <w:p w14:paraId="285D7BFD" w14:textId="5823F2FC" w:rsidR="00B026D2" w:rsidRPr="000105EF" w:rsidRDefault="00B026D2" w:rsidP="00B026D2">
            <w:pPr>
              <w:rPr>
                <w:rFonts w:cs="Arial"/>
              </w:rPr>
            </w:pPr>
            <w:r w:rsidRPr="000105EF">
              <w:rPr>
                <w:rFonts w:cs="Arial"/>
              </w:rPr>
              <w:t>• Сепсис</w:t>
            </w:r>
          </w:p>
        </w:tc>
      </w:tr>
      <w:tr w:rsidR="00B026D2" w14:paraId="1D39C724" w14:textId="77777777" w:rsidTr="007437D2">
        <w:tc>
          <w:tcPr>
            <w:tcW w:w="4750" w:type="dxa"/>
          </w:tcPr>
          <w:p w14:paraId="7CF8217E" w14:textId="762D8369" w:rsidR="00B026D2" w:rsidRPr="00B026D2" w:rsidRDefault="00B026D2" w:rsidP="00B026D2">
            <w:r w:rsidRPr="00B026D2">
              <w:rPr>
                <w:b/>
                <w:bCs/>
                <w:i/>
                <w:iCs/>
              </w:rPr>
              <w:t>Нарушения на кръвта и лимфната система</w:t>
            </w:r>
          </w:p>
        </w:tc>
        <w:tc>
          <w:tcPr>
            <w:tcW w:w="4750" w:type="dxa"/>
            <w:vAlign w:val="bottom"/>
          </w:tcPr>
          <w:p w14:paraId="25882834" w14:textId="77777777" w:rsidR="000105EF" w:rsidRPr="000105EF" w:rsidRDefault="000105EF" w:rsidP="00B026D2">
            <w:pPr>
              <w:rPr>
                <w:rFonts w:cs="Arial"/>
                <w:i/>
                <w:iCs/>
              </w:rPr>
            </w:pPr>
          </w:p>
          <w:p w14:paraId="4B17597E" w14:textId="10DA6603" w:rsidR="00B026D2" w:rsidRPr="000105EF" w:rsidRDefault="00B026D2" w:rsidP="00B026D2">
            <w:pPr>
              <w:rPr>
                <w:rFonts w:cs="Arial"/>
              </w:rPr>
            </w:pPr>
            <w:r w:rsidRPr="000105EF">
              <w:rPr>
                <w:rFonts w:cs="Arial"/>
                <w:i/>
                <w:iCs/>
              </w:rPr>
              <w:t>Много чести</w:t>
            </w:r>
          </w:p>
          <w:p w14:paraId="59D10479" w14:textId="77777777" w:rsidR="00B026D2" w:rsidRPr="000105EF" w:rsidRDefault="00B026D2" w:rsidP="00DC4567">
            <w:pPr>
              <w:pStyle w:val="ListParagraph"/>
              <w:numPr>
                <w:ilvl w:val="0"/>
                <w:numId w:val="2"/>
              </w:numPr>
              <w:spacing w:line="240" w:lineRule="auto"/>
              <w:rPr>
                <w:rFonts w:cs="Arial"/>
              </w:rPr>
            </w:pPr>
            <w:r w:rsidRPr="000105EF">
              <w:rPr>
                <w:rFonts w:cs="Arial"/>
              </w:rPr>
              <w:t>Левкопения (неутропения степен 3=19,3 %; степен 4=6 %).</w:t>
            </w:r>
          </w:p>
          <w:p w14:paraId="42A57DA8" w14:textId="77777777" w:rsidR="00B026D2" w:rsidRPr="000105EF" w:rsidRDefault="00B026D2" w:rsidP="00B026D2">
            <w:pPr>
              <w:rPr>
                <w:rFonts w:cs="Arial"/>
              </w:rPr>
            </w:pPr>
            <w:r w:rsidRPr="000105EF">
              <w:rPr>
                <w:rFonts w:cs="Arial"/>
              </w:rPr>
              <w:t>Костномозъчната супресия обикновено е лека до умерена и в повечето случаи засяга броя на гранулоцитите (вж. точки 4,2 и 4.4)</w:t>
            </w:r>
          </w:p>
          <w:p w14:paraId="1A9A71CE" w14:textId="77777777" w:rsidR="00B026D2" w:rsidRPr="000105EF" w:rsidRDefault="00B026D2" w:rsidP="00DC4567">
            <w:pPr>
              <w:pStyle w:val="ListParagraph"/>
              <w:numPr>
                <w:ilvl w:val="0"/>
                <w:numId w:val="2"/>
              </w:numPr>
              <w:spacing w:line="240" w:lineRule="auto"/>
              <w:rPr>
                <w:rFonts w:cs="Arial"/>
              </w:rPr>
            </w:pPr>
            <w:r w:rsidRPr="000105EF">
              <w:rPr>
                <w:rFonts w:cs="Arial"/>
              </w:rPr>
              <w:t>Тромбоцитопения</w:t>
            </w:r>
          </w:p>
          <w:p w14:paraId="635975D1" w14:textId="190C357A" w:rsidR="00B026D2" w:rsidRPr="000105EF" w:rsidRDefault="00B026D2" w:rsidP="00DC4567">
            <w:pPr>
              <w:pStyle w:val="ListParagraph"/>
              <w:numPr>
                <w:ilvl w:val="0"/>
                <w:numId w:val="2"/>
              </w:numPr>
              <w:spacing w:line="240" w:lineRule="auto"/>
              <w:rPr>
                <w:rFonts w:cs="Arial"/>
              </w:rPr>
            </w:pPr>
            <w:r w:rsidRPr="000105EF">
              <w:rPr>
                <w:rFonts w:cs="Arial"/>
              </w:rPr>
              <w:t>Анемия</w:t>
            </w:r>
          </w:p>
          <w:p w14:paraId="046C4544" w14:textId="77777777" w:rsidR="00B026D2" w:rsidRPr="000105EF" w:rsidRDefault="00B026D2" w:rsidP="00B026D2">
            <w:pPr>
              <w:pStyle w:val="ListParagraph"/>
              <w:spacing w:line="240" w:lineRule="auto"/>
              <w:rPr>
                <w:rFonts w:cs="Arial"/>
              </w:rPr>
            </w:pPr>
          </w:p>
          <w:p w14:paraId="7A09C018" w14:textId="77777777" w:rsidR="00B026D2" w:rsidRPr="000105EF" w:rsidRDefault="00B026D2" w:rsidP="00B026D2">
            <w:pPr>
              <w:rPr>
                <w:rFonts w:cs="Arial"/>
              </w:rPr>
            </w:pPr>
            <w:r w:rsidRPr="000105EF">
              <w:rPr>
                <w:rFonts w:cs="Arial"/>
                <w:i/>
                <w:iCs/>
              </w:rPr>
              <w:t>Чести</w:t>
            </w:r>
          </w:p>
          <w:p w14:paraId="631B4B82" w14:textId="48AA012B" w:rsidR="00B026D2" w:rsidRPr="000105EF" w:rsidRDefault="00B026D2" w:rsidP="00DC4567">
            <w:pPr>
              <w:pStyle w:val="ListParagraph"/>
              <w:numPr>
                <w:ilvl w:val="0"/>
                <w:numId w:val="3"/>
              </w:numPr>
              <w:spacing w:line="240" w:lineRule="auto"/>
              <w:rPr>
                <w:rFonts w:cs="Arial"/>
              </w:rPr>
            </w:pPr>
            <w:r w:rsidRPr="000105EF">
              <w:rPr>
                <w:rFonts w:cs="Arial"/>
              </w:rPr>
              <w:t>Фебрилна неутропения</w:t>
            </w:r>
          </w:p>
          <w:p w14:paraId="3CFBA2B1" w14:textId="77777777" w:rsidR="00B026D2" w:rsidRPr="000105EF" w:rsidRDefault="00B026D2" w:rsidP="00B026D2">
            <w:pPr>
              <w:pStyle w:val="ListParagraph"/>
              <w:spacing w:line="240" w:lineRule="auto"/>
              <w:rPr>
                <w:rFonts w:cs="Arial"/>
              </w:rPr>
            </w:pPr>
          </w:p>
          <w:p w14:paraId="292C9E8F" w14:textId="77777777" w:rsidR="00B026D2" w:rsidRPr="000105EF" w:rsidRDefault="00B026D2" w:rsidP="00B026D2">
            <w:pPr>
              <w:rPr>
                <w:rFonts w:cs="Arial"/>
              </w:rPr>
            </w:pPr>
            <w:r w:rsidRPr="000105EF">
              <w:rPr>
                <w:rFonts w:cs="Arial"/>
                <w:i/>
                <w:iCs/>
              </w:rPr>
              <w:t>Много редки</w:t>
            </w:r>
          </w:p>
          <w:p w14:paraId="2FCB8FBE" w14:textId="4A61E2C7" w:rsidR="00B026D2" w:rsidRPr="000105EF" w:rsidRDefault="00B026D2" w:rsidP="00DC4567">
            <w:pPr>
              <w:pStyle w:val="ListParagraph"/>
              <w:numPr>
                <w:ilvl w:val="0"/>
                <w:numId w:val="3"/>
              </w:numPr>
              <w:spacing w:line="240" w:lineRule="auto"/>
              <w:rPr>
                <w:rFonts w:cs="Arial"/>
              </w:rPr>
            </w:pPr>
            <w:r w:rsidRPr="000105EF">
              <w:rPr>
                <w:rFonts w:cs="Arial"/>
              </w:rPr>
              <w:t>Тромбоцитоза</w:t>
            </w:r>
            <w:r w:rsidRPr="000105EF">
              <w:rPr>
                <w:rFonts w:cs="Arial"/>
              </w:rPr>
              <w:tab/>
            </w:r>
          </w:p>
          <w:p w14:paraId="5629D0BD" w14:textId="153E7B48" w:rsidR="00B026D2" w:rsidRPr="000105EF" w:rsidRDefault="00B026D2" w:rsidP="00DC4567">
            <w:pPr>
              <w:pStyle w:val="ListParagraph"/>
              <w:numPr>
                <w:ilvl w:val="0"/>
                <w:numId w:val="3"/>
              </w:numPr>
              <w:rPr>
                <w:rFonts w:cs="Arial"/>
              </w:rPr>
            </w:pPr>
            <w:r w:rsidRPr="000105EF">
              <w:rPr>
                <w:rFonts w:cs="Arial"/>
              </w:rPr>
              <w:t>Тромботична микроангиопатия</w:t>
            </w:r>
          </w:p>
        </w:tc>
      </w:tr>
      <w:tr w:rsidR="000105EF" w14:paraId="356666E5" w14:textId="77777777" w:rsidTr="007437D2">
        <w:tc>
          <w:tcPr>
            <w:tcW w:w="4750" w:type="dxa"/>
            <w:vAlign w:val="bottom"/>
          </w:tcPr>
          <w:p w14:paraId="4C9979CF" w14:textId="76D07E68" w:rsidR="000105EF" w:rsidRPr="000105EF" w:rsidRDefault="000105EF" w:rsidP="000105EF">
            <w:r w:rsidRPr="000105EF">
              <w:rPr>
                <w:b/>
                <w:bCs/>
                <w:i/>
                <w:iCs/>
              </w:rPr>
              <w:lastRenderedPageBreak/>
              <w:t>Нарушения на имунната система</w:t>
            </w:r>
          </w:p>
        </w:tc>
        <w:tc>
          <w:tcPr>
            <w:tcW w:w="4750" w:type="dxa"/>
            <w:vAlign w:val="bottom"/>
          </w:tcPr>
          <w:p w14:paraId="378E50AC" w14:textId="77777777" w:rsidR="000105EF" w:rsidRPr="000105EF" w:rsidRDefault="000105EF" w:rsidP="000105EF">
            <w:pPr>
              <w:rPr>
                <w:rFonts w:cs="Arial"/>
              </w:rPr>
            </w:pPr>
            <w:r w:rsidRPr="000105EF">
              <w:rPr>
                <w:rFonts w:cs="Arial"/>
                <w:i/>
                <w:iCs/>
              </w:rPr>
              <w:t>Много редки</w:t>
            </w:r>
          </w:p>
          <w:p w14:paraId="36E2C9D9" w14:textId="69B997BF" w:rsidR="000105EF" w:rsidRPr="000105EF" w:rsidRDefault="000105EF" w:rsidP="000105EF">
            <w:pPr>
              <w:rPr>
                <w:rFonts w:cs="Arial"/>
              </w:rPr>
            </w:pPr>
            <w:r w:rsidRPr="000105EF">
              <w:rPr>
                <w:rFonts w:cs="Arial"/>
              </w:rPr>
              <w:t>• Анафилактоидна реакция</w:t>
            </w:r>
          </w:p>
        </w:tc>
      </w:tr>
      <w:tr w:rsidR="000105EF" w14:paraId="23A106AE" w14:textId="77777777" w:rsidTr="007437D2">
        <w:tc>
          <w:tcPr>
            <w:tcW w:w="4750" w:type="dxa"/>
            <w:vAlign w:val="bottom"/>
          </w:tcPr>
          <w:p w14:paraId="34862999" w14:textId="0FFF5C3F" w:rsidR="000105EF" w:rsidRPr="000105EF" w:rsidRDefault="000105EF" w:rsidP="000105EF">
            <w:r w:rsidRPr="000105EF">
              <w:rPr>
                <w:b/>
                <w:bCs/>
                <w:i/>
                <w:iCs/>
              </w:rPr>
              <w:t>Нарушения на метаболизма и храненето</w:t>
            </w:r>
          </w:p>
        </w:tc>
        <w:tc>
          <w:tcPr>
            <w:tcW w:w="4750" w:type="dxa"/>
            <w:vAlign w:val="bottom"/>
          </w:tcPr>
          <w:p w14:paraId="528298E7" w14:textId="77777777" w:rsidR="000105EF" w:rsidRPr="000105EF" w:rsidRDefault="000105EF" w:rsidP="000105EF">
            <w:pPr>
              <w:rPr>
                <w:rFonts w:cs="Arial"/>
              </w:rPr>
            </w:pPr>
            <w:r w:rsidRPr="000105EF">
              <w:rPr>
                <w:rFonts w:cs="Arial"/>
                <w:i/>
                <w:iCs/>
              </w:rPr>
              <w:t>Чести</w:t>
            </w:r>
          </w:p>
          <w:p w14:paraId="19F69439" w14:textId="7730C2B6" w:rsidR="000105EF" w:rsidRPr="000105EF" w:rsidRDefault="000105EF" w:rsidP="000105EF">
            <w:pPr>
              <w:rPr>
                <w:rFonts w:cs="Arial"/>
              </w:rPr>
            </w:pPr>
            <w:r w:rsidRPr="000105EF">
              <w:rPr>
                <w:rFonts w:cs="Arial"/>
              </w:rPr>
              <w:t>• Анорексия</w:t>
            </w:r>
          </w:p>
        </w:tc>
      </w:tr>
      <w:tr w:rsidR="000105EF" w14:paraId="18A6CAC3" w14:textId="77777777" w:rsidTr="007437D2">
        <w:tc>
          <w:tcPr>
            <w:tcW w:w="4750" w:type="dxa"/>
          </w:tcPr>
          <w:p w14:paraId="738A0EFC" w14:textId="24AAB66E" w:rsidR="000105EF" w:rsidRPr="000105EF" w:rsidRDefault="000105EF" w:rsidP="000105EF">
            <w:r w:rsidRPr="000105EF">
              <w:rPr>
                <w:b/>
                <w:bCs/>
                <w:i/>
                <w:iCs/>
              </w:rPr>
              <w:t>Нарушения на нервната система</w:t>
            </w:r>
          </w:p>
        </w:tc>
        <w:tc>
          <w:tcPr>
            <w:tcW w:w="4750" w:type="dxa"/>
            <w:vAlign w:val="bottom"/>
          </w:tcPr>
          <w:p w14:paraId="44256C9B" w14:textId="77777777" w:rsidR="000105EF" w:rsidRPr="000105EF" w:rsidRDefault="000105EF" w:rsidP="000105EF">
            <w:pPr>
              <w:rPr>
                <w:rFonts w:cs="Arial"/>
              </w:rPr>
            </w:pPr>
            <w:r w:rsidRPr="000105EF">
              <w:rPr>
                <w:rFonts w:cs="Arial"/>
                <w:i/>
                <w:iCs/>
              </w:rPr>
              <w:t>Чести</w:t>
            </w:r>
          </w:p>
          <w:p w14:paraId="6AC45D8F" w14:textId="77777777" w:rsidR="000105EF" w:rsidRPr="000105EF" w:rsidRDefault="000105EF" w:rsidP="00DC4567">
            <w:pPr>
              <w:pStyle w:val="ListParagraph"/>
              <w:numPr>
                <w:ilvl w:val="0"/>
                <w:numId w:val="5"/>
              </w:numPr>
              <w:spacing w:line="240" w:lineRule="auto"/>
              <w:rPr>
                <w:rFonts w:cs="Arial"/>
              </w:rPr>
            </w:pPr>
            <w:r w:rsidRPr="000105EF">
              <w:rPr>
                <w:rFonts w:cs="Arial"/>
              </w:rPr>
              <w:t>Главоболие</w:t>
            </w:r>
          </w:p>
          <w:p w14:paraId="0A461C55" w14:textId="77777777" w:rsidR="000105EF" w:rsidRPr="000105EF" w:rsidRDefault="000105EF" w:rsidP="00DC4567">
            <w:pPr>
              <w:pStyle w:val="ListParagraph"/>
              <w:numPr>
                <w:ilvl w:val="0"/>
                <w:numId w:val="5"/>
              </w:numPr>
              <w:spacing w:line="240" w:lineRule="auto"/>
              <w:rPr>
                <w:rFonts w:cs="Arial"/>
              </w:rPr>
            </w:pPr>
            <w:r w:rsidRPr="000105EF">
              <w:rPr>
                <w:rFonts w:cs="Arial"/>
              </w:rPr>
              <w:t>Безсъние</w:t>
            </w:r>
          </w:p>
          <w:p w14:paraId="3EB99337" w14:textId="77777777" w:rsidR="000105EF" w:rsidRPr="000105EF" w:rsidRDefault="000105EF" w:rsidP="00DC4567">
            <w:pPr>
              <w:pStyle w:val="ListParagraph"/>
              <w:numPr>
                <w:ilvl w:val="0"/>
                <w:numId w:val="5"/>
              </w:numPr>
              <w:spacing w:line="240" w:lineRule="auto"/>
              <w:rPr>
                <w:rFonts w:cs="Arial"/>
              </w:rPr>
            </w:pPr>
            <w:r w:rsidRPr="000105EF">
              <w:rPr>
                <w:rFonts w:cs="Arial"/>
              </w:rPr>
              <w:t>Сънливост</w:t>
            </w:r>
          </w:p>
          <w:p w14:paraId="379C22E1" w14:textId="77777777" w:rsidR="000105EF" w:rsidRPr="000105EF" w:rsidRDefault="000105EF" w:rsidP="000105EF">
            <w:pPr>
              <w:rPr>
                <w:rFonts w:cs="Arial"/>
                <w:i/>
                <w:iCs/>
              </w:rPr>
            </w:pPr>
          </w:p>
          <w:p w14:paraId="70517081" w14:textId="105F6B18" w:rsidR="000105EF" w:rsidRPr="000105EF" w:rsidRDefault="000105EF" w:rsidP="000105EF">
            <w:pPr>
              <w:rPr>
                <w:rFonts w:cs="Arial"/>
              </w:rPr>
            </w:pPr>
            <w:r w:rsidRPr="000105EF">
              <w:rPr>
                <w:rFonts w:cs="Arial"/>
                <w:i/>
                <w:iCs/>
              </w:rPr>
              <w:t>Нечести</w:t>
            </w:r>
          </w:p>
          <w:p w14:paraId="7F5608A9" w14:textId="77777777" w:rsidR="000105EF" w:rsidRPr="000105EF" w:rsidRDefault="000105EF" w:rsidP="00DC4567">
            <w:pPr>
              <w:pStyle w:val="ListParagraph"/>
              <w:numPr>
                <w:ilvl w:val="0"/>
                <w:numId w:val="6"/>
              </w:numPr>
              <w:spacing w:line="240" w:lineRule="auto"/>
              <w:rPr>
                <w:rFonts w:cs="Arial"/>
              </w:rPr>
            </w:pPr>
            <w:r w:rsidRPr="000105EF">
              <w:rPr>
                <w:rFonts w:cs="Arial"/>
              </w:rPr>
              <w:t>Мозъчносъдов инцидент</w:t>
            </w:r>
          </w:p>
          <w:p w14:paraId="38704178" w14:textId="77777777" w:rsidR="000105EF" w:rsidRPr="000105EF" w:rsidRDefault="000105EF" w:rsidP="000105EF">
            <w:pPr>
              <w:rPr>
                <w:rFonts w:cs="Arial"/>
                <w:i/>
                <w:iCs/>
              </w:rPr>
            </w:pPr>
          </w:p>
          <w:p w14:paraId="229728B8" w14:textId="62502A36" w:rsidR="000105EF" w:rsidRPr="000105EF" w:rsidRDefault="000105EF" w:rsidP="000105EF">
            <w:pPr>
              <w:rPr>
                <w:rFonts w:cs="Arial"/>
              </w:rPr>
            </w:pPr>
            <w:r w:rsidRPr="000105EF">
              <w:rPr>
                <w:rFonts w:cs="Arial"/>
                <w:i/>
                <w:iCs/>
              </w:rPr>
              <w:t>Много редки</w:t>
            </w:r>
          </w:p>
          <w:p w14:paraId="126DC838" w14:textId="1C01CEEC" w:rsidR="000105EF" w:rsidRPr="000105EF" w:rsidRDefault="000105EF" w:rsidP="00DC4567">
            <w:pPr>
              <w:pStyle w:val="ListParagraph"/>
              <w:numPr>
                <w:ilvl w:val="0"/>
                <w:numId w:val="6"/>
              </w:numPr>
              <w:rPr>
                <w:rFonts w:cs="Arial"/>
              </w:rPr>
            </w:pPr>
            <w:r w:rsidRPr="000105EF">
              <w:rPr>
                <w:rFonts w:cs="Arial"/>
              </w:rPr>
              <w:t>Синдром на обратима постериорна енцефалопатия (вж. точка 4.4)</w:t>
            </w:r>
          </w:p>
        </w:tc>
      </w:tr>
      <w:tr w:rsidR="000105EF" w14:paraId="6AE6C84E" w14:textId="77777777" w:rsidTr="007437D2">
        <w:tc>
          <w:tcPr>
            <w:tcW w:w="4750" w:type="dxa"/>
          </w:tcPr>
          <w:p w14:paraId="51BD5A14" w14:textId="0C6BF06E" w:rsidR="000105EF" w:rsidRPr="000105EF" w:rsidRDefault="000105EF" w:rsidP="000105EF">
            <w:r w:rsidRPr="000105EF">
              <w:rPr>
                <w:b/>
                <w:bCs/>
                <w:i/>
                <w:iCs/>
              </w:rPr>
              <w:t>Сърдечни нарушения</w:t>
            </w:r>
          </w:p>
        </w:tc>
        <w:tc>
          <w:tcPr>
            <w:tcW w:w="4750" w:type="dxa"/>
            <w:vAlign w:val="bottom"/>
          </w:tcPr>
          <w:p w14:paraId="23F36462" w14:textId="77777777" w:rsidR="000105EF" w:rsidRPr="000105EF" w:rsidRDefault="000105EF" w:rsidP="000105EF">
            <w:pPr>
              <w:rPr>
                <w:rFonts w:cs="Arial"/>
              </w:rPr>
            </w:pPr>
            <w:r w:rsidRPr="000105EF">
              <w:rPr>
                <w:rFonts w:cs="Arial"/>
                <w:i/>
                <w:iCs/>
              </w:rPr>
              <w:t>Нечести</w:t>
            </w:r>
          </w:p>
          <w:p w14:paraId="4B5ED4D3" w14:textId="77777777" w:rsidR="000105EF" w:rsidRPr="000105EF" w:rsidRDefault="000105EF" w:rsidP="00DC4567">
            <w:pPr>
              <w:pStyle w:val="ListParagraph"/>
              <w:numPr>
                <w:ilvl w:val="0"/>
                <w:numId w:val="7"/>
              </w:numPr>
              <w:spacing w:line="240" w:lineRule="auto"/>
              <w:rPr>
                <w:rFonts w:cs="Arial"/>
              </w:rPr>
            </w:pPr>
            <w:r w:rsidRPr="000105EF">
              <w:rPr>
                <w:rFonts w:cs="Arial"/>
              </w:rPr>
              <w:t>Аритмия, предимно суправентрикуларна по естество</w:t>
            </w:r>
          </w:p>
          <w:p w14:paraId="10177899" w14:textId="77777777" w:rsidR="000105EF" w:rsidRPr="000105EF" w:rsidRDefault="000105EF" w:rsidP="00DC4567">
            <w:pPr>
              <w:pStyle w:val="ListParagraph"/>
              <w:numPr>
                <w:ilvl w:val="0"/>
                <w:numId w:val="7"/>
              </w:numPr>
              <w:spacing w:line="240" w:lineRule="auto"/>
              <w:rPr>
                <w:rFonts w:cs="Arial"/>
              </w:rPr>
            </w:pPr>
            <w:r w:rsidRPr="000105EF">
              <w:rPr>
                <w:rFonts w:cs="Arial"/>
              </w:rPr>
              <w:t>Сърдечна недостатъчност</w:t>
            </w:r>
          </w:p>
          <w:p w14:paraId="1103A43E" w14:textId="77777777" w:rsidR="000105EF" w:rsidRPr="000105EF" w:rsidRDefault="000105EF" w:rsidP="000105EF">
            <w:pPr>
              <w:rPr>
                <w:rFonts w:cs="Arial"/>
                <w:i/>
                <w:iCs/>
              </w:rPr>
            </w:pPr>
          </w:p>
          <w:p w14:paraId="6F7A462B" w14:textId="4876CF83" w:rsidR="000105EF" w:rsidRPr="000105EF" w:rsidRDefault="000105EF" w:rsidP="000105EF">
            <w:pPr>
              <w:rPr>
                <w:rFonts w:cs="Arial"/>
              </w:rPr>
            </w:pPr>
            <w:r w:rsidRPr="000105EF">
              <w:rPr>
                <w:rFonts w:cs="Arial"/>
                <w:i/>
                <w:iCs/>
              </w:rPr>
              <w:t>Редки</w:t>
            </w:r>
          </w:p>
          <w:p w14:paraId="683596CB" w14:textId="40E2CF7D" w:rsidR="000105EF" w:rsidRPr="000105EF" w:rsidRDefault="000105EF" w:rsidP="00DC4567">
            <w:pPr>
              <w:pStyle w:val="ListParagraph"/>
              <w:numPr>
                <w:ilvl w:val="0"/>
                <w:numId w:val="10"/>
              </w:numPr>
              <w:rPr>
                <w:rFonts w:cs="Arial"/>
              </w:rPr>
            </w:pPr>
            <w:r w:rsidRPr="000105EF">
              <w:rPr>
                <w:rFonts w:cs="Arial"/>
              </w:rPr>
              <w:t>Миокарден инфаркт</w:t>
            </w:r>
          </w:p>
        </w:tc>
      </w:tr>
      <w:tr w:rsidR="000105EF" w14:paraId="41E8DA2D" w14:textId="77777777" w:rsidTr="007437D2">
        <w:tc>
          <w:tcPr>
            <w:tcW w:w="4750" w:type="dxa"/>
          </w:tcPr>
          <w:p w14:paraId="329F3B05" w14:textId="583ECF97" w:rsidR="000105EF" w:rsidRPr="000105EF" w:rsidRDefault="000105EF" w:rsidP="000105EF">
            <w:r w:rsidRPr="000105EF">
              <w:rPr>
                <w:b/>
                <w:bCs/>
                <w:i/>
                <w:iCs/>
              </w:rPr>
              <w:t>Съдови нарушения</w:t>
            </w:r>
          </w:p>
        </w:tc>
        <w:tc>
          <w:tcPr>
            <w:tcW w:w="4750" w:type="dxa"/>
            <w:vAlign w:val="bottom"/>
          </w:tcPr>
          <w:p w14:paraId="7CAEC43F" w14:textId="77777777" w:rsidR="000105EF" w:rsidRPr="000105EF" w:rsidRDefault="000105EF" w:rsidP="000105EF">
            <w:pPr>
              <w:rPr>
                <w:rFonts w:cs="Arial"/>
              </w:rPr>
            </w:pPr>
            <w:r w:rsidRPr="000105EF">
              <w:rPr>
                <w:rFonts w:cs="Arial"/>
                <w:i/>
                <w:iCs/>
              </w:rPr>
              <w:t>Редки</w:t>
            </w:r>
          </w:p>
          <w:p w14:paraId="57AB9068" w14:textId="77777777" w:rsidR="000105EF" w:rsidRPr="000105EF" w:rsidRDefault="000105EF" w:rsidP="00DC4567">
            <w:pPr>
              <w:pStyle w:val="ListParagraph"/>
              <w:numPr>
                <w:ilvl w:val="0"/>
                <w:numId w:val="8"/>
              </w:numPr>
              <w:spacing w:line="240" w:lineRule="auto"/>
              <w:rPr>
                <w:rFonts w:cs="Arial"/>
              </w:rPr>
            </w:pPr>
            <w:r w:rsidRPr="000105EF">
              <w:rPr>
                <w:rFonts w:cs="Arial"/>
              </w:rPr>
              <w:t>Клинични признаци на периферен васкулит и гангрена</w:t>
            </w:r>
          </w:p>
          <w:p w14:paraId="24971F58" w14:textId="77777777" w:rsidR="000105EF" w:rsidRPr="000105EF" w:rsidRDefault="000105EF" w:rsidP="00DC4567">
            <w:pPr>
              <w:pStyle w:val="ListParagraph"/>
              <w:numPr>
                <w:ilvl w:val="0"/>
                <w:numId w:val="8"/>
              </w:numPr>
              <w:spacing w:line="240" w:lineRule="auto"/>
              <w:rPr>
                <w:rFonts w:cs="Arial"/>
              </w:rPr>
            </w:pPr>
            <w:r w:rsidRPr="000105EF">
              <w:rPr>
                <w:rFonts w:cs="Arial"/>
              </w:rPr>
              <w:t>Хипотония</w:t>
            </w:r>
          </w:p>
          <w:p w14:paraId="39D5A8AC" w14:textId="77777777" w:rsidR="000105EF" w:rsidRPr="000105EF" w:rsidRDefault="000105EF" w:rsidP="000105EF">
            <w:pPr>
              <w:spacing w:line="240" w:lineRule="auto"/>
              <w:rPr>
                <w:rFonts w:cs="Arial"/>
              </w:rPr>
            </w:pPr>
          </w:p>
          <w:p w14:paraId="1FBCDCFB" w14:textId="549A2DA3" w:rsidR="000105EF" w:rsidRPr="000105EF" w:rsidRDefault="000105EF" w:rsidP="000105EF">
            <w:pPr>
              <w:spacing w:line="240" w:lineRule="auto"/>
              <w:rPr>
                <w:rFonts w:cs="Arial"/>
              </w:rPr>
            </w:pPr>
            <w:r w:rsidRPr="000105EF">
              <w:rPr>
                <w:rFonts w:cs="Arial"/>
                <w:i/>
                <w:iCs/>
              </w:rPr>
              <w:t>Много редки</w:t>
            </w:r>
          </w:p>
          <w:p w14:paraId="21A7EAD6" w14:textId="2B765F21" w:rsidR="000105EF" w:rsidRPr="000105EF" w:rsidRDefault="000105EF" w:rsidP="00DC4567">
            <w:pPr>
              <w:pStyle w:val="ListParagraph"/>
              <w:numPr>
                <w:ilvl w:val="1"/>
                <w:numId w:val="9"/>
              </w:numPr>
              <w:rPr>
                <w:rFonts w:cs="Arial"/>
              </w:rPr>
            </w:pPr>
            <w:r w:rsidRPr="000105EF">
              <w:rPr>
                <w:rFonts w:cs="Arial"/>
              </w:rPr>
              <w:t>Синдром на повишена капилярна пропускливост</w:t>
            </w:r>
          </w:p>
        </w:tc>
      </w:tr>
      <w:tr w:rsidR="000105EF" w14:paraId="10F022FF" w14:textId="77777777" w:rsidTr="007437D2">
        <w:tc>
          <w:tcPr>
            <w:tcW w:w="4750" w:type="dxa"/>
          </w:tcPr>
          <w:p w14:paraId="1D06C04C" w14:textId="3E98B4D9" w:rsidR="000105EF" w:rsidRPr="000105EF" w:rsidRDefault="000105EF" w:rsidP="000105EF">
            <w:r w:rsidRPr="000105EF">
              <w:rPr>
                <w:b/>
                <w:bCs/>
                <w:i/>
                <w:iCs/>
              </w:rPr>
              <w:t>Респираторни, гръдни и медиастинални нарушения</w:t>
            </w:r>
          </w:p>
        </w:tc>
        <w:tc>
          <w:tcPr>
            <w:tcW w:w="4750" w:type="dxa"/>
            <w:vAlign w:val="bottom"/>
          </w:tcPr>
          <w:p w14:paraId="035EC8AB" w14:textId="77777777" w:rsidR="000105EF" w:rsidRPr="000105EF" w:rsidRDefault="000105EF" w:rsidP="000105EF">
            <w:pPr>
              <w:rPr>
                <w:rFonts w:cs="Arial"/>
              </w:rPr>
            </w:pPr>
            <w:r w:rsidRPr="000105EF">
              <w:rPr>
                <w:rFonts w:cs="Arial"/>
                <w:i/>
                <w:iCs/>
              </w:rPr>
              <w:t>Много чести</w:t>
            </w:r>
          </w:p>
          <w:p w14:paraId="664507CF" w14:textId="77777777" w:rsidR="000105EF" w:rsidRPr="000105EF" w:rsidRDefault="000105EF" w:rsidP="00DC4567">
            <w:pPr>
              <w:pStyle w:val="ListParagraph"/>
              <w:numPr>
                <w:ilvl w:val="0"/>
                <w:numId w:val="9"/>
              </w:numPr>
              <w:spacing w:line="240" w:lineRule="auto"/>
              <w:rPr>
                <w:rFonts w:cs="Arial"/>
              </w:rPr>
            </w:pPr>
            <w:r w:rsidRPr="000105EF">
              <w:rPr>
                <w:rFonts w:cs="Arial"/>
              </w:rPr>
              <w:t>Диспнея - обикновено лека и преминава бързо без лечение</w:t>
            </w:r>
          </w:p>
          <w:p w14:paraId="36D045C2" w14:textId="77777777" w:rsidR="000105EF" w:rsidRPr="000105EF" w:rsidRDefault="000105EF" w:rsidP="000105EF">
            <w:pPr>
              <w:rPr>
                <w:rFonts w:cs="Arial"/>
                <w:i/>
                <w:iCs/>
              </w:rPr>
            </w:pPr>
          </w:p>
          <w:p w14:paraId="0149792E" w14:textId="00A436A0" w:rsidR="000105EF" w:rsidRPr="000105EF" w:rsidRDefault="000105EF" w:rsidP="000105EF">
            <w:pPr>
              <w:rPr>
                <w:rFonts w:cs="Arial"/>
              </w:rPr>
            </w:pPr>
            <w:r w:rsidRPr="000105EF">
              <w:rPr>
                <w:rFonts w:cs="Arial"/>
                <w:i/>
                <w:iCs/>
              </w:rPr>
              <w:t>Чести</w:t>
            </w:r>
          </w:p>
          <w:p w14:paraId="7ABA792D" w14:textId="77777777" w:rsidR="000105EF" w:rsidRPr="000105EF" w:rsidRDefault="000105EF" w:rsidP="00DC4567">
            <w:pPr>
              <w:pStyle w:val="ListParagraph"/>
              <w:numPr>
                <w:ilvl w:val="0"/>
                <w:numId w:val="9"/>
              </w:numPr>
              <w:spacing w:line="240" w:lineRule="auto"/>
              <w:rPr>
                <w:rFonts w:cs="Arial"/>
              </w:rPr>
            </w:pPr>
            <w:r w:rsidRPr="000105EF">
              <w:rPr>
                <w:rFonts w:cs="Arial"/>
              </w:rPr>
              <w:t>Кашлица</w:t>
            </w:r>
          </w:p>
          <w:p w14:paraId="0AD0A059" w14:textId="34C2C006" w:rsidR="000105EF" w:rsidRPr="000105EF" w:rsidRDefault="000105EF" w:rsidP="00DC4567">
            <w:pPr>
              <w:pStyle w:val="ListParagraph"/>
              <w:numPr>
                <w:ilvl w:val="0"/>
                <w:numId w:val="9"/>
              </w:numPr>
              <w:spacing w:line="240" w:lineRule="auto"/>
              <w:rPr>
                <w:rFonts w:cs="Arial"/>
              </w:rPr>
            </w:pPr>
            <w:r w:rsidRPr="000105EF">
              <w:rPr>
                <w:rFonts w:cs="Arial"/>
              </w:rPr>
              <w:t>Ринит</w:t>
            </w:r>
          </w:p>
          <w:p w14:paraId="2E4D7288" w14:textId="77777777" w:rsidR="000105EF" w:rsidRPr="000105EF" w:rsidRDefault="000105EF" w:rsidP="000105EF">
            <w:pPr>
              <w:pStyle w:val="ListParagraph"/>
              <w:spacing w:line="240" w:lineRule="auto"/>
              <w:rPr>
                <w:rFonts w:cs="Arial"/>
              </w:rPr>
            </w:pPr>
          </w:p>
          <w:p w14:paraId="2FE9725F" w14:textId="38FADBD7" w:rsidR="000105EF" w:rsidRPr="000105EF" w:rsidRDefault="000105EF" w:rsidP="000105EF">
            <w:pPr>
              <w:rPr>
                <w:rFonts w:cs="Arial"/>
              </w:rPr>
            </w:pPr>
            <w:r w:rsidRPr="000105EF">
              <w:rPr>
                <w:rFonts w:cs="Arial"/>
                <w:i/>
                <w:iCs/>
              </w:rPr>
              <w:t>Нечести</w:t>
            </w:r>
          </w:p>
          <w:p w14:paraId="29D5635B" w14:textId="77777777" w:rsidR="000105EF" w:rsidRPr="000105EF" w:rsidRDefault="000105EF" w:rsidP="00DC4567">
            <w:pPr>
              <w:pStyle w:val="ListParagraph"/>
              <w:numPr>
                <w:ilvl w:val="0"/>
                <w:numId w:val="11"/>
              </w:numPr>
              <w:spacing w:line="240" w:lineRule="auto"/>
              <w:rPr>
                <w:rFonts w:cs="Arial"/>
              </w:rPr>
            </w:pPr>
            <w:r w:rsidRPr="000105EF">
              <w:rPr>
                <w:rFonts w:cs="Arial"/>
              </w:rPr>
              <w:t>Интерстициален пневмонит (вж. точка 4.4)</w:t>
            </w:r>
          </w:p>
          <w:p w14:paraId="7A51606A" w14:textId="77777777" w:rsidR="000105EF" w:rsidRPr="000105EF" w:rsidRDefault="000105EF" w:rsidP="00DC4567">
            <w:pPr>
              <w:pStyle w:val="ListParagraph"/>
              <w:numPr>
                <w:ilvl w:val="0"/>
                <w:numId w:val="11"/>
              </w:numPr>
              <w:spacing w:line="240" w:lineRule="auto"/>
              <w:rPr>
                <w:rFonts w:cs="Arial"/>
              </w:rPr>
            </w:pPr>
            <w:r w:rsidRPr="000105EF">
              <w:rPr>
                <w:rFonts w:cs="Arial"/>
              </w:rPr>
              <w:t>Бронхоспазъм -обикновено лек и транзиторен, но може</w:t>
            </w:r>
          </w:p>
          <w:p w14:paraId="1EECB1DB" w14:textId="77777777" w:rsidR="000105EF" w:rsidRPr="000105EF" w:rsidRDefault="000105EF" w:rsidP="000105EF">
            <w:pPr>
              <w:rPr>
                <w:rFonts w:cs="Arial"/>
              </w:rPr>
            </w:pPr>
            <w:r w:rsidRPr="000105EF">
              <w:rPr>
                <w:rFonts w:cs="Arial"/>
              </w:rPr>
              <w:t>да е необходимо парентерално лечение</w:t>
            </w:r>
          </w:p>
          <w:p w14:paraId="7B6A4D7A" w14:textId="77777777" w:rsidR="000105EF" w:rsidRPr="000105EF" w:rsidRDefault="000105EF" w:rsidP="000105EF">
            <w:pPr>
              <w:rPr>
                <w:rFonts w:cs="Arial"/>
                <w:i/>
                <w:iCs/>
              </w:rPr>
            </w:pPr>
          </w:p>
          <w:p w14:paraId="796FCF09" w14:textId="6C2FA8C4" w:rsidR="000105EF" w:rsidRPr="000105EF" w:rsidRDefault="000105EF" w:rsidP="000105EF">
            <w:pPr>
              <w:rPr>
                <w:rFonts w:cs="Arial"/>
              </w:rPr>
            </w:pPr>
            <w:r w:rsidRPr="000105EF">
              <w:rPr>
                <w:rFonts w:cs="Arial"/>
                <w:i/>
                <w:iCs/>
              </w:rPr>
              <w:t>Редки</w:t>
            </w:r>
          </w:p>
          <w:p w14:paraId="3C54B6CC" w14:textId="77777777" w:rsidR="000105EF" w:rsidRPr="000105EF" w:rsidRDefault="000105EF" w:rsidP="00DC4567">
            <w:pPr>
              <w:pStyle w:val="ListParagraph"/>
              <w:numPr>
                <w:ilvl w:val="0"/>
                <w:numId w:val="12"/>
              </w:numPr>
              <w:spacing w:line="240" w:lineRule="auto"/>
              <w:rPr>
                <w:rFonts w:cs="Arial"/>
              </w:rPr>
            </w:pPr>
            <w:r w:rsidRPr="000105EF">
              <w:rPr>
                <w:rFonts w:cs="Arial"/>
              </w:rPr>
              <w:t>Белодробен оток</w:t>
            </w:r>
          </w:p>
          <w:p w14:paraId="270BF62F" w14:textId="1550E6E3" w:rsidR="000105EF" w:rsidRPr="000105EF" w:rsidRDefault="000105EF" w:rsidP="00DC4567">
            <w:pPr>
              <w:pStyle w:val="ListParagraph"/>
              <w:numPr>
                <w:ilvl w:val="0"/>
                <w:numId w:val="12"/>
              </w:numPr>
              <w:spacing w:line="240" w:lineRule="auto"/>
              <w:rPr>
                <w:rFonts w:cs="Arial"/>
              </w:rPr>
            </w:pPr>
            <w:r w:rsidRPr="000105EF">
              <w:rPr>
                <w:rFonts w:cs="Arial"/>
              </w:rPr>
              <w:t>Респираторен дистрес синдром при възрастни (вж.</w:t>
            </w:r>
            <w:r w:rsidRPr="000105EF">
              <w:rPr>
                <w:rFonts w:cs="Arial"/>
                <w:lang w:val="en-US"/>
              </w:rPr>
              <w:t xml:space="preserve"> </w:t>
            </w:r>
            <w:r w:rsidRPr="000105EF">
              <w:rPr>
                <w:rFonts w:cs="Arial"/>
              </w:rPr>
              <w:t>точка 4.4)</w:t>
            </w:r>
          </w:p>
        </w:tc>
      </w:tr>
      <w:tr w:rsidR="000105EF" w14:paraId="0105E3CC" w14:textId="77777777" w:rsidTr="007437D2">
        <w:tc>
          <w:tcPr>
            <w:tcW w:w="4750" w:type="dxa"/>
          </w:tcPr>
          <w:p w14:paraId="677B53C5" w14:textId="10415CD0" w:rsidR="000105EF" w:rsidRDefault="000105EF" w:rsidP="000105EF">
            <w:r>
              <w:rPr>
                <w:b/>
                <w:bCs/>
                <w:i/>
                <w:iCs/>
              </w:rPr>
              <w:lastRenderedPageBreak/>
              <w:t>Стомашно-чревни нарушения</w:t>
            </w:r>
          </w:p>
        </w:tc>
        <w:tc>
          <w:tcPr>
            <w:tcW w:w="4750" w:type="dxa"/>
            <w:vAlign w:val="bottom"/>
          </w:tcPr>
          <w:p w14:paraId="3692512F" w14:textId="77777777" w:rsidR="000105EF" w:rsidRPr="000105EF" w:rsidRDefault="000105EF" w:rsidP="000105EF">
            <w:pPr>
              <w:rPr>
                <w:rFonts w:cs="Arial"/>
              </w:rPr>
            </w:pPr>
            <w:r w:rsidRPr="000105EF">
              <w:rPr>
                <w:rFonts w:cs="Arial"/>
                <w:i/>
                <w:iCs/>
              </w:rPr>
              <w:t>Много чести</w:t>
            </w:r>
          </w:p>
          <w:p w14:paraId="4FB9FBBB" w14:textId="77777777" w:rsidR="000105EF" w:rsidRPr="000105EF" w:rsidRDefault="000105EF" w:rsidP="00DC4567">
            <w:pPr>
              <w:pStyle w:val="ListParagraph"/>
              <w:numPr>
                <w:ilvl w:val="0"/>
                <w:numId w:val="13"/>
              </w:numPr>
              <w:spacing w:line="240" w:lineRule="auto"/>
              <w:rPr>
                <w:rFonts w:cs="Arial"/>
              </w:rPr>
            </w:pPr>
            <w:r w:rsidRPr="000105EF">
              <w:rPr>
                <w:rFonts w:cs="Arial"/>
              </w:rPr>
              <w:t>Повръщане</w:t>
            </w:r>
          </w:p>
          <w:p w14:paraId="311BC4C3" w14:textId="09DBC8FB" w:rsidR="000105EF" w:rsidRPr="000105EF" w:rsidRDefault="000105EF" w:rsidP="00DC4567">
            <w:pPr>
              <w:pStyle w:val="ListParagraph"/>
              <w:numPr>
                <w:ilvl w:val="0"/>
                <w:numId w:val="13"/>
              </w:numPr>
              <w:spacing w:line="240" w:lineRule="auto"/>
              <w:rPr>
                <w:rFonts w:cs="Arial"/>
              </w:rPr>
            </w:pPr>
            <w:r w:rsidRPr="000105EF">
              <w:rPr>
                <w:rFonts w:cs="Arial"/>
              </w:rPr>
              <w:t>Гадене</w:t>
            </w:r>
          </w:p>
          <w:p w14:paraId="37CB8415" w14:textId="77777777" w:rsidR="000105EF" w:rsidRPr="000105EF" w:rsidRDefault="000105EF" w:rsidP="000105EF">
            <w:pPr>
              <w:rPr>
                <w:rFonts w:cs="Arial"/>
                <w:i/>
                <w:iCs/>
              </w:rPr>
            </w:pPr>
          </w:p>
          <w:p w14:paraId="1158336D" w14:textId="2CFB17C4" w:rsidR="000105EF" w:rsidRPr="000105EF" w:rsidRDefault="000105EF" w:rsidP="000105EF">
            <w:pPr>
              <w:rPr>
                <w:rFonts w:cs="Arial"/>
              </w:rPr>
            </w:pPr>
            <w:r w:rsidRPr="000105EF">
              <w:rPr>
                <w:rFonts w:cs="Arial"/>
                <w:i/>
                <w:iCs/>
              </w:rPr>
              <w:t>Чести</w:t>
            </w:r>
          </w:p>
          <w:p w14:paraId="06927BD3" w14:textId="77777777" w:rsidR="000105EF" w:rsidRPr="000105EF" w:rsidRDefault="000105EF" w:rsidP="00DC4567">
            <w:pPr>
              <w:pStyle w:val="ListParagraph"/>
              <w:numPr>
                <w:ilvl w:val="0"/>
                <w:numId w:val="14"/>
              </w:numPr>
              <w:spacing w:line="240" w:lineRule="auto"/>
              <w:rPr>
                <w:rFonts w:cs="Arial"/>
              </w:rPr>
            </w:pPr>
            <w:r w:rsidRPr="000105EF">
              <w:rPr>
                <w:rFonts w:cs="Arial"/>
              </w:rPr>
              <w:t>Диария</w:t>
            </w:r>
          </w:p>
          <w:p w14:paraId="6C5B8E86" w14:textId="77777777" w:rsidR="000105EF" w:rsidRPr="000105EF" w:rsidRDefault="000105EF" w:rsidP="00DC4567">
            <w:pPr>
              <w:pStyle w:val="ListParagraph"/>
              <w:numPr>
                <w:ilvl w:val="0"/>
                <w:numId w:val="14"/>
              </w:numPr>
              <w:spacing w:line="240" w:lineRule="auto"/>
              <w:rPr>
                <w:rFonts w:cs="Arial"/>
              </w:rPr>
            </w:pPr>
            <w:r w:rsidRPr="000105EF">
              <w:rPr>
                <w:rFonts w:cs="Arial"/>
              </w:rPr>
              <w:t>Стоматит и улцерация на устата</w:t>
            </w:r>
          </w:p>
          <w:p w14:paraId="3DEC08E3" w14:textId="1FD292EF" w:rsidR="000105EF" w:rsidRPr="000105EF" w:rsidRDefault="000105EF" w:rsidP="00DC4567">
            <w:pPr>
              <w:pStyle w:val="ListParagraph"/>
              <w:numPr>
                <w:ilvl w:val="0"/>
                <w:numId w:val="14"/>
              </w:numPr>
              <w:spacing w:line="240" w:lineRule="auto"/>
              <w:rPr>
                <w:rFonts w:cs="Arial"/>
              </w:rPr>
            </w:pPr>
            <w:r w:rsidRPr="000105EF">
              <w:rPr>
                <w:rFonts w:cs="Arial"/>
              </w:rPr>
              <w:t>Констипация</w:t>
            </w:r>
          </w:p>
          <w:p w14:paraId="790C5E13" w14:textId="77777777" w:rsidR="000105EF" w:rsidRPr="000105EF" w:rsidRDefault="000105EF" w:rsidP="000105EF">
            <w:pPr>
              <w:rPr>
                <w:rFonts w:cs="Arial"/>
                <w:i/>
                <w:iCs/>
              </w:rPr>
            </w:pPr>
          </w:p>
          <w:p w14:paraId="231DCEEC" w14:textId="0F779143" w:rsidR="000105EF" w:rsidRPr="000105EF" w:rsidRDefault="000105EF" w:rsidP="000105EF">
            <w:pPr>
              <w:rPr>
                <w:rFonts w:cs="Arial"/>
              </w:rPr>
            </w:pPr>
            <w:r w:rsidRPr="000105EF">
              <w:rPr>
                <w:rFonts w:cs="Arial"/>
                <w:i/>
                <w:iCs/>
              </w:rPr>
              <w:t>Много редки</w:t>
            </w:r>
          </w:p>
          <w:p w14:paraId="0149A32F" w14:textId="49980123" w:rsidR="000105EF" w:rsidRPr="000105EF" w:rsidRDefault="000105EF" w:rsidP="00DC4567">
            <w:pPr>
              <w:pStyle w:val="ListParagraph"/>
              <w:numPr>
                <w:ilvl w:val="0"/>
                <w:numId w:val="15"/>
              </w:numPr>
              <w:rPr>
                <w:rFonts w:cs="Arial"/>
              </w:rPr>
            </w:pPr>
            <w:r w:rsidRPr="000105EF">
              <w:rPr>
                <w:rFonts w:cs="Arial"/>
              </w:rPr>
              <w:t>Исхемичен колит</w:t>
            </w:r>
          </w:p>
        </w:tc>
      </w:tr>
      <w:tr w:rsidR="000105EF" w14:paraId="766B147A" w14:textId="77777777" w:rsidTr="007437D2">
        <w:tc>
          <w:tcPr>
            <w:tcW w:w="4750" w:type="dxa"/>
          </w:tcPr>
          <w:p w14:paraId="5A00B28B" w14:textId="6770678A" w:rsidR="000105EF" w:rsidRDefault="000105EF" w:rsidP="000105EF">
            <w:r>
              <w:rPr>
                <w:b/>
                <w:bCs/>
                <w:i/>
                <w:iCs/>
              </w:rPr>
              <w:t>Хепатобилиарни нарушения</w:t>
            </w:r>
          </w:p>
        </w:tc>
        <w:tc>
          <w:tcPr>
            <w:tcW w:w="4750" w:type="dxa"/>
            <w:vAlign w:val="bottom"/>
          </w:tcPr>
          <w:p w14:paraId="5E411271" w14:textId="77777777" w:rsidR="000105EF" w:rsidRPr="000105EF" w:rsidRDefault="000105EF" w:rsidP="000105EF">
            <w:pPr>
              <w:rPr>
                <w:rFonts w:cs="Arial"/>
              </w:rPr>
            </w:pPr>
            <w:r w:rsidRPr="000105EF">
              <w:rPr>
                <w:rFonts w:cs="Arial"/>
                <w:i/>
                <w:iCs/>
              </w:rPr>
              <w:t>Много чести</w:t>
            </w:r>
          </w:p>
          <w:p w14:paraId="016D55D1" w14:textId="77777777" w:rsidR="000105EF" w:rsidRPr="000105EF" w:rsidRDefault="000105EF" w:rsidP="00DC4567">
            <w:pPr>
              <w:pStyle w:val="ListParagraph"/>
              <w:numPr>
                <w:ilvl w:val="0"/>
                <w:numId w:val="15"/>
              </w:numPr>
              <w:spacing w:line="240" w:lineRule="auto"/>
              <w:rPr>
                <w:rFonts w:cs="Arial"/>
              </w:rPr>
            </w:pPr>
            <w:r w:rsidRPr="000105EF">
              <w:rPr>
                <w:rFonts w:cs="Arial"/>
              </w:rPr>
              <w:t xml:space="preserve">Покачване на чернодробните трансаминази </w:t>
            </w:r>
            <w:r w:rsidRPr="000105EF">
              <w:rPr>
                <w:rFonts w:cs="Arial"/>
                <w:lang w:val="en-US"/>
              </w:rPr>
              <w:t xml:space="preserve">(AST </w:t>
            </w:r>
            <w:r w:rsidRPr="000105EF">
              <w:rPr>
                <w:rFonts w:cs="Arial"/>
              </w:rPr>
              <w:t xml:space="preserve">и </w:t>
            </w:r>
            <w:r w:rsidRPr="000105EF">
              <w:rPr>
                <w:rFonts w:cs="Arial"/>
                <w:lang w:val="en-US"/>
              </w:rPr>
              <w:t xml:space="preserve">ALT) </w:t>
            </w:r>
            <w:r w:rsidRPr="000105EF">
              <w:rPr>
                <w:rFonts w:cs="Arial"/>
              </w:rPr>
              <w:t>и алкалната фосфатаза</w:t>
            </w:r>
          </w:p>
          <w:p w14:paraId="30326094" w14:textId="77777777" w:rsidR="000105EF" w:rsidRPr="000105EF" w:rsidRDefault="000105EF" w:rsidP="000105EF">
            <w:pPr>
              <w:rPr>
                <w:rFonts w:cs="Arial"/>
                <w:i/>
                <w:iCs/>
              </w:rPr>
            </w:pPr>
          </w:p>
          <w:p w14:paraId="5A81E174" w14:textId="2488D3CF" w:rsidR="000105EF" w:rsidRPr="000105EF" w:rsidRDefault="000105EF" w:rsidP="000105EF">
            <w:pPr>
              <w:rPr>
                <w:rFonts w:cs="Arial"/>
              </w:rPr>
            </w:pPr>
            <w:r w:rsidRPr="000105EF">
              <w:rPr>
                <w:rFonts w:cs="Arial"/>
                <w:i/>
                <w:iCs/>
              </w:rPr>
              <w:t>Чести</w:t>
            </w:r>
          </w:p>
          <w:p w14:paraId="43B317A0" w14:textId="77777777" w:rsidR="000105EF" w:rsidRPr="000105EF" w:rsidRDefault="000105EF" w:rsidP="00DC4567">
            <w:pPr>
              <w:pStyle w:val="ListParagraph"/>
              <w:numPr>
                <w:ilvl w:val="0"/>
                <w:numId w:val="15"/>
              </w:numPr>
              <w:spacing w:line="240" w:lineRule="auto"/>
              <w:rPr>
                <w:rFonts w:cs="Arial"/>
              </w:rPr>
            </w:pPr>
            <w:r w:rsidRPr="000105EF">
              <w:rPr>
                <w:rFonts w:cs="Arial"/>
              </w:rPr>
              <w:t>Повишен билирубин</w:t>
            </w:r>
          </w:p>
          <w:p w14:paraId="489E3D6D" w14:textId="77777777" w:rsidR="000105EF" w:rsidRPr="000105EF" w:rsidRDefault="000105EF" w:rsidP="000105EF">
            <w:pPr>
              <w:rPr>
                <w:rFonts w:cs="Arial"/>
              </w:rPr>
            </w:pPr>
            <w:r w:rsidRPr="000105EF">
              <w:rPr>
                <w:rFonts w:cs="Arial"/>
                <w:i/>
                <w:iCs/>
              </w:rPr>
              <w:t>Нечести</w:t>
            </w:r>
          </w:p>
          <w:p w14:paraId="79A75270" w14:textId="77777777" w:rsidR="000105EF" w:rsidRPr="000105EF" w:rsidRDefault="000105EF" w:rsidP="00DC4567">
            <w:pPr>
              <w:pStyle w:val="ListParagraph"/>
              <w:numPr>
                <w:ilvl w:val="0"/>
                <w:numId w:val="15"/>
              </w:numPr>
              <w:spacing w:line="240" w:lineRule="auto"/>
              <w:rPr>
                <w:rFonts w:cs="Arial"/>
              </w:rPr>
            </w:pPr>
            <w:r w:rsidRPr="000105EF">
              <w:rPr>
                <w:rFonts w:cs="Arial"/>
              </w:rPr>
              <w:t>Тежка хепатотоксичност, вкл. чернодробна недостатъчност и смърт</w:t>
            </w:r>
          </w:p>
          <w:p w14:paraId="596B35FF" w14:textId="77777777" w:rsidR="000105EF" w:rsidRPr="000105EF" w:rsidRDefault="000105EF" w:rsidP="000105EF">
            <w:pPr>
              <w:rPr>
                <w:rFonts w:cs="Arial"/>
                <w:i/>
                <w:iCs/>
              </w:rPr>
            </w:pPr>
          </w:p>
          <w:p w14:paraId="23129CB5" w14:textId="41724FC6" w:rsidR="000105EF" w:rsidRPr="000105EF" w:rsidRDefault="000105EF" w:rsidP="000105EF">
            <w:pPr>
              <w:rPr>
                <w:rFonts w:cs="Arial"/>
              </w:rPr>
            </w:pPr>
            <w:r w:rsidRPr="000105EF">
              <w:rPr>
                <w:rFonts w:cs="Arial"/>
                <w:i/>
                <w:iCs/>
              </w:rPr>
              <w:t>Редки</w:t>
            </w:r>
          </w:p>
          <w:p w14:paraId="67CE74FE" w14:textId="1C1295B6" w:rsidR="000105EF" w:rsidRPr="000105EF" w:rsidRDefault="000105EF" w:rsidP="000105EF">
            <w:pPr>
              <w:rPr>
                <w:rFonts w:cs="Arial"/>
              </w:rPr>
            </w:pPr>
            <w:r w:rsidRPr="000105EF">
              <w:rPr>
                <w:rFonts w:cs="Arial"/>
              </w:rPr>
              <w:t xml:space="preserve">Повишена гама-глутамил трансфераза </w:t>
            </w:r>
            <w:r w:rsidRPr="000105EF">
              <w:rPr>
                <w:rFonts w:cs="Arial"/>
                <w:lang w:val="en-US"/>
              </w:rPr>
              <w:lastRenderedPageBreak/>
              <w:t>(GGT)</w:t>
            </w:r>
          </w:p>
        </w:tc>
      </w:tr>
      <w:tr w:rsidR="000105EF" w14:paraId="5F8BAB45" w14:textId="77777777" w:rsidTr="007437D2">
        <w:tc>
          <w:tcPr>
            <w:tcW w:w="4750" w:type="dxa"/>
          </w:tcPr>
          <w:p w14:paraId="04FD9538" w14:textId="10062550" w:rsidR="000105EF" w:rsidRDefault="000105EF" w:rsidP="000105EF">
            <w:r>
              <w:rPr>
                <w:b/>
                <w:bCs/>
                <w:i/>
                <w:iCs/>
              </w:rPr>
              <w:lastRenderedPageBreak/>
              <w:t>Нарушения на кожата и подкожната тъкан</w:t>
            </w:r>
          </w:p>
        </w:tc>
        <w:tc>
          <w:tcPr>
            <w:tcW w:w="4750" w:type="dxa"/>
            <w:vAlign w:val="bottom"/>
          </w:tcPr>
          <w:p w14:paraId="56D21865" w14:textId="77777777" w:rsidR="000105EF" w:rsidRPr="000105EF" w:rsidRDefault="000105EF" w:rsidP="000105EF">
            <w:pPr>
              <w:rPr>
                <w:rFonts w:cs="Arial"/>
              </w:rPr>
            </w:pPr>
            <w:r w:rsidRPr="000105EF">
              <w:rPr>
                <w:rFonts w:cs="Arial"/>
                <w:i/>
                <w:iCs/>
              </w:rPr>
              <w:t>Много чести</w:t>
            </w:r>
          </w:p>
          <w:p w14:paraId="54FECC95" w14:textId="77777777" w:rsidR="000105EF" w:rsidRPr="000105EF" w:rsidRDefault="000105EF" w:rsidP="00DC4567">
            <w:pPr>
              <w:numPr>
                <w:ilvl w:val="0"/>
                <w:numId w:val="4"/>
              </w:numPr>
              <w:spacing w:line="240" w:lineRule="auto"/>
              <w:rPr>
                <w:rFonts w:cs="Arial"/>
              </w:rPr>
            </w:pPr>
            <w:r w:rsidRPr="000105EF">
              <w:rPr>
                <w:rFonts w:cs="Arial"/>
              </w:rPr>
              <w:t>Алергичен кожен обрив, често свързан със сърбеж</w:t>
            </w:r>
          </w:p>
          <w:p w14:paraId="4DFB4D90" w14:textId="77777777" w:rsidR="000105EF" w:rsidRPr="000105EF" w:rsidRDefault="000105EF" w:rsidP="00DC4567">
            <w:pPr>
              <w:numPr>
                <w:ilvl w:val="0"/>
                <w:numId w:val="4"/>
              </w:numPr>
              <w:spacing w:line="240" w:lineRule="auto"/>
              <w:rPr>
                <w:rFonts w:cs="Arial"/>
              </w:rPr>
            </w:pPr>
            <w:r w:rsidRPr="000105EF">
              <w:rPr>
                <w:rFonts w:cs="Arial"/>
              </w:rPr>
              <w:t>Алопеция</w:t>
            </w:r>
          </w:p>
          <w:p w14:paraId="7A66FAD2" w14:textId="77777777" w:rsidR="000105EF" w:rsidRPr="000105EF" w:rsidRDefault="000105EF" w:rsidP="000105EF">
            <w:pPr>
              <w:rPr>
                <w:rFonts w:cs="Arial"/>
                <w:i/>
                <w:iCs/>
              </w:rPr>
            </w:pPr>
          </w:p>
          <w:p w14:paraId="3CDB7A8F" w14:textId="092C0FCE" w:rsidR="000105EF" w:rsidRPr="000105EF" w:rsidRDefault="000105EF" w:rsidP="000105EF">
            <w:pPr>
              <w:rPr>
                <w:rFonts w:cs="Arial"/>
              </w:rPr>
            </w:pPr>
            <w:r w:rsidRPr="000105EF">
              <w:rPr>
                <w:rFonts w:cs="Arial"/>
                <w:i/>
                <w:iCs/>
              </w:rPr>
              <w:t>Чести</w:t>
            </w:r>
          </w:p>
          <w:p w14:paraId="4AF99358" w14:textId="77777777" w:rsidR="000105EF" w:rsidRPr="000105EF" w:rsidRDefault="000105EF" w:rsidP="00DC4567">
            <w:pPr>
              <w:numPr>
                <w:ilvl w:val="0"/>
                <w:numId w:val="4"/>
              </w:numPr>
              <w:spacing w:line="240" w:lineRule="auto"/>
              <w:rPr>
                <w:rFonts w:cs="Arial"/>
              </w:rPr>
            </w:pPr>
            <w:r w:rsidRPr="000105EF">
              <w:rPr>
                <w:rFonts w:cs="Arial"/>
              </w:rPr>
              <w:t>Сърбеж</w:t>
            </w:r>
          </w:p>
          <w:p w14:paraId="6396772D" w14:textId="77777777" w:rsidR="000105EF" w:rsidRPr="000105EF" w:rsidRDefault="000105EF" w:rsidP="00DC4567">
            <w:pPr>
              <w:numPr>
                <w:ilvl w:val="0"/>
                <w:numId w:val="4"/>
              </w:numPr>
              <w:spacing w:line="240" w:lineRule="auto"/>
              <w:rPr>
                <w:rFonts w:cs="Arial"/>
              </w:rPr>
            </w:pPr>
            <w:r w:rsidRPr="000105EF">
              <w:rPr>
                <w:rFonts w:cs="Arial"/>
              </w:rPr>
              <w:t>Изпотяване</w:t>
            </w:r>
          </w:p>
          <w:p w14:paraId="4295D57E" w14:textId="77777777" w:rsidR="000105EF" w:rsidRPr="000105EF" w:rsidRDefault="000105EF" w:rsidP="000105EF">
            <w:pPr>
              <w:rPr>
                <w:rFonts w:cs="Arial"/>
                <w:i/>
                <w:iCs/>
              </w:rPr>
            </w:pPr>
          </w:p>
          <w:p w14:paraId="1E66DBE1" w14:textId="65F6A7F2" w:rsidR="000105EF" w:rsidRPr="000105EF" w:rsidRDefault="000105EF" w:rsidP="000105EF">
            <w:pPr>
              <w:rPr>
                <w:rFonts w:cs="Arial"/>
              </w:rPr>
            </w:pPr>
            <w:r w:rsidRPr="000105EF">
              <w:rPr>
                <w:rFonts w:cs="Arial"/>
                <w:i/>
                <w:iCs/>
              </w:rPr>
              <w:t>Редки</w:t>
            </w:r>
          </w:p>
          <w:p w14:paraId="6B0E1B1B" w14:textId="77777777" w:rsidR="000105EF" w:rsidRPr="000105EF" w:rsidRDefault="000105EF" w:rsidP="00DC4567">
            <w:pPr>
              <w:numPr>
                <w:ilvl w:val="0"/>
                <w:numId w:val="4"/>
              </w:numPr>
              <w:spacing w:line="240" w:lineRule="auto"/>
              <w:rPr>
                <w:rFonts w:cs="Arial"/>
              </w:rPr>
            </w:pPr>
            <w:r w:rsidRPr="000105EF">
              <w:rPr>
                <w:rFonts w:cs="Arial"/>
              </w:rPr>
              <w:t>Тежки кожни реакции, включително десквамация и булозни кожни ерупции</w:t>
            </w:r>
          </w:p>
          <w:p w14:paraId="1732C8E2" w14:textId="77777777" w:rsidR="000105EF" w:rsidRPr="000105EF" w:rsidRDefault="000105EF" w:rsidP="00DC4567">
            <w:pPr>
              <w:numPr>
                <w:ilvl w:val="0"/>
                <w:numId w:val="4"/>
              </w:numPr>
              <w:spacing w:line="240" w:lineRule="auto"/>
              <w:rPr>
                <w:rFonts w:cs="Arial"/>
              </w:rPr>
            </w:pPr>
            <w:r w:rsidRPr="000105EF">
              <w:rPr>
                <w:rFonts w:cs="Arial"/>
              </w:rPr>
              <w:t>Улцерация</w:t>
            </w:r>
          </w:p>
          <w:p w14:paraId="12513323" w14:textId="77777777" w:rsidR="000105EF" w:rsidRPr="000105EF" w:rsidRDefault="000105EF" w:rsidP="00DC4567">
            <w:pPr>
              <w:numPr>
                <w:ilvl w:val="0"/>
                <w:numId w:val="4"/>
              </w:numPr>
              <w:spacing w:line="240" w:lineRule="auto"/>
              <w:rPr>
                <w:rFonts w:cs="Arial"/>
              </w:rPr>
            </w:pPr>
            <w:r w:rsidRPr="000105EF">
              <w:rPr>
                <w:rFonts w:cs="Arial"/>
              </w:rPr>
              <w:t>Образуване на мехури и рани</w:t>
            </w:r>
          </w:p>
          <w:p w14:paraId="50237F8F" w14:textId="77777777" w:rsidR="000105EF" w:rsidRPr="000105EF" w:rsidRDefault="000105EF" w:rsidP="00DC4567">
            <w:pPr>
              <w:numPr>
                <w:ilvl w:val="0"/>
                <w:numId w:val="4"/>
              </w:numPr>
              <w:spacing w:line="240" w:lineRule="auto"/>
              <w:rPr>
                <w:rFonts w:cs="Arial"/>
              </w:rPr>
            </w:pPr>
            <w:r w:rsidRPr="000105EF">
              <w:rPr>
                <w:rFonts w:cs="Arial"/>
              </w:rPr>
              <w:t>Излющване</w:t>
            </w:r>
          </w:p>
          <w:p w14:paraId="77BB4298" w14:textId="77777777" w:rsidR="000105EF" w:rsidRPr="000105EF" w:rsidRDefault="000105EF" w:rsidP="000105EF">
            <w:pPr>
              <w:rPr>
                <w:rFonts w:cs="Arial"/>
                <w:i/>
                <w:iCs/>
              </w:rPr>
            </w:pPr>
          </w:p>
          <w:p w14:paraId="7CE1737A" w14:textId="01035407" w:rsidR="000105EF" w:rsidRPr="000105EF" w:rsidRDefault="000105EF" w:rsidP="000105EF">
            <w:pPr>
              <w:rPr>
                <w:rFonts w:cs="Arial"/>
              </w:rPr>
            </w:pPr>
            <w:r w:rsidRPr="000105EF">
              <w:rPr>
                <w:rFonts w:cs="Arial"/>
                <w:i/>
                <w:iCs/>
              </w:rPr>
              <w:t>Много редки</w:t>
            </w:r>
          </w:p>
          <w:p w14:paraId="70180A0D" w14:textId="77777777" w:rsidR="000105EF" w:rsidRPr="000105EF" w:rsidRDefault="000105EF" w:rsidP="00DC4567">
            <w:pPr>
              <w:numPr>
                <w:ilvl w:val="0"/>
                <w:numId w:val="4"/>
              </w:numPr>
              <w:spacing w:line="240" w:lineRule="auto"/>
              <w:rPr>
                <w:rFonts w:cs="Arial"/>
              </w:rPr>
            </w:pPr>
            <w:r w:rsidRPr="000105EF">
              <w:rPr>
                <w:rFonts w:cs="Arial"/>
              </w:rPr>
              <w:t>Токсична епидермална некролиза</w:t>
            </w:r>
          </w:p>
          <w:p w14:paraId="654682F1" w14:textId="77777777" w:rsidR="000105EF" w:rsidRPr="000105EF" w:rsidRDefault="000105EF" w:rsidP="00DC4567">
            <w:pPr>
              <w:numPr>
                <w:ilvl w:val="0"/>
                <w:numId w:val="4"/>
              </w:numPr>
              <w:spacing w:line="240" w:lineRule="auto"/>
              <w:rPr>
                <w:rFonts w:cs="Arial"/>
              </w:rPr>
            </w:pPr>
            <w:r w:rsidRPr="000105EF">
              <w:rPr>
                <w:rFonts w:cs="Arial"/>
              </w:rPr>
              <w:t>Синдром на Стивънс-Джонсън</w:t>
            </w:r>
          </w:p>
          <w:p w14:paraId="1029E123" w14:textId="77777777" w:rsidR="000105EF" w:rsidRPr="000105EF" w:rsidRDefault="000105EF" w:rsidP="000105EF">
            <w:pPr>
              <w:rPr>
                <w:rFonts w:cs="Arial"/>
                <w:lang w:val="en-US"/>
              </w:rPr>
            </w:pPr>
          </w:p>
          <w:p w14:paraId="5D1A38E2" w14:textId="0990B985" w:rsidR="000105EF" w:rsidRPr="000105EF" w:rsidRDefault="000105EF" w:rsidP="000105EF">
            <w:pPr>
              <w:rPr>
                <w:rFonts w:cs="Arial"/>
              </w:rPr>
            </w:pPr>
            <w:r w:rsidRPr="000105EF">
              <w:rPr>
                <w:rFonts w:cs="Arial"/>
              </w:rPr>
              <w:t xml:space="preserve">С </w:t>
            </w:r>
            <w:r w:rsidRPr="000105EF">
              <w:rPr>
                <w:rFonts w:cs="Arial"/>
                <w:i/>
                <w:iCs/>
              </w:rPr>
              <w:t>неизвестна честота</w:t>
            </w:r>
          </w:p>
          <w:p w14:paraId="0F52336E" w14:textId="52050E11" w:rsidR="000105EF" w:rsidRPr="000105EF" w:rsidRDefault="000105EF" w:rsidP="00DC4567">
            <w:pPr>
              <w:pStyle w:val="ListParagraph"/>
              <w:numPr>
                <w:ilvl w:val="0"/>
                <w:numId w:val="4"/>
              </w:numPr>
              <w:rPr>
                <w:rFonts w:cs="Arial"/>
              </w:rPr>
            </w:pPr>
            <w:r w:rsidRPr="000105EF">
              <w:rPr>
                <w:rFonts w:cs="Arial"/>
              </w:rPr>
              <w:t>Псевдоцелулит</w:t>
            </w:r>
          </w:p>
        </w:tc>
      </w:tr>
      <w:tr w:rsidR="000105EF" w14:paraId="0D549D94" w14:textId="77777777" w:rsidTr="007437D2">
        <w:tc>
          <w:tcPr>
            <w:tcW w:w="4750" w:type="dxa"/>
            <w:vAlign w:val="bottom"/>
          </w:tcPr>
          <w:p w14:paraId="0C366BA2" w14:textId="56B7A959" w:rsidR="000105EF" w:rsidRDefault="000105EF" w:rsidP="000105EF">
            <w:r>
              <w:rPr>
                <w:b/>
                <w:bCs/>
                <w:i/>
                <w:iCs/>
              </w:rPr>
              <w:t>Нарушения на мускулно- скелетната и съединителната тъкан</w:t>
            </w:r>
          </w:p>
        </w:tc>
        <w:tc>
          <w:tcPr>
            <w:tcW w:w="4750" w:type="dxa"/>
            <w:vAlign w:val="bottom"/>
          </w:tcPr>
          <w:p w14:paraId="5EE8A49B" w14:textId="77777777" w:rsidR="000105EF" w:rsidRPr="000105EF" w:rsidRDefault="000105EF" w:rsidP="000105EF">
            <w:pPr>
              <w:rPr>
                <w:rFonts w:cs="Arial"/>
              </w:rPr>
            </w:pPr>
            <w:r w:rsidRPr="000105EF">
              <w:rPr>
                <w:rFonts w:cs="Arial"/>
                <w:i/>
                <w:iCs/>
              </w:rPr>
              <w:t>Чести</w:t>
            </w:r>
          </w:p>
          <w:p w14:paraId="1DFFB004" w14:textId="347C4E30" w:rsidR="000105EF" w:rsidRPr="000105EF" w:rsidRDefault="000105EF" w:rsidP="00DC4567">
            <w:pPr>
              <w:pStyle w:val="ListParagraph"/>
              <w:numPr>
                <w:ilvl w:val="0"/>
                <w:numId w:val="4"/>
              </w:numPr>
              <w:spacing w:line="240" w:lineRule="auto"/>
              <w:rPr>
                <w:rFonts w:cs="Arial"/>
              </w:rPr>
            </w:pPr>
            <w:r w:rsidRPr="000105EF">
              <w:rPr>
                <w:rFonts w:cs="Arial"/>
              </w:rPr>
              <w:t>Болка в гърба</w:t>
            </w:r>
          </w:p>
          <w:p w14:paraId="1ECBD91B" w14:textId="75105DE5" w:rsidR="000105EF" w:rsidRPr="000105EF" w:rsidRDefault="000105EF" w:rsidP="00DC4567">
            <w:pPr>
              <w:pStyle w:val="ListParagraph"/>
              <w:numPr>
                <w:ilvl w:val="0"/>
                <w:numId w:val="4"/>
              </w:numPr>
              <w:rPr>
                <w:rFonts w:cs="Arial"/>
              </w:rPr>
            </w:pPr>
            <w:r w:rsidRPr="000105EF">
              <w:rPr>
                <w:rFonts w:cs="Arial"/>
              </w:rPr>
              <w:t>Миалгия</w:t>
            </w:r>
          </w:p>
        </w:tc>
      </w:tr>
      <w:tr w:rsidR="000105EF" w14:paraId="69CF022B" w14:textId="77777777" w:rsidTr="007437D2">
        <w:tc>
          <w:tcPr>
            <w:tcW w:w="4750" w:type="dxa"/>
          </w:tcPr>
          <w:p w14:paraId="022DF629" w14:textId="0FEF0F3C" w:rsidR="000105EF" w:rsidRDefault="000105EF" w:rsidP="000105EF">
            <w:r>
              <w:rPr>
                <w:b/>
                <w:bCs/>
                <w:i/>
                <w:iCs/>
              </w:rPr>
              <w:t>Нарушения на бъбреците и пикочните пътища</w:t>
            </w:r>
          </w:p>
        </w:tc>
        <w:tc>
          <w:tcPr>
            <w:tcW w:w="4750" w:type="dxa"/>
            <w:vAlign w:val="bottom"/>
          </w:tcPr>
          <w:p w14:paraId="612819C8" w14:textId="77777777" w:rsidR="000105EF" w:rsidRPr="000105EF" w:rsidRDefault="000105EF" w:rsidP="000105EF">
            <w:pPr>
              <w:rPr>
                <w:rFonts w:cs="Arial"/>
              </w:rPr>
            </w:pPr>
            <w:r w:rsidRPr="000105EF">
              <w:rPr>
                <w:rFonts w:cs="Arial"/>
                <w:i/>
                <w:iCs/>
              </w:rPr>
              <w:t>Много чести</w:t>
            </w:r>
          </w:p>
          <w:p w14:paraId="5A71F535" w14:textId="77777777" w:rsidR="000105EF" w:rsidRPr="000105EF" w:rsidRDefault="000105EF" w:rsidP="00DC4567">
            <w:pPr>
              <w:pStyle w:val="ListParagraph"/>
              <w:numPr>
                <w:ilvl w:val="0"/>
                <w:numId w:val="16"/>
              </w:numPr>
              <w:spacing w:line="240" w:lineRule="auto"/>
              <w:rPr>
                <w:rFonts w:cs="Arial"/>
              </w:rPr>
            </w:pPr>
            <w:r w:rsidRPr="000105EF">
              <w:rPr>
                <w:rFonts w:cs="Arial"/>
              </w:rPr>
              <w:t>Хематурия</w:t>
            </w:r>
          </w:p>
          <w:p w14:paraId="384929A2" w14:textId="60D8CD24" w:rsidR="000105EF" w:rsidRPr="000105EF" w:rsidRDefault="000105EF" w:rsidP="00DC4567">
            <w:pPr>
              <w:pStyle w:val="ListParagraph"/>
              <w:numPr>
                <w:ilvl w:val="0"/>
                <w:numId w:val="16"/>
              </w:numPr>
              <w:rPr>
                <w:rFonts w:cs="Arial"/>
              </w:rPr>
            </w:pPr>
            <w:r w:rsidRPr="000105EF">
              <w:rPr>
                <w:rFonts w:cs="Arial"/>
              </w:rPr>
              <w:t>Лека протеинурия</w:t>
            </w:r>
          </w:p>
        </w:tc>
      </w:tr>
      <w:tr w:rsidR="000105EF" w14:paraId="43FBE2F6" w14:textId="77777777" w:rsidTr="007437D2">
        <w:tc>
          <w:tcPr>
            <w:tcW w:w="4750" w:type="dxa"/>
          </w:tcPr>
          <w:p w14:paraId="4593260E" w14:textId="77777777" w:rsidR="000105EF" w:rsidRDefault="000105EF" w:rsidP="000105EF"/>
        </w:tc>
        <w:tc>
          <w:tcPr>
            <w:tcW w:w="4750" w:type="dxa"/>
            <w:vAlign w:val="bottom"/>
          </w:tcPr>
          <w:p w14:paraId="2B396DFE" w14:textId="77777777" w:rsidR="000105EF" w:rsidRPr="000105EF" w:rsidRDefault="000105EF" w:rsidP="000105EF">
            <w:pPr>
              <w:rPr>
                <w:rFonts w:cs="Arial"/>
              </w:rPr>
            </w:pPr>
            <w:r w:rsidRPr="000105EF">
              <w:rPr>
                <w:rFonts w:cs="Arial"/>
                <w:i/>
                <w:iCs/>
              </w:rPr>
              <w:t>Нечести</w:t>
            </w:r>
          </w:p>
          <w:p w14:paraId="553D82E3" w14:textId="77777777" w:rsidR="000105EF" w:rsidRPr="000105EF" w:rsidRDefault="000105EF" w:rsidP="00DC4567">
            <w:pPr>
              <w:pStyle w:val="ListParagraph"/>
              <w:numPr>
                <w:ilvl w:val="0"/>
                <w:numId w:val="6"/>
              </w:numPr>
              <w:spacing w:line="240" w:lineRule="auto"/>
              <w:rPr>
                <w:rFonts w:cs="Arial"/>
              </w:rPr>
            </w:pPr>
            <w:r w:rsidRPr="000105EF">
              <w:rPr>
                <w:rFonts w:cs="Arial"/>
              </w:rPr>
              <w:t>Бъбречна недостатъчност (вж. точка 4.4)</w:t>
            </w:r>
          </w:p>
          <w:p w14:paraId="3927B948" w14:textId="33D32199" w:rsidR="000105EF" w:rsidRPr="000105EF" w:rsidRDefault="000105EF" w:rsidP="00DC4567">
            <w:pPr>
              <w:pStyle w:val="ListParagraph"/>
              <w:numPr>
                <w:ilvl w:val="0"/>
                <w:numId w:val="6"/>
              </w:numPr>
              <w:rPr>
                <w:rFonts w:cs="Arial"/>
              </w:rPr>
            </w:pPr>
            <w:r w:rsidRPr="000105EF">
              <w:rPr>
                <w:rFonts w:cs="Arial"/>
              </w:rPr>
              <w:t>Хемолитично-уремичен синдром (вж. точка 4.4)</w:t>
            </w:r>
          </w:p>
        </w:tc>
      </w:tr>
      <w:tr w:rsidR="000105EF" w14:paraId="70725B8C" w14:textId="77777777" w:rsidTr="007437D2">
        <w:tc>
          <w:tcPr>
            <w:tcW w:w="4750" w:type="dxa"/>
          </w:tcPr>
          <w:p w14:paraId="313ECF1C" w14:textId="2967FDCB" w:rsidR="000105EF" w:rsidRDefault="000105EF" w:rsidP="000105EF">
            <w:r>
              <w:rPr>
                <w:b/>
                <w:bCs/>
                <w:i/>
                <w:iCs/>
              </w:rPr>
              <w:t>Общи нарушения и ефекти на мястото на приложение</w:t>
            </w:r>
          </w:p>
        </w:tc>
        <w:tc>
          <w:tcPr>
            <w:tcW w:w="4750" w:type="dxa"/>
            <w:vAlign w:val="bottom"/>
          </w:tcPr>
          <w:p w14:paraId="15802C1E" w14:textId="77777777" w:rsidR="000105EF" w:rsidRPr="000105EF" w:rsidRDefault="000105EF" w:rsidP="000105EF">
            <w:pPr>
              <w:rPr>
                <w:rFonts w:cs="Arial"/>
              </w:rPr>
            </w:pPr>
            <w:r w:rsidRPr="000105EF">
              <w:rPr>
                <w:rFonts w:cs="Arial"/>
                <w:i/>
                <w:iCs/>
              </w:rPr>
              <w:t>Много чести</w:t>
            </w:r>
          </w:p>
          <w:p w14:paraId="7129266E" w14:textId="77777777" w:rsidR="000105EF" w:rsidRPr="000105EF" w:rsidRDefault="000105EF" w:rsidP="00DC4567">
            <w:pPr>
              <w:pStyle w:val="ListParagraph"/>
              <w:numPr>
                <w:ilvl w:val="0"/>
                <w:numId w:val="6"/>
              </w:numPr>
              <w:spacing w:line="240" w:lineRule="auto"/>
              <w:rPr>
                <w:rFonts w:cs="Arial"/>
              </w:rPr>
            </w:pPr>
            <w:r w:rsidRPr="000105EF">
              <w:rPr>
                <w:rFonts w:cs="Arial"/>
              </w:rPr>
              <w:t xml:space="preserve">Грипоподобни симптоми - най-честите симптоми са температура, </w:t>
            </w:r>
            <w:r w:rsidRPr="000105EF">
              <w:rPr>
                <w:rFonts w:cs="Arial"/>
              </w:rPr>
              <w:lastRenderedPageBreak/>
              <w:t>главоболие, втрисане, миалгия, астения и анорексия. Кашлица, ринит, неразположение, изпотяване и проблеми със съня също са съобщавани.</w:t>
            </w:r>
          </w:p>
          <w:p w14:paraId="52B43841" w14:textId="77777777" w:rsidR="000105EF" w:rsidRPr="000105EF" w:rsidRDefault="000105EF" w:rsidP="00DC4567">
            <w:pPr>
              <w:pStyle w:val="ListParagraph"/>
              <w:numPr>
                <w:ilvl w:val="0"/>
                <w:numId w:val="6"/>
              </w:numPr>
              <w:spacing w:line="240" w:lineRule="auto"/>
              <w:rPr>
                <w:rFonts w:cs="Arial"/>
              </w:rPr>
            </w:pPr>
            <w:r w:rsidRPr="000105EF">
              <w:rPr>
                <w:rFonts w:cs="Arial"/>
              </w:rPr>
              <w:t>Оток/периферен оток - включително оток на лицето. Отокът обикновено е обратим след спиране на лечението.</w:t>
            </w:r>
          </w:p>
          <w:p w14:paraId="0BE9CFFB" w14:textId="77777777" w:rsidR="000105EF" w:rsidRPr="000105EF" w:rsidRDefault="000105EF" w:rsidP="000105EF">
            <w:pPr>
              <w:rPr>
                <w:rFonts w:cs="Arial"/>
                <w:i/>
                <w:iCs/>
              </w:rPr>
            </w:pPr>
          </w:p>
          <w:p w14:paraId="66DEFDD6" w14:textId="4FE7D52C" w:rsidR="000105EF" w:rsidRPr="000105EF" w:rsidRDefault="000105EF" w:rsidP="000105EF">
            <w:pPr>
              <w:rPr>
                <w:rFonts w:cs="Arial"/>
              </w:rPr>
            </w:pPr>
            <w:r w:rsidRPr="000105EF">
              <w:rPr>
                <w:rFonts w:cs="Arial"/>
                <w:i/>
                <w:iCs/>
              </w:rPr>
              <w:t>Чести</w:t>
            </w:r>
          </w:p>
          <w:p w14:paraId="7457ACE8" w14:textId="77777777" w:rsidR="000105EF" w:rsidRPr="000105EF" w:rsidRDefault="000105EF" w:rsidP="00DC4567">
            <w:pPr>
              <w:pStyle w:val="ListParagraph"/>
              <w:numPr>
                <w:ilvl w:val="0"/>
                <w:numId w:val="18"/>
              </w:numPr>
              <w:spacing w:line="240" w:lineRule="auto"/>
              <w:rPr>
                <w:rFonts w:cs="Arial"/>
              </w:rPr>
            </w:pPr>
            <w:r w:rsidRPr="000105EF">
              <w:rPr>
                <w:rFonts w:cs="Arial"/>
              </w:rPr>
              <w:t>Треска</w:t>
            </w:r>
          </w:p>
          <w:p w14:paraId="55E1BBA0" w14:textId="77777777" w:rsidR="000105EF" w:rsidRPr="000105EF" w:rsidRDefault="000105EF" w:rsidP="00DC4567">
            <w:pPr>
              <w:pStyle w:val="ListParagraph"/>
              <w:numPr>
                <w:ilvl w:val="0"/>
                <w:numId w:val="18"/>
              </w:numPr>
              <w:spacing w:line="240" w:lineRule="auto"/>
              <w:rPr>
                <w:rFonts w:cs="Arial"/>
              </w:rPr>
            </w:pPr>
            <w:r w:rsidRPr="000105EF">
              <w:rPr>
                <w:rFonts w:cs="Arial"/>
              </w:rPr>
              <w:t>Астения</w:t>
            </w:r>
          </w:p>
          <w:p w14:paraId="4972AFCC" w14:textId="0AFAE2F6" w:rsidR="000105EF" w:rsidRPr="000105EF" w:rsidRDefault="000105EF" w:rsidP="00DC4567">
            <w:pPr>
              <w:pStyle w:val="ListParagraph"/>
              <w:numPr>
                <w:ilvl w:val="0"/>
                <w:numId w:val="18"/>
              </w:numPr>
              <w:spacing w:line="240" w:lineRule="auto"/>
              <w:rPr>
                <w:rFonts w:cs="Arial"/>
              </w:rPr>
            </w:pPr>
            <w:r w:rsidRPr="000105EF">
              <w:rPr>
                <w:rFonts w:cs="Arial"/>
              </w:rPr>
              <w:t>Втрисане</w:t>
            </w:r>
          </w:p>
          <w:p w14:paraId="58C83794" w14:textId="77777777" w:rsidR="000105EF" w:rsidRPr="000105EF" w:rsidRDefault="000105EF" w:rsidP="000105EF">
            <w:pPr>
              <w:rPr>
                <w:rFonts w:cs="Arial"/>
                <w:i/>
                <w:iCs/>
              </w:rPr>
            </w:pPr>
          </w:p>
          <w:p w14:paraId="4FCEFF3F" w14:textId="6D5B0B2A" w:rsidR="000105EF" w:rsidRPr="000105EF" w:rsidRDefault="000105EF" w:rsidP="000105EF">
            <w:pPr>
              <w:rPr>
                <w:rFonts w:cs="Arial"/>
              </w:rPr>
            </w:pPr>
            <w:r w:rsidRPr="000105EF">
              <w:rPr>
                <w:rFonts w:cs="Arial"/>
                <w:i/>
                <w:iCs/>
              </w:rPr>
              <w:t>Редки</w:t>
            </w:r>
          </w:p>
          <w:p w14:paraId="519C338C" w14:textId="5323016E" w:rsidR="000105EF" w:rsidRPr="000105EF" w:rsidRDefault="000105EF" w:rsidP="000105EF">
            <w:pPr>
              <w:rPr>
                <w:rFonts w:cs="Arial"/>
              </w:rPr>
            </w:pPr>
            <w:r w:rsidRPr="000105EF">
              <w:rPr>
                <w:rFonts w:cs="Arial"/>
              </w:rPr>
              <w:t>Реакции на мястото на инжектиране - главно леки по естество</w:t>
            </w:r>
          </w:p>
        </w:tc>
      </w:tr>
      <w:tr w:rsidR="000105EF" w14:paraId="51FD3DC4" w14:textId="77777777" w:rsidTr="007437D2">
        <w:tc>
          <w:tcPr>
            <w:tcW w:w="4750" w:type="dxa"/>
          </w:tcPr>
          <w:p w14:paraId="6E2EF3F5" w14:textId="00FAC83C" w:rsidR="000105EF" w:rsidRDefault="000105EF" w:rsidP="000105EF">
            <w:r>
              <w:rPr>
                <w:b/>
                <w:bCs/>
                <w:i/>
                <w:iCs/>
              </w:rPr>
              <w:lastRenderedPageBreak/>
              <w:t>Наранявания, отравяния и усложнения, възникнали в резултат на интервенции</w:t>
            </w:r>
          </w:p>
        </w:tc>
        <w:tc>
          <w:tcPr>
            <w:tcW w:w="4750" w:type="dxa"/>
            <w:vAlign w:val="bottom"/>
          </w:tcPr>
          <w:p w14:paraId="2FE04F29" w14:textId="77777777" w:rsidR="000105EF" w:rsidRPr="000105EF" w:rsidRDefault="000105EF" w:rsidP="000105EF">
            <w:pPr>
              <w:rPr>
                <w:rFonts w:cs="Arial"/>
              </w:rPr>
            </w:pPr>
            <w:r w:rsidRPr="000105EF">
              <w:rPr>
                <w:rFonts w:cs="Arial"/>
                <w:i/>
                <w:iCs/>
              </w:rPr>
              <w:t>Редки</w:t>
            </w:r>
          </w:p>
          <w:p w14:paraId="4B499590" w14:textId="77777777" w:rsidR="000105EF" w:rsidRPr="000105EF" w:rsidRDefault="000105EF" w:rsidP="00DC4567">
            <w:pPr>
              <w:pStyle w:val="ListParagraph"/>
              <w:numPr>
                <w:ilvl w:val="0"/>
                <w:numId w:val="17"/>
              </w:numPr>
              <w:spacing w:line="240" w:lineRule="auto"/>
              <w:rPr>
                <w:rFonts w:cs="Arial"/>
              </w:rPr>
            </w:pPr>
            <w:r w:rsidRPr="000105EF">
              <w:rPr>
                <w:rFonts w:cs="Arial"/>
              </w:rPr>
              <w:t>Радиационна токсичност (вж. точка 4.5)</w:t>
            </w:r>
          </w:p>
          <w:p w14:paraId="1A51DFA3" w14:textId="60FB8718" w:rsidR="000105EF" w:rsidRPr="000105EF" w:rsidRDefault="000105EF" w:rsidP="00DC4567">
            <w:pPr>
              <w:pStyle w:val="ListParagraph"/>
              <w:numPr>
                <w:ilvl w:val="0"/>
                <w:numId w:val="17"/>
              </w:numPr>
              <w:rPr>
                <w:rFonts w:cs="Arial"/>
              </w:rPr>
            </w:pPr>
            <w:r w:rsidRPr="000105EF">
              <w:rPr>
                <w:rFonts w:cs="Arial"/>
              </w:rPr>
              <w:t xml:space="preserve">Късни токсични прояви след облъчване </w:t>
            </w:r>
            <w:r w:rsidRPr="000105EF">
              <w:rPr>
                <w:rFonts w:cs="Arial"/>
                <w:lang w:val="en-US"/>
              </w:rPr>
              <w:t xml:space="preserve">(“recall” </w:t>
            </w:r>
            <w:r w:rsidRPr="000105EF">
              <w:rPr>
                <w:rFonts w:cs="Arial"/>
              </w:rPr>
              <w:t>феномен)</w:t>
            </w:r>
            <w:r w:rsidRPr="000105EF">
              <w:rPr>
                <w:rFonts w:cs="Arial"/>
              </w:rPr>
              <w:tab/>
            </w:r>
            <w:r w:rsidRPr="000105EF">
              <w:rPr>
                <w:rFonts w:cs="Arial"/>
              </w:rPr>
              <w:tab/>
            </w:r>
            <w:r w:rsidRPr="000105EF">
              <w:rPr>
                <w:rFonts w:cs="Arial"/>
              </w:rPr>
              <w:tab/>
            </w:r>
          </w:p>
        </w:tc>
      </w:tr>
    </w:tbl>
    <w:p w14:paraId="4DBA5C41" w14:textId="017203AE" w:rsidR="00B026D2" w:rsidRDefault="00B026D2" w:rsidP="0091385D"/>
    <w:p w14:paraId="2C2041DF" w14:textId="77777777" w:rsidR="007437D2" w:rsidRPr="007437D2" w:rsidRDefault="007437D2" w:rsidP="007437D2">
      <w:pPr>
        <w:spacing w:line="240" w:lineRule="auto"/>
        <w:rPr>
          <w:rFonts w:eastAsia="Times New Roman" w:cs="Arial"/>
          <w:sz w:val="24"/>
          <w:szCs w:val="24"/>
          <w:lang w:eastAsia="bg-BG"/>
        </w:rPr>
      </w:pPr>
      <w:r w:rsidRPr="007437D2">
        <w:rPr>
          <w:rFonts w:eastAsia="Times New Roman" w:cs="Arial"/>
          <w:color w:val="000000"/>
          <w:u w:val="single"/>
          <w:lang w:eastAsia="bg-BG"/>
        </w:rPr>
        <w:t>Комбинирана употреба при карцином на гърдата</w:t>
      </w:r>
    </w:p>
    <w:p w14:paraId="0E03EA6E" w14:textId="6C8BE568" w:rsidR="00B026D2" w:rsidRPr="007437D2" w:rsidRDefault="007437D2" w:rsidP="007437D2">
      <w:pPr>
        <w:rPr>
          <w:rFonts w:cs="Arial"/>
        </w:rPr>
      </w:pPr>
      <w:r w:rsidRPr="007437D2">
        <w:rPr>
          <w:rFonts w:eastAsia="Times New Roman" w:cs="Arial"/>
          <w:color w:val="000000"/>
          <w:lang w:eastAsia="bg-BG"/>
        </w:rPr>
        <w:t>Честотата на хематологична токсичност от степен 3 и 4, особено неутропения, нараства, когато гемцитабин се прилага в комбинация с паклитаксел. Все пак, увеличението на тези нежелани реакции не се свързва с повишена честота на инфекции или хеморагични събития. Умора и фебрилна неутропения се срещат по-често, когато гемцитабин се използва в комбинация с паклитаксел. Умора, която не е свързана с анемия, обикновено отзвучава след първия цикъл.</w:t>
      </w:r>
    </w:p>
    <w:p w14:paraId="1A18F942" w14:textId="78B3466C" w:rsidR="007437D2" w:rsidRDefault="007437D2" w:rsidP="0091385D"/>
    <w:tbl>
      <w:tblPr>
        <w:tblStyle w:val="TableGrid"/>
        <w:tblW w:w="0" w:type="auto"/>
        <w:tblLook w:val="04A0" w:firstRow="1" w:lastRow="0" w:firstColumn="1" w:lastColumn="0" w:noHBand="0" w:noVBand="1"/>
      </w:tblPr>
      <w:tblGrid>
        <w:gridCol w:w="2072"/>
        <w:gridCol w:w="1874"/>
        <w:gridCol w:w="1874"/>
        <w:gridCol w:w="1880"/>
        <w:gridCol w:w="1876"/>
      </w:tblGrid>
      <w:tr w:rsidR="007437D2" w:rsidRPr="004E6467" w14:paraId="6A299EFE" w14:textId="77777777" w:rsidTr="007437D2">
        <w:tc>
          <w:tcPr>
            <w:tcW w:w="9576" w:type="dxa"/>
            <w:gridSpan w:val="5"/>
          </w:tcPr>
          <w:p w14:paraId="6F2CF27B" w14:textId="2A5F41E2" w:rsidR="007437D2" w:rsidRPr="004E6467" w:rsidRDefault="007437D2" w:rsidP="007437D2">
            <w:pPr>
              <w:jc w:val="center"/>
              <w:rPr>
                <w:rFonts w:cs="Arial"/>
                <w:b/>
                <w:bCs/>
              </w:rPr>
            </w:pPr>
            <w:r w:rsidRPr="004E6467">
              <w:rPr>
                <w:rFonts w:cs="Arial"/>
                <w:b/>
                <w:bCs/>
              </w:rPr>
              <w:t>Степен 3 и 4 нежелани събития</w:t>
            </w:r>
          </w:p>
          <w:p w14:paraId="5AE6FA9F" w14:textId="2D92AE14" w:rsidR="007437D2" w:rsidRPr="004E6467" w:rsidRDefault="007437D2" w:rsidP="007437D2">
            <w:pPr>
              <w:jc w:val="center"/>
              <w:rPr>
                <w:rFonts w:cs="Arial"/>
              </w:rPr>
            </w:pPr>
            <w:r w:rsidRPr="004E6467">
              <w:rPr>
                <w:rFonts w:cs="Arial"/>
                <w:b/>
                <w:bCs/>
              </w:rPr>
              <w:t>Паклитаксел спрямо гемцитабин плюс паклитаксел</w:t>
            </w:r>
          </w:p>
        </w:tc>
      </w:tr>
      <w:tr w:rsidR="007437D2" w:rsidRPr="004E6467" w14:paraId="37861F01" w14:textId="77777777" w:rsidTr="007437D2">
        <w:tc>
          <w:tcPr>
            <w:tcW w:w="2072" w:type="dxa"/>
            <w:vMerge w:val="restart"/>
          </w:tcPr>
          <w:p w14:paraId="59C5726E" w14:textId="77777777" w:rsidR="007437D2" w:rsidRPr="004E6467" w:rsidRDefault="007437D2" w:rsidP="0091385D">
            <w:pPr>
              <w:rPr>
                <w:rFonts w:cs="Arial"/>
              </w:rPr>
            </w:pPr>
          </w:p>
        </w:tc>
        <w:tc>
          <w:tcPr>
            <w:tcW w:w="7504" w:type="dxa"/>
            <w:gridSpan w:val="4"/>
          </w:tcPr>
          <w:p w14:paraId="7387B05F" w14:textId="651A1AE1" w:rsidR="007437D2" w:rsidRPr="004E6467" w:rsidRDefault="007437D2" w:rsidP="007437D2">
            <w:pPr>
              <w:jc w:val="center"/>
              <w:rPr>
                <w:rFonts w:cs="Arial"/>
              </w:rPr>
            </w:pPr>
            <w:r w:rsidRPr="004E6467">
              <w:rPr>
                <w:rFonts w:cs="Arial"/>
              </w:rPr>
              <w:t>Брой (%) пациенти</w:t>
            </w:r>
          </w:p>
        </w:tc>
      </w:tr>
      <w:tr w:rsidR="007437D2" w:rsidRPr="004E6467" w14:paraId="2F7FB9DA" w14:textId="77777777" w:rsidTr="007437D2">
        <w:tc>
          <w:tcPr>
            <w:tcW w:w="2072" w:type="dxa"/>
            <w:vMerge/>
          </w:tcPr>
          <w:p w14:paraId="2F6031D2" w14:textId="77777777" w:rsidR="007437D2" w:rsidRPr="004E6467" w:rsidRDefault="007437D2" w:rsidP="007437D2">
            <w:pPr>
              <w:rPr>
                <w:rFonts w:cs="Arial"/>
              </w:rPr>
            </w:pPr>
          </w:p>
        </w:tc>
        <w:tc>
          <w:tcPr>
            <w:tcW w:w="3748" w:type="dxa"/>
            <w:gridSpan w:val="2"/>
          </w:tcPr>
          <w:p w14:paraId="3A7AAE16" w14:textId="789F7181" w:rsidR="007437D2" w:rsidRPr="004E6467" w:rsidRDefault="007437D2" w:rsidP="007437D2">
            <w:pPr>
              <w:jc w:val="center"/>
              <w:rPr>
                <w:rFonts w:cs="Arial"/>
              </w:rPr>
            </w:pPr>
            <w:r w:rsidRPr="004E6467">
              <w:rPr>
                <w:rFonts w:cs="Arial"/>
              </w:rPr>
              <w:t>Рамо на паклитаксел</w:t>
            </w:r>
          </w:p>
          <w:p w14:paraId="5202BE11" w14:textId="5B8939C9" w:rsidR="007437D2" w:rsidRPr="004E6467" w:rsidRDefault="007437D2" w:rsidP="007437D2">
            <w:pPr>
              <w:jc w:val="center"/>
              <w:rPr>
                <w:rFonts w:cs="Arial"/>
              </w:rPr>
            </w:pPr>
            <w:r w:rsidRPr="004E6467">
              <w:rPr>
                <w:rFonts w:cs="Arial"/>
                <w:lang w:val="en-US"/>
              </w:rPr>
              <w:t>(N=259)</w:t>
            </w:r>
          </w:p>
        </w:tc>
        <w:tc>
          <w:tcPr>
            <w:tcW w:w="3756" w:type="dxa"/>
            <w:gridSpan w:val="2"/>
          </w:tcPr>
          <w:p w14:paraId="2079B848" w14:textId="17D2496B" w:rsidR="007437D2" w:rsidRPr="004E6467" w:rsidRDefault="007437D2" w:rsidP="007437D2">
            <w:pPr>
              <w:jc w:val="center"/>
              <w:rPr>
                <w:rFonts w:cs="Arial"/>
              </w:rPr>
            </w:pPr>
            <w:r w:rsidRPr="004E6467">
              <w:rPr>
                <w:rFonts w:cs="Arial"/>
              </w:rPr>
              <w:t>Рамо на гемцитабин плюс паклитаксел</w:t>
            </w:r>
          </w:p>
          <w:p w14:paraId="67B1EA8B" w14:textId="0F754236" w:rsidR="007437D2" w:rsidRPr="004E6467" w:rsidRDefault="007437D2" w:rsidP="007437D2">
            <w:pPr>
              <w:jc w:val="center"/>
              <w:rPr>
                <w:rFonts w:cs="Arial"/>
              </w:rPr>
            </w:pPr>
            <w:r w:rsidRPr="004E6467">
              <w:rPr>
                <w:rFonts w:cs="Arial"/>
                <w:lang w:val="en-US"/>
              </w:rPr>
              <w:t>(N=262)</w:t>
            </w:r>
          </w:p>
        </w:tc>
      </w:tr>
      <w:tr w:rsidR="007437D2" w:rsidRPr="004E6467" w14:paraId="428A7443" w14:textId="77777777" w:rsidTr="007437D2">
        <w:tc>
          <w:tcPr>
            <w:tcW w:w="2072" w:type="dxa"/>
            <w:vMerge/>
          </w:tcPr>
          <w:p w14:paraId="5209B47D" w14:textId="77777777" w:rsidR="007437D2" w:rsidRPr="004E6467" w:rsidRDefault="007437D2" w:rsidP="007437D2">
            <w:pPr>
              <w:rPr>
                <w:rFonts w:cs="Arial"/>
              </w:rPr>
            </w:pPr>
          </w:p>
        </w:tc>
        <w:tc>
          <w:tcPr>
            <w:tcW w:w="1874" w:type="dxa"/>
          </w:tcPr>
          <w:p w14:paraId="595E0683" w14:textId="67164D64" w:rsidR="007437D2" w:rsidRPr="004E6467" w:rsidRDefault="007437D2" w:rsidP="007437D2">
            <w:pPr>
              <w:rPr>
                <w:rFonts w:cs="Arial"/>
              </w:rPr>
            </w:pPr>
            <w:r w:rsidRPr="004E6467">
              <w:rPr>
                <w:rFonts w:cs="Arial"/>
              </w:rPr>
              <w:t>Степен 3</w:t>
            </w:r>
          </w:p>
        </w:tc>
        <w:tc>
          <w:tcPr>
            <w:tcW w:w="1874" w:type="dxa"/>
          </w:tcPr>
          <w:p w14:paraId="072CA709" w14:textId="5DA3E126" w:rsidR="007437D2" w:rsidRPr="004E6467" w:rsidRDefault="007437D2" w:rsidP="007437D2">
            <w:pPr>
              <w:rPr>
                <w:rFonts w:cs="Arial"/>
              </w:rPr>
            </w:pPr>
            <w:r w:rsidRPr="004E6467">
              <w:rPr>
                <w:rFonts w:cs="Arial"/>
              </w:rPr>
              <w:t>Степен 4</w:t>
            </w:r>
          </w:p>
        </w:tc>
        <w:tc>
          <w:tcPr>
            <w:tcW w:w="1880" w:type="dxa"/>
          </w:tcPr>
          <w:p w14:paraId="5710B6C5" w14:textId="73015740" w:rsidR="007437D2" w:rsidRPr="004E6467" w:rsidRDefault="007437D2" w:rsidP="007437D2">
            <w:pPr>
              <w:rPr>
                <w:rFonts w:cs="Arial"/>
              </w:rPr>
            </w:pPr>
            <w:r w:rsidRPr="004E6467">
              <w:rPr>
                <w:rFonts w:cs="Arial"/>
              </w:rPr>
              <w:t>Степен 3</w:t>
            </w:r>
          </w:p>
        </w:tc>
        <w:tc>
          <w:tcPr>
            <w:tcW w:w="1876" w:type="dxa"/>
          </w:tcPr>
          <w:p w14:paraId="37408DBE" w14:textId="157D3A66" w:rsidR="007437D2" w:rsidRPr="004E6467" w:rsidRDefault="007437D2" w:rsidP="007437D2">
            <w:pPr>
              <w:rPr>
                <w:rFonts w:cs="Arial"/>
              </w:rPr>
            </w:pPr>
            <w:r w:rsidRPr="004E6467">
              <w:rPr>
                <w:rFonts w:cs="Arial"/>
              </w:rPr>
              <w:t>Степен 4</w:t>
            </w:r>
          </w:p>
        </w:tc>
      </w:tr>
      <w:tr w:rsidR="007437D2" w:rsidRPr="004E6467" w14:paraId="1046D02D" w14:textId="77777777" w:rsidTr="007437D2">
        <w:tc>
          <w:tcPr>
            <w:tcW w:w="2072" w:type="dxa"/>
          </w:tcPr>
          <w:p w14:paraId="549AF7B2" w14:textId="5508D33A" w:rsidR="007437D2" w:rsidRPr="004E6467" w:rsidRDefault="007437D2" w:rsidP="007437D2">
            <w:pPr>
              <w:rPr>
                <w:rFonts w:cs="Arial"/>
              </w:rPr>
            </w:pPr>
            <w:r w:rsidRPr="004E6467">
              <w:rPr>
                <w:rFonts w:cs="Arial"/>
              </w:rPr>
              <w:t>Лабораторни находки</w:t>
            </w:r>
          </w:p>
        </w:tc>
        <w:tc>
          <w:tcPr>
            <w:tcW w:w="1874" w:type="dxa"/>
          </w:tcPr>
          <w:p w14:paraId="581D3AD5" w14:textId="77777777" w:rsidR="007437D2" w:rsidRPr="004E6467" w:rsidRDefault="007437D2" w:rsidP="007437D2">
            <w:pPr>
              <w:rPr>
                <w:rFonts w:cs="Arial"/>
              </w:rPr>
            </w:pPr>
          </w:p>
        </w:tc>
        <w:tc>
          <w:tcPr>
            <w:tcW w:w="1874" w:type="dxa"/>
          </w:tcPr>
          <w:p w14:paraId="7466EF0B" w14:textId="77777777" w:rsidR="007437D2" w:rsidRPr="004E6467" w:rsidRDefault="007437D2" w:rsidP="007437D2">
            <w:pPr>
              <w:rPr>
                <w:rFonts w:cs="Arial"/>
              </w:rPr>
            </w:pPr>
          </w:p>
        </w:tc>
        <w:tc>
          <w:tcPr>
            <w:tcW w:w="1880" w:type="dxa"/>
          </w:tcPr>
          <w:p w14:paraId="2BED67E4" w14:textId="77777777" w:rsidR="007437D2" w:rsidRPr="004E6467" w:rsidRDefault="007437D2" w:rsidP="007437D2">
            <w:pPr>
              <w:rPr>
                <w:rFonts w:cs="Arial"/>
              </w:rPr>
            </w:pPr>
          </w:p>
        </w:tc>
        <w:tc>
          <w:tcPr>
            <w:tcW w:w="1876" w:type="dxa"/>
          </w:tcPr>
          <w:p w14:paraId="4DB76913" w14:textId="77777777" w:rsidR="007437D2" w:rsidRPr="004E6467" w:rsidRDefault="007437D2" w:rsidP="007437D2">
            <w:pPr>
              <w:rPr>
                <w:rFonts w:cs="Arial"/>
              </w:rPr>
            </w:pPr>
          </w:p>
        </w:tc>
      </w:tr>
      <w:tr w:rsidR="007437D2" w:rsidRPr="004E6467" w14:paraId="40946A04" w14:textId="77777777" w:rsidTr="007437D2">
        <w:tc>
          <w:tcPr>
            <w:tcW w:w="2072" w:type="dxa"/>
          </w:tcPr>
          <w:p w14:paraId="07AD12C3" w14:textId="4E9C3BE0" w:rsidR="007437D2" w:rsidRPr="004E6467" w:rsidRDefault="007437D2" w:rsidP="007437D2">
            <w:pPr>
              <w:rPr>
                <w:rFonts w:cs="Arial"/>
              </w:rPr>
            </w:pPr>
            <w:r w:rsidRPr="004E6467">
              <w:rPr>
                <w:rFonts w:cs="Arial"/>
              </w:rPr>
              <w:t>Анемия</w:t>
            </w:r>
          </w:p>
        </w:tc>
        <w:tc>
          <w:tcPr>
            <w:tcW w:w="1874" w:type="dxa"/>
          </w:tcPr>
          <w:p w14:paraId="15B57019" w14:textId="5AB1D81D" w:rsidR="007437D2" w:rsidRPr="004E6467" w:rsidRDefault="007437D2" w:rsidP="007437D2">
            <w:pPr>
              <w:rPr>
                <w:rFonts w:cs="Arial"/>
              </w:rPr>
            </w:pPr>
            <w:r w:rsidRPr="004E6467">
              <w:rPr>
                <w:rFonts w:cs="Arial"/>
              </w:rPr>
              <w:t>. 5 (1,91.</w:t>
            </w:r>
          </w:p>
        </w:tc>
        <w:tc>
          <w:tcPr>
            <w:tcW w:w="1874" w:type="dxa"/>
          </w:tcPr>
          <w:p w14:paraId="6C9A3DD4" w14:textId="73BCC545" w:rsidR="007437D2" w:rsidRPr="004E6467" w:rsidRDefault="007437D2" w:rsidP="007437D2">
            <w:pPr>
              <w:rPr>
                <w:rFonts w:cs="Arial"/>
              </w:rPr>
            </w:pPr>
            <w:r w:rsidRPr="004E6467">
              <w:rPr>
                <w:rFonts w:cs="Arial"/>
              </w:rPr>
              <w:t>1(0,4)</w:t>
            </w:r>
          </w:p>
        </w:tc>
        <w:tc>
          <w:tcPr>
            <w:tcW w:w="1880" w:type="dxa"/>
          </w:tcPr>
          <w:p w14:paraId="7442EA8B" w14:textId="2BE8E81F" w:rsidR="007437D2" w:rsidRPr="004E6467" w:rsidRDefault="007437D2" w:rsidP="007437D2">
            <w:pPr>
              <w:rPr>
                <w:rFonts w:cs="Arial"/>
              </w:rPr>
            </w:pPr>
            <w:r w:rsidRPr="004E6467">
              <w:rPr>
                <w:rFonts w:cs="Arial"/>
              </w:rPr>
              <w:t>15(5,7)</w:t>
            </w:r>
          </w:p>
        </w:tc>
        <w:tc>
          <w:tcPr>
            <w:tcW w:w="1876" w:type="dxa"/>
          </w:tcPr>
          <w:p w14:paraId="462CD281" w14:textId="211DB113" w:rsidR="007437D2" w:rsidRPr="004E6467" w:rsidRDefault="007437D2" w:rsidP="007437D2">
            <w:pPr>
              <w:rPr>
                <w:rFonts w:cs="Arial"/>
              </w:rPr>
            </w:pPr>
            <w:r w:rsidRPr="004E6467">
              <w:rPr>
                <w:rFonts w:cs="Arial"/>
                <w:u w:val="single"/>
              </w:rPr>
              <w:t>3(1,1)</w:t>
            </w:r>
          </w:p>
        </w:tc>
      </w:tr>
      <w:tr w:rsidR="007437D2" w:rsidRPr="004E6467" w14:paraId="0608D36D" w14:textId="77777777" w:rsidTr="007437D2">
        <w:tc>
          <w:tcPr>
            <w:tcW w:w="2072" w:type="dxa"/>
          </w:tcPr>
          <w:p w14:paraId="18B3FC6A" w14:textId="0B1EE824" w:rsidR="007437D2" w:rsidRPr="004E6467" w:rsidRDefault="007437D2" w:rsidP="007437D2">
            <w:pPr>
              <w:rPr>
                <w:rFonts w:cs="Arial"/>
              </w:rPr>
            </w:pPr>
            <w:r w:rsidRPr="004E6467">
              <w:rPr>
                <w:rFonts w:cs="Arial"/>
              </w:rPr>
              <w:t>Тромбоцитопения</w:t>
            </w:r>
          </w:p>
        </w:tc>
        <w:tc>
          <w:tcPr>
            <w:tcW w:w="1874" w:type="dxa"/>
          </w:tcPr>
          <w:p w14:paraId="4BE723A2" w14:textId="3BBC766F" w:rsidR="007437D2" w:rsidRPr="004E6467" w:rsidRDefault="007437D2" w:rsidP="007437D2">
            <w:pPr>
              <w:rPr>
                <w:rFonts w:cs="Arial"/>
              </w:rPr>
            </w:pPr>
            <w:r w:rsidRPr="004E6467">
              <w:rPr>
                <w:rFonts w:cs="Arial"/>
              </w:rPr>
              <w:t>0</w:t>
            </w:r>
          </w:p>
        </w:tc>
        <w:tc>
          <w:tcPr>
            <w:tcW w:w="1874" w:type="dxa"/>
          </w:tcPr>
          <w:p w14:paraId="7D4ECF5F" w14:textId="4818537F" w:rsidR="007437D2" w:rsidRPr="004E6467" w:rsidRDefault="007437D2" w:rsidP="007437D2">
            <w:pPr>
              <w:rPr>
                <w:rFonts w:cs="Arial"/>
              </w:rPr>
            </w:pPr>
            <w:r w:rsidRPr="004E6467">
              <w:rPr>
                <w:rFonts w:cs="Arial"/>
              </w:rPr>
              <w:t>0</w:t>
            </w:r>
          </w:p>
        </w:tc>
        <w:tc>
          <w:tcPr>
            <w:tcW w:w="1880" w:type="dxa"/>
          </w:tcPr>
          <w:p w14:paraId="53766154" w14:textId="6847FA70" w:rsidR="007437D2" w:rsidRPr="004E6467" w:rsidRDefault="007437D2" w:rsidP="007437D2">
            <w:pPr>
              <w:rPr>
                <w:rFonts w:cs="Arial"/>
              </w:rPr>
            </w:pPr>
            <w:r w:rsidRPr="004E6467">
              <w:rPr>
                <w:rFonts w:cs="Arial"/>
              </w:rPr>
              <w:t>14 (5,3)</w:t>
            </w:r>
          </w:p>
        </w:tc>
        <w:tc>
          <w:tcPr>
            <w:tcW w:w="1876" w:type="dxa"/>
          </w:tcPr>
          <w:p w14:paraId="7F80AA0E" w14:textId="2C5F8995" w:rsidR="007437D2" w:rsidRPr="004E6467" w:rsidRDefault="007437D2" w:rsidP="007437D2">
            <w:pPr>
              <w:rPr>
                <w:rFonts w:cs="Arial"/>
              </w:rPr>
            </w:pPr>
            <w:r w:rsidRPr="004E6467">
              <w:rPr>
                <w:rFonts w:cs="Arial"/>
              </w:rPr>
              <w:t>1 (0,4)</w:t>
            </w:r>
          </w:p>
        </w:tc>
      </w:tr>
      <w:tr w:rsidR="007437D2" w:rsidRPr="004E6467" w14:paraId="5DDEB1F5" w14:textId="77777777" w:rsidTr="007437D2">
        <w:tc>
          <w:tcPr>
            <w:tcW w:w="2072" w:type="dxa"/>
          </w:tcPr>
          <w:p w14:paraId="1BA3A549" w14:textId="682DEC5F" w:rsidR="007437D2" w:rsidRPr="004E6467" w:rsidRDefault="007437D2" w:rsidP="007437D2">
            <w:pPr>
              <w:rPr>
                <w:rFonts w:cs="Arial"/>
              </w:rPr>
            </w:pPr>
            <w:r w:rsidRPr="004E6467">
              <w:rPr>
                <w:rFonts w:cs="Arial"/>
              </w:rPr>
              <w:lastRenderedPageBreak/>
              <w:t>Неутропения</w:t>
            </w:r>
          </w:p>
        </w:tc>
        <w:tc>
          <w:tcPr>
            <w:tcW w:w="1874" w:type="dxa"/>
          </w:tcPr>
          <w:p w14:paraId="7008AD32" w14:textId="44D1F125" w:rsidR="007437D2" w:rsidRPr="004E6467" w:rsidRDefault="007437D2" w:rsidP="007437D2">
            <w:pPr>
              <w:rPr>
                <w:rFonts w:cs="Arial"/>
              </w:rPr>
            </w:pPr>
            <w:r w:rsidRPr="004E6467">
              <w:rPr>
                <w:rFonts w:cs="Arial"/>
              </w:rPr>
              <w:t>11 (4,2)</w:t>
            </w:r>
          </w:p>
        </w:tc>
        <w:tc>
          <w:tcPr>
            <w:tcW w:w="1874" w:type="dxa"/>
          </w:tcPr>
          <w:p w14:paraId="17E9428A" w14:textId="451D0337" w:rsidR="007437D2" w:rsidRPr="004E6467" w:rsidRDefault="007437D2" w:rsidP="007437D2">
            <w:pPr>
              <w:rPr>
                <w:rFonts w:cs="Arial"/>
              </w:rPr>
            </w:pPr>
            <w:r w:rsidRPr="004E6467">
              <w:rPr>
                <w:rFonts w:cs="Arial"/>
              </w:rPr>
              <w:t>17 (6,6)*</w:t>
            </w:r>
          </w:p>
        </w:tc>
        <w:tc>
          <w:tcPr>
            <w:tcW w:w="1880" w:type="dxa"/>
          </w:tcPr>
          <w:p w14:paraId="6AAA66D8" w14:textId="0511289B" w:rsidR="007437D2" w:rsidRPr="004E6467" w:rsidRDefault="007437D2" w:rsidP="007437D2">
            <w:pPr>
              <w:rPr>
                <w:rFonts w:cs="Arial"/>
              </w:rPr>
            </w:pPr>
            <w:r w:rsidRPr="004E6467">
              <w:rPr>
                <w:rFonts w:cs="Arial"/>
              </w:rPr>
              <w:t>82(31,3)</w:t>
            </w:r>
          </w:p>
        </w:tc>
        <w:tc>
          <w:tcPr>
            <w:tcW w:w="1876" w:type="dxa"/>
          </w:tcPr>
          <w:p w14:paraId="26386DF2" w14:textId="7E4F6AB1" w:rsidR="007437D2" w:rsidRPr="004E6467" w:rsidRDefault="007437D2" w:rsidP="007437D2">
            <w:pPr>
              <w:rPr>
                <w:rFonts w:cs="Arial"/>
              </w:rPr>
            </w:pPr>
            <w:r w:rsidRPr="004E6467">
              <w:rPr>
                <w:rFonts w:cs="Arial"/>
              </w:rPr>
              <w:t>45 (17,2)*</w:t>
            </w:r>
          </w:p>
        </w:tc>
      </w:tr>
      <w:tr w:rsidR="007437D2" w:rsidRPr="004E6467" w14:paraId="4424A735" w14:textId="77777777" w:rsidTr="007437D2">
        <w:tc>
          <w:tcPr>
            <w:tcW w:w="2072" w:type="dxa"/>
          </w:tcPr>
          <w:p w14:paraId="435DE410" w14:textId="47BD04D5" w:rsidR="007437D2" w:rsidRPr="004E6467" w:rsidRDefault="007437D2" w:rsidP="007437D2">
            <w:pPr>
              <w:rPr>
                <w:rFonts w:cs="Arial"/>
              </w:rPr>
            </w:pPr>
            <w:r w:rsidRPr="004E6467">
              <w:rPr>
                <w:rFonts w:cs="Arial"/>
              </w:rPr>
              <w:t>Нелабораторни находки</w:t>
            </w:r>
          </w:p>
        </w:tc>
        <w:tc>
          <w:tcPr>
            <w:tcW w:w="1874" w:type="dxa"/>
          </w:tcPr>
          <w:p w14:paraId="04030E69" w14:textId="77777777" w:rsidR="007437D2" w:rsidRPr="004E6467" w:rsidRDefault="007437D2" w:rsidP="007437D2">
            <w:pPr>
              <w:rPr>
                <w:rFonts w:cs="Arial"/>
              </w:rPr>
            </w:pPr>
          </w:p>
        </w:tc>
        <w:tc>
          <w:tcPr>
            <w:tcW w:w="1874" w:type="dxa"/>
          </w:tcPr>
          <w:p w14:paraId="044C8866" w14:textId="77777777" w:rsidR="007437D2" w:rsidRPr="004E6467" w:rsidRDefault="007437D2" w:rsidP="007437D2">
            <w:pPr>
              <w:rPr>
                <w:rFonts w:cs="Arial"/>
              </w:rPr>
            </w:pPr>
          </w:p>
        </w:tc>
        <w:tc>
          <w:tcPr>
            <w:tcW w:w="1880" w:type="dxa"/>
          </w:tcPr>
          <w:p w14:paraId="071951A7" w14:textId="77777777" w:rsidR="007437D2" w:rsidRPr="004E6467" w:rsidRDefault="007437D2" w:rsidP="007437D2">
            <w:pPr>
              <w:rPr>
                <w:rFonts w:cs="Arial"/>
              </w:rPr>
            </w:pPr>
          </w:p>
        </w:tc>
        <w:tc>
          <w:tcPr>
            <w:tcW w:w="1876" w:type="dxa"/>
          </w:tcPr>
          <w:p w14:paraId="715E27AA" w14:textId="77777777" w:rsidR="007437D2" w:rsidRPr="004E6467" w:rsidRDefault="007437D2" w:rsidP="007437D2">
            <w:pPr>
              <w:rPr>
                <w:rFonts w:cs="Arial"/>
              </w:rPr>
            </w:pPr>
          </w:p>
        </w:tc>
      </w:tr>
      <w:tr w:rsidR="007437D2" w:rsidRPr="004E6467" w14:paraId="0A11CBE3" w14:textId="77777777" w:rsidTr="007437D2">
        <w:tc>
          <w:tcPr>
            <w:tcW w:w="2072" w:type="dxa"/>
          </w:tcPr>
          <w:p w14:paraId="4D2F7F3C" w14:textId="396F3506" w:rsidR="007437D2" w:rsidRPr="004E6467" w:rsidRDefault="007437D2" w:rsidP="007437D2">
            <w:pPr>
              <w:rPr>
                <w:rFonts w:cs="Arial"/>
              </w:rPr>
            </w:pPr>
            <w:r w:rsidRPr="004E6467">
              <w:rPr>
                <w:rFonts w:cs="Arial"/>
              </w:rPr>
              <w:t>Фебрилна неутропения</w:t>
            </w:r>
          </w:p>
        </w:tc>
        <w:tc>
          <w:tcPr>
            <w:tcW w:w="1874" w:type="dxa"/>
          </w:tcPr>
          <w:p w14:paraId="3230F89D" w14:textId="7A51F241" w:rsidR="007437D2" w:rsidRPr="004E6467" w:rsidRDefault="007437D2" w:rsidP="007437D2">
            <w:pPr>
              <w:rPr>
                <w:rFonts w:cs="Arial"/>
              </w:rPr>
            </w:pPr>
            <w:r w:rsidRPr="004E6467">
              <w:rPr>
                <w:rFonts w:cs="Arial"/>
              </w:rPr>
              <w:t>3(1,2)</w:t>
            </w:r>
          </w:p>
        </w:tc>
        <w:tc>
          <w:tcPr>
            <w:tcW w:w="1874" w:type="dxa"/>
          </w:tcPr>
          <w:p w14:paraId="1BBE7462" w14:textId="34C7A7F7" w:rsidR="007437D2" w:rsidRPr="004E6467" w:rsidRDefault="007437D2" w:rsidP="007437D2">
            <w:pPr>
              <w:rPr>
                <w:rFonts w:cs="Arial"/>
              </w:rPr>
            </w:pPr>
            <w:r w:rsidRPr="004E6467">
              <w:rPr>
                <w:rFonts w:cs="Arial"/>
              </w:rPr>
              <w:t>0</w:t>
            </w:r>
          </w:p>
        </w:tc>
        <w:tc>
          <w:tcPr>
            <w:tcW w:w="1880" w:type="dxa"/>
          </w:tcPr>
          <w:p w14:paraId="748382CE" w14:textId="6A838E69" w:rsidR="007437D2" w:rsidRPr="004E6467" w:rsidRDefault="007437D2" w:rsidP="007437D2">
            <w:pPr>
              <w:rPr>
                <w:rFonts w:cs="Arial"/>
              </w:rPr>
            </w:pPr>
            <w:r w:rsidRPr="004E6467">
              <w:rPr>
                <w:rFonts w:cs="Arial"/>
              </w:rPr>
              <w:t>12 (4,6)</w:t>
            </w:r>
          </w:p>
        </w:tc>
        <w:tc>
          <w:tcPr>
            <w:tcW w:w="1876" w:type="dxa"/>
          </w:tcPr>
          <w:p w14:paraId="743E034E" w14:textId="53FB509F" w:rsidR="007437D2" w:rsidRPr="004E6467" w:rsidRDefault="007437D2" w:rsidP="007437D2">
            <w:pPr>
              <w:rPr>
                <w:rFonts w:cs="Arial"/>
              </w:rPr>
            </w:pPr>
            <w:r w:rsidRPr="004E6467">
              <w:rPr>
                <w:rFonts w:cs="Arial"/>
              </w:rPr>
              <w:t>1(0,4)</w:t>
            </w:r>
          </w:p>
        </w:tc>
      </w:tr>
      <w:tr w:rsidR="007437D2" w:rsidRPr="004E6467" w14:paraId="55C1DA7A" w14:textId="77777777" w:rsidTr="007437D2">
        <w:tc>
          <w:tcPr>
            <w:tcW w:w="2072" w:type="dxa"/>
          </w:tcPr>
          <w:p w14:paraId="67C78360" w14:textId="5D883F83" w:rsidR="007437D2" w:rsidRPr="004E6467" w:rsidRDefault="007437D2" w:rsidP="007437D2">
            <w:pPr>
              <w:rPr>
                <w:rFonts w:cs="Arial"/>
              </w:rPr>
            </w:pPr>
            <w:r w:rsidRPr="004E6467">
              <w:rPr>
                <w:rFonts w:cs="Arial"/>
              </w:rPr>
              <w:t>Умора</w:t>
            </w:r>
          </w:p>
        </w:tc>
        <w:tc>
          <w:tcPr>
            <w:tcW w:w="1874" w:type="dxa"/>
          </w:tcPr>
          <w:p w14:paraId="6C07F7C1" w14:textId="4EF9640C" w:rsidR="007437D2" w:rsidRPr="004E6467" w:rsidRDefault="007437D2" w:rsidP="007437D2">
            <w:pPr>
              <w:rPr>
                <w:rFonts w:cs="Arial"/>
              </w:rPr>
            </w:pPr>
            <w:r w:rsidRPr="004E6467">
              <w:rPr>
                <w:rFonts w:cs="Arial"/>
                <w:u w:val="single"/>
              </w:rPr>
              <w:t>3(1,2)</w:t>
            </w:r>
          </w:p>
        </w:tc>
        <w:tc>
          <w:tcPr>
            <w:tcW w:w="1874" w:type="dxa"/>
          </w:tcPr>
          <w:p w14:paraId="08B886F3" w14:textId="508009EF" w:rsidR="007437D2" w:rsidRPr="004E6467" w:rsidRDefault="007437D2" w:rsidP="007437D2">
            <w:pPr>
              <w:rPr>
                <w:rFonts w:cs="Arial"/>
              </w:rPr>
            </w:pPr>
            <w:r w:rsidRPr="004E6467">
              <w:rPr>
                <w:rFonts w:cs="Arial"/>
              </w:rPr>
              <w:t>11Р.4)</w:t>
            </w:r>
          </w:p>
        </w:tc>
        <w:tc>
          <w:tcPr>
            <w:tcW w:w="1880" w:type="dxa"/>
          </w:tcPr>
          <w:p w14:paraId="2A1DD80B" w14:textId="5B09ED0A" w:rsidR="007437D2" w:rsidRPr="004E6467" w:rsidRDefault="007437D2" w:rsidP="007437D2">
            <w:pPr>
              <w:rPr>
                <w:rFonts w:cs="Arial"/>
              </w:rPr>
            </w:pPr>
            <w:r w:rsidRPr="004E6467">
              <w:rPr>
                <w:rFonts w:cs="Arial"/>
              </w:rPr>
              <w:t>15 (5,7)</w:t>
            </w:r>
          </w:p>
        </w:tc>
        <w:tc>
          <w:tcPr>
            <w:tcW w:w="1876" w:type="dxa"/>
          </w:tcPr>
          <w:p w14:paraId="55F5E793" w14:textId="26D782F5" w:rsidR="007437D2" w:rsidRPr="004E6467" w:rsidRDefault="007437D2" w:rsidP="007437D2">
            <w:pPr>
              <w:rPr>
                <w:rFonts w:cs="Arial"/>
              </w:rPr>
            </w:pPr>
            <w:r w:rsidRPr="004E6467">
              <w:rPr>
                <w:rFonts w:cs="Arial"/>
              </w:rPr>
              <w:t>2 (0,8)</w:t>
            </w:r>
          </w:p>
        </w:tc>
      </w:tr>
      <w:tr w:rsidR="007437D2" w:rsidRPr="004E6467" w14:paraId="5F4EF7A5" w14:textId="77777777" w:rsidTr="007437D2">
        <w:tc>
          <w:tcPr>
            <w:tcW w:w="2072" w:type="dxa"/>
          </w:tcPr>
          <w:p w14:paraId="08E75FA1" w14:textId="34C7C12E" w:rsidR="007437D2" w:rsidRPr="004E6467" w:rsidRDefault="007437D2" w:rsidP="007437D2">
            <w:pPr>
              <w:rPr>
                <w:rFonts w:cs="Arial"/>
              </w:rPr>
            </w:pPr>
            <w:r w:rsidRPr="004E6467">
              <w:rPr>
                <w:rFonts w:cs="Arial"/>
              </w:rPr>
              <w:t>Диария</w:t>
            </w:r>
          </w:p>
        </w:tc>
        <w:tc>
          <w:tcPr>
            <w:tcW w:w="1874" w:type="dxa"/>
          </w:tcPr>
          <w:p w14:paraId="2F4C46C8" w14:textId="6E4AC2D2" w:rsidR="007437D2" w:rsidRPr="004E6467" w:rsidRDefault="007437D2" w:rsidP="007437D2">
            <w:pPr>
              <w:rPr>
                <w:rFonts w:cs="Arial"/>
              </w:rPr>
            </w:pPr>
            <w:r w:rsidRPr="004E6467">
              <w:rPr>
                <w:rFonts w:cs="Arial"/>
              </w:rPr>
              <w:t>5(1,9)</w:t>
            </w:r>
          </w:p>
        </w:tc>
        <w:tc>
          <w:tcPr>
            <w:tcW w:w="1874" w:type="dxa"/>
          </w:tcPr>
          <w:p w14:paraId="1C442F57" w14:textId="4520EC92" w:rsidR="007437D2" w:rsidRPr="004E6467" w:rsidRDefault="007437D2" w:rsidP="007437D2">
            <w:pPr>
              <w:rPr>
                <w:rFonts w:cs="Arial"/>
              </w:rPr>
            </w:pPr>
            <w:r w:rsidRPr="004E6467">
              <w:rPr>
                <w:rFonts w:cs="Arial"/>
              </w:rPr>
              <w:t>0</w:t>
            </w:r>
          </w:p>
        </w:tc>
        <w:tc>
          <w:tcPr>
            <w:tcW w:w="1880" w:type="dxa"/>
          </w:tcPr>
          <w:p w14:paraId="7ED8D76C" w14:textId="1B2087AA" w:rsidR="007437D2" w:rsidRPr="004E6467" w:rsidRDefault="007437D2" w:rsidP="007437D2">
            <w:pPr>
              <w:rPr>
                <w:rFonts w:cs="Arial"/>
              </w:rPr>
            </w:pPr>
            <w:r w:rsidRPr="004E6467">
              <w:rPr>
                <w:rFonts w:cs="Arial"/>
              </w:rPr>
              <w:t>8(3,1)</w:t>
            </w:r>
          </w:p>
        </w:tc>
        <w:tc>
          <w:tcPr>
            <w:tcW w:w="1876" w:type="dxa"/>
          </w:tcPr>
          <w:p w14:paraId="5FCD3AA0" w14:textId="4A014A71" w:rsidR="007437D2" w:rsidRPr="004E6467" w:rsidRDefault="007437D2" w:rsidP="007437D2">
            <w:pPr>
              <w:rPr>
                <w:rFonts w:cs="Arial"/>
              </w:rPr>
            </w:pPr>
            <w:r w:rsidRPr="004E6467">
              <w:rPr>
                <w:rFonts w:cs="Arial"/>
              </w:rPr>
              <w:t>0</w:t>
            </w:r>
          </w:p>
        </w:tc>
      </w:tr>
      <w:tr w:rsidR="007437D2" w:rsidRPr="004E6467" w14:paraId="4B69EBC8" w14:textId="77777777" w:rsidTr="007437D2">
        <w:tc>
          <w:tcPr>
            <w:tcW w:w="2072" w:type="dxa"/>
          </w:tcPr>
          <w:p w14:paraId="737F67E1" w14:textId="2E91A80B" w:rsidR="007437D2" w:rsidRPr="004E6467" w:rsidRDefault="007437D2" w:rsidP="007437D2">
            <w:pPr>
              <w:rPr>
                <w:rFonts w:cs="Arial"/>
              </w:rPr>
            </w:pPr>
            <w:r w:rsidRPr="004E6467">
              <w:rPr>
                <w:rFonts w:cs="Arial"/>
              </w:rPr>
              <w:t>Двигателна невропатия</w:t>
            </w:r>
          </w:p>
        </w:tc>
        <w:tc>
          <w:tcPr>
            <w:tcW w:w="1874" w:type="dxa"/>
          </w:tcPr>
          <w:p w14:paraId="79C11500" w14:textId="24E8836B" w:rsidR="007437D2" w:rsidRPr="004E6467" w:rsidRDefault="007437D2" w:rsidP="007437D2">
            <w:pPr>
              <w:rPr>
                <w:rFonts w:cs="Arial"/>
              </w:rPr>
            </w:pPr>
            <w:r w:rsidRPr="004E6467">
              <w:rPr>
                <w:rFonts w:cs="Arial"/>
              </w:rPr>
              <w:t>2 (0,8)</w:t>
            </w:r>
          </w:p>
        </w:tc>
        <w:tc>
          <w:tcPr>
            <w:tcW w:w="1874" w:type="dxa"/>
          </w:tcPr>
          <w:p w14:paraId="7F4FA159" w14:textId="0706560C" w:rsidR="007437D2" w:rsidRPr="004E6467" w:rsidRDefault="007437D2" w:rsidP="007437D2">
            <w:pPr>
              <w:rPr>
                <w:rFonts w:cs="Arial"/>
              </w:rPr>
            </w:pPr>
            <w:r w:rsidRPr="004E6467">
              <w:rPr>
                <w:rFonts w:cs="Arial"/>
              </w:rPr>
              <w:t>0</w:t>
            </w:r>
          </w:p>
        </w:tc>
        <w:tc>
          <w:tcPr>
            <w:tcW w:w="1880" w:type="dxa"/>
          </w:tcPr>
          <w:p w14:paraId="2CEDD961" w14:textId="191FCA5A" w:rsidR="007437D2" w:rsidRPr="004E6467" w:rsidRDefault="007437D2" w:rsidP="007437D2">
            <w:pPr>
              <w:rPr>
                <w:rFonts w:cs="Arial"/>
              </w:rPr>
            </w:pPr>
            <w:r w:rsidRPr="004E6467">
              <w:rPr>
                <w:rFonts w:cs="Arial"/>
              </w:rPr>
              <w:t>6 (2,3)</w:t>
            </w:r>
          </w:p>
        </w:tc>
        <w:tc>
          <w:tcPr>
            <w:tcW w:w="1876" w:type="dxa"/>
          </w:tcPr>
          <w:p w14:paraId="3BB9366E" w14:textId="73A296D0" w:rsidR="007437D2" w:rsidRPr="004E6467" w:rsidRDefault="007437D2" w:rsidP="007437D2">
            <w:pPr>
              <w:rPr>
                <w:rFonts w:cs="Arial"/>
              </w:rPr>
            </w:pPr>
            <w:r w:rsidRPr="004E6467">
              <w:rPr>
                <w:rFonts w:cs="Arial"/>
              </w:rPr>
              <w:t>1 (0,4)</w:t>
            </w:r>
          </w:p>
        </w:tc>
      </w:tr>
      <w:tr w:rsidR="007437D2" w:rsidRPr="004E6467" w14:paraId="331716BD" w14:textId="77777777" w:rsidTr="007437D2">
        <w:tc>
          <w:tcPr>
            <w:tcW w:w="2072" w:type="dxa"/>
          </w:tcPr>
          <w:p w14:paraId="39873EFC" w14:textId="3F80ABA3" w:rsidR="007437D2" w:rsidRPr="004E6467" w:rsidRDefault="007437D2" w:rsidP="007437D2">
            <w:pPr>
              <w:rPr>
                <w:rFonts w:cs="Arial"/>
              </w:rPr>
            </w:pPr>
            <w:r w:rsidRPr="004E6467">
              <w:rPr>
                <w:rFonts w:cs="Arial"/>
              </w:rPr>
              <w:t>Сензорна невропатия</w:t>
            </w:r>
          </w:p>
        </w:tc>
        <w:tc>
          <w:tcPr>
            <w:tcW w:w="1874" w:type="dxa"/>
          </w:tcPr>
          <w:p w14:paraId="14880F88" w14:textId="464572A4" w:rsidR="007437D2" w:rsidRPr="004E6467" w:rsidRDefault="007437D2" w:rsidP="007437D2">
            <w:pPr>
              <w:rPr>
                <w:rFonts w:cs="Arial"/>
              </w:rPr>
            </w:pPr>
            <w:r w:rsidRPr="004E6467">
              <w:rPr>
                <w:rFonts w:cs="Arial"/>
              </w:rPr>
              <w:t>9 (3,5)</w:t>
            </w:r>
          </w:p>
        </w:tc>
        <w:tc>
          <w:tcPr>
            <w:tcW w:w="1874" w:type="dxa"/>
          </w:tcPr>
          <w:p w14:paraId="42C8A0E8" w14:textId="714BE307" w:rsidR="007437D2" w:rsidRPr="004E6467" w:rsidRDefault="007437D2" w:rsidP="007437D2">
            <w:pPr>
              <w:rPr>
                <w:rFonts w:cs="Arial"/>
              </w:rPr>
            </w:pPr>
            <w:r w:rsidRPr="004E6467">
              <w:rPr>
                <w:rFonts w:cs="Arial"/>
              </w:rPr>
              <w:t>0</w:t>
            </w:r>
          </w:p>
        </w:tc>
        <w:tc>
          <w:tcPr>
            <w:tcW w:w="1880" w:type="dxa"/>
          </w:tcPr>
          <w:p w14:paraId="25D1CF95" w14:textId="07518180" w:rsidR="007437D2" w:rsidRPr="004E6467" w:rsidRDefault="007437D2" w:rsidP="007437D2">
            <w:pPr>
              <w:rPr>
                <w:rFonts w:cs="Arial"/>
              </w:rPr>
            </w:pPr>
            <w:r w:rsidRPr="004E6467">
              <w:rPr>
                <w:rFonts w:cs="Arial"/>
              </w:rPr>
              <w:t>14(5,3)</w:t>
            </w:r>
          </w:p>
        </w:tc>
        <w:tc>
          <w:tcPr>
            <w:tcW w:w="1876" w:type="dxa"/>
          </w:tcPr>
          <w:p w14:paraId="7D153ECC" w14:textId="5CE1CC03" w:rsidR="007437D2" w:rsidRPr="004E6467" w:rsidRDefault="007437D2" w:rsidP="007437D2">
            <w:pPr>
              <w:rPr>
                <w:rFonts w:cs="Arial"/>
              </w:rPr>
            </w:pPr>
            <w:r w:rsidRPr="004E6467">
              <w:rPr>
                <w:rFonts w:cs="Arial"/>
              </w:rPr>
              <w:t>1 (0,4)</w:t>
            </w:r>
          </w:p>
        </w:tc>
      </w:tr>
    </w:tbl>
    <w:p w14:paraId="10A192A6" w14:textId="2183B60F" w:rsidR="007437D2" w:rsidRPr="004E6467" w:rsidRDefault="007437D2" w:rsidP="0091385D">
      <w:pPr>
        <w:rPr>
          <w:rFonts w:cs="Arial"/>
        </w:rPr>
      </w:pPr>
    </w:p>
    <w:p w14:paraId="3EAF6D52" w14:textId="77777777" w:rsidR="007437D2" w:rsidRPr="004E6467" w:rsidRDefault="007437D2" w:rsidP="007437D2">
      <w:pPr>
        <w:spacing w:line="240" w:lineRule="auto"/>
        <w:rPr>
          <w:rFonts w:eastAsia="Times New Roman" w:cs="Arial"/>
          <w:lang w:eastAsia="bg-BG"/>
        </w:rPr>
      </w:pPr>
      <w:r w:rsidRPr="004E6467">
        <w:rPr>
          <w:rFonts w:eastAsia="Times New Roman" w:cs="Arial"/>
          <w:color w:val="000000"/>
          <w:lang w:eastAsia="bg-BG"/>
        </w:rPr>
        <w:t>*Степен 4 неутропения, продължаваща повече от 7 дни, се среща при 12,6% от пациентите в комбинираното рамо и при 5,0% от пациентите в рамото на паклитаксел.</w:t>
      </w:r>
    </w:p>
    <w:p w14:paraId="58277090" w14:textId="77777777" w:rsidR="007437D2" w:rsidRPr="004E6467" w:rsidRDefault="007437D2" w:rsidP="007437D2">
      <w:pPr>
        <w:rPr>
          <w:rFonts w:eastAsia="Times New Roman" w:cs="Arial"/>
          <w:i/>
          <w:iCs/>
          <w:color w:val="000000"/>
          <w:u w:val="single"/>
          <w:lang w:eastAsia="bg-BG"/>
        </w:rPr>
      </w:pPr>
    </w:p>
    <w:p w14:paraId="013CF1AD" w14:textId="3CFCAA51" w:rsidR="007437D2" w:rsidRPr="004E6467" w:rsidRDefault="007437D2" w:rsidP="007437D2">
      <w:pPr>
        <w:rPr>
          <w:rFonts w:eastAsia="Times New Roman" w:cs="Arial"/>
          <w:i/>
          <w:iCs/>
          <w:color w:val="000000"/>
          <w:u w:val="single"/>
          <w:lang w:eastAsia="bg-BG"/>
        </w:rPr>
      </w:pPr>
      <w:r w:rsidRPr="004E6467">
        <w:rPr>
          <w:rFonts w:eastAsia="Times New Roman" w:cs="Arial"/>
          <w:i/>
          <w:iCs/>
          <w:color w:val="000000"/>
          <w:u w:val="single"/>
          <w:lang w:eastAsia="bg-BG"/>
        </w:rPr>
        <w:t>Комбинирана употреба при карцином на пикочния мехур</w:t>
      </w:r>
    </w:p>
    <w:p w14:paraId="441EC796" w14:textId="77777777" w:rsidR="007437D2" w:rsidRPr="004E6467" w:rsidRDefault="007437D2" w:rsidP="007437D2">
      <w:pPr>
        <w:rPr>
          <w:rFonts w:cs="Arial"/>
        </w:rPr>
      </w:pPr>
    </w:p>
    <w:tbl>
      <w:tblPr>
        <w:tblStyle w:val="TableGrid"/>
        <w:tblW w:w="0" w:type="auto"/>
        <w:tblLook w:val="04A0" w:firstRow="1" w:lastRow="0" w:firstColumn="1" w:lastColumn="0" w:noHBand="0" w:noVBand="1"/>
      </w:tblPr>
      <w:tblGrid>
        <w:gridCol w:w="2072"/>
        <w:gridCol w:w="1878"/>
        <w:gridCol w:w="1875"/>
        <w:gridCol w:w="1878"/>
        <w:gridCol w:w="1873"/>
      </w:tblGrid>
      <w:tr w:rsidR="007437D2" w:rsidRPr="004E6467" w14:paraId="55CCD8FD" w14:textId="77777777" w:rsidTr="007437D2">
        <w:tc>
          <w:tcPr>
            <w:tcW w:w="9576" w:type="dxa"/>
            <w:gridSpan w:val="5"/>
          </w:tcPr>
          <w:p w14:paraId="22CBA664" w14:textId="180BDDF7" w:rsidR="007437D2" w:rsidRPr="004E6467" w:rsidRDefault="007437D2" w:rsidP="007437D2">
            <w:pPr>
              <w:jc w:val="center"/>
              <w:rPr>
                <w:rFonts w:cs="Arial"/>
                <w:b/>
                <w:bCs/>
              </w:rPr>
            </w:pPr>
            <w:r w:rsidRPr="004E6467">
              <w:rPr>
                <w:rFonts w:cs="Arial"/>
                <w:b/>
                <w:bCs/>
              </w:rPr>
              <w:t>Степен 3 и 4 нежелани събития</w:t>
            </w:r>
          </w:p>
          <w:p w14:paraId="5176CE15" w14:textId="05FBAA94" w:rsidR="007437D2" w:rsidRPr="004E6467" w:rsidRDefault="007437D2" w:rsidP="007437D2">
            <w:pPr>
              <w:jc w:val="center"/>
              <w:rPr>
                <w:rFonts w:cs="Arial"/>
              </w:rPr>
            </w:pPr>
            <w:r w:rsidRPr="004E6467">
              <w:rPr>
                <w:rFonts w:cs="Arial"/>
                <w:b/>
                <w:bCs/>
              </w:rPr>
              <w:t xml:space="preserve">МВДЦ </w:t>
            </w:r>
            <w:r w:rsidRPr="004E6467">
              <w:rPr>
                <w:rFonts w:cs="Arial"/>
                <w:b/>
                <w:bCs/>
                <w:lang w:val="en-US"/>
              </w:rPr>
              <w:t xml:space="preserve">(MVAC) </w:t>
            </w:r>
            <w:r w:rsidRPr="004E6467">
              <w:rPr>
                <w:rFonts w:cs="Arial"/>
                <w:b/>
                <w:bCs/>
              </w:rPr>
              <w:t>спрямо гемцитабин плюс цисплатин</w:t>
            </w:r>
          </w:p>
        </w:tc>
      </w:tr>
      <w:tr w:rsidR="007437D2" w:rsidRPr="004E6467" w14:paraId="1A6CA84D" w14:textId="77777777" w:rsidTr="007437D2">
        <w:tc>
          <w:tcPr>
            <w:tcW w:w="2072" w:type="dxa"/>
            <w:vMerge w:val="restart"/>
          </w:tcPr>
          <w:p w14:paraId="2EAD4830" w14:textId="77777777" w:rsidR="007437D2" w:rsidRPr="004E6467" w:rsidRDefault="007437D2" w:rsidP="0091385D">
            <w:pPr>
              <w:rPr>
                <w:rFonts w:cs="Arial"/>
              </w:rPr>
            </w:pPr>
          </w:p>
        </w:tc>
        <w:tc>
          <w:tcPr>
            <w:tcW w:w="7504" w:type="dxa"/>
            <w:gridSpan w:val="4"/>
          </w:tcPr>
          <w:p w14:paraId="2FAE2660" w14:textId="77777777" w:rsidR="007437D2" w:rsidRPr="004E6467" w:rsidRDefault="007437D2" w:rsidP="007437D2">
            <w:pPr>
              <w:spacing w:line="240" w:lineRule="auto"/>
              <w:jc w:val="center"/>
              <w:rPr>
                <w:rFonts w:eastAsia="Times New Roman" w:cs="Arial"/>
                <w:lang w:eastAsia="bg-BG"/>
              </w:rPr>
            </w:pPr>
            <w:r w:rsidRPr="004E6467">
              <w:rPr>
                <w:rFonts w:eastAsia="Times New Roman" w:cs="Arial"/>
                <w:color w:val="000000"/>
                <w:lang w:eastAsia="bg-BG"/>
              </w:rPr>
              <w:t>Брой (%) пациенти</w:t>
            </w:r>
          </w:p>
          <w:p w14:paraId="1317FDB4" w14:textId="77777777" w:rsidR="007437D2" w:rsidRPr="004E6467" w:rsidRDefault="007437D2" w:rsidP="0091385D">
            <w:pPr>
              <w:rPr>
                <w:rFonts w:cs="Arial"/>
              </w:rPr>
            </w:pPr>
          </w:p>
        </w:tc>
      </w:tr>
      <w:tr w:rsidR="007437D2" w:rsidRPr="004E6467" w14:paraId="0478B0ED" w14:textId="77777777" w:rsidTr="007437D2">
        <w:tc>
          <w:tcPr>
            <w:tcW w:w="2072" w:type="dxa"/>
            <w:vMerge/>
          </w:tcPr>
          <w:p w14:paraId="55815781" w14:textId="77777777" w:rsidR="007437D2" w:rsidRPr="004E6467" w:rsidRDefault="007437D2" w:rsidP="007437D2">
            <w:pPr>
              <w:rPr>
                <w:rFonts w:cs="Arial"/>
              </w:rPr>
            </w:pPr>
          </w:p>
        </w:tc>
        <w:tc>
          <w:tcPr>
            <w:tcW w:w="3753" w:type="dxa"/>
            <w:gridSpan w:val="2"/>
          </w:tcPr>
          <w:p w14:paraId="48B0AAD1" w14:textId="0B6E974F" w:rsidR="007437D2" w:rsidRPr="004E6467" w:rsidRDefault="007437D2" w:rsidP="007437D2">
            <w:pPr>
              <w:jc w:val="center"/>
              <w:rPr>
                <w:rFonts w:cs="Arial"/>
              </w:rPr>
            </w:pPr>
            <w:r w:rsidRPr="004E6467">
              <w:rPr>
                <w:rFonts w:cs="Arial"/>
              </w:rPr>
              <w:t xml:space="preserve">Рамо на МВДЦ </w:t>
            </w:r>
            <w:r w:rsidRPr="004E6467">
              <w:rPr>
                <w:rFonts w:cs="Arial"/>
                <w:lang w:val="en-US"/>
              </w:rPr>
              <w:t xml:space="preserve">(MVAC) </w:t>
            </w:r>
            <w:r w:rsidRPr="004E6467">
              <w:rPr>
                <w:rFonts w:cs="Arial"/>
              </w:rPr>
              <w:t xml:space="preserve">(метотрексат, винбластин, доксорубицин и цисплатин) </w:t>
            </w:r>
            <w:r w:rsidRPr="004E6467">
              <w:rPr>
                <w:rFonts w:cs="Arial"/>
                <w:lang w:val="en-US"/>
              </w:rPr>
              <w:t>(N=196)</w:t>
            </w:r>
          </w:p>
        </w:tc>
        <w:tc>
          <w:tcPr>
            <w:tcW w:w="3751" w:type="dxa"/>
            <w:gridSpan w:val="2"/>
          </w:tcPr>
          <w:p w14:paraId="0D3A1A38" w14:textId="79BB0DC3" w:rsidR="007437D2" w:rsidRPr="004E6467" w:rsidRDefault="007437D2" w:rsidP="007437D2">
            <w:pPr>
              <w:jc w:val="center"/>
              <w:rPr>
                <w:rFonts w:cs="Arial"/>
              </w:rPr>
            </w:pPr>
            <w:r w:rsidRPr="004E6467">
              <w:rPr>
                <w:rFonts w:cs="Arial"/>
              </w:rPr>
              <w:t>Рамо на гемцитабин плюс цисплатин</w:t>
            </w:r>
          </w:p>
          <w:p w14:paraId="5F1A0683" w14:textId="62A91FE9" w:rsidR="007437D2" w:rsidRPr="004E6467" w:rsidRDefault="007437D2" w:rsidP="007437D2">
            <w:pPr>
              <w:jc w:val="center"/>
              <w:rPr>
                <w:rFonts w:cs="Arial"/>
              </w:rPr>
            </w:pPr>
            <w:r w:rsidRPr="004E6467">
              <w:rPr>
                <w:rFonts w:cs="Arial"/>
                <w:lang w:val="en-US"/>
              </w:rPr>
              <w:t>(N=200)</w:t>
            </w:r>
          </w:p>
        </w:tc>
      </w:tr>
      <w:tr w:rsidR="007437D2" w:rsidRPr="004E6467" w14:paraId="6786036E" w14:textId="77777777" w:rsidTr="007437D2">
        <w:tc>
          <w:tcPr>
            <w:tcW w:w="2072" w:type="dxa"/>
            <w:vMerge/>
          </w:tcPr>
          <w:p w14:paraId="252825B4" w14:textId="77777777" w:rsidR="007437D2" w:rsidRPr="004E6467" w:rsidRDefault="007437D2" w:rsidP="007437D2">
            <w:pPr>
              <w:rPr>
                <w:rFonts w:cs="Arial"/>
              </w:rPr>
            </w:pPr>
          </w:p>
        </w:tc>
        <w:tc>
          <w:tcPr>
            <w:tcW w:w="1878" w:type="dxa"/>
          </w:tcPr>
          <w:p w14:paraId="103B2750" w14:textId="7CAEB1A2" w:rsidR="007437D2" w:rsidRPr="004E6467" w:rsidRDefault="007437D2" w:rsidP="007437D2">
            <w:pPr>
              <w:rPr>
                <w:rFonts w:cs="Arial"/>
              </w:rPr>
            </w:pPr>
            <w:r w:rsidRPr="004E6467">
              <w:rPr>
                <w:rFonts w:cs="Arial"/>
              </w:rPr>
              <w:t>Степен 3</w:t>
            </w:r>
          </w:p>
        </w:tc>
        <w:tc>
          <w:tcPr>
            <w:tcW w:w="1875" w:type="dxa"/>
          </w:tcPr>
          <w:p w14:paraId="485FCF06" w14:textId="54E17CAD" w:rsidR="007437D2" w:rsidRPr="004E6467" w:rsidRDefault="007437D2" w:rsidP="007437D2">
            <w:pPr>
              <w:rPr>
                <w:rFonts w:cs="Arial"/>
              </w:rPr>
            </w:pPr>
            <w:r w:rsidRPr="004E6467">
              <w:rPr>
                <w:rFonts w:cs="Arial"/>
              </w:rPr>
              <w:t>Степен 4</w:t>
            </w:r>
          </w:p>
        </w:tc>
        <w:tc>
          <w:tcPr>
            <w:tcW w:w="1878" w:type="dxa"/>
          </w:tcPr>
          <w:p w14:paraId="1E960468" w14:textId="6978D72E" w:rsidR="007437D2" w:rsidRPr="004E6467" w:rsidRDefault="007437D2" w:rsidP="007437D2">
            <w:pPr>
              <w:rPr>
                <w:rFonts w:cs="Arial"/>
              </w:rPr>
            </w:pPr>
            <w:r w:rsidRPr="004E6467">
              <w:rPr>
                <w:rFonts w:cs="Arial"/>
              </w:rPr>
              <w:t>Степен 3</w:t>
            </w:r>
          </w:p>
        </w:tc>
        <w:tc>
          <w:tcPr>
            <w:tcW w:w="1873" w:type="dxa"/>
          </w:tcPr>
          <w:p w14:paraId="7C33BA7B" w14:textId="5BE3F3D9" w:rsidR="007437D2" w:rsidRPr="004E6467" w:rsidRDefault="007437D2" w:rsidP="007437D2">
            <w:pPr>
              <w:rPr>
                <w:rFonts w:cs="Arial"/>
              </w:rPr>
            </w:pPr>
            <w:r w:rsidRPr="004E6467">
              <w:rPr>
                <w:rFonts w:cs="Arial"/>
              </w:rPr>
              <w:t>Степен 4</w:t>
            </w:r>
          </w:p>
        </w:tc>
      </w:tr>
      <w:tr w:rsidR="007437D2" w:rsidRPr="004E6467" w14:paraId="23B85693" w14:textId="77777777" w:rsidTr="007437D2">
        <w:tc>
          <w:tcPr>
            <w:tcW w:w="2072" w:type="dxa"/>
          </w:tcPr>
          <w:p w14:paraId="1B3E91D1" w14:textId="7EDDF02B" w:rsidR="007437D2" w:rsidRPr="004E6467" w:rsidRDefault="007437D2" w:rsidP="007437D2">
            <w:pPr>
              <w:rPr>
                <w:rFonts w:cs="Arial"/>
              </w:rPr>
            </w:pPr>
            <w:r w:rsidRPr="004E6467">
              <w:rPr>
                <w:rFonts w:cs="Arial"/>
              </w:rPr>
              <w:t>Лабораторни находки</w:t>
            </w:r>
          </w:p>
        </w:tc>
        <w:tc>
          <w:tcPr>
            <w:tcW w:w="1878" w:type="dxa"/>
          </w:tcPr>
          <w:p w14:paraId="4A6CC642" w14:textId="77777777" w:rsidR="007437D2" w:rsidRPr="004E6467" w:rsidRDefault="007437D2" w:rsidP="007437D2">
            <w:pPr>
              <w:rPr>
                <w:rFonts w:cs="Arial"/>
              </w:rPr>
            </w:pPr>
          </w:p>
        </w:tc>
        <w:tc>
          <w:tcPr>
            <w:tcW w:w="1875" w:type="dxa"/>
          </w:tcPr>
          <w:p w14:paraId="49FEA8D1" w14:textId="77777777" w:rsidR="007437D2" w:rsidRPr="004E6467" w:rsidRDefault="007437D2" w:rsidP="007437D2">
            <w:pPr>
              <w:rPr>
                <w:rFonts w:cs="Arial"/>
              </w:rPr>
            </w:pPr>
          </w:p>
        </w:tc>
        <w:tc>
          <w:tcPr>
            <w:tcW w:w="1878" w:type="dxa"/>
          </w:tcPr>
          <w:p w14:paraId="499F47C5" w14:textId="77777777" w:rsidR="007437D2" w:rsidRPr="004E6467" w:rsidRDefault="007437D2" w:rsidP="007437D2">
            <w:pPr>
              <w:rPr>
                <w:rFonts w:cs="Arial"/>
              </w:rPr>
            </w:pPr>
          </w:p>
        </w:tc>
        <w:tc>
          <w:tcPr>
            <w:tcW w:w="1873" w:type="dxa"/>
          </w:tcPr>
          <w:p w14:paraId="7E913557" w14:textId="77777777" w:rsidR="007437D2" w:rsidRPr="004E6467" w:rsidRDefault="007437D2" w:rsidP="007437D2">
            <w:pPr>
              <w:rPr>
                <w:rFonts w:cs="Arial"/>
              </w:rPr>
            </w:pPr>
          </w:p>
        </w:tc>
      </w:tr>
      <w:tr w:rsidR="007437D2" w:rsidRPr="004E6467" w14:paraId="27BE6902" w14:textId="77777777" w:rsidTr="007437D2">
        <w:tc>
          <w:tcPr>
            <w:tcW w:w="2072" w:type="dxa"/>
          </w:tcPr>
          <w:p w14:paraId="71DE0490" w14:textId="23539324" w:rsidR="007437D2" w:rsidRPr="004E6467" w:rsidRDefault="007437D2" w:rsidP="007437D2">
            <w:pPr>
              <w:rPr>
                <w:rFonts w:cs="Arial"/>
              </w:rPr>
            </w:pPr>
            <w:r w:rsidRPr="004E6467">
              <w:rPr>
                <w:rFonts w:cs="Arial"/>
              </w:rPr>
              <w:t>Анемия</w:t>
            </w:r>
          </w:p>
        </w:tc>
        <w:tc>
          <w:tcPr>
            <w:tcW w:w="1878" w:type="dxa"/>
          </w:tcPr>
          <w:p w14:paraId="6D620D3C" w14:textId="584086BF" w:rsidR="007437D2" w:rsidRPr="004E6467" w:rsidRDefault="007437D2" w:rsidP="007437D2">
            <w:pPr>
              <w:rPr>
                <w:rFonts w:cs="Arial"/>
              </w:rPr>
            </w:pPr>
            <w:r w:rsidRPr="004E6467">
              <w:rPr>
                <w:rFonts w:cs="Arial"/>
              </w:rPr>
              <w:t>30(16)</w:t>
            </w:r>
          </w:p>
        </w:tc>
        <w:tc>
          <w:tcPr>
            <w:tcW w:w="1875" w:type="dxa"/>
          </w:tcPr>
          <w:p w14:paraId="65A299A0" w14:textId="3E7E2FD8" w:rsidR="007437D2" w:rsidRPr="004E6467" w:rsidRDefault="007437D2" w:rsidP="007437D2">
            <w:pPr>
              <w:rPr>
                <w:rFonts w:cs="Arial"/>
              </w:rPr>
            </w:pPr>
            <w:r w:rsidRPr="004E6467">
              <w:rPr>
                <w:rFonts w:cs="Arial"/>
              </w:rPr>
              <w:t>4(2)</w:t>
            </w:r>
          </w:p>
        </w:tc>
        <w:tc>
          <w:tcPr>
            <w:tcW w:w="1878" w:type="dxa"/>
          </w:tcPr>
          <w:p w14:paraId="29EC7F72" w14:textId="09FE3EE0" w:rsidR="007437D2" w:rsidRPr="004E6467" w:rsidRDefault="007437D2" w:rsidP="007437D2">
            <w:pPr>
              <w:rPr>
                <w:rFonts w:cs="Arial"/>
              </w:rPr>
            </w:pPr>
            <w:r w:rsidRPr="004E6467">
              <w:rPr>
                <w:rFonts w:cs="Arial"/>
              </w:rPr>
              <w:t>47 (24)</w:t>
            </w:r>
          </w:p>
        </w:tc>
        <w:tc>
          <w:tcPr>
            <w:tcW w:w="1873" w:type="dxa"/>
          </w:tcPr>
          <w:p w14:paraId="70E1F69A" w14:textId="484B5C59" w:rsidR="007437D2" w:rsidRPr="004E6467" w:rsidRDefault="007437D2" w:rsidP="007437D2">
            <w:pPr>
              <w:rPr>
                <w:rFonts w:cs="Arial"/>
              </w:rPr>
            </w:pPr>
            <w:r w:rsidRPr="004E6467">
              <w:rPr>
                <w:rFonts w:cs="Arial"/>
              </w:rPr>
              <w:t xml:space="preserve">7(4) </w:t>
            </w:r>
          </w:p>
        </w:tc>
      </w:tr>
      <w:tr w:rsidR="007437D2" w:rsidRPr="004E6467" w14:paraId="6EB2280F" w14:textId="77777777" w:rsidTr="007437D2">
        <w:tc>
          <w:tcPr>
            <w:tcW w:w="2072" w:type="dxa"/>
          </w:tcPr>
          <w:p w14:paraId="4ECF3D54" w14:textId="255F570E" w:rsidR="007437D2" w:rsidRPr="004E6467" w:rsidRDefault="007437D2" w:rsidP="007437D2">
            <w:pPr>
              <w:rPr>
                <w:rFonts w:cs="Arial"/>
              </w:rPr>
            </w:pPr>
            <w:r w:rsidRPr="004E6467">
              <w:rPr>
                <w:rFonts w:cs="Arial"/>
              </w:rPr>
              <w:t>Тромбоцитопения</w:t>
            </w:r>
          </w:p>
        </w:tc>
        <w:tc>
          <w:tcPr>
            <w:tcW w:w="1878" w:type="dxa"/>
          </w:tcPr>
          <w:p w14:paraId="7F70A3EA" w14:textId="559B6A8F" w:rsidR="007437D2" w:rsidRPr="004E6467" w:rsidRDefault="007437D2" w:rsidP="007437D2">
            <w:pPr>
              <w:rPr>
                <w:rFonts w:cs="Arial"/>
              </w:rPr>
            </w:pPr>
            <w:r w:rsidRPr="004E6467">
              <w:rPr>
                <w:rFonts w:cs="Arial"/>
              </w:rPr>
              <w:t>. 15 (8)</w:t>
            </w:r>
          </w:p>
        </w:tc>
        <w:tc>
          <w:tcPr>
            <w:tcW w:w="1875" w:type="dxa"/>
          </w:tcPr>
          <w:p w14:paraId="1F4D577F" w14:textId="4653CBD0" w:rsidR="007437D2" w:rsidRPr="004E6467" w:rsidRDefault="007437D2" w:rsidP="007437D2">
            <w:pPr>
              <w:rPr>
                <w:rFonts w:cs="Arial"/>
              </w:rPr>
            </w:pPr>
            <w:r w:rsidRPr="004E6467">
              <w:rPr>
                <w:rFonts w:cs="Arial"/>
              </w:rPr>
              <w:t>25 (13)</w:t>
            </w:r>
          </w:p>
        </w:tc>
        <w:tc>
          <w:tcPr>
            <w:tcW w:w="1878" w:type="dxa"/>
          </w:tcPr>
          <w:p w14:paraId="752276FB" w14:textId="17BEB891" w:rsidR="007437D2" w:rsidRPr="004E6467" w:rsidRDefault="007437D2" w:rsidP="007437D2">
            <w:pPr>
              <w:rPr>
                <w:rFonts w:cs="Arial"/>
              </w:rPr>
            </w:pPr>
            <w:r w:rsidRPr="004E6467">
              <w:rPr>
                <w:rFonts w:cs="Arial"/>
              </w:rPr>
              <w:t>57 (29)</w:t>
            </w:r>
          </w:p>
        </w:tc>
        <w:tc>
          <w:tcPr>
            <w:tcW w:w="1873" w:type="dxa"/>
          </w:tcPr>
          <w:p w14:paraId="463B5ED7" w14:textId="0ABB4987" w:rsidR="007437D2" w:rsidRPr="004E6467" w:rsidRDefault="007437D2" w:rsidP="007437D2">
            <w:pPr>
              <w:rPr>
                <w:rFonts w:cs="Arial"/>
              </w:rPr>
            </w:pPr>
            <w:r w:rsidRPr="004E6467">
              <w:rPr>
                <w:rFonts w:cs="Arial"/>
              </w:rPr>
              <w:t>57 (29)</w:t>
            </w:r>
          </w:p>
        </w:tc>
      </w:tr>
      <w:tr w:rsidR="007437D2" w:rsidRPr="004E6467" w14:paraId="2E0B6086" w14:textId="77777777" w:rsidTr="007437D2">
        <w:tc>
          <w:tcPr>
            <w:tcW w:w="2072" w:type="dxa"/>
          </w:tcPr>
          <w:p w14:paraId="43B7AC01" w14:textId="4E007205" w:rsidR="007437D2" w:rsidRPr="004E6467" w:rsidRDefault="007437D2" w:rsidP="007437D2">
            <w:pPr>
              <w:rPr>
                <w:rFonts w:cs="Arial"/>
              </w:rPr>
            </w:pPr>
            <w:r w:rsidRPr="004E6467">
              <w:rPr>
                <w:rFonts w:cs="Arial"/>
              </w:rPr>
              <w:t>Нелабораторни находки</w:t>
            </w:r>
          </w:p>
        </w:tc>
        <w:tc>
          <w:tcPr>
            <w:tcW w:w="1878" w:type="dxa"/>
          </w:tcPr>
          <w:p w14:paraId="784E7335" w14:textId="77777777" w:rsidR="007437D2" w:rsidRPr="004E6467" w:rsidRDefault="007437D2" w:rsidP="007437D2">
            <w:pPr>
              <w:rPr>
                <w:rFonts w:cs="Arial"/>
              </w:rPr>
            </w:pPr>
          </w:p>
        </w:tc>
        <w:tc>
          <w:tcPr>
            <w:tcW w:w="1875" w:type="dxa"/>
          </w:tcPr>
          <w:p w14:paraId="74A6B814" w14:textId="77777777" w:rsidR="007437D2" w:rsidRPr="004E6467" w:rsidRDefault="007437D2" w:rsidP="007437D2">
            <w:pPr>
              <w:rPr>
                <w:rFonts w:cs="Arial"/>
              </w:rPr>
            </w:pPr>
          </w:p>
        </w:tc>
        <w:tc>
          <w:tcPr>
            <w:tcW w:w="1878" w:type="dxa"/>
          </w:tcPr>
          <w:p w14:paraId="3AF0D2F9" w14:textId="77777777" w:rsidR="007437D2" w:rsidRPr="004E6467" w:rsidRDefault="007437D2" w:rsidP="007437D2">
            <w:pPr>
              <w:rPr>
                <w:rFonts w:cs="Arial"/>
              </w:rPr>
            </w:pPr>
          </w:p>
        </w:tc>
        <w:tc>
          <w:tcPr>
            <w:tcW w:w="1873" w:type="dxa"/>
          </w:tcPr>
          <w:p w14:paraId="43DA701A" w14:textId="77777777" w:rsidR="007437D2" w:rsidRPr="004E6467" w:rsidRDefault="007437D2" w:rsidP="007437D2">
            <w:pPr>
              <w:rPr>
                <w:rFonts w:cs="Arial"/>
              </w:rPr>
            </w:pPr>
          </w:p>
        </w:tc>
      </w:tr>
      <w:tr w:rsidR="007437D2" w:rsidRPr="004E6467" w14:paraId="3B5157F2" w14:textId="77777777" w:rsidTr="007437D2">
        <w:tc>
          <w:tcPr>
            <w:tcW w:w="2072" w:type="dxa"/>
          </w:tcPr>
          <w:p w14:paraId="0582CEAC" w14:textId="02230994" w:rsidR="007437D2" w:rsidRPr="004E6467" w:rsidRDefault="007437D2" w:rsidP="007437D2">
            <w:pPr>
              <w:rPr>
                <w:rFonts w:cs="Arial"/>
              </w:rPr>
            </w:pPr>
            <w:r w:rsidRPr="004E6467">
              <w:rPr>
                <w:rFonts w:cs="Arial"/>
              </w:rPr>
              <w:t>Гадене и повръщане</w:t>
            </w:r>
          </w:p>
        </w:tc>
        <w:tc>
          <w:tcPr>
            <w:tcW w:w="1878" w:type="dxa"/>
          </w:tcPr>
          <w:p w14:paraId="063F55BC" w14:textId="15332B7D" w:rsidR="007437D2" w:rsidRPr="004E6467" w:rsidRDefault="007437D2" w:rsidP="007437D2">
            <w:pPr>
              <w:rPr>
                <w:rFonts w:cs="Arial"/>
              </w:rPr>
            </w:pPr>
            <w:r w:rsidRPr="004E6467">
              <w:rPr>
                <w:rFonts w:cs="Arial"/>
              </w:rPr>
              <w:t>37 (19)</w:t>
            </w:r>
          </w:p>
        </w:tc>
        <w:tc>
          <w:tcPr>
            <w:tcW w:w="1875" w:type="dxa"/>
          </w:tcPr>
          <w:p w14:paraId="46C8B815" w14:textId="67182125" w:rsidR="007437D2" w:rsidRPr="004E6467" w:rsidRDefault="007437D2" w:rsidP="007437D2">
            <w:pPr>
              <w:rPr>
                <w:rFonts w:cs="Arial"/>
              </w:rPr>
            </w:pPr>
            <w:r w:rsidRPr="004E6467">
              <w:rPr>
                <w:rFonts w:cs="Arial"/>
              </w:rPr>
              <w:t>3(2)</w:t>
            </w:r>
          </w:p>
        </w:tc>
        <w:tc>
          <w:tcPr>
            <w:tcW w:w="1878" w:type="dxa"/>
          </w:tcPr>
          <w:p w14:paraId="1D4ACC9B" w14:textId="23BC64E8" w:rsidR="007437D2" w:rsidRPr="004E6467" w:rsidRDefault="007437D2" w:rsidP="007437D2">
            <w:pPr>
              <w:rPr>
                <w:rFonts w:cs="Arial"/>
              </w:rPr>
            </w:pPr>
            <w:r w:rsidRPr="004E6467">
              <w:rPr>
                <w:rFonts w:cs="Arial"/>
              </w:rPr>
              <w:t>44(22)</w:t>
            </w:r>
          </w:p>
        </w:tc>
        <w:tc>
          <w:tcPr>
            <w:tcW w:w="1873" w:type="dxa"/>
          </w:tcPr>
          <w:p w14:paraId="59981B04" w14:textId="0D77D14E" w:rsidR="007437D2" w:rsidRPr="004E6467" w:rsidRDefault="007437D2" w:rsidP="007437D2">
            <w:pPr>
              <w:rPr>
                <w:rFonts w:cs="Arial"/>
              </w:rPr>
            </w:pPr>
            <w:r w:rsidRPr="004E6467">
              <w:rPr>
                <w:rFonts w:cs="Arial"/>
              </w:rPr>
              <w:t>0(0)</w:t>
            </w:r>
          </w:p>
        </w:tc>
      </w:tr>
      <w:tr w:rsidR="007437D2" w:rsidRPr="004E6467" w14:paraId="24035E36" w14:textId="77777777" w:rsidTr="007437D2">
        <w:tc>
          <w:tcPr>
            <w:tcW w:w="2072" w:type="dxa"/>
          </w:tcPr>
          <w:p w14:paraId="3AA7C38B" w14:textId="48A55994" w:rsidR="007437D2" w:rsidRPr="004E6467" w:rsidRDefault="007437D2" w:rsidP="007437D2">
            <w:pPr>
              <w:rPr>
                <w:rFonts w:cs="Arial"/>
              </w:rPr>
            </w:pPr>
            <w:r w:rsidRPr="004E6467">
              <w:rPr>
                <w:rFonts w:cs="Arial"/>
              </w:rPr>
              <w:t>Диария</w:t>
            </w:r>
          </w:p>
        </w:tc>
        <w:tc>
          <w:tcPr>
            <w:tcW w:w="1878" w:type="dxa"/>
          </w:tcPr>
          <w:p w14:paraId="51058329" w14:textId="0A6A5E1B" w:rsidR="007437D2" w:rsidRPr="004E6467" w:rsidRDefault="007437D2" w:rsidP="007437D2">
            <w:pPr>
              <w:rPr>
                <w:rFonts w:cs="Arial"/>
              </w:rPr>
            </w:pPr>
            <w:r w:rsidRPr="004E6467">
              <w:rPr>
                <w:rFonts w:cs="Arial"/>
              </w:rPr>
              <w:t xml:space="preserve">15 </w:t>
            </w:r>
            <w:r w:rsidRPr="004E6467">
              <w:rPr>
                <w:rFonts w:cs="Arial"/>
                <w:lang w:val="en-US"/>
              </w:rPr>
              <w:t>(8)</w:t>
            </w:r>
          </w:p>
        </w:tc>
        <w:tc>
          <w:tcPr>
            <w:tcW w:w="1875" w:type="dxa"/>
          </w:tcPr>
          <w:p w14:paraId="5B85A9AA" w14:textId="2DA8F565" w:rsidR="007437D2" w:rsidRPr="004E6467" w:rsidRDefault="007437D2" w:rsidP="007437D2">
            <w:pPr>
              <w:rPr>
                <w:rFonts w:cs="Arial"/>
              </w:rPr>
            </w:pPr>
            <w:r w:rsidRPr="004E6467">
              <w:rPr>
                <w:rFonts w:cs="Arial"/>
              </w:rPr>
              <w:t>10)</w:t>
            </w:r>
          </w:p>
        </w:tc>
        <w:tc>
          <w:tcPr>
            <w:tcW w:w="1878" w:type="dxa"/>
          </w:tcPr>
          <w:p w14:paraId="31CABC92" w14:textId="45DAF763" w:rsidR="007437D2" w:rsidRPr="004E6467" w:rsidRDefault="007437D2" w:rsidP="007437D2">
            <w:pPr>
              <w:rPr>
                <w:rFonts w:cs="Arial"/>
              </w:rPr>
            </w:pPr>
            <w:r w:rsidRPr="004E6467">
              <w:rPr>
                <w:rFonts w:cs="Arial"/>
              </w:rPr>
              <w:t>6 (3)</w:t>
            </w:r>
            <w:r w:rsidRPr="004E6467">
              <w:rPr>
                <w:rFonts w:cs="Arial"/>
              </w:rPr>
              <w:tab/>
              <w:t>.</w:t>
            </w:r>
          </w:p>
        </w:tc>
        <w:tc>
          <w:tcPr>
            <w:tcW w:w="1873" w:type="dxa"/>
          </w:tcPr>
          <w:p w14:paraId="49B0F066" w14:textId="5E4752C1" w:rsidR="007437D2" w:rsidRPr="004E6467" w:rsidRDefault="007437D2" w:rsidP="007437D2">
            <w:pPr>
              <w:rPr>
                <w:rFonts w:cs="Arial"/>
              </w:rPr>
            </w:pPr>
            <w:r w:rsidRPr="004E6467">
              <w:rPr>
                <w:rFonts w:cs="Arial"/>
              </w:rPr>
              <w:t xml:space="preserve">0 (0) </w:t>
            </w:r>
          </w:p>
        </w:tc>
      </w:tr>
      <w:tr w:rsidR="007437D2" w:rsidRPr="004E6467" w14:paraId="77FCF1D2" w14:textId="77777777" w:rsidTr="007437D2">
        <w:tc>
          <w:tcPr>
            <w:tcW w:w="2072" w:type="dxa"/>
          </w:tcPr>
          <w:p w14:paraId="3041F956" w14:textId="59DD199F" w:rsidR="007437D2" w:rsidRPr="004E6467" w:rsidRDefault="007437D2" w:rsidP="007437D2">
            <w:pPr>
              <w:rPr>
                <w:rFonts w:cs="Arial"/>
              </w:rPr>
            </w:pPr>
            <w:r w:rsidRPr="004E6467">
              <w:rPr>
                <w:rFonts w:cs="Arial"/>
              </w:rPr>
              <w:t>Инфекция</w:t>
            </w:r>
          </w:p>
        </w:tc>
        <w:tc>
          <w:tcPr>
            <w:tcW w:w="1878" w:type="dxa"/>
          </w:tcPr>
          <w:p w14:paraId="6E07292A" w14:textId="122CBEB5" w:rsidR="007437D2" w:rsidRPr="004E6467" w:rsidRDefault="007437D2" w:rsidP="007437D2">
            <w:pPr>
              <w:rPr>
                <w:rFonts w:cs="Arial"/>
              </w:rPr>
            </w:pPr>
            <w:r w:rsidRPr="004E6467">
              <w:rPr>
                <w:rFonts w:cs="Arial"/>
              </w:rPr>
              <w:t>19(10)</w:t>
            </w:r>
          </w:p>
        </w:tc>
        <w:tc>
          <w:tcPr>
            <w:tcW w:w="1875" w:type="dxa"/>
          </w:tcPr>
          <w:p w14:paraId="23C310B1" w14:textId="599CE657" w:rsidR="007437D2" w:rsidRPr="004E6467" w:rsidRDefault="007437D2" w:rsidP="007437D2">
            <w:pPr>
              <w:rPr>
                <w:rFonts w:cs="Arial"/>
              </w:rPr>
            </w:pPr>
            <w:r w:rsidRPr="004E6467">
              <w:rPr>
                <w:rFonts w:cs="Arial"/>
              </w:rPr>
              <w:t>10(5)</w:t>
            </w:r>
          </w:p>
        </w:tc>
        <w:tc>
          <w:tcPr>
            <w:tcW w:w="1878" w:type="dxa"/>
          </w:tcPr>
          <w:p w14:paraId="0D642774" w14:textId="733D8778" w:rsidR="007437D2" w:rsidRPr="004E6467" w:rsidRDefault="007437D2" w:rsidP="007437D2">
            <w:pPr>
              <w:rPr>
                <w:rFonts w:cs="Arial"/>
              </w:rPr>
            </w:pPr>
            <w:r w:rsidRPr="004E6467">
              <w:rPr>
                <w:rFonts w:cs="Arial"/>
              </w:rPr>
              <w:t>4</w:t>
            </w:r>
            <w:r w:rsidRPr="004E6467">
              <w:rPr>
                <w:rFonts w:cs="Arial"/>
                <w:lang w:val="en-US"/>
              </w:rPr>
              <w:t xml:space="preserve"> (</w:t>
            </w:r>
            <w:r w:rsidRPr="004E6467">
              <w:rPr>
                <w:rFonts w:cs="Arial"/>
              </w:rPr>
              <w:t>2)</w:t>
            </w:r>
          </w:p>
        </w:tc>
        <w:tc>
          <w:tcPr>
            <w:tcW w:w="1873" w:type="dxa"/>
          </w:tcPr>
          <w:p w14:paraId="564A35C0" w14:textId="1A830E11" w:rsidR="007437D2" w:rsidRPr="004E6467" w:rsidRDefault="007437D2" w:rsidP="007437D2">
            <w:pPr>
              <w:rPr>
                <w:rFonts w:cs="Arial"/>
              </w:rPr>
            </w:pPr>
            <w:r w:rsidRPr="004E6467">
              <w:rPr>
                <w:rFonts w:cs="Arial"/>
                <w:lang w:val="en-US"/>
              </w:rPr>
              <w:t>1 (1)</w:t>
            </w:r>
          </w:p>
        </w:tc>
      </w:tr>
      <w:tr w:rsidR="007437D2" w:rsidRPr="004E6467" w14:paraId="71174A84" w14:textId="77777777" w:rsidTr="007437D2">
        <w:tc>
          <w:tcPr>
            <w:tcW w:w="2072" w:type="dxa"/>
          </w:tcPr>
          <w:p w14:paraId="3DD5F4C8" w14:textId="30BF653D" w:rsidR="007437D2" w:rsidRPr="004E6467" w:rsidRDefault="007437D2" w:rsidP="007437D2">
            <w:pPr>
              <w:rPr>
                <w:rFonts w:cs="Arial"/>
              </w:rPr>
            </w:pPr>
            <w:r w:rsidRPr="004E6467">
              <w:rPr>
                <w:rFonts w:cs="Arial"/>
              </w:rPr>
              <w:t>Стоматит</w:t>
            </w:r>
          </w:p>
        </w:tc>
        <w:tc>
          <w:tcPr>
            <w:tcW w:w="1878" w:type="dxa"/>
          </w:tcPr>
          <w:p w14:paraId="541C8149" w14:textId="399B9E71" w:rsidR="007437D2" w:rsidRPr="004E6467" w:rsidRDefault="007437D2" w:rsidP="007437D2">
            <w:pPr>
              <w:rPr>
                <w:rFonts w:cs="Arial"/>
              </w:rPr>
            </w:pPr>
            <w:r w:rsidRPr="004E6467">
              <w:rPr>
                <w:rFonts w:cs="Arial"/>
              </w:rPr>
              <w:t>34(18)</w:t>
            </w:r>
          </w:p>
        </w:tc>
        <w:tc>
          <w:tcPr>
            <w:tcW w:w="1875" w:type="dxa"/>
          </w:tcPr>
          <w:p w14:paraId="6498A52F" w14:textId="221A2141" w:rsidR="007437D2" w:rsidRPr="004E6467" w:rsidRDefault="007437D2" w:rsidP="007437D2">
            <w:pPr>
              <w:rPr>
                <w:rFonts w:cs="Arial"/>
              </w:rPr>
            </w:pPr>
            <w:r w:rsidRPr="004E6467">
              <w:rPr>
                <w:rFonts w:cs="Arial"/>
              </w:rPr>
              <w:t>8(4)</w:t>
            </w:r>
          </w:p>
        </w:tc>
        <w:tc>
          <w:tcPr>
            <w:tcW w:w="1878" w:type="dxa"/>
          </w:tcPr>
          <w:p w14:paraId="4F05E9D8" w14:textId="5F7A8A09" w:rsidR="007437D2" w:rsidRPr="004E6467" w:rsidRDefault="007437D2" w:rsidP="007437D2">
            <w:pPr>
              <w:rPr>
                <w:rFonts w:cs="Arial"/>
              </w:rPr>
            </w:pPr>
            <w:r w:rsidRPr="004E6467">
              <w:rPr>
                <w:rFonts w:cs="Arial"/>
              </w:rPr>
              <w:t>2(1)</w:t>
            </w:r>
          </w:p>
        </w:tc>
        <w:tc>
          <w:tcPr>
            <w:tcW w:w="1873" w:type="dxa"/>
          </w:tcPr>
          <w:p w14:paraId="30E8E148" w14:textId="7B0E69C9" w:rsidR="007437D2" w:rsidRPr="004E6467" w:rsidRDefault="007437D2" w:rsidP="007437D2">
            <w:pPr>
              <w:rPr>
                <w:rFonts w:cs="Arial"/>
              </w:rPr>
            </w:pPr>
            <w:r w:rsidRPr="004E6467">
              <w:rPr>
                <w:rFonts w:cs="Arial"/>
                <w:lang w:val="en-US"/>
              </w:rPr>
              <w:t>0 (0)</w:t>
            </w:r>
          </w:p>
        </w:tc>
      </w:tr>
    </w:tbl>
    <w:p w14:paraId="32EED13E" w14:textId="4B63FC60" w:rsidR="007437D2" w:rsidRPr="004E6467" w:rsidRDefault="007437D2" w:rsidP="0091385D">
      <w:pPr>
        <w:rPr>
          <w:rFonts w:cs="Arial"/>
        </w:rPr>
      </w:pPr>
    </w:p>
    <w:p w14:paraId="79D71595" w14:textId="41998B2D" w:rsidR="007437D2" w:rsidRPr="004E6467" w:rsidRDefault="004E6467" w:rsidP="0091385D">
      <w:pPr>
        <w:rPr>
          <w:rFonts w:cs="Arial"/>
        </w:rPr>
      </w:pPr>
      <w:r w:rsidRPr="004E6467">
        <w:rPr>
          <w:rFonts w:cs="Arial"/>
          <w:i/>
          <w:iCs/>
          <w:u w:val="single"/>
        </w:rPr>
        <w:t>Комбинирана употреба при карцином на яйчника</w:t>
      </w:r>
    </w:p>
    <w:p w14:paraId="47D9C8C0" w14:textId="3A7D237A" w:rsidR="004E6467" w:rsidRPr="004E6467" w:rsidRDefault="004E6467" w:rsidP="0091385D">
      <w:pPr>
        <w:rPr>
          <w:rFonts w:cs="Arial"/>
        </w:rPr>
      </w:pPr>
    </w:p>
    <w:tbl>
      <w:tblPr>
        <w:tblStyle w:val="TableGrid"/>
        <w:tblW w:w="0" w:type="auto"/>
        <w:tblLook w:val="04A0" w:firstRow="1" w:lastRow="0" w:firstColumn="1" w:lastColumn="0" w:noHBand="0" w:noVBand="1"/>
      </w:tblPr>
      <w:tblGrid>
        <w:gridCol w:w="2072"/>
        <w:gridCol w:w="1879"/>
        <w:gridCol w:w="1875"/>
        <w:gridCol w:w="1875"/>
        <w:gridCol w:w="1875"/>
      </w:tblGrid>
      <w:tr w:rsidR="004E6467" w:rsidRPr="004E6467" w14:paraId="1F9B89B8" w14:textId="77777777" w:rsidTr="00C93C0F">
        <w:tc>
          <w:tcPr>
            <w:tcW w:w="9576" w:type="dxa"/>
            <w:gridSpan w:val="5"/>
          </w:tcPr>
          <w:p w14:paraId="2103D958" w14:textId="2C2CB337" w:rsidR="004E6467" w:rsidRPr="004E6467" w:rsidRDefault="004E6467" w:rsidP="004E6467">
            <w:pPr>
              <w:jc w:val="center"/>
              <w:rPr>
                <w:rFonts w:cs="Arial"/>
                <w:b/>
                <w:bCs/>
              </w:rPr>
            </w:pPr>
            <w:r w:rsidRPr="004E6467">
              <w:rPr>
                <w:rFonts w:cs="Arial"/>
                <w:b/>
                <w:bCs/>
              </w:rPr>
              <w:t>Степен 3 и 4 нежелани събития</w:t>
            </w:r>
          </w:p>
          <w:p w14:paraId="384A90A3" w14:textId="01AEDBA3" w:rsidR="004E6467" w:rsidRPr="004E6467" w:rsidRDefault="004E6467" w:rsidP="004E6467">
            <w:pPr>
              <w:jc w:val="center"/>
              <w:rPr>
                <w:rFonts w:cs="Arial"/>
                <w:b/>
                <w:bCs/>
              </w:rPr>
            </w:pPr>
            <w:r w:rsidRPr="004E6467">
              <w:rPr>
                <w:rFonts w:cs="Arial"/>
                <w:b/>
                <w:bCs/>
              </w:rPr>
              <w:t>Карбоплатин</w:t>
            </w:r>
            <w:r w:rsidRPr="004E6467">
              <w:rPr>
                <w:rFonts w:cs="Arial"/>
                <w:b/>
                <w:bCs/>
                <w:lang w:val="en-US"/>
              </w:rPr>
              <w:t xml:space="preserve"> </w:t>
            </w:r>
            <w:r w:rsidRPr="004E6467">
              <w:rPr>
                <w:rFonts w:cs="Arial"/>
                <w:b/>
                <w:bCs/>
              </w:rPr>
              <w:t>спрямо гемцитабин плюс карбоплатин</w:t>
            </w:r>
          </w:p>
        </w:tc>
      </w:tr>
      <w:tr w:rsidR="004E6467" w:rsidRPr="004E6467" w14:paraId="3A988D1F" w14:textId="77777777" w:rsidTr="000F1FB0">
        <w:tc>
          <w:tcPr>
            <w:tcW w:w="2072" w:type="dxa"/>
          </w:tcPr>
          <w:p w14:paraId="2CFF1CC7" w14:textId="77777777" w:rsidR="004E6467" w:rsidRPr="004E6467" w:rsidRDefault="004E6467" w:rsidP="0091385D">
            <w:pPr>
              <w:rPr>
                <w:rFonts w:cs="Arial"/>
              </w:rPr>
            </w:pPr>
          </w:p>
        </w:tc>
        <w:tc>
          <w:tcPr>
            <w:tcW w:w="7504" w:type="dxa"/>
            <w:gridSpan w:val="4"/>
          </w:tcPr>
          <w:p w14:paraId="45BE8F9E" w14:textId="52568919" w:rsidR="004E6467" w:rsidRPr="004E6467" w:rsidRDefault="004E6467" w:rsidP="004E6467">
            <w:pPr>
              <w:jc w:val="center"/>
              <w:rPr>
                <w:rFonts w:cs="Arial"/>
              </w:rPr>
            </w:pPr>
            <w:r w:rsidRPr="004E6467">
              <w:rPr>
                <w:rFonts w:cs="Arial"/>
              </w:rPr>
              <w:t>Брой (%) пациенти</w:t>
            </w:r>
          </w:p>
        </w:tc>
      </w:tr>
      <w:tr w:rsidR="004E6467" w:rsidRPr="004E6467" w14:paraId="0E298F13" w14:textId="77777777" w:rsidTr="00626F72">
        <w:tc>
          <w:tcPr>
            <w:tcW w:w="2072" w:type="dxa"/>
          </w:tcPr>
          <w:p w14:paraId="096AA73F" w14:textId="77777777" w:rsidR="004E6467" w:rsidRPr="004E6467" w:rsidRDefault="004E6467" w:rsidP="004E6467">
            <w:pPr>
              <w:rPr>
                <w:rFonts w:cs="Arial"/>
              </w:rPr>
            </w:pPr>
          </w:p>
        </w:tc>
        <w:tc>
          <w:tcPr>
            <w:tcW w:w="3754" w:type="dxa"/>
            <w:gridSpan w:val="2"/>
            <w:vAlign w:val="bottom"/>
          </w:tcPr>
          <w:p w14:paraId="0745DB6F" w14:textId="77777777" w:rsidR="004E6467" w:rsidRPr="004E6467" w:rsidRDefault="004E6467" w:rsidP="004E6467">
            <w:pPr>
              <w:rPr>
                <w:rFonts w:cs="Arial"/>
              </w:rPr>
            </w:pPr>
            <w:r w:rsidRPr="004E6467">
              <w:rPr>
                <w:rFonts w:cs="Arial"/>
              </w:rPr>
              <w:t xml:space="preserve">Рамо на карбоплатин </w:t>
            </w:r>
          </w:p>
          <w:p w14:paraId="760D39E3" w14:textId="13E9B15C" w:rsidR="004E6467" w:rsidRPr="004E6467" w:rsidRDefault="004E6467" w:rsidP="004E6467">
            <w:pPr>
              <w:rPr>
                <w:rFonts w:cs="Arial"/>
              </w:rPr>
            </w:pPr>
            <w:r w:rsidRPr="004E6467">
              <w:rPr>
                <w:rFonts w:cs="Arial"/>
                <w:lang w:val="en-US"/>
              </w:rPr>
              <w:t>(N=174)</w:t>
            </w:r>
          </w:p>
        </w:tc>
        <w:tc>
          <w:tcPr>
            <w:tcW w:w="3750" w:type="dxa"/>
            <w:gridSpan w:val="2"/>
            <w:vAlign w:val="bottom"/>
          </w:tcPr>
          <w:p w14:paraId="7EA5AADF" w14:textId="77777777" w:rsidR="004E6467" w:rsidRPr="004E6467" w:rsidRDefault="004E6467" w:rsidP="004E6467">
            <w:pPr>
              <w:rPr>
                <w:rFonts w:cs="Arial"/>
              </w:rPr>
            </w:pPr>
            <w:r w:rsidRPr="004E6467">
              <w:rPr>
                <w:rFonts w:cs="Arial"/>
              </w:rPr>
              <w:t xml:space="preserve">Рамо на гемцитабин плюс карбоплатин </w:t>
            </w:r>
          </w:p>
          <w:p w14:paraId="6D69C7F9" w14:textId="1DFFEFF7" w:rsidR="004E6467" w:rsidRPr="004E6467" w:rsidRDefault="004E6467" w:rsidP="004E6467">
            <w:pPr>
              <w:rPr>
                <w:rFonts w:cs="Arial"/>
              </w:rPr>
            </w:pPr>
            <w:r w:rsidRPr="004E6467">
              <w:rPr>
                <w:rFonts w:cs="Arial"/>
              </w:rPr>
              <w:t>(</w:t>
            </w:r>
            <w:r w:rsidRPr="004E6467">
              <w:rPr>
                <w:rFonts w:cs="Arial"/>
                <w:lang w:val="en-US"/>
              </w:rPr>
              <w:t>N</w:t>
            </w:r>
            <w:r w:rsidRPr="004E6467">
              <w:rPr>
                <w:rFonts w:cs="Arial"/>
              </w:rPr>
              <w:t>=175)</w:t>
            </w:r>
          </w:p>
        </w:tc>
      </w:tr>
      <w:tr w:rsidR="004E6467" w:rsidRPr="004E6467" w14:paraId="708A551C" w14:textId="77777777" w:rsidTr="0079380B">
        <w:tc>
          <w:tcPr>
            <w:tcW w:w="2072" w:type="dxa"/>
          </w:tcPr>
          <w:p w14:paraId="6B6289DE" w14:textId="77777777" w:rsidR="004E6467" w:rsidRPr="004E6467" w:rsidRDefault="004E6467" w:rsidP="004E6467">
            <w:pPr>
              <w:rPr>
                <w:rFonts w:cs="Arial"/>
              </w:rPr>
            </w:pPr>
          </w:p>
        </w:tc>
        <w:tc>
          <w:tcPr>
            <w:tcW w:w="1879" w:type="dxa"/>
            <w:vAlign w:val="bottom"/>
          </w:tcPr>
          <w:p w14:paraId="3E4FEBCE" w14:textId="4D25EDE3" w:rsidR="004E6467" w:rsidRPr="004E6467" w:rsidRDefault="004E6467" w:rsidP="004E6467">
            <w:pPr>
              <w:rPr>
                <w:rFonts w:cs="Arial"/>
              </w:rPr>
            </w:pPr>
            <w:r w:rsidRPr="004E6467">
              <w:rPr>
                <w:rFonts w:cs="Arial"/>
              </w:rPr>
              <w:t>Степен 3</w:t>
            </w:r>
          </w:p>
        </w:tc>
        <w:tc>
          <w:tcPr>
            <w:tcW w:w="1875" w:type="dxa"/>
            <w:vAlign w:val="bottom"/>
          </w:tcPr>
          <w:p w14:paraId="1B1615E1" w14:textId="432408D6" w:rsidR="004E6467" w:rsidRPr="004E6467" w:rsidRDefault="004E6467" w:rsidP="004E6467">
            <w:pPr>
              <w:rPr>
                <w:rFonts w:cs="Arial"/>
              </w:rPr>
            </w:pPr>
            <w:r w:rsidRPr="004E6467">
              <w:rPr>
                <w:rFonts w:cs="Arial"/>
              </w:rPr>
              <w:t>Степен 4</w:t>
            </w:r>
          </w:p>
        </w:tc>
        <w:tc>
          <w:tcPr>
            <w:tcW w:w="1875" w:type="dxa"/>
            <w:vAlign w:val="bottom"/>
          </w:tcPr>
          <w:p w14:paraId="39521CA0" w14:textId="5873DEBF" w:rsidR="004E6467" w:rsidRPr="004E6467" w:rsidRDefault="004E6467" w:rsidP="004E6467">
            <w:pPr>
              <w:rPr>
                <w:rFonts w:cs="Arial"/>
              </w:rPr>
            </w:pPr>
            <w:r w:rsidRPr="004E6467">
              <w:rPr>
                <w:rFonts w:cs="Arial"/>
              </w:rPr>
              <w:t>Степен 3</w:t>
            </w:r>
          </w:p>
        </w:tc>
        <w:tc>
          <w:tcPr>
            <w:tcW w:w="1875" w:type="dxa"/>
            <w:vAlign w:val="bottom"/>
          </w:tcPr>
          <w:p w14:paraId="1E20EF55" w14:textId="70351987" w:rsidR="004E6467" w:rsidRPr="004E6467" w:rsidRDefault="004E6467" w:rsidP="004E6467">
            <w:pPr>
              <w:rPr>
                <w:rFonts w:cs="Arial"/>
              </w:rPr>
            </w:pPr>
            <w:r w:rsidRPr="004E6467">
              <w:rPr>
                <w:rFonts w:cs="Arial"/>
              </w:rPr>
              <w:t>Степен 4</w:t>
            </w:r>
          </w:p>
        </w:tc>
      </w:tr>
      <w:tr w:rsidR="004E6467" w:rsidRPr="004E6467" w14:paraId="7B2B481B" w14:textId="77777777" w:rsidTr="004E6467">
        <w:tc>
          <w:tcPr>
            <w:tcW w:w="2072" w:type="dxa"/>
            <w:vAlign w:val="bottom"/>
          </w:tcPr>
          <w:p w14:paraId="05F00D16" w14:textId="367A5282" w:rsidR="004E6467" w:rsidRPr="004E6467" w:rsidRDefault="004E6467" w:rsidP="004E6467">
            <w:pPr>
              <w:rPr>
                <w:rFonts w:cs="Arial"/>
              </w:rPr>
            </w:pPr>
            <w:r w:rsidRPr="004E6467">
              <w:rPr>
                <w:rFonts w:cs="Arial"/>
              </w:rPr>
              <w:lastRenderedPageBreak/>
              <w:t>Лабораторни находки</w:t>
            </w:r>
          </w:p>
        </w:tc>
        <w:tc>
          <w:tcPr>
            <w:tcW w:w="1879" w:type="dxa"/>
          </w:tcPr>
          <w:p w14:paraId="6532A67C" w14:textId="77777777" w:rsidR="004E6467" w:rsidRPr="004E6467" w:rsidRDefault="004E6467" w:rsidP="004E6467">
            <w:pPr>
              <w:rPr>
                <w:rFonts w:cs="Arial"/>
              </w:rPr>
            </w:pPr>
          </w:p>
        </w:tc>
        <w:tc>
          <w:tcPr>
            <w:tcW w:w="1875" w:type="dxa"/>
          </w:tcPr>
          <w:p w14:paraId="6329C44D" w14:textId="77777777" w:rsidR="004E6467" w:rsidRPr="004E6467" w:rsidRDefault="004E6467" w:rsidP="004E6467">
            <w:pPr>
              <w:rPr>
                <w:rFonts w:cs="Arial"/>
              </w:rPr>
            </w:pPr>
          </w:p>
        </w:tc>
        <w:tc>
          <w:tcPr>
            <w:tcW w:w="1875" w:type="dxa"/>
          </w:tcPr>
          <w:p w14:paraId="545CB555" w14:textId="77777777" w:rsidR="004E6467" w:rsidRPr="004E6467" w:rsidRDefault="004E6467" w:rsidP="004E6467">
            <w:pPr>
              <w:rPr>
                <w:rFonts w:cs="Arial"/>
              </w:rPr>
            </w:pPr>
          </w:p>
        </w:tc>
        <w:tc>
          <w:tcPr>
            <w:tcW w:w="1875" w:type="dxa"/>
          </w:tcPr>
          <w:p w14:paraId="03A56549" w14:textId="77777777" w:rsidR="004E6467" w:rsidRPr="004E6467" w:rsidRDefault="004E6467" w:rsidP="004E6467">
            <w:pPr>
              <w:rPr>
                <w:rFonts w:cs="Arial"/>
              </w:rPr>
            </w:pPr>
          </w:p>
        </w:tc>
      </w:tr>
      <w:tr w:rsidR="004E6467" w:rsidRPr="004E6467" w14:paraId="1FE91952" w14:textId="77777777" w:rsidTr="004E6467">
        <w:tc>
          <w:tcPr>
            <w:tcW w:w="2072" w:type="dxa"/>
            <w:vAlign w:val="bottom"/>
          </w:tcPr>
          <w:p w14:paraId="467A228D" w14:textId="0DBC1388" w:rsidR="004E6467" w:rsidRPr="004E6467" w:rsidRDefault="004E6467" w:rsidP="004E6467">
            <w:pPr>
              <w:rPr>
                <w:rFonts w:cs="Arial"/>
              </w:rPr>
            </w:pPr>
            <w:r w:rsidRPr="004E6467">
              <w:rPr>
                <w:rFonts w:cs="Arial"/>
              </w:rPr>
              <w:t>Анемия</w:t>
            </w:r>
          </w:p>
        </w:tc>
        <w:tc>
          <w:tcPr>
            <w:tcW w:w="1879" w:type="dxa"/>
            <w:vAlign w:val="bottom"/>
          </w:tcPr>
          <w:p w14:paraId="568C670B" w14:textId="0345F4C5" w:rsidR="004E6467" w:rsidRPr="004E6467" w:rsidRDefault="004E6467" w:rsidP="004E6467">
            <w:pPr>
              <w:rPr>
                <w:rFonts w:cs="Arial"/>
              </w:rPr>
            </w:pPr>
            <w:r w:rsidRPr="004E6467">
              <w:rPr>
                <w:rFonts w:cs="Arial"/>
              </w:rPr>
              <w:t>10(5,7)</w:t>
            </w:r>
          </w:p>
        </w:tc>
        <w:tc>
          <w:tcPr>
            <w:tcW w:w="1875" w:type="dxa"/>
            <w:vAlign w:val="bottom"/>
          </w:tcPr>
          <w:p w14:paraId="6359F972" w14:textId="2DCBCB10" w:rsidR="004E6467" w:rsidRPr="004E6467" w:rsidRDefault="004E6467" w:rsidP="004E6467">
            <w:pPr>
              <w:rPr>
                <w:rFonts w:cs="Arial"/>
              </w:rPr>
            </w:pPr>
            <w:r w:rsidRPr="004E6467">
              <w:rPr>
                <w:rFonts w:cs="Arial"/>
              </w:rPr>
              <w:t>4(2,3)</w:t>
            </w:r>
          </w:p>
        </w:tc>
        <w:tc>
          <w:tcPr>
            <w:tcW w:w="1875" w:type="dxa"/>
            <w:vAlign w:val="bottom"/>
          </w:tcPr>
          <w:p w14:paraId="0DC36C33" w14:textId="7E39DFB4" w:rsidR="004E6467" w:rsidRPr="004E6467" w:rsidRDefault="004E6467" w:rsidP="004E6467">
            <w:pPr>
              <w:rPr>
                <w:rFonts w:cs="Arial"/>
              </w:rPr>
            </w:pPr>
            <w:r w:rsidRPr="004E6467">
              <w:rPr>
                <w:rFonts w:cs="Arial"/>
              </w:rPr>
              <w:t>39 (22,3)</w:t>
            </w:r>
          </w:p>
        </w:tc>
        <w:tc>
          <w:tcPr>
            <w:tcW w:w="1875" w:type="dxa"/>
            <w:vAlign w:val="bottom"/>
          </w:tcPr>
          <w:p w14:paraId="1D1A9594" w14:textId="0D480AC2" w:rsidR="004E6467" w:rsidRPr="004E6467" w:rsidRDefault="004E6467" w:rsidP="004E6467">
            <w:pPr>
              <w:rPr>
                <w:rFonts w:cs="Arial"/>
              </w:rPr>
            </w:pPr>
            <w:r w:rsidRPr="004E6467">
              <w:rPr>
                <w:rFonts w:cs="Arial"/>
              </w:rPr>
              <w:t>9(5,1)</w:t>
            </w:r>
          </w:p>
        </w:tc>
      </w:tr>
      <w:tr w:rsidR="004E6467" w:rsidRPr="004E6467" w14:paraId="4293CFE0" w14:textId="77777777" w:rsidTr="004E6467">
        <w:tc>
          <w:tcPr>
            <w:tcW w:w="2072" w:type="dxa"/>
            <w:vAlign w:val="bottom"/>
          </w:tcPr>
          <w:p w14:paraId="4C7D2E5D" w14:textId="1FD16C73" w:rsidR="004E6467" w:rsidRPr="004E6467" w:rsidRDefault="004E6467" w:rsidP="004E6467">
            <w:pPr>
              <w:rPr>
                <w:rFonts w:cs="Arial"/>
              </w:rPr>
            </w:pPr>
            <w:r w:rsidRPr="004E6467">
              <w:rPr>
                <w:rFonts w:cs="Arial"/>
              </w:rPr>
              <w:t>Неутропения</w:t>
            </w:r>
          </w:p>
        </w:tc>
        <w:tc>
          <w:tcPr>
            <w:tcW w:w="1879" w:type="dxa"/>
            <w:vAlign w:val="bottom"/>
          </w:tcPr>
          <w:p w14:paraId="79687BE0" w14:textId="403A458E" w:rsidR="004E6467" w:rsidRPr="004E6467" w:rsidRDefault="004E6467" w:rsidP="004E6467">
            <w:pPr>
              <w:rPr>
                <w:rFonts w:cs="Arial"/>
              </w:rPr>
            </w:pPr>
            <w:r w:rsidRPr="004E6467">
              <w:rPr>
                <w:rFonts w:cs="Arial"/>
              </w:rPr>
              <w:t>19(10,9)</w:t>
            </w:r>
          </w:p>
        </w:tc>
        <w:tc>
          <w:tcPr>
            <w:tcW w:w="1875" w:type="dxa"/>
            <w:vAlign w:val="bottom"/>
          </w:tcPr>
          <w:p w14:paraId="38653544" w14:textId="168B20E5" w:rsidR="004E6467" w:rsidRPr="004E6467" w:rsidRDefault="004E6467" w:rsidP="004E6467">
            <w:pPr>
              <w:rPr>
                <w:rFonts w:cs="Arial"/>
              </w:rPr>
            </w:pPr>
            <w:r w:rsidRPr="004E6467">
              <w:rPr>
                <w:rFonts w:cs="Arial"/>
              </w:rPr>
              <w:t>2(1,1)</w:t>
            </w:r>
          </w:p>
        </w:tc>
        <w:tc>
          <w:tcPr>
            <w:tcW w:w="1875" w:type="dxa"/>
            <w:vAlign w:val="bottom"/>
          </w:tcPr>
          <w:p w14:paraId="1DB932F8" w14:textId="7279AF87" w:rsidR="004E6467" w:rsidRPr="004E6467" w:rsidRDefault="004E6467" w:rsidP="004E6467">
            <w:pPr>
              <w:rPr>
                <w:rFonts w:cs="Arial"/>
              </w:rPr>
            </w:pPr>
            <w:r w:rsidRPr="004E6467">
              <w:rPr>
                <w:rFonts w:cs="Arial"/>
              </w:rPr>
              <w:t>73 (41,7)</w:t>
            </w:r>
          </w:p>
        </w:tc>
        <w:tc>
          <w:tcPr>
            <w:tcW w:w="1875" w:type="dxa"/>
            <w:vAlign w:val="bottom"/>
          </w:tcPr>
          <w:p w14:paraId="64E50F96" w14:textId="414FD30A" w:rsidR="004E6467" w:rsidRPr="004E6467" w:rsidRDefault="004E6467" w:rsidP="004E6467">
            <w:pPr>
              <w:rPr>
                <w:rFonts w:cs="Arial"/>
              </w:rPr>
            </w:pPr>
            <w:r w:rsidRPr="004E6467">
              <w:rPr>
                <w:rFonts w:cs="Arial"/>
              </w:rPr>
              <w:t>50 (28,6)</w:t>
            </w:r>
          </w:p>
        </w:tc>
      </w:tr>
      <w:tr w:rsidR="004E6467" w:rsidRPr="004E6467" w14:paraId="589D2127" w14:textId="77777777" w:rsidTr="004E6467">
        <w:tc>
          <w:tcPr>
            <w:tcW w:w="2072" w:type="dxa"/>
            <w:vAlign w:val="bottom"/>
          </w:tcPr>
          <w:p w14:paraId="3B9A8ACF" w14:textId="2E60105C" w:rsidR="004E6467" w:rsidRPr="004E6467" w:rsidRDefault="004E6467" w:rsidP="004E6467">
            <w:pPr>
              <w:rPr>
                <w:rFonts w:cs="Arial"/>
              </w:rPr>
            </w:pPr>
            <w:r w:rsidRPr="004E6467">
              <w:rPr>
                <w:rFonts w:cs="Arial"/>
              </w:rPr>
              <w:t>Тромбоцитопения</w:t>
            </w:r>
          </w:p>
        </w:tc>
        <w:tc>
          <w:tcPr>
            <w:tcW w:w="1879" w:type="dxa"/>
            <w:vAlign w:val="bottom"/>
          </w:tcPr>
          <w:p w14:paraId="32CBF726" w14:textId="36605836" w:rsidR="004E6467" w:rsidRPr="004E6467" w:rsidRDefault="004E6467" w:rsidP="004E6467">
            <w:pPr>
              <w:rPr>
                <w:rFonts w:cs="Arial"/>
              </w:rPr>
            </w:pPr>
            <w:r w:rsidRPr="004E6467">
              <w:rPr>
                <w:rFonts w:cs="Arial"/>
              </w:rPr>
              <w:t>18(10,3)</w:t>
            </w:r>
          </w:p>
        </w:tc>
        <w:tc>
          <w:tcPr>
            <w:tcW w:w="1875" w:type="dxa"/>
            <w:vAlign w:val="bottom"/>
          </w:tcPr>
          <w:p w14:paraId="55D53F60" w14:textId="2924F1B3" w:rsidR="004E6467" w:rsidRPr="004E6467" w:rsidRDefault="004E6467" w:rsidP="004E6467">
            <w:pPr>
              <w:rPr>
                <w:rFonts w:cs="Arial"/>
              </w:rPr>
            </w:pPr>
            <w:r w:rsidRPr="004E6467">
              <w:rPr>
                <w:rFonts w:cs="Arial"/>
                <w:lang w:val="en-US"/>
              </w:rPr>
              <w:t xml:space="preserve">2(1,1) </w:t>
            </w:r>
          </w:p>
        </w:tc>
        <w:tc>
          <w:tcPr>
            <w:tcW w:w="1875" w:type="dxa"/>
            <w:vAlign w:val="bottom"/>
          </w:tcPr>
          <w:p w14:paraId="70ED2628" w14:textId="095930F4" w:rsidR="004E6467" w:rsidRPr="004E6467" w:rsidRDefault="004E6467" w:rsidP="004E6467">
            <w:pPr>
              <w:rPr>
                <w:rFonts w:cs="Arial"/>
              </w:rPr>
            </w:pPr>
            <w:r w:rsidRPr="004E6467">
              <w:rPr>
                <w:rFonts w:cs="Arial"/>
              </w:rPr>
              <w:t>53 (30,3)</w:t>
            </w:r>
          </w:p>
        </w:tc>
        <w:tc>
          <w:tcPr>
            <w:tcW w:w="1875" w:type="dxa"/>
            <w:vAlign w:val="bottom"/>
          </w:tcPr>
          <w:p w14:paraId="54DDB608" w14:textId="3DB7BAB6" w:rsidR="004E6467" w:rsidRPr="004E6467" w:rsidRDefault="004E6467" w:rsidP="004E6467">
            <w:pPr>
              <w:rPr>
                <w:rFonts w:cs="Arial"/>
              </w:rPr>
            </w:pPr>
            <w:r w:rsidRPr="004E6467">
              <w:rPr>
                <w:rFonts w:cs="Arial"/>
              </w:rPr>
              <w:t>8 (4,6)</w:t>
            </w:r>
          </w:p>
        </w:tc>
      </w:tr>
      <w:tr w:rsidR="004E6467" w:rsidRPr="004E6467" w14:paraId="64C25120" w14:textId="77777777" w:rsidTr="004E6467">
        <w:tc>
          <w:tcPr>
            <w:tcW w:w="2072" w:type="dxa"/>
            <w:vAlign w:val="bottom"/>
          </w:tcPr>
          <w:p w14:paraId="1F0DC39D" w14:textId="4C82A930" w:rsidR="004E6467" w:rsidRPr="004E6467" w:rsidRDefault="004E6467" w:rsidP="004E6467">
            <w:pPr>
              <w:rPr>
                <w:rFonts w:cs="Arial"/>
              </w:rPr>
            </w:pPr>
            <w:r w:rsidRPr="004E6467">
              <w:rPr>
                <w:rFonts w:cs="Arial"/>
              </w:rPr>
              <w:t>Левкопения</w:t>
            </w:r>
          </w:p>
        </w:tc>
        <w:tc>
          <w:tcPr>
            <w:tcW w:w="1879" w:type="dxa"/>
            <w:vAlign w:val="bottom"/>
          </w:tcPr>
          <w:p w14:paraId="6E162DD5" w14:textId="4BA184CE" w:rsidR="004E6467" w:rsidRPr="004E6467" w:rsidRDefault="004E6467" w:rsidP="004E6467">
            <w:pPr>
              <w:rPr>
                <w:rFonts w:cs="Arial"/>
              </w:rPr>
            </w:pPr>
            <w:r w:rsidRPr="004E6467">
              <w:rPr>
                <w:rFonts w:cs="Arial"/>
              </w:rPr>
              <w:t>11 (6,3)</w:t>
            </w:r>
          </w:p>
        </w:tc>
        <w:tc>
          <w:tcPr>
            <w:tcW w:w="1875" w:type="dxa"/>
            <w:vAlign w:val="bottom"/>
          </w:tcPr>
          <w:p w14:paraId="63E92F60" w14:textId="0E70C208" w:rsidR="004E6467" w:rsidRPr="004E6467" w:rsidRDefault="004E6467" w:rsidP="004E6467">
            <w:pPr>
              <w:rPr>
                <w:rFonts w:cs="Arial"/>
              </w:rPr>
            </w:pPr>
            <w:r w:rsidRPr="004E6467">
              <w:rPr>
                <w:rFonts w:cs="Arial"/>
              </w:rPr>
              <w:t>1 (0,6)</w:t>
            </w:r>
          </w:p>
        </w:tc>
        <w:tc>
          <w:tcPr>
            <w:tcW w:w="1875" w:type="dxa"/>
            <w:vAlign w:val="bottom"/>
          </w:tcPr>
          <w:p w14:paraId="03CB5E67" w14:textId="16D075AA" w:rsidR="004E6467" w:rsidRPr="004E6467" w:rsidRDefault="004E6467" w:rsidP="004E6467">
            <w:pPr>
              <w:rPr>
                <w:rFonts w:cs="Arial"/>
              </w:rPr>
            </w:pPr>
            <w:r w:rsidRPr="004E6467">
              <w:rPr>
                <w:rFonts w:cs="Arial"/>
              </w:rPr>
              <w:t>84 (48,0)</w:t>
            </w:r>
          </w:p>
        </w:tc>
        <w:tc>
          <w:tcPr>
            <w:tcW w:w="1875" w:type="dxa"/>
            <w:vAlign w:val="bottom"/>
          </w:tcPr>
          <w:p w14:paraId="2BF157CE" w14:textId="563EBC8B" w:rsidR="004E6467" w:rsidRPr="004E6467" w:rsidRDefault="004E6467" w:rsidP="004E6467">
            <w:pPr>
              <w:rPr>
                <w:rFonts w:cs="Arial"/>
              </w:rPr>
            </w:pPr>
            <w:r w:rsidRPr="004E6467">
              <w:rPr>
                <w:rFonts w:cs="Arial"/>
              </w:rPr>
              <w:t>9 (5,1)</w:t>
            </w:r>
          </w:p>
        </w:tc>
      </w:tr>
      <w:tr w:rsidR="004E6467" w:rsidRPr="004E6467" w14:paraId="62E93EE3" w14:textId="77777777" w:rsidTr="004E6467">
        <w:tc>
          <w:tcPr>
            <w:tcW w:w="2072" w:type="dxa"/>
            <w:vAlign w:val="bottom"/>
          </w:tcPr>
          <w:p w14:paraId="0DAF29EC" w14:textId="3FD40CC5" w:rsidR="004E6467" w:rsidRPr="004E6467" w:rsidRDefault="004E6467" w:rsidP="004E6467">
            <w:pPr>
              <w:rPr>
                <w:rFonts w:cs="Arial"/>
              </w:rPr>
            </w:pPr>
            <w:r w:rsidRPr="004E6467">
              <w:rPr>
                <w:rFonts w:cs="Arial"/>
              </w:rPr>
              <w:t>Нелабораторни находки</w:t>
            </w:r>
          </w:p>
        </w:tc>
        <w:tc>
          <w:tcPr>
            <w:tcW w:w="1879" w:type="dxa"/>
          </w:tcPr>
          <w:p w14:paraId="13E7E86D" w14:textId="77777777" w:rsidR="004E6467" w:rsidRPr="004E6467" w:rsidRDefault="004E6467" w:rsidP="004E6467">
            <w:pPr>
              <w:rPr>
                <w:rFonts w:cs="Arial"/>
              </w:rPr>
            </w:pPr>
          </w:p>
        </w:tc>
        <w:tc>
          <w:tcPr>
            <w:tcW w:w="1875" w:type="dxa"/>
          </w:tcPr>
          <w:p w14:paraId="42CC5F16" w14:textId="77777777" w:rsidR="004E6467" w:rsidRPr="004E6467" w:rsidRDefault="004E6467" w:rsidP="004E6467">
            <w:pPr>
              <w:rPr>
                <w:rFonts w:cs="Arial"/>
              </w:rPr>
            </w:pPr>
          </w:p>
        </w:tc>
        <w:tc>
          <w:tcPr>
            <w:tcW w:w="1875" w:type="dxa"/>
          </w:tcPr>
          <w:p w14:paraId="35689F64" w14:textId="77777777" w:rsidR="004E6467" w:rsidRPr="004E6467" w:rsidRDefault="004E6467" w:rsidP="004E6467">
            <w:pPr>
              <w:rPr>
                <w:rFonts w:cs="Arial"/>
              </w:rPr>
            </w:pPr>
          </w:p>
        </w:tc>
        <w:tc>
          <w:tcPr>
            <w:tcW w:w="1875" w:type="dxa"/>
          </w:tcPr>
          <w:p w14:paraId="09B79559" w14:textId="77777777" w:rsidR="004E6467" w:rsidRPr="004E6467" w:rsidRDefault="004E6467" w:rsidP="004E6467">
            <w:pPr>
              <w:rPr>
                <w:rFonts w:cs="Arial"/>
              </w:rPr>
            </w:pPr>
          </w:p>
        </w:tc>
      </w:tr>
      <w:tr w:rsidR="004E6467" w:rsidRPr="004E6467" w14:paraId="52A48FDB" w14:textId="77777777" w:rsidTr="004E6467">
        <w:tc>
          <w:tcPr>
            <w:tcW w:w="2072" w:type="dxa"/>
            <w:vAlign w:val="bottom"/>
          </w:tcPr>
          <w:p w14:paraId="291E7637" w14:textId="4661D4DE" w:rsidR="004E6467" w:rsidRPr="004E6467" w:rsidRDefault="004E6467" w:rsidP="004E6467">
            <w:pPr>
              <w:rPr>
                <w:rFonts w:cs="Arial"/>
              </w:rPr>
            </w:pPr>
            <w:r w:rsidRPr="004E6467">
              <w:rPr>
                <w:rFonts w:cs="Arial"/>
              </w:rPr>
              <w:t>Хеморагия</w:t>
            </w:r>
          </w:p>
        </w:tc>
        <w:tc>
          <w:tcPr>
            <w:tcW w:w="1879" w:type="dxa"/>
            <w:vAlign w:val="bottom"/>
          </w:tcPr>
          <w:p w14:paraId="10A9D71A" w14:textId="32301B38" w:rsidR="004E6467" w:rsidRPr="004E6467" w:rsidRDefault="004E6467" w:rsidP="004E6467">
            <w:pPr>
              <w:rPr>
                <w:rFonts w:cs="Arial"/>
              </w:rPr>
            </w:pPr>
            <w:r w:rsidRPr="004E6467">
              <w:rPr>
                <w:rFonts w:cs="Arial"/>
              </w:rPr>
              <w:t>0(0,0)</w:t>
            </w:r>
          </w:p>
        </w:tc>
        <w:tc>
          <w:tcPr>
            <w:tcW w:w="1875" w:type="dxa"/>
            <w:vAlign w:val="bottom"/>
          </w:tcPr>
          <w:p w14:paraId="5EADBFFC" w14:textId="7A9113A0" w:rsidR="004E6467" w:rsidRPr="004E6467" w:rsidRDefault="004E6467" w:rsidP="004E6467">
            <w:pPr>
              <w:rPr>
                <w:rFonts w:cs="Arial"/>
              </w:rPr>
            </w:pPr>
            <w:r w:rsidRPr="004E6467">
              <w:rPr>
                <w:rFonts w:cs="Arial"/>
              </w:rPr>
              <w:t>0(0,0)</w:t>
            </w:r>
          </w:p>
        </w:tc>
        <w:tc>
          <w:tcPr>
            <w:tcW w:w="1875" w:type="dxa"/>
            <w:vAlign w:val="bottom"/>
          </w:tcPr>
          <w:p w14:paraId="4AAB0196" w14:textId="2AAACAA0" w:rsidR="004E6467" w:rsidRPr="004E6467" w:rsidRDefault="004E6467" w:rsidP="004E6467">
            <w:pPr>
              <w:rPr>
                <w:rFonts w:cs="Arial"/>
              </w:rPr>
            </w:pPr>
            <w:r w:rsidRPr="004E6467">
              <w:rPr>
                <w:rFonts w:cs="Arial"/>
              </w:rPr>
              <w:t>3 (1,8)</w:t>
            </w:r>
          </w:p>
        </w:tc>
        <w:tc>
          <w:tcPr>
            <w:tcW w:w="1875" w:type="dxa"/>
            <w:vAlign w:val="bottom"/>
          </w:tcPr>
          <w:p w14:paraId="1D68A592" w14:textId="752C2C5F" w:rsidR="004E6467" w:rsidRPr="004E6467" w:rsidRDefault="004E6467" w:rsidP="004E6467">
            <w:pPr>
              <w:rPr>
                <w:rFonts w:cs="Arial"/>
              </w:rPr>
            </w:pPr>
            <w:r w:rsidRPr="004E6467">
              <w:rPr>
                <w:rFonts w:cs="Arial"/>
              </w:rPr>
              <w:t xml:space="preserve"> (0,0)</w:t>
            </w:r>
          </w:p>
        </w:tc>
      </w:tr>
      <w:tr w:rsidR="004E6467" w:rsidRPr="004E6467" w14:paraId="5125C752" w14:textId="77777777" w:rsidTr="004E6467">
        <w:tc>
          <w:tcPr>
            <w:tcW w:w="2072" w:type="dxa"/>
            <w:vAlign w:val="bottom"/>
          </w:tcPr>
          <w:p w14:paraId="0E2F98C8" w14:textId="3AAF26F5" w:rsidR="004E6467" w:rsidRPr="004E6467" w:rsidRDefault="004E6467" w:rsidP="004E6467">
            <w:pPr>
              <w:rPr>
                <w:rFonts w:cs="Arial"/>
              </w:rPr>
            </w:pPr>
            <w:r w:rsidRPr="004E6467">
              <w:rPr>
                <w:rFonts w:cs="Arial"/>
              </w:rPr>
              <w:t>Фебрилна неутропения</w:t>
            </w:r>
          </w:p>
        </w:tc>
        <w:tc>
          <w:tcPr>
            <w:tcW w:w="1879" w:type="dxa"/>
            <w:vAlign w:val="bottom"/>
          </w:tcPr>
          <w:p w14:paraId="5304EA6D" w14:textId="6C7654F3" w:rsidR="004E6467" w:rsidRPr="004E6467" w:rsidRDefault="004E6467" w:rsidP="004E6467">
            <w:pPr>
              <w:rPr>
                <w:rFonts w:cs="Arial"/>
              </w:rPr>
            </w:pPr>
            <w:r w:rsidRPr="004E6467">
              <w:rPr>
                <w:rFonts w:cs="Arial"/>
              </w:rPr>
              <w:t>0 (0,0)</w:t>
            </w:r>
          </w:p>
        </w:tc>
        <w:tc>
          <w:tcPr>
            <w:tcW w:w="1875" w:type="dxa"/>
            <w:vAlign w:val="bottom"/>
          </w:tcPr>
          <w:p w14:paraId="7EA23328" w14:textId="12A5E737" w:rsidR="004E6467" w:rsidRPr="004E6467" w:rsidRDefault="004E6467" w:rsidP="004E6467">
            <w:pPr>
              <w:rPr>
                <w:rFonts w:cs="Arial"/>
              </w:rPr>
            </w:pPr>
            <w:r w:rsidRPr="004E6467">
              <w:rPr>
                <w:rFonts w:cs="Arial"/>
              </w:rPr>
              <w:t>0 (0,0)</w:t>
            </w:r>
          </w:p>
        </w:tc>
        <w:tc>
          <w:tcPr>
            <w:tcW w:w="1875" w:type="dxa"/>
            <w:vAlign w:val="bottom"/>
          </w:tcPr>
          <w:p w14:paraId="2F918463" w14:textId="01A3E30E" w:rsidR="004E6467" w:rsidRPr="004E6467" w:rsidRDefault="004E6467" w:rsidP="004E6467">
            <w:pPr>
              <w:rPr>
                <w:rFonts w:cs="Arial"/>
              </w:rPr>
            </w:pPr>
            <w:r w:rsidRPr="004E6467">
              <w:rPr>
                <w:rFonts w:cs="Arial"/>
                <w:lang w:val="en-US"/>
              </w:rPr>
              <w:t xml:space="preserve">2 (1,1) </w:t>
            </w:r>
          </w:p>
        </w:tc>
        <w:tc>
          <w:tcPr>
            <w:tcW w:w="1875" w:type="dxa"/>
            <w:vAlign w:val="bottom"/>
          </w:tcPr>
          <w:p w14:paraId="7C90915E" w14:textId="074A3ACD" w:rsidR="004E6467" w:rsidRPr="004E6467" w:rsidRDefault="004E6467" w:rsidP="004E6467">
            <w:pPr>
              <w:rPr>
                <w:rFonts w:cs="Arial"/>
              </w:rPr>
            </w:pPr>
            <w:r w:rsidRPr="004E6467">
              <w:rPr>
                <w:rFonts w:cs="Arial"/>
              </w:rPr>
              <w:t>(0,0)</w:t>
            </w:r>
          </w:p>
        </w:tc>
      </w:tr>
      <w:tr w:rsidR="004E6467" w:rsidRPr="004E6467" w14:paraId="784A044B" w14:textId="77777777" w:rsidTr="004E6467">
        <w:tc>
          <w:tcPr>
            <w:tcW w:w="2072" w:type="dxa"/>
            <w:vAlign w:val="bottom"/>
          </w:tcPr>
          <w:p w14:paraId="315C7E84" w14:textId="45BE6C1E" w:rsidR="004E6467" w:rsidRPr="004E6467" w:rsidRDefault="004E6467" w:rsidP="004E6467">
            <w:pPr>
              <w:rPr>
                <w:rFonts w:cs="Arial"/>
              </w:rPr>
            </w:pPr>
            <w:r w:rsidRPr="004E6467">
              <w:rPr>
                <w:rFonts w:cs="Arial"/>
              </w:rPr>
              <w:t>Инфекция без неутропения</w:t>
            </w:r>
          </w:p>
        </w:tc>
        <w:tc>
          <w:tcPr>
            <w:tcW w:w="1879" w:type="dxa"/>
          </w:tcPr>
          <w:p w14:paraId="446E4CBE" w14:textId="35468F3B" w:rsidR="004E6467" w:rsidRPr="004E6467" w:rsidRDefault="004E6467" w:rsidP="004E6467">
            <w:pPr>
              <w:rPr>
                <w:rFonts w:cs="Arial"/>
              </w:rPr>
            </w:pPr>
            <w:r w:rsidRPr="004E6467">
              <w:rPr>
                <w:rFonts w:cs="Arial"/>
              </w:rPr>
              <w:t>0(0)</w:t>
            </w:r>
          </w:p>
        </w:tc>
        <w:tc>
          <w:tcPr>
            <w:tcW w:w="1875" w:type="dxa"/>
          </w:tcPr>
          <w:p w14:paraId="5682F71B" w14:textId="6EF1A1CC" w:rsidR="004E6467" w:rsidRPr="004E6467" w:rsidRDefault="004E6467" w:rsidP="004E6467">
            <w:pPr>
              <w:rPr>
                <w:rFonts w:cs="Arial"/>
              </w:rPr>
            </w:pPr>
            <w:r w:rsidRPr="004E6467">
              <w:rPr>
                <w:rFonts w:cs="Arial"/>
              </w:rPr>
              <w:t>0 (0,0)</w:t>
            </w:r>
          </w:p>
        </w:tc>
        <w:tc>
          <w:tcPr>
            <w:tcW w:w="1875" w:type="dxa"/>
          </w:tcPr>
          <w:p w14:paraId="794E97BA" w14:textId="46D9075F" w:rsidR="004E6467" w:rsidRPr="004E6467" w:rsidRDefault="004E6467" w:rsidP="004E6467">
            <w:pPr>
              <w:rPr>
                <w:rFonts w:cs="Arial"/>
              </w:rPr>
            </w:pPr>
            <w:r w:rsidRPr="004E6467">
              <w:rPr>
                <w:rFonts w:cs="Arial"/>
              </w:rPr>
              <w:t>(0,0)</w:t>
            </w:r>
          </w:p>
        </w:tc>
        <w:tc>
          <w:tcPr>
            <w:tcW w:w="1875" w:type="dxa"/>
          </w:tcPr>
          <w:p w14:paraId="571FC15D" w14:textId="0EFC8F85" w:rsidR="004E6467" w:rsidRPr="004E6467" w:rsidRDefault="004E6467" w:rsidP="004E6467">
            <w:pPr>
              <w:rPr>
                <w:rFonts w:cs="Arial"/>
              </w:rPr>
            </w:pPr>
            <w:r w:rsidRPr="004E6467">
              <w:rPr>
                <w:rFonts w:cs="Arial"/>
              </w:rPr>
              <w:t>1 (0,6)</w:t>
            </w:r>
          </w:p>
        </w:tc>
      </w:tr>
    </w:tbl>
    <w:p w14:paraId="6DC6C8E6" w14:textId="24553A4D" w:rsidR="004E6467" w:rsidRDefault="004E6467" w:rsidP="0091385D"/>
    <w:p w14:paraId="7CCE5899" w14:textId="77777777" w:rsidR="004E6467" w:rsidRPr="004E6467" w:rsidRDefault="004E6467" w:rsidP="004E6467">
      <w:pPr>
        <w:spacing w:line="240" w:lineRule="auto"/>
        <w:rPr>
          <w:rFonts w:ascii="Times New Roman" w:eastAsia="Times New Roman" w:hAnsi="Times New Roman" w:cs="Times New Roman"/>
          <w:sz w:val="24"/>
          <w:szCs w:val="24"/>
          <w:lang w:eastAsia="bg-BG"/>
        </w:rPr>
      </w:pPr>
      <w:r w:rsidRPr="004E6467">
        <w:rPr>
          <w:rFonts w:ascii="Times New Roman" w:eastAsia="Times New Roman" w:hAnsi="Times New Roman" w:cs="Times New Roman"/>
          <w:color w:val="000000"/>
          <w:lang w:eastAsia="bg-BG"/>
        </w:rPr>
        <w:t>Сензорна невропатия също е по-честа в комбинираното рамо, отколкото при карбоплатин, приложен самостоятелно.</w:t>
      </w:r>
    </w:p>
    <w:p w14:paraId="4F90D9EB" w14:textId="77777777" w:rsidR="004E6467" w:rsidRDefault="004E6467" w:rsidP="004E6467">
      <w:pPr>
        <w:spacing w:line="240" w:lineRule="auto"/>
        <w:rPr>
          <w:rFonts w:ascii="Times New Roman" w:eastAsia="Times New Roman" w:hAnsi="Times New Roman" w:cs="Times New Roman"/>
          <w:color w:val="000000"/>
          <w:u w:val="single"/>
          <w:lang w:eastAsia="bg-BG"/>
        </w:rPr>
      </w:pPr>
    </w:p>
    <w:p w14:paraId="1329D322" w14:textId="6DEA461E" w:rsidR="004E6467" w:rsidRPr="004E6467" w:rsidRDefault="004E6467" w:rsidP="004E6467">
      <w:pPr>
        <w:spacing w:line="240" w:lineRule="auto"/>
        <w:rPr>
          <w:rFonts w:ascii="Times New Roman" w:eastAsia="Times New Roman" w:hAnsi="Times New Roman" w:cs="Times New Roman"/>
          <w:sz w:val="24"/>
          <w:szCs w:val="24"/>
          <w:lang w:eastAsia="bg-BG"/>
        </w:rPr>
      </w:pPr>
      <w:r w:rsidRPr="004E6467">
        <w:rPr>
          <w:rFonts w:ascii="Times New Roman" w:eastAsia="Times New Roman" w:hAnsi="Times New Roman" w:cs="Times New Roman"/>
          <w:color w:val="000000"/>
          <w:u w:val="single"/>
          <w:lang w:eastAsia="bg-BG"/>
        </w:rPr>
        <w:t>Съобщаване на подозирани нежелани реакции</w:t>
      </w:r>
    </w:p>
    <w:p w14:paraId="74AA4EF5" w14:textId="46956FAE" w:rsidR="004E6467" w:rsidRDefault="004E6467" w:rsidP="004E6467">
      <w:r w:rsidRPr="004E6467">
        <w:rPr>
          <w:rFonts w:ascii="Times New Roman" w:eastAsia="Times New Roman" w:hAnsi="Times New Roman" w:cs="Times New Roman"/>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r w:rsidRPr="004E6467">
        <w:rPr>
          <w:rFonts w:ascii="Times New Roman" w:eastAsia="Times New Roman" w:hAnsi="Times New Roman" w:cs="Times New Roman"/>
          <w:sz w:val="24"/>
          <w:szCs w:val="24"/>
          <w:lang w:eastAsia="bg-BG"/>
        </w:rPr>
        <w:fldChar w:fldCharType="begin"/>
      </w:r>
      <w:r w:rsidRPr="004E6467">
        <w:rPr>
          <w:rFonts w:ascii="Times New Roman" w:eastAsia="Times New Roman" w:hAnsi="Times New Roman" w:cs="Times New Roman"/>
          <w:sz w:val="24"/>
          <w:szCs w:val="24"/>
          <w:lang w:eastAsia="bg-BG"/>
        </w:rPr>
        <w:instrText xml:space="preserve"> HYPERLINK "http://www.bda.bg" </w:instrText>
      </w:r>
      <w:r w:rsidRPr="004E6467">
        <w:rPr>
          <w:rFonts w:ascii="Times New Roman" w:eastAsia="Times New Roman" w:hAnsi="Times New Roman" w:cs="Times New Roman"/>
          <w:sz w:val="24"/>
          <w:szCs w:val="24"/>
          <w:lang w:eastAsia="bg-BG"/>
        </w:rPr>
      </w:r>
      <w:r w:rsidRPr="004E6467">
        <w:rPr>
          <w:rFonts w:ascii="Times New Roman" w:eastAsia="Times New Roman" w:hAnsi="Times New Roman" w:cs="Times New Roman"/>
          <w:sz w:val="24"/>
          <w:szCs w:val="24"/>
          <w:lang w:eastAsia="bg-BG"/>
        </w:rPr>
        <w:fldChar w:fldCharType="separate"/>
      </w:r>
      <w:r w:rsidRPr="004E6467">
        <w:rPr>
          <w:rFonts w:ascii="Times New Roman" w:eastAsia="Times New Roman" w:hAnsi="Times New Roman" w:cs="Times New Roman"/>
          <w:color w:val="000000"/>
          <w:lang w:val="en-US"/>
        </w:rPr>
        <w:t>www.bda.bg</w:t>
      </w:r>
      <w:r w:rsidRPr="004E6467">
        <w:rPr>
          <w:rFonts w:ascii="Times New Roman" w:eastAsia="Times New Roman" w:hAnsi="Times New Roman" w:cs="Times New Roman"/>
          <w:sz w:val="24"/>
          <w:szCs w:val="24"/>
          <w:lang w:eastAsia="bg-BG"/>
        </w:rPr>
        <w:fldChar w:fldCharType="end"/>
      </w:r>
      <w:r w:rsidRPr="004E6467">
        <w:rPr>
          <w:rFonts w:ascii="Times New Roman" w:eastAsia="Times New Roman" w:hAnsi="Times New Roman" w:cs="Times New Roman"/>
          <w:color w:val="000000"/>
          <w:lang w:val="en-US"/>
        </w:rPr>
        <w:t>.</w:t>
      </w:r>
    </w:p>
    <w:p w14:paraId="2E2F90DE" w14:textId="77777777" w:rsidR="004E6467" w:rsidRPr="0091385D" w:rsidRDefault="004E6467"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0F0079CB" w14:textId="29DE276A" w:rsidR="0091385D" w:rsidRDefault="004E6467" w:rsidP="0091385D">
      <w:r>
        <w:t xml:space="preserve">Не е известен антидот за предозиране на гемцитабин. Дози от порядъка на 5 700 </w:t>
      </w:r>
      <w:r>
        <w:rPr>
          <w:lang w:val="en-US"/>
        </w:rPr>
        <w:t>mg/m</w:t>
      </w:r>
      <w:r>
        <w:rPr>
          <w:vertAlign w:val="superscript"/>
          <w:lang w:val="en-US"/>
        </w:rPr>
        <w:t>2</w:t>
      </w:r>
      <w:r>
        <w:rPr>
          <w:lang w:val="en-US"/>
        </w:rPr>
        <w:t xml:space="preserve"> </w:t>
      </w:r>
      <w:r>
        <w:t>са прилагани чрез интравенозна инфузия в продължение на 30 минути на всеки 2 седмици с клинично допустима токсичност. При съмнение за предозиране, пациентът трябва да бъде наблюдаван за съответните кръвни показатели и, ако е необходимо, да получи поддържаща терапия.</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33B4575A"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Фармакотерапевтична група: пиримидинови аналози, АТС код: </w:t>
      </w:r>
      <w:r w:rsidRPr="004E6467">
        <w:rPr>
          <w:rFonts w:eastAsia="Times New Roman" w:cs="Arial"/>
          <w:color w:val="000000"/>
          <w:lang w:val="en-US"/>
        </w:rPr>
        <w:t>L01BC05</w:t>
      </w:r>
    </w:p>
    <w:p w14:paraId="0BA3A701" w14:textId="77777777" w:rsidR="004E6467" w:rsidRPr="004E6467" w:rsidRDefault="004E6467" w:rsidP="004E6467">
      <w:pPr>
        <w:spacing w:line="240" w:lineRule="auto"/>
        <w:rPr>
          <w:rFonts w:eastAsia="Times New Roman" w:cs="Arial"/>
          <w:color w:val="000000"/>
          <w:u w:val="single"/>
          <w:lang w:eastAsia="bg-BG"/>
        </w:rPr>
      </w:pPr>
    </w:p>
    <w:p w14:paraId="2887EA0B" w14:textId="5498F95F"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u w:val="single"/>
          <w:lang w:eastAsia="bg-BG"/>
        </w:rPr>
        <w:t>Механизъм на действие</w:t>
      </w:r>
    </w:p>
    <w:p w14:paraId="45C9F376" w14:textId="77777777" w:rsidR="004E6467" w:rsidRPr="004E6467" w:rsidRDefault="004E6467" w:rsidP="004E6467">
      <w:pPr>
        <w:rPr>
          <w:rFonts w:eastAsia="Times New Roman" w:cs="Arial"/>
          <w:sz w:val="24"/>
          <w:szCs w:val="24"/>
          <w:lang w:eastAsia="bg-BG"/>
        </w:rPr>
      </w:pPr>
      <w:r w:rsidRPr="004E6467">
        <w:rPr>
          <w:rFonts w:eastAsia="Times New Roman" w:cs="Arial"/>
          <w:color w:val="000000"/>
          <w:lang w:eastAsia="bg-BG"/>
        </w:rPr>
        <w:t xml:space="preserve">Клетъчен метаболизъм и механизъм на действие: Гемцитабин </w:t>
      </w:r>
      <w:r w:rsidRPr="004E6467">
        <w:rPr>
          <w:rFonts w:eastAsia="Times New Roman" w:cs="Arial"/>
          <w:color w:val="000000"/>
          <w:lang w:val="en-US"/>
        </w:rPr>
        <w:t>(</w:t>
      </w:r>
      <w:proofErr w:type="spellStart"/>
      <w:r w:rsidRPr="004E6467">
        <w:rPr>
          <w:rFonts w:eastAsia="Times New Roman" w:cs="Arial"/>
          <w:color w:val="000000"/>
          <w:lang w:val="en-US"/>
        </w:rPr>
        <w:t>dFdC</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който е пиримидинов антиметаболит, се метаболизира вътреклетъчно от нуклеозидкиназа до активните дифосфат </w:t>
      </w:r>
      <w:r w:rsidRPr="004E6467">
        <w:rPr>
          <w:rFonts w:eastAsia="Times New Roman" w:cs="Arial"/>
          <w:color w:val="000000"/>
          <w:lang w:val="en-US"/>
        </w:rPr>
        <w:t>(</w:t>
      </w:r>
      <w:proofErr w:type="spellStart"/>
      <w:r w:rsidRPr="004E6467">
        <w:rPr>
          <w:rFonts w:eastAsia="Times New Roman" w:cs="Arial"/>
          <w:color w:val="000000"/>
          <w:lang w:val="en-US"/>
        </w:rPr>
        <w:t>dFdCDP</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и трифосфат </w:t>
      </w:r>
      <w:r w:rsidRPr="004E6467">
        <w:rPr>
          <w:rFonts w:eastAsia="Times New Roman" w:cs="Arial"/>
          <w:color w:val="000000"/>
          <w:lang w:val="en-US"/>
        </w:rPr>
        <w:t>(</w:t>
      </w:r>
      <w:proofErr w:type="spellStart"/>
      <w:r w:rsidRPr="004E6467">
        <w:rPr>
          <w:rFonts w:eastAsia="Times New Roman" w:cs="Arial"/>
          <w:color w:val="000000"/>
          <w:lang w:val="en-US"/>
        </w:rPr>
        <w:t>dFdCTP</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нуклеозиди. Цитотоксичното действие на гемцитабин се дължи на инхбиция на ДНК синтезата чрез два механизма на действие от </w:t>
      </w:r>
      <w:proofErr w:type="spellStart"/>
      <w:r w:rsidRPr="004E6467">
        <w:rPr>
          <w:rFonts w:eastAsia="Times New Roman" w:cs="Arial"/>
          <w:color w:val="000000"/>
          <w:lang w:val="en-US"/>
        </w:rPr>
        <w:t>dFdCDP</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и </w:t>
      </w:r>
      <w:proofErr w:type="spellStart"/>
      <w:r w:rsidRPr="004E6467">
        <w:rPr>
          <w:rFonts w:eastAsia="Times New Roman" w:cs="Arial"/>
          <w:color w:val="000000"/>
          <w:lang w:val="en-US"/>
        </w:rPr>
        <w:t>dFdCTP</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Първо, </w:t>
      </w:r>
      <w:proofErr w:type="spellStart"/>
      <w:r w:rsidRPr="004E6467">
        <w:rPr>
          <w:rFonts w:eastAsia="Times New Roman" w:cs="Arial"/>
          <w:color w:val="000000"/>
          <w:lang w:val="en-US"/>
        </w:rPr>
        <w:t>dFdCDP</w:t>
      </w:r>
      <w:proofErr w:type="spellEnd"/>
      <w:r w:rsidRPr="004E6467">
        <w:rPr>
          <w:rFonts w:eastAsia="Times New Roman" w:cs="Arial"/>
          <w:color w:val="000000"/>
          <w:lang w:val="en-US"/>
        </w:rPr>
        <w:t xml:space="preserve"> </w:t>
      </w:r>
      <w:r w:rsidRPr="004E6467">
        <w:rPr>
          <w:rFonts w:eastAsia="Times New Roman" w:cs="Arial"/>
          <w:color w:val="000000"/>
          <w:lang w:eastAsia="bg-BG"/>
        </w:rPr>
        <w:t>потиска рибонуклеотид-редуктазата, която е единствено отговорна за катализирано на реакциите, които образуват деоксинуклеозид трифосфатите (</w:t>
      </w:r>
      <w:proofErr w:type="spellStart"/>
      <w:r w:rsidRPr="004E6467">
        <w:rPr>
          <w:rFonts w:eastAsia="Times New Roman" w:cs="Arial"/>
          <w:color w:val="000000"/>
          <w:lang w:val="en-US"/>
        </w:rPr>
        <w:t>dCTP</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за ДНК синтезата. Инхибицията на този ензим от </w:t>
      </w:r>
      <w:proofErr w:type="spellStart"/>
      <w:r w:rsidRPr="004E6467">
        <w:rPr>
          <w:rFonts w:eastAsia="Times New Roman" w:cs="Arial"/>
          <w:color w:val="000000"/>
          <w:lang w:val="en-US"/>
        </w:rPr>
        <w:lastRenderedPageBreak/>
        <w:t>dFdCDP</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намалява концентрацията на деоксинуклеозид изобщо и в частност този на </w:t>
      </w:r>
      <w:proofErr w:type="spellStart"/>
      <w:r w:rsidRPr="004E6467">
        <w:rPr>
          <w:rFonts w:eastAsia="Times New Roman" w:cs="Arial"/>
          <w:color w:val="000000"/>
          <w:lang w:val="en-US"/>
        </w:rPr>
        <w:t>dCTP</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Второ, </w:t>
      </w:r>
      <w:proofErr w:type="spellStart"/>
      <w:r w:rsidRPr="004E6467">
        <w:rPr>
          <w:rFonts w:eastAsia="Times New Roman" w:cs="Arial"/>
          <w:color w:val="000000"/>
          <w:lang w:val="en-US"/>
        </w:rPr>
        <w:t>dFdCTP</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се конкурира с </w:t>
      </w:r>
      <w:proofErr w:type="spellStart"/>
      <w:r w:rsidRPr="004E6467">
        <w:rPr>
          <w:rFonts w:eastAsia="Times New Roman" w:cs="Arial"/>
          <w:color w:val="000000"/>
          <w:lang w:val="en-US"/>
        </w:rPr>
        <w:t>dCTP</w:t>
      </w:r>
      <w:proofErr w:type="spellEnd"/>
      <w:r w:rsidRPr="004E6467">
        <w:rPr>
          <w:rFonts w:eastAsia="Times New Roman" w:cs="Arial"/>
          <w:color w:val="000000"/>
          <w:lang w:val="en-US"/>
        </w:rPr>
        <w:t xml:space="preserve"> </w:t>
      </w:r>
      <w:r w:rsidRPr="004E6467">
        <w:rPr>
          <w:rFonts w:eastAsia="Times New Roman" w:cs="Arial"/>
          <w:color w:val="000000"/>
          <w:lang w:eastAsia="bg-BG"/>
        </w:rPr>
        <w:t>за инкорпориране в ДНК (самопотенциране).</w:t>
      </w:r>
    </w:p>
    <w:p w14:paraId="25A6A0A2" w14:textId="77777777" w:rsidR="004E6467" w:rsidRPr="004E6467" w:rsidRDefault="004E6467" w:rsidP="004E6467">
      <w:pPr>
        <w:spacing w:line="240" w:lineRule="auto"/>
        <w:rPr>
          <w:rFonts w:eastAsia="Times New Roman" w:cs="Arial"/>
          <w:color w:val="000000"/>
          <w:lang w:eastAsia="bg-BG"/>
        </w:rPr>
      </w:pPr>
    </w:p>
    <w:p w14:paraId="6F8DD7DF" w14:textId="63E6BB2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По същия начин малко количество гемцитабин може също да се включи в РНК. Така намаляването на вътреклетъчната концентрация на </w:t>
      </w:r>
      <w:proofErr w:type="spellStart"/>
      <w:r w:rsidRPr="004E6467">
        <w:rPr>
          <w:rFonts w:eastAsia="Times New Roman" w:cs="Arial"/>
          <w:color w:val="000000"/>
          <w:lang w:val="en-US"/>
        </w:rPr>
        <w:t>dCTP</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потенцира присъединяването на </w:t>
      </w:r>
      <w:proofErr w:type="spellStart"/>
      <w:r w:rsidRPr="004E6467">
        <w:rPr>
          <w:rFonts w:eastAsia="Times New Roman" w:cs="Arial"/>
          <w:color w:val="000000"/>
          <w:lang w:val="en-US"/>
        </w:rPr>
        <w:t>dFdCTP</w:t>
      </w:r>
      <w:proofErr w:type="spellEnd"/>
      <w:r w:rsidRPr="004E6467">
        <w:rPr>
          <w:rFonts w:eastAsia="Times New Roman" w:cs="Arial"/>
          <w:color w:val="000000"/>
          <w:lang w:val="en-US"/>
        </w:rPr>
        <w:t xml:space="preserve"> </w:t>
      </w:r>
      <w:r w:rsidRPr="004E6467">
        <w:rPr>
          <w:rFonts w:eastAsia="Times New Roman" w:cs="Arial"/>
          <w:color w:val="000000"/>
          <w:lang w:eastAsia="bg-BG"/>
        </w:rPr>
        <w:t>в ДНК, ДНК полимераза епсилон е неспособна да отстрани гемцитабин и да възстанови растежа на ДНК веригите. След като гемцитабин се инкорпорира в ДНК, един допълнителен нуклеотид се добавя към растящите ДНК-вериги. След това допълнение настъпва пълно инхибиране на по-нататъшната ДНК синтеза (маскирано верижно завършване). След инкорпориране в ДНК, гемцитабин индуцира програмираната клетъчна смърт, процес известен като апоптоза.</w:t>
      </w:r>
    </w:p>
    <w:p w14:paraId="106092A7" w14:textId="77777777" w:rsidR="004E6467" w:rsidRPr="004E6467" w:rsidRDefault="004E6467" w:rsidP="004E6467">
      <w:pPr>
        <w:spacing w:line="240" w:lineRule="auto"/>
        <w:rPr>
          <w:rFonts w:eastAsia="Times New Roman" w:cs="Arial"/>
          <w:color w:val="000000"/>
          <w:u w:val="single"/>
          <w:lang w:eastAsia="bg-BG"/>
        </w:rPr>
      </w:pPr>
    </w:p>
    <w:p w14:paraId="2F9F7655" w14:textId="17CC36D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u w:val="single"/>
          <w:lang w:eastAsia="bg-BG"/>
        </w:rPr>
        <w:t>Фармакодинамични ефекти</w:t>
      </w:r>
    </w:p>
    <w:p w14:paraId="138B5926"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i/>
          <w:iCs/>
          <w:color w:val="000000"/>
          <w:lang w:eastAsia="bg-BG"/>
        </w:rPr>
        <w:t>Цитотоксична активност в модели от клетъчни култури</w:t>
      </w:r>
    </w:p>
    <w:p w14:paraId="63E7B81B"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Гемцитабин показва сигнификантна цитотоксична активност спрямо различни култури от миши и човешки туморни клетки. Неговото действие е фазово-специфично, тъй като гемцитабин убива главно клетките в процес на ДНК синтеза </w:t>
      </w:r>
      <w:r w:rsidRPr="004E6467">
        <w:rPr>
          <w:rFonts w:eastAsia="Times New Roman" w:cs="Arial"/>
          <w:color w:val="000000"/>
          <w:lang w:val="en-US"/>
        </w:rPr>
        <w:t>(S</w:t>
      </w:r>
      <w:r w:rsidRPr="004E6467">
        <w:rPr>
          <w:rFonts w:eastAsia="Times New Roman" w:cs="Arial"/>
          <w:color w:val="000000"/>
          <w:lang w:eastAsia="bg-BG"/>
        </w:rPr>
        <w:t xml:space="preserve">-фаза) и при определени условия блокира развитието на клетки през </w:t>
      </w:r>
      <w:r w:rsidRPr="004E6467">
        <w:rPr>
          <w:rFonts w:eastAsia="Times New Roman" w:cs="Arial"/>
          <w:color w:val="000000"/>
          <w:lang w:val="en-US"/>
        </w:rPr>
        <w:t>G</w:t>
      </w:r>
      <w:r w:rsidRPr="004E6467">
        <w:rPr>
          <w:rFonts w:eastAsia="Times New Roman" w:cs="Arial"/>
          <w:color w:val="000000"/>
          <w:lang w:eastAsia="bg-BG"/>
        </w:rPr>
        <w:t>1</w:t>
      </w:r>
      <w:r w:rsidRPr="004E6467">
        <w:rPr>
          <w:rFonts w:eastAsia="Times New Roman" w:cs="Arial"/>
          <w:color w:val="000000"/>
          <w:lang w:val="en-US"/>
        </w:rPr>
        <w:t>/S</w:t>
      </w:r>
      <w:r w:rsidRPr="004E6467">
        <w:rPr>
          <w:rFonts w:eastAsia="Times New Roman" w:cs="Arial"/>
          <w:color w:val="000000"/>
          <w:lang w:eastAsia="bg-BG"/>
        </w:rPr>
        <w:t xml:space="preserve">-фазовата граница. Цитотоксичното действие на гемцитабин </w:t>
      </w:r>
      <w:r w:rsidRPr="004E6467">
        <w:rPr>
          <w:rFonts w:eastAsia="Times New Roman" w:cs="Arial"/>
          <w:i/>
          <w:iCs/>
          <w:color w:val="000000"/>
          <w:lang w:val="en-US"/>
        </w:rPr>
        <w:t>in vitro</w:t>
      </w:r>
      <w:r w:rsidRPr="004E6467">
        <w:rPr>
          <w:rFonts w:eastAsia="Times New Roman" w:cs="Arial"/>
          <w:color w:val="000000"/>
          <w:lang w:val="en-US"/>
        </w:rPr>
        <w:t xml:space="preserve"> </w:t>
      </w:r>
      <w:r w:rsidRPr="004E6467">
        <w:rPr>
          <w:rFonts w:eastAsia="Times New Roman" w:cs="Arial"/>
          <w:color w:val="000000"/>
          <w:lang w:eastAsia="bg-BG"/>
        </w:rPr>
        <w:t>зависи както от концентрацията, така и от времето.</w:t>
      </w:r>
    </w:p>
    <w:p w14:paraId="173999C1" w14:textId="77777777" w:rsidR="004E6467" w:rsidRPr="004E6467" w:rsidRDefault="004E6467" w:rsidP="004E6467">
      <w:pPr>
        <w:spacing w:line="240" w:lineRule="auto"/>
        <w:rPr>
          <w:rFonts w:eastAsia="Times New Roman" w:cs="Arial"/>
          <w:i/>
          <w:iCs/>
          <w:color w:val="000000"/>
          <w:lang w:eastAsia="bg-BG"/>
        </w:rPr>
      </w:pPr>
    </w:p>
    <w:p w14:paraId="4B8ED194" w14:textId="470EA0BF" w:rsidR="004E6467" w:rsidRPr="004E6467" w:rsidRDefault="004E6467" w:rsidP="004E6467">
      <w:pPr>
        <w:spacing w:line="240" w:lineRule="auto"/>
        <w:rPr>
          <w:rFonts w:eastAsia="Times New Roman" w:cs="Arial"/>
          <w:sz w:val="24"/>
          <w:szCs w:val="24"/>
          <w:lang w:eastAsia="bg-BG"/>
        </w:rPr>
      </w:pPr>
      <w:r w:rsidRPr="004E6467">
        <w:rPr>
          <w:rFonts w:eastAsia="Times New Roman" w:cs="Arial"/>
          <w:i/>
          <w:iCs/>
          <w:color w:val="000000"/>
          <w:lang w:eastAsia="bg-BG"/>
        </w:rPr>
        <w:t>Антитуморна активност в предклиничнимодели</w:t>
      </w:r>
    </w:p>
    <w:p w14:paraId="410AF893"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При животински туморни модели антитуморната активност на гемцитабин зависи от схемата на прилагане. Когато гемцитабин се прилага ежедневно, се наблюдава висока смъртност сред животните с минимална антитуморна активност. Когато обаче гемцитабин се приема на всеки трети или четвърти ден, той може да се прилага в нелегални дози, които имат значителна антитуморна активност срещу широк спектър тумори при мишки.</w:t>
      </w:r>
    </w:p>
    <w:p w14:paraId="1F52D052" w14:textId="77777777" w:rsidR="004E6467" w:rsidRPr="004E6467" w:rsidRDefault="004E6467" w:rsidP="004E6467">
      <w:pPr>
        <w:spacing w:line="240" w:lineRule="auto"/>
        <w:rPr>
          <w:rFonts w:eastAsia="Times New Roman" w:cs="Arial"/>
          <w:color w:val="000000"/>
          <w:u w:val="single"/>
          <w:lang w:eastAsia="bg-BG"/>
        </w:rPr>
      </w:pPr>
    </w:p>
    <w:p w14:paraId="5CEF0920" w14:textId="5B6A7D39"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u w:val="single"/>
          <w:lang w:eastAsia="bg-BG"/>
        </w:rPr>
        <w:t>Клинична ефикасност и безопасност</w:t>
      </w:r>
    </w:p>
    <w:p w14:paraId="593DF5C7"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i/>
          <w:iCs/>
          <w:color w:val="000000"/>
          <w:lang w:eastAsia="bg-BG"/>
        </w:rPr>
        <w:t>Карцином на пикочния мехур</w:t>
      </w:r>
    </w:p>
    <w:p w14:paraId="390AB560"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Рандомизирано проучване фаза III при 405 пациенти с напреднал или метастатичен уротелиален преходно-клетъчен карцином не показва разлика между двете терапевтични рамена, гемцитабин/цисплатин спрямо метотрексат/винбластин/адриамицин/цисплатин </w:t>
      </w:r>
      <w:r w:rsidRPr="004E6467">
        <w:rPr>
          <w:rFonts w:eastAsia="Times New Roman" w:cs="Arial"/>
          <w:color w:val="000000"/>
          <w:lang w:val="en-US"/>
        </w:rPr>
        <w:t xml:space="preserve">(MVAC), </w:t>
      </w:r>
      <w:r w:rsidRPr="004E6467">
        <w:rPr>
          <w:rFonts w:eastAsia="Times New Roman" w:cs="Arial"/>
          <w:color w:val="000000"/>
          <w:lang w:eastAsia="bg-BG"/>
        </w:rPr>
        <w:t xml:space="preserve">по отношение на средната преживяемост (12,8 и 14,8 месеца съответно, р = 0,547), време до прогресия на заболяването (7,4 и 7,6 месеца, съответно, р = 0,842) и степен на повлияване (49,4% и 45,7% съответно, р = 0,512). Въпреки това, комбинацията от гемцитабин и цисплатин има по-добър профил на безопасност от </w:t>
      </w:r>
      <w:r w:rsidRPr="004E6467">
        <w:rPr>
          <w:rFonts w:eastAsia="Times New Roman" w:cs="Arial"/>
          <w:color w:val="000000"/>
          <w:lang w:val="en-US"/>
        </w:rPr>
        <w:t>MVAC.</w:t>
      </w:r>
    </w:p>
    <w:p w14:paraId="6DA55FFD" w14:textId="77777777" w:rsidR="004E6467" w:rsidRPr="004E6467" w:rsidRDefault="004E6467" w:rsidP="004E6467">
      <w:pPr>
        <w:spacing w:line="240" w:lineRule="auto"/>
        <w:rPr>
          <w:rFonts w:eastAsia="Times New Roman" w:cs="Arial"/>
          <w:i/>
          <w:iCs/>
          <w:color w:val="000000"/>
          <w:lang w:eastAsia="bg-BG"/>
        </w:rPr>
      </w:pPr>
    </w:p>
    <w:p w14:paraId="6ADCF4CC" w14:textId="046D3C0D" w:rsidR="004E6467" w:rsidRPr="004E6467" w:rsidRDefault="004E6467" w:rsidP="004E6467">
      <w:pPr>
        <w:spacing w:line="240" w:lineRule="auto"/>
        <w:rPr>
          <w:rFonts w:eastAsia="Times New Roman" w:cs="Arial"/>
          <w:sz w:val="24"/>
          <w:szCs w:val="24"/>
          <w:lang w:eastAsia="bg-BG"/>
        </w:rPr>
      </w:pPr>
      <w:r w:rsidRPr="004E6467">
        <w:rPr>
          <w:rFonts w:eastAsia="Times New Roman" w:cs="Arial"/>
          <w:i/>
          <w:iCs/>
          <w:color w:val="000000"/>
          <w:lang w:eastAsia="bg-BG"/>
        </w:rPr>
        <w:t>Карцином на панкреаса</w:t>
      </w:r>
    </w:p>
    <w:p w14:paraId="39A8168B"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В рандомизирано проучване фаза Ш при 126 пациенти с напреднал или метастатичен рак на панкреаса, гемцитабин показва статистически значима по-висока степен на клинична полза от 5-флуорурацил (23,8% и 4,8% съответно, р = 0,0022). Също така, статистически значимо удължаване на времето до прогресия от 0,9 до 2,3 месеца </w:t>
      </w:r>
      <w:r w:rsidRPr="004E6467">
        <w:rPr>
          <w:rFonts w:eastAsia="Times New Roman" w:cs="Arial"/>
          <w:color w:val="000000"/>
          <w:lang w:val="en-US"/>
        </w:rPr>
        <w:t xml:space="preserve">(log-rank </w:t>
      </w:r>
      <w:r w:rsidRPr="004E6467">
        <w:rPr>
          <w:rFonts w:eastAsia="Times New Roman" w:cs="Arial"/>
          <w:color w:val="000000"/>
          <w:lang w:eastAsia="bg-BG"/>
        </w:rPr>
        <w:t xml:space="preserve">р &lt;0,0002) и статистически значимо удължаване на средната преживяемост от 4,4 - 5,7 месеца </w:t>
      </w:r>
      <w:r w:rsidRPr="004E6467">
        <w:rPr>
          <w:rFonts w:eastAsia="Times New Roman" w:cs="Arial"/>
          <w:color w:val="000000"/>
          <w:lang w:val="en-US"/>
        </w:rPr>
        <w:t xml:space="preserve">(log-rank </w:t>
      </w:r>
      <w:r w:rsidRPr="004E6467">
        <w:rPr>
          <w:rFonts w:eastAsia="Times New Roman" w:cs="Arial"/>
          <w:color w:val="000000"/>
          <w:lang w:eastAsia="bg-BG"/>
        </w:rPr>
        <w:t>р &lt;0,0024) се наблюдава при пациентите, лекувани с гемцитабин в сравнение с пациентите, лекувани с 5-флуорурацил.</w:t>
      </w:r>
    </w:p>
    <w:p w14:paraId="18415A90" w14:textId="77777777" w:rsidR="004E6467" w:rsidRPr="004E6467" w:rsidRDefault="004E6467" w:rsidP="004E6467">
      <w:pPr>
        <w:spacing w:line="240" w:lineRule="auto"/>
        <w:rPr>
          <w:rFonts w:eastAsia="Times New Roman" w:cs="Arial"/>
          <w:i/>
          <w:iCs/>
          <w:color w:val="000000"/>
          <w:lang w:eastAsia="bg-BG"/>
        </w:rPr>
      </w:pPr>
    </w:p>
    <w:p w14:paraId="0075A3A6" w14:textId="7C605F9F" w:rsidR="004E6467" w:rsidRPr="004E6467" w:rsidRDefault="004E6467" w:rsidP="004E6467">
      <w:pPr>
        <w:spacing w:line="240" w:lineRule="auto"/>
        <w:rPr>
          <w:rFonts w:eastAsia="Times New Roman" w:cs="Arial"/>
          <w:sz w:val="24"/>
          <w:szCs w:val="24"/>
          <w:lang w:eastAsia="bg-BG"/>
        </w:rPr>
      </w:pPr>
      <w:r w:rsidRPr="004E6467">
        <w:rPr>
          <w:rFonts w:eastAsia="Times New Roman" w:cs="Arial"/>
          <w:i/>
          <w:iCs/>
          <w:color w:val="000000"/>
          <w:lang w:eastAsia="bg-BG"/>
        </w:rPr>
        <w:t>Недребноклетъчен рак на белия дроб</w:t>
      </w:r>
    </w:p>
    <w:p w14:paraId="28252AA0" w14:textId="00F115C5" w:rsidR="0091385D"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В рандомизирано проучване фаза III при 522 пациенти с неоперабилен, локално напреднал или метастатичен НДКРБД, гемцитабин в комбинация с цисплатин показва статистически значима по-висока степен на повлияване от цисплатин самостоятелно (31,0% и 12,0% съответно р &lt;0,0001). Статистически значимо удължаване на времето до </w:t>
      </w:r>
      <w:r w:rsidRPr="004E6467">
        <w:rPr>
          <w:rFonts w:eastAsia="Times New Roman" w:cs="Arial"/>
          <w:color w:val="000000"/>
          <w:lang w:eastAsia="bg-BG"/>
        </w:rPr>
        <w:lastRenderedPageBreak/>
        <w:t>прогресия от 3,7 до 5,6 месеца</w:t>
      </w:r>
      <w:r w:rsidRPr="004E6467">
        <w:rPr>
          <w:rFonts w:eastAsia="Times New Roman" w:cs="Arial"/>
          <w:i/>
          <w:iCs/>
          <w:color w:val="000000"/>
          <w:lang w:val="en-US"/>
        </w:rPr>
        <w:t xml:space="preserve"> </w:t>
      </w:r>
      <w:r w:rsidRPr="004E6467">
        <w:rPr>
          <w:rFonts w:eastAsia="Times New Roman" w:cs="Arial"/>
          <w:color w:val="000000"/>
          <w:lang w:val="en-US"/>
        </w:rPr>
        <w:t xml:space="preserve">(log-rank </w:t>
      </w:r>
      <w:r w:rsidRPr="004E6467">
        <w:rPr>
          <w:rFonts w:eastAsia="Times New Roman" w:cs="Arial"/>
          <w:color w:val="000000"/>
          <w:lang w:eastAsia="bg-BG"/>
        </w:rPr>
        <w:t xml:space="preserve">р &lt;0,0012) и статистически значимо удължаване на средната преживяемост от 7,6 месеца до 9,1 месеца </w:t>
      </w:r>
      <w:r w:rsidRPr="004E6467">
        <w:rPr>
          <w:rFonts w:eastAsia="Times New Roman" w:cs="Arial"/>
          <w:color w:val="000000"/>
          <w:lang w:val="en-US"/>
        </w:rPr>
        <w:t xml:space="preserve">(log-rank </w:t>
      </w:r>
      <w:r w:rsidRPr="004E6467">
        <w:rPr>
          <w:rFonts w:eastAsia="Times New Roman" w:cs="Arial"/>
          <w:color w:val="000000"/>
          <w:lang w:eastAsia="bg-BG"/>
        </w:rPr>
        <w:t>р &lt;0,004) се наблюдава при пациенти, лекувани с</w:t>
      </w:r>
      <w:r>
        <w:rPr>
          <w:rFonts w:eastAsia="Times New Roman" w:cs="Arial"/>
          <w:sz w:val="24"/>
          <w:szCs w:val="24"/>
          <w:lang w:eastAsia="bg-BG"/>
        </w:rPr>
        <w:t xml:space="preserve"> </w:t>
      </w:r>
      <w:r w:rsidRPr="004E6467">
        <w:rPr>
          <w:rFonts w:eastAsia="Times New Roman" w:cs="Arial"/>
          <w:color w:val="000000"/>
          <w:lang w:eastAsia="bg-BG"/>
        </w:rPr>
        <w:t>гемцитабин/цисплатин в сравнение с пациенти, лекувани с цисплатин.</w:t>
      </w:r>
    </w:p>
    <w:p w14:paraId="36152471" w14:textId="1E3C0D46" w:rsidR="0091385D" w:rsidRPr="004E6467" w:rsidRDefault="0091385D" w:rsidP="0091385D">
      <w:pPr>
        <w:rPr>
          <w:rFonts w:cs="Arial"/>
        </w:rPr>
      </w:pPr>
    </w:p>
    <w:p w14:paraId="1D2506D4"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В друго рандомизирано проучване фаза Ш при 135 пациенти в стадий ШВ или IV на НДКРБД, комбинация от гемцитабин и цисплатин показва статистически значима по-висока степен на повлияване от комбинация на цисплатин и етопозид (40.6% и 21,2% съответно, р = 0,025). Статистически значимо удължаване на времето до прогресия от 4,3 до 6,9 месеца (р = 0,014) се наблюдава при пациенти, лекувани с гемцитабин/цисплатин в сравнение с пациентите, лекувани с етопозид/цисплатин.</w:t>
      </w:r>
    </w:p>
    <w:p w14:paraId="3083A465"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В двете проучвания е установено, че поносимостга е подобна и при двете терапевтични рамена.</w:t>
      </w:r>
    </w:p>
    <w:p w14:paraId="5125A63A" w14:textId="77777777" w:rsidR="004E6467" w:rsidRPr="004E6467" w:rsidRDefault="004E6467" w:rsidP="004E6467">
      <w:pPr>
        <w:spacing w:line="240" w:lineRule="auto"/>
        <w:rPr>
          <w:rFonts w:eastAsia="Times New Roman" w:cs="Arial"/>
          <w:i/>
          <w:iCs/>
          <w:color w:val="000000"/>
          <w:lang w:eastAsia="bg-BG"/>
        </w:rPr>
      </w:pPr>
    </w:p>
    <w:p w14:paraId="45468511" w14:textId="31F64E46" w:rsidR="004E6467" w:rsidRPr="004E6467" w:rsidRDefault="004E6467" w:rsidP="004E6467">
      <w:pPr>
        <w:spacing w:line="240" w:lineRule="auto"/>
        <w:rPr>
          <w:rFonts w:eastAsia="Times New Roman" w:cs="Arial"/>
          <w:sz w:val="24"/>
          <w:szCs w:val="24"/>
          <w:lang w:eastAsia="bg-BG"/>
        </w:rPr>
      </w:pPr>
      <w:r w:rsidRPr="004E6467">
        <w:rPr>
          <w:rFonts w:eastAsia="Times New Roman" w:cs="Arial"/>
          <w:i/>
          <w:iCs/>
          <w:color w:val="000000"/>
          <w:lang w:eastAsia="bg-BG"/>
        </w:rPr>
        <w:t>Карцином на яйчника</w:t>
      </w:r>
    </w:p>
    <w:p w14:paraId="3D6BB6DE" w14:textId="6543BBB6"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В рандомизирано проучване фаза</w:t>
      </w:r>
      <w:r>
        <w:rPr>
          <w:rFonts w:eastAsia="Times New Roman" w:cs="Arial"/>
          <w:color w:val="000000"/>
          <w:lang w:eastAsia="bg-BG"/>
        </w:rPr>
        <w:t xml:space="preserve"> </w:t>
      </w:r>
      <w:r>
        <w:rPr>
          <w:rFonts w:cs="Arial"/>
          <w:color w:val="333333"/>
          <w:shd w:val="clear" w:color="auto" w:fill="FFFFFF"/>
        </w:rPr>
        <w:t>III</w:t>
      </w:r>
      <w:r w:rsidRPr="004E6467">
        <w:rPr>
          <w:rFonts w:eastAsia="Times New Roman" w:cs="Arial"/>
          <w:color w:val="000000"/>
          <w:lang w:eastAsia="bg-BG"/>
        </w:rPr>
        <w:t xml:space="preserve">, 356 пациенти с напреднал епителен овариален карцином, рецидивирал най-малко 6 месеца след завършване на лечение основано на платина, са рандомизирани на терапия с гемцитабин и карбоплатин </w:t>
      </w:r>
      <w:r w:rsidRPr="004E6467">
        <w:rPr>
          <w:rFonts w:eastAsia="Times New Roman" w:cs="Arial"/>
          <w:color w:val="000000"/>
          <w:lang w:val="en-US"/>
        </w:rPr>
        <w:t>(</w:t>
      </w:r>
      <w:proofErr w:type="spellStart"/>
      <w:r w:rsidRPr="004E6467">
        <w:rPr>
          <w:rFonts w:eastAsia="Times New Roman" w:cs="Arial"/>
          <w:color w:val="000000"/>
          <w:lang w:val="en-US"/>
        </w:rPr>
        <w:t>GCb</w:t>
      </w:r>
      <w:proofErr w:type="spellEnd"/>
      <w:r w:rsidRPr="004E6467">
        <w:rPr>
          <w:rFonts w:eastAsia="Times New Roman" w:cs="Arial"/>
          <w:color w:val="000000"/>
          <w:lang w:val="en-US"/>
        </w:rPr>
        <w:t xml:space="preserve">), </w:t>
      </w:r>
      <w:r w:rsidRPr="004E6467">
        <w:rPr>
          <w:rFonts w:eastAsia="Times New Roman" w:cs="Arial"/>
          <w:color w:val="000000"/>
          <w:lang w:eastAsia="bg-BG"/>
        </w:rPr>
        <w:t>или карбоплатин (С</w:t>
      </w:r>
      <w:r w:rsidRPr="004E6467">
        <w:rPr>
          <w:rFonts w:eastAsia="Times New Roman" w:cs="Arial"/>
          <w:color w:val="000000"/>
          <w:lang w:val="en-US"/>
        </w:rPr>
        <w:t>b</w:t>
      </w:r>
      <w:r w:rsidRPr="004E6467">
        <w:rPr>
          <w:rFonts w:eastAsia="Times New Roman" w:cs="Arial"/>
          <w:color w:val="000000"/>
          <w:lang w:eastAsia="bg-BG"/>
        </w:rPr>
        <w:t xml:space="preserve">). Статистически значимо удължаване на времето до прогресия на заболяването от 5,8 до 8,6 месеца </w:t>
      </w:r>
      <w:r w:rsidRPr="004E6467">
        <w:rPr>
          <w:rFonts w:eastAsia="Times New Roman" w:cs="Arial"/>
          <w:color w:val="000000"/>
          <w:lang w:val="en-US"/>
        </w:rPr>
        <w:t xml:space="preserve">(log-rank </w:t>
      </w:r>
      <w:r w:rsidRPr="004E6467">
        <w:rPr>
          <w:rFonts w:eastAsia="Times New Roman" w:cs="Arial"/>
          <w:color w:val="000000"/>
          <w:lang w:eastAsia="bg-BG"/>
        </w:rPr>
        <w:t xml:space="preserve">р = 0,0038) се наблюдава при пациентите, лекувани с </w:t>
      </w:r>
      <w:proofErr w:type="spellStart"/>
      <w:r w:rsidRPr="004E6467">
        <w:rPr>
          <w:rFonts w:eastAsia="Times New Roman" w:cs="Arial"/>
          <w:color w:val="000000"/>
          <w:lang w:val="en-US"/>
        </w:rPr>
        <w:t>GCb</w:t>
      </w:r>
      <w:proofErr w:type="spellEnd"/>
      <w:r w:rsidRPr="004E6467">
        <w:rPr>
          <w:rFonts w:eastAsia="Times New Roman" w:cs="Arial"/>
          <w:color w:val="000000"/>
          <w:lang w:val="en-US"/>
        </w:rPr>
        <w:t xml:space="preserve"> </w:t>
      </w:r>
      <w:r w:rsidRPr="004E6467">
        <w:rPr>
          <w:rFonts w:eastAsia="Times New Roman" w:cs="Arial"/>
          <w:color w:val="000000"/>
          <w:lang w:eastAsia="bg-BG"/>
        </w:rPr>
        <w:t>в сравнение с пациентите, лекувани с С</w:t>
      </w:r>
      <w:r w:rsidRPr="004E6467">
        <w:rPr>
          <w:rFonts w:eastAsia="Times New Roman" w:cs="Arial"/>
          <w:color w:val="000000"/>
          <w:lang w:val="en-US"/>
        </w:rPr>
        <w:t>b</w:t>
      </w:r>
      <w:r w:rsidRPr="004E6467">
        <w:rPr>
          <w:rFonts w:eastAsia="Times New Roman" w:cs="Arial"/>
          <w:color w:val="000000"/>
          <w:lang w:eastAsia="bg-BG"/>
        </w:rPr>
        <w:t xml:space="preserve">. Различията в степента на отговора от 47,2% в групата с </w:t>
      </w:r>
      <w:proofErr w:type="spellStart"/>
      <w:r w:rsidRPr="004E6467">
        <w:rPr>
          <w:rFonts w:eastAsia="Times New Roman" w:cs="Arial"/>
          <w:color w:val="000000"/>
          <w:lang w:val="en-US"/>
        </w:rPr>
        <w:t>GCb</w:t>
      </w:r>
      <w:proofErr w:type="spellEnd"/>
      <w:r w:rsidRPr="004E6467">
        <w:rPr>
          <w:rFonts w:eastAsia="Times New Roman" w:cs="Arial"/>
          <w:color w:val="000000"/>
          <w:lang w:val="en-US"/>
        </w:rPr>
        <w:t xml:space="preserve"> </w:t>
      </w:r>
      <w:r w:rsidRPr="004E6467">
        <w:rPr>
          <w:rFonts w:eastAsia="Times New Roman" w:cs="Arial"/>
          <w:color w:val="000000"/>
          <w:lang w:eastAsia="bg-BG"/>
        </w:rPr>
        <w:t>в сравнение с 30,9% в групата с С</w:t>
      </w:r>
      <w:r w:rsidRPr="004E6467">
        <w:rPr>
          <w:rFonts w:eastAsia="Times New Roman" w:cs="Arial"/>
          <w:color w:val="000000"/>
          <w:lang w:val="en-US"/>
        </w:rPr>
        <w:t>b</w:t>
      </w:r>
      <w:r w:rsidRPr="004E6467">
        <w:rPr>
          <w:rFonts w:eastAsia="Times New Roman" w:cs="Arial"/>
          <w:color w:val="000000"/>
          <w:lang w:eastAsia="bg-BG"/>
        </w:rPr>
        <w:t xml:space="preserve"> (р = 0,0016), и средната преживяемост от 18 месеца </w:t>
      </w:r>
      <w:r w:rsidRPr="004E6467">
        <w:rPr>
          <w:rFonts w:eastAsia="Times New Roman" w:cs="Arial"/>
          <w:color w:val="000000"/>
          <w:lang w:val="en-US"/>
        </w:rPr>
        <w:t>(</w:t>
      </w:r>
      <w:proofErr w:type="spellStart"/>
      <w:r w:rsidRPr="004E6467">
        <w:rPr>
          <w:rFonts w:eastAsia="Times New Roman" w:cs="Arial"/>
          <w:color w:val="000000"/>
          <w:lang w:val="en-US"/>
        </w:rPr>
        <w:t>GCb</w:t>
      </w:r>
      <w:proofErr w:type="spellEnd"/>
      <w:r w:rsidRPr="004E6467">
        <w:rPr>
          <w:rFonts w:eastAsia="Times New Roman" w:cs="Arial"/>
          <w:color w:val="000000"/>
          <w:lang w:val="en-US"/>
        </w:rPr>
        <w:t xml:space="preserve">) </w:t>
      </w:r>
      <w:r w:rsidRPr="004E6467">
        <w:rPr>
          <w:rFonts w:eastAsia="Times New Roman" w:cs="Arial"/>
          <w:color w:val="000000"/>
          <w:lang w:eastAsia="bg-BG"/>
        </w:rPr>
        <w:t>в сравнение със 17,3 (С</w:t>
      </w:r>
      <w:r w:rsidRPr="004E6467">
        <w:rPr>
          <w:rFonts w:eastAsia="Times New Roman" w:cs="Arial"/>
          <w:color w:val="000000"/>
          <w:lang w:val="en-US"/>
        </w:rPr>
        <w:t>b</w:t>
      </w:r>
      <w:r w:rsidRPr="004E6467">
        <w:rPr>
          <w:rFonts w:eastAsia="Times New Roman" w:cs="Arial"/>
          <w:color w:val="000000"/>
          <w:lang w:eastAsia="bg-BG"/>
        </w:rPr>
        <w:t xml:space="preserve">) (р = 0,73) подкрепят групата с </w:t>
      </w:r>
      <w:proofErr w:type="spellStart"/>
      <w:r w:rsidRPr="004E6467">
        <w:rPr>
          <w:rFonts w:eastAsia="Times New Roman" w:cs="Arial"/>
          <w:color w:val="000000"/>
          <w:lang w:val="en-US"/>
        </w:rPr>
        <w:t>GCb</w:t>
      </w:r>
      <w:proofErr w:type="spellEnd"/>
      <w:r w:rsidRPr="004E6467">
        <w:rPr>
          <w:rFonts w:eastAsia="Times New Roman" w:cs="Arial"/>
          <w:color w:val="000000"/>
          <w:lang w:val="en-US"/>
        </w:rPr>
        <w:t>.</w:t>
      </w:r>
    </w:p>
    <w:p w14:paraId="7EF5A753" w14:textId="77777777" w:rsidR="004E6467" w:rsidRPr="004E6467" w:rsidRDefault="004E6467" w:rsidP="004E6467">
      <w:pPr>
        <w:spacing w:line="240" w:lineRule="auto"/>
        <w:rPr>
          <w:rFonts w:eastAsia="Times New Roman" w:cs="Arial"/>
          <w:i/>
          <w:iCs/>
          <w:color w:val="000000"/>
          <w:lang w:eastAsia="bg-BG"/>
        </w:rPr>
      </w:pPr>
    </w:p>
    <w:p w14:paraId="68532662" w14:textId="2C66CDE5" w:rsidR="004E6467" w:rsidRPr="004E6467" w:rsidRDefault="004E6467" w:rsidP="004E6467">
      <w:pPr>
        <w:spacing w:line="240" w:lineRule="auto"/>
        <w:rPr>
          <w:rFonts w:eastAsia="Times New Roman" w:cs="Arial"/>
          <w:sz w:val="24"/>
          <w:szCs w:val="24"/>
          <w:lang w:eastAsia="bg-BG"/>
        </w:rPr>
      </w:pPr>
      <w:r w:rsidRPr="004E6467">
        <w:rPr>
          <w:rFonts w:eastAsia="Times New Roman" w:cs="Arial"/>
          <w:i/>
          <w:iCs/>
          <w:color w:val="000000"/>
          <w:lang w:eastAsia="bg-BG"/>
        </w:rPr>
        <w:t>Карцином на гърдата</w:t>
      </w:r>
    </w:p>
    <w:p w14:paraId="00D5EA6F" w14:textId="42759452" w:rsidR="004E6467" w:rsidRPr="004E6467" w:rsidRDefault="004E6467" w:rsidP="004E6467">
      <w:pPr>
        <w:rPr>
          <w:rFonts w:cs="Arial"/>
        </w:rPr>
      </w:pPr>
      <w:r w:rsidRPr="004E6467">
        <w:rPr>
          <w:rFonts w:eastAsia="Times New Roman" w:cs="Arial"/>
          <w:color w:val="000000"/>
          <w:lang w:eastAsia="bg-BG"/>
        </w:rPr>
        <w:t xml:space="preserve">В рандомизирано проучване фаза </w:t>
      </w:r>
      <w:r>
        <w:rPr>
          <w:rFonts w:cs="Arial"/>
          <w:color w:val="333333"/>
          <w:shd w:val="clear" w:color="auto" w:fill="FFFFFF"/>
        </w:rPr>
        <w:t>III</w:t>
      </w:r>
      <w:r w:rsidRPr="004E6467">
        <w:rPr>
          <w:rFonts w:eastAsia="Times New Roman" w:cs="Arial"/>
          <w:color w:val="000000"/>
          <w:lang w:eastAsia="bg-BG"/>
        </w:rPr>
        <w:t xml:space="preserve"> при 529 пациенти с неоперабилен, локално рецидивиращ или метастатичен рак на гърдата с рецидив след адювантна /неоадювантна химиотерапия, гемцитабин в комбинация с паклитаксел показва статистически значимо удължаване на времето до документираната прогресия на заболяването от 3,98 до 6,14 месеца </w:t>
      </w:r>
      <w:r w:rsidRPr="004E6467">
        <w:rPr>
          <w:rFonts w:eastAsia="Times New Roman" w:cs="Arial"/>
          <w:color w:val="000000"/>
          <w:lang w:val="en-US"/>
        </w:rPr>
        <w:t xml:space="preserve">(log-rank </w:t>
      </w:r>
      <w:r w:rsidRPr="004E6467">
        <w:rPr>
          <w:rFonts w:eastAsia="Times New Roman" w:cs="Arial"/>
          <w:color w:val="000000"/>
          <w:lang w:eastAsia="bg-BG"/>
        </w:rPr>
        <w:t xml:space="preserve">р = 0,0002) при пациенти, лекувани с гемцитабин /паклитаксел в сравнение с пациентите, лекувани с паклитаксел. След 377 смъртни случая, общата преживяемост е била 18,6 месеца спрямо 15,8 месеца </w:t>
      </w:r>
      <w:r w:rsidRPr="004E6467">
        <w:rPr>
          <w:rFonts w:eastAsia="Times New Roman" w:cs="Arial"/>
          <w:color w:val="000000"/>
          <w:lang w:val="en-US"/>
        </w:rPr>
        <w:t xml:space="preserve">(log-rank </w:t>
      </w:r>
      <w:r w:rsidRPr="004E6467">
        <w:rPr>
          <w:rFonts w:eastAsia="Times New Roman" w:cs="Arial"/>
          <w:color w:val="000000"/>
          <w:lang w:eastAsia="bg-BG"/>
        </w:rPr>
        <w:t xml:space="preserve">р = 0,0489, </w:t>
      </w:r>
      <w:r w:rsidRPr="004E6467">
        <w:rPr>
          <w:rFonts w:eastAsia="Times New Roman" w:cs="Arial"/>
          <w:color w:val="000000"/>
          <w:lang w:val="en-US"/>
        </w:rPr>
        <w:t xml:space="preserve">HR </w:t>
      </w:r>
      <w:r w:rsidRPr="004E6467">
        <w:rPr>
          <w:rFonts w:eastAsia="Times New Roman" w:cs="Arial"/>
          <w:color w:val="000000"/>
          <w:lang w:eastAsia="bg-BG"/>
        </w:rPr>
        <w:t>0,82) при пациенти, лекувани с гемцитабин /паклитаксел в сравнение с пациентите, лекувани с паклитаксел, а общата степен на отговор е била 41,4% и 26,2% съответно (р = 0,0002).</w:t>
      </w:r>
    </w:p>
    <w:p w14:paraId="7B7E6143" w14:textId="77777777" w:rsidR="004E6467" w:rsidRPr="0091385D" w:rsidRDefault="004E6467"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0C9EF62B"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Фармакокинетиката на гемцитабин е изследвана при 353 пациенти в седем проучвания. Възрастта на пациентите, 121 жени и 232 мъже, варира от 29 до 79 години. От тези пациенти приблизително 45% са били с недребноклетъчен карцином на белия дроб и 35% са диагностицирани с карцином на панкреаса. Следващите фармакокинетични параметри са получени за дози, вариращи от 500 до 2 592 </w:t>
      </w:r>
      <w:r w:rsidRPr="004E6467">
        <w:rPr>
          <w:rFonts w:eastAsia="Times New Roman" w:cs="Arial"/>
          <w:color w:val="000000"/>
          <w:lang w:val="en-US"/>
        </w:rPr>
        <w:t>mg/m</w:t>
      </w:r>
      <w:r w:rsidRPr="004E6467">
        <w:rPr>
          <w:rFonts w:eastAsia="Times New Roman" w:cs="Arial"/>
          <w:color w:val="000000"/>
          <w:vertAlign w:val="superscript"/>
          <w:lang w:val="en-US"/>
        </w:rPr>
        <w:t>2</w:t>
      </w:r>
      <w:r w:rsidRPr="004E6467">
        <w:rPr>
          <w:rFonts w:eastAsia="Times New Roman" w:cs="Arial"/>
          <w:color w:val="000000"/>
          <w:lang w:val="en-US"/>
        </w:rPr>
        <w:t xml:space="preserve">, </w:t>
      </w:r>
      <w:r w:rsidRPr="004E6467">
        <w:rPr>
          <w:rFonts w:eastAsia="Times New Roman" w:cs="Arial"/>
          <w:color w:val="000000"/>
          <w:lang w:eastAsia="bg-BG"/>
        </w:rPr>
        <w:t>които са инфузирани от 0,4 до 1,2 часа.</w:t>
      </w:r>
    </w:p>
    <w:p w14:paraId="10BB8D1E" w14:textId="77777777" w:rsidR="004E6467" w:rsidRPr="004E6467" w:rsidRDefault="004E6467" w:rsidP="004E6467">
      <w:pPr>
        <w:spacing w:line="240" w:lineRule="auto"/>
        <w:rPr>
          <w:rFonts w:eastAsia="Times New Roman" w:cs="Arial"/>
          <w:color w:val="000000"/>
          <w:u w:val="single"/>
          <w:lang w:eastAsia="bg-BG"/>
        </w:rPr>
      </w:pPr>
    </w:p>
    <w:p w14:paraId="4956899E" w14:textId="6E5367A1" w:rsidR="004E6467" w:rsidRPr="00DC4567" w:rsidRDefault="004E6467" w:rsidP="00DC4567">
      <w:pPr>
        <w:pStyle w:val="Heading3"/>
        <w:rPr>
          <w:rFonts w:eastAsia="Times New Roman"/>
          <w:u w:val="single"/>
          <w:lang w:eastAsia="bg-BG"/>
        </w:rPr>
      </w:pPr>
      <w:r w:rsidRPr="00DC4567">
        <w:rPr>
          <w:rFonts w:eastAsia="Times New Roman"/>
          <w:u w:val="single"/>
          <w:lang w:eastAsia="bg-BG"/>
        </w:rPr>
        <w:t>Абсорбция</w:t>
      </w:r>
    </w:p>
    <w:p w14:paraId="17EA3C81"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Максимални плазмени концентрации (получени в последните 5 минути на инфузията) са били от 3,2 до 45,5 μ</w:t>
      </w:r>
      <w:r w:rsidRPr="004E6467">
        <w:rPr>
          <w:rFonts w:eastAsia="Times New Roman" w:cs="Arial"/>
          <w:color w:val="000000"/>
          <w:lang w:val="en-US"/>
        </w:rPr>
        <w:t xml:space="preserve">g/ml. </w:t>
      </w:r>
      <w:r w:rsidRPr="004E6467">
        <w:rPr>
          <w:rFonts w:eastAsia="Times New Roman" w:cs="Arial"/>
          <w:color w:val="000000"/>
          <w:lang w:eastAsia="bg-BG"/>
        </w:rPr>
        <w:t xml:space="preserve">Плазмените концентрации на изходното съединение след </w:t>
      </w:r>
      <w:r w:rsidRPr="004E6467">
        <w:rPr>
          <w:rFonts w:eastAsia="Times New Roman" w:cs="Arial"/>
          <w:color w:val="000000"/>
          <w:lang w:eastAsia="bg-BG"/>
        </w:rPr>
        <w:lastRenderedPageBreak/>
        <w:t xml:space="preserve">еднократна доза от 1 000 </w:t>
      </w:r>
      <w:r w:rsidRPr="004E6467">
        <w:rPr>
          <w:rFonts w:eastAsia="Times New Roman" w:cs="Arial"/>
          <w:color w:val="000000"/>
          <w:lang w:val="en-US"/>
        </w:rPr>
        <w:t>mg/m</w:t>
      </w:r>
      <w:r w:rsidRPr="004E6467">
        <w:rPr>
          <w:rFonts w:eastAsia="Times New Roman" w:cs="Arial"/>
          <w:color w:val="000000"/>
          <w:vertAlign w:val="superscript"/>
          <w:lang w:val="en-US"/>
        </w:rPr>
        <w:t>2</w:t>
      </w:r>
      <w:r w:rsidRPr="004E6467">
        <w:rPr>
          <w:rFonts w:eastAsia="Times New Roman" w:cs="Arial"/>
          <w:color w:val="000000"/>
          <w:lang w:val="en-US"/>
        </w:rPr>
        <w:t xml:space="preserve"> </w:t>
      </w:r>
      <w:r w:rsidRPr="004E6467">
        <w:rPr>
          <w:rFonts w:eastAsia="Times New Roman" w:cs="Arial"/>
          <w:color w:val="000000"/>
          <w:lang w:eastAsia="bg-BG"/>
        </w:rPr>
        <w:t>за 30 минути са по-високи от 5 μ</w:t>
      </w:r>
      <w:r w:rsidRPr="004E6467">
        <w:rPr>
          <w:rFonts w:eastAsia="Times New Roman" w:cs="Arial"/>
          <w:color w:val="000000"/>
          <w:lang w:val="en-US"/>
        </w:rPr>
        <w:t xml:space="preserve">g/ml </w:t>
      </w:r>
      <w:r w:rsidRPr="004E6467">
        <w:rPr>
          <w:rFonts w:eastAsia="Times New Roman" w:cs="Arial"/>
          <w:color w:val="000000"/>
          <w:lang w:eastAsia="bg-BG"/>
        </w:rPr>
        <w:t>приблизително 30 минути след края на инфузията и по-високи от 0,4 μ</w:t>
      </w:r>
      <w:r w:rsidRPr="004E6467">
        <w:rPr>
          <w:rFonts w:eastAsia="Times New Roman" w:cs="Arial"/>
          <w:color w:val="000000"/>
          <w:lang w:val="en-US"/>
        </w:rPr>
        <w:t xml:space="preserve">g/ml </w:t>
      </w:r>
      <w:r w:rsidRPr="004E6467">
        <w:rPr>
          <w:rFonts w:eastAsia="Times New Roman" w:cs="Arial"/>
          <w:color w:val="000000"/>
          <w:lang w:eastAsia="bg-BG"/>
        </w:rPr>
        <w:t>след още един час.</w:t>
      </w:r>
    </w:p>
    <w:p w14:paraId="205169C5" w14:textId="77777777" w:rsidR="004E6467" w:rsidRPr="004E6467" w:rsidRDefault="004E6467" w:rsidP="004E6467">
      <w:pPr>
        <w:spacing w:line="240" w:lineRule="auto"/>
        <w:rPr>
          <w:rFonts w:eastAsia="Times New Roman" w:cs="Arial"/>
          <w:color w:val="000000"/>
          <w:u w:val="single"/>
          <w:lang w:eastAsia="bg-BG"/>
        </w:rPr>
      </w:pPr>
    </w:p>
    <w:p w14:paraId="101FECFE" w14:textId="7BD4731F" w:rsidR="004E6467" w:rsidRPr="004E6467" w:rsidRDefault="004E6467" w:rsidP="004E6467">
      <w:pPr>
        <w:spacing w:line="240" w:lineRule="auto"/>
        <w:rPr>
          <w:rFonts w:eastAsia="Times New Roman" w:cs="Arial"/>
          <w:sz w:val="24"/>
          <w:szCs w:val="24"/>
          <w:lang w:eastAsia="bg-BG"/>
        </w:rPr>
      </w:pPr>
      <w:r w:rsidRPr="00DC4567">
        <w:rPr>
          <w:rStyle w:val="Heading3Char"/>
          <w:u w:val="single"/>
          <w:lang w:eastAsia="bg-BG"/>
        </w:rPr>
        <w:t>Разпределение</w:t>
      </w:r>
    </w:p>
    <w:p w14:paraId="33D394BB"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Обемът на разпределение на централния компартимент е 12,4 1/</w:t>
      </w:r>
      <w:r w:rsidRPr="004E6467">
        <w:rPr>
          <w:rFonts w:eastAsia="Times New Roman" w:cs="Arial"/>
          <w:color w:val="000000"/>
          <w:lang w:val="en-US"/>
        </w:rPr>
        <w:t>m</w:t>
      </w:r>
      <w:r w:rsidRPr="004E6467">
        <w:rPr>
          <w:rFonts w:eastAsia="Times New Roman" w:cs="Arial"/>
          <w:color w:val="000000"/>
          <w:vertAlign w:val="superscript"/>
          <w:lang w:eastAsia="bg-BG"/>
        </w:rPr>
        <w:t>2</w:t>
      </w:r>
      <w:r w:rsidRPr="004E6467">
        <w:rPr>
          <w:rFonts w:eastAsia="Times New Roman" w:cs="Arial"/>
          <w:color w:val="000000"/>
          <w:lang w:eastAsia="bg-BG"/>
        </w:rPr>
        <w:t xml:space="preserve"> за жените и 17,5 </w:t>
      </w:r>
      <w:r w:rsidRPr="004E6467">
        <w:rPr>
          <w:rFonts w:eastAsia="Times New Roman" w:cs="Arial"/>
          <w:color w:val="000000"/>
          <w:lang w:val="en-US"/>
        </w:rPr>
        <w:t>l</w:t>
      </w:r>
      <w:r w:rsidRPr="004E6467">
        <w:rPr>
          <w:rFonts w:eastAsia="Times New Roman" w:cs="Arial"/>
          <w:color w:val="000000"/>
          <w:lang w:eastAsia="bg-BG"/>
        </w:rPr>
        <w:t>/</w:t>
      </w:r>
      <w:r w:rsidRPr="004E6467">
        <w:rPr>
          <w:rFonts w:eastAsia="Times New Roman" w:cs="Arial"/>
          <w:color w:val="000000"/>
          <w:lang w:val="en-US"/>
        </w:rPr>
        <w:t>m</w:t>
      </w:r>
      <w:r w:rsidRPr="004E6467">
        <w:rPr>
          <w:rFonts w:eastAsia="Times New Roman" w:cs="Arial"/>
          <w:color w:val="000000"/>
          <w:vertAlign w:val="superscript"/>
          <w:lang w:eastAsia="bg-BG"/>
        </w:rPr>
        <w:t>2</w:t>
      </w:r>
      <w:r w:rsidRPr="004E6467">
        <w:rPr>
          <w:rFonts w:eastAsia="Times New Roman" w:cs="Arial"/>
          <w:color w:val="000000"/>
          <w:lang w:eastAsia="bg-BG"/>
        </w:rPr>
        <w:t xml:space="preserve"> за мъжете (вариабилността между индивидите е 91,9%). Обемът на разпределение на периферния компартимент е 47,4 </w:t>
      </w:r>
      <w:r w:rsidRPr="004E6467">
        <w:rPr>
          <w:rFonts w:eastAsia="Times New Roman" w:cs="Arial"/>
          <w:color w:val="000000"/>
          <w:lang w:val="en-US"/>
        </w:rPr>
        <w:t>l/m</w:t>
      </w:r>
      <w:r w:rsidRPr="004E6467">
        <w:rPr>
          <w:rFonts w:eastAsia="Times New Roman" w:cs="Arial"/>
          <w:color w:val="000000"/>
          <w:vertAlign w:val="superscript"/>
          <w:lang w:eastAsia="bg-BG"/>
        </w:rPr>
        <w:t>2</w:t>
      </w:r>
      <w:r w:rsidRPr="004E6467">
        <w:rPr>
          <w:rFonts w:eastAsia="Times New Roman" w:cs="Arial"/>
          <w:color w:val="000000"/>
          <w:lang w:eastAsia="bg-BG"/>
        </w:rPr>
        <w:t>. Обемът на разпределение на периферния компартимент не се влияе от пола.</w:t>
      </w:r>
    </w:p>
    <w:p w14:paraId="56FD9636"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Свързването с плазмените протеини е незначително.</w:t>
      </w:r>
    </w:p>
    <w:p w14:paraId="148BA3FC" w14:textId="65B8E9D4" w:rsidR="0091385D" w:rsidRDefault="004E6467" w:rsidP="004E6467">
      <w:pPr>
        <w:rPr>
          <w:rFonts w:eastAsia="Times New Roman" w:cs="Arial"/>
          <w:color w:val="000000"/>
          <w:lang w:eastAsia="bg-BG"/>
        </w:rPr>
      </w:pPr>
      <w:r w:rsidRPr="004E6467">
        <w:rPr>
          <w:rFonts w:eastAsia="Times New Roman" w:cs="Arial"/>
          <w:color w:val="000000"/>
          <w:lang w:eastAsia="bg-BG"/>
        </w:rPr>
        <w:t>Време на полуживот: Варира от 42 до 94 минути в зависимост от възрастта и пола. При</w:t>
      </w:r>
      <w:r w:rsidRPr="004E6467">
        <w:rPr>
          <w:rFonts w:eastAsia="Times New Roman" w:cs="Arial"/>
          <w:color w:val="000000"/>
          <w:u w:val="single"/>
          <w:lang w:eastAsia="bg-BG"/>
        </w:rPr>
        <w:t xml:space="preserve"> </w:t>
      </w:r>
      <w:r w:rsidRPr="004E6467">
        <w:rPr>
          <w:rFonts w:eastAsia="Times New Roman" w:cs="Arial"/>
          <w:color w:val="000000"/>
          <w:lang w:eastAsia="bg-BG"/>
        </w:rPr>
        <w:t>препоръчваната схема на дозиране елиминирането на гемцитабин трябва да бъде</w:t>
      </w:r>
      <w:r w:rsidRPr="004E6467">
        <w:rPr>
          <w:rFonts w:eastAsia="Times New Roman" w:cs="Arial"/>
          <w:color w:val="000000"/>
          <w:lang w:val="en-US"/>
        </w:rPr>
        <w:t xml:space="preserve"> </w:t>
      </w:r>
      <w:r w:rsidRPr="004E6467">
        <w:rPr>
          <w:rFonts w:eastAsia="Times New Roman" w:cs="Arial"/>
          <w:color w:val="000000"/>
          <w:lang w:eastAsia="bg-BG"/>
        </w:rPr>
        <w:t>действително завършено за 5 до 11 часа от началото на инфузията. Гемцитабин не кумулира, когато се прилага веднъж седмично.</w:t>
      </w:r>
    </w:p>
    <w:p w14:paraId="01EF4548" w14:textId="534197C6" w:rsidR="004E6467" w:rsidRDefault="004E6467" w:rsidP="004E6467">
      <w:pPr>
        <w:rPr>
          <w:rFonts w:eastAsia="Times New Roman" w:cs="Arial"/>
          <w:color w:val="000000"/>
          <w:lang w:eastAsia="bg-BG"/>
        </w:rPr>
      </w:pPr>
    </w:p>
    <w:p w14:paraId="1AD967C1" w14:textId="77777777" w:rsidR="004E6467" w:rsidRPr="00DC4567" w:rsidRDefault="004E6467" w:rsidP="00DC4567">
      <w:pPr>
        <w:pStyle w:val="Heading3"/>
        <w:rPr>
          <w:rFonts w:eastAsia="Times New Roman"/>
          <w:u w:val="single"/>
          <w:lang w:eastAsia="bg-BG"/>
        </w:rPr>
      </w:pPr>
      <w:r w:rsidRPr="00DC4567">
        <w:rPr>
          <w:rFonts w:eastAsia="Times New Roman"/>
          <w:u w:val="single"/>
          <w:lang w:eastAsia="bg-BG"/>
        </w:rPr>
        <w:t>Биотрансформация</w:t>
      </w:r>
    </w:p>
    <w:p w14:paraId="216E18D4"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Гемцитабин се метаболизира бързо от цитидин деаминазата в черния дроб, бъбреците, кръвта и другите тъкани. Вътреклетъчният метаболизъм на гемцитабин продуцира гемцитабин моно-, ди- и трифосфати </w:t>
      </w:r>
      <w:r w:rsidRPr="004E6467">
        <w:rPr>
          <w:rFonts w:eastAsia="Times New Roman" w:cs="Arial"/>
          <w:color w:val="000000"/>
          <w:lang w:val="en-US"/>
        </w:rPr>
        <w:t>(</w:t>
      </w:r>
      <w:proofErr w:type="spellStart"/>
      <w:r w:rsidRPr="004E6467">
        <w:rPr>
          <w:rFonts w:eastAsia="Times New Roman" w:cs="Arial"/>
          <w:color w:val="000000"/>
          <w:lang w:val="en-US"/>
        </w:rPr>
        <w:t>dFdCMP</w:t>
      </w:r>
      <w:proofErr w:type="spellEnd"/>
      <w:r w:rsidRPr="004E6467">
        <w:rPr>
          <w:rFonts w:eastAsia="Times New Roman" w:cs="Arial"/>
          <w:color w:val="000000"/>
          <w:lang w:val="en-US"/>
        </w:rPr>
        <w:t xml:space="preserve">, </w:t>
      </w:r>
      <w:proofErr w:type="spellStart"/>
      <w:r w:rsidRPr="004E6467">
        <w:rPr>
          <w:rFonts w:eastAsia="Times New Roman" w:cs="Arial"/>
          <w:color w:val="000000"/>
          <w:lang w:val="en-US"/>
        </w:rPr>
        <w:t>dFdCDP</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и </w:t>
      </w:r>
      <w:proofErr w:type="spellStart"/>
      <w:r w:rsidRPr="004E6467">
        <w:rPr>
          <w:rFonts w:eastAsia="Times New Roman" w:cs="Arial"/>
          <w:color w:val="000000"/>
          <w:lang w:val="en-US"/>
        </w:rPr>
        <w:t>dFdCTP</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от които </w:t>
      </w:r>
      <w:proofErr w:type="spellStart"/>
      <w:r w:rsidRPr="004E6467">
        <w:rPr>
          <w:rFonts w:eastAsia="Times New Roman" w:cs="Arial"/>
          <w:color w:val="000000"/>
          <w:lang w:val="en-US"/>
        </w:rPr>
        <w:t>dFdCDP</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и </w:t>
      </w:r>
      <w:proofErr w:type="spellStart"/>
      <w:r w:rsidRPr="004E6467">
        <w:rPr>
          <w:rFonts w:eastAsia="Times New Roman" w:cs="Arial"/>
          <w:color w:val="000000"/>
          <w:lang w:val="en-US"/>
        </w:rPr>
        <w:t>dFdCTP</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се считат за активни. Тези вътреклетъчни метаболити не се откриват в плазмата или урината. Основният метаболит, 2' деокси 2', 2’ дифлуоруридин </w:t>
      </w:r>
      <w:r w:rsidRPr="004E6467">
        <w:rPr>
          <w:rFonts w:eastAsia="Times New Roman" w:cs="Arial"/>
          <w:color w:val="000000"/>
          <w:lang w:val="en-US"/>
        </w:rPr>
        <w:t>(</w:t>
      </w:r>
      <w:proofErr w:type="spellStart"/>
      <w:r w:rsidRPr="004E6467">
        <w:rPr>
          <w:rFonts w:eastAsia="Times New Roman" w:cs="Arial"/>
          <w:color w:val="000000"/>
          <w:lang w:val="en-US"/>
        </w:rPr>
        <w:t>dFdU</w:t>
      </w:r>
      <w:proofErr w:type="spellEnd"/>
      <w:r w:rsidRPr="004E6467">
        <w:rPr>
          <w:rFonts w:eastAsia="Times New Roman" w:cs="Arial"/>
          <w:color w:val="000000"/>
          <w:lang w:val="en-US"/>
        </w:rPr>
        <w:t xml:space="preserve">), </w:t>
      </w:r>
      <w:r w:rsidRPr="004E6467">
        <w:rPr>
          <w:rFonts w:eastAsia="Times New Roman" w:cs="Arial"/>
          <w:color w:val="000000"/>
          <w:lang w:eastAsia="bg-BG"/>
        </w:rPr>
        <w:t>намерен в плазмата и урината, не е активен.</w:t>
      </w:r>
    </w:p>
    <w:p w14:paraId="66EF4862" w14:textId="77777777" w:rsidR="004E6467" w:rsidRPr="004E6467" w:rsidRDefault="004E6467" w:rsidP="004E6467">
      <w:pPr>
        <w:spacing w:line="240" w:lineRule="auto"/>
        <w:rPr>
          <w:rFonts w:eastAsia="Times New Roman" w:cs="Arial"/>
          <w:color w:val="000000"/>
          <w:u w:val="single"/>
          <w:lang w:eastAsia="bg-BG"/>
        </w:rPr>
      </w:pPr>
    </w:p>
    <w:p w14:paraId="17BB3BF5" w14:textId="348ED788" w:rsidR="004E6467" w:rsidRPr="00DC4567" w:rsidRDefault="004E6467" w:rsidP="00DC4567">
      <w:pPr>
        <w:pStyle w:val="Heading3"/>
        <w:rPr>
          <w:rFonts w:eastAsia="Times New Roman"/>
          <w:u w:val="single"/>
          <w:lang w:eastAsia="bg-BG"/>
        </w:rPr>
      </w:pPr>
      <w:r w:rsidRPr="00DC4567">
        <w:rPr>
          <w:rFonts w:eastAsia="Times New Roman"/>
          <w:u w:val="single"/>
          <w:lang w:eastAsia="bg-BG"/>
        </w:rPr>
        <w:t>Елиминиране</w:t>
      </w:r>
    </w:p>
    <w:p w14:paraId="04F7EFAA"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Системният клирънс варира от 29,2 </w:t>
      </w:r>
      <w:r w:rsidRPr="004E6467">
        <w:rPr>
          <w:rFonts w:eastAsia="Times New Roman" w:cs="Arial"/>
          <w:color w:val="000000"/>
          <w:lang w:val="en-US"/>
        </w:rPr>
        <w:t>l/</w:t>
      </w:r>
      <w:proofErr w:type="spellStart"/>
      <w:r w:rsidRPr="004E6467">
        <w:rPr>
          <w:rFonts w:eastAsia="Times New Roman" w:cs="Arial"/>
          <w:color w:val="000000"/>
          <w:lang w:val="en-US"/>
        </w:rPr>
        <w:t>hr</w:t>
      </w:r>
      <w:proofErr w:type="spellEnd"/>
      <w:r w:rsidRPr="004E6467">
        <w:rPr>
          <w:rFonts w:eastAsia="Times New Roman" w:cs="Arial"/>
          <w:color w:val="000000"/>
          <w:lang w:val="en-US"/>
        </w:rPr>
        <w:t>/m</w:t>
      </w:r>
      <w:r w:rsidRPr="004E6467">
        <w:rPr>
          <w:rFonts w:eastAsia="Times New Roman" w:cs="Arial"/>
          <w:color w:val="000000"/>
          <w:vertAlign w:val="superscript"/>
          <w:lang w:val="en-US"/>
        </w:rPr>
        <w:t>2</w:t>
      </w:r>
      <w:r w:rsidRPr="004E6467">
        <w:rPr>
          <w:rFonts w:eastAsia="Times New Roman" w:cs="Arial"/>
          <w:color w:val="000000"/>
          <w:lang w:val="en-US"/>
        </w:rPr>
        <w:t xml:space="preserve"> </w:t>
      </w:r>
      <w:r w:rsidRPr="004E6467">
        <w:rPr>
          <w:rFonts w:eastAsia="Times New Roman" w:cs="Arial"/>
          <w:color w:val="000000"/>
          <w:lang w:eastAsia="bg-BG"/>
        </w:rPr>
        <w:t xml:space="preserve">до 92,2 </w:t>
      </w:r>
      <w:r w:rsidRPr="004E6467">
        <w:rPr>
          <w:rFonts w:eastAsia="Times New Roman" w:cs="Arial"/>
          <w:color w:val="000000"/>
          <w:lang w:val="en-US"/>
        </w:rPr>
        <w:t>/</w:t>
      </w:r>
      <w:proofErr w:type="spellStart"/>
      <w:r w:rsidRPr="004E6467">
        <w:rPr>
          <w:rFonts w:eastAsia="Times New Roman" w:cs="Arial"/>
          <w:color w:val="000000"/>
          <w:lang w:val="en-US"/>
        </w:rPr>
        <w:t>hr</w:t>
      </w:r>
      <w:proofErr w:type="spellEnd"/>
      <w:r w:rsidRPr="004E6467">
        <w:rPr>
          <w:rFonts w:eastAsia="Times New Roman" w:cs="Arial"/>
          <w:color w:val="000000"/>
          <w:lang w:val="en-US"/>
        </w:rPr>
        <w:t>/m</w:t>
      </w:r>
      <w:r w:rsidRPr="004E6467">
        <w:rPr>
          <w:rFonts w:eastAsia="Times New Roman" w:cs="Arial"/>
          <w:color w:val="000000"/>
          <w:vertAlign w:val="superscript"/>
          <w:lang w:val="en-US"/>
        </w:rPr>
        <w:t>2</w:t>
      </w:r>
      <w:r w:rsidRPr="004E6467">
        <w:rPr>
          <w:rFonts w:eastAsia="Times New Roman" w:cs="Arial"/>
          <w:color w:val="000000"/>
          <w:lang w:val="en-US"/>
        </w:rPr>
        <w:t xml:space="preserve"> </w:t>
      </w:r>
      <w:r w:rsidRPr="004E6467">
        <w:rPr>
          <w:rFonts w:eastAsia="Times New Roman" w:cs="Arial"/>
          <w:color w:val="000000"/>
          <w:lang w:eastAsia="bg-BG"/>
        </w:rPr>
        <w:t xml:space="preserve">в зависимост от пола и възрастта (вариабилност между индивидите 52,2%). Клирънсът при жени е приблизително 25% по-нисък от стойностите при мъже. Въпреки че е бърз, клирънсът както за мъже, така и за жени показва понижаване с възрастта. За препоръчителната доза гемцитабин от 1 000 </w:t>
      </w:r>
      <w:r w:rsidRPr="004E6467">
        <w:rPr>
          <w:rFonts w:eastAsia="Times New Roman" w:cs="Arial"/>
          <w:color w:val="000000"/>
          <w:lang w:val="en-US"/>
        </w:rPr>
        <w:t>mg/m</w:t>
      </w:r>
      <w:r w:rsidRPr="004E6467">
        <w:rPr>
          <w:rFonts w:eastAsia="Times New Roman" w:cs="Arial"/>
          <w:color w:val="000000"/>
          <w:vertAlign w:val="superscript"/>
          <w:lang w:val="en-US"/>
        </w:rPr>
        <w:t>2</w:t>
      </w:r>
      <w:r w:rsidRPr="004E6467">
        <w:rPr>
          <w:rFonts w:eastAsia="Times New Roman" w:cs="Arial"/>
          <w:color w:val="000000"/>
          <w:lang w:val="en-US"/>
        </w:rPr>
        <w:t xml:space="preserve">, </w:t>
      </w:r>
      <w:r w:rsidRPr="004E6467">
        <w:rPr>
          <w:rFonts w:eastAsia="Times New Roman" w:cs="Arial"/>
          <w:color w:val="000000"/>
          <w:lang w:eastAsia="bg-BG"/>
        </w:rPr>
        <w:t>приложена в 30 минутна инфузия, по-ниските стойности на клирънса за жени и мъже не налагат понижаване дозата на гемцитабин.</w:t>
      </w:r>
    </w:p>
    <w:p w14:paraId="36B1EF13"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Екскреция с урината: По-малко от 10% се екскретира като непроменено лекарство. Бъбречният клирънс е 2 до 7 </w:t>
      </w:r>
      <w:r w:rsidRPr="004E6467">
        <w:rPr>
          <w:rFonts w:eastAsia="Times New Roman" w:cs="Arial"/>
          <w:color w:val="000000"/>
          <w:lang w:val="en-US"/>
        </w:rPr>
        <w:t>l/</w:t>
      </w:r>
      <w:proofErr w:type="spellStart"/>
      <w:r w:rsidRPr="004E6467">
        <w:rPr>
          <w:rFonts w:eastAsia="Times New Roman" w:cs="Arial"/>
          <w:color w:val="000000"/>
          <w:lang w:val="en-US"/>
        </w:rPr>
        <w:t>hr</w:t>
      </w:r>
      <w:proofErr w:type="spellEnd"/>
      <w:r w:rsidRPr="004E6467">
        <w:rPr>
          <w:rFonts w:eastAsia="Times New Roman" w:cs="Arial"/>
          <w:color w:val="000000"/>
          <w:lang w:val="en-US"/>
        </w:rPr>
        <w:t>/m</w:t>
      </w:r>
      <w:r w:rsidRPr="004E6467">
        <w:rPr>
          <w:rFonts w:eastAsia="Times New Roman" w:cs="Arial"/>
          <w:color w:val="000000"/>
          <w:vertAlign w:val="superscript"/>
          <w:lang w:val="en-US"/>
        </w:rPr>
        <w:t>2</w:t>
      </w:r>
      <w:r w:rsidRPr="004E6467">
        <w:rPr>
          <w:rFonts w:eastAsia="Times New Roman" w:cs="Arial"/>
          <w:color w:val="000000"/>
          <w:lang w:val="en-US"/>
        </w:rPr>
        <w:t>.</w:t>
      </w:r>
    </w:p>
    <w:p w14:paraId="3D8A4191" w14:textId="77777777" w:rsidR="004E6467" w:rsidRPr="004E6467" w:rsidRDefault="004E6467" w:rsidP="004E6467">
      <w:pPr>
        <w:spacing w:line="240" w:lineRule="auto"/>
        <w:rPr>
          <w:rFonts w:eastAsia="Times New Roman" w:cs="Arial"/>
          <w:color w:val="000000"/>
          <w:lang w:eastAsia="bg-BG"/>
        </w:rPr>
      </w:pPr>
    </w:p>
    <w:p w14:paraId="632D8D15" w14:textId="04B8B87D"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В седмицата след приложението, 92 до 98% от дозата гемцитабин се отделя 99% в урината, главно като </w:t>
      </w:r>
      <w:proofErr w:type="spellStart"/>
      <w:r w:rsidRPr="004E6467">
        <w:rPr>
          <w:rFonts w:eastAsia="Times New Roman" w:cs="Arial"/>
          <w:color w:val="000000"/>
          <w:lang w:val="en-US"/>
        </w:rPr>
        <w:t>dFdU</w:t>
      </w:r>
      <w:proofErr w:type="spellEnd"/>
      <w:r w:rsidRPr="004E6467">
        <w:rPr>
          <w:rFonts w:eastAsia="Times New Roman" w:cs="Arial"/>
          <w:color w:val="000000"/>
          <w:lang w:val="en-US"/>
        </w:rPr>
        <w:t xml:space="preserve">, </w:t>
      </w:r>
      <w:r w:rsidRPr="004E6467">
        <w:rPr>
          <w:rFonts w:eastAsia="Times New Roman" w:cs="Arial"/>
          <w:color w:val="000000"/>
          <w:lang w:eastAsia="bg-BG"/>
        </w:rPr>
        <w:t>и 1% от дозата се екскретира с фекалиите.</w:t>
      </w:r>
    </w:p>
    <w:p w14:paraId="0C871074" w14:textId="77777777" w:rsidR="004E6467" w:rsidRPr="004E6467" w:rsidRDefault="004E6467" w:rsidP="004E6467">
      <w:pPr>
        <w:spacing w:line="240" w:lineRule="auto"/>
        <w:rPr>
          <w:rFonts w:eastAsia="Times New Roman" w:cs="Arial"/>
          <w:color w:val="000000"/>
          <w:u w:val="single"/>
          <w:lang w:eastAsia="bg-BG"/>
        </w:rPr>
      </w:pPr>
    </w:p>
    <w:p w14:paraId="658A4F05" w14:textId="5445958C"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u w:val="single"/>
          <w:lang w:eastAsia="bg-BG"/>
        </w:rPr>
        <w:t xml:space="preserve">Фармакокинетика на </w:t>
      </w:r>
      <w:proofErr w:type="spellStart"/>
      <w:r w:rsidRPr="004E6467">
        <w:rPr>
          <w:rFonts w:eastAsia="Times New Roman" w:cs="Arial"/>
          <w:color w:val="000000"/>
          <w:u w:val="single"/>
          <w:lang w:val="en-US"/>
        </w:rPr>
        <w:t>dFdCTP</w:t>
      </w:r>
      <w:proofErr w:type="spellEnd"/>
    </w:p>
    <w:p w14:paraId="06065E58"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Този метаболит може да се открие в мононуклеарите на периферната кръв, като информацията по-долу се отнася за тези клетки. Вътреклетъчните концентрации нарастват пропорционално на дозите на гемцитабин от 35-350 </w:t>
      </w:r>
      <w:r w:rsidRPr="004E6467">
        <w:rPr>
          <w:rFonts w:eastAsia="Times New Roman" w:cs="Arial"/>
          <w:color w:val="000000"/>
          <w:lang w:val="en-US"/>
        </w:rPr>
        <w:t>mg/m</w:t>
      </w:r>
      <w:r w:rsidRPr="004E6467">
        <w:rPr>
          <w:rFonts w:eastAsia="Times New Roman" w:cs="Arial"/>
          <w:color w:val="000000"/>
          <w:vertAlign w:val="superscript"/>
          <w:lang w:val="en-US"/>
        </w:rPr>
        <w:t>2</w:t>
      </w:r>
      <w:r w:rsidRPr="004E6467">
        <w:rPr>
          <w:rFonts w:eastAsia="Times New Roman" w:cs="Arial"/>
          <w:color w:val="000000"/>
          <w:lang w:val="en-US"/>
        </w:rPr>
        <w:t xml:space="preserve"> </w:t>
      </w:r>
      <w:r w:rsidRPr="004E6467">
        <w:rPr>
          <w:rFonts w:eastAsia="Times New Roman" w:cs="Arial"/>
          <w:color w:val="000000"/>
          <w:lang w:eastAsia="bg-BG"/>
        </w:rPr>
        <w:t>за 30 минути, които дават концентрации в стационарно състояние от 0,4-5 μ</w:t>
      </w:r>
      <w:r w:rsidRPr="004E6467">
        <w:rPr>
          <w:rFonts w:eastAsia="Times New Roman" w:cs="Arial"/>
          <w:color w:val="000000"/>
          <w:lang w:val="en-US"/>
        </w:rPr>
        <w:t xml:space="preserve">g/ml. </w:t>
      </w:r>
      <w:r w:rsidRPr="004E6467">
        <w:rPr>
          <w:rFonts w:eastAsia="Times New Roman" w:cs="Arial"/>
          <w:color w:val="000000"/>
          <w:lang w:eastAsia="bg-BG"/>
        </w:rPr>
        <w:t>При плазмени концентрации на гемцитабин над 5 μ</w:t>
      </w:r>
      <w:r w:rsidRPr="004E6467">
        <w:rPr>
          <w:rFonts w:eastAsia="Times New Roman" w:cs="Arial"/>
          <w:color w:val="000000"/>
          <w:lang w:val="en-US"/>
        </w:rPr>
        <w:t xml:space="preserve">g/ml, </w:t>
      </w:r>
      <w:r w:rsidRPr="004E6467">
        <w:rPr>
          <w:rFonts w:eastAsia="Times New Roman" w:cs="Arial"/>
          <w:color w:val="000000"/>
          <w:lang w:eastAsia="bg-BG"/>
        </w:rPr>
        <w:t xml:space="preserve">нивата на </w:t>
      </w:r>
      <w:proofErr w:type="spellStart"/>
      <w:r w:rsidRPr="004E6467">
        <w:rPr>
          <w:rFonts w:eastAsia="Times New Roman" w:cs="Arial"/>
          <w:color w:val="000000"/>
          <w:lang w:val="en-US"/>
        </w:rPr>
        <w:t>dFdCTP</w:t>
      </w:r>
      <w:proofErr w:type="spellEnd"/>
      <w:r w:rsidRPr="004E6467">
        <w:rPr>
          <w:rFonts w:eastAsia="Times New Roman" w:cs="Arial"/>
          <w:color w:val="000000"/>
          <w:lang w:val="en-US"/>
        </w:rPr>
        <w:t xml:space="preserve"> </w:t>
      </w:r>
      <w:r w:rsidRPr="004E6467">
        <w:rPr>
          <w:rFonts w:eastAsia="Times New Roman" w:cs="Arial"/>
          <w:color w:val="000000"/>
          <w:lang w:eastAsia="bg-BG"/>
        </w:rPr>
        <w:t>не се повишават, показвайки че образуването му в тези клетки е достигнало насищане. Терминален елиминационен полуживот: 0,7-12 часа.</w:t>
      </w:r>
    </w:p>
    <w:p w14:paraId="68C4783C" w14:textId="77777777" w:rsidR="004E6467" w:rsidRPr="004E6467" w:rsidRDefault="004E6467" w:rsidP="004E6467">
      <w:pPr>
        <w:spacing w:line="240" w:lineRule="auto"/>
        <w:rPr>
          <w:rFonts w:eastAsia="Times New Roman" w:cs="Arial"/>
          <w:color w:val="000000"/>
          <w:u w:val="single"/>
          <w:lang w:eastAsia="bg-BG"/>
        </w:rPr>
      </w:pPr>
    </w:p>
    <w:p w14:paraId="3D5DFC2F" w14:textId="53FE95C5"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u w:val="single"/>
          <w:lang w:eastAsia="bg-BG"/>
        </w:rPr>
        <w:t xml:space="preserve">Фармакокинетика на </w:t>
      </w:r>
      <w:proofErr w:type="spellStart"/>
      <w:r w:rsidRPr="004E6467">
        <w:rPr>
          <w:rFonts w:eastAsia="Times New Roman" w:cs="Arial"/>
          <w:color w:val="000000"/>
          <w:u w:val="single"/>
          <w:lang w:val="en-US"/>
        </w:rPr>
        <w:t>dFdU</w:t>
      </w:r>
      <w:proofErr w:type="spellEnd"/>
    </w:p>
    <w:p w14:paraId="59A062FA"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Максимални плазмени концентрации (3-15 минути след края на 30 минутна инфузия, 1 000 </w:t>
      </w:r>
      <w:r w:rsidRPr="004E6467">
        <w:rPr>
          <w:rFonts w:eastAsia="Times New Roman" w:cs="Arial"/>
          <w:color w:val="000000"/>
          <w:lang w:val="en-US"/>
        </w:rPr>
        <w:t>mg/m</w:t>
      </w:r>
      <w:r w:rsidRPr="004E6467">
        <w:rPr>
          <w:rFonts w:eastAsia="Times New Roman" w:cs="Arial"/>
          <w:color w:val="000000"/>
          <w:vertAlign w:val="superscript"/>
          <w:lang w:val="en-US"/>
        </w:rPr>
        <w:t>2</w:t>
      </w:r>
      <w:r w:rsidRPr="004E6467">
        <w:rPr>
          <w:rFonts w:eastAsia="Times New Roman" w:cs="Arial"/>
          <w:color w:val="000000"/>
          <w:lang w:val="en-US"/>
        </w:rPr>
        <w:t xml:space="preserve">): </w:t>
      </w:r>
      <w:r w:rsidRPr="004E6467">
        <w:rPr>
          <w:rFonts w:eastAsia="Times New Roman" w:cs="Arial"/>
          <w:color w:val="000000"/>
          <w:lang w:eastAsia="bg-BG"/>
        </w:rPr>
        <w:t>28-52 μ</w:t>
      </w:r>
      <w:r w:rsidRPr="004E6467">
        <w:rPr>
          <w:rFonts w:eastAsia="Times New Roman" w:cs="Arial"/>
          <w:color w:val="000000"/>
          <w:lang w:val="en-US"/>
        </w:rPr>
        <w:t xml:space="preserve">g/ml. </w:t>
      </w:r>
      <w:r w:rsidRPr="004E6467">
        <w:rPr>
          <w:rFonts w:eastAsia="Times New Roman" w:cs="Arial"/>
          <w:color w:val="000000"/>
          <w:lang w:eastAsia="bg-BG"/>
        </w:rPr>
        <w:t>Най-ниска концентрация след еднократна седмична доза: 0,07 - 1,12 μ</w:t>
      </w:r>
      <w:r w:rsidRPr="004E6467">
        <w:rPr>
          <w:rFonts w:eastAsia="Times New Roman" w:cs="Arial"/>
          <w:color w:val="000000"/>
          <w:lang w:val="en-US"/>
        </w:rPr>
        <w:t xml:space="preserve">g/ml </w:t>
      </w:r>
      <w:r w:rsidRPr="004E6467">
        <w:rPr>
          <w:rFonts w:eastAsia="Times New Roman" w:cs="Arial"/>
          <w:color w:val="000000"/>
          <w:lang w:eastAsia="bg-BG"/>
        </w:rPr>
        <w:t>без видимо кумулиране. Плазмена концентрация намаляваща във времето в три фази, среден полуживот на терминалната фаза - 65 часа (диапазон 33 - 84 часа).</w:t>
      </w:r>
    </w:p>
    <w:p w14:paraId="7901EABB"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Образуване на </w:t>
      </w:r>
      <w:proofErr w:type="spellStart"/>
      <w:r w:rsidRPr="004E6467">
        <w:rPr>
          <w:rFonts w:eastAsia="Times New Roman" w:cs="Arial"/>
          <w:color w:val="000000"/>
          <w:lang w:val="en-US"/>
        </w:rPr>
        <w:t>dFdU</w:t>
      </w:r>
      <w:proofErr w:type="spellEnd"/>
      <w:r w:rsidRPr="004E6467">
        <w:rPr>
          <w:rFonts w:eastAsia="Times New Roman" w:cs="Arial"/>
          <w:color w:val="000000"/>
          <w:lang w:val="en-US"/>
        </w:rPr>
        <w:t xml:space="preserve"> </w:t>
      </w:r>
      <w:r w:rsidRPr="004E6467">
        <w:rPr>
          <w:rFonts w:eastAsia="Times New Roman" w:cs="Arial"/>
          <w:color w:val="000000"/>
          <w:lang w:eastAsia="bg-BG"/>
        </w:rPr>
        <w:t>от изходното съединение: 91% - 98%</w:t>
      </w:r>
    </w:p>
    <w:p w14:paraId="599706F0"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lastRenderedPageBreak/>
        <w:t>Среден обем на разпределение на централния компартмент: 181/</w:t>
      </w:r>
      <w:r w:rsidRPr="004E6467">
        <w:rPr>
          <w:rFonts w:eastAsia="Times New Roman" w:cs="Arial"/>
          <w:color w:val="000000"/>
          <w:lang w:val="en-US"/>
        </w:rPr>
        <w:t>m</w:t>
      </w:r>
      <w:r w:rsidRPr="004E6467">
        <w:rPr>
          <w:rFonts w:eastAsia="Times New Roman" w:cs="Arial"/>
          <w:color w:val="000000"/>
          <w:vertAlign w:val="superscript"/>
          <w:lang w:eastAsia="bg-BG"/>
        </w:rPr>
        <w:t>2</w:t>
      </w:r>
      <w:r w:rsidRPr="004E6467">
        <w:rPr>
          <w:rFonts w:eastAsia="Times New Roman" w:cs="Arial"/>
          <w:color w:val="000000"/>
          <w:lang w:eastAsia="bg-BG"/>
        </w:rPr>
        <w:t xml:space="preserve"> (диапазон 11-22 </w:t>
      </w:r>
      <w:r w:rsidRPr="004E6467">
        <w:rPr>
          <w:rFonts w:eastAsia="Times New Roman" w:cs="Arial"/>
          <w:color w:val="000000"/>
          <w:lang w:val="en-US"/>
        </w:rPr>
        <w:t>l</w:t>
      </w:r>
      <w:r w:rsidRPr="004E6467">
        <w:rPr>
          <w:rFonts w:eastAsia="Times New Roman" w:cs="Arial"/>
          <w:color w:val="000000"/>
          <w:lang w:eastAsia="bg-BG"/>
        </w:rPr>
        <w:t>/</w:t>
      </w:r>
      <w:r w:rsidRPr="004E6467">
        <w:rPr>
          <w:rFonts w:eastAsia="Times New Roman" w:cs="Arial"/>
          <w:color w:val="000000"/>
          <w:lang w:val="en-US"/>
        </w:rPr>
        <w:t>m</w:t>
      </w:r>
      <w:r w:rsidRPr="004E6467">
        <w:rPr>
          <w:rFonts w:eastAsia="Times New Roman" w:cs="Arial"/>
          <w:color w:val="000000"/>
          <w:vertAlign w:val="superscript"/>
          <w:lang w:eastAsia="bg-BG"/>
        </w:rPr>
        <w:t>2</w:t>
      </w:r>
      <w:r w:rsidRPr="004E6467">
        <w:rPr>
          <w:rFonts w:eastAsia="Times New Roman" w:cs="Arial"/>
          <w:color w:val="000000"/>
          <w:lang w:eastAsia="bg-BG"/>
        </w:rPr>
        <w:t xml:space="preserve">). Среден обем на разпределение в стационарно състояние </w:t>
      </w:r>
      <w:r w:rsidRPr="004E6467">
        <w:rPr>
          <w:rFonts w:eastAsia="Times New Roman" w:cs="Arial"/>
          <w:color w:val="000000"/>
          <w:lang w:val="en-US"/>
        </w:rPr>
        <w:t>(</w:t>
      </w:r>
      <w:proofErr w:type="spellStart"/>
      <w:r w:rsidRPr="004E6467">
        <w:rPr>
          <w:rFonts w:eastAsia="Times New Roman" w:cs="Arial"/>
          <w:color w:val="000000"/>
          <w:lang w:val="en-US"/>
        </w:rPr>
        <w:t>Vss</w:t>
      </w:r>
      <w:proofErr w:type="spellEnd"/>
      <w:r w:rsidRPr="004E6467">
        <w:rPr>
          <w:rFonts w:eastAsia="Times New Roman" w:cs="Arial"/>
          <w:color w:val="000000"/>
          <w:lang w:val="en-US"/>
        </w:rPr>
        <w:t xml:space="preserve">): </w:t>
      </w:r>
      <w:r w:rsidRPr="004E6467">
        <w:rPr>
          <w:rFonts w:eastAsia="Times New Roman" w:cs="Arial"/>
          <w:color w:val="000000"/>
          <w:lang w:eastAsia="bg-BG"/>
        </w:rPr>
        <w:t xml:space="preserve">150 </w:t>
      </w:r>
      <w:r w:rsidRPr="004E6467">
        <w:rPr>
          <w:rFonts w:eastAsia="Times New Roman" w:cs="Arial"/>
          <w:color w:val="000000"/>
          <w:lang w:val="en-US"/>
        </w:rPr>
        <w:t>l/m</w:t>
      </w:r>
      <w:r w:rsidRPr="004E6467">
        <w:rPr>
          <w:rFonts w:eastAsia="Times New Roman" w:cs="Arial"/>
          <w:color w:val="000000"/>
          <w:vertAlign w:val="superscript"/>
          <w:lang w:val="en-US"/>
        </w:rPr>
        <w:t>2</w:t>
      </w:r>
      <w:r w:rsidRPr="004E6467">
        <w:rPr>
          <w:rFonts w:eastAsia="Times New Roman" w:cs="Arial"/>
          <w:color w:val="000000"/>
          <w:lang w:val="en-US"/>
        </w:rPr>
        <w:t xml:space="preserve"> </w:t>
      </w:r>
      <w:r w:rsidRPr="004E6467">
        <w:rPr>
          <w:rFonts w:eastAsia="Times New Roman" w:cs="Arial"/>
          <w:color w:val="000000"/>
          <w:lang w:eastAsia="bg-BG"/>
        </w:rPr>
        <w:t xml:space="preserve">(диапазон 96 - 228 </w:t>
      </w:r>
      <w:r w:rsidRPr="004E6467">
        <w:rPr>
          <w:rFonts w:eastAsia="Times New Roman" w:cs="Arial"/>
          <w:color w:val="000000"/>
          <w:lang w:val="en-US"/>
        </w:rPr>
        <w:t>l/m</w:t>
      </w:r>
      <w:r w:rsidRPr="004E6467">
        <w:rPr>
          <w:rFonts w:eastAsia="Times New Roman" w:cs="Arial"/>
          <w:color w:val="000000"/>
          <w:vertAlign w:val="superscript"/>
          <w:lang w:val="en-US"/>
        </w:rPr>
        <w:t>2</w:t>
      </w:r>
      <w:r w:rsidRPr="004E6467">
        <w:rPr>
          <w:rFonts w:eastAsia="Times New Roman" w:cs="Arial"/>
          <w:color w:val="000000"/>
          <w:lang w:val="en-US"/>
        </w:rPr>
        <w:t xml:space="preserve">). </w:t>
      </w:r>
      <w:r w:rsidRPr="004E6467">
        <w:rPr>
          <w:rFonts w:eastAsia="Times New Roman" w:cs="Arial"/>
          <w:color w:val="000000"/>
          <w:lang w:eastAsia="bg-BG"/>
        </w:rPr>
        <w:t>Разпределение в тъканите: екстензивно.</w:t>
      </w:r>
    </w:p>
    <w:p w14:paraId="11F1FA89"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 xml:space="preserve">Среден видим клирънс 2,5 </w:t>
      </w:r>
      <w:r w:rsidRPr="004E6467">
        <w:rPr>
          <w:rFonts w:eastAsia="Times New Roman" w:cs="Arial"/>
          <w:color w:val="000000"/>
          <w:lang w:val="en-US"/>
        </w:rPr>
        <w:t>l/</w:t>
      </w:r>
      <w:proofErr w:type="spellStart"/>
      <w:r w:rsidRPr="004E6467">
        <w:rPr>
          <w:rFonts w:eastAsia="Times New Roman" w:cs="Arial"/>
          <w:color w:val="000000"/>
          <w:lang w:val="en-US"/>
        </w:rPr>
        <w:t>hr</w:t>
      </w:r>
      <w:proofErr w:type="spellEnd"/>
      <w:r w:rsidRPr="004E6467">
        <w:rPr>
          <w:rFonts w:eastAsia="Times New Roman" w:cs="Arial"/>
          <w:color w:val="000000"/>
          <w:lang w:val="en-US"/>
        </w:rPr>
        <w:t>/m</w:t>
      </w:r>
      <w:r w:rsidRPr="004E6467">
        <w:rPr>
          <w:rFonts w:eastAsia="Times New Roman" w:cs="Arial"/>
          <w:color w:val="000000"/>
          <w:vertAlign w:val="superscript"/>
          <w:lang w:val="en-US"/>
        </w:rPr>
        <w:t>2</w:t>
      </w:r>
      <w:r w:rsidRPr="004E6467">
        <w:rPr>
          <w:rFonts w:eastAsia="Times New Roman" w:cs="Arial"/>
          <w:color w:val="000000"/>
          <w:lang w:val="en-US"/>
        </w:rPr>
        <w:t xml:space="preserve"> </w:t>
      </w:r>
      <w:r w:rsidRPr="004E6467">
        <w:rPr>
          <w:rFonts w:eastAsia="Times New Roman" w:cs="Arial"/>
          <w:color w:val="000000"/>
          <w:lang w:eastAsia="bg-BG"/>
        </w:rPr>
        <w:t xml:space="preserve">(диапазон 1 -4 </w:t>
      </w:r>
      <w:r w:rsidRPr="004E6467">
        <w:rPr>
          <w:rFonts w:eastAsia="Times New Roman" w:cs="Arial"/>
          <w:color w:val="000000"/>
          <w:lang w:val="en-US"/>
        </w:rPr>
        <w:t>l/</w:t>
      </w:r>
      <w:proofErr w:type="spellStart"/>
      <w:r w:rsidRPr="004E6467">
        <w:rPr>
          <w:rFonts w:eastAsia="Times New Roman" w:cs="Arial"/>
          <w:color w:val="000000"/>
          <w:lang w:val="en-US"/>
        </w:rPr>
        <w:t>hr</w:t>
      </w:r>
      <w:proofErr w:type="spellEnd"/>
      <w:r w:rsidRPr="004E6467">
        <w:rPr>
          <w:rFonts w:eastAsia="Times New Roman" w:cs="Arial"/>
          <w:color w:val="000000"/>
          <w:lang w:val="en-US"/>
        </w:rPr>
        <w:t>/m</w:t>
      </w:r>
      <w:r w:rsidRPr="004E6467">
        <w:rPr>
          <w:rFonts w:eastAsia="Times New Roman" w:cs="Arial"/>
          <w:color w:val="000000"/>
          <w:vertAlign w:val="superscript"/>
          <w:lang w:val="en-US"/>
        </w:rPr>
        <w:t>2</w:t>
      </w:r>
      <w:r w:rsidRPr="004E6467">
        <w:rPr>
          <w:rFonts w:eastAsia="Times New Roman" w:cs="Arial"/>
          <w:color w:val="000000"/>
          <w:lang w:val="en-US"/>
        </w:rPr>
        <w:t>).</w:t>
      </w:r>
    </w:p>
    <w:p w14:paraId="0B2508FA"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Екскреция с урината: изцяло</w:t>
      </w:r>
    </w:p>
    <w:p w14:paraId="5AFE1B79" w14:textId="77777777" w:rsidR="004E6467" w:rsidRPr="004E6467" w:rsidRDefault="004E6467" w:rsidP="004E6467">
      <w:pPr>
        <w:spacing w:line="240" w:lineRule="auto"/>
        <w:rPr>
          <w:rFonts w:eastAsia="Times New Roman" w:cs="Arial"/>
          <w:color w:val="000000"/>
          <w:u w:val="single"/>
          <w:lang w:eastAsia="bg-BG"/>
        </w:rPr>
      </w:pPr>
    </w:p>
    <w:p w14:paraId="26D622EF" w14:textId="19227C0F"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u w:val="single"/>
          <w:lang w:eastAsia="bg-BG"/>
        </w:rPr>
        <w:t>Гемцитабин и паклитаксел комбинирана терапия</w:t>
      </w:r>
    </w:p>
    <w:p w14:paraId="0006E293"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Комбинираната терапия не променя фармакокинетиката на гемцитабин или паклитаксел.</w:t>
      </w:r>
    </w:p>
    <w:p w14:paraId="3F15464D" w14:textId="77777777" w:rsidR="004E6467" w:rsidRPr="004E6467" w:rsidRDefault="004E6467" w:rsidP="004E6467">
      <w:pPr>
        <w:spacing w:line="240" w:lineRule="auto"/>
        <w:rPr>
          <w:rFonts w:eastAsia="Times New Roman" w:cs="Arial"/>
          <w:color w:val="000000"/>
          <w:u w:val="single"/>
          <w:lang w:eastAsia="bg-BG"/>
        </w:rPr>
      </w:pPr>
    </w:p>
    <w:p w14:paraId="232EDA46" w14:textId="6170CA7F"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u w:val="single"/>
          <w:lang w:eastAsia="bg-BG"/>
        </w:rPr>
        <w:t>Гемцитабин и карбоплатин комбинирана терапия</w:t>
      </w:r>
    </w:p>
    <w:p w14:paraId="57788419" w14:textId="77777777"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lang w:eastAsia="bg-BG"/>
        </w:rPr>
        <w:t>Когато се прилага в комбинация с карбоплатин, фармакокинетиката на гемцитабин не се променя.</w:t>
      </w:r>
    </w:p>
    <w:p w14:paraId="04C350C7" w14:textId="77777777" w:rsidR="004E6467" w:rsidRPr="004E6467" w:rsidRDefault="004E6467" w:rsidP="004E6467">
      <w:pPr>
        <w:spacing w:line="240" w:lineRule="auto"/>
        <w:rPr>
          <w:rFonts w:eastAsia="Times New Roman" w:cs="Arial"/>
          <w:color w:val="000000"/>
          <w:u w:val="single"/>
          <w:lang w:eastAsia="bg-BG"/>
        </w:rPr>
      </w:pPr>
    </w:p>
    <w:p w14:paraId="4570A44C" w14:textId="2E36BB7C" w:rsidR="004E6467" w:rsidRPr="004E6467" w:rsidRDefault="004E6467" w:rsidP="004E6467">
      <w:pPr>
        <w:spacing w:line="240" w:lineRule="auto"/>
        <w:rPr>
          <w:rFonts w:eastAsia="Times New Roman" w:cs="Arial"/>
          <w:sz w:val="24"/>
          <w:szCs w:val="24"/>
          <w:lang w:eastAsia="bg-BG"/>
        </w:rPr>
      </w:pPr>
      <w:r w:rsidRPr="004E6467">
        <w:rPr>
          <w:rFonts w:eastAsia="Times New Roman" w:cs="Arial"/>
          <w:color w:val="000000"/>
          <w:u w:val="single"/>
          <w:lang w:eastAsia="bg-BG"/>
        </w:rPr>
        <w:t>Бъбречно увреждане</w:t>
      </w:r>
    </w:p>
    <w:p w14:paraId="16685EC0" w14:textId="0D5BE30F" w:rsidR="004E6467" w:rsidRPr="004E6467" w:rsidRDefault="004E6467" w:rsidP="004E6467">
      <w:pPr>
        <w:rPr>
          <w:rFonts w:cs="Arial"/>
        </w:rPr>
      </w:pPr>
      <w:r w:rsidRPr="004E6467">
        <w:rPr>
          <w:rFonts w:eastAsia="Times New Roman" w:cs="Arial"/>
          <w:color w:val="000000"/>
          <w:lang w:eastAsia="bg-BG"/>
        </w:rPr>
        <w:t xml:space="preserve">Лека до умерена бъбречна недостатъчност </w:t>
      </w:r>
      <w:r w:rsidRPr="004E6467">
        <w:rPr>
          <w:rFonts w:eastAsia="Times New Roman" w:cs="Arial"/>
          <w:color w:val="000000"/>
          <w:lang w:val="en-US"/>
        </w:rPr>
        <w:t xml:space="preserve">(GFR </w:t>
      </w:r>
      <w:r w:rsidRPr="004E6467">
        <w:rPr>
          <w:rFonts w:eastAsia="Times New Roman" w:cs="Arial"/>
          <w:color w:val="000000"/>
          <w:lang w:eastAsia="bg-BG"/>
        </w:rPr>
        <w:t xml:space="preserve">от 30 </w:t>
      </w:r>
      <w:r w:rsidRPr="004E6467">
        <w:rPr>
          <w:rFonts w:eastAsia="Times New Roman" w:cs="Arial"/>
          <w:color w:val="000000"/>
          <w:lang w:val="en-US"/>
        </w:rPr>
        <w:t xml:space="preserve">ml/min </w:t>
      </w:r>
      <w:r w:rsidRPr="004E6467">
        <w:rPr>
          <w:rFonts w:eastAsia="Times New Roman" w:cs="Arial"/>
          <w:color w:val="000000"/>
          <w:lang w:eastAsia="bg-BG"/>
        </w:rPr>
        <w:t xml:space="preserve">до 80 </w:t>
      </w:r>
      <w:r w:rsidRPr="004E6467">
        <w:rPr>
          <w:rFonts w:eastAsia="Times New Roman" w:cs="Arial"/>
          <w:color w:val="000000"/>
          <w:lang w:val="en-US"/>
        </w:rPr>
        <w:t xml:space="preserve">ml/min) </w:t>
      </w:r>
      <w:r w:rsidRPr="004E6467">
        <w:rPr>
          <w:rFonts w:eastAsia="Times New Roman" w:cs="Arial"/>
          <w:color w:val="000000"/>
          <w:lang w:eastAsia="bg-BG"/>
        </w:rPr>
        <w:t>няма значителен ефект върху фармакокинетиката на гемцитабин.</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0C8D3427" w14:textId="77777777" w:rsidR="00DC4567" w:rsidRPr="00DC4567" w:rsidRDefault="00DC4567" w:rsidP="00DC4567">
      <w:pPr>
        <w:spacing w:line="240" w:lineRule="auto"/>
        <w:rPr>
          <w:rFonts w:eastAsia="Times New Roman" w:cs="Arial"/>
          <w:sz w:val="24"/>
          <w:szCs w:val="24"/>
          <w:lang w:eastAsia="bg-BG"/>
        </w:rPr>
      </w:pPr>
      <w:r w:rsidRPr="00DC4567">
        <w:rPr>
          <w:rFonts w:eastAsia="Times New Roman" w:cs="Arial"/>
          <w:color w:val="000000"/>
          <w:lang w:eastAsia="bg-BG"/>
        </w:rPr>
        <w:t>При проучвания с многократно прилагане в продължение на 6 месеца при мишки и кучета основната находка е зависимото от дозата и дозовия режим потискане на хемопоезата, което е обратимо.</w:t>
      </w:r>
    </w:p>
    <w:p w14:paraId="5A3B9F4F" w14:textId="77777777" w:rsidR="00DC4567" w:rsidRPr="00DC4567" w:rsidRDefault="00DC4567" w:rsidP="00DC4567">
      <w:pPr>
        <w:spacing w:line="240" w:lineRule="auto"/>
        <w:rPr>
          <w:rFonts w:eastAsia="Times New Roman" w:cs="Arial"/>
          <w:color w:val="000000"/>
          <w:lang w:eastAsia="bg-BG"/>
        </w:rPr>
      </w:pPr>
    </w:p>
    <w:p w14:paraId="20167EDB" w14:textId="5C58EAFC" w:rsidR="00DC4567" w:rsidRPr="00DC4567" w:rsidRDefault="00DC4567" w:rsidP="00DC4567">
      <w:pPr>
        <w:spacing w:line="240" w:lineRule="auto"/>
        <w:rPr>
          <w:rFonts w:eastAsia="Times New Roman" w:cs="Arial"/>
          <w:sz w:val="24"/>
          <w:szCs w:val="24"/>
          <w:lang w:eastAsia="bg-BG"/>
        </w:rPr>
      </w:pPr>
      <w:r w:rsidRPr="00DC4567">
        <w:rPr>
          <w:rFonts w:eastAsia="Times New Roman" w:cs="Arial"/>
          <w:color w:val="000000"/>
          <w:lang w:eastAsia="bg-BG"/>
        </w:rPr>
        <w:t xml:space="preserve">Гемцитабин е мутагенен в </w:t>
      </w:r>
      <w:r w:rsidRPr="00DC4567">
        <w:rPr>
          <w:rFonts w:eastAsia="Times New Roman" w:cs="Arial"/>
          <w:i/>
          <w:iCs/>
          <w:color w:val="000000"/>
          <w:lang w:val="en-US"/>
        </w:rPr>
        <w:t>in vitro</w:t>
      </w:r>
      <w:r w:rsidRPr="00DC4567">
        <w:rPr>
          <w:rFonts w:eastAsia="Times New Roman" w:cs="Arial"/>
          <w:color w:val="000000"/>
          <w:lang w:val="en-US"/>
        </w:rPr>
        <w:t xml:space="preserve"> </w:t>
      </w:r>
      <w:r w:rsidRPr="00DC4567">
        <w:rPr>
          <w:rFonts w:eastAsia="Times New Roman" w:cs="Arial"/>
          <w:color w:val="000000"/>
          <w:lang w:eastAsia="bg-BG"/>
        </w:rPr>
        <w:t xml:space="preserve">тест за мутация и в </w:t>
      </w:r>
      <w:r w:rsidRPr="00DC4567">
        <w:rPr>
          <w:rFonts w:eastAsia="Times New Roman" w:cs="Arial"/>
          <w:i/>
          <w:iCs/>
          <w:color w:val="000000"/>
          <w:lang w:val="en-US"/>
        </w:rPr>
        <w:t>in vivo</w:t>
      </w:r>
      <w:r w:rsidRPr="00DC4567">
        <w:rPr>
          <w:rFonts w:eastAsia="Times New Roman" w:cs="Arial"/>
          <w:color w:val="000000"/>
          <w:lang w:val="en-US"/>
        </w:rPr>
        <w:t xml:space="preserve"> </w:t>
      </w:r>
      <w:r w:rsidRPr="00DC4567">
        <w:rPr>
          <w:rFonts w:eastAsia="Times New Roman" w:cs="Arial"/>
          <w:color w:val="000000"/>
          <w:lang w:eastAsia="bg-BG"/>
        </w:rPr>
        <w:t>тест на микроядра на костен мозък. Не са провеждани дългосрочни проучвания при животни за оценка на карциногенен потенциал.</w:t>
      </w:r>
    </w:p>
    <w:p w14:paraId="1EE75EB7" w14:textId="77777777" w:rsidR="00DC4567" w:rsidRPr="00DC4567" w:rsidRDefault="00DC4567" w:rsidP="00DC4567">
      <w:pPr>
        <w:spacing w:line="240" w:lineRule="auto"/>
        <w:rPr>
          <w:rFonts w:eastAsia="Times New Roman" w:cs="Arial"/>
          <w:color w:val="000000"/>
          <w:lang w:eastAsia="bg-BG"/>
        </w:rPr>
      </w:pPr>
    </w:p>
    <w:p w14:paraId="1A0D645D" w14:textId="3C5B8AC4" w:rsidR="00DC4567" w:rsidRPr="00DC4567" w:rsidRDefault="00DC4567" w:rsidP="00DC4567">
      <w:pPr>
        <w:spacing w:line="240" w:lineRule="auto"/>
        <w:rPr>
          <w:rFonts w:eastAsia="Times New Roman" w:cs="Arial"/>
          <w:sz w:val="24"/>
          <w:szCs w:val="24"/>
          <w:lang w:eastAsia="bg-BG"/>
        </w:rPr>
      </w:pPr>
      <w:r w:rsidRPr="00DC4567">
        <w:rPr>
          <w:rFonts w:eastAsia="Times New Roman" w:cs="Arial"/>
          <w:color w:val="000000"/>
          <w:lang w:eastAsia="bg-BG"/>
        </w:rPr>
        <w:t>В проучвания за оценка на фертилитета, гемцитабин причинява обратимо намаление на сперматогенезата при мишки от мъжки пол. Не е наблюдаван ефект върху женския фертилитет.</w:t>
      </w:r>
    </w:p>
    <w:p w14:paraId="27616C28" w14:textId="77777777" w:rsidR="00DC4567" w:rsidRPr="00DC4567" w:rsidRDefault="00DC4567" w:rsidP="00DC4567">
      <w:pPr>
        <w:rPr>
          <w:rFonts w:eastAsia="Times New Roman" w:cs="Arial"/>
          <w:color w:val="000000"/>
          <w:lang w:eastAsia="bg-BG"/>
        </w:rPr>
      </w:pPr>
    </w:p>
    <w:p w14:paraId="52E4D01A" w14:textId="2D296055" w:rsidR="0091385D" w:rsidRPr="00DC4567" w:rsidRDefault="00DC4567" w:rsidP="00DC4567">
      <w:pPr>
        <w:rPr>
          <w:rFonts w:cs="Arial"/>
        </w:rPr>
      </w:pPr>
      <w:r w:rsidRPr="00DC4567">
        <w:rPr>
          <w:rFonts w:eastAsia="Times New Roman" w:cs="Arial"/>
          <w:color w:val="000000"/>
          <w:lang w:eastAsia="bg-BG"/>
        </w:rPr>
        <w:t>Оценката от експерименталните проучвания върху животни показва репродуктивна токсичност, например вродени дефекти и други ефекти върху развитието на ембриона или плода, протичането на бременността или пренаталното и постнаталното развитие.</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4C59DA97" w14:textId="77777777" w:rsidR="00DC4567" w:rsidRPr="00DC4567" w:rsidRDefault="00DC4567" w:rsidP="00DC4567">
      <w:pPr>
        <w:spacing w:line="240" w:lineRule="auto"/>
        <w:rPr>
          <w:rFonts w:eastAsia="Times New Roman" w:cs="Arial"/>
          <w:sz w:val="24"/>
          <w:szCs w:val="24"/>
          <w:lang w:val="en-US" w:eastAsia="bg-BG"/>
        </w:rPr>
      </w:pPr>
      <w:r w:rsidRPr="00DC4567">
        <w:rPr>
          <w:rFonts w:eastAsia="Times New Roman" w:cs="Arial"/>
          <w:color w:val="000000"/>
          <w:lang w:val="en-US"/>
        </w:rPr>
        <w:t xml:space="preserve">Actavis Group PTC </w:t>
      </w:r>
      <w:proofErr w:type="spellStart"/>
      <w:proofErr w:type="gramStart"/>
      <w:r w:rsidRPr="00DC4567">
        <w:rPr>
          <w:rFonts w:eastAsia="Times New Roman" w:cs="Arial"/>
          <w:color w:val="000000"/>
          <w:lang w:val="en-US"/>
        </w:rPr>
        <w:t>ehf</w:t>
      </w:r>
      <w:proofErr w:type="spellEnd"/>
      <w:proofErr w:type="gramEnd"/>
      <w:r w:rsidRPr="00DC4567">
        <w:rPr>
          <w:rFonts w:eastAsia="Times New Roman" w:cs="Arial"/>
          <w:color w:val="000000"/>
          <w:lang w:val="en-US"/>
        </w:rPr>
        <w:t>.</w:t>
      </w:r>
    </w:p>
    <w:p w14:paraId="2E23BBD5" w14:textId="77777777" w:rsidR="00DC4567" w:rsidRPr="00DC4567" w:rsidRDefault="00DC4567" w:rsidP="00DC4567">
      <w:pPr>
        <w:spacing w:line="240" w:lineRule="auto"/>
        <w:rPr>
          <w:rFonts w:eastAsia="Times New Roman" w:cs="Arial"/>
          <w:sz w:val="24"/>
          <w:szCs w:val="24"/>
          <w:lang w:val="en-US" w:eastAsia="bg-BG"/>
        </w:rPr>
      </w:pPr>
      <w:proofErr w:type="spellStart"/>
      <w:r w:rsidRPr="00DC4567">
        <w:rPr>
          <w:rFonts w:eastAsia="Times New Roman" w:cs="Arial"/>
          <w:color w:val="000000"/>
          <w:lang w:val="en-US"/>
        </w:rPr>
        <w:t>Reykjavikurvegi</w:t>
      </w:r>
      <w:proofErr w:type="spellEnd"/>
      <w:r w:rsidRPr="00DC4567">
        <w:rPr>
          <w:rFonts w:eastAsia="Times New Roman" w:cs="Arial"/>
          <w:color w:val="000000"/>
          <w:lang w:val="en-US"/>
        </w:rPr>
        <w:t xml:space="preserve"> 76-78</w:t>
      </w:r>
    </w:p>
    <w:p w14:paraId="2BE9A037" w14:textId="77777777" w:rsidR="00DC4567" w:rsidRPr="00DC4567" w:rsidRDefault="00DC4567" w:rsidP="00DC4567">
      <w:pPr>
        <w:spacing w:line="240" w:lineRule="auto"/>
        <w:rPr>
          <w:rFonts w:eastAsia="Times New Roman" w:cs="Arial"/>
          <w:sz w:val="24"/>
          <w:szCs w:val="24"/>
          <w:lang w:val="en-US" w:eastAsia="bg-BG"/>
        </w:rPr>
      </w:pPr>
      <w:r w:rsidRPr="00DC4567">
        <w:rPr>
          <w:rFonts w:eastAsia="Times New Roman" w:cs="Arial"/>
          <w:color w:val="000000"/>
          <w:lang w:val="en-US"/>
        </w:rPr>
        <w:t xml:space="preserve">220 </w:t>
      </w:r>
      <w:proofErr w:type="spellStart"/>
      <w:r w:rsidRPr="00DC4567">
        <w:rPr>
          <w:rFonts w:eastAsia="Times New Roman" w:cs="Arial"/>
          <w:color w:val="000000"/>
          <w:lang w:val="en-US"/>
        </w:rPr>
        <w:t>Hafoarfjordur</w:t>
      </w:r>
      <w:proofErr w:type="spellEnd"/>
    </w:p>
    <w:p w14:paraId="3FD825DB" w14:textId="3CB41C8C" w:rsidR="0091385D" w:rsidRPr="00DC4567" w:rsidRDefault="00DC4567" w:rsidP="00DC4567">
      <w:pPr>
        <w:rPr>
          <w:rFonts w:cs="Arial"/>
        </w:rPr>
      </w:pPr>
      <w:r w:rsidRPr="00DC4567">
        <w:rPr>
          <w:rFonts w:eastAsia="Times New Roman" w:cs="Arial"/>
          <w:color w:val="000000"/>
          <w:lang w:eastAsia="bg-BG"/>
        </w:rPr>
        <w:t>Исландия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4CE74FD1" w:rsidR="0091385D" w:rsidRPr="00DC4567" w:rsidRDefault="00DC4567" w:rsidP="0091385D">
      <w:pPr>
        <w:rPr>
          <w:rFonts w:cs="Arial"/>
        </w:rPr>
      </w:pPr>
      <w:proofErr w:type="spellStart"/>
      <w:r w:rsidRPr="00DC4567">
        <w:rPr>
          <w:rFonts w:cs="Arial"/>
          <w:lang w:val="en-US"/>
        </w:rPr>
        <w:t>Pe</w:t>
      </w:r>
      <w:proofErr w:type="spellEnd"/>
      <w:r w:rsidRPr="00DC4567">
        <w:rPr>
          <w:rFonts w:cs="Arial"/>
        </w:rPr>
        <w:t>г</w:t>
      </w:r>
      <w:r w:rsidRPr="00DC4567">
        <w:rPr>
          <w:rFonts w:cs="Arial"/>
          <w:lang w:val="en-US"/>
        </w:rPr>
        <w:t xml:space="preserve">. </w:t>
      </w:r>
      <w:r w:rsidRPr="00DC4567">
        <w:rPr>
          <w:rFonts w:cs="Arial"/>
        </w:rPr>
        <w:t>№20160089</w:t>
      </w:r>
    </w:p>
    <w:p w14:paraId="62EF7F8B" w14:textId="77777777" w:rsidR="0091385D" w:rsidRPr="0091385D" w:rsidRDefault="0091385D" w:rsidP="0091385D"/>
    <w:p w14:paraId="2CCB5832" w14:textId="18FCD95B" w:rsidR="007C605B" w:rsidRDefault="002C50EE" w:rsidP="007C605B">
      <w:pPr>
        <w:pStyle w:val="Heading1"/>
      </w:pPr>
      <w:r>
        <w:lastRenderedPageBreak/>
        <w:t>9. ДАТА НА ПЪРВО РАЗРЕШАВАНЕ/ПОДНОВЯВАНЕ НА РАЗРЕШЕНИЕТО ЗА УПОТРЕБА</w:t>
      </w:r>
    </w:p>
    <w:p w14:paraId="372B3414" w14:textId="0F79A9B4" w:rsidR="0091385D" w:rsidRDefault="0091385D" w:rsidP="0091385D"/>
    <w:p w14:paraId="77E670FF" w14:textId="77777777" w:rsidR="00DC4567" w:rsidRPr="00DC4567" w:rsidRDefault="00DC4567" w:rsidP="00DC4567">
      <w:pPr>
        <w:spacing w:line="240" w:lineRule="auto"/>
        <w:rPr>
          <w:rFonts w:eastAsia="Times New Roman" w:cs="Arial"/>
          <w:sz w:val="24"/>
          <w:szCs w:val="24"/>
          <w:lang w:eastAsia="bg-BG"/>
        </w:rPr>
      </w:pPr>
      <w:r w:rsidRPr="00DC4567">
        <w:rPr>
          <w:rFonts w:eastAsia="Times New Roman" w:cs="Arial"/>
          <w:color w:val="000000"/>
          <w:lang w:eastAsia="bg-BG"/>
        </w:rPr>
        <w:t>Дата на първо разрешаване: 16.03.2016 г.</w:t>
      </w:r>
    </w:p>
    <w:p w14:paraId="497007FA" w14:textId="5E89E3FD" w:rsidR="0091385D" w:rsidRPr="00DC4567" w:rsidRDefault="00DC4567" w:rsidP="00DC4567">
      <w:pPr>
        <w:rPr>
          <w:rFonts w:cs="Arial"/>
        </w:rPr>
      </w:pPr>
      <w:r w:rsidRPr="00DC4567">
        <w:rPr>
          <w:rFonts w:eastAsia="Times New Roman" w:cs="Arial"/>
          <w:color w:val="000000"/>
          <w:lang w:eastAsia="bg-BG"/>
        </w:rPr>
        <w:t>Дата на последно подновяване:</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73E67414" w:rsidR="0091385D" w:rsidRDefault="0091385D"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44"/>
        <w:szCs w:val="44"/>
        <w:u w:val="none"/>
      </w:rPr>
    </w:lvl>
    <w:lvl w:ilvl="1">
      <w:start w:val="1"/>
      <w:numFmt w:val="bullet"/>
      <w:lvlText w:val="•"/>
      <w:lvlJc w:val="left"/>
      <w:rPr>
        <w:b w:val="0"/>
        <w:bCs w:val="0"/>
        <w:i w:val="0"/>
        <w:iCs w:val="0"/>
        <w:smallCaps w:val="0"/>
        <w:strike w:val="0"/>
        <w:color w:val="000000"/>
        <w:spacing w:val="0"/>
        <w:w w:val="100"/>
        <w:position w:val="0"/>
        <w:sz w:val="44"/>
        <w:szCs w:val="44"/>
        <w:u w:val="none"/>
      </w:rPr>
    </w:lvl>
    <w:lvl w:ilvl="2">
      <w:start w:val="1"/>
      <w:numFmt w:val="bullet"/>
      <w:lvlText w:val="•"/>
      <w:lvlJc w:val="left"/>
      <w:rPr>
        <w:b w:val="0"/>
        <w:bCs w:val="0"/>
        <w:i w:val="0"/>
        <w:iCs w:val="0"/>
        <w:smallCaps w:val="0"/>
        <w:strike w:val="0"/>
        <w:color w:val="000000"/>
        <w:spacing w:val="0"/>
        <w:w w:val="100"/>
        <w:position w:val="0"/>
        <w:sz w:val="44"/>
        <w:szCs w:val="44"/>
        <w:u w:val="none"/>
      </w:rPr>
    </w:lvl>
    <w:lvl w:ilvl="3">
      <w:start w:val="1"/>
      <w:numFmt w:val="bullet"/>
      <w:lvlText w:val="•"/>
      <w:lvlJc w:val="left"/>
      <w:rPr>
        <w:b w:val="0"/>
        <w:bCs w:val="0"/>
        <w:i w:val="0"/>
        <w:iCs w:val="0"/>
        <w:smallCaps w:val="0"/>
        <w:strike w:val="0"/>
        <w:color w:val="000000"/>
        <w:spacing w:val="0"/>
        <w:w w:val="100"/>
        <w:position w:val="0"/>
        <w:sz w:val="44"/>
        <w:szCs w:val="44"/>
        <w:u w:val="none"/>
      </w:rPr>
    </w:lvl>
    <w:lvl w:ilvl="4">
      <w:start w:val="1"/>
      <w:numFmt w:val="bullet"/>
      <w:lvlText w:val="•"/>
      <w:lvlJc w:val="left"/>
      <w:rPr>
        <w:b w:val="0"/>
        <w:bCs w:val="0"/>
        <w:i w:val="0"/>
        <w:iCs w:val="0"/>
        <w:smallCaps w:val="0"/>
        <w:strike w:val="0"/>
        <w:color w:val="000000"/>
        <w:spacing w:val="0"/>
        <w:w w:val="100"/>
        <w:position w:val="0"/>
        <w:sz w:val="44"/>
        <w:szCs w:val="44"/>
        <w:u w:val="none"/>
      </w:rPr>
    </w:lvl>
    <w:lvl w:ilvl="5">
      <w:start w:val="1"/>
      <w:numFmt w:val="bullet"/>
      <w:lvlText w:val="•"/>
      <w:lvlJc w:val="left"/>
      <w:rPr>
        <w:b w:val="0"/>
        <w:bCs w:val="0"/>
        <w:i w:val="0"/>
        <w:iCs w:val="0"/>
        <w:smallCaps w:val="0"/>
        <w:strike w:val="0"/>
        <w:color w:val="000000"/>
        <w:spacing w:val="0"/>
        <w:w w:val="100"/>
        <w:position w:val="0"/>
        <w:sz w:val="44"/>
        <w:szCs w:val="44"/>
        <w:u w:val="none"/>
      </w:rPr>
    </w:lvl>
    <w:lvl w:ilvl="6">
      <w:start w:val="1"/>
      <w:numFmt w:val="bullet"/>
      <w:lvlText w:val="•"/>
      <w:lvlJc w:val="left"/>
      <w:rPr>
        <w:b w:val="0"/>
        <w:bCs w:val="0"/>
        <w:i w:val="0"/>
        <w:iCs w:val="0"/>
        <w:smallCaps w:val="0"/>
        <w:strike w:val="0"/>
        <w:color w:val="000000"/>
        <w:spacing w:val="0"/>
        <w:w w:val="100"/>
        <w:position w:val="0"/>
        <w:sz w:val="44"/>
        <w:szCs w:val="44"/>
        <w:u w:val="none"/>
      </w:rPr>
    </w:lvl>
    <w:lvl w:ilvl="7">
      <w:start w:val="1"/>
      <w:numFmt w:val="bullet"/>
      <w:lvlText w:val="•"/>
      <w:lvlJc w:val="left"/>
      <w:rPr>
        <w:b w:val="0"/>
        <w:bCs w:val="0"/>
        <w:i w:val="0"/>
        <w:iCs w:val="0"/>
        <w:smallCaps w:val="0"/>
        <w:strike w:val="0"/>
        <w:color w:val="000000"/>
        <w:spacing w:val="0"/>
        <w:w w:val="100"/>
        <w:position w:val="0"/>
        <w:sz w:val="44"/>
        <w:szCs w:val="44"/>
        <w:u w:val="none"/>
      </w:rPr>
    </w:lvl>
    <w:lvl w:ilvl="8">
      <w:start w:val="1"/>
      <w:numFmt w:val="bullet"/>
      <w:lvlText w:val="•"/>
      <w:lvlJc w:val="left"/>
      <w:rPr>
        <w:b w:val="0"/>
        <w:bCs w:val="0"/>
        <w:i w:val="0"/>
        <w:iCs w:val="0"/>
        <w:smallCaps w:val="0"/>
        <w:strike w:val="0"/>
        <w:color w:val="000000"/>
        <w:spacing w:val="0"/>
        <w:w w:val="100"/>
        <w:position w:val="0"/>
        <w:sz w:val="44"/>
        <w:szCs w:val="44"/>
        <w:u w:val="none"/>
      </w:rPr>
    </w:lvl>
  </w:abstractNum>
  <w:abstractNum w:abstractNumId="1" w15:restartNumberingAfterBreak="0">
    <w:nsid w:val="0D116A3C"/>
    <w:multiLevelType w:val="multilevel"/>
    <w:tmpl w:val="00000004"/>
    <w:lvl w:ilvl="0">
      <w:start w:val="1"/>
      <w:numFmt w:val="bullet"/>
      <w:lvlText w:val="•"/>
      <w:lvlJc w:val="left"/>
      <w:rPr>
        <w:b w:val="0"/>
        <w:bCs w:val="0"/>
        <w:i w:val="0"/>
        <w:iCs w:val="0"/>
        <w:smallCaps w:val="0"/>
        <w:strike w:val="0"/>
        <w:color w:val="000000"/>
        <w:spacing w:val="0"/>
        <w:w w:val="100"/>
        <w:position w:val="0"/>
        <w:sz w:val="44"/>
        <w:szCs w:val="44"/>
        <w:u w:val="none"/>
      </w:rPr>
    </w:lvl>
    <w:lvl w:ilvl="1">
      <w:start w:val="1"/>
      <w:numFmt w:val="bullet"/>
      <w:lvlText w:val="•"/>
      <w:lvlJc w:val="left"/>
      <w:rPr>
        <w:b w:val="0"/>
        <w:bCs w:val="0"/>
        <w:i w:val="0"/>
        <w:iCs w:val="0"/>
        <w:smallCaps w:val="0"/>
        <w:strike w:val="0"/>
        <w:color w:val="000000"/>
        <w:spacing w:val="0"/>
        <w:w w:val="100"/>
        <w:position w:val="0"/>
        <w:sz w:val="44"/>
        <w:szCs w:val="44"/>
        <w:u w:val="none"/>
      </w:rPr>
    </w:lvl>
    <w:lvl w:ilvl="2">
      <w:start w:val="1"/>
      <w:numFmt w:val="bullet"/>
      <w:lvlText w:val="•"/>
      <w:lvlJc w:val="left"/>
      <w:rPr>
        <w:b w:val="0"/>
        <w:bCs w:val="0"/>
        <w:i w:val="0"/>
        <w:iCs w:val="0"/>
        <w:smallCaps w:val="0"/>
        <w:strike w:val="0"/>
        <w:color w:val="000000"/>
        <w:spacing w:val="0"/>
        <w:w w:val="100"/>
        <w:position w:val="0"/>
        <w:sz w:val="44"/>
        <w:szCs w:val="44"/>
        <w:u w:val="none"/>
      </w:rPr>
    </w:lvl>
    <w:lvl w:ilvl="3">
      <w:start w:val="1"/>
      <w:numFmt w:val="bullet"/>
      <w:lvlText w:val="•"/>
      <w:lvlJc w:val="left"/>
      <w:rPr>
        <w:b w:val="0"/>
        <w:bCs w:val="0"/>
        <w:i w:val="0"/>
        <w:iCs w:val="0"/>
        <w:smallCaps w:val="0"/>
        <w:strike w:val="0"/>
        <w:color w:val="000000"/>
        <w:spacing w:val="0"/>
        <w:w w:val="100"/>
        <w:position w:val="0"/>
        <w:sz w:val="44"/>
        <w:szCs w:val="44"/>
        <w:u w:val="none"/>
      </w:rPr>
    </w:lvl>
    <w:lvl w:ilvl="4">
      <w:start w:val="1"/>
      <w:numFmt w:val="bullet"/>
      <w:lvlText w:val="•"/>
      <w:lvlJc w:val="left"/>
      <w:rPr>
        <w:b w:val="0"/>
        <w:bCs w:val="0"/>
        <w:i w:val="0"/>
        <w:iCs w:val="0"/>
        <w:smallCaps w:val="0"/>
        <w:strike w:val="0"/>
        <w:color w:val="000000"/>
        <w:spacing w:val="0"/>
        <w:w w:val="100"/>
        <w:position w:val="0"/>
        <w:sz w:val="44"/>
        <w:szCs w:val="44"/>
        <w:u w:val="none"/>
      </w:rPr>
    </w:lvl>
    <w:lvl w:ilvl="5">
      <w:start w:val="1"/>
      <w:numFmt w:val="bullet"/>
      <w:lvlText w:val="•"/>
      <w:lvlJc w:val="left"/>
      <w:rPr>
        <w:b w:val="0"/>
        <w:bCs w:val="0"/>
        <w:i w:val="0"/>
        <w:iCs w:val="0"/>
        <w:smallCaps w:val="0"/>
        <w:strike w:val="0"/>
        <w:color w:val="000000"/>
        <w:spacing w:val="0"/>
        <w:w w:val="100"/>
        <w:position w:val="0"/>
        <w:sz w:val="44"/>
        <w:szCs w:val="44"/>
        <w:u w:val="none"/>
      </w:rPr>
    </w:lvl>
    <w:lvl w:ilvl="6">
      <w:start w:val="1"/>
      <w:numFmt w:val="bullet"/>
      <w:lvlText w:val="•"/>
      <w:lvlJc w:val="left"/>
      <w:rPr>
        <w:b w:val="0"/>
        <w:bCs w:val="0"/>
        <w:i w:val="0"/>
        <w:iCs w:val="0"/>
        <w:smallCaps w:val="0"/>
        <w:strike w:val="0"/>
        <w:color w:val="000000"/>
        <w:spacing w:val="0"/>
        <w:w w:val="100"/>
        <w:position w:val="0"/>
        <w:sz w:val="44"/>
        <w:szCs w:val="44"/>
        <w:u w:val="none"/>
      </w:rPr>
    </w:lvl>
    <w:lvl w:ilvl="7">
      <w:start w:val="1"/>
      <w:numFmt w:val="bullet"/>
      <w:lvlText w:val="•"/>
      <w:lvlJc w:val="left"/>
      <w:rPr>
        <w:b w:val="0"/>
        <w:bCs w:val="0"/>
        <w:i w:val="0"/>
        <w:iCs w:val="0"/>
        <w:smallCaps w:val="0"/>
        <w:strike w:val="0"/>
        <w:color w:val="000000"/>
        <w:spacing w:val="0"/>
        <w:w w:val="100"/>
        <w:position w:val="0"/>
        <w:sz w:val="44"/>
        <w:szCs w:val="44"/>
        <w:u w:val="none"/>
      </w:rPr>
    </w:lvl>
    <w:lvl w:ilvl="8">
      <w:start w:val="1"/>
      <w:numFmt w:val="bullet"/>
      <w:lvlText w:val="•"/>
      <w:lvlJc w:val="left"/>
      <w:rPr>
        <w:b w:val="0"/>
        <w:bCs w:val="0"/>
        <w:i w:val="0"/>
        <w:iCs w:val="0"/>
        <w:smallCaps w:val="0"/>
        <w:strike w:val="0"/>
        <w:color w:val="000000"/>
        <w:spacing w:val="0"/>
        <w:w w:val="100"/>
        <w:position w:val="0"/>
        <w:sz w:val="44"/>
        <w:szCs w:val="44"/>
        <w:u w:val="none"/>
      </w:rPr>
    </w:lvl>
  </w:abstractNum>
  <w:abstractNum w:abstractNumId="2" w15:restartNumberingAfterBreak="0">
    <w:nsid w:val="15965B96"/>
    <w:multiLevelType w:val="multilevel"/>
    <w:tmpl w:val="00000004"/>
    <w:lvl w:ilvl="0">
      <w:start w:val="1"/>
      <w:numFmt w:val="bullet"/>
      <w:lvlText w:val="•"/>
      <w:lvlJc w:val="left"/>
      <w:rPr>
        <w:b w:val="0"/>
        <w:bCs w:val="0"/>
        <w:i w:val="0"/>
        <w:iCs w:val="0"/>
        <w:smallCaps w:val="0"/>
        <w:strike w:val="0"/>
        <w:color w:val="000000"/>
        <w:spacing w:val="0"/>
        <w:w w:val="100"/>
        <w:position w:val="0"/>
        <w:sz w:val="44"/>
        <w:szCs w:val="44"/>
        <w:u w:val="none"/>
      </w:rPr>
    </w:lvl>
    <w:lvl w:ilvl="1">
      <w:start w:val="1"/>
      <w:numFmt w:val="bullet"/>
      <w:lvlText w:val="•"/>
      <w:lvlJc w:val="left"/>
      <w:rPr>
        <w:b w:val="0"/>
        <w:bCs w:val="0"/>
        <w:i w:val="0"/>
        <w:iCs w:val="0"/>
        <w:smallCaps w:val="0"/>
        <w:strike w:val="0"/>
        <w:color w:val="000000"/>
        <w:spacing w:val="0"/>
        <w:w w:val="100"/>
        <w:position w:val="0"/>
        <w:sz w:val="44"/>
        <w:szCs w:val="44"/>
        <w:u w:val="none"/>
      </w:rPr>
    </w:lvl>
    <w:lvl w:ilvl="2">
      <w:start w:val="1"/>
      <w:numFmt w:val="bullet"/>
      <w:lvlText w:val="•"/>
      <w:lvlJc w:val="left"/>
      <w:rPr>
        <w:b w:val="0"/>
        <w:bCs w:val="0"/>
        <w:i w:val="0"/>
        <w:iCs w:val="0"/>
        <w:smallCaps w:val="0"/>
        <w:strike w:val="0"/>
        <w:color w:val="000000"/>
        <w:spacing w:val="0"/>
        <w:w w:val="100"/>
        <w:position w:val="0"/>
        <w:sz w:val="44"/>
        <w:szCs w:val="44"/>
        <w:u w:val="none"/>
      </w:rPr>
    </w:lvl>
    <w:lvl w:ilvl="3">
      <w:start w:val="1"/>
      <w:numFmt w:val="bullet"/>
      <w:lvlText w:val="•"/>
      <w:lvlJc w:val="left"/>
      <w:rPr>
        <w:b w:val="0"/>
        <w:bCs w:val="0"/>
        <w:i w:val="0"/>
        <w:iCs w:val="0"/>
        <w:smallCaps w:val="0"/>
        <w:strike w:val="0"/>
        <w:color w:val="000000"/>
        <w:spacing w:val="0"/>
        <w:w w:val="100"/>
        <w:position w:val="0"/>
        <w:sz w:val="44"/>
        <w:szCs w:val="44"/>
        <w:u w:val="none"/>
      </w:rPr>
    </w:lvl>
    <w:lvl w:ilvl="4">
      <w:start w:val="1"/>
      <w:numFmt w:val="bullet"/>
      <w:lvlText w:val="•"/>
      <w:lvlJc w:val="left"/>
      <w:rPr>
        <w:b w:val="0"/>
        <w:bCs w:val="0"/>
        <w:i w:val="0"/>
        <w:iCs w:val="0"/>
        <w:smallCaps w:val="0"/>
        <w:strike w:val="0"/>
        <w:color w:val="000000"/>
        <w:spacing w:val="0"/>
        <w:w w:val="100"/>
        <w:position w:val="0"/>
        <w:sz w:val="44"/>
        <w:szCs w:val="44"/>
        <w:u w:val="none"/>
      </w:rPr>
    </w:lvl>
    <w:lvl w:ilvl="5">
      <w:start w:val="1"/>
      <w:numFmt w:val="bullet"/>
      <w:lvlText w:val="•"/>
      <w:lvlJc w:val="left"/>
      <w:rPr>
        <w:b w:val="0"/>
        <w:bCs w:val="0"/>
        <w:i w:val="0"/>
        <w:iCs w:val="0"/>
        <w:smallCaps w:val="0"/>
        <w:strike w:val="0"/>
        <w:color w:val="000000"/>
        <w:spacing w:val="0"/>
        <w:w w:val="100"/>
        <w:position w:val="0"/>
        <w:sz w:val="44"/>
        <w:szCs w:val="44"/>
        <w:u w:val="none"/>
      </w:rPr>
    </w:lvl>
    <w:lvl w:ilvl="6">
      <w:start w:val="1"/>
      <w:numFmt w:val="bullet"/>
      <w:lvlText w:val="•"/>
      <w:lvlJc w:val="left"/>
      <w:rPr>
        <w:b w:val="0"/>
        <w:bCs w:val="0"/>
        <w:i w:val="0"/>
        <w:iCs w:val="0"/>
        <w:smallCaps w:val="0"/>
        <w:strike w:val="0"/>
        <w:color w:val="000000"/>
        <w:spacing w:val="0"/>
        <w:w w:val="100"/>
        <w:position w:val="0"/>
        <w:sz w:val="44"/>
        <w:szCs w:val="44"/>
        <w:u w:val="none"/>
      </w:rPr>
    </w:lvl>
    <w:lvl w:ilvl="7">
      <w:start w:val="1"/>
      <w:numFmt w:val="bullet"/>
      <w:lvlText w:val="•"/>
      <w:lvlJc w:val="left"/>
      <w:rPr>
        <w:b w:val="0"/>
        <w:bCs w:val="0"/>
        <w:i w:val="0"/>
        <w:iCs w:val="0"/>
        <w:smallCaps w:val="0"/>
        <w:strike w:val="0"/>
        <w:color w:val="000000"/>
        <w:spacing w:val="0"/>
        <w:w w:val="100"/>
        <w:position w:val="0"/>
        <w:sz w:val="44"/>
        <w:szCs w:val="44"/>
        <w:u w:val="none"/>
      </w:rPr>
    </w:lvl>
    <w:lvl w:ilvl="8">
      <w:start w:val="1"/>
      <w:numFmt w:val="bullet"/>
      <w:lvlText w:val="•"/>
      <w:lvlJc w:val="left"/>
      <w:rPr>
        <w:b w:val="0"/>
        <w:bCs w:val="0"/>
        <w:i w:val="0"/>
        <w:iCs w:val="0"/>
        <w:smallCaps w:val="0"/>
        <w:strike w:val="0"/>
        <w:color w:val="000000"/>
        <w:spacing w:val="0"/>
        <w:w w:val="100"/>
        <w:position w:val="0"/>
        <w:sz w:val="44"/>
        <w:szCs w:val="44"/>
        <w:u w:val="none"/>
      </w:rPr>
    </w:lvl>
  </w:abstractNum>
  <w:abstractNum w:abstractNumId="3" w15:restartNumberingAfterBreak="0">
    <w:nsid w:val="18454650"/>
    <w:multiLevelType w:val="hybridMultilevel"/>
    <w:tmpl w:val="04E058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6F94D81"/>
    <w:multiLevelType w:val="multilevel"/>
    <w:tmpl w:val="00000004"/>
    <w:lvl w:ilvl="0">
      <w:start w:val="1"/>
      <w:numFmt w:val="bullet"/>
      <w:lvlText w:val="•"/>
      <w:lvlJc w:val="left"/>
      <w:rPr>
        <w:b w:val="0"/>
        <w:bCs w:val="0"/>
        <w:i w:val="0"/>
        <w:iCs w:val="0"/>
        <w:smallCaps w:val="0"/>
        <w:strike w:val="0"/>
        <w:color w:val="000000"/>
        <w:spacing w:val="0"/>
        <w:w w:val="100"/>
        <w:position w:val="0"/>
        <w:sz w:val="44"/>
        <w:szCs w:val="44"/>
        <w:u w:val="none"/>
      </w:rPr>
    </w:lvl>
    <w:lvl w:ilvl="1">
      <w:start w:val="1"/>
      <w:numFmt w:val="bullet"/>
      <w:lvlText w:val="•"/>
      <w:lvlJc w:val="left"/>
      <w:rPr>
        <w:b w:val="0"/>
        <w:bCs w:val="0"/>
        <w:i w:val="0"/>
        <w:iCs w:val="0"/>
        <w:smallCaps w:val="0"/>
        <w:strike w:val="0"/>
        <w:color w:val="000000"/>
        <w:spacing w:val="0"/>
        <w:w w:val="100"/>
        <w:position w:val="0"/>
        <w:sz w:val="44"/>
        <w:szCs w:val="44"/>
        <w:u w:val="none"/>
      </w:rPr>
    </w:lvl>
    <w:lvl w:ilvl="2">
      <w:start w:val="1"/>
      <w:numFmt w:val="bullet"/>
      <w:lvlText w:val="•"/>
      <w:lvlJc w:val="left"/>
      <w:rPr>
        <w:b w:val="0"/>
        <w:bCs w:val="0"/>
        <w:i w:val="0"/>
        <w:iCs w:val="0"/>
        <w:smallCaps w:val="0"/>
        <w:strike w:val="0"/>
        <w:color w:val="000000"/>
        <w:spacing w:val="0"/>
        <w:w w:val="100"/>
        <w:position w:val="0"/>
        <w:sz w:val="44"/>
        <w:szCs w:val="44"/>
        <w:u w:val="none"/>
      </w:rPr>
    </w:lvl>
    <w:lvl w:ilvl="3">
      <w:start w:val="1"/>
      <w:numFmt w:val="bullet"/>
      <w:lvlText w:val="•"/>
      <w:lvlJc w:val="left"/>
      <w:rPr>
        <w:b w:val="0"/>
        <w:bCs w:val="0"/>
        <w:i w:val="0"/>
        <w:iCs w:val="0"/>
        <w:smallCaps w:val="0"/>
        <w:strike w:val="0"/>
        <w:color w:val="000000"/>
        <w:spacing w:val="0"/>
        <w:w w:val="100"/>
        <w:position w:val="0"/>
        <w:sz w:val="44"/>
        <w:szCs w:val="44"/>
        <w:u w:val="none"/>
      </w:rPr>
    </w:lvl>
    <w:lvl w:ilvl="4">
      <w:start w:val="1"/>
      <w:numFmt w:val="bullet"/>
      <w:lvlText w:val="•"/>
      <w:lvlJc w:val="left"/>
      <w:rPr>
        <w:b w:val="0"/>
        <w:bCs w:val="0"/>
        <w:i w:val="0"/>
        <w:iCs w:val="0"/>
        <w:smallCaps w:val="0"/>
        <w:strike w:val="0"/>
        <w:color w:val="000000"/>
        <w:spacing w:val="0"/>
        <w:w w:val="100"/>
        <w:position w:val="0"/>
        <w:sz w:val="44"/>
        <w:szCs w:val="44"/>
        <w:u w:val="none"/>
      </w:rPr>
    </w:lvl>
    <w:lvl w:ilvl="5">
      <w:start w:val="1"/>
      <w:numFmt w:val="bullet"/>
      <w:lvlText w:val="•"/>
      <w:lvlJc w:val="left"/>
      <w:rPr>
        <w:b w:val="0"/>
        <w:bCs w:val="0"/>
        <w:i w:val="0"/>
        <w:iCs w:val="0"/>
        <w:smallCaps w:val="0"/>
        <w:strike w:val="0"/>
        <w:color w:val="000000"/>
        <w:spacing w:val="0"/>
        <w:w w:val="100"/>
        <w:position w:val="0"/>
        <w:sz w:val="44"/>
        <w:szCs w:val="44"/>
        <w:u w:val="none"/>
      </w:rPr>
    </w:lvl>
    <w:lvl w:ilvl="6">
      <w:start w:val="1"/>
      <w:numFmt w:val="bullet"/>
      <w:lvlText w:val="•"/>
      <w:lvlJc w:val="left"/>
      <w:rPr>
        <w:b w:val="0"/>
        <w:bCs w:val="0"/>
        <w:i w:val="0"/>
        <w:iCs w:val="0"/>
        <w:smallCaps w:val="0"/>
        <w:strike w:val="0"/>
        <w:color w:val="000000"/>
        <w:spacing w:val="0"/>
        <w:w w:val="100"/>
        <w:position w:val="0"/>
        <w:sz w:val="44"/>
        <w:szCs w:val="44"/>
        <w:u w:val="none"/>
      </w:rPr>
    </w:lvl>
    <w:lvl w:ilvl="7">
      <w:start w:val="1"/>
      <w:numFmt w:val="bullet"/>
      <w:lvlText w:val="•"/>
      <w:lvlJc w:val="left"/>
      <w:rPr>
        <w:b w:val="0"/>
        <w:bCs w:val="0"/>
        <w:i w:val="0"/>
        <w:iCs w:val="0"/>
        <w:smallCaps w:val="0"/>
        <w:strike w:val="0"/>
        <w:color w:val="000000"/>
        <w:spacing w:val="0"/>
        <w:w w:val="100"/>
        <w:position w:val="0"/>
        <w:sz w:val="44"/>
        <w:szCs w:val="44"/>
        <w:u w:val="none"/>
      </w:rPr>
    </w:lvl>
    <w:lvl w:ilvl="8">
      <w:start w:val="1"/>
      <w:numFmt w:val="bullet"/>
      <w:lvlText w:val="•"/>
      <w:lvlJc w:val="left"/>
      <w:rPr>
        <w:b w:val="0"/>
        <w:bCs w:val="0"/>
        <w:i w:val="0"/>
        <w:iCs w:val="0"/>
        <w:smallCaps w:val="0"/>
        <w:strike w:val="0"/>
        <w:color w:val="000000"/>
        <w:spacing w:val="0"/>
        <w:w w:val="100"/>
        <w:position w:val="0"/>
        <w:sz w:val="44"/>
        <w:szCs w:val="44"/>
        <w:u w:val="none"/>
      </w:rPr>
    </w:lvl>
  </w:abstractNum>
  <w:abstractNum w:abstractNumId="5" w15:restartNumberingAfterBreak="0">
    <w:nsid w:val="28451613"/>
    <w:multiLevelType w:val="hybridMultilevel"/>
    <w:tmpl w:val="C520F3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C7A768C"/>
    <w:multiLevelType w:val="multilevel"/>
    <w:tmpl w:val="00000004"/>
    <w:lvl w:ilvl="0">
      <w:start w:val="1"/>
      <w:numFmt w:val="bullet"/>
      <w:lvlText w:val="•"/>
      <w:lvlJc w:val="left"/>
      <w:rPr>
        <w:b w:val="0"/>
        <w:bCs w:val="0"/>
        <w:i w:val="0"/>
        <w:iCs w:val="0"/>
        <w:smallCaps w:val="0"/>
        <w:strike w:val="0"/>
        <w:color w:val="000000"/>
        <w:spacing w:val="0"/>
        <w:w w:val="100"/>
        <w:position w:val="0"/>
        <w:sz w:val="44"/>
        <w:szCs w:val="44"/>
        <w:u w:val="none"/>
      </w:rPr>
    </w:lvl>
    <w:lvl w:ilvl="1">
      <w:start w:val="1"/>
      <w:numFmt w:val="bullet"/>
      <w:lvlText w:val="•"/>
      <w:lvlJc w:val="left"/>
      <w:rPr>
        <w:b w:val="0"/>
        <w:bCs w:val="0"/>
        <w:i w:val="0"/>
        <w:iCs w:val="0"/>
        <w:smallCaps w:val="0"/>
        <w:strike w:val="0"/>
        <w:color w:val="000000"/>
        <w:spacing w:val="0"/>
        <w:w w:val="100"/>
        <w:position w:val="0"/>
        <w:sz w:val="44"/>
        <w:szCs w:val="44"/>
        <w:u w:val="none"/>
      </w:rPr>
    </w:lvl>
    <w:lvl w:ilvl="2">
      <w:start w:val="1"/>
      <w:numFmt w:val="bullet"/>
      <w:lvlText w:val="•"/>
      <w:lvlJc w:val="left"/>
      <w:rPr>
        <w:b w:val="0"/>
        <w:bCs w:val="0"/>
        <w:i w:val="0"/>
        <w:iCs w:val="0"/>
        <w:smallCaps w:val="0"/>
        <w:strike w:val="0"/>
        <w:color w:val="000000"/>
        <w:spacing w:val="0"/>
        <w:w w:val="100"/>
        <w:position w:val="0"/>
        <w:sz w:val="44"/>
        <w:szCs w:val="44"/>
        <w:u w:val="none"/>
      </w:rPr>
    </w:lvl>
    <w:lvl w:ilvl="3">
      <w:start w:val="1"/>
      <w:numFmt w:val="bullet"/>
      <w:lvlText w:val="•"/>
      <w:lvlJc w:val="left"/>
      <w:rPr>
        <w:b w:val="0"/>
        <w:bCs w:val="0"/>
        <w:i w:val="0"/>
        <w:iCs w:val="0"/>
        <w:smallCaps w:val="0"/>
        <w:strike w:val="0"/>
        <w:color w:val="000000"/>
        <w:spacing w:val="0"/>
        <w:w w:val="100"/>
        <w:position w:val="0"/>
        <w:sz w:val="44"/>
        <w:szCs w:val="44"/>
        <w:u w:val="none"/>
      </w:rPr>
    </w:lvl>
    <w:lvl w:ilvl="4">
      <w:start w:val="1"/>
      <w:numFmt w:val="bullet"/>
      <w:lvlText w:val="•"/>
      <w:lvlJc w:val="left"/>
      <w:rPr>
        <w:b w:val="0"/>
        <w:bCs w:val="0"/>
        <w:i w:val="0"/>
        <w:iCs w:val="0"/>
        <w:smallCaps w:val="0"/>
        <w:strike w:val="0"/>
        <w:color w:val="000000"/>
        <w:spacing w:val="0"/>
        <w:w w:val="100"/>
        <w:position w:val="0"/>
        <w:sz w:val="44"/>
        <w:szCs w:val="44"/>
        <w:u w:val="none"/>
      </w:rPr>
    </w:lvl>
    <w:lvl w:ilvl="5">
      <w:start w:val="1"/>
      <w:numFmt w:val="bullet"/>
      <w:lvlText w:val="•"/>
      <w:lvlJc w:val="left"/>
      <w:rPr>
        <w:b w:val="0"/>
        <w:bCs w:val="0"/>
        <w:i w:val="0"/>
        <w:iCs w:val="0"/>
        <w:smallCaps w:val="0"/>
        <w:strike w:val="0"/>
        <w:color w:val="000000"/>
        <w:spacing w:val="0"/>
        <w:w w:val="100"/>
        <w:position w:val="0"/>
        <w:sz w:val="44"/>
        <w:szCs w:val="44"/>
        <w:u w:val="none"/>
      </w:rPr>
    </w:lvl>
    <w:lvl w:ilvl="6">
      <w:start w:val="1"/>
      <w:numFmt w:val="bullet"/>
      <w:lvlText w:val="•"/>
      <w:lvlJc w:val="left"/>
      <w:rPr>
        <w:b w:val="0"/>
        <w:bCs w:val="0"/>
        <w:i w:val="0"/>
        <w:iCs w:val="0"/>
        <w:smallCaps w:val="0"/>
        <w:strike w:val="0"/>
        <w:color w:val="000000"/>
        <w:spacing w:val="0"/>
        <w:w w:val="100"/>
        <w:position w:val="0"/>
        <w:sz w:val="44"/>
        <w:szCs w:val="44"/>
        <w:u w:val="none"/>
      </w:rPr>
    </w:lvl>
    <w:lvl w:ilvl="7">
      <w:start w:val="1"/>
      <w:numFmt w:val="bullet"/>
      <w:lvlText w:val="•"/>
      <w:lvlJc w:val="left"/>
      <w:rPr>
        <w:b w:val="0"/>
        <w:bCs w:val="0"/>
        <w:i w:val="0"/>
        <w:iCs w:val="0"/>
        <w:smallCaps w:val="0"/>
        <w:strike w:val="0"/>
        <w:color w:val="000000"/>
        <w:spacing w:val="0"/>
        <w:w w:val="100"/>
        <w:position w:val="0"/>
        <w:sz w:val="44"/>
        <w:szCs w:val="44"/>
        <w:u w:val="none"/>
      </w:rPr>
    </w:lvl>
    <w:lvl w:ilvl="8">
      <w:start w:val="1"/>
      <w:numFmt w:val="bullet"/>
      <w:lvlText w:val="•"/>
      <w:lvlJc w:val="left"/>
      <w:rPr>
        <w:b w:val="0"/>
        <w:bCs w:val="0"/>
        <w:i w:val="0"/>
        <w:iCs w:val="0"/>
        <w:smallCaps w:val="0"/>
        <w:strike w:val="0"/>
        <w:color w:val="000000"/>
        <w:spacing w:val="0"/>
        <w:w w:val="100"/>
        <w:position w:val="0"/>
        <w:sz w:val="44"/>
        <w:szCs w:val="44"/>
        <w:u w:val="none"/>
      </w:rPr>
    </w:lvl>
  </w:abstractNum>
  <w:abstractNum w:abstractNumId="7" w15:restartNumberingAfterBreak="0">
    <w:nsid w:val="320C2987"/>
    <w:multiLevelType w:val="hybridMultilevel"/>
    <w:tmpl w:val="9F0AB5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82A6E26"/>
    <w:multiLevelType w:val="multilevel"/>
    <w:tmpl w:val="00000004"/>
    <w:lvl w:ilvl="0">
      <w:start w:val="1"/>
      <w:numFmt w:val="bullet"/>
      <w:lvlText w:val="•"/>
      <w:lvlJc w:val="left"/>
      <w:rPr>
        <w:b w:val="0"/>
        <w:bCs w:val="0"/>
        <w:i w:val="0"/>
        <w:iCs w:val="0"/>
        <w:smallCaps w:val="0"/>
        <w:strike w:val="0"/>
        <w:color w:val="000000"/>
        <w:spacing w:val="0"/>
        <w:w w:val="100"/>
        <w:position w:val="0"/>
        <w:sz w:val="44"/>
        <w:szCs w:val="44"/>
        <w:u w:val="none"/>
      </w:rPr>
    </w:lvl>
    <w:lvl w:ilvl="1">
      <w:start w:val="1"/>
      <w:numFmt w:val="bullet"/>
      <w:lvlText w:val="•"/>
      <w:lvlJc w:val="left"/>
      <w:rPr>
        <w:b w:val="0"/>
        <w:bCs w:val="0"/>
        <w:i w:val="0"/>
        <w:iCs w:val="0"/>
        <w:smallCaps w:val="0"/>
        <w:strike w:val="0"/>
        <w:color w:val="000000"/>
        <w:spacing w:val="0"/>
        <w:w w:val="100"/>
        <w:position w:val="0"/>
        <w:sz w:val="44"/>
        <w:szCs w:val="44"/>
        <w:u w:val="none"/>
      </w:rPr>
    </w:lvl>
    <w:lvl w:ilvl="2">
      <w:start w:val="1"/>
      <w:numFmt w:val="bullet"/>
      <w:lvlText w:val="•"/>
      <w:lvlJc w:val="left"/>
      <w:rPr>
        <w:b w:val="0"/>
        <w:bCs w:val="0"/>
        <w:i w:val="0"/>
        <w:iCs w:val="0"/>
        <w:smallCaps w:val="0"/>
        <w:strike w:val="0"/>
        <w:color w:val="000000"/>
        <w:spacing w:val="0"/>
        <w:w w:val="100"/>
        <w:position w:val="0"/>
        <w:sz w:val="44"/>
        <w:szCs w:val="44"/>
        <w:u w:val="none"/>
      </w:rPr>
    </w:lvl>
    <w:lvl w:ilvl="3">
      <w:start w:val="1"/>
      <w:numFmt w:val="bullet"/>
      <w:lvlText w:val="•"/>
      <w:lvlJc w:val="left"/>
      <w:rPr>
        <w:b w:val="0"/>
        <w:bCs w:val="0"/>
        <w:i w:val="0"/>
        <w:iCs w:val="0"/>
        <w:smallCaps w:val="0"/>
        <w:strike w:val="0"/>
        <w:color w:val="000000"/>
        <w:spacing w:val="0"/>
        <w:w w:val="100"/>
        <w:position w:val="0"/>
        <w:sz w:val="44"/>
        <w:szCs w:val="44"/>
        <w:u w:val="none"/>
      </w:rPr>
    </w:lvl>
    <w:lvl w:ilvl="4">
      <w:start w:val="1"/>
      <w:numFmt w:val="bullet"/>
      <w:lvlText w:val="•"/>
      <w:lvlJc w:val="left"/>
      <w:rPr>
        <w:b w:val="0"/>
        <w:bCs w:val="0"/>
        <w:i w:val="0"/>
        <w:iCs w:val="0"/>
        <w:smallCaps w:val="0"/>
        <w:strike w:val="0"/>
        <w:color w:val="000000"/>
        <w:spacing w:val="0"/>
        <w:w w:val="100"/>
        <w:position w:val="0"/>
        <w:sz w:val="44"/>
        <w:szCs w:val="44"/>
        <w:u w:val="none"/>
      </w:rPr>
    </w:lvl>
    <w:lvl w:ilvl="5">
      <w:start w:val="1"/>
      <w:numFmt w:val="bullet"/>
      <w:lvlText w:val="•"/>
      <w:lvlJc w:val="left"/>
      <w:rPr>
        <w:b w:val="0"/>
        <w:bCs w:val="0"/>
        <w:i w:val="0"/>
        <w:iCs w:val="0"/>
        <w:smallCaps w:val="0"/>
        <w:strike w:val="0"/>
        <w:color w:val="000000"/>
        <w:spacing w:val="0"/>
        <w:w w:val="100"/>
        <w:position w:val="0"/>
        <w:sz w:val="44"/>
        <w:szCs w:val="44"/>
        <w:u w:val="none"/>
      </w:rPr>
    </w:lvl>
    <w:lvl w:ilvl="6">
      <w:start w:val="1"/>
      <w:numFmt w:val="bullet"/>
      <w:lvlText w:val="•"/>
      <w:lvlJc w:val="left"/>
      <w:rPr>
        <w:b w:val="0"/>
        <w:bCs w:val="0"/>
        <w:i w:val="0"/>
        <w:iCs w:val="0"/>
        <w:smallCaps w:val="0"/>
        <w:strike w:val="0"/>
        <w:color w:val="000000"/>
        <w:spacing w:val="0"/>
        <w:w w:val="100"/>
        <w:position w:val="0"/>
        <w:sz w:val="44"/>
        <w:szCs w:val="44"/>
        <w:u w:val="none"/>
      </w:rPr>
    </w:lvl>
    <w:lvl w:ilvl="7">
      <w:start w:val="1"/>
      <w:numFmt w:val="bullet"/>
      <w:lvlText w:val="•"/>
      <w:lvlJc w:val="left"/>
      <w:rPr>
        <w:b w:val="0"/>
        <w:bCs w:val="0"/>
        <w:i w:val="0"/>
        <w:iCs w:val="0"/>
        <w:smallCaps w:val="0"/>
        <w:strike w:val="0"/>
        <w:color w:val="000000"/>
        <w:spacing w:val="0"/>
        <w:w w:val="100"/>
        <w:position w:val="0"/>
        <w:sz w:val="44"/>
        <w:szCs w:val="44"/>
        <w:u w:val="none"/>
      </w:rPr>
    </w:lvl>
    <w:lvl w:ilvl="8">
      <w:start w:val="1"/>
      <w:numFmt w:val="bullet"/>
      <w:lvlText w:val="•"/>
      <w:lvlJc w:val="left"/>
      <w:rPr>
        <w:b w:val="0"/>
        <w:bCs w:val="0"/>
        <w:i w:val="0"/>
        <w:iCs w:val="0"/>
        <w:smallCaps w:val="0"/>
        <w:strike w:val="0"/>
        <w:color w:val="000000"/>
        <w:spacing w:val="0"/>
        <w:w w:val="100"/>
        <w:position w:val="0"/>
        <w:sz w:val="44"/>
        <w:szCs w:val="44"/>
        <w:u w:val="none"/>
      </w:rPr>
    </w:lvl>
  </w:abstractNum>
  <w:abstractNum w:abstractNumId="9" w15:restartNumberingAfterBreak="0">
    <w:nsid w:val="4C051D0C"/>
    <w:multiLevelType w:val="hybridMultilevel"/>
    <w:tmpl w:val="F33863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3BF1E29"/>
    <w:multiLevelType w:val="multilevel"/>
    <w:tmpl w:val="00000004"/>
    <w:lvl w:ilvl="0">
      <w:start w:val="1"/>
      <w:numFmt w:val="bullet"/>
      <w:lvlText w:val="•"/>
      <w:lvlJc w:val="left"/>
      <w:rPr>
        <w:b w:val="0"/>
        <w:bCs w:val="0"/>
        <w:i w:val="0"/>
        <w:iCs w:val="0"/>
        <w:smallCaps w:val="0"/>
        <w:strike w:val="0"/>
        <w:color w:val="000000"/>
        <w:spacing w:val="0"/>
        <w:w w:val="100"/>
        <w:position w:val="0"/>
        <w:sz w:val="44"/>
        <w:szCs w:val="44"/>
        <w:u w:val="none"/>
      </w:rPr>
    </w:lvl>
    <w:lvl w:ilvl="1">
      <w:start w:val="1"/>
      <w:numFmt w:val="bullet"/>
      <w:lvlText w:val="•"/>
      <w:lvlJc w:val="left"/>
      <w:rPr>
        <w:b w:val="0"/>
        <w:bCs w:val="0"/>
        <w:i w:val="0"/>
        <w:iCs w:val="0"/>
        <w:smallCaps w:val="0"/>
        <w:strike w:val="0"/>
        <w:color w:val="000000"/>
        <w:spacing w:val="0"/>
        <w:w w:val="100"/>
        <w:position w:val="0"/>
        <w:sz w:val="44"/>
        <w:szCs w:val="44"/>
        <w:u w:val="none"/>
      </w:rPr>
    </w:lvl>
    <w:lvl w:ilvl="2">
      <w:start w:val="1"/>
      <w:numFmt w:val="bullet"/>
      <w:lvlText w:val="•"/>
      <w:lvlJc w:val="left"/>
      <w:rPr>
        <w:b w:val="0"/>
        <w:bCs w:val="0"/>
        <w:i w:val="0"/>
        <w:iCs w:val="0"/>
        <w:smallCaps w:val="0"/>
        <w:strike w:val="0"/>
        <w:color w:val="000000"/>
        <w:spacing w:val="0"/>
        <w:w w:val="100"/>
        <w:position w:val="0"/>
        <w:sz w:val="44"/>
        <w:szCs w:val="44"/>
        <w:u w:val="none"/>
      </w:rPr>
    </w:lvl>
    <w:lvl w:ilvl="3">
      <w:start w:val="1"/>
      <w:numFmt w:val="bullet"/>
      <w:lvlText w:val="•"/>
      <w:lvlJc w:val="left"/>
      <w:rPr>
        <w:b w:val="0"/>
        <w:bCs w:val="0"/>
        <w:i w:val="0"/>
        <w:iCs w:val="0"/>
        <w:smallCaps w:val="0"/>
        <w:strike w:val="0"/>
        <w:color w:val="000000"/>
        <w:spacing w:val="0"/>
        <w:w w:val="100"/>
        <w:position w:val="0"/>
        <w:sz w:val="44"/>
        <w:szCs w:val="44"/>
        <w:u w:val="none"/>
      </w:rPr>
    </w:lvl>
    <w:lvl w:ilvl="4">
      <w:start w:val="1"/>
      <w:numFmt w:val="bullet"/>
      <w:lvlText w:val="•"/>
      <w:lvlJc w:val="left"/>
      <w:rPr>
        <w:b w:val="0"/>
        <w:bCs w:val="0"/>
        <w:i w:val="0"/>
        <w:iCs w:val="0"/>
        <w:smallCaps w:val="0"/>
        <w:strike w:val="0"/>
        <w:color w:val="000000"/>
        <w:spacing w:val="0"/>
        <w:w w:val="100"/>
        <w:position w:val="0"/>
        <w:sz w:val="44"/>
        <w:szCs w:val="44"/>
        <w:u w:val="none"/>
      </w:rPr>
    </w:lvl>
    <w:lvl w:ilvl="5">
      <w:start w:val="1"/>
      <w:numFmt w:val="bullet"/>
      <w:lvlText w:val="•"/>
      <w:lvlJc w:val="left"/>
      <w:rPr>
        <w:b w:val="0"/>
        <w:bCs w:val="0"/>
        <w:i w:val="0"/>
        <w:iCs w:val="0"/>
        <w:smallCaps w:val="0"/>
        <w:strike w:val="0"/>
        <w:color w:val="000000"/>
        <w:spacing w:val="0"/>
        <w:w w:val="100"/>
        <w:position w:val="0"/>
        <w:sz w:val="44"/>
        <w:szCs w:val="44"/>
        <w:u w:val="none"/>
      </w:rPr>
    </w:lvl>
    <w:lvl w:ilvl="6">
      <w:start w:val="1"/>
      <w:numFmt w:val="bullet"/>
      <w:lvlText w:val="•"/>
      <w:lvlJc w:val="left"/>
      <w:rPr>
        <w:b w:val="0"/>
        <w:bCs w:val="0"/>
        <w:i w:val="0"/>
        <w:iCs w:val="0"/>
        <w:smallCaps w:val="0"/>
        <w:strike w:val="0"/>
        <w:color w:val="000000"/>
        <w:spacing w:val="0"/>
        <w:w w:val="100"/>
        <w:position w:val="0"/>
        <w:sz w:val="44"/>
        <w:szCs w:val="44"/>
        <w:u w:val="none"/>
      </w:rPr>
    </w:lvl>
    <w:lvl w:ilvl="7">
      <w:start w:val="1"/>
      <w:numFmt w:val="bullet"/>
      <w:lvlText w:val="•"/>
      <w:lvlJc w:val="left"/>
      <w:rPr>
        <w:b w:val="0"/>
        <w:bCs w:val="0"/>
        <w:i w:val="0"/>
        <w:iCs w:val="0"/>
        <w:smallCaps w:val="0"/>
        <w:strike w:val="0"/>
        <w:color w:val="000000"/>
        <w:spacing w:val="0"/>
        <w:w w:val="100"/>
        <w:position w:val="0"/>
        <w:sz w:val="44"/>
        <w:szCs w:val="44"/>
        <w:u w:val="none"/>
      </w:rPr>
    </w:lvl>
    <w:lvl w:ilvl="8">
      <w:start w:val="1"/>
      <w:numFmt w:val="bullet"/>
      <w:lvlText w:val="•"/>
      <w:lvlJc w:val="left"/>
      <w:rPr>
        <w:b w:val="0"/>
        <w:bCs w:val="0"/>
        <w:i w:val="0"/>
        <w:iCs w:val="0"/>
        <w:smallCaps w:val="0"/>
        <w:strike w:val="0"/>
        <w:color w:val="000000"/>
        <w:spacing w:val="0"/>
        <w:w w:val="100"/>
        <w:position w:val="0"/>
        <w:sz w:val="44"/>
        <w:szCs w:val="44"/>
        <w:u w:val="none"/>
      </w:rPr>
    </w:lvl>
  </w:abstractNum>
  <w:abstractNum w:abstractNumId="11" w15:restartNumberingAfterBreak="0">
    <w:nsid w:val="5898086D"/>
    <w:multiLevelType w:val="multilevel"/>
    <w:tmpl w:val="00000004"/>
    <w:lvl w:ilvl="0">
      <w:start w:val="1"/>
      <w:numFmt w:val="bullet"/>
      <w:lvlText w:val="•"/>
      <w:lvlJc w:val="left"/>
      <w:rPr>
        <w:b w:val="0"/>
        <w:bCs w:val="0"/>
        <w:i w:val="0"/>
        <w:iCs w:val="0"/>
        <w:smallCaps w:val="0"/>
        <w:strike w:val="0"/>
        <w:color w:val="000000"/>
        <w:spacing w:val="0"/>
        <w:w w:val="100"/>
        <w:position w:val="0"/>
        <w:sz w:val="44"/>
        <w:szCs w:val="44"/>
        <w:u w:val="none"/>
      </w:rPr>
    </w:lvl>
    <w:lvl w:ilvl="1">
      <w:start w:val="1"/>
      <w:numFmt w:val="bullet"/>
      <w:lvlText w:val="•"/>
      <w:lvlJc w:val="left"/>
      <w:rPr>
        <w:b w:val="0"/>
        <w:bCs w:val="0"/>
        <w:i w:val="0"/>
        <w:iCs w:val="0"/>
        <w:smallCaps w:val="0"/>
        <w:strike w:val="0"/>
        <w:color w:val="000000"/>
        <w:spacing w:val="0"/>
        <w:w w:val="100"/>
        <w:position w:val="0"/>
        <w:sz w:val="44"/>
        <w:szCs w:val="44"/>
        <w:u w:val="none"/>
      </w:rPr>
    </w:lvl>
    <w:lvl w:ilvl="2">
      <w:start w:val="1"/>
      <w:numFmt w:val="bullet"/>
      <w:lvlText w:val="•"/>
      <w:lvlJc w:val="left"/>
      <w:rPr>
        <w:b w:val="0"/>
        <w:bCs w:val="0"/>
        <w:i w:val="0"/>
        <w:iCs w:val="0"/>
        <w:smallCaps w:val="0"/>
        <w:strike w:val="0"/>
        <w:color w:val="000000"/>
        <w:spacing w:val="0"/>
        <w:w w:val="100"/>
        <w:position w:val="0"/>
        <w:sz w:val="44"/>
        <w:szCs w:val="44"/>
        <w:u w:val="none"/>
      </w:rPr>
    </w:lvl>
    <w:lvl w:ilvl="3">
      <w:start w:val="1"/>
      <w:numFmt w:val="bullet"/>
      <w:lvlText w:val="•"/>
      <w:lvlJc w:val="left"/>
      <w:rPr>
        <w:b w:val="0"/>
        <w:bCs w:val="0"/>
        <w:i w:val="0"/>
        <w:iCs w:val="0"/>
        <w:smallCaps w:val="0"/>
        <w:strike w:val="0"/>
        <w:color w:val="000000"/>
        <w:spacing w:val="0"/>
        <w:w w:val="100"/>
        <w:position w:val="0"/>
        <w:sz w:val="44"/>
        <w:szCs w:val="44"/>
        <w:u w:val="none"/>
      </w:rPr>
    </w:lvl>
    <w:lvl w:ilvl="4">
      <w:start w:val="1"/>
      <w:numFmt w:val="bullet"/>
      <w:lvlText w:val="•"/>
      <w:lvlJc w:val="left"/>
      <w:rPr>
        <w:b w:val="0"/>
        <w:bCs w:val="0"/>
        <w:i w:val="0"/>
        <w:iCs w:val="0"/>
        <w:smallCaps w:val="0"/>
        <w:strike w:val="0"/>
        <w:color w:val="000000"/>
        <w:spacing w:val="0"/>
        <w:w w:val="100"/>
        <w:position w:val="0"/>
        <w:sz w:val="44"/>
        <w:szCs w:val="44"/>
        <w:u w:val="none"/>
      </w:rPr>
    </w:lvl>
    <w:lvl w:ilvl="5">
      <w:start w:val="1"/>
      <w:numFmt w:val="bullet"/>
      <w:lvlText w:val="•"/>
      <w:lvlJc w:val="left"/>
      <w:rPr>
        <w:b w:val="0"/>
        <w:bCs w:val="0"/>
        <w:i w:val="0"/>
        <w:iCs w:val="0"/>
        <w:smallCaps w:val="0"/>
        <w:strike w:val="0"/>
        <w:color w:val="000000"/>
        <w:spacing w:val="0"/>
        <w:w w:val="100"/>
        <w:position w:val="0"/>
        <w:sz w:val="44"/>
        <w:szCs w:val="44"/>
        <w:u w:val="none"/>
      </w:rPr>
    </w:lvl>
    <w:lvl w:ilvl="6">
      <w:start w:val="1"/>
      <w:numFmt w:val="bullet"/>
      <w:lvlText w:val="•"/>
      <w:lvlJc w:val="left"/>
      <w:rPr>
        <w:b w:val="0"/>
        <w:bCs w:val="0"/>
        <w:i w:val="0"/>
        <w:iCs w:val="0"/>
        <w:smallCaps w:val="0"/>
        <w:strike w:val="0"/>
        <w:color w:val="000000"/>
        <w:spacing w:val="0"/>
        <w:w w:val="100"/>
        <w:position w:val="0"/>
        <w:sz w:val="44"/>
        <w:szCs w:val="44"/>
        <w:u w:val="none"/>
      </w:rPr>
    </w:lvl>
    <w:lvl w:ilvl="7">
      <w:start w:val="1"/>
      <w:numFmt w:val="bullet"/>
      <w:lvlText w:val="•"/>
      <w:lvlJc w:val="left"/>
      <w:rPr>
        <w:b w:val="0"/>
        <w:bCs w:val="0"/>
        <w:i w:val="0"/>
        <w:iCs w:val="0"/>
        <w:smallCaps w:val="0"/>
        <w:strike w:val="0"/>
        <w:color w:val="000000"/>
        <w:spacing w:val="0"/>
        <w:w w:val="100"/>
        <w:position w:val="0"/>
        <w:sz w:val="44"/>
        <w:szCs w:val="44"/>
        <w:u w:val="none"/>
      </w:rPr>
    </w:lvl>
    <w:lvl w:ilvl="8">
      <w:start w:val="1"/>
      <w:numFmt w:val="bullet"/>
      <w:lvlText w:val="•"/>
      <w:lvlJc w:val="left"/>
      <w:rPr>
        <w:b w:val="0"/>
        <w:bCs w:val="0"/>
        <w:i w:val="0"/>
        <w:iCs w:val="0"/>
        <w:smallCaps w:val="0"/>
        <w:strike w:val="0"/>
        <w:color w:val="000000"/>
        <w:spacing w:val="0"/>
        <w:w w:val="100"/>
        <w:position w:val="0"/>
        <w:sz w:val="44"/>
        <w:szCs w:val="44"/>
        <w:u w:val="none"/>
      </w:rPr>
    </w:lvl>
  </w:abstractNum>
  <w:abstractNum w:abstractNumId="12" w15:restartNumberingAfterBreak="0">
    <w:nsid w:val="5BBF7E66"/>
    <w:multiLevelType w:val="multilevel"/>
    <w:tmpl w:val="00000004"/>
    <w:lvl w:ilvl="0">
      <w:start w:val="1"/>
      <w:numFmt w:val="bullet"/>
      <w:lvlText w:val="•"/>
      <w:lvlJc w:val="left"/>
      <w:rPr>
        <w:b w:val="0"/>
        <w:bCs w:val="0"/>
        <w:i w:val="0"/>
        <w:iCs w:val="0"/>
        <w:smallCaps w:val="0"/>
        <w:strike w:val="0"/>
        <w:color w:val="000000"/>
        <w:spacing w:val="0"/>
        <w:w w:val="100"/>
        <w:position w:val="0"/>
        <w:sz w:val="44"/>
        <w:szCs w:val="44"/>
        <w:u w:val="none"/>
      </w:rPr>
    </w:lvl>
    <w:lvl w:ilvl="1">
      <w:start w:val="1"/>
      <w:numFmt w:val="bullet"/>
      <w:lvlText w:val="•"/>
      <w:lvlJc w:val="left"/>
      <w:rPr>
        <w:b w:val="0"/>
        <w:bCs w:val="0"/>
        <w:i w:val="0"/>
        <w:iCs w:val="0"/>
        <w:smallCaps w:val="0"/>
        <w:strike w:val="0"/>
        <w:color w:val="000000"/>
        <w:spacing w:val="0"/>
        <w:w w:val="100"/>
        <w:position w:val="0"/>
        <w:sz w:val="44"/>
        <w:szCs w:val="44"/>
        <w:u w:val="none"/>
      </w:rPr>
    </w:lvl>
    <w:lvl w:ilvl="2">
      <w:start w:val="1"/>
      <w:numFmt w:val="bullet"/>
      <w:lvlText w:val="•"/>
      <w:lvlJc w:val="left"/>
      <w:rPr>
        <w:b w:val="0"/>
        <w:bCs w:val="0"/>
        <w:i w:val="0"/>
        <w:iCs w:val="0"/>
        <w:smallCaps w:val="0"/>
        <w:strike w:val="0"/>
        <w:color w:val="000000"/>
        <w:spacing w:val="0"/>
        <w:w w:val="100"/>
        <w:position w:val="0"/>
        <w:sz w:val="44"/>
        <w:szCs w:val="44"/>
        <w:u w:val="none"/>
      </w:rPr>
    </w:lvl>
    <w:lvl w:ilvl="3">
      <w:start w:val="1"/>
      <w:numFmt w:val="bullet"/>
      <w:lvlText w:val="•"/>
      <w:lvlJc w:val="left"/>
      <w:rPr>
        <w:b w:val="0"/>
        <w:bCs w:val="0"/>
        <w:i w:val="0"/>
        <w:iCs w:val="0"/>
        <w:smallCaps w:val="0"/>
        <w:strike w:val="0"/>
        <w:color w:val="000000"/>
        <w:spacing w:val="0"/>
        <w:w w:val="100"/>
        <w:position w:val="0"/>
        <w:sz w:val="44"/>
        <w:szCs w:val="44"/>
        <w:u w:val="none"/>
      </w:rPr>
    </w:lvl>
    <w:lvl w:ilvl="4">
      <w:start w:val="1"/>
      <w:numFmt w:val="bullet"/>
      <w:lvlText w:val="•"/>
      <w:lvlJc w:val="left"/>
      <w:rPr>
        <w:b w:val="0"/>
        <w:bCs w:val="0"/>
        <w:i w:val="0"/>
        <w:iCs w:val="0"/>
        <w:smallCaps w:val="0"/>
        <w:strike w:val="0"/>
        <w:color w:val="000000"/>
        <w:spacing w:val="0"/>
        <w:w w:val="100"/>
        <w:position w:val="0"/>
        <w:sz w:val="44"/>
        <w:szCs w:val="44"/>
        <w:u w:val="none"/>
      </w:rPr>
    </w:lvl>
    <w:lvl w:ilvl="5">
      <w:start w:val="1"/>
      <w:numFmt w:val="bullet"/>
      <w:lvlText w:val="•"/>
      <w:lvlJc w:val="left"/>
      <w:rPr>
        <w:b w:val="0"/>
        <w:bCs w:val="0"/>
        <w:i w:val="0"/>
        <w:iCs w:val="0"/>
        <w:smallCaps w:val="0"/>
        <w:strike w:val="0"/>
        <w:color w:val="000000"/>
        <w:spacing w:val="0"/>
        <w:w w:val="100"/>
        <w:position w:val="0"/>
        <w:sz w:val="44"/>
        <w:szCs w:val="44"/>
        <w:u w:val="none"/>
      </w:rPr>
    </w:lvl>
    <w:lvl w:ilvl="6">
      <w:start w:val="1"/>
      <w:numFmt w:val="bullet"/>
      <w:lvlText w:val="•"/>
      <w:lvlJc w:val="left"/>
      <w:rPr>
        <w:b w:val="0"/>
        <w:bCs w:val="0"/>
        <w:i w:val="0"/>
        <w:iCs w:val="0"/>
        <w:smallCaps w:val="0"/>
        <w:strike w:val="0"/>
        <w:color w:val="000000"/>
        <w:spacing w:val="0"/>
        <w:w w:val="100"/>
        <w:position w:val="0"/>
        <w:sz w:val="44"/>
        <w:szCs w:val="44"/>
        <w:u w:val="none"/>
      </w:rPr>
    </w:lvl>
    <w:lvl w:ilvl="7">
      <w:start w:val="1"/>
      <w:numFmt w:val="bullet"/>
      <w:lvlText w:val="•"/>
      <w:lvlJc w:val="left"/>
      <w:rPr>
        <w:b w:val="0"/>
        <w:bCs w:val="0"/>
        <w:i w:val="0"/>
        <w:iCs w:val="0"/>
        <w:smallCaps w:val="0"/>
        <w:strike w:val="0"/>
        <w:color w:val="000000"/>
        <w:spacing w:val="0"/>
        <w:w w:val="100"/>
        <w:position w:val="0"/>
        <w:sz w:val="44"/>
        <w:szCs w:val="44"/>
        <w:u w:val="none"/>
      </w:rPr>
    </w:lvl>
    <w:lvl w:ilvl="8">
      <w:start w:val="1"/>
      <w:numFmt w:val="bullet"/>
      <w:lvlText w:val="•"/>
      <w:lvlJc w:val="left"/>
      <w:rPr>
        <w:b w:val="0"/>
        <w:bCs w:val="0"/>
        <w:i w:val="0"/>
        <w:iCs w:val="0"/>
        <w:smallCaps w:val="0"/>
        <w:strike w:val="0"/>
        <w:color w:val="000000"/>
        <w:spacing w:val="0"/>
        <w:w w:val="100"/>
        <w:position w:val="0"/>
        <w:sz w:val="44"/>
        <w:szCs w:val="44"/>
        <w:u w:val="none"/>
      </w:rPr>
    </w:lvl>
  </w:abstractNum>
  <w:abstractNum w:abstractNumId="13" w15:restartNumberingAfterBreak="0">
    <w:nsid w:val="6A81179D"/>
    <w:multiLevelType w:val="multilevel"/>
    <w:tmpl w:val="00000004"/>
    <w:lvl w:ilvl="0">
      <w:start w:val="1"/>
      <w:numFmt w:val="bullet"/>
      <w:lvlText w:val="•"/>
      <w:lvlJc w:val="left"/>
      <w:rPr>
        <w:b w:val="0"/>
        <w:bCs w:val="0"/>
        <w:i w:val="0"/>
        <w:iCs w:val="0"/>
        <w:smallCaps w:val="0"/>
        <w:strike w:val="0"/>
        <w:color w:val="000000"/>
        <w:spacing w:val="0"/>
        <w:w w:val="100"/>
        <w:position w:val="0"/>
        <w:sz w:val="44"/>
        <w:szCs w:val="44"/>
        <w:u w:val="none"/>
      </w:rPr>
    </w:lvl>
    <w:lvl w:ilvl="1">
      <w:start w:val="1"/>
      <w:numFmt w:val="bullet"/>
      <w:lvlText w:val="•"/>
      <w:lvlJc w:val="left"/>
      <w:rPr>
        <w:b w:val="0"/>
        <w:bCs w:val="0"/>
        <w:i w:val="0"/>
        <w:iCs w:val="0"/>
        <w:smallCaps w:val="0"/>
        <w:strike w:val="0"/>
        <w:color w:val="000000"/>
        <w:spacing w:val="0"/>
        <w:w w:val="100"/>
        <w:position w:val="0"/>
        <w:sz w:val="44"/>
        <w:szCs w:val="44"/>
        <w:u w:val="none"/>
      </w:rPr>
    </w:lvl>
    <w:lvl w:ilvl="2">
      <w:start w:val="1"/>
      <w:numFmt w:val="bullet"/>
      <w:lvlText w:val="•"/>
      <w:lvlJc w:val="left"/>
      <w:rPr>
        <w:b w:val="0"/>
        <w:bCs w:val="0"/>
        <w:i w:val="0"/>
        <w:iCs w:val="0"/>
        <w:smallCaps w:val="0"/>
        <w:strike w:val="0"/>
        <w:color w:val="000000"/>
        <w:spacing w:val="0"/>
        <w:w w:val="100"/>
        <w:position w:val="0"/>
        <w:sz w:val="44"/>
        <w:szCs w:val="44"/>
        <w:u w:val="none"/>
      </w:rPr>
    </w:lvl>
    <w:lvl w:ilvl="3">
      <w:start w:val="1"/>
      <w:numFmt w:val="bullet"/>
      <w:lvlText w:val="•"/>
      <w:lvlJc w:val="left"/>
      <w:rPr>
        <w:b w:val="0"/>
        <w:bCs w:val="0"/>
        <w:i w:val="0"/>
        <w:iCs w:val="0"/>
        <w:smallCaps w:val="0"/>
        <w:strike w:val="0"/>
        <w:color w:val="000000"/>
        <w:spacing w:val="0"/>
        <w:w w:val="100"/>
        <w:position w:val="0"/>
        <w:sz w:val="44"/>
        <w:szCs w:val="44"/>
        <w:u w:val="none"/>
      </w:rPr>
    </w:lvl>
    <w:lvl w:ilvl="4">
      <w:start w:val="1"/>
      <w:numFmt w:val="bullet"/>
      <w:lvlText w:val="•"/>
      <w:lvlJc w:val="left"/>
      <w:rPr>
        <w:b w:val="0"/>
        <w:bCs w:val="0"/>
        <w:i w:val="0"/>
        <w:iCs w:val="0"/>
        <w:smallCaps w:val="0"/>
        <w:strike w:val="0"/>
        <w:color w:val="000000"/>
        <w:spacing w:val="0"/>
        <w:w w:val="100"/>
        <w:position w:val="0"/>
        <w:sz w:val="44"/>
        <w:szCs w:val="44"/>
        <w:u w:val="none"/>
      </w:rPr>
    </w:lvl>
    <w:lvl w:ilvl="5">
      <w:start w:val="1"/>
      <w:numFmt w:val="bullet"/>
      <w:lvlText w:val="•"/>
      <w:lvlJc w:val="left"/>
      <w:rPr>
        <w:b w:val="0"/>
        <w:bCs w:val="0"/>
        <w:i w:val="0"/>
        <w:iCs w:val="0"/>
        <w:smallCaps w:val="0"/>
        <w:strike w:val="0"/>
        <w:color w:val="000000"/>
        <w:spacing w:val="0"/>
        <w:w w:val="100"/>
        <w:position w:val="0"/>
        <w:sz w:val="44"/>
        <w:szCs w:val="44"/>
        <w:u w:val="none"/>
      </w:rPr>
    </w:lvl>
    <w:lvl w:ilvl="6">
      <w:start w:val="1"/>
      <w:numFmt w:val="bullet"/>
      <w:lvlText w:val="•"/>
      <w:lvlJc w:val="left"/>
      <w:rPr>
        <w:b w:val="0"/>
        <w:bCs w:val="0"/>
        <w:i w:val="0"/>
        <w:iCs w:val="0"/>
        <w:smallCaps w:val="0"/>
        <w:strike w:val="0"/>
        <w:color w:val="000000"/>
        <w:spacing w:val="0"/>
        <w:w w:val="100"/>
        <w:position w:val="0"/>
        <w:sz w:val="44"/>
        <w:szCs w:val="44"/>
        <w:u w:val="none"/>
      </w:rPr>
    </w:lvl>
    <w:lvl w:ilvl="7">
      <w:start w:val="1"/>
      <w:numFmt w:val="bullet"/>
      <w:lvlText w:val="•"/>
      <w:lvlJc w:val="left"/>
      <w:rPr>
        <w:b w:val="0"/>
        <w:bCs w:val="0"/>
        <w:i w:val="0"/>
        <w:iCs w:val="0"/>
        <w:smallCaps w:val="0"/>
        <w:strike w:val="0"/>
        <w:color w:val="000000"/>
        <w:spacing w:val="0"/>
        <w:w w:val="100"/>
        <w:position w:val="0"/>
        <w:sz w:val="44"/>
        <w:szCs w:val="44"/>
        <w:u w:val="none"/>
      </w:rPr>
    </w:lvl>
    <w:lvl w:ilvl="8">
      <w:start w:val="1"/>
      <w:numFmt w:val="bullet"/>
      <w:lvlText w:val="•"/>
      <w:lvlJc w:val="left"/>
      <w:rPr>
        <w:b w:val="0"/>
        <w:bCs w:val="0"/>
        <w:i w:val="0"/>
        <w:iCs w:val="0"/>
        <w:smallCaps w:val="0"/>
        <w:strike w:val="0"/>
        <w:color w:val="000000"/>
        <w:spacing w:val="0"/>
        <w:w w:val="100"/>
        <w:position w:val="0"/>
        <w:sz w:val="44"/>
        <w:szCs w:val="44"/>
        <w:u w:val="none"/>
      </w:rPr>
    </w:lvl>
  </w:abstractNum>
  <w:abstractNum w:abstractNumId="14" w15:restartNumberingAfterBreak="0">
    <w:nsid w:val="6F1077A1"/>
    <w:multiLevelType w:val="multilevel"/>
    <w:tmpl w:val="00000004"/>
    <w:lvl w:ilvl="0">
      <w:start w:val="1"/>
      <w:numFmt w:val="bullet"/>
      <w:lvlText w:val="•"/>
      <w:lvlJc w:val="left"/>
      <w:rPr>
        <w:b w:val="0"/>
        <w:bCs w:val="0"/>
        <w:i w:val="0"/>
        <w:iCs w:val="0"/>
        <w:smallCaps w:val="0"/>
        <w:strike w:val="0"/>
        <w:color w:val="000000"/>
        <w:spacing w:val="0"/>
        <w:w w:val="100"/>
        <w:position w:val="0"/>
        <w:sz w:val="44"/>
        <w:szCs w:val="44"/>
        <w:u w:val="none"/>
      </w:rPr>
    </w:lvl>
    <w:lvl w:ilvl="1">
      <w:start w:val="1"/>
      <w:numFmt w:val="bullet"/>
      <w:lvlText w:val="•"/>
      <w:lvlJc w:val="left"/>
      <w:rPr>
        <w:b w:val="0"/>
        <w:bCs w:val="0"/>
        <w:i w:val="0"/>
        <w:iCs w:val="0"/>
        <w:smallCaps w:val="0"/>
        <w:strike w:val="0"/>
        <w:color w:val="000000"/>
        <w:spacing w:val="0"/>
        <w:w w:val="100"/>
        <w:position w:val="0"/>
        <w:sz w:val="44"/>
        <w:szCs w:val="44"/>
        <w:u w:val="none"/>
      </w:rPr>
    </w:lvl>
    <w:lvl w:ilvl="2">
      <w:start w:val="1"/>
      <w:numFmt w:val="bullet"/>
      <w:lvlText w:val="•"/>
      <w:lvlJc w:val="left"/>
      <w:rPr>
        <w:b w:val="0"/>
        <w:bCs w:val="0"/>
        <w:i w:val="0"/>
        <w:iCs w:val="0"/>
        <w:smallCaps w:val="0"/>
        <w:strike w:val="0"/>
        <w:color w:val="000000"/>
        <w:spacing w:val="0"/>
        <w:w w:val="100"/>
        <w:position w:val="0"/>
        <w:sz w:val="44"/>
        <w:szCs w:val="44"/>
        <w:u w:val="none"/>
      </w:rPr>
    </w:lvl>
    <w:lvl w:ilvl="3">
      <w:start w:val="1"/>
      <w:numFmt w:val="bullet"/>
      <w:lvlText w:val="•"/>
      <w:lvlJc w:val="left"/>
      <w:rPr>
        <w:b w:val="0"/>
        <w:bCs w:val="0"/>
        <w:i w:val="0"/>
        <w:iCs w:val="0"/>
        <w:smallCaps w:val="0"/>
        <w:strike w:val="0"/>
        <w:color w:val="000000"/>
        <w:spacing w:val="0"/>
        <w:w w:val="100"/>
        <w:position w:val="0"/>
        <w:sz w:val="44"/>
        <w:szCs w:val="44"/>
        <w:u w:val="none"/>
      </w:rPr>
    </w:lvl>
    <w:lvl w:ilvl="4">
      <w:start w:val="1"/>
      <w:numFmt w:val="bullet"/>
      <w:lvlText w:val="•"/>
      <w:lvlJc w:val="left"/>
      <w:rPr>
        <w:b w:val="0"/>
        <w:bCs w:val="0"/>
        <w:i w:val="0"/>
        <w:iCs w:val="0"/>
        <w:smallCaps w:val="0"/>
        <w:strike w:val="0"/>
        <w:color w:val="000000"/>
        <w:spacing w:val="0"/>
        <w:w w:val="100"/>
        <w:position w:val="0"/>
        <w:sz w:val="44"/>
        <w:szCs w:val="44"/>
        <w:u w:val="none"/>
      </w:rPr>
    </w:lvl>
    <w:lvl w:ilvl="5">
      <w:start w:val="1"/>
      <w:numFmt w:val="bullet"/>
      <w:lvlText w:val="•"/>
      <w:lvlJc w:val="left"/>
      <w:rPr>
        <w:b w:val="0"/>
        <w:bCs w:val="0"/>
        <w:i w:val="0"/>
        <w:iCs w:val="0"/>
        <w:smallCaps w:val="0"/>
        <w:strike w:val="0"/>
        <w:color w:val="000000"/>
        <w:spacing w:val="0"/>
        <w:w w:val="100"/>
        <w:position w:val="0"/>
        <w:sz w:val="44"/>
        <w:szCs w:val="44"/>
        <w:u w:val="none"/>
      </w:rPr>
    </w:lvl>
    <w:lvl w:ilvl="6">
      <w:start w:val="1"/>
      <w:numFmt w:val="bullet"/>
      <w:lvlText w:val="•"/>
      <w:lvlJc w:val="left"/>
      <w:rPr>
        <w:b w:val="0"/>
        <w:bCs w:val="0"/>
        <w:i w:val="0"/>
        <w:iCs w:val="0"/>
        <w:smallCaps w:val="0"/>
        <w:strike w:val="0"/>
        <w:color w:val="000000"/>
        <w:spacing w:val="0"/>
        <w:w w:val="100"/>
        <w:position w:val="0"/>
        <w:sz w:val="44"/>
        <w:szCs w:val="44"/>
        <w:u w:val="none"/>
      </w:rPr>
    </w:lvl>
    <w:lvl w:ilvl="7">
      <w:start w:val="1"/>
      <w:numFmt w:val="bullet"/>
      <w:lvlText w:val="•"/>
      <w:lvlJc w:val="left"/>
      <w:rPr>
        <w:b w:val="0"/>
        <w:bCs w:val="0"/>
        <w:i w:val="0"/>
        <w:iCs w:val="0"/>
        <w:smallCaps w:val="0"/>
        <w:strike w:val="0"/>
        <w:color w:val="000000"/>
        <w:spacing w:val="0"/>
        <w:w w:val="100"/>
        <w:position w:val="0"/>
        <w:sz w:val="44"/>
        <w:szCs w:val="44"/>
        <w:u w:val="none"/>
      </w:rPr>
    </w:lvl>
    <w:lvl w:ilvl="8">
      <w:start w:val="1"/>
      <w:numFmt w:val="bullet"/>
      <w:lvlText w:val="•"/>
      <w:lvlJc w:val="left"/>
      <w:rPr>
        <w:b w:val="0"/>
        <w:bCs w:val="0"/>
        <w:i w:val="0"/>
        <w:iCs w:val="0"/>
        <w:smallCaps w:val="0"/>
        <w:strike w:val="0"/>
        <w:color w:val="000000"/>
        <w:spacing w:val="0"/>
        <w:w w:val="100"/>
        <w:position w:val="0"/>
        <w:sz w:val="44"/>
        <w:szCs w:val="44"/>
        <w:u w:val="none"/>
      </w:rPr>
    </w:lvl>
  </w:abstractNum>
  <w:abstractNum w:abstractNumId="15" w15:restartNumberingAfterBreak="0">
    <w:nsid w:val="7098396F"/>
    <w:multiLevelType w:val="multilevel"/>
    <w:tmpl w:val="00000004"/>
    <w:lvl w:ilvl="0">
      <w:start w:val="1"/>
      <w:numFmt w:val="bullet"/>
      <w:lvlText w:val="•"/>
      <w:lvlJc w:val="left"/>
      <w:rPr>
        <w:b w:val="0"/>
        <w:bCs w:val="0"/>
        <w:i w:val="0"/>
        <w:iCs w:val="0"/>
        <w:smallCaps w:val="0"/>
        <w:strike w:val="0"/>
        <w:color w:val="000000"/>
        <w:spacing w:val="0"/>
        <w:w w:val="100"/>
        <w:position w:val="0"/>
        <w:sz w:val="44"/>
        <w:szCs w:val="44"/>
        <w:u w:val="none"/>
      </w:rPr>
    </w:lvl>
    <w:lvl w:ilvl="1">
      <w:start w:val="1"/>
      <w:numFmt w:val="bullet"/>
      <w:lvlText w:val="•"/>
      <w:lvlJc w:val="left"/>
      <w:rPr>
        <w:b w:val="0"/>
        <w:bCs w:val="0"/>
        <w:i w:val="0"/>
        <w:iCs w:val="0"/>
        <w:smallCaps w:val="0"/>
        <w:strike w:val="0"/>
        <w:color w:val="000000"/>
        <w:spacing w:val="0"/>
        <w:w w:val="100"/>
        <w:position w:val="0"/>
        <w:sz w:val="44"/>
        <w:szCs w:val="44"/>
        <w:u w:val="none"/>
      </w:rPr>
    </w:lvl>
    <w:lvl w:ilvl="2">
      <w:start w:val="1"/>
      <w:numFmt w:val="bullet"/>
      <w:lvlText w:val="•"/>
      <w:lvlJc w:val="left"/>
      <w:rPr>
        <w:b w:val="0"/>
        <w:bCs w:val="0"/>
        <w:i w:val="0"/>
        <w:iCs w:val="0"/>
        <w:smallCaps w:val="0"/>
        <w:strike w:val="0"/>
        <w:color w:val="000000"/>
        <w:spacing w:val="0"/>
        <w:w w:val="100"/>
        <w:position w:val="0"/>
        <w:sz w:val="44"/>
        <w:szCs w:val="44"/>
        <w:u w:val="none"/>
      </w:rPr>
    </w:lvl>
    <w:lvl w:ilvl="3">
      <w:start w:val="1"/>
      <w:numFmt w:val="bullet"/>
      <w:lvlText w:val="•"/>
      <w:lvlJc w:val="left"/>
      <w:rPr>
        <w:b w:val="0"/>
        <w:bCs w:val="0"/>
        <w:i w:val="0"/>
        <w:iCs w:val="0"/>
        <w:smallCaps w:val="0"/>
        <w:strike w:val="0"/>
        <w:color w:val="000000"/>
        <w:spacing w:val="0"/>
        <w:w w:val="100"/>
        <w:position w:val="0"/>
        <w:sz w:val="44"/>
        <w:szCs w:val="44"/>
        <w:u w:val="none"/>
      </w:rPr>
    </w:lvl>
    <w:lvl w:ilvl="4">
      <w:start w:val="1"/>
      <w:numFmt w:val="bullet"/>
      <w:lvlText w:val="•"/>
      <w:lvlJc w:val="left"/>
      <w:rPr>
        <w:b w:val="0"/>
        <w:bCs w:val="0"/>
        <w:i w:val="0"/>
        <w:iCs w:val="0"/>
        <w:smallCaps w:val="0"/>
        <w:strike w:val="0"/>
        <w:color w:val="000000"/>
        <w:spacing w:val="0"/>
        <w:w w:val="100"/>
        <w:position w:val="0"/>
        <w:sz w:val="44"/>
        <w:szCs w:val="44"/>
        <w:u w:val="none"/>
      </w:rPr>
    </w:lvl>
    <w:lvl w:ilvl="5">
      <w:start w:val="1"/>
      <w:numFmt w:val="bullet"/>
      <w:lvlText w:val="•"/>
      <w:lvlJc w:val="left"/>
      <w:rPr>
        <w:b w:val="0"/>
        <w:bCs w:val="0"/>
        <w:i w:val="0"/>
        <w:iCs w:val="0"/>
        <w:smallCaps w:val="0"/>
        <w:strike w:val="0"/>
        <w:color w:val="000000"/>
        <w:spacing w:val="0"/>
        <w:w w:val="100"/>
        <w:position w:val="0"/>
        <w:sz w:val="44"/>
        <w:szCs w:val="44"/>
        <w:u w:val="none"/>
      </w:rPr>
    </w:lvl>
    <w:lvl w:ilvl="6">
      <w:start w:val="1"/>
      <w:numFmt w:val="bullet"/>
      <w:lvlText w:val="•"/>
      <w:lvlJc w:val="left"/>
      <w:rPr>
        <w:b w:val="0"/>
        <w:bCs w:val="0"/>
        <w:i w:val="0"/>
        <w:iCs w:val="0"/>
        <w:smallCaps w:val="0"/>
        <w:strike w:val="0"/>
        <w:color w:val="000000"/>
        <w:spacing w:val="0"/>
        <w:w w:val="100"/>
        <w:position w:val="0"/>
        <w:sz w:val="44"/>
        <w:szCs w:val="44"/>
        <w:u w:val="none"/>
      </w:rPr>
    </w:lvl>
    <w:lvl w:ilvl="7">
      <w:start w:val="1"/>
      <w:numFmt w:val="bullet"/>
      <w:lvlText w:val="•"/>
      <w:lvlJc w:val="left"/>
      <w:rPr>
        <w:b w:val="0"/>
        <w:bCs w:val="0"/>
        <w:i w:val="0"/>
        <w:iCs w:val="0"/>
        <w:smallCaps w:val="0"/>
        <w:strike w:val="0"/>
        <w:color w:val="000000"/>
        <w:spacing w:val="0"/>
        <w:w w:val="100"/>
        <w:position w:val="0"/>
        <w:sz w:val="44"/>
        <w:szCs w:val="44"/>
        <w:u w:val="none"/>
      </w:rPr>
    </w:lvl>
    <w:lvl w:ilvl="8">
      <w:start w:val="1"/>
      <w:numFmt w:val="bullet"/>
      <w:lvlText w:val="•"/>
      <w:lvlJc w:val="left"/>
      <w:rPr>
        <w:b w:val="0"/>
        <w:bCs w:val="0"/>
        <w:i w:val="0"/>
        <w:iCs w:val="0"/>
        <w:smallCaps w:val="0"/>
        <w:strike w:val="0"/>
        <w:color w:val="000000"/>
        <w:spacing w:val="0"/>
        <w:w w:val="100"/>
        <w:position w:val="0"/>
        <w:sz w:val="44"/>
        <w:szCs w:val="44"/>
        <w:u w:val="none"/>
      </w:rPr>
    </w:lvl>
  </w:abstractNum>
  <w:abstractNum w:abstractNumId="16" w15:restartNumberingAfterBreak="0">
    <w:nsid w:val="760040C7"/>
    <w:multiLevelType w:val="multilevel"/>
    <w:tmpl w:val="00000004"/>
    <w:lvl w:ilvl="0">
      <w:start w:val="1"/>
      <w:numFmt w:val="bullet"/>
      <w:lvlText w:val="•"/>
      <w:lvlJc w:val="left"/>
      <w:rPr>
        <w:b w:val="0"/>
        <w:bCs w:val="0"/>
        <w:i w:val="0"/>
        <w:iCs w:val="0"/>
        <w:smallCaps w:val="0"/>
        <w:strike w:val="0"/>
        <w:color w:val="000000"/>
        <w:spacing w:val="0"/>
        <w:w w:val="100"/>
        <w:position w:val="0"/>
        <w:sz w:val="44"/>
        <w:szCs w:val="44"/>
        <w:u w:val="none"/>
      </w:rPr>
    </w:lvl>
    <w:lvl w:ilvl="1">
      <w:start w:val="1"/>
      <w:numFmt w:val="bullet"/>
      <w:lvlText w:val="•"/>
      <w:lvlJc w:val="left"/>
      <w:rPr>
        <w:b w:val="0"/>
        <w:bCs w:val="0"/>
        <w:i w:val="0"/>
        <w:iCs w:val="0"/>
        <w:smallCaps w:val="0"/>
        <w:strike w:val="0"/>
        <w:color w:val="000000"/>
        <w:spacing w:val="0"/>
        <w:w w:val="100"/>
        <w:position w:val="0"/>
        <w:sz w:val="44"/>
        <w:szCs w:val="44"/>
        <w:u w:val="none"/>
      </w:rPr>
    </w:lvl>
    <w:lvl w:ilvl="2">
      <w:start w:val="1"/>
      <w:numFmt w:val="bullet"/>
      <w:lvlText w:val="•"/>
      <w:lvlJc w:val="left"/>
      <w:rPr>
        <w:b w:val="0"/>
        <w:bCs w:val="0"/>
        <w:i w:val="0"/>
        <w:iCs w:val="0"/>
        <w:smallCaps w:val="0"/>
        <w:strike w:val="0"/>
        <w:color w:val="000000"/>
        <w:spacing w:val="0"/>
        <w:w w:val="100"/>
        <w:position w:val="0"/>
        <w:sz w:val="44"/>
        <w:szCs w:val="44"/>
        <w:u w:val="none"/>
      </w:rPr>
    </w:lvl>
    <w:lvl w:ilvl="3">
      <w:start w:val="1"/>
      <w:numFmt w:val="bullet"/>
      <w:lvlText w:val="•"/>
      <w:lvlJc w:val="left"/>
      <w:rPr>
        <w:b w:val="0"/>
        <w:bCs w:val="0"/>
        <w:i w:val="0"/>
        <w:iCs w:val="0"/>
        <w:smallCaps w:val="0"/>
        <w:strike w:val="0"/>
        <w:color w:val="000000"/>
        <w:spacing w:val="0"/>
        <w:w w:val="100"/>
        <w:position w:val="0"/>
        <w:sz w:val="44"/>
        <w:szCs w:val="44"/>
        <w:u w:val="none"/>
      </w:rPr>
    </w:lvl>
    <w:lvl w:ilvl="4">
      <w:start w:val="1"/>
      <w:numFmt w:val="bullet"/>
      <w:lvlText w:val="•"/>
      <w:lvlJc w:val="left"/>
      <w:rPr>
        <w:b w:val="0"/>
        <w:bCs w:val="0"/>
        <w:i w:val="0"/>
        <w:iCs w:val="0"/>
        <w:smallCaps w:val="0"/>
        <w:strike w:val="0"/>
        <w:color w:val="000000"/>
        <w:spacing w:val="0"/>
        <w:w w:val="100"/>
        <w:position w:val="0"/>
        <w:sz w:val="44"/>
        <w:szCs w:val="44"/>
        <w:u w:val="none"/>
      </w:rPr>
    </w:lvl>
    <w:lvl w:ilvl="5">
      <w:start w:val="1"/>
      <w:numFmt w:val="bullet"/>
      <w:lvlText w:val="•"/>
      <w:lvlJc w:val="left"/>
      <w:rPr>
        <w:b w:val="0"/>
        <w:bCs w:val="0"/>
        <w:i w:val="0"/>
        <w:iCs w:val="0"/>
        <w:smallCaps w:val="0"/>
        <w:strike w:val="0"/>
        <w:color w:val="000000"/>
        <w:spacing w:val="0"/>
        <w:w w:val="100"/>
        <w:position w:val="0"/>
        <w:sz w:val="44"/>
        <w:szCs w:val="44"/>
        <w:u w:val="none"/>
      </w:rPr>
    </w:lvl>
    <w:lvl w:ilvl="6">
      <w:start w:val="1"/>
      <w:numFmt w:val="bullet"/>
      <w:lvlText w:val="•"/>
      <w:lvlJc w:val="left"/>
      <w:rPr>
        <w:b w:val="0"/>
        <w:bCs w:val="0"/>
        <w:i w:val="0"/>
        <w:iCs w:val="0"/>
        <w:smallCaps w:val="0"/>
        <w:strike w:val="0"/>
        <w:color w:val="000000"/>
        <w:spacing w:val="0"/>
        <w:w w:val="100"/>
        <w:position w:val="0"/>
        <w:sz w:val="44"/>
        <w:szCs w:val="44"/>
        <w:u w:val="none"/>
      </w:rPr>
    </w:lvl>
    <w:lvl w:ilvl="7">
      <w:start w:val="1"/>
      <w:numFmt w:val="bullet"/>
      <w:lvlText w:val="•"/>
      <w:lvlJc w:val="left"/>
      <w:rPr>
        <w:b w:val="0"/>
        <w:bCs w:val="0"/>
        <w:i w:val="0"/>
        <w:iCs w:val="0"/>
        <w:smallCaps w:val="0"/>
        <w:strike w:val="0"/>
        <w:color w:val="000000"/>
        <w:spacing w:val="0"/>
        <w:w w:val="100"/>
        <w:position w:val="0"/>
        <w:sz w:val="44"/>
        <w:szCs w:val="44"/>
        <w:u w:val="none"/>
      </w:rPr>
    </w:lvl>
    <w:lvl w:ilvl="8">
      <w:start w:val="1"/>
      <w:numFmt w:val="bullet"/>
      <w:lvlText w:val="•"/>
      <w:lvlJc w:val="left"/>
      <w:rPr>
        <w:b w:val="0"/>
        <w:bCs w:val="0"/>
        <w:i w:val="0"/>
        <w:iCs w:val="0"/>
        <w:smallCaps w:val="0"/>
        <w:strike w:val="0"/>
        <w:color w:val="000000"/>
        <w:spacing w:val="0"/>
        <w:w w:val="100"/>
        <w:position w:val="0"/>
        <w:sz w:val="44"/>
        <w:szCs w:val="44"/>
        <w:u w:val="none"/>
      </w:rPr>
    </w:lvl>
  </w:abstractNum>
  <w:abstractNum w:abstractNumId="17" w15:restartNumberingAfterBreak="0">
    <w:nsid w:val="7BF12F1C"/>
    <w:multiLevelType w:val="hybridMultilevel"/>
    <w:tmpl w:val="CD561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3"/>
  </w:num>
  <w:num w:numId="6">
    <w:abstractNumId w:val="17"/>
  </w:num>
  <w:num w:numId="7">
    <w:abstractNumId w:val="11"/>
  </w:num>
  <w:num w:numId="8">
    <w:abstractNumId w:val="16"/>
  </w:num>
  <w:num w:numId="9">
    <w:abstractNumId w:val="1"/>
  </w:num>
  <w:num w:numId="10">
    <w:abstractNumId w:val="10"/>
  </w:num>
  <w:num w:numId="11">
    <w:abstractNumId w:val="14"/>
  </w:num>
  <w:num w:numId="12">
    <w:abstractNumId w:val="8"/>
  </w:num>
  <w:num w:numId="13">
    <w:abstractNumId w:val="4"/>
  </w:num>
  <w:num w:numId="14">
    <w:abstractNumId w:val="2"/>
  </w:num>
  <w:num w:numId="15">
    <w:abstractNumId w:val="13"/>
  </w:num>
  <w:num w:numId="16">
    <w:abstractNumId w:val="12"/>
  </w:num>
  <w:num w:numId="17">
    <w:abstractNumId w:val="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105EF"/>
    <w:rsid w:val="00185A46"/>
    <w:rsid w:val="001915B6"/>
    <w:rsid w:val="001D1B23"/>
    <w:rsid w:val="002B3C38"/>
    <w:rsid w:val="002B4DBB"/>
    <w:rsid w:val="002C50EE"/>
    <w:rsid w:val="00340A0A"/>
    <w:rsid w:val="003765DC"/>
    <w:rsid w:val="00395555"/>
    <w:rsid w:val="003E3126"/>
    <w:rsid w:val="00426E5F"/>
    <w:rsid w:val="004A448E"/>
    <w:rsid w:val="004D4D6B"/>
    <w:rsid w:val="004E6467"/>
    <w:rsid w:val="004F1CE7"/>
    <w:rsid w:val="004F498A"/>
    <w:rsid w:val="005133C1"/>
    <w:rsid w:val="00517A5B"/>
    <w:rsid w:val="00593A00"/>
    <w:rsid w:val="005A66D9"/>
    <w:rsid w:val="00605BCA"/>
    <w:rsid w:val="006158A1"/>
    <w:rsid w:val="00617B1F"/>
    <w:rsid w:val="00672487"/>
    <w:rsid w:val="00672600"/>
    <w:rsid w:val="00681D4A"/>
    <w:rsid w:val="00685882"/>
    <w:rsid w:val="007437D2"/>
    <w:rsid w:val="0075649D"/>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026D2"/>
    <w:rsid w:val="00B275A8"/>
    <w:rsid w:val="00BF2600"/>
    <w:rsid w:val="00C0049F"/>
    <w:rsid w:val="00C07B84"/>
    <w:rsid w:val="00C33464"/>
    <w:rsid w:val="00C40420"/>
    <w:rsid w:val="00C809A7"/>
    <w:rsid w:val="00C83063"/>
    <w:rsid w:val="00C87E90"/>
    <w:rsid w:val="00CA1B57"/>
    <w:rsid w:val="00CF77F7"/>
    <w:rsid w:val="00D86297"/>
    <w:rsid w:val="00DC456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5780</Words>
  <Characters>32946</Characters>
  <Application>Microsoft Office Word</Application>
  <DocSecurity>0</DocSecurity>
  <Lines>274</Lines>
  <Paragraphs>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2022-10-05T16:17:00Z</dcterms:created>
  <dcterms:modified xsi:type="dcterms:W3CDTF">2022-10-05T16:17:00Z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