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14008A99" w:rsidR="0091385D" w:rsidRDefault="0091385D" w:rsidP="0091385D"/>
    <w:p w14:paraId="06FFC6CB" w14:textId="77777777" w:rsidR="002B51A9" w:rsidRDefault="002B51A9" w:rsidP="0091385D">
      <w:pPr>
        <w:rPr>
          <w:lang w:eastAsia="bg-BG"/>
        </w:rPr>
      </w:pPr>
      <w:r>
        <w:rPr>
          <w:lang w:eastAsia="bg-BG"/>
        </w:rPr>
        <w:t xml:space="preserve">Гемсол 40 </w:t>
      </w:r>
      <w:r>
        <w:t xml:space="preserve">mg/ml </w:t>
      </w:r>
      <w:r>
        <w:rPr>
          <w:lang w:eastAsia="bg-BG"/>
        </w:rPr>
        <w:t xml:space="preserve">концентрат за инфузионен разтвор </w:t>
      </w:r>
    </w:p>
    <w:p w14:paraId="73D1D99C" w14:textId="2F41B66A" w:rsidR="0091385D" w:rsidRDefault="002B51A9" w:rsidP="0091385D">
      <w:r>
        <w:t xml:space="preserve">Gemsol </w:t>
      </w:r>
      <w:r>
        <w:rPr>
          <w:lang w:eastAsia="bg-BG"/>
        </w:rPr>
        <w:t xml:space="preserve">40 </w:t>
      </w:r>
      <w:r>
        <w:t>mg/ml concentrate for solution for infusion</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68451A30" w14:textId="77777777" w:rsidR="002B51A9" w:rsidRPr="002B51A9" w:rsidRDefault="002B51A9" w:rsidP="002B51A9">
      <w:pPr>
        <w:spacing w:line="240" w:lineRule="auto"/>
        <w:rPr>
          <w:rFonts w:eastAsia="Times New Roman" w:cs="Arial"/>
          <w:sz w:val="24"/>
          <w:szCs w:val="24"/>
          <w:lang w:eastAsia="bg-BG"/>
        </w:rPr>
      </w:pPr>
      <w:r w:rsidRPr="002B51A9">
        <w:rPr>
          <w:rFonts w:eastAsia="Times New Roman" w:cs="Arial"/>
          <w:color w:val="000000"/>
          <w:lang w:eastAsia="bg-BG"/>
        </w:rPr>
        <w:t xml:space="preserve">Всеки </w:t>
      </w:r>
      <w:r w:rsidRPr="002B51A9">
        <w:rPr>
          <w:rFonts w:eastAsia="Times New Roman" w:cs="Arial"/>
          <w:color w:val="000000"/>
          <w:lang w:val="en-US"/>
        </w:rPr>
        <w:t xml:space="preserve">ml </w:t>
      </w:r>
      <w:r w:rsidRPr="002B51A9">
        <w:rPr>
          <w:rFonts w:eastAsia="Times New Roman" w:cs="Arial"/>
          <w:color w:val="000000"/>
          <w:lang w:eastAsia="bg-BG"/>
        </w:rPr>
        <w:t xml:space="preserve">концентрат за инфузионен разтвор съдържа 40 </w:t>
      </w:r>
      <w:r w:rsidRPr="002B51A9">
        <w:rPr>
          <w:rFonts w:eastAsia="Times New Roman" w:cs="Arial"/>
          <w:color w:val="000000"/>
          <w:lang w:val="en-US"/>
        </w:rPr>
        <w:t xml:space="preserve">mg </w:t>
      </w:r>
      <w:r w:rsidRPr="002B51A9">
        <w:rPr>
          <w:rFonts w:eastAsia="Times New Roman" w:cs="Arial"/>
          <w:color w:val="000000"/>
          <w:lang w:eastAsia="bg-BG"/>
        </w:rPr>
        <w:t xml:space="preserve">гемцитабин </w:t>
      </w:r>
      <w:r w:rsidRPr="002B51A9">
        <w:rPr>
          <w:rFonts w:eastAsia="Times New Roman" w:cs="Arial"/>
          <w:color w:val="000000"/>
          <w:lang w:val="en-US"/>
        </w:rPr>
        <w:t xml:space="preserve">(gemcitabine) </w:t>
      </w:r>
      <w:r w:rsidRPr="002B51A9">
        <w:rPr>
          <w:rFonts w:eastAsia="Times New Roman" w:cs="Arial"/>
          <w:color w:val="000000"/>
          <w:lang w:eastAsia="bg-BG"/>
        </w:rPr>
        <w:t xml:space="preserve">(като хидрохлорид) </w:t>
      </w:r>
      <w:r w:rsidRPr="002B51A9">
        <w:rPr>
          <w:rFonts w:eastAsia="Times New Roman" w:cs="Arial"/>
          <w:color w:val="000000"/>
          <w:lang w:val="en-US"/>
        </w:rPr>
        <w:t>(as hydrochloride).</w:t>
      </w:r>
    </w:p>
    <w:p w14:paraId="0F597F17" w14:textId="77777777" w:rsidR="002B51A9" w:rsidRPr="002B51A9" w:rsidRDefault="002B51A9" w:rsidP="002B51A9">
      <w:pPr>
        <w:spacing w:line="240" w:lineRule="auto"/>
        <w:rPr>
          <w:rFonts w:eastAsia="Times New Roman" w:cs="Arial"/>
          <w:color w:val="000000"/>
          <w:lang w:eastAsia="bg-BG"/>
        </w:rPr>
      </w:pPr>
    </w:p>
    <w:p w14:paraId="3E0A9D92" w14:textId="227576C1" w:rsidR="002B51A9" w:rsidRPr="002B51A9" w:rsidRDefault="002B51A9" w:rsidP="002B51A9">
      <w:pPr>
        <w:spacing w:line="240" w:lineRule="auto"/>
        <w:rPr>
          <w:rFonts w:eastAsia="Times New Roman" w:cs="Arial"/>
          <w:sz w:val="24"/>
          <w:szCs w:val="24"/>
          <w:lang w:eastAsia="bg-BG"/>
        </w:rPr>
      </w:pPr>
      <w:r w:rsidRPr="002B51A9">
        <w:rPr>
          <w:rFonts w:eastAsia="Times New Roman" w:cs="Arial"/>
          <w:color w:val="000000"/>
          <w:lang w:eastAsia="bg-BG"/>
        </w:rPr>
        <w:t xml:space="preserve">Един флакон от 5 </w:t>
      </w:r>
      <w:r w:rsidRPr="002B51A9">
        <w:rPr>
          <w:rFonts w:eastAsia="Times New Roman" w:cs="Arial"/>
          <w:color w:val="000000"/>
          <w:lang w:val="en-US"/>
        </w:rPr>
        <w:t xml:space="preserve">ml </w:t>
      </w:r>
      <w:r w:rsidRPr="002B51A9">
        <w:rPr>
          <w:rFonts w:eastAsia="Times New Roman" w:cs="Arial"/>
          <w:color w:val="000000"/>
          <w:lang w:eastAsia="bg-BG"/>
        </w:rPr>
        <w:t xml:space="preserve">съдържа 200 </w:t>
      </w:r>
      <w:r w:rsidRPr="002B51A9">
        <w:rPr>
          <w:rFonts w:eastAsia="Times New Roman" w:cs="Arial"/>
          <w:color w:val="000000"/>
          <w:lang w:val="en-US"/>
        </w:rPr>
        <w:t xml:space="preserve">mg </w:t>
      </w:r>
      <w:r w:rsidRPr="002B51A9">
        <w:rPr>
          <w:rFonts w:eastAsia="Times New Roman" w:cs="Arial"/>
          <w:color w:val="000000"/>
          <w:lang w:eastAsia="bg-BG"/>
        </w:rPr>
        <w:t>гемцитабин (като хидрохлорид).</w:t>
      </w:r>
    </w:p>
    <w:p w14:paraId="384BC6BA" w14:textId="77777777" w:rsidR="002B51A9" w:rsidRPr="002B51A9" w:rsidRDefault="002B51A9" w:rsidP="002B51A9">
      <w:pPr>
        <w:spacing w:line="240" w:lineRule="auto"/>
        <w:rPr>
          <w:rFonts w:eastAsia="Times New Roman" w:cs="Arial"/>
          <w:sz w:val="24"/>
          <w:szCs w:val="24"/>
          <w:lang w:eastAsia="bg-BG"/>
        </w:rPr>
      </w:pPr>
      <w:r w:rsidRPr="002B51A9">
        <w:rPr>
          <w:rFonts w:eastAsia="Times New Roman" w:cs="Arial"/>
          <w:color w:val="000000"/>
          <w:lang w:eastAsia="bg-BG"/>
        </w:rPr>
        <w:t xml:space="preserve">Един флакон от 25 </w:t>
      </w:r>
      <w:r w:rsidRPr="002B51A9">
        <w:rPr>
          <w:rFonts w:eastAsia="Times New Roman" w:cs="Arial"/>
          <w:color w:val="000000"/>
          <w:lang w:val="en-US"/>
        </w:rPr>
        <w:t xml:space="preserve">ml </w:t>
      </w:r>
      <w:r w:rsidRPr="002B51A9">
        <w:rPr>
          <w:rFonts w:eastAsia="Times New Roman" w:cs="Arial"/>
          <w:color w:val="000000"/>
          <w:lang w:eastAsia="bg-BG"/>
        </w:rPr>
        <w:t xml:space="preserve">съдържа 1 000 </w:t>
      </w:r>
      <w:r w:rsidRPr="002B51A9">
        <w:rPr>
          <w:rFonts w:eastAsia="Times New Roman" w:cs="Arial"/>
          <w:color w:val="000000"/>
          <w:lang w:val="en-US"/>
        </w:rPr>
        <w:t xml:space="preserve">mg </w:t>
      </w:r>
      <w:r w:rsidRPr="002B51A9">
        <w:rPr>
          <w:rFonts w:eastAsia="Times New Roman" w:cs="Arial"/>
          <w:color w:val="000000"/>
          <w:lang w:eastAsia="bg-BG"/>
        </w:rPr>
        <w:t>гемцитабин (като хидрохлорид).</w:t>
      </w:r>
    </w:p>
    <w:p w14:paraId="4E139B7F" w14:textId="77777777" w:rsidR="002B51A9" w:rsidRPr="002B51A9" w:rsidRDefault="002B51A9" w:rsidP="002B51A9">
      <w:pPr>
        <w:spacing w:line="240" w:lineRule="auto"/>
        <w:rPr>
          <w:rFonts w:eastAsia="Times New Roman" w:cs="Arial"/>
          <w:sz w:val="24"/>
          <w:szCs w:val="24"/>
          <w:lang w:eastAsia="bg-BG"/>
        </w:rPr>
      </w:pPr>
      <w:r w:rsidRPr="002B51A9">
        <w:rPr>
          <w:rFonts w:eastAsia="Times New Roman" w:cs="Arial"/>
          <w:color w:val="000000"/>
          <w:lang w:eastAsia="bg-BG"/>
        </w:rPr>
        <w:t xml:space="preserve">Един флакон от 50 </w:t>
      </w:r>
      <w:r w:rsidRPr="002B51A9">
        <w:rPr>
          <w:rFonts w:eastAsia="Times New Roman" w:cs="Arial"/>
          <w:color w:val="000000"/>
          <w:lang w:val="en-US"/>
        </w:rPr>
        <w:t xml:space="preserve">ml </w:t>
      </w:r>
      <w:r w:rsidRPr="002B51A9">
        <w:rPr>
          <w:rFonts w:eastAsia="Times New Roman" w:cs="Arial"/>
          <w:color w:val="000000"/>
          <w:lang w:eastAsia="bg-BG"/>
        </w:rPr>
        <w:t xml:space="preserve">съдържа 2 000 </w:t>
      </w:r>
      <w:r w:rsidRPr="002B51A9">
        <w:rPr>
          <w:rFonts w:eastAsia="Times New Roman" w:cs="Arial"/>
          <w:color w:val="000000"/>
          <w:lang w:val="en-US"/>
        </w:rPr>
        <w:t xml:space="preserve">mg </w:t>
      </w:r>
      <w:r w:rsidRPr="002B51A9">
        <w:rPr>
          <w:rFonts w:eastAsia="Times New Roman" w:cs="Arial"/>
          <w:color w:val="000000"/>
          <w:lang w:eastAsia="bg-BG"/>
        </w:rPr>
        <w:t>гемцитабин (като хидрохлорид).</w:t>
      </w:r>
    </w:p>
    <w:p w14:paraId="127EB86A" w14:textId="77777777" w:rsidR="002B51A9" w:rsidRPr="002B51A9" w:rsidRDefault="002B51A9" w:rsidP="002B51A9">
      <w:pPr>
        <w:rPr>
          <w:rFonts w:eastAsia="Times New Roman" w:cs="Arial"/>
          <w:color w:val="000000"/>
          <w:lang w:eastAsia="bg-BG"/>
        </w:rPr>
      </w:pPr>
    </w:p>
    <w:p w14:paraId="729D0A91" w14:textId="1C76BEB4" w:rsidR="0091385D" w:rsidRPr="002B51A9" w:rsidRDefault="002B51A9" w:rsidP="002B51A9">
      <w:pPr>
        <w:rPr>
          <w:rFonts w:cs="Arial"/>
        </w:rPr>
      </w:pPr>
      <w:r w:rsidRPr="002B51A9">
        <w:rPr>
          <w:rFonts w:eastAsia="Times New Roman" w:cs="Arial"/>
          <w:color w:val="000000"/>
          <w:lang w:eastAsia="bg-BG"/>
        </w:rPr>
        <w:t>За пълния списък на помощните вещества вижте точка 6.1.</w:t>
      </w:r>
    </w:p>
    <w:p w14:paraId="03110A50" w14:textId="77777777" w:rsidR="0091385D" w:rsidRPr="0091385D" w:rsidRDefault="0091385D"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19769A5A" w14:textId="77777777" w:rsidR="002B51A9" w:rsidRPr="002B51A9" w:rsidRDefault="002B51A9" w:rsidP="002B51A9">
      <w:pPr>
        <w:spacing w:line="240" w:lineRule="auto"/>
        <w:rPr>
          <w:rFonts w:eastAsia="Times New Roman" w:cs="Arial"/>
          <w:sz w:val="24"/>
          <w:szCs w:val="24"/>
          <w:lang w:eastAsia="bg-BG"/>
        </w:rPr>
      </w:pPr>
      <w:r w:rsidRPr="002B51A9">
        <w:rPr>
          <w:rFonts w:eastAsia="Times New Roman" w:cs="Arial"/>
          <w:color w:val="000000"/>
          <w:lang w:eastAsia="bg-BG"/>
        </w:rPr>
        <w:t>Концентрат за инфузионен разтвор.</w:t>
      </w:r>
    </w:p>
    <w:p w14:paraId="760C2B4F" w14:textId="77777777" w:rsidR="002B51A9" w:rsidRPr="002B51A9" w:rsidRDefault="002B51A9" w:rsidP="002B51A9">
      <w:pPr>
        <w:spacing w:line="240" w:lineRule="auto"/>
        <w:rPr>
          <w:rFonts w:eastAsia="Times New Roman" w:cs="Arial"/>
          <w:sz w:val="24"/>
          <w:szCs w:val="24"/>
          <w:lang w:eastAsia="bg-BG"/>
        </w:rPr>
      </w:pPr>
      <w:r w:rsidRPr="002B51A9">
        <w:rPr>
          <w:rFonts w:eastAsia="Times New Roman" w:cs="Arial"/>
          <w:color w:val="000000"/>
          <w:lang w:eastAsia="bg-BG"/>
        </w:rPr>
        <w:t>Бистър, безцветен или почти безцветен разтвор.</w:t>
      </w:r>
    </w:p>
    <w:p w14:paraId="06228BA4" w14:textId="77777777" w:rsidR="002B51A9" w:rsidRPr="002B51A9" w:rsidRDefault="002B51A9" w:rsidP="002B51A9">
      <w:pPr>
        <w:spacing w:line="240" w:lineRule="auto"/>
        <w:rPr>
          <w:rFonts w:eastAsia="Times New Roman" w:cs="Arial"/>
          <w:color w:val="000000"/>
          <w:lang w:val="en-US"/>
        </w:rPr>
      </w:pPr>
    </w:p>
    <w:p w14:paraId="4BE673E1" w14:textId="6BBE7F32" w:rsidR="002B51A9" w:rsidRPr="002B51A9" w:rsidRDefault="002B51A9" w:rsidP="002B51A9">
      <w:pPr>
        <w:spacing w:line="240" w:lineRule="auto"/>
        <w:rPr>
          <w:rFonts w:eastAsia="Times New Roman" w:cs="Arial"/>
          <w:sz w:val="24"/>
          <w:szCs w:val="24"/>
          <w:lang w:eastAsia="bg-BG"/>
        </w:rPr>
      </w:pPr>
      <w:proofErr w:type="gramStart"/>
      <w:r w:rsidRPr="002B51A9">
        <w:rPr>
          <w:rFonts w:eastAsia="Times New Roman" w:cs="Arial"/>
          <w:color w:val="000000"/>
          <w:lang w:val="en-US"/>
        </w:rPr>
        <w:t>pH</w:t>
      </w:r>
      <w:proofErr w:type="gramEnd"/>
      <w:r w:rsidRPr="002B51A9">
        <w:rPr>
          <w:rFonts w:eastAsia="Times New Roman" w:cs="Arial"/>
          <w:color w:val="000000"/>
          <w:lang w:val="en-US"/>
        </w:rPr>
        <w:t xml:space="preserve">: </w:t>
      </w:r>
      <w:r w:rsidRPr="002B51A9">
        <w:rPr>
          <w:rFonts w:eastAsia="Times New Roman" w:cs="Arial"/>
          <w:color w:val="000000"/>
          <w:lang w:eastAsia="bg-BG"/>
        </w:rPr>
        <w:t>2,0-2,8</w:t>
      </w:r>
    </w:p>
    <w:p w14:paraId="4A991133" w14:textId="62F85414" w:rsidR="0091385D" w:rsidRPr="002B51A9" w:rsidRDefault="002B51A9" w:rsidP="002B51A9">
      <w:pPr>
        <w:rPr>
          <w:rFonts w:cs="Arial"/>
        </w:rPr>
      </w:pPr>
      <w:r w:rsidRPr="002B51A9">
        <w:rPr>
          <w:rFonts w:eastAsia="Times New Roman" w:cs="Arial"/>
          <w:color w:val="000000"/>
          <w:lang w:eastAsia="bg-BG"/>
        </w:rPr>
        <w:t xml:space="preserve">Осмолалитет: 270 - 280 </w:t>
      </w:r>
      <w:proofErr w:type="spellStart"/>
      <w:r w:rsidRPr="002B51A9">
        <w:rPr>
          <w:rFonts w:eastAsia="Times New Roman" w:cs="Arial"/>
          <w:color w:val="000000"/>
          <w:lang w:val="en-US"/>
        </w:rPr>
        <w:t>mOsmol</w:t>
      </w:r>
      <w:proofErr w:type="spellEnd"/>
      <w:r w:rsidRPr="002B51A9">
        <w:rPr>
          <w:rFonts w:eastAsia="Times New Roman" w:cs="Arial"/>
          <w:color w:val="000000"/>
          <w:lang w:val="en-US"/>
        </w:rPr>
        <w:t>/kg</w:t>
      </w:r>
    </w:p>
    <w:p w14:paraId="4129ADBB" w14:textId="77777777" w:rsidR="0091385D" w:rsidRPr="0091385D" w:rsidRDefault="0091385D"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47913850" w14:textId="77777777" w:rsidR="002B51A9" w:rsidRPr="002B51A9" w:rsidRDefault="002B51A9" w:rsidP="002B51A9">
      <w:pPr>
        <w:spacing w:line="240" w:lineRule="auto"/>
        <w:rPr>
          <w:rFonts w:eastAsia="Times New Roman" w:cs="Arial"/>
          <w:sz w:val="24"/>
          <w:szCs w:val="24"/>
          <w:lang w:eastAsia="bg-BG"/>
        </w:rPr>
      </w:pPr>
      <w:r w:rsidRPr="002B51A9">
        <w:rPr>
          <w:rFonts w:eastAsia="Times New Roman" w:cs="Arial"/>
          <w:color w:val="000000"/>
          <w:lang w:eastAsia="bg-BG"/>
        </w:rPr>
        <w:t>Гемцитабин е показан за лечение на локално напреднал или метастатичен рак на пикочния мехур в комбинация с цисплатина.</w:t>
      </w:r>
    </w:p>
    <w:p w14:paraId="231E5C68" w14:textId="77777777" w:rsidR="002B51A9" w:rsidRPr="002B51A9" w:rsidRDefault="002B51A9" w:rsidP="002B51A9">
      <w:pPr>
        <w:spacing w:line="240" w:lineRule="auto"/>
        <w:rPr>
          <w:rFonts w:eastAsia="Times New Roman" w:cs="Arial"/>
          <w:color w:val="000000"/>
          <w:lang w:eastAsia="bg-BG"/>
        </w:rPr>
      </w:pPr>
    </w:p>
    <w:p w14:paraId="292A2743" w14:textId="08EDBAA7" w:rsidR="002B51A9" w:rsidRPr="002B51A9" w:rsidRDefault="002B51A9" w:rsidP="002B51A9">
      <w:pPr>
        <w:spacing w:line="240" w:lineRule="auto"/>
        <w:rPr>
          <w:rFonts w:eastAsia="Times New Roman" w:cs="Arial"/>
          <w:sz w:val="24"/>
          <w:szCs w:val="24"/>
          <w:lang w:eastAsia="bg-BG"/>
        </w:rPr>
      </w:pPr>
      <w:r w:rsidRPr="002B51A9">
        <w:rPr>
          <w:rFonts w:eastAsia="Times New Roman" w:cs="Arial"/>
          <w:color w:val="000000"/>
          <w:lang w:eastAsia="bg-BG"/>
        </w:rPr>
        <w:t>Гемцитабин е показан за лечение на пациенти с локално напреднал или метастатичен аденокарцином на панкреаса.</w:t>
      </w:r>
    </w:p>
    <w:p w14:paraId="49206933" w14:textId="77777777" w:rsidR="002B51A9" w:rsidRPr="002B51A9" w:rsidRDefault="002B51A9" w:rsidP="002B51A9">
      <w:pPr>
        <w:spacing w:line="240" w:lineRule="auto"/>
        <w:rPr>
          <w:rFonts w:eastAsia="Times New Roman" w:cs="Arial"/>
          <w:color w:val="000000"/>
          <w:lang w:eastAsia="bg-BG"/>
        </w:rPr>
      </w:pPr>
    </w:p>
    <w:p w14:paraId="5130F2C8" w14:textId="5ECBBD0C" w:rsidR="002B51A9" w:rsidRPr="002B51A9" w:rsidRDefault="002B51A9" w:rsidP="002B51A9">
      <w:pPr>
        <w:spacing w:line="240" w:lineRule="auto"/>
        <w:rPr>
          <w:rFonts w:eastAsia="Times New Roman" w:cs="Arial"/>
          <w:sz w:val="24"/>
          <w:szCs w:val="24"/>
          <w:lang w:eastAsia="bg-BG"/>
        </w:rPr>
      </w:pPr>
      <w:r w:rsidRPr="002B51A9">
        <w:rPr>
          <w:rFonts w:eastAsia="Times New Roman" w:cs="Arial"/>
          <w:color w:val="000000"/>
          <w:lang w:eastAsia="bg-BG"/>
        </w:rPr>
        <w:t>Гемцитабин в комбинация с цисплатина е показан като първо средство за лечение на пациенти с локално напреднал или метастатичен недребноклетьчен белодробен карцином (НДКБДК). Монотерапия с гемцитабин може да се има предвид при пациенти в напреднала възраст или при пациенти с функционален статус 2.</w:t>
      </w:r>
    </w:p>
    <w:p w14:paraId="2A29EAFB" w14:textId="77777777" w:rsidR="002B51A9" w:rsidRPr="002B51A9" w:rsidRDefault="002B51A9" w:rsidP="002B51A9">
      <w:pPr>
        <w:spacing w:line="240" w:lineRule="auto"/>
        <w:rPr>
          <w:rFonts w:eastAsia="Times New Roman" w:cs="Arial"/>
          <w:color w:val="000000"/>
          <w:lang w:eastAsia="bg-BG"/>
        </w:rPr>
      </w:pPr>
    </w:p>
    <w:p w14:paraId="5DDEBA65" w14:textId="7B709C52" w:rsidR="002B51A9" w:rsidRPr="002B51A9" w:rsidRDefault="002B51A9" w:rsidP="002B51A9">
      <w:pPr>
        <w:spacing w:line="240" w:lineRule="auto"/>
        <w:rPr>
          <w:rFonts w:eastAsia="Times New Roman" w:cs="Arial"/>
          <w:sz w:val="24"/>
          <w:szCs w:val="24"/>
          <w:lang w:eastAsia="bg-BG"/>
        </w:rPr>
      </w:pPr>
      <w:r w:rsidRPr="002B51A9">
        <w:rPr>
          <w:rFonts w:eastAsia="Times New Roman" w:cs="Arial"/>
          <w:color w:val="000000"/>
          <w:lang w:eastAsia="bg-BG"/>
        </w:rPr>
        <w:lastRenderedPageBreak/>
        <w:t>Гемцитабин е показан за лечение на пациенти с локално напреднал или метастатичен епителиален рак на яйчниците в комбинация с карбоплатина при пациенти с рецидив на заболяването след ремисия от поне 6 месеца, след лечение с платина като първо средство</w:t>
      </w:r>
    </w:p>
    <w:p w14:paraId="17766961" w14:textId="77777777" w:rsidR="002B51A9" w:rsidRPr="002B51A9" w:rsidRDefault="002B51A9" w:rsidP="002B51A9">
      <w:pPr>
        <w:rPr>
          <w:rFonts w:eastAsia="Times New Roman" w:cs="Arial"/>
          <w:color w:val="000000"/>
          <w:lang w:eastAsia="bg-BG"/>
        </w:rPr>
      </w:pPr>
    </w:p>
    <w:p w14:paraId="04B2E99C" w14:textId="252855F5" w:rsidR="0091385D" w:rsidRPr="002B51A9" w:rsidRDefault="002B51A9" w:rsidP="002B51A9">
      <w:pPr>
        <w:rPr>
          <w:rFonts w:cs="Arial"/>
        </w:rPr>
      </w:pPr>
      <w:r w:rsidRPr="002B51A9">
        <w:rPr>
          <w:rFonts w:eastAsia="Times New Roman" w:cs="Arial"/>
          <w:color w:val="000000"/>
          <w:lang w:eastAsia="bg-BG"/>
        </w:rPr>
        <w:t>Гемцитабин в комбинация с паклитаксел е показан за лечение на пациенти с нерезектабилен, локално рецидивен или метастатичен рак на гърдата, който е рецидивирал след адювантна/  неоадювантна химиотерапия. Предшестваща химиотерапия трябва да включва антрациклини,  освен ако е клинично противопоказана.</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58EC71B9" w14:textId="77777777" w:rsidR="002B51A9" w:rsidRPr="002B51A9" w:rsidRDefault="002B51A9" w:rsidP="002B51A9">
      <w:pPr>
        <w:spacing w:line="240" w:lineRule="auto"/>
        <w:rPr>
          <w:rFonts w:eastAsia="Times New Roman" w:cs="Arial"/>
          <w:sz w:val="24"/>
          <w:szCs w:val="24"/>
          <w:lang w:eastAsia="bg-BG"/>
        </w:rPr>
      </w:pPr>
      <w:r w:rsidRPr="002B51A9">
        <w:rPr>
          <w:rFonts w:eastAsia="Times New Roman" w:cs="Arial"/>
          <w:color w:val="000000"/>
          <w:lang w:eastAsia="bg-BG"/>
        </w:rPr>
        <w:t>Гемцитабин трябва да се предписва само от лекар, компетентен в употребата на антитуморна терапия.</w:t>
      </w:r>
    </w:p>
    <w:p w14:paraId="52EC1184" w14:textId="77777777" w:rsidR="002B51A9" w:rsidRPr="002B51A9" w:rsidRDefault="002B51A9" w:rsidP="002B51A9">
      <w:pPr>
        <w:spacing w:line="240" w:lineRule="auto"/>
        <w:rPr>
          <w:rFonts w:eastAsia="Times New Roman" w:cs="Arial"/>
          <w:color w:val="000000"/>
          <w:u w:val="single"/>
          <w:lang w:eastAsia="bg-BG"/>
        </w:rPr>
      </w:pPr>
    </w:p>
    <w:p w14:paraId="01D3B04F" w14:textId="018E80B3" w:rsidR="002B51A9" w:rsidRPr="00D8509D" w:rsidRDefault="002B51A9" w:rsidP="00D8509D">
      <w:pPr>
        <w:pStyle w:val="Heading3"/>
        <w:rPr>
          <w:rFonts w:eastAsia="Times New Roman"/>
          <w:u w:val="single"/>
          <w:lang w:eastAsia="bg-BG"/>
        </w:rPr>
      </w:pPr>
      <w:r w:rsidRPr="00D8509D">
        <w:rPr>
          <w:rFonts w:eastAsia="Times New Roman"/>
          <w:u w:val="single"/>
          <w:lang w:eastAsia="bg-BG"/>
        </w:rPr>
        <w:t>Дозировка</w:t>
      </w:r>
    </w:p>
    <w:p w14:paraId="63A0BE8C" w14:textId="77777777" w:rsidR="002B51A9" w:rsidRPr="002B51A9" w:rsidRDefault="002B51A9" w:rsidP="002B51A9">
      <w:pPr>
        <w:spacing w:line="240" w:lineRule="auto"/>
        <w:rPr>
          <w:rFonts w:eastAsia="Times New Roman" w:cs="Arial"/>
          <w:i/>
          <w:iCs/>
          <w:color w:val="000000"/>
          <w:u w:val="single"/>
          <w:lang w:eastAsia="bg-BG"/>
        </w:rPr>
      </w:pPr>
    </w:p>
    <w:p w14:paraId="311F81F8" w14:textId="4568E186" w:rsidR="002B51A9" w:rsidRPr="002B51A9" w:rsidRDefault="002B51A9" w:rsidP="002B51A9">
      <w:pPr>
        <w:spacing w:line="240" w:lineRule="auto"/>
        <w:rPr>
          <w:rFonts w:eastAsia="Times New Roman" w:cs="Arial"/>
          <w:sz w:val="24"/>
          <w:szCs w:val="24"/>
          <w:lang w:eastAsia="bg-BG"/>
        </w:rPr>
      </w:pPr>
      <w:r w:rsidRPr="002B51A9">
        <w:rPr>
          <w:rFonts w:eastAsia="Times New Roman" w:cs="Arial"/>
          <w:i/>
          <w:iCs/>
          <w:color w:val="000000"/>
          <w:u w:val="single"/>
          <w:lang w:eastAsia="bg-BG"/>
        </w:rPr>
        <w:t>Кариином на пикочния мехур</w:t>
      </w:r>
    </w:p>
    <w:p w14:paraId="20C9D493" w14:textId="77777777" w:rsidR="002B51A9" w:rsidRPr="002B51A9" w:rsidRDefault="002B51A9" w:rsidP="002B51A9">
      <w:pPr>
        <w:spacing w:line="240" w:lineRule="auto"/>
        <w:rPr>
          <w:rFonts w:eastAsia="Times New Roman" w:cs="Arial"/>
          <w:sz w:val="24"/>
          <w:szCs w:val="24"/>
          <w:lang w:eastAsia="bg-BG"/>
        </w:rPr>
      </w:pPr>
      <w:r w:rsidRPr="002B51A9">
        <w:rPr>
          <w:rFonts w:eastAsia="Times New Roman" w:cs="Arial"/>
          <w:i/>
          <w:iCs/>
          <w:color w:val="000000"/>
          <w:lang w:eastAsia="bg-BG"/>
        </w:rPr>
        <w:t xml:space="preserve">Комбинирана употреба </w:t>
      </w:r>
    </w:p>
    <w:p w14:paraId="79ECCED6" w14:textId="77777777" w:rsidR="002B51A9" w:rsidRPr="002B51A9" w:rsidRDefault="002B51A9" w:rsidP="002B51A9">
      <w:pPr>
        <w:spacing w:line="240" w:lineRule="auto"/>
        <w:rPr>
          <w:rFonts w:eastAsia="Times New Roman" w:cs="Arial"/>
          <w:sz w:val="24"/>
          <w:szCs w:val="24"/>
          <w:lang w:eastAsia="bg-BG"/>
        </w:rPr>
      </w:pPr>
      <w:r w:rsidRPr="002B51A9">
        <w:rPr>
          <w:rFonts w:eastAsia="Times New Roman" w:cs="Arial"/>
          <w:color w:val="000000"/>
          <w:lang w:eastAsia="bg-BG"/>
        </w:rPr>
        <w:t xml:space="preserve">Препоръчителната доза гемцитабин е 1 000 </w:t>
      </w:r>
      <w:r w:rsidRPr="002B51A9">
        <w:rPr>
          <w:rFonts w:eastAsia="Times New Roman" w:cs="Arial"/>
          <w:color w:val="000000"/>
          <w:lang w:val="en-US"/>
        </w:rPr>
        <w:t>mg/ m</w:t>
      </w:r>
      <w:r w:rsidRPr="002B51A9">
        <w:rPr>
          <w:rFonts w:eastAsia="Times New Roman" w:cs="Arial"/>
          <w:color w:val="000000"/>
          <w:vertAlign w:val="superscript"/>
          <w:lang w:val="en-US"/>
        </w:rPr>
        <w:t>2</w:t>
      </w:r>
      <w:r w:rsidRPr="002B51A9">
        <w:rPr>
          <w:rFonts w:eastAsia="Times New Roman" w:cs="Arial"/>
          <w:color w:val="000000"/>
          <w:lang w:val="en-US"/>
        </w:rPr>
        <w:t xml:space="preserve">, </w:t>
      </w:r>
      <w:r w:rsidRPr="002B51A9">
        <w:rPr>
          <w:rFonts w:eastAsia="Times New Roman" w:cs="Arial"/>
          <w:color w:val="000000"/>
          <w:lang w:eastAsia="bg-BG"/>
        </w:rPr>
        <w:t xml:space="preserve">приложена като инфузия в продължение на 30 минути. Тази доза трябва да се дава на 1-ви, 8-ми и 15-ти ден от всеки 28-дневен цикъл в комбинация с цисплатина. Цисплатина се прилага в препоръчителна доза от 70 </w:t>
      </w:r>
      <w:r w:rsidRPr="002B51A9">
        <w:rPr>
          <w:rFonts w:eastAsia="Times New Roman" w:cs="Arial"/>
          <w:color w:val="000000"/>
          <w:lang w:val="en-US"/>
        </w:rPr>
        <w:t>mg/m</w:t>
      </w:r>
      <w:r w:rsidRPr="002B51A9">
        <w:rPr>
          <w:rFonts w:eastAsia="Times New Roman" w:cs="Arial"/>
          <w:color w:val="000000"/>
          <w:vertAlign w:val="superscript"/>
          <w:lang w:val="en-US"/>
        </w:rPr>
        <w:t>2</w:t>
      </w:r>
      <w:r w:rsidRPr="002B51A9">
        <w:rPr>
          <w:rFonts w:eastAsia="Times New Roman" w:cs="Arial"/>
          <w:color w:val="000000"/>
          <w:lang w:val="en-US"/>
        </w:rPr>
        <w:t xml:space="preserve"> </w:t>
      </w:r>
      <w:r w:rsidRPr="002B51A9">
        <w:rPr>
          <w:rFonts w:eastAsia="Times New Roman" w:cs="Arial"/>
          <w:color w:val="000000"/>
          <w:lang w:eastAsia="bg-BG"/>
        </w:rPr>
        <w:t>на 1-вия ден след гемцитабин или на 2-рия ден от всеки 28-дневен цикъл. Този 4-седмичен цикъл след това се повтаря. Дозата може да се намалява на всеки цикъл или в рамките на един цикъл според степента на токсичност, проявена при пациента.</w:t>
      </w:r>
    </w:p>
    <w:p w14:paraId="28B47988" w14:textId="77777777" w:rsidR="002B51A9" w:rsidRPr="002B51A9" w:rsidRDefault="002B51A9" w:rsidP="002B51A9">
      <w:pPr>
        <w:spacing w:line="240" w:lineRule="auto"/>
        <w:rPr>
          <w:rFonts w:eastAsia="Times New Roman" w:cs="Arial"/>
          <w:i/>
          <w:iCs/>
          <w:color w:val="000000"/>
          <w:u w:val="single"/>
          <w:lang w:eastAsia="bg-BG"/>
        </w:rPr>
      </w:pPr>
    </w:p>
    <w:p w14:paraId="0CC7D3DE" w14:textId="28BAFE24" w:rsidR="002B51A9" w:rsidRPr="002B51A9" w:rsidRDefault="002B51A9" w:rsidP="002B51A9">
      <w:pPr>
        <w:spacing w:line="240" w:lineRule="auto"/>
        <w:rPr>
          <w:rFonts w:eastAsia="Times New Roman" w:cs="Arial"/>
          <w:sz w:val="24"/>
          <w:szCs w:val="24"/>
          <w:lang w:eastAsia="bg-BG"/>
        </w:rPr>
      </w:pPr>
      <w:r w:rsidRPr="002B51A9">
        <w:rPr>
          <w:rFonts w:eastAsia="Times New Roman" w:cs="Arial"/>
          <w:i/>
          <w:iCs/>
          <w:color w:val="000000"/>
          <w:u w:val="single"/>
          <w:lang w:eastAsia="bg-BG"/>
        </w:rPr>
        <w:t>Кариином на панкреаса</w:t>
      </w:r>
    </w:p>
    <w:p w14:paraId="6917A351" w14:textId="77777777" w:rsidR="002B51A9" w:rsidRPr="002B51A9" w:rsidRDefault="002B51A9" w:rsidP="002B51A9">
      <w:pPr>
        <w:spacing w:line="240" w:lineRule="auto"/>
        <w:rPr>
          <w:rFonts w:eastAsia="Times New Roman" w:cs="Arial"/>
          <w:sz w:val="24"/>
          <w:szCs w:val="24"/>
          <w:lang w:eastAsia="bg-BG"/>
        </w:rPr>
      </w:pPr>
      <w:r w:rsidRPr="002B51A9">
        <w:rPr>
          <w:rFonts w:eastAsia="Times New Roman" w:cs="Arial"/>
          <w:i/>
          <w:iCs/>
          <w:color w:val="000000"/>
          <w:lang w:eastAsia="bg-BG"/>
        </w:rPr>
        <w:t>Монотерапия</w:t>
      </w:r>
    </w:p>
    <w:p w14:paraId="4AE1590E" w14:textId="77777777" w:rsidR="002B51A9" w:rsidRPr="002B51A9" w:rsidRDefault="002B51A9" w:rsidP="002B51A9">
      <w:pPr>
        <w:spacing w:line="240" w:lineRule="auto"/>
        <w:rPr>
          <w:rFonts w:eastAsia="Times New Roman" w:cs="Arial"/>
          <w:sz w:val="24"/>
          <w:szCs w:val="24"/>
          <w:lang w:eastAsia="bg-BG"/>
        </w:rPr>
      </w:pPr>
      <w:r w:rsidRPr="002B51A9">
        <w:rPr>
          <w:rFonts w:eastAsia="Times New Roman" w:cs="Arial"/>
          <w:color w:val="000000"/>
          <w:lang w:eastAsia="bg-BG"/>
        </w:rPr>
        <w:t xml:space="preserve">Препоръчителната доза гемцитабин е 1 000 </w:t>
      </w:r>
      <w:r w:rsidRPr="002B51A9">
        <w:rPr>
          <w:rFonts w:eastAsia="Times New Roman" w:cs="Arial"/>
          <w:color w:val="000000"/>
          <w:lang w:val="en-US"/>
        </w:rPr>
        <w:t>mg/m</w:t>
      </w:r>
      <w:r w:rsidRPr="002B51A9">
        <w:rPr>
          <w:rFonts w:eastAsia="Times New Roman" w:cs="Arial"/>
          <w:color w:val="000000"/>
          <w:vertAlign w:val="superscript"/>
          <w:lang w:val="en-US"/>
        </w:rPr>
        <w:t>2</w:t>
      </w:r>
      <w:r w:rsidRPr="002B51A9">
        <w:rPr>
          <w:rFonts w:eastAsia="Times New Roman" w:cs="Arial"/>
          <w:color w:val="000000"/>
          <w:lang w:val="en-US"/>
        </w:rPr>
        <w:t xml:space="preserve">, </w:t>
      </w:r>
      <w:r w:rsidRPr="002B51A9">
        <w:rPr>
          <w:rFonts w:eastAsia="Times New Roman" w:cs="Arial"/>
          <w:color w:val="000000"/>
          <w:lang w:eastAsia="bg-BG"/>
        </w:rPr>
        <w:t>приложена като интравенозна инфузия в продължение на 30 минути. Тази доза трябва да се повтаря веднъж седмично в продължение на не повече от 7 седмици, последвани от една седмица почивка. Следващите цикли трябва да се състоят от инжекции един път седмично в продължение на 3 последователни седмици в рамките на всеки 4 седмици. Дозата може да се намалява на всеки цикъл или в рамките на един цикъл според степента на токсичност, проявена при пациента.</w:t>
      </w:r>
    </w:p>
    <w:p w14:paraId="2B7FBC7C" w14:textId="77777777" w:rsidR="002B51A9" w:rsidRPr="002B51A9" w:rsidRDefault="002B51A9" w:rsidP="002B51A9">
      <w:pPr>
        <w:spacing w:line="240" w:lineRule="auto"/>
        <w:rPr>
          <w:rFonts w:eastAsia="Times New Roman" w:cs="Arial"/>
          <w:i/>
          <w:iCs/>
          <w:color w:val="000000"/>
          <w:u w:val="single"/>
          <w:lang w:eastAsia="bg-BG"/>
        </w:rPr>
      </w:pPr>
    </w:p>
    <w:p w14:paraId="422246E0" w14:textId="519A6774" w:rsidR="002B51A9" w:rsidRPr="002B51A9" w:rsidRDefault="002B51A9" w:rsidP="002B51A9">
      <w:pPr>
        <w:spacing w:line="240" w:lineRule="auto"/>
        <w:rPr>
          <w:rFonts w:eastAsia="Times New Roman" w:cs="Arial"/>
          <w:sz w:val="24"/>
          <w:szCs w:val="24"/>
          <w:lang w:eastAsia="bg-BG"/>
        </w:rPr>
      </w:pPr>
      <w:r w:rsidRPr="002B51A9">
        <w:rPr>
          <w:rFonts w:eastAsia="Times New Roman" w:cs="Arial"/>
          <w:i/>
          <w:iCs/>
          <w:color w:val="000000"/>
          <w:u w:val="single"/>
          <w:lang w:eastAsia="bg-BG"/>
        </w:rPr>
        <w:t>Недребноклетъчен белодробен кариином</w:t>
      </w:r>
    </w:p>
    <w:p w14:paraId="3805E295" w14:textId="77777777" w:rsidR="002B51A9" w:rsidRPr="002B51A9" w:rsidRDefault="002B51A9" w:rsidP="002B51A9">
      <w:pPr>
        <w:spacing w:line="240" w:lineRule="auto"/>
        <w:rPr>
          <w:rFonts w:eastAsia="Times New Roman" w:cs="Arial"/>
          <w:sz w:val="24"/>
          <w:szCs w:val="24"/>
          <w:lang w:eastAsia="bg-BG"/>
        </w:rPr>
      </w:pPr>
      <w:r w:rsidRPr="002B51A9">
        <w:rPr>
          <w:rFonts w:eastAsia="Times New Roman" w:cs="Arial"/>
          <w:i/>
          <w:iCs/>
          <w:color w:val="000000"/>
          <w:lang w:eastAsia="bg-BG"/>
        </w:rPr>
        <w:t>Монотерапия</w:t>
      </w:r>
    </w:p>
    <w:p w14:paraId="54D2347C" w14:textId="77777777" w:rsidR="002B51A9" w:rsidRPr="002B51A9" w:rsidRDefault="002B51A9" w:rsidP="002B51A9">
      <w:pPr>
        <w:spacing w:line="240" w:lineRule="auto"/>
        <w:rPr>
          <w:rFonts w:eastAsia="Times New Roman" w:cs="Arial"/>
          <w:sz w:val="24"/>
          <w:szCs w:val="24"/>
          <w:lang w:eastAsia="bg-BG"/>
        </w:rPr>
      </w:pPr>
      <w:r w:rsidRPr="002B51A9">
        <w:rPr>
          <w:rFonts w:eastAsia="Times New Roman" w:cs="Arial"/>
          <w:color w:val="000000"/>
          <w:lang w:eastAsia="bg-BG"/>
        </w:rPr>
        <w:t xml:space="preserve">Препоръчителната доза гемцитабин е 1 000 </w:t>
      </w:r>
      <w:r w:rsidRPr="002B51A9">
        <w:rPr>
          <w:rFonts w:eastAsia="Times New Roman" w:cs="Arial"/>
          <w:color w:val="000000"/>
          <w:lang w:val="en-US"/>
        </w:rPr>
        <w:t>mg/m</w:t>
      </w:r>
      <w:r w:rsidRPr="002B51A9">
        <w:rPr>
          <w:rFonts w:eastAsia="Times New Roman" w:cs="Arial"/>
          <w:color w:val="000000"/>
          <w:vertAlign w:val="superscript"/>
          <w:lang w:val="en-US"/>
        </w:rPr>
        <w:t>2</w:t>
      </w:r>
      <w:r w:rsidRPr="002B51A9">
        <w:rPr>
          <w:rFonts w:eastAsia="Times New Roman" w:cs="Arial"/>
          <w:color w:val="000000"/>
          <w:lang w:val="en-US"/>
        </w:rPr>
        <w:t xml:space="preserve">, </w:t>
      </w:r>
      <w:r w:rsidRPr="002B51A9">
        <w:rPr>
          <w:rFonts w:eastAsia="Times New Roman" w:cs="Arial"/>
          <w:color w:val="000000"/>
          <w:lang w:eastAsia="bg-BG"/>
        </w:rPr>
        <w:t>приложена като интравенозна инфузия в продължение на 30 минути. Тази доза трябва да се повтаря веднъж седмично в продължение на 3 седмици, последвани от 1 седмица почивка. Впоследствие 4-седмичният цикъл се повтаря. Дозата може да се намалява на всеки цикъл или в рамките на един цикъл според степента на токсичност, проявена при пациента.</w:t>
      </w:r>
    </w:p>
    <w:p w14:paraId="588BAD91" w14:textId="77777777" w:rsidR="002B51A9" w:rsidRPr="002B51A9" w:rsidRDefault="002B51A9" w:rsidP="002B51A9">
      <w:pPr>
        <w:spacing w:line="240" w:lineRule="auto"/>
        <w:rPr>
          <w:rFonts w:eastAsia="Times New Roman" w:cs="Arial"/>
          <w:i/>
          <w:iCs/>
          <w:color w:val="000000"/>
          <w:lang w:eastAsia="bg-BG"/>
        </w:rPr>
      </w:pPr>
    </w:p>
    <w:p w14:paraId="1F346865" w14:textId="5E6EB7BD" w:rsidR="002B51A9" w:rsidRPr="002B51A9" w:rsidRDefault="002B51A9" w:rsidP="002B51A9">
      <w:pPr>
        <w:spacing w:line="240" w:lineRule="auto"/>
        <w:rPr>
          <w:rFonts w:eastAsia="Times New Roman" w:cs="Arial"/>
          <w:sz w:val="24"/>
          <w:szCs w:val="24"/>
          <w:lang w:eastAsia="bg-BG"/>
        </w:rPr>
      </w:pPr>
      <w:r w:rsidRPr="002B51A9">
        <w:rPr>
          <w:rFonts w:eastAsia="Times New Roman" w:cs="Arial"/>
          <w:i/>
          <w:iCs/>
          <w:color w:val="000000"/>
          <w:lang w:eastAsia="bg-BG"/>
        </w:rPr>
        <w:t>Комбинирана употреба</w:t>
      </w:r>
    </w:p>
    <w:p w14:paraId="38959B05" w14:textId="77777777" w:rsidR="002B51A9" w:rsidRPr="002B51A9" w:rsidRDefault="002B51A9" w:rsidP="002B51A9">
      <w:pPr>
        <w:spacing w:line="240" w:lineRule="auto"/>
        <w:rPr>
          <w:rFonts w:eastAsia="Times New Roman" w:cs="Arial"/>
          <w:sz w:val="24"/>
          <w:szCs w:val="24"/>
          <w:lang w:eastAsia="bg-BG"/>
        </w:rPr>
      </w:pPr>
      <w:r w:rsidRPr="002B51A9">
        <w:rPr>
          <w:rFonts w:eastAsia="Times New Roman" w:cs="Arial"/>
          <w:color w:val="000000"/>
          <w:lang w:eastAsia="bg-BG"/>
        </w:rPr>
        <w:t xml:space="preserve">Препоръчителната доза гемцитабин е 1 250 </w:t>
      </w:r>
      <w:r w:rsidRPr="002B51A9">
        <w:rPr>
          <w:rFonts w:eastAsia="Times New Roman" w:cs="Arial"/>
          <w:color w:val="000000"/>
          <w:lang w:val="en-US"/>
        </w:rPr>
        <w:t>mg/m</w:t>
      </w:r>
      <w:r w:rsidRPr="002B51A9">
        <w:rPr>
          <w:rFonts w:eastAsia="Times New Roman" w:cs="Arial"/>
          <w:color w:val="000000"/>
          <w:vertAlign w:val="superscript"/>
          <w:lang w:val="en-US"/>
        </w:rPr>
        <w:t>2</w:t>
      </w:r>
      <w:r w:rsidRPr="002B51A9">
        <w:rPr>
          <w:rFonts w:eastAsia="Times New Roman" w:cs="Arial"/>
          <w:color w:val="000000"/>
          <w:lang w:val="en-US"/>
        </w:rPr>
        <w:t xml:space="preserve"> </w:t>
      </w:r>
      <w:r w:rsidRPr="002B51A9">
        <w:rPr>
          <w:rFonts w:eastAsia="Times New Roman" w:cs="Arial"/>
          <w:color w:val="000000"/>
          <w:lang w:eastAsia="bg-BG"/>
        </w:rPr>
        <w:t xml:space="preserve">телесна повърхност, приложен като интравенозна инфузия в продължение на 30 минути на 1-ви и 8-ми ден от лечебния цикъл (21 дни) в комбинация с цисплатина. Цисплатина е използвана в дози между 75 и 100 </w:t>
      </w:r>
      <w:r w:rsidRPr="002B51A9">
        <w:rPr>
          <w:rFonts w:eastAsia="Times New Roman" w:cs="Arial"/>
          <w:color w:val="000000"/>
          <w:lang w:val="en-US"/>
        </w:rPr>
        <w:lastRenderedPageBreak/>
        <w:t>mg/m</w:t>
      </w:r>
      <w:r w:rsidRPr="002B51A9">
        <w:rPr>
          <w:rFonts w:eastAsia="Times New Roman" w:cs="Arial"/>
          <w:color w:val="000000"/>
          <w:vertAlign w:val="superscript"/>
          <w:lang w:val="en-US"/>
        </w:rPr>
        <w:t>2</w:t>
      </w:r>
      <w:r w:rsidRPr="002B51A9">
        <w:rPr>
          <w:rFonts w:eastAsia="Times New Roman" w:cs="Arial"/>
          <w:color w:val="000000"/>
          <w:lang w:val="en-US"/>
        </w:rPr>
        <w:t xml:space="preserve"> </w:t>
      </w:r>
      <w:r w:rsidRPr="002B51A9">
        <w:rPr>
          <w:rFonts w:eastAsia="Times New Roman" w:cs="Arial"/>
          <w:color w:val="000000"/>
          <w:lang w:eastAsia="bg-BG"/>
        </w:rPr>
        <w:t>на 1-ия ден след гемцитабин или на 2-ия ден, веднъж на всеки 3 седмици. Дозата може да се намалява на всеки цикъл или в рамките на един цикъл според степента на токсичност, проявена при пациента.</w:t>
      </w:r>
    </w:p>
    <w:p w14:paraId="5A388901" w14:textId="77777777" w:rsidR="002B51A9" w:rsidRPr="002B51A9" w:rsidRDefault="002B51A9" w:rsidP="002B51A9">
      <w:pPr>
        <w:spacing w:line="240" w:lineRule="auto"/>
        <w:rPr>
          <w:rFonts w:eastAsia="Times New Roman" w:cs="Arial"/>
          <w:i/>
          <w:iCs/>
          <w:color w:val="000000"/>
          <w:u w:val="single"/>
          <w:lang w:eastAsia="bg-BG"/>
        </w:rPr>
      </w:pPr>
    </w:p>
    <w:p w14:paraId="5E68EEB9" w14:textId="2EA710B4" w:rsidR="002B51A9" w:rsidRPr="002B51A9" w:rsidRDefault="002B51A9" w:rsidP="002B51A9">
      <w:pPr>
        <w:spacing w:line="240" w:lineRule="auto"/>
        <w:rPr>
          <w:rFonts w:eastAsia="Times New Roman" w:cs="Arial"/>
          <w:sz w:val="24"/>
          <w:szCs w:val="24"/>
          <w:lang w:eastAsia="bg-BG"/>
        </w:rPr>
      </w:pPr>
      <w:r w:rsidRPr="002B51A9">
        <w:rPr>
          <w:rFonts w:eastAsia="Times New Roman" w:cs="Arial"/>
          <w:i/>
          <w:iCs/>
          <w:color w:val="000000"/>
          <w:u w:val="single"/>
          <w:lang w:eastAsia="bg-BG"/>
        </w:rPr>
        <w:t>Кариином на млечната жлеза</w:t>
      </w:r>
    </w:p>
    <w:p w14:paraId="7A9B1C39" w14:textId="77777777" w:rsidR="002B51A9" w:rsidRPr="002B51A9" w:rsidRDefault="002B51A9" w:rsidP="002B51A9">
      <w:pPr>
        <w:spacing w:line="240" w:lineRule="auto"/>
        <w:rPr>
          <w:rFonts w:eastAsia="Times New Roman" w:cs="Arial"/>
          <w:sz w:val="24"/>
          <w:szCs w:val="24"/>
          <w:lang w:eastAsia="bg-BG"/>
        </w:rPr>
      </w:pPr>
      <w:r w:rsidRPr="002B51A9">
        <w:rPr>
          <w:rFonts w:eastAsia="Times New Roman" w:cs="Arial"/>
          <w:i/>
          <w:iCs/>
          <w:color w:val="000000"/>
          <w:lang w:eastAsia="bg-BG"/>
        </w:rPr>
        <w:t>Комбинирана употреба</w:t>
      </w:r>
    </w:p>
    <w:p w14:paraId="475300EC" w14:textId="6C043F3E" w:rsidR="0091385D" w:rsidRDefault="002B51A9" w:rsidP="002B51A9">
      <w:pPr>
        <w:rPr>
          <w:rFonts w:eastAsia="Times New Roman" w:cs="Arial"/>
          <w:color w:val="000000"/>
          <w:lang w:eastAsia="bg-BG"/>
        </w:rPr>
      </w:pPr>
      <w:r w:rsidRPr="002B51A9">
        <w:rPr>
          <w:rFonts w:eastAsia="Times New Roman" w:cs="Arial"/>
          <w:color w:val="000000"/>
          <w:lang w:eastAsia="bg-BG"/>
        </w:rPr>
        <w:t xml:space="preserve">Гемцитабин в комбинация с паклитаксел се препоръчва, като се използва паклитаксел (175 </w:t>
      </w:r>
      <w:r w:rsidRPr="002B51A9">
        <w:rPr>
          <w:rFonts w:eastAsia="Times New Roman" w:cs="Arial"/>
          <w:color w:val="000000"/>
          <w:lang w:val="en-US"/>
        </w:rPr>
        <w:t>mg/m</w:t>
      </w:r>
      <w:r w:rsidRPr="002B51A9">
        <w:rPr>
          <w:rFonts w:eastAsia="Times New Roman" w:cs="Arial"/>
          <w:color w:val="000000"/>
          <w:vertAlign w:val="superscript"/>
          <w:lang w:val="en-US"/>
        </w:rPr>
        <w:t>2</w:t>
      </w:r>
      <w:r w:rsidRPr="002B51A9">
        <w:rPr>
          <w:rFonts w:eastAsia="Times New Roman" w:cs="Arial"/>
          <w:color w:val="000000"/>
          <w:lang w:val="en-US"/>
        </w:rPr>
        <w:t xml:space="preserve">), </w:t>
      </w:r>
      <w:r w:rsidRPr="002B51A9">
        <w:rPr>
          <w:rFonts w:eastAsia="Times New Roman" w:cs="Arial"/>
          <w:color w:val="000000"/>
          <w:lang w:eastAsia="bg-BG"/>
        </w:rPr>
        <w:t xml:space="preserve">приложен на 1-ия ден като интравенозна инфузия в продължение на приблизително 3 часа, последвано от гемцитабин (1 250 </w:t>
      </w:r>
      <w:r w:rsidRPr="002B51A9">
        <w:rPr>
          <w:rFonts w:eastAsia="Times New Roman" w:cs="Arial"/>
          <w:color w:val="000000"/>
          <w:lang w:val="en-US"/>
        </w:rPr>
        <w:t>mg/m</w:t>
      </w:r>
      <w:r w:rsidRPr="002B51A9">
        <w:rPr>
          <w:rFonts w:eastAsia="Times New Roman" w:cs="Arial"/>
          <w:color w:val="000000"/>
          <w:vertAlign w:val="superscript"/>
          <w:lang w:val="en-US"/>
        </w:rPr>
        <w:t>2</w:t>
      </w:r>
      <w:r w:rsidRPr="002B51A9">
        <w:rPr>
          <w:rFonts w:eastAsia="Times New Roman" w:cs="Arial"/>
          <w:color w:val="000000"/>
          <w:lang w:val="en-US"/>
        </w:rPr>
        <w:t xml:space="preserve">) </w:t>
      </w:r>
      <w:r w:rsidRPr="002B51A9">
        <w:rPr>
          <w:rFonts w:eastAsia="Times New Roman" w:cs="Arial"/>
          <w:color w:val="000000"/>
          <w:lang w:eastAsia="bg-BG"/>
        </w:rPr>
        <w:t>като интравенозна инфузия в продължение на 30 минути на 1-ви и 8-ми ден от всеки 21-дневен цикъл. Дозата може да се намалява на всеки цикъл или в рамките на един цикъл според степента на токсичност, проявена при пациента. Преди започване на комбинацията гемцитабин + паклитаксел пациентите трябва да имат</w:t>
      </w:r>
      <w:r w:rsidRPr="002B51A9">
        <w:rPr>
          <w:rFonts w:eastAsia="Times New Roman" w:cs="Arial"/>
          <w:color w:val="000000"/>
          <w:u w:val="single"/>
          <w:lang w:eastAsia="bg-BG"/>
        </w:rPr>
        <w:t xml:space="preserve"> </w:t>
      </w:r>
      <w:r w:rsidRPr="002B51A9">
        <w:rPr>
          <w:rFonts w:eastAsia="Times New Roman" w:cs="Arial"/>
          <w:color w:val="000000"/>
          <w:lang w:eastAsia="bg-BG"/>
        </w:rPr>
        <w:t>абсолютен брой на гранулоцити поне 1 500 (х 10</w:t>
      </w:r>
      <w:r w:rsidRPr="002B51A9">
        <w:rPr>
          <w:rFonts w:eastAsia="Times New Roman" w:cs="Arial"/>
          <w:color w:val="000000"/>
          <w:vertAlign w:val="superscript"/>
          <w:lang w:eastAsia="bg-BG"/>
        </w:rPr>
        <w:t>6</w:t>
      </w:r>
      <w:r w:rsidRPr="002B51A9">
        <w:rPr>
          <w:rFonts w:eastAsia="Times New Roman" w:cs="Arial"/>
          <w:color w:val="000000"/>
          <w:lang w:eastAsia="bg-BG"/>
        </w:rPr>
        <w:t>/</w:t>
      </w:r>
      <w:r w:rsidRPr="002B51A9">
        <w:rPr>
          <w:rFonts w:eastAsia="Times New Roman" w:cs="Arial"/>
          <w:color w:val="000000"/>
          <w:lang w:val="en-US"/>
        </w:rPr>
        <w:t>l</w:t>
      </w:r>
      <w:r w:rsidRPr="002B51A9">
        <w:rPr>
          <w:rFonts w:eastAsia="Times New Roman" w:cs="Arial"/>
          <w:color w:val="000000"/>
          <w:lang w:eastAsia="bg-BG"/>
        </w:rPr>
        <w:t>).</w:t>
      </w:r>
    </w:p>
    <w:p w14:paraId="79FB203C" w14:textId="3210A199" w:rsidR="00E72714" w:rsidRDefault="00E72714" w:rsidP="002B51A9">
      <w:pPr>
        <w:rPr>
          <w:rFonts w:eastAsia="Times New Roman" w:cs="Arial"/>
          <w:color w:val="000000"/>
          <w:lang w:eastAsia="bg-BG"/>
        </w:rPr>
      </w:pPr>
    </w:p>
    <w:p w14:paraId="49AE1060" w14:textId="77777777" w:rsidR="00E72714" w:rsidRPr="00E72714" w:rsidRDefault="00E72714" w:rsidP="00E72714">
      <w:pPr>
        <w:spacing w:line="240" w:lineRule="auto"/>
        <w:rPr>
          <w:rFonts w:eastAsia="Times New Roman" w:cs="Arial"/>
          <w:sz w:val="24"/>
          <w:szCs w:val="24"/>
          <w:lang w:eastAsia="bg-BG"/>
        </w:rPr>
      </w:pPr>
      <w:r w:rsidRPr="00E72714">
        <w:rPr>
          <w:rFonts w:eastAsia="Times New Roman" w:cs="Arial"/>
          <w:i/>
          <w:iCs/>
          <w:color w:val="000000"/>
          <w:u w:val="single"/>
          <w:lang w:eastAsia="bg-BG"/>
        </w:rPr>
        <w:t>Кариином на яйчника</w:t>
      </w:r>
    </w:p>
    <w:p w14:paraId="35B6FE07" w14:textId="77777777" w:rsidR="00E72714" w:rsidRPr="00E72714" w:rsidRDefault="00E72714" w:rsidP="00E72714">
      <w:pPr>
        <w:spacing w:line="240" w:lineRule="auto"/>
        <w:rPr>
          <w:rFonts w:eastAsia="Times New Roman" w:cs="Arial"/>
          <w:sz w:val="24"/>
          <w:szCs w:val="24"/>
          <w:lang w:eastAsia="bg-BG"/>
        </w:rPr>
      </w:pPr>
      <w:r w:rsidRPr="00E72714">
        <w:rPr>
          <w:rFonts w:eastAsia="Times New Roman" w:cs="Arial"/>
          <w:i/>
          <w:iCs/>
          <w:color w:val="000000"/>
          <w:lang w:eastAsia="bg-BG"/>
        </w:rPr>
        <w:t>Комбинирана употреба</w:t>
      </w:r>
    </w:p>
    <w:p w14:paraId="483C3380" w14:textId="77777777" w:rsidR="00E72714" w:rsidRPr="00E72714" w:rsidRDefault="00E72714" w:rsidP="00E72714">
      <w:pPr>
        <w:spacing w:line="240" w:lineRule="auto"/>
        <w:rPr>
          <w:rFonts w:eastAsia="Times New Roman" w:cs="Arial"/>
          <w:sz w:val="24"/>
          <w:szCs w:val="24"/>
          <w:lang w:eastAsia="bg-BG"/>
        </w:rPr>
      </w:pPr>
      <w:r w:rsidRPr="00E72714">
        <w:rPr>
          <w:rFonts w:eastAsia="Times New Roman" w:cs="Arial"/>
          <w:color w:val="000000"/>
          <w:lang w:eastAsia="bg-BG"/>
        </w:rPr>
        <w:t xml:space="preserve">Гемцитабин в комбинация с карбоплатина се препоръчва, като се използва гемцитабин 1000 </w:t>
      </w:r>
      <w:r w:rsidRPr="00E72714">
        <w:rPr>
          <w:rFonts w:eastAsia="Times New Roman" w:cs="Arial"/>
          <w:color w:val="000000"/>
          <w:lang w:val="en-US"/>
        </w:rPr>
        <w:t>mg/m</w:t>
      </w:r>
      <w:r w:rsidRPr="00E72714">
        <w:rPr>
          <w:rFonts w:eastAsia="Times New Roman" w:cs="Arial"/>
          <w:color w:val="000000"/>
          <w:vertAlign w:val="superscript"/>
          <w:lang w:val="en-US"/>
        </w:rPr>
        <w:t>2</w:t>
      </w:r>
      <w:r w:rsidRPr="00E72714">
        <w:rPr>
          <w:rFonts w:eastAsia="Times New Roman" w:cs="Arial"/>
          <w:color w:val="000000"/>
          <w:lang w:val="en-US"/>
        </w:rPr>
        <w:t xml:space="preserve">, </w:t>
      </w:r>
      <w:r w:rsidRPr="00E72714">
        <w:rPr>
          <w:rFonts w:eastAsia="Times New Roman" w:cs="Arial"/>
          <w:color w:val="000000"/>
          <w:lang w:eastAsia="bg-BG"/>
        </w:rPr>
        <w:t xml:space="preserve">приложен като интравенозна инфузия в продължение на 30 минути на 1-ви и 8-ми ден от всеки 21-дневен цикъл. Карбоплатина се прилага на 1-ия ден след гемцитабин според таргетна площ под кривата </w:t>
      </w:r>
      <w:r w:rsidRPr="00E72714">
        <w:rPr>
          <w:rFonts w:eastAsia="Times New Roman" w:cs="Arial"/>
          <w:color w:val="000000"/>
          <w:lang w:val="en-US"/>
        </w:rPr>
        <w:t xml:space="preserve">(AUC) </w:t>
      </w:r>
      <w:r w:rsidRPr="00E72714">
        <w:rPr>
          <w:rFonts w:eastAsia="Times New Roman" w:cs="Arial"/>
          <w:color w:val="000000"/>
          <w:lang w:eastAsia="bg-BG"/>
        </w:rPr>
        <w:t xml:space="preserve">4,0 </w:t>
      </w:r>
      <w:r w:rsidRPr="00E72714">
        <w:rPr>
          <w:rFonts w:eastAsia="Times New Roman" w:cs="Arial"/>
          <w:color w:val="000000"/>
          <w:lang w:val="en-US"/>
        </w:rPr>
        <w:t xml:space="preserve">mg/ml/min. </w:t>
      </w:r>
      <w:r w:rsidRPr="00E72714">
        <w:rPr>
          <w:rFonts w:eastAsia="Times New Roman" w:cs="Arial"/>
          <w:color w:val="000000"/>
          <w:lang w:eastAsia="bg-BG"/>
        </w:rPr>
        <w:t>Дозата може да бъде намалявана на всеки цикъл или в рамките на един цикъл според степента на токсичност, проявена при пациента.</w:t>
      </w:r>
    </w:p>
    <w:p w14:paraId="10CB521F" w14:textId="77777777" w:rsidR="00E72714" w:rsidRPr="00E72714" w:rsidRDefault="00E72714" w:rsidP="00E72714">
      <w:pPr>
        <w:spacing w:line="240" w:lineRule="auto"/>
        <w:rPr>
          <w:rFonts w:eastAsia="Times New Roman" w:cs="Arial"/>
          <w:color w:val="000000"/>
          <w:u w:val="single"/>
          <w:lang w:eastAsia="bg-BG"/>
        </w:rPr>
      </w:pPr>
    </w:p>
    <w:p w14:paraId="489090FD" w14:textId="14D02941" w:rsidR="00E72714" w:rsidRPr="00E72714" w:rsidRDefault="00E72714" w:rsidP="00E72714">
      <w:pPr>
        <w:spacing w:line="240" w:lineRule="auto"/>
        <w:rPr>
          <w:rFonts w:eastAsia="Times New Roman" w:cs="Arial"/>
          <w:sz w:val="24"/>
          <w:szCs w:val="24"/>
          <w:lang w:eastAsia="bg-BG"/>
        </w:rPr>
      </w:pPr>
      <w:r w:rsidRPr="00E72714">
        <w:rPr>
          <w:rFonts w:eastAsia="Times New Roman" w:cs="Arial"/>
          <w:color w:val="000000"/>
          <w:u w:val="single"/>
          <w:lang w:eastAsia="bg-BG"/>
        </w:rPr>
        <w:t>Проследяване за токсичност и промяна на дозата поради токсичност</w:t>
      </w:r>
    </w:p>
    <w:p w14:paraId="7D9F33B9" w14:textId="77777777" w:rsidR="00E72714" w:rsidRPr="00E72714" w:rsidRDefault="00E72714" w:rsidP="00E72714">
      <w:pPr>
        <w:spacing w:line="240" w:lineRule="auto"/>
        <w:rPr>
          <w:rFonts w:eastAsia="Times New Roman" w:cs="Arial"/>
          <w:i/>
          <w:iCs/>
          <w:color w:val="000000"/>
          <w:u w:val="single"/>
          <w:lang w:eastAsia="bg-BG"/>
        </w:rPr>
      </w:pPr>
    </w:p>
    <w:p w14:paraId="6D170B6E" w14:textId="631A28E1" w:rsidR="00E72714" w:rsidRPr="00E72714" w:rsidRDefault="00E72714" w:rsidP="00E72714">
      <w:pPr>
        <w:spacing w:line="240" w:lineRule="auto"/>
        <w:rPr>
          <w:rFonts w:eastAsia="Times New Roman" w:cs="Arial"/>
          <w:sz w:val="24"/>
          <w:szCs w:val="24"/>
          <w:lang w:eastAsia="bg-BG"/>
        </w:rPr>
      </w:pPr>
      <w:r w:rsidRPr="00E72714">
        <w:rPr>
          <w:rFonts w:eastAsia="Times New Roman" w:cs="Arial"/>
          <w:i/>
          <w:iCs/>
          <w:color w:val="000000"/>
          <w:u w:val="single"/>
          <w:lang w:eastAsia="bg-BG"/>
        </w:rPr>
        <w:t>Промяна на дозата поради нехамотологична токсичност</w:t>
      </w:r>
    </w:p>
    <w:p w14:paraId="281E6CC7" w14:textId="77777777" w:rsidR="00E72714" w:rsidRPr="00E72714" w:rsidRDefault="00E72714" w:rsidP="00E72714">
      <w:pPr>
        <w:spacing w:line="240" w:lineRule="auto"/>
        <w:rPr>
          <w:rFonts w:eastAsia="Times New Roman" w:cs="Arial"/>
          <w:sz w:val="24"/>
          <w:szCs w:val="24"/>
          <w:lang w:eastAsia="bg-BG"/>
        </w:rPr>
      </w:pPr>
      <w:r w:rsidRPr="00E72714">
        <w:rPr>
          <w:rFonts w:eastAsia="Times New Roman" w:cs="Arial"/>
          <w:color w:val="000000"/>
          <w:lang w:eastAsia="bg-BG"/>
        </w:rPr>
        <w:t>Трябва да се провежда периодичен физикален преглед и контрол на функцията на бъбреците и на черния дроб, за да се установи нехематологична токсичност. Дозата може да се намалява на всеки цикъл или в рамките на един цикъл според степента на токсичност, проявена при пациента. По принцип, при тежка (степен 3 или 4) нехематологична токсичност, с изключение на гадене/повръщане, лечението с гемцитабин трябва да се спре или дозата да се намали по преценка на лекуващия лекар. Лечението трябва да се прекъсне докато, според лекаря, токсичността отзвучи.</w:t>
      </w:r>
    </w:p>
    <w:p w14:paraId="3D0C41FE" w14:textId="77777777" w:rsidR="00E72714" w:rsidRPr="00E72714" w:rsidRDefault="00E72714" w:rsidP="00E72714">
      <w:pPr>
        <w:spacing w:line="240" w:lineRule="auto"/>
        <w:rPr>
          <w:rFonts w:eastAsia="Times New Roman" w:cs="Arial"/>
          <w:color w:val="000000"/>
          <w:lang w:eastAsia="bg-BG"/>
        </w:rPr>
      </w:pPr>
    </w:p>
    <w:p w14:paraId="323FE4D6" w14:textId="5F90474D" w:rsidR="00E72714" w:rsidRPr="00E72714" w:rsidRDefault="00E72714" w:rsidP="00E72714">
      <w:pPr>
        <w:spacing w:line="240" w:lineRule="auto"/>
        <w:rPr>
          <w:rFonts w:eastAsia="Times New Roman" w:cs="Arial"/>
          <w:sz w:val="24"/>
          <w:szCs w:val="24"/>
          <w:lang w:eastAsia="bg-BG"/>
        </w:rPr>
      </w:pPr>
      <w:r w:rsidRPr="00E72714">
        <w:rPr>
          <w:rFonts w:eastAsia="Times New Roman" w:cs="Arial"/>
          <w:color w:val="000000"/>
          <w:lang w:eastAsia="bg-BG"/>
        </w:rPr>
        <w:t>За адаптиране на дозата на цисплатина, карбоплатина и паклитаксел при комбинирано лечение, моля, вижте кратките характеристики на съответните продукти.</w:t>
      </w:r>
    </w:p>
    <w:p w14:paraId="4E24BD52" w14:textId="77777777" w:rsidR="00E72714" w:rsidRPr="00E72714" w:rsidRDefault="00E72714" w:rsidP="00E72714">
      <w:pPr>
        <w:spacing w:line="240" w:lineRule="auto"/>
        <w:rPr>
          <w:rFonts w:eastAsia="Times New Roman" w:cs="Arial"/>
          <w:i/>
          <w:iCs/>
          <w:color w:val="000000"/>
          <w:u w:val="single"/>
          <w:lang w:eastAsia="bg-BG"/>
        </w:rPr>
      </w:pPr>
    </w:p>
    <w:p w14:paraId="583AB7B6" w14:textId="0AC54CEC" w:rsidR="00E72714" w:rsidRPr="00E72714" w:rsidRDefault="00E72714" w:rsidP="00E72714">
      <w:pPr>
        <w:spacing w:line="240" w:lineRule="auto"/>
        <w:rPr>
          <w:rFonts w:eastAsia="Times New Roman" w:cs="Arial"/>
          <w:sz w:val="24"/>
          <w:szCs w:val="24"/>
          <w:lang w:eastAsia="bg-BG"/>
        </w:rPr>
      </w:pPr>
      <w:r w:rsidRPr="00E72714">
        <w:rPr>
          <w:rFonts w:eastAsia="Times New Roman" w:cs="Arial"/>
          <w:i/>
          <w:iCs/>
          <w:color w:val="000000"/>
          <w:u w:val="single"/>
          <w:lang w:eastAsia="bg-BG"/>
        </w:rPr>
        <w:t>Промяна на дозата поради хематологична токсичност</w:t>
      </w:r>
    </w:p>
    <w:p w14:paraId="5FA6B661" w14:textId="77777777" w:rsidR="00E72714" w:rsidRPr="00E72714" w:rsidRDefault="00E72714" w:rsidP="00E72714">
      <w:pPr>
        <w:spacing w:line="240" w:lineRule="auto"/>
        <w:rPr>
          <w:rFonts w:eastAsia="Times New Roman" w:cs="Arial"/>
          <w:sz w:val="24"/>
          <w:szCs w:val="24"/>
          <w:lang w:eastAsia="bg-BG"/>
        </w:rPr>
      </w:pPr>
      <w:r w:rsidRPr="00E72714">
        <w:rPr>
          <w:rFonts w:eastAsia="Times New Roman" w:cs="Arial"/>
          <w:i/>
          <w:iCs/>
          <w:color w:val="000000"/>
          <w:lang w:eastAsia="bg-BG"/>
        </w:rPr>
        <w:t>Начало на цикъла</w:t>
      </w:r>
    </w:p>
    <w:p w14:paraId="19AF8B58" w14:textId="77777777" w:rsidR="00E72714" w:rsidRPr="00E72714" w:rsidRDefault="00E72714" w:rsidP="00E72714">
      <w:pPr>
        <w:spacing w:line="240" w:lineRule="auto"/>
        <w:rPr>
          <w:rFonts w:eastAsia="Times New Roman" w:cs="Arial"/>
          <w:sz w:val="24"/>
          <w:szCs w:val="24"/>
          <w:lang w:eastAsia="bg-BG"/>
        </w:rPr>
      </w:pPr>
      <w:r w:rsidRPr="00E72714">
        <w:rPr>
          <w:rFonts w:eastAsia="Times New Roman" w:cs="Arial"/>
          <w:color w:val="000000"/>
          <w:lang w:eastAsia="bg-BG"/>
        </w:rPr>
        <w:t>За всички показания пациентът трябва да се мониторира преди прилагане на всяка доза за брой на тромбоцити и гранулоцити. Преди започване на цикъла пациентите трябва да имат абсолютен брой на гранулоцити поне 1500 (х 10</w:t>
      </w:r>
      <w:r w:rsidRPr="00E72714">
        <w:rPr>
          <w:rFonts w:eastAsia="Times New Roman" w:cs="Arial"/>
          <w:color w:val="000000"/>
          <w:vertAlign w:val="superscript"/>
          <w:lang w:eastAsia="bg-BG"/>
        </w:rPr>
        <w:t>6</w:t>
      </w:r>
      <w:r w:rsidRPr="00E72714">
        <w:rPr>
          <w:rFonts w:eastAsia="Times New Roman" w:cs="Arial"/>
          <w:color w:val="000000"/>
          <w:lang w:eastAsia="bg-BG"/>
        </w:rPr>
        <w:t>/</w:t>
      </w:r>
      <w:r w:rsidRPr="00E72714">
        <w:rPr>
          <w:rFonts w:eastAsia="Times New Roman" w:cs="Arial"/>
          <w:color w:val="000000"/>
          <w:lang w:val="en-US"/>
        </w:rPr>
        <w:t>l</w:t>
      </w:r>
      <w:r w:rsidRPr="00E72714">
        <w:rPr>
          <w:rFonts w:eastAsia="Times New Roman" w:cs="Arial"/>
          <w:color w:val="000000"/>
          <w:lang w:eastAsia="bg-BG"/>
        </w:rPr>
        <w:t>) и брой на тромбоцити 100 000 (х 10</w:t>
      </w:r>
      <w:r w:rsidRPr="00E72714">
        <w:rPr>
          <w:rFonts w:eastAsia="Times New Roman" w:cs="Arial"/>
          <w:color w:val="000000"/>
          <w:vertAlign w:val="superscript"/>
          <w:lang w:eastAsia="bg-BG"/>
        </w:rPr>
        <w:t>б</w:t>
      </w:r>
      <w:r w:rsidRPr="00E72714">
        <w:rPr>
          <w:rFonts w:eastAsia="Times New Roman" w:cs="Arial"/>
          <w:color w:val="000000"/>
          <w:lang w:eastAsia="bg-BG"/>
        </w:rPr>
        <w:t>/</w:t>
      </w:r>
      <w:r w:rsidRPr="00E72714">
        <w:rPr>
          <w:rFonts w:eastAsia="Times New Roman" w:cs="Arial"/>
          <w:color w:val="000000"/>
          <w:lang w:val="en-US"/>
        </w:rPr>
        <w:t>l</w:t>
      </w:r>
      <w:r w:rsidRPr="00E72714">
        <w:rPr>
          <w:rFonts w:eastAsia="Times New Roman" w:cs="Arial"/>
          <w:color w:val="000000"/>
          <w:lang w:eastAsia="bg-BG"/>
        </w:rPr>
        <w:t>).</w:t>
      </w:r>
    </w:p>
    <w:p w14:paraId="2AEE58C4" w14:textId="77777777" w:rsidR="00E72714" w:rsidRPr="00E72714" w:rsidRDefault="00E72714" w:rsidP="00E72714">
      <w:pPr>
        <w:spacing w:line="240" w:lineRule="auto"/>
        <w:rPr>
          <w:rFonts w:eastAsia="Times New Roman" w:cs="Arial"/>
          <w:i/>
          <w:iCs/>
          <w:color w:val="000000"/>
          <w:lang w:eastAsia="bg-BG"/>
        </w:rPr>
      </w:pPr>
    </w:p>
    <w:p w14:paraId="7E817C37" w14:textId="727FC67B" w:rsidR="00E72714" w:rsidRPr="00E72714" w:rsidRDefault="00E72714" w:rsidP="00E72714">
      <w:pPr>
        <w:spacing w:line="240" w:lineRule="auto"/>
        <w:rPr>
          <w:rFonts w:eastAsia="Times New Roman" w:cs="Arial"/>
          <w:sz w:val="24"/>
          <w:szCs w:val="24"/>
          <w:lang w:eastAsia="bg-BG"/>
        </w:rPr>
      </w:pPr>
      <w:r w:rsidRPr="00E72714">
        <w:rPr>
          <w:rFonts w:eastAsia="Times New Roman" w:cs="Arial"/>
          <w:i/>
          <w:iCs/>
          <w:color w:val="000000"/>
          <w:lang w:eastAsia="bg-BG"/>
        </w:rPr>
        <w:t>В рамките на цикъла</w:t>
      </w:r>
    </w:p>
    <w:p w14:paraId="4314318A" w14:textId="48875499" w:rsidR="00E72714" w:rsidRPr="00E72714" w:rsidRDefault="00E72714" w:rsidP="00E72714">
      <w:pPr>
        <w:rPr>
          <w:rFonts w:cs="Arial"/>
        </w:rPr>
      </w:pPr>
      <w:r w:rsidRPr="00E72714">
        <w:rPr>
          <w:rFonts w:eastAsia="Times New Roman" w:cs="Arial"/>
          <w:color w:val="000000"/>
          <w:lang w:eastAsia="bg-BG"/>
        </w:rPr>
        <w:t>Промени на дозата на гемцитабин в рамките на цикъла трябва да се правят съгласно следните таблици:</w:t>
      </w:r>
    </w:p>
    <w:p w14:paraId="6ACAF645" w14:textId="5BA6F39D" w:rsidR="0091385D" w:rsidRDefault="0091385D" w:rsidP="0091385D"/>
    <w:tbl>
      <w:tblPr>
        <w:tblStyle w:val="TableGrid"/>
        <w:tblW w:w="0" w:type="auto"/>
        <w:tblLook w:val="04A0" w:firstRow="1" w:lastRow="0" w:firstColumn="1" w:lastColumn="0" w:noHBand="0" w:noVBand="1"/>
      </w:tblPr>
      <w:tblGrid>
        <w:gridCol w:w="3166"/>
        <w:gridCol w:w="3167"/>
        <w:gridCol w:w="3167"/>
      </w:tblGrid>
      <w:tr w:rsidR="00E72714" w14:paraId="32CB33C3" w14:textId="77777777" w:rsidTr="00420761">
        <w:tc>
          <w:tcPr>
            <w:tcW w:w="9500" w:type="dxa"/>
            <w:gridSpan w:val="3"/>
          </w:tcPr>
          <w:p w14:paraId="359BBDC0" w14:textId="621ABA5E" w:rsidR="00E72714" w:rsidRPr="00E72714" w:rsidRDefault="00E72714" w:rsidP="00E72714">
            <w:pPr>
              <w:jc w:val="center"/>
              <w:rPr>
                <w:b/>
              </w:rPr>
            </w:pPr>
            <w:r w:rsidRPr="00E72714">
              <w:rPr>
                <w:b/>
                <w:bCs/>
              </w:rPr>
              <w:t xml:space="preserve">Промяна на дозата на гемцитабин в рамките на цикъла при карцином на пикочния </w:t>
            </w:r>
            <w:r w:rsidRPr="00E72714">
              <w:rPr>
                <w:b/>
                <w:bCs/>
              </w:rPr>
              <w:lastRenderedPageBreak/>
              <w:t>мехур, НДКБДК и карцином на панкреаса, прилаган като монотерапия или в комбинация с цисплатина</w:t>
            </w:r>
          </w:p>
        </w:tc>
      </w:tr>
      <w:tr w:rsidR="00E72714" w14:paraId="36357265" w14:textId="77777777" w:rsidTr="00E72714">
        <w:tc>
          <w:tcPr>
            <w:tcW w:w="3166" w:type="dxa"/>
          </w:tcPr>
          <w:p w14:paraId="388D7E7B" w14:textId="674A6C8D" w:rsidR="00E72714" w:rsidRDefault="00E72714" w:rsidP="00E72714">
            <w:r>
              <w:rPr>
                <w:b/>
                <w:bCs/>
              </w:rPr>
              <w:lastRenderedPageBreak/>
              <w:t>Абсолютен брой на гранулоцити (х 10</w:t>
            </w:r>
            <w:r>
              <w:rPr>
                <w:b/>
                <w:bCs/>
                <w:vertAlign w:val="superscript"/>
              </w:rPr>
              <w:t>6</w:t>
            </w:r>
            <w:r>
              <w:rPr>
                <w:b/>
                <w:bCs/>
              </w:rPr>
              <w:t>/1)</w:t>
            </w:r>
          </w:p>
        </w:tc>
        <w:tc>
          <w:tcPr>
            <w:tcW w:w="3167" w:type="dxa"/>
          </w:tcPr>
          <w:p w14:paraId="273A08D4" w14:textId="2D3358A2" w:rsidR="00E72714" w:rsidRDefault="00E72714" w:rsidP="00E72714">
            <w:r>
              <w:rPr>
                <w:b/>
                <w:bCs/>
              </w:rPr>
              <w:t>Брой на тромбоцити (х 10</w:t>
            </w:r>
            <w:r>
              <w:rPr>
                <w:b/>
                <w:bCs/>
                <w:vertAlign w:val="superscript"/>
              </w:rPr>
              <w:t>6</w:t>
            </w:r>
            <w:r>
              <w:rPr>
                <w:b/>
                <w:bCs/>
              </w:rPr>
              <w:t>/</w:t>
            </w:r>
            <w:r>
              <w:rPr>
                <w:b/>
                <w:bCs/>
                <w:lang w:val="en-US"/>
              </w:rPr>
              <w:t>l</w:t>
            </w:r>
            <w:r>
              <w:rPr>
                <w:b/>
                <w:bCs/>
              </w:rPr>
              <w:t>)</w:t>
            </w:r>
          </w:p>
        </w:tc>
        <w:tc>
          <w:tcPr>
            <w:tcW w:w="3167" w:type="dxa"/>
          </w:tcPr>
          <w:p w14:paraId="7871862D" w14:textId="25DBF88C" w:rsidR="00E72714" w:rsidRDefault="00E72714" w:rsidP="00E72714">
            <w:r>
              <w:rPr>
                <w:b/>
                <w:bCs/>
              </w:rPr>
              <w:t>Процент от стандартната доза на гемцитабин (%)</w:t>
            </w:r>
          </w:p>
        </w:tc>
      </w:tr>
      <w:tr w:rsidR="00E72714" w14:paraId="790C97CB" w14:textId="77777777" w:rsidTr="00E72714">
        <w:tc>
          <w:tcPr>
            <w:tcW w:w="3166" w:type="dxa"/>
          </w:tcPr>
          <w:p w14:paraId="3B7264E2" w14:textId="02DAE775" w:rsidR="00E72714" w:rsidRDefault="00E72714" w:rsidP="00E72714">
            <w:r>
              <w:t>&gt; 1 000</w:t>
            </w:r>
            <w:r>
              <w:tab/>
              <w:t>и</w:t>
            </w:r>
          </w:p>
        </w:tc>
        <w:tc>
          <w:tcPr>
            <w:tcW w:w="3167" w:type="dxa"/>
          </w:tcPr>
          <w:p w14:paraId="2E9503ED" w14:textId="22EE29C1" w:rsidR="00E72714" w:rsidRDefault="00E72714" w:rsidP="00E72714">
            <w:r>
              <w:t>&gt; 100 000</w:t>
            </w:r>
          </w:p>
        </w:tc>
        <w:tc>
          <w:tcPr>
            <w:tcW w:w="3167" w:type="dxa"/>
          </w:tcPr>
          <w:p w14:paraId="25C45C10" w14:textId="25C49813" w:rsidR="00E72714" w:rsidRDefault="00E72714" w:rsidP="00E72714">
            <w:r>
              <w:t>100</w:t>
            </w:r>
          </w:p>
        </w:tc>
      </w:tr>
      <w:tr w:rsidR="00E72714" w14:paraId="0EE6FC05" w14:textId="77777777" w:rsidTr="00E72714">
        <w:tc>
          <w:tcPr>
            <w:tcW w:w="3166" w:type="dxa"/>
          </w:tcPr>
          <w:p w14:paraId="7328399C" w14:textId="020ADBE9" w:rsidR="00E72714" w:rsidRDefault="00E72714" w:rsidP="00E72714">
            <w:r>
              <w:t>500-1 000</w:t>
            </w:r>
            <w:r>
              <w:tab/>
              <w:t>или</w:t>
            </w:r>
          </w:p>
        </w:tc>
        <w:tc>
          <w:tcPr>
            <w:tcW w:w="3167" w:type="dxa"/>
          </w:tcPr>
          <w:p w14:paraId="6937010B" w14:textId="75A3264D" w:rsidR="00E72714" w:rsidRDefault="00E72714" w:rsidP="00E72714">
            <w:r>
              <w:t>50 000-100 000</w:t>
            </w:r>
          </w:p>
        </w:tc>
        <w:tc>
          <w:tcPr>
            <w:tcW w:w="3167" w:type="dxa"/>
          </w:tcPr>
          <w:p w14:paraId="7E2FE812" w14:textId="0F013BB5" w:rsidR="00E72714" w:rsidRDefault="00E72714" w:rsidP="00E72714">
            <w:r>
              <w:t>75</w:t>
            </w:r>
          </w:p>
        </w:tc>
      </w:tr>
      <w:tr w:rsidR="00E72714" w14:paraId="3137C317" w14:textId="77777777" w:rsidTr="00E72714">
        <w:tc>
          <w:tcPr>
            <w:tcW w:w="3166" w:type="dxa"/>
          </w:tcPr>
          <w:p w14:paraId="4E5EFA7F" w14:textId="3D5C502B" w:rsidR="00E72714" w:rsidRDefault="00E72714" w:rsidP="00E72714">
            <w:r>
              <w:t>&lt;500</w:t>
            </w:r>
            <w:r>
              <w:tab/>
              <w:t>или</w:t>
            </w:r>
          </w:p>
        </w:tc>
        <w:tc>
          <w:tcPr>
            <w:tcW w:w="3167" w:type="dxa"/>
          </w:tcPr>
          <w:p w14:paraId="2CBCBA32" w14:textId="197C4B0E" w:rsidR="00E72714" w:rsidRDefault="00E72714" w:rsidP="00E72714">
            <w:r>
              <w:t>&lt;50 000</w:t>
            </w:r>
          </w:p>
        </w:tc>
        <w:tc>
          <w:tcPr>
            <w:tcW w:w="3167" w:type="dxa"/>
          </w:tcPr>
          <w:p w14:paraId="5F3FE4C2" w14:textId="50580BDC" w:rsidR="00E72714" w:rsidRDefault="00E72714" w:rsidP="00E72714">
            <w:r>
              <w:t>Пропускане на доза*</w:t>
            </w:r>
          </w:p>
        </w:tc>
      </w:tr>
    </w:tbl>
    <w:p w14:paraId="2EDCC21A" w14:textId="5D2F38D4" w:rsidR="00E72714" w:rsidRDefault="00E72714" w:rsidP="0091385D">
      <w:r>
        <w:t xml:space="preserve">* Пропуснатото лечение не се възстановява в рамките на цикъла преди абсолютният брой на гранулоцитите да достигне поне 500 </w:t>
      </w:r>
      <w:r>
        <w:rPr>
          <w:lang w:val="en-US"/>
        </w:rPr>
        <w:t>(x10</w:t>
      </w:r>
      <w:r>
        <w:rPr>
          <w:vertAlign w:val="superscript"/>
          <w:lang w:val="en-US"/>
        </w:rPr>
        <w:t>6</w:t>
      </w:r>
      <w:r>
        <w:t>/</w:t>
      </w:r>
      <w:r>
        <w:rPr>
          <w:lang w:val="en-US"/>
        </w:rPr>
        <w:t>l</w:t>
      </w:r>
      <w:r>
        <w:t>) и броят на тромбоцитите да достигне 50 000 (х10</w:t>
      </w:r>
      <w:r>
        <w:rPr>
          <w:vertAlign w:val="superscript"/>
        </w:rPr>
        <w:t>6</w:t>
      </w:r>
      <w:r>
        <w:t>/</w:t>
      </w:r>
      <w:r>
        <w:rPr>
          <w:lang w:val="en-US"/>
        </w:rPr>
        <w:t>l</w:t>
      </w:r>
      <w:r>
        <w:t>).</w:t>
      </w:r>
    </w:p>
    <w:p w14:paraId="15089880" w14:textId="77A3FA99" w:rsidR="00E72714" w:rsidRDefault="00E72714" w:rsidP="0091385D"/>
    <w:tbl>
      <w:tblPr>
        <w:tblStyle w:val="TableGrid"/>
        <w:tblW w:w="0" w:type="auto"/>
        <w:tblLook w:val="04A0" w:firstRow="1" w:lastRow="0" w:firstColumn="1" w:lastColumn="0" w:noHBand="0" w:noVBand="1"/>
      </w:tblPr>
      <w:tblGrid>
        <w:gridCol w:w="3166"/>
        <w:gridCol w:w="3167"/>
        <w:gridCol w:w="3167"/>
      </w:tblGrid>
      <w:tr w:rsidR="00E72714" w14:paraId="4041B67D" w14:textId="77777777" w:rsidTr="00420761">
        <w:tc>
          <w:tcPr>
            <w:tcW w:w="9500" w:type="dxa"/>
            <w:gridSpan w:val="3"/>
          </w:tcPr>
          <w:p w14:paraId="04EE2D04" w14:textId="7E0E275A" w:rsidR="00E72714" w:rsidRDefault="00E72714" w:rsidP="00E72714">
            <w:pPr>
              <w:jc w:val="center"/>
            </w:pPr>
            <w:r>
              <w:rPr>
                <w:b/>
                <w:bCs/>
              </w:rPr>
              <w:t>Промяна на дозата па гемцитабин в рамките на цикъла за лечение на карцином на млечната жлеза, когато се прилага в комбинация с паклитаксел</w:t>
            </w:r>
          </w:p>
        </w:tc>
      </w:tr>
      <w:tr w:rsidR="00E72714" w14:paraId="3D49748D" w14:textId="77777777" w:rsidTr="00E72714">
        <w:tc>
          <w:tcPr>
            <w:tcW w:w="3166" w:type="dxa"/>
          </w:tcPr>
          <w:p w14:paraId="3402B08E" w14:textId="7F37D578" w:rsidR="00E72714" w:rsidRDefault="00E72714" w:rsidP="00E72714">
            <w:r>
              <w:rPr>
                <w:b/>
                <w:bCs/>
              </w:rPr>
              <w:t>Абсолютен брой на гранулоцити (х10</w:t>
            </w:r>
            <w:r>
              <w:rPr>
                <w:b/>
                <w:bCs/>
                <w:vertAlign w:val="superscript"/>
              </w:rPr>
              <w:t>6</w:t>
            </w:r>
            <w:r>
              <w:rPr>
                <w:b/>
                <w:bCs/>
              </w:rPr>
              <w:t>/</w:t>
            </w:r>
            <w:r>
              <w:rPr>
                <w:b/>
                <w:bCs/>
                <w:lang w:val="en-US"/>
              </w:rPr>
              <w:t>l</w:t>
            </w:r>
            <w:r>
              <w:rPr>
                <w:b/>
                <w:bCs/>
              </w:rPr>
              <w:t>)</w:t>
            </w:r>
          </w:p>
        </w:tc>
        <w:tc>
          <w:tcPr>
            <w:tcW w:w="3167" w:type="dxa"/>
          </w:tcPr>
          <w:p w14:paraId="663BF493" w14:textId="1C055C59" w:rsidR="00E72714" w:rsidRDefault="00E72714" w:rsidP="00E72714">
            <w:r>
              <w:rPr>
                <w:b/>
                <w:bCs/>
              </w:rPr>
              <w:t>Брой на тромбоцити (х 10/</w:t>
            </w:r>
            <w:r>
              <w:rPr>
                <w:b/>
                <w:bCs/>
                <w:lang w:val="en-US"/>
              </w:rPr>
              <w:t>l</w:t>
            </w:r>
            <w:r>
              <w:rPr>
                <w:b/>
                <w:bCs/>
              </w:rPr>
              <w:t>)</w:t>
            </w:r>
          </w:p>
        </w:tc>
        <w:tc>
          <w:tcPr>
            <w:tcW w:w="3167" w:type="dxa"/>
          </w:tcPr>
          <w:p w14:paraId="2522A610" w14:textId="14B490A3" w:rsidR="00E72714" w:rsidRDefault="00E72714" w:rsidP="00E72714">
            <w:r>
              <w:rPr>
                <w:b/>
                <w:bCs/>
              </w:rPr>
              <w:t>Процент от стандартната доза на гемцитабин (%)</w:t>
            </w:r>
          </w:p>
        </w:tc>
      </w:tr>
      <w:tr w:rsidR="00E72714" w14:paraId="4545506D" w14:textId="77777777" w:rsidTr="00E72714">
        <w:tc>
          <w:tcPr>
            <w:tcW w:w="3166" w:type="dxa"/>
          </w:tcPr>
          <w:p w14:paraId="46091CAA" w14:textId="41C9FBB9" w:rsidR="00E72714" w:rsidRDefault="00E72714" w:rsidP="00E72714">
            <w:r>
              <w:t>≥</w:t>
            </w:r>
            <w:r>
              <w:rPr>
                <w:lang w:val="en-US"/>
              </w:rPr>
              <w:t xml:space="preserve"> </w:t>
            </w:r>
            <w:r>
              <w:t>1200</w:t>
            </w:r>
          </w:p>
        </w:tc>
        <w:tc>
          <w:tcPr>
            <w:tcW w:w="3167" w:type="dxa"/>
          </w:tcPr>
          <w:p w14:paraId="669D7E9F" w14:textId="7CCAB7ED" w:rsidR="00E72714" w:rsidRDefault="00E72714" w:rsidP="00E72714">
            <w:r>
              <w:t>и</w:t>
            </w:r>
          </w:p>
        </w:tc>
        <w:tc>
          <w:tcPr>
            <w:tcW w:w="3167" w:type="dxa"/>
          </w:tcPr>
          <w:p w14:paraId="430F83EF" w14:textId="07FF097E" w:rsidR="00E72714" w:rsidRDefault="00E72714" w:rsidP="00E72714">
            <w:r>
              <w:t>&gt;75 000</w:t>
            </w:r>
          </w:p>
        </w:tc>
      </w:tr>
      <w:tr w:rsidR="00E72714" w14:paraId="1F500C2E" w14:textId="77777777" w:rsidTr="00E72714">
        <w:tc>
          <w:tcPr>
            <w:tcW w:w="3166" w:type="dxa"/>
          </w:tcPr>
          <w:p w14:paraId="0F2B2EF5" w14:textId="5E1BED21" w:rsidR="00E72714" w:rsidRDefault="00E72714" w:rsidP="00E72714">
            <w:r>
              <w:t>1 000- &lt;1 200</w:t>
            </w:r>
          </w:p>
        </w:tc>
        <w:tc>
          <w:tcPr>
            <w:tcW w:w="3167" w:type="dxa"/>
          </w:tcPr>
          <w:p w14:paraId="06B519D1" w14:textId="7064FA54" w:rsidR="00E72714" w:rsidRDefault="00E72714" w:rsidP="00E72714">
            <w:r>
              <w:t>или</w:t>
            </w:r>
          </w:p>
        </w:tc>
        <w:tc>
          <w:tcPr>
            <w:tcW w:w="3167" w:type="dxa"/>
          </w:tcPr>
          <w:p w14:paraId="6CAC0BDD" w14:textId="6CE46592" w:rsidR="00E72714" w:rsidRDefault="00E72714" w:rsidP="00E72714">
            <w:r>
              <w:t>50 000-75 000</w:t>
            </w:r>
          </w:p>
        </w:tc>
      </w:tr>
      <w:tr w:rsidR="00E72714" w14:paraId="17975684" w14:textId="77777777" w:rsidTr="00E72714">
        <w:tc>
          <w:tcPr>
            <w:tcW w:w="3166" w:type="dxa"/>
          </w:tcPr>
          <w:p w14:paraId="5CF013F4" w14:textId="11197207" w:rsidR="00E72714" w:rsidRDefault="00E72714" w:rsidP="00E72714">
            <w:r>
              <w:t>700- &lt;1 000</w:t>
            </w:r>
          </w:p>
        </w:tc>
        <w:tc>
          <w:tcPr>
            <w:tcW w:w="3167" w:type="dxa"/>
          </w:tcPr>
          <w:p w14:paraId="013A7048" w14:textId="18381DE2" w:rsidR="00E72714" w:rsidRDefault="00E72714" w:rsidP="00E72714">
            <w:r>
              <w:t>и</w:t>
            </w:r>
          </w:p>
        </w:tc>
        <w:tc>
          <w:tcPr>
            <w:tcW w:w="3167" w:type="dxa"/>
          </w:tcPr>
          <w:p w14:paraId="39F21834" w14:textId="3BDF2871" w:rsidR="00E72714" w:rsidRDefault="00E72714" w:rsidP="00E72714">
            <w:r>
              <w:t>≥ 50 000</w:t>
            </w:r>
          </w:p>
        </w:tc>
      </w:tr>
      <w:tr w:rsidR="00E72714" w14:paraId="5C37802C" w14:textId="77777777" w:rsidTr="00E72714">
        <w:tc>
          <w:tcPr>
            <w:tcW w:w="3166" w:type="dxa"/>
          </w:tcPr>
          <w:p w14:paraId="7454F2BB" w14:textId="7B1F3982" w:rsidR="00E72714" w:rsidRDefault="00E72714" w:rsidP="00E72714">
            <w:r>
              <w:t>&lt;700</w:t>
            </w:r>
          </w:p>
        </w:tc>
        <w:tc>
          <w:tcPr>
            <w:tcW w:w="3167" w:type="dxa"/>
          </w:tcPr>
          <w:p w14:paraId="79F0EF89" w14:textId="77EE34D9" w:rsidR="00E72714" w:rsidRDefault="00E72714" w:rsidP="00E72714">
            <w:r>
              <w:t>или</w:t>
            </w:r>
          </w:p>
        </w:tc>
        <w:tc>
          <w:tcPr>
            <w:tcW w:w="3167" w:type="dxa"/>
          </w:tcPr>
          <w:p w14:paraId="2B22417F" w14:textId="086E5628" w:rsidR="00E72714" w:rsidRDefault="00E72714" w:rsidP="00E72714">
            <w:r>
              <w:t>&lt;50 000</w:t>
            </w:r>
          </w:p>
        </w:tc>
      </w:tr>
    </w:tbl>
    <w:p w14:paraId="328AE1FD" w14:textId="2C4C70E4" w:rsidR="00E72714" w:rsidRDefault="00E72714" w:rsidP="0091385D">
      <w:r>
        <w:t>* Пропуснатото лечение не се възстановява в рамките на цикъла. Лечението започва на 1-ия ден от новия цикъл след като броят на гранулоцитите достигне поне 1 500 (х10</w:t>
      </w:r>
      <w:r>
        <w:rPr>
          <w:vertAlign w:val="superscript"/>
        </w:rPr>
        <w:t>6</w:t>
      </w:r>
      <w:r>
        <w:t>/</w:t>
      </w:r>
      <w:r>
        <w:rPr>
          <w:lang w:val="en-US"/>
        </w:rPr>
        <w:t>l</w:t>
      </w:r>
      <w:r>
        <w:t>), а броят на тромбоцитите достигне 100 000 (</w:t>
      </w:r>
      <w:r>
        <w:rPr>
          <w:lang w:val="en-US"/>
        </w:rPr>
        <w:t>x</w:t>
      </w:r>
      <w:r>
        <w:t>10</w:t>
      </w:r>
      <w:r>
        <w:rPr>
          <w:vertAlign w:val="superscript"/>
        </w:rPr>
        <w:t>6</w:t>
      </w:r>
      <w:r>
        <w:t>/</w:t>
      </w:r>
      <w:r>
        <w:rPr>
          <w:lang w:val="en-US"/>
        </w:rPr>
        <w:t>l</w:t>
      </w:r>
      <w:r>
        <w:t>).</w:t>
      </w:r>
    </w:p>
    <w:p w14:paraId="188C5BC4" w14:textId="5BA92859" w:rsidR="00E72714" w:rsidRDefault="00E72714" w:rsidP="0091385D"/>
    <w:tbl>
      <w:tblPr>
        <w:tblStyle w:val="TableGrid"/>
        <w:tblW w:w="0" w:type="auto"/>
        <w:tblLook w:val="04A0" w:firstRow="1" w:lastRow="0" w:firstColumn="1" w:lastColumn="0" w:noHBand="0" w:noVBand="1"/>
      </w:tblPr>
      <w:tblGrid>
        <w:gridCol w:w="3166"/>
        <w:gridCol w:w="3167"/>
        <w:gridCol w:w="3167"/>
      </w:tblGrid>
      <w:tr w:rsidR="00E72714" w14:paraId="408E986D" w14:textId="77777777" w:rsidTr="00420761">
        <w:tc>
          <w:tcPr>
            <w:tcW w:w="9500" w:type="dxa"/>
            <w:gridSpan w:val="3"/>
          </w:tcPr>
          <w:p w14:paraId="619587FB" w14:textId="6B4513A2" w:rsidR="00E72714" w:rsidRDefault="00E72714" w:rsidP="00E72714">
            <w:pPr>
              <w:jc w:val="center"/>
            </w:pPr>
            <w:r>
              <w:rPr>
                <w:b/>
                <w:bCs/>
              </w:rPr>
              <w:t>Промяна на дозата гемцитабин в рамките на цикъла при лечение на карцином на яйчника, когато се прилага в комбинация с карбоплатина</w:t>
            </w:r>
          </w:p>
        </w:tc>
      </w:tr>
      <w:tr w:rsidR="00E72714" w14:paraId="3C986AED" w14:textId="77777777" w:rsidTr="00E72714">
        <w:tc>
          <w:tcPr>
            <w:tcW w:w="3166" w:type="dxa"/>
          </w:tcPr>
          <w:p w14:paraId="397A6B2F" w14:textId="72900CB1" w:rsidR="00E72714" w:rsidRDefault="00E72714" w:rsidP="00E72714">
            <w:r>
              <w:rPr>
                <w:b/>
                <w:bCs/>
              </w:rPr>
              <w:t>Абсолютен брой на гранулоцити (х 10</w:t>
            </w:r>
            <w:r>
              <w:rPr>
                <w:b/>
                <w:bCs/>
                <w:vertAlign w:val="superscript"/>
              </w:rPr>
              <w:t>6</w:t>
            </w:r>
            <w:r>
              <w:rPr>
                <w:b/>
                <w:bCs/>
              </w:rPr>
              <w:t>/</w:t>
            </w:r>
            <w:r>
              <w:rPr>
                <w:b/>
                <w:bCs/>
                <w:lang w:val="en-US"/>
              </w:rPr>
              <w:t>l</w:t>
            </w:r>
            <w:r>
              <w:rPr>
                <w:b/>
                <w:bCs/>
              </w:rPr>
              <w:t>)</w:t>
            </w:r>
          </w:p>
        </w:tc>
        <w:tc>
          <w:tcPr>
            <w:tcW w:w="3167" w:type="dxa"/>
          </w:tcPr>
          <w:p w14:paraId="286EBEE5" w14:textId="1B43DCBC" w:rsidR="00E72714" w:rsidRDefault="00E72714" w:rsidP="00E72714">
            <w:r>
              <w:rPr>
                <w:b/>
                <w:bCs/>
              </w:rPr>
              <w:t>Брой на тромбоцити (х 10</w:t>
            </w:r>
            <w:r>
              <w:rPr>
                <w:b/>
                <w:bCs/>
                <w:vertAlign w:val="superscript"/>
              </w:rPr>
              <w:t>6</w:t>
            </w:r>
            <w:r>
              <w:rPr>
                <w:b/>
                <w:bCs/>
              </w:rPr>
              <w:t>/</w:t>
            </w:r>
            <w:r>
              <w:rPr>
                <w:b/>
                <w:bCs/>
                <w:lang w:val="en-US"/>
              </w:rPr>
              <w:t>l</w:t>
            </w:r>
            <w:r>
              <w:rPr>
                <w:b/>
                <w:bCs/>
              </w:rPr>
              <w:t>)</w:t>
            </w:r>
          </w:p>
        </w:tc>
        <w:tc>
          <w:tcPr>
            <w:tcW w:w="3167" w:type="dxa"/>
          </w:tcPr>
          <w:p w14:paraId="3B9E2258" w14:textId="1577EAA5" w:rsidR="00E72714" w:rsidRDefault="00E72714" w:rsidP="00E72714">
            <w:r>
              <w:rPr>
                <w:b/>
                <w:bCs/>
              </w:rPr>
              <w:t>Процент от стандартната доза на гемцитабин (%)</w:t>
            </w:r>
          </w:p>
        </w:tc>
      </w:tr>
      <w:tr w:rsidR="00E72714" w14:paraId="27F5FFC0" w14:textId="77777777" w:rsidTr="00E72714">
        <w:tc>
          <w:tcPr>
            <w:tcW w:w="3166" w:type="dxa"/>
          </w:tcPr>
          <w:p w14:paraId="3E4AE196" w14:textId="34718752" w:rsidR="00E72714" w:rsidRDefault="00E72714" w:rsidP="00E72714">
            <w:r>
              <w:t>&gt; 1 500</w:t>
            </w:r>
            <w:r>
              <w:tab/>
              <w:t>и</w:t>
            </w:r>
          </w:p>
        </w:tc>
        <w:tc>
          <w:tcPr>
            <w:tcW w:w="3167" w:type="dxa"/>
          </w:tcPr>
          <w:p w14:paraId="59BD0903" w14:textId="0261244B" w:rsidR="00E72714" w:rsidRDefault="00E72714" w:rsidP="00E72714">
            <w:r>
              <w:t>≥ 100 000</w:t>
            </w:r>
          </w:p>
        </w:tc>
        <w:tc>
          <w:tcPr>
            <w:tcW w:w="3167" w:type="dxa"/>
          </w:tcPr>
          <w:p w14:paraId="440FA9E8" w14:textId="63B9FA01" w:rsidR="00E72714" w:rsidRDefault="00E72714" w:rsidP="00E72714">
            <w:r>
              <w:t>100</w:t>
            </w:r>
          </w:p>
        </w:tc>
      </w:tr>
      <w:tr w:rsidR="00E72714" w14:paraId="6C887866" w14:textId="77777777" w:rsidTr="00E72714">
        <w:tc>
          <w:tcPr>
            <w:tcW w:w="3166" w:type="dxa"/>
          </w:tcPr>
          <w:p w14:paraId="236133C1" w14:textId="70B8F15F" w:rsidR="00E72714" w:rsidRDefault="00E72714" w:rsidP="00E72714">
            <w:r>
              <w:t>1000-1 500 или</w:t>
            </w:r>
          </w:p>
        </w:tc>
        <w:tc>
          <w:tcPr>
            <w:tcW w:w="3167" w:type="dxa"/>
          </w:tcPr>
          <w:p w14:paraId="630B4622" w14:textId="0210C7C5" w:rsidR="00E72714" w:rsidRDefault="00E72714" w:rsidP="00E72714">
            <w:r>
              <w:t>75 000-100 000</w:t>
            </w:r>
          </w:p>
        </w:tc>
        <w:tc>
          <w:tcPr>
            <w:tcW w:w="3167" w:type="dxa"/>
          </w:tcPr>
          <w:p w14:paraId="428E6A15" w14:textId="58CC8697" w:rsidR="00E72714" w:rsidRDefault="00E72714" w:rsidP="00E72714">
            <w:r>
              <w:t>50</w:t>
            </w:r>
          </w:p>
        </w:tc>
      </w:tr>
      <w:tr w:rsidR="00E72714" w14:paraId="1F1DE7E9" w14:textId="77777777" w:rsidTr="00E72714">
        <w:tc>
          <w:tcPr>
            <w:tcW w:w="3166" w:type="dxa"/>
          </w:tcPr>
          <w:p w14:paraId="4A7FD9EA" w14:textId="39542746" w:rsidR="00E72714" w:rsidRDefault="00E72714" w:rsidP="00E72714">
            <w:r>
              <w:t>&lt;1 000</w:t>
            </w:r>
            <w:r>
              <w:tab/>
              <w:t>или</w:t>
            </w:r>
          </w:p>
        </w:tc>
        <w:tc>
          <w:tcPr>
            <w:tcW w:w="3167" w:type="dxa"/>
          </w:tcPr>
          <w:p w14:paraId="25D7BF66" w14:textId="6C737FCB" w:rsidR="00E72714" w:rsidRDefault="00E72714" w:rsidP="00E72714">
            <w:r>
              <w:t>&lt; 75 000</w:t>
            </w:r>
          </w:p>
        </w:tc>
        <w:tc>
          <w:tcPr>
            <w:tcW w:w="3167" w:type="dxa"/>
          </w:tcPr>
          <w:p w14:paraId="60D67A47" w14:textId="25FA8702" w:rsidR="00E72714" w:rsidRDefault="00E72714" w:rsidP="00E72714">
            <w:r>
              <w:t>Пропускане на доза *</w:t>
            </w:r>
          </w:p>
        </w:tc>
      </w:tr>
    </w:tbl>
    <w:p w14:paraId="037DB660" w14:textId="79BD6789" w:rsidR="00E72714" w:rsidRDefault="00E72714" w:rsidP="0091385D">
      <w:r>
        <w:t>* Пропуснатото лечение не се възстановява в рамките на цикъла. Лечението започва на 1-ия ден от новия цикъл след като броят на гранулоцитите достигне поне 1 500 (х10</w:t>
      </w:r>
      <w:r>
        <w:rPr>
          <w:vertAlign w:val="superscript"/>
        </w:rPr>
        <w:t>6</w:t>
      </w:r>
      <w:r>
        <w:t>/</w:t>
      </w:r>
      <w:r>
        <w:rPr>
          <w:lang w:val="en-US"/>
        </w:rPr>
        <w:t>l</w:t>
      </w:r>
      <w:r>
        <w:t>), а броят на тромбоцитите достигне 100 000 (х10</w:t>
      </w:r>
      <w:r>
        <w:rPr>
          <w:vertAlign w:val="superscript"/>
        </w:rPr>
        <w:t>6</w:t>
      </w:r>
      <w:r>
        <w:t>/</w:t>
      </w:r>
      <w:r>
        <w:rPr>
          <w:lang w:val="en-US"/>
        </w:rPr>
        <w:t>l</w:t>
      </w:r>
      <w:r>
        <w:t>).</w:t>
      </w:r>
    </w:p>
    <w:p w14:paraId="24A4D005" w14:textId="000894CC" w:rsidR="00E72714" w:rsidRDefault="00E72714" w:rsidP="0091385D"/>
    <w:p w14:paraId="410FF321" w14:textId="77777777" w:rsidR="00E72714" w:rsidRPr="00E72714" w:rsidRDefault="00E72714" w:rsidP="00E72714">
      <w:pPr>
        <w:spacing w:line="240" w:lineRule="auto"/>
        <w:rPr>
          <w:rFonts w:eastAsia="Times New Roman" w:cs="Arial"/>
          <w:sz w:val="24"/>
          <w:szCs w:val="24"/>
          <w:lang w:eastAsia="bg-BG"/>
        </w:rPr>
      </w:pPr>
      <w:r w:rsidRPr="00E72714">
        <w:rPr>
          <w:rFonts w:eastAsia="Times New Roman" w:cs="Arial"/>
          <w:i/>
          <w:iCs/>
          <w:color w:val="000000"/>
          <w:u w:val="single"/>
          <w:lang w:eastAsia="bg-BG"/>
        </w:rPr>
        <w:t>Промяна на дозата поради хематологична токсичност в следващите цикли, за всички показания</w:t>
      </w:r>
    </w:p>
    <w:p w14:paraId="1BEF045E" w14:textId="48E7B4CA" w:rsidR="00E72714" w:rsidRPr="00E72714" w:rsidRDefault="00E72714" w:rsidP="00E72714">
      <w:pPr>
        <w:spacing w:line="240" w:lineRule="auto"/>
        <w:rPr>
          <w:rFonts w:eastAsia="Times New Roman" w:cs="Arial"/>
          <w:color w:val="000000"/>
          <w:lang w:eastAsia="bg-BG"/>
        </w:rPr>
      </w:pPr>
      <w:r w:rsidRPr="00E72714">
        <w:rPr>
          <w:rFonts w:eastAsia="Times New Roman" w:cs="Arial"/>
          <w:color w:val="000000"/>
          <w:lang w:eastAsia="bg-BG"/>
        </w:rPr>
        <w:t>Дозата гемцитабин трябва да се намали до 75% от началната доза на първоначалния цикъл, в случай на проява на хематологична токсичност:</w:t>
      </w:r>
    </w:p>
    <w:p w14:paraId="7C0F961A" w14:textId="77777777" w:rsidR="00E72714" w:rsidRPr="00E72714" w:rsidRDefault="00E72714" w:rsidP="00E72714">
      <w:pPr>
        <w:spacing w:line="240" w:lineRule="auto"/>
        <w:rPr>
          <w:rFonts w:eastAsia="Times New Roman" w:cs="Arial"/>
          <w:sz w:val="24"/>
          <w:szCs w:val="24"/>
          <w:lang w:eastAsia="bg-BG"/>
        </w:rPr>
      </w:pPr>
    </w:p>
    <w:p w14:paraId="346AD269" w14:textId="77777777" w:rsidR="00E72714" w:rsidRDefault="00E72714" w:rsidP="00D8509D">
      <w:pPr>
        <w:pStyle w:val="ListParagraph"/>
        <w:numPr>
          <w:ilvl w:val="0"/>
          <w:numId w:val="1"/>
        </w:numPr>
        <w:spacing w:line="240" w:lineRule="auto"/>
        <w:rPr>
          <w:rFonts w:eastAsia="Times New Roman" w:cs="Arial"/>
          <w:color w:val="000000"/>
          <w:lang w:eastAsia="bg-BG"/>
        </w:rPr>
      </w:pPr>
      <w:r w:rsidRPr="00E72714">
        <w:rPr>
          <w:rFonts w:eastAsia="Times New Roman" w:cs="Arial"/>
          <w:color w:val="000000"/>
          <w:lang w:eastAsia="bg-BG"/>
        </w:rPr>
        <w:t>абсолютен брой на гранулоцитите &lt; 500 х 10</w:t>
      </w:r>
      <w:r w:rsidRPr="00E72714">
        <w:rPr>
          <w:rFonts w:eastAsia="Times New Roman" w:cs="Arial"/>
          <w:color w:val="000000"/>
          <w:vertAlign w:val="superscript"/>
          <w:lang w:eastAsia="bg-BG"/>
        </w:rPr>
        <w:t>6</w:t>
      </w:r>
      <w:r w:rsidRPr="00E72714">
        <w:rPr>
          <w:rFonts w:eastAsia="Times New Roman" w:cs="Arial"/>
          <w:color w:val="000000"/>
          <w:lang w:eastAsia="bg-BG"/>
        </w:rPr>
        <w:t>/</w:t>
      </w:r>
      <w:r w:rsidRPr="00E72714">
        <w:rPr>
          <w:rFonts w:eastAsia="Times New Roman" w:cs="Arial"/>
          <w:color w:val="000000"/>
          <w:lang w:val="en-US"/>
        </w:rPr>
        <w:t>l</w:t>
      </w:r>
      <w:r w:rsidRPr="00E72714">
        <w:rPr>
          <w:rFonts w:eastAsia="Times New Roman" w:cs="Arial"/>
          <w:color w:val="000000"/>
          <w:lang w:eastAsia="bg-BG"/>
        </w:rPr>
        <w:t xml:space="preserve"> в продължение на над 5 дни</w:t>
      </w:r>
    </w:p>
    <w:p w14:paraId="39E95C61" w14:textId="77777777" w:rsidR="00E72714" w:rsidRDefault="00E72714" w:rsidP="00D8509D">
      <w:pPr>
        <w:pStyle w:val="ListParagraph"/>
        <w:numPr>
          <w:ilvl w:val="0"/>
          <w:numId w:val="1"/>
        </w:numPr>
        <w:spacing w:line="240" w:lineRule="auto"/>
        <w:rPr>
          <w:rFonts w:eastAsia="Times New Roman" w:cs="Arial"/>
          <w:color w:val="000000"/>
          <w:lang w:eastAsia="bg-BG"/>
        </w:rPr>
      </w:pPr>
      <w:r w:rsidRPr="00E72714">
        <w:rPr>
          <w:rFonts w:eastAsia="Times New Roman" w:cs="Arial"/>
          <w:color w:val="000000"/>
          <w:lang w:eastAsia="bg-BG"/>
        </w:rPr>
        <w:t>абсолютен брой на гранулоцитите &lt; 100 х 10</w:t>
      </w:r>
      <w:r w:rsidRPr="00E72714">
        <w:rPr>
          <w:rFonts w:eastAsia="Times New Roman" w:cs="Arial"/>
          <w:color w:val="000000"/>
          <w:vertAlign w:val="superscript"/>
          <w:lang w:eastAsia="bg-BG"/>
        </w:rPr>
        <w:t>6</w:t>
      </w:r>
      <w:r w:rsidRPr="00E72714">
        <w:rPr>
          <w:rFonts w:eastAsia="Times New Roman" w:cs="Arial"/>
          <w:color w:val="000000"/>
          <w:lang w:eastAsia="bg-BG"/>
        </w:rPr>
        <w:t>/</w:t>
      </w:r>
      <w:r w:rsidRPr="00E72714">
        <w:rPr>
          <w:rFonts w:eastAsia="Times New Roman" w:cs="Arial"/>
          <w:color w:val="000000"/>
          <w:lang w:val="en-US"/>
        </w:rPr>
        <w:t>l</w:t>
      </w:r>
      <w:r w:rsidRPr="00E72714">
        <w:rPr>
          <w:rFonts w:eastAsia="Times New Roman" w:cs="Arial"/>
          <w:color w:val="000000"/>
          <w:lang w:eastAsia="bg-BG"/>
        </w:rPr>
        <w:t xml:space="preserve"> в продължение на над 3 дни</w:t>
      </w:r>
    </w:p>
    <w:p w14:paraId="146D5E84" w14:textId="77777777" w:rsidR="00E72714" w:rsidRDefault="00E72714" w:rsidP="00D8509D">
      <w:pPr>
        <w:pStyle w:val="ListParagraph"/>
        <w:numPr>
          <w:ilvl w:val="0"/>
          <w:numId w:val="1"/>
        </w:numPr>
        <w:spacing w:line="240" w:lineRule="auto"/>
        <w:rPr>
          <w:rFonts w:eastAsia="Times New Roman" w:cs="Arial"/>
          <w:color w:val="000000"/>
          <w:lang w:eastAsia="bg-BG"/>
        </w:rPr>
      </w:pPr>
      <w:r w:rsidRPr="00E72714">
        <w:rPr>
          <w:rFonts w:eastAsia="Times New Roman" w:cs="Arial"/>
          <w:color w:val="000000"/>
          <w:lang w:eastAsia="bg-BG"/>
        </w:rPr>
        <w:t>фебрилна неутропения</w:t>
      </w:r>
    </w:p>
    <w:p w14:paraId="497EC760" w14:textId="77777777" w:rsidR="00E72714" w:rsidRDefault="00E72714" w:rsidP="00D8509D">
      <w:pPr>
        <w:pStyle w:val="ListParagraph"/>
        <w:numPr>
          <w:ilvl w:val="0"/>
          <w:numId w:val="1"/>
        </w:numPr>
        <w:spacing w:line="240" w:lineRule="auto"/>
        <w:rPr>
          <w:rFonts w:eastAsia="Times New Roman" w:cs="Arial"/>
          <w:color w:val="000000"/>
          <w:lang w:eastAsia="bg-BG"/>
        </w:rPr>
      </w:pPr>
      <w:r w:rsidRPr="00E72714">
        <w:rPr>
          <w:rFonts w:eastAsia="Times New Roman" w:cs="Arial"/>
          <w:color w:val="000000"/>
          <w:lang w:eastAsia="bg-BG"/>
        </w:rPr>
        <w:t>тромбоцити &lt; 25 000 х 10</w:t>
      </w:r>
      <w:r w:rsidRPr="00E72714">
        <w:rPr>
          <w:rFonts w:eastAsia="Times New Roman" w:cs="Arial"/>
          <w:color w:val="000000"/>
          <w:vertAlign w:val="superscript"/>
          <w:lang w:eastAsia="bg-BG"/>
        </w:rPr>
        <w:t>6</w:t>
      </w:r>
      <w:r w:rsidRPr="00E72714">
        <w:rPr>
          <w:rFonts w:eastAsia="Times New Roman" w:cs="Arial"/>
          <w:color w:val="000000"/>
          <w:lang w:eastAsia="bg-BG"/>
        </w:rPr>
        <w:t>/1</w:t>
      </w:r>
    </w:p>
    <w:p w14:paraId="5683A253" w14:textId="78E377FB" w:rsidR="00E72714" w:rsidRPr="00E72714" w:rsidRDefault="00E72714" w:rsidP="00D8509D">
      <w:pPr>
        <w:pStyle w:val="ListParagraph"/>
        <w:numPr>
          <w:ilvl w:val="0"/>
          <w:numId w:val="1"/>
        </w:numPr>
        <w:spacing w:line="240" w:lineRule="auto"/>
        <w:rPr>
          <w:rFonts w:eastAsia="Times New Roman" w:cs="Arial"/>
          <w:color w:val="000000"/>
          <w:lang w:eastAsia="bg-BG"/>
        </w:rPr>
      </w:pPr>
      <w:r w:rsidRPr="00E72714">
        <w:rPr>
          <w:rFonts w:eastAsia="Times New Roman" w:cs="Arial"/>
          <w:color w:val="000000"/>
          <w:lang w:eastAsia="bg-BG"/>
        </w:rPr>
        <w:t>забавяне на цикъла с повече от 1 седмица поради токсичност</w:t>
      </w:r>
    </w:p>
    <w:p w14:paraId="202F128F" w14:textId="77777777" w:rsidR="00E72714" w:rsidRPr="00E72714" w:rsidRDefault="00E72714" w:rsidP="00E72714">
      <w:pPr>
        <w:spacing w:line="240" w:lineRule="auto"/>
        <w:rPr>
          <w:rFonts w:eastAsia="Times New Roman" w:cs="Arial"/>
          <w:color w:val="000000"/>
          <w:u w:val="single"/>
          <w:lang w:eastAsia="bg-BG"/>
        </w:rPr>
      </w:pPr>
    </w:p>
    <w:p w14:paraId="12F74124" w14:textId="46E37C94" w:rsidR="00E72714" w:rsidRPr="00D8509D" w:rsidRDefault="00E72714" w:rsidP="00D8509D">
      <w:pPr>
        <w:pStyle w:val="Heading3"/>
        <w:rPr>
          <w:rFonts w:eastAsia="Times New Roman"/>
          <w:u w:val="single"/>
          <w:lang w:eastAsia="bg-BG"/>
        </w:rPr>
      </w:pPr>
      <w:r w:rsidRPr="00D8509D">
        <w:rPr>
          <w:rFonts w:eastAsia="Times New Roman"/>
          <w:u w:val="single"/>
          <w:lang w:eastAsia="bg-BG"/>
        </w:rPr>
        <w:lastRenderedPageBreak/>
        <w:t>Начин на приложение</w:t>
      </w:r>
    </w:p>
    <w:p w14:paraId="50F5BBB0" w14:textId="77777777" w:rsidR="00E72714" w:rsidRPr="00E72714" w:rsidRDefault="00E72714" w:rsidP="00E72714">
      <w:pPr>
        <w:spacing w:line="240" w:lineRule="auto"/>
        <w:rPr>
          <w:rFonts w:eastAsia="Times New Roman" w:cs="Arial"/>
          <w:sz w:val="24"/>
          <w:szCs w:val="24"/>
          <w:lang w:eastAsia="bg-BG"/>
        </w:rPr>
      </w:pPr>
      <w:r w:rsidRPr="00E72714">
        <w:rPr>
          <w:rFonts w:eastAsia="Times New Roman" w:cs="Arial"/>
          <w:color w:val="000000"/>
          <w:lang w:eastAsia="bg-BG"/>
        </w:rPr>
        <w:t>Гемцитабин се понася добре по време на вливане и може да бъде прилаган амбулаторно. Ако се появи синина, обикновено вливането трябва да спре незабавно и да започне отначало в друг кръвоносен съд. Пациентът трябва да бъде наблюдаван внимателно по време на приложението.</w:t>
      </w:r>
    </w:p>
    <w:p w14:paraId="4B217480" w14:textId="77777777" w:rsidR="00E72714" w:rsidRPr="00E72714" w:rsidRDefault="00E72714" w:rsidP="00E72714">
      <w:pPr>
        <w:spacing w:line="240" w:lineRule="auto"/>
        <w:rPr>
          <w:rFonts w:eastAsia="Times New Roman" w:cs="Arial"/>
          <w:sz w:val="24"/>
          <w:szCs w:val="24"/>
          <w:lang w:eastAsia="bg-BG"/>
        </w:rPr>
      </w:pPr>
    </w:p>
    <w:p w14:paraId="10F33CC6" w14:textId="7E2E23D4" w:rsidR="00E72714" w:rsidRPr="00E72714" w:rsidRDefault="00E72714" w:rsidP="00E72714">
      <w:pPr>
        <w:spacing w:line="240" w:lineRule="auto"/>
        <w:rPr>
          <w:rFonts w:eastAsia="Times New Roman" w:cs="Arial"/>
          <w:sz w:val="24"/>
          <w:szCs w:val="24"/>
          <w:lang w:eastAsia="bg-BG"/>
        </w:rPr>
      </w:pPr>
      <w:r w:rsidRPr="00E72714">
        <w:rPr>
          <w:rFonts w:eastAsia="Times New Roman" w:cs="Arial"/>
          <w:color w:val="000000"/>
          <w:lang w:eastAsia="bg-BG"/>
        </w:rPr>
        <w:t xml:space="preserve">Гемсол 40 </w:t>
      </w:r>
      <w:r w:rsidRPr="00E72714">
        <w:rPr>
          <w:rFonts w:eastAsia="Times New Roman" w:cs="Arial"/>
          <w:color w:val="000000"/>
          <w:lang w:val="en-US"/>
        </w:rPr>
        <w:t xml:space="preserve">mg/ml </w:t>
      </w:r>
      <w:r w:rsidRPr="00E72714">
        <w:rPr>
          <w:rFonts w:eastAsia="Times New Roman" w:cs="Arial"/>
          <w:color w:val="000000"/>
          <w:lang w:eastAsia="bg-BG"/>
        </w:rPr>
        <w:t>концентрат за инфузионен разтвор трябва да се разреди преди употреба (вж. точки 4.4 и 6.6). Препоръчва се вливането да се прави в големи вени, за да се избегне съдово увреждане и екстравазация.</w:t>
      </w:r>
    </w:p>
    <w:p w14:paraId="43BAE63A" w14:textId="77777777" w:rsidR="00E72714" w:rsidRPr="00E72714" w:rsidRDefault="00E72714" w:rsidP="00E72714">
      <w:pPr>
        <w:spacing w:line="240" w:lineRule="auto"/>
        <w:rPr>
          <w:rFonts w:eastAsia="Times New Roman" w:cs="Arial"/>
          <w:color w:val="000000"/>
          <w:lang w:eastAsia="bg-BG"/>
        </w:rPr>
      </w:pPr>
    </w:p>
    <w:p w14:paraId="5E6F3E70" w14:textId="7CFE52C9" w:rsidR="00E72714" w:rsidRPr="00E72714" w:rsidRDefault="00E72714" w:rsidP="00E72714">
      <w:pPr>
        <w:spacing w:line="240" w:lineRule="auto"/>
        <w:rPr>
          <w:rFonts w:eastAsia="Times New Roman" w:cs="Arial"/>
          <w:sz w:val="24"/>
          <w:szCs w:val="24"/>
          <w:lang w:eastAsia="bg-BG"/>
        </w:rPr>
      </w:pPr>
      <w:r w:rsidRPr="00E72714">
        <w:rPr>
          <w:rFonts w:eastAsia="Times New Roman" w:cs="Arial"/>
          <w:color w:val="000000"/>
          <w:lang w:eastAsia="bg-BG"/>
        </w:rPr>
        <w:t>За указания относно приготвянето на разтвора на лекарствения продукт преди приложение вижте точка 6.6</w:t>
      </w:r>
    </w:p>
    <w:p w14:paraId="654E13DF" w14:textId="77777777" w:rsidR="00E72714" w:rsidRPr="00E72714" w:rsidRDefault="00E72714" w:rsidP="00E72714">
      <w:pPr>
        <w:spacing w:line="240" w:lineRule="auto"/>
        <w:rPr>
          <w:rFonts w:eastAsia="Times New Roman" w:cs="Arial"/>
          <w:color w:val="000000"/>
          <w:u w:val="single"/>
          <w:lang w:eastAsia="bg-BG"/>
        </w:rPr>
      </w:pPr>
    </w:p>
    <w:p w14:paraId="6CBB259A" w14:textId="741F06A0" w:rsidR="00E72714" w:rsidRPr="00E72714" w:rsidRDefault="00E72714" w:rsidP="00E72714">
      <w:pPr>
        <w:spacing w:line="240" w:lineRule="auto"/>
        <w:rPr>
          <w:rFonts w:eastAsia="Times New Roman" w:cs="Arial"/>
          <w:sz w:val="24"/>
          <w:szCs w:val="24"/>
          <w:lang w:eastAsia="bg-BG"/>
        </w:rPr>
      </w:pPr>
      <w:r w:rsidRPr="00E72714">
        <w:rPr>
          <w:rFonts w:eastAsia="Times New Roman" w:cs="Arial"/>
          <w:color w:val="000000"/>
          <w:u w:val="single"/>
          <w:lang w:eastAsia="bg-BG"/>
        </w:rPr>
        <w:t>Специални популации</w:t>
      </w:r>
    </w:p>
    <w:p w14:paraId="7347D21A" w14:textId="77777777" w:rsidR="00E72714" w:rsidRPr="00E72714" w:rsidRDefault="00E72714" w:rsidP="00E72714">
      <w:pPr>
        <w:spacing w:line="240" w:lineRule="auto"/>
        <w:rPr>
          <w:rFonts w:eastAsia="Times New Roman" w:cs="Arial"/>
          <w:i/>
          <w:iCs/>
          <w:color w:val="000000"/>
          <w:u w:val="single"/>
          <w:lang w:eastAsia="bg-BG"/>
        </w:rPr>
      </w:pPr>
    </w:p>
    <w:p w14:paraId="629E79C2" w14:textId="5D7F2F56" w:rsidR="00E72714" w:rsidRPr="00E72714" w:rsidRDefault="00E72714" w:rsidP="00E72714">
      <w:pPr>
        <w:spacing w:line="240" w:lineRule="auto"/>
        <w:rPr>
          <w:rFonts w:eastAsia="Times New Roman" w:cs="Arial"/>
          <w:sz w:val="24"/>
          <w:szCs w:val="24"/>
          <w:lang w:eastAsia="bg-BG"/>
        </w:rPr>
      </w:pPr>
      <w:r w:rsidRPr="00E72714">
        <w:rPr>
          <w:rFonts w:eastAsia="Times New Roman" w:cs="Arial"/>
          <w:i/>
          <w:iCs/>
          <w:color w:val="000000"/>
          <w:u w:val="single"/>
          <w:lang w:eastAsia="bg-BG"/>
        </w:rPr>
        <w:t>Пациенти с бъбречно или чернодробно увреждане</w:t>
      </w:r>
    </w:p>
    <w:p w14:paraId="74B1E835" w14:textId="77777777" w:rsidR="00E72714" w:rsidRPr="00E72714" w:rsidRDefault="00E72714" w:rsidP="00E72714">
      <w:pPr>
        <w:spacing w:line="240" w:lineRule="auto"/>
        <w:rPr>
          <w:rFonts w:eastAsia="Times New Roman" w:cs="Arial"/>
          <w:sz w:val="24"/>
          <w:szCs w:val="24"/>
          <w:lang w:eastAsia="bg-BG"/>
        </w:rPr>
      </w:pPr>
      <w:r w:rsidRPr="00E72714">
        <w:rPr>
          <w:rFonts w:eastAsia="Times New Roman" w:cs="Arial"/>
          <w:color w:val="000000"/>
          <w:lang w:eastAsia="bg-BG"/>
        </w:rPr>
        <w:t>Гемцитабин трябва да се използва с повишено внимание при пациенти с чернодробна или бъбречна недостатъчност, тъй като няма достатъчно данни от клинични проучвания, на базата на които да се дадат ясни препоръки за дозата при тези групи пациенти (вж. точки 4.4,</w:t>
      </w:r>
      <w:r w:rsidRPr="00E72714">
        <w:rPr>
          <w:rFonts w:eastAsia="Times New Roman" w:cs="Arial"/>
          <w:color w:val="000000"/>
          <w:lang w:val="en-US"/>
        </w:rPr>
        <w:t xml:space="preserve"> 4.8</w:t>
      </w:r>
      <w:r w:rsidRPr="00E72714">
        <w:rPr>
          <w:rFonts w:eastAsia="Times New Roman" w:cs="Arial"/>
          <w:color w:val="000000"/>
          <w:lang w:eastAsia="bg-BG"/>
        </w:rPr>
        <w:t xml:space="preserve"> и</w:t>
      </w:r>
    </w:p>
    <w:p w14:paraId="27EE997D" w14:textId="77777777" w:rsidR="00E72714" w:rsidRPr="00E72714" w:rsidRDefault="00E72714" w:rsidP="00E72714">
      <w:pPr>
        <w:spacing w:line="240" w:lineRule="auto"/>
        <w:rPr>
          <w:rFonts w:eastAsia="Times New Roman" w:cs="Arial"/>
          <w:color w:val="000000"/>
          <w:u w:val="single"/>
          <w:lang w:eastAsia="bg-BG"/>
        </w:rPr>
      </w:pPr>
    </w:p>
    <w:p w14:paraId="68262633" w14:textId="255423D0" w:rsidR="00E72714" w:rsidRPr="00E72714" w:rsidRDefault="00E72714" w:rsidP="00E72714">
      <w:pPr>
        <w:spacing w:line="240" w:lineRule="auto"/>
        <w:rPr>
          <w:rFonts w:eastAsia="Times New Roman" w:cs="Arial"/>
          <w:sz w:val="24"/>
          <w:szCs w:val="24"/>
          <w:lang w:eastAsia="bg-BG"/>
        </w:rPr>
      </w:pPr>
      <w:r w:rsidRPr="00E72714">
        <w:rPr>
          <w:rFonts w:eastAsia="Times New Roman" w:cs="Arial"/>
          <w:color w:val="000000"/>
          <w:u w:val="single"/>
          <w:lang w:eastAsia="bg-BG"/>
        </w:rPr>
        <w:t xml:space="preserve">Старческа възраст </w:t>
      </w:r>
      <w:r w:rsidRPr="00E72714">
        <w:rPr>
          <w:rFonts w:eastAsia="Times New Roman" w:cs="Arial"/>
          <w:i/>
          <w:iCs/>
          <w:color w:val="000000"/>
          <w:u w:val="single"/>
          <w:lang w:eastAsia="bg-BG"/>
        </w:rPr>
        <w:t>(&gt; 65</w:t>
      </w:r>
      <w:r w:rsidRPr="00E72714">
        <w:rPr>
          <w:rFonts w:eastAsia="Times New Roman" w:cs="Arial"/>
          <w:color w:val="000000"/>
          <w:u w:val="single"/>
          <w:lang w:eastAsia="bg-BG"/>
        </w:rPr>
        <w:t xml:space="preserve"> години)</w:t>
      </w:r>
    </w:p>
    <w:p w14:paraId="4F3BE1B5" w14:textId="77777777" w:rsidR="00E72714" w:rsidRPr="00E72714" w:rsidRDefault="00E72714" w:rsidP="00E72714">
      <w:pPr>
        <w:rPr>
          <w:rFonts w:eastAsia="Times New Roman" w:cs="Arial"/>
          <w:sz w:val="24"/>
          <w:szCs w:val="24"/>
          <w:lang w:eastAsia="bg-BG"/>
        </w:rPr>
      </w:pPr>
      <w:r w:rsidRPr="00E72714">
        <w:rPr>
          <w:rFonts w:eastAsia="Times New Roman" w:cs="Arial"/>
          <w:color w:val="000000"/>
          <w:lang w:eastAsia="bg-BG"/>
        </w:rPr>
        <w:t>Гемцитабин се понася добре при пациенти на възраст над 65 години. Няма данни, че</w:t>
      </w:r>
      <w:r>
        <w:rPr>
          <w:rFonts w:eastAsia="Times New Roman" w:cs="Arial"/>
          <w:color w:val="000000"/>
          <w:lang w:val="en-US" w:eastAsia="bg-BG"/>
        </w:rPr>
        <w:t xml:space="preserve"> </w:t>
      </w:r>
      <w:r w:rsidRPr="00E72714">
        <w:rPr>
          <w:rFonts w:eastAsia="Times New Roman" w:cs="Arial"/>
          <w:color w:val="000000"/>
          <w:lang w:eastAsia="bg-BG"/>
        </w:rPr>
        <w:t>коригиране на дозата, различно от вече препоръчаното за всички пациенти, е необходимо при пациентите в старческа възраст (вж. точка 5.2).</w:t>
      </w:r>
    </w:p>
    <w:p w14:paraId="4DF52B64" w14:textId="77777777" w:rsidR="00E72714" w:rsidRPr="00E72714" w:rsidRDefault="00E72714" w:rsidP="00E72714">
      <w:pPr>
        <w:spacing w:line="240" w:lineRule="auto"/>
        <w:rPr>
          <w:rFonts w:eastAsia="Times New Roman" w:cs="Arial"/>
          <w:i/>
          <w:iCs/>
          <w:color w:val="000000"/>
          <w:u w:val="single"/>
          <w:lang w:eastAsia="bg-BG"/>
        </w:rPr>
      </w:pPr>
    </w:p>
    <w:p w14:paraId="474EC1FB" w14:textId="1CA7019A" w:rsidR="00E72714" w:rsidRPr="00E72714" w:rsidRDefault="00E72714" w:rsidP="00E72714">
      <w:pPr>
        <w:spacing w:line="240" w:lineRule="auto"/>
        <w:rPr>
          <w:rFonts w:eastAsia="Times New Roman" w:cs="Arial"/>
          <w:sz w:val="24"/>
          <w:szCs w:val="24"/>
          <w:lang w:eastAsia="bg-BG"/>
        </w:rPr>
      </w:pPr>
      <w:r w:rsidRPr="00E72714">
        <w:rPr>
          <w:rFonts w:eastAsia="Times New Roman" w:cs="Arial"/>
          <w:i/>
          <w:iCs/>
          <w:color w:val="000000"/>
          <w:u w:val="single"/>
          <w:lang w:eastAsia="bg-BG"/>
        </w:rPr>
        <w:t>Педиатрична популация (&lt; 18 години)</w:t>
      </w:r>
    </w:p>
    <w:p w14:paraId="6440F534" w14:textId="3374A33C" w:rsidR="00E72714" w:rsidRPr="00E72714" w:rsidRDefault="00E72714" w:rsidP="00E72714">
      <w:pPr>
        <w:rPr>
          <w:rFonts w:cs="Arial"/>
          <w:lang w:val="en-US"/>
        </w:rPr>
      </w:pPr>
      <w:r w:rsidRPr="00E72714">
        <w:rPr>
          <w:rFonts w:eastAsia="Times New Roman" w:cs="Arial"/>
          <w:color w:val="000000"/>
          <w:lang w:eastAsia="bg-BG"/>
        </w:rPr>
        <w:t>Гемцитабин не се препоръчва за употреба при деца под 18 години, поради недостатъчно данни за безопасност и ефикасност.</w:t>
      </w:r>
    </w:p>
    <w:p w14:paraId="7B125D05" w14:textId="77777777" w:rsidR="00E72714" w:rsidRPr="0091385D" w:rsidRDefault="00E72714"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2B4164B3" w14:textId="77777777" w:rsidR="00E72714" w:rsidRPr="00E72714" w:rsidRDefault="00E72714" w:rsidP="00D8509D">
      <w:pPr>
        <w:pStyle w:val="ListParagraph"/>
        <w:numPr>
          <w:ilvl w:val="0"/>
          <w:numId w:val="2"/>
        </w:numPr>
        <w:spacing w:line="240" w:lineRule="auto"/>
        <w:rPr>
          <w:rFonts w:eastAsia="Times New Roman" w:cs="Arial"/>
          <w:sz w:val="24"/>
          <w:szCs w:val="24"/>
          <w:lang w:eastAsia="bg-BG"/>
        </w:rPr>
      </w:pPr>
      <w:r w:rsidRPr="00E72714">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2309EAB0" w14:textId="192E961C" w:rsidR="0091385D" w:rsidRPr="00E72714" w:rsidRDefault="00E72714" w:rsidP="00D8509D">
      <w:pPr>
        <w:pStyle w:val="ListParagraph"/>
        <w:numPr>
          <w:ilvl w:val="0"/>
          <w:numId w:val="2"/>
        </w:numPr>
        <w:spacing w:line="240" w:lineRule="auto"/>
        <w:rPr>
          <w:rFonts w:eastAsia="Times New Roman" w:cs="Arial"/>
          <w:sz w:val="24"/>
          <w:szCs w:val="24"/>
          <w:lang w:eastAsia="bg-BG"/>
        </w:rPr>
      </w:pPr>
      <w:r w:rsidRPr="00E72714">
        <w:rPr>
          <w:rFonts w:eastAsia="Times New Roman" w:cs="Arial"/>
          <w:color w:val="000000"/>
          <w:lang w:eastAsia="bg-BG"/>
        </w:rPr>
        <w:t>Кърмене (вж. точка 4.6).</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78DED7DE" w14:textId="77777777" w:rsidR="00E72714" w:rsidRPr="00E72714" w:rsidRDefault="00E72714" w:rsidP="00E72714">
      <w:pPr>
        <w:spacing w:line="240" w:lineRule="auto"/>
        <w:rPr>
          <w:rFonts w:eastAsia="Times New Roman" w:cs="Arial"/>
          <w:sz w:val="24"/>
          <w:szCs w:val="24"/>
          <w:lang w:eastAsia="bg-BG"/>
        </w:rPr>
      </w:pPr>
      <w:r w:rsidRPr="00E72714">
        <w:rPr>
          <w:rFonts w:eastAsia="Times New Roman" w:cs="Arial"/>
          <w:color w:val="000000"/>
          <w:lang w:eastAsia="bg-BG"/>
        </w:rPr>
        <w:t>При удължаване на времето на вливане и увеличената честота на прилагане се наблюдава увеличаване на токсичността.</w:t>
      </w:r>
    </w:p>
    <w:p w14:paraId="772E0282" w14:textId="77777777" w:rsidR="00E72714" w:rsidRPr="00E72714" w:rsidRDefault="00E72714" w:rsidP="00E72714">
      <w:pPr>
        <w:spacing w:line="240" w:lineRule="auto"/>
        <w:rPr>
          <w:rFonts w:eastAsia="Times New Roman" w:cs="Arial"/>
          <w:color w:val="000000"/>
          <w:lang w:eastAsia="bg-BG"/>
        </w:rPr>
      </w:pPr>
    </w:p>
    <w:p w14:paraId="180C4F12" w14:textId="4D7AB2E6" w:rsidR="00E72714" w:rsidRPr="00E72714" w:rsidRDefault="00E72714" w:rsidP="00E72714">
      <w:pPr>
        <w:spacing w:line="240" w:lineRule="auto"/>
        <w:rPr>
          <w:rFonts w:eastAsia="Times New Roman" w:cs="Arial"/>
          <w:sz w:val="24"/>
          <w:szCs w:val="24"/>
          <w:lang w:eastAsia="bg-BG"/>
        </w:rPr>
      </w:pPr>
      <w:r w:rsidRPr="00E72714">
        <w:rPr>
          <w:rFonts w:eastAsia="Times New Roman" w:cs="Arial"/>
          <w:color w:val="000000"/>
          <w:lang w:eastAsia="bg-BG"/>
        </w:rPr>
        <w:t xml:space="preserve">Гемсол 40 </w:t>
      </w:r>
      <w:r w:rsidRPr="00E72714">
        <w:rPr>
          <w:rFonts w:eastAsia="Times New Roman" w:cs="Arial"/>
          <w:color w:val="000000"/>
          <w:lang w:val="en-US"/>
        </w:rPr>
        <w:t xml:space="preserve">mg/ml </w:t>
      </w:r>
      <w:r w:rsidRPr="00E72714">
        <w:rPr>
          <w:rFonts w:eastAsia="Times New Roman" w:cs="Arial"/>
          <w:color w:val="000000"/>
          <w:lang w:eastAsia="bg-BG"/>
        </w:rPr>
        <w:t>концентрат за инфузионен разтвор трябва да се разтвори преди употреба (вж. точки 4.2 и 6.6). Препоръчва се вливането да се прави в големи вени, за да се избегне съдово увреждане и екстравазация.</w:t>
      </w:r>
    </w:p>
    <w:p w14:paraId="5104CBDD" w14:textId="77777777" w:rsidR="00E72714" w:rsidRPr="00E72714" w:rsidRDefault="00E72714" w:rsidP="00E72714">
      <w:pPr>
        <w:spacing w:line="240" w:lineRule="auto"/>
        <w:rPr>
          <w:rFonts w:eastAsia="Times New Roman" w:cs="Arial"/>
          <w:color w:val="000000"/>
          <w:u w:val="single"/>
          <w:lang w:eastAsia="bg-BG"/>
        </w:rPr>
      </w:pPr>
    </w:p>
    <w:p w14:paraId="2B421CEA" w14:textId="3B233714" w:rsidR="00E72714" w:rsidRPr="00E72714" w:rsidRDefault="00E72714" w:rsidP="00E72714">
      <w:pPr>
        <w:spacing w:line="240" w:lineRule="auto"/>
        <w:rPr>
          <w:rFonts w:eastAsia="Times New Roman" w:cs="Arial"/>
          <w:sz w:val="24"/>
          <w:szCs w:val="24"/>
          <w:lang w:eastAsia="bg-BG"/>
        </w:rPr>
      </w:pPr>
      <w:r w:rsidRPr="00E72714">
        <w:rPr>
          <w:rFonts w:eastAsia="Times New Roman" w:cs="Arial"/>
          <w:color w:val="000000"/>
          <w:u w:val="single"/>
          <w:lang w:eastAsia="bg-BG"/>
        </w:rPr>
        <w:t>Хематологична токсичност</w:t>
      </w:r>
    </w:p>
    <w:p w14:paraId="225BF967" w14:textId="77777777" w:rsidR="00E72714" w:rsidRPr="00E72714" w:rsidRDefault="00E72714" w:rsidP="00E72714">
      <w:pPr>
        <w:spacing w:line="240" w:lineRule="auto"/>
        <w:rPr>
          <w:rFonts w:eastAsia="Times New Roman" w:cs="Arial"/>
          <w:sz w:val="24"/>
          <w:szCs w:val="24"/>
          <w:lang w:eastAsia="bg-BG"/>
        </w:rPr>
      </w:pPr>
      <w:r w:rsidRPr="00E72714">
        <w:rPr>
          <w:rFonts w:eastAsia="Times New Roman" w:cs="Arial"/>
          <w:color w:val="000000"/>
          <w:lang w:eastAsia="bg-BG"/>
        </w:rPr>
        <w:t>Гемцитабин може да потисне функцията на костния мозък, което се проявява чрез левкопения, тромбоцитопения и анемия.</w:t>
      </w:r>
    </w:p>
    <w:p w14:paraId="3D7BA754" w14:textId="77777777" w:rsidR="00E72714" w:rsidRPr="00E72714" w:rsidRDefault="00E72714" w:rsidP="00E72714">
      <w:pPr>
        <w:spacing w:line="240" w:lineRule="auto"/>
        <w:rPr>
          <w:rFonts w:eastAsia="Times New Roman" w:cs="Arial"/>
          <w:sz w:val="24"/>
          <w:szCs w:val="24"/>
          <w:lang w:eastAsia="bg-BG"/>
        </w:rPr>
      </w:pPr>
      <w:r w:rsidRPr="00E72714">
        <w:rPr>
          <w:rFonts w:eastAsia="Times New Roman" w:cs="Arial"/>
          <w:color w:val="000000"/>
          <w:lang w:eastAsia="bg-BG"/>
        </w:rPr>
        <w:lastRenderedPageBreak/>
        <w:t>При пациенти, приемащи гемцитабин, преди всеки прием трябва да се наблюдават броят на тромбоцити, левкоцити и гранулоцити. Прекратяване или промяна на терапията трябва да се има предвид, когато се установи потискане на костния мозък, причинено от лекарствени продукти (вж. точка 4.2). Все пак, миелосупресията е краткотрайна и обикновено не довежда до намаляване на дозата, и рядко води до прекъсване на лечението.</w:t>
      </w:r>
    </w:p>
    <w:p w14:paraId="4BCF2339" w14:textId="77777777" w:rsidR="00E72714" w:rsidRPr="00E72714" w:rsidRDefault="00E72714" w:rsidP="00E72714">
      <w:pPr>
        <w:spacing w:line="240" w:lineRule="auto"/>
        <w:rPr>
          <w:rFonts w:eastAsia="Times New Roman" w:cs="Arial"/>
          <w:sz w:val="24"/>
          <w:szCs w:val="24"/>
          <w:lang w:eastAsia="bg-BG"/>
        </w:rPr>
      </w:pPr>
      <w:r w:rsidRPr="00E72714">
        <w:rPr>
          <w:rFonts w:eastAsia="Times New Roman" w:cs="Arial"/>
          <w:color w:val="000000"/>
          <w:lang w:eastAsia="bg-BG"/>
        </w:rPr>
        <w:t>Периферната кръвна картина може да продължи да се влошава след спиране на гемцитабин. При пациенти с нарушена функция на костния мозък лечението трябва да започне с повишено внимание. Както при другите цитотоксични лечения, рискът от кумулативно потискане на костния мозък трябва да се има предвид, когато лечението с гемцитабин се прилага заедно с друга химиотерапия.</w:t>
      </w:r>
    </w:p>
    <w:p w14:paraId="601D016D" w14:textId="77777777" w:rsidR="00E72714" w:rsidRPr="00E72714" w:rsidRDefault="00E72714" w:rsidP="00E72714">
      <w:pPr>
        <w:spacing w:line="240" w:lineRule="auto"/>
        <w:rPr>
          <w:rFonts w:eastAsia="Times New Roman" w:cs="Arial"/>
          <w:color w:val="000000"/>
          <w:u w:val="single"/>
          <w:lang w:eastAsia="bg-BG"/>
        </w:rPr>
      </w:pPr>
    </w:p>
    <w:p w14:paraId="64871626" w14:textId="054C6DCD" w:rsidR="00E72714" w:rsidRPr="00E72714" w:rsidRDefault="00E72714" w:rsidP="00E72714">
      <w:pPr>
        <w:spacing w:line="240" w:lineRule="auto"/>
        <w:rPr>
          <w:rFonts w:eastAsia="Times New Roman" w:cs="Arial"/>
          <w:sz w:val="24"/>
          <w:szCs w:val="24"/>
          <w:lang w:eastAsia="bg-BG"/>
        </w:rPr>
      </w:pPr>
      <w:r w:rsidRPr="00E72714">
        <w:rPr>
          <w:rFonts w:eastAsia="Times New Roman" w:cs="Arial"/>
          <w:color w:val="000000"/>
          <w:u w:val="single"/>
          <w:lang w:eastAsia="bg-BG"/>
        </w:rPr>
        <w:t>Чернодробно и бъбречно нарушение</w:t>
      </w:r>
    </w:p>
    <w:p w14:paraId="2D69A4D8" w14:textId="77777777" w:rsidR="00E72714" w:rsidRPr="00E72714" w:rsidRDefault="00E72714" w:rsidP="00E72714">
      <w:pPr>
        <w:spacing w:line="240" w:lineRule="auto"/>
        <w:rPr>
          <w:rFonts w:eastAsia="Times New Roman" w:cs="Arial"/>
          <w:sz w:val="24"/>
          <w:szCs w:val="24"/>
          <w:lang w:eastAsia="bg-BG"/>
        </w:rPr>
      </w:pPr>
      <w:r w:rsidRPr="00E72714">
        <w:rPr>
          <w:rFonts w:eastAsia="Times New Roman" w:cs="Arial"/>
          <w:color w:val="000000"/>
          <w:lang w:eastAsia="bg-BG"/>
        </w:rPr>
        <w:t>Гемцитабин трябва да се използва с повишено внимание при пациенти с чернодробно или бъбречно нарушение, тъй като няма достатъчно данни от клинични проучвания, на базата на които да се дадат ясни препоръки за дозата при тази група пациенти (вж. точки 4.2).</w:t>
      </w:r>
    </w:p>
    <w:p w14:paraId="6D5B93BD" w14:textId="77777777" w:rsidR="00E72714" w:rsidRPr="00E72714" w:rsidRDefault="00E72714" w:rsidP="00E72714">
      <w:pPr>
        <w:spacing w:line="240" w:lineRule="auto"/>
        <w:rPr>
          <w:rFonts w:eastAsia="Times New Roman" w:cs="Arial"/>
          <w:color w:val="000000"/>
          <w:lang w:eastAsia="bg-BG"/>
        </w:rPr>
      </w:pPr>
    </w:p>
    <w:p w14:paraId="48E5C1AB" w14:textId="3FE272D1" w:rsidR="00E72714" w:rsidRPr="00E72714" w:rsidRDefault="00E72714" w:rsidP="00E72714">
      <w:pPr>
        <w:spacing w:line="240" w:lineRule="auto"/>
        <w:rPr>
          <w:rFonts w:eastAsia="Times New Roman" w:cs="Arial"/>
          <w:sz w:val="24"/>
          <w:szCs w:val="24"/>
          <w:lang w:eastAsia="bg-BG"/>
        </w:rPr>
      </w:pPr>
      <w:r w:rsidRPr="00E72714">
        <w:rPr>
          <w:rFonts w:eastAsia="Times New Roman" w:cs="Arial"/>
          <w:color w:val="000000"/>
          <w:lang w:eastAsia="bg-BG"/>
        </w:rPr>
        <w:t>Приложението на гемцитабин при пациенти със съществуващи метастази на черния дроб или с анамнеза за хепатит, алкохолизъм или цироза на черния дроб, може да доведе до обостряне на подлежащата чернодробно нарушение.</w:t>
      </w:r>
    </w:p>
    <w:p w14:paraId="401DACCB" w14:textId="77777777" w:rsidR="00E72714" w:rsidRPr="00E72714" w:rsidRDefault="00E72714" w:rsidP="00E72714">
      <w:pPr>
        <w:spacing w:line="240" w:lineRule="auto"/>
        <w:rPr>
          <w:rFonts w:eastAsia="Times New Roman" w:cs="Arial"/>
          <w:color w:val="000000"/>
          <w:lang w:eastAsia="bg-BG"/>
        </w:rPr>
      </w:pPr>
    </w:p>
    <w:p w14:paraId="314396BD" w14:textId="6D3FB55D" w:rsidR="00E72714" w:rsidRPr="00E72714" w:rsidRDefault="00E72714" w:rsidP="00E72714">
      <w:pPr>
        <w:spacing w:line="240" w:lineRule="auto"/>
        <w:rPr>
          <w:rFonts w:eastAsia="Times New Roman" w:cs="Arial"/>
          <w:sz w:val="24"/>
          <w:szCs w:val="24"/>
          <w:lang w:eastAsia="bg-BG"/>
        </w:rPr>
      </w:pPr>
      <w:r w:rsidRPr="00E72714">
        <w:rPr>
          <w:rFonts w:eastAsia="Times New Roman" w:cs="Arial"/>
          <w:color w:val="000000"/>
          <w:lang w:eastAsia="bg-BG"/>
        </w:rPr>
        <w:t>Следва да се провеждат периодични лабораторни изследвания на бъбречната и чернодробната функция (в т.ч. вирусологични тестове).</w:t>
      </w:r>
    </w:p>
    <w:p w14:paraId="6AA465CE" w14:textId="77777777" w:rsidR="00E72714" w:rsidRPr="00E72714" w:rsidRDefault="00E72714" w:rsidP="00E72714">
      <w:pPr>
        <w:spacing w:line="240" w:lineRule="auto"/>
        <w:rPr>
          <w:rFonts w:eastAsia="Times New Roman" w:cs="Arial"/>
          <w:color w:val="000000"/>
          <w:u w:val="single"/>
          <w:lang w:eastAsia="bg-BG"/>
        </w:rPr>
      </w:pPr>
    </w:p>
    <w:p w14:paraId="08FA8D6E" w14:textId="53CC9607" w:rsidR="00E72714" w:rsidRPr="00E72714" w:rsidRDefault="00E72714" w:rsidP="00E72714">
      <w:pPr>
        <w:spacing w:line="240" w:lineRule="auto"/>
        <w:rPr>
          <w:rFonts w:eastAsia="Times New Roman" w:cs="Arial"/>
          <w:sz w:val="24"/>
          <w:szCs w:val="24"/>
          <w:lang w:eastAsia="bg-BG"/>
        </w:rPr>
      </w:pPr>
      <w:r w:rsidRPr="00E72714">
        <w:rPr>
          <w:rFonts w:eastAsia="Times New Roman" w:cs="Arial"/>
          <w:color w:val="000000"/>
          <w:u w:val="single"/>
          <w:lang w:eastAsia="bg-BG"/>
        </w:rPr>
        <w:t>Съпътстващо лъчелечение</w:t>
      </w:r>
    </w:p>
    <w:p w14:paraId="0B3BEE35" w14:textId="0F10745B" w:rsidR="0091385D" w:rsidRPr="00E72714" w:rsidRDefault="00E72714" w:rsidP="00E72714">
      <w:pPr>
        <w:rPr>
          <w:rFonts w:cs="Arial"/>
        </w:rPr>
      </w:pPr>
      <w:r w:rsidRPr="00E72714">
        <w:rPr>
          <w:rFonts w:eastAsia="Times New Roman" w:cs="Arial"/>
          <w:color w:val="000000"/>
          <w:lang w:eastAsia="bg-BG"/>
        </w:rPr>
        <w:t>Съпътстващо лъчелечение (прилагано заедно или отделно през &lt;7 дни): Съобщава се</w:t>
      </w:r>
      <w:r w:rsidRPr="00E72714">
        <w:rPr>
          <w:rFonts w:eastAsia="Times New Roman" w:cs="Arial"/>
          <w:color w:val="000000"/>
          <w:lang w:val="en-US"/>
        </w:rPr>
        <w:t xml:space="preserve"> </w:t>
      </w:r>
      <w:r w:rsidRPr="00E72714">
        <w:rPr>
          <w:rFonts w:eastAsia="Times New Roman" w:cs="Arial"/>
          <w:color w:val="000000"/>
          <w:lang w:eastAsia="bg-BG"/>
        </w:rPr>
        <w:t>за токсичност (вижте точка 4.5 за повече информация и препоръки за употреба).</w:t>
      </w:r>
      <w:r w:rsidRPr="00E72714">
        <w:rPr>
          <w:rFonts w:eastAsia="Times New Roman" w:cs="Arial"/>
          <w:color w:val="000000"/>
          <w:lang w:eastAsia="bg-BG"/>
        </w:rPr>
        <w:tab/>
      </w:r>
    </w:p>
    <w:p w14:paraId="24E3E82F" w14:textId="67611190" w:rsidR="0091385D" w:rsidRDefault="0091385D" w:rsidP="0091385D"/>
    <w:p w14:paraId="64A8AED5" w14:textId="77777777" w:rsidR="00E72714" w:rsidRDefault="00E72714" w:rsidP="00E72714">
      <w:r>
        <w:rPr>
          <w:u w:val="single"/>
        </w:rPr>
        <w:t>Живи ваксини</w:t>
      </w:r>
    </w:p>
    <w:p w14:paraId="36480901" w14:textId="77777777" w:rsidR="00E72714" w:rsidRDefault="00E72714" w:rsidP="00E72714">
      <w:r>
        <w:t>Ваксина срещу жълта треска и други атенюирани живи ваксини не се препоръчват при пациенти, лекувани с гемцитабин (вж. точка 4.5).</w:t>
      </w:r>
    </w:p>
    <w:p w14:paraId="778E4E5D" w14:textId="77777777" w:rsidR="00E72714" w:rsidRDefault="00E72714" w:rsidP="00E72714">
      <w:pPr>
        <w:rPr>
          <w:u w:val="single"/>
        </w:rPr>
      </w:pPr>
    </w:p>
    <w:p w14:paraId="048E4D39" w14:textId="05CBD3F0" w:rsidR="00E72714" w:rsidRDefault="00E72714" w:rsidP="00E72714">
      <w:r>
        <w:rPr>
          <w:u w:val="single"/>
        </w:rPr>
        <w:t>Синдром на задната обратима енцефалопатия</w:t>
      </w:r>
    </w:p>
    <w:p w14:paraId="62353FB9" w14:textId="77777777" w:rsidR="00E72714" w:rsidRDefault="00E72714" w:rsidP="00E72714">
      <w:r>
        <w:t xml:space="preserve">Докладвани са случаи на синдром на задната обратима енцефалопатия </w:t>
      </w:r>
      <w:r>
        <w:rPr>
          <w:lang w:val="en-US"/>
        </w:rPr>
        <w:t xml:space="preserve">(PRES) </w:t>
      </w:r>
      <w:r>
        <w:t xml:space="preserve">с възможно тежки последствия пи пациенти, лекувани с гемцитабин самостоятелно или в комбинация с други химиотерапевтични лекарствени продукти. При повечето пациенти, лекувани с гемцитабин, при които е наблюдаван </w:t>
      </w:r>
      <w:r>
        <w:rPr>
          <w:lang w:val="en-US"/>
        </w:rPr>
        <w:t xml:space="preserve">PRES, </w:t>
      </w:r>
      <w:r>
        <w:t xml:space="preserve">са докладвани остра хипертония и припадъци, но е възможно и да се проявят други симптоми като главоболие, летаргия, объркване и слепота. Най-добро потвърждение на диагнозата се постига с ядрено-магнитен резонанс (ЯМР). При подходящи поддържащи грижи, обикновено </w:t>
      </w:r>
      <w:r>
        <w:rPr>
          <w:lang w:val="en-US"/>
        </w:rPr>
        <w:t xml:space="preserve">PRES </w:t>
      </w:r>
      <w:r>
        <w:t xml:space="preserve">е обратим. Необходимо е праустановяване на лечението с гемцитабин и предприемането на поддържащи мерки, включително контрол на кръвното налягане и лечение на припадъците, в случай че </w:t>
      </w:r>
      <w:r>
        <w:rPr>
          <w:lang w:val="en-US"/>
        </w:rPr>
        <w:t xml:space="preserve">PRES </w:t>
      </w:r>
      <w:r>
        <w:t>се развие по време на лечението.</w:t>
      </w:r>
    </w:p>
    <w:p w14:paraId="0B6A3DA7" w14:textId="77777777" w:rsidR="00E72714" w:rsidRDefault="00E72714" w:rsidP="00E72714">
      <w:pPr>
        <w:rPr>
          <w:u w:val="single"/>
        </w:rPr>
      </w:pPr>
    </w:p>
    <w:p w14:paraId="2FDA8901" w14:textId="1512C05C" w:rsidR="00E72714" w:rsidRDefault="00E72714" w:rsidP="00E72714">
      <w:r>
        <w:rPr>
          <w:u w:val="single"/>
        </w:rPr>
        <w:t>Сърдечно-съдови нарушения</w:t>
      </w:r>
    </w:p>
    <w:p w14:paraId="6DC6BB4F" w14:textId="77777777" w:rsidR="00E72714" w:rsidRDefault="00E72714" w:rsidP="00E72714">
      <w:r>
        <w:t>Поради риск от сърдечни и/или съдови смущения при употреба на гемцитабин, особено внимание трябва да се обърне на пациенти с анамнеза за сърдечно-съдови проблеми.</w:t>
      </w:r>
    </w:p>
    <w:p w14:paraId="7AFE9E7B" w14:textId="77777777" w:rsidR="00E72714" w:rsidRDefault="00E72714" w:rsidP="00E72714">
      <w:pPr>
        <w:rPr>
          <w:i/>
          <w:iCs/>
          <w:u w:val="single"/>
        </w:rPr>
      </w:pPr>
    </w:p>
    <w:p w14:paraId="7C0CBEA1" w14:textId="332058E2" w:rsidR="00E72714" w:rsidRDefault="00E72714" w:rsidP="00E72714">
      <w:r>
        <w:rPr>
          <w:i/>
          <w:iCs/>
          <w:u w:val="single"/>
        </w:rPr>
        <w:lastRenderedPageBreak/>
        <w:t>Синдром на капилярна пропускливост</w:t>
      </w:r>
    </w:p>
    <w:p w14:paraId="0FFA2D4A" w14:textId="77777777" w:rsidR="00E72714" w:rsidRDefault="00E72714" w:rsidP="00E72714">
      <w:r>
        <w:t>Съобщавани са случаи на синдром на капилярна пропускивост при пациенти лекувани само с гемцитабин или в комбинация с други химиотерапевтици (вж точка 4.8). Състоянието обикновено е лечимо, ако се открие навреме и се вземат подходящите мерки, но има съобщения и за фатални случаи. Състоянието включва системен капилярен хиперпермеабилитет, при който течности и протеини от вътресъдовото пространство преминават в интерстициума. Клиничната проява включва генерализиран оток, наддаване на тегло, хипоалбуминемия, тежка хипотония, остро бъбречно увреждане и белодробен оток. Необходимо е преустановяване на лечението с гемцитабин и предприемане на поддържащо лечение, в случай че се развие синдром на капилярна пропускливост по време на терапията. Синдром на капилярна пропускливост може да се прояви в по-късен цикъл и по литературни данни се асоциира с респираторен дистрес синдром при възрастните.</w:t>
      </w:r>
    </w:p>
    <w:p w14:paraId="10AF60C6" w14:textId="77777777" w:rsidR="00E72714" w:rsidRDefault="00E72714" w:rsidP="00E72714">
      <w:pPr>
        <w:rPr>
          <w:u w:val="single"/>
        </w:rPr>
      </w:pPr>
    </w:p>
    <w:p w14:paraId="0BA81AAC" w14:textId="50C42AEB" w:rsidR="00E72714" w:rsidRDefault="00E72714" w:rsidP="00E72714">
      <w:r>
        <w:rPr>
          <w:u w:val="single"/>
        </w:rPr>
        <w:t>Дихателни нарушения</w:t>
      </w:r>
    </w:p>
    <w:p w14:paraId="4B13E118" w14:textId="77777777" w:rsidR="00E72714" w:rsidRDefault="00E72714" w:rsidP="00E72714">
      <w:r>
        <w:t xml:space="preserve">Съобщава се за реакции от страна на дихателната система, понякога тежки (като белодробен оток, интерстициална пневмония или респираторен дистрес-синдром при възрастни </w:t>
      </w:r>
      <w:r>
        <w:rPr>
          <w:lang w:val="en-US"/>
        </w:rPr>
        <w:t xml:space="preserve">(ARDS) </w:t>
      </w:r>
      <w:r>
        <w:t>при лечение с гемцитабин. Ако се наблюдават такива нежелани реакции, трябва да се обмисли прекратяване на терапията с гемцитабин. Ранното прилагане на поддържащи мерки може да спомогне за облекчаване на състоянието.</w:t>
      </w:r>
    </w:p>
    <w:p w14:paraId="3D85CADC" w14:textId="77777777" w:rsidR="00E72714" w:rsidRDefault="00E72714" w:rsidP="00E72714">
      <w:pPr>
        <w:rPr>
          <w:u w:val="single"/>
        </w:rPr>
      </w:pPr>
    </w:p>
    <w:p w14:paraId="54AF40CA" w14:textId="7A919172" w:rsidR="00E72714" w:rsidRDefault="00E72714" w:rsidP="00E72714">
      <w:r>
        <w:rPr>
          <w:u w:val="single"/>
        </w:rPr>
        <w:t>Бъбречни нарушения</w:t>
      </w:r>
    </w:p>
    <w:p w14:paraId="625574E0" w14:textId="77777777" w:rsidR="00E72714" w:rsidRDefault="00E72714" w:rsidP="00E72714">
      <w:r>
        <w:rPr>
          <w:i/>
          <w:iCs/>
          <w:u w:val="single"/>
        </w:rPr>
        <w:t>Хемолитично-уремичен синдром</w:t>
      </w:r>
    </w:p>
    <w:p w14:paraId="03719A02" w14:textId="77777777" w:rsidR="00E72714" w:rsidRDefault="00E72714" w:rsidP="00E72714">
      <w:r>
        <w:t xml:space="preserve">Клинични данни, отговарящи на хемолитичен уремичен синдром </w:t>
      </w:r>
      <w:r>
        <w:rPr>
          <w:lang w:val="en-US"/>
        </w:rPr>
        <w:t xml:space="preserve">(HUS) </w:t>
      </w:r>
      <w:r>
        <w:t xml:space="preserve">са съобщавани рядко при лечение с гемцитабин (вж. точка 4.8). </w:t>
      </w:r>
      <w:r>
        <w:rPr>
          <w:lang w:val="en-US"/>
        </w:rPr>
        <w:t xml:space="preserve">HUS </w:t>
      </w:r>
      <w:r>
        <w:t xml:space="preserve">е потенциално животозастрашаващо състояние. Лечението с гемцитабин трябва да се прекрати при първите признаци за микроангиопатична хемолитична анемия, като бързо падащ хемоглобин със съпътстваща тромбоцитопения, повишаване на серумния билирубин, серумния креатинин, азот в кръвната урея или ЛДХ </w:t>
      </w:r>
      <w:r>
        <w:rPr>
          <w:lang w:val="en-US"/>
        </w:rPr>
        <w:t xml:space="preserve">(LDH), </w:t>
      </w:r>
      <w:r>
        <w:t>Бъбречната недостатъчност може да не е обратима след прекратяването на терапията и може да се наложи диализа.</w:t>
      </w:r>
    </w:p>
    <w:p w14:paraId="058280BD" w14:textId="77777777" w:rsidR="00E72714" w:rsidRDefault="00E72714" w:rsidP="00E72714">
      <w:pPr>
        <w:rPr>
          <w:u w:val="single"/>
        </w:rPr>
      </w:pPr>
    </w:p>
    <w:p w14:paraId="382DF008" w14:textId="188A1CE0" w:rsidR="00E72714" w:rsidRDefault="00E72714" w:rsidP="00E72714">
      <w:r>
        <w:rPr>
          <w:u w:val="single"/>
        </w:rPr>
        <w:t>Фертилитет</w:t>
      </w:r>
    </w:p>
    <w:p w14:paraId="11EBAC3D" w14:textId="36E9FA64" w:rsidR="00E72714" w:rsidRPr="00E72714" w:rsidRDefault="00E72714" w:rsidP="00E72714">
      <w:pPr>
        <w:rPr>
          <w:lang w:val="en-US"/>
        </w:rPr>
      </w:pPr>
      <w:r>
        <w:t>В проучвания за влияние върху фертилигета гемцитабин е причинил хипосперматогенеза при мъжки мишки (вж. точка 5.3). Затова мъжете, лекувани с гемцитабин, са съветвани да не стават бащи по време на лечението и 6 месеца след него, както и да се консултират относно</w:t>
      </w:r>
      <w:r>
        <w:rPr>
          <w:lang w:val="en-US"/>
        </w:rPr>
        <w:t xml:space="preserve"> </w:t>
      </w:r>
      <w:r>
        <w:t>криоконсервация на сперма преди лечението, поради вероятност от безплодие, дължащо се на терапията с гемцитабин (вж. точка 4.6).</w:t>
      </w:r>
    </w:p>
    <w:p w14:paraId="152C7892" w14:textId="77777777" w:rsidR="00E72714" w:rsidRPr="0091385D" w:rsidRDefault="00E72714"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3C58ABD5" w14:textId="77777777" w:rsidR="00E72714" w:rsidRPr="00E72714" w:rsidRDefault="00E72714" w:rsidP="00E72714">
      <w:pPr>
        <w:spacing w:line="240" w:lineRule="auto"/>
        <w:rPr>
          <w:rFonts w:eastAsia="Times New Roman" w:cs="Arial"/>
          <w:sz w:val="24"/>
          <w:szCs w:val="24"/>
          <w:lang w:eastAsia="bg-BG"/>
        </w:rPr>
      </w:pPr>
      <w:r w:rsidRPr="00E72714">
        <w:rPr>
          <w:rFonts w:eastAsia="Times New Roman" w:cs="Arial"/>
          <w:color w:val="000000"/>
          <w:lang w:eastAsia="bg-BG"/>
        </w:rPr>
        <w:t>Не са провеждани специфични проучвания за взаимодействията (вж. точка 5.2).</w:t>
      </w:r>
    </w:p>
    <w:p w14:paraId="6D616DE7" w14:textId="77777777" w:rsidR="00E72714" w:rsidRPr="00E72714" w:rsidRDefault="00E72714" w:rsidP="00E72714">
      <w:pPr>
        <w:spacing w:line="240" w:lineRule="auto"/>
        <w:rPr>
          <w:rFonts w:eastAsia="Times New Roman" w:cs="Arial"/>
          <w:color w:val="000000"/>
          <w:u w:val="single"/>
          <w:lang w:eastAsia="bg-BG"/>
        </w:rPr>
      </w:pPr>
    </w:p>
    <w:p w14:paraId="30C4EF3C" w14:textId="573D7FEC" w:rsidR="00E72714" w:rsidRPr="00E72714" w:rsidRDefault="00E72714" w:rsidP="00E72714">
      <w:pPr>
        <w:spacing w:line="240" w:lineRule="auto"/>
        <w:rPr>
          <w:rFonts w:eastAsia="Times New Roman" w:cs="Arial"/>
          <w:sz w:val="24"/>
          <w:szCs w:val="24"/>
          <w:lang w:eastAsia="bg-BG"/>
        </w:rPr>
      </w:pPr>
      <w:r w:rsidRPr="00E72714">
        <w:rPr>
          <w:rFonts w:eastAsia="Times New Roman" w:cs="Arial"/>
          <w:color w:val="000000"/>
          <w:u w:val="single"/>
          <w:lang w:eastAsia="bg-BG"/>
        </w:rPr>
        <w:t>Лъчелечение</w:t>
      </w:r>
    </w:p>
    <w:p w14:paraId="0E1A9702" w14:textId="77777777" w:rsidR="00E72714" w:rsidRPr="00E72714" w:rsidRDefault="00E72714" w:rsidP="00E72714">
      <w:pPr>
        <w:spacing w:line="240" w:lineRule="auto"/>
        <w:rPr>
          <w:rFonts w:eastAsia="Times New Roman" w:cs="Arial"/>
          <w:sz w:val="24"/>
          <w:szCs w:val="24"/>
          <w:lang w:eastAsia="bg-BG"/>
        </w:rPr>
      </w:pPr>
      <w:r w:rsidRPr="00E72714">
        <w:rPr>
          <w:rFonts w:eastAsia="Times New Roman" w:cs="Arial"/>
          <w:color w:val="000000"/>
          <w:lang w:eastAsia="bg-BG"/>
        </w:rPr>
        <w:t xml:space="preserve">Едновременна (прилагана заедно или отделно през ≤ 7 дни) - токсичността, свързана с тази мултимодална терапия зависи от много различни фактори, включително дозата гемцитабин, честотата на приложение на гемцитабин, дозата радиация, планираната </w:t>
      </w:r>
      <w:r w:rsidRPr="00E72714">
        <w:rPr>
          <w:rFonts w:eastAsia="Times New Roman" w:cs="Arial"/>
          <w:color w:val="000000"/>
          <w:lang w:eastAsia="bg-BG"/>
        </w:rPr>
        <w:lastRenderedPageBreak/>
        <w:t xml:space="preserve">техника за лъчелечение, целевата тъкан и целевия обем. Данните от предклиничните и клиничните проучвания показват, че гемцитабин притежава радиоактивност. В единично клинично проучване с гемцитабин в доза от 1000 </w:t>
      </w:r>
      <w:r w:rsidRPr="00E72714">
        <w:rPr>
          <w:rFonts w:eastAsia="Times New Roman" w:cs="Arial"/>
          <w:color w:val="000000"/>
          <w:lang w:val="en-US"/>
        </w:rPr>
        <w:t>mg/m</w:t>
      </w:r>
      <w:r w:rsidRPr="00E72714">
        <w:rPr>
          <w:rFonts w:eastAsia="Times New Roman" w:cs="Arial"/>
          <w:color w:val="000000"/>
          <w:vertAlign w:val="superscript"/>
          <w:lang w:val="en-US"/>
        </w:rPr>
        <w:t>2</w:t>
      </w:r>
      <w:r w:rsidRPr="00E72714">
        <w:rPr>
          <w:rFonts w:eastAsia="Times New Roman" w:cs="Arial"/>
          <w:color w:val="000000"/>
          <w:lang w:val="en-US"/>
        </w:rPr>
        <w:t xml:space="preserve"> </w:t>
      </w:r>
      <w:r w:rsidRPr="00E72714">
        <w:rPr>
          <w:rFonts w:eastAsia="Times New Roman" w:cs="Arial"/>
          <w:color w:val="000000"/>
          <w:lang w:eastAsia="bg-BG"/>
        </w:rPr>
        <w:t xml:space="preserve">в продължение на 6 последователни седмици едновременно с терапевтично лъчение на пациенти с недребноклетъчен рак на белия дроб, се наблюдава токсичност под формата на тежък и потенциално животозастрашаващ мукозит, особено езофагит и пневмония, специално при пациенти, получили голям обем лечетерапия (средни терапевтични обеми 4 795 </w:t>
      </w:r>
      <w:r w:rsidRPr="00E72714">
        <w:rPr>
          <w:rFonts w:eastAsia="Times New Roman" w:cs="Arial"/>
          <w:color w:val="000000"/>
          <w:lang w:val="en-US"/>
        </w:rPr>
        <w:t>cm</w:t>
      </w:r>
      <w:r w:rsidRPr="00E72714">
        <w:rPr>
          <w:rFonts w:eastAsia="Times New Roman" w:cs="Arial"/>
          <w:color w:val="000000"/>
          <w:vertAlign w:val="superscript"/>
          <w:lang w:val="en-US"/>
        </w:rPr>
        <w:t>3</w:t>
      </w:r>
      <w:r w:rsidRPr="00E72714">
        <w:rPr>
          <w:rFonts w:eastAsia="Times New Roman" w:cs="Arial"/>
          <w:color w:val="000000"/>
          <w:lang w:val="en-US"/>
        </w:rPr>
        <w:t xml:space="preserve">). </w:t>
      </w:r>
      <w:r w:rsidRPr="00E72714">
        <w:rPr>
          <w:rFonts w:eastAsia="Times New Roman" w:cs="Arial"/>
          <w:color w:val="000000"/>
          <w:lang w:eastAsia="bg-BG"/>
        </w:rPr>
        <w:t xml:space="preserve">Проучвания, направени впоследствие показват, че е възможно да се прилага гемцитабин в по-ниски дози със съвместна лъчетерапия с предвидима токсичност, както проучването във фаза II на недребноклетъчен рак на белия дроб, където дозите на радиация на гръдния кош от 66 </w:t>
      </w:r>
      <w:proofErr w:type="spellStart"/>
      <w:r w:rsidRPr="00E72714">
        <w:rPr>
          <w:rFonts w:eastAsia="Times New Roman" w:cs="Arial"/>
          <w:color w:val="000000"/>
          <w:lang w:val="en-US"/>
        </w:rPr>
        <w:t>Gy</w:t>
      </w:r>
      <w:proofErr w:type="spellEnd"/>
      <w:r w:rsidRPr="00E72714">
        <w:rPr>
          <w:rFonts w:eastAsia="Times New Roman" w:cs="Arial"/>
          <w:color w:val="000000"/>
          <w:lang w:val="en-US"/>
        </w:rPr>
        <w:t xml:space="preserve"> </w:t>
      </w:r>
      <w:r w:rsidRPr="00E72714">
        <w:rPr>
          <w:rFonts w:eastAsia="Times New Roman" w:cs="Arial"/>
          <w:color w:val="000000"/>
          <w:lang w:eastAsia="bg-BG"/>
        </w:rPr>
        <w:t xml:space="preserve">са прилагани едновременно с приемането на гемцитабин (600 </w:t>
      </w:r>
      <w:r w:rsidRPr="00E72714">
        <w:rPr>
          <w:rFonts w:eastAsia="Times New Roman" w:cs="Arial"/>
          <w:color w:val="000000"/>
          <w:lang w:val="en-US"/>
        </w:rPr>
        <w:t>mg/m</w:t>
      </w:r>
      <w:r w:rsidRPr="00E72714">
        <w:rPr>
          <w:rFonts w:eastAsia="Times New Roman" w:cs="Arial"/>
          <w:color w:val="000000"/>
          <w:vertAlign w:val="superscript"/>
          <w:lang w:val="en-US"/>
        </w:rPr>
        <w:t>2</w:t>
      </w:r>
      <w:r w:rsidRPr="00E72714">
        <w:rPr>
          <w:rFonts w:eastAsia="Times New Roman" w:cs="Arial"/>
          <w:color w:val="000000"/>
          <w:lang w:val="en-US"/>
        </w:rPr>
        <w:t xml:space="preserve">, </w:t>
      </w:r>
      <w:r w:rsidRPr="00E72714">
        <w:rPr>
          <w:rFonts w:eastAsia="Times New Roman" w:cs="Arial"/>
          <w:color w:val="000000"/>
          <w:lang w:eastAsia="bg-BG"/>
        </w:rPr>
        <w:t xml:space="preserve">четири пъти) и цисплатина (80 </w:t>
      </w:r>
      <w:r w:rsidRPr="00E72714">
        <w:rPr>
          <w:rFonts w:eastAsia="Times New Roman" w:cs="Arial"/>
          <w:color w:val="000000"/>
          <w:lang w:val="en-US"/>
        </w:rPr>
        <w:t>mg/m</w:t>
      </w:r>
      <w:r w:rsidRPr="00E72714">
        <w:rPr>
          <w:rFonts w:eastAsia="Times New Roman" w:cs="Arial"/>
          <w:color w:val="000000"/>
          <w:vertAlign w:val="superscript"/>
          <w:lang w:val="en-US"/>
        </w:rPr>
        <w:t>2</w:t>
      </w:r>
      <w:r w:rsidRPr="00E72714">
        <w:rPr>
          <w:rFonts w:eastAsia="Times New Roman" w:cs="Arial"/>
          <w:color w:val="000000"/>
          <w:lang w:val="en-US"/>
        </w:rPr>
        <w:t xml:space="preserve"> </w:t>
      </w:r>
      <w:r w:rsidRPr="00E72714">
        <w:rPr>
          <w:rFonts w:eastAsia="Times New Roman" w:cs="Arial"/>
          <w:color w:val="000000"/>
          <w:lang w:eastAsia="bg-BG"/>
        </w:rPr>
        <w:t>два пъти) в рамките на 6- седмичен период. Оптималният режим за безопасно прилагане на гемцитабин с терапевтични дози радиация все още не е определен за всички видове тумори.</w:t>
      </w:r>
    </w:p>
    <w:p w14:paraId="2CC6E916" w14:textId="77777777" w:rsidR="00E72714" w:rsidRPr="00E72714" w:rsidRDefault="00E72714" w:rsidP="00E72714">
      <w:pPr>
        <w:spacing w:line="240" w:lineRule="auto"/>
        <w:rPr>
          <w:rFonts w:eastAsia="Times New Roman" w:cs="Arial"/>
          <w:color w:val="000000"/>
          <w:lang w:eastAsia="bg-BG"/>
        </w:rPr>
      </w:pPr>
    </w:p>
    <w:p w14:paraId="2D1FE2C6" w14:textId="4DC229B5" w:rsidR="00E72714" w:rsidRPr="00E72714" w:rsidRDefault="00E72714" w:rsidP="00E72714">
      <w:pPr>
        <w:spacing w:line="240" w:lineRule="auto"/>
        <w:rPr>
          <w:rFonts w:eastAsia="Times New Roman" w:cs="Arial"/>
          <w:sz w:val="24"/>
          <w:szCs w:val="24"/>
          <w:lang w:eastAsia="bg-BG"/>
        </w:rPr>
      </w:pPr>
      <w:r w:rsidRPr="00E72714">
        <w:rPr>
          <w:rFonts w:eastAsia="Times New Roman" w:cs="Arial"/>
          <w:color w:val="000000"/>
          <w:lang w:eastAsia="bg-BG"/>
        </w:rPr>
        <w:t>Последваща (прилагана през &gt;7 дни) - анализите на данните не показват увеличена токсичност, когато гемцитабин се прилага повече от 7 дни преди или след лъчетерапия, различна от лъчева реакция. Данните показват, че лечението с гемцитабин може да започне, след като са отминали острите ефекти на радиацията или най-малко една седмица след лъчетерапията.</w:t>
      </w:r>
    </w:p>
    <w:p w14:paraId="2A3972E9" w14:textId="77777777" w:rsidR="00E72714" w:rsidRPr="00E72714" w:rsidRDefault="00E72714" w:rsidP="00E72714">
      <w:pPr>
        <w:spacing w:line="240" w:lineRule="auto"/>
        <w:rPr>
          <w:rFonts w:eastAsia="Times New Roman" w:cs="Arial"/>
          <w:color w:val="000000"/>
          <w:lang w:eastAsia="bg-BG"/>
        </w:rPr>
      </w:pPr>
    </w:p>
    <w:p w14:paraId="3B4B7E80" w14:textId="65E8ACC8" w:rsidR="00E72714" w:rsidRPr="00E72714" w:rsidRDefault="00E72714" w:rsidP="00E72714">
      <w:pPr>
        <w:spacing w:line="240" w:lineRule="auto"/>
        <w:rPr>
          <w:rFonts w:eastAsia="Times New Roman" w:cs="Arial"/>
          <w:sz w:val="24"/>
          <w:szCs w:val="24"/>
          <w:lang w:eastAsia="bg-BG"/>
        </w:rPr>
      </w:pPr>
      <w:r w:rsidRPr="00E72714">
        <w:rPr>
          <w:rFonts w:eastAsia="Times New Roman" w:cs="Arial"/>
          <w:color w:val="000000"/>
          <w:lang w:eastAsia="bg-BG"/>
        </w:rPr>
        <w:t>Съобщава се за радиационни поражения върху целевите тъкани (напр. езофагит, колит и пневмония), свързани с едновременната и последващата употреба на гемцитабин.</w:t>
      </w:r>
    </w:p>
    <w:p w14:paraId="4A8479B2" w14:textId="77777777" w:rsidR="00E72714" w:rsidRPr="00E72714" w:rsidRDefault="00E72714" w:rsidP="00E72714">
      <w:pPr>
        <w:spacing w:line="240" w:lineRule="auto"/>
        <w:rPr>
          <w:rFonts w:eastAsia="Times New Roman" w:cs="Arial"/>
          <w:color w:val="000000"/>
          <w:u w:val="single"/>
          <w:lang w:eastAsia="bg-BG"/>
        </w:rPr>
      </w:pPr>
    </w:p>
    <w:p w14:paraId="5A40D3A8" w14:textId="467D286B" w:rsidR="00E72714" w:rsidRPr="00E72714" w:rsidRDefault="00E72714" w:rsidP="00E72714">
      <w:pPr>
        <w:spacing w:line="240" w:lineRule="auto"/>
        <w:rPr>
          <w:rFonts w:eastAsia="Times New Roman" w:cs="Arial"/>
          <w:sz w:val="24"/>
          <w:szCs w:val="24"/>
          <w:lang w:eastAsia="bg-BG"/>
        </w:rPr>
      </w:pPr>
      <w:r w:rsidRPr="00E72714">
        <w:rPr>
          <w:rFonts w:eastAsia="Times New Roman" w:cs="Arial"/>
          <w:color w:val="000000"/>
          <w:u w:val="single"/>
          <w:lang w:eastAsia="bg-BG"/>
        </w:rPr>
        <w:t>Други</w:t>
      </w:r>
    </w:p>
    <w:p w14:paraId="172AE819" w14:textId="0404C819" w:rsidR="0091385D" w:rsidRDefault="00E72714" w:rsidP="00E72714">
      <w:r w:rsidRPr="00E72714">
        <w:rPr>
          <w:rFonts w:eastAsia="Times New Roman" w:cs="Arial"/>
          <w:color w:val="000000"/>
          <w:lang w:eastAsia="bg-BG"/>
        </w:rPr>
        <w:t>Ваксина срещу жълта треска и други атенюирани живи ваксини не се препоръчват поради риск от систематично, вероятно фатално заболяване, особено при пациенти с потисната имунна система.</w:t>
      </w:r>
    </w:p>
    <w:p w14:paraId="5B2761C5" w14:textId="77777777" w:rsidR="0091385D" w:rsidRPr="0091385D" w:rsidRDefault="0091385D"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36CC3130" w14:textId="77777777" w:rsidR="00E72714" w:rsidRPr="00E72714" w:rsidRDefault="00E72714" w:rsidP="00E72714">
      <w:pPr>
        <w:pStyle w:val="Heading3"/>
        <w:rPr>
          <w:rFonts w:eastAsia="Times New Roman"/>
          <w:u w:val="single"/>
          <w:lang w:eastAsia="bg-BG"/>
        </w:rPr>
      </w:pPr>
      <w:r w:rsidRPr="00E72714">
        <w:rPr>
          <w:rFonts w:eastAsia="Times New Roman"/>
          <w:u w:val="single"/>
          <w:lang w:eastAsia="bg-BG"/>
        </w:rPr>
        <w:t>Бременност</w:t>
      </w:r>
    </w:p>
    <w:p w14:paraId="5287D7C0" w14:textId="77777777" w:rsidR="00E72714" w:rsidRPr="00E72714" w:rsidRDefault="00E72714" w:rsidP="00E72714">
      <w:pPr>
        <w:spacing w:line="240" w:lineRule="auto"/>
        <w:rPr>
          <w:rFonts w:eastAsia="Times New Roman" w:cs="Arial"/>
          <w:sz w:val="24"/>
          <w:szCs w:val="24"/>
          <w:lang w:eastAsia="bg-BG"/>
        </w:rPr>
      </w:pPr>
      <w:r w:rsidRPr="00E72714">
        <w:rPr>
          <w:rFonts w:eastAsia="Times New Roman" w:cs="Arial"/>
          <w:color w:val="000000"/>
          <w:lang w:eastAsia="bg-BG"/>
        </w:rPr>
        <w:t>Няма достатъчни данни от употребата на гемцитабин при бременни жени. Изследвания при животни показват репродуктивна токсичност (вж. точка 5.3). Според резултати от изследвания на животни и механизмът на действие на гемцитабин, този лекарствен продукт не трябва да се използва по време на бременност, освен при изрична необходимост. Жените трябва да бъдат съветвани да не забременяват по време на лечение с гемцитабин и да информират лекуващия си лекар незабавно, ако това все пак се случи.</w:t>
      </w:r>
    </w:p>
    <w:p w14:paraId="4F3A8E14" w14:textId="77777777" w:rsidR="00E72714" w:rsidRPr="00E72714" w:rsidRDefault="00E72714" w:rsidP="00E72714">
      <w:pPr>
        <w:spacing w:line="240" w:lineRule="auto"/>
        <w:rPr>
          <w:rFonts w:eastAsia="Times New Roman" w:cs="Arial"/>
          <w:color w:val="000000"/>
          <w:u w:val="single"/>
          <w:lang w:eastAsia="bg-BG"/>
        </w:rPr>
      </w:pPr>
    </w:p>
    <w:p w14:paraId="406CCE5F" w14:textId="133ABB92" w:rsidR="00E72714" w:rsidRPr="00E72714" w:rsidRDefault="00E72714" w:rsidP="00E72714">
      <w:pPr>
        <w:pStyle w:val="Heading3"/>
        <w:rPr>
          <w:rFonts w:eastAsia="Times New Roman"/>
          <w:u w:val="single"/>
          <w:lang w:eastAsia="bg-BG"/>
        </w:rPr>
      </w:pPr>
      <w:r w:rsidRPr="00E72714">
        <w:rPr>
          <w:rFonts w:eastAsia="Times New Roman"/>
          <w:u w:val="single"/>
          <w:lang w:eastAsia="bg-BG"/>
        </w:rPr>
        <w:t>Кърмене</w:t>
      </w:r>
    </w:p>
    <w:p w14:paraId="776662C5" w14:textId="77278003" w:rsidR="0091385D" w:rsidRPr="00E72714" w:rsidRDefault="00E72714" w:rsidP="00E72714">
      <w:pPr>
        <w:rPr>
          <w:rFonts w:eastAsia="Times New Roman" w:cs="Arial"/>
          <w:color w:val="000000"/>
          <w:lang w:eastAsia="bg-BG"/>
        </w:rPr>
      </w:pPr>
      <w:r w:rsidRPr="00E72714">
        <w:rPr>
          <w:rFonts w:eastAsia="Times New Roman" w:cs="Arial"/>
          <w:color w:val="000000"/>
          <w:lang w:eastAsia="bg-BG"/>
        </w:rPr>
        <w:t>Не е известно дали гемцитабин преминава в човешкото мляко и не са изключени неблагоприятни ефекти върху кърмачето. Кърменето трябва да се прекрати по време на терапия с гемцитабин.</w:t>
      </w:r>
    </w:p>
    <w:p w14:paraId="4166F5EA" w14:textId="25F4F18B" w:rsidR="00E72714" w:rsidRPr="00E72714" w:rsidRDefault="00E72714" w:rsidP="00E72714">
      <w:pPr>
        <w:rPr>
          <w:rFonts w:eastAsia="Times New Roman" w:cs="Arial"/>
          <w:color w:val="000000"/>
          <w:lang w:eastAsia="bg-BG"/>
        </w:rPr>
      </w:pPr>
    </w:p>
    <w:p w14:paraId="340B9DBE" w14:textId="77777777" w:rsidR="00E72714" w:rsidRPr="00E72714" w:rsidRDefault="00E72714" w:rsidP="00E72714">
      <w:pPr>
        <w:pStyle w:val="Heading3"/>
        <w:rPr>
          <w:rFonts w:eastAsia="Times New Roman"/>
          <w:u w:val="single"/>
          <w:lang w:eastAsia="bg-BG"/>
        </w:rPr>
      </w:pPr>
      <w:r w:rsidRPr="00E72714">
        <w:rPr>
          <w:rFonts w:eastAsia="Times New Roman"/>
          <w:u w:val="single"/>
          <w:lang w:eastAsia="bg-BG"/>
        </w:rPr>
        <w:t>Фертилитет</w:t>
      </w:r>
    </w:p>
    <w:p w14:paraId="40E32BAD" w14:textId="3CAF496E" w:rsidR="00E72714" w:rsidRPr="00E72714" w:rsidRDefault="00E72714" w:rsidP="00E72714">
      <w:pPr>
        <w:rPr>
          <w:rFonts w:cs="Arial"/>
        </w:rPr>
      </w:pPr>
      <w:r w:rsidRPr="00E72714">
        <w:rPr>
          <w:rFonts w:eastAsia="Times New Roman" w:cs="Arial"/>
          <w:color w:val="000000"/>
          <w:lang w:eastAsia="bg-BG"/>
        </w:rPr>
        <w:t xml:space="preserve">При проучванията за влиянието върху фертилитета, гемцитабин причинява хипосперматогенеза при мъжките мишки (вж. точка 5.3). Поради това мъжете, лекувани с гемцитабин са съветвани да не стават бащи по време на лечението и 6 месеца след него, </w:t>
      </w:r>
      <w:r w:rsidRPr="00E72714">
        <w:rPr>
          <w:rFonts w:eastAsia="Times New Roman" w:cs="Arial"/>
          <w:color w:val="000000"/>
          <w:lang w:eastAsia="bg-BG"/>
        </w:rPr>
        <w:lastRenderedPageBreak/>
        <w:t>както и да се консултират допълнително относно криоконсервация на сперма преди лечението, поради вероятност от безплодие, дължащо се на терапията с гемцитабин.</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2DE038E1" w:rsidR="0091385D" w:rsidRDefault="00E72714" w:rsidP="0091385D">
      <w:r>
        <w:t>Не са провеждани проучвания за ефекта върху способността за шофиране и работа с машини. Все пак, има съобщения, че гемцитабин причинява от слаба до умерена сънливост, особено в комбинация с алкохол. Пациентите трябва да бъдат предупреждавани да не шофират или работят с машини, докато не установят, че медикаментът не им причинява сънливост.</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2FB48F96" w14:textId="77777777" w:rsidR="00E72714" w:rsidRPr="00E72714" w:rsidRDefault="00E72714" w:rsidP="00E72714">
      <w:pPr>
        <w:spacing w:line="240" w:lineRule="auto"/>
        <w:rPr>
          <w:rFonts w:eastAsia="Times New Roman" w:cs="Arial"/>
          <w:sz w:val="24"/>
          <w:szCs w:val="24"/>
          <w:lang w:eastAsia="bg-BG"/>
        </w:rPr>
      </w:pPr>
      <w:r w:rsidRPr="00E72714">
        <w:rPr>
          <w:rFonts w:eastAsia="Times New Roman" w:cs="Arial"/>
          <w:color w:val="000000"/>
          <w:lang w:eastAsia="bg-BG"/>
        </w:rPr>
        <w:t xml:space="preserve">Най-често съобщаваните нежелани лекарствени реакции, свързани с гемцитабин включват: гадене със или без повръщане, повишени трансаминази на черния дроб </w:t>
      </w:r>
      <w:r w:rsidRPr="00E72714">
        <w:rPr>
          <w:rFonts w:eastAsia="Times New Roman" w:cs="Arial"/>
          <w:color w:val="000000"/>
          <w:lang w:val="en-US"/>
        </w:rPr>
        <w:t xml:space="preserve">(AST/ALT) </w:t>
      </w:r>
      <w:r w:rsidRPr="00E72714">
        <w:rPr>
          <w:rFonts w:eastAsia="Times New Roman" w:cs="Arial"/>
          <w:color w:val="000000"/>
          <w:lang w:eastAsia="bg-BG"/>
        </w:rPr>
        <w:t>и алкална фосфатаза, наблюдавани при приблизително 60% от пациентите; протеинурия и хематурия, наблюдавани при приблизително 50% от пациентите; диспнея, наблюдавана при 10-40% от пациентите (с най-голяма честота при болни от рак на белия дроб); алергични обриви на кожата се появяват при приблизително 25% от пациентите и са свързани със сърбеж при 10% от пациентите.</w:t>
      </w:r>
    </w:p>
    <w:p w14:paraId="2847CDC3" w14:textId="77777777" w:rsidR="00E72714" w:rsidRPr="00E72714" w:rsidRDefault="00E72714" w:rsidP="00E72714">
      <w:pPr>
        <w:spacing w:line="240" w:lineRule="auto"/>
        <w:rPr>
          <w:rFonts w:eastAsia="Times New Roman" w:cs="Arial"/>
          <w:color w:val="000000"/>
          <w:lang w:eastAsia="bg-BG"/>
        </w:rPr>
      </w:pPr>
    </w:p>
    <w:p w14:paraId="3CF54C8A" w14:textId="2FB75BC1" w:rsidR="00E72714" w:rsidRPr="00E72714" w:rsidRDefault="00E72714" w:rsidP="00E72714">
      <w:pPr>
        <w:spacing w:line="240" w:lineRule="auto"/>
        <w:rPr>
          <w:rFonts w:eastAsia="Times New Roman" w:cs="Arial"/>
          <w:sz w:val="24"/>
          <w:szCs w:val="24"/>
          <w:lang w:eastAsia="bg-BG"/>
        </w:rPr>
      </w:pPr>
      <w:r w:rsidRPr="00E72714">
        <w:rPr>
          <w:rFonts w:eastAsia="Times New Roman" w:cs="Arial"/>
          <w:color w:val="000000"/>
          <w:lang w:eastAsia="bg-BG"/>
        </w:rPr>
        <w:t>Честотата и тежестта на нежеланите лекарствени реакции се повлияват от дозата, скоростта на вливане и интервалите между дозите (вж. точка 4.4). Нежелани реакции, които са индикатор за намаляване на дозата, са намаляване на броя на тромбоцитите, левкоцитите и гранулоцитите (вж. точка 4.2).</w:t>
      </w:r>
    </w:p>
    <w:p w14:paraId="4F209315" w14:textId="77777777" w:rsidR="00E72714" w:rsidRPr="00E72714" w:rsidRDefault="00E72714" w:rsidP="00E72714">
      <w:pPr>
        <w:spacing w:line="240" w:lineRule="auto"/>
        <w:rPr>
          <w:rFonts w:eastAsia="Times New Roman" w:cs="Arial"/>
          <w:color w:val="000000"/>
          <w:u w:val="single"/>
          <w:lang w:eastAsia="bg-BG"/>
        </w:rPr>
      </w:pPr>
    </w:p>
    <w:p w14:paraId="29862090" w14:textId="1BB6CE99" w:rsidR="00E72714" w:rsidRPr="00E72714" w:rsidRDefault="00E72714" w:rsidP="00E72714">
      <w:pPr>
        <w:spacing w:line="240" w:lineRule="auto"/>
        <w:rPr>
          <w:rFonts w:eastAsia="Times New Roman" w:cs="Arial"/>
          <w:sz w:val="24"/>
          <w:szCs w:val="24"/>
          <w:lang w:eastAsia="bg-BG"/>
        </w:rPr>
      </w:pPr>
      <w:r w:rsidRPr="00E72714">
        <w:rPr>
          <w:rFonts w:eastAsia="Times New Roman" w:cs="Arial"/>
          <w:color w:val="000000"/>
          <w:u w:val="single"/>
          <w:lang w:eastAsia="bg-BG"/>
        </w:rPr>
        <w:t>Данни от клинични изпитвания</w:t>
      </w:r>
    </w:p>
    <w:p w14:paraId="199C0EFA" w14:textId="77777777" w:rsidR="00E72714" w:rsidRPr="00E72714" w:rsidRDefault="00E72714" w:rsidP="00E72714">
      <w:pPr>
        <w:spacing w:line="240" w:lineRule="auto"/>
        <w:rPr>
          <w:rFonts w:eastAsia="Times New Roman" w:cs="Arial"/>
          <w:sz w:val="24"/>
          <w:szCs w:val="24"/>
          <w:lang w:eastAsia="bg-BG"/>
        </w:rPr>
      </w:pPr>
      <w:r w:rsidRPr="00E72714">
        <w:rPr>
          <w:rFonts w:eastAsia="Times New Roman" w:cs="Arial"/>
          <w:color w:val="000000"/>
          <w:lang w:eastAsia="bg-BG"/>
        </w:rPr>
        <w:t>Според честота си нежеланите реакции се определят като: много чести (≥1/10), чести (≥1/100 до &lt;1/10), нечести (≥1/1 000 до &lt;1/100), редки (≥1/10 000 до &lt;1/1 000), много редки (&lt;1/10 000) и с неизвестна честота (от наличните данни не може да бъде направена оценка).</w:t>
      </w:r>
    </w:p>
    <w:p w14:paraId="63B46C97" w14:textId="77777777" w:rsidR="00E72714" w:rsidRPr="00E72714" w:rsidRDefault="00E72714" w:rsidP="00E72714">
      <w:pPr>
        <w:rPr>
          <w:rFonts w:eastAsia="Times New Roman" w:cs="Arial"/>
          <w:color w:val="000000"/>
          <w:lang w:eastAsia="bg-BG"/>
        </w:rPr>
      </w:pPr>
    </w:p>
    <w:p w14:paraId="570508C4" w14:textId="36EE014B" w:rsidR="0091385D" w:rsidRPr="00E72714" w:rsidRDefault="00E72714" w:rsidP="00E72714">
      <w:pPr>
        <w:rPr>
          <w:rFonts w:cs="Arial"/>
        </w:rPr>
      </w:pPr>
      <w:r w:rsidRPr="00E72714">
        <w:rPr>
          <w:rFonts w:eastAsia="Times New Roman" w:cs="Arial"/>
          <w:color w:val="000000"/>
          <w:lang w:eastAsia="bg-BG"/>
        </w:rPr>
        <w:t>Следната таблица на нежеланите лекарствени реакции и честотата се основава на данни от клиничните изпитвания. При всяка категория в зависимост от честотата, нежеланите лекарствени реакции се изброяват в низходящ ред по отношение на тяхната сериозност.</w:t>
      </w:r>
    </w:p>
    <w:p w14:paraId="43E3C48F" w14:textId="28F182D9" w:rsidR="0091385D" w:rsidRDefault="0091385D" w:rsidP="0091385D"/>
    <w:tbl>
      <w:tblPr>
        <w:tblStyle w:val="TableGrid"/>
        <w:tblW w:w="0" w:type="auto"/>
        <w:tblLook w:val="04A0" w:firstRow="1" w:lastRow="0" w:firstColumn="1" w:lastColumn="0" w:noHBand="0" w:noVBand="1"/>
      </w:tblPr>
      <w:tblGrid>
        <w:gridCol w:w="4750"/>
        <w:gridCol w:w="4750"/>
      </w:tblGrid>
      <w:tr w:rsidR="00BD62DB" w14:paraId="7FFED83E" w14:textId="77777777" w:rsidTr="00BD62DB">
        <w:tc>
          <w:tcPr>
            <w:tcW w:w="4750" w:type="dxa"/>
          </w:tcPr>
          <w:p w14:paraId="65115704" w14:textId="28C91B94" w:rsidR="00BD62DB" w:rsidRDefault="00BD62DB" w:rsidP="00BD62DB">
            <w:r>
              <w:t>Системо-органен клас</w:t>
            </w:r>
          </w:p>
        </w:tc>
        <w:tc>
          <w:tcPr>
            <w:tcW w:w="4750" w:type="dxa"/>
          </w:tcPr>
          <w:p w14:paraId="654415A2" w14:textId="4633C8E5" w:rsidR="00BD62DB" w:rsidRDefault="00BD62DB" w:rsidP="00BD62DB">
            <w:r>
              <w:t>Групиране по честота</w:t>
            </w:r>
          </w:p>
        </w:tc>
      </w:tr>
      <w:tr w:rsidR="00BD62DB" w14:paraId="2F197909" w14:textId="77777777" w:rsidTr="00BD62DB">
        <w:tc>
          <w:tcPr>
            <w:tcW w:w="4750" w:type="dxa"/>
          </w:tcPr>
          <w:p w14:paraId="6EBAAE0B" w14:textId="4BAEC1A6" w:rsidR="00BD62DB" w:rsidRDefault="00BD62DB" w:rsidP="00BD62DB">
            <w:r>
              <w:t>Инфекции и инфестации</w:t>
            </w:r>
          </w:p>
        </w:tc>
        <w:tc>
          <w:tcPr>
            <w:tcW w:w="4750" w:type="dxa"/>
          </w:tcPr>
          <w:p w14:paraId="0A47C996" w14:textId="77777777" w:rsidR="00BD62DB" w:rsidRDefault="00BD62DB" w:rsidP="00BD62DB">
            <w:r>
              <w:t>Чести</w:t>
            </w:r>
          </w:p>
          <w:p w14:paraId="7F0D2F85" w14:textId="149BFC9A" w:rsidR="00BD62DB" w:rsidRDefault="00BD62DB" w:rsidP="00D8509D">
            <w:pPr>
              <w:pStyle w:val="ListParagraph"/>
              <w:numPr>
                <w:ilvl w:val="0"/>
                <w:numId w:val="3"/>
              </w:numPr>
            </w:pPr>
            <w:r>
              <w:t>Инфекции С неизвестна честота</w:t>
            </w:r>
          </w:p>
          <w:p w14:paraId="0AB3CF04" w14:textId="4EF1890E" w:rsidR="00BD62DB" w:rsidRDefault="00BD62DB" w:rsidP="00D8509D">
            <w:pPr>
              <w:pStyle w:val="ListParagraph"/>
              <w:numPr>
                <w:ilvl w:val="0"/>
                <w:numId w:val="3"/>
              </w:numPr>
            </w:pPr>
            <w:r>
              <w:t>Сепсис</w:t>
            </w:r>
          </w:p>
        </w:tc>
      </w:tr>
      <w:tr w:rsidR="00BD62DB" w14:paraId="175BD8AC" w14:textId="77777777" w:rsidTr="00420761">
        <w:trPr>
          <w:trHeight w:val="3632"/>
        </w:trPr>
        <w:tc>
          <w:tcPr>
            <w:tcW w:w="4750" w:type="dxa"/>
          </w:tcPr>
          <w:p w14:paraId="7F452B07" w14:textId="6433A29F" w:rsidR="00BD62DB" w:rsidRDefault="00BD62DB" w:rsidP="00BD62DB">
            <w:r>
              <w:lastRenderedPageBreak/>
              <w:t>Нарушения на кръвта и лимфната система</w:t>
            </w:r>
          </w:p>
        </w:tc>
        <w:tc>
          <w:tcPr>
            <w:tcW w:w="4750" w:type="dxa"/>
          </w:tcPr>
          <w:p w14:paraId="2BF2911E" w14:textId="77777777" w:rsidR="00BD62DB" w:rsidRDefault="00BD62DB" w:rsidP="00BD62DB">
            <w:r>
              <w:t>Много чести</w:t>
            </w:r>
          </w:p>
          <w:p w14:paraId="13B60032" w14:textId="77777777" w:rsidR="00BD62DB" w:rsidRDefault="00BD62DB" w:rsidP="00D8509D">
            <w:pPr>
              <w:pStyle w:val="ListParagraph"/>
              <w:numPr>
                <w:ilvl w:val="0"/>
                <w:numId w:val="4"/>
              </w:numPr>
              <w:spacing w:line="240" w:lineRule="auto"/>
            </w:pPr>
            <w:r>
              <w:t>Левкопения (неутропения от степен 3 = 19,3 %; степен 4 = 6 %). Обикновено потискане на костния мозък е леко до умерено изразено и в повечето случаи засяга броя на гранулоцитите (вж. точка 4.2)</w:t>
            </w:r>
          </w:p>
          <w:p w14:paraId="48323EE7" w14:textId="77777777" w:rsidR="00BD62DB" w:rsidRDefault="00BD62DB" w:rsidP="00D8509D">
            <w:pPr>
              <w:pStyle w:val="ListParagraph"/>
              <w:numPr>
                <w:ilvl w:val="0"/>
                <w:numId w:val="4"/>
              </w:numPr>
              <w:spacing w:line="240" w:lineRule="auto"/>
            </w:pPr>
            <w:r>
              <w:t>Тромбоцитопения</w:t>
            </w:r>
          </w:p>
          <w:p w14:paraId="7C412952" w14:textId="77777777" w:rsidR="00BD62DB" w:rsidRDefault="00BD62DB" w:rsidP="00D8509D">
            <w:pPr>
              <w:pStyle w:val="ListParagraph"/>
              <w:numPr>
                <w:ilvl w:val="0"/>
                <w:numId w:val="4"/>
              </w:numPr>
            </w:pPr>
            <w:r>
              <w:t>Анемия</w:t>
            </w:r>
          </w:p>
          <w:p w14:paraId="6ADB173D" w14:textId="77777777" w:rsidR="00BD62DB" w:rsidRDefault="00BD62DB" w:rsidP="00BD62DB">
            <w:r>
              <w:t>Чести</w:t>
            </w:r>
          </w:p>
          <w:p w14:paraId="72176117" w14:textId="77777777" w:rsidR="00BD62DB" w:rsidRDefault="00BD62DB" w:rsidP="00D8509D">
            <w:pPr>
              <w:pStyle w:val="ListParagraph"/>
              <w:numPr>
                <w:ilvl w:val="0"/>
                <w:numId w:val="6"/>
              </w:numPr>
              <w:spacing w:line="240" w:lineRule="auto"/>
            </w:pPr>
            <w:r>
              <w:t>Фебрилна неутропения</w:t>
            </w:r>
          </w:p>
          <w:p w14:paraId="05F498C9" w14:textId="77777777" w:rsidR="00BD62DB" w:rsidRDefault="00BD62DB" w:rsidP="00BD62DB">
            <w:r>
              <w:t>Много редки</w:t>
            </w:r>
          </w:p>
          <w:p w14:paraId="1395FA04" w14:textId="77777777" w:rsidR="00BD62DB" w:rsidRDefault="00BD62DB" w:rsidP="00D8509D">
            <w:pPr>
              <w:pStyle w:val="ListParagraph"/>
              <w:numPr>
                <w:ilvl w:val="0"/>
                <w:numId w:val="5"/>
              </w:numPr>
              <w:spacing w:line="240" w:lineRule="auto"/>
            </w:pPr>
            <w:r>
              <w:t>Тромбоцитоза</w:t>
            </w:r>
          </w:p>
          <w:p w14:paraId="1B90A6CD" w14:textId="7BA51842" w:rsidR="00BD62DB" w:rsidRDefault="00BD62DB" w:rsidP="00D8509D">
            <w:pPr>
              <w:pStyle w:val="ListParagraph"/>
              <w:numPr>
                <w:ilvl w:val="0"/>
                <w:numId w:val="5"/>
              </w:numPr>
            </w:pPr>
            <w:r>
              <w:t>Тромботична микроангиопатия</w:t>
            </w:r>
          </w:p>
        </w:tc>
      </w:tr>
      <w:tr w:rsidR="00BD62DB" w14:paraId="35E53416" w14:textId="77777777" w:rsidTr="00420761">
        <w:tc>
          <w:tcPr>
            <w:tcW w:w="4750" w:type="dxa"/>
          </w:tcPr>
          <w:p w14:paraId="3780D086" w14:textId="3A3184B0" w:rsidR="00BD62DB" w:rsidRDefault="00BD62DB" w:rsidP="00BD62DB">
            <w:r>
              <w:t>Нарушения на имунната система</w:t>
            </w:r>
          </w:p>
        </w:tc>
        <w:tc>
          <w:tcPr>
            <w:tcW w:w="4750" w:type="dxa"/>
            <w:vAlign w:val="bottom"/>
          </w:tcPr>
          <w:p w14:paraId="18BC2098" w14:textId="77777777" w:rsidR="00BD62DB" w:rsidRDefault="00BD62DB" w:rsidP="00BD62DB">
            <w:r>
              <w:t>Много редки</w:t>
            </w:r>
          </w:p>
          <w:p w14:paraId="63CC765A" w14:textId="043B13BB" w:rsidR="00BD62DB" w:rsidRDefault="00BD62DB" w:rsidP="00BD62DB">
            <w:r>
              <w:t>• Анафилактоидни реакции</w:t>
            </w:r>
          </w:p>
        </w:tc>
      </w:tr>
      <w:tr w:rsidR="00BD62DB" w14:paraId="19D36910" w14:textId="77777777" w:rsidTr="00420761">
        <w:tc>
          <w:tcPr>
            <w:tcW w:w="4750" w:type="dxa"/>
          </w:tcPr>
          <w:p w14:paraId="350BFE38" w14:textId="69709C5C" w:rsidR="00BD62DB" w:rsidRDefault="00BD62DB" w:rsidP="00BD62DB">
            <w:r>
              <w:t>Нарушения на метаболизма и храненето</w:t>
            </w:r>
          </w:p>
        </w:tc>
        <w:tc>
          <w:tcPr>
            <w:tcW w:w="4750" w:type="dxa"/>
            <w:vAlign w:val="bottom"/>
          </w:tcPr>
          <w:p w14:paraId="202B74CD" w14:textId="77777777" w:rsidR="00BD62DB" w:rsidRDefault="00BD62DB" w:rsidP="00BD62DB">
            <w:r>
              <w:t>Чести</w:t>
            </w:r>
          </w:p>
          <w:p w14:paraId="28247619" w14:textId="3E2CAE38" w:rsidR="00BD62DB" w:rsidRDefault="00BD62DB" w:rsidP="00BD62DB">
            <w:r>
              <w:t>• Анорексия</w:t>
            </w:r>
          </w:p>
        </w:tc>
      </w:tr>
      <w:tr w:rsidR="00BD62DB" w14:paraId="3E94F8B3" w14:textId="77777777" w:rsidTr="00420761">
        <w:tc>
          <w:tcPr>
            <w:tcW w:w="4750" w:type="dxa"/>
          </w:tcPr>
          <w:p w14:paraId="5E724554" w14:textId="53247AB3" w:rsidR="00BD62DB" w:rsidRDefault="00BD62DB" w:rsidP="00BD62DB">
            <w:r>
              <w:t>Нарушения на нервната система</w:t>
            </w:r>
          </w:p>
        </w:tc>
        <w:tc>
          <w:tcPr>
            <w:tcW w:w="4750" w:type="dxa"/>
            <w:vAlign w:val="bottom"/>
          </w:tcPr>
          <w:p w14:paraId="3984157F" w14:textId="77777777" w:rsidR="00BD62DB" w:rsidRDefault="00BD62DB" w:rsidP="00BD62DB">
            <w:r>
              <w:t>Чести</w:t>
            </w:r>
          </w:p>
          <w:p w14:paraId="58C1A1D5" w14:textId="77777777" w:rsidR="00BD62DB" w:rsidRDefault="00BD62DB" w:rsidP="00D8509D">
            <w:pPr>
              <w:pStyle w:val="ListParagraph"/>
              <w:numPr>
                <w:ilvl w:val="0"/>
                <w:numId w:val="7"/>
              </w:numPr>
              <w:spacing w:line="240" w:lineRule="auto"/>
            </w:pPr>
            <w:r>
              <w:t>Главоболие</w:t>
            </w:r>
          </w:p>
          <w:p w14:paraId="58CF5F0D" w14:textId="267E5CFA" w:rsidR="00BD62DB" w:rsidRDefault="00BD62DB" w:rsidP="00D8509D">
            <w:pPr>
              <w:pStyle w:val="ListParagraph"/>
              <w:numPr>
                <w:ilvl w:val="0"/>
                <w:numId w:val="7"/>
              </w:numPr>
              <w:spacing w:line="240" w:lineRule="auto"/>
            </w:pPr>
            <w:r>
              <w:t>Безсъние</w:t>
            </w:r>
          </w:p>
          <w:p w14:paraId="71DF432B" w14:textId="2DCE2788" w:rsidR="00BD62DB" w:rsidRDefault="00BD62DB" w:rsidP="00D8509D">
            <w:pPr>
              <w:pStyle w:val="ListParagraph"/>
              <w:numPr>
                <w:ilvl w:val="0"/>
                <w:numId w:val="7"/>
              </w:numPr>
              <w:spacing w:line="240" w:lineRule="auto"/>
            </w:pPr>
            <w:r>
              <w:t>Сънливост</w:t>
            </w:r>
          </w:p>
          <w:p w14:paraId="1D20C561" w14:textId="77777777" w:rsidR="00BD62DB" w:rsidRDefault="00BD62DB" w:rsidP="00BD62DB">
            <w:r>
              <w:t>Нечести</w:t>
            </w:r>
          </w:p>
          <w:p w14:paraId="0D40DE5A" w14:textId="77777777" w:rsidR="00BD62DB" w:rsidRDefault="00BD62DB" w:rsidP="00D8509D">
            <w:pPr>
              <w:pStyle w:val="ListParagraph"/>
              <w:numPr>
                <w:ilvl w:val="0"/>
                <w:numId w:val="8"/>
              </w:numPr>
              <w:spacing w:line="240" w:lineRule="auto"/>
            </w:pPr>
            <w:r>
              <w:t>Клинични признаци на мозъчно- съдов инцидент</w:t>
            </w:r>
          </w:p>
          <w:p w14:paraId="0C9EDA72" w14:textId="77777777" w:rsidR="00BD62DB" w:rsidRDefault="00BD62DB" w:rsidP="00BD62DB">
            <w:r>
              <w:t>Много редки</w:t>
            </w:r>
          </w:p>
          <w:p w14:paraId="60DAA265" w14:textId="452F0049" w:rsidR="00BD62DB" w:rsidRDefault="00BD62DB" w:rsidP="00D8509D">
            <w:pPr>
              <w:pStyle w:val="ListParagraph"/>
              <w:numPr>
                <w:ilvl w:val="0"/>
                <w:numId w:val="8"/>
              </w:numPr>
            </w:pPr>
            <w:r>
              <w:t xml:space="preserve">Синдром на задната обратима енцефалопатия </w:t>
            </w:r>
            <w:r w:rsidRPr="00BD62DB">
              <w:rPr>
                <w:lang w:val="en-US"/>
              </w:rPr>
              <w:t xml:space="preserve">(PRES) </w:t>
            </w:r>
            <w:r>
              <w:t>вж. точка 4.4</w:t>
            </w:r>
          </w:p>
        </w:tc>
      </w:tr>
      <w:tr w:rsidR="00BD62DB" w14:paraId="68B688CA" w14:textId="77777777" w:rsidTr="00BD62DB">
        <w:tc>
          <w:tcPr>
            <w:tcW w:w="4750" w:type="dxa"/>
          </w:tcPr>
          <w:p w14:paraId="7415B61A" w14:textId="372AC530" w:rsidR="00BD62DB" w:rsidRDefault="00BD62DB" w:rsidP="00BD62DB">
            <w:r>
              <w:t>Сърдечни нарушения</w:t>
            </w:r>
          </w:p>
        </w:tc>
        <w:tc>
          <w:tcPr>
            <w:tcW w:w="4750" w:type="dxa"/>
          </w:tcPr>
          <w:p w14:paraId="7EDBA604" w14:textId="77777777" w:rsidR="00BD62DB" w:rsidRDefault="00BD62DB" w:rsidP="00BD62DB">
            <w:r>
              <w:t>Нечести</w:t>
            </w:r>
          </w:p>
          <w:p w14:paraId="05E63FF8" w14:textId="77777777" w:rsidR="00BD62DB" w:rsidRDefault="00BD62DB" w:rsidP="00D8509D">
            <w:pPr>
              <w:pStyle w:val="ListParagraph"/>
              <w:numPr>
                <w:ilvl w:val="0"/>
                <w:numId w:val="8"/>
              </w:numPr>
              <w:spacing w:line="240" w:lineRule="auto"/>
            </w:pPr>
            <w:r>
              <w:t>Аритмии, предимно надкамерна по произход</w:t>
            </w:r>
          </w:p>
          <w:p w14:paraId="0E5D7169" w14:textId="12B35C3D" w:rsidR="00BD62DB" w:rsidRDefault="00BD62DB" w:rsidP="00D8509D">
            <w:pPr>
              <w:pStyle w:val="ListParagraph"/>
              <w:numPr>
                <w:ilvl w:val="0"/>
                <w:numId w:val="8"/>
              </w:numPr>
              <w:spacing w:line="240" w:lineRule="auto"/>
            </w:pPr>
            <w:r>
              <w:t>Сърдечна недостатъчност</w:t>
            </w:r>
          </w:p>
          <w:p w14:paraId="31D47B59" w14:textId="77777777" w:rsidR="00BD62DB" w:rsidRDefault="00BD62DB" w:rsidP="00BD62DB">
            <w:r>
              <w:t>Редки</w:t>
            </w:r>
          </w:p>
          <w:p w14:paraId="7FF803CB" w14:textId="3F8CD3A2" w:rsidR="00BD62DB" w:rsidRDefault="00BD62DB" w:rsidP="00D8509D">
            <w:pPr>
              <w:pStyle w:val="ListParagraph"/>
              <w:numPr>
                <w:ilvl w:val="0"/>
                <w:numId w:val="9"/>
              </w:numPr>
            </w:pPr>
            <w:r>
              <w:t>Инфаркт на миокарда</w:t>
            </w:r>
          </w:p>
        </w:tc>
      </w:tr>
      <w:tr w:rsidR="00BD62DB" w14:paraId="39DB7C0E" w14:textId="77777777" w:rsidTr="00420761">
        <w:tc>
          <w:tcPr>
            <w:tcW w:w="4750" w:type="dxa"/>
          </w:tcPr>
          <w:p w14:paraId="3DAAABF0" w14:textId="03B63811" w:rsidR="00BD62DB" w:rsidRDefault="00BD62DB" w:rsidP="00BD62DB">
            <w:r>
              <w:t>Съдови нарушения</w:t>
            </w:r>
          </w:p>
        </w:tc>
        <w:tc>
          <w:tcPr>
            <w:tcW w:w="4750" w:type="dxa"/>
            <w:vAlign w:val="bottom"/>
          </w:tcPr>
          <w:p w14:paraId="00919DE0" w14:textId="77777777" w:rsidR="00BD62DB" w:rsidRDefault="00BD62DB" w:rsidP="00BD62DB">
            <w:r>
              <w:t>Редки</w:t>
            </w:r>
          </w:p>
          <w:p w14:paraId="2FEC76FD" w14:textId="77777777" w:rsidR="00BD62DB" w:rsidRDefault="00BD62DB" w:rsidP="00D8509D">
            <w:pPr>
              <w:pStyle w:val="ListParagraph"/>
              <w:numPr>
                <w:ilvl w:val="0"/>
                <w:numId w:val="9"/>
              </w:numPr>
              <w:spacing w:line="240" w:lineRule="auto"/>
            </w:pPr>
            <w:r>
              <w:t>Хипотония</w:t>
            </w:r>
          </w:p>
          <w:p w14:paraId="6E883EEB" w14:textId="456E34CD" w:rsidR="00BD62DB" w:rsidRDefault="00BD62DB" w:rsidP="00D8509D">
            <w:pPr>
              <w:pStyle w:val="ListParagraph"/>
              <w:numPr>
                <w:ilvl w:val="0"/>
                <w:numId w:val="9"/>
              </w:numPr>
              <w:spacing w:line="240" w:lineRule="auto"/>
            </w:pPr>
            <w:r>
              <w:t>Клинични признаци на периферен васкулит и гангрена</w:t>
            </w:r>
          </w:p>
          <w:p w14:paraId="7BE2B63A" w14:textId="77777777" w:rsidR="00BD62DB" w:rsidRDefault="00BD62DB" w:rsidP="00BD62DB">
            <w:r>
              <w:t>Много редки</w:t>
            </w:r>
          </w:p>
          <w:p w14:paraId="5792E802" w14:textId="4375CED3" w:rsidR="00BD62DB" w:rsidRDefault="00BD62DB" w:rsidP="00D8509D">
            <w:pPr>
              <w:pStyle w:val="ListParagraph"/>
              <w:numPr>
                <w:ilvl w:val="0"/>
                <w:numId w:val="10"/>
              </w:numPr>
            </w:pPr>
            <w:r>
              <w:t>Синдром на капилярната пропускливост (вж. точка 4.4)</w:t>
            </w:r>
          </w:p>
        </w:tc>
      </w:tr>
      <w:tr w:rsidR="00BD62DB" w14:paraId="250310EF" w14:textId="77777777" w:rsidTr="00420761">
        <w:tc>
          <w:tcPr>
            <w:tcW w:w="4750" w:type="dxa"/>
          </w:tcPr>
          <w:p w14:paraId="3432EB12" w14:textId="23431734" w:rsidR="00BD62DB" w:rsidRDefault="00BD62DB" w:rsidP="00BD62DB">
            <w:r>
              <w:t>Респираторни, гръдни и медиастинални нарушения</w:t>
            </w:r>
          </w:p>
        </w:tc>
        <w:tc>
          <w:tcPr>
            <w:tcW w:w="4750" w:type="dxa"/>
            <w:vAlign w:val="bottom"/>
          </w:tcPr>
          <w:p w14:paraId="5FDDEF52" w14:textId="77777777" w:rsidR="00BD62DB" w:rsidRDefault="00BD62DB" w:rsidP="00BD62DB">
            <w:r>
              <w:t>Много чести</w:t>
            </w:r>
          </w:p>
          <w:p w14:paraId="6032F6ED" w14:textId="77777777" w:rsidR="00BD62DB" w:rsidRDefault="00BD62DB" w:rsidP="00D8509D">
            <w:pPr>
              <w:pStyle w:val="ListParagraph"/>
              <w:numPr>
                <w:ilvl w:val="0"/>
                <w:numId w:val="11"/>
              </w:numPr>
              <w:spacing w:line="240" w:lineRule="auto"/>
            </w:pPr>
            <w:r>
              <w:t>Диспнея - обикновено леко изразена и преминаваща бързо без лечение</w:t>
            </w:r>
          </w:p>
          <w:p w14:paraId="1E37CFA5" w14:textId="77777777" w:rsidR="00BD62DB" w:rsidRDefault="00BD62DB" w:rsidP="00BD62DB">
            <w:r>
              <w:t>Чести</w:t>
            </w:r>
          </w:p>
          <w:p w14:paraId="5C81C7CE" w14:textId="77777777" w:rsidR="00BD62DB" w:rsidRDefault="00BD62DB" w:rsidP="00D8509D">
            <w:pPr>
              <w:pStyle w:val="ListParagraph"/>
              <w:numPr>
                <w:ilvl w:val="0"/>
                <w:numId w:val="11"/>
              </w:numPr>
              <w:spacing w:line="240" w:lineRule="auto"/>
            </w:pPr>
            <w:r>
              <w:t>Кашлица</w:t>
            </w:r>
          </w:p>
          <w:p w14:paraId="67BE158E" w14:textId="2CA1F6B2" w:rsidR="00BD62DB" w:rsidRDefault="00BD62DB" w:rsidP="00D8509D">
            <w:pPr>
              <w:pStyle w:val="ListParagraph"/>
              <w:numPr>
                <w:ilvl w:val="0"/>
                <w:numId w:val="11"/>
              </w:numPr>
              <w:spacing w:line="240" w:lineRule="auto"/>
            </w:pPr>
            <w:r>
              <w:t>Ринит</w:t>
            </w:r>
          </w:p>
          <w:p w14:paraId="024DCC9F" w14:textId="77777777" w:rsidR="00BD62DB" w:rsidRDefault="00BD62DB" w:rsidP="00BD62DB">
            <w:r>
              <w:t>Нечести</w:t>
            </w:r>
          </w:p>
          <w:p w14:paraId="0B9A6811" w14:textId="77777777" w:rsidR="00BD62DB" w:rsidRDefault="00BD62DB" w:rsidP="00D8509D">
            <w:pPr>
              <w:pStyle w:val="ListParagraph"/>
              <w:numPr>
                <w:ilvl w:val="0"/>
                <w:numId w:val="12"/>
              </w:numPr>
              <w:spacing w:line="240" w:lineRule="auto"/>
            </w:pPr>
            <w:r>
              <w:lastRenderedPageBreak/>
              <w:t>Интерстициална пневмония (вж. точка 4.4)</w:t>
            </w:r>
          </w:p>
          <w:p w14:paraId="3621D4A8" w14:textId="77777777" w:rsidR="00BD62DB" w:rsidRDefault="00BD62DB" w:rsidP="00D8509D">
            <w:pPr>
              <w:pStyle w:val="ListParagraph"/>
              <w:numPr>
                <w:ilvl w:val="0"/>
                <w:numId w:val="12"/>
              </w:numPr>
              <w:spacing w:line="240" w:lineRule="auto"/>
            </w:pPr>
            <w:r>
              <w:t>Бронхоспазъм - обикновено леко изразен и преходен, но може да е необходимо парентерално лечение</w:t>
            </w:r>
          </w:p>
          <w:p w14:paraId="5327EE96" w14:textId="697E8784" w:rsidR="00BD62DB" w:rsidRDefault="00BD62DB" w:rsidP="00BD62DB">
            <w:pPr>
              <w:spacing w:line="240" w:lineRule="auto"/>
            </w:pPr>
            <w:r>
              <w:t>Редки</w:t>
            </w:r>
          </w:p>
          <w:p w14:paraId="3DF8E24F" w14:textId="77777777" w:rsidR="00BD62DB" w:rsidRDefault="00BD62DB" w:rsidP="00D8509D">
            <w:pPr>
              <w:pStyle w:val="ListParagraph"/>
              <w:numPr>
                <w:ilvl w:val="0"/>
                <w:numId w:val="13"/>
              </w:numPr>
              <w:spacing w:line="240" w:lineRule="auto"/>
            </w:pPr>
            <w:r>
              <w:t>Белодробен оток</w:t>
            </w:r>
          </w:p>
          <w:p w14:paraId="2070DE0B" w14:textId="100EC72B" w:rsidR="00BD62DB" w:rsidRDefault="00BD62DB" w:rsidP="00D8509D">
            <w:pPr>
              <w:pStyle w:val="ListParagraph"/>
              <w:numPr>
                <w:ilvl w:val="0"/>
                <w:numId w:val="13"/>
              </w:numPr>
            </w:pPr>
            <w:r>
              <w:t xml:space="preserve">Респираторен дистрес-синдром при възрастни </w:t>
            </w:r>
            <w:r w:rsidRPr="00BD62DB">
              <w:rPr>
                <w:lang w:val="en-US"/>
              </w:rPr>
              <w:t xml:space="preserve">(ARDS) </w:t>
            </w:r>
            <w:r>
              <w:t>(вж. точка 4.4)</w:t>
            </w:r>
          </w:p>
        </w:tc>
      </w:tr>
      <w:tr w:rsidR="00BD62DB" w14:paraId="2402C036" w14:textId="77777777" w:rsidTr="00420761">
        <w:tc>
          <w:tcPr>
            <w:tcW w:w="4750" w:type="dxa"/>
          </w:tcPr>
          <w:p w14:paraId="01AD5880" w14:textId="21FB87A0" w:rsidR="00BD62DB" w:rsidRDefault="00BD62DB" w:rsidP="00BD62DB">
            <w:r>
              <w:lastRenderedPageBreak/>
              <w:t>Стомашно-чревни нарушения</w:t>
            </w:r>
          </w:p>
        </w:tc>
        <w:tc>
          <w:tcPr>
            <w:tcW w:w="4750" w:type="dxa"/>
            <w:vAlign w:val="bottom"/>
          </w:tcPr>
          <w:p w14:paraId="498ED825" w14:textId="77777777" w:rsidR="00BD62DB" w:rsidRDefault="00BD62DB" w:rsidP="00BD62DB">
            <w:r>
              <w:t>Много чести</w:t>
            </w:r>
          </w:p>
          <w:p w14:paraId="238EFCB5" w14:textId="77777777" w:rsidR="00BD62DB" w:rsidRDefault="00BD62DB" w:rsidP="00D8509D">
            <w:pPr>
              <w:pStyle w:val="ListParagraph"/>
              <w:numPr>
                <w:ilvl w:val="0"/>
                <w:numId w:val="14"/>
              </w:numPr>
              <w:spacing w:line="240" w:lineRule="auto"/>
            </w:pPr>
            <w:r>
              <w:t>Повръщане</w:t>
            </w:r>
          </w:p>
          <w:p w14:paraId="0BDF53C3" w14:textId="2B382277" w:rsidR="00BD62DB" w:rsidRDefault="00BD62DB" w:rsidP="00D8509D">
            <w:pPr>
              <w:pStyle w:val="ListParagraph"/>
              <w:numPr>
                <w:ilvl w:val="0"/>
                <w:numId w:val="14"/>
              </w:numPr>
              <w:spacing w:line="240" w:lineRule="auto"/>
            </w:pPr>
            <w:r>
              <w:t>Гадене</w:t>
            </w:r>
          </w:p>
          <w:p w14:paraId="119D0BFA" w14:textId="77777777" w:rsidR="00BD62DB" w:rsidRDefault="00BD62DB" w:rsidP="00BD62DB">
            <w:r>
              <w:t>Чести</w:t>
            </w:r>
          </w:p>
          <w:p w14:paraId="1858D20D" w14:textId="77777777" w:rsidR="00BD62DB" w:rsidRDefault="00BD62DB" w:rsidP="00D8509D">
            <w:pPr>
              <w:pStyle w:val="ListParagraph"/>
              <w:numPr>
                <w:ilvl w:val="0"/>
                <w:numId w:val="15"/>
              </w:numPr>
              <w:spacing w:line="240" w:lineRule="auto"/>
            </w:pPr>
            <w:r>
              <w:t>Диария</w:t>
            </w:r>
          </w:p>
          <w:p w14:paraId="7CAED0BA" w14:textId="77777777" w:rsidR="00BD62DB" w:rsidRDefault="00BD62DB" w:rsidP="00D8509D">
            <w:pPr>
              <w:pStyle w:val="ListParagraph"/>
              <w:numPr>
                <w:ilvl w:val="0"/>
                <w:numId w:val="15"/>
              </w:numPr>
              <w:spacing w:line="240" w:lineRule="auto"/>
            </w:pPr>
            <w:r>
              <w:t>Стоматит и образуване на ранички в устата</w:t>
            </w:r>
          </w:p>
          <w:p w14:paraId="59E2304F" w14:textId="227EFCA3" w:rsidR="00BD62DB" w:rsidRDefault="00BD62DB" w:rsidP="00D8509D">
            <w:pPr>
              <w:pStyle w:val="ListParagraph"/>
              <w:numPr>
                <w:ilvl w:val="0"/>
                <w:numId w:val="15"/>
              </w:numPr>
              <w:spacing w:line="240" w:lineRule="auto"/>
            </w:pPr>
            <w:r>
              <w:t>Запек</w:t>
            </w:r>
          </w:p>
          <w:p w14:paraId="556438AA" w14:textId="77777777" w:rsidR="00BD62DB" w:rsidRDefault="00BD62DB" w:rsidP="00BD62DB">
            <w:r>
              <w:t>Много редки</w:t>
            </w:r>
          </w:p>
          <w:p w14:paraId="7228D866" w14:textId="00DEB62A" w:rsidR="00BD62DB" w:rsidRDefault="00BD62DB" w:rsidP="00D8509D">
            <w:pPr>
              <w:pStyle w:val="ListParagraph"/>
              <w:numPr>
                <w:ilvl w:val="0"/>
                <w:numId w:val="16"/>
              </w:numPr>
            </w:pPr>
            <w:r>
              <w:t>Исхемичен колит</w:t>
            </w:r>
          </w:p>
        </w:tc>
      </w:tr>
      <w:tr w:rsidR="00BD62DB" w14:paraId="22E12B7C" w14:textId="77777777" w:rsidTr="00420761">
        <w:tc>
          <w:tcPr>
            <w:tcW w:w="4750" w:type="dxa"/>
          </w:tcPr>
          <w:p w14:paraId="1894AB77" w14:textId="7AFF2C04" w:rsidR="00BD62DB" w:rsidRDefault="00BD62DB" w:rsidP="00BD62DB">
            <w:r>
              <w:t>Хепатобилиарни нарушения</w:t>
            </w:r>
          </w:p>
        </w:tc>
        <w:tc>
          <w:tcPr>
            <w:tcW w:w="4750" w:type="dxa"/>
            <w:vAlign w:val="bottom"/>
          </w:tcPr>
          <w:p w14:paraId="2A488F97" w14:textId="77777777" w:rsidR="00BD62DB" w:rsidRDefault="00BD62DB" w:rsidP="00BD62DB">
            <w:r>
              <w:t>Много чести</w:t>
            </w:r>
          </w:p>
          <w:p w14:paraId="3CB955B8" w14:textId="77777777" w:rsidR="00BD62DB" w:rsidRDefault="00BD62DB" w:rsidP="00D8509D">
            <w:pPr>
              <w:pStyle w:val="ListParagraph"/>
              <w:numPr>
                <w:ilvl w:val="0"/>
                <w:numId w:val="16"/>
              </w:numPr>
              <w:spacing w:line="240" w:lineRule="auto"/>
            </w:pPr>
            <w:r>
              <w:t xml:space="preserve">Повишаване нивото на чернодробните трансаминази </w:t>
            </w:r>
            <w:r w:rsidRPr="00BD62DB">
              <w:rPr>
                <w:lang w:val="en-US"/>
              </w:rPr>
              <w:t xml:space="preserve">(AST </w:t>
            </w:r>
            <w:r>
              <w:t xml:space="preserve">и </w:t>
            </w:r>
            <w:r w:rsidRPr="00BD62DB">
              <w:rPr>
                <w:lang w:val="en-US"/>
              </w:rPr>
              <w:t xml:space="preserve">ALT) </w:t>
            </w:r>
            <w:r>
              <w:t>и алкална фосфатаза</w:t>
            </w:r>
          </w:p>
          <w:p w14:paraId="2D1A40B9" w14:textId="77777777" w:rsidR="00BD62DB" w:rsidRDefault="00BD62DB" w:rsidP="00BD62DB">
            <w:r>
              <w:t>Чести</w:t>
            </w:r>
          </w:p>
          <w:p w14:paraId="5D0B92C7" w14:textId="77777777" w:rsidR="00BD62DB" w:rsidRDefault="00BD62DB" w:rsidP="00D8509D">
            <w:pPr>
              <w:pStyle w:val="ListParagraph"/>
              <w:numPr>
                <w:ilvl w:val="0"/>
                <w:numId w:val="16"/>
              </w:numPr>
              <w:spacing w:line="240" w:lineRule="auto"/>
            </w:pPr>
            <w:r>
              <w:t xml:space="preserve">Повишаване на билирубина </w:t>
            </w:r>
          </w:p>
          <w:p w14:paraId="6331BA9E" w14:textId="1A7386EB" w:rsidR="00BD62DB" w:rsidRDefault="00BD62DB" w:rsidP="00BD62DB">
            <w:pPr>
              <w:spacing w:line="240" w:lineRule="auto"/>
            </w:pPr>
            <w:r>
              <w:t>Нечести</w:t>
            </w:r>
          </w:p>
          <w:p w14:paraId="2D2C3D09" w14:textId="77777777" w:rsidR="00BD62DB" w:rsidRDefault="00BD62DB" w:rsidP="00D8509D">
            <w:pPr>
              <w:pStyle w:val="ListParagraph"/>
              <w:numPr>
                <w:ilvl w:val="0"/>
                <w:numId w:val="16"/>
              </w:numPr>
              <w:spacing w:line="240" w:lineRule="auto"/>
            </w:pPr>
            <w:r>
              <w:t xml:space="preserve">Тежка хепатотоксичност, включително чернодробна недостатъчност и смърт </w:t>
            </w:r>
          </w:p>
          <w:p w14:paraId="05D12F32" w14:textId="21755435" w:rsidR="00BD62DB" w:rsidRDefault="00BD62DB" w:rsidP="00BD62DB">
            <w:pPr>
              <w:spacing w:line="240" w:lineRule="auto"/>
            </w:pPr>
            <w:r>
              <w:t>Редки</w:t>
            </w:r>
          </w:p>
          <w:p w14:paraId="1A82B186" w14:textId="450C44F1" w:rsidR="00BD62DB" w:rsidRDefault="00BD62DB" w:rsidP="00D8509D">
            <w:pPr>
              <w:pStyle w:val="ListParagraph"/>
              <w:numPr>
                <w:ilvl w:val="0"/>
                <w:numId w:val="16"/>
              </w:numPr>
            </w:pPr>
            <w:r>
              <w:t xml:space="preserve">Повишаване на гама-глутамил трансферазата </w:t>
            </w:r>
            <w:r w:rsidRPr="00BD62DB">
              <w:rPr>
                <w:lang w:val="en-US"/>
              </w:rPr>
              <w:t>(GGT)</w:t>
            </w:r>
          </w:p>
        </w:tc>
      </w:tr>
      <w:tr w:rsidR="00BD62DB" w14:paraId="03E741CF" w14:textId="77777777" w:rsidTr="00420761">
        <w:tc>
          <w:tcPr>
            <w:tcW w:w="4750" w:type="dxa"/>
          </w:tcPr>
          <w:p w14:paraId="334E0AAA" w14:textId="4106F976" w:rsidR="00BD62DB" w:rsidRDefault="00BD62DB" w:rsidP="00BD62DB">
            <w:r>
              <w:t>Нарушения на кожата и подкожната тъкан</w:t>
            </w:r>
          </w:p>
        </w:tc>
        <w:tc>
          <w:tcPr>
            <w:tcW w:w="4750" w:type="dxa"/>
            <w:vAlign w:val="bottom"/>
          </w:tcPr>
          <w:p w14:paraId="439CEF52" w14:textId="77777777" w:rsidR="00BD62DB" w:rsidRDefault="00BD62DB" w:rsidP="00BD62DB">
            <w:r>
              <w:t>Много чести</w:t>
            </w:r>
          </w:p>
          <w:p w14:paraId="42A7B3DD" w14:textId="77777777" w:rsidR="00420761" w:rsidRDefault="00BD62DB" w:rsidP="00D8509D">
            <w:pPr>
              <w:pStyle w:val="ListParagraph"/>
              <w:numPr>
                <w:ilvl w:val="0"/>
                <w:numId w:val="16"/>
              </w:numPr>
              <w:spacing w:line="240" w:lineRule="auto"/>
            </w:pPr>
            <w:r>
              <w:t>Алергичен обрив по кож</w:t>
            </w:r>
            <w:r w:rsidR="00420761">
              <w:t>ата, често придружен със сърбеж</w:t>
            </w:r>
          </w:p>
          <w:p w14:paraId="71A1F5FA" w14:textId="34C9F423" w:rsidR="00BD62DB" w:rsidRDefault="00BD62DB" w:rsidP="00D8509D">
            <w:pPr>
              <w:pStyle w:val="ListParagraph"/>
              <w:numPr>
                <w:ilvl w:val="0"/>
                <w:numId w:val="16"/>
              </w:numPr>
              <w:spacing w:line="240" w:lineRule="auto"/>
            </w:pPr>
            <w:r>
              <w:t>Косопад</w:t>
            </w:r>
          </w:p>
          <w:p w14:paraId="6D667147" w14:textId="77777777" w:rsidR="00BD62DB" w:rsidRDefault="00BD62DB" w:rsidP="00BD62DB">
            <w:r>
              <w:t>Чести</w:t>
            </w:r>
          </w:p>
          <w:p w14:paraId="0081130D" w14:textId="77777777" w:rsidR="00420761" w:rsidRDefault="00BD62DB" w:rsidP="00D8509D">
            <w:pPr>
              <w:pStyle w:val="ListParagraph"/>
              <w:numPr>
                <w:ilvl w:val="0"/>
                <w:numId w:val="17"/>
              </w:numPr>
              <w:spacing w:line="240" w:lineRule="auto"/>
            </w:pPr>
            <w:r>
              <w:t>Сърбеж</w:t>
            </w:r>
          </w:p>
          <w:p w14:paraId="47A0DD5F" w14:textId="3F5023FA" w:rsidR="00BD62DB" w:rsidRDefault="00BD62DB" w:rsidP="00D8509D">
            <w:pPr>
              <w:pStyle w:val="ListParagraph"/>
              <w:numPr>
                <w:ilvl w:val="0"/>
                <w:numId w:val="17"/>
              </w:numPr>
              <w:spacing w:line="240" w:lineRule="auto"/>
            </w:pPr>
            <w:r>
              <w:t>Потене</w:t>
            </w:r>
          </w:p>
          <w:p w14:paraId="01595B3C" w14:textId="77777777" w:rsidR="00BD62DB" w:rsidRDefault="00BD62DB" w:rsidP="00BD62DB">
            <w:r>
              <w:t>Редки</w:t>
            </w:r>
          </w:p>
          <w:p w14:paraId="0C9771B0" w14:textId="77777777" w:rsidR="00420761" w:rsidRDefault="00BD62DB" w:rsidP="00D8509D">
            <w:pPr>
              <w:pStyle w:val="ListParagraph"/>
              <w:numPr>
                <w:ilvl w:val="0"/>
                <w:numId w:val="18"/>
              </w:numPr>
              <w:spacing w:line="240" w:lineRule="auto"/>
            </w:pPr>
            <w:r>
              <w:t>Тежки кожни реакции, включително десквамация и булозни обриви п</w:t>
            </w:r>
            <w:r w:rsidR="00420761">
              <w:t>о кожата Улцерация</w:t>
            </w:r>
          </w:p>
          <w:p w14:paraId="448C7EA8" w14:textId="77777777" w:rsidR="00420761" w:rsidRDefault="00420761" w:rsidP="00D8509D">
            <w:pPr>
              <w:pStyle w:val="ListParagraph"/>
              <w:numPr>
                <w:ilvl w:val="0"/>
                <w:numId w:val="18"/>
              </w:numPr>
              <w:spacing w:line="240" w:lineRule="auto"/>
            </w:pPr>
            <w:r>
              <w:t>Образуване на мехури и ранички</w:t>
            </w:r>
          </w:p>
          <w:p w14:paraId="493338AB" w14:textId="28F11A59" w:rsidR="00BD62DB" w:rsidRDefault="00BD62DB" w:rsidP="00D8509D">
            <w:pPr>
              <w:pStyle w:val="ListParagraph"/>
              <w:numPr>
                <w:ilvl w:val="0"/>
                <w:numId w:val="18"/>
              </w:numPr>
              <w:spacing w:line="240" w:lineRule="auto"/>
            </w:pPr>
            <w:r>
              <w:t>Лющене на кожата</w:t>
            </w:r>
          </w:p>
          <w:p w14:paraId="4D11E418" w14:textId="77777777" w:rsidR="00BD62DB" w:rsidRDefault="00BD62DB" w:rsidP="00BD62DB">
            <w:r>
              <w:t>Много редки</w:t>
            </w:r>
          </w:p>
          <w:p w14:paraId="4DC83539" w14:textId="77777777" w:rsidR="00420761" w:rsidRDefault="00420761" w:rsidP="00D8509D">
            <w:pPr>
              <w:pStyle w:val="ListParagraph"/>
              <w:numPr>
                <w:ilvl w:val="0"/>
                <w:numId w:val="20"/>
              </w:numPr>
              <w:spacing w:line="240" w:lineRule="auto"/>
            </w:pPr>
            <w:r>
              <w:t>Токсична епидермална некролиза</w:t>
            </w:r>
          </w:p>
          <w:p w14:paraId="33EF1E90" w14:textId="56EFEF9D" w:rsidR="00BD62DB" w:rsidRDefault="00BD62DB" w:rsidP="00D8509D">
            <w:pPr>
              <w:pStyle w:val="ListParagraph"/>
              <w:numPr>
                <w:ilvl w:val="0"/>
                <w:numId w:val="20"/>
              </w:numPr>
              <w:spacing w:line="240" w:lineRule="auto"/>
            </w:pPr>
            <w:r>
              <w:t xml:space="preserve">Синдром на </w:t>
            </w:r>
            <w:r w:rsidRPr="00420761">
              <w:rPr>
                <w:lang w:val="en-US"/>
              </w:rPr>
              <w:t>Stevens-Johnson</w:t>
            </w:r>
          </w:p>
          <w:p w14:paraId="6215A3B7" w14:textId="77777777" w:rsidR="00420761" w:rsidRDefault="00BD62DB" w:rsidP="00BD62DB">
            <w:r>
              <w:lastRenderedPageBreak/>
              <w:t>С неизвестна честота</w:t>
            </w:r>
          </w:p>
          <w:p w14:paraId="53FBF4B2" w14:textId="2A96465A" w:rsidR="00BD62DB" w:rsidRDefault="00BD62DB" w:rsidP="00D8509D">
            <w:pPr>
              <w:pStyle w:val="ListParagraph"/>
              <w:numPr>
                <w:ilvl w:val="0"/>
                <w:numId w:val="19"/>
              </w:numPr>
            </w:pPr>
            <w:r>
              <w:t>Псевдоцелулит</w:t>
            </w:r>
          </w:p>
        </w:tc>
      </w:tr>
      <w:tr w:rsidR="00BD62DB" w14:paraId="18EE472F" w14:textId="77777777" w:rsidTr="00420761">
        <w:tc>
          <w:tcPr>
            <w:tcW w:w="4750" w:type="dxa"/>
          </w:tcPr>
          <w:p w14:paraId="59D46050" w14:textId="68EB3D2E" w:rsidR="00BD62DB" w:rsidRDefault="00BD62DB" w:rsidP="00BD62DB">
            <w:r>
              <w:lastRenderedPageBreak/>
              <w:t>Нарушения на мускулно-скелетната система и съединителната тъкан</w:t>
            </w:r>
          </w:p>
        </w:tc>
        <w:tc>
          <w:tcPr>
            <w:tcW w:w="4750" w:type="dxa"/>
            <w:vAlign w:val="bottom"/>
          </w:tcPr>
          <w:p w14:paraId="2396EE85" w14:textId="77777777" w:rsidR="00BD62DB" w:rsidRDefault="00BD62DB" w:rsidP="00BD62DB">
            <w:r>
              <w:t>Чести</w:t>
            </w:r>
          </w:p>
          <w:p w14:paraId="7BA9E097" w14:textId="77777777" w:rsidR="00420761" w:rsidRDefault="00BD62DB" w:rsidP="00D8509D">
            <w:pPr>
              <w:pStyle w:val="ListParagraph"/>
              <w:numPr>
                <w:ilvl w:val="0"/>
                <w:numId w:val="19"/>
              </w:numPr>
            </w:pPr>
            <w:r>
              <w:t>Болка в гърба</w:t>
            </w:r>
          </w:p>
          <w:p w14:paraId="437FCD28" w14:textId="07BD13B6" w:rsidR="00BD62DB" w:rsidRDefault="00BD62DB" w:rsidP="00D8509D">
            <w:pPr>
              <w:pStyle w:val="ListParagraph"/>
              <w:numPr>
                <w:ilvl w:val="0"/>
                <w:numId w:val="19"/>
              </w:numPr>
            </w:pPr>
            <w:r>
              <w:t>Миалгия</w:t>
            </w:r>
          </w:p>
        </w:tc>
      </w:tr>
      <w:tr w:rsidR="00BD62DB" w14:paraId="47296EE1" w14:textId="77777777" w:rsidTr="00420761">
        <w:tc>
          <w:tcPr>
            <w:tcW w:w="4750" w:type="dxa"/>
          </w:tcPr>
          <w:p w14:paraId="082D8CC7" w14:textId="14F60C5D" w:rsidR="00BD62DB" w:rsidRDefault="00BD62DB" w:rsidP="00BD62DB">
            <w:r>
              <w:t>Нарушения на бъбреците и пикочните пътища</w:t>
            </w:r>
          </w:p>
        </w:tc>
        <w:tc>
          <w:tcPr>
            <w:tcW w:w="4750" w:type="dxa"/>
            <w:vAlign w:val="bottom"/>
          </w:tcPr>
          <w:p w14:paraId="3E4510DF" w14:textId="77777777" w:rsidR="00BD62DB" w:rsidRDefault="00BD62DB" w:rsidP="00BD62DB">
            <w:r>
              <w:t>Много чести</w:t>
            </w:r>
          </w:p>
          <w:p w14:paraId="66C0D9D1" w14:textId="77777777" w:rsidR="00420761" w:rsidRDefault="00420761" w:rsidP="00D8509D">
            <w:pPr>
              <w:pStyle w:val="ListParagraph"/>
              <w:numPr>
                <w:ilvl w:val="0"/>
                <w:numId w:val="21"/>
              </w:numPr>
              <w:spacing w:line="240" w:lineRule="auto"/>
            </w:pPr>
            <w:r>
              <w:t>Хематурия</w:t>
            </w:r>
          </w:p>
          <w:p w14:paraId="018CBEF6" w14:textId="77777777" w:rsidR="00420761" w:rsidRDefault="00BD62DB" w:rsidP="00D8509D">
            <w:pPr>
              <w:pStyle w:val="ListParagraph"/>
              <w:numPr>
                <w:ilvl w:val="0"/>
                <w:numId w:val="21"/>
              </w:numPr>
              <w:spacing w:line="240" w:lineRule="auto"/>
            </w:pPr>
            <w:r>
              <w:t xml:space="preserve">Леко изразена протеинурия </w:t>
            </w:r>
          </w:p>
          <w:p w14:paraId="2715A3C9" w14:textId="0F711DB1" w:rsidR="00BD62DB" w:rsidRDefault="00BD62DB" w:rsidP="00420761">
            <w:pPr>
              <w:spacing w:line="240" w:lineRule="auto"/>
            </w:pPr>
            <w:r>
              <w:t>Нечести</w:t>
            </w:r>
          </w:p>
          <w:p w14:paraId="04392F90" w14:textId="77777777" w:rsidR="00BD62DB" w:rsidRDefault="00BD62DB" w:rsidP="00D8509D">
            <w:pPr>
              <w:pStyle w:val="ListParagraph"/>
              <w:numPr>
                <w:ilvl w:val="0"/>
                <w:numId w:val="22"/>
              </w:numPr>
              <w:spacing w:line="240" w:lineRule="auto"/>
            </w:pPr>
            <w:r>
              <w:t>Бъбречна недостатъчност (вж. точка 4.4)</w:t>
            </w:r>
          </w:p>
          <w:p w14:paraId="567E5255" w14:textId="20E25D1D" w:rsidR="00BD62DB" w:rsidRDefault="00BD62DB" w:rsidP="00D8509D">
            <w:pPr>
              <w:pStyle w:val="ListParagraph"/>
              <w:numPr>
                <w:ilvl w:val="0"/>
                <w:numId w:val="22"/>
              </w:numPr>
            </w:pPr>
            <w:r>
              <w:t>Хемолитичен уремичен синдром (вж. точка 4.4)</w:t>
            </w:r>
          </w:p>
        </w:tc>
      </w:tr>
      <w:tr w:rsidR="00420761" w14:paraId="548B1584" w14:textId="77777777" w:rsidTr="00420761">
        <w:trPr>
          <w:trHeight w:val="5245"/>
        </w:trPr>
        <w:tc>
          <w:tcPr>
            <w:tcW w:w="4750" w:type="dxa"/>
          </w:tcPr>
          <w:p w14:paraId="1B8F8C13" w14:textId="760C3C9C" w:rsidR="00420761" w:rsidRDefault="00420761" w:rsidP="00420761">
            <w:r>
              <w:t>Общи нарушения и ефекти на мястото на приложение</w:t>
            </w:r>
          </w:p>
        </w:tc>
        <w:tc>
          <w:tcPr>
            <w:tcW w:w="4750" w:type="dxa"/>
            <w:vAlign w:val="bottom"/>
          </w:tcPr>
          <w:p w14:paraId="4E7E2D40" w14:textId="77777777" w:rsidR="00420761" w:rsidRDefault="00420761" w:rsidP="00420761">
            <w:r>
              <w:t>Много чести</w:t>
            </w:r>
          </w:p>
          <w:p w14:paraId="599ABE66" w14:textId="77777777" w:rsidR="00420761" w:rsidRDefault="00420761" w:rsidP="00D8509D">
            <w:pPr>
              <w:pStyle w:val="ListParagraph"/>
              <w:numPr>
                <w:ilvl w:val="0"/>
                <w:numId w:val="23"/>
              </w:numPr>
              <w:spacing w:line="240" w:lineRule="auto"/>
            </w:pPr>
            <w:r>
              <w:t>Грипоподобни симптоми - най- честите симптоми са висока температура, главоболие, студени тръпки, миалгия, астения и анорексия. Има съобщения и за кашлица, ринит, неразположение, изпотяване и нарушения на съня.</w:t>
            </w:r>
          </w:p>
          <w:p w14:paraId="20873A34" w14:textId="77777777" w:rsidR="00420761" w:rsidRDefault="00420761" w:rsidP="00D8509D">
            <w:pPr>
              <w:pStyle w:val="ListParagraph"/>
              <w:numPr>
                <w:ilvl w:val="0"/>
                <w:numId w:val="23"/>
              </w:numPr>
              <w:spacing w:line="240" w:lineRule="auto"/>
            </w:pPr>
            <w:r>
              <w:t>Оток/ периферен оток, в т.ч. на лицето. Обикновено отокът е обратим след прекратяване на лечението.</w:t>
            </w:r>
          </w:p>
          <w:p w14:paraId="7ED0ACFC" w14:textId="77777777" w:rsidR="00420761" w:rsidRDefault="00420761" w:rsidP="00420761">
            <w:r>
              <w:t>Чести</w:t>
            </w:r>
          </w:p>
          <w:p w14:paraId="2EACE69F" w14:textId="77777777" w:rsidR="00420761" w:rsidRDefault="00420761" w:rsidP="00D8509D">
            <w:pPr>
              <w:pStyle w:val="ListParagraph"/>
              <w:numPr>
                <w:ilvl w:val="0"/>
                <w:numId w:val="24"/>
              </w:numPr>
              <w:spacing w:line="240" w:lineRule="auto"/>
            </w:pPr>
            <w:r>
              <w:t>Висока температура</w:t>
            </w:r>
          </w:p>
          <w:p w14:paraId="3B5C0402" w14:textId="77777777" w:rsidR="00420761" w:rsidRDefault="00420761" w:rsidP="00D8509D">
            <w:pPr>
              <w:pStyle w:val="ListParagraph"/>
              <w:numPr>
                <w:ilvl w:val="0"/>
                <w:numId w:val="24"/>
              </w:numPr>
              <w:spacing w:line="240" w:lineRule="auto"/>
            </w:pPr>
            <w:r>
              <w:t>Астения</w:t>
            </w:r>
          </w:p>
          <w:p w14:paraId="12632AE5" w14:textId="263787A8" w:rsidR="00420761" w:rsidRDefault="00420761" w:rsidP="00D8509D">
            <w:pPr>
              <w:pStyle w:val="ListParagraph"/>
              <w:numPr>
                <w:ilvl w:val="0"/>
                <w:numId w:val="24"/>
              </w:numPr>
              <w:spacing w:line="240" w:lineRule="auto"/>
            </w:pPr>
            <w:r>
              <w:t>Студени тръпки</w:t>
            </w:r>
          </w:p>
          <w:p w14:paraId="69CEB230" w14:textId="77777777" w:rsidR="00420761" w:rsidRDefault="00420761" w:rsidP="00420761">
            <w:r>
              <w:t>Редки</w:t>
            </w:r>
          </w:p>
          <w:p w14:paraId="6CFD82AD" w14:textId="4C50863D" w:rsidR="00420761" w:rsidRDefault="00420761" w:rsidP="00D8509D">
            <w:pPr>
              <w:pStyle w:val="ListParagraph"/>
              <w:numPr>
                <w:ilvl w:val="0"/>
                <w:numId w:val="25"/>
              </w:numPr>
            </w:pPr>
            <w:r>
              <w:t>Реакции на мястото на инжектиране-предимно леко изразени</w:t>
            </w:r>
          </w:p>
        </w:tc>
      </w:tr>
      <w:tr w:rsidR="00420761" w14:paraId="6A540747" w14:textId="77777777" w:rsidTr="00BD62DB">
        <w:tc>
          <w:tcPr>
            <w:tcW w:w="4750" w:type="dxa"/>
          </w:tcPr>
          <w:p w14:paraId="370CDF2B" w14:textId="0C2EE53D" w:rsidR="00420761" w:rsidRDefault="00420761" w:rsidP="00420761">
            <w:r>
              <w:t>Наранявания, отравяния и усложнения, възникнали в резултат на интервенции</w:t>
            </w:r>
          </w:p>
        </w:tc>
        <w:tc>
          <w:tcPr>
            <w:tcW w:w="4750" w:type="dxa"/>
          </w:tcPr>
          <w:p w14:paraId="7E1D057C" w14:textId="77777777" w:rsidR="00420761" w:rsidRDefault="00420761" w:rsidP="00420761">
            <w:r>
              <w:t>Редки</w:t>
            </w:r>
          </w:p>
          <w:p w14:paraId="3A686C52" w14:textId="77777777" w:rsidR="00420761" w:rsidRDefault="00420761" w:rsidP="00D8509D">
            <w:pPr>
              <w:pStyle w:val="ListParagraph"/>
              <w:numPr>
                <w:ilvl w:val="0"/>
                <w:numId w:val="25"/>
              </w:numPr>
              <w:spacing w:line="240" w:lineRule="auto"/>
            </w:pPr>
            <w:r>
              <w:t>Радиационна токсичност (вж. точка 4.5).</w:t>
            </w:r>
          </w:p>
          <w:p w14:paraId="03DA574E" w14:textId="53104C72" w:rsidR="00420761" w:rsidRDefault="00420761" w:rsidP="00D8509D">
            <w:pPr>
              <w:pStyle w:val="ListParagraph"/>
              <w:numPr>
                <w:ilvl w:val="0"/>
                <w:numId w:val="25"/>
              </w:numPr>
            </w:pPr>
            <w:r>
              <w:t>Реакции на токсичност след облъчване</w:t>
            </w:r>
          </w:p>
        </w:tc>
      </w:tr>
    </w:tbl>
    <w:p w14:paraId="5435753B" w14:textId="21DF2D54" w:rsidR="00BD62DB" w:rsidRDefault="00BD62DB" w:rsidP="0091385D"/>
    <w:p w14:paraId="5A095EFA" w14:textId="77777777" w:rsidR="00420761" w:rsidRPr="00420761" w:rsidRDefault="00420761" w:rsidP="00420761">
      <w:pPr>
        <w:spacing w:line="240" w:lineRule="auto"/>
        <w:rPr>
          <w:rFonts w:eastAsia="Times New Roman" w:cs="Arial"/>
          <w:sz w:val="24"/>
          <w:szCs w:val="24"/>
          <w:lang w:eastAsia="bg-BG"/>
        </w:rPr>
      </w:pPr>
      <w:r w:rsidRPr="00420761">
        <w:rPr>
          <w:rFonts w:eastAsia="Times New Roman" w:cs="Arial"/>
          <w:i/>
          <w:iCs/>
          <w:color w:val="000000"/>
          <w:u w:val="single"/>
          <w:lang w:eastAsia="bg-BG"/>
        </w:rPr>
        <w:t>Комбинирано приложение при рак на гърдата</w:t>
      </w:r>
    </w:p>
    <w:p w14:paraId="09DAC1A4" w14:textId="348D73D0" w:rsidR="00BD62DB" w:rsidRPr="00420761" w:rsidRDefault="00420761" w:rsidP="00420761">
      <w:pPr>
        <w:rPr>
          <w:rFonts w:cs="Arial"/>
        </w:rPr>
      </w:pPr>
      <w:r w:rsidRPr="00420761">
        <w:rPr>
          <w:rFonts w:eastAsia="Times New Roman" w:cs="Arial"/>
          <w:color w:val="000000"/>
          <w:lang w:eastAsia="bg-BG"/>
        </w:rPr>
        <w:t>Честота на проявите на хематологична токсичност от степен 3 и 4, по-специално неутропения, се повишава, когато гемцитабин се прилага в комбинация с паклитаксел. Въпреки това, повишаването на честота на тези нежелани реакции не е свързана с увеличение на инфекциите или хеморагичните събития. По-често се наблюдават умора и фебрилна неутропения при комбинирано приложение на гемцитабин с паклитаксел. Умората, която не е свързана с анемия, обикновено отшумява след първия цикъл на лечение.</w:t>
      </w:r>
    </w:p>
    <w:p w14:paraId="010E5B69" w14:textId="1D9BAD33" w:rsidR="00420761" w:rsidRDefault="00420761" w:rsidP="0091385D"/>
    <w:tbl>
      <w:tblPr>
        <w:tblStyle w:val="TableGrid"/>
        <w:tblW w:w="9658" w:type="dxa"/>
        <w:tblLook w:val="04A0" w:firstRow="1" w:lastRow="0" w:firstColumn="1" w:lastColumn="0" w:noHBand="0" w:noVBand="1"/>
      </w:tblPr>
      <w:tblGrid>
        <w:gridCol w:w="3719"/>
        <w:gridCol w:w="961"/>
        <w:gridCol w:w="1550"/>
        <w:gridCol w:w="79"/>
        <w:gridCol w:w="1722"/>
        <w:gridCol w:w="1561"/>
        <w:gridCol w:w="66"/>
      </w:tblGrid>
      <w:tr w:rsidR="00420761" w14:paraId="3A5299B3" w14:textId="77777777" w:rsidTr="00420761">
        <w:trPr>
          <w:gridAfter w:val="1"/>
          <w:wAfter w:w="66" w:type="dxa"/>
        </w:trPr>
        <w:tc>
          <w:tcPr>
            <w:tcW w:w="9592" w:type="dxa"/>
            <w:gridSpan w:val="6"/>
          </w:tcPr>
          <w:p w14:paraId="6BF219AC" w14:textId="77777777" w:rsidR="00420761" w:rsidRDefault="00420761" w:rsidP="00420761">
            <w:pPr>
              <w:jc w:val="center"/>
            </w:pPr>
            <w:r>
              <w:lastRenderedPageBreak/>
              <w:t xml:space="preserve">Нежелани събития от степен 3 и 4 </w:t>
            </w:r>
          </w:p>
          <w:p w14:paraId="34DA6B49" w14:textId="1F53C67B" w:rsidR="00420761" w:rsidRDefault="00420761" w:rsidP="00420761">
            <w:pPr>
              <w:jc w:val="center"/>
            </w:pPr>
            <w:r>
              <w:t>Паклитаксел спрямо гемцитабин плюс паклитаксел</w:t>
            </w:r>
          </w:p>
        </w:tc>
      </w:tr>
      <w:tr w:rsidR="00420761" w14:paraId="585B71F2" w14:textId="77777777" w:rsidTr="00420761">
        <w:trPr>
          <w:gridAfter w:val="1"/>
          <w:wAfter w:w="66" w:type="dxa"/>
        </w:trPr>
        <w:tc>
          <w:tcPr>
            <w:tcW w:w="3719" w:type="dxa"/>
            <w:vMerge w:val="restart"/>
          </w:tcPr>
          <w:p w14:paraId="0DDF3B20" w14:textId="77777777" w:rsidR="00420761" w:rsidRDefault="00420761" w:rsidP="0091385D"/>
        </w:tc>
        <w:tc>
          <w:tcPr>
            <w:tcW w:w="5873" w:type="dxa"/>
            <w:gridSpan w:val="5"/>
          </w:tcPr>
          <w:p w14:paraId="6D4DAFBA" w14:textId="22EFB2A7" w:rsidR="00420761" w:rsidRDefault="00420761" w:rsidP="00420761">
            <w:pPr>
              <w:jc w:val="center"/>
            </w:pPr>
            <w:r>
              <w:t>Брой (%) от пациентите</w:t>
            </w:r>
          </w:p>
        </w:tc>
      </w:tr>
      <w:tr w:rsidR="00420761" w14:paraId="274245C6" w14:textId="77777777" w:rsidTr="00420761">
        <w:trPr>
          <w:gridAfter w:val="1"/>
          <w:wAfter w:w="66" w:type="dxa"/>
        </w:trPr>
        <w:tc>
          <w:tcPr>
            <w:tcW w:w="3719" w:type="dxa"/>
            <w:vMerge/>
          </w:tcPr>
          <w:p w14:paraId="472F4906" w14:textId="77777777" w:rsidR="00420761" w:rsidRDefault="00420761" w:rsidP="00420761"/>
        </w:tc>
        <w:tc>
          <w:tcPr>
            <w:tcW w:w="2511" w:type="dxa"/>
            <w:gridSpan w:val="2"/>
          </w:tcPr>
          <w:p w14:paraId="3701AFAC" w14:textId="56BD27A2" w:rsidR="00420761" w:rsidRDefault="00420761" w:rsidP="00420761">
            <w:pPr>
              <w:jc w:val="center"/>
            </w:pPr>
            <w:r>
              <w:t>Рамо с паклитаксел</w:t>
            </w:r>
          </w:p>
          <w:p w14:paraId="3E8BB73D" w14:textId="286B49F9" w:rsidR="00420761" w:rsidRDefault="00420761" w:rsidP="00420761">
            <w:pPr>
              <w:jc w:val="center"/>
            </w:pPr>
            <w:r>
              <w:rPr>
                <w:lang w:val="en-US"/>
              </w:rPr>
              <w:t>(N=259)</w:t>
            </w:r>
          </w:p>
        </w:tc>
        <w:tc>
          <w:tcPr>
            <w:tcW w:w="3362" w:type="dxa"/>
            <w:gridSpan w:val="3"/>
            <w:vAlign w:val="bottom"/>
          </w:tcPr>
          <w:p w14:paraId="564A9919" w14:textId="06E03498" w:rsidR="00420761" w:rsidRDefault="00420761" w:rsidP="00420761">
            <w:pPr>
              <w:jc w:val="center"/>
            </w:pPr>
            <w:r>
              <w:t>Рамо с гемцитабин плюс паклитаксел</w:t>
            </w:r>
          </w:p>
          <w:p w14:paraId="7E809E35" w14:textId="31A65D00" w:rsidR="00420761" w:rsidRDefault="00420761" w:rsidP="00420761">
            <w:pPr>
              <w:jc w:val="center"/>
            </w:pPr>
            <w:r>
              <w:rPr>
                <w:lang w:val="en-US"/>
              </w:rPr>
              <w:t>(N=262)</w:t>
            </w:r>
          </w:p>
        </w:tc>
      </w:tr>
      <w:tr w:rsidR="00420761" w14:paraId="656AC120" w14:textId="77777777" w:rsidTr="00420761">
        <w:tc>
          <w:tcPr>
            <w:tcW w:w="3719" w:type="dxa"/>
            <w:vMerge/>
          </w:tcPr>
          <w:p w14:paraId="347B93C6" w14:textId="77777777" w:rsidR="00420761" w:rsidRDefault="00420761" w:rsidP="00420761"/>
        </w:tc>
        <w:tc>
          <w:tcPr>
            <w:tcW w:w="961" w:type="dxa"/>
            <w:vAlign w:val="bottom"/>
          </w:tcPr>
          <w:p w14:paraId="03E0DA6A" w14:textId="5E676F67" w:rsidR="00420761" w:rsidRDefault="00420761" w:rsidP="00420761">
            <w:r>
              <w:t>Степен 3</w:t>
            </w:r>
          </w:p>
        </w:tc>
        <w:tc>
          <w:tcPr>
            <w:tcW w:w="1629" w:type="dxa"/>
            <w:gridSpan w:val="2"/>
            <w:vAlign w:val="bottom"/>
          </w:tcPr>
          <w:p w14:paraId="6427D2EC" w14:textId="4129A4A6" w:rsidR="00420761" w:rsidRDefault="00420761" w:rsidP="00420761">
            <w:r>
              <w:t>Степен 4</w:t>
            </w:r>
          </w:p>
        </w:tc>
        <w:tc>
          <w:tcPr>
            <w:tcW w:w="1722" w:type="dxa"/>
            <w:vAlign w:val="bottom"/>
          </w:tcPr>
          <w:p w14:paraId="66D38D56" w14:textId="759E5329" w:rsidR="00420761" w:rsidRDefault="00420761" w:rsidP="00420761">
            <w:r>
              <w:t>Степен 3</w:t>
            </w:r>
          </w:p>
        </w:tc>
        <w:tc>
          <w:tcPr>
            <w:tcW w:w="1627" w:type="dxa"/>
            <w:gridSpan w:val="2"/>
            <w:vAlign w:val="bottom"/>
          </w:tcPr>
          <w:p w14:paraId="5CE201C5" w14:textId="55E94A73" w:rsidR="00420761" w:rsidRDefault="00420761" w:rsidP="00420761">
            <w:r>
              <w:t>Степен 4</w:t>
            </w:r>
          </w:p>
        </w:tc>
      </w:tr>
      <w:tr w:rsidR="00420761" w14:paraId="5A307448" w14:textId="77777777" w:rsidTr="00420761">
        <w:tc>
          <w:tcPr>
            <w:tcW w:w="3719" w:type="dxa"/>
            <w:vAlign w:val="bottom"/>
          </w:tcPr>
          <w:p w14:paraId="4B7FCB4E" w14:textId="099A62B1" w:rsidR="00420761" w:rsidRDefault="00420761" w:rsidP="00420761">
            <w:r>
              <w:t>Лабораторни</w:t>
            </w:r>
          </w:p>
        </w:tc>
        <w:tc>
          <w:tcPr>
            <w:tcW w:w="961" w:type="dxa"/>
          </w:tcPr>
          <w:p w14:paraId="00A751A5" w14:textId="77777777" w:rsidR="00420761" w:rsidRDefault="00420761" w:rsidP="00420761"/>
        </w:tc>
        <w:tc>
          <w:tcPr>
            <w:tcW w:w="1629" w:type="dxa"/>
            <w:gridSpan w:val="2"/>
          </w:tcPr>
          <w:p w14:paraId="2DF3E668" w14:textId="77777777" w:rsidR="00420761" w:rsidRDefault="00420761" w:rsidP="00420761"/>
        </w:tc>
        <w:tc>
          <w:tcPr>
            <w:tcW w:w="1722" w:type="dxa"/>
          </w:tcPr>
          <w:p w14:paraId="00DAF7DB" w14:textId="77777777" w:rsidR="00420761" w:rsidRDefault="00420761" w:rsidP="00420761"/>
        </w:tc>
        <w:tc>
          <w:tcPr>
            <w:tcW w:w="1627" w:type="dxa"/>
            <w:gridSpan w:val="2"/>
          </w:tcPr>
          <w:p w14:paraId="6B6343E4" w14:textId="77777777" w:rsidR="00420761" w:rsidRDefault="00420761" w:rsidP="00420761"/>
        </w:tc>
      </w:tr>
      <w:tr w:rsidR="00420761" w14:paraId="4AB5DFBB" w14:textId="77777777" w:rsidTr="00420761">
        <w:tc>
          <w:tcPr>
            <w:tcW w:w="3719" w:type="dxa"/>
            <w:vAlign w:val="bottom"/>
          </w:tcPr>
          <w:p w14:paraId="0FE9D1E4" w14:textId="02C8DB0C" w:rsidR="00420761" w:rsidRDefault="00420761" w:rsidP="00420761">
            <w:pPr>
              <w:jc w:val="center"/>
            </w:pPr>
            <w:r>
              <w:t>Анемия</w:t>
            </w:r>
          </w:p>
        </w:tc>
        <w:tc>
          <w:tcPr>
            <w:tcW w:w="961" w:type="dxa"/>
            <w:vAlign w:val="bottom"/>
          </w:tcPr>
          <w:p w14:paraId="1825C23E" w14:textId="6E881E6B" w:rsidR="00420761" w:rsidRDefault="00420761" w:rsidP="00420761">
            <w:r>
              <w:t>5(1,9)</w:t>
            </w:r>
          </w:p>
        </w:tc>
        <w:tc>
          <w:tcPr>
            <w:tcW w:w="1629" w:type="dxa"/>
            <w:gridSpan w:val="2"/>
            <w:vAlign w:val="bottom"/>
          </w:tcPr>
          <w:p w14:paraId="7B9970A7" w14:textId="7703DE83" w:rsidR="00420761" w:rsidRDefault="00420761" w:rsidP="00420761">
            <w:r>
              <w:t>1 (0,4)</w:t>
            </w:r>
          </w:p>
        </w:tc>
        <w:tc>
          <w:tcPr>
            <w:tcW w:w="1722" w:type="dxa"/>
            <w:vAlign w:val="bottom"/>
          </w:tcPr>
          <w:p w14:paraId="4883B658" w14:textId="6A7C513B" w:rsidR="00420761" w:rsidRDefault="00420761" w:rsidP="00420761">
            <w:r>
              <w:t>15 (5,7)</w:t>
            </w:r>
          </w:p>
        </w:tc>
        <w:tc>
          <w:tcPr>
            <w:tcW w:w="1627" w:type="dxa"/>
            <w:gridSpan w:val="2"/>
            <w:vAlign w:val="bottom"/>
          </w:tcPr>
          <w:p w14:paraId="7FF73B96" w14:textId="3E453833" w:rsidR="00420761" w:rsidRDefault="00420761" w:rsidP="00420761">
            <w:r>
              <w:t>3(1,1)</w:t>
            </w:r>
          </w:p>
        </w:tc>
      </w:tr>
      <w:tr w:rsidR="00420761" w14:paraId="25F62BE6" w14:textId="77777777" w:rsidTr="00420761">
        <w:tc>
          <w:tcPr>
            <w:tcW w:w="3719" w:type="dxa"/>
            <w:vAlign w:val="bottom"/>
          </w:tcPr>
          <w:p w14:paraId="3E54D4B0" w14:textId="0089C85C" w:rsidR="00420761" w:rsidRDefault="00420761" w:rsidP="00420761">
            <w:pPr>
              <w:jc w:val="center"/>
            </w:pPr>
            <w:r>
              <w:t>Тромбоцитопения</w:t>
            </w:r>
          </w:p>
        </w:tc>
        <w:tc>
          <w:tcPr>
            <w:tcW w:w="961" w:type="dxa"/>
            <w:vAlign w:val="bottom"/>
          </w:tcPr>
          <w:p w14:paraId="57702FEA" w14:textId="40D81E01" w:rsidR="00420761" w:rsidRDefault="00420761" w:rsidP="00420761">
            <w:r>
              <w:t>0</w:t>
            </w:r>
          </w:p>
        </w:tc>
        <w:tc>
          <w:tcPr>
            <w:tcW w:w="1629" w:type="dxa"/>
            <w:gridSpan w:val="2"/>
            <w:vAlign w:val="bottom"/>
          </w:tcPr>
          <w:p w14:paraId="05EB04E5" w14:textId="3E03E920" w:rsidR="00420761" w:rsidRDefault="00420761" w:rsidP="00420761">
            <w:r>
              <w:t>0</w:t>
            </w:r>
          </w:p>
        </w:tc>
        <w:tc>
          <w:tcPr>
            <w:tcW w:w="1722" w:type="dxa"/>
            <w:vAlign w:val="bottom"/>
          </w:tcPr>
          <w:p w14:paraId="24277359" w14:textId="371350FC" w:rsidR="00420761" w:rsidRDefault="00420761" w:rsidP="00420761">
            <w:r>
              <w:t>14(5,3)</w:t>
            </w:r>
          </w:p>
        </w:tc>
        <w:tc>
          <w:tcPr>
            <w:tcW w:w="1627" w:type="dxa"/>
            <w:gridSpan w:val="2"/>
            <w:vAlign w:val="bottom"/>
          </w:tcPr>
          <w:p w14:paraId="1880F2FA" w14:textId="7B169DA6" w:rsidR="00420761" w:rsidRDefault="00420761" w:rsidP="00420761">
            <w:r>
              <w:t>1 (0,4)</w:t>
            </w:r>
          </w:p>
        </w:tc>
      </w:tr>
      <w:tr w:rsidR="00420761" w14:paraId="5F5D3452" w14:textId="77777777" w:rsidTr="00420761">
        <w:tc>
          <w:tcPr>
            <w:tcW w:w="3719" w:type="dxa"/>
            <w:vAlign w:val="bottom"/>
          </w:tcPr>
          <w:p w14:paraId="6FFEF08A" w14:textId="2DAADBCC" w:rsidR="00420761" w:rsidRDefault="00420761" w:rsidP="00420761">
            <w:pPr>
              <w:jc w:val="center"/>
            </w:pPr>
            <w:r>
              <w:t>Неутропения</w:t>
            </w:r>
          </w:p>
        </w:tc>
        <w:tc>
          <w:tcPr>
            <w:tcW w:w="961" w:type="dxa"/>
            <w:vAlign w:val="bottom"/>
          </w:tcPr>
          <w:p w14:paraId="225EE41B" w14:textId="58918356" w:rsidR="00420761" w:rsidRDefault="00420761" w:rsidP="00420761">
            <w:r>
              <w:t>11(4,2)</w:t>
            </w:r>
          </w:p>
        </w:tc>
        <w:tc>
          <w:tcPr>
            <w:tcW w:w="1629" w:type="dxa"/>
            <w:gridSpan w:val="2"/>
            <w:vAlign w:val="bottom"/>
          </w:tcPr>
          <w:p w14:paraId="2D61B0F5" w14:textId="4D132BF4" w:rsidR="00420761" w:rsidRDefault="00420761" w:rsidP="00420761">
            <w:r>
              <w:t>17 (6,6)*</w:t>
            </w:r>
          </w:p>
        </w:tc>
        <w:tc>
          <w:tcPr>
            <w:tcW w:w="1722" w:type="dxa"/>
            <w:vAlign w:val="bottom"/>
          </w:tcPr>
          <w:p w14:paraId="17CE75FB" w14:textId="738A0608" w:rsidR="00420761" w:rsidRDefault="00420761" w:rsidP="00420761">
            <w:r>
              <w:t>82 (31,3)</w:t>
            </w:r>
          </w:p>
        </w:tc>
        <w:tc>
          <w:tcPr>
            <w:tcW w:w="1627" w:type="dxa"/>
            <w:gridSpan w:val="2"/>
            <w:vAlign w:val="bottom"/>
          </w:tcPr>
          <w:p w14:paraId="6690E2E4" w14:textId="11164B4F" w:rsidR="00420761" w:rsidRDefault="00420761" w:rsidP="00420761">
            <w:r>
              <w:t>45 (17,2)*</w:t>
            </w:r>
          </w:p>
        </w:tc>
      </w:tr>
      <w:tr w:rsidR="00420761" w14:paraId="4A19E395" w14:textId="77777777" w:rsidTr="00420761">
        <w:tc>
          <w:tcPr>
            <w:tcW w:w="3719" w:type="dxa"/>
            <w:vAlign w:val="bottom"/>
          </w:tcPr>
          <w:p w14:paraId="15AD126C" w14:textId="56E8D115" w:rsidR="00420761" w:rsidRDefault="00420761" w:rsidP="00420761">
            <w:r>
              <w:t>Нелабораторни</w:t>
            </w:r>
          </w:p>
        </w:tc>
        <w:tc>
          <w:tcPr>
            <w:tcW w:w="961" w:type="dxa"/>
          </w:tcPr>
          <w:p w14:paraId="2BA86A8A" w14:textId="77777777" w:rsidR="00420761" w:rsidRDefault="00420761" w:rsidP="00420761"/>
        </w:tc>
        <w:tc>
          <w:tcPr>
            <w:tcW w:w="1629" w:type="dxa"/>
            <w:gridSpan w:val="2"/>
          </w:tcPr>
          <w:p w14:paraId="770BF789" w14:textId="77777777" w:rsidR="00420761" w:rsidRDefault="00420761" w:rsidP="00420761"/>
        </w:tc>
        <w:tc>
          <w:tcPr>
            <w:tcW w:w="1722" w:type="dxa"/>
          </w:tcPr>
          <w:p w14:paraId="212446F2" w14:textId="77777777" w:rsidR="00420761" w:rsidRDefault="00420761" w:rsidP="00420761"/>
        </w:tc>
        <w:tc>
          <w:tcPr>
            <w:tcW w:w="1627" w:type="dxa"/>
            <w:gridSpan w:val="2"/>
          </w:tcPr>
          <w:p w14:paraId="07C27547" w14:textId="77777777" w:rsidR="00420761" w:rsidRDefault="00420761" w:rsidP="00420761"/>
        </w:tc>
      </w:tr>
      <w:tr w:rsidR="00420761" w14:paraId="59278E4E" w14:textId="77777777" w:rsidTr="00420761">
        <w:tc>
          <w:tcPr>
            <w:tcW w:w="3719" w:type="dxa"/>
            <w:vAlign w:val="bottom"/>
          </w:tcPr>
          <w:p w14:paraId="5E3CAD35" w14:textId="3CA9FC5A" w:rsidR="00420761" w:rsidRDefault="00420761" w:rsidP="00420761">
            <w:pPr>
              <w:jc w:val="center"/>
            </w:pPr>
            <w:r>
              <w:t>Фебрилна неутропения</w:t>
            </w:r>
          </w:p>
        </w:tc>
        <w:tc>
          <w:tcPr>
            <w:tcW w:w="961" w:type="dxa"/>
            <w:vAlign w:val="bottom"/>
          </w:tcPr>
          <w:p w14:paraId="58CDC18A" w14:textId="6042EDD9" w:rsidR="00420761" w:rsidRDefault="00420761" w:rsidP="00420761">
            <w:r>
              <w:t>3 (1,2)</w:t>
            </w:r>
          </w:p>
        </w:tc>
        <w:tc>
          <w:tcPr>
            <w:tcW w:w="1629" w:type="dxa"/>
            <w:gridSpan w:val="2"/>
            <w:vAlign w:val="bottom"/>
          </w:tcPr>
          <w:p w14:paraId="6886AB90" w14:textId="02AB7FEB" w:rsidR="00420761" w:rsidRDefault="00420761" w:rsidP="00420761">
            <w:r>
              <w:t>0</w:t>
            </w:r>
          </w:p>
        </w:tc>
        <w:tc>
          <w:tcPr>
            <w:tcW w:w="1722" w:type="dxa"/>
            <w:vAlign w:val="bottom"/>
          </w:tcPr>
          <w:p w14:paraId="1170AAC0" w14:textId="085704EF" w:rsidR="00420761" w:rsidRDefault="00420761" w:rsidP="00420761">
            <w:r>
              <w:t>12 (4,6)</w:t>
            </w:r>
          </w:p>
        </w:tc>
        <w:tc>
          <w:tcPr>
            <w:tcW w:w="1627" w:type="dxa"/>
            <w:gridSpan w:val="2"/>
            <w:vAlign w:val="bottom"/>
          </w:tcPr>
          <w:p w14:paraId="2A534FC2" w14:textId="0D64FEE6" w:rsidR="00420761" w:rsidRDefault="00420761" w:rsidP="00420761">
            <w:r>
              <w:t>1(0,4)</w:t>
            </w:r>
          </w:p>
        </w:tc>
      </w:tr>
      <w:tr w:rsidR="00420761" w14:paraId="3FD20418" w14:textId="77777777" w:rsidTr="00420761">
        <w:tc>
          <w:tcPr>
            <w:tcW w:w="3719" w:type="dxa"/>
            <w:vAlign w:val="bottom"/>
          </w:tcPr>
          <w:p w14:paraId="5D8B3574" w14:textId="76937F41" w:rsidR="00420761" w:rsidRDefault="00420761" w:rsidP="00420761">
            <w:pPr>
              <w:jc w:val="center"/>
            </w:pPr>
            <w:r>
              <w:t>Умора</w:t>
            </w:r>
          </w:p>
        </w:tc>
        <w:tc>
          <w:tcPr>
            <w:tcW w:w="961" w:type="dxa"/>
            <w:vAlign w:val="bottom"/>
          </w:tcPr>
          <w:p w14:paraId="408E8B4B" w14:textId="1385DD09" w:rsidR="00420761" w:rsidRDefault="00420761" w:rsidP="00420761">
            <w:r>
              <w:t>3 (1,2)</w:t>
            </w:r>
          </w:p>
        </w:tc>
        <w:tc>
          <w:tcPr>
            <w:tcW w:w="1629" w:type="dxa"/>
            <w:gridSpan w:val="2"/>
            <w:vAlign w:val="bottom"/>
          </w:tcPr>
          <w:p w14:paraId="37828228" w14:textId="117D5A3E" w:rsidR="00420761" w:rsidRDefault="00420761" w:rsidP="00420761">
            <w:r>
              <w:t>1 (0,4)</w:t>
            </w:r>
          </w:p>
        </w:tc>
        <w:tc>
          <w:tcPr>
            <w:tcW w:w="1722" w:type="dxa"/>
            <w:vAlign w:val="bottom"/>
          </w:tcPr>
          <w:p w14:paraId="24C7FE11" w14:textId="10FBCA4D" w:rsidR="00420761" w:rsidRDefault="00420761" w:rsidP="00420761">
            <w:r>
              <w:t>15(5,7)</w:t>
            </w:r>
          </w:p>
        </w:tc>
        <w:tc>
          <w:tcPr>
            <w:tcW w:w="1627" w:type="dxa"/>
            <w:gridSpan w:val="2"/>
            <w:vAlign w:val="bottom"/>
          </w:tcPr>
          <w:p w14:paraId="276A9B3C" w14:textId="268CB448" w:rsidR="00420761" w:rsidRDefault="00420761" w:rsidP="00420761">
            <w:r>
              <w:t>2 (0,8)</w:t>
            </w:r>
          </w:p>
        </w:tc>
      </w:tr>
      <w:tr w:rsidR="00420761" w14:paraId="790E36F5" w14:textId="77777777" w:rsidTr="00420761">
        <w:tc>
          <w:tcPr>
            <w:tcW w:w="3719" w:type="dxa"/>
            <w:vAlign w:val="bottom"/>
          </w:tcPr>
          <w:p w14:paraId="76F3E881" w14:textId="7EECEC7E" w:rsidR="00420761" w:rsidRDefault="00420761" w:rsidP="00420761">
            <w:pPr>
              <w:jc w:val="center"/>
            </w:pPr>
            <w:r>
              <w:t>Диария</w:t>
            </w:r>
          </w:p>
        </w:tc>
        <w:tc>
          <w:tcPr>
            <w:tcW w:w="961" w:type="dxa"/>
            <w:vAlign w:val="bottom"/>
          </w:tcPr>
          <w:p w14:paraId="062B8A43" w14:textId="6239A2C5" w:rsidR="00420761" w:rsidRDefault="00420761" w:rsidP="00420761">
            <w:r>
              <w:t>5(1,9)</w:t>
            </w:r>
          </w:p>
        </w:tc>
        <w:tc>
          <w:tcPr>
            <w:tcW w:w="1629" w:type="dxa"/>
            <w:gridSpan w:val="2"/>
            <w:vAlign w:val="bottom"/>
          </w:tcPr>
          <w:p w14:paraId="4F63E74F" w14:textId="5826494A" w:rsidR="00420761" w:rsidRDefault="00420761" w:rsidP="00420761">
            <w:r>
              <w:t>0</w:t>
            </w:r>
          </w:p>
        </w:tc>
        <w:tc>
          <w:tcPr>
            <w:tcW w:w="1722" w:type="dxa"/>
            <w:vAlign w:val="bottom"/>
          </w:tcPr>
          <w:p w14:paraId="46AD99AA" w14:textId="4FD68109" w:rsidR="00420761" w:rsidRDefault="00420761" w:rsidP="00420761">
            <w:r>
              <w:t>8(3,1)</w:t>
            </w:r>
          </w:p>
        </w:tc>
        <w:tc>
          <w:tcPr>
            <w:tcW w:w="1627" w:type="dxa"/>
            <w:gridSpan w:val="2"/>
            <w:vAlign w:val="bottom"/>
          </w:tcPr>
          <w:p w14:paraId="0CECF20B" w14:textId="73211859" w:rsidR="00420761" w:rsidRDefault="00420761" w:rsidP="00420761">
            <w:r>
              <w:t>0</w:t>
            </w:r>
          </w:p>
        </w:tc>
      </w:tr>
      <w:tr w:rsidR="00420761" w14:paraId="4B014C82" w14:textId="77777777" w:rsidTr="00420761">
        <w:tc>
          <w:tcPr>
            <w:tcW w:w="3719" w:type="dxa"/>
            <w:vAlign w:val="bottom"/>
          </w:tcPr>
          <w:p w14:paraId="315F403A" w14:textId="4FFAB7AF" w:rsidR="00420761" w:rsidRDefault="00420761" w:rsidP="00420761">
            <w:pPr>
              <w:jc w:val="center"/>
            </w:pPr>
            <w:r>
              <w:t>Моторна невропатия</w:t>
            </w:r>
          </w:p>
        </w:tc>
        <w:tc>
          <w:tcPr>
            <w:tcW w:w="961" w:type="dxa"/>
            <w:vAlign w:val="bottom"/>
          </w:tcPr>
          <w:p w14:paraId="2E2FC837" w14:textId="60658B90" w:rsidR="00420761" w:rsidRDefault="00420761" w:rsidP="00420761">
            <w:r>
              <w:t>2(0,8)</w:t>
            </w:r>
          </w:p>
        </w:tc>
        <w:tc>
          <w:tcPr>
            <w:tcW w:w="1629" w:type="dxa"/>
            <w:gridSpan w:val="2"/>
            <w:vAlign w:val="bottom"/>
          </w:tcPr>
          <w:p w14:paraId="7A20A2F8" w14:textId="32A80F18" w:rsidR="00420761" w:rsidRDefault="00420761" w:rsidP="00420761">
            <w:r>
              <w:t>0</w:t>
            </w:r>
          </w:p>
        </w:tc>
        <w:tc>
          <w:tcPr>
            <w:tcW w:w="1722" w:type="dxa"/>
            <w:vAlign w:val="bottom"/>
          </w:tcPr>
          <w:p w14:paraId="5118FEC0" w14:textId="7457E841" w:rsidR="00420761" w:rsidRDefault="00420761" w:rsidP="00420761">
            <w:r>
              <w:t>6(2,3)</w:t>
            </w:r>
          </w:p>
        </w:tc>
        <w:tc>
          <w:tcPr>
            <w:tcW w:w="1627" w:type="dxa"/>
            <w:gridSpan w:val="2"/>
            <w:vAlign w:val="bottom"/>
          </w:tcPr>
          <w:p w14:paraId="46F1F2ED" w14:textId="6B75EBF7" w:rsidR="00420761" w:rsidRDefault="00420761" w:rsidP="00420761">
            <w:r>
              <w:t>1(0,4)</w:t>
            </w:r>
          </w:p>
        </w:tc>
      </w:tr>
      <w:tr w:rsidR="00420761" w14:paraId="7D07D81A" w14:textId="77777777" w:rsidTr="00420761">
        <w:tc>
          <w:tcPr>
            <w:tcW w:w="3719" w:type="dxa"/>
            <w:vAlign w:val="bottom"/>
          </w:tcPr>
          <w:p w14:paraId="0BE0EBF9" w14:textId="25EA415E" w:rsidR="00420761" w:rsidRDefault="00420761" w:rsidP="00420761">
            <w:pPr>
              <w:jc w:val="center"/>
            </w:pPr>
            <w:r>
              <w:t>Сензорна невропатия</w:t>
            </w:r>
          </w:p>
        </w:tc>
        <w:tc>
          <w:tcPr>
            <w:tcW w:w="961" w:type="dxa"/>
            <w:vAlign w:val="bottom"/>
          </w:tcPr>
          <w:p w14:paraId="4EC973A4" w14:textId="26DA7683" w:rsidR="00420761" w:rsidRDefault="00420761" w:rsidP="00420761">
            <w:r>
              <w:t>9(3,5)</w:t>
            </w:r>
          </w:p>
        </w:tc>
        <w:tc>
          <w:tcPr>
            <w:tcW w:w="1629" w:type="dxa"/>
            <w:gridSpan w:val="2"/>
            <w:vAlign w:val="bottom"/>
          </w:tcPr>
          <w:p w14:paraId="21663FA9" w14:textId="26013E62" w:rsidR="00420761" w:rsidRDefault="00420761" w:rsidP="00420761">
            <w:r>
              <w:t>0</w:t>
            </w:r>
          </w:p>
        </w:tc>
        <w:tc>
          <w:tcPr>
            <w:tcW w:w="1722" w:type="dxa"/>
            <w:vAlign w:val="bottom"/>
          </w:tcPr>
          <w:p w14:paraId="6AA4EB24" w14:textId="18C2F152" w:rsidR="00420761" w:rsidRDefault="00420761" w:rsidP="00420761">
            <w:r>
              <w:t>14(5,3)</w:t>
            </w:r>
          </w:p>
        </w:tc>
        <w:tc>
          <w:tcPr>
            <w:tcW w:w="1627" w:type="dxa"/>
            <w:gridSpan w:val="2"/>
            <w:vAlign w:val="bottom"/>
          </w:tcPr>
          <w:p w14:paraId="53DDBF7C" w14:textId="09B0A7B7" w:rsidR="00420761" w:rsidRDefault="00420761" w:rsidP="00420761">
            <w:r>
              <w:t>1(0,4)</w:t>
            </w:r>
          </w:p>
        </w:tc>
      </w:tr>
    </w:tbl>
    <w:p w14:paraId="785035A6" w14:textId="4DF1F6E7" w:rsidR="00420761" w:rsidRDefault="00420761" w:rsidP="0091385D">
      <w:r>
        <w:t>*Неутропения от степен 4, продължила повече от 7 дни, е възникнала при 12,6% от пациентите в рамото с комбинирано лечение и при 5,0% от пациентите в рамото с паклитаксел.</w:t>
      </w:r>
    </w:p>
    <w:p w14:paraId="5699D562" w14:textId="669BE5CB" w:rsidR="00420761" w:rsidRDefault="00420761" w:rsidP="0091385D"/>
    <w:p w14:paraId="05CB8ABF" w14:textId="17C26160" w:rsidR="00420761" w:rsidRDefault="00420761" w:rsidP="0091385D">
      <w:r>
        <w:rPr>
          <w:i/>
          <w:iCs/>
          <w:u w:val="single"/>
        </w:rPr>
        <w:t>Комбинирана употреба при рак на пикочния мехур</w:t>
      </w:r>
    </w:p>
    <w:p w14:paraId="4CED500D" w14:textId="108F3D68" w:rsidR="00420761" w:rsidRDefault="00420761" w:rsidP="0091385D"/>
    <w:tbl>
      <w:tblPr>
        <w:tblStyle w:val="TableGrid"/>
        <w:tblW w:w="0" w:type="auto"/>
        <w:tblLook w:val="04A0" w:firstRow="1" w:lastRow="0" w:firstColumn="1" w:lastColumn="0" w:noHBand="0" w:noVBand="1"/>
      </w:tblPr>
      <w:tblGrid>
        <w:gridCol w:w="3410"/>
        <w:gridCol w:w="961"/>
        <w:gridCol w:w="1735"/>
        <w:gridCol w:w="1735"/>
        <w:gridCol w:w="1735"/>
      </w:tblGrid>
      <w:tr w:rsidR="00420761" w14:paraId="7DE4DD3C" w14:textId="77777777" w:rsidTr="00665138">
        <w:tc>
          <w:tcPr>
            <w:tcW w:w="9576" w:type="dxa"/>
            <w:gridSpan w:val="5"/>
          </w:tcPr>
          <w:p w14:paraId="1FF69F4D" w14:textId="77777777" w:rsidR="00665138" w:rsidRDefault="00665138" w:rsidP="00665138">
            <w:pPr>
              <w:jc w:val="center"/>
            </w:pPr>
            <w:r>
              <w:t xml:space="preserve">Нежелани събития от степен 3 и 4 </w:t>
            </w:r>
          </w:p>
          <w:p w14:paraId="61C5D763" w14:textId="4AD9C8BC" w:rsidR="00420761" w:rsidRDefault="00665138" w:rsidP="00665138">
            <w:pPr>
              <w:jc w:val="center"/>
            </w:pPr>
            <w:r>
              <w:rPr>
                <w:lang w:val="en-US"/>
              </w:rPr>
              <w:t xml:space="preserve">MVAC </w:t>
            </w:r>
            <w:r>
              <w:t>спрямо гемцитабин плюс цисплатина</w:t>
            </w:r>
          </w:p>
        </w:tc>
      </w:tr>
      <w:tr w:rsidR="00420761" w14:paraId="26E8DC5C" w14:textId="77777777" w:rsidTr="00665138">
        <w:tc>
          <w:tcPr>
            <w:tcW w:w="3410" w:type="dxa"/>
            <w:vMerge w:val="restart"/>
          </w:tcPr>
          <w:p w14:paraId="500832B1" w14:textId="77777777" w:rsidR="00420761" w:rsidRDefault="00420761" w:rsidP="0091385D"/>
        </w:tc>
        <w:tc>
          <w:tcPr>
            <w:tcW w:w="6166" w:type="dxa"/>
            <w:gridSpan w:val="4"/>
          </w:tcPr>
          <w:p w14:paraId="276348B4" w14:textId="6374B98A" w:rsidR="00420761" w:rsidRDefault="00665138" w:rsidP="00665138">
            <w:pPr>
              <w:jc w:val="center"/>
            </w:pPr>
            <w:r>
              <w:t>Брой (%) от пациентите</w:t>
            </w:r>
          </w:p>
        </w:tc>
      </w:tr>
      <w:tr w:rsidR="00420761" w14:paraId="3C67B9AB" w14:textId="77777777" w:rsidTr="00665138">
        <w:tc>
          <w:tcPr>
            <w:tcW w:w="3410" w:type="dxa"/>
            <w:vMerge/>
          </w:tcPr>
          <w:p w14:paraId="4E5A8D63" w14:textId="77777777" w:rsidR="00420761" w:rsidRDefault="00420761" w:rsidP="0091385D"/>
        </w:tc>
        <w:tc>
          <w:tcPr>
            <w:tcW w:w="2696" w:type="dxa"/>
            <w:gridSpan w:val="2"/>
          </w:tcPr>
          <w:p w14:paraId="3A81EFAE" w14:textId="77777777" w:rsidR="00665138" w:rsidRDefault="00420761" w:rsidP="00665138">
            <w:pPr>
              <w:jc w:val="center"/>
            </w:pPr>
            <w:r>
              <w:t>Рамо</w:t>
            </w:r>
            <w:r>
              <w:rPr>
                <w:lang w:val="en-US"/>
              </w:rPr>
              <w:t xml:space="preserve"> </w:t>
            </w:r>
            <w:r>
              <w:t>с</w:t>
            </w:r>
            <w:r>
              <w:rPr>
                <w:lang w:val="en-US"/>
              </w:rPr>
              <w:t xml:space="preserve"> MVAC</w:t>
            </w:r>
            <w:r>
              <w:t xml:space="preserve"> </w:t>
            </w:r>
          </w:p>
          <w:p w14:paraId="6F70B207" w14:textId="77777777" w:rsidR="00665138" w:rsidRDefault="00420761" w:rsidP="00665138">
            <w:pPr>
              <w:jc w:val="center"/>
            </w:pPr>
            <w:r>
              <w:t xml:space="preserve">(метотрексат, </w:t>
            </w:r>
          </w:p>
          <w:p w14:paraId="046AA0BA" w14:textId="77777777" w:rsidR="00665138" w:rsidRDefault="00420761" w:rsidP="00665138">
            <w:pPr>
              <w:jc w:val="center"/>
            </w:pPr>
            <w:r>
              <w:t xml:space="preserve">винбластин, </w:t>
            </w:r>
          </w:p>
          <w:p w14:paraId="0D30D3A6" w14:textId="77777777" w:rsidR="00665138" w:rsidRDefault="00420761" w:rsidP="00665138">
            <w:pPr>
              <w:jc w:val="center"/>
            </w:pPr>
            <w:r>
              <w:t xml:space="preserve">доксорубицин и </w:t>
            </w:r>
          </w:p>
          <w:p w14:paraId="10FD619D" w14:textId="09A4AA95" w:rsidR="00665138" w:rsidRDefault="00420761" w:rsidP="00665138">
            <w:pPr>
              <w:jc w:val="center"/>
            </w:pPr>
            <w:r>
              <w:t xml:space="preserve">цисплатина) </w:t>
            </w:r>
          </w:p>
          <w:p w14:paraId="23D02837" w14:textId="1DC7B1D1" w:rsidR="00420761" w:rsidRDefault="00420761" w:rsidP="00665138">
            <w:pPr>
              <w:jc w:val="center"/>
            </w:pPr>
            <w:r>
              <w:rPr>
                <w:lang w:val="en-US"/>
              </w:rPr>
              <w:t>(N=196)</w:t>
            </w:r>
          </w:p>
        </w:tc>
        <w:tc>
          <w:tcPr>
            <w:tcW w:w="3470" w:type="dxa"/>
            <w:gridSpan w:val="2"/>
          </w:tcPr>
          <w:p w14:paraId="607AB3EC" w14:textId="77777777" w:rsidR="00665138" w:rsidRDefault="00420761" w:rsidP="00665138">
            <w:pPr>
              <w:jc w:val="center"/>
            </w:pPr>
            <w:r>
              <w:t xml:space="preserve">Рамо с гемцитабин и </w:t>
            </w:r>
          </w:p>
          <w:p w14:paraId="0756FEB1" w14:textId="77777777" w:rsidR="00665138" w:rsidRDefault="00420761" w:rsidP="00665138">
            <w:pPr>
              <w:jc w:val="center"/>
            </w:pPr>
            <w:r>
              <w:t xml:space="preserve">цисплатина </w:t>
            </w:r>
          </w:p>
          <w:p w14:paraId="3412482D" w14:textId="5E553ECC" w:rsidR="00420761" w:rsidRDefault="00420761" w:rsidP="00665138">
            <w:pPr>
              <w:jc w:val="center"/>
            </w:pPr>
            <w:r>
              <w:rPr>
                <w:lang w:val="en-US"/>
              </w:rPr>
              <w:t>(N=200)</w:t>
            </w:r>
          </w:p>
        </w:tc>
      </w:tr>
      <w:tr w:rsidR="00420761" w14:paraId="29971FE7" w14:textId="77777777" w:rsidTr="00665138">
        <w:tc>
          <w:tcPr>
            <w:tcW w:w="3410" w:type="dxa"/>
            <w:vMerge/>
          </w:tcPr>
          <w:p w14:paraId="724AAE5C" w14:textId="77777777" w:rsidR="00420761" w:rsidRDefault="00420761" w:rsidP="00420761"/>
        </w:tc>
        <w:tc>
          <w:tcPr>
            <w:tcW w:w="961" w:type="dxa"/>
            <w:vAlign w:val="bottom"/>
          </w:tcPr>
          <w:p w14:paraId="360FE613" w14:textId="19298B22" w:rsidR="00420761" w:rsidRDefault="00420761" w:rsidP="00420761">
            <w:r>
              <w:t>Степен 3</w:t>
            </w:r>
          </w:p>
        </w:tc>
        <w:tc>
          <w:tcPr>
            <w:tcW w:w="1735" w:type="dxa"/>
            <w:vAlign w:val="bottom"/>
          </w:tcPr>
          <w:p w14:paraId="1AFA3B0D" w14:textId="69CB5A8F" w:rsidR="00420761" w:rsidRDefault="00420761" w:rsidP="00420761">
            <w:r>
              <w:t>Степен 4</w:t>
            </w:r>
          </w:p>
        </w:tc>
        <w:tc>
          <w:tcPr>
            <w:tcW w:w="1735" w:type="dxa"/>
            <w:vAlign w:val="bottom"/>
          </w:tcPr>
          <w:p w14:paraId="0CB81487" w14:textId="395E1D88" w:rsidR="00420761" w:rsidRDefault="00420761" w:rsidP="00420761">
            <w:r>
              <w:t>Степен 3</w:t>
            </w:r>
          </w:p>
        </w:tc>
        <w:tc>
          <w:tcPr>
            <w:tcW w:w="1735" w:type="dxa"/>
            <w:vAlign w:val="bottom"/>
          </w:tcPr>
          <w:p w14:paraId="0CF8385E" w14:textId="6A9FAE5D" w:rsidR="00420761" w:rsidRDefault="00420761" w:rsidP="00420761">
            <w:r>
              <w:t>Степен 4</w:t>
            </w:r>
          </w:p>
        </w:tc>
      </w:tr>
      <w:tr w:rsidR="00665138" w14:paraId="702A0D51" w14:textId="77777777" w:rsidTr="00665138">
        <w:tc>
          <w:tcPr>
            <w:tcW w:w="3410" w:type="dxa"/>
            <w:vAlign w:val="bottom"/>
          </w:tcPr>
          <w:p w14:paraId="25AFABC6" w14:textId="3ADFB16C" w:rsidR="00665138" w:rsidRDefault="00665138" w:rsidP="00665138">
            <w:r>
              <w:t>Лабораторни</w:t>
            </w:r>
          </w:p>
        </w:tc>
        <w:tc>
          <w:tcPr>
            <w:tcW w:w="961" w:type="dxa"/>
          </w:tcPr>
          <w:p w14:paraId="5F5D9003" w14:textId="77777777" w:rsidR="00665138" w:rsidRDefault="00665138" w:rsidP="00665138"/>
        </w:tc>
        <w:tc>
          <w:tcPr>
            <w:tcW w:w="1735" w:type="dxa"/>
          </w:tcPr>
          <w:p w14:paraId="236AAF10" w14:textId="77777777" w:rsidR="00665138" w:rsidRDefault="00665138" w:rsidP="00665138"/>
        </w:tc>
        <w:tc>
          <w:tcPr>
            <w:tcW w:w="1735" w:type="dxa"/>
          </w:tcPr>
          <w:p w14:paraId="4ECAC8D6" w14:textId="77777777" w:rsidR="00665138" w:rsidRDefault="00665138" w:rsidP="00665138"/>
        </w:tc>
        <w:tc>
          <w:tcPr>
            <w:tcW w:w="1735" w:type="dxa"/>
          </w:tcPr>
          <w:p w14:paraId="54879348" w14:textId="77777777" w:rsidR="00665138" w:rsidRDefault="00665138" w:rsidP="00665138"/>
        </w:tc>
      </w:tr>
      <w:tr w:rsidR="00665138" w14:paraId="217C674F" w14:textId="77777777" w:rsidTr="00665138">
        <w:tc>
          <w:tcPr>
            <w:tcW w:w="3410" w:type="dxa"/>
            <w:vAlign w:val="bottom"/>
          </w:tcPr>
          <w:p w14:paraId="184DC64D" w14:textId="32A64A29" w:rsidR="00665138" w:rsidRDefault="00665138" w:rsidP="00665138">
            <w:pPr>
              <w:jc w:val="center"/>
            </w:pPr>
            <w:r>
              <w:t>Анемия</w:t>
            </w:r>
          </w:p>
        </w:tc>
        <w:tc>
          <w:tcPr>
            <w:tcW w:w="961" w:type="dxa"/>
            <w:vAlign w:val="bottom"/>
          </w:tcPr>
          <w:p w14:paraId="7ABD44C5" w14:textId="3077DD23" w:rsidR="00665138" w:rsidRDefault="00665138" w:rsidP="00665138">
            <w:r>
              <w:t>30(16)</w:t>
            </w:r>
          </w:p>
        </w:tc>
        <w:tc>
          <w:tcPr>
            <w:tcW w:w="1735" w:type="dxa"/>
            <w:vAlign w:val="bottom"/>
          </w:tcPr>
          <w:p w14:paraId="4A0440BD" w14:textId="016B642E" w:rsidR="00665138" w:rsidRDefault="00665138" w:rsidP="00665138">
            <w:r>
              <w:t>4(2)</w:t>
            </w:r>
          </w:p>
        </w:tc>
        <w:tc>
          <w:tcPr>
            <w:tcW w:w="1735" w:type="dxa"/>
            <w:vAlign w:val="bottom"/>
          </w:tcPr>
          <w:p w14:paraId="20346037" w14:textId="0FEEF1BC" w:rsidR="00665138" w:rsidRDefault="00665138" w:rsidP="00665138">
            <w:r>
              <w:t>47(24)</w:t>
            </w:r>
          </w:p>
        </w:tc>
        <w:tc>
          <w:tcPr>
            <w:tcW w:w="1735" w:type="dxa"/>
            <w:vAlign w:val="bottom"/>
          </w:tcPr>
          <w:p w14:paraId="145BD162" w14:textId="5CBC758A" w:rsidR="00665138" w:rsidRDefault="00665138" w:rsidP="00665138">
            <w:r>
              <w:t>7(4)</w:t>
            </w:r>
          </w:p>
        </w:tc>
      </w:tr>
      <w:tr w:rsidR="00665138" w14:paraId="078BCA16" w14:textId="77777777" w:rsidTr="00665138">
        <w:tc>
          <w:tcPr>
            <w:tcW w:w="3410" w:type="dxa"/>
            <w:vAlign w:val="bottom"/>
          </w:tcPr>
          <w:p w14:paraId="3C93F8D9" w14:textId="44F615F9" w:rsidR="00665138" w:rsidRDefault="00665138" w:rsidP="00665138">
            <w:pPr>
              <w:jc w:val="center"/>
            </w:pPr>
            <w:r>
              <w:t>Тромбоцитопения</w:t>
            </w:r>
          </w:p>
        </w:tc>
        <w:tc>
          <w:tcPr>
            <w:tcW w:w="961" w:type="dxa"/>
            <w:vAlign w:val="bottom"/>
          </w:tcPr>
          <w:p w14:paraId="13BE6AB0" w14:textId="2FB5C3BB" w:rsidR="00665138" w:rsidRDefault="00665138" w:rsidP="00665138">
            <w:r>
              <w:t>15(8)</w:t>
            </w:r>
          </w:p>
        </w:tc>
        <w:tc>
          <w:tcPr>
            <w:tcW w:w="1735" w:type="dxa"/>
            <w:vAlign w:val="bottom"/>
          </w:tcPr>
          <w:p w14:paraId="0B0F8ADA" w14:textId="6B22A157" w:rsidR="00665138" w:rsidRDefault="00665138" w:rsidP="00665138">
            <w:r>
              <w:t>25(13)</w:t>
            </w:r>
          </w:p>
        </w:tc>
        <w:tc>
          <w:tcPr>
            <w:tcW w:w="1735" w:type="dxa"/>
            <w:vAlign w:val="bottom"/>
          </w:tcPr>
          <w:p w14:paraId="6E4E8769" w14:textId="2A948097" w:rsidR="00665138" w:rsidRDefault="00665138" w:rsidP="00665138">
            <w:r>
              <w:t>57(29)</w:t>
            </w:r>
          </w:p>
        </w:tc>
        <w:tc>
          <w:tcPr>
            <w:tcW w:w="1735" w:type="dxa"/>
            <w:vAlign w:val="bottom"/>
          </w:tcPr>
          <w:p w14:paraId="55ADCC84" w14:textId="1E15EF9C" w:rsidR="00665138" w:rsidRDefault="00665138" w:rsidP="00665138">
            <w:r>
              <w:t>57(29)</w:t>
            </w:r>
          </w:p>
        </w:tc>
      </w:tr>
      <w:tr w:rsidR="00665138" w14:paraId="2A6F9A67" w14:textId="77777777" w:rsidTr="00665138">
        <w:tc>
          <w:tcPr>
            <w:tcW w:w="3410" w:type="dxa"/>
            <w:vAlign w:val="bottom"/>
          </w:tcPr>
          <w:p w14:paraId="18D45136" w14:textId="0283642E" w:rsidR="00665138" w:rsidRDefault="00665138" w:rsidP="00665138">
            <w:r>
              <w:t>Нелабораторни</w:t>
            </w:r>
          </w:p>
        </w:tc>
        <w:tc>
          <w:tcPr>
            <w:tcW w:w="961" w:type="dxa"/>
          </w:tcPr>
          <w:p w14:paraId="243C4655" w14:textId="77777777" w:rsidR="00665138" w:rsidRDefault="00665138" w:rsidP="00665138"/>
        </w:tc>
        <w:tc>
          <w:tcPr>
            <w:tcW w:w="1735" w:type="dxa"/>
          </w:tcPr>
          <w:p w14:paraId="3762E9D2" w14:textId="77777777" w:rsidR="00665138" w:rsidRDefault="00665138" w:rsidP="00665138"/>
        </w:tc>
        <w:tc>
          <w:tcPr>
            <w:tcW w:w="1735" w:type="dxa"/>
          </w:tcPr>
          <w:p w14:paraId="68B0E6F1" w14:textId="77777777" w:rsidR="00665138" w:rsidRDefault="00665138" w:rsidP="00665138"/>
        </w:tc>
        <w:tc>
          <w:tcPr>
            <w:tcW w:w="1735" w:type="dxa"/>
          </w:tcPr>
          <w:p w14:paraId="65989A98" w14:textId="77777777" w:rsidR="00665138" w:rsidRDefault="00665138" w:rsidP="00665138"/>
        </w:tc>
      </w:tr>
      <w:tr w:rsidR="00665138" w14:paraId="70F13AD7" w14:textId="77777777" w:rsidTr="00665138">
        <w:tc>
          <w:tcPr>
            <w:tcW w:w="3410" w:type="dxa"/>
            <w:vAlign w:val="bottom"/>
          </w:tcPr>
          <w:p w14:paraId="16832B73" w14:textId="05A6DEB4" w:rsidR="00665138" w:rsidRDefault="00665138" w:rsidP="00665138">
            <w:pPr>
              <w:jc w:val="center"/>
            </w:pPr>
            <w:r>
              <w:t>Гадене и повръщане</w:t>
            </w:r>
          </w:p>
        </w:tc>
        <w:tc>
          <w:tcPr>
            <w:tcW w:w="961" w:type="dxa"/>
            <w:vAlign w:val="bottom"/>
          </w:tcPr>
          <w:p w14:paraId="41269FF0" w14:textId="6DBA5663" w:rsidR="00665138" w:rsidRDefault="00665138" w:rsidP="00665138">
            <w:r>
              <w:t>37(19)</w:t>
            </w:r>
          </w:p>
        </w:tc>
        <w:tc>
          <w:tcPr>
            <w:tcW w:w="1735" w:type="dxa"/>
            <w:vAlign w:val="bottom"/>
          </w:tcPr>
          <w:p w14:paraId="01D286C5" w14:textId="2091113D" w:rsidR="00665138" w:rsidRDefault="00665138" w:rsidP="00665138">
            <w:r>
              <w:t>3(2)</w:t>
            </w:r>
          </w:p>
        </w:tc>
        <w:tc>
          <w:tcPr>
            <w:tcW w:w="1735" w:type="dxa"/>
            <w:vAlign w:val="bottom"/>
          </w:tcPr>
          <w:p w14:paraId="0488D91C" w14:textId="784F1079" w:rsidR="00665138" w:rsidRDefault="00665138" w:rsidP="00665138">
            <w:r>
              <w:t>44(22)</w:t>
            </w:r>
          </w:p>
        </w:tc>
        <w:tc>
          <w:tcPr>
            <w:tcW w:w="1735" w:type="dxa"/>
            <w:vAlign w:val="bottom"/>
          </w:tcPr>
          <w:p w14:paraId="10FDBABA" w14:textId="0C37DE75" w:rsidR="00665138" w:rsidRDefault="00665138" w:rsidP="00665138">
            <w:r>
              <w:t>0(0)</w:t>
            </w:r>
          </w:p>
        </w:tc>
      </w:tr>
      <w:tr w:rsidR="00665138" w14:paraId="3992BF99" w14:textId="77777777" w:rsidTr="00665138">
        <w:tc>
          <w:tcPr>
            <w:tcW w:w="3410" w:type="dxa"/>
            <w:vAlign w:val="bottom"/>
          </w:tcPr>
          <w:p w14:paraId="716B2D6C" w14:textId="565DE294" w:rsidR="00665138" w:rsidRDefault="00665138" w:rsidP="00665138">
            <w:pPr>
              <w:jc w:val="center"/>
            </w:pPr>
            <w:r>
              <w:t>Диария</w:t>
            </w:r>
          </w:p>
        </w:tc>
        <w:tc>
          <w:tcPr>
            <w:tcW w:w="961" w:type="dxa"/>
            <w:vAlign w:val="bottom"/>
          </w:tcPr>
          <w:p w14:paraId="37BA6C44" w14:textId="6ACA2AD2" w:rsidR="00665138" w:rsidRDefault="00665138" w:rsidP="00665138">
            <w:r>
              <w:t>15(8)</w:t>
            </w:r>
          </w:p>
        </w:tc>
        <w:tc>
          <w:tcPr>
            <w:tcW w:w="1735" w:type="dxa"/>
            <w:vAlign w:val="bottom"/>
          </w:tcPr>
          <w:p w14:paraId="05D83311" w14:textId="68D99912" w:rsidR="00665138" w:rsidRDefault="00665138" w:rsidP="00665138">
            <w:r>
              <w:t xml:space="preserve">1(1) </w:t>
            </w:r>
          </w:p>
        </w:tc>
        <w:tc>
          <w:tcPr>
            <w:tcW w:w="1735" w:type="dxa"/>
            <w:vAlign w:val="bottom"/>
          </w:tcPr>
          <w:p w14:paraId="522BB5CB" w14:textId="7ED23F32" w:rsidR="00665138" w:rsidRDefault="00665138" w:rsidP="00665138">
            <w:r>
              <w:t>6(3)</w:t>
            </w:r>
          </w:p>
        </w:tc>
        <w:tc>
          <w:tcPr>
            <w:tcW w:w="1735" w:type="dxa"/>
            <w:vAlign w:val="bottom"/>
          </w:tcPr>
          <w:p w14:paraId="71EA036F" w14:textId="62CF6470" w:rsidR="00665138" w:rsidRDefault="00665138" w:rsidP="00665138">
            <w:r>
              <w:t>0(0)</w:t>
            </w:r>
          </w:p>
        </w:tc>
      </w:tr>
      <w:tr w:rsidR="00665138" w14:paraId="6A98A2F0" w14:textId="77777777" w:rsidTr="00665138">
        <w:tc>
          <w:tcPr>
            <w:tcW w:w="3410" w:type="dxa"/>
            <w:vAlign w:val="bottom"/>
          </w:tcPr>
          <w:p w14:paraId="4DCD173D" w14:textId="494CFF85" w:rsidR="00665138" w:rsidRDefault="00665138" w:rsidP="00665138">
            <w:pPr>
              <w:jc w:val="center"/>
            </w:pPr>
            <w:r>
              <w:t>Инфекция</w:t>
            </w:r>
          </w:p>
        </w:tc>
        <w:tc>
          <w:tcPr>
            <w:tcW w:w="961" w:type="dxa"/>
            <w:vAlign w:val="bottom"/>
          </w:tcPr>
          <w:p w14:paraId="50016403" w14:textId="29F35B33" w:rsidR="00665138" w:rsidRDefault="00665138" w:rsidP="00665138">
            <w:r>
              <w:t>19(10)</w:t>
            </w:r>
          </w:p>
        </w:tc>
        <w:tc>
          <w:tcPr>
            <w:tcW w:w="1735" w:type="dxa"/>
            <w:vAlign w:val="bottom"/>
          </w:tcPr>
          <w:p w14:paraId="6066B3A9" w14:textId="77FE6ABF" w:rsidR="00665138" w:rsidRDefault="00665138" w:rsidP="00665138">
            <w:r>
              <w:t>10(5)</w:t>
            </w:r>
          </w:p>
        </w:tc>
        <w:tc>
          <w:tcPr>
            <w:tcW w:w="1735" w:type="dxa"/>
            <w:vAlign w:val="bottom"/>
          </w:tcPr>
          <w:p w14:paraId="5F073BCD" w14:textId="76521C91" w:rsidR="00665138" w:rsidRDefault="00665138" w:rsidP="00665138">
            <w:r>
              <w:t>4(2)</w:t>
            </w:r>
          </w:p>
        </w:tc>
        <w:tc>
          <w:tcPr>
            <w:tcW w:w="1735" w:type="dxa"/>
            <w:vAlign w:val="bottom"/>
          </w:tcPr>
          <w:p w14:paraId="338E0668" w14:textId="471ED831" w:rsidR="00665138" w:rsidRDefault="00665138" w:rsidP="00665138">
            <w:r>
              <w:rPr>
                <w:u w:val="single"/>
              </w:rPr>
              <w:t>1(1)</w:t>
            </w:r>
          </w:p>
        </w:tc>
      </w:tr>
      <w:tr w:rsidR="00665138" w14:paraId="3D713180" w14:textId="77777777" w:rsidTr="00665138">
        <w:tc>
          <w:tcPr>
            <w:tcW w:w="3410" w:type="dxa"/>
            <w:vAlign w:val="bottom"/>
          </w:tcPr>
          <w:p w14:paraId="7CAFC53F" w14:textId="0558B0D6" w:rsidR="00665138" w:rsidRDefault="00665138" w:rsidP="00665138">
            <w:pPr>
              <w:jc w:val="center"/>
            </w:pPr>
            <w:r>
              <w:t>Стоматит</w:t>
            </w:r>
          </w:p>
        </w:tc>
        <w:tc>
          <w:tcPr>
            <w:tcW w:w="961" w:type="dxa"/>
            <w:vAlign w:val="bottom"/>
          </w:tcPr>
          <w:p w14:paraId="7E2F0FF3" w14:textId="3684BDD6" w:rsidR="00665138" w:rsidRDefault="00665138" w:rsidP="00665138">
            <w:r>
              <w:t>34(18)</w:t>
            </w:r>
          </w:p>
        </w:tc>
        <w:tc>
          <w:tcPr>
            <w:tcW w:w="1735" w:type="dxa"/>
            <w:vAlign w:val="bottom"/>
          </w:tcPr>
          <w:p w14:paraId="6E83C619" w14:textId="1D738825" w:rsidR="00665138" w:rsidRDefault="00665138" w:rsidP="00665138">
            <w:r>
              <w:t>8(4)</w:t>
            </w:r>
          </w:p>
        </w:tc>
        <w:tc>
          <w:tcPr>
            <w:tcW w:w="1735" w:type="dxa"/>
            <w:vAlign w:val="bottom"/>
          </w:tcPr>
          <w:p w14:paraId="5053B1C8" w14:textId="743ABF44" w:rsidR="00665138" w:rsidRDefault="00665138" w:rsidP="00665138">
            <w:r>
              <w:t>2(1)</w:t>
            </w:r>
          </w:p>
        </w:tc>
        <w:tc>
          <w:tcPr>
            <w:tcW w:w="1735" w:type="dxa"/>
            <w:vAlign w:val="bottom"/>
          </w:tcPr>
          <w:p w14:paraId="35D81382" w14:textId="0CC88D04" w:rsidR="00665138" w:rsidRDefault="00665138" w:rsidP="00665138">
            <w:r>
              <w:t>0(0)</w:t>
            </w:r>
          </w:p>
        </w:tc>
      </w:tr>
    </w:tbl>
    <w:p w14:paraId="62337EFE" w14:textId="77777777" w:rsidR="00420761" w:rsidRDefault="00420761" w:rsidP="0091385D"/>
    <w:p w14:paraId="05EB61C5" w14:textId="32127AEA" w:rsidR="00420761" w:rsidRDefault="00420761" w:rsidP="0091385D"/>
    <w:p w14:paraId="0A022D44" w14:textId="49D9D9C7" w:rsidR="00420761" w:rsidRDefault="00665138" w:rsidP="0091385D">
      <w:pPr>
        <w:rPr>
          <w:u w:val="single"/>
        </w:rPr>
      </w:pPr>
      <w:r>
        <w:rPr>
          <w:u w:val="single"/>
        </w:rPr>
        <w:t>Комбинирана употреба при рак на яйчниците</w:t>
      </w:r>
    </w:p>
    <w:p w14:paraId="4584851A" w14:textId="07F3202C" w:rsidR="00665138" w:rsidRDefault="00665138" w:rsidP="0091385D">
      <w:pPr>
        <w:rPr>
          <w:u w:val="single"/>
        </w:rPr>
      </w:pPr>
    </w:p>
    <w:tbl>
      <w:tblPr>
        <w:tblStyle w:val="TableGrid"/>
        <w:tblW w:w="9941" w:type="dxa"/>
        <w:tblLook w:val="04A0" w:firstRow="1" w:lastRow="0" w:firstColumn="1" w:lastColumn="0" w:noHBand="0" w:noVBand="1"/>
      </w:tblPr>
      <w:tblGrid>
        <w:gridCol w:w="3697"/>
        <w:gridCol w:w="1036"/>
        <w:gridCol w:w="1381"/>
        <w:gridCol w:w="320"/>
        <w:gridCol w:w="1790"/>
        <w:gridCol w:w="1402"/>
        <w:gridCol w:w="315"/>
      </w:tblGrid>
      <w:tr w:rsidR="00665138" w14:paraId="28B31821" w14:textId="77777777" w:rsidTr="00665138">
        <w:trPr>
          <w:gridAfter w:val="1"/>
          <w:wAfter w:w="315" w:type="dxa"/>
        </w:trPr>
        <w:tc>
          <w:tcPr>
            <w:tcW w:w="9626" w:type="dxa"/>
            <w:gridSpan w:val="6"/>
          </w:tcPr>
          <w:p w14:paraId="205476D4" w14:textId="77777777" w:rsidR="00665138" w:rsidRDefault="00665138" w:rsidP="00665138">
            <w:pPr>
              <w:jc w:val="center"/>
            </w:pPr>
            <w:r w:rsidRPr="00665138">
              <w:lastRenderedPageBreak/>
              <w:t xml:space="preserve">Нежелани събития от степен 3 и 4 </w:t>
            </w:r>
          </w:p>
          <w:p w14:paraId="42E6BB7A" w14:textId="5C2F5ECB" w:rsidR="00665138" w:rsidRPr="00665138" w:rsidRDefault="00665138" w:rsidP="00665138">
            <w:pPr>
              <w:jc w:val="center"/>
            </w:pPr>
            <w:r w:rsidRPr="00665138">
              <w:t>Карбоплатина спрямо гемцитабин плюс карбоплатина</w:t>
            </w:r>
          </w:p>
        </w:tc>
      </w:tr>
      <w:tr w:rsidR="00665138" w14:paraId="76B07404" w14:textId="77777777" w:rsidTr="00665138">
        <w:trPr>
          <w:gridAfter w:val="1"/>
          <w:wAfter w:w="315" w:type="dxa"/>
        </w:trPr>
        <w:tc>
          <w:tcPr>
            <w:tcW w:w="3697" w:type="dxa"/>
            <w:vMerge w:val="restart"/>
          </w:tcPr>
          <w:p w14:paraId="79B17789" w14:textId="77777777" w:rsidR="00665138" w:rsidRDefault="00665138" w:rsidP="0091385D">
            <w:pPr>
              <w:rPr>
                <w:u w:val="single"/>
              </w:rPr>
            </w:pPr>
          </w:p>
        </w:tc>
        <w:tc>
          <w:tcPr>
            <w:tcW w:w="5929" w:type="dxa"/>
            <w:gridSpan w:val="5"/>
          </w:tcPr>
          <w:p w14:paraId="484E160B" w14:textId="792AFBE9" w:rsidR="00665138" w:rsidRDefault="00665138" w:rsidP="00665138">
            <w:pPr>
              <w:jc w:val="center"/>
              <w:rPr>
                <w:u w:val="single"/>
              </w:rPr>
            </w:pPr>
            <w:r>
              <w:t>Брой (%) от пациентите</w:t>
            </w:r>
          </w:p>
        </w:tc>
      </w:tr>
      <w:tr w:rsidR="00665138" w14:paraId="790A890F" w14:textId="77777777" w:rsidTr="00665138">
        <w:trPr>
          <w:gridAfter w:val="1"/>
          <w:wAfter w:w="315" w:type="dxa"/>
        </w:trPr>
        <w:tc>
          <w:tcPr>
            <w:tcW w:w="3697" w:type="dxa"/>
            <w:vMerge/>
          </w:tcPr>
          <w:p w14:paraId="6A5FBD5A" w14:textId="77777777" w:rsidR="00665138" w:rsidRDefault="00665138" w:rsidP="00665138">
            <w:pPr>
              <w:rPr>
                <w:u w:val="single"/>
              </w:rPr>
            </w:pPr>
          </w:p>
        </w:tc>
        <w:tc>
          <w:tcPr>
            <w:tcW w:w="2417" w:type="dxa"/>
            <w:gridSpan w:val="2"/>
          </w:tcPr>
          <w:p w14:paraId="7D916A2C" w14:textId="77777777" w:rsidR="00665138" w:rsidRDefault="00665138" w:rsidP="00665138">
            <w:pPr>
              <w:jc w:val="center"/>
            </w:pPr>
            <w:r>
              <w:t xml:space="preserve">Рамо с карбоплатина </w:t>
            </w:r>
          </w:p>
          <w:p w14:paraId="1946B617" w14:textId="3A6631CD" w:rsidR="00665138" w:rsidRDefault="00665138" w:rsidP="00665138">
            <w:pPr>
              <w:jc w:val="center"/>
              <w:rPr>
                <w:u w:val="single"/>
              </w:rPr>
            </w:pPr>
            <w:r>
              <w:rPr>
                <w:lang w:val="en-US"/>
              </w:rPr>
              <w:t>(N=174)</w:t>
            </w:r>
          </w:p>
        </w:tc>
        <w:tc>
          <w:tcPr>
            <w:tcW w:w="3512" w:type="dxa"/>
            <w:gridSpan w:val="3"/>
            <w:vAlign w:val="bottom"/>
          </w:tcPr>
          <w:p w14:paraId="62BCB567" w14:textId="77777777" w:rsidR="00665138" w:rsidRDefault="00665138" w:rsidP="00665138">
            <w:pPr>
              <w:jc w:val="center"/>
            </w:pPr>
            <w:r>
              <w:t xml:space="preserve">Рамо с гемцитабин </w:t>
            </w:r>
          </w:p>
          <w:p w14:paraId="62E86CE8" w14:textId="09A6E570" w:rsidR="00665138" w:rsidRDefault="00665138" w:rsidP="00665138">
            <w:pPr>
              <w:jc w:val="center"/>
            </w:pPr>
            <w:r>
              <w:t xml:space="preserve">плюс карбоплатина </w:t>
            </w:r>
          </w:p>
          <w:p w14:paraId="2F9B6F53" w14:textId="4EA31EFB" w:rsidR="00665138" w:rsidRDefault="00665138" w:rsidP="00665138">
            <w:pPr>
              <w:jc w:val="center"/>
              <w:rPr>
                <w:u w:val="single"/>
              </w:rPr>
            </w:pPr>
            <w:r>
              <w:rPr>
                <w:lang w:val="en-US"/>
              </w:rPr>
              <w:t>(N=175)</w:t>
            </w:r>
          </w:p>
        </w:tc>
      </w:tr>
      <w:tr w:rsidR="00665138" w14:paraId="31D113F7" w14:textId="77777777" w:rsidTr="00665138">
        <w:tc>
          <w:tcPr>
            <w:tcW w:w="3697" w:type="dxa"/>
            <w:vMerge/>
          </w:tcPr>
          <w:p w14:paraId="2438F059" w14:textId="77777777" w:rsidR="00665138" w:rsidRDefault="00665138" w:rsidP="00665138">
            <w:pPr>
              <w:rPr>
                <w:u w:val="single"/>
              </w:rPr>
            </w:pPr>
          </w:p>
        </w:tc>
        <w:tc>
          <w:tcPr>
            <w:tcW w:w="1036" w:type="dxa"/>
            <w:vAlign w:val="bottom"/>
          </w:tcPr>
          <w:p w14:paraId="37694F63" w14:textId="0EF7F597" w:rsidR="00665138" w:rsidRDefault="00665138" w:rsidP="00665138">
            <w:pPr>
              <w:rPr>
                <w:u w:val="single"/>
              </w:rPr>
            </w:pPr>
            <w:r>
              <w:t>Степен 3</w:t>
            </w:r>
          </w:p>
        </w:tc>
        <w:tc>
          <w:tcPr>
            <w:tcW w:w="1701" w:type="dxa"/>
            <w:gridSpan w:val="2"/>
            <w:vAlign w:val="bottom"/>
          </w:tcPr>
          <w:p w14:paraId="5E1766A0" w14:textId="59956D9B" w:rsidR="00665138" w:rsidRDefault="00665138" w:rsidP="00665138">
            <w:pPr>
              <w:rPr>
                <w:u w:val="single"/>
              </w:rPr>
            </w:pPr>
            <w:r>
              <w:t>Степен 4</w:t>
            </w:r>
          </w:p>
        </w:tc>
        <w:tc>
          <w:tcPr>
            <w:tcW w:w="1790" w:type="dxa"/>
            <w:vAlign w:val="bottom"/>
          </w:tcPr>
          <w:p w14:paraId="42C8E3EA" w14:textId="549AC5A6" w:rsidR="00665138" w:rsidRDefault="00665138" w:rsidP="00665138">
            <w:pPr>
              <w:rPr>
                <w:u w:val="single"/>
              </w:rPr>
            </w:pPr>
            <w:r>
              <w:t>Степен 3</w:t>
            </w:r>
          </w:p>
        </w:tc>
        <w:tc>
          <w:tcPr>
            <w:tcW w:w="1717" w:type="dxa"/>
            <w:gridSpan w:val="2"/>
            <w:vAlign w:val="bottom"/>
          </w:tcPr>
          <w:p w14:paraId="2FDC4F0B" w14:textId="509D5230" w:rsidR="00665138" w:rsidRDefault="00665138" w:rsidP="00665138">
            <w:pPr>
              <w:rPr>
                <w:u w:val="single"/>
              </w:rPr>
            </w:pPr>
            <w:r>
              <w:t>Степен 4</w:t>
            </w:r>
          </w:p>
        </w:tc>
      </w:tr>
      <w:tr w:rsidR="00665138" w14:paraId="5E579F82" w14:textId="77777777" w:rsidTr="00665138">
        <w:tc>
          <w:tcPr>
            <w:tcW w:w="3697" w:type="dxa"/>
            <w:vAlign w:val="bottom"/>
          </w:tcPr>
          <w:p w14:paraId="3CF7C2B2" w14:textId="41443146" w:rsidR="00665138" w:rsidRDefault="00665138" w:rsidP="00665138">
            <w:pPr>
              <w:rPr>
                <w:u w:val="single"/>
              </w:rPr>
            </w:pPr>
            <w:r>
              <w:t>Лабораторни</w:t>
            </w:r>
          </w:p>
        </w:tc>
        <w:tc>
          <w:tcPr>
            <w:tcW w:w="1036" w:type="dxa"/>
          </w:tcPr>
          <w:p w14:paraId="07F509F3" w14:textId="77777777" w:rsidR="00665138" w:rsidRDefault="00665138" w:rsidP="00665138">
            <w:pPr>
              <w:rPr>
                <w:u w:val="single"/>
              </w:rPr>
            </w:pPr>
          </w:p>
        </w:tc>
        <w:tc>
          <w:tcPr>
            <w:tcW w:w="1701" w:type="dxa"/>
            <w:gridSpan w:val="2"/>
          </w:tcPr>
          <w:p w14:paraId="5E8B563D" w14:textId="77777777" w:rsidR="00665138" w:rsidRDefault="00665138" w:rsidP="00665138">
            <w:pPr>
              <w:rPr>
                <w:u w:val="single"/>
              </w:rPr>
            </w:pPr>
          </w:p>
        </w:tc>
        <w:tc>
          <w:tcPr>
            <w:tcW w:w="1790" w:type="dxa"/>
          </w:tcPr>
          <w:p w14:paraId="22784D62" w14:textId="77777777" w:rsidR="00665138" w:rsidRDefault="00665138" w:rsidP="00665138">
            <w:pPr>
              <w:rPr>
                <w:u w:val="single"/>
              </w:rPr>
            </w:pPr>
          </w:p>
        </w:tc>
        <w:tc>
          <w:tcPr>
            <w:tcW w:w="1717" w:type="dxa"/>
            <w:gridSpan w:val="2"/>
          </w:tcPr>
          <w:p w14:paraId="7C3D7FAA" w14:textId="77777777" w:rsidR="00665138" w:rsidRDefault="00665138" w:rsidP="00665138">
            <w:pPr>
              <w:rPr>
                <w:u w:val="single"/>
              </w:rPr>
            </w:pPr>
          </w:p>
        </w:tc>
      </w:tr>
      <w:tr w:rsidR="00665138" w14:paraId="46DF0480" w14:textId="77777777" w:rsidTr="00665138">
        <w:tc>
          <w:tcPr>
            <w:tcW w:w="3697" w:type="dxa"/>
            <w:vAlign w:val="bottom"/>
          </w:tcPr>
          <w:p w14:paraId="628F16B7" w14:textId="7023162E" w:rsidR="00665138" w:rsidRDefault="00665138" w:rsidP="00665138">
            <w:pPr>
              <w:jc w:val="center"/>
              <w:rPr>
                <w:u w:val="single"/>
              </w:rPr>
            </w:pPr>
            <w:r>
              <w:t>Анемия</w:t>
            </w:r>
          </w:p>
        </w:tc>
        <w:tc>
          <w:tcPr>
            <w:tcW w:w="1036" w:type="dxa"/>
            <w:vAlign w:val="bottom"/>
          </w:tcPr>
          <w:p w14:paraId="2667582D" w14:textId="0D16D50E" w:rsidR="00665138" w:rsidRDefault="00665138" w:rsidP="00665138">
            <w:pPr>
              <w:rPr>
                <w:u w:val="single"/>
              </w:rPr>
            </w:pPr>
            <w:r>
              <w:t>10(5,7)</w:t>
            </w:r>
          </w:p>
        </w:tc>
        <w:tc>
          <w:tcPr>
            <w:tcW w:w="1701" w:type="dxa"/>
            <w:gridSpan w:val="2"/>
            <w:vAlign w:val="bottom"/>
          </w:tcPr>
          <w:p w14:paraId="65AE8D30" w14:textId="3FF834C1" w:rsidR="00665138" w:rsidRDefault="00665138" w:rsidP="00665138">
            <w:pPr>
              <w:rPr>
                <w:u w:val="single"/>
              </w:rPr>
            </w:pPr>
            <w:r>
              <w:t>4(2,3)</w:t>
            </w:r>
          </w:p>
        </w:tc>
        <w:tc>
          <w:tcPr>
            <w:tcW w:w="1790" w:type="dxa"/>
            <w:vAlign w:val="bottom"/>
          </w:tcPr>
          <w:p w14:paraId="746B5848" w14:textId="300CB292" w:rsidR="00665138" w:rsidRDefault="00665138" w:rsidP="00665138">
            <w:pPr>
              <w:rPr>
                <w:u w:val="single"/>
              </w:rPr>
            </w:pPr>
            <w:r>
              <w:t>39(22,3)</w:t>
            </w:r>
          </w:p>
        </w:tc>
        <w:tc>
          <w:tcPr>
            <w:tcW w:w="1717" w:type="dxa"/>
            <w:gridSpan w:val="2"/>
            <w:vAlign w:val="bottom"/>
          </w:tcPr>
          <w:p w14:paraId="5526A6EF" w14:textId="722B5870" w:rsidR="00665138" w:rsidRDefault="00665138" w:rsidP="00665138">
            <w:pPr>
              <w:rPr>
                <w:u w:val="single"/>
              </w:rPr>
            </w:pPr>
            <w:r>
              <w:t>9(5,1)</w:t>
            </w:r>
          </w:p>
        </w:tc>
      </w:tr>
      <w:tr w:rsidR="00665138" w14:paraId="65C825AA" w14:textId="77777777" w:rsidTr="00665138">
        <w:tc>
          <w:tcPr>
            <w:tcW w:w="3697" w:type="dxa"/>
            <w:vAlign w:val="bottom"/>
          </w:tcPr>
          <w:p w14:paraId="74BC8EFE" w14:textId="03ECB2E2" w:rsidR="00665138" w:rsidRDefault="00665138" w:rsidP="00665138">
            <w:pPr>
              <w:jc w:val="center"/>
              <w:rPr>
                <w:u w:val="single"/>
              </w:rPr>
            </w:pPr>
            <w:r>
              <w:t>Тромбоцитопения</w:t>
            </w:r>
          </w:p>
        </w:tc>
        <w:tc>
          <w:tcPr>
            <w:tcW w:w="1036" w:type="dxa"/>
            <w:vAlign w:val="bottom"/>
          </w:tcPr>
          <w:p w14:paraId="00C6A714" w14:textId="2A9734AF" w:rsidR="00665138" w:rsidRDefault="00665138" w:rsidP="00665138">
            <w:pPr>
              <w:rPr>
                <w:u w:val="single"/>
              </w:rPr>
            </w:pPr>
            <w:r>
              <w:t>19(10,9)</w:t>
            </w:r>
          </w:p>
        </w:tc>
        <w:tc>
          <w:tcPr>
            <w:tcW w:w="1701" w:type="dxa"/>
            <w:gridSpan w:val="2"/>
            <w:vAlign w:val="bottom"/>
          </w:tcPr>
          <w:p w14:paraId="60046708" w14:textId="05CCFA57" w:rsidR="00665138" w:rsidRDefault="00665138" w:rsidP="00665138">
            <w:pPr>
              <w:rPr>
                <w:u w:val="single"/>
              </w:rPr>
            </w:pPr>
            <w:r>
              <w:t>2(1,1)</w:t>
            </w:r>
          </w:p>
        </w:tc>
        <w:tc>
          <w:tcPr>
            <w:tcW w:w="1790" w:type="dxa"/>
            <w:vAlign w:val="bottom"/>
          </w:tcPr>
          <w:p w14:paraId="23F183A9" w14:textId="23AC8A23" w:rsidR="00665138" w:rsidRDefault="00665138" w:rsidP="00665138">
            <w:pPr>
              <w:rPr>
                <w:u w:val="single"/>
              </w:rPr>
            </w:pPr>
            <w:r>
              <w:t>73(41,7)</w:t>
            </w:r>
          </w:p>
        </w:tc>
        <w:tc>
          <w:tcPr>
            <w:tcW w:w="1717" w:type="dxa"/>
            <w:gridSpan w:val="2"/>
            <w:vAlign w:val="bottom"/>
          </w:tcPr>
          <w:p w14:paraId="0354C2F7" w14:textId="2D3C32D6" w:rsidR="00665138" w:rsidRDefault="00665138" w:rsidP="00665138">
            <w:pPr>
              <w:rPr>
                <w:u w:val="single"/>
              </w:rPr>
            </w:pPr>
            <w:r>
              <w:t>50(28,6)</w:t>
            </w:r>
          </w:p>
        </w:tc>
      </w:tr>
      <w:tr w:rsidR="00665138" w14:paraId="6790FECE" w14:textId="77777777" w:rsidTr="00665138">
        <w:tc>
          <w:tcPr>
            <w:tcW w:w="3697" w:type="dxa"/>
            <w:vAlign w:val="bottom"/>
          </w:tcPr>
          <w:p w14:paraId="4A59E3D8" w14:textId="79771893" w:rsidR="00665138" w:rsidRDefault="00665138" w:rsidP="00665138">
            <w:pPr>
              <w:jc w:val="center"/>
              <w:rPr>
                <w:u w:val="single"/>
              </w:rPr>
            </w:pPr>
            <w:r>
              <w:t>Неутропения</w:t>
            </w:r>
          </w:p>
        </w:tc>
        <w:tc>
          <w:tcPr>
            <w:tcW w:w="1036" w:type="dxa"/>
            <w:vAlign w:val="bottom"/>
          </w:tcPr>
          <w:p w14:paraId="7586B453" w14:textId="68F6C1A0" w:rsidR="00665138" w:rsidRDefault="00665138" w:rsidP="00665138">
            <w:pPr>
              <w:rPr>
                <w:u w:val="single"/>
              </w:rPr>
            </w:pPr>
            <w:r>
              <w:t>18(10,3)</w:t>
            </w:r>
          </w:p>
        </w:tc>
        <w:tc>
          <w:tcPr>
            <w:tcW w:w="1701" w:type="dxa"/>
            <w:gridSpan w:val="2"/>
            <w:vAlign w:val="bottom"/>
          </w:tcPr>
          <w:p w14:paraId="4BC0D2B5" w14:textId="5D6F0BA3" w:rsidR="00665138" w:rsidRDefault="00665138" w:rsidP="00665138">
            <w:pPr>
              <w:rPr>
                <w:u w:val="single"/>
              </w:rPr>
            </w:pPr>
            <w:r>
              <w:t>2(1,1)</w:t>
            </w:r>
          </w:p>
        </w:tc>
        <w:tc>
          <w:tcPr>
            <w:tcW w:w="1790" w:type="dxa"/>
            <w:vAlign w:val="bottom"/>
          </w:tcPr>
          <w:p w14:paraId="3F603BA7" w14:textId="081E575E" w:rsidR="00665138" w:rsidRDefault="00665138" w:rsidP="00665138">
            <w:pPr>
              <w:rPr>
                <w:u w:val="single"/>
              </w:rPr>
            </w:pPr>
            <w:r>
              <w:t>53(30,3)</w:t>
            </w:r>
          </w:p>
        </w:tc>
        <w:tc>
          <w:tcPr>
            <w:tcW w:w="1717" w:type="dxa"/>
            <w:gridSpan w:val="2"/>
            <w:vAlign w:val="bottom"/>
          </w:tcPr>
          <w:p w14:paraId="69DD3D99" w14:textId="0F0A5AE3" w:rsidR="00665138" w:rsidRDefault="00665138" w:rsidP="00665138">
            <w:pPr>
              <w:rPr>
                <w:u w:val="single"/>
              </w:rPr>
            </w:pPr>
            <w:r>
              <w:t>8(4,6)</w:t>
            </w:r>
          </w:p>
        </w:tc>
      </w:tr>
      <w:tr w:rsidR="00665138" w14:paraId="53FE6073" w14:textId="77777777" w:rsidTr="00665138">
        <w:tc>
          <w:tcPr>
            <w:tcW w:w="3697" w:type="dxa"/>
            <w:vAlign w:val="bottom"/>
          </w:tcPr>
          <w:p w14:paraId="408C1813" w14:textId="1B4D709D" w:rsidR="00665138" w:rsidRDefault="00665138" w:rsidP="00665138">
            <w:pPr>
              <w:jc w:val="center"/>
              <w:rPr>
                <w:u w:val="single"/>
              </w:rPr>
            </w:pPr>
            <w:r>
              <w:t>Левкопения</w:t>
            </w:r>
          </w:p>
        </w:tc>
        <w:tc>
          <w:tcPr>
            <w:tcW w:w="1036" w:type="dxa"/>
            <w:vAlign w:val="bottom"/>
          </w:tcPr>
          <w:p w14:paraId="598478AD" w14:textId="04E5E8B7" w:rsidR="00665138" w:rsidRDefault="00665138" w:rsidP="00665138">
            <w:pPr>
              <w:rPr>
                <w:u w:val="single"/>
              </w:rPr>
            </w:pPr>
            <w:r>
              <w:t>11(6,3)</w:t>
            </w:r>
          </w:p>
        </w:tc>
        <w:tc>
          <w:tcPr>
            <w:tcW w:w="1701" w:type="dxa"/>
            <w:gridSpan w:val="2"/>
            <w:vAlign w:val="bottom"/>
          </w:tcPr>
          <w:p w14:paraId="4A1674A4" w14:textId="031D785F" w:rsidR="00665138" w:rsidRDefault="00665138" w:rsidP="00665138">
            <w:pPr>
              <w:rPr>
                <w:u w:val="single"/>
              </w:rPr>
            </w:pPr>
            <w:r>
              <w:t>1(0,6)</w:t>
            </w:r>
          </w:p>
        </w:tc>
        <w:tc>
          <w:tcPr>
            <w:tcW w:w="1790" w:type="dxa"/>
            <w:vAlign w:val="bottom"/>
          </w:tcPr>
          <w:p w14:paraId="5A8591B7" w14:textId="1C9F775B" w:rsidR="00665138" w:rsidRDefault="00665138" w:rsidP="00665138">
            <w:pPr>
              <w:rPr>
                <w:u w:val="single"/>
              </w:rPr>
            </w:pPr>
            <w:r>
              <w:t>84(48,0)</w:t>
            </w:r>
          </w:p>
        </w:tc>
        <w:tc>
          <w:tcPr>
            <w:tcW w:w="1717" w:type="dxa"/>
            <w:gridSpan w:val="2"/>
            <w:vAlign w:val="bottom"/>
          </w:tcPr>
          <w:p w14:paraId="51340706" w14:textId="2CB2A34C" w:rsidR="00665138" w:rsidRDefault="00665138" w:rsidP="00665138">
            <w:pPr>
              <w:rPr>
                <w:u w:val="single"/>
              </w:rPr>
            </w:pPr>
            <w:r>
              <w:t>9(5,1)</w:t>
            </w:r>
          </w:p>
        </w:tc>
      </w:tr>
      <w:tr w:rsidR="00665138" w14:paraId="736417E8" w14:textId="77777777" w:rsidTr="00665138">
        <w:tc>
          <w:tcPr>
            <w:tcW w:w="3697" w:type="dxa"/>
            <w:vAlign w:val="bottom"/>
          </w:tcPr>
          <w:p w14:paraId="60C6EB80" w14:textId="7986FD34" w:rsidR="00665138" w:rsidRDefault="00665138" w:rsidP="00665138">
            <w:pPr>
              <w:rPr>
                <w:u w:val="single"/>
              </w:rPr>
            </w:pPr>
            <w:r>
              <w:t>Нелабораторни</w:t>
            </w:r>
          </w:p>
        </w:tc>
        <w:tc>
          <w:tcPr>
            <w:tcW w:w="1036" w:type="dxa"/>
          </w:tcPr>
          <w:p w14:paraId="4A457187" w14:textId="77777777" w:rsidR="00665138" w:rsidRDefault="00665138" w:rsidP="00665138">
            <w:pPr>
              <w:rPr>
                <w:u w:val="single"/>
              </w:rPr>
            </w:pPr>
          </w:p>
        </w:tc>
        <w:tc>
          <w:tcPr>
            <w:tcW w:w="1701" w:type="dxa"/>
            <w:gridSpan w:val="2"/>
          </w:tcPr>
          <w:p w14:paraId="652134B0" w14:textId="77777777" w:rsidR="00665138" w:rsidRDefault="00665138" w:rsidP="00665138">
            <w:pPr>
              <w:rPr>
                <w:u w:val="single"/>
              </w:rPr>
            </w:pPr>
          </w:p>
        </w:tc>
        <w:tc>
          <w:tcPr>
            <w:tcW w:w="1790" w:type="dxa"/>
          </w:tcPr>
          <w:p w14:paraId="45EF2C50" w14:textId="77777777" w:rsidR="00665138" w:rsidRDefault="00665138" w:rsidP="00665138">
            <w:pPr>
              <w:rPr>
                <w:u w:val="single"/>
              </w:rPr>
            </w:pPr>
          </w:p>
        </w:tc>
        <w:tc>
          <w:tcPr>
            <w:tcW w:w="1717" w:type="dxa"/>
            <w:gridSpan w:val="2"/>
          </w:tcPr>
          <w:p w14:paraId="0383D3E1" w14:textId="77777777" w:rsidR="00665138" w:rsidRDefault="00665138" w:rsidP="00665138">
            <w:pPr>
              <w:rPr>
                <w:u w:val="single"/>
              </w:rPr>
            </w:pPr>
          </w:p>
        </w:tc>
      </w:tr>
      <w:tr w:rsidR="00665138" w14:paraId="21633A18" w14:textId="77777777" w:rsidTr="00665138">
        <w:tc>
          <w:tcPr>
            <w:tcW w:w="3697" w:type="dxa"/>
            <w:vAlign w:val="bottom"/>
          </w:tcPr>
          <w:p w14:paraId="61F60FD2" w14:textId="4AAC9E23" w:rsidR="00665138" w:rsidRDefault="00665138" w:rsidP="00665138">
            <w:pPr>
              <w:jc w:val="center"/>
              <w:rPr>
                <w:u w:val="single"/>
              </w:rPr>
            </w:pPr>
            <w:r>
              <w:t>Кръвоизлив</w:t>
            </w:r>
          </w:p>
        </w:tc>
        <w:tc>
          <w:tcPr>
            <w:tcW w:w="1036" w:type="dxa"/>
            <w:vAlign w:val="bottom"/>
          </w:tcPr>
          <w:p w14:paraId="37C9E4E6" w14:textId="5B3B946E" w:rsidR="00665138" w:rsidRDefault="00665138" w:rsidP="00665138">
            <w:pPr>
              <w:rPr>
                <w:u w:val="single"/>
              </w:rPr>
            </w:pPr>
            <w:r>
              <w:t>0(0,0)</w:t>
            </w:r>
          </w:p>
        </w:tc>
        <w:tc>
          <w:tcPr>
            <w:tcW w:w="1701" w:type="dxa"/>
            <w:gridSpan w:val="2"/>
            <w:vAlign w:val="bottom"/>
          </w:tcPr>
          <w:p w14:paraId="575F1DD3" w14:textId="17BA397F" w:rsidR="00665138" w:rsidRDefault="00665138" w:rsidP="00665138">
            <w:pPr>
              <w:rPr>
                <w:u w:val="single"/>
              </w:rPr>
            </w:pPr>
            <w:r>
              <w:t>0(0,0)</w:t>
            </w:r>
          </w:p>
        </w:tc>
        <w:tc>
          <w:tcPr>
            <w:tcW w:w="1790" w:type="dxa"/>
            <w:vAlign w:val="bottom"/>
          </w:tcPr>
          <w:p w14:paraId="7708126C" w14:textId="5E3C8870" w:rsidR="00665138" w:rsidRDefault="00665138" w:rsidP="00665138">
            <w:pPr>
              <w:rPr>
                <w:u w:val="single"/>
              </w:rPr>
            </w:pPr>
            <w:r>
              <w:t>3(1,8)</w:t>
            </w:r>
          </w:p>
        </w:tc>
        <w:tc>
          <w:tcPr>
            <w:tcW w:w="1717" w:type="dxa"/>
            <w:gridSpan w:val="2"/>
            <w:vAlign w:val="bottom"/>
          </w:tcPr>
          <w:p w14:paraId="0BB7B339" w14:textId="534B1F95" w:rsidR="00665138" w:rsidRDefault="00665138" w:rsidP="00665138">
            <w:pPr>
              <w:rPr>
                <w:u w:val="single"/>
              </w:rPr>
            </w:pPr>
            <w:r>
              <w:t>(0,0)</w:t>
            </w:r>
          </w:p>
        </w:tc>
      </w:tr>
      <w:tr w:rsidR="00665138" w14:paraId="5773332D" w14:textId="77777777" w:rsidTr="00665138">
        <w:tc>
          <w:tcPr>
            <w:tcW w:w="3697" w:type="dxa"/>
            <w:vAlign w:val="bottom"/>
          </w:tcPr>
          <w:p w14:paraId="76B880E2" w14:textId="04076A61" w:rsidR="00665138" w:rsidRDefault="00665138" w:rsidP="00665138">
            <w:pPr>
              <w:jc w:val="center"/>
              <w:rPr>
                <w:u w:val="single"/>
              </w:rPr>
            </w:pPr>
            <w:r>
              <w:t>Фебрилна неутропения</w:t>
            </w:r>
          </w:p>
        </w:tc>
        <w:tc>
          <w:tcPr>
            <w:tcW w:w="1036" w:type="dxa"/>
            <w:vAlign w:val="bottom"/>
          </w:tcPr>
          <w:p w14:paraId="1F3559F6" w14:textId="2B88B726" w:rsidR="00665138" w:rsidRDefault="00665138" w:rsidP="00665138">
            <w:pPr>
              <w:rPr>
                <w:u w:val="single"/>
              </w:rPr>
            </w:pPr>
            <w:r>
              <w:t>0(0,0)</w:t>
            </w:r>
          </w:p>
        </w:tc>
        <w:tc>
          <w:tcPr>
            <w:tcW w:w="1701" w:type="dxa"/>
            <w:gridSpan w:val="2"/>
            <w:vAlign w:val="bottom"/>
          </w:tcPr>
          <w:p w14:paraId="5CC8EF95" w14:textId="36E6F137" w:rsidR="00665138" w:rsidRDefault="00665138" w:rsidP="00665138">
            <w:pPr>
              <w:rPr>
                <w:u w:val="single"/>
              </w:rPr>
            </w:pPr>
            <w:r>
              <w:t>0(0,0)</w:t>
            </w:r>
          </w:p>
        </w:tc>
        <w:tc>
          <w:tcPr>
            <w:tcW w:w="1790" w:type="dxa"/>
            <w:vAlign w:val="bottom"/>
          </w:tcPr>
          <w:p w14:paraId="239C1055" w14:textId="54C09E99" w:rsidR="00665138" w:rsidRDefault="00665138" w:rsidP="00665138">
            <w:pPr>
              <w:rPr>
                <w:u w:val="single"/>
              </w:rPr>
            </w:pPr>
            <w:r>
              <w:t>2(1,1)</w:t>
            </w:r>
          </w:p>
        </w:tc>
        <w:tc>
          <w:tcPr>
            <w:tcW w:w="1717" w:type="dxa"/>
            <w:gridSpan w:val="2"/>
            <w:vAlign w:val="bottom"/>
          </w:tcPr>
          <w:p w14:paraId="352B4141" w14:textId="7C9148B1" w:rsidR="00665138" w:rsidRDefault="00665138" w:rsidP="00665138">
            <w:pPr>
              <w:rPr>
                <w:u w:val="single"/>
              </w:rPr>
            </w:pPr>
            <w:r>
              <w:t>(0,0)</w:t>
            </w:r>
          </w:p>
        </w:tc>
      </w:tr>
      <w:tr w:rsidR="00665138" w14:paraId="549A64B0" w14:textId="77777777" w:rsidTr="00665138">
        <w:tc>
          <w:tcPr>
            <w:tcW w:w="3697" w:type="dxa"/>
            <w:vAlign w:val="bottom"/>
          </w:tcPr>
          <w:p w14:paraId="797F3A02" w14:textId="6C9EAAD4" w:rsidR="00665138" w:rsidRDefault="00665138" w:rsidP="00665138">
            <w:pPr>
              <w:jc w:val="center"/>
              <w:rPr>
                <w:u w:val="single"/>
              </w:rPr>
            </w:pPr>
            <w:r>
              <w:t>Инфекция без неутропения</w:t>
            </w:r>
          </w:p>
        </w:tc>
        <w:tc>
          <w:tcPr>
            <w:tcW w:w="1036" w:type="dxa"/>
          </w:tcPr>
          <w:p w14:paraId="20E157D0" w14:textId="1E0C8306" w:rsidR="00665138" w:rsidRDefault="00665138" w:rsidP="00665138">
            <w:pPr>
              <w:rPr>
                <w:u w:val="single"/>
              </w:rPr>
            </w:pPr>
            <w:r>
              <w:t>0(0)</w:t>
            </w:r>
          </w:p>
        </w:tc>
        <w:tc>
          <w:tcPr>
            <w:tcW w:w="1701" w:type="dxa"/>
            <w:gridSpan w:val="2"/>
          </w:tcPr>
          <w:p w14:paraId="7FF28E6A" w14:textId="610B4855" w:rsidR="00665138" w:rsidRDefault="00665138" w:rsidP="00665138">
            <w:pPr>
              <w:rPr>
                <w:u w:val="single"/>
              </w:rPr>
            </w:pPr>
            <w:r>
              <w:t>0(0,0)</w:t>
            </w:r>
          </w:p>
        </w:tc>
        <w:tc>
          <w:tcPr>
            <w:tcW w:w="1790" w:type="dxa"/>
          </w:tcPr>
          <w:p w14:paraId="174E8021" w14:textId="08E2C5D7" w:rsidR="00665138" w:rsidRDefault="00665138" w:rsidP="00665138">
            <w:pPr>
              <w:rPr>
                <w:u w:val="single"/>
              </w:rPr>
            </w:pPr>
            <w:r>
              <w:t>(0,0)</w:t>
            </w:r>
          </w:p>
        </w:tc>
        <w:tc>
          <w:tcPr>
            <w:tcW w:w="1717" w:type="dxa"/>
            <w:gridSpan w:val="2"/>
          </w:tcPr>
          <w:p w14:paraId="39964323" w14:textId="7ECC7E3A" w:rsidR="00665138" w:rsidRDefault="00665138" w:rsidP="00665138">
            <w:pPr>
              <w:rPr>
                <w:u w:val="single"/>
              </w:rPr>
            </w:pPr>
            <w:r>
              <w:t>1(0,6)</w:t>
            </w:r>
          </w:p>
        </w:tc>
      </w:tr>
    </w:tbl>
    <w:p w14:paraId="1525F6C7" w14:textId="6C78EC02" w:rsidR="00665138" w:rsidRDefault="00665138" w:rsidP="0091385D">
      <w:pPr>
        <w:rPr>
          <w:u w:val="single"/>
        </w:rPr>
      </w:pPr>
    </w:p>
    <w:p w14:paraId="0CB52FC8" w14:textId="77777777" w:rsidR="00665138" w:rsidRPr="00665138" w:rsidRDefault="00665138" w:rsidP="00665138">
      <w:pPr>
        <w:spacing w:line="240" w:lineRule="auto"/>
        <w:rPr>
          <w:rFonts w:eastAsia="Times New Roman" w:cs="Arial"/>
          <w:lang w:eastAsia="bg-BG"/>
        </w:rPr>
      </w:pPr>
      <w:r w:rsidRPr="00665138">
        <w:rPr>
          <w:rFonts w:eastAsia="Times New Roman" w:cs="Arial"/>
          <w:color w:val="000000"/>
          <w:lang w:eastAsia="bg-BG"/>
        </w:rPr>
        <w:t>Случаите на сензорна невропатия също са по-чести в рамото с комбинирано лечение, отколкото в рамото за монотерапия с карбоплатина.</w:t>
      </w:r>
    </w:p>
    <w:p w14:paraId="734E7E58" w14:textId="77777777" w:rsidR="00665138" w:rsidRPr="00665138" w:rsidRDefault="00665138" w:rsidP="00665138">
      <w:pPr>
        <w:spacing w:line="240" w:lineRule="auto"/>
        <w:rPr>
          <w:rFonts w:eastAsia="Times New Roman" w:cs="Arial"/>
          <w:color w:val="000000"/>
          <w:u w:val="single"/>
          <w:lang w:eastAsia="bg-BG"/>
        </w:rPr>
      </w:pPr>
    </w:p>
    <w:p w14:paraId="1DF6D337" w14:textId="463B7D9B" w:rsidR="00665138" w:rsidRPr="00665138" w:rsidRDefault="00665138" w:rsidP="00665138">
      <w:pPr>
        <w:spacing w:line="240" w:lineRule="auto"/>
        <w:rPr>
          <w:rFonts w:eastAsia="Times New Roman" w:cs="Arial"/>
          <w:lang w:eastAsia="bg-BG"/>
        </w:rPr>
      </w:pPr>
      <w:r w:rsidRPr="00665138">
        <w:rPr>
          <w:rFonts w:eastAsia="Times New Roman" w:cs="Arial"/>
          <w:color w:val="000000"/>
          <w:u w:val="single"/>
          <w:lang w:eastAsia="bg-BG"/>
        </w:rPr>
        <w:t>Съобщаване на подозирани нежелани реакции</w:t>
      </w:r>
    </w:p>
    <w:p w14:paraId="2111AA5E" w14:textId="77777777" w:rsidR="00665138" w:rsidRPr="00665138" w:rsidRDefault="00665138" w:rsidP="00665138">
      <w:pPr>
        <w:spacing w:line="240" w:lineRule="auto"/>
        <w:rPr>
          <w:rFonts w:eastAsia="Times New Roman" w:cs="Arial"/>
          <w:lang w:eastAsia="bg-BG"/>
        </w:rPr>
      </w:pPr>
      <w:r w:rsidRPr="00665138">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 към Изпълнителната агенция по лекарствата, ул. „Дамян Груев“ №8, </w:t>
      </w:r>
    </w:p>
    <w:p w14:paraId="76030002" w14:textId="3DC19344" w:rsidR="00665138" w:rsidRPr="00665138" w:rsidRDefault="00665138" w:rsidP="00665138">
      <w:pPr>
        <w:rPr>
          <w:rFonts w:cs="Arial"/>
        </w:rPr>
      </w:pPr>
      <w:r w:rsidRPr="00665138">
        <w:rPr>
          <w:rFonts w:eastAsia="Times New Roman" w:cs="Arial"/>
          <w:color w:val="000000"/>
          <w:lang w:eastAsia="bg-BG"/>
        </w:rPr>
        <w:t xml:space="preserve">1303 София, тел.: +35928903417, уебсайт: </w:t>
      </w:r>
      <w:r w:rsidRPr="00665138">
        <w:rPr>
          <w:rFonts w:eastAsia="Times New Roman" w:cs="Arial"/>
          <w:lang w:eastAsia="bg-BG"/>
        </w:rPr>
        <w:fldChar w:fldCharType="begin"/>
      </w:r>
      <w:r w:rsidRPr="00665138">
        <w:rPr>
          <w:rFonts w:eastAsia="Times New Roman" w:cs="Arial"/>
          <w:lang w:eastAsia="bg-BG"/>
        </w:rPr>
        <w:instrText xml:space="preserve"> HYPERLINK "http://www.bda.bg" </w:instrText>
      </w:r>
      <w:r w:rsidRPr="00665138">
        <w:rPr>
          <w:rFonts w:eastAsia="Times New Roman" w:cs="Arial"/>
          <w:lang w:eastAsia="bg-BG"/>
        </w:rPr>
      </w:r>
      <w:r w:rsidRPr="00665138">
        <w:rPr>
          <w:rFonts w:eastAsia="Times New Roman" w:cs="Arial"/>
          <w:lang w:eastAsia="bg-BG"/>
        </w:rPr>
        <w:fldChar w:fldCharType="separate"/>
      </w:r>
      <w:r w:rsidRPr="00665138">
        <w:rPr>
          <w:rFonts w:eastAsia="Times New Roman" w:cs="Arial"/>
          <w:color w:val="000000"/>
          <w:u w:val="single"/>
          <w:lang w:val="en-US"/>
        </w:rPr>
        <w:t>www.bda.bg</w:t>
      </w:r>
      <w:r w:rsidRPr="00665138">
        <w:rPr>
          <w:rFonts w:eastAsia="Times New Roman" w:cs="Arial"/>
          <w:lang w:eastAsia="bg-BG"/>
        </w:rPr>
        <w:fldChar w:fldCharType="end"/>
      </w:r>
      <w:r w:rsidRPr="00665138">
        <w:rPr>
          <w:rFonts w:eastAsia="Times New Roman" w:cs="Arial"/>
          <w:color w:val="000000"/>
          <w:lang w:val="en-US"/>
        </w:rPr>
        <w:t>.</w:t>
      </w:r>
    </w:p>
    <w:p w14:paraId="32947875" w14:textId="77777777" w:rsidR="00665138" w:rsidRPr="0091385D" w:rsidRDefault="00665138"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0F0079CB" w14:textId="7C9D8257" w:rsidR="0091385D" w:rsidRDefault="00665138" w:rsidP="0091385D">
      <w:r>
        <w:t xml:space="preserve">Не е установен антидот при предозиране на гемцитабин. Дози от 5 700 </w:t>
      </w:r>
      <w:r>
        <w:rPr>
          <w:lang w:val="en-US"/>
        </w:rPr>
        <w:t>mg/m</w:t>
      </w:r>
      <w:r>
        <w:rPr>
          <w:vertAlign w:val="superscript"/>
          <w:lang w:val="en-US"/>
        </w:rPr>
        <w:t>2</w:t>
      </w:r>
      <w:r>
        <w:rPr>
          <w:lang w:val="en-US"/>
        </w:rPr>
        <w:t xml:space="preserve"> </w:t>
      </w:r>
      <w:r>
        <w:t>са прилагани чрез 30-минутно интравенозно вливане на всеки 2 седмици с клинично приемлива токсичност. В случай на подозирано предозиране, пациентът трябва да бъде под наблюдение и да получи поддържаща терапия, ако е необходимо.</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65AF65E3" w14:textId="77777777" w:rsidR="00665138" w:rsidRPr="00665138" w:rsidRDefault="00665138" w:rsidP="00665138">
      <w:pPr>
        <w:spacing w:line="240" w:lineRule="auto"/>
        <w:rPr>
          <w:rFonts w:eastAsia="Times New Roman" w:cs="Arial"/>
          <w:sz w:val="24"/>
          <w:szCs w:val="24"/>
          <w:lang w:eastAsia="bg-BG"/>
        </w:rPr>
      </w:pPr>
      <w:r w:rsidRPr="00665138">
        <w:rPr>
          <w:rFonts w:eastAsia="Times New Roman" w:cs="Arial"/>
          <w:color w:val="000000"/>
          <w:lang w:eastAsia="bg-BG"/>
        </w:rPr>
        <w:t xml:space="preserve">Фармакотерапевтична група: пирамидинови аналози АТС код: </w:t>
      </w:r>
      <w:r w:rsidRPr="00665138">
        <w:rPr>
          <w:rFonts w:eastAsia="Times New Roman" w:cs="Arial"/>
          <w:color w:val="000000"/>
          <w:lang w:val="en-US"/>
        </w:rPr>
        <w:t>L01BC05</w:t>
      </w:r>
    </w:p>
    <w:p w14:paraId="3C5451E7" w14:textId="77777777" w:rsidR="00665138" w:rsidRPr="00665138" w:rsidRDefault="00665138" w:rsidP="00665138">
      <w:pPr>
        <w:spacing w:line="240" w:lineRule="auto"/>
        <w:rPr>
          <w:rFonts w:eastAsia="Times New Roman" w:cs="Arial"/>
          <w:color w:val="000000"/>
          <w:u w:val="single"/>
          <w:lang w:eastAsia="bg-BG"/>
        </w:rPr>
      </w:pPr>
    </w:p>
    <w:p w14:paraId="14E4AD94" w14:textId="12615DB3" w:rsidR="00665138" w:rsidRPr="00665138" w:rsidRDefault="00665138" w:rsidP="00665138">
      <w:pPr>
        <w:spacing w:line="240" w:lineRule="auto"/>
        <w:rPr>
          <w:rFonts w:eastAsia="Times New Roman" w:cs="Arial"/>
          <w:sz w:val="24"/>
          <w:szCs w:val="24"/>
          <w:lang w:eastAsia="bg-BG"/>
        </w:rPr>
      </w:pPr>
      <w:r w:rsidRPr="00665138">
        <w:rPr>
          <w:rFonts w:eastAsia="Times New Roman" w:cs="Arial"/>
          <w:color w:val="000000"/>
          <w:u w:val="single"/>
          <w:lang w:eastAsia="bg-BG"/>
        </w:rPr>
        <w:t>Цитогоксична дейност в клетъчни култури</w:t>
      </w:r>
    </w:p>
    <w:p w14:paraId="23E3C0C3" w14:textId="77777777" w:rsidR="00665138" w:rsidRPr="00665138" w:rsidRDefault="00665138" w:rsidP="00665138">
      <w:pPr>
        <w:spacing w:line="240" w:lineRule="auto"/>
        <w:rPr>
          <w:rFonts w:eastAsia="Times New Roman" w:cs="Arial"/>
          <w:sz w:val="24"/>
          <w:szCs w:val="24"/>
          <w:lang w:eastAsia="bg-BG"/>
        </w:rPr>
      </w:pPr>
      <w:r w:rsidRPr="00665138">
        <w:rPr>
          <w:rFonts w:eastAsia="Times New Roman" w:cs="Arial"/>
          <w:color w:val="000000"/>
          <w:lang w:eastAsia="bg-BG"/>
        </w:rPr>
        <w:t xml:space="preserve">Гемцитабин показва значителни цитотоксични ефекти срещу редица култивирани миши и човешки туморни клетки. Неговото действие е фазово специфично, тъй като гемцитабин първо убива клетките, които са в процес на ДНК синтез (фаза </w:t>
      </w:r>
      <w:r w:rsidRPr="00665138">
        <w:rPr>
          <w:rFonts w:eastAsia="Times New Roman" w:cs="Arial"/>
          <w:color w:val="000000"/>
          <w:lang w:val="en-US"/>
        </w:rPr>
        <w:t xml:space="preserve">S) </w:t>
      </w:r>
      <w:r w:rsidRPr="00665138">
        <w:rPr>
          <w:rFonts w:eastAsia="Times New Roman" w:cs="Arial"/>
          <w:color w:val="000000"/>
          <w:lang w:eastAsia="bg-BG"/>
        </w:rPr>
        <w:t xml:space="preserve">и при определени </w:t>
      </w:r>
      <w:r w:rsidRPr="00665138">
        <w:rPr>
          <w:rFonts w:eastAsia="Times New Roman" w:cs="Arial"/>
          <w:color w:val="000000"/>
          <w:lang w:eastAsia="bg-BG"/>
        </w:rPr>
        <w:lastRenderedPageBreak/>
        <w:t xml:space="preserve">обстоятелства блокира прогресията на клетките, намиращи се на границата на фазата </w:t>
      </w:r>
      <w:r w:rsidRPr="00665138">
        <w:rPr>
          <w:rFonts w:eastAsia="Times New Roman" w:cs="Arial"/>
          <w:color w:val="000000"/>
          <w:lang w:val="en-US"/>
        </w:rPr>
        <w:t xml:space="preserve">G1/S. </w:t>
      </w:r>
      <w:r w:rsidRPr="00665138">
        <w:rPr>
          <w:rFonts w:eastAsia="Times New Roman" w:cs="Arial"/>
          <w:color w:val="000000"/>
          <w:lang w:eastAsia="bg-BG"/>
        </w:rPr>
        <w:t>Ин витро цитотоксичният ефект на гемцитабин е зависим от концентрацията и от времето.</w:t>
      </w:r>
    </w:p>
    <w:p w14:paraId="6C4AF336" w14:textId="77777777" w:rsidR="00665138" w:rsidRPr="00665138" w:rsidRDefault="00665138" w:rsidP="00665138">
      <w:pPr>
        <w:spacing w:line="240" w:lineRule="auto"/>
        <w:rPr>
          <w:rFonts w:eastAsia="Times New Roman" w:cs="Arial"/>
          <w:color w:val="000000"/>
          <w:u w:val="single"/>
          <w:lang w:eastAsia="bg-BG"/>
        </w:rPr>
      </w:pPr>
    </w:p>
    <w:p w14:paraId="7366C2F1" w14:textId="331CA0A0" w:rsidR="00665138" w:rsidRPr="00665138" w:rsidRDefault="00665138" w:rsidP="00665138">
      <w:pPr>
        <w:spacing w:line="240" w:lineRule="auto"/>
        <w:rPr>
          <w:rFonts w:eastAsia="Times New Roman" w:cs="Arial"/>
          <w:sz w:val="24"/>
          <w:szCs w:val="24"/>
          <w:lang w:eastAsia="bg-BG"/>
        </w:rPr>
      </w:pPr>
      <w:r w:rsidRPr="00665138">
        <w:rPr>
          <w:rFonts w:eastAsia="Times New Roman" w:cs="Arial"/>
          <w:color w:val="000000"/>
          <w:u w:val="single"/>
          <w:lang w:eastAsia="bg-BG"/>
        </w:rPr>
        <w:t>Противотуморно действие при предклинични модели</w:t>
      </w:r>
    </w:p>
    <w:p w14:paraId="48518A0B" w14:textId="77777777" w:rsidR="00665138" w:rsidRPr="00665138" w:rsidRDefault="00665138" w:rsidP="00665138">
      <w:pPr>
        <w:spacing w:line="240" w:lineRule="auto"/>
        <w:rPr>
          <w:rFonts w:eastAsia="Times New Roman" w:cs="Arial"/>
          <w:sz w:val="24"/>
          <w:szCs w:val="24"/>
          <w:lang w:eastAsia="bg-BG"/>
        </w:rPr>
      </w:pPr>
      <w:r w:rsidRPr="00665138">
        <w:rPr>
          <w:rFonts w:eastAsia="Times New Roman" w:cs="Arial"/>
          <w:color w:val="000000"/>
          <w:lang w:eastAsia="bg-BG"/>
        </w:rPr>
        <w:t>При животинските туморни модели противотуморното действие на гемцитабин е зависимо от схемата на приложение. Когато гемцитабин се прилага ежедневно, се наблюдава висока смъртност при животни и минимално притивотуморно действие. Ако обаче гемцитабин се дава през три или четири дни, той може да се прилага в несмъртоносни дози със значително противотуморно действие срещу широк спектър от миши тумори.</w:t>
      </w:r>
    </w:p>
    <w:p w14:paraId="2095EFC8" w14:textId="77777777" w:rsidR="00665138" w:rsidRPr="00665138" w:rsidRDefault="00665138" w:rsidP="00665138">
      <w:pPr>
        <w:spacing w:line="240" w:lineRule="auto"/>
        <w:rPr>
          <w:rFonts w:eastAsia="Times New Roman" w:cs="Arial"/>
          <w:color w:val="000000"/>
          <w:u w:val="single"/>
          <w:lang w:eastAsia="bg-BG"/>
        </w:rPr>
      </w:pPr>
    </w:p>
    <w:p w14:paraId="7B299073" w14:textId="1B2975B9" w:rsidR="00665138" w:rsidRPr="00665138" w:rsidRDefault="00665138" w:rsidP="00665138">
      <w:pPr>
        <w:spacing w:line="240" w:lineRule="auto"/>
        <w:rPr>
          <w:rFonts w:eastAsia="Times New Roman" w:cs="Arial"/>
          <w:sz w:val="24"/>
          <w:szCs w:val="24"/>
          <w:lang w:eastAsia="bg-BG"/>
        </w:rPr>
      </w:pPr>
      <w:r w:rsidRPr="00665138">
        <w:rPr>
          <w:rFonts w:eastAsia="Times New Roman" w:cs="Arial"/>
          <w:color w:val="000000"/>
          <w:u w:val="single"/>
          <w:lang w:eastAsia="bg-BG"/>
        </w:rPr>
        <w:t>Механизъм на действие</w:t>
      </w:r>
    </w:p>
    <w:p w14:paraId="04977E6C" w14:textId="77777777" w:rsidR="00665138" w:rsidRPr="00665138" w:rsidRDefault="00665138" w:rsidP="00665138">
      <w:pPr>
        <w:spacing w:line="240" w:lineRule="auto"/>
        <w:rPr>
          <w:rFonts w:eastAsia="Times New Roman" w:cs="Arial"/>
          <w:sz w:val="24"/>
          <w:szCs w:val="24"/>
          <w:lang w:eastAsia="bg-BG"/>
        </w:rPr>
      </w:pPr>
      <w:r w:rsidRPr="00665138">
        <w:rPr>
          <w:rFonts w:eastAsia="Times New Roman" w:cs="Arial"/>
          <w:color w:val="000000"/>
          <w:lang w:eastAsia="bg-BG"/>
        </w:rPr>
        <w:t xml:space="preserve">Клетъчен метаболизъм и механизъм на действие: Гемцитабин </w:t>
      </w:r>
      <w:r w:rsidRPr="00665138">
        <w:rPr>
          <w:rFonts w:eastAsia="Times New Roman" w:cs="Arial"/>
          <w:color w:val="000000"/>
          <w:lang w:val="en-US"/>
        </w:rPr>
        <w:t>(</w:t>
      </w:r>
      <w:proofErr w:type="spellStart"/>
      <w:r w:rsidRPr="00665138">
        <w:rPr>
          <w:rFonts w:eastAsia="Times New Roman" w:cs="Arial"/>
          <w:color w:val="000000"/>
          <w:lang w:val="en-US"/>
        </w:rPr>
        <w:t>dFdC</w:t>
      </w:r>
      <w:proofErr w:type="spellEnd"/>
      <w:r w:rsidRPr="00665138">
        <w:rPr>
          <w:rFonts w:eastAsia="Times New Roman" w:cs="Arial"/>
          <w:color w:val="000000"/>
          <w:lang w:val="en-US"/>
        </w:rPr>
        <w:t xml:space="preserve">), </w:t>
      </w:r>
      <w:r w:rsidRPr="00665138">
        <w:rPr>
          <w:rFonts w:eastAsia="Times New Roman" w:cs="Arial"/>
          <w:color w:val="000000"/>
          <w:lang w:eastAsia="bg-BG"/>
        </w:rPr>
        <w:t xml:space="preserve">който е пиримидинов антиметаболит, се метаболизира вътреклетъчно от нуклеозидна киназа до активни дифосфатнуклеозиди </w:t>
      </w:r>
      <w:r w:rsidRPr="00665138">
        <w:rPr>
          <w:rFonts w:eastAsia="Times New Roman" w:cs="Arial"/>
          <w:color w:val="000000"/>
          <w:lang w:val="en-US"/>
        </w:rPr>
        <w:t>(</w:t>
      </w:r>
      <w:proofErr w:type="spellStart"/>
      <w:r w:rsidRPr="00665138">
        <w:rPr>
          <w:rFonts w:eastAsia="Times New Roman" w:cs="Arial"/>
          <w:color w:val="000000"/>
          <w:lang w:val="en-US"/>
        </w:rPr>
        <w:t>dFdCDP</w:t>
      </w:r>
      <w:proofErr w:type="spellEnd"/>
      <w:r w:rsidRPr="00665138">
        <w:rPr>
          <w:rFonts w:eastAsia="Times New Roman" w:cs="Arial"/>
          <w:color w:val="000000"/>
          <w:lang w:val="en-US"/>
        </w:rPr>
        <w:t xml:space="preserve">) </w:t>
      </w:r>
      <w:r w:rsidRPr="00665138">
        <w:rPr>
          <w:rFonts w:eastAsia="Times New Roman" w:cs="Arial"/>
          <w:color w:val="000000"/>
          <w:lang w:eastAsia="bg-BG"/>
        </w:rPr>
        <w:t xml:space="preserve">и трифосфат </w:t>
      </w:r>
      <w:r w:rsidRPr="00665138">
        <w:rPr>
          <w:rFonts w:eastAsia="Times New Roman" w:cs="Arial"/>
          <w:color w:val="000000"/>
          <w:lang w:val="en-US"/>
        </w:rPr>
        <w:t>(</w:t>
      </w:r>
      <w:proofErr w:type="spellStart"/>
      <w:r w:rsidRPr="00665138">
        <w:rPr>
          <w:rFonts w:eastAsia="Times New Roman" w:cs="Arial"/>
          <w:color w:val="000000"/>
          <w:lang w:val="en-US"/>
        </w:rPr>
        <w:t>dFdCTP</w:t>
      </w:r>
      <w:proofErr w:type="spellEnd"/>
      <w:r w:rsidRPr="00665138">
        <w:rPr>
          <w:rFonts w:eastAsia="Times New Roman" w:cs="Arial"/>
          <w:color w:val="000000"/>
          <w:lang w:val="en-US"/>
        </w:rPr>
        <w:t xml:space="preserve">) </w:t>
      </w:r>
      <w:r w:rsidRPr="00665138">
        <w:rPr>
          <w:rFonts w:eastAsia="Times New Roman" w:cs="Arial"/>
          <w:color w:val="000000"/>
          <w:lang w:eastAsia="bg-BG"/>
        </w:rPr>
        <w:t xml:space="preserve">нуклеозиди. Цитотоксичното действие на гемцитабин вероятно се основава на инхибиране синтеза на ДНК посредством два механизма на действие на </w:t>
      </w:r>
      <w:proofErr w:type="spellStart"/>
      <w:r w:rsidRPr="00665138">
        <w:rPr>
          <w:rFonts w:eastAsia="Times New Roman" w:cs="Arial"/>
          <w:color w:val="000000"/>
          <w:lang w:val="en-US"/>
        </w:rPr>
        <w:t>dFdCDP</w:t>
      </w:r>
      <w:proofErr w:type="spellEnd"/>
      <w:r w:rsidRPr="00665138">
        <w:rPr>
          <w:rFonts w:eastAsia="Times New Roman" w:cs="Arial"/>
          <w:color w:val="000000"/>
          <w:lang w:val="en-US"/>
        </w:rPr>
        <w:t xml:space="preserve"> </w:t>
      </w:r>
      <w:r w:rsidRPr="00665138">
        <w:rPr>
          <w:rFonts w:eastAsia="Times New Roman" w:cs="Arial"/>
          <w:color w:val="000000"/>
          <w:lang w:eastAsia="bg-BG"/>
        </w:rPr>
        <w:t xml:space="preserve">и </w:t>
      </w:r>
      <w:proofErr w:type="spellStart"/>
      <w:r w:rsidRPr="00665138">
        <w:rPr>
          <w:rFonts w:eastAsia="Times New Roman" w:cs="Arial"/>
          <w:color w:val="000000"/>
          <w:lang w:val="en-US"/>
        </w:rPr>
        <w:t>dFdCTP</w:t>
      </w:r>
      <w:proofErr w:type="spellEnd"/>
      <w:r w:rsidRPr="00665138">
        <w:rPr>
          <w:rFonts w:eastAsia="Times New Roman" w:cs="Arial"/>
          <w:color w:val="000000"/>
          <w:lang w:val="en-US"/>
        </w:rPr>
        <w:t xml:space="preserve">. </w:t>
      </w:r>
      <w:r w:rsidRPr="00665138">
        <w:rPr>
          <w:rFonts w:eastAsia="Times New Roman" w:cs="Arial"/>
          <w:color w:val="000000"/>
          <w:lang w:eastAsia="bg-BG"/>
        </w:rPr>
        <w:t xml:space="preserve">Първо, </w:t>
      </w:r>
      <w:proofErr w:type="spellStart"/>
      <w:r w:rsidRPr="00665138">
        <w:rPr>
          <w:rFonts w:eastAsia="Times New Roman" w:cs="Arial"/>
          <w:color w:val="000000"/>
          <w:lang w:val="en-US"/>
        </w:rPr>
        <w:t>dFdCDP</w:t>
      </w:r>
      <w:proofErr w:type="spellEnd"/>
      <w:r w:rsidRPr="00665138">
        <w:rPr>
          <w:rFonts w:eastAsia="Times New Roman" w:cs="Arial"/>
          <w:color w:val="000000"/>
          <w:lang w:val="en-US"/>
        </w:rPr>
        <w:t xml:space="preserve"> </w:t>
      </w:r>
      <w:r w:rsidRPr="00665138">
        <w:rPr>
          <w:rFonts w:eastAsia="Times New Roman" w:cs="Arial"/>
          <w:color w:val="000000"/>
          <w:lang w:eastAsia="bg-BG"/>
        </w:rPr>
        <w:t xml:space="preserve">потиска рибонуклеотидна редуктаза, която е специфичен катализатор на реакциите за образуване на деоксинуклеозид трифосфати </w:t>
      </w:r>
      <w:r w:rsidRPr="00665138">
        <w:rPr>
          <w:rFonts w:eastAsia="Times New Roman" w:cs="Arial"/>
          <w:color w:val="000000"/>
          <w:lang w:val="en-US"/>
        </w:rPr>
        <w:t>(</w:t>
      </w:r>
      <w:proofErr w:type="spellStart"/>
      <w:r w:rsidRPr="00665138">
        <w:rPr>
          <w:rFonts w:eastAsia="Times New Roman" w:cs="Arial"/>
          <w:color w:val="000000"/>
          <w:lang w:val="en-US"/>
        </w:rPr>
        <w:t>dCTP</w:t>
      </w:r>
      <w:proofErr w:type="spellEnd"/>
      <w:r w:rsidRPr="00665138">
        <w:rPr>
          <w:rFonts w:eastAsia="Times New Roman" w:cs="Arial"/>
          <w:color w:val="000000"/>
          <w:lang w:val="en-US"/>
        </w:rPr>
        <w:t xml:space="preserve">), </w:t>
      </w:r>
      <w:r w:rsidRPr="00665138">
        <w:rPr>
          <w:rFonts w:eastAsia="Times New Roman" w:cs="Arial"/>
          <w:color w:val="000000"/>
          <w:lang w:eastAsia="bg-BG"/>
        </w:rPr>
        <w:t xml:space="preserve">необходими за синтеза на ДНК. Инхибирането на този ензим от </w:t>
      </w:r>
      <w:proofErr w:type="spellStart"/>
      <w:r w:rsidRPr="00665138">
        <w:rPr>
          <w:rFonts w:eastAsia="Times New Roman" w:cs="Arial"/>
          <w:color w:val="000000"/>
          <w:lang w:val="en-US"/>
        </w:rPr>
        <w:t>dFdCDP</w:t>
      </w:r>
      <w:proofErr w:type="spellEnd"/>
      <w:r w:rsidRPr="00665138">
        <w:rPr>
          <w:rFonts w:eastAsia="Times New Roman" w:cs="Arial"/>
          <w:color w:val="000000"/>
          <w:lang w:val="en-US"/>
        </w:rPr>
        <w:t xml:space="preserve"> </w:t>
      </w:r>
      <w:r w:rsidRPr="00665138">
        <w:rPr>
          <w:rFonts w:eastAsia="Times New Roman" w:cs="Arial"/>
          <w:color w:val="000000"/>
          <w:lang w:eastAsia="bg-BG"/>
        </w:rPr>
        <w:t xml:space="preserve">води до понижаване на концентрациите на деоксинуклеозидите като цяло, и особено тези на </w:t>
      </w:r>
      <w:proofErr w:type="spellStart"/>
      <w:r w:rsidRPr="00665138">
        <w:rPr>
          <w:rFonts w:eastAsia="Times New Roman" w:cs="Arial"/>
          <w:color w:val="000000"/>
          <w:lang w:val="en-US"/>
        </w:rPr>
        <w:t>dCTP</w:t>
      </w:r>
      <w:proofErr w:type="spellEnd"/>
      <w:r w:rsidRPr="00665138">
        <w:rPr>
          <w:rFonts w:eastAsia="Times New Roman" w:cs="Arial"/>
          <w:color w:val="000000"/>
          <w:lang w:val="en-US"/>
        </w:rPr>
        <w:t xml:space="preserve">. </w:t>
      </w:r>
      <w:r w:rsidRPr="00665138">
        <w:rPr>
          <w:rFonts w:eastAsia="Times New Roman" w:cs="Arial"/>
          <w:color w:val="000000"/>
          <w:lang w:eastAsia="bg-BG"/>
        </w:rPr>
        <w:t xml:space="preserve">Второ, </w:t>
      </w:r>
      <w:proofErr w:type="spellStart"/>
      <w:r w:rsidRPr="00665138">
        <w:rPr>
          <w:rFonts w:eastAsia="Times New Roman" w:cs="Arial"/>
          <w:color w:val="000000"/>
          <w:lang w:val="en-US"/>
        </w:rPr>
        <w:t>dFdCTP</w:t>
      </w:r>
      <w:proofErr w:type="spellEnd"/>
      <w:r w:rsidRPr="00665138">
        <w:rPr>
          <w:rFonts w:eastAsia="Times New Roman" w:cs="Arial"/>
          <w:color w:val="000000"/>
          <w:lang w:val="en-US"/>
        </w:rPr>
        <w:t xml:space="preserve"> </w:t>
      </w:r>
      <w:r w:rsidRPr="00665138">
        <w:rPr>
          <w:rFonts w:eastAsia="Times New Roman" w:cs="Arial"/>
          <w:color w:val="000000"/>
          <w:lang w:eastAsia="bg-BG"/>
        </w:rPr>
        <w:t xml:space="preserve">се конкурира с </w:t>
      </w:r>
      <w:proofErr w:type="spellStart"/>
      <w:r w:rsidRPr="00665138">
        <w:rPr>
          <w:rFonts w:eastAsia="Times New Roman" w:cs="Arial"/>
          <w:color w:val="000000"/>
          <w:lang w:val="en-US"/>
        </w:rPr>
        <w:t>dCTP</w:t>
      </w:r>
      <w:proofErr w:type="spellEnd"/>
      <w:r w:rsidRPr="00665138">
        <w:rPr>
          <w:rFonts w:eastAsia="Times New Roman" w:cs="Arial"/>
          <w:color w:val="000000"/>
          <w:lang w:val="en-US"/>
        </w:rPr>
        <w:t xml:space="preserve"> </w:t>
      </w:r>
      <w:r w:rsidRPr="00665138">
        <w:rPr>
          <w:rFonts w:eastAsia="Times New Roman" w:cs="Arial"/>
          <w:color w:val="000000"/>
          <w:lang w:eastAsia="bg-BG"/>
        </w:rPr>
        <w:t>за включване в ДНК (авто-потенцииране).</w:t>
      </w:r>
    </w:p>
    <w:p w14:paraId="13255B3A" w14:textId="77777777" w:rsidR="00665138" w:rsidRPr="00665138" w:rsidRDefault="00665138" w:rsidP="00665138">
      <w:pPr>
        <w:spacing w:line="240" w:lineRule="auto"/>
        <w:rPr>
          <w:rFonts w:eastAsia="Times New Roman" w:cs="Arial"/>
          <w:color w:val="000000"/>
          <w:lang w:eastAsia="bg-BG"/>
        </w:rPr>
      </w:pPr>
    </w:p>
    <w:p w14:paraId="42D9A56A" w14:textId="08E34D9E" w:rsidR="00665138" w:rsidRPr="00665138" w:rsidRDefault="00665138" w:rsidP="00665138">
      <w:pPr>
        <w:spacing w:line="240" w:lineRule="auto"/>
        <w:rPr>
          <w:rFonts w:eastAsia="Times New Roman" w:cs="Arial"/>
          <w:sz w:val="24"/>
          <w:szCs w:val="24"/>
          <w:lang w:eastAsia="bg-BG"/>
        </w:rPr>
      </w:pPr>
      <w:r w:rsidRPr="00665138">
        <w:rPr>
          <w:rFonts w:eastAsia="Times New Roman" w:cs="Arial"/>
          <w:color w:val="000000"/>
          <w:lang w:eastAsia="bg-BG"/>
        </w:rPr>
        <w:t xml:space="preserve">По подобен начин, малко количество гемцитабин също така може да се включи в РНК. В резултат на това, понижаването на вътреклетъчните концентрации на </w:t>
      </w:r>
      <w:proofErr w:type="spellStart"/>
      <w:r w:rsidRPr="00665138">
        <w:rPr>
          <w:rFonts w:eastAsia="Times New Roman" w:cs="Arial"/>
          <w:color w:val="000000"/>
          <w:lang w:val="en-US"/>
        </w:rPr>
        <w:t>dCTP</w:t>
      </w:r>
      <w:proofErr w:type="spellEnd"/>
      <w:r w:rsidRPr="00665138">
        <w:rPr>
          <w:rFonts w:eastAsia="Times New Roman" w:cs="Arial"/>
          <w:color w:val="000000"/>
          <w:lang w:val="en-US"/>
        </w:rPr>
        <w:t xml:space="preserve"> </w:t>
      </w:r>
      <w:r w:rsidRPr="00665138">
        <w:rPr>
          <w:rFonts w:eastAsia="Times New Roman" w:cs="Arial"/>
          <w:color w:val="000000"/>
          <w:lang w:eastAsia="bg-BG"/>
        </w:rPr>
        <w:t xml:space="preserve">потенциира включването на </w:t>
      </w:r>
      <w:proofErr w:type="spellStart"/>
      <w:r w:rsidRPr="00665138">
        <w:rPr>
          <w:rFonts w:eastAsia="Times New Roman" w:cs="Arial"/>
          <w:color w:val="000000"/>
          <w:lang w:val="en-US"/>
        </w:rPr>
        <w:t>dFdCTP</w:t>
      </w:r>
      <w:proofErr w:type="spellEnd"/>
      <w:r w:rsidRPr="00665138">
        <w:rPr>
          <w:rFonts w:eastAsia="Times New Roman" w:cs="Arial"/>
          <w:color w:val="000000"/>
          <w:lang w:val="en-US"/>
        </w:rPr>
        <w:t xml:space="preserve"> </w:t>
      </w:r>
      <w:r w:rsidRPr="00665138">
        <w:rPr>
          <w:rFonts w:eastAsia="Times New Roman" w:cs="Arial"/>
          <w:color w:val="000000"/>
          <w:lang w:eastAsia="bg-BG"/>
        </w:rPr>
        <w:t>в ДНК. ДНК-полимераза епсилон не притежава способността да премахне гемцитабин и да поправи нарастващите ДНК вериги. След като гемцитабин се инкорпорира в ДНК, в нарастващите ДНК вериги се инкорпорира един допълнителен нуклеотид. След това добавяне, фактически има пълно потискане на последващия синтез на ДНК (маскирано терминираие на веригата). След включването си в ДНК, гемцитабин изглежда индуцира процеса на програмирана клетъчна смърт, известен като апоптоза.</w:t>
      </w:r>
    </w:p>
    <w:p w14:paraId="11C572AA" w14:textId="77777777" w:rsidR="00665138" w:rsidRPr="00665138" w:rsidRDefault="00665138" w:rsidP="00665138">
      <w:pPr>
        <w:spacing w:line="240" w:lineRule="auto"/>
        <w:rPr>
          <w:rFonts w:eastAsia="Times New Roman" w:cs="Arial"/>
          <w:color w:val="000000"/>
          <w:u w:val="single"/>
          <w:lang w:eastAsia="bg-BG"/>
        </w:rPr>
      </w:pPr>
    </w:p>
    <w:p w14:paraId="32ABA57B" w14:textId="09D6D566" w:rsidR="00665138" w:rsidRPr="00665138" w:rsidRDefault="00665138" w:rsidP="00665138">
      <w:pPr>
        <w:spacing w:line="240" w:lineRule="auto"/>
        <w:rPr>
          <w:rFonts w:eastAsia="Times New Roman" w:cs="Arial"/>
          <w:sz w:val="24"/>
          <w:szCs w:val="24"/>
          <w:lang w:eastAsia="bg-BG"/>
        </w:rPr>
      </w:pPr>
      <w:r w:rsidRPr="00665138">
        <w:rPr>
          <w:rFonts w:eastAsia="Times New Roman" w:cs="Arial"/>
          <w:color w:val="000000"/>
          <w:u w:val="single"/>
          <w:lang w:eastAsia="bg-BG"/>
        </w:rPr>
        <w:t>Клинични данни</w:t>
      </w:r>
    </w:p>
    <w:p w14:paraId="7DF82E94" w14:textId="77777777" w:rsidR="00665138" w:rsidRPr="00665138" w:rsidRDefault="00665138" w:rsidP="00665138">
      <w:pPr>
        <w:spacing w:line="240" w:lineRule="auto"/>
        <w:rPr>
          <w:rFonts w:eastAsia="Times New Roman" w:cs="Arial"/>
          <w:sz w:val="24"/>
          <w:szCs w:val="24"/>
          <w:lang w:eastAsia="bg-BG"/>
        </w:rPr>
      </w:pPr>
      <w:r w:rsidRPr="00665138">
        <w:rPr>
          <w:rFonts w:eastAsia="Times New Roman" w:cs="Arial"/>
          <w:i/>
          <w:iCs/>
          <w:color w:val="000000"/>
          <w:u w:val="single"/>
          <w:lang w:eastAsia="bg-BG"/>
        </w:rPr>
        <w:t>Рак на пикочния мехур</w:t>
      </w:r>
      <w:r w:rsidRPr="00665138">
        <w:rPr>
          <w:rFonts w:eastAsia="Times New Roman" w:cs="Arial"/>
          <w:i/>
          <w:iCs/>
          <w:color w:val="000000"/>
          <w:lang w:eastAsia="bg-BG"/>
        </w:rPr>
        <w:tab/>
      </w:r>
    </w:p>
    <w:p w14:paraId="351FEE3C" w14:textId="77777777" w:rsidR="00665138" w:rsidRPr="00665138" w:rsidRDefault="00665138" w:rsidP="00665138">
      <w:pPr>
        <w:spacing w:line="240" w:lineRule="auto"/>
        <w:rPr>
          <w:rFonts w:eastAsia="Times New Roman" w:cs="Arial"/>
          <w:sz w:val="24"/>
          <w:szCs w:val="24"/>
          <w:lang w:eastAsia="bg-BG"/>
        </w:rPr>
      </w:pPr>
      <w:r w:rsidRPr="00665138">
        <w:rPr>
          <w:rFonts w:eastAsia="Times New Roman" w:cs="Arial"/>
          <w:color w:val="000000"/>
          <w:lang w:eastAsia="bg-BG"/>
        </w:rPr>
        <w:t>В рандомизирано изпитване от фаза Ш с 405 пациенти с напреднал или метастазирал</w:t>
      </w:r>
    </w:p>
    <w:p w14:paraId="275B584E" w14:textId="77777777" w:rsidR="00D8509D" w:rsidRPr="00D8509D" w:rsidRDefault="00665138" w:rsidP="00D8509D">
      <w:pPr>
        <w:rPr>
          <w:rFonts w:eastAsia="Times New Roman" w:cs="Arial"/>
          <w:sz w:val="24"/>
          <w:szCs w:val="24"/>
          <w:lang w:eastAsia="bg-BG"/>
        </w:rPr>
      </w:pPr>
      <w:r w:rsidRPr="00D8509D">
        <w:rPr>
          <w:rFonts w:eastAsia="Times New Roman" w:cs="Arial"/>
          <w:color w:val="000000"/>
          <w:lang w:eastAsia="bg-BG"/>
        </w:rPr>
        <w:t>уротелиален преходен клетъчен карцином не е наблюдавана разлика между двете рамена на</w:t>
      </w:r>
      <w:r w:rsidR="00D8509D" w:rsidRPr="00D8509D">
        <w:rPr>
          <w:rFonts w:eastAsia="Times New Roman" w:cs="Arial"/>
          <w:color w:val="000000"/>
          <w:lang w:val="en-US" w:eastAsia="bg-BG"/>
        </w:rPr>
        <w:t xml:space="preserve"> </w:t>
      </w:r>
      <w:r w:rsidR="00D8509D" w:rsidRPr="00D8509D">
        <w:rPr>
          <w:rFonts w:eastAsia="Times New Roman" w:cs="Arial"/>
          <w:color w:val="000000"/>
          <w:lang w:eastAsia="bg-BG"/>
        </w:rPr>
        <w:t xml:space="preserve">лечение - гемцитабин/цисплатина в сравнение с метотрексат/винбластин/адриамицин/цисплатина </w:t>
      </w:r>
      <w:r w:rsidR="00D8509D" w:rsidRPr="00D8509D">
        <w:rPr>
          <w:rFonts w:eastAsia="Times New Roman" w:cs="Arial"/>
          <w:color w:val="000000"/>
          <w:lang w:val="en-US"/>
        </w:rPr>
        <w:t xml:space="preserve">(MVAC), </w:t>
      </w:r>
      <w:r w:rsidR="00D8509D" w:rsidRPr="00D8509D">
        <w:rPr>
          <w:rFonts w:eastAsia="Times New Roman" w:cs="Arial"/>
          <w:color w:val="000000"/>
          <w:lang w:eastAsia="bg-BG"/>
        </w:rPr>
        <w:t xml:space="preserve">по отношение на средната преживяемост (12,8 и 14,8 месеца, съответно р = 0,547), времето до прогресиране на заболяването (7,4 и 7,6 месеца съответно, р = 0,842) и процента на повлияване (49,4% и 45,7% съответно, р = 0,512). Въпреки това, комбинацията от гемцитабин и цисплатина има по-добър профил на токсичност от </w:t>
      </w:r>
      <w:r w:rsidR="00D8509D" w:rsidRPr="00D8509D">
        <w:rPr>
          <w:rFonts w:eastAsia="Times New Roman" w:cs="Arial"/>
          <w:color w:val="000000"/>
          <w:lang w:val="en-US"/>
        </w:rPr>
        <w:t>MVAC.</w:t>
      </w:r>
    </w:p>
    <w:p w14:paraId="40FBD7DF" w14:textId="77777777" w:rsidR="00D8509D" w:rsidRDefault="00D8509D" w:rsidP="00D8509D">
      <w:pPr>
        <w:spacing w:line="240" w:lineRule="auto"/>
        <w:rPr>
          <w:rFonts w:ascii="Times New Roman" w:eastAsia="Times New Roman" w:hAnsi="Times New Roman" w:cs="Times New Roman"/>
          <w:i/>
          <w:iCs/>
          <w:color w:val="000000"/>
          <w:u w:val="single"/>
          <w:lang w:eastAsia="bg-BG"/>
        </w:rPr>
      </w:pPr>
    </w:p>
    <w:p w14:paraId="76577AC1" w14:textId="5D0C6E99" w:rsidR="00D8509D" w:rsidRPr="00D8509D" w:rsidRDefault="00D8509D" w:rsidP="00D8509D">
      <w:pPr>
        <w:spacing w:line="240" w:lineRule="auto"/>
        <w:rPr>
          <w:rFonts w:eastAsia="Times New Roman" w:cs="Arial"/>
          <w:sz w:val="24"/>
          <w:szCs w:val="24"/>
          <w:lang w:eastAsia="bg-BG"/>
        </w:rPr>
      </w:pPr>
      <w:r w:rsidRPr="00D8509D">
        <w:rPr>
          <w:rFonts w:eastAsia="Times New Roman" w:cs="Arial"/>
          <w:i/>
          <w:iCs/>
          <w:color w:val="000000"/>
          <w:u w:val="single"/>
          <w:lang w:eastAsia="bg-BG"/>
        </w:rPr>
        <w:t>Рак на панкреаса</w:t>
      </w:r>
    </w:p>
    <w:p w14:paraId="150D36D3" w14:textId="77777777" w:rsidR="00D8509D" w:rsidRPr="00D8509D" w:rsidRDefault="00D8509D" w:rsidP="00D8509D">
      <w:pPr>
        <w:spacing w:line="240" w:lineRule="auto"/>
        <w:rPr>
          <w:rFonts w:eastAsia="Times New Roman" w:cs="Arial"/>
          <w:sz w:val="24"/>
          <w:szCs w:val="24"/>
          <w:lang w:eastAsia="bg-BG"/>
        </w:rPr>
      </w:pPr>
      <w:r w:rsidRPr="00D8509D">
        <w:rPr>
          <w:rFonts w:eastAsia="Times New Roman" w:cs="Arial"/>
          <w:color w:val="000000"/>
          <w:lang w:eastAsia="bg-BG"/>
        </w:rPr>
        <w:t xml:space="preserve">В рандомизирано изпитване от фаза Ш на 126 пациенти с напреднал или метастазирал рак на панкреаса, гемцитабин показва статистически значима по-висока степен на клинична полза от 5-флуороурацил (23,8% и 4,8% съответно, р = 0,0022). Освен това, е наблюдавано статистически значимо удължаване на времето до прогресиране от 0,9 до 2,3 месеца (логаригмичен-рангов критерий р &lt;0,0002) и статистически значимо </w:t>
      </w:r>
      <w:r w:rsidRPr="00D8509D">
        <w:rPr>
          <w:rFonts w:eastAsia="Times New Roman" w:cs="Arial"/>
          <w:color w:val="000000"/>
          <w:lang w:eastAsia="bg-BG"/>
        </w:rPr>
        <w:lastRenderedPageBreak/>
        <w:t>удължаване на средната преживяемост от 4,4 до 5,7 месеца (логаритмичен-рангов критерий р &lt;0,0024) при пациентите, лекувани с гемцитабин в сравнение с пациентите, лекувани с 5-флуороурацил.</w:t>
      </w:r>
    </w:p>
    <w:p w14:paraId="6737A6F2" w14:textId="77777777" w:rsidR="00D8509D" w:rsidRPr="00D8509D" w:rsidRDefault="00D8509D" w:rsidP="00D8509D">
      <w:pPr>
        <w:spacing w:line="240" w:lineRule="auto"/>
        <w:rPr>
          <w:rFonts w:eastAsia="Times New Roman" w:cs="Arial"/>
          <w:i/>
          <w:iCs/>
          <w:color w:val="000000"/>
          <w:u w:val="single"/>
          <w:lang w:eastAsia="bg-BG"/>
        </w:rPr>
      </w:pPr>
    </w:p>
    <w:p w14:paraId="36FD081B" w14:textId="0ED6F312" w:rsidR="00D8509D" w:rsidRPr="00D8509D" w:rsidRDefault="00D8509D" w:rsidP="00D8509D">
      <w:pPr>
        <w:spacing w:line="240" w:lineRule="auto"/>
        <w:rPr>
          <w:rFonts w:eastAsia="Times New Roman" w:cs="Arial"/>
          <w:sz w:val="24"/>
          <w:szCs w:val="24"/>
          <w:lang w:eastAsia="bg-BG"/>
        </w:rPr>
      </w:pPr>
      <w:r w:rsidRPr="00D8509D">
        <w:rPr>
          <w:rFonts w:eastAsia="Times New Roman" w:cs="Arial"/>
          <w:i/>
          <w:iCs/>
          <w:color w:val="000000"/>
          <w:u w:val="single"/>
          <w:lang w:eastAsia="bg-BG"/>
        </w:rPr>
        <w:t>Недребноклетъчен рак на белия дроб</w:t>
      </w:r>
    </w:p>
    <w:p w14:paraId="242CCA47" w14:textId="77777777" w:rsidR="00D8509D" w:rsidRPr="00D8509D" w:rsidRDefault="00D8509D" w:rsidP="00D8509D">
      <w:pPr>
        <w:spacing w:line="240" w:lineRule="auto"/>
        <w:rPr>
          <w:rFonts w:eastAsia="Times New Roman" w:cs="Arial"/>
          <w:sz w:val="24"/>
          <w:szCs w:val="24"/>
          <w:lang w:eastAsia="bg-BG"/>
        </w:rPr>
      </w:pPr>
      <w:r w:rsidRPr="00D8509D">
        <w:rPr>
          <w:rFonts w:eastAsia="Times New Roman" w:cs="Arial"/>
          <w:color w:val="000000"/>
          <w:lang w:eastAsia="bg-BG"/>
        </w:rPr>
        <w:t>В рандомизирано изпитване от фаза Ш на 522 пациенти с неоперабилен, локално напреднал или метастазирал недребноклетьчен рак на белия дроб е наблюдавано е статистически значима по-висока степен на повлияване от гемцитабин в комбинация с цисплатина в сравнение с цисплатина, приложен самостоятелно (31,0% и 12,0%, съответно, р &lt;0,0001). Статистически значимо удължаване на времето до прогресиране, от 3,7 до 5,6 месеца (логаритмичен-рангов критерий р &lt;0,0012) и статистически значимо удължаване на средната преживяемост от 7,6 месеца до 9,1 месеца (логаритмичен-рангов критерий р &lt;0,004) е наблюдавано при пациенти, лекувани с гемцитабин/цисплатина в сравнение с пациентите, лекувани с цисплатина.</w:t>
      </w:r>
    </w:p>
    <w:p w14:paraId="6558D0CB" w14:textId="77777777" w:rsidR="00D8509D" w:rsidRPr="00D8509D" w:rsidRDefault="00D8509D" w:rsidP="00D8509D">
      <w:pPr>
        <w:spacing w:line="240" w:lineRule="auto"/>
        <w:rPr>
          <w:rFonts w:eastAsia="Times New Roman" w:cs="Arial"/>
          <w:sz w:val="24"/>
          <w:szCs w:val="24"/>
          <w:lang w:eastAsia="bg-BG"/>
        </w:rPr>
      </w:pPr>
      <w:r w:rsidRPr="00D8509D">
        <w:rPr>
          <w:rFonts w:eastAsia="Times New Roman" w:cs="Arial"/>
          <w:color w:val="000000"/>
          <w:lang w:eastAsia="bg-BG"/>
        </w:rPr>
        <w:t>В друго рандомизирано изпитване от фаза III на 135 пациенти с недребноклетьчен рак на белия дроб в стадий IIIВ или IV, комбинацията от гемцитабин и цисплатина показва статистически значимо по-висока степен на повлияване от комбинацията цисплатина и етопозид (40,6% и 21,2% съответно, р = 0,025). Наблюдавано е статистически значимо удължаване на времето до прогресиране, от 4,3 до 6,9 месеца (р = 0,014) при пациенти, лекувани с гемцитабин/цисплатина в сравнение с пациентите, лекувани с етопозид/цисплатина.</w:t>
      </w:r>
    </w:p>
    <w:p w14:paraId="1B4EF522" w14:textId="77777777" w:rsidR="00D8509D" w:rsidRPr="00D8509D" w:rsidRDefault="00D8509D" w:rsidP="00D8509D">
      <w:pPr>
        <w:spacing w:line="240" w:lineRule="auto"/>
        <w:rPr>
          <w:rFonts w:eastAsia="Times New Roman" w:cs="Arial"/>
          <w:sz w:val="24"/>
          <w:szCs w:val="24"/>
          <w:lang w:eastAsia="bg-BG"/>
        </w:rPr>
      </w:pPr>
      <w:r w:rsidRPr="00D8509D">
        <w:rPr>
          <w:rFonts w:eastAsia="Times New Roman" w:cs="Arial"/>
          <w:color w:val="000000"/>
          <w:lang w:eastAsia="bg-BG"/>
        </w:rPr>
        <w:t>И в двете изпитвания е установено, че поносимостта е била сходна в двете терапевтични рамена.</w:t>
      </w:r>
    </w:p>
    <w:p w14:paraId="1AC190A6" w14:textId="77777777" w:rsidR="00D8509D" w:rsidRPr="00D8509D" w:rsidRDefault="00D8509D" w:rsidP="00D8509D">
      <w:pPr>
        <w:spacing w:line="240" w:lineRule="auto"/>
        <w:rPr>
          <w:rFonts w:eastAsia="Times New Roman" w:cs="Arial"/>
          <w:i/>
          <w:iCs/>
          <w:color w:val="000000"/>
          <w:u w:val="single"/>
          <w:lang w:eastAsia="bg-BG"/>
        </w:rPr>
      </w:pPr>
    </w:p>
    <w:p w14:paraId="3F1ED6B8" w14:textId="2D185D57" w:rsidR="00D8509D" w:rsidRPr="00D8509D" w:rsidRDefault="00D8509D" w:rsidP="00D8509D">
      <w:pPr>
        <w:spacing w:line="240" w:lineRule="auto"/>
        <w:rPr>
          <w:rFonts w:eastAsia="Times New Roman" w:cs="Arial"/>
          <w:sz w:val="24"/>
          <w:szCs w:val="24"/>
          <w:lang w:eastAsia="bg-BG"/>
        </w:rPr>
      </w:pPr>
      <w:r w:rsidRPr="00D8509D">
        <w:rPr>
          <w:rFonts w:eastAsia="Times New Roman" w:cs="Arial"/>
          <w:i/>
          <w:iCs/>
          <w:color w:val="000000"/>
          <w:u w:val="single"/>
          <w:lang w:eastAsia="bg-BG"/>
        </w:rPr>
        <w:t>Овариален кариином</w:t>
      </w:r>
    </w:p>
    <w:p w14:paraId="1D20219E" w14:textId="77777777" w:rsidR="00D8509D" w:rsidRPr="00D8509D" w:rsidRDefault="00D8509D" w:rsidP="00D8509D">
      <w:pPr>
        <w:spacing w:line="240" w:lineRule="auto"/>
        <w:rPr>
          <w:rFonts w:eastAsia="Times New Roman" w:cs="Arial"/>
          <w:sz w:val="24"/>
          <w:szCs w:val="24"/>
          <w:lang w:eastAsia="bg-BG"/>
        </w:rPr>
      </w:pPr>
      <w:r w:rsidRPr="00D8509D">
        <w:rPr>
          <w:rFonts w:eastAsia="Times New Roman" w:cs="Arial"/>
          <w:color w:val="000000"/>
          <w:lang w:eastAsia="bg-BG"/>
        </w:rPr>
        <w:t xml:space="preserve">В рандомизирано проучване от фаза III 356 пациенти с напреднал епителиален овариален карцином, които са имали рецидив поне 6 месеца след завършване на терапия, базирана на платина, са рандомизирани за лечение с гемцитабин и карбоплатина </w:t>
      </w:r>
      <w:r w:rsidRPr="00D8509D">
        <w:rPr>
          <w:rFonts w:eastAsia="Times New Roman" w:cs="Arial"/>
          <w:color w:val="000000"/>
          <w:lang w:val="en-US"/>
        </w:rPr>
        <w:t>(</w:t>
      </w:r>
      <w:proofErr w:type="spellStart"/>
      <w:r w:rsidRPr="00D8509D">
        <w:rPr>
          <w:rFonts w:eastAsia="Times New Roman" w:cs="Arial"/>
          <w:color w:val="000000"/>
          <w:lang w:val="en-US"/>
        </w:rPr>
        <w:t>GCb</w:t>
      </w:r>
      <w:proofErr w:type="spellEnd"/>
      <w:r w:rsidRPr="00D8509D">
        <w:rPr>
          <w:rFonts w:eastAsia="Times New Roman" w:cs="Arial"/>
          <w:color w:val="000000"/>
          <w:lang w:val="en-US"/>
        </w:rPr>
        <w:t xml:space="preserve">) </w:t>
      </w:r>
      <w:r w:rsidRPr="00D8509D">
        <w:rPr>
          <w:rFonts w:eastAsia="Times New Roman" w:cs="Arial"/>
          <w:color w:val="000000"/>
          <w:lang w:eastAsia="bg-BG"/>
        </w:rPr>
        <w:t>или с карбоплатина (С</w:t>
      </w:r>
      <w:r w:rsidRPr="00D8509D">
        <w:rPr>
          <w:rFonts w:eastAsia="Times New Roman" w:cs="Arial"/>
          <w:color w:val="000000"/>
          <w:lang w:val="en-US"/>
        </w:rPr>
        <w:t>b</w:t>
      </w:r>
      <w:r w:rsidRPr="00D8509D">
        <w:rPr>
          <w:rFonts w:eastAsia="Times New Roman" w:cs="Arial"/>
          <w:color w:val="000000"/>
          <w:lang w:eastAsia="bg-BG"/>
        </w:rPr>
        <w:t xml:space="preserve">). Статистически значимо удължаване на времето до прогресиране на заболяването, от 5,8 до 8,6 месеца (логаритмичен-рангов критерий р = 0,0038) е наблюдавано при пациенти, лекувани с </w:t>
      </w:r>
      <w:proofErr w:type="spellStart"/>
      <w:r w:rsidRPr="00D8509D">
        <w:rPr>
          <w:rFonts w:eastAsia="Times New Roman" w:cs="Arial"/>
          <w:color w:val="000000"/>
          <w:lang w:val="en-US"/>
        </w:rPr>
        <w:t>GCb</w:t>
      </w:r>
      <w:proofErr w:type="spellEnd"/>
      <w:r w:rsidRPr="00D8509D">
        <w:rPr>
          <w:rFonts w:eastAsia="Times New Roman" w:cs="Arial"/>
          <w:color w:val="000000"/>
          <w:lang w:val="en-US"/>
        </w:rPr>
        <w:t xml:space="preserve"> </w:t>
      </w:r>
      <w:r w:rsidRPr="00D8509D">
        <w:rPr>
          <w:rFonts w:eastAsia="Times New Roman" w:cs="Arial"/>
          <w:color w:val="000000"/>
          <w:lang w:eastAsia="bg-BG"/>
        </w:rPr>
        <w:t>в сравнение с пациентите, лекувани с С</w:t>
      </w:r>
      <w:r w:rsidRPr="00D8509D">
        <w:rPr>
          <w:rFonts w:eastAsia="Times New Roman" w:cs="Arial"/>
          <w:color w:val="000000"/>
          <w:lang w:val="en-US"/>
        </w:rPr>
        <w:t>b</w:t>
      </w:r>
      <w:r w:rsidRPr="00D8509D">
        <w:rPr>
          <w:rFonts w:eastAsia="Times New Roman" w:cs="Arial"/>
          <w:color w:val="000000"/>
          <w:lang w:eastAsia="bg-BG"/>
        </w:rPr>
        <w:t xml:space="preserve">. Различията в процента на повлияване 47,2% в групата на </w:t>
      </w:r>
      <w:proofErr w:type="spellStart"/>
      <w:r w:rsidRPr="00D8509D">
        <w:rPr>
          <w:rFonts w:eastAsia="Times New Roman" w:cs="Arial"/>
          <w:color w:val="000000"/>
          <w:lang w:val="en-US"/>
        </w:rPr>
        <w:t>GCb</w:t>
      </w:r>
      <w:proofErr w:type="spellEnd"/>
      <w:r w:rsidRPr="00D8509D">
        <w:rPr>
          <w:rFonts w:eastAsia="Times New Roman" w:cs="Arial"/>
          <w:color w:val="000000"/>
          <w:lang w:val="en-US"/>
        </w:rPr>
        <w:t xml:space="preserve"> </w:t>
      </w:r>
      <w:r w:rsidRPr="00D8509D">
        <w:rPr>
          <w:rFonts w:eastAsia="Times New Roman" w:cs="Arial"/>
          <w:color w:val="000000"/>
          <w:lang w:eastAsia="bg-BG"/>
        </w:rPr>
        <w:t>в сравнение с 30,9% в групата на С</w:t>
      </w:r>
      <w:r w:rsidRPr="00D8509D">
        <w:rPr>
          <w:rFonts w:eastAsia="Times New Roman" w:cs="Arial"/>
          <w:color w:val="000000"/>
          <w:lang w:val="en-US"/>
        </w:rPr>
        <w:t>b</w:t>
      </w:r>
      <w:r w:rsidRPr="00D8509D">
        <w:rPr>
          <w:rFonts w:eastAsia="Times New Roman" w:cs="Arial"/>
          <w:color w:val="000000"/>
          <w:lang w:eastAsia="bg-BG"/>
        </w:rPr>
        <w:t xml:space="preserve"> (р = 0,0016) и средната преживяемост 18 месеца </w:t>
      </w:r>
      <w:r w:rsidRPr="00D8509D">
        <w:rPr>
          <w:rFonts w:eastAsia="Times New Roman" w:cs="Arial"/>
          <w:color w:val="000000"/>
          <w:lang w:val="en-US"/>
        </w:rPr>
        <w:t>(</w:t>
      </w:r>
      <w:proofErr w:type="spellStart"/>
      <w:r w:rsidRPr="00D8509D">
        <w:rPr>
          <w:rFonts w:eastAsia="Times New Roman" w:cs="Arial"/>
          <w:color w:val="000000"/>
          <w:lang w:val="en-US"/>
        </w:rPr>
        <w:t>GCb</w:t>
      </w:r>
      <w:proofErr w:type="spellEnd"/>
      <w:r w:rsidRPr="00D8509D">
        <w:rPr>
          <w:rFonts w:eastAsia="Times New Roman" w:cs="Arial"/>
          <w:color w:val="000000"/>
          <w:lang w:val="en-US"/>
        </w:rPr>
        <w:t xml:space="preserve">) </w:t>
      </w:r>
      <w:r w:rsidRPr="00D8509D">
        <w:rPr>
          <w:rFonts w:eastAsia="Times New Roman" w:cs="Arial"/>
          <w:color w:val="000000"/>
          <w:lang w:eastAsia="bg-BG"/>
        </w:rPr>
        <w:t>спрямо 17,3 (С</w:t>
      </w:r>
      <w:r w:rsidRPr="00D8509D">
        <w:rPr>
          <w:rFonts w:eastAsia="Times New Roman" w:cs="Arial"/>
          <w:color w:val="000000"/>
          <w:lang w:val="en-US"/>
        </w:rPr>
        <w:t>b</w:t>
      </w:r>
      <w:r w:rsidRPr="00D8509D">
        <w:rPr>
          <w:rFonts w:eastAsia="Times New Roman" w:cs="Arial"/>
          <w:color w:val="000000"/>
          <w:lang w:eastAsia="bg-BG"/>
        </w:rPr>
        <w:t xml:space="preserve">) (р = 0,73) са в полза на рамото с </w:t>
      </w:r>
      <w:proofErr w:type="spellStart"/>
      <w:r w:rsidRPr="00D8509D">
        <w:rPr>
          <w:rFonts w:eastAsia="Times New Roman" w:cs="Arial"/>
          <w:color w:val="000000"/>
          <w:lang w:val="en-US"/>
        </w:rPr>
        <w:t>GCb</w:t>
      </w:r>
      <w:proofErr w:type="spellEnd"/>
      <w:r w:rsidRPr="00D8509D">
        <w:rPr>
          <w:rFonts w:eastAsia="Times New Roman" w:cs="Arial"/>
          <w:color w:val="000000"/>
          <w:lang w:val="en-US"/>
        </w:rPr>
        <w:t>.</w:t>
      </w:r>
    </w:p>
    <w:p w14:paraId="4C1DC4EC" w14:textId="77777777" w:rsidR="00D8509D" w:rsidRPr="00D8509D" w:rsidRDefault="00D8509D" w:rsidP="00D8509D">
      <w:pPr>
        <w:spacing w:line="240" w:lineRule="auto"/>
        <w:rPr>
          <w:rFonts w:eastAsia="Times New Roman" w:cs="Arial"/>
          <w:i/>
          <w:iCs/>
          <w:color w:val="000000"/>
          <w:u w:val="single"/>
          <w:lang w:eastAsia="bg-BG"/>
        </w:rPr>
      </w:pPr>
    </w:p>
    <w:p w14:paraId="74B67CE4" w14:textId="5C51E07B" w:rsidR="00D8509D" w:rsidRPr="00D8509D" w:rsidRDefault="00D8509D" w:rsidP="00D8509D">
      <w:pPr>
        <w:spacing w:line="240" w:lineRule="auto"/>
        <w:rPr>
          <w:rFonts w:eastAsia="Times New Roman" w:cs="Arial"/>
          <w:sz w:val="24"/>
          <w:szCs w:val="24"/>
          <w:lang w:eastAsia="bg-BG"/>
        </w:rPr>
      </w:pPr>
      <w:r w:rsidRPr="00D8509D">
        <w:rPr>
          <w:rFonts w:eastAsia="Times New Roman" w:cs="Arial"/>
          <w:i/>
          <w:iCs/>
          <w:color w:val="000000"/>
          <w:u w:val="single"/>
          <w:lang w:eastAsia="bg-BG"/>
        </w:rPr>
        <w:t>Рак на гърдата</w:t>
      </w:r>
    </w:p>
    <w:p w14:paraId="28252AA0" w14:textId="17E23682" w:rsidR="0091385D" w:rsidRPr="00D8509D" w:rsidRDefault="00D8509D" w:rsidP="00D8509D">
      <w:pPr>
        <w:rPr>
          <w:rFonts w:cs="Arial"/>
          <w:lang w:val="en-US"/>
        </w:rPr>
      </w:pPr>
      <w:r w:rsidRPr="00D8509D">
        <w:rPr>
          <w:rFonts w:eastAsia="Times New Roman" w:cs="Arial"/>
          <w:color w:val="000000"/>
          <w:lang w:eastAsia="bg-BG"/>
        </w:rPr>
        <w:t>В рандомизирано проучване от фаза III на 529 пациенти с неоперабилен локално рецидивирал или метастазирал рак на гърдата, с рецидив след адювантна/неоадювантна химиотерапия, гемцитабин в комбинация с паклитаксел показва статистически значимо удължаване на времето до документирано прогресиране на заболяването от 3,98 на 6,14 месеца (логаритмичен- рангов критерий р = 0,0002) при пациенти, лекувани с гемцитабин/паклитаксел, в сравнение с пациентите, лекувани с паклитаксел. След 377 смъртни случая, общата преживяемост е 18,6 месеца спрямо 15,8 месеца (логаритмичен рангов критерий р = 0,0489, СР 0,82)</w:t>
      </w:r>
      <w:r w:rsidRPr="00D8509D">
        <w:rPr>
          <w:rFonts w:eastAsia="Times New Roman" w:cs="Arial"/>
          <w:color w:val="000000"/>
          <w:lang w:val="en-US"/>
        </w:rPr>
        <w:t xml:space="preserve"> </w:t>
      </w:r>
      <w:r w:rsidRPr="00D8509D">
        <w:rPr>
          <w:rFonts w:eastAsia="Times New Roman" w:cs="Arial"/>
          <w:color w:val="000000"/>
          <w:lang w:eastAsia="bg-BG"/>
        </w:rPr>
        <w:t>при пациенти, лекувани с гемцитабин/паклитаксел в сравнение с пациентите, лекувани с паклитаксел и общият процент на повлияване е съответно 41,4% и 26,2% (р =</w:t>
      </w:r>
      <w:r w:rsidRPr="00D8509D">
        <w:rPr>
          <w:rFonts w:eastAsia="Times New Roman" w:cs="Arial"/>
          <w:color w:val="000000"/>
          <w:lang w:val="en-US"/>
        </w:rPr>
        <w:t xml:space="preserve"> </w:t>
      </w:r>
      <w:r w:rsidRPr="00D8509D">
        <w:rPr>
          <w:rFonts w:eastAsia="Times New Roman" w:cs="Arial"/>
          <w:color w:val="000000"/>
          <w:lang w:eastAsia="bg-BG"/>
        </w:rPr>
        <w:t>0,0002).</w:t>
      </w:r>
    </w:p>
    <w:p w14:paraId="36152471" w14:textId="77777777" w:rsidR="0091385D" w:rsidRPr="0091385D" w:rsidRDefault="0091385D"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37563CEB" w14:textId="77777777" w:rsidR="00D8509D" w:rsidRDefault="00D8509D" w:rsidP="00D8509D">
      <w:r>
        <w:lastRenderedPageBreak/>
        <w:t xml:space="preserve">Фармакокинетиката на гемцигабин е изследвана в седем проучвания, при 353 пациенти: 121 жени и 232 мъже на възраст между 29 и 79 години. От тези пациенти приблизително 45% са с недребноклетъчен карцином на белия дроб, а 35% са с диагностициран карцином на панкреаса. Следващите фармакокинетични параметри са получени при дози, вариращи от 500 до 2 592 </w:t>
      </w:r>
      <w:r>
        <w:rPr>
          <w:lang w:val="en-US"/>
        </w:rPr>
        <w:t>mg/m</w:t>
      </w:r>
      <w:r>
        <w:rPr>
          <w:vertAlign w:val="superscript"/>
          <w:lang w:val="en-US"/>
        </w:rPr>
        <w:t>2</w:t>
      </w:r>
      <w:r>
        <w:rPr>
          <w:lang w:val="en-US"/>
        </w:rPr>
        <w:t xml:space="preserve">, </w:t>
      </w:r>
      <w:r>
        <w:t>които са прилагани инфузионно в продължение на 0,4 до 1,2 часа.</w:t>
      </w:r>
    </w:p>
    <w:p w14:paraId="4672E9AD" w14:textId="77777777" w:rsidR="00D8509D" w:rsidRDefault="00D8509D" w:rsidP="00D8509D">
      <w:pPr>
        <w:rPr>
          <w:u w:val="single"/>
        </w:rPr>
      </w:pPr>
    </w:p>
    <w:p w14:paraId="026BDBF1" w14:textId="51124F24" w:rsidR="00D8509D" w:rsidRPr="00D8509D" w:rsidRDefault="00D8509D" w:rsidP="00D8509D">
      <w:pPr>
        <w:pStyle w:val="Heading3"/>
        <w:rPr>
          <w:color w:val="auto"/>
          <w:u w:val="single"/>
        </w:rPr>
      </w:pPr>
      <w:r w:rsidRPr="00D8509D">
        <w:rPr>
          <w:u w:val="single"/>
        </w:rPr>
        <w:t>Абсорбц</w:t>
      </w:r>
      <w:bookmarkStart w:id="1" w:name="_GoBack"/>
      <w:bookmarkEnd w:id="1"/>
      <w:r w:rsidRPr="00D8509D">
        <w:rPr>
          <w:u w:val="single"/>
        </w:rPr>
        <w:t>ия</w:t>
      </w:r>
    </w:p>
    <w:p w14:paraId="7EE1547C" w14:textId="77777777" w:rsidR="00D8509D" w:rsidRDefault="00D8509D" w:rsidP="00D8509D">
      <w:r>
        <w:t>Максималната плазмена концентрация (получена в рамките на 5 минути след преустановяване на инфузията) е от 3,2 до 45,5 5 μ</w:t>
      </w:r>
      <w:r>
        <w:rPr>
          <w:lang w:val="en-US"/>
        </w:rPr>
        <w:t xml:space="preserve">g/ml. </w:t>
      </w:r>
      <w:r>
        <w:t xml:space="preserve">Плазмените концентрации на изходното съединение след доза от 1 000 </w:t>
      </w:r>
      <w:r>
        <w:rPr>
          <w:lang w:val="en-US"/>
        </w:rPr>
        <w:t>mg/m</w:t>
      </w:r>
      <w:r>
        <w:rPr>
          <w:vertAlign w:val="superscript"/>
          <w:lang w:val="en-US"/>
        </w:rPr>
        <w:t>2</w:t>
      </w:r>
      <w:r>
        <w:rPr>
          <w:lang w:val="en-US"/>
        </w:rPr>
        <w:t xml:space="preserve">/30 </w:t>
      </w:r>
      <w:r>
        <w:t>минути са по-големи от 5 5 μ</w:t>
      </w:r>
      <w:r>
        <w:rPr>
          <w:lang w:val="en-US"/>
        </w:rPr>
        <w:t>g/ml</w:t>
      </w:r>
      <w:r>
        <w:t xml:space="preserve"> </w:t>
      </w:r>
      <w:r>
        <w:rPr>
          <w:lang w:val="en-US"/>
        </w:rPr>
        <w:t xml:space="preserve"> </w:t>
      </w:r>
      <w:r>
        <w:t>за около 30 минути след края на инфузията, и по-големи от 0,4 5 μ</w:t>
      </w:r>
      <w:r>
        <w:rPr>
          <w:lang w:val="en-US"/>
        </w:rPr>
        <w:t xml:space="preserve">g/ml </w:t>
      </w:r>
      <w:r>
        <w:t>в продължение на още един час.</w:t>
      </w:r>
    </w:p>
    <w:p w14:paraId="55FFCAC2" w14:textId="77777777" w:rsidR="00D8509D" w:rsidRDefault="00D8509D" w:rsidP="00D8509D">
      <w:pPr>
        <w:rPr>
          <w:u w:val="single"/>
        </w:rPr>
      </w:pPr>
    </w:p>
    <w:p w14:paraId="25731223" w14:textId="0FAF5FED" w:rsidR="00D8509D" w:rsidRPr="00D8509D" w:rsidRDefault="00D8509D" w:rsidP="00D8509D">
      <w:pPr>
        <w:pStyle w:val="Heading3"/>
        <w:rPr>
          <w:color w:val="auto"/>
          <w:u w:val="single"/>
        </w:rPr>
      </w:pPr>
      <w:r w:rsidRPr="00D8509D">
        <w:rPr>
          <w:u w:val="single"/>
        </w:rPr>
        <w:t>Разпределение</w:t>
      </w:r>
    </w:p>
    <w:p w14:paraId="4A8B8149" w14:textId="77777777" w:rsidR="00D8509D" w:rsidRDefault="00D8509D" w:rsidP="00D8509D">
      <w:r>
        <w:t xml:space="preserve">Обемът на разпределение в централната част е 12,4 </w:t>
      </w:r>
      <w:r>
        <w:rPr>
          <w:lang w:val="en-US"/>
        </w:rPr>
        <w:t>l</w:t>
      </w:r>
      <w:r>
        <w:t>/</w:t>
      </w:r>
      <w:r>
        <w:rPr>
          <w:lang w:val="en-US"/>
        </w:rPr>
        <w:t>m</w:t>
      </w:r>
      <w:r>
        <w:rPr>
          <w:vertAlign w:val="superscript"/>
        </w:rPr>
        <w:t>2</w:t>
      </w:r>
      <w:r>
        <w:t xml:space="preserve"> при жените и 17,5 </w:t>
      </w:r>
      <w:r>
        <w:rPr>
          <w:lang w:val="en-US"/>
        </w:rPr>
        <w:t>l</w:t>
      </w:r>
      <w:r>
        <w:t>/</w:t>
      </w:r>
      <w:r>
        <w:rPr>
          <w:lang w:val="en-US"/>
        </w:rPr>
        <w:t>m</w:t>
      </w:r>
      <w:r>
        <w:rPr>
          <w:vertAlign w:val="superscript"/>
        </w:rPr>
        <w:t>2</w:t>
      </w:r>
      <w:r>
        <w:t xml:space="preserve"> при мъжете (интериндивидуалната вариабилност е 91,9%). Обемът на разпределение в периферната част е 47,4 </w:t>
      </w:r>
      <w:r>
        <w:rPr>
          <w:lang w:val="en-US"/>
        </w:rPr>
        <w:t>l</w:t>
      </w:r>
      <w:r>
        <w:t>/</w:t>
      </w:r>
      <w:r>
        <w:rPr>
          <w:lang w:val="en-US"/>
        </w:rPr>
        <w:t>m</w:t>
      </w:r>
      <w:r>
        <w:rPr>
          <w:vertAlign w:val="superscript"/>
        </w:rPr>
        <w:t>2</w:t>
      </w:r>
      <w:r>
        <w:t>. Обемът на разпределение в периферната част не показва зависимост от пола. Свързването с плазмените протеини се смята за незначително.</w:t>
      </w:r>
    </w:p>
    <w:p w14:paraId="64EBACAD" w14:textId="77777777" w:rsidR="00D8509D" w:rsidRDefault="00D8509D" w:rsidP="00D8509D">
      <w:r>
        <w:t>Полуживот: Варира от 42 до 94 минути в зависимост от възрастта и пола. При препоръчителната терапевтична схема, елиминирането на гемцитабин трябва да бъде почти пълно 5 до 11 часа от началото на инфузията. Гемцитабин не акумулира, когато се прилага веднъж седмично.</w:t>
      </w:r>
    </w:p>
    <w:p w14:paraId="38FE527D" w14:textId="77777777" w:rsidR="00D8509D" w:rsidRDefault="00D8509D" w:rsidP="00D8509D">
      <w:pPr>
        <w:rPr>
          <w:u w:val="single"/>
        </w:rPr>
      </w:pPr>
    </w:p>
    <w:p w14:paraId="404C5CE9" w14:textId="2E7AD306" w:rsidR="00D8509D" w:rsidRPr="00D8509D" w:rsidRDefault="00D8509D" w:rsidP="00D8509D">
      <w:pPr>
        <w:pStyle w:val="Heading3"/>
        <w:rPr>
          <w:color w:val="auto"/>
          <w:u w:val="single"/>
        </w:rPr>
      </w:pPr>
      <w:r w:rsidRPr="00D8509D">
        <w:rPr>
          <w:u w:val="single"/>
        </w:rPr>
        <w:t>Биотрансформация</w:t>
      </w:r>
    </w:p>
    <w:p w14:paraId="4C953E58" w14:textId="77777777" w:rsidR="00D8509D" w:rsidRDefault="00D8509D" w:rsidP="00D8509D">
      <w:r>
        <w:t xml:space="preserve">Гемцигабин се метаболизира бързо в черния дроб, бъбреците, кръвта и други тъкани от цитидин деаминаза. Вътреклетъчният метаболизъм на гемцитабин води до образуване на моно- , ди- и трифосфати </w:t>
      </w:r>
      <w:r>
        <w:rPr>
          <w:lang w:val="en-US"/>
        </w:rPr>
        <w:t>(</w:t>
      </w:r>
      <w:proofErr w:type="spellStart"/>
      <w:r>
        <w:rPr>
          <w:lang w:val="en-US"/>
        </w:rPr>
        <w:t>dFdCMP</w:t>
      </w:r>
      <w:proofErr w:type="spellEnd"/>
      <w:r>
        <w:rPr>
          <w:lang w:val="en-US"/>
        </w:rPr>
        <w:t xml:space="preserve">, </w:t>
      </w:r>
      <w:proofErr w:type="spellStart"/>
      <w:r>
        <w:rPr>
          <w:lang w:val="en-US"/>
        </w:rPr>
        <w:t>dFdCDP</w:t>
      </w:r>
      <w:proofErr w:type="spellEnd"/>
      <w:r>
        <w:rPr>
          <w:lang w:val="en-US"/>
        </w:rPr>
        <w:t xml:space="preserve"> </w:t>
      </w:r>
      <w:r>
        <w:t xml:space="preserve">и </w:t>
      </w:r>
      <w:proofErr w:type="spellStart"/>
      <w:r>
        <w:rPr>
          <w:lang w:val="en-US"/>
        </w:rPr>
        <w:t>dFdCTP</w:t>
      </w:r>
      <w:proofErr w:type="spellEnd"/>
      <w:r>
        <w:rPr>
          <w:lang w:val="en-US"/>
        </w:rPr>
        <w:t xml:space="preserve">), </w:t>
      </w:r>
      <w:r>
        <w:t xml:space="preserve">от които се счита, че </w:t>
      </w:r>
      <w:proofErr w:type="spellStart"/>
      <w:r>
        <w:rPr>
          <w:lang w:val="en-US"/>
        </w:rPr>
        <w:t>dFdCDP</w:t>
      </w:r>
      <w:proofErr w:type="spellEnd"/>
      <w:r>
        <w:rPr>
          <w:lang w:val="en-US"/>
        </w:rPr>
        <w:t xml:space="preserve"> </w:t>
      </w:r>
      <w:r>
        <w:t xml:space="preserve">и </w:t>
      </w:r>
      <w:proofErr w:type="spellStart"/>
      <w:r>
        <w:rPr>
          <w:lang w:val="en-US"/>
        </w:rPr>
        <w:t>dFdCTP</w:t>
      </w:r>
      <w:proofErr w:type="spellEnd"/>
      <w:r>
        <w:rPr>
          <w:lang w:val="en-US"/>
        </w:rPr>
        <w:t xml:space="preserve"> </w:t>
      </w:r>
      <w:r>
        <w:t xml:space="preserve">са активни. Тези вътреклетъчни метаболити не се установяват в плазмата или урината. Основният метаболит, 2’-деокси-2',2'-дифлуороуридин </w:t>
      </w:r>
      <w:r>
        <w:rPr>
          <w:lang w:val="en-US"/>
        </w:rPr>
        <w:t>(</w:t>
      </w:r>
      <w:proofErr w:type="spellStart"/>
      <w:r>
        <w:rPr>
          <w:lang w:val="en-US"/>
        </w:rPr>
        <w:t>dFdU</w:t>
      </w:r>
      <w:proofErr w:type="spellEnd"/>
      <w:r>
        <w:rPr>
          <w:lang w:val="en-US"/>
        </w:rPr>
        <w:t xml:space="preserve">), </w:t>
      </w:r>
      <w:r>
        <w:t>не е активен и се установява в плазмата и урината.</w:t>
      </w:r>
    </w:p>
    <w:p w14:paraId="182C2FF4" w14:textId="77777777" w:rsidR="00D8509D" w:rsidRDefault="00D8509D" w:rsidP="00D8509D">
      <w:pPr>
        <w:rPr>
          <w:u w:val="single"/>
        </w:rPr>
      </w:pPr>
    </w:p>
    <w:p w14:paraId="14859ECC" w14:textId="7AC5FA9C" w:rsidR="00D8509D" w:rsidRPr="00D8509D" w:rsidRDefault="00D8509D" w:rsidP="00D8509D">
      <w:pPr>
        <w:pStyle w:val="Heading3"/>
        <w:rPr>
          <w:color w:val="auto"/>
          <w:u w:val="single"/>
        </w:rPr>
      </w:pPr>
      <w:r w:rsidRPr="00D8509D">
        <w:rPr>
          <w:u w:val="single"/>
        </w:rPr>
        <w:t>Елиминиране</w:t>
      </w:r>
    </w:p>
    <w:p w14:paraId="6529B001" w14:textId="77777777" w:rsidR="00D8509D" w:rsidRDefault="00D8509D" w:rsidP="00D8509D">
      <w:r>
        <w:t xml:space="preserve">Системният клирънс варира от 29,2 </w:t>
      </w:r>
      <w:r>
        <w:rPr>
          <w:lang w:val="en-US"/>
        </w:rPr>
        <w:t>l/</w:t>
      </w:r>
      <w:proofErr w:type="spellStart"/>
      <w:r>
        <w:rPr>
          <w:lang w:val="en-US"/>
        </w:rPr>
        <w:t>hr</w:t>
      </w:r>
      <w:proofErr w:type="spellEnd"/>
      <w:r>
        <w:rPr>
          <w:lang w:val="en-US"/>
        </w:rPr>
        <w:t>/m</w:t>
      </w:r>
      <w:r>
        <w:rPr>
          <w:vertAlign w:val="superscript"/>
          <w:lang w:val="en-US"/>
        </w:rPr>
        <w:t>2</w:t>
      </w:r>
      <w:r>
        <w:rPr>
          <w:lang w:val="en-US"/>
        </w:rPr>
        <w:t xml:space="preserve"> </w:t>
      </w:r>
      <w:r>
        <w:t xml:space="preserve">до 92,2 </w:t>
      </w:r>
      <w:r>
        <w:rPr>
          <w:lang w:val="en-US"/>
        </w:rPr>
        <w:t>l/</w:t>
      </w:r>
      <w:proofErr w:type="spellStart"/>
      <w:r>
        <w:rPr>
          <w:lang w:val="en-US"/>
        </w:rPr>
        <w:t>hr</w:t>
      </w:r>
      <w:proofErr w:type="spellEnd"/>
      <w:r>
        <w:rPr>
          <w:lang w:val="en-US"/>
        </w:rPr>
        <w:t>/m</w:t>
      </w:r>
      <w:r>
        <w:rPr>
          <w:vertAlign w:val="superscript"/>
          <w:lang w:val="en-US"/>
        </w:rPr>
        <w:t>2</w:t>
      </w:r>
      <w:r>
        <w:rPr>
          <w:lang w:val="en-US"/>
        </w:rPr>
        <w:t xml:space="preserve"> </w:t>
      </w:r>
      <w:r>
        <w:t xml:space="preserve">в зависимост от пола и възрастта (интериндивидуалната вариабилност е 52,2%). Клирънсът при жените е с приблизително 25% по-нисък в сравнение със стойностите при мъже. Въпреки че е бърз, клирънсът както при мъжете, така и при жените изглежда намалява с възрастта. За препоръчителната доза гемцигабин от 1 000 </w:t>
      </w:r>
      <w:r>
        <w:rPr>
          <w:lang w:val="en-US"/>
        </w:rPr>
        <w:t>mg/m</w:t>
      </w:r>
      <w:r>
        <w:rPr>
          <w:vertAlign w:val="superscript"/>
          <w:lang w:val="en-US"/>
        </w:rPr>
        <w:t>2</w:t>
      </w:r>
      <w:r>
        <w:rPr>
          <w:lang w:val="en-US"/>
        </w:rPr>
        <w:t xml:space="preserve">, </w:t>
      </w:r>
      <w:r>
        <w:t>приложена под формата на 30-минутна инфузия, по-ниските стойности на креатининовия клирънс не трябва да водят до понижаване на дозата на гемцигабин.</w:t>
      </w:r>
    </w:p>
    <w:p w14:paraId="0B52038A" w14:textId="77777777" w:rsidR="00D8509D" w:rsidRDefault="00D8509D" w:rsidP="00D8509D">
      <w:r>
        <w:t xml:space="preserve">Уринна екскреция: по-малко от 10% се екскретира като непроменено лекарство. Бъбречен клирънс: 2 до 7 </w:t>
      </w:r>
      <w:r>
        <w:rPr>
          <w:lang w:val="en-US"/>
        </w:rPr>
        <w:t>l/</w:t>
      </w:r>
      <w:proofErr w:type="spellStart"/>
      <w:r>
        <w:rPr>
          <w:lang w:val="en-US"/>
        </w:rPr>
        <w:t>hr</w:t>
      </w:r>
      <w:proofErr w:type="spellEnd"/>
      <w:r>
        <w:rPr>
          <w:lang w:val="en-US"/>
        </w:rPr>
        <w:t>/m</w:t>
      </w:r>
      <w:r>
        <w:rPr>
          <w:vertAlign w:val="superscript"/>
          <w:lang w:val="en-US"/>
        </w:rPr>
        <w:t>2</w:t>
      </w:r>
      <w:r>
        <w:rPr>
          <w:lang w:val="en-US"/>
        </w:rPr>
        <w:t>.</w:t>
      </w:r>
    </w:p>
    <w:p w14:paraId="1FEB652D" w14:textId="77777777" w:rsidR="00D8509D" w:rsidRDefault="00D8509D" w:rsidP="00D8509D"/>
    <w:p w14:paraId="645E6B32" w14:textId="7304F301" w:rsidR="00D8509D" w:rsidRDefault="00D8509D" w:rsidP="00D8509D">
      <w:r>
        <w:t xml:space="preserve">През седмицата след прилагането от 92 до 98% от дозата на приложения гемцигабин се възстановява 99% в урината, главно под формата на </w:t>
      </w:r>
      <w:proofErr w:type="spellStart"/>
      <w:r>
        <w:rPr>
          <w:lang w:val="en-US"/>
        </w:rPr>
        <w:t>dFdU</w:t>
      </w:r>
      <w:proofErr w:type="spellEnd"/>
      <w:r>
        <w:rPr>
          <w:lang w:val="en-US"/>
        </w:rPr>
        <w:t xml:space="preserve"> </w:t>
      </w:r>
      <w:r>
        <w:t>и 1% от дозата се отделя в изпражненията.</w:t>
      </w:r>
    </w:p>
    <w:p w14:paraId="0AF52CD7" w14:textId="77777777" w:rsidR="00D8509D" w:rsidRDefault="00D8509D" w:rsidP="00D8509D">
      <w:pPr>
        <w:rPr>
          <w:u w:val="single"/>
        </w:rPr>
      </w:pPr>
    </w:p>
    <w:p w14:paraId="1543417F" w14:textId="249533E9" w:rsidR="00D8509D" w:rsidRPr="00D8509D" w:rsidRDefault="00D8509D" w:rsidP="00D8509D">
      <w:pPr>
        <w:pStyle w:val="Heading3"/>
        <w:rPr>
          <w:color w:val="auto"/>
          <w:u w:val="single"/>
        </w:rPr>
      </w:pPr>
      <w:r w:rsidRPr="00D8509D">
        <w:rPr>
          <w:u w:val="single"/>
        </w:rPr>
        <w:lastRenderedPageBreak/>
        <w:t xml:space="preserve">Кинетика на </w:t>
      </w:r>
      <w:proofErr w:type="spellStart"/>
      <w:r w:rsidRPr="00D8509D">
        <w:rPr>
          <w:u w:val="single"/>
          <w:lang w:val="en-US"/>
        </w:rPr>
        <w:t>dFdCTP</w:t>
      </w:r>
      <w:proofErr w:type="spellEnd"/>
    </w:p>
    <w:p w14:paraId="6283DE8B" w14:textId="77777777" w:rsidR="00D8509D" w:rsidRPr="00D8509D" w:rsidRDefault="00D8509D" w:rsidP="00D8509D">
      <w:pPr>
        <w:rPr>
          <w:rFonts w:eastAsia="Times New Roman" w:cs="Arial"/>
          <w:sz w:val="24"/>
          <w:szCs w:val="24"/>
          <w:lang w:eastAsia="bg-BG"/>
        </w:rPr>
      </w:pPr>
      <w:r>
        <w:t xml:space="preserve">Този метаболит се установява в периферните кръвни мононуклеарни клетки и информацията по-долу се отнася за тези клетки. Вътреклетъчните концентрации се увеличават пропорционално на дозата на гемцитабин от </w:t>
      </w:r>
      <w:r>
        <w:rPr>
          <w:lang w:val="en-US"/>
        </w:rPr>
        <w:t>mg/m</w:t>
      </w:r>
      <w:r>
        <w:rPr>
          <w:vertAlign w:val="superscript"/>
          <w:lang w:val="en-US"/>
        </w:rPr>
        <w:t>2</w:t>
      </w:r>
      <w:r>
        <w:rPr>
          <w:lang w:val="en-US"/>
        </w:rPr>
        <w:t xml:space="preserve">/30 </w:t>
      </w:r>
      <w:r>
        <w:t>минути, които дават равновесни концентрации от 0,4-5 μ</w:t>
      </w:r>
      <w:r>
        <w:rPr>
          <w:lang w:val="en-US"/>
        </w:rPr>
        <w:t xml:space="preserve">g/ml. </w:t>
      </w:r>
      <w:r>
        <w:t>При плазмени концентрации на гемцитабин над 5 μ</w:t>
      </w:r>
      <w:r>
        <w:rPr>
          <w:lang w:val="en-US"/>
        </w:rPr>
        <w:t xml:space="preserve">g/ml, </w:t>
      </w:r>
      <w:r>
        <w:t>нивата</w:t>
      </w:r>
      <w:r>
        <w:t xml:space="preserve"> </w:t>
      </w:r>
      <w:r>
        <w:t xml:space="preserve">на </w:t>
      </w:r>
      <w:proofErr w:type="spellStart"/>
      <w:r>
        <w:rPr>
          <w:lang w:val="en-US"/>
        </w:rPr>
        <w:t>dFdCTP</w:t>
      </w:r>
      <w:proofErr w:type="spellEnd"/>
      <w:r>
        <w:rPr>
          <w:lang w:val="en-US"/>
        </w:rPr>
        <w:t xml:space="preserve"> </w:t>
      </w:r>
      <w:r>
        <w:t>не се покачват, което предполага, че образуването му в тези клетки достига</w:t>
      </w:r>
      <w:r>
        <w:t xml:space="preserve"> </w:t>
      </w:r>
      <w:r w:rsidRPr="00D8509D">
        <w:rPr>
          <w:rFonts w:eastAsia="Times New Roman" w:cs="Arial"/>
          <w:color w:val="000000"/>
          <w:lang w:eastAsia="bg-BG"/>
        </w:rPr>
        <w:t>насищане.</w:t>
      </w:r>
    </w:p>
    <w:p w14:paraId="77FD5D53" w14:textId="77777777" w:rsidR="00D8509D" w:rsidRPr="00D8509D" w:rsidRDefault="00D8509D" w:rsidP="00D8509D">
      <w:pPr>
        <w:spacing w:line="240" w:lineRule="auto"/>
        <w:rPr>
          <w:rFonts w:eastAsia="Times New Roman" w:cs="Arial"/>
          <w:sz w:val="24"/>
          <w:szCs w:val="24"/>
          <w:lang w:eastAsia="bg-BG"/>
        </w:rPr>
      </w:pPr>
      <w:r w:rsidRPr="00D8509D">
        <w:rPr>
          <w:rFonts w:eastAsia="Times New Roman" w:cs="Arial"/>
          <w:color w:val="000000"/>
          <w:lang w:eastAsia="bg-BG"/>
        </w:rPr>
        <w:t>Терминален полуживот: 0,7-12 часа</w:t>
      </w:r>
    </w:p>
    <w:p w14:paraId="67463D6B" w14:textId="77777777" w:rsidR="00D8509D" w:rsidRPr="00D8509D" w:rsidRDefault="00D8509D" w:rsidP="00D8509D">
      <w:pPr>
        <w:spacing w:line="240" w:lineRule="auto"/>
        <w:rPr>
          <w:rFonts w:eastAsia="Times New Roman" w:cs="Arial"/>
          <w:color w:val="000000"/>
          <w:u w:val="single"/>
          <w:lang w:eastAsia="bg-BG"/>
        </w:rPr>
      </w:pPr>
    </w:p>
    <w:p w14:paraId="4DF22965" w14:textId="09E66891" w:rsidR="00D8509D" w:rsidRPr="00D8509D" w:rsidRDefault="00D8509D" w:rsidP="00D8509D">
      <w:pPr>
        <w:spacing w:line="240" w:lineRule="auto"/>
        <w:rPr>
          <w:rFonts w:eastAsia="Times New Roman" w:cs="Arial"/>
          <w:sz w:val="24"/>
          <w:szCs w:val="24"/>
          <w:lang w:eastAsia="bg-BG"/>
        </w:rPr>
      </w:pPr>
      <w:r w:rsidRPr="00D8509D">
        <w:rPr>
          <w:rFonts w:eastAsia="Times New Roman" w:cs="Arial"/>
          <w:color w:val="000000"/>
          <w:u w:val="single"/>
          <w:lang w:eastAsia="bg-BG"/>
        </w:rPr>
        <w:t xml:space="preserve">Кинетика на </w:t>
      </w:r>
      <w:proofErr w:type="spellStart"/>
      <w:r w:rsidRPr="00D8509D">
        <w:rPr>
          <w:rFonts w:eastAsia="Times New Roman" w:cs="Arial"/>
          <w:color w:val="000000"/>
          <w:u w:val="single"/>
          <w:lang w:val="en-US"/>
        </w:rPr>
        <w:t>dFdU</w:t>
      </w:r>
      <w:proofErr w:type="spellEnd"/>
    </w:p>
    <w:p w14:paraId="5E2AE56D" w14:textId="77777777" w:rsidR="00D8509D" w:rsidRPr="00D8509D" w:rsidRDefault="00D8509D" w:rsidP="00D8509D">
      <w:pPr>
        <w:spacing w:line="240" w:lineRule="auto"/>
        <w:rPr>
          <w:rFonts w:eastAsia="Times New Roman" w:cs="Arial"/>
          <w:sz w:val="24"/>
          <w:szCs w:val="24"/>
          <w:lang w:eastAsia="bg-BG"/>
        </w:rPr>
      </w:pPr>
      <w:r w:rsidRPr="00D8509D">
        <w:rPr>
          <w:rFonts w:eastAsia="Times New Roman" w:cs="Arial"/>
          <w:color w:val="000000"/>
          <w:lang w:eastAsia="bg-BG"/>
        </w:rPr>
        <w:t xml:space="preserve">Максимална плазмена концентрация (3-15 минути след края на 30-минутната инфузия, 1 000 </w:t>
      </w:r>
      <w:r w:rsidRPr="00D8509D">
        <w:rPr>
          <w:rFonts w:eastAsia="Times New Roman" w:cs="Arial"/>
          <w:color w:val="000000"/>
          <w:lang w:val="en-US"/>
        </w:rPr>
        <w:t>mg/m</w:t>
      </w:r>
      <w:r w:rsidRPr="00D8509D">
        <w:rPr>
          <w:rFonts w:eastAsia="Times New Roman" w:cs="Arial"/>
          <w:color w:val="000000"/>
          <w:vertAlign w:val="superscript"/>
          <w:lang w:val="en-US"/>
        </w:rPr>
        <w:t>2</w:t>
      </w:r>
      <w:r w:rsidRPr="00D8509D">
        <w:rPr>
          <w:rFonts w:eastAsia="Times New Roman" w:cs="Arial"/>
          <w:color w:val="000000"/>
          <w:lang w:val="en-US"/>
        </w:rPr>
        <w:t xml:space="preserve">): </w:t>
      </w:r>
      <w:r w:rsidRPr="00D8509D">
        <w:rPr>
          <w:rFonts w:eastAsia="Times New Roman" w:cs="Arial"/>
          <w:color w:val="000000"/>
          <w:lang w:eastAsia="bg-BG"/>
        </w:rPr>
        <w:t>28-52 μ</w:t>
      </w:r>
      <w:r w:rsidRPr="00D8509D">
        <w:rPr>
          <w:rFonts w:eastAsia="Times New Roman" w:cs="Arial"/>
          <w:color w:val="000000"/>
          <w:lang w:val="en-US"/>
        </w:rPr>
        <w:t xml:space="preserve">g/ml. </w:t>
      </w:r>
      <w:r w:rsidRPr="00D8509D">
        <w:rPr>
          <w:rFonts w:eastAsia="Times New Roman" w:cs="Arial"/>
          <w:color w:val="000000"/>
          <w:lang w:eastAsia="bg-BG"/>
        </w:rPr>
        <w:t>Концентрация преди дозиране при прилагане веднъж седмично: 0,07-1,12</w:t>
      </w:r>
    </w:p>
    <w:p w14:paraId="2EB0695B" w14:textId="77777777" w:rsidR="00D8509D" w:rsidRPr="00D8509D" w:rsidRDefault="00D8509D" w:rsidP="00D8509D">
      <w:pPr>
        <w:spacing w:line="240" w:lineRule="auto"/>
        <w:rPr>
          <w:rFonts w:eastAsia="Times New Roman" w:cs="Arial"/>
          <w:sz w:val="24"/>
          <w:szCs w:val="24"/>
          <w:lang w:eastAsia="bg-BG"/>
        </w:rPr>
      </w:pPr>
      <w:r w:rsidRPr="00D8509D">
        <w:rPr>
          <w:rFonts w:eastAsia="Times New Roman" w:cs="Arial"/>
          <w:color w:val="000000"/>
          <w:lang w:eastAsia="bg-BG"/>
        </w:rPr>
        <w:t>μ</w:t>
      </w:r>
      <w:r w:rsidRPr="00D8509D">
        <w:rPr>
          <w:rFonts w:eastAsia="Times New Roman" w:cs="Arial"/>
          <w:color w:val="000000"/>
          <w:lang w:val="en-US"/>
        </w:rPr>
        <w:t xml:space="preserve">g/ml </w:t>
      </w:r>
      <w:r w:rsidRPr="00D8509D">
        <w:rPr>
          <w:rFonts w:eastAsia="Times New Roman" w:cs="Arial"/>
          <w:color w:val="000000"/>
          <w:lang w:eastAsia="bg-BG"/>
        </w:rPr>
        <w:t>без видимо акумулиране. Трифазна плазмена концентрация спрямо времева крива, среден полуживот на терминалната фаза: 65 часа (диапазон 33-84 часа).</w:t>
      </w:r>
    </w:p>
    <w:p w14:paraId="40C68AF8" w14:textId="77777777" w:rsidR="00D8509D" w:rsidRPr="00D8509D" w:rsidRDefault="00D8509D" w:rsidP="00D8509D">
      <w:pPr>
        <w:spacing w:line="240" w:lineRule="auto"/>
        <w:rPr>
          <w:rFonts w:eastAsia="Times New Roman" w:cs="Arial"/>
          <w:sz w:val="24"/>
          <w:szCs w:val="24"/>
          <w:lang w:eastAsia="bg-BG"/>
        </w:rPr>
      </w:pPr>
      <w:r w:rsidRPr="00D8509D">
        <w:rPr>
          <w:rFonts w:eastAsia="Times New Roman" w:cs="Arial"/>
          <w:color w:val="000000"/>
          <w:lang w:eastAsia="bg-BG"/>
        </w:rPr>
        <w:t xml:space="preserve">Образуване на </w:t>
      </w:r>
      <w:proofErr w:type="spellStart"/>
      <w:r w:rsidRPr="00D8509D">
        <w:rPr>
          <w:rFonts w:eastAsia="Times New Roman" w:cs="Arial"/>
          <w:color w:val="000000"/>
          <w:lang w:val="en-US"/>
        </w:rPr>
        <w:t>dFdU</w:t>
      </w:r>
      <w:proofErr w:type="spellEnd"/>
      <w:r w:rsidRPr="00D8509D">
        <w:rPr>
          <w:rFonts w:eastAsia="Times New Roman" w:cs="Arial"/>
          <w:color w:val="000000"/>
          <w:lang w:val="en-US"/>
        </w:rPr>
        <w:t xml:space="preserve"> </w:t>
      </w:r>
      <w:r w:rsidRPr="00D8509D">
        <w:rPr>
          <w:rFonts w:eastAsia="Times New Roman" w:cs="Arial"/>
          <w:color w:val="000000"/>
          <w:lang w:eastAsia="bg-BG"/>
        </w:rPr>
        <w:t>от изходното съединение: 91-98%.</w:t>
      </w:r>
    </w:p>
    <w:p w14:paraId="1BCE2DCE" w14:textId="77777777" w:rsidR="00D8509D" w:rsidRPr="00D8509D" w:rsidRDefault="00D8509D" w:rsidP="00D8509D">
      <w:pPr>
        <w:spacing w:line="240" w:lineRule="auto"/>
        <w:rPr>
          <w:rFonts w:eastAsia="Times New Roman" w:cs="Arial"/>
          <w:sz w:val="24"/>
          <w:szCs w:val="24"/>
          <w:lang w:eastAsia="bg-BG"/>
        </w:rPr>
      </w:pPr>
      <w:r w:rsidRPr="00D8509D">
        <w:rPr>
          <w:rFonts w:eastAsia="Times New Roman" w:cs="Arial"/>
          <w:color w:val="000000"/>
          <w:lang w:eastAsia="bg-BG"/>
        </w:rPr>
        <w:t xml:space="preserve">Среден обем на разпределение в централното кръвообращение: 18 </w:t>
      </w:r>
      <w:r w:rsidRPr="00D8509D">
        <w:rPr>
          <w:rFonts w:eastAsia="Times New Roman" w:cs="Arial"/>
          <w:color w:val="000000"/>
          <w:lang w:val="en-US"/>
        </w:rPr>
        <w:t>l/m</w:t>
      </w:r>
      <w:r w:rsidRPr="00D8509D">
        <w:rPr>
          <w:rFonts w:eastAsia="Times New Roman" w:cs="Arial"/>
          <w:color w:val="000000"/>
          <w:vertAlign w:val="superscript"/>
          <w:lang w:val="en-US"/>
        </w:rPr>
        <w:t>2</w:t>
      </w:r>
      <w:r w:rsidRPr="00D8509D">
        <w:rPr>
          <w:rFonts w:eastAsia="Times New Roman" w:cs="Arial"/>
          <w:color w:val="000000"/>
          <w:lang w:eastAsia="bg-BG"/>
        </w:rPr>
        <w:t xml:space="preserve"> (диапазон 11-22 </w:t>
      </w:r>
      <w:r w:rsidRPr="00D8509D">
        <w:rPr>
          <w:rFonts w:eastAsia="Times New Roman" w:cs="Arial"/>
          <w:color w:val="000000"/>
          <w:lang w:val="en-US"/>
        </w:rPr>
        <w:t>l/m</w:t>
      </w:r>
      <w:r w:rsidRPr="00D8509D">
        <w:rPr>
          <w:rFonts w:eastAsia="Times New Roman" w:cs="Arial"/>
          <w:color w:val="000000"/>
          <w:vertAlign w:val="superscript"/>
          <w:lang w:val="en-US"/>
        </w:rPr>
        <w:t>2</w:t>
      </w:r>
      <w:r w:rsidRPr="00D8509D">
        <w:rPr>
          <w:rFonts w:eastAsia="Times New Roman" w:cs="Arial"/>
          <w:color w:val="000000"/>
          <w:lang w:eastAsia="bg-BG"/>
        </w:rPr>
        <w:t>).</w:t>
      </w:r>
    </w:p>
    <w:p w14:paraId="4FBFE5EB" w14:textId="77777777" w:rsidR="00D8509D" w:rsidRPr="00D8509D" w:rsidRDefault="00D8509D" w:rsidP="00D8509D">
      <w:pPr>
        <w:spacing w:line="240" w:lineRule="auto"/>
        <w:rPr>
          <w:rFonts w:eastAsia="Times New Roman" w:cs="Arial"/>
          <w:sz w:val="24"/>
          <w:szCs w:val="24"/>
          <w:lang w:eastAsia="bg-BG"/>
        </w:rPr>
      </w:pPr>
      <w:r w:rsidRPr="00D8509D">
        <w:rPr>
          <w:rFonts w:eastAsia="Times New Roman" w:cs="Arial"/>
          <w:color w:val="000000"/>
          <w:lang w:eastAsia="bg-BG"/>
        </w:rPr>
        <w:t xml:space="preserve">Среден обем на разпределение на стабилната фаза </w:t>
      </w:r>
      <w:r w:rsidRPr="00D8509D">
        <w:rPr>
          <w:rFonts w:eastAsia="Times New Roman" w:cs="Arial"/>
          <w:color w:val="000000"/>
          <w:lang w:val="en-US"/>
        </w:rPr>
        <w:t>(</w:t>
      </w:r>
      <w:proofErr w:type="spellStart"/>
      <w:r w:rsidRPr="00D8509D">
        <w:rPr>
          <w:rFonts w:eastAsia="Times New Roman" w:cs="Arial"/>
          <w:color w:val="000000"/>
          <w:lang w:val="en-US"/>
        </w:rPr>
        <w:t>Vss</w:t>
      </w:r>
      <w:proofErr w:type="spellEnd"/>
      <w:r w:rsidRPr="00D8509D">
        <w:rPr>
          <w:rFonts w:eastAsia="Times New Roman" w:cs="Arial"/>
          <w:color w:val="000000"/>
          <w:lang w:val="en-US"/>
        </w:rPr>
        <w:t xml:space="preserve">): </w:t>
      </w:r>
      <w:r w:rsidRPr="00D8509D">
        <w:rPr>
          <w:rFonts w:eastAsia="Times New Roman" w:cs="Arial"/>
          <w:color w:val="000000"/>
          <w:lang w:eastAsia="bg-BG"/>
        </w:rPr>
        <w:t>150</w:t>
      </w:r>
      <w:r w:rsidRPr="00D8509D">
        <w:rPr>
          <w:rFonts w:eastAsia="Times New Roman" w:cs="Arial"/>
          <w:color w:val="000000"/>
          <w:lang w:val="en-US"/>
        </w:rPr>
        <w:t xml:space="preserve"> l/m</w:t>
      </w:r>
      <w:r w:rsidRPr="00D8509D">
        <w:rPr>
          <w:rFonts w:eastAsia="Times New Roman" w:cs="Arial"/>
          <w:color w:val="000000"/>
          <w:vertAlign w:val="superscript"/>
          <w:lang w:val="en-US"/>
        </w:rPr>
        <w:t>2</w:t>
      </w:r>
      <w:r w:rsidRPr="00D8509D">
        <w:rPr>
          <w:rFonts w:eastAsia="Times New Roman" w:cs="Arial"/>
          <w:color w:val="000000"/>
          <w:lang w:val="en-US"/>
        </w:rPr>
        <w:t xml:space="preserve"> </w:t>
      </w:r>
      <w:r w:rsidRPr="00D8509D">
        <w:rPr>
          <w:rFonts w:eastAsia="Times New Roman" w:cs="Arial"/>
          <w:color w:val="000000"/>
          <w:lang w:eastAsia="bg-BG"/>
        </w:rPr>
        <w:t xml:space="preserve">(диапазон 96-228 </w:t>
      </w:r>
      <w:r w:rsidRPr="00D8509D">
        <w:rPr>
          <w:rFonts w:eastAsia="Times New Roman" w:cs="Arial"/>
          <w:color w:val="000000"/>
          <w:lang w:val="en-US"/>
        </w:rPr>
        <w:t>l/m</w:t>
      </w:r>
      <w:r w:rsidRPr="00D8509D">
        <w:rPr>
          <w:rFonts w:eastAsia="Times New Roman" w:cs="Arial"/>
          <w:color w:val="000000"/>
          <w:vertAlign w:val="superscript"/>
          <w:lang w:val="en-US"/>
        </w:rPr>
        <w:t>2</w:t>
      </w:r>
      <w:r w:rsidRPr="00D8509D">
        <w:rPr>
          <w:rFonts w:eastAsia="Times New Roman" w:cs="Arial"/>
          <w:color w:val="000000"/>
          <w:lang w:val="en-US"/>
        </w:rPr>
        <w:t>).</w:t>
      </w:r>
    </w:p>
    <w:p w14:paraId="0FE4370D" w14:textId="77777777" w:rsidR="00D8509D" w:rsidRPr="00D8509D" w:rsidRDefault="00D8509D" w:rsidP="00D8509D">
      <w:pPr>
        <w:spacing w:line="240" w:lineRule="auto"/>
        <w:rPr>
          <w:rFonts w:eastAsia="Times New Roman" w:cs="Arial"/>
          <w:sz w:val="24"/>
          <w:szCs w:val="24"/>
          <w:lang w:eastAsia="bg-BG"/>
        </w:rPr>
      </w:pPr>
      <w:r w:rsidRPr="00D8509D">
        <w:rPr>
          <w:rFonts w:eastAsia="Times New Roman" w:cs="Arial"/>
          <w:color w:val="000000"/>
          <w:lang w:eastAsia="bg-BG"/>
        </w:rPr>
        <w:t>Тъканно разпределение: екстензивно.</w:t>
      </w:r>
    </w:p>
    <w:p w14:paraId="4120968F" w14:textId="77777777" w:rsidR="00D8509D" w:rsidRPr="00D8509D" w:rsidRDefault="00D8509D" w:rsidP="00D8509D">
      <w:pPr>
        <w:spacing w:line="240" w:lineRule="auto"/>
        <w:rPr>
          <w:rFonts w:eastAsia="Times New Roman" w:cs="Arial"/>
          <w:sz w:val="24"/>
          <w:szCs w:val="24"/>
          <w:lang w:eastAsia="bg-BG"/>
        </w:rPr>
      </w:pPr>
      <w:r w:rsidRPr="00D8509D">
        <w:rPr>
          <w:rFonts w:eastAsia="Times New Roman" w:cs="Arial"/>
          <w:color w:val="000000"/>
          <w:lang w:eastAsia="bg-BG"/>
        </w:rPr>
        <w:t xml:space="preserve">Среден реален клирънс: 2,5 </w:t>
      </w:r>
      <w:r w:rsidRPr="00D8509D">
        <w:rPr>
          <w:rFonts w:eastAsia="Times New Roman" w:cs="Arial"/>
          <w:color w:val="000000"/>
          <w:lang w:val="en-US"/>
        </w:rPr>
        <w:t>l/</w:t>
      </w:r>
      <w:proofErr w:type="spellStart"/>
      <w:r w:rsidRPr="00D8509D">
        <w:rPr>
          <w:rFonts w:eastAsia="Times New Roman" w:cs="Arial"/>
          <w:color w:val="000000"/>
          <w:lang w:val="en-US"/>
        </w:rPr>
        <w:t>hr</w:t>
      </w:r>
      <w:proofErr w:type="spellEnd"/>
      <w:r w:rsidRPr="00D8509D">
        <w:rPr>
          <w:rFonts w:eastAsia="Times New Roman" w:cs="Arial"/>
          <w:color w:val="000000"/>
          <w:lang w:val="en-US"/>
        </w:rPr>
        <w:t>/m</w:t>
      </w:r>
      <w:r w:rsidRPr="00D8509D">
        <w:rPr>
          <w:rFonts w:eastAsia="Times New Roman" w:cs="Arial"/>
          <w:color w:val="000000"/>
          <w:vertAlign w:val="superscript"/>
          <w:lang w:val="en-US"/>
        </w:rPr>
        <w:t>2</w:t>
      </w:r>
      <w:r w:rsidRPr="00D8509D">
        <w:rPr>
          <w:rFonts w:eastAsia="Times New Roman" w:cs="Arial"/>
          <w:color w:val="000000"/>
          <w:lang w:val="en-US"/>
        </w:rPr>
        <w:t xml:space="preserve"> </w:t>
      </w:r>
      <w:r w:rsidRPr="00D8509D">
        <w:rPr>
          <w:rFonts w:eastAsia="Times New Roman" w:cs="Arial"/>
          <w:color w:val="000000"/>
          <w:lang w:eastAsia="bg-BG"/>
        </w:rPr>
        <w:t>(1-4</w:t>
      </w:r>
      <w:r w:rsidRPr="00D8509D">
        <w:rPr>
          <w:rFonts w:eastAsia="Times New Roman" w:cs="Arial"/>
          <w:color w:val="000000"/>
          <w:lang w:val="en-US"/>
        </w:rPr>
        <w:t xml:space="preserve"> l/</w:t>
      </w:r>
      <w:proofErr w:type="spellStart"/>
      <w:r w:rsidRPr="00D8509D">
        <w:rPr>
          <w:rFonts w:eastAsia="Times New Roman" w:cs="Arial"/>
          <w:color w:val="000000"/>
          <w:lang w:val="en-US"/>
        </w:rPr>
        <w:t>hr</w:t>
      </w:r>
      <w:proofErr w:type="spellEnd"/>
      <w:r w:rsidRPr="00D8509D">
        <w:rPr>
          <w:rFonts w:eastAsia="Times New Roman" w:cs="Arial"/>
          <w:color w:val="000000"/>
          <w:lang w:val="en-US"/>
        </w:rPr>
        <w:t>/m</w:t>
      </w:r>
      <w:r w:rsidRPr="00D8509D">
        <w:rPr>
          <w:rFonts w:eastAsia="Times New Roman" w:cs="Arial"/>
          <w:color w:val="000000"/>
          <w:vertAlign w:val="superscript"/>
          <w:lang w:val="en-US"/>
        </w:rPr>
        <w:t>2</w:t>
      </w:r>
      <w:r w:rsidRPr="00D8509D">
        <w:rPr>
          <w:rFonts w:eastAsia="Times New Roman" w:cs="Arial"/>
          <w:color w:val="000000"/>
          <w:lang w:val="en-US"/>
        </w:rPr>
        <w:t>).</w:t>
      </w:r>
    </w:p>
    <w:p w14:paraId="1A3CC591" w14:textId="77777777" w:rsidR="00D8509D" w:rsidRPr="00D8509D" w:rsidRDefault="00D8509D" w:rsidP="00D8509D">
      <w:pPr>
        <w:spacing w:line="240" w:lineRule="auto"/>
        <w:rPr>
          <w:rFonts w:eastAsia="Times New Roman" w:cs="Arial"/>
          <w:sz w:val="24"/>
          <w:szCs w:val="24"/>
          <w:lang w:eastAsia="bg-BG"/>
        </w:rPr>
      </w:pPr>
      <w:r w:rsidRPr="00D8509D">
        <w:rPr>
          <w:rFonts w:eastAsia="Times New Roman" w:cs="Arial"/>
          <w:color w:val="000000"/>
          <w:lang w:eastAsia="bg-BG"/>
        </w:rPr>
        <w:t>Уринна екскреция: изцяло.</w:t>
      </w:r>
    </w:p>
    <w:p w14:paraId="1DC42C5B" w14:textId="77777777" w:rsidR="00D8509D" w:rsidRPr="00D8509D" w:rsidRDefault="00D8509D" w:rsidP="00D8509D">
      <w:pPr>
        <w:spacing w:line="240" w:lineRule="auto"/>
        <w:rPr>
          <w:rFonts w:eastAsia="Times New Roman" w:cs="Arial"/>
          <w:color w:val="000000"/>
          <w:u w:val="single"/>
          <w:lang w:eastAsia="bg-BG"/>
        </w:rPr>
      </w:pPr>
    </w:p>
    <w:p w14:paraId="28740872" w14:textId="34D65694" w:rsidR="00D8509D" w:rsidRPr="00D8509D" w:rsidRDefault="00D8509D" w:rsidP="00D8509D">
      <w:pPr>
        <w:spacing w:line="240" w:lineRule="auto"/>
        <w:rPr>
          <w:rFonts w:eastAsia="Times New Roman" w:cs="Arial"/>
          <w:sz w:val="24"/>
          <w:szCs w:val="24"/>
          <w:lang w:eastAsia="bg-BG"/>
        </w:rPr>
      </w:pPr>
      <w:r w:rsidRPr="00D8509D">
        <w:rPr>
          <w:rFonts w:eastAsia="Times New Roman" w:cs="Arial"/>
          <w:color w:val="000000"/>
          <w:u w:val="single"/>
          <w:lang w:eastAsia="bg-BG"/>
        </w:rPr>
        <w:t>Комбинирана терапия гемцитабин и паклитаксел</w:t>
      </w:r>
    </w:p>
    <w:p w14:paraId="0674BCCF" w14:textId="77777777" w:rsidR="00D8509D" w:rsidRPr="00D8509D" w:rsidRDefault="00D8509D" w:rsidP="00D8509D">
      <w:pPr>
        <w:spacing w:line="240" w:lineRule="auto"/>
        <w:rPr>
          <w:rFonts w:eastAsia="Times New Roman" w:cs="Arial"/>
          <w:sz w:val="24"/>
          <w:szCs w:val="24"/>
          <w:lang w:eastAsia="bg-BG"/>
        </w:rPr>
      </w:pPr>
      <w:r w:rsidRPr="00D8509D">
        <w:rPr>
          <w:rFonts w:eastAsia="Times New Roman" w:cs="Arial"/>
          <w:color w:val="000000"/>
          <w:lang w:eastAsia="bg-BG"/>
        </w:rPr>
        <w:t>Комбинираната терапия не променя фармакокинетиката нито на гемцитабин, нито на паклитаксел.</w:t>
      </w:r>
    </w:p>
    <w:p w14:paraId="3645F50A" w14:textId="77777777" w:rsidR="00D8509D" w:rsidRPr="00D8509D" w:rsidRDefault="00D8509D" w:rsidP="00D8509D">
      <w:pPr>
        <w:spacing w:line="240" w:lineRule="auto"/>
        <w:rPr>
          <w:rFonts w:eastAsia="Times New Roman" w:cs="Arial"/>
          <w:color w:val="000000"/>
          <w:u w:val="single"/>
          <w:lang w:eastAsia="bg-BG"/>
        </w:rPr>
      </w:pPr>
    </w:p>
    <w:p w14:paraId="477BF7F0" w14:textId="7C21C315" w:rsidR="00D8509D" w:rsidRPr="00D8509D" w:rsidRDefault="00D8509D" w:rsidP="00D8509D">
      <w:pPr>
        <w:spacing w:line="240" w:lineRule="auto"/>
        <w:rPr>
          <w:rFonts w:eastAsia="Times New Roman" w:cs="Arial"/>
          <w:sz w:val="24"/>
          <w:szCs w:val="24"/>
          <w:lang w:eastAsia="bg-BG"/>
        </w:rPr>
      </w:pPr>
      <w:r w:rsidRPr="00D8509D">
        <w:rPr>
          <w:rFonts w:eastAsia="Times New Roman" w:cs="Arial"/>
          <w:color w:val="000000"/>
          <w:u w:val="single"/>
          <w:lang w:eastAsia="bg-BG"/>
        </w:rPr>
        <w:t>Комбинирана терапия гемцитабин и карбоплатина</w:t>
      </w:r>
    </w:p>
    <w:p w14:paraId="79E38880" w14:textId="77777777" w:rsidR="00D8509D" w:rsidRPr="00D8509D" w:rsidRDefault="00D8509D" w:rsidP="00D8509D">
      <w:pPr>
        <w:spacing w:line="240" w:lineRule="auto"/>
        <w:rPr>
          <w:rFonts w:eastAsia="Times New Roman" w:cs="Arial"/>
          <w:sz w:val="24"/>
          <w:szCs w:val="24"/>
          <w:lang w:eastAsia="bg-BG"/>
        </w:rPr>
      </w:pPr>
      <w:r w:rsidRPr="00D8509D">
        <w:rPr>
          <w:rFonts w:eastAsia="Times New Roman" w:cs="Arial"/>
          <w:color w:val="000000"/>
          <w:lang w:eastAsia="bg-BG"/>
        </w:rPr>
        <w:t>Когато гемцитабин се прилага в комбинация с карбоплатина, фармакокинетиката му не се променя.</w:t>
      </w:r>
    </w:p>
    <w:p w14:paraId="138F50F7" w14:textId="77777777" w:rsidR="00D8509D" w:rsidRPr="00D8509D" w:rsidRDefault="00D8509D" w:rsidP="00D8509D">
      <w:pPr>
        <w:spacing w:line="240" w:lineRule="auto"/>
        <w:rPr>
          <w:rFonts w:eastAsia="Times New Roman" w:cs="Arial"/>
          <w:color w:val="000000"/>
          <w:u w:val="single"/>
          <w:lang w:eastAsia="bg-BG"/>
        </w:rPr>
      </w:pPr>
    </w:p>
    <w:p w14:paraId="28F8A04B" w14:textId="1FC99614" w:rsidR="00D8509D" w:rsidRPr="00D8509D" w:rsidRDefault="00D8509D" w:rsidP="00D8509D">
      <w:pPr>
        <w:spacing w:line="240" w:lineRule="auto"/>
        <w:rPr>
          <w:rFonts w:eastAsia="Times New Roman" w:cs="Arial"/>
          <w:sz w:val="24"/>
          <w:szCs w:val="24"/>
          <w:lang w:eastAsia="bg-BG"/>
        </w:rPr>
      </w:pPr>
      <w:r w:rsidRPr="00D8509D">
        <w:rPr>
          <w:rFonts w:eastAsia="Times New Roman" w:cs="Arial"/>
          <w:color w:val="000000"/>
          <w:u w:val="single"/>
          <w:lang w:eastAsia="bg-BG"/>
        </w:rPr>
        <w:t>Бъбречно увреждане</w:t>
      </w:r>
    </w:p>
    <w:p w14:paraId="148BA3FC" w14:textId="652A3895" w:rsidR="0091385D" w:rsidRPr="00D8509D" w:rsidRDefault="00D8509D" w:rsidP="00D8509D">
      <w:pPr>
        <w:rPr>
          <w:rFonts w:cs="Arial"/>
        </w:rPr>
      </w:pPr>
      <w:r w:rsidRPr="00D8509D">
        <w:rPr>
          <w:rFonts w:eastAsia="Times New Roman" w:cs="Arial"/>
          <w:color w:val="000000"/>
          <w:lang w:eastAsia="bg-BG"/>
        </w:rPr>
        <w:t xml:space="preserve">Леката до умерена бъбречна недостатъчност </w:t>
      </w:r>
      <w:r w:rsidRPr="00D8509D">
        <w:rPr>
          <w:rFonts w:eastAsia="Times New Roman" w:cs="Arial"/>
          <w:color w:val="000000"/>
          <w:lang w:val="en-US"/>
        </w:rPr>
        <w:t xml:space="preserve">(GFR </w:t>
      </w:r>
      <w:r w:rsidRPr="00D8509D">
        <w:rPr>
          <w:rFonts w:eastAsia="Times New Roman" w:cs="Arial"/>
          <w:color w:val="000000"/>
          <w:lang w:eastAsia="bg-BG"/>
        </w:rPr>
        <w:t xml:space="preserve">от 30 </w:t>
      </w:r>
      <w:r w:rsidRPr="00D8509D">
        <w:rPr>
          <w:rFonts w:eastAsia="Times New Roman" w:cs="Arial"/>
          <w:color w:val="000000"/>
          <w:lang w:val="en-US"/>
        </w:rPr>
        <w:t xml:space="preserve">m l/min </w:t>
      </w:r>
      <w:r w:rsidRPr="00D8509D">
        <w:rPr>
          <w:rFonts w:eastAsia="Times New Roman" w:cs="Arial"/>
          <w:color w:val="000000"/>
          <w:lang w:eastAsia="bg-BG"/>
        </w:rPr>
        <w:t xml:space="preserve">до 80 </w:t>
      </w:r>
      <w:r w:rsidRPr="00D8509D">
        <w:rPr>
          <w:rFonts w:eastAsia="Times New Roman" w:cs="Arial"/>
          <w:color w:val="000000"/>
          <w:lang w:val="en-US"/>
        </w:rPr>
        <w:t xml:space="preserve">ml/min) </w:t>
      </w:r>
      <w:r w:rsidRPr="00D8509D">
        <w:rPr>
          <w:rFonts w:eastAsia="Times New Roman" w:cs="Arial"/>
          <w:color w:val="000000"/>
          <w:lang w:eastAsia="bg-BG"/>
        </w:rPr>
        <w:t>няма траен, значим ефект върху фармакокинетиката на гемцитабин.</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67D543BA" w14:textId="77777777" w:rsidR="00D8509D" w:rsidRPr="00D8509D" w:rsidRDefault="00D8509D" w:rsidP="00D8509D">
      <w:pPr>
        <w:spacing w:line="240" w:lineRule="auto"/>
        <w:rPr>
          <w:rFonts w:eastAsia="Times New Roman" w:cs="Arial"/>
          <w:sz w:val="24"/>
          <w:szCs w:val="24"/>
          <w:lang w:eastAsia="bg-BG"/>
        </w:rPr>
      </w:pPr>
      <w:r w:rsidRPr="00D8509D">
        <w:rPr>
          <w:rFonts w:eastAsia="Times New Roman" w:cs="Arial"/>
          <w:color w:val="000000"/>
          <w:lang w:eastAsia="bg-BG"/>
        </w:rPr>
        <w:t>При проучвания с многократни дози върху мишки и кучета, с продължителност до 6 месеца, най-значителната находка е зависимата от схемата на прилагане и дозата супресия на хемопоезата, която е обратима.</w:t>
      </w:r>
    </w:p>
    <w:p w14:paraId="30FC345F" w14:textId="77777777" w:rsidR="00D8509D" w:rsidRPr="00D8509D" w:rsidRDefault="00D8509D" w:rsidP="00D8509D">
      <w:pPr>
        <w:spacing w:line="240" w:lineRule="auto"/>
        <w:rPr>
          <w:rFonts w:eastAsia="Times New Roman" w:cs="Arial"/>
          <w:color w:val="000000"/>
          <w:lang w:eastAsia="bg-BG"/>
        </w:rPr>
      </w:pPr>
    </w:p>
    <w:p w14:paraId="7B943545" w14:textId="37C23872" w:rsidR="00D8509D" w:rsidRPr="00D8509D" w:rsidRDefault="00D8509D" w:rsidP="00D8509D">
      <w:pPr>
        <w:spacing w:line="240" w:lineRule="auto"/>
        <w:rPr>
          <w:rFonts w:eastAsia="Times New Roman" w:cs="Arial"/>
          <w:sz w:val="24"/>
          <w:szCs w:val="24"/>
          <w:lang w:eastAsia="bg-BG"/>
        </w:rPr>
      </w:pPr>
      <w:r w:rsidRPr="00D8509D">
        <w:rPr>
          <w:rFonts w:eastAsia="Times New Roman" w:cs="Arial"/>
          <w:color w:val="000000"/>
          <w:lang w:eastAsia="bg-BG"/>
        </w:rPr>
        <w:t xml:space="preserve">Гемцитабин е мутагенен при тест за мутация </w:t>
      </w:r>
      <w:r w:rsidRPr="00D8509D">
        <w:rPr>
          <w:rFonts w:eastAsia="Times New Roman" w:cs="Arial"/>
          <w:color w:val="000000"/>
          <w:lang w:val="en-US"/>
        </w:rPr>
        <w:t xml:space="preserve">in vitro </w:t>
      </w:r>
      <w:r w:rsidRPr="00D8509D">
        <w:rPr>
          <w:rFonts w:eastAsia="Times New Roman" w:cs="Arial"/>
          <w:color w:val="000000"/>
          <w:lang w:eastAsia="bg-BG"/>
        </w:rPr>
        <w:t xml:space="preserve">и </w:t>
      </w:r>
      <w:r w:rsidRPr="00D8509D">
        <w:rPr>
          <w:rFonts w:eastAsia="Times New Roman" w:cs="Arial"/>
          <w:color w:val="000000"/>
          <w:lang w:val="en-US"/>
        </w:rPr>
        <w:t xml:space="preserve">in vivo </w:t>
      </w:r>
      <w:r w:rsidRPr="00D8509D">
        <w:rPr>
          <w:rFonts w:eastAsia="Times New Roman" w:cs="Arial"/>
          <w:color w:val="000000"/>
          <w:lang w:eastAsia="bg-BG"/>
        </w:rPr>
        <w:t>при микронуклеарен тест върху костен мозък.</w:t>
      </w:r>
    </w:p>
    <w:p w14:paraId="4F0CC3D9" w14:textId="77777777" w:rsidR="00D8509D" w:rsidRPr="00D8509D" w:rsidRDefault="00D8509D" w:rsidP="00D8509D">
      <w:pPr>
        <w:spacing w:line="240" w:lineRule="auto"/>
        <w:rPr>
          <w:rFonts w:eastAsia="Times New Roman" w:cs="Arial"/>
          <w:color w:val="000000"/>
          <w:lang w:eastAsia="bg-BG"/>
        </w:rPr>
      </w:pPr>
    </w:p>
    <w:p w14:paraId="7FCC9E2F" w14:textId="109C1636" w:rsidR="00D8509D" w:rsidRPr="00D8509D" w:rsidRDefault="00D8509D" w:rsidP="00D8509D">
      <w:pPr>
        <w:spacing w:line="240" w:lineRule="auto"/>
        <w:rPr>
          <w:rFonts w:eastAsia="Times New Roman" w:cs="Arial"/>
          <w:sz w:val="24"/>
          <w:szCs w:val="24"/>
          <w:lang w:eastAsia="bg-BG"/>
        </w:rPr>
      </w:pPr>
      <w:r w:rsidRPr="00D8509D">
        <w:rPr>
          <w:rFonts w:eastAsia="Times New Roman" w:cs="Arial"/>
          <w:color w:val="000000"/>
          <w:lang w:eastAsia="bg-BG"/>
        </w:rPr>
        <w:t>Не са провеждани дългосрочни проучвания при животни за оценка на карциногенния потенциал на гемцитабин.</w:t>
      </w:r>
    </w:p>
    <w:p w14:paraId="0D33A05F" w14:textId="77777777" w:rsidR="00D8509D" w:rsidRPr="00D8509D" w:rsidRDefault="00D8509D" w:rsidP="00D8509D">
      <w:pPr>
        <w:spacing w:line="240" w:lineRule="auto"/>
        <w:rPr>
          <w:rFonts w:eastAsia="Times New Roman" w:cs="Arial"/>
          <w:color w:val="000000"/>
          <w:lang w:eastAsia="bg-BG"/>
        </w:rPr>
      </w:pPr>
    </w:p>
    <w:p w14:paraId="67DD76AB" w14:textId="599A3D6F" w:rsidR="00D8509D" w:rsidRPr="00D8509D" w:rsidRDefault="00D8509D" w:rsidP="00D8509D">
      <w:pPr>
        <w:spacing w:line="240" w:lineRule="auto"/>
        <w:rPr>
          <w:rFonts w:eastAsia="Times New Roman" w:cs="Arial"/>
          <w:sz w:val="24"/>
          <w:szCs w:val="24"/>
          <w:lang w:eastAsia="bg-BG"/>
        </w:rPr>
      </w:pPr>
      <w:r w:rsidRPr="00D8509D">
        <w:rPr>
          <w:rFonts w:eastAsia="Times New Roman" w:cs="Arial"/>
          <w:color w:val="000000"/>
          <w:lang w:eastAsia="bg-BG"/>
        </w:rPr>
        <w:t>При проучвания на фертилитета гемцитабин причинява обратима хипосперматогенеза при мъжки мишки. Не е установен ефект върху фертилитета на женските.</w:t>
      </w:r>
    </w:p>
    <w:p w14:paraId="6B41E279" w14:textId="77777777" w:rsidR="00D8509D" w:rsidRPr="00D8509D" w:rsidRDefault="00D8509D" w:rsidP="00D8509D">
      <w:pPr>
        <w:rPr>
          <w:rFonts w:eastAsia="Times New Roman" w:cs="Arial"/>
          <w:color w:val="000000"/>
          <w:lang w:eastAsia="bg-BG"/>
        </w:rPr>
      </w:pPr>
    </w:p>
    <w:p w14:paraId="52E4D01A" w14:textId="4A1D909E" w:rsidR="0091385D" w:rsidRPr="00D8509D" w:rsidRDefault="00D8509D" w:rsidP="00D8509D">
      <w:pPr>
        <w:rPr>
          <w:rFonts w:cs="Arial"/>
        </w:rPr>
      </w:pPr>
      <w:r w:rsidRPr="00D8509D">
        <w:rPr>
          <w:rFonts w:eastAsia="Times New Roman" w:cs="Arial"/>
          <w:color w:val="000000"/>
          <w:lang w:eastAsia="bg-BG"/>
        </w:rPr>
        <w:t>Оценката на експериментални проучвания при животни показва репродуктивна токсичност, напр. родови дефекти и други ефекти върху развитието на ембриона или плода, в хода на бременността и пери- и постнаталното развитие.</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564329B8" w14:textId="77777777" w:rsidR="00D8509D" w:rsidRPr="00D8509D" w:rsidRDefault="00D8509D" w:rsidP="00D8509D">
      <w:pPr>
        <w:spacing w:line="240" w:lineRule="auto"/>
        <w:rPr>
          <w:rFonts w:eastAsia="Times New Roman" w:cs="Arial"/>
          <w:lang w:val="en-US" w:eastAsia="bg-BG"/>
        </w:rPr>
      </w:pPr>
      <w:r w:rsidRPr="00D8509D">
        <w:rPr>
          <w:rFonts w:eastAsia="Times New Roman" w:cs="Arial"/>
          <w:color w:val="000000"/>
          <w:lang w:val="en-US"/>
        </w:rPr>
        <w:t xml:space="preserve">EBEWE Pharma </w:t>
      </w:r>
      <w:proofErr w:type="spellStart"/>
      <w:r w:rsidRPr="00D8509D">
        <w:rPr>
          <w:rFonts w:eastAsia="Times New Roman" w:cs="Arial"/>
          <w:color w:val="000000"/>
          <w:lang w:val="en-US"/>
        </w:rPr>
        <w:t>Ges.m.b.H</w:t>
      </w:r>
      <w:proofErr w:type="spellEnd"/>
      <w:r w:rsidRPr="00D8509D">
        <w:rPr>
          <w:rFonts w:eastAsia="Times New Roman" w:cs="Arial"/>
          <w:color w:val="000000"/>
          <w:lang w:val="en-US"/>
        </w:rPr>
        <w:t xml:space="preserve">. </w:t>
      </w:r>
      <w:proofErr w:type="spellStart"/>
      <w:r w:rsidRPr="00D8509D">
        <w:rPr>
          <w:rFonts w:eastAsia="Times New Roman" w:cs="Arial"/>
          <w:color w:val="000000"/>
          <w:lang w:val="en-US"/>
        </w:rPr>
        <w:t>Nfg</w:t>
      </w:r>
      <w:proofErr w:type="spellEnd"/>
      <w:r w:rsidRPr="00D8509D">
        <w:rPr>
          <w:rFonts w:eastAsia="Times New Roman" w:cs="Arial"/>
          <w:color w:val="000000"/>
          <w:lang w:val="en-US"/>
        </w:rPr>
        <w:t>. KG</w:t>
      </w:r>
    </w:p>
    <w:p w14:paraId="69A44EFC" w14:textId="77777777" w:rsidR="00D8509D" w:rsidRPr="00D8509D" w:rsidRDefault="00D8509D" w:rsidP="00D8509D">
      <w:pPr>
        <w:spacing w:line="240" w:lineRule="auto"/>
        <w:rPr>
          <w:rFonts w:eastAsia="Times New Roman" w:cs="Arial"/>
          <w:lang w:val="en-US" w:eastAsia="bg-BG"/>
        </w:rPr>
      </w:pPr>
      <w:proofErr w:type="spellStart"/>
      <w:r w:rsidRPr="00D8509D">
        <w:rPr>
          <w:rFonts w:eastAsia="Times New Roman" w:cs="Arial"/>
          <w:color w:val="000000"/>
          <w:lang w:val="en-US"/>
        </w:rPr>
        <w:t>Mondseestrasse</w:t>
      </w:r>
      <w:proofErr w:type="spellEnd"/>
      <w:r w:rsidRPr="00D8509D">
        <w:rPr>
          <w:rFonts w:eastAsia="Times New Roman" w:cs="Arial"/>
          <w:color w:val="000000"/>
          <w:lang w:val="en-US"/>
        </w:rPr>
        <w:t xml:space="preserve"> 11, A-4866 </w:t>
      </w:r>
      <w:proofErr w:type="spellStart"/>
      <w:r w:rsidRPr="00D8509D">
        <w:rPr>
          <w:rFonts w:eastAsia="Times New Roman" w:cs="Arial"/>
          <w:color w:val="000000"/>
          <w:lang w:val="en-US"/>
        </w:rPr>
        <w:t>Unterach</w:t>
      </w:r>
      <w:proofErr w:type="spellEnd"/>
    </w:p>
    <w:p w14:paraId="3FD825DB" w14:textId="5F76FCE6" w:rsidR="0091385D" w:rsidRPr="00D8509D" w:rsidRDefault="00D8509D" w:rsidP="00D8509D">
      <w:pPr>
        <w:rPr>
          <w:rFonts w:cs="Arial"/>
        </w:rPr>
      </w:pPr>
      <w:r w:rsidRPr="00D8509D">
        <w:rPr>
          <w:rFonts w:eastAsia="Times New Roman" w:cs="Arial"/>
          <w:color w:val="000000"/>
          <w:lang w:eastAsia="bg-BG"/>
        </w:rPr>
        <w:t>Австрия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6E892CE5" w14:textId="3F0FAFBA" w:rsidR="0091385D" w:rsidRPr="00D8509D" w:rsidRDefault="00D8509D" w:rsidP="0091385D">
      <w:pPr>
        <w:rPr>
          <w:rFonts w:cs="Arial"/>
        </w:rPr>
      </w:pPr>
      <w:r w:rsidRPr="00D8509D">
        <w:rPr>
          <w:rFonts w:cs="Arial"/>
        </w:rPr>
        <w:t>Pe</w:t>
      </w:r>
      <w:r w:rsidRPr="00D8509D">
        <w:rPr>
          <w:rFonts w:cs="Arial"/>
          <w:lang w:eastAsia="bg-BG"/>
        </w:rPr>
        <w:t>г</w:t>
      </w:r>
      <w:r w:rsidRPr="00D8509D">
        <w:rPr>
          <w:rFonts w:cs="Arial"/>
        </w:rPr>
        <w:t>. №20130102</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375633A8" w14:textId="77777777" w:rsidR="00D8509D" w:rsidRPr="00D8509D" w:rsidRDefault="00D8509D" w:rsidP="00D8509D">
      <w:pPr>
        <w:spacing w:line="240" w:lineRule="auto"/>
        <w:rPr>
          <w:rFonts w:eastAsia="Times New Roman" w:cs="Arial"/>
          <w:lang w:eastAsia="bg-BG"/>
        </w:rPr>
      </w:pPr>
      <w:r w:rsidRPr="00D8509D">
        <w:rPr>
          <w:rFonts w:eastAsia="Times New Roman" w:cs="Arial"/>
          <w:color w:val="000000"/>
          <w:lang w:eastAsia="bg-BG"/>
        </w:rPr>
        <w:t>Дата на първо разрешаване: 07.03.2013</w:t>
      </w:r>
    </w:p>
    <w:p w14:paraId="497007FA" w14:textId="0108833C" w:rsidR="0091385D" w:rsidRPr="00D8509D" w:rsidRDefault="00D8509D" w:rsidP="00D8509D">
      <w:pPr>
        <w:rPr>
          <w:rFonts w:cs="Arial"/>
        </w:rPr>
      </w:pPr>
      <w:r w:rsidRPr="00D8509D">
        <w:rPr>
          <w:rFonts w:eastAsia="Times New Roman" w:cs="Arial"/>
          <w:color w:val="000000"/>
          <w:lang w:eastAsia="bg-BG"/>
        </w:rPr>
        <w:t>Дата на последно подновяване: 09.08.2018</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7B940F7D" w:rsidR="0091385D" w:rsidRPr="00D8509D" w:rsidRDefault="00D8509D" w:rsidP="0091385D">
      <w:pPr>
        <w:rPr>
          <w:rFonts w:cs="Arial"/>
        </w:rPr>
      </w:pPr>
      <w:r w:rsidRPr="00D8509D">
        <w:rPr>
          <w:rFonts w:cs="Arial"/>
        </w:rPr>
        <w:t>08/2020</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2A4"/>
    <w:multiLevelType w:val="hybridMultilevel"/>
    <w:tmpl w:val="6C34861C"/>
    <w:lvl w:ilvl="0" w:tplc="33521C48">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8FB35B7"/>
    <w:multiLevelType w:val="hybridMultilevel"/>
    <w:tmpl w:val="D954F710"/>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29874F3"/>
    <w:multiLevelType w:val="hybridMultilevel"/>
    <w:tmpl w:val="B93E3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5674FF9"/>
    <w:multiLevelType w:val="hybridMultilevel"/>
    <w:tmpl w:val="0AA80C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5E534FA"/>
    <w:multiLevelType w:val="hybridMultilevel"/>
    <w:tmpl w:val="3CEA66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76A66D8"/>
    <w:multiLevelType w:val="hybridMultilevel"/>
    <w:tmpl w:val="A0F419CA"/>
    <w:lvl w:ilvl="0" w:tplc="33521C48">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89F43AB"/>
    <w:multiLevelType w:val="hybridMultilevel"/>
    <w:tmpl w:val="4F469DBE"/>
    <w:lvl w:ilvl="0" w:tplc="33521C48">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A9E6864"/>
    <w:multiLevelType w:val="hybridMultilevel"/>
    <w:tmpl w:val="2D3242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D9D3FFF"/>
    <w:multiLevelType w:val="hybridMultilevel"/>
    <w:tmpl w:val="C7B02344"/>
    <w:lvl w:ilvl="0" w:tplc="33521C48">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21A025F"/>
    <w:multiLevelType w:val="hybridMultilevel"/>
    <w:tmpl w:val="A0CC2B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AAB60F2"/>
    <w:multiLevelType w:val="hybridMultilevel"/>
    <w:tmpl w:val="79FEABCE"/>
    <w:lvl w:ilvl="0" w:tplc="33521C48">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D0522D7"/>
    <w:multiLevelType w:val="hybridMultilevel"/>
    <w:tmpl w:val="A91E6A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F3525BC"/>
    <w:multiLevelType w:val="hybridMultilevel"/>
    <w:tmpl w:val="464659D6"/>
    <w:lvl w:ilvl="0" w:tplc="33521C48">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3930EAA"/>
    <w:multiLevelType w:val="hybridMultilevel"/>
    <w:tmpl w:val="88E06D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F595338"/>
    <w:multiLevelType w:val="hybridMultilevel"/>
    <w:tmpl w:val="BA328F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74D7A50"/>
    <w:multiLevelType w:val="hybridMultilevel"/>
    <w:tmpl w:val="21FAC1D4"/>
    <w:lvl w:ilvl="0" w:tplc="33521C48">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9892FD4"/>
    <w:multiLevelType w:val="hybridMultilevel"/>
    <w:tmpl w:val="78D624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626D3542"/>
    <w:multiLevelType w:val="hybridMultilevel"/>
    <w:tmpl w:val="D5DAC0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6278740E"/>
    <w:multiLevelType w:val="hybridMultilevel"/>
    <w:tmpl w:val="865A90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6D2F01B1"/>
    <w:multiLevelType w:val="hybridMultilevel"/>
    <w:tmpl w:val="69E0552E"/>
    <w:lvl w:ilvl="0" w:tplc="33521C48">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2E2287B"/>
    <w:multiLevelType w:val="hybridMultilevel"/>
    <w:tmpl w:val="42ECA6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3350DC2"/>
    <w:multiLevelType w:val="hybridMultilevel"/>
    <w:tmpl w:val="00EE24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4F771D6"/>
    <w:multiLevelType w:val="hybridMultilevel"/>
    <w:tmpl w:val="A1B08B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5A9373F"/>
    <w:multiLevelType w:val="hybridMultilevel"/>
    <w:tmpl w:val="66BE24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9DA636A"/>
    <w:multiLevelType w:val="hybridMultilevel"/>
    <w:tmpl w:val="24C4CE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10"/>
  </w:num>
  <w:num w:numId="5">
    <w:abstractNumId w:val="0"/>
  </w:num>
  <w:num w:numId="6">
    <w:abstractNumId w:val="15"/>
  </w:num>
  <w:num w:numId="7">
    <w:abstractNumId w:val="6"/>
  </w:num>
  <w:num w:numId="8">
    <w:abstractNumId w:val="5"/>
  </w:num>
  <w:num w:numId="9">
    <w:abstractNumId w:val="19"/>
  </w:num>
  <w:num w:numId="10">
    <w:abstractNumId w:val="8"/>
  </w:num>
  <w:num w:numId="11">
    <w:abstractNumId w:val="3"/>
  </w:num>
  <w:num w:numId="12">
    <w:abstractNumId w:val="24"/>
  </w:num>
  <w:num w:numId="13">
    <w:abstractNumId w:val="9"/>
  </w:num>
  <w:num w:numId="14">
    <w:abstractNumId w:val="7"/>
  </w:num>
  <w:num w:numId="15">
    <w:abstractNumId w:val="20"/>
  </w:num>
  <w:num w:numId="16">
    <w:abstractNumId w:val="16"/>
  </w:num>
  <w:num w:numId="17">
    <w:abstractNumId w:val="4"/>
  </w:num>
  <w:num w:numId="18">
    <w:abstractNumId w:val="23"/>
  </w:num>
  <w:num w:numId="19">
    <w:abstractNumId w:val="21"/>
  </w:num>
  <w:num w:numId="20">
    <w:abstractNumId w:val="11"/>
  </w:num>
  <w:num w:numId="21">
    <w:abstractNumId w:val="17"/>
  </w:num>
  <w:num w:numId="22">
    <w:abstractNumId w:val="18"/>
  </w:num>
  <w:num w:numId="23">
    <w:abstractNumId w:val="22"/>
  </w:num>
  <w:num w:numId="24">
    <w:abstractNumId w:val="13"/>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B51A9"/>
    <w:rsid w:val="002C50EE"/>
    <w:rsid w:val="00340A0A"/>
    <w:rsid w:val="003765DC"/>
    <w:rsid w:val="00395555"/>
    <w:rsid w:val="003E3126"/>
    <w:rsid w:val="00420761"/>
    <w:rsid w:val="00426E5F"/>
    <w:rsid w:val="004A448E"/>
    <w:rsid w:val="004D4D6B"/>
    <w:rsid w:val="004F1CE7"/>
    <w:rsid w:val="004F498A"/>
    <w:rsid w:val="00517A5B"/>
    <w:rsid w:val="00593A00"/>
    <w:rsid w:val="005A66D9"/>
    <w:rsid w:val="00605BCA"/>
    <w:rsid w:val="006158A1"/>
    <w:rsid w:val="00617B1F"/>
    <w:rsid w:val="00665138"/>
    <w:rsid w:val="00672487"/>
    <w:rsid w:val="00672600"/>
    <w:rsid w:val="00681D4A"/>
    <w:rsid w:val="00685882"/>
    <w:rsid w:val="0075649D"/>
    <w:rsid w:val="007C605B"/>
    <w:rsid w:val="008134C8"/>
    <w:rsid w:val="00814073"/>
    <w:rsid w:val="00826F0D"/>
    <w:rsid w:val="00893B92"/>
    <w:rsid w:val="008A6AF2"/>
    <w:rsid w:val="008C70A2"/>
    <w:rsid w:val="0091385D"/>
    <w:rsid w:val="009773E4"/>
    <w:rsid w:val="009B171C"/>
    <w:rsid w:val="009F1313"/>
    <w:rsid w:val="00A20351"/>
    <w:rsid w:val="00A65A81"/>
    <w:rsid w:val="00AA23EC"/>
    <w:rsid w:val="00AC63CE"/>
    <w:rsid w:val="00AE2107"/>
    <w:rsid w:val="00B275A8"/>
    <w:rsid w:val="00BD62DB"/>
    <w:rsid w:val="00BF2600"/>
    <w:rsid w:val="00C0049F"/>
    <w:rsid w:val="00C07B84"/>
    <w:rsid w:val="00C33464"/>
    <w:rsid w:val="00C40420"/>
    <w:rsid w:val="00C809A7"/>
    <w:rsid w:val="00C83063"/>
    <w:rsid w:val="00C87E90"/>
    <w:rsid w:val="00CA1B57"/>
    <w:rsid w:val="00CF77F7"/>
    <w:rsid w:val="00D8509D"/>
    <w:rsid w:val="00D86297"/>
    <w:rsid w:val="00DD466D"/>
    <w:rsid w:val="00E72714"/>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5900</Words>
  <Characters>33630</Characters>
  <Application>Microsoft Office Word</Application>
  <DocSecurity>0</DocSecurity>
  <Lines>280</Lines>
  <Paragraphs>78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3</cp:revision>
  <dcterms:created xsi:type="dcterms:W3CDTF">2022-07-23T12:32:00Z</dcterms:created>
  <dcterms:modified xsi:type="dcterms:W3CDTF">2022-07-23T12:32:00Z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