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09CEB67B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5A3B4435" w14:textId="77777777" w:rsidR="0091385D" w:rsidRPr="0091385D" w:rsidRDefault="0091385D" w:rsidP="0091385D"/>
    <w:p w14:paraId="3320F4BE" w14:textId="2EB48694" w:rsidR="00C40420" w:rsidRDefault="00DD466D" w:rsidP="004A448E">
      <w:pPr>
        <w:pStyle w:val="Heading1"/>
      </w:pPr>
      <w:r>
        <w:t>1.ИМЕ НА ЛЕКАРСТВЕНИЯ ПРОДУКТ</w:t>
      </w:r>
    </w:p>
    <w:p w14:paraId="5E9BA472" w14:textId="14008A99" w:rsidR="0091385D" w:rsidRDefault="0091385D" w:rsidP="0091385D"/>
    <w:p w14:paraId="221A6038" w14:textId="77777777" w:rsidR="00195112" w:rsidRPr="00195112" w:rsidRDefault="00195112" w:rsidP="00195112">
      <w:pPr>
        <w:spacing w:line="240" w:lineRule="auto"/>
        <w:rPr>
          <w:rFonts w:eastAsia="Times New Roman" w:cs="Arial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 xml:space="preserve">Глика </w:t>
      </w:r>
      <w:r w:rsidRPr="00195112">
        <w:rPr>
          <w:rFonts w:eastAsia="Times New Roman" w:cs="Arial"/>
          <w:color w:val="000000"/>
          <w:lang w:val="en-US"/>
        </w:rPr>
        <w:t xml:space="preserve">MR </w:t>
      </w:r>
      <w:r w:rsidRPr="00195112">
        <w:rPr>
          <w:rFonts w:eastAsia="Times New Roman" w:cs="Arial"/>
          <w:color w:val="000000"/>
          <w:lang w:eastAsia="bg-BG"/>
        </w:rPr>
        <w:t xml:space="preserve">30 </w:t>
      </w:r>
      <w:r w:rsidRPr="00195112">
        <w:rPr>
          <w:rFonts w:eastAsia="Times New Roman" w:cs="Arial"/>
          <w:color w:val="000000"/>
          <w:lang w:val="en-US"/>
        </w:rPr>
        <w:t xml:space="preserve">mg </w:t>
      </w:r>
      <w:r w:rsidRPr="00195112">
        <w:rPr>
          <w:rFonts w:eastAsia="Times New Roman" w:cs="Arial"/>
          <w:color w:val="000000"/>
          <w:lang w:eastAsia="bg-BG"/>
        </w:rPr>
        <w:t>таблетки с удължено освобождаване</w:t>
      </w:r>
    </w:p>
    <w:p w14:paraId="73D1D99C" w14:textId="68E9FE1C" w:rsidR="0091385D" w:rsidRPr="00195112" w:rsidRDefault="00195112" w:rsidP="00195112">
      <w:pPr>
        <w:rPr>
          <w:rFonts w:cs="Arial"/>
        </w:rPr>
      </w:pPr>
      <w:proofErr w:type="spellStart"/>
      <w:r w:rsidRPr="00195112">
        <w:rPr>
          <w:rFonts w:eastAsia="Times New Roman" w:cs="Arial"/>
          <w:color w:val="000000"/>
          <w:lang w:val="en-US"/>
        </w:rPr>
        <w:t>Glica</w:t>
      </w:r>
      <w:proofErr w:type="spellEnd"/>
      <w:r w:rsidRPr="00195112">
        <w:rPr>
          <w:rFonts w:eastAsia="Times New Roman" w:cs="Arial"/>
          <w:color w:val="000000"/>
          <w:lang w:val="en-US"/>
        </w:rPr>
        <w:t xml:space="preserve"> MR </w:t>
      </w:r>
      <w:r w:rsidRPr="00195112">
        <w:rPr>
          <w:rFonts w:eastAsia="Times New Roman" w:cs="Arial"/>
          <w:color w:val="000000"/>
          <w:lang w:eastAsia="bg-BG"/>
        </w:rPr>
        <w:t xml:space="preserve">30 </w:t>
      </w:r>
      <w:r w:rsidRPr="00195112">
        <w:rPr>
          <w:rFonts w:eastAsia="Times New Roman" w:cs="Arial"/>
          <w:color w:val="000000"/>
          <w:lang w:val="en-US"/>
        </w:rPr>
        <w:t>mg prolonged release tablets</w:t>
      </w:r>
    </w:p>
    <w:p w14:paraId="1E8447D1" w14:textId="77777777" w:rsidR="0091385D" w:rsidRPr="0091385D" w:rsidRDefault="0091385D" w:rsidP="0091385D"/>
    <w:p w14:paraId="6920A680" w14:textId="53C3EFCC" w:rsidR="00C40420" w:rsidRDefault="00DD466D" w:rsidP="004A448E">
      <w:pPr>
        <w:pStyle w:val="Heading1"/>
      </w:pPr>
      <w:r>
        <w:t>2. КАЧЕСТВЕН И КОЛИЧЕСТВЕН СЪСТАВ</w:t>
      </w:r>
    </w:p>
    <w:p w14:paraId="1ED33AE8" w14:textId="288788EF" w:rsidR="0091385D" w:rsidRDefault="0091385D" w:rsidP="0091385D"/>
    <w:p w14:paraId="14A51A15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 xml:space="preserve">Всяка таблетка с удължено освобождаване съдържа активно вещество гликлазид </w:t>
      </w:r>
      <w:r w:rsidRPr="00195112">
        <w:rPr>
          <w:rFonts w:eastAsia="Times New Roman" w:cs="Arial"/>
          <w:i/>
          <w:iCs/>
          <w:color w:val="000000"/>
          <w:lang w:val="en-US"/>
        </w:rPr>
        <w:t>(</w:t>
      </w:r>
      <w:proofErr w:type="spellStart"/>
      <w:r w:rsidRPr="00195112">
        <w:rPr>
          <w:rFonts w:eastAsia="Times New Roman" w:cs="Arial"/>
          <w:i/>
          <w:iCs/>
          <w:color w:val="000000"/>
          <w:lang w:val="en-US"/>
        </w:rPr>
        <w:t>gliclazide</w:t>
      </w:r>
      <w:proofErr w:type="spellEnd"/>
      <w:r w:rsidRPr="00195112">
        <w:rPr>
          <w:rFonts w:eastAsia="Times New Roman" w:cs="Arial"/>
          <w:i/>
          <w:iCs/>
          <w:color w:val="000000"/>
          <w:lang w:val="en-US"/>
        </w:rPr>
        <w:t>)</w:t>
      </w:r>
      <w:r w:rsidRPr="00195112">
        <w:rPr>
          <w:rFonts w:eastAsia="Times New Roman" w:cs="Arial"/>
          <w:color w:val="000000"/>
          <w:lang w:val="en-US"/>
        </w:rPr>
        <w:t xml:space="preserve"> </w:t>
      </w:r>
      <w:r w:rsidRPr="00195112">
        <w:rPr>
          <w:rFonts w:eastAsia="Times New Roman" w:cs="Arial"/>
          <w:color w:val="000000"/>
          <w:lang w:eastAsia="bg-BG"/>
        </w:rPr>
        <w:t xml:space="preserve">30 </w:t>
      </w:r>
      <w:r w:rsidRPr="00195112">
        <w:rPr>
          <w:rFonts w:eastAsia="Times New Roman" w:cs="Arial"/>
          <w:color w:val="000000"/>
          <w:lang w:val="en-US"/>
        </w:rPr>
        <w:t>mg.</w:t>
      </w:r>
    </w:p>
    <w:p w14:paraId="729D0A91" w14:textId="1CE6420A" w:rsidR="0091385D" w:rsidRPr="00195112" w:rsidRDefault="00195112" w:rsidP="00195112">
      <w:pPr>
        <w:rPr>
          <w:rFonts w:cs="Arial"/>
        </w:rPr>
      </w:pPr>
      <w:r w:rsidRPr="00195112">
        <w:rPr>
          <w:rFonts w:eastAsia="Times New Roman" w:cs="Arial"/>
          <w:color w:val="000000"/>
          <w:lang w:eastAsia="bg-BG"/>
        </w:rPr>
        <w:t>За пълния списък на помощните вещества вижте точка 6.1.</w:t>
      </w:r>
    </w:p>
    <w:p w14:paraId="03110A50" w14:textId="77777777" w:rsidR="0091385D" w:rsidRPr="0091385D" w:rsidRDefault="0091385D" w:rsidP="0091385D"/>
    <w:p w14:paraId="614984C4" w14:textId="3FC552C3" w:rsidR="008A6AF2" w:rsidRDefault="00DD466D" w:rsidP="002C50EE">
      <w:pPr>
        <w:pStyle w:val="Heading1"/>
      </w:pPr>
      <w:r>
        <w:t>3. ЛЕКАРСТВЕНА ФОРМА</w:t>
      </w:r>
    </w:p>
    <w:p w14:paraId="1004E96C" w14:textId="277B91E7" w:rsidR="0091385D" w:rsidRDefault="0091385D" w:rsidP="0091385D"/>
    <w:p w14:paraId="449E5D0C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Таблетки с удължено освобождаване.</w:t>
      </w:r>
    </w:p>
    <w:p w14:paraId="4A991133" w14:textId="0A646A2F" w:rsidR="0091385D" w:rsidRPr="00195112" w:rsidRDefault="00195112" w:rsidP="00195112">
      <w:pPr>
        <w:rPr>
          <w:rFonts w:cs="Arial"/>
        </w:rPr>
      </w:pPr>
      <w:r w:rsidRPr="00195112">
        <w:rPr>
          <w:rFonts w:eastAsia="Times New Roman" w:cs="Arial"/>
          <w:color w:val="000000"/>
          <w:lang w:eastAsia="bg-BG"/>
        </w:rPr>
        <w:t>Бели до почти бели, необвити, продълговати, плоски таблетки</w:t>
      </w:r>
    </w:p>
    <w:p w14:paraId="4129ADBB" w14:textId="77777777" w:rsidR="0091385D" w:rsidRPr="0091385D" w:rsidRDefault="0091385D" w:rsidP="0091385D"/>
    <w:p w14:paraId="490FC2C4" w14:textId="76FABE77" w:rsidR="002C50EE" w:rsidRDefault="002C50EE" w:rsidP="002C50EE">
      <w:pPr>
        <w:pStyle w:val="Heading1"/>
      </w:pPr>
      <w:r>
        <w:t>4. КЛИНИЧНИ ДАННИ</w:t>
      </w:r>
    </w:p>
    <w:p w14:paraId="0C69CBC7" w14:textId="77777777" w:rsidR="0091385D" w:rsidRPr="0091385D" w:rsidRDefault="0091385D" w:rsidP="0091385D"/>
    <w:p w14:paraId="0C8E6903" w14:textId="51BB3E2D" w:rsidR="008134C8" w:rsidRDefault="002C50EE" w:rsidP="004A448E">
      <w:pPr>
        <w:pStyle w:val="Heading2"/>
      </w:pPr>
      <w:r>
        <w:t>4.1. Терапевтични показания</w:t>
      </w:r>
    </w:p>
    <w:p w14:paraId="174D169F" w14:textId="0369962D" w:rsidR="0091385D" w:rsidRDefault="0091385D" w:rsidP="0091385D"/>
    <w:p w14:paraId="04B2E99C" w14:textId="5984B52D" w:rsidR="0091385D" w:rsidRPr="00195112" w:rsidRDefault="00195112" w:rsidP="0091385D">
      <w:pPr>
        <w:rPr>
          <w:rFonts w:cs="Arial"/>
        </w:rPr>
      </w:pPr>
      <w:r w:rsidRPr="00195112">
        <w:rPr>
          <w:rFonts w:cs="Arial"/>
        </w:rPr>
        <w:t>Инсулин-независим захарен диабет (тип 2 при възрастни), когато само диетата, физическото натоварване и намаляването на телесното тегло не са достатъчни за постигане на гликемичен контрол.</w:t>
      </w:r>
    </w:p>
    <w:p w14:paraId="6DFA4B9D" w14:textId="77777777" w:rsidR="0091385D" w:rsidRPr="0091385D" w:rsidRDefault="0091385D" w:rsidP="0091385D"/>
    <w:p w14:paraId="30BE2C7B" w14:textId="3633C1E4" w:rsidR="008134C8" w:rsidRDefault="002C50EE" w:rsidP="004A448E">
      <w:pPr>
        <w:pStyle w:val="Heading2"/>
      </w:pPr>
      <w:r>
        <w:t>4.2. Дозировка и начин на приложение</w:t>
      </w:r>
    </w:p>
    <w:p w14:paraId="7AA22B68" w14:textId="3A681DFB" w:rsidR="0091385D" w:rsidRDefault="0091385D" w:rsidP="0091385D"/>
    <w:p w14:paraId="3B3B508D" w14:textId="77777777" w:rsidR="00195112" w:rsidRPr="00076523" w:rsidRDefault="00195112" w:rsidP="00076523">
      <w:pPr>
        <w:pStyle w:val="Heading3"/>
        <w:rPr>
          <w:rFonts w:eastAsia="Times New Roman"/>
          <w:u w:val="single"/>
          <w:lang w:eastAsia="bg-BG"/>
        </w:rPr>
      </w:pPr>
      <w:r w:rsidRPr="00076523">
        <w:rPr>
          <w:rFonts w:eastAsia="Times New Roman"/>
          <w:u w:val="single"/>
          <w:lang w:eastAsia="bg-BG"/>
        </w:rPr>
        <w:t>Дозировка</w:t>
      </w:r>
    </w:p>
    <w:p w14:paraId="6D8DFD59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i/>
          <w:iCs/>
          <w:color w:val="000000"/>
          <w:u w:val="single"/>
          <w:lang w:eastAsia="bg-BG"/>
        </w:rPr>
        <w:t>Педиатрична популаиия</w:t>
      </w:r>
    </w:p>
    <w:p w14:paraId="7B3D2E26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Както и другите сулфанилурейни лекарствени продукти, гликлазид не е подходящ за лечение на начален ювенилен захарен диабет.</w:t>
      </w:r>
    </w:p>
    <w:p w14:paraId="0490083F" w14:textId="77777777" w:rsidR="00195112" w:rsidRPr="00195112" w:rsidRDefault="00195112" w:rsidP="0019511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5205A84" w14:textId="07207E0A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 xml:space="preserve">Както при всички хипогликемични препарати, дозата трябва да се уточни според индивидуалния метаболитен отговор на пациента (кръвна захар, </w:t>
      </w:r>
      <w:proofErr w:type="spellStart"/>
      <w:r w:rsidRPr="00195112">
        <w:rPr>
          <w:rFonts w:eastAsia="Times New Roman" w:cs="Arial"/>
          <w:color w:val="000000"/>
          <w:lang w:val="en-US"/>
        </w:rPr>
        <w:t>HbAlc</w:t>
      </w:r>
      <w:proofErr w:type="spellEnd"/>
      <w:r w:rsidRPr="00195112">
        <w:rPr>
          <w:rFonts w:eastAsia="Times New Roman" w:cs="Arial"/>
          <w:color w:val="000000"/>
          <w:lang w:val="en-US"/>
        </w:rPr>
        <w:t>).</w:t>
      </w:r>
    </w:p>
    <w:p w14:paraId="7E470F3C" w14:textId="77777777" w:rsidR="00195112" w:rsidRPr="00195112" w:rsidRDefault="00195112" w:rsidP="0019511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53D7DC0" w14:textId="16D180CE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u w:val="single"/>
          <w:lang w:eastAsia="bg-BG"/>
        </w:rPr>
        <w:t>Начална доза</w:t>
      </w:r>
    </w:p>
    <w:p w14:paraId="530E1C12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 xml:space="preserve">Препоръчваната начална доза е 30 </w:t>
      </w:r>
      <w:r w:rsidRPr="00195112">
        <w:rPr>
          <w:rFonts w:eastAsia="Times New Roman" w:cs="Arial"/>
          <w:color w:val="000000"/>
          <w:lang w:val="en-US"/>
        </w:rPr>
        <w:t xml:space="preserve">mg </w:t>
      </w:r>
      <w:r w:rsidRPr="00195112">
        <w:rPr>
          <w:rFonts w:eastAsia="Times New Roman" w:cs="Arial"/>
          <w:color w:val="000000"/>
          <w:lang w:eastAsia="bg-BG"/>
        </w:rPr>
        <w:t>дневно.</w:t>
      </w:r>
    </w:p>
    <w:p w14:paraId="5F57B8FA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При положение, че кръвната захар бъде ефективно контролирана, тази доза може да се използва за поддържаща терапия.</w:t>
      </w:r>
    </w:p>
    <w:p w14:paraId="436031E0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lastRenderedPageBreak/>
        <w:t xml:space="preserve">Ако кръвната захар не бъде адекватно контролирана, дозата може да бъде последователно повишена до 60, 90 или 120 </w:t>
      </w:r>
      <w:r w:rsidRPr="00195112">
        <w:rPr>
          <w:rFonts w:eastAsia="Times New Roman" w:cs="Arial"/>
          <w:color w:val="000000"/>
          <w:lang w:val="en-US"/>
        </w:rPr>
        <w:t xml:space="preserve">mg </w:t>
      </w:r>
      <w:r w:rsidRPr="00195112">
        <w:rPr>
          <w:rFonts w:eastAsia="Times New Roman" w:cs="Arial"/>
          <w:color w:val="000000"/>
          <w:lang w:eastAsia="bg-BG"/>
        </w:rPr>
        <w:t>дневно, като последователни стъпки. Интервалът между всяко повишаване на дозата трябва да бъде най-малко 1 месец, като изключение правят пациентите, чиято кръвна захар не се редуцира след двуседмична терапия. При такива случаи дозата може да бъде повишена в края на втората седмица от лечението.</w:t>
      </w:r>
    </w:p>
    <w:p w14:paraId="5C663D28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 xml:space="preserve">Максималната препоръчвана доза е 120 </w:t>
      </w:r>
      <w:r w:rsidRPr="00195112">
        <w:rPr>
          <w:rFonts w:eastAsia="Times New Roman" w:cs="Arial"/>
          <w:color w:val="000000"/>
          <w:lang w:val="en-US"/>
        </w:rPr>
        <w:t>mg.</w:t>
      </w:r>
    </w:p>
    <w:p w14:paraId="0EB026E9" w14:textId="77777777" w:rsidR="00195112" w:rsidRPr="00195112" w:rsidRDefault="00195112" w:rsidP="0019511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9451F1E" w14:textId="45D4C5AC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u w:val="single"/>
          <w:lang w:eastAsia="bg-BG"/>
        </w:rPr>
        <w:t xml:space="preserve">Преминаване от Гликлазид 80 </w:t>
      </w:r>
      <w:r w:rsidRPr="00195112">
        <w:rPr>
          <w:rFonts w:eastAsia="Times New Roman" w:cs="Arial"/>
          <w:color w:val="000000"/>
          <w:u w:val="single"/>
          <w:lang w:val="en-US"/>
        </w:rPr>
        <w:t xml:space="preserve">mg </w:t>
      </w:r>
      <w:r w:rsidRPr="00195112">
        <w:rPr>
          <w:rFonts w:eastAsia="Times New Roman" w:cs="Arial"/>
          <w:color w:val="000000"/>
          <w:u w:val="single"/>
          <w:lang w:eastAsia="bg-BG"/>
        </w:rPr>
        <w:t xml:space="preserve">към Глика </w:t>
      </w:r>
      <w:r w:rsidRPr="00195112">
        <w:rPr>
          <w:rFonts w:eastAsia="Times New Roman" w:cs="Arial"/>
          <w:color w:val="000000"/>
          <w:u w:val="single"/>
          <w:lang w:val="en-US"/>
        </w:rPr>
        <w:t xml:space="preserve">MR </w:t>
      </w:r>
      <w:r w:rsidRPr="00195112">
        <w:rPr>
          <w:rFonts w:eastAsia="Times New Roman" w:cs="Arial"/>
          <w:color w:val="000000"/>
          <w:u w:val="single"/>
          <w:lang w:eastAsia="bg-BG"/>
        </w:rPr>
        <w:t xml:space="preserve">30 </w:t>
      </w:r>
      <w:r w:rsidRPr="00195112">
        <w:rPr>
          <w:rFonts w:eastAsia="Times New Roman" w:cs="Arial"/>
          <w:color w:val="000000"/>
          <w:u w:val="single"/>
          <w:lang w:val="en-US"/>
        </w:rPr>
        <w:t xml:space="preserve">mg </w:t>
      </w:r>
      <w:r w:rsidRPr="00195112">
        <w:rPr>
          <w:rFonts w:eastAsia="Times New Roman" w:cs="Arial"/>
          <w:color w:val="000000"/>
          <w:u w:val="single"/>
          <w:lang w:eastAsia="bg-BG"/>
        </w:rPr>
        <w:t xml:space="preserve">таблетки с удължено освобождаване: </w:t>
      </w:r>
      <w:r w:rsidRPr="00195112">
        <w:rPr>
          <w:rFonts w:eastAsia="Times New Roman" w:cs="Arial"/>
          <w:color w:val="000000"/>
          <w:lang w:eastAsia="bg-BG"/>
        </w:rPr>
        <w:t xml:space="preserve">1 таблетка Гликлазид 80 </w:t>
      </w:r>
      <w:r w:rsidRPr="00195112">
        <w:rPr>
          <w:rFonts w:eastAsia="Times New Roman" w:cs="Arial"/>
          <w:color w:val="000000"/>
          <w:lang w:val="en-US"/>
        </w:rPr>
        <w:t xml:space="preserve">mg </w:t>
      </w:r>
      <w:r w:rsidRPr="00195112">
        <w:rPr>
          <w:rFonts w:eastAsia="Times New Roman" w:cs="Arial"/>
          <w:color w:val="000000"/>
          <w:lang w:eastAsia="bg-BG"/>
        </w:rPr>
        <w:t xml:space="preserve">е.равностойна на 1 таблетка Глика </w:t>
      </w:r>
      <w:r w:rsidRPr="00195112">
        <w:rPr>
          <w:rFonts w:eastAsia="Times New Roman" w:cs="Arial"/>
          <w:color w:val="000000"/>
          <w:lang w:val="en-US"/>
        </w:rPr>
        <w:t xml:space="preserve">MR </w:t>
      </w:r>
      <w:r w:rsidRPr="00195112">
        <w:rPr>
          <w:rFonts w:eastAsia="Times New Roman" w:cs="Arial"/>
          <w:color w:val="000000"/>
          <w:lang w:eastAsia="bg-BG"/>
        </w:rPr>
        <w:t xml:space="preserve">30 </w:t>
      </w:r>
      <w:r w:rsidRPr="00195112">
        <w:rPr>
          <w:rFonts w:eastAsia="Times New Roman" w:cs="Arial"/>
          <w:color w:val="000000"/>
          <w:lang w:val="en-US"/>
        </w:rPr>
        <w:t>mg.</w:t>
      </w:r>
    </w:p>
    <w:p w14:paraId="4BC797D7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Следователно преминаването може да се извърши при внимателно проследяване на кръвната захар.</w:t>
      </w:r>
    </w:p>
    <w:p w14:paraId="3E3657D8" w14:textId="77777777" w:rsidR="00195112" w:rsidRPr="00195112" w:rsidRDefault="00195112" w:rsidP="0019511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318FA0F" w14:textId="0367BFD1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u w:val="single"/>
          <w:lang w:eastAsia="bg-BG"/>
        </w:rPr>
        <w:t xml:space="preserve">Преминаване от друг орален антидиабетен препарат към Глика </w:t>
      </w:r>
      <w:r w:rsidRPr="00195112">
        <w:rPr>
          <w:rFonts w:eastAsia="Times New Roman" w:cs="Arial"/>
          <w:color w:val="000000"/>
          <w:u w:val="single"/>
          <w:lang w:val="en-US"/>
        </w:rPr>
        <w:t xml:space="preserve">MR </w:t>
      </w:r>
      <w:r w:rsidRPr="00195112">
        <w:rPr>
          <w:rFonts w:eastAsia="Times New Roman" w:cs="Arial"/>
          <w:color w:val="000000"/>
          <w:u w:val="single"/>
          <w:lang w:eastAsia="bg-BG"/>
        </w:rPr>
        <w:t xml:space="preserve">30 </w:t>
      </w:r>
      <w:r w:rsidRPr="00195112">
        <w:rPr>
          <w:rFonts w:eastAsia="Times New Roman" w:cs="Arial"/>
          <w:color w:val="000000"/>
          <w:u w:val="single"/>
          <w:lang w:val="en-US"/>
        </w:rPr>
        <w:t xml:space="preserve">mg </w:t>
      </w:r>
      <w:r w:rsidRPr="00195112">
        <w:rPr>
          <w:rFonts w:eastAsia="Times New Roman" w:cs="Arial"/>
          <w:color w:val="000000"/>
          <w:u w:val="single"/>
          <w:lang w:eastAsia="bg-BG"/>
        </w:rPr>
        <w:t>таблетки с удължено освобождаване:</w:t>
      </w:r>
    </w:p>
    <w:p w14:paraId="303DDAF5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 xml:space="preserve">Глика </w:t>
      </w:r>
      <w:r w:rsidRPr="00195112">
        <w:rPr>
          <w:rFonts w:eastAsia="Times New Roman" w:cs="Arial"/>
          <w:color w:val="000000"/>
          <w:lang w:val="en-US"/>
        </w:rPr>
        <w:t xml:space="preserve">MR </w:t>
      </w:r>
      <w:r w:rsidRPr="00195112">
        <w:rPr>
          <w:rFonts w:eastAsia="Times New Roman" w:cs="Arial"/>
          <w:color w:val="000000"/>
          <w:lang w:eastAsia="bg-BG"/>
        </w:rPr>
        <w:t xml:space="preserve">30 </w:t>
      </w:r>
      <w:r w:rsidRPr="00195112">
        <w:rPr>
          <w:rFonts w:eastAsia="Times New Roman" w:cs="Arial"/>
          <w:color w:val="000000"/>
          <w:lang w:val="en-US"/>
        </w:rPr>
        <w:t xml:space="preserve">mg </w:t>
      </w:r>
      <w:r w:rsidRPr="00195112">
        <w:rPr>
          <w:rFonts w:eastAsia="Times New Roman" w:cs="Arial"/>
          <w:color w:val="000000"/>
          <w:lang w:eastAsia="bg-BG"/>
        </w:rPr>
        <w:t>може да замести други антидиабетни средства.</w:t>
      </w:r>
    </w:p>
    <w:p w14:paraId="3FF6207F" w14:textId="77777777" w:rsidR="00195112" w:rsidRPr="00195112" w:rsidRDefault="00195112" w:rsidP="00195112">
      <w:pPr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 xml:space="preserve">При преминаването към Глика </w:t>
      </w:r>
      <w:r w:rsidRPr="00195112">
        <w:rPr>
          <w:rFonts w:eastAsia="Times New Roman" w:cs="Arial"/>
          <w:color w:val="000000"/>
          <w:lang w:val="en-US"/>
        </w:rPr>
        <w:t xml:space="preserve">MR </w:t>
      </w:r>
      <w:r w:rsidRPr="00195112">
        <w:rPr>
          <w:rFonts w:eastAsia="Times New Roman" w:cs="Arial"/>
          <w:color w:val="000000"/>
          <w:lang w:eastAsia="bg-BG"/>
        </w:rPr>
        <w:t xml:space="preserve">30 </w:t>
      </w:r>
      <w:r w:rsidRPr="00195112">
        <w:rPr>
          <w:rFonts w:eastAsia="Times New Roman" w:cs="Arial"/>
          <w:color w:val="000000"/>
          <w:lang w:val="en-US"/>
        </w:rPr>
        <w:t xml:space="preserve">mg </w:t>
      </w:r>
      <w:r w:rsidRPr="00195112">
        <w:rPr>
          <w:rFonts w:eastAsia="Times New Roman" w:cs="Arial"/>
          <w:color w:val="000000"/>
          <w:lang w:eastAsia="bg-BG"/>
        </w:rPr>
        <w:t>трябва да се вземат под внимание дозировката и плазменият полуживот на предхождащия антидиабетен препарат. Обикновено не е необходим</w:t>
      </w:r>
      <w:r>
        <w:rPr>
          <w:rFonts w:eastAsia="Times New Roman" w:cs="Arial"/>
          <w:color w:val="000000"/>
          <w:lang w:val="en-US" w:eastAsia="bg-BG"/>
        </w:rPr>
        <w:t xml:space="preserve"> </w:t>
      </w:r>
      <w:r w:rsidRPr="00195112">
        <w:rPr>
          <w:rFonts w:eastAsia="Times New Roman" w:cs="Arial"/>
          <w:color w:val="000000"/>
          <w:lang w:eastAsia="bg-BG"/>
        </w:rPr>
        <w:t xml:space="preserve">преходен период. Трябва да се прилага начална доза от 30 </w:t>
      </w:r>
      <w:r w:rsidRPr="00195112">
        <w:rPr>
          <w:rFonts w:eastAsia="Times New Roman" w:cs="Arial"/>
          <w:color w:val="000000"/>
          <w:lang w:val="en-US"/>
        </w:rPr>
        <w:t xml:space="preserve">mg </w:t>
      </w:r>
      <w:r w:rsidRPr="00195112">
        <w:rPr>
          <w:rFonts w:eastAsia="Times New Roman" w:cs="Arial"/>
          <w:color w:val="000000"/>
          <w:lang w:eastAsia="bg-BG"/>
        </w:rPr>
        <w:t>и тя трябва да се коригира според промените на кръвната захар на пациента, както е описано по-горе.</w:t>
      </w:r>
    </w:p>
    <w:p w14:paraId="60496E6B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 xml:space="preserve">Ако се преминава от сулфанилуреен хипогликемичен лекарствен продукт с удължен полуживот, е необходимо болният да остане няколко дена без терапия, за да се избегне адитивния ефект на двата продукта, който може да причини хипогликемия. При преминаване към Глика </w:t>
      </w:r>
      <w:r w:rsidRPr="00195112">
        <w:rPr>
          <w:rFonts w:eastAsia="Times New Roman" w:cs="Arial"/>
          <w:color w:val="000000"/>
          <w:lang w:val="en-US"/>
        </w:rPr>
        <w:t xml:space="preserve">MR </w:t>
      </w:r>
      <w:r w:rsidRPr="00195112">
        <w:rPr>
          <w:rFonts w:eastAsia="Times New Roman" w:cs="Arial"/>
          <w:color w:val="000000"/>
          <w:lang w:eastAsia="bg-BG"/>
        </w:rPr>
        <w:t xml:space="preserve">30 </w:t>
      </w:r>
      <w:r w:rsidRPr="00195112">
        <w:rPr>
          <w:rFonts w:eastAsia="Times New Roman" w:cs="Arial"/>
          <w:color w:val="000000"/>
          <w:lang w:val="en-US"/>
        </w:rPr>
        <w:t xml:space="preserve">mg </w:t>
      </w:r>
      <w:r w:rsidRPr="00195112">
        <w:rPr>
          <w:rFonts w:eastAsia="Times New Roman" w:cs="Arial"/>
          <w:color w:val="000000"/>
          <w:lang w:eastAsia="bg-BG"/>
        </w:rPr>
        <w:t xml:space="preserve">трябва да се използва описаната процедура за въвеждащо лечение, т.е. начална доза от 30 </w:t>
      </w:r>
      <w:r w:rsidRPr="00195112">
        <w:rPr>
          <w:rFonts w:eastAsia="Times New Roman" w:cs="Arial"/>
          <w:color w:val="000000"/>
          <w:lang w:val="en-US"/>
        </w:rPr>
        <w:t xml:space="preserve">mg </w:t>
      </w:r>
      <w:r w:rsidRPr="00195112">
        <w:rPr>
          <w:rFonts w:eastAsia="Times New Roman" w:cs="Arial"/>
          <w:color w:val="000000"/>
          <w:lang w:eastAsia="bg-BG"/>
        </w:rPr>
        <w:t>дневно, и в зависимост от метаболитния отговор-последващо постепенно увеличаване на дозата.</w:t>
      </w:r>
    </w:p>
    <w:p w14:paraId="7C1DE73E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u w:val="single"/>
          <w:lang w:eastAsia="bg-BG"/>
        </w:rPr>
        <w:t>Комбинирано прилагане с други антидиабетни препарати:</w:t>
      </w:r>
    </w:p>
    <w:p w14:paraId="223D36B4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 xml:space="preserve">Глика </w:t>
      </w:r>
      <w:r w:rsidRPr="00195112">
        <w:rPr>
          <w:rFonts w:eastAsia="Times New Roman" w:cs="Arial"/>
          <w:color w:val="000000"/>
          <w:lang w:val="en-US"/>
        </w:rPr>
        <w:t xml:space="preserve">MR </w:t>
      </w:r>
      <w:r w:rsidRPr="00195112">
        <w:rPr>
          <w:rFonts w:eastAsia="Times New Roman" w:cs="Arial"/>
          <w:color w:val="000000"/>
          <w:lang w:eastAsia="bg-BG"/>
        </w:rPr>
        <w:t xml:space="preserve">30 </w:t>
      </w:r>
      <w:r w:rsidRPr="00195112">
        <w:rPr>
          <w:rFonts w:eastAsia="Times New Roman" w:cs="Arial"/>
          <w:color w:val="000000"/>
          <w:lang w:val="en-US"/>
        </w:rPr>
        <w:t xml:space="preserve">mg </w:t>
      </w:r>
      <w:r w:rsidRPr="00195112">
        <w:rPr>
          <w:rFonts w:eastAsia="Times New Roman" w:cs="Arial"/>
          <w:color w:val="000000"/>
          <w:lang w:eastAsia="bg-BG"/>
        </w:rPr>
        <w:t>може да се назначава в комбинация с бигваниди, инхибитори на алфа- глюкозидазата или инсулин.</w:t>
      </w:r>
    </w:p>
    <w:p w14:paraId="21685090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 xml:space="preserve">При пациенти, които не са адекватно контролирани с Глика </w:t>
      </w:r>
      <w:r w:rsidRPr="00195112">
        <w:rPr>
          <w:rFonts w:eastAsia="Times New Roman" w:cs="Arial"/>
          <w:color w:val="000000"/>
          <w:lang w:val="en-US"/>
        </w:rPr>
        <w:t xml:space="preserve">MR </w:t>
      </w:r>
      <w:r w:rsidRPr="00195112">
        <w:rPr>
          <w:rFonts w:eastAsia="Times New Roman" w:cs="Arial"/>
          <w:color w:val="000000"/>
          <w:lang w:eastAsia="bg-BG"/>
        </w:rPr>
        <w:t xml:space="preserve">30 </w:t>
      </w:r>
      <w:r w:rsidRPr="00195112">
        <w:rPr>
          <w:rFonts w:eastAsia="Times New Roman" w:cs="Arial"/>
          <w:color w:val="000000"/>
          <w:lang w:val="en-US"/>
        </w:rPr>
        <w:t xml:space="preserve">mg, </w:t>
      </w:r>
      <w:r w:rsidRPr="00195112">
        <w:rPr>
          <w:rFonts w:eastAsia="Times New Roman" w:cs="Arial"/>
          <w:color w:val="000000"/>
          <w:lang w:eastAsia="bg-BG"/>
        </w:rPr>
        <w:t>едновременно лечение с инсулин може да бъде започнато под внимателно лекарско наблюдение.</w:t>
      </w:r>
    </w:p>
    <w:p w14:paraId="39E76E7E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u w:val="single"/>
          <w:lang w:eastAsia="bg-BG"/>
        </w:rPr>
        <w:t>При пациенти в напреднала възраст (над 65 години).</w:t>
      </w:r>
      <w:r w:rsidRPr="00195112">
        <w:rPr>
          <w:rFonts w:eastAsia="Times New Roman" w:cs="Arial"/>
          <w:color w:val="000000"/>
          <w:lang w:eastAsia="bg-BG"/>
        </w:rPr>
        <w:t xml:space="preserve"> Глика </w:t>
      </w:r>
      <w:r w:rsidRPr="00195112">
        <w:rPr>
          <w:rFonts w:eastAsia="Times New Roman" w:cs="Arial"/>
          <w:color w:val="000000"/>
          <w:lang w:val="en-US"/>
        </w:rPr>
        <w:t xml:space="preserve">MR </w:t>
      </w:r>
      <w:r w:rsidRPr="00195112">
        <w:rPr>
          <w:rFonts w:eastAsia="Times New Roman" w:cs="Arial"/>
          <w:color w:val="000000"/>
          <w:lang w:eastAsia="bg-BG"/>
        </w:rPr>
        <w:t xml:space="preserve">30 </w:t>
      </w:r>
      <w:r w:rsidRPr="00195112">
        <w:rPr>
          <w:rFonts w:eastAsia="Times New Roman" w:cs="Arial"/>
          <w:color w:val="000000"/>
          <w:lang w:val="en-US"/>
        </w:rPr>
        <w:t xml:space="preserve">mg </w:t>
      </w:r>
      <w:r w:rsidRPr="00195112">
        <w:rPr>
          <w:rFonts w:eastAsia="Times New Roman" w:cs="Arial"/>
          <w:color w:val="000000"/>
          <w:lang w:eastAsia="bg-BG"/>
        </w:rPr>
        <w:t>трябва да се предписва в същия дозов режим, препоръчван за пациенти на възраст под 65 години. При пациенти с лека до умерена бъбречна недостатъчност може да се използва същия дозов режим, препоръчван за пациенти с нормална бъбречна функция при внимателно проследяване на пациента. Тези данни са потвърдени при клинични проучвания.</w:t>
      </w:r>
    </w:p>
    <w:p w14:paraId="7E86AADE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smallCaps/>
          <w:color w:val="000000"/>
          <w:u w:val="single"/>
          <w:lang w:eastAsia="bg-BG"/>
        </w:rPr>
        <w:t>При</w:t>
      </w:r>
      <w:r w:rsidRPr="00195112">
        <w:rPr>
          <w:rFonts w:eastAsia="Times New Roman" w:cs="Arial"/>
          <w:color w:val="000000"/>
          <w:u w:val="single"/>
          <w:lang w:eastAsia="bg-BG"/>
        </w:rPr>
        <w:t xml:space="preserve"> пациенти с риск от поява на хипогликемия: </w:t>
      </w:r>
      <w:r w:rsidRPr="00195112">
        <w:rPr>
          <w:rFonts w:eastAsia="Times New Roman" w:cs="Arial"/>
          <w:color w:val="000000"/>
          <w:lang w:eastAsia="bg-BG"/>
        </w:rPr>
        <w:t>-с недохранване или неправилно хранене, - с тежки или лошо компенсирани ендокринни заболявания (хипопитуитаризъм, хипотиреоидизъм, адренокортикотропна недостатъчност),</w:t>
      </w:r>
    </w:p>
    <w:p w14:paraId="0F55F15A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- при отмяна на продължителна и/или кортикосгероидна терапия с високи дози, -тежки съдови заболявания (тежка исхемична болест на сърцето, тежки каротидни увреждания, системни съдови заболявания).</w:t>
      </w:r>
    </w:p>
    <w:p w14:paraId="6F18AFFB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 xml:space="preserve">Препоръчва се минималната дневна стартова доза да е 30 </w:t>
      </w:r>
      <w:r w:rsidRPr="00195112">
        <w:rPr>
          <w:rFonts w:eastAsia="Times New Roman" w:cs="Arial"/>
          <w:color w:val="000000"/>
          <w:lang w:val="en-US"/>
        </w:rPr>
        <w:t>mg.</w:t>
      </w:r>
    </w:p>
    <w:p w14:paraId="711C3675" w14:textId="77777777" w:rsidR="00195112" w:rsidRPr="00195112" w:rsidRDefault="00195112" w:rsidP="0019511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124296B" w14:textId="0C45E984" w:rsidR="00195112" w:rsidRPr="00076523" w:rsidRDefault="00195112" w:rsidP="00076523">
      <w:pPr>
        <w:pStyle w:val="Heading3"/>
        <w:rPr>
          <w:rFonts w:eastAsia="Times New Roman"/>
          <w:u w:val="single"/>
          <w:lang w:eastAsia="bg-BG"/>
        </w:rPr>
      </w:pPr>
      <w:r w:rsidRPr="00076523">
        <w:rPr>
          <w:rFonts w:eastAsia="Times New Roman"/>
          <w:u w:val="single"/>
          <w:lang w:eastAsia="bg-BG"/>
        </w:rPr>
        <w:t>Начин на приложение</w:t>
      </w:r>
    </w:p>
    <w:p w14:paraId="475300EC" w14:textId="0355C3D1" w:rsidR="0091385D" w:rsidRPr="00195112" w:rsidRDefault="00195112" w:rsidP="00195112">
      <w:pPr>
        <w:rPr>
          <w:rFonts w:cs="Arial"/>
          <w:lang w:val="en-US"/>
        </w:rPr>
      </w:pPr>
      <w:r w:rsidRPr="00195112">
        <w:rPr>
          <w:rFonts w:eastAsia="Times New Roman" w:cs="Arial"/>
          <w:color w:val="000000"/>
          <w:lang w:eastAsia="bg-BG"/>
        </w:rPr>
        <w:t>За перорално приложение при възрастни.</w:t>
      </w:r>
    </w:p>
    <w:p w14:paraId="6ACAF645" w14:textId="77777777" w:rsidR="0091385D" w:rsidRPr="0091385D" w:rsidRDefault="0091385D" w:rsidP="0091385D"/>
    <w:p w14:paraId="28C984E8" w14:textId="0756AE28" w:rsidR="008134C8" w:rsidRDefault="002C50EE" w:rsidP="004A448E">
      <w:pPr>
        <w:pStyle w:val="Heading2"/>
      </w:pPr>
      <w:r>
        <w:t>4.3. Противопоказания</w:t>
      </w:r>
    </w:p>
    <w:p w14:paraId="2363D607" w14:textId="48168570" w:rsidR="0091385D" w:rsidRDefault="0091385D" w:rsidP="0091385D"/>
    <w:p w14:paraId="1C7DE5AF" w14:textId="77777777" w:rsidR="00195112" w:rsidRDefault="00195112" w:rsidP="00195112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lastRenderedPageBreak/>
        <w:t xml:space="preserve">Гликлазид </w:t>
      </w:r>
      <w:r>
        <w:rPr>
          <w:rFonts w:eastAsia="Times New Roman" w:cs="Arial"/>
          <w:color w:val="000000"/>
          <w:lang w:eastAsia="bg-BG"/>
        </w:rPr>
        <w:t xml:space="preserve">не следва да се използва при: </w:t>
      </w:r>
    </w:p>
    <w:p w14:paraId="024680EA" w14:textId="2E83C06C" w:rsidR="00195112" w:rsidRPr="00195112" w:rsidRDefault="00195112" w:rsidP="00195112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пациенти с установена свръхчувствителност към активното вещество или към някое от помощните вещества, изброени в точка 6.1;</w:t>
      </w:r>
    </w:p>
    <w:p w14:paraId="4916F944" w14:textId="77777777" w:rsidR="00195112" w:rsidRDefault="00195112" w:rsidP="00195112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други сулфанилурейни или подобни лекарствени продукти;</w:t>
      </w:r>
    </w:p>
    <w:p w14:paraId="05E23110" w14:textId="77777777" w:rsidR="00195112" w:rsidRDefault="00195112" w:rsidP="00195112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диабетна прекома или кома; диабет усложнен с кетоза и ацидоза</w:t>
      </w:r>
    </w:p>
    <w:p w14:paraId="4F9C9EB0" w14:textId="77777777" w:rsidR="00195112" w:rsidRDefault="00195112" w:rsidP="00195112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диабет тип I;</w:t>
      </w:r>
    </w:p>
    <w:p w14:paraId="50A91770" w14:textId="77777777" w:rsidR="00195112" w:rsidRDefault="00195112" w:rsidP="00195112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диабетици, подлежащи на операция, след тежка травма, при инфекции;</w:t>
      </w:r>
    </w:p>
    <w:p w14:paraId="6FD49F23" w14:textId="77777777" w:rsidR="00195112" w:rsidRDefault="00195112" w:rsidP="00195112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тежка бъбречна или чернодробна недостатъчност (в тези случаи е препоръчително използването на инсулин);</w:t>
      </w:r>
    </w:p>
    <w:p w14:paraId="1FBDABD1" w14:textId="77777777" w:rsidR="00195112" w:rsidRDefault="00195112" w:rsidP="00195112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терапи</w:t>
      </w:r>
      <w:r>
        <w:rPr>
          <w:rFonts w:eastAsia="Times New Roman" w:cs="Arial"/>
          <w:color w:val="000000"/>
          <w:lang w:eastAsia="bg-BG"/>
        </w:rPr>
        <w:t xml:space="preserve">я с миконазол (виж точка 4.5) </w:t>
      </w:r>
    </w:p>
    <w:p w14:paraId="2309EAB0" w14:textId="60BF2364" w:rsidR="0091385D" w:rsidRPr="00195112" w:rsidRDefault="00195112" w:rsidP="00195112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кърмене (виж точка 4.6).</w:t>
      </w:r>
    </w:p>
    <w:p w14:paraId="31B39DC6" w14:textId="77777777" w:rsidR="0091385D" w:rsidRPr="0091385D" w:rsidRDefault="0091385D" w:rsidP="0091385D"/>
    <w:p w14:paraId="212F509C" w14:textId="52B87D4F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0AAC2B60" w14:textId="0A08B607" w:rsidR="0091385D" w:rsidRDefault="0091385D" w:rsidP="0091385D"/>
    <w:p w14:paraId="23172B29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i/>
          <w:iCs/>
          <w:color w:val="000000"/>
          <w:u w:val="single"/>
          <w:lang w:eastAsia="bg-BG"/>
        </w:rPr>
        <w:t>Хипогликемия</w:t>
      </w:r>
    </w:p>
    <w:p w14:paraId="4ADF8B4D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Препаратът следва да се предписва само на пациенти, които се хранят редовно (включително закусват). Важно е пациентите редовно да приемат въглехидрати поради повишения риск от хипогликемия: когато яденето се приема късно, когато се консумира недостатъчно количество храна или когато храната е бедна на въглехидрати. Хипогликемия се появява понякога по време на нискокалорични диети, след продължително или усилено физическо натоварване, употреба на алкохол или в случай на комбинирано прилагане на хипогликемични препарати.</w:t>
      </w:r>
    </w:p>
    <w:p w14:paraId="0B3BEE35" w14:textId="7CEFE6C8" w:rsidR="0091385D" w:rsidRPr="00195112" w:rsidRDefault="00195112" w:rsidP="00195112">
      <w:pPr>
        <w:rPr>
          <w:rFonts w:cs="Arial"/>
        </w:rPr>
      </w:pPr>
      <w:r w:rsidRPr="00195112">
        <w:rPr>
          <w:rFonts w:eastAsia="Times New Roman" w:cs="Arial"/>
          <w:color w:val="000000"/>
          <w:lang w:eastAsia="bg-BG"/>
        </w:rPr>
        <w:t>Хипогликемия може да се появи след прилагане на сулфанилурейни препарати (виж точка 4.8). Някои случаи могат да бъдат тежки и продължителни. Може да се наложи хоспитализация и прилагането на глюкоза да продължи няколко дни.</w:t>
      </w:r>
    </w:p>
    <w:p w14:paraId="24E3E82F" w14:textId="2E87B85F" w:rsidR="0091385D" w:rsidRDefault="0091385D" w:rsidP="0091385D"/>
    <w:p w14:paraId="60EBFF48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За да бъде намален рискът от хипогликемични епизоди са необходими щателна селекция на пациентите, които увеличават риска от хипогликемия. Фактори, които увеличават риска от хипогликемия:</w:t>
      </w:r>
    </w:p>
    <w:p w14:paraId="58AD5202" w14:textId="77777777" w:rsidR="00195112" w:rsidRPr="00195112" w:rsidRDefault="00195112" w:rsidP="00195112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Пациентът отказва или (особено при индивиди в напреднала възраст) не е способен да сътрудничи на лечението,</w:t>
      </w:r>
    </w:p>
    <w:p w14:paraId="0C30034D" w14:textId="77777777" w:rsidR="00195112" w:rsidRPr="00195112" w:rsidRDefault="00195112" w:rsidP="00195112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Недохранване, нередовно хранене, пропускане на поредно хранене, периоди на гладуване или промени в диетата,</w:t>
      </w:r>
    </w:p>
    <w:p w14:paraId="28FB5C05" w14:textId="77777777" w:rsidR="00195112" w:rsidRPr="00195112" w:rsidRDefault="00195112" w:rsidP="00195112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Несъответствие между физическото натоварване и приема на въглехидрати,</w:t>
      </w:r>
    </w:p>
    <w:p w14:paraId="4E05E463" w14:textId="77777777" w:rsidR="00195112" w:rsidRPr="00195112" w:rsidRDefault="00195112" w:rsidP="00195112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Бъбречна недостатъчност,</w:t>
      </w:r>
    </w:p>
    <w:p w14:paraId="5317891F" w14:textId="77777777" w:rsidR="00195112" w:rsidRPr="00195112" w:rsidRDefault="00195112" w:rsidP="00195112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Тежка чернодробна недостатъчност,</w:t>
      </w:r>
    </w:p>
    <w:p w14:paraId="48F45E53" w14:textId="77777777" w:rsidR="00195112" w:rsidRPr="00195112" w:rsidRDefault="00195112" w:rsidP="00195112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 xml:space="preserve">Предозиране с Глика </w:t>
      </w:r>
      <w:r w:rsidRPr="00195112">
        <w:rPr>
          <w:rFonts w:eastAsia="Times New Roman" w:cs="Arial"/>
          <w:color w:val="000000"/>
          <w:lang w:val="en-US"/>
        </w:rPr>
        <w:t xml:space="preserve">MR </w:t>
      </w:r>
      <w:r w:rsidRPr="00195112">
        <w:rPr>
          <w:rFonts w:eastAsia="Times New Roman" w:cs="Arial"/>
          <w:color w:val="000000"/>
          <w:lang w:eastAsia="bg-BG"/>
        </w:rPr>
        <w:t xml:space="preserve">30 </w:t>
      </w:r>
      <w:r w:rsidRPr="00195112">
        <w:rPr>
          <w:rFonts w:eastAsia="Times New Roman" w:cs="Arial"/>
          <w:color w:val="000000"/>
          <w:lang w:val="en-US"/>
        </w:rPr>
        <w:t>mg,</w:t>
      </w:r>
    </w:p>
    <w:p w14:paraId="61D37DDA" w14:textId="77777777" w:rsidR="00195112" w:rsidRPr="00195112" w:rsidRDefault="00195112" w:rsidP="00195112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Някои ендокринни заболявания: болести на щитовидната жлеза, хипопитуитаризъм и надбъбречна недостатъчност,</w:t>
      </w:r>
    </w:p>
    <w:p w14:paraId="098FFD06" w14:textId="77777777" w:rsidR="00195112" w:rsidRPr="00195112" w:rsidRDefault="00195112" w:rsidP="00195112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Комбинирано прилагане с други медикаменти (виж точка 4.5).</w:t>
      </w:r>
    </w:p>
    <w:p w14:paraId="5C0C71A4" w14:textId="77777777" w:rsidR="00195112" w:rsidRPr="00195112" w:rsidRDefault="00195112" w:rsidP="0019511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3EA8713" w14:textId="1DBC4E16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u w:val="single"/>
          <w:lang w:eastAsia="bg-BG"/>
        </w:rPr>
        <w:t>Бъбречна и чернодробна недостатъчност</w:t>
      </w:r>
    </w:p>
    <w:p w14:paraId="152104FE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Фармакокинетиката и/или фармакодинамиката на гликлазид може да се измени при пациенти с чернодробни и/или тежка бъбречна недостатъчност Хипогликемичните епизоди, възникващи при такива пациенти, могат да бъдат продължителни, така че е необходимо провеждането на съответно лечение.</w:t>
      </w:r>
    </w:p>
    <w:p w14:paraId="77082275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</w:p>
    <w:p w14:paraId="28FD9268" w14:textId="2EC92E76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u w:val="single"/>
          <w:lang w:eastAsia="bg-BG"/>
        </w:rPr>
        <w:t>Информация за пациента:</w:t>
      </w:r>
    </w:p>
    <w:p w14:paraId="22E664B8" w14:textId="2405B069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На пациента и на членовете на семейството трябва да бъдат обяснени рисковете за хипогликемия, както и нейните симптоми, лечение и фактори, предразполагащи за нейното развитие.</w:t>
      </w:r>
    </w:p>
    <w:p w14:paraId="7BB29E83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Пациентите трябва да бъдат информирани за важността да следват указанията за диета, редовно физическо натоварване и редовно контролиране на стойностите на кръвната захар.</w:t>
      </w:r>
    </w:p>
    <w:p w14:paraId="4DF27948" w14:textId="77777777" w:rsidR="00195112" w:rsidRPr="00195112" w:rsidRDefault="00195112" w:rsidP="0019511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E780639" w14:textId="0E1EC82F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u w:val="single"/>
          <w:lang w:eastAsia="bg-BG"/>
        </w:rPr>
        <w:t>Недостатъчен контрол на кръвната захар:</w:t>
      </w:r>
      <w:r w:rsidRPr="00195112">
        <w:rPr>
          <w:rFonts w:eastAsia="Times New Roman" w:cs="Arial"/>
          <w:color w:val="000000"/>
          <w:lang w:eastAsia="bg-BG"/>
        </w:rPr>
        <w:t xml:space="preserve"> </w:t>
      </w:r>
      <w:r w:rsidRPr="00195112">
        <w:rPr>
          <w:rFonts w:eastAsia="Times New Roman" w:cs="Arial"/>
          <w:smallCaps/>
          <w:color w:val="000000"/>
          <w:lang w:eastAsia="bg-BG"/>
        </w:rPr>
        <w:t>контролът</w:t>
      </w:r>
      <w:r w:rsidRPr="00195112">
        <w:rPr>
          <w:rFonts w:eastAsia="Times New Roman" w:cs="Arial"/>
          <w:color w:val="000000"/>
          <w:lang w:eastAsia="bg-BG"/>
        </w:rPr>
        <w:t xml:space="preserve"> на кръвната захар при пациенти, приемащи антидиабетични препарати, може да се влоши при следните обстоятелства: температура, травма, инфекция или хирургична интервенция. В някои случаи може да се наложи прилагането на инсулин.</w:t>
      </w:r>
    </w:p>
    <w:p w14:paraId="73D3933E" w14:textId="77777777" w:rsidR="00195112" w:rsidRPr="00195112" w:rsidRDefault="00195112" w:rsidP="0019511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D936B49" w14:textId="6A23A090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Хипогликемичният ефект на всеки орален антидиабетен препарат, включително на гликлазид, при много пациенти намалява с времето: това може да се дължи на прогресирането на тежестта на диабета или на намаляването на терапевтичния отговор. Този феномен е известен като вторична недостатъчност, която се различава от първичната недостатъчност, когато при първоначалното прилагане на активната субстанция не се наблюдава ефект. Преди да се определи дали пациентът е с вторична недостатъчност, трябва да се обсъди въпросът за правилния избор на дозата и спазването на диетичния режим.</w:t>
      </w:r>
    </w:p>
    <w:p w14:paraId="13AF1537" w14:textId="77777777" w:rsidR="00195112" w:rsidRPr="00195112" w:rsidRDefault="00195112" w:rsidP="0019511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B879A4D" w14:textId="16C4B70C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u w:val="single"/>
          <w:lang w:eastAsia="bg-BG"/>
        </w:rPr>
        <w:t xml:space="preserve">Лабораторни показатели: </w:t>
      </w:r>
      <w:r w:rsidRPr="00195112">
        <w:rPr>
          <w:rFonts w:eastAsia="Times New Roman" w:cs="Arial"/>
          <w:color w:val="000000"/>
          <w:lang w:eastAsia="bg-BG"/>
        </w:rPr>
        <w:t>За оценка на кръвно-захарния контрол се препоръчва измерване на нивата на гликирания хемоглобин (или кръвна захар на гладно). Може да бъде полезно и проследяването на кръвната захар от самия пациент.</w:t>
      </w:r>
    </w:p>
    <w:p w14:paraId="6DE31669" w14:textId="77777777" w:rsidR="00195112" w:rsidRPr="00195112" w:rsidRDefault="00195112" w:rsidP="00195112">
      <w:pPr>
        <w:rPr>
          <w:rFonts w:eastAsia="Times New Roman" w:cs="Arial"/>
          <w:color w:val="000000"/>
          <w:lang w:eastAsia="bg-BG"/>
        </w:rPr>
      </w:pPr>
    </w:p>
    <w:p w14:paraId="27B8F1B9" w14:textId="3ECD87E4" w:rsidR="00195112" w:rsidRPr="00195112" w:rsidRDefault="00195112" w:rsidP="00195112">
      <w:pPr>
        <w:rPr>
          <w:rFonts w:cs="Arial"/>
        </w:rPr>
      </w:pPr>
      <w:r w:rsidRPr="00195112">
        <w:rPr>
          <w:rFonts w:eastAsia="Times New Roman" w:cs="Arial"/>
          <w:color w:val="000000"/>
          <w:lang w:eastAsia="bg-BG"/>
        </w:rPr>
        <w:t>Лечението при пациенти с дефицит на глюкозо-6-фосфатна дехидрогеназа със сулфунилурейни препарати може да доведе до хемолитична анемия. Тъй като гликлазид принадлежи към химичната група на сулфунилурейните препарати, при пациенти с дефицит на глюкозо-6- фосфатна дехидрогеназа е необходимо повишено внимание и трябва да се обсъди алтернативно лечение с несулфанилурейни препарати.</w:t>
      </w:r>
    </w:p>
    <w:p w14:paraId="0B754FEC" w14:textId="77777777" w:rsidR="00195112" w:rsidRPr="0091385D" w:rsidRDefault="00195112" w:rsidP="0091385D"/>
    <w:p w14:paraId="619DED1E" w14:textId="564F257F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355E4B7C" w14:textId="7D829F6C" w:rsidR="0091385D" w:rsidRDefault="0091385D" w:rsidP="0091385D"/>
    <w:p w14:paraId="6556D3A3" w14:textId="77777777" w:rsidR="00195112" w:rsidRPr="00195112" w:rsidRDefault="00195112" w:rsidP="00195112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u w:val="single"/>
          <w:lang w:eastAsia="bg-BG"/>
        </w:rPr>
      </w:pPr>
      <w:r w:rsidRPr="00195112">
        <w:rPr>
          <w:rFonts w:eastAsia="Times New Roman" w:cs="Arial"/>
          <w:color w:val="000000"/>
          <w:u w:val="single"/>
          <w:lang w:eastAsia="bg-BG"/>
        </w:rPr>
        <w:t xml:space="preserve">Следните препарати повишават риска от хипогликемия </w:t>
      </w:r>
      <w:r w:rsidRPr="00195112">
        <w:rPr>
          <w:rFonts w:eastAsia="Times New Roman" w:cs="Arial"/>
          <w:i/>
          <w:iCs/>
          <w:color w:val="000000"/>
          <w:u w:val="single"/>
          <w:lang w:eastAsia="bg-BG"/>
        </w:rPr>
        <w:t>Комбинации, които са противопоказани</w:t>
      </w:r>
    </w:p>
    <w:p w14:paraId="172AE819" w14:textId="4F0211A5" w:rsidR="0091385D" w:rsidRPr="00195112" w:rsidRDefault="00195112" w:rsidP="00195112">
      <w:pPr>
        <w:rPr>
          <w:rFonts w:cs="Arial"/>
        </w:rPr>
      </w:pPr>
      <w:r w:rsidRPr="00195112">
        <w:rPr>
          <w:rFonts w:eastAsia="Times New Roman" w:cs="Arial"/>
          <w:b/>
          <w:bCs/>
          <w:color w:val="000000"/>
          <w:lang w:eastAsia="bg-BG"/>
        </w:rPr>
        <w:t xml:space="preserve">Миконазол </w:t>
      </w:r>
      <w:r w:rsidRPr="00195112">
        <w:rPr>
          <w:rFonts w:eastAsia="Times New Roman" w:cs="Arial"/>
          <w:color w:val="000000"/>
          <w:lang w:eastAsia="bg-BG"/>
        </w:rPr>
        <w:t>(системно приложение, оромукозен гел): повишава хипогликемичния ефект с възможна поява на симптоми на хипогликемия и дори кома.</w:t>
      </w:r>
    </w:p>
    <w:p w14:paraId="5B2761C5" w14:textId="1D6BC355" w:rsidR="0091385D" w:rsidRPr="00195112" w:rsidRDefault="0091385D" w:rsidP="0091385D">
      <w:pPr>
        <w:rPr>
          <w:rFonts w:cs="Arial"/>
        </w:rPr>
      </w:pPr>
    </w:p>
    <w:p w14:paraId="2EFF56BF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i/>
          <w:iCs/>
          <w:color w:val="000000"/>
          <w:u w:val="single"/>
          <w:lang w:eastAsia="bg-BG"/>
        </w:rPr>
        <w:t>Комбинации, които не се препоръчват</w:t>
      </w:r>
    </w:p>
    <w:p w14:paraId="14AF9ECD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b/>
          <w:bCs/>
          <w:color w:val="000000"/>
          <w:lang w:eastAsia="bg-BG"/>
        </w:rPr>
        <w:t>-</w:t>
      </w:r>
      <w:r w:rsidRPr="00195112">
        <w:rPr>
          <w:rFonts w:eastAsia="Times New Roman" w:cs="Arial"/>
          <w:b/>
          <w:bCs/>
          <w:color w:val="000000"/>
          <w:lang w:eastAsia="bg-BG"/>
        </w:rPr>
        <w:tab/>
        <w:t xml:space="preserve">Фенилбутазон </w:t>
      </w:r>
      <w:r w:rsidRPr="00195112">
        <w:rPr>
          <w:rFonts w:eastAsia="Times New Roman" w:cs="Arial"/>
          <w:color w:val="000000"/>
          <w:lang w:eastAsia="bg-BG"/>
        </w:rPr>
        <w:t>(системно приложение)повишава хипогликемичния ефект на сулфанилурейните препарати (измества ги от местата на свързване към плазмените протеини и/или намалява тяхното елиминиране).</w:t>
      </w:r>
    </w:p>
    <w:p w14:paraId="306BE7E7" w14:textId="39606169" w:rsidR="00195112" w:rsidRPr="00195112" w:rsidRDefault="00195112" w:rsidP="00195112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 xml:space="preserve">За предпочитане е да се използват други противовъзпалителни средства или в други случаи да се предупреди пациентът и да се подчертае важността на самоконтрола на кръвната захар. Когато е необходимо, по време на лечението и след лечението с </w:t>
      </w:r>
      <w:r w:rsidRPr="00195112">
        <w:rPr>
          <w:rFonts w:eastAsia="Times New Roman" w:cs="Arial"/>
          <w:color w:val="000000"/>
          <w:lang w:eastAsia="bg-BG"/>
        </w:rPr>
        <w:lastRenderedPageBreak/>
        <w:t>противовъзпалителното средство, дозата на антидиабетния препарат може да се коригира.</w:t>
      </w:r>
    </w:p>
    <w:p w14:paraId="4185B9BC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</w:p>
    <w:p w14:paraId="36AC630F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b/>
          <w:bCs/>
          <w:color w:val="000000"/>
          <w:lang w:eastAsia="bg-BG"/>
        </w:rPr>
        <w:t>-</w:t>
      </w:r>
      <w:r w:rsidRPr="00195112">
        <w:rPr>
          <w:rFonts w:eastAsia="Times New Roman" w:cs="Arial"/>
          <w:b/>
          <w:bCs/>
          <w:color w:val="000000"/>
          <w:lang w:eastAsia="bg-BG"/>
        </w:rPr>
        <w:tab/>
        <w:t xml:space="preserve">Алкохол: </w:t>
      </w:r>
      <w:r w:rsidRPr="00195112">
        <w:rPr>
          <w:rFonts w:eastAsia="Times New Roman" w:cs="Arial"/>
          <w:color w:val="000000"/>
          <w:lang w:eastAsia="bg-BG"/>
        </w:rPr>
        <w:t>повишава хипогликемичното действие (чрез инхибиране на компенсаторни механизми), което може да доведе до поява на хипогликемична кома.</w:t>
      </w:r>
    </w:p>
    <w:p w14:paraId="0E60FDA2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Да се избягва консумацията на алкохол и на лекарствени продукти, съдържащи алкохол.</w:t>
      </w:r>
    </w:p>
    <w:p w14:paraId="3FFDDB94" w14:textId="77777777" w:rsidR="00195112" w:rsidRPr="00195112" w:rsidRDefault="00195112" w:rsidP="0019511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39EEF8C2" w14:textId="42332ACD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i/>
          <w:iCs/>
          <w:color w:val="000000"/>
          <w:u w:val="single"/>
          <w:lang w:eastAsia="bg-BG"/>
        </w:rPr>
        <w:t>Комбинации, изискващи предпазни мерки при употреба</w:t>
      </w:r>
    </w:p>
    <w:p w14:paraId="1FC9FA34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Засилване на ефекта на понижаване на кръвната захар и по тази причина в някои случаи може да настъпи хипогликемия при приемане на някой от следните лекарствени продукти:</w:t>
      </w:r>
    </w:p>
    <w:p w14:paraId="22905A8F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Други антидиабетни препарати (инсулин, акарбоза, бигвиниди), бета-блокери, флуконазол, инхибитори на ангиотензин-конвертиращия ензим (каптоприл, еналаприл), Н</w:t>
      </w:r>
      <w:r w:rsidRPr="00195112">
        <w:rPr>
          <w:rFonts w:eastAsia="Times New Roman" w:cs="Arial"/>
          <w:color w:val="000000"/>
          <w:vertAlign w:val="subscript"/>
          <w:lang w:eastAsia="bg-BG"/>
        </w:rPr>
        <w:t>2</w:t>
      </w:r>
      <w:r w:rsidRPr="00195112">
        <w:rPr>
          <w:rFonts w:eastAsia="Times New Roman" w:cs="Arial"/>
          <w:color w:val="000000"/>
          <w:lang w:eastAsia="bg-BG"/>
        </w:rPr>
        <w:t>-рецепторни антагонисти, МАО инхибитори, сулфонамиди, нестероидни противовъзпалителни средства.</w:t>
      </w:r>
    </w:p>
    <w:p w14:paraId="3A3D6F15" w14:textId="77777777" w:rsidR="00195112" w:rsidRPr="00195112" w:rsidRDefault="00195112" w:rsidP="0019511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6EEE63C" w14:textId="08DDA632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2)</w:t>
      </w:r>
      <w:r w:rsidRPr="00195112">
        <w:rPr>
          <w:rFonts w:eastAsia="Times New Roman" w:cs="Arial"/>
          <w:color w:val="000000"/>
          <w:u w:val="single"/>
          <w:lang w:eastAsia="bg-BG"/>
        </w:rPr>
        <w:tab/>
        <w:t>Следните препарати могат да предизвикат повишаване на стойностите на кръвната захар</w:t>
      </w:r>
    </w:p>
    <w:p w14:paraId="33EC6ECE" w14:textId="77777777" w:rsidR="00195112" w:rsidRPr="00195112" w:rsidRDefault="00195112" w:rsidP="0019511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66034DCF" w14:textId="61DB44D4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i/>
          <w:iCs/>
          <w:color w:val="000000"/>
          <w:u w:val="single"/>
          <w:lang w:eastAsia="bg-BG"/>
        </w:rPr>
        <w:t>Комбинации, които не се препоръчват</w:t>
      </w:r>
    </w:p>
    <w:p w14:paraId="27CCD904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b/>
          <w:bCs/>
          <w:color w:val="000000"/>
          <w:lang w:eastAsia="bg-BG"/>
        </w:rPr>
        <w:t>-</w:t>
      </w:r>
      <w:r w:rsidRPr="00195112">
        <w:rPr>
          <w:rFonts w:eastAsia="Times New Roman" w:cs="Arial"/>
          <w:b/>
          <w:bCs/>
          <w:color w:val="000000"/>
          <w:lang w:eastAsia="bg-BG"/>
        </w:rPr>
        <w:tab/>
        <w:t xml:space="preserve">Даназол: </w:t>
      </w:r>
      <w:r w:rsidRPr="00195112">
        <w:rPr>
          <w:rFonts w:eastAsia="Times New Roman" w:cs="Arial"/>
          <w:color w:val="000000"/>
          <w:lang w:eastAsia="bg-BG"/>
        </w:rPr>
        <w:t>диабетогонен ефект на даназол.</w:t>
      </w:r>
    </w:p>
    <w:p w14:paraId="78AE279F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Ако използването на това активно вещество не може да се избегне, да се предупреди пациента и да се подчертае, че е важно да се контролира глюкозата в урината и кръвната захар. Може да се наложи да се коригира дозата на антидиабетния препарат по време на лечение и след лечение с диназол.</w:t>
      </w:r>
    </w:p>
    <w:p w14:paraId="588A930A" w14:textId="77777777" w:rsidR="00195112" w:rsidRPr="00195112" w:rsidRDefault="00195112" w:rsidP="0019511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4C32EF4E" w14:textId="10639CFF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i/>
          <w:iCs/>
          <w:color w:val="000000"/>
          <w:u w:val="single"/>
          <w:lang w:eastAsia="bg-BG"/>
        </w:rPr>
        <w:t>Комбинации, изискващи предпазни мерки при употреба</w:t>
      </w:r>
    </w:p>
    <w:p w14:paraId="59135694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-</w:t>
      </w:r>
      <w:r w:rsidRPr="00195112">
        <w:rPr>
          <w:rFonts w:eastAsia="Times New Roman" w:cs="Arial"/>
          <w:color w:val="000000"/>
          <w:lang w:eastAsia="bg-BG"/>
        </w:rPr>
        <w:tab/>
      </w:r>
      <w:r w:rsidRPr="00195112">
        <w:rPr>
          <w:rFonts w:eastAsia="Times New Roman" w:cs="Arial"/>
          <w:b/>
          <w:color w:val="000000"/>
          <w:lang w:eastAsia="bg-BG"/>
        </w:rPr>
        <w:t>Хлорпромазин (невролептик):</w:t>
      </w:r>
      <w:r w:rsidRPr="00195112">
        <w:rPr>
          <w:rFonts w:eastAsia="Times New Roman" w:cs="Arial"/>
          <w:color w:val="000000"/>
          <w:lang w:eastAsia="bg-BG"/>
        </w:rPr>
        <w:t xml:space="preserve"> високи дози над 100 </w:t>
      </w:r>
      <w:r w:rsidRPr="00195112">
        <w:rPr>
          <w:rFonts w:eastAsia="Times New Roman" w:cs="Arial"/>
          <w:color w:val="000000"/>
          <w:lang w:val="en-US"/>
        </w:rPr>
        <w:t xml:space="preserve">mg </w:t>
      </w:r>
      <w:r w:rsidRPr="00195112">
        <w:rPr>
          <w:rFonts w:eastAsia="Times New Roman" w:cs="Arial"/>
          <w:color w:val="000000"/>
          <w:lang w:eastAsia="bg-BG"/>
        </w:rPr>
        <w:t>дневно хлорпромазин, повишават нивото на кръвната захар (намалено освобождаване на инсулин).</w:t>
      </w:r>
    </w:p>
    <w:p w14:paraId="55ED6466" w14:textId="5737CD82" w:rsidR="00195112" w:rsidRPr="00195112" w:rsidRDefault="00195112" w:rsidP="00195112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Да се предупреди пациента и да се подчертае, че е важно да се контролира кръвната захар. Може да се наложи да се коригира дозата на антидиабетното активно вещество по време на лечението и след лечението с невролептичния препарат.</w:t>
      </w:r>
    </w:p>
    <w:p w14:paraId="12D3DD21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</w:p>
    <w:p w14:paraId="0F3187D5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b/>
          <w:bCs/>
          <w:color w:val="000000"/>
          <w:lang w:eastAsia="bg-BG"/>
        </w:rPr>
        <w:t>-</w:t>
      </w:r>
      <w:r w:rsidRPr="00195112">
        <w:rPr>
          <w:rFonts w:eastAsia="Times New Roman" w:cs="Arial"/>
          <w:b/>
          <w:bCs/>
          <w:color w:val="000000"/>
          <w:lang w:eastAsia="bg-BG"/>
        </w:rPr>
        <w:tab/>
        <w:t xml:space="preserve">Глюкокортнкоиди </w:t>
      </w:r>
      <w:r w:rsidRPr="00195112">
        <w:rPr>
          <w:rFonts w:eastAsia="Times New Roman" w:cs="Arial"/>
          <w:color w:val="000000"/>
          <w:lang w:eastAsia="bg-BG"/>
        </w:rPr>
        <w:t>(системно и локално приложение: вътреставни, кожни и ректални препарати) и тетракосактрин: повишават нивата на кръвната захар с възможна кетоза (понижена толерантност към въглехидрати, предизвикана от глюкокортикоидите).</w:t>
      </w:r>
    </w:p>
    <w:p w14:paraId="7A34A3A2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Да се предупреди пациента и да се и да се подчертае, че е важно, особено в началото на лечението, да се контролира нивото на кръвната захар. Може да се наложи да се коригира дозата на активното антидиабетно вещество по време на лечението и след лечението с глюкокортикоиди.</w:t>
      </w:r>
    </w:p>
    <w:p w14:paraId="507672F7" w14:textId="64D6F9DA" w:rsidR="00195112" w:rsidRPr="00195112" w:rsidRDefault="00195112" w:rsidP="00195112">
      <w:pPr>
        <w:spacing w:line="240" w:lineRule="auto"/>
        <w:rPr>
          <w:rFonts w:eastAsia="Times New Roman" w:cs="Arial"/>
          <w:b/>
          <w:bCs/>
          <w:color w:val="000000"/>
          <w:lang w:val="en-US"/>
        </w:rPr>
      </w:pPr>
      <w:bookmarkStart w:id="1" w:name="bookmark0"/>
      <w:r w:rsidRPr="00195112">
        <w:rPr>
          <w:rFonts w:eastAsia="Times New Roman" w:cs="Arial"/>
          <w:b/>
          <w:bCs/>
          <w:color w:val="000000"/>
          <w:lang w:eastAsia="bg-BG"/>
        </w:rPr>
        <w:t>-</w:t>
      </w:r>
      <w:r w:rsidRPr="00195112">
        <w:rPr>
          <w:rFonts w:eastAsia="Times New Roman" w:cs="Arial"/>
          <w:b/>
          <w:bCs/>
          <w:color w:val="000000"/>
          <w:lang w:eastAsia="bg-BG"/>
        </w:rPr>
        <w:tab/>
        <w:t xml:space="preserve">Ритодрин, салбутамол, тербуталин </w:t>
      </w:r>
      <w:r w:rsidRPr="00195112">
        <w:rPr>
          <w:rFonts w:eastAsia="Times New Roman" w:cs="Arial"/>
          <w:b/>
          <w:bCs/>
          <w:color w:val="000000"/>
          <w:lang w:val="en-US"/>
        </w:rPr>
        <w:t>(</w:t>
      </w:r>
      <w:proofErr w:type="spellStart"/>
      <w:r w:rsidRPr="00195112">
        <w:rPr>
          <w:rFonts w:eastAsia="Times New Roman" w:cs="Arial"/>
          <w:b/>
          <w:bCs/>
          <w:color w:val="000000"/>
          <w:lang w:val="en-US"/>
        </w:rPr>
        <w:t>i.v.</w:t>
      </w:r>
      <w:proofErr w:type="spellEnd"/>
      <w:r w:rsidRPr="00195112">
        <w:rPr>
          <w:rFonts w:eastAsia="Times New Roman" w:cs="Arial"/>
          <w:b/>
          <w:bCs/>
          <w:color w:val="000000"/>
          <w:lang w:val="en-US"/>
        </w:rPr>
        <w:t>)</w:t>
      </w:r>
      <w:bookmarkEnd w:id="1"/>
    </w:p>
    <w:p w14:paraId="263C093F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</w:p>
    <w:p w14:paraId="6B2543F8" w14:textId="580FD6F3" w:rsidR="00195112" w:rsidRPr="00195112" w:rsidRDefault="00195112" w:rsidP="00195112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Повишени стойности на кръвната захар във връзка с ефектите на бета-2-агонисти. Да се подчертае, че е важно да се контролира нивото на кръвната захар. Ако е необходимо да се премине към инсулин.</w:t>
      </w:r>
    </w:p>
    <w:p w14:paraId="72B61957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</w:p>
    <w:p w14:paraId="0FAD83EC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3)К</w:t>
      </w:r>
      <w:r w:rsidRPr="00195112">
        <w:rPr>
          <w:rFonts w:eastAsia="Times New Roman" w:cs="Arial"/>
          <w:color w:val="000000"/>
          <w:u w:val="single"/>
          <w:lang w:eastAsia="bg-BG"/>
        </w:rPr>
        <w:t>омбинапии, които трябва да се вземат под внимание</w:t>
      </w:r>
    </w:p>
    <w:p w14:paraId="0EAAADE8" w14:textId="77777777" w:rsidR="00195112" w:rsidRPr="00195112" w:rsidRDefault="00195112" w:rsidP="0019511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195112">
        <w:rPr>
          <w:rFonts w:eastAsia="Times New Roman" w:cs="Arial"/>
          <w:b/>
          <w:bCs/>
          <w:color w:val="000000"/>
          <w:lang w:eastAsia="bg-BG"/>
        </w:rPr>
        <w:t>-</w:t>
      </w:r>
      <w:r w:rsidRPr="00195112">
        <w:rPr>
          <w:rFonts w:eastAsia="Times New Roman" w:cs="Arial"/>
          <w:b/>
          <w:bCs/>
          <w:color w:val="000000"/>
          <w:lang w:eastAsia="bg-BG"/>
        </w:rPr>
        <w:tab/>
        <w:t>Антикоагулантна терапия (варфарин):</w:t>
      </w:r>
    </w:p>
    <w:p w14:paraId="4A3145EE" w14:textId="73A8B783" w:rsidR="00195112" w:rsidRDefault="00195112" w:rsidP="00195112">
      <w:pPr>
        <w:rPr>
          <w:rFonts w:eastAsia="Times New Roman" w:cs="Arial"/>
          <w:color w:val="000000"/>
          <w:lang w:eastAsia="bg-BG"/>
        </w:rPr>
      </w:pPr>
      <w:r w:rsidRPr="00195112">
        <w:rPr>
          <w:rFonts w:eastAsia="Times New Roman" w:cs="Arial"/>
          <w:color w:val="000000"/>
          <w:lang w:eastAsia="bg-BG"/>
        </w:rPr>
        <w:t>Сулфанилурейните препарати могат да доведат до засилване на антикоагулантния ефект при едновременно прилагане.</w:t>
      </w:r>
    </w:p>
    <w:p w14:paraId="2A9520D7" w14:textId="13962FC4" w:rsidR="00195112" w:rsidRPr="00195112" w:rsidRDefault="00195112" w:rsidP="00195112">
      <w:pPr>
        <w:rPr>
          <w:rFonts w:cs="Arial"/>
        </w:rPr>
      </w:pPr>
      <w:r w:rsidRPr="00195112">
        <w:lastRenderedPageBreak/>
        <w:t>При необходимост да се коригира дозата на антикоагуланта.</w:t>
      </w:r>
    </w:p>
    <w:p w14:paraId="4CDEE666" w14:textId="77777777" w:rsidR="00195112" w:rsidRPr="0091385D" w:rsidRDefault="00195112" w:rsidP="0091385D"/>
    <w:p w14:paraId="394A7584" w14:textId="10DEA5B3" w:rsidR="004F498A" w:rsidRDefault="002C50EE" w:rsidP="004A448E">
      <w:pPr>
        <w:pStyle w:val="Heading2"/>
      </w:pPr>
      <w:r>
        <w:t>4.6. Фертилитет, бременност и кърмене</w:t>
      </w:r>
    </w:p>
    <w:p w14:paraId="4887836B" w14:textId="11C96CFA" w:rsidR="0091385D" w:rsidRDefault="0091385D" w:rsidP="0091385D">
      <w:bookmarkStart w:id="2" w:name="_GoBack"/>
      <w:bookmarkEnd w:id="2"/>
    </w:p>
    <w:p w14:paraId="79178047" w14:textId="77777777" w:rsidR="00076523" w:rsidRPr="00076523" w:rsidRDefault="00076523" w:rsidP="00076523">
      <w:pPr>
        <w:pStyle w:val="Heading3"/>
        <w:rPr>
          <w:rFonts w:eastAsia="Times New Roman"/>
          <w:u w:val="single"/>
          <w:lang w:eastAsia="bg-BG"/>
        </w:rPr>
      </w:pPr>
      <w:r w:rsidRPr="00076523">
        <w:rPr>
          <w:rFonts w:eastAsia="Times New Roman"/>
          <w:u w:val="single"/>
          <w:lang w:eastAsia="bg-BG"/>
        </w:rPr>
        <w:t>Бременност</w:t>
      </w:r>
    </w:p>
    <w:p w14:paraId="15A12978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t>Липсва опит за употреба на гликлазид по време на бременност при хората, въпреки че има малко данни за други сулфанилурейни препарати.</w:t>
      </w:r>
    </w:p>
    <w:p w14:paraId="62C095DE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t>При проучвания при животни не е показал тератогенен ефект.</w:t>
      </w:r>
    </w:p>
    <w:p w14:paraId="1142451C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t>Контролирането на диабета трябва да започне преди периода на зачеване, за да се намали риска от конгенитални увреждания, свързани с неконтролирания диабет.</w:t>
      </w:r>
    </w:p>
    <w:p w14:paraId="36620662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t>Оралните хипогликемични препарати не са подходящи, инсулинът е лекарствен продукт на първи избор за лечение на диабет по време на бременността. Препоръчва се оралната хипогликемична терапия да се смени с инсулин преди забременяването или възможно най- скоро след като бременността е установена.</w:t>
      </w:r>
    </w:p>
    <w:p w14:paraId="183C21B7" w14:textId="77777777" w:rsidR="00076523" w:rsidRPr="00076523" w:rsidRDefault="00076523" w:rsidP="00076523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99BB4D1" w14:textId="3634876D" w:rsidR="00076523" w:rsidRPr="00076523" w:rsidRDefault="00076523" w:rsidP="00076523">
      <w:pPr>
        <w:pStyle w:val="Heading3"/>
        <w:rPr>
          <w:rFonts w:eastAsia="Times New Roman"/>
          <w:u w:val="single"/>
          <w:lang w:eastAsia="bg-BG"/>
        </w:rPr>
      </w:pPr>
      <w:r w:rsidRPr="00076523">
        <w:rPr>
          <w:rFonts w:eastAsia="Times New Roman"/>
          <w:u w:val="single"/>
          <w:lang w:eastAsia="bg-BG"/>
        </w:rPr>
        <w:t>Кърмене</w:t>
      </w:r>
    </w:p>
    <w:p w14:paraId="776662C5" w14:textId="1574A040" w:rsidR="0091385D" w:rsidRPr="00076523" w:rsidRDefault="00076523" w:rsidP="00076523">
      <w:pPr>
        <w:rPr>
          <w:rFonts w:cs="Arial"/>
        </w:rPr>
      </w:pPr>
      <w:r w:rsidRPr="00076523">
        <w:rPr>
          <w:rFonts w:eastAsia="Times New Roman" w:cs="Arial"/>
          <w:color w:val="000000"/>
          <w:lang w:eastAsia="bg-BG"/>
        </w:rPr>
        <w:t>Не е установено дали гликлазид преминава в кърмата. Поради наличието на риск от неонатална хипогликемия, лекарствения продукт е противопоказан по време на кърмене.</w:t>
      </w:r>
    </w:p>
    <w:p w14:paraId="3E8789C3" w14:textId="77777777" w:rsidR="0091385D" w:rsidRPr="0091385D" w:rsidRDefault="0091385D" w:rsidP="0091385D"/>
    <w:p w14:paraId="064DF1DE" w14:textId="70BCC16C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1455464C" w14:textId="2676810A" w:rsidR="0091385D" w:rsidRDefault="0091385D" w:rsidP="0091385D"/>
    <w:p w14:paraId="2B4135A6" w14:textId="2EA653AF" w:rsidR="0091385D" w:rsidRPr="00076523" w:rsidRDefault="00076523" w:rsidP="0091385D">
      <w:pPr>
        <w:rPr>
          <w:rFonts w:cs="Arial"/>
        </w:rPr>
      </w:pPr>
      <w:r w:rsidRPr="00076523">
        <w:rPr>
          <w:rFonts w:cs="Arial"/>
        </w:rPr>
        <w:t>Пациентите трябва да бъдат информирани, че способността им за концентрация може да бъде повлияна при незадоволителен контрол на диабета, особено в началото на лечението (вж. точка 4.4). Трябва да бъдат внимателни при шофиране или при работа с машини, особено в началото на лечението.</w:t>
      </w:r>
    </w:p>
    <w:p w14:paraId="35801A15" w14:textId="77777777" w:rsidR="0091385D" w:rsidRPr="0091385D" w:rsidRDefault="0091385D" w:rsidP="0091385D"/>
    <w:p w14:paraId="37A3FD9F" w14:textId="0E7561E3" w:rsidR="00CF77F7" w:rsidRDefault="002C50EE" w:rsidP="004A448E">
      <w:pPr>
        <w:pStyle w:val="Heading2"/>
      </w:pPr>
      <w:r>
        <w:t>4.8. Нежелани лекарствени реакции</w:t>
      </w:r>
    </w:p>
    <w:p w14:paraId="4838F52A" w14:textId="4C2232D6" w:rsidR="0091385D" w:rsidRDefault="0091385D" w:rsidP="0091385D"/>
    <w:p w14:paraId="506E8DCC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t>Предвид опита с гликлазид и другите сулфанилурейни препарати, следните нежелани реакции трябва да бъдат отбелязани.</w:t>
      </w:r>
    </w:p>
    <w:p w14:paraId="23963BCD" w14:textId="77777777" w:rsidR="00076523" w:rsidRPr="00076523" w:rsidRDefault="00076523" w:rsidP="0007652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C42B043" w14:textId="2D189844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t>Обикновено гликлазид се понася добре от пациентите. Нежеланите реакции се квалифицират по честота по следния начин: много чести (&gt;1/10), чести (&gt;1/100, &lt;1/10), нечести (&gt;1/1 000, &lt;1/100), редки (&gt;1/10 000), много редки (&lt; 1/10 000).</w:t>
      </w:r>
    </w:p>
    <w:p w14:paraId="6570DC6B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t>Честотата на нежеланите събития е определяна от спонтанни съобщения от постмаркетингови проучвания.</w:t>
      </w:r>
    </w:p>
    <w:p w14:paraId="398B390E" w14:textId="77777777" w:rsidR="00076523" w:rsidRPr="00076523" w:rsidRDefault="00076523" w:rsidP="00076523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35C4EC28" w14:textId="0F187D4A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i/>
          <w:iCs/>
          <w:color w:val="000000"/>
          <w:u w:val="single"/>
          <w:lang w:eastAsia="bg-BG"/>
        </w:rPr>
        <w:t>Нарушения на метаболизма и храненето</w:t>
      </w:r>
    </w:p>
    <w:p w14:paraId="5EA49AF6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t>Нечести: хипогликемия (вж. точка 4.4).</w:t>
      </w:r>
    </w:p>
    <w:p w14:paraId="6BD9C6CD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t xml:space="preserve">Както другите сулфанилурейни препарати, така и лечението с Глика </w:t>
      </w:r>
      <w:r w:rsidRPr="00076523">
        <w:rPr>
          <w:rFonts w:eastAsia="Times New Roman" w:cs="Arial"/>
          <w:color w:val="000000"/>
          <w:lang w:val="en-US"/>
        </w:rPr>
        <w:t xml:space="preserve">MR </w:t>
      </w:r>
      <w:r w:rsidRPr="00076523">
        <w:rPr>
          <w:rFonts w:eastAsia="Times New Roman" w:cs="Arial"/>
          <w:color w:val="000000"/>
          <w:lang w:eastAsia="bg-BG"/>
        </w:rPr>
        <w:t>може да предизвика хипогликемия, ако храненето е нередовно и особено ако се пропусне някое основно хранене. Възможни симптоми на хипогликемия са: главоболие, силен глад, гадене, повръщавне, отпадналост, разстройство на съня, възбуда, агресивност, намалена концентрация, намалена бдителност, и забавени реакции, депресия, обърканост, разстройство на зрението и говора, афазия, тремор, пареза, сензорни нарушения, световъртеж, чувство на безсилие, загуба на самоконтрол, делириум, конвулсии, повърхностно дишане и брадикардия, сънливост и загуба на съзнанието, които могат да доведат до кома и летален край.</w:t>
      </w:r>
    </w:p>
    <w:p w14:paraId="1CAC94D8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lastRenderedPageBreak/>
        <w:t>Допълнително могат да се наблюдават симптоми на адренергична контрарегулация: изпотяване, хладна и влажна кожа, безпокойство, тахикардия, хипертония, палпитации, стенокардия и сърдечна аритмия.</w:t>
      </w:r>
    </w:p>
    <w:p w14:paraId="23D6EB60" w14:textId="21BDF2CE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t>Обикновено симптомите изчезват след приемане на въглехидрати (захар). Изкуствени подсладители обаче нямат ефект. Опитът с други сулфанилурейни средства показва, че хипогликемията може да се появи отново, дори когато взетите мерки в началото се оказват ефективни.</w:t>
      </w:r>
    </w:p>
    <w:p w14:paraId="570508C4" w14:textId="0710919A" w:rsidR="0091385D" w:rsidRPr="00076523" w:rsidRDefault="00076523" w:rsidP="00076523">
      <w:pPr>
        <w:rPr>
          <w:rFonts w:cs="Arial"/>
        </w:rPr>
      </w:pPr>
      <w:r w:rsidRPr="00076523">
        <w:rPr>
          <w:rFonts w:eastAsia="Times New Roman" w:cs="Arial"/>
          <w:color w:val="000000"/>
          <w:lang w:eastAsia="bg-BG"/>
        </w:rPr>
        <w:t>Ако хипогликемията е тежка и продължава, дори ако тя бъде временно контролирана чрез</w:t>
      </w:r>
      <w:r w:rsidRPr="00076523">
        <w:rPr>
          <w:rFonts w:eastAsia="Times New Roman" w:cs="Arial"/>
          <w:color w:val="000000"/>
          <w:u w:val="single"/>
          <w:lang w:eastAsia="bg-BG"/>
        </w:rPr>
        <w:t xml:space="preserve"> </w:t>
      </w:r>
      <w:r w:rsidRPr="00076523">
        <w:rPr>
          <w:rFonts w:eastAsia="Times New Roman" w:cs="Arial"/>
          <w:color w:val="000000"/>
          <w:lang w:eastAsia="bg-BG"/>
        </w:rPr>
        <w:t xml:space="preserve">приемане на захар, са необходими спешна медицинска помощ или дори хоспитализация. </w:t>
      </w:r>
      <w:r w:rsidRPr="00076523">
        <w:rPr>
          <w:rFonts w:eastAsia="Times New Roman" w:cs="Arial"/>
          <w:i/>
          <w:iCs/>
          <w:color w:val="000000"/>
          <w:u w:val="single"/>
          <w:lang w:eastAsia="bg-BG"/>
        </w:rPr>
        <w:t>Хепатобилиарни нарушения</w:t>
      </w:r>
    </w:p>
    <w:p w14:paraId="59E54181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t>Редки: преходни и обратими промени във функционалните чернодробни тестове.</w:t>
      </w:r>
    </w:p>
    <w:p w14:paraId="4B0EEA93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t>Много редки: хепатит с или без жълтеница (обикновено обратим), чернодробна недостатъчност.</w:t>
      </w:r>
    </w:p>
    <w:p w14:paraId="1649D4C8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i/>
          <w:iCs/>
          <w:color w:val="000000"/>
          <w:u w:val="single"/>
          <w:lang w:eastAsia="bg-BG"/>
        </w:rPr>
        <w:t>Стомашно-чревни нарушения</w:t>
      </w:r>
    </w:p>
    <w:p w14:paraId="2974CC28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t>Много редки: коремна болка, гадене, повръщане, диспепсия, диария, запек. Този тип нежелани реакции могат да бъдат избегнати, ако гликлазид се приема по време на хранене.</w:t>
      </w:r>
    </w:p>
    <w:p w14:paraId="00C8E9A9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i/>
          <w:iCs/>
          <w:color w:val="000000"/>
          <w:u w:val="single"/>
          <w:lang w:eastAsia="bg-BG"/>
        </w:rPr>
        <w:t>Нарушения на кожата и подкожната тъкан</w:t>
      </w:r>
    </w:p>
    <w:p w14:paraId="36B8A4AE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t>Редки: обрив, сърбеж, еритема, уртикария, макуло-папуларни обриви, булозни обриви.</w:t>
      </w:r>
    </w:p>
    <w:p w14:paraId="64926819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i/>
          <w:iCs/>
          <w:color w:val="000000"/>
          <w:u w:val="single"/>
          <w:lang w:eastAsia="bg-BG"/>
        </w:rPr>
        <w:t>Нарушения на кръвта и лимфната система</w:t>
      </w:r>
    </w:p>
    <w:p w14:paraId="5FB077EC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t>Много редки: анемия, левкопения, тромбоцитопения и гранулоцитопения, но не е установено да са провокирани директно от лекарствения продукт.</w:t>
      </w:r>
    </w:p>
    <w:p w14:paraId="0FF587B5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u w:val="single"/>
          <w:lang w:eastAsia="bg-BG"/>
        </w:rPr>
        <w:t>Нарушения на очите</w:t>
      </w:r>
    </w:p>
    <w:p w14:paraId="5963DE9A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t>Преходни зрителни нарушения могат да се появят особено в началото на лечението в резултат на промяна на нивата на кръвната захар.</w:t>
      </w:r>
    </w:p>
    <w:p w14:paraId="675FAE75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u w:val="single"/>
          <w:lang w:eastAsia="bg-BG"/>
        </w:rPr>
        <w:t>Ефекти, свързани с терапевтичния клас:</w:t>
      </w:r>
    </w:p>
    <w:p w14:paraId="5CB4A9A6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t>Случаи на анемия, левкопения, тромбоцитопения и гранулоцитопения, панцитопения и алергичен васкулит са описани за другите сулфанилурейни препарати.</w:t>
      </w:r>
    </w:p>
    <w:p w14:paraId="19DD3BC5" w14:textId="77777777" w:rsidR="00076523" w:rsidRPr="00076523" w:rsidRDefault="00076523" w:rsidP="00076523">
      <w:pPr>
        <w:rPr>
          <w:rFonts w:cs="Arial"/>
        </w:rPr>
      </w:pPr>
      <w:r w:rsidRPr="00076523">
        <w:rPr>
          <w:rFonts w:eastAsia="Times New Roman" w:cs="Arial"/>
          <w:color w:val="000000"/>
          <w:lang w:eastAsia="bg-BG"/>
        </w:rPr>
        <w:t>При другите сулфанилурейни препарати са наблюдавани случаи на повишение на чернодробните ензими и дори нарушение на чернодробната функция (напр. холестаза и жълтеница) и хепатит, които са регистрирали след спирането на сулфанилурейни препарати или в изолирани случаи са довели до животозастрашаваща чернодробна недостатъчност.</w:t>
      </w:r>
    </w:p>
    <w:p w14:paraId="7B0A6C2F" w14:textId="574AAEB6" w:rsidR="00076523" w:rsidRPr="0091385D" w:rsidRDefault="00076523" w:rsidP="0091385D"/>
    <w:p w14:paraId="0A023CE0" w14:textId="13F87CFD" w:rsidR="00CF77F7" w:rsidRDefault="002C50EE" w:rsidP="004A448E">
      <w:pPr>
        <w:pStyle w:val="Heading2"/>
      </w:pPr>
      <w:r>
        <w:t>4.9. Предозиране</w:t>
      </w:r>
    </w:p>
    <w:p w14:paraId="3EDFC3FC" w14:textId="296E7EBA" w:rsidR="0091385D" w:rsidRDefault="0091385D" w:rsidP="0091385D"/>
    <w:p w14:paraId="44E3EA3D" w14:textId="77777777" w:rsidR="00076523" w:rsidRPr="00076523" w:rsidRDefault="00076523" w:rsidP="00076523">
      <w:pPr>
        <w:pStyle w:val="Heading3"/>
        <w:rPr>
          <w:rFonts w:eastAsia="Times New Roman"/>
          <w:u w:val="single"/>
          <w:lang w:eastAsia="bg-BG"/>
        </w:rPr>
      </w:pPr>
      <w:r w:rsidRPr="00076523">
        <w:rPr>
          <w:rFonts w:eastAsia="Times New Roman"/>
          <w:u w:val="single"/>
          <w:lang w:eastAsia="bg-BG"/>
        </w:rPr>
        <w:t>Симптоми</w:t>
      </w:r>
    </w:p>
    <w:p w14:paraId="769DFC06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t>Предозирането на лекарствения продукт може да предизвика хипогликемия. Умерени симптоми на хипогликемия без загуба на съзнание или неврологична симтоматика могат да се коригират с прием на въглехидрати, промяна на дозата и/или промяна на диетата.</w:t>
      </w:r>
    </w:p>
    <w:p w14:paraId="25DA7887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t>Тежки хипогликемични реакции с кома, конвулсии или други неврологични нарушения трябва да се третират като спешни състояния, изискващи хоспитализация.</w:t>
      </w:r>
    </w:p>
    <w:p w14:paraId="2C96176E" w14:textId="77777777" w:rsidR="00076523" w:rsidRPr="00076523" w:rsidRDefault="00076523" w:rsidP="00076523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94EA0BE" w14:textId="3BC26B2B" w:rsidR="00076523" w:rsidRPr="00076523" w:rsidRDefault="00076523" w:rsidP="00076523">
      <w:pPr>
        <w:pStyle w:val="Heading3"/>
        <w:rPr>
          <w:rFonts w:eastAsia="Times New Roman"/>
          <w:u w:val="single"/>
          <w:lang w:eastAsia="bg-BG"/>
        </w:rPr>
      </w:pPr>
      <w:r w:rsidRPr="00076523">
        <w:rPr>
          <w:rFonts w:eastAsia="Times New Roman"/>
          <w:u w:val="single"/>
          <w:lang w:eastAsia="bg-BG"/>
        </w:rPr>
        <w:t>Лечение</w:t>
      </w:r>
    </w:p>
    <w:p w14:paraId="687980B9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t xml:space="preserve">Ако е диагностицирана или се подозира хипогликемична кома, на пациента трябва да се въведе бързо </w:t>
      </w:r>
      <w:proofErr w:type="spellStart"/>
      <w:r w:rsidRPr="00076523">
        <w:rPr>
          <w:rFonts w:eastAsia="Times New Roman" w:cs="Arial"/>
          <w:color w:val="000000"/>
          <w:lang w:val="en-US"/>
        </w:rPr>
        <w:t>i.v.</w:t>
      </w:r>
      <w:proofErr w:type="spellEnd"/>
      <w:r w:rsidRPr="00076523">
        <w:rPr>
          <w:rFonts w:eastAsia="Times New Roman" w:cs="Arial"/>
          <w:color w:val="000000"/>
          <w:lang w:val="en-US"/>
        </w:rPr>
        <w:t xml:space="preserve"> </w:t>
      </w:r>
      <w:r w:rsidRPr="00076523">
        <w:rPr>
          <w:rFonts w:eastAsia="Times New Roman" w:cs="Arial"/>
          <w:color w:val="000000"/>
          <w:lang w:eastAsia="bg-BG"/>
        </w:rPr>
        <w:t xml:space="preserve">50 </w:t>
      </w:r>
      <w:r w:rsidRPr="00076523">
        <w:rPr>
          <w:rFonts w:eastAsia="Times New Roman" w:cs="Arial"/>
          <w:color w:val="000000"/>
          <w:lang w:val="en-US"/>
        </w:rPr>
        <w:t xml:space="preserve">ml </w:t>
      </w:r>
      <w:r w:rsidRPr="00076523">
        <w:rPr>
          <w:rFonts w:eastAsia="Times New Roman" w:cs="Arial"/>
          <w:color w:val="000000"/>
          <w:lang w:eastAsia="bg-BG"/>
        </w:rPr>
        <w:t xml:space="preserve">концентриран разтвор на глюкоза (20 до 30%). Това трябва да се последва от непрекъсната инфузия на по-разреден глюкозен разтвор-10% със скорост, която ще поддържа стойностите на кръвната захар над 1 </w:t>
      </w:r>
      <w:r w:rsidRPr="00076523">
        <w:rPr>
          <w:rFonts w:eastAsia="Times New Roman" w:cs="Arial"/>
          <w:color w:val="000000"/>
          <w:lang w:val="en-US"/>
        </w:rPr>
        <w:t xml:space="preserve">g/l. </w:t>
      </w:r>
      <w:r w:rsidRPr="00076523">
        <w:rPr>
          <w:rFonts w:eastAsia="Times New Roman" w:cs="Arial"/>
          <w:color w:val="000000"/>
          <w:lang w:eastAsia="bg-BG"/>
        </w:rPr>
        <w:t xml:space="preserve">Пациентите трябва </w:t>
      </w:r>
      <w:r w:rsidRPr="00076523">
        <w:rPr>
          <w:rFonts w:eastAsia="Times New Roman" w:cs="Arial"/>
          <w:color w:val="000000"/>
          <w:lang w:eastAsia="bg-BG"/>
        </w:rPr>
        <w:lastRenderedPageBreak/>
        <w:t>внимателно да се наблюдават и, в зависимост от тяхното следващо състояние, лекарят преценява дали е необходимо по</w:t>
      </w:r>
      <w:r w:rsidRPr="00076523">
        <w:rPr>
          <w:rFonts w:eastAsia="Times New Roman" w:cs="Arial"/>
          <w:color w:val="000000"/>
          <w:lang w:eastAsia="bg-BG"/>
        </w:rPr>
        <w:softHyphen/>
        <w:t>нататъшно проследяване.</w:t>
      </w:r>
    </w:p>
    <w:p w14:paraId="48FF1584" w14:textId="184C2209" w:rsidR="0091385D" w:rsidRPr="00076523" w:rsidRDefault="00076523" w:rsidP="00076523">
      <w:pPr>
        <w:rPr>
          <w:rFonts w:cs="Arial"/>
        </w:rPr>
      </w:pPr>
      <w:r w:rsidRPr="00076523">
        <w:rPr>
          <w:rFonts w:eastAsia="Times New Roman" w:cs="Arial"/>
          <w:color w:val="000000"/>
          <w:lang w:eastAsia="bg-BG"/>
        </w:rPr>
        <w:t>Диализага не води до подобрение на пациентите, тъй като гликлазид се свързва здраво с плазмените протеини.</w:t>
      </w:r>
    </w:p>
    <w:p w14:paraId="02081B24" w14:textId="7CE94171" w:rsidR="00395555" w:rsidRDefault="002C50EE" w:rsidP="008A6AF2">
      <w:pPr>
        <w:pStyle w:val="Heading1"/>
      </w:pPr>
      <w:r>
        <w:t>5. ФАРМАКОЛОГИЧНИ СВОЙСТВА</w:t>
      </w:r>
    </w:p>
    <w:p w14:paraId="1B8079C0" w14:textId="77777777" w:rsidR="0091385D" w:rsidRPr="0091385D" w:rsidRDefault="0091385D" w:rsidP="0091385D"/>
    <w:p w14:paraId="32B6DE66" w14:textId="2ACB6B3B" w:rsidR="00CF77F7" w:rsidRDefault="002C50EE" w:rsidP="004A448E">
      <w:pPr>
        <w:pStyle w:val="Heading2"/>
      </w:pPr>
      <w:r>
        <w:t>5.1. Фармакодинамични свойства</w:t>
      </w:r>
    </w:p>
    <w:p w14:paraId="58DD7DEA" w14:textId="44345EC9" w:rsidR="0091385D" w:rsidRDefault="0091385D" w:rsidP="0091385D"/>
    <w:p w14:paraId="474CF842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t>Фармакотерапевтична група: перорални лекарства, понижаващи кръвната глюкоза, АТС код: А10ВВ09</w:t>
      </w:r>
    </w:p>
    <w:p w14:paraId="7FD756FD" w14:textId="77777777" w:rsidR="00076523" w:rsidRPr="00076523" w:rsidRDefault="00076523" w:rsidP="00076523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EDCD3F1" w14:textId="3C5ABB7C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u w:val="single"/>
          <w:lang w:eastAsia="bg-BG"/>
        </w:rPr>
        <w:t>Механизъм на действие</w:t>
      </w:r>
    </w:p>
    <w:p w14:paraId="5F504060" w14:textId="77777777" w:rsidR="00076523" w:rsidRDefault="00076523" w:rsidP="00076523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t xml:space="preserve">Гликлазид е сулфанилурейно производно с хипогликемично действие. Той се различава от останалите по наличието на </w:t>
      </w:r>
      <w:r w:rsidRPr="00076523">
        <w:rPr>
          <w:rFonts w:eastAsia="Times New Roman" w:cs="Arial"/>
          <w:color w:val="000000"/>
          <w:lang w:val="en-US"/>
        </w:rPr>
        <w:t>N</w:t>
      </w:r>
      <w:r w:rsidRPr="00076523">
        <w:rPr>
          <w:rFonts w:eastAsia="Times New Roman" w:cs="Arial"/>
          <w:color w:val="000000"/>
          <w:lang w:eastAsia="bg-BG"/>
        </w:rPr>
        <w:t xml:space="preserve">-съдържащ хетероцикличен пръстен с ендоциклична връзка. </w:t>
      </w:r>
    </w:p>
    <w:p w14:paraId="28BBA7D5" w14:textId="5945A1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u w:val="single"/>
          <w:lang w:eastAsia="bg-BG"/>
        </w:rPr>
        <w:t>Фармакодинамични ефекти</w:t>
      </w:r>
    </w:p>
    <w:p w14:paraId="28252AA0" w14:textId="72078463" w:rsidR="0091385D" w:rsidRDefault="00076523" w:rsidP="00076523">
      <w:pPr>
        <w:rPr>
          <w:rFonts w:eastAsia="Times New Roman" w:cs="Arial"/>
          <w:color w:val="000000"/>
          <w:lang w:val="en-US" w:eastAsia="bg-BG"/>
        </w:rPr>
      </w:pPr>
      <w:r w:rsidRPr="00076523">
        <w:rPr>
          <w:rFonts w:eastAsia="Times New Roman" w:cs="Arial"/>
          <w:color w:val="000000"/>
          <w:lang w:eastAsia="bg-BG"/>
        </w:rPr>
        <w:t>Гликлазид понижава стойностите на кръвната захар чрез стимулиране на инсулиновата секреция от бета-клетките на Лангерхансовите острови. Повишаването на постпрандиалния</w:t>
      </w:r>
      <w:r w:rsidRPr="00076523">
        <w:rPr>
          <w:rFonts w:eastAsia="Times New Roman" w:cs="Arial"/>
          <w:color w:val="000000"/>
          <w:u w:val="single"/>
          <w:lang w:eastAsia="bg-BG"/>
        </w:rPr>
        <w:t xml:space="preserve"> </w:t>
      </w:r>
      <w:r w:rsidRPr="00076523">
        <w:rPr>
          <w:rFonts w:eastAsia="Times New Roman" w:cs="Arial"/>
          <w:color w:val="000000"/>
          <w:lang w:eastAsia="bg-BG"/>
        </w:rPr>
        <w:t>инсулин и С-пептидната секреция продължават две години след лечението</w:t>
      </w:r>
      <w:r>
        <w:rPr>
          <w:rFonts w:eastAsia="Times New Roman" w:cs="Arial"/>
          <w:color w:val="000000"/>
          <w:lang w:val="en-US" w:eastAsia="bg-BG"/>
        </w:rPr>
        <w:t>.</w:t>
      </w:r>
    </w:p>
    <w:p w14:paraId="68E48877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t>Освен наличието на подобен хипогликемичен ефект, както при останалите сулфанилурейни производни, гликлазид притежава и отслабващ адхезивната и агрегационната способност ефект и повишаване на фибринолитичната активност. Счита се, че тези фактори са част от патогенезата на дългосрочните усложнения на захарния диабет.</w:t>
      </w:r>
    </w:p>
    <w:p w14:paraId="22542190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u w:val="single"/>
          <w:lang w:eastAsia="bg-BG"/>
        </w:rPr>
        <w:t>Ефекти върху инсулиновата секреция</w:t>
      </w:r>
    </w:p>
    <w:p w14:paraId="10984D1C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t>Гликлазид повишава главно първата фаза на инсулиновата секреция и в по-малка степен втората фаза. Двете фази са занижени при инсулин-независимия захарен диабет. Значимо увеличаване на инсулиновия отговор се наблюдава след стимулация, презизвикана от храна или глюкоза.</w:t>
      </w:r>
    </w:p>
    <w:p w14:paraId="3DD2DCB3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u w:val="single"/>
          <w:lang w:eastAsia="bg-BG"/>
        </w:rPr>
        <w:t>Хемоваскуларни свойства</w:t>
      </w:r>
    </w:p>
    <w:p w14:paraId="5D699B56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t>Гликлазид намалява микротромбозата, която има значение за усложненията на диабета, посредством два механизма:</w:t>
      </w:r>
    </w:p>
    <w:p w14:paraId="37792A0E" w14:textId="1F5DF88C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>
        <w:rPr>
          <w:rFonts w:eastAsia="Times New Roman" w:cs="Arial"/>
          <w:color w:val="000000"/>
          <w:lang w:eastAsia="bg-BG"/>
        </w:rPr>
        <w:t xml:space="preserve">- </w:t>
      </w:r>
      <w:r w:rsidRPr="00076523">
        <w:rPr>
          <w:rFonts w:eastAsia="Times New Roman" w:cs="Arial"/>
          <w:color w:val="000000"/>
          <w:lang w:eastAsia="bg-BG"/>
        </w:rPr>
        <w:t>Потиска частично агрегацията и адхезията на тромбоцитите, което води до намаляване на маркерите на тромбоцитното активиране (бета-тромбоглобин, тромбоксан В</w:t>
      </w:r>
      <w:r w:rsidRPr="00076523">
        <w:rPr>
          <w:rFonts w:eastAsia="Times New Roman" w:cs="Arial"/>
          <w:color w:val="000000"/>
          <w:vertAlign w:val="subscript"/>
          <w:lang w:eastAsia="bg-BG"/>
        </w:rPr>
        <w:t>2</w:t>
      </w:r>
      <w:r w:rsidRPr="00076523">
        <w:rPr>
          <w:rFonts w:eastAsia="Times New Roman" w:cs="Arial"/>
          <w:color w:val="000000"/>
          <w:lang w:eastAsia="bg-BG"/>
        </w:rPr>
        <w:t>).</w:t>
      </w:r>
    </w:p>
    <w:p w14:paraId="256ECD77" w14:textId="581511B9" w:rsidR="00076523" w:rsidRPr="00076523" w:rsidRDefault="00076523" w:rsidP="00076523">
      <w:pPr>
        <w:rPr>
          <w:rFonts w:cs="Arial"/>
          <w:lang w:val="en-US"/>
        </w:rPr>
      </w:pPr>
      <w:r>
        <w:rPr>
          <w:rFonts w:eastAsia="Times New Roman" w:cs="Arial"/>
          <w:color w:val="000000"/>
          <w:lang w:eastAsia="bg-BG"/>
        </w:rPr>
        <w:t xml:space="preserve">- </w:t>
      </w:r>
      <w:r w:rsidRPr="00076523">
        <w:rPr>
          <w:rFonts w:eastAsia="Times New Roman" w:cs="Arial"/>
          <w:color w:val="000000"/>
          <w:lang w:eastAsia="bg-BG"/>
        </w:rPr>
        <w:t xml:space="preserve">Повлиява фибринолитичната активност на съдовия ендотел, което води до повишаване на активността на </w:t>
      </w:r>
      <w:proofErr w:type="spellStart"/>
      <w:r w:rsidRPr="00076523">
        <w:rPr>
          <w:rFonts w:eastAsia="Times New Roman" w:cs="Arial"/>
          <w:color w:val="000000"/>
          <w:lang w:val="en-US"/>
        </w:rPr>
        <w:t>tPA</w:t>
      </w:r>
      <w:proofErr w:type="spellEnd"/>
      <w:r w:rsidRPr="00076523">
        <w:rPr>
          <w:rFonts w:eastAsia="Times New Roman" w:cs="Arial"/>
          <w:color w:val="000000"/>
          <w:lang w:val="en-US"/>
        </w:rPr>
        <w:t>.</w:t>
      </w:r>
    </w:p>
    <w:p w14:paraId="36152471" w14:textId="77777777" w:rsidR="0091385D" w:rsidRPr="0091385D" w:rsidRDefault="0091385D" w:rsidP="0091385D"/>
    <w:p w14:paraId="35F84B81" w14:textId="6423E5BB" w:rsidR="00CF77F7" w:rsidRDefault="002C50EE" w:rsidP="004A448E">
      <w:pPr>
        <w:pStyle w:val="Heading2"/>
      </w:pPr>
      <w:r>
        <w:t>5.2. Фармакокинетични свойства</w:t>
      </w:r>
    </w:p>
    <w:p w14:paraId="5031193D" w14:textId="06A21EFE" w:rsidR="0091385D" w:rsidRDefault="0091385D" w:rsidP="0091385D"/>
    <w:p w14:paraId="2B693C63" w14:textId="77777777" w:rsidR="00076523" w:rsidRPr="00076523" w:rsidRDefault="00076523" w:rsidP="00076523">
      <w:pPr>
        <w:pStyle w:val="Heading3"/>
        <w:rPr>
          <w:rFonts w:eastAsia="Times New Roman"/>
          <w:u w:val="single"/>
          <w:lang w:eastAsia="bg-BG"/>
        </w:rPr>
      </w:pPr>
      <w:r w:rsidRPr="00076523">
        <w:rPr>
          <w:rFonts w:eastAsia="Times New Roman"/>
          <w:u w:val="single"/>
          <w:lang w:eastAsia="bg-BG"/>
        </w:rPr>
        <w:t>Абсорбция</w:t>
      </w:r>
    </w:p>
    <w:p w14:paraId="7F3E707C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t>Лекарството се резорбира добре, като времето на полуживот при хора е приблизително 10-12 часа.</w:t>
      </w:r>
    </w:p>
    <w:p w14:paraId="196E530A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t>Индивидуалната вариабилност е ниска.</w:t>
      </w:r>
    </w:p>
    <w:p w14:paraId="38746234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t>Гликлазид се резорбира напълно. Приемът на храна не влияе върху скоростта и степента на резорбция.</w:t>
      </w:r>
    </w:p>
    <w:p w14:paraId="63E827E0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lastRenderedPageBreak/>
        <w:t xml:space="preserve">Съотношението между въведената варираща до 120 </w:t>
      </w:r>
      <w:r w:rsidRPr="00076523">
        <w:rPr>
          <w:rFonts w:eastAsia="Times New Roman" w:cs="Arial"/>
          <w:color w:val="000000"/>
          <w:lang w:val="en-US"/>
        </w:rPr>
        <w:t xml:space="preserve">mg </w:t>
      </w:r>
      <w:r w:rsidRPr="00076523">
        <w:rPr>
          <w:rFonts w:eastAsia="Times New Roman" w:cs="Arial"/>
          <w:color w:val="000000"/>
          <w:lang w:eastAsia="bg-BG"/>
        </w:rPr>
        <w:t>доза и площта под кривата концентрация-време е линейно.</w:t>
      </w:r>
    </w:p>
    <w:p w14:paraId="5C4EA50C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t>Свързването с плазмените протеини е около 95%.</w:t>
      </w:r>
    </w:p>
    <w:p w14:paraId="501EB40C" w14:textId="77777777" w:rsidR="00076523" w:rsidRPr="00076523" w:rsidRDefault="00076523" w:rsidP="00076523">
      <w:pPr>
        <w:pStyle w:val="Heading3"/>
        <w:rPr>
          <w:rFonts w:eastAsia="Times New Roman"/>
          <w:u w:val="single"/>
          <w:lang w:eastAsia="bg-BG"/>
        </w:rPr>
      </w:pPr>
      <w:r w:rsidRPr="00076523">
        <w:rPr>
          <w:rFonts w:eastAsia="Times New Roman"/>
          <w:u w:val="single"/>
          <w:lang w:eastAsia="bg-BG"/>
        </w:rPr>
        <w:t>Биотрансформация</w:t>
      </w:r>
    </w:p>
    <w:p w14:paraId="44EDFF69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t>Гликлазид се метаболизира в черния дроб. Полуживотът на елиминиране варира между 12 и 20 часа.</w:t>
      </w:r>
    </w:p>
    <w:p w14:paraId="796C2AD2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t>При пациенти в напреднала възраст не са наблюдавани клинично значими промени във фармакокинетичните параметри.</w:t>
      </w:r>
    </w:p>
    <w:p w14:paraId="45B3A5A9" w14:textId="77777777" w:rsidR="00076523" w:rsidRPr="00076523" w:rsidRDefault="00076523" w:rsidP="00076523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t xml:space="preserve">Еднократна дневна доза гликлазид 30 </w:t>
      </w:r>
      <w:r w:rsidRPr="00076523">
        <w:rPr>
          <w:rFonts w:eastAsia="Times New Roman" w:cs="Arial"/>
          <w:color w:val="000000"/>
          <w:lang w:val="en-US"/>
        </w:rPr>
        <w:t xml:space="preserve">mg </w:t>
      </w:r>
      <w:r w:rsidRPr="00076523">
        <w:rPr>
          <w:rFonts w:eastAsia="Times New Roman" w:cs="Arial"/>
          <w:color w:val="000000"/>
          <w:lang w:eastAsia="bg-BG"/>
        </w:rPr>
        <w:t>поддържа ефективна плазмена концентрация на гликлазид в продължение на 24 часа.</w:t>
      </w:r>
    </w:p>
    <w:p w14:paraId="17E7297A" w14:textId="77777777" w:rsidR="00076523" w:rsidRPr="00076523" w:rsidRDefault="00076523" w:rsidP="00076523">
      <w:pPr>
        <w:pStyle w:val="Heading3"/>
        <w:rPr>
          <w:rFonts w:eastAsia="Times New Roman"/>
          <w:u w:val="single"/>
          <w:lang w:eastAsia="bg-BG"/>
        </w:rPr>
      </w:pPr>
      <w:r w:rsidRPr="00076523">
        <w:rPr>
          <w:rFonts w:eastAsia="Times New Roman"/>
          <w:u w:val="single"/>
          <w:lang w:eastAsia="bg-BG"/>
        </w:rPr>
        <w:t>Елиминиране</w:t>
      </w:r>
    </w:p>
    <w:p w14:paraId="148BA3FC" w14:textId="1A2EE213" w:rsidR="0091385D" w:rsidRPr="00076523" w:rsidRDefault="00076523" w:rsidP="00076523">
      <w:pPr>
        <w:rPr>
          <w:rFonts w:cs="Arial"/>
        </w:rPr>
      </w:pPr>
      <w:r w:rsidRPr="00076523">
        <w:rPr>
          <w:rFonts w:eastAsia="Times New Roman" w:cs="Arial"/>
          <w:color w:val="000000"/>
          <w:lang w:eastAsia="bg-BG"/>
        </w:rPr>
        <w:t>По-малко от 5% от дозата се елиминира непроменена с урината.</w:t>
      </w:r>
    </w:p>
    <w:p w14:paraId="4EE1BB0B" w14:textId="77777777" w:rsidR="0091385D" w:rsidRPr="0091385D" w:rsidRDefault="0091385D" w:rsidP="0091385D"/>
    <w:p w14:paraId="648E39DA" w14:textId="44D16CBD" w:rsidR="00CF77F7" w:rsidRDefault="002C50EE" w:rsidP="004A448E">
      <w:pPr>
        <w:pStyle w:val="Heading2"/>
      </w:pPr>
      <w:r>
        <w:t>5.3. Предклинични данни за безопасност</w:t>
      </w:r>
    </w:p>
    <w:p w14:paraId="31455D09" w14:textId="4D0EFBF5" w:rsidR="0091385D" w:rsidRDefault="0091385D" w:rsidP="0091385D"/>
    <w:p w14:paraId="52E4D01A" w14:textId="13D063AE" w:rsidR="0091385D" w:rsidRPr="00076523" w:rsidRDefault="00076523" w:rsidP="0091385D">
      <w:pPr>
        <w:rPr>
          <w:rFonts w:cs="Arial"/>
        </w:rPr>
      </w:pPr>
      <w:r w:rsidRPr="00076523">
        <w:rPr>
          <w:rFonts w:cs="Arial"/>
        </w:rPr>
        <w:t>Неклиничните данни не показват особен риск за хора на базата на конвенционалните фармакологични проучвания за безопасност, токсичност при многократно прилагане, генотоксичност, карциногенен потенциал, репродуктивна токсичност и токсичност за развитието. Няма данни за тератогенни изменения при проучванията с животни, но се наблюдава намаляване на телесното тегло на ембриона при животни, получаващи 25 пъти по- високи дози от максимално препоръчваната доза при хората.</w:t>
      </w:r>
    </w:p>
    <w:p w14:paraId="20E967BE" w14:textId="77777777" w:rsidR="0091385D" w:rsidRPr="0091385D" w:rsidRDefault="0091385D" w:rsidP="0091385D"/>
    <w:p w14:paraId="6A7820AB" w14:textId="353DB6D2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1B9B651E" w14:textId="3382E6AC" w:rsidR="0091385D" w:rsidRDefault="0091385D" w:rsidP="0091385D"/>
    <w:p w14:paraId="63BA1685" w14:textId="77777777" w:rsidR="00076523" w:rsidRPr="00076523" w:rsidRDefault="00076523" w:rsidP="00076523">
      <w:pPr>
        <w:spacing w:line="240" w:lineRule="auto"/>
        <w:rPr>
          <w:rFonts w:eastAsia="Times New Roman" w:cs="Arial"/>
          <w:lang w:eastAsia="bg-BG"/>
        </w:rPr>
      </w:pPr>
      <w:r w:rsidRPr="00076523">
        <w:rPr>
          <w:rFonts w:eastAsia="Times New Roman" w:cs="Arial"/>
          <w:b/>
          <w:bCs/>
          <w:color w:val="000000"/>
          <w:lang w:eastAsia="bg-BG"/>
        </w:rPr>
        <w:t>НЕО БАЛКАНИКА ЕООД</w:t>
      </w:r>
    </w:p>
    <w:p w14:paraId="38B60591" w14:textId="77777777" w:rsidR="00076523" w:rsidRDefault="00076523" w:rsidP="00076523">
      <w:pPr>
        <w:rPr>
          <w:rFonts w:eastAsia="Times New Roman" w:cs="Arial"/>
          <w:color w:val="000000"/>
          <w:lang w:eastAsia="bg-BG"/>
        </w:rPr>
      </w:pPr>
      <w:r w:rsidRPr="00076523">
        <w:rPr>
          <w:rFonts w:eastAsia="Times New Roman" w:cs="Arial"/>
          <w:color w:val="000000"/>
          <w:lang w:eastAsia="bg-BG"/>
        </w:rPr>
        <w:t xml:space="preserve">ул. „Земляне” №35, </w:t>
      </w:r>
    </w:p>
    <w:p w14:paraId="3FD825DB" w14:textId="71CF4C7B" w:rsidR="0091385D" w:rsidRPr="00076523" w:rsidRDefault="00076523" w:rsidP="00076523">
      <w:pPr>
        <w:rPr>
          <w:rFonts w:cs="Arial"/>
        </w:rPr>
      </w:pPr>
      <w:r w:rsidRPr="00076523">
        <w:rPr>
          <w:rFonts w:eastAsia="Times New Roman" w:cs="Arial"/>
          <w:color w:val="000000"/>
          <w:lang w:eastAsia="bg-BG"/>
        </w:rPr>
        <w:t>1618 София, България</w:t>
      </w:r>
    </w:p>
    <w:p w14:paraId="129C7566" w14:textId="77777777" w:rsidR="0091385D" w:rsidRPr="0091385D" w:rsidRDefault="0091385D" w:rsidP="0091385D"/>
    <w:p w14:paraId="7BA1BA64" w14:textId="17509450" w:rsidR="00CF77F7" w:rsidRDefault="002C50EE" w:rsidP="004A448E">
      <w:pPr>
        <w:pStyle w:val="Heading1"/>
      </w:pPr>
      <w:r>
        <w:t>8. НОМЕР НА РАЗРЕШЕНИЕТО ЗА УПОТРЕБА</w:t>
      </w:r>
    </w:p>
    <w:p w14:paraId="095674C4" w14:textId="54CA436A" w:rsidR="0091385D" w:rsidRDefault="0091385D" w:rsidP="0091385D"/>
    <w:p w14:paraId="6E892CE5" w14:textId="1F8C42E8" w:rsidR="0091385D" w:rsidRDefault="0091385D" w:rsidP="0091385D"/>
    <w:p w14:paraId="62EF7F8B" w14:textId="77777777" w:rsidR="0091385D" w:rsidRPr="0091385D" w:rsidRDefault="0091385D" w:rsidP="0091385D"/>
    <w:p w14:paraId="2CCB5832" w14:textId="18FCD95B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372B3414" w14:textId="0F79A9B4" w:rsidR="0091385D" w:rsidRDefault="0091385D" w:rsidP="0091385D"/>
    <w:p w14:paraId="497007FA" w14:textId="69EED464" w:rsidR="0091385D" w:rsidRDefault="0091385D" w:rsidP="0091385D"/>
    <w:p w14:paraId="0A56E09D" w14:textId="77777777" w:rsidR="0091385D" w:rsidRPr="0091385D" w:rsidRDefault="0091385D" w:rsidP="0091385D"/>
    <w:p w14:paraId="0E9D0119" w14:textId="1FEC128A" w:rsidR="002C50EE" w:rsidRDefault="002C50EE" w:rsidP="002C50EE">
      <w:pPr>
        <w:pStyle w:val="Heading1"/>
      </w:pPr>
      <w:r>
        <w:t>10. ДАТА НА АКТУАЛИЗИРАНЕ НА ТЕКСТА</w:t>
      </w:r>
    </w:p>
    <w:p w14:paraId="3E8FFCC4" w14:textId="34E0D3BB" w:rsidR="0091385D" w:rsidRDefault="0091385D" w:rsidP="0091385D"/>
    <w:p w14:paraId="30276F52" w14:textId="35765A95" w:rsidR="0091385D" w:rsidRPr="00076523" w:rsidRDefault="00076523" w:rsidP="0091385D">
      <w:pPr>
        <w:rPr>
          <w:rFonts w:cs="Arial"/>
        </w:rPr>
      </w:pPr>
      <w:r w:rsidRPr="00076523">
        <w:rPr>
          <w:rFonts w:cs="Arial"/>
        </w:rPr>
        <w:t>Март 2012</w:t>
      </w:r>
    </w:p>
    <w:p w14:paraId="6B00148E" w14:textId="77777777" w:rsidR="0091385D" w:rsidRPr="0091385D" w:rsidRDefault="0091385D" w:rsidP="0091385D"/>
    <w:bookmarkEnd w:id="0"/>
    <w:p w14:paraId="43FB38A2" w14:textId="5500C507" w:rsidR="007C605B" w:rsidRPr="003E3126" w:rsidRDefault="007C605B" w:rsidP="00CF77F7"/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6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5"/>
  </w:num>
  <w:num w:numId="7">
    <w:abstractNumId w:val="10"/>
  </w:num>
  <w:num w:numId="8">
    <w:abstractNumId w:val="14"/>
  </w:num>
  <w:num w:numId="9">
    <w:abstractNumId w:val="2"/>
  </w:num>
  <w:num w:numId="10">
    <w:abstractNumId w:val="4"/>
  </w:num>
  <w:num w:numId="11">
    <w:abstractNumId w:val="29"/>
  </w:num>
  <w:num w:numId="12">
    <w:abstractNumId w:val="13"/>
  </w:num>
  <w:num w:numId="13">
    <w:abstractNumId w:val="18"/>
  </w:num>
  <w:num w:numId="14">
    <w:abstractNumId w:val="11"/>
  </w:num>
  <w:num w:numId="15">
    <w:abstractNumId w:val="28"/>
  </w:num>
  <w:num w:numId="16">
    <w:abstractNumId w:val="9"/>
  </w:num>
  <w:num w:numId="17">
    <w:abstractNumId w:val="23"/>
  </w:num>
  <w:num w:numId="18">
    <w:abstractNumId w:val="7"/>
  </w:num>
  <w:num w:numId="19">
    <w:abstractNumId w:val="25"/>
  </w:num>
  <w:num w:numId="20">
    <w:abstractNumId w:val="22"/>
  </w:num>
  <w:num w:numId="21">
    <w:abstractNumId w:val="16"/>
  </w:num>
  <w:num w:numId="22">
    <w:abstractNumId w:val="24"/>
  </w:num>
  <w:num w:numId="23">
    <w:abstractNumId w:val="17"/>
  </w:num>
  <w:num w:numId="24">
    <w:abstractNumId w:val="8"/>
  </w:num>
  <w:num w:numId="25">
    <w:abstractNumId w:val="21"/>
  </w:num>
  <w:num w:numId="26">
    <w:abstractNumId w:val="20"/>
  </w:num>
  <w:num w:numId="27">
    <w:abstractNumId w:val="30"/>
  </w:num>
  <w:num w:numId="28">
    <w:abstractNumId w:val="6"/>
  </w:num>
  <w:num w:numId="29">
    <w:abstractNumId w:val="19"/>
  </w:num>
  <w:num w:numId="30">
    <w:abstractNumId w:val="33"/>
  </w:num>
  <w:num w:numId="31">
    <w:abstractNumId w:val="5"/>
  </w:num>
  <w:num w:numId="32">
    <w:abstractNumId w:val="32"/>
  </w:num>
  <w:num w:numId="33">
    <w:abstractNumId w:val="27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076523"/>
    <w:rsid w:val="00185A46"/>
    <w:rsid w:val="001915B6"/>
    <w:rsid w:val="00195112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8134C8"/>
    <w:rsid w:val="00814073"/>
    <w:rsid w:val="00826F0D"/>
    <w:rsid w:val="00893B92"/>
    <w:rsid w:val="008A6AF2"/>
    <w:rsid w:val="008C70A2"/>
    <w:rsid w:val="0091385D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3064</Words>
  <Characters>17466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Потребител на Windows</cp:lastModifiedBy>
  <cp:revision>2</cp:revision>
  <dcterms:created xsi:type="dcterms:W3CDTF">2022-07-30T12:28:00Z</dcterms:created>
  <dcterms:modified xsi:type="dcterms:W3CDTF">2022-07-30T12:28:00Z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