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14008A99" w:rsidR="0091385D" w:rsidRDefault="0091385D" w:rsidP="0091385D"/>
    <w:p w14:paraId="0BC88E11" w14:textId="4870B27D" w:rsidR="003263A6" w:rsidRPr="003263A6" w:rsidRDefault="00EF14CD" w:rsidP="003263A6">
      <w:pPr>
        <w:spacing w:line="240" w:lineRule="auto"/>
        <w:rPr>
          <w:rFonts w:eastAsia="Times New Roman" w:cs="Arial"/>
          <w:sz w:val="24"/>
          <w:szCs w:val="24"/>
          <w:lang w:val="en-US" w:eastAsia="bg-BG"/>
        </w:rPr>
      </w:pPr>
      <w:r>
        <w:rPr>
          <w:rFonts w:eastAsia="Times New Roman" w:cs="Arial"/>
          <w:color w:val="000000"/>
          <w:lang w:eastAsia="bg-BG"/>
        </w:rPr>
        <w:t>Глимегамма 6</w:t>
      </w:r>
      <w:r w:rsidR="003263A6" w:rsidRPr="003263A6">
        <w:rPr>
          <w:rFonts w:eastAsia="Times New Roman" w:cs="Arial"/>
          <w:color w:val="000000"/>
          <w:lang w:eastAsia="bg-BG"/>
        </w:rPr>
        <w:t xml:space="preserve"> </w:t>
      </w:r>
      <w:r w:rsidR="003263A6" w:rsidRPr="003263A6">
        <w:rPr>
          <w:rFonts w:eastAsia="Times New Roman" w:cs="Arial"/>
          <w:color w:val="000000"/>
          <w:lang w:val="en-US"/>
        </w:rPr>
        <w:t xml:space="preserve">mg </w:t>
      </w:r>
      <w:r w:rsidR="003263A6" w:rsidRPr="003263A6">
        <w:rPr>
          <w:rFonts w:eastAsia="Times New Roman" w:cs="Arial"/>
          <w:color w:val="000000"/>
          <w:lang w:eastAsia="bg-BG"/>
        </w:rPr>
        <w:t>таблетки</w:t>
      </w:r>
    </w:p>
    <w:p w14:paraId="73D1D99C" w14:textId="133C2BA1" w:rsidR="0091385D" w:rsidRPr="003263A6" w:rsidRDefault="003263A6" w:rsidP="003263A6">
      <w:pPr>
        <w:rPr>
          <w:rFonts w:cs="Arial"/>
        </w:rPr>
      </w:pPr>
      <w:proofErr w:type="spellStart"/>
      <w:r w:rsidRPr="003263A6">
        <w:rPr>
          <w:rFonts w:eastAsia="Times New Roman" w:cs="Arial"/>
          <w:color w:val="000000"/>
          <w:lang w:val="en-US"/>
        </w:rPr>
        <w:t>Glimegamma</w:t>
      </w:r>
      <w:proofErr w:type="spellEnd"/>
      <w:r w:rsidRPr="003263A6">
        <w:rPr>
          <w:rFonts w:eastAsia="Times New Roman" w:cs="Arial"/>
          <w:color w:val="000000"/>
          <w:lang w:val="en-US"/>
        </w:rPr>
        <w:t xml:space="preserve"> </w:t>
      </w:r>
      <w:r w:rsidR="00EF14CD">
        <w:rPr>
          <w:rFonts w:eastAsia="Times New Roman" w:cs="Arial"/>
          <w:color w:val="000000"/>
          <w:lang w:eastAsia="bg-BG"/>
        </w:rPr>
        <w:t>6</w:t>
      </w:r>
      <w:r w:rsidRPr="003263A6">
        <w:rPr>
          <w:rFonts w:eastAsia="Times New Roman" w:cs="Arial"/>
          <w:color w:val="000000"/>
          <w:lang w:eastAsia="bg-BG"/>
        </w:rPr>
        <w:t xml:space="preserve"> </w:t>
      </w:r>
      <w:r w:rsidRPr="003263A6">
        <w:rPr>
          <w:rFonts w:eastAsia="Times New Roman" w:cs="Arial"/>
          <w:color w:val="000000"/>
          <w:lang w:val="en-US"/>
        </w:rPr>
        <w:t>mg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59DFDC70" w14:textId="20AE9A46" w:rsidR="003263A6" w:rsidRPr="003263A6" w:rsidRDefault="00EF14CD" w:rsidP="003263A6">
      <w:pPr>
        <w:spacing w:line="240" w:lineRule="auto"/>
        <w:rPr>
          <w:rFonts w:eastAsia="Times New Roman" w:cs="Arial"/>
          <w:sz w:val="24"/>
          <w:szCs w:val="24"/>
          <w:lang w:eastAsia="bg-BG"/>
        </w:rPr>
      </w:pPr>
      <w:r>
        <w:rPr>
          <w:rFonts w:eastAsia="Times New Roman" w:cs="Arial"/>
          <w:color w:val="000000"/>
          <w:lang w:eastAsia="bg-BG"/>
        </w:rPr>
        <w:t>Всяка таблетка съдържа 6</w:t>
      </w:r>
      <w:r w:rsidR="003263A6" w:rsidRPr="003263A6">
        <w:rPr>
          <w:rFonts w:eastAsia="Times New Roman" w:cs="Arial"/>
          <w:color w:val="000000"/>
          <w:lang w:eastAsia="bg-BG"/>
        </w:rPr>
        <w:t xml:space="preserve"> </w:t>
      </w:r>
      <w:r w:rsidR="003263A6" w:rsidRPr="003263A6">
        <w:rPr>
          <w:rFonts w:eastAsia="Times New Roman" w:cs="Arial"/>
          <w:color w:val="000000"/>
          <w:lang w:val="en-US"/>
        </w:rPr>
        <w:t xml:space="preserve">mg </w:t>
      </w:r>
      <w:r w:rsidR="003263A6" w:rsidRPr="003263A6">
        <w:rPr>
          <w:rFonts w:eastAsia="Times New Roman" w:cs="Arial"/>
          <w:color w:val="000000"/>
          <w:lang w:eastAsia="bg-BG"/>
        </w:rPr>
        <w:t xml:space="preserve">глимепирид </w:t>
      </w:r>
      <w:r w:rsidR="003263A6" w:rsidRPr="003263A6">
        <w:rPr>
          <w:rFonts w:eastAsia="Times New Roman" w:cs="Arial"/>
          <w:i/>
          <w:iCs/>
          <w:color w:val="000000"/>
          <w:lang w:val="en-US"/>
        </w:rPr>
        <w:t>(glimepiride).</w:t>
      </w:r>
    </w:p>
    <w:p w14:paraId="5F86F646" w14:textId="77777777" w:rsidR="00EF14CD"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 xml:space="preserve">Помощни вещества с известно действие: </w:t>
      </w:r>
    </w:p>
    <w:p w14:paraId="7C18A00E" w14:textId="44B50A99" w:rsidR="003263A6" w:rsidRPr="00EF14CD" w:rsidRDefault="00EF14CD" w:rsidP="003263A6">
      <w:pPr>
        <w:spacing w:line="240" w:lineRule="auto"/>
        <w:rPr>
          <w:rFonts w:eastAsia="Times New Roman" w:cs="Arial"/>
          <w:color w:val="000000"/>
          <w:lang w:val="en-US" w:eastAsia="bg-BG"/>
        </w:rPr>
      </w:pPr>
      <w:r>
        <w:rPr>
          <w:rFonts w:eastAsia="Times New Roman" w:cs="Arial"/>
          <w:color w:val="000000"/>
          <w:lang w:eastAsia="bg-BG"/>
        </w:rPr>
        <w:t>съдържа също 133,95</w:t>
      </w:r>
      <w:r w:rsidR="003263A6" w:rsidRPr="003263A6">
        <w:rPr>
          <w:rFonts w:eastAsia="Times New Roman" w:cs="Arial"/>
          <w:color w:val="000000"/>
          <w:lang w:eastAsia="bg-BG"/>
        </w:rPr>
        <w:t xml:space="preserve"> </w:t>
      </w:r>
      <w:r w:rsidR="003263A6" w:rsidRPr="003263A6">
        <w:rPr>
          <w:rFonts w:eastAsia="Times New Roman" w:cs="Arial"/>
          <w:color w:val="000000"/>
          <w:lang w:val="en-US"/>
        </w:rPr>
        <w:t xml:space="preserve">mg </w:t>
      </w:r>
      <w:r w:rsidR="003263A6" w:rsidRPr="003263A6">
        <w:rPr>
          <w:rFonts w:eastAsia="Times New Roman" w:cs="Arial"/>
          <w:color w:val="000000"/>
          <w:lang w:eastAsia="bg-BG"/>
        </w:rPr>
        <w:t xml:space="preserve">лактоза монохидрат и 1,9 </w:t>
      </w:r>
      <w:r w:rsidR="003263A6" w:rsidRPr="003263A6">
        <w:rPr>
          <w:rFonts w:eastAsia="Times New Roman" w:cs="Arial"/>
          <w:color w:val="000000"/>
          <w:lang w:val="en-US"/>
        </w:rPr>
        <w:t xml:space="preserve">mg </w:t>
      </w:r>
      <w:r>
        <w:rPr>
          <w:rFonts w:eastAsia="Times New Roman" w:cs="Arial"/>
          <w:color w:val="000000"/>
          <w:lang w:eastAsia="bg-BG"/>
        </w:rPr>
        <w:t>натрий</w:t>
      </w:r>
      <w:r>
        <w:rPr>
          <w:rFonts w:eastAsia="Times New Roman" w:cs="Arial"/>
          <w:color w:val="000000"/>
          <w:lang w:val="en-US" w:eastAsia="bg-BG"/>
        </w:rPr>
        <w:t xml:space="preserve"> </w:t>
      </w:r>
      <w:r>
        <w:rPr>
          <w:rFonts w:eastAsia="Times New Roman" w:cs="Arial"/>
          <w:color w:val="000000"/>
          <w:lang w:eastAsia="bg-BG"/>
        </w:rPr>
        <w:t xml:space="preserve">на таблетка и Сънсет жълто </w:t>
      </w:r>
      <w:r>
        <w:rPr>
          <w:rFonts w:eastAsia="Times New Roman" w:cs="Arial"/>
          <w:color w:val="000000"/>
          <w:lang w:val="en-US" w:eastAsia="bg-BG"/>
        </w:rPr>
        <w:t>FCF(E110).</w:t>
      </w:r>
    </w:p>
    <w:p w14:paraId="4307CBAF" w14:textId="77777777" w:rsidR="003263A6" w:rsidRPr="003263A6" w:rsidRDefault="003263A6" w:rsidP="003263A6">
      <w:pPr>
        <w:rPr>
          <w:rFonts w:eastAsia="Times New Roman" w:cs="Arial"/>
          <w:color w:val="000000"/>
          <w:lang w:eastAsia="bg-BG"/>
        </w:rPr>
      </w:pPr>
    </w:p>
    <w:p w14:paraId="729D0A91" w14:textId="2C6BEA49" w:rsidR="0091385D" w:rsidRPr="003263A6" w:rsidRDefault="003263A6" w:rsidP="003263A6">
      <w:pPr>
        <w:rPr>
          <w:rFonts w:cs="Arial"/>
        </w:rPr>
      </w:pPr>
      <w:r w:rsidRPr="003263A6">
        <w:rPr>
          <w:rFonts w:eastAsia="Times New Roman" w:cs="Arial"/>
          <w:color w:val="000000"/>
          <w:lang w:eastAsia="bg-BG"/>
        </w:rPr>
        <w:t>За пълния списък на помощните вещества вижте точка 6.1.</w:t>
      </w:r>
    </w:p>
    <w:p w14:paraId="03110A50" w14:textId="77777777" w:rsidR="0091385D" w:rsidRPr="0091385D" w:rsidRDefault="0091385D"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1BDDF1F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Таблетка</w:t>
      </w:r>
    </w:p>
    <w:p w14:paraId="795ECE26" w14:textId="77777777" w:rsidR="003263A6" w:rsidRPr="003263A6" w:rsidRDefault="003263A6" w:rsidP="003263A6">
      <w:pPr>
        <w:spacing w:line="240" w:lineRule="auto"/>
        <w:rPr>
          <w:rFonts w:eastAsia="Times New Roman" w:cs="Arial"/>
          <w:color w:val="000000"/>
          <w:lang w:eastAsia="bg-BG"/>
        </w:rPr>
      </w:pPr>
    </w:p>
    <w:p w14:paraId="2C98A4CA" w14:textId="70D3688D"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Зелени, продълговати таблетки с размери приблизително 11 х 5,5 мм с делител на черта от двете страни.</w:t>
      </w:r>
    </w:p>
    <w:p w14:paraId="4A991133" w14:textId="76F6B039" w:rsidR="0091385D" w:rsidRPr="003263A6" w:rsidRDefault="003263A6" w:rsidP="003263A6">
      <w:pPr>
        <w:rPr>
          <w:rFonts w:cs="Arial"/>
        </w:rPr>
      </w:pPr>
      <w:r w:rsidRPr="003263A6">
        <w:rPr>
          <w:rFonts w:eastAsia="Times New Roman" w:cs="Arial"/>
          <w:color w:val="000000"/>
          <w:lang w:eastAsia="bg-BG"/>
        </w:rPr>
        <w:t>Таблетката може да бъде разделена на две равни дози.</w:t>
      </w:r>
    </w:p>
    <w:p w14:paraId="4129ADBB" w14:textId="77777777" w:rsidR="0091385D" w:rsidRPr="0091385D" w:rsidRDefault="0091385D"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74A47515" w:rsidR="0091385D" w:rsidRPr="003263A6" w:rsidRDefault="003263A6" w:rsidP="0091385D">
      <w:pPr>
        <w:rPr>
          <w:rFonts w:cs="Arial"/>
        </w:rPr>
      </w:pPr>
      <w:r w:rsidRPr="003263A6">
        <w:rPr>
          <w:rFonts w:cs="Arial"/>
        </w:rPr>
        <w:t>Глимегамма е показан за лечение на захарен диабет тип 2, когато само диетата, физическото натоварване и снижаването на телесното тегло са недостатъчни.</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17E14A3E" w14:textId="77777777" w:rsidR="003263A6" w:rsidRPr="00B7639A" w:rsidRDefault="003263A6" w:rsidP="00B7639A">
      <w:pPr>
        <w:pStyle w:val="Heading3"/>
        <w:rPr>
          <w:rFonts w:eastAsia="Times New Roman"/>
          <w:u w:val="single"/>
          <w:lang w:eastAsia="bg-BG"/>
        </w:rPr>
      </w:pPr>
      <w:r w:rsidRPr="00B7639A">
        <w:rPr>
          <w:rFonts w:eastAsia="Times New Roman"/>
          <w:u w:val="single"/>
          <w:lang w:eastAsia="bg-BG"/>
        </w:rPr>
        <w:t>Дозировка</w:t>
      </w:r>
    </w:p>
    <w:p w14:paraId="6916C35B" w14:textId="77777777" w:rsidR="003263A6" w:rsidRPr="003263A6" w:rsidRDefault="003263A6" w:rsidP="003263A6">
      <w:pPr>
        <w:spacing w:line="240" w:lineRule="auto"/>
        <w:rPr>
          <w:rFonts w:eastAsia="Times New Roman" w:cs="Arial"/>
          <w:color w:val="000000"/>
          <w:lang w:eastAsia="bg-BG"/>
        </w:rPr>
      </w:pPr>
    </w:p>
    <w:p w14:paraId="38E9DD4D" w14:textId="6A12AA28"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Основа на успешното лечение на диабета е добрата диета, редовната физическа активност, както и рутинните изследвания на кръв и урина. Пероралните антидиабетни лекарствени продукти или инсулинът не могат да компенсират диабета, ако пациентът не спазва препоръчаната диета.</w:t>
      </w:r>
    </w:p>
    <w:p w14:paraId="1B10AEE8" w14:textId="77777777" w:rsidR="003263A6" w:rsidRPr="003263A6" w:rsidRDefault="003263A6" w:rsidP="003263A6">
      <w:pPr>
        <w:spacing w:line="240" w:lineRule="auto"/>
        <w:rPr>
          <w:rFonts w:eastAsia="Times New Roman" w:cs="Arial"/>
          <w:color w:val="000000"/>
          <w:lang w:eastAsia="bg-BG"/>
        </w:rPr>
      </w:pPr>
    </w:p>
    <w:p w14:paraId="7EDBB653" w14:textId="26A82142"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Дозировката се определя от резултатите от изследванията на захар в кръвта и урината.</w:t>
      </w:r>
    </w:p>
    <w:p w14:paraId="30E126A8" w14:textId="77777777" w:rsidR="003263A6" w:rsidRPr="003263A6" w:rsidRDefault="003263A6" w:rsidP="003263A6">
      <w:pPr>
        <w:spacing w:line="240" w:lineRule="auto"/>
        <w:rPr>
          <w:rFonts w:eastAsia="Times New Roman" w:cs="Arial"/>
          <w:color w:val="000000"/>
          <w:lang w:eastAsia="bg-BG"/>
        </w:rPr>
      </w:pPr>
    </w:p>
    <w:p w14:paraId="657CB3B7" w14:textId="29515972"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Началната доза е 1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 Ако се постигне добър контрол, тази дозировка трябва да се използва за поддържаща терапия.</w:t>
      </w:r>
    </w:p>
    <w:p w14:paraId="401CA9BA" w14:textId="77777777" w:rsidR="003263A6" w:rsidRPr="003263A6" w:rsidRDefault="003263A6" w:rsidP="003263A6">
      <w:pPr>
        <w:spacing w:line="240" w:lineRule="auto"/>
        <w:rPr>
          <w:rFonts w:eastAsia="Times New Roman" w:cs="Arial"/>
          <w:sz w:val="24"/>
          <w:szCs w:val="24"/>
          <w:lang w:eastAsia="bg-BG"/>
        </w:rPr>
      </w:pPr>
    </w:p>
    <w:p w14:paraId="53035460" w14:textId="7C075389"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Ако контролът не е задоволителен, дозата трябва да се увеличи, съобразно степента на постигнатия контрол върху кръвната захар, стъпково, с интервал от около 1 до 2 седмици между всяка стъпка до 2, 3 или 4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w:t>
      </w:r>
    </w:p>
    <w:p w14:paraId="41C8C549" w14:textId="77777777" w:rsidR="003263A6" w:rsidRPr="003263A6" w:rsidRDefault="003263A6" w:rsidP="003263A6">
      <w:pPr>
        <w:spacing w:line="240" w:lineRule="auto"/>
        <w:rPr>
          <w:rFonts w:eastAsia="Times New Roman" w:cs="Arial"/>
          <w:sz w:val="24"/>
          <w:szCs w:val="24"/>
          <w:lang w:eastAsia="bg-BG"/>
        </w:rPr>
      </w:pPr>
    </w:p>
    <w:p w14:paraId="475300EC" w14:textId="4E455643" w:rsidR="0091385D" w:rsidRPr="003263A6" w:rsidRDefault="003263A6" w:rsidP="003263A6">
      <w:pPr>
        <w:rPr>
          <w:rFonts w:cs="Arial"/>
        </w:rPr>
      </w:pPr>
      <w:r w:rsidRPr="003263A6">
        <w:rPr>
          <w:rFonts w:eastAsia="Times New Roman" w:cs="Arial"/>
          <w:color w:val="000000"/>
          <w:lang w:eastAsia="bg-BG"/>
        </w:rPr>
        <w:t xml:space="preserve">Предлагат се таблетки с различна концентрация на активното вещество, подходящи за </w:t>
      </w:r>
      <w:r w:rsidRPr="003263A6">
        <w:rPr>
          <w:rFonts w:eastAsia="Times New Roman" w:cs="Arial"/>
          <w:color w:val="000000"/>
          <w:vertAlign w:val="subscript"/>
          <w:lang w:eastAsia="bg-BG"/>
        </w:rPr>
        <w:t xml:space="preserve"> </w:t>
      </w:r>
      <w:r w:rsidRPr="003263A6">
        <w:rPr>
          <w:rFonts w:eastAsia="Times New Roman" w:cs="Arial"/>
          <w:color w:val="000000"/>
          <w:lang w:eastAsia="bg-BG"/>
        </w:rPr>
        <w:t>различни схеми на дозиране.</w:t>
      </w:r>
    </w:p>
    <w:p w14:paraId="6ACAF645" w14:textId="4AA8DFF6" w:rsidR="0091385D" w:rsidRDefault="0091385D" w:rsidP="0091385D"/>
    <w:p w14:paraId="593E3CE7"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Доза по-висока от 4 </w:t>
      </w:r>
      <w:r w:rsidRPr="003263A6">
        <w:rPr>
          <w:rFonts w:eastAsia="Times New Roman" w:cs="Arial"/>
          <w:color w:val="000000"/>
          <w:lang w:val="en-US"/>
        </w:rPr>
        <w:t xml:space="preserve">mg </w:t>
      </w:r>
      <w:r w:rsidRPr="003263A6">
        <w:rPr>
          <w:rFonts w:eastAsia="Times New Roman" w:cs="Arial"/>
          <w:color w:val="000000"/>
          <w:lang w:eastAsia="bg-BG"/>
        </w:rPr>
        <w:t>глимепирид дава по-добри резултати само в изключителни случаи.</w:t>
      </w:r>
    </w:p>
    <w:p w14:paraId="43B34541" w14:textId="77777777" w:rsidR="003263A6" w:rsidRPr="003263A6" w:rsidRDefault="003263A6" w:rsidP="003263A6">
      <w:pPr>
        <w:spacing w:line="240" w:lineRule="auto"/>
        <w:rPr>
          <w:rFonts w:eastAsia="Times New Roman" w:cs="Arial"/>
          <w:color w:val="000000"/>
          <w:lang w:eastAsia="bg-BG"/>
        </w:rPr>
      </w:pPr>
    </w:p>
    <w:p w14:paraId="4F74B890"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Максималната препоръчителна доза е 6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w:t>
      </w:r>
    </w:p>
    <w:p w14:paraId="4BD94002" w14:textId="77777777" w:rsidR="003263A6" w:rsidRPr="003263A6" w:rsidRDefault="003263A6" w:rsidP="003263A6">
      <w:pPr>
        <w:spacing w:line="240" w:lineRule="auto"/>
        <w:rPr>
          <w:rFonts w:eastAsia="Times New Roman" w:cs="Arial"/>
          <w:color w:val="000000"/>
          <w:lang w:eastAsia="bg-BG"/>
        </w:rPr>
      </w:pPr>
    </w:p>
    <w:p w14:paraId="68796271"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 пациенти, при които не се получава адекватен контрол с максималната дневна доза метформин, може да започне съпътстващо лечение с глимепирид. Дозата на метформин трябва да се запази, а лечението с глимепирид започва с ниска доза и след това се титрира в зависимост от желаното ниво на метаболитен контрол до максималната дневна доза. Комбинираната терапия трябва да се започва под строго медицинско наблюдение.</w:t>
      </w:r>
    </w:p>
    <w:p w14:paraId="13C28177" w14:textId="77777777" w:rsidR="003263A6" w:rsidRPr="003263A6" w:rsidRDefault="003263A6" w:rsidP="003263A6">
      <w:pPr>
        <w:spacing w:line="240" w:lineRule="auto"/>
        <w:rPr>
          <w:rFonts w:eastAsia="Times New Roman" w:cs="Arial"/>
          <w:color w:val="000000"/>
          <w:lang w:eastAsia="bg-BG"/>
        </w:rPr>
      </w:pPr>
    </w:p>
    <w:p w14:paraId="27ED61BD"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 пациенти, при които не се получава адекватен контрол с максималната дневна доза Глимегамма, при необходимост може да се започне терапия с инсулин. При запазване на дозата на глимепирид, инсулиновото лечение започва с ниска доза и се титрира в зависимост от желаното ниво на метаболитен контрол. Комбинираната терапия трябва да се започва под строго медицинско наблюдение.</w:t>
      </w:r>
    </w:p>
    <w:p w14:paraId="58CB4947" w14:textId="77777777" w:rsidR="003263A6" w:rsidRPr="003263A6" w:rsidRDefault="003263A6" w:rsidP="003263A6">
      <w:pPr>
        <w:spacing w:line="240" w:lineRule="auto"/>
        <w:rPr>
          <w:rFonts w:eastAsia="Times New Roman" w:cs="Arial"/>
          <w:color w:val="000000"/>
          <w:lang w:eastAsia="bg-BG"/>
        </w:rPr>
      </w:pPr>
    </w:p>
    <w:p w14:paraId="09C71CC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Ако пациентът развие хипогликемична реакция при 1 </w:t>
      </w:r>
      <w:r w:rsidRPr="003263A6">
        <w:rPr>
          <w:rFonts w:eastAsia="Times New Roman" w:cs="Arial"/>
          <w:color w:val="000000"/>
          <w:lang w:val="en-US"/>
        </w:rPr>
        <w:t xml:space="preserve">mg </w:t>
      </w:r>
      <w:r w:rsidRPr="003263A6">
        <w:rPr>
          <w:rFonts w:eastAsia="Times New Roman" w:cs="Arial"/>
          <w:color w:val="000000"/>
          <w:lang w:eastAsia="bg-BG"/>
        </w:rPr>
        <w:t>глимепирид, това показва, че контролът може да се осъществява само с диета.</w:t>
      </w:r>
    </w:p>
    <w:p w14:paraId="36A80564" w14:textId="77777777" w:rsidR="003263A6" w:rsidRPr="003263A6" w:rsidRDefault="003263A6" w:rsidP="003263A6">
      <w:pPr>
        <w:spacing w:line="240" w:lineRule="auto"/>
        <w:rPr>
          <w:rFonts w:eastAsia="Times New Roman" w:cs="Arial"/>
          <w:color w:val="000000"/>
          <w:lang w:eastAsia="bg-BG"/>
        </w:rPr>
      </w:pPr>
    </w:p>
    <w:p w14:paraId="66E393E9" w14:textId="77777777"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В хода на лечението, тъй като подобрението в контролирането на диабета е свързано с по- висока чувствителност към инсулин, нуждите от глимепирид може да намалеят. Следователно, за да се избегне хипогликемия, трябва да се обмисли навременно намаляване на дозата или спиране на терапията. Промяна на дозата може да е необходима и ако има промени в начина на живот или теглото на пациента или други фактори, увеличаващи риска от хипо- или хипергликемия.</w:t>
      </w:r>
    </w:p>
    <w:p w14:paraId="43AE2F88" w14:textId="77777777" w:rsidR="003263A6" w:rsidRPr="003263A6" w:rsidRDefault="003263A6" w:rsidP="003263A6">
      <w:pPr>
        <w:spacing w:line="240" w:lineRule="auto"/>
        <w:rPr>
          <w:rFonts w:eastAsia="Times New Roman" w:cs="Arial"/>
          <w:sz w:val="24"/>
          <w:szCs w:val="24"/>
          <w:lang w:eastAsia="bg-BG"/>
        </w:rPr>
      </w:pPr>
    </w:p>
    <w:p w14:paraId="0C623EBD" w14:textId="77777777" w:rsidR="003263A6" w:rsidRPr="003263A6" w:rsidRDefault="003263A6" w:rsidP="003263A6">
      <w:pPr>
        <w:pStyle w:val="ListParagraph"/>
        <w:numPr>
          <w:ilvl w:val="0"/>
          <w:numId w:val="35"/>
        </w:numPr>
        <w:spacing w:line="240" w:lineRule="auto"/>
        <w:rPr>
          <w:rFonts w:eastAsia="Times New Roman" w:cs="Arial"/>
          <w:color w:val="000000"/>
          <w:lang w:eastAsia="bg-BG"/>
        </w:rPr>
      </w:pPr>
      <w:r w:rsidRPr="003263A6">
        <w:rPr>
          <w:rFonts w:eastAsia="Times New Roman" w:cs="Arial"/>
          <w:color w:val="000000"/>
          <w:lang w:eastAsia="bg-BG"/>
        </w:rPr>
        <w:t>Преминаване от други перорални хипогликемични средства към Глимегамма</w:t>
      </w:r>
    </w:p>
    <w:p w14:paraId="300D935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Принципно е възможно да се премине от други перорални хипогликемични средства към Глимегамма.</w:t>
      </w:r>
    </w:p>
    <w:p w14:paraId="13D9DFF9" w14:textId="77777777"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 xml:space="preserve">За преминаване към Глимегамма трябва да се вземе предвид количеството на активното вещество в дозова единица и времето на полуживот на предишния лекарствен продукт. В някои случаи, особено при антидиабетни средства с по-дълъг полуживот (напр. хлоропрамид), се препоръчва да има период на изчистване от няколко дни, за да се сведе до минимум рискът от хипогликемични реакции вследствие на адитивен ефект. Препоръчваната начална доза е 1 </w:t>
      </w:r>
      <w:r w:rsidRPr="003263A6">
        <w:rPr>
          <w:rFonts w:eastAsia="Times New Roman" w:cs="Arial"/>
          <w:color w:val="000000"/>
          <w:lang w:val="en-US"/>
        </w:rPr>
        <w:t xml:space="preserve">mg </w:t>
      </w:r>
      <w:r w:rsidRPr="003263A6">
        <w:rPr>
          <w:rFonts w:eastAsia="Times New Roman" w:cs="Arial"/>
          <w:color w:val="000000"/>
          <w:lang w:eastAsia="bg-BG"/>
        </w:rPr>
        <w:t>глимепирид дневно. В зависимост от повлияването, дозата на глимепирид може да се увеличава стъпково, както е указано по-горе.</w:t>
      </w:r>
    </w:p>
    <w:p w14:paraId="287220DC" w14:textId="77777777" w:rsidR="003263A6" w:rsidRPr="003263A6" w:rsidRDefault="003263A6" w:rsidP="003263A6">
      <w:pPr>
        <w:spacing w:line="240" w:lineRule="auto"/>
        <w:rPr>
          <w:rFonts w:eastAsia="Times New Roman" w:cs="Arial"/>
          <w:sz w:val="24"/>
          <w:szCs w:val="24"/>
          <w:lang w:eastAsia="bg-BG"/>
        </w:rPr>
      </w:pPr>
    </w:p>
    <w:p w14:paraId="3D6363C0" w14:textId="77777777" w:rsidR="003263A6" w:rsidRPr="003263A6" w:rsidRDefault="003263A6" w:rsidP="003263A6">
      <w:pPr>
        <w:pStyle w:val="ListParagraph"/>
        <w:numPr>
          <w:ilvl w:val="0"/>
          <w:numId w:val="35"/>
        </w:numPr>
        <w:spacing w:line="240" w:lineRule="auto"/>
        <w:rPr>
          <w:rFonts w:eastAsia="Times New Roman" w:cs="Arial"/>
          <w:color w:val="000000"/>
          <w:lang w:eastAsia="bg-BG"/>
        </w:rPr>
      </w:pPr>
      <w:r w:rsidRPr="003263A6">
        <w:rPr>
          <w:rFonts w:eastAsia="Times New Roman" w:cs="Arial"/>
          <w:color w:val="000000"/>
          <w:lang w:eastAsia="bg-BG"/>
        </w:rPr>
        <w:t>Преминаване от инсулин към Глимегамма</w:t>
      </w:r>
    </w:p>
    <w:p w14:paraId="28F68FB3"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lastRenderedPageBreak/>
        <w:t>В изключителни случаи, когато пациенти с диабет тип 2 са регулирани с инсулин, може да е показано преминаване към Глимегамма. Преминаването трябва да се извършва само под строго медицинско наблюдение.</w:t>
      </w:r>
    </w:p>
    <w:p w14:paraId="15F37C6E" w14:textId="77777777" w:rsidR="003263A6" w:rsidRPr="003263A6" w:rsidRDefault="003263A6" w:rsidP="003263A6">
      <w:pPr>
        <w:spacing w:line="240" w:lineRule="auto"/>
        <w:rPr>
          <w:rFonts w:eastAsia="Times New Roman" w:cs="Arial"/>
          <w:i/>
          <w:iCs/>
          <w:color w:val="000000"/>
          <w:lang w:eastAsia="bg-BG"/>
        </w:rPr>
      </w:pPr>
    </w:p>
    <w:p w14:paraId="38F9367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Специални популации</w:t>
      </w:r>
    </w:p>
    <w:p w14:paraId="4BAC51E5" w14:textId="77777777" w:rsidR="003263A6" w:rsidRPr="003263A6" w:rsidRDefault="003263A6" w:rsidP="003263A6">
      <w:pPr>
        <w:spacing w:line="240" w:lineRule="auto"/>
        <w:rPr>
          <w:rFonts w:eastAsia="Times New Roman" w:cs="Arial"/>
          <w:i/>
          <w:iCs/>
          <w:color w:val="000000"/>
          <w:lang w:eastAsia="bg-BG"/>
        </w:rPr>
      </w:pPr>
    </w:p>
    <w:p w14:paraId="2CCE9B07"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Пациенти с бъбречно или чернодробно увреждане</w:t>
      </w:r>
    </w:p>
    <w:p w14:paraId="0D1E3769"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Вижте точка 4.3.</w:t>
      </w:r>
    </w:p>
    <w:p w14:paraId="5B405EC8" w14:textId="77777777" w:rsidR="003263A6" w:rsidRPr="003263A6" w:rsidRDefault="003263A6" w:rsidP="003263A6">
      <w:pPr>
        <w:spacing w:line="240" w:lineRule="auto"/>
        <w:rPr>
          <w:rFonts w:eastAsia="Times New Roman" w:cs="Arial"/>
          <w:i/>
          <w:iCs/>
          <w:color w:val="000000"/>
          <w:lang w:eastAsia="bg-BG"/>
        </w:rPr>
      </w:pPr>
    </w:p>
    <w:p w14:paraId="4F80FBD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i/>
          <w:iCs/>
          <w:color w:val="000000"/>
          <w:lang w:eastAsia="bg-BG"/>
        </w:rPr>
        <w:t>Педиатрична популация</w:t>
      </w:r>
    </w:p>
    <w:p w14:paraId="224B4BFE"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Няма данни за приложението на глимепирид при пациенти на възраст под 8 години. За деца от 8 до 17 години има ограничени данни за монотерапия с глимепирид (вж. точки</w:t>
      </w:r>
      <w:r w:rsidRPr="003263A6">
        <w:rPr>
          <w:rFonts w:eastAsia="Times New Roman" w:cs="Arial"/>
          <w:color w:val="000000"/>
          <w:lang w:val="en-US"/>
        </w:rPr>
        <w:t xml:space="preserve"> 5.1 </w:t>
      </w:r>
      <w:r w:rsidRPr="003263A6">
        <w:rPr>
          <w:rFonts w:eastAsia="Times New Roman" w:cs="Arial"/>
          <w:color w:val="000000"/>
          <w:lang w:eastAsia="bg-BG"/>
        </w:rPr>
        <w:t>и 5.2).</w:t>
      </w:r>
    </w:p>
    <w:p w14:paraId="3DAF08AB"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Не се препоръчва употребата при деца поради недостатъчни данни за безопасността и</w:t>
      </w:r>
    </w:p>
    <w:p w14:paraId="7EEC6734" w14:textId="77777777" w:rsidR="003263A6" w:rsidRPr="003263A6" w:rsidRDefault="003263A6" w:rsidP="003263A6">
      <w:pPr>
        <w:spacing w:line="240" w:lineRule="auto"/>
        <w:rPr>
          <w:rFonts w:eastAsia="Times New Roman" w:cs="Arial"/>
          <w:sz w:val="24"/>
          <w:szCs w:val="24"/>
          <w:lang w:eastAsia="bg-BG"/>
        </w:rPr>
      </w:pPr>
      <w:bookmarkStart w:id="1" w:name="bookmark0"/>
      <w:r w:rsidRPr="003263A6">
        <w:rPr>
          <w:rFonts w:eastAsia="Times New Roman" w:cs="Arial"/>
          <w:color w:val="000000"/>
          <w:lang w:eastAsia="bg-BG"/>
        </w:rPr>
        <w:t>ефикасността.</w:t>
      </w:r>
      <w:bookmarkStart w:id="2" w:name="bookmark2"/>
      <w:bookmarkEnd w:id="1"/>
      <w:bookmarkEnd w:id="2"/>
    </w:p>
    <w:p w14:paraId="4E4022FC" w14:textId="77777777" w:rsidR="003263A6" w:rsidRPr="003263A6" w:rsidRDefault="003263A6" w:rsidP="003263A6">
      <w:pPr>
        <w:spacing w:line="240" w:lineRule="auto"/>
        <w:rPr>
          <w:rFonts w:eastAsia="Times New Roman" w:cs="Arial"/>
          <w:sz w:val="24"/>
          <w:szCs w:val="24"/>
          <w:lang w:eastAsia="bg-BG"/>
        </w:rPr>
      </w:pPr>
    </w:p>
    <w:p w14:paraId="0D8B095F" w14:textId="77777777" w:rsidR="003263A6" w:rsidRPr="00B7639A" w:rsidRDefault="003263A6" w:rsidP="00B7639A">
      <w:pPr>
        <w:pStyle w:val="Heading3"/>
        <w:rPr>
          <w:u w:val="single"/>
        </w:rPr>
      </w:pPr>
      <w:r w:rsidRPr="00B7639A">
        <w:rPr>
          <w:rFonts w:eastAsia="Times New Roman"/>
          <w:u w:val="single"/>
          <w:lang w:eastAsia="bg-BG"/>
        </w:rPr>
        <w:t>Начин на приложение</w:t>
      </w:r>
    </w:p>
    <w:p w14:paraId="29F3439A"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За перорално приложение</w:t>
      </w:r>
    </w:p>
    <w:p w14:paraId="7475265C" w14:textId="77777777" w:rsidR="003263A6" w:rsidRPr="003263A6" w:rsidRDefault="003263A6" w:rsidP="003263A6">
      <w:pPr>
        <w:spacing w:line="240" w:lineRule="auto"/>
        <w:rPr>
          <w:rFonts w:eastAsia="Times New Roman" w:cs="Arial"/>
          <w:color w:val="000000"/>
          <w:lang w:eastAsia="bg-BG"/>
        </w:rPr>
      </w:pPr>
    </w:p>
    <w:p w14:paraId="4D4D9932"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Обикновено еднократна дневна доза глимепирид е достатъчна. Препоръчва се тази доза да се приема малко преди или по време на обилна закуска или, ако не се закусва - малко преди или по време на първото основно хранене.</w:t>
      </w:r>
    </w:p>
    <w:p w14:paraId="34FB041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Ако бъде пропуснат прием на доза, това не трябва да се компенсира чрез увеличаване на следващата доза.</w:t>
      </w:r>
    </w:p>
    <w:p w14:paraId="1CD86935" w14:textId="77777777" w:rsidR="003263A6" w:rsidRPr="003263A6" w:rsidRDefault="003263A6" w:rsidP="003263A6">
      <w:pPr>
        <w:rPr>
          <w:rFonts w:cs="Arial"/>
        </w:rPr>
      </w:pPr>
      <w:r w:rsidRPr="003263A6">
        <w:rPr>
          <w:rFonts w:eastAsia="Times New Roman" w:cs="Arial"/>
          <w:color w:val="000000"/>
          <w:lang w:eastAsia="bg-BG"/>
        </w:rPr>
        <w:t>Таблетките трябва да се поглъщат цели с малко течност.</w:t>
      </w:r>
    </w:p>
    <w:p w14:paraId="20FB06BD" w14:textId="3548C5FC" w:rsidR="003263A6" w:rsidRPr="0091385D" w:rsidRDefault="003263A6"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60639D85"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е противопоказна в следните случаи:</w:t>
      </w:r>
    </w:p>
    <w:p w14:paraId="689EF1E6" w14:textId="5FE2543B"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свръхчувствителност към активното вещество, към други сулфанилурейни средства или сулфонамиди, или към някое от помощните вещества, изброени в точка 6.1</w:t>
      </w:r>
    </w:p>
    <w:p w14:paraId="34B2E4B0" w14:textId="3D470E83"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инсулинозависим захарен диабет</w:t>
      </w:r>
    </w:p>
    <w:p w14:paraId="5B13A5E8" w14:textId="77777777" w:rsidR="003263A6" w:rsidRPr="003263A6" w:rsidRDefault="003263A6" w:rsidP="003263A6">
      <w:pPr>
        <w:pStyle w:val="ListParagraph"/>
        <w:numPr>
          <w:ilvl w:val="0"/>
          <w:numId w:val="36"/>
        </w:numPr>
        <w:spacing w:line="240" w:lineRule="auto"/>
        <w:rPr>
          <w:rFonts w:eastAsia="Times New Roman" w:cs="Arial"/>
          <w:color w:val="000000"/>
          <w:lang w:eastAsia="bg-BG"/>
        </w:rPr>
      </w:pPr>
      <w:r w:rsidRPr="003263A6">
        <w:rPr>
          <w:rFonts w:eastAsia="Times New Roman" w:cs="Arial"/>
          <w:color w:val="000000"/>
          <w:lang w:eastAsia="bg-BG"/>
        </w:rPr>
        <w:t xml:space="preserve">диабетна кома </w:t>
      </w:r>
    </w:p>
    <w:p w14:paraId="1B1BCFB7" w14:textId="1A7A2615" w:rsidR="003263A6" w:rsidRPr="003263A6" w:rsidRDefault="003263A6" w:rsidP="003263A6">
      <w:pPr>
        <w:pStyle w:val="ListParagraph"/>
        <w:numPr>
          <w:ilvl w:val="0"/>
          <w:numId w:val="36"/>
        </w:numPr>
        <w:spacing w:line="240" w:lineRule="auto"/>
        <w:rPr>
          <w:rFonts w:eastAsia="Times New Roman" w:cs="Arial"/>
          <w:color w:val="000000"/>
          <w:lang w:eastAsia="bg-BG"/>
        </w:rPr>
      </w:pPr>
      <w:r w:rsidRPr="003263A6">
        <w:rPr>
          <w:rFonts w:eastAsia="Times New Roman" w:cs="Arial"/>
          <w:color w:val="000000"/>
          <w:lang w:eastAsia="bg-BG"/>
        </w:rPr>
        <w:t xml:space="preserve">кетоацидоза </w:t>
      </w:r>
    </w:p>
    <w:p w14:paraId="4DFC0F80" w14:textId="18F1DC18" w:rsidR="003263A6" w:rsidRPr="003263A6" w:rsidRDefault="003263A6" w:rsidP="003263A6">
      <w:pPr>
        <w:pStyle w:val="ListParagraph"/>
        <w:numPr>
          <w:ilvl w:val="0"/>
          <w:numId w:val="36"/>
        </w:numPr>
        <w:spacing w:line="240" w:lineRule="auto"/>
        <w:rPr>
          <w:rFonts w:eastAsia="Times New Roman" w:cs="Arial"/>
          <w:sz w:val="24"/>
          <w:szCs w:val="24"/>
          <w:lang w:eastAsia="bg-BG"/>
        </w:rPr>
      </w:pPr>
      <w:r w:rsidRPr="003263A6">
        <w:rPr>
          <w:rFonts w:eastAsia="Times New Roman" w:cs="Arial"/>
          <w:color w:val="000000"/>
          <w:lang w:eastAsia="bg-BG"/>
        </w:rPr>
        <w:t>тежки нарушения на бъбречната или чернодробната функция</w:t>
      </w:r>
    </w:p>
    <w:p w14:paraId="16461ACA" w14:textId="59EB79FD" w:rsidR="003263A6" w:rsidRPr="003263A6" w:rsidRDefault="003263A6" w:rsidP="003263A6">
      <w:pPr>
        <w:rPr>
          <w:rFonts w:cs="Arial"/>
        </w:rPr>
      </w:pPr>
      <w:r w:rsidRPr="003263A6">
        <w:rPr>
          <w:rFonts w:eastAsia="Times New Roman" w:cs="Arial"/>
          <w:color w:val="000000"/>
          <w:lang w:eastAsia="bg-BG"/>
        </w:rPr>
        <w:t>В случай на тежки нарушения на бъбречната или чернодробната функция е необходимо преминаване към инсулин.</w:t>
      </w:r>
    </w:p>
    <w:p w14:paraId="08AE512B" w14:textId="77777777" w:rsidR="003263A6" w:rsidRPr="0091385D" w:rsidRDefault="003263A6"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47F798CA" w14:textId="77777777"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трябва да се приема непосредствено преди или по време на хранене.</w:t>
      </w:r>
    </w:p>
    <w:p w14:paraId="1360C648" w14:textId="77777777" w:rsidR="003263A6" w:rsidRPr="003263A6" w:rsidRDefault="003263A6" w:rsidP="003263A6">
      <w:pPr>
        <w:spacing w:line="240" w:lineRule="auto"/>
        <w:rPr>
          <w:rFonts w:eastAsia="Times New Roman" w:cs="Arial"/>
          <w:color w:val="000000"/>
          <w:lang w:eastAsia="bg-BG"/>
        </w:rPr>
      </w:pPr>
    </w:p>
    <w:p w14:paraId="00AD4A30" w14:textId="625C8B8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Когато храненията са по различно време или изобщо биват пропускани, лечението с Глимегамма може да доведе до хипогликемия. Възможните симптоми на хипогликемия включват: главоболие, непреодолим глад, гадене, повръщане, отпадналост, сънливост, нарушения на съня, безпокойство, агресивност, нарушения в концентрацията, бодърстването и времето за реакция, депресия, объркване, говорни и зрителни смущения, афазия, тремор, пареза, сензорни нарушения, замаяност, безпомощност, </w:t>
      </w:r>
      <w:r w:rsidRPr="003263A6">
        <w:rPr>
          <w:rFonts w:eastAsia="Times New Roman" w:cs="Arial"/>
          <w:color w:val="000000"/>
          <w:lang w:eastAsia="bg-BG"/>
        </w:rPr>
        <w:lastRenderedPageBreak/>
        <w:t>загуба на самоконтрол, делириум, церебрални гърчове, сомнолентност и загуба на съзнание до и включително кома, повърхностно дишане и брадикардия.</w:t>
      </w:r>
    </w:p>
    <w:p w14:paraId="56A711A3" w14:textId="77777777" w:rsidR="003263A6" w:rsidRPr="003263A6" w:rsidRDefault="003263A6" w:rsidP="003263A6">
      <w:pPr>
        <w:spacing w:line="240" w:lineRule="auto"/>
        <w:rPr>
          <w:rFonts w:eastAsia="Times New Roman" w:cs="Arial"/>
          <w:color w:val="000000"/>
          <w:lang w:eastAsia="bg-BG"/>
        </w:rPr>
      </w:pPr>
    </w:p>
    <w:p w14:paraId="1303CDE2" w14:textId="5231AC2D"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Освен това може да има признаци на адренергична обратна регулация като: изпотяване, лепкава кожа, тревожност, тахикардия, хипертония, палпитации, ангина пекторис и сърдечни аритмии.</w:t>
      </w:r>
    </w:p>
    <w:p w14:paraId="547E7F57" w14:textId="77777777" w:rsidR="003263A6" w:rsidRPr="003263A6" w:rsidRDefault="003263A6" w:rsidP="003263A6">
      <w:pPr>
        <w:spacing w:line="240" w:lineRule="auto"/>
        <w:rPr>
          <w:rFonts w:eastAsia="Times New Roman" w:cs="Arial"/>
          <w:color w:val="000000"/>
          <w:lang w:eastAsia="bg-BG"/>
        </w:rPr>
      </w:pPr>
    </w:p>
    <w:p w14:paraId="13FE24A8" w14:textId="02A379A6"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Клиничната картина на тежкия хипогликемичен пристъп може да наподобява тази на инсулт. Симптомите почти винаги може да се овладеят бързо чрез незабавно приемане на въглехидрати (захар). Изкуствените подсладители не оказват ефект.</w:t>
      </w:r>
    </w:p>
    <w:p w14:paraId="46B992AF" w14:textId="77777777" w:rsidR="003263A6" w:rsidRPr="003263A6" w:rsidRDefault="003263A6" w:rsidP="003263A6">
      <w:pPr>
        <w:spacing w:line="240" w:lineRule="auto"/>
        <w:rPr>
          <w:rFonts w:eastAsia="Times New Roman" w:cs="Arial"/>
          <w:color w:val="000000"/>
          <w:lang w:eastAsia="bg-BG"/>
        </w:rPr>
      </w:pPr>
    </w:p>
    <w:p w14:paraId="17D0FFF0" w14:textId="13E802A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От другите сулфанилурейни лекарствени продукти е известно, че въпреки първоначално успешните контрамерки, хипогликемията може да се появи отново.</w:t>
      </w:r>
    </w:p>
    <w:p w14:paraId="3CF16DEB" w14:textId="77777777" w:rsidR="003263A6" w:rsidRPr="003263A6" w:rsidRDefault="003263A6" w:rsidP="003263A6">
      <w:pPr>
        <w:spacing w:line="240" w:lineRule="auto"/>
        <w:rPr>
          <w:rFonts w:eastAsia="Times New Roman" w:cs="Arial"/>
          <w:color w:val="000000"/>
          <w:lang w:eastAsia="bg-BG"/>
        </w:rPr>
      </w:pPr>
    </w:p>
    <w:p w14:paraId="47F74D2D" w14:textId="583D2641"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Тежката или продължителна хипогликемия, овладяна само временно с обичайните количества захар, налага незабавно медицинско лечение и в някои случаи хоспитализация.</w:t>
      </w:r>
    </w:p>
    <w:p w14:paraId="09E4969A" w14:textId="77777777" w:rsidR="003263A6" w:rsidRPr="003263A6" w:rsidRDefault="003263A6" w:rsidP="003263A6">
      <w:pPr>
        <w:spacing w:line="240" w:lineRule="auto"/>
        <w:rPr>
          <w:rFonts w:eastAsia="Times New Roman" w:cs="Arial"/>
          <w:color w:val="000000"/>
          <w:lang w:eastAsia="bg-BG"/>
        </w:rPr>
      </w:pPr>
    </w:p>
    <w:p w14:paraId="75589544" w14:textId="21723DC8" w:rsidR="003263A6" w:rsidRPr="003263A6" w:rsidRDefault="003263A6" w:rsidP="003263A6">
      <w:pPr>
        <w:spacing w:line="240" w:lineRule="auto"/>
        <w:rPr>
          <w:rFonts w:eastAsia="Times New Roman" w:cs="Arial"/>
          <w:color w:val="000000"/>
          <w:lang w:eastAsia="bg-BG"/>
        </w:rPr>
      </w:pPr>
      <w:r w:rsidRPr="003263A6">
        <w:rPr>
          <w:rFonts w:eastAsia="Times New Roman" w:cs="Arial"/>
          <w:color w:val="000000"/>
          <w:lang w:eastAsia="bg-BG"/>
        </w:rPr>
        <w:t>Факторите, които допринасят за възникването на хипогликемия включват:</w:t>
      </w:r>
    </w:p>
    <w:p w14:paraId="36B8DF19" w14:textId="77777777" w:rsidR="003263A6" w:rsidRPr="003263A6" w:rsidRDefault="003263A6" w:rsidP="003263A6">
      <w:pPr>
        <w:spacing w:line="240" w:lineRule="auto"/>
        <w:rPr>
          <w:rFonts w:eastAsia="Times New Roman" w:cs="Arial"/>
          <w:sz w:val="24"/>
          <w:szCs w:val="24"/>
          <w:lang w:eastAsia="bg-BG"/>
        </w:rPr>
      </w:pPr>
    </w:p>
    <w:p w14:paraId="2EAA7827" w14:textId="77777777" w:rsidR="00BE7414" w:rsidRDefault="003263A6" w:rsidP="00BE7414">
      <w:pPr>
        <w:pStyle w:val="ListParagraph"/>
        <w:numPr>
          <w:ilvl w:val="0"/>
          <w:numId w:val="39"/>
        </w:numPr>
        <w:spacing w:line="240" w:lineRule="auto"/>
        <w:rPr>
          <w:rFonts w:eastAsia="Times New Roman" w:cs="Arial"/>
          <w:color w:val="000000"/>
          <w:lang w:eastAsia="bg-BG"/>
        </w:rPr>
      </w:pPr>
      <w:r w:rsidRPr="00BE7414">
        <w:rPr>
          <w:rFonts w:eastAsia="Times New Roman" w:cs="Arial"/>
          <w:color w:val="000000"/>
          <w:lang w:eastAsia="bg-BG"/>
        </w:rPr>
        <w:t>нежелание или (по-често при по-възрастни пациенти) неспособност на пациента да сътрудничи;</w:t>
      </w:r>
    </w:p>
    <w:p w14:paraId="185B16D2" w14:textId="350C29C0" w:rsidR="003263A6" w:rsidRPr="00BE7414" w:rsidRDefault="003263A6" w:rsidP="00BE7414">
      <w:pPr>
        <w:pStyle w:val="ListParagraph"/>
        <w:numPr>
          <w:ilvl w:val="0"/>
          <w:numId w:val="39"/>
        </w:numPr>
        <w:spacing w:line="240" w:lineRule="auto"/>
        <w:rPr>
          <w:rFonts w:eastAsia="Times New Roman" w:cs="Arial"/>
          <w:color w:val="000000"/>
          <w:lang w:eastAsia="bg-BG"/>
        </w:rPr>
      </w:pPr>
      <w:r w:rsidRPr="00BE7414">
        <w:rPr>
          <w:rFonts w:eastAsia="Times New Roman" w:cs="Arial"/>
          <w:color w:val="000000"/>
          <w:lang w:eastAsia="bg-BG"/>
        </w:rPr>
        <w:t>недохранване, нередовни часове на хранене или пропуснати хранения, или периоди на</w:t>
      </w:r>
    </w:p>
    <w:p w14:paraId="2F23DB18" w14:textId="0EC6A505" w:rsidR="003263A6" w:rsidRPr="00BE7414" w:rsidRDefault="003263A6" w:rsidP="003263A6">
      <w:pPr>
        <w:rPr>
          <w:rFonts w:eastAsia="Times New Roman" w:cs="Arial"/>
          <w:color w:val="000000"/>
          <w:lang w:eastAsia="bg-BG"/>
        </w:rPr>
      </w:pPr>
      <w:r w:rsidRPr="003263A6">
        <w:rPr>
          <w:rFonts w:eastAsia="Times New Roman" w:cs="Arial"/>
          <w:color w:val="000000"/>
          <w:lang w:eastAsia="bg-BG"/>
        </w:rPr>
        <w:t>въздържане от храна;</w:t>
      </w:r>
    </w:p>
    <w:p w14:paraId="2A45E598" w14:textId="66C0D283" w:rsidR="00BE7414" w:rsidRPr="00BE7414" w:rsidRDefault="00BE7414" w:rsidP="00BE7414">
      <w:pPr>
        <w:pStyle w:val="ListParagraph"/>
        <w:numPr>
          <w:ilvl w:val="0"/>
          <w:numId w:val="41"/>
        </w:numPr>
        <w:spacing w:line="240" w:lineRule="auto"/>
        <w:rPr>
          <w:rFonts w:eastAsia="Times New Roman" w:cs="Arial"/>
          <w:sz w:val="24"/>
          <w:szCs w:val="24"/>
          <w:lang w:eastAsia="bg-BG"/>
        </w:rPr>
      </w:pPr>
      <w:r w:rsidRPr="00BE7414">
        <w:rPr>
          <w:rFonts w:eastAsia="Times New Roman" w:cs="Arial"/>
          <w:color w:val="000000"/>
          <w:lang w:eastAsia="bg-BG"/>
        </w:rPr>
        <w:t>дисбаланс между физическото натоварване и приема на въглехидрати;</w:t>
      </w:r>
    </w:p>
    <w:p w14:paraId="18D1FAB3"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промени в диетата;</w:t>
      </w:r>
    </w:p>
    <w:p w14:paraId="31A1438C"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консумация на алкохол, особено в комбинация с пропуснати хранения;</w:t>
      </w:r>
    </w:p>
    <w:p w14:paraId="48147EF8"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нарушена бъбречна функция;</w:t>
      </w:r>
    </w:p>
    <w:p w14:paraId="3598E57B"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сериозна чернодробна дисфункция;</w:t>
      </w:r>
    </w:p>
    <w:p w14:paraId="32E2253C" w14:textId="77777777"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предозиране с Глимегамма;</w:t>
      </w:r>
    </w:p>
    <w:p w14:paraId="3F402336" w14:textId="7272A2F2" w:rsidR="00BE7414" w:rsidRPr="00BE7414" w:rsidRDefault="00BE7414" w:rsidP="00BE7414">
      <w:pPr>
        <w:pStyle w:val="ListParagraph"/>
        <w:numPr>
          <w:ilvl w:val="0"/>
          <w:numId w:val="40"/>
        </w:numPr>
        <w:spacing w:line="240" w:lineRule="auto"/>
        <w:rPr>
          <w:rFonts w:eastAsia="Times New Roman" w:cs="Arial"/>
          <w:sz w:val="24"/>
          <w:szCs w:val="24"/>
          <w:lang w:eastAsia="bg-BG"/>
        </w:rPr>
      </w:pPr>
      <w:r w:rsidRPr="00BE7414">
        <w:rPr>
          <w:rFonts w:eastAsia="Times New Roman" w:cs="Arial"/>
          <w:color w:val="000000"/>
          <w:lang w:eastAsia="bg-BG"/>
        </w:rPr>
        <w:t>определени некомпенсирани нарушения на ендокринната система, засягащи въглехидратния метаболизъм или обратната регулация на хипогликемията (като например при някои смущения във функцията на щитовидната жлеза и при предна хипофизарна или адренокортикоидна недостатъчност);</w:t>
      </w:r>
    </w:p>
    <w:p w14:paraId="7868B746" w14:textId="086861A2" w:rsidR="00BE7414" w:rsidRPr="00BE7414" w:rsidRDefault="00BE7414" w:rsidP="00BE7414">
      <w:pPr>
        <w:pStyle w:val="ListParagraph"/>
        <w:numPr>
          <w:ilvl w:val="0"/>
          <w:numId w:val="40"/>
        </w:numPr>
        <w:rPr>
          <w:rFonts w:eastAsia="Times New Roman" w:cs="Arial"/>
          <w:color w:val="000000"/>
          <w:lang w:val="en-US" w:eastAsia="bg-BG"/>
        </w:rPr>
      </w:pPr>
      <w:r w:rsidRPr="00BE7414">
        <w:rPr>
          <w:rFonts w:eastAsia="Times New Roman" w:cs="Arial"/>
          <w:color w:val="000000"/>
          <w:lang w:eastAsia="bg-BG"/>
        </w:rPr>
        <w:t>едновременно приложение на определени други лекарствени продукти (вж.точка 4.5).</w:t>
      </w:r>
    </w:p>
    <w:p w14:paraId="20D1D9B7" w14:textId="77777777" w:rsidR="003263A6" w:rsidRDefault="003263A6" w:rsidP="003263A6">
      <w:pPr>
        <w:spacing w:line="240" w:lineRule="auto"/>
        <w:rPr>
          <w:rFonts w:ascii="Times New Roman" w:eastAsia="Times New Roman" w:hAnsi="Times New Roman" w:cs="Times New Roman"/>
          <w:color w:val="000000"/>
          <w:lang w:eastAsia="bg-BG"/>
        </w:rPr>
      </w:pPr>
    </w:p>
    <w:p w14:paraId="4F7F5DAD" w14:textId="6385D88F"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Лечението с Глимегамма изисква редовно проследяване нивата на глюкозата в кръвта и в урината. Освен това се препоръчва определяне на съотношението на гликирания хемоглобин.</w:t>
      </w:r>
    </w:p>
    <w:p w14:paraId="09FD62A6" w14:textId="77777777" w:rsidR="003263A6" w:rsidRPr="00BE7414" w:rsidRDefault="003263A6" w:rsidP="003263A6">
      <w:pPr>
        <w:spacing w:line="240" w:lineRule="auto"/>
        <w:rPr>
          <w:rFonts w:eastAsia="Times New Roman" w:cs="Arial"/>
          <w:color w:val="000000"/>
          <w:lang w:eastAsia="bg-BG"/>
        </w:rPr>
      </w:pPr>
    </w:p>
    <w:p w14:paraId="643992C2" w14:textId="2D9A0D4F"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По време на лечението с Глимегамма е необходимо редовно проследяване на чернодробните и хематологични показатели (особено левкоцити и тромбоцити).</w:t>
      </w:r>
    </w:p>
    <w:p w14:paraId="135F3E4A" w14:textId="77777777" w:rsidR="003263A6" w:rsidRPr="00BE7414" w:rsidRDefault="003263A6" w:rsidP="003263A6">
      <w:pPr>
        <w:spacing w:line="240" w:lineRule="auto"/>
        <w:rPr>
          <w:rFonts w:eastAsia="Times New Roman" w:cs="Arial"/>
          <w:color w:val="000000"/>
          <w:lang w:eastAsia="bg-BG"/>
        </w:rPr>
      </w:pPr>
    </w:p>
    <w:p w14:paraId="0FBFFF4F" w14:textId="58BE30B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В стресови ситуации (например злополуки, спешни операции, инфекции, протичащи с фебрилитет и т.н.) може да е показано временно преминаване на инсулин.</w:t>
      </w:r>
    </w:p>
    <w:p w14:paraId="4220986A" w14:textId="77777777" w:rsidR="003263A6" w:rsidRPr="00BE7414" w:rsidRDefault="003263A6" w:rsidP="003263A6">
      <w:pPr>
        <w:spacing w:line="240" w:lineRule="auto"/>
        <w:rPr>
          <w:rFonts w:eastAsia="Times New Roman" w:cs="Arial"/>
          <w:color w:val="000000"/>
          <w:lang w:eastAsia="bg-BG"/>
        </w:rPr>
      </w:pPr>
    </w:p>
    <w:p w14:paraId="53B24394" w14:textId="47E548A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lastRenderedPageBreak/>
        <w:t>Няма опит от приложението на глимепирид при пациенти с тежки нарушения на чернодробната функция или пациенти на диализа. При пациенти с тежко нарушение на бъбречната или чернодробната функция е показано преминаване към лечение с инсулин.</w:t>
      </w:r>
    </w:p>
    <w:p w14:paraId="1C8F6884" w14:textId="77777777" w:rsidR="003263A6" w:rsidRPr="00BE7414" w:rsidRDefault="003263A6" w:rsidP="003263A6">
      <w:pPr>
        <w:spacing w:line="240" w:lineRule="auto"/>
        <w:rPr>
          <w:rFonts w:eastAsia="Times New Roman" w:cs="Arial"/>
          <w:color w:val="000000"/>
          <w:lang w:eastAsia="bg-BG"/>
        </w:rPr>
      </w:pPr>
    </w:p>
    <w:p w14:paraId="78D76259" w14:textId="7783F65E"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 xml:space="preserve">Лечението на пациенти с </w:t>
      </w:r>
      <w:r w:rsidRPr="003263A6">
        <w:rPr>
          <w:rFonts w:eastAsia="Times New Roman" w:cs="Arial"/>
          <w:color w:val="000000"/>
          <w:lang w:val="en-US"/>
        </w:rPr>
        <w:t>G6PD</w:t>
      </w:r>
      <w:r w:rsidRPr="003263A6">
        <w:rPr>
          <w:rFonts w:eastAsia="Times New Roman" w:cs="Arial"/>
          <w:color w:val="000000"/>
          <w:lang w:eastAsia="bg-BG"/>
        </w:rPr>
        <w:t xml:space="preserve">-дефицит със сулфанилурейни средства може да доведе до хемолитична анемия. Тъй като глимепирид принадлежи към класа на сулфанилурейните лекарствени продукти, е необходимо повишено внимание при пациенти с </w:t>
      </w:r>
      <w:r w:rsidRPr="003263A6">
        <w:rPr>
          <w:rFonts w:eastAsia="Times New Roman" w:cs="Arial"/>
          <w:color w:val="000000"/>
          <w:lang w:val="en-US"/>
        </w:rPr>
        <w:t>G6</w:t>
      </w:r>
      <w:r w:rsidRPr="003263A6">
        <w:rPr>
          <w:rFonts w:eastAsia="Times New Roman" w:cs="Arial"/>
          <w:color w:val="000000"/>
          <w:lang w:eastAsia="bg-BG"/>
        </w:rPr>
        <w:t>Р</w:t>
      </w:r>
      <w:r w:rsidRPr="003263A6">
        <w:rPr>
          <w:rFonts w:eastAsia="Times New Roman" w:cs="Arial"/>
          <w:color w:val="000000"/>
          <w:lang w:val="en-US"/>
        </w:rPr>
        <w:t>D</w:t>
      </w:r>
      <w:r w:rsidRPr="003263A6">
        <w:rPr>
          <w:rFonts w:eastAsia="Times New Roman" w:cs="Arial"/>
          <w:color w:val="000000"/>
          <w:lang w:eastAsia="bg-BG"/>
        </w:rPr>
        <w:t>-дефицит и трябва да се обмисли алтернативно лечение с прилагане на несулфанилурейни лекарствени продукти.</w:t>
      </w:r>
    </w:p>
    <w:p w14:paraId="6E4C50A0" w14:textId="77777777" w:rsidR="003263A6" w:rsidRPr="00BE7414" w:rsidRDefault="003263A6" w:rsidP="003263A6">
      <w:pPr>
        <w:spacing w:line="240" w:lineRule="auto"/>
        <w:rPr>
          <w:rFonts w:eastAsia="Times New Roman" w:cs="Arial"/>
          <w:color w:val="000000"/>
          <w:lang w:eastAsia="bg-BG"/>
        </w:rPr>
      </w:pPr>
    </w:p>
    <w:p w14:paraId="79E4EB83" w14:textId="3D89E614"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Глимегамма съдържа лактоза монохидрат и натрий.</w:t>
      </w:r>
    </w:p>
    <w:p w14:paraId="5E2BF21B" w14:textId="7B3BBB35" w:rsidR="003263A6" w:rsidRPr="003263A6" w:rsidRDefault="003263A6" w:rsidP="003263A6">
      <w:pPr>
        <w:spacing w:line="240" w:lineRule="auto"/>
        <w:rPr>
          <w:rFonts w:eastAsia="Times New Roman" w:cs="Arial"/>
          <w:sz w:val="24"/>
          <w:szCs w:val="24"/>
          <w:lang w:eastAsia="bg-BG"/>
        </w:rPr>
      </w:pPr>
      <w:r w:rsidRPr="003263A6">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3F71E02E" w14:textId="56F3D6D7" w:rsidR="003263A6" w:rsidRPr="00BE7414" w:rsidRDefault="003263A6" w:rsidP="003263A6">
      <w:pPr>
        <w:rPr>
          <w:rFonts w:eastAsia="Times New Roman" w:cs="Arial"/>
          <w:color w:val="000000"/>
          <w:lang w:eastAsia="bg-BG"/>
        </w:rPr>
      </w:pPr>
      <w:r w:rsidRPr="00BE7414">
        <w:rPr>
          <w:rFonts w:eastAsia="Times New Roman" w:cs="Arial"/>
          <w:color w:val="000000"/>
          <w:lang w:eastAsia="bg-BG"/>
        </w:rPr>
        <w:t xml:space="preserve">Този лекарствен продукт съдържа по-малко от 1 </w:t>
      </w:r>
      <w:proofErr w:type="spellStart"/>
      <w:r w:rsidRPr="00BE7414">
        <w:rPr>
          <w:rFonts w:eastAsia="Times New Roman" w:cs="Arial"/>
          <w:color w:val="000000"/>
          <w:lang w:val="en-US"/>
        </w:rPr>
        <w:t>mmol</w:t>
      </w:r>
      <w:proofErr w:type="spellEnd"/>
      <w:r w:rsidRPr="00BE7414">
        <w:rPr>
          <w:rFonts w:eastAsia="Times New Roman" w:cs="Arial"/>
          <w:color w:val="000000"/>
          <w:lang w:val="en-US"/>
        </w:rPr>
        <w:t xml:space="preserve"> </w:t>
      </w:r>
      <w:r w:rsidRPr="00BE7414">
        <w:rPr>
          <w:rFonts w:eastAsia="Times New Roman" w:cs="Arial"/>
          <w:color w:val="000000"/>
          <w:lang w:eastAsia="bg-BG"/>
        </w:rPr>
        <w:t xml:space="preserve">натрий (23 </w:t>
      </w:r>
      <w:r w:rsidRPr="00BE7414">
        <w:rPr>
          <w:rFonts w:eastAsia="Times New Roman" w:cs="Arial"/>
          <w:color w:val="000000"/>
          <w:lang w:val="en-US"/>
        </w:rPr>
        <w:t xml:space="preserve">mg) </w:t>
      </w:r>
      <w:r w:rsidRPr="00BE7414">
        <w:rPr>
          <w:rFonts w:eastAsia="Times New Roman" w:cs="Arial"/>
          <w:color w:val="000000"/>
          <w:lang w:eastAsia="bg-BG"/>
        </w:rPr>
        <w:t>на една таблетка, т.е. може да се каже, че практически не съдържа натрий.</w:t>
      </w:r>
    </w:p>
    <w:p w14:paraId="24E3E82F" w14:textId="601BD06B"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35AAF3CE"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Ако Глимегамма се приема едновременно с някои други лекарствени продукти, може да се получи както нежелано повишаване, така и нежелано понижаване на хипогликемичното действие на глимепирид.</w:t>
      </w:r>
    </w:p>
    <w:p w14:paraId="7A57F52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Поради тази причина други лекарствени продукти трябва да се приемат само със знанието (или по предписанието) на лекар.</w:t>
      </w:r>
    </w:p>
    <w:p w14:paraId="2AC1B20F" w14:textId="77777777" w:rsidR="00BE7414" w:rsidRPr="00BE7414" w:rsidRDefault="00BE7414" w:rsidP="00BE7414">
      <w:pPr>
        <w:spacing w:line="240" w:lineRule="auto"/>
        <w:rPr>
          <w:rFonts w:eastAsia="Times New Roman" w:cs="Arial"/>
          <w:color w:val="000000"/>
          <w:lang w:eastAsia="bg-BG"/>
        </w:rPr>
      </w:pPr>
    </w:p>
    <w:p w14:paraId="1B65F3A1" w14:textId="03854556"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 xml:space="preserve">Глимепирид се метаболизира от цитохром Р450 2С9 </w:t>
      </w:r>
      <w:r w:rsidRPr="00BE7414">
        <w:rPr>
          <w:rFonts w:eastAsia="Times New Roman" w:cs="Arial"/>
          <w:color w:val="000000"/>
          <w:lang w:val="en-US"/>
        </w:rPr>
        <w:t xml:space="preserve">(CYP2C9). </w:t>
      </w:r>
      <w:r w:rsidRPr="00BE7414">
        <w:rPr>
          <w:rFonts w:eastAsia="Times New Roman" w:cs="Arial"/>
          <w:color w:val="000000"/>
          <w:lang w:eastAsia="bg-BG"/>
        </w:rPr>
        <w:t xml:space="preserve">Известно е, че неговият метаболизъм се влияе от едновременното приемане на </w:t>
      </w:r>
      <w:r w:rsidRPr="00BE7414">
        <w:rPr>
          <w:rFonts w:eastAsia="Times New Roman" w:cs="Arial"/>
          <w:color w:val="000000"/>
          <w:lang w:val="en-US"/>
        </w:rPr>
        <w:t xml:space="preserve">CYP2C9 </w:t>
      </w:r>
      <w:r w:rsidRPr="00BE7414">
        <w:rPr>
          <w:rFonts w:eastAsia="Times New Roman" w:cs="Arial"/>
          <w:color w:val="000000"/>
          <w:lang w:eastAsia="bg-BG"/>
        </w:rPr>
        <w:t>индуктори (например рифампицин) или инхибитори (например флуканозол).</w:t>
      </w:r>
    </w:p>
    <w:p w14:paraId="0CF12942" w14:textId="77777777" w:rsidR="00BE7414" w:rsidRPr="00BE7414" w:rsidRDefault="00BE7414" w:rsidP="00BE7414">
      <w:pPr>
        <w:rPr>
          <w:rFonts w:eastAsia="Times New Roman" w:cs="Arial"/>
          <w:color w:val="000000"/>
          <w:lang w:eastAsia="bg-BG"/>
        </w:rPr>
      </w:pPr>
    </w:p>
    <w:p w14:paraId="172AE819" w14:textId="63D8BDAB" w:rsidR="0091385D" w:rsidRPr="00BE7414" w:rsidRDefault="00BE7414" w:rsidP="00BE7414">
      <w:pPr>
        <w:rPr>
          <w:rFonts w:cs="Arial"/>
          <w:b/>
        </w:rPr>
      </w:pPr>
      <w:r w:rsidRPr="00BE7414">
        <w:rPr>
          <w:rFonts w:eastAsia="Times New Roman" w:cs="Arial"/>
          <w:color w:val="000000"/>
          <w:lang w:eastAsia="bg-BG"/>
        </w:rPr>
        <w:t xml:space="preserve">Докладваните в литературата резултати от </w:t>
      </w:r>
      <w:r w:rsidRPr="00BE7414">
        <w:rPr>
          <w:rFonts w:eastAsia="Times New Roman" w:cs="Arial"/>
          <w:i/>
          <w:iCs/>
          <w:color w:val="000000"/>
          <w:lang w:val="en-US"/>
        </w:rPr>
        <w:t>in vivo</w:t>
      </w:r>
      <w:r w:rsidRPr="00BE7414">
        <w:rPr>
          <w:rFonts w:eastAsia="Times New Roman" w:cs="Arial"/>
          <w:color w:val="000000"/>
          <w:lang w:val="en-US"/>
        </w:rPr>
        <w:t xml:space="preserve"> </w:t>
      </w:r>
      <w:r w:rsidRPr="00BE7414">
        <w:rPr>
          <w:rFonts w:eastAsia="Times New Roman" w:cs="Arial"/>
          <w:color w:val="000000"/>
          <w:lang w:eastAsia="bg-BG"/>
        </w:rPr>
        <w:t xml:space="preserve">проучване на взаимодействията показват, че  флуконазол, един от най-мощните инхибитори на </w:t>
      </w:r>
      <w:r w:rsidRPr="00BE7414">
        <w:rPr>
          <w:rFonts w:eastAsia="Times New Roman" w:cs="Arial"/>
          <w:color w:val="000000"/>
          <w:lang w:val="en-US"/>
        </w:rPr>
        <w:t xml:space="preserve">CYP2C9, </w:t>
      </w:r>
      <w:r w:rsidRPr="00BE7414">
        <w:rPr>
          <w:rFonts w:eastAsia="Times New Roman" w:cs="Arial"/>
          <w:color w:val="000000"/>
          <w:lang w:eastAsia="bg-BG"/>
        </w:rPr>
        <w:t>увеличава приблизително два пъти площта под кривата на глимепирид.</w:t>
      </w:r>
    </w:p>
    <w:p w14:paraId="5B2761C5" w14:textId="6907EEE3" w:rsidR="0091385D" w:rsidRDefault="0091385D" w:rsidP="0091385D"/>
    <w:p w14:paraId="7666F272"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Въз основа на опита с глимепирид и с други сулфанилурейни продукти, е необходимо да бъдат споменати следните взаимодействия:</w:t>
      </w:r>
    </w:p>
    <w:p w14:paraId="621F91CC" w14:textId="77777777" w:rsidR="00BE7414" w:rsidRPr="00BE7414" w:rsidRDefault="00BE7414" w:rsidP="00BE7414">
      <w:pPr>
        <w:spacing w:line="240" w:lineRule="auto"/>
        <w:rPr>
          <w:rFonts w:eastAsia="Times New Roman" w:cs="Arial"/>
          <w:color w:val="000000"/>
          <w:lang w:eastAsia="bg-BG"/>
        </w:rPr>
      </w:pPr>
    </w:p>
    <w:p w14:paraId="66700143" w14:textId="70292EE7" w:rsidR="00BE7414" w:rsidRP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Потенциране на понижаващия нивото на кръвната захар ефект - поради това, в някои случаи, може да възникне хипогликемия, при приемане на един от следните лекарствени продукти едновременно с Глимегамма, например:</w:t>
      </w:r>
    </w:p>
    <w:p w14:paraId="76F9450F" w14:textId="77777777" w:rsidR="00BE7414" w:rsidRPr="00BE7414" w:rsidRDefault="00BE7414" w:rsidP="00BE7414">
      <w:pPr>
        <w:spacing w:line="240" w:lineRule="auto"/>
        <w:rPr>
          <w:rFonts w:ascii="Times New Roman" w:eastAsia="Times New Roman" w:hAnsi="Times New Roman" w:cs="Times New Roman"/>
          <w:color w:val="000000"/>
          <w:lang w:eastAsia="bg-BG"/>
        </w:rPr>
      </w:pPr>
    </w:p>
    <w:p w14:paraId="71ED5F4C"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фенилбутазон, азапропазон и оксифенбутазон</w:t>
      </w:r>
    </w:p>
    <w:p w14:paraId="3A6DDF65"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инсулин и перорални антидиабетни средства, като метформин</w:t>
      </w:r>
    </w:p>
    <w:p w14:paraId="241FF80A"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салицилати и р-аминосалицилова киселина</w:t>
      </w:r>
    </w:p>
    <w:p w14:paraId="797B6302"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анаболни стероиди и мъжки полови хормони</w:t>
      </w:r>
    </w:p>
    <w:p w14:paraId="0D92399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хлорамфеникол, някои сулфонамиди с продължително действие, тетрациклини, хинолонови антибиотици и кларитромицин</w:t>
      </w:r>
    </w:p>
    <w:p w14:paraId="3DB8250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кумаринови антикоагуланти</w:t>
      </w:r>
    </w:p>
    <w:p w14:paraId="5C7263B3"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lastRenderedPageBreak/>
        <w:t>фенфлурамин</w:t>
      </w:r>
    </w:p>
    <w:p w14:paraId="2B67AD29"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дизопирамид</w:t>
      </w:r>
    </w:p>
    <w:p w14:paraId="436ABD49"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фибрати</w:t>
      </w:r>
    </w:p>
    <w:p w14:paraId="70EC669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АСЕ-инхибитори</w:t>
      </w:r>
    </w:p>
    <w:p w14:paraId="3829B814"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флуоксетин, МАО-инхибитори</w:t>
      </w:r>
    </w:p>
    <w:p w14:paraId="3387BAB2"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алопуринол, пробеницид, сулфинпиразон</w:t>
      </w:r>
    </w:p>
    <w:p w14:paraId="791219EC"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симпатиколитици</w:t>
      </w:r>
    </w:p>
    <w:p w14:paraId="46797C14"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циклофосфамид, трофосфамид и ифосфамиди</w:t>
      </w:r>
    </w:p>
    <w:p w14:paraId="3D99E32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миконазол, флуконазол</w:t>
      </w:r>
    </w:p>
    <w:p w14:paraId="53AC51D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пентоксифилин (високи дози парентерално)</w:t>
      </w:r>
    </w:p>
    <w:p w14:paraId="14CC9CEB"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тритоквалин.</w:t>
      </w:r>
    </w:p>
    <w:p w14:paraId="1C609F3B" w14:textId="77777777" w:rsidR="00BE7414" w:rsidRPr="00BE7414" w:rsidRDefault="00BE7414" w:rsidP="00BE7414">
      <w:pPr>
        <w:spacing w:line="240" w:lineRule="auto"/>
        <w:rPr>
          <w:rFonts w:eastAsia="Times New Roman" w:cs="Arial"/>
          <w:color w:val="000000"/>
          <w:lang w:eastAsia="bg-BG"/>
        </w:rPr>
      </w:pPr>
    </w:p>
    <w:p w14:paraId="08ACA7DC" w14:textId="1C08E5B2" w:rsidR="00BE7414" w:rsidRP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Отслабване на понижаващия нивото на кръвната захар ефект - поради това може да възникне повишаване нивото на кръвната захар, когато се приема един от следните лекарствени продукти. Например:</w:t>
      </w:r>
    </w:p>
    <w:p w14:paraId="6BB50EE2" w14:textId="77777777" w:rsidR="00BE7414" w:rsidRPr="00BE7414" w:rsidRDefault="00BE7414" w:rsidP="00BE7414">
      <w:pPr>
        <w:spacing w:line="240" w:lineRule="auto"/>
        <w:rPr>
          <w:rFonts w:eastAsia="Times New Roman" w:cs="Arial"/>
          <w:sz w:val="24"/>
          <w:szCs w:val="24"/>
          <w:lang w:eastAsia="bg-BG"/>
        </w:rPr>
      </w:pPr>
    </w:p>
    <w:p w14:paraId="62B05725"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естрогени и прогестагени,</w:t>
      </w:r>
    </w:p>
    <w:p w14:paraId="220C176F"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салуретици, тиазидни диуретици,</w:t>
      </w:r>
    </w:p>
    <w:p w14:paraId="44EBD3DE"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средства стимулиращи щитовидната жлеза, глюкокортикоиди,</w:t>
      </w:r>
    </w:p>
    <w:p w14:paraId="262BBD9F"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производни на фенотиазина, хлорпромазин,</w:t>
      </w:r>
    </w:p>
    <w:p w14:paraId="77164BA8"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адреналин и симпатикомиметици,</w:t>
      </w:r>
    </w:p>
    <w:p w14:paraId="2D617680"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никотинова киселина (високи дози) и производни на никотиновата киселина,</w:t>
      </w:r>
    </w:p>
    <w:p w14:paraId="0F0BD9C1"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лаксативи (при продължителна употреба),</w:t>
      </w:r>
    </w:p>
    <w:p w14:paraId="54AD7F01" w14:textId="77777777"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фенитоин, диазоксид</w:t>
      </w:r>
    </w:p>
    <w:p w14:paraId="1EEE248E" w14:textId="53DB3514" w:rsidR="00BE7414" w:rsidRPr="00BE7414" w:rsidRDefault="00BE7414" w:rsidP="00BE7414">
      <w:pPr>
        <w:numPr>
          <w:ilvl w:val="0"/>
          <w:numId w:val="2"/>
        </w:numPr>
        <w:spacing w:line="240" w:lineRule="auto"/>
        <w:rPr>
          <w:rFonts w:eastAsia="Times New Roman" w:cs="Arial"/>
          <w:color w:val="000000"/>
          <w:lang w:eastAsia="bg-BG"/>
        </w:rPr>
      </w:pPr>
      <w:r w:rsidRPr="00BE7414">
        <w:rPr>
          <w:rFonts w:eastAsia="Times New Roman" w:cs="Arial"/>
          <w:color w:val="000000"/>
          <w:lang w:eastAsia="bg-BG"/>
        </w:rPr>
        <w:t>глюкагон, барбитурати и рифампицин, - ацстазоламид.</w:t>
      </w:r>
    </w:p>
    <w:p w14:paraId="1B901802" w14:textId="77777777" w:rsidR="00BE7414" w:rsidRPr="00BE7414" w:rsidRDefault="00BE7414" w:rsidP="00BE7414">
      <w:pPr>
        <w:spacing w:line="240" w:lineRule="auto"/>
        <w:rPr>
          <w:rFonts w:eastAsia="Times New Roman" w:cs="Arial"/>
          <w:color w:val="000000"/>
          <w:lang w:eastAsia="bg-BG"/>
        </w:rPr>
      </w:pPr>
    </w:p>
    <w:p w14:paraId="30FD113C"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Н</w:t>
      </w:r>
      <w:r w:rsidRPr="00BE7414">
        <w:rPr>
          <w:rFonts w:eastAsia="Times New Roman" w:cs="Arial"/>
          <w:color w:val="000000"/>
          <w:vertAlign w:val="subscript"/>
          <w:lang w:eastAsia="bg-BG"/>
        </w:rPr>
        <w:t>2</w:t>
      </w:r>
      <w:r w:rsidRPr="00BE7414">
        <w:rPr>
          <w:rFonts w:eastAsia="Times New Roman" w:cs="Arial"/>
          <w:color w:val="000000"/>
          <w:lang w:eastAsia="bg-BG"/>
        </w:rPr>
        <w:t>-антагонистите, бета-блокерите, клонидин и резерпин могат да доведат или до потенциране или до отслабване на понижаващия кръвната захар ефект.</w:t>
      </w:r>
    </w:p>
    <w:p w14:paraId="4E4E7CFE" w14:textId="77777777" w:rsidR="00BE7414" w:rsidRPr="00BE7414" w:rsidRDefault="00BE7414" w:rsidP="00BE7414">
      <w:pPr>
        <w:spacing w:line="240" w:lineRule="auto"/>
        <w:rPr>
          <w:rFonts w:eastAsia="Times New Roman" w:cs="Arial"/>
          <w:color w:val="000000"/>
          <w:lang w:eastAsia="bg-BG"/>
        </w:rPr>
      </w:pPr>
    </w:p>
    <w:p w14:paraId="778B06BB" w14:textId="668D1AEA"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Признаците на адренергична обратна регулация на хипогликемията може да бъдат отслабени или да изчезнат под действието на симпатиколитици като: бета-блокери, клонидин, гванетидин и резерпин.</w:t>
      </w:r>
    </w:p>
    <w:p w14:paraId="3AC3046A" w14:textId="77777777" w:rsidR="00BE7414" w:rsidRPr="00BE7414" w:rsidRDefault="00BE7414" w:rsidP="00BE7414">
      <w:pPr>
        <w:spacing w:line="240" w:lineRule="auto"/>
        <w:rPr>
          <w:rFonts w:eastAsia="Times New Roman" w:cs="Arial"/>
          <w:color w:val="000000"/>
          <w:lang w:eastAsia="bg-BG"/>
        </w:rPr>
      </w:pPr>
    </w:p>
    <w:p w14:paraId="2B8E2F44" w14:textId="604B1073"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Алкохолът може непредвидимо да потенцира, или да отслаби хипогликемичния ефект на глимепирид.</w:t>
      </w:r>
    </w:p>
    <w:p w14:paraId="4EB06622" w14:textId="77777777" w:rsidR="00BE7414" w:rsidRPr="00BE7414" w:rsidRDefault="00BE7414" w:rsidP="00BE7414">
      <w:pPr>
        <w:rPr>
          <w:rFonts w:eastAsia="Times New Roman" w:cs="Arial"/>
          <w:color w:val="000000"/>
          <w:lang w:eastAsia="bg-BG"/>
        </w:rPr>
      </w:pPr>
    </w:p>
    <w:p w14:paraId="70645F3E" w14:textId="3097D788" w:rsidR="00BE7414" w:rsidRPr="00BE7414" w:rsidRDefault="00BE7414" w:rsidP="00BE7414">
      <w:pPr>
        <w:rPr>
          <w:rFonts w:cs="Arial"/>
          <w:lang w:val="en-US"/>
        </w:rPr>
      </w:pPr>
      <w:r w:rsidRPr="00BE7414">
        <w:rPr>
          <w:rFonts w:eastAsia="Times New Roman" w:cs="Arial"/>
          <w:color w:val="000000"/>
          <w:lang w:eastAsia="bg-BG"/>
        </w:rPr>
        <w:t>Глимепирид може или да потенцира, или да отслаби ефектите на кумариновите производни</w:t>
      </w:r>
      <w:r>
        <w:rPr>
          <w:rFonts w:eastAsia="Times New Roman" w:cs="Arial"/>
          <w:color w:val="000000"/>
          <w:lang w:val="en-US" w:eastAsia="bg-BG"/>
        </w:rPr>
        <w:t>.</w:t>
      </w:r>
    </w:p>
    <w:p w14:paraId="7732B826" w14:textId="77777777" w:rsidR="00BE7414" w:rsidRPr="0091385D" w:rsidRDefault="00BE7414"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0C237946" w14:textId="77777777" w:rsidR="00BE7414" w:rsidRPr="00BE7414" w:rsidRDefault="00BE7414" w:rsidP="00BE7414">
      <w:pPr>
        <w:pStyle w:val="Heading3"/>
        <w:rPr>
          <w:rFonts w:eastAsia="Times New Roman"/>
          <w:u w:val="single"/>
          <w:lang w:eastAsia="bg-BG"/>
        </w:rPr>
      </w:pPr>
      <w:r w:rsidRPr="00BE7414">
        <w:rPr>
          <w:rFonts w:eastAsia="Times New Roman"/>
          <w:u w:val="single"/>
          <w:lang w:eastAsia="bg-BG"/>
        </w:rPr>
        <w:t>Бременност</w:t>
      </w:r>
    </w:p>
    <w:p w14:paraId="7A6866DC" w14:textId="77777777" w:rsidR="00BE7414" w:rsidRPr="00BE7414" w:rsidRDefault="00BE7414" w:rsidP="00BE7414">
      <w:pPr>
        <w:spacing w:line="240" w:lineRule="auto"/>
        <w:rPr>
          <w:rFonts w:eastAsia="Times New Roman" w:cs="Arial"/>
          <w:color w:val="000000"/>
          <w:lang w:eastAsia="bg-BG"/>
        </w:rPr>
      </w:pPr>
    </w:p>
    <w:p w14:paraId="47F03783" w14:textId="2170AB4D"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Рискове, свързани с диабета</w:t>
      </w:r>
    </w:p>
    <w:p w14:paraId="658E888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lastRenderedPageBreak/>
        <w:t>Наличието по време на бременност на стойности на кръвната захар, които са извън нормата, се свързва с по-голяма честота на вродените аномалии и перинаталната смъртност. Затова, за да се избегне тератогенния риск, стойностите на глкжозата в кръвта трябва внимателно да се следят по време на бременност. При такива обстоятелства се изисква употреба на инсулин. Пациентките, които планират бременност, трябва да информират своя лекар.</w:t>
      </w:r>
    </w:p>
    <w:p w14:paraId="60CFDD7B" w14:textId="77777777" w:rsidR="00BE7414" w:rsidRPr="00BE7414" w:rsidRDefault="00BE7414" w:rsidP="00BE7414">
      <w:pPr>
        <w:spacing w:line="240" w:lineRule="auto"/>
        <w:rPr>
          <w:rFonts w:eastAsia="Times New Roman" w:cs="Arial"/>
          <w:color w:val="000000"/>
          <w:lang w:eastAsia="bg-BG"/>
        </w:rPr>
      </w:pPr>
    </w:p>
    <w:p w14:paraId="2819CC56" w14:textId="6FCE84F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Рискове, свързани с глимепирид</w:t>
      </w:r>
    </w:p>
    <w:p w14:paraId="00C0D8C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Няма адекватни данни за приложението на глимепирид при бременни жени. Експерименталните проучвания при животни показват репродуктивна токсичност, която вероятно е свързана с фармакологичното действие (хипогликемия) на глимепирид (вж. точка 5.3).</w:t>
      </w:r>
    </w:p>
    <w:p w14:paraId="651B9FCE" w14:textId="77777777" w:rsidR="00BE7414" w:rsidRPr="00BE7414" w:rsidRDefault="00BE7414" w:rsidP="00BE7414">
      <w:pPr>
        <w:spacing w:line="240" w:lineRule="auto"/>
        <w:rPr>
          <w:rFonts w:eastAsia="Times New Roman" w:cs="Arial"/>
          <w:color w:val="000000"/>
          <w:lang w:eastAsia="bg-BG"/>
        </w:rPr>
      </w:pPr>
    </w:p>
    <w:p w14:paraId="01494CD2" w14:textId="354CF9E5"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Следователно глимепирид не трябва да се използва през цялата бременност.</w:t>
      </w:r>
    </w:p>
    <w:p w14:paraId="7414D7CC"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При лечение с глимепирид, ако пациентката планира да забременее или се открие бременност, трябва да се премине колкото е възможно по-скоро към лечение с инсулин.</w:t>
      </w:r>
    </w:p>
    <w:p w14:paraId="27DA0435" w14:textId="77777777" w:rsidR="00BE7414" w:rsidRPr="00BE7414" w:rsidRDefault="00BE7414" w:rsidP="00BE7414">
      <w:pPr>
        <w:spacing w:line="240" w:lineRule="auto"/>
        <w:rPr>
          <w:rFonts w:eastAsia="Times New Roman" w:cs="Arial"/>
          <w:color w:val="000000"/>
          <w:u w:val="single"/>
          <w:lang w:eastAsia="bg-BG"/>
        </w:rPr>
      </w:pPr>
    </w:p>
    <w:p w14:paraId="5EA7ABB2" w14:textId="0AC7A38D" w:rsidR="00BE7414" w:rsidRPr="00BE7414" w:rsidRDefault="00BE7414" w:rsidP="00BE7414">
      <w:pPr>
        <w:pStyle w:val="Heading3"/>
        <w:rPr>
          <w:rFonts w:eastAsia="Times New Roman"/>
          <w:u w:val="single"/>
          <w:lang w:eastAsia="bg-BG"/>
        </w:rPr>
      </w:pPr>
      <w:r w:rsidRPr="00BE7414">
        <w:rPr>
          <w:rFonts w:eastAsia="Times New Roman"/>
          <w:u w:val="single"/>
          <w:lang w:eastAsia="bg-BG"/>
        </w:rPr>
        <w:t>Кърмене</w:t>
      </w:r>
    </w:p>
    <w:p w14:paraId="40B6865A" w14:textId="77777777" w:rsidR="00BE7414" w:rsidRPr="00BE7414" w:rsidRDefault="00BE7414" w:rsidP="00BE7414">
      <w:pPr>
        <w:rPr>
          <w:rFonts w:eastAsia="Times New Roman" w:cs="Arial"/>
          <w:color w:val="000000"/>
          <w:lang w:eastAsia="bg-BG"/>
        </w:rPr>
      </w:pPr>
    </w:p>
    <w:p w14:paraId="776662C5" w14:textId="71E030A1" w:rsidR="0091385D" w:rsidRPr="00BE7414" w:rsidRDefault="00BE7414" w:rsidP="00BE7414">
      <w:pPr>
        <w:rPr>
          <w:rFonts w:cs="Arial"/>
        </w:rPr>
      </w:pPr>
      <w:r w:rsidRPr="00BE7414">
        <w:rPr>
          <w:rFonts w:eastAsia="Times New Roman" w:cs="Arial"/>
          <w:color w:val="000000"/>
          <w:lang w:eastAsia="bg-BG"/>
        </w:rPr>
        <w:t>Не е известно дали се екскретира в човешката кърма. Глимепирид се екскретира в млякото на плъхове. По време на лечението с глимепирид не трябва да се кърми, тъй като другите сулфанилурейни продукти се екскретират в човешката кърма и има риск от хипогликемия при кърмачетата.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5970B43D"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b/>
          <w:bCs/>
          <w:color w:val="000000"/>
          <w:lang w:eastAsia="bg-BG"/>
        </w:rPr>
        <w:t>Не са провеждани проучвания за ефектите върху способността за шофиране и работа с машини.</w:t>
      </w:r>
    </w:p>
    <w:p w14:paraId="53BF6FA3"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Способността на пациентите за концентрация и реакция може да бъде нарушена вследствие на хипогликемия или хипергликемия, или например, като резултат от нарушение на зрението. Това може да представлява риск в ситуации, където тези способности са от особено голямо значение (например шофиране или работа с машини).</w:t>
      </w:r>
    </w:p>
    <w:p w14:paraId="1BBB2A95" w14:textId="77777777" w:rsidR="00BE7414" w:rsidRPr="00BE7414" w:rsidRDefault="00BE7414" w:rsidP="00BE7414">
      <w:pPr>
        <w:rPr>
          <w:rFonts w:eastAsia="Times New Roman" w:cs="Arial"/>
          <w:color w:val="000000"/>
          <w:lang w:eastAsia="bg-BG"/>
        </w:rPr>
      </w:pPr>
    </w:p>
    <w:p w14:paraId="2B4135A6" w14:textId="6681C6F9" w:rsidR="0091385D" w:rsidRPr="00BE7414" w:rsidRDefault="00BE7414" w:rsidP="00BE7414">
      <w:pPr>
        <w:rPr>
          <w:rFonts w:cs="Arial"/>
        </w:rPr>
      </w:pPr>
      <w:r w:rsidRPr="00BE7414">
        <w:rPr>
          <w:rFonts w:eastAsia="Times New Roman" w:cs="Arial"/>
          <w:color w:val="000000"/>
          <w:lang w:eastAsia="bg-BG"/>
        </w:rPr>
        <w:t>Пациентите трябва да бъдат посъветвани да вземат предпазни мерки, за да избегнат хипогликемия по време на шофиране. Това е особено важно за тези, при които предупреждаващите симптоми за хипогликемия са отслабени или липсват, или за тези, които имат чести епизоди на хипогликемия. Трябва да се обмисли дали е препоръчително да се шофира или работи с машини при тези обстоятелства.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731C811B"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Следните нежелани лекарствени реакции от клинични изследвания, базирани на опита с Глимегамма и други сулфанилурейни лекарствени продукти, са изредени по системо-органен клас и в ред на намаляваща честота: </w:t>
      </w:r>
    </w:p>
    <w:p w14:paraId="1F5DBB30"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много чести (≥ 1/10) </w:t>
      </w:r>
    </w:p>
    <w:p w14:paraId="3F839730"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чести (≥ 1/100 до &lt;1/10) </w:t>
      </w:r>
    </w:p>
    <w:p w14:paraId="16A8FC2B" w14:textId="77777777" w:rsidR="00BE7414" w:rsidRDefault="00BE7414" w:rsidP="00BE7414">
      <w:pPr>
        <w:spacing w:line="240" w:lineRule="auto"/>
        <w:rPr>
          <w:rFonts w:eastAsia="Times New Roman" w:cs="Arial"/>
          <w:color w:val="000000"/>
          <w:lang w:eastAsia="bg-BG"/>
        </w:rPr>
      </w:pPr>
      <w:r w:rsidRPr="00BE7414">
        <w:rPr>
          <w:rFonts w:eastAsia="Times New Roman" w:cs="Arial"/>
          <w:color w:val="000000"/>
          <w:lang w:eastAsia="bg-BG"/>
        </w:rPr>
        <w:t xml:space="preserve">нечести (≥ 1/1000 до &lt;1/100) </w:t>
      </w:r>
    </w:p>
    <w:p w14:paraId="32A36130" w14:textId="77777777" w:rsid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 1/10 000 до &lt;1/1000)</w:t>
      </w:r>
    </w:p>
    <w:p w14:paraId="74F20E6C" w14:textId="77777777" w:rsid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 1/10 000)</w:t>
      </w:r>
    </w:p>
    <w:p w14:paraId="570508C4" w14:textId="517E4A37" w:rsidR="0091385D"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lastRenderedPageBreak/>
        <w:t>с неизвестна честота(от наличните данни не може да бъде направена оценка)</w:t>
      </w:r>
    </w:p>
    <w:p w14:paraId="43E3C48F" w14:textId="05203B66" w:rsidR="0091385D" w:rsidRDefault="0091385D" w:rsidP="0091385D"/>
    <w:p w14:paraId="268B448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кръвта и лимфната система</w:t>
      </w:r>
    </w:p>
    <w:p w14:paraId="47CFC0A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тромбоцитопения, левкопения, еритропения, гранулоцитопения, агранулоцитоза, хемолитична анемия и панцитопения), които по принцип са обратими при прекратяване приема на лекарството.</w:t>
      </w:r>
    </w:p>
    <w:p w14:paraId="081FDFC8"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тежка тромбоцитопения с брой на тромбоцитите по-малък от 10,000/μ</w:t>
      </w:r>
      <w:r w:rsidRPr="00BE7414">
        <w:rPr>
          <w:rFonts w:eastAsia="Times New Roman" w:cs="Arial"/>
          <w:color w:val="000000"/>
          <w:lang w:val="en-US"/>
        </w:rPr>
        <w:t xml:space="preserve">l </w:t>
      </w:r>
      <w:r w:rsidRPr="00BE7414">
        <w:rPr>
          <w:rFonts w:eastAsia="Times New Roman" w:cs="Arial"/>
          <w:color w:val="000000"/>
          <w:lang w:eastAsia="bg-BG"/>
        </w:rPr>
        <w:t>и тромбоцитопенична пурпура.</w:t>
      </w:r>
    </w:p>
    <w:p w14:paraId="09007E01" w14:textId="77777777" w:rsidR="00BE7414" w:rsidRPr="00B7639A" w:rsidRDefault="00BE7414" w:rsidP="00BE7414">
      <w:pPr>
        <w:spacing w:line="240" w:lineRule="auto"/>
        <w:rPr>
          <w:rFonts w:eastAsia="Times New Roman" w:cs="Arial"/>
          <w:color w:val="000000"/>
          <w:u w:val="single"/>
          <w:lang w:eastAsia="bg-BG"/>
        </w:rPr>
      </w:pPr>
    </w:p>
    <w:p w14:paraId="49D8A5D7" w14:textId="12315116"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имунната система</w:t>
      </w:r>
    </w:p>
    <w:p w14:paraId="175F0D10"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левкоцитокластичен васкулит, леки реакции на свръхчувствителност, които може да прераснат в сериозни реакции с диспнея, понижаване на кръвното налягане и понякога шок.</w:t>
      </w:r>
    </w:p>
    <w:p w14:paraId="49231982" w14:textId="77777777" w:rsidR="00BE7414" w:rsidRPr="00B7639A" w:rsidRDefault="00BE7414" w:rsidP="00BE7414">
      <w:pPr>
        <w:spacing w:line="240" w:lineRule="auto"/>
        <w:rPr>
          <w:rFonts w:eastAsia="Times New Roman" w:cs="Arial"/>
          <w:color w:val="000000"/>
          <w:lang w:eastAsia="bg-BG"/>
        </w:rPr>
      </w:pPr>
    </w:p>
    <w:p w14:paraId="3484DE21" w14:textId="72EEAB0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w:t>
      </w:r>
    </w:p>
    <w:p w14:paraId="684A5E1E"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Възможни са кръстосани алергии със сулфанилурейни продукти, сулфонамиди или сродни вещества.</w:t>
      </w:r>
    </w:p>
    <w:p w14:paraId="05867489" w14:textId="77777777" w:rsidR="00BE7414" w:rsidRPr="00B7639A" w:rsidRDefault="00BE7414" w:rsidP="00BE7414">
      <w:pPr>
        <w:spacing w:line="240" w:lineRule="auto"/>
        <w:rPr>
          <w:rFonts w:eastAsia="Times New Roman" w:cs="Arial"/>
          <w:color w:val="000000"/>
          <w:u w:val="single"/>
          <w:lang w:eastAsia="bg-BG"/>
        </w:rPr>
      </w:pPr>
    </w:p>
    <w:p w14:paraId="0809A5B4" w14:textId="6991481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метаболизма и храненето</w:t>
      </w:r>
    </w:p>
    <w:p w14:paraId="7526A714"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Редки: хипогликемия.</w:t>
      </w:r>
    </w:p>
    <w:p w14:paraId="66E4AF6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Тези хипогликемични реакции в повечето случаи се появяват веднага, може да са тежки и не винаги е лесно да бъдат коригирани. Появата на такива реакции зависи, както и при другите хипогликемични терапии, от индивидуални фактори като хранителните навици и дозировката (вж. понататък в точка 4.4).</w:t>
      </w:r>
    </w:p>
    <w:p w14:paraId="0C9274A3" w14:textId="77777777" w:rsidR="00BE7414" w:rsidRPr="00B7639A" w:rsidRDefault="00BE7414" w:rsidP="00BE7414">
      <w:pPr>
        <w:spacing w:line="240" w:lineRule="auto"/>
        <w:rPr>
          <w:rFonts w:eastAsia="Times New Roman" w:cs="Arial"/>
          <w:color w:val="000000"/>
          <w:u w:val="single"/>
          <w:lang w:eastAsia="bg-BG"/>
        </w:rPr>
      </w:pPr>
    </w:p>
    <w:p w14:paraId="6E2A46CD" w14:textId="0024530B"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Очни нарушения</w:t>
      </w:r>
    </w:p>
    <w:p w14:paraId="66EB29BF"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Смущения в зрението, особено в началото на лечението, поради промени в стойностите на кръвната захар.</w:t>
      </w:r>
    </w:p>
    <w:p w14:paraId="3DDC8B7E" w14:textId="77777777" w:rsidR="00B7639A" w:rsidRPr="00B7639A" w:rsidRDefault="00B7639A" w:rsidP="00BE7414">
      <w:pPr>
        <w:spacing w:line="240" w:lineRule="auto"/>
        <w:rPr>
          <w:rFonts w:eastAsia="Times New Roman" w:cs="Arial"/>
          <w:color w:val="000000"/>
          <w:u w:val="single"/>
          <w:lang w:eastAsia="bg-BG"/>
        </w:rPr>
      </w:pPr>
    </w:p>
    <w:p w14:paraId="66AD6737" w14:textId="4F6702A0"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Стомашно-чревни нарушения</w:t>
      </w:r>
    </w:p>
    <w:p w14:paraId="255D993A"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гадене, повръщане, диария, подуване на корема, абдоминален дискомфорт и абдоминална болка, които рядко водят до прекъсване на терапията.</w:t>
      </w:r>
    </w:p>
    <w:p w14:paraId="4404B86A" w14:textId="77777777" w:rsidR="00B7639A" w:rsidRPr="00B7639A" w:rsidRDefault="00B7639A" w:rsidP="00BE7414">
      <w:pPr>
        <w:spacing w:line="240" w:lineRule="auto"/>
        <w:rPr>
          <w:rFonts w:eastAsia="Times New Roman" w:cs="Arial"/>
          <w:color w:val="000000"/>
          <w:u w:val="single"/>
          <w:lang w:eastAsia="bg-BG"/>
        </w:rPr>
      </w:pPr>
    </w:p>
    <w:p w14:paraId="12CBFD4C" w14:textId="50E032AB"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Хепато-билиарни нарушения</w:t>
      </w:r>
    </w:p>
    <w:p w14:paraId="36C0FB1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Нарушение на чернодробната функция (например с холестаза и иктер), хепатит и чернодробна недостатъчност.</w:t>
      </w:r>
    </w:p>
    <w:p w14:paraId="246C865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повишени нива на чернодробните ензими.</w:t>
      </w:r>
    </w:p>
    <w:p w14:paraId="6626D32C" w14:textId="77777777" w:rsidR="00B7639A" w:rsidRPr="00B7639A" w:rsidRDefault="00B7639A" w:rsidP="00BE7414">
      <w:pPr>
        <w:spacing w:line="240" w:lineRule="auto"/>
        <w:rPr>
          <w:rFonts w:eastAsia="Times New Roman" w:cs="Arial"/>
          <w:color w:val="000000"/>
          <w:u w:val="single"/>
          <w:lang w:eastAsia="bg-BG"/>
        </w:rPr>
      </w:pPr>
    </w:p>
    <w:p w14:paraId="726A2578" w14:textId="0423A2BD"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Нарушения на кожата и подкожната тъкан</w:t>
      </w:r>
    </w:p>
    <w:p w14:paraId="6D2C6E71"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 неизвестна честота: възможно е да възникнат реакции на свръхчувствителност по кожата, като сърбеж, обрив, уртикария и фоточувствителност.</w:t>
      </w:r>
    </w:p>
    <w:p w14:paraId="215BD046" w14:textId="77777777" w:rsidR="00B7639A" w:rsidRPr="00B7639A" w:rsidRDefault="00B7639A" w:rsidP="00BE7414">
      <w:pPr>
        <w:spacing w:line="240" w:lineRule="auto"/>
        <w:rPr>
          <w:rFonts w:eastAsia="Times New Roman" w:cs="Arial"/>
          <w:color w:val="000000"/>
          <w:u w:val="single"/>
          <w:lang w:eastAsia="bg-BG"/>
        </w:rPr>
      </w:pPr>
    </w:p>
    <w:p w14:paraId="5C95DD02" w14:textId="7A8026C2"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Изследвания</w:t>
      </w:r>
    </w:p>
    <w:p w14:paraId="7C4C8E9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Много редки: Понижение нивото на натрия в кръвта.</w:t>
      </w:r>
    </w:p>
    <w:p w14:paraId="0D6DD570" w14:textId="77777777" w:rsidR="00B7639A" w:rsidRPr="00B7639A" w:rsidRDefault="00B7639A" w:rsidP="00BE7414">
      <w:pPr>
        <w:spacing w:line="240" w:lineRule="auto"/>
        <w:rPr>
          <w:rFonts w:eastAsia="Times New Roman" w:cs="Arial"/>
          <w:color w:val="000000"/>
          <w:u w:val="single"/>
          <w:lang w:eastAsia="bg-BG"/>
        </w:rPr>
      </w:pPr>
    </w:p>
    <w:p w14:paraId="2006E9CF" w14:textId="5A51C134"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u w:val="single"/>
          <w:lang w:eastAsia="bg-BG"/>
        </w:rPr>
        <w:t>Съобщаване на подозирани нежелани реакции</w:t>
      </w:r>
    </w:p>
    <w:p w14:paraId="44447175"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64E480F1" w14:textId="77777777" w:rsidR="00B7639A" w:rsidRPr="00B7639A" w:rsidRDefault="00B7639A" w:rsidP="00BE7414">
      <w:pPr>
        <w:spacing w:line="240" w:lineRule="auto"/>
        <w:rPr>
          <w:rFonts w:eastAsia="Times New Roman" w:cs="Arial"/>
          <w:b/>
          <w:bCs/>
          <w:color w:val="000000"/>
          <w:lang w:eastAsia="bg-BG"/>
        </w:rPr>
      </w:pPr>
    </w:p>
    <w:p w14:paraId="10C16561" w14:textId="49A1F298" w:rsidR="00BE7414" w:rsidRPr="00BE7414" w:rsidRDefault="00BE7414" w:rsidP="00BE7414">
      <w:pPr>
        <w:spacing w:line="240" w:lineRule="auto"/>
        <w:rPr>
          <w:rFonts w:eastAsia="Times New Roman" w:cs="Arial"/>
          <w:sz w:val="24"/>
          <w:szCs w:val="24"/>
          <w:lang w:eastAsia="bg-BG"/>
        </w:rPr>
      </w:pPr>
      <w:r w:rsidRPr="00BE7414">
        <w:rPr>
          <w:rFonts w:eastAsia="Times New Roman" w:cs="Arial"/>
          <w:b/>
          <w:bCs/>
          <w:color w:val="000000"/>
          <w:lang w:eastAsia="bg-BG"/>
        </w:rPr>
        <w:t>България</w:t>
      </w:r>
    </w:p>
    <w:p w14:paraId="665B05D7"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Изпълнителна агенция по лекарствата</w:t>
      </w:r>
    </w:p>
    <w:p w14:paraId="4CFBED82"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ул.,Дамян Груев” № 8</w:t>
      </w:r>
    </w:p>
    <w:p w14:paraId="77D37D59"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1303 София</w:t>
      </w:r>
    </w:p>
    <w:p w14:paraId="077CB978" w14:textId="77777777" w:rsidR="00BE7414" w:rsidRPr="00BE7414" w:rsidRDefault="00BE7414" w:rsidP="00BE7414">
      <w:pPr>
        <w:spacing w:line="240" w:lineRule="auto"/>
        <w:rPr>
          <w:rFonts w:eastAsia="Times New Roman" w:cs="Arial"/>
          <w:sz w:val="24"/>
          <w:szCs w:val="24"/>
          <w:lang w:eastAsia="bg-BG"/>
        </w:rPr>
      </w:pPr>
      <w:r w:rsidRPr="00BE7414">
        <w:rPr>
          <w:rFonts w:eastAsia="Times New Roman" w:cs="Arial"/>
          <w:color w:val="000000"/>
          <w:lang w:eastAsia="bg-BG"/>
        </w:rPr>
        <w:t>Тел.: +35 928903417</w:t>
      </w:r>
    </w:p>
    <w:p w14:paraId="40937CC4" w14:textId="56E3E711" w:rsidR="00BE7414" w:rsidRPr="00B7639A" w:rsidRDefault="00BE7414" w:rsidP="00BE7414">
      <w:pPr>
        <w:rPr>
          <w:rFonts w:cs="Arial"/>
        </w:rPr>
      </w:pPr>
      <w:r w:rsidRPr="00B7639A">
        <w:rPr>
          <w:rFonts w:eastAsia="Times New Roman" w:cs="Arial"/>
          <w:color w:val="000000"/>
          <w:lang w:eastAsia="bg-BG"/>
        </w:rPr>
        <w:t xml:space="preserve">уебсайт: </w:t>
      </w:r>
      <w:r w:rsidRPr="00B7639A">
        <w:rPr>
          <w:rFonts w:eastAsia="Times New Roman" w:cs="Arial"/>
          <w:color w:val="000000"/>
          <w:u w:val="single"/>
          <w:lang w:val="en-US"/>
        </w:rPr>
        <w:t>www.bda.bg</w:t>
      </w:r>
    </w:p>
    <w:p w14:paraId="55B28582" w14:textId="77777777" w:rsidR="00BE7414" w:rsidRPr="0091385D" w:rsidRDefault="00BE7414"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7E20BC3F" w14:textId="77777777" w:rsidR="00B7639A" w:rsidRPr="00B7639A" w:rsidRDefault="00B7639A" w:rsidP="00B7639A">
      <w:pPr>
        <w:pStyle w:val="Heading3"/>
        <w:rPr>
          <w:rFonts w:eastAsia="Times New Roman"/>
          <w:u w:val="single"/>
          <w:lang w:eastAsia="bg-BG"/>
        </w:rPr>
      </w:pPr>
      <w:r w:rsidRPr="00B7639A">
        <w:rPr>
          <w:rFonts w:eastAsia="Times New Roman"/>
          <w:u w:val="single"/>
          <w:lang w:eastAsia="bg-BG"/>
        </w:rPr>
        <w:t>Симптоми</w:t>
      </w:r>
    </w:p>
    <w:p w14:paraId="48E2AFD4"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След предозиране може да се появи хипогликемия, продължаваща от 12 до 72 часа, която може да се появи отново след първоначалното възстановяване. Симптомите може да не са налице до 24 часа след приема. По принцип се препоръчва наблюдение в болница. Възможно е да възникнат гадене, повръщане и болки в епигастриума. В общия случай хипогликемията може да е придружена от неврологични симптоми като: неспокойство, тремор, зрителни нарушения, проблеми в координацията, сънливост, кома и гърчове.</w:t>
      </w:r>
    </w:p>
    <w:p w14:paraId="58128F85" w14:textId="77777777" w:rsidR="00B7639A" w:rsidRPr="00B7639A" w:rsidRDefault="00B7639A" w:rsidP="00B7639A">
      <w:pPr>
        <w:spacing w:line="240" w:lineRule="auto"/>
        <w:rPr>
          <w:rFonts w:eastAsia="Times New Roman" w:cs="Arial"/>
          <w:color w:val="000000"/>
          <w:u w:val="single"/>
          <w:lang w:eastAsia="bg-BG"/>
        </w:rPr>
      </w:pPr>
    </w:p>
    <w:p w14:paraId="3B802412" w14:textId="17B6BA37" w:rsidR="00B7639A" w:rsidRPr="00B7639A" w:rsidRDefault="00B7639A" w:rsidP="00B7639A">
      <w:pPr>
        <w:pStyle w:val="Heading3"/>
        <w:rPr>
          <w:rFonts w:eastAsia="Times New Roman"/>
          <w:u w:val="single"/>
          <w:lang w:eastAsia="bg-BG"/>
        </w:rPr>
      </w:pPr>
      <w:r w:rsidRPr="00B7639A">
        <w:rPr>
          <w:rFonts w:eastAsia="Times New Roman"/>
          <w:u w:val="single"/>
          <w:lang w:eastAsia="bg-BG"/>
        </w:rPr>
        <w:t>Действия</w:t>
      </w:r>
    </w:p>
    <w:p w14:paraId="3DF48807"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Лечението се състои главно в предотвратяване на абсорбцията чрез предизвикване на повръщане, като след това се приема вода или лимонада с активен въглен (адсорбент) и натриев сулфат (лаксатив). Ако са приети големи количества, е показан стомашен лаваж, последван от активен въглен и натриев сулфат. В случай на (тежко) предозиране е показана хоспитализация в интензивно отделение. Приложението на глюкоза трябва да започне колкото е възможно по- скоро, ако е необходимо с болусно интравенозно инжектиране на 50 </w:t>
      </w:r>
      <w:r w:rsidRPr="00B7639A">
        <w:rPr>
          <w:rFonts w:eastAsia="Times New Roman" w:cs="Arial"/>
          <w:color w:val="000000"/>
          <w:lang w:val="en-US"/>
        </w:rPr>
        <w:t xml:space="preserve">ml </w:t>
      </w:r>
      <w:r w:rsidRPr="00B7639A">
        <w:rPr>
          <w:rFonts w:eastAsia="Times New Roman" w:cs="Arial"/>
          <w:color w:val="000000"/>
          <w:lang w:eastAsia="bg-BG"/>
        </w:rPr>
        <w:t>50 %-ен разтвор, последвано от инфузия на 10 %-ен разтвор със стриктно проследяване на кръвната захар. По</w:t>
      </w:r>
      <w:r w:rsidRPr="00B7639A">
        <w:rPr>
          <w:rFonts w:eastAsia="Times New Roman" w:cs="Arial"/>
          <w:color w:val="000000"/>
          <w:lang w:eastAsia="bg-BG"/>
        </w:rPr>
        <w:softHyphen/>
        <w:t>нататъшното лечение трябва да бъде симптоматично.</w:t>
      </w:r>
    </w:p>
    <w:p w14:paraId="0C00D9F8" w14:textId="77777777" w:rsidR="00B7639A" w:rsidRPr="00B7639A" w:rsidRDefault="00B7639A" w:rsidP="00B7639A">
      <w:pPr>
        <w:spacing w:line="240" w:lineRule="auto"/>
        <w:rPr>
          <w:rFonts w:eastAsia="Times New Roman" w:cs="Arial"/>
          <w:color w:val="000000"/>
          <w:u w:val="single"/>
          <w:lang w:eastAsia="bg-BG"/>
        </w:rPr>
      </w:pPr>
    </w:p>
    <w:p w14:paraId="691344F0" w14:textId="35515399" w:rsidR="00B7639A" w:rsidRPr="00B7639A" w:rsidRDefault="00B7639A" w:rsidP="00B7639A">
      <w:pPr>
        <w:pStyle w:val="Heading3"/>
        <w:rPr>
          <w:rFonts w:eastAsia="Times New Roman"/>
          <w:u w:val="single"/>
          <w:lang w:eastAsia="bg-BG"/>
        </w:rPr>
      </w:pPr>
      <w:r w:rsidRPr="00B7639A">
        <w:rPr>
          <w:rFonts w:eastAsia="Times New Roman"/>
          <w:u w:val="single"/>
          <w:lang w:eastAsia="bg-BG"/>
        </w:rPr>
        <w:t>Педиатрична популация</w:t>
      </w:r>
    </w:p>
    <w:p w14:paraId="0F0079CB" w14:textId="2348A792" w:rsidR="0091385D" w:rsidRPr="00B7639A" w:rsidRDefault="00B7639A" w:rsidP="00B7639A">
      <w:pPr>
        <w:rPr>
          <w:rFonts w:cs="Arial"/>
        </w:rPr>
      </w:pPr>
      <w:r w:rsidRPr="00B7639A">
        <w:rPr>
          <w:rFonts w:eastAsia="Times New Roman" w:cs="Arial"/>
          <w:color w:val="000000"/>
          <w:lang w:eastAsia="bg-BG"/>
        </w:rPr>
        <w:t>Особено при лечение на хипогликемия в следствие на случайно приемане на Глимегамма от бебета и малки деца, приложената доза глюкоза трябва внимателно да се контролира, за да се избегне вероятността от предизвикване на опасна хипергликемия. Нивото на кръвната захар трябва да се проследява стриктно.</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EADFD2C"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Фармакотерапевтична група: Понижаващи кръвната захар лекарствени продукти, с изключение на инсулин: Сулфонамиди, производни на уреята</w:t>
      </w:r>
    </w:p>
    <w:p w14:paraId="03D64EFD"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АТС код: А10В В12.</w:t>
      </w:r>
    </w:p>
    <w:p w14:paraId="4FA0F6C2"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Глимепирид е перорално активно хипогликемично вещество, принадлежащо на групата на сулфанилурейните производни. Може да се използва при неинсулинозависим захарен диабет.</w:t>
      </w:r>
    </w:p>
    <w:p w14:paraId="5A4B1B1D" w14:textId="77777777" w:rsidR="00B7639A" w:rsidRPr="00B7639A" w:rsidRDefault="00B7639A" w:rsidP="00B7639A">
      <w:pPr>
        <w:spacing w:line="240" w:lineRule="auto"/>
        <w:rPr>
          <w:rFonts w:eastAsia="Times New Roman" w:cs="Arial"/>
          <w:color w:val="000000"/>
          <w:lang w:eastAsia="bg-BG"/>
        </w:rPr>
      </w:pPr>
    </w:p>
    <w:p w14:paraId="6D2748D1" w14:textId="2955C3F3"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lastRenderedPageBreak/>
        <w:t>Глимепирид действа главно чрез стимулиране на отделянето на инсулин от бета-клетките на панкреаса.</w:t>
      </w:r>
    </w:p>
    <w:p w14:paraId="172159B0" w14:textId="380D3292"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Както и при останалите сулфанилурейни производни, този ефект се основава на подобрение на отговора на панкреатичните бета клетки към физиологичния глкжозен стимул. Освен това, изглежда, че глимепирид проявява изразени екстрапанкреасни ефекти, което се предполага и за останалите сулфанилурейни производни.</w:t>
      </w:r>
    </w:p>
    <w:p w14:paraId="6D59CE8C" w14:textId="77777777" w:rsidR="00B7639A" w:rsidRPr="00B7639A" w:rsidRDefault="00B7639A" w:rsidP="00B7639A">
      <w:pPr>
        <w:spacing w:line="240" w:lineRule="auto"/>
        <w:rPr>
          <w:rFonts w:eastAsia="Times New Roman" w:cs="Arial"/>
          <w:sz w:val="24"/>
          <w:szCs w:val="24"/>
          <w:lang w:eastAsia="bg-BG"/>
        </w:rPr>
      </w:pPr>
    </w:p>
    <w:p w14:paraId="757A6DCE" w14:textId="77777777"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Освобождаване на инсулин:</w:t>
      </w:r>
    </w:p>
    <w:p w14:paraId="35527988" w14:textId="77777777" w:rsidR="00B7639A" w:rsidRPr="00B7639A" w:rsidRDefault="00B7639A" w:rsidP="00B7639A">
      <w:pPr>
        <w:spacing w:line="240" w:lineRule="auto"/>
        <w:rPr>
          <w:rFonts w:eastAsia="Times New Roman" w:cs="Arial"/>
          <w:color w:val="000000"/>
          <w:lang w:eastAsia="bg-BG"/>
        </w:rPr>
      </w:pPr>
    </w:p>
    <w:p w14:paraId="74D372DE" w14:textId="37FE6416"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Сулфанилурейните производни регулират инсулиновата секреция чрез затваряне на АТФ- чувствителниге калиеви канали в мембраната на бета-клетките. Затварянето на калиевите канали води до деполяризация на бета-клетките и оттам чрез отваряне на калциевите канали -  до повишаване навлизането на калций в клетката.</w:t>
      </w:r>
    </w:p>
    <w:p w14:paraId="28252AA0" w14:textId="6EEA9260" w:rsidR="0091385D" w:rsidRPr="00B7639A" w:rsidRDefault="00B7639A" w:rsidP="00B7639A">
      <w:pPr>
        <w:rPr>
          <w:rFonts w:cs="Arial"/>
        </w:rPr>
      </w:pPr>
      <w:r w:rsidRPr="00B7639A">
        <w:rPr>
          <w:rFonts w:eastAsia="Times New Roman" w:cs="Arial"/>
          <w:color w:val="000000"/>
          <w:lang w:eastAsia="bg-BG"/>
        </w:rPr>
        <w:t>това води до отделяне на инсулин чрез екзоцитоза.</w:t>
      </w:r>
    </w:p>
    <w:p w14:paraId="36152471" w14:textId="5379E19C" w:rsidR="0091385D" w:rsidRDefault="0091385D" w:rsidP="0091385D"/>
    <w:p w14:paraId="772F4686" w14:textId="60F922ED"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Глимепирид се характеризира с висока степен на обратимо свързване с мембранния протеин на бета-клетките, който е свързан с АТФ-чувствителния калиев канал, но е различен от обичайното място за свързване на сулфанилурейните производни.</w:t>
      </w:r>
    </w:p>
    <w:p w14:paraId="50BDCE31" w14:textId="77777777" w:rsidR="00B7639A" w:rsidRPr="00B7639A" w:rsidRDefault="00B7639A" w:rsidP="00B7639A">
      <w:pPr>
        <w:spacing w:line="240" w:lineRule="auto"/>
        <w:rPr>
          <w:rFonts w:eastAsia="Times New Roman" w:cs="Arial"/>
          <w:sz w:val="24"/>
          <w:szCs w:val="24"/>
          <w:lang w:eastAsia="bg-BG"/>
        </w:rPr>
      </w:pPr>
    </w:p>
    <w:p w14:paraId="6BB18072" w14:textId="41DD2560" w:rsidR="00B7639A" w:rsidRPr="00B7639A" w:rsidRDefault="00B7639A" w:rsidP="00B7639A">
      <w:pPr>
        <w:pStyle w:val="ListParagraph"/>
        <w:numPr>
          <w:ilvl w:val="0"/>
          <w:numId w:val="35"/>
        </w:numPr>
        <w:spacing w:line="240" w:lineRule="auto"/>
        <w:rPr>
          <w:rFonts w:eastAsia="Times New Roman" w:cs="Arial"/>
          <w:sz w:val="24"/>
          <w:szCs w:val="24"/>
          <w:lang w:eastAsia="bg-BG"/>
        </w:rPr>
      </w:pPr>
      <w:r w:rsidRPr="00B7639A">
        <w:rPr>
          <w:rFonts w:eastAsia="Times New Roman" w:cs="Arial"/>
          <w:color w:val="000000"/>
          <w:lang w:eastAsia="bg-BG"/>
        </w:rPr>
        <w:t>Екстрапанкреатична активност:</w:t>
      </w:r>
    </w:p>
    <w:p w14:paraId="09140B10" w14:textId="77777777" w:rsidR="00B7639A" w:rsidRPr="00B7639A" w:rsidRDefault="00B7639A" w:rsidP="00B7639A">
      <w:pPr>
        <w:spacing w:line="240" w:lineRule="auto"/>
        <w:rPr>
          <w:rFonts w:eastAsia="Times New Roman" w:cs="Arial"/>
          <w:color w:val="000000"/>
          <w:lang w:eastAsia="bg-BG"/>
        </w:rPr>
      </w:pPr>
    </w:p>
    <w:p w14:paraId="13997E18" w14:textId="66B6ACE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Екстрапанкреатичните ефекти включват, например: подобрение на инсулиновата чувствителност на периферните тъкани и намаляване на чернодробното поемане на инсулина.</w:t>
      </w:r>
    </w:p>
    <w:p w14:paraId="669B1662" w14:textId="77777777" w:rsidR="00B7639A" w:rsidRPr="00B7639A" w:rsidRDefault="00B7639A" w:rsidP="00B7639A">
      <w:pPr>
        <w:spacing w:line="240" w:lineRule="auto"/>
        <w:rPr>
          <w:rFonts w:eastAsia="Times New Roman" w:cs="Arial"/>
          <w:color w:val="000000"/>
          <w:lang w:eastAsia="bg-BG"/>
        </w:rPr>
      </w:pPr>
    </w:p>
    <w:p w14:paraId="028708C2" w14:textId="0755188A"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Поемането на глюкозата от кръвта в периферната мускулна и мастна тъкан се осъществява чрез специални транспортни протеини, разположени в клетъчната мембрана. Транспортът на глюкозата в тези тъкани е стъпалото, което ограничава скоростта на усвояване на глюкозата. Глимепирид повишава много бързо броя на молекулите за активен транспорт на глюкоза в плазмените мембрани на мускулните и мастни клетки, което води до стимулиране на усвояването на глюкозата.</w:t>
      </w:r>
    </w:p>
    <w:p w14:paraId="275701D7" w14:textId="77777777" w:rsidR="00B7639A" w:rsidRPr="00B7639A" w:rsidRDefault="00B7639A" w:rsidP="00B7639A">
      <w:pPr>
        <w:spacing w:line="240" w:lineRule="auto"/>
        <w:rPr>
          <w:rFonts w:eastAsia="Times New Roman" w:cs="Arial"/>
          <w:color w:val="000000"/>
          <w:lang w:eastAsia="bg-BG"/>
        </w:rPr>
      </w:pPr>
    </w:p>
    <w:p w14:paraId="1167AA22" w14:textId="1C9BFD74"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Глимепирид повишава активността на гликозил-фосфатидилинозитол специфичната фосфолипаза С, което вероятно е свързано с медикаментозно предизвиканите липогенеза и гликогенеза в изолирани мастни и мускулни клетки.</w:t>
      </w:r>
    </w:p>
    <w:p w14:paraId="06D2E63B" w14:textId="77777777" w:rsidR="00B7639A" w:rsidRPr="00B7639A" w:rsidRDefault="00B7639A" w:rsidP="00B7639A">
      <w:pPr>
        <w:spacing w:line="240" w:lineRule="auto"/>
        <w:rPr>
          <w:rFonts w:eastAsia="Times New Roman" w:cs="Arial"/>
          <w:color w:val="000000"/>
          <w:lang w:eastAsia="bg-BG"/>
        </w:rPr>
      </w:pPr>
    </w:p>
    <w:p w14:paraId="50F6A1E9" w14:textId="63D71D67"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Глимепирид инхибира образуването на глюкоза в черния дроб чрез повишаване на вътреклетъчната концентрация на фруктозо -2,6-бисфосфат, който от своя страна инхибира глюконеогенезата.</w:t>
      </w:r>
    </w:p>
    <w:p w14:paraId="4E8FEC8E" w14:textId="77777777" w:rsidR="00B7639A" w:rsidRPr="00B7639A" w:rsidRDefault="00B7639A" w:rsidP="00B7639A">
      <w:pPr>
        <w:spacing w:line="240" w:lineRule="auto"/>
        <w:rPr>
          <w:rFonts w:eastAsia="Times New Roman" w:cs="Arial"/>
          <w:sz w:val="24"/>
          <w:szCs w:val="24"/>
          <w:lang w:eastAsia="bg-BG"/>
        </w:rPr>
      </w:pPr>
    </w:p>
    <w:p w14:paraId="20AE4409" w14:textId="55275419" w:rsidR="00B7639A" w:rsidRPr="00B7639A" w:rsidRDefault="00B7639A" w:rsidP="00B7639A">
      <w:pPr>
        <w:pStyle w:val="ListParagraph"/>
        <w:numPr>
          <w:ilvl w:val="0"/>
          <w:numId w:val="35"/>
        </w:numPr>
        <w:spacing w:line="240" w:lineRule="auto"/>
        <w:rPr>
          <w:rFonts w:eastAsia="Times New Roman" w:cs="Arial"/>
          <w:sz w:val="24"/>
          <w:szCs w:val="24"/>
          <w:lang w:eastAsia="bg-BG"/>
        </w:rPr>
      </w:pPr>
      <w:r w:rsidRPr="00B7639A">
        <w:rPr>
          <w:rFonts w:eastAsia="Times New Roman" w:cs="Arial"/>
          <w:color w:val="000000"/>
          <w:lang w:eastAsia="bg-BG"/>
        </w:rPr>
        <w:t>Обща активност</w:t>
      </w:r>
    </w:p>
    <w:p w14:paraId="0EC48C52" w14:textId="77777777" w:rsidR="00B7639A" w:rsidRPr="00B7639A" w:rsidRDefault="00B7639A" w:rsidP="00B7639A">
      <w:pPr>
        <w:spacing w:line="240" w:lineRule="auto"/>
        <w:rPr>
          <w:rFonts w:eastAsia="Times New Roman" w:cs="Arial"/>
          <w:color w:val="000000"/>
          <w:lang w:eastAsia="bg-BG"/>
        </w:rPr>
      </w:pPr>
    </w:p>
    <w:p w14:paraId="5874BF52" w14:textId="0272F242"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При здрави индивиди минималната ефективна перорална доза е приблизително 0,6 </w:t>
      </w:r>
      <w:r w:rsidRPr="00B7639A">
        <w:rPr>
          <w:rFonts w:eastAsia="Times New Roman" w:cs="Arial"/>
          <w:color w:val="000000"/>
          <w:lang w:val="en-US"/>
        </w:rPr>
        <w:t xml:space="preserve">mg. </w:t>
      </w:r>
      <w:r w:rsidRPr="00B7639A">
        <w:rPr>
          <w:rFonts w:eastAsia="Times New Roman" w:cs="Arial"/>
          <w:color w:val="000000"/>
          <w:lang w:eastAsia="bg-BG"/>
        </w:rPr>
        <w:t>Ефектът на глимепирид е дозозависим и възпроизводим. Физиологичният отговор при еднократно тежко физическо натоварване, намаляването на инсулиновата секреция, се поддържа по време на лечението с глимепирид.</w:t>
      </w:r>
    </w:p>
    <w:p w14:paraId="511EE61A" w14:textId="77777777" w:rsidR="00B7639A" w:rsidRPr="00B7639A" w:rsidRDefault="00B7639A" w:rsidP="00B7639A">
      <w:pPr>
        <w:spacing w:line="240" w:lineRule="auto"/>
        <w:rPr>
          <w:rFonts w:eastAsia="Times New Roman" w:cs="Arial"/>
          <w:color w:val="000000"/>
          <w:lang w:eastAsia="bg-BG"/>
        </w:rPr>
      </w:pPr>
    </w:p>
    <w:p w14:paraId="561409EA" w14:textId="003B69A5"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Няма значима разлика в ефекта, ако приемът на лекарствения продукт е бил 30 минути преди хранене или непосредствено преди хранене. При пациенти с диабет, добър метаболитен контрол може да се постигне в продължение на 24 часа с еднократна </w:t>
      </w:r>
      <w:r w:rsidRPr="00B7639A">
        <w:rPr>
          <w:rFonts w:eastAsia="Times New Roman" w:cs="Arial"/>
          <w:color w:val="000000"/>
          <w:lang w:eastAsia="bg-BG"/>
        </w:rPr>
        <w:lastRenderedPageBreak/>
        <w:t>дневна доза.</w:t>
      </w:r>
      <w:r w:rsidRPr="00B7639A">
        <w:rPr>
          <w:rFonts w:eastAsia="Times New Roman" w:cs="Arial"/>
          <w:sz w:val="24"/>
          <w:szCs w:val="24"/>
          <w:lang w:val="en-US" w:eastAsia="bg-BG"/>
        </w:rPr>
        <w:t xml:space="preserve"> </w:t>
      </w:r>
      <w:r w:rsidRPr="00B7639A">
        <w:rPr>
          <w:rFonts w:eastAsia="Times New Roman" w:cs="Arial"/>
          <w:color w:val="000000"/>
          <w:lang w:eastAsia="bg-BG"/>
        </w:rPr>
        <w:t>Въпреки, че хидрокси-метаболитьт на глимепирид предизвиква малко, но значимо снижаване в нивото на серумната глюкоза при здрави индивиди, той е отговорен само за незначителна част от общия ефект на лекарствения продукт.</w:t>
      </w:r>
    </w:p>
    <w:p w14:paraId="7A35EB26" w14:textId="77777777" w:rsidR="00B7639A" w:rsidRPr="00B7639A" w:rsidRDefault="00B7639A" w:rsidP="00B7639A">
      <w:pPr>
        <w:spacing w:line="240" w:lineRule="auto"/>
        <w:rPr>
          <w:rFonts w:eastAsia="Times New Roman" w:cs="Arial"/>
          <w:sz w:val="24"/>
          <w:szCs w:val="24"/>
          <w:lang w:eastAsia="bg-BG"/>
        </w:rPr>
      </w:pPr>
    </w:p>
    <w:p w14:paraId="78AEA67A" w14:textId="399C7D99"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Комбинирана терапия с метформин</w:t>
      </w:r>
    </w:p>
    <w:p w14:paraId="06E2A358" w14:textId="77777777" w:rsidR="00B7639A" w:rsidRPr="00B7639A" w:rsidRDefault="00B7639A" w:rsidP="00B7639A">
      <w:pPr>
        <w:spacing w:line="240" w:lineRule="auto"/>
        <w:rPr>
          <w:rFonts w:eastAsia="Times New Roman" w:cs="Arial"/>
          <w:color w:val="000000"/>
          <w:lang w:eastAsia="bg-BG"/>
        </w:rPr>
      </w:pPr>
    </w:p>
    <w:p w14:paraId="32A2879F" w14:textId="025092F2" w:rsidR="00B7639A" w:rsidRPr="00B7639A" w:rsidRDefault="00B7639A" w:rsidP="00B7639A">
      <w:pPr>
        <w:spacing w:line="240" w:lineRule="auto"/>
        <w:rPr>
          <w:rFonts w:eastAsia="Times New Roman" w:cs="Arial"/>
          <w:color w:val="000000"/>
          <w:lang w:eastAsia="bg-BG"/>
        </w:rPr>
      </w:pPr>
      <w:r w:rsidRPr="00B7639A">
        <w:rPr>
          <w:rFonts w:eastAsia="Times New Roman" w:cs="Arial"/>
          <w:color w:val="000000"/>
          <w:lang w:eastAsia="bg-BG"/>
        </w:rPr>
        <w:t>В едно проучване с пациенти, при които не се постига адекватно контролиране чрез максималната дневна доза метформин, е показано подобрено контролиране на метаболизма при едновременно лечение с глимепирид, в сравнение с лечението проведено само с метформин.</w:t>
      </w:r>
    </w:p>
    <w:p w14:paraId="682203A3" w14:textId="77777777" w:rsidR="00B7639A" w:rsidRPr="00B7639A" w:rsidRDefault="00B7639A" w:rsidP="00B7639A">
      <w:pPr>
        <w:spacing w:line="240" w:lineRule="auto"/>
        <w:rPr>
          <w:rFonts w:eastAsia="Times New Roman" w:cs="Arial"/>
          <w:sz w:val="24"/>
          <w:szCs w:val="24"/>
          <w:lang w:eastAsia="bg-BG"/>
        </w:rPr>
      </w:pPr>
    </w:p>
    <w:p w14:paraId="2039B29C" w14:textId="07E7CF8A" w:rsidR="00B7639A" w:rsidRPr="00B7639A" w:rsidRDefault="00B7639A" w:rsidP="00B7639A">
      <w:pPr>
        <w:pStyle w:val="ListParagraph"/>
        <w:numPr>
          <w:ilvl w:val="0"/>
          <w:numId w:val="35"/>
        </w:numPr>
        <w:spacing w:line="240" w:lineRule="auto"/>
        <w:rPr>
          <w:rFonts w:eastAsia="Times New Roman" w:cs="Arial"/>
          <w:color w:val="000000"/>
          <w:lang w:eastAsia="bg-BG"/>
        </w:rPr>
      </w:pPr>
      <w:r w:rsidRPr="00B7639A">
        <w:rPr>
          <w:rFonts w:eastAsia="Times New Roman" w:cs="Arial"/>
          <w:color w:val="000000"/>
          <w:lang w:eastAsia="bg-BG"/>
        </w:rPr>
        <w:t>Комбинирана терапия с инсулин</w:t>
      </w:r>
    </w:p>
    <w:p w14:paraId="21190941" w14:textId="77777777" w:rsidR="00B7639A" w:rsidRPr="00B7639A" w:rsidRDefault="00B7639A" w:rsidP="00B7639A">
      <w:pPr>
        <w:spacing w:line="240" w:lineRule="auto"/>
        <w:rPr>
          <w:rFonts w:eastAsia="Times New Roman" w:cs="Arial"/>
          <w:sz w:val="24"/>
          <w:szCs w:val="24"/>
          <w:lang w:eastAsia="bg-BG"/>
        </w:rPr>
      </w:pPr>
    </w:p>
    <w:p w14:paraId="05D10FB7" w14:textId="6085C7F6" w:rsidR="00B7639A" w:rsidRPr="00B7639A" w:rsidRDefault="00B7639A" w:rsidP="00B7639A">
      <w:pPr>
        <w:rPr>
          <w:rFonts w:cs="Arial"/>
        </w:rPr>
      </w:pPr>
      <w:r w:rsidRPr="00B7639A">
        <w:rPr>
          <w:rFonts w:eastAsia="Times New Roman" w:cs="Arial"/>
          <w:color w:val="000000"/>
          <w:lang w:eastAsia="bg-BG"/>
        </w:rPr>
        <w:t>Данните за комбинирано лечение с инсулин са ограничени. При пациенти, при които не се получава адекватен контрол с максималната доза глимепирид, може да е показана едновременна терапия с инсулин. В две изпитвания, при комбинирано лечение е постигнато същото подобрение на контролирането на метаболизма както при самостоятелното приложение. на инсулин; обаче, при комбинираното лечение е била необходима по-ниска средна доза инсулин.</w:t>
      </w:r>
    </w:p>
    <w:p w14:paraId="0A37346B" w14:textId="54CA9682" w:rsidR="00B7639A" w:rsidRDefault="00B7639A" w:rsidP="0091385D"/>
    <w:p w14:paraId="784600F5"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u w:val="single"/>
          <w:lang w:eastAsia="bg-BG"/>
        </w:rPr>
        <w:t>Специални популации</w:t>
      </w:r>
    </w:p>
    <w:p w14:paraId="309FB496"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Педиатрична популация</w:t>
      </w:r>
    </w:p>
    <w:p w14:paraId="79DFA273"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Проведено е активно контролирано клинично изпитване (глимепирид до 8 </w:t>
      </w:r>
      <w:r w:rsidRPr="00B7639A">
        <w:rPr>
          <w:rFonts w:eastAsia="Times New Roman" w:cs="Arial"/>
          <w:color w:val="000000"/>
          <w:lang w:val="en-US"/>
        </w:rPr>
        <w:t xml:space="preserve">mg </w:t>
      </w:r>
      <w:r w:rsidRPr="00B7639A">
        <w:rPr>
          <w:rFonts w:eastAsia="Times New Roman" w:cs="Arial"/>
          <w:color w:val="000000"/>
          <w:lang w:eastAsia="bg-BG"/>
        </w:rPr>
        <w:t xml:space="preserve">дневно или метформин до 2 000 </w:t>
      </w:r>
      <w:r w:rsidRPr="00B7639A">
        <w:rPr>
          <w:rFonts w:eastAsia="Times New Roman" w:cs="Arial"/>
          <w:color w:val="000000"/>
          <w:lang w:val="en-US"/>
        </w:rPr>
        <w:t xml:space="preserve">mg </w:t>
      </w:r>
      <w:r w:rsidRPr="00B7639A">
        <w:rPr>
          <w:rFonts w:eastAsia="Times New Roman" w:cs="Arial"/>
          <w:color w:val="000000"/>
          <w:lang w:eastAsia="bg-BG"/>
        </w:rPr>
        <w:t>дневно) с 285 деца с диабет тип 2 (8-17 годишни), продължителност - 24 седмици.</w:t>
      </w:r>
    </w:p>
    <w:p w14:paraId="7AFCEEC9" w14:textId="13680C51" w:rsidR="00B7639A" w:rsidRPr="00B7639A" w:rsidRDefault="00B7639A" w:rsidP="00B7639A">
      <w:pPr>
        <w:rPr>
          <w:rFonts w:cs="Arial"/>
        </w:rPr>
      </w:pPr>
      <w:r w:rsidRPr="00B7639A">
        <w:rPr>
          <w:rFonts w:eastAsia="Times New Roman" w:cs="Arial"/>
          <w:color w:val="000000"/>
          <w:lang w:eastAsia="bg-BG"/>
        </w:rPr>
        <w:t xml:space="preserve">И глимепирид, и метформин са показали значително намаление в сравнение с базисното ниво на </w:t>
      </w:r>
      <w:proofErr w:type="spellStart"/>
      <w:r w:rsidRPr="00B7639A">
        <w:rPr>
          <w:rFonts w:eastAsia="Times New Roman" w:cs="Arial"/>
          <w:color w:val="000000"/>
          <w:lang w:val="en-US"/>
        </w:rPr>
        <w:t>HbA</w:t>
      </w:r>
      <w:r w:rsidRPr="00B7639A">
        <w:rPr>
          <w:rFonts w:eastAsia="Times New Roman" w:cs="Arial"/>
          <w:color w:val="000000"/>
          <w:vertAlign w:val="subscript"/>
          <w:lang w:val="en-US"/>
        </w:rPr>
        <w:t>lc</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(глимепирид -0,95 </w:t>
      </w:r>
      <w:r w:rsidRPr="00B7639A">
        <w:rPr>
          <w:rFonts w:eastAsia="Times New Roman" w:cs="Arial"/>
          <w:i/>
          <w:iCs/>
          <w:color w:val="000000"/>
          <w:lang w:val="en-US"/>
        </w:rPr>
        <w:t>(se</w:t>
      </w:r>
      <w:r w:rsidRPr="00B7639A">
        <w:rPr>
          <w:rFonts w:eastAsia="Times New Roman" w:cs="Arial"/>
          <w:color w:val="000000"/>
          <w:lang w:val="en-US"/>
        </w:rPr>
        <w:t xml:space="preserve"> </w:t>
      </w:r>
      <w:r w:rsidRPr="00B7639A">
        <w:rPr>
          <w:rFonts w:eastAsia="Times New Roman" w:cs="Arial"/>
          <w:color w:val="000000"/>
          <w:lang w:eastAsia="bg-BG"/>
        </w:rPr>
        <w:t xml:space="preserve">0,41); метформин -1,39 </w:t>
      </w:r>
      <w:r w:rsidRPr="00B7639A">
        <w:rPr>
          <w:rFonts w:eastAsia="Times New Roman" w:cs="Arial"/>
          <w:color w:val="000000"/>
          <w:lang w:val="en-US"/>
        </w:rPr>
        <w:t xml:space="preserve">(se </w:t>
      </w:r>
      <w:r w:rsidRPr="00B7639A">
        <w:rPr>
          <w:rFonts w:eastAsia="Times New Roman" w:cs="Arial"/>
          <w:color w:val="000000"/>
          <w:lang w:eastAsia="bg-BG"/>
        </w:rPr>
        <w:t xml:space="preserve">0,40)). Обаче, глимепирид не отговори на критериите за </w:t>
      </w:r>
      <w:r w:rsidRPr="00B7639A">
        <w:rPr>
          <w:rFonts w:eastAsia="Times New Roman" w:cs="Arial"/>
          <w:i/>
          <w:iCs/>
          <w:color w:val="000000"/>
          <w:lang w:val="en-US"/>
        </w:rPr>
        <w:t>non-inferiority</w:t>
      </w:r>
      <w:r w:rsidRPr="00B7639A">
        <w:rPr>
          <w:rFonts w:eastAsia="Times New Roman" w:cs="Arial"/>
          <w:color w:val="000000"/>
          <w:lang w:val="en-US"/>
        </w:rPr>
        <w:t xml:space="preserve"> </w:t>
      </w:r>
      <w:r w:rsidRPr="00B7639A">
        <w:rPr>
          <w:rFonts w:eastAsia="Times New Roman" w:cs="Arial"/>
          <w:color w:val="000000"/>
          <w:lang w:eastAsia="bg-BG"/>
        </w:rPr>
        <w:t xml:space="preserve">спрямо метформин при средното изменение от базисното ниво на </w:t>
      </w:r>
      <w:proofErr w:type="spellStart"/>
      <w:r w:rsidRPr="00B7639A">
        <w:rPr>
          <w:rFonts w:eastAsia="Times New Roman" w:cs="Arial"/>
          <w:color w:val="000000"/>
          <w:lang w:val="en-US"/>
        </w:rPr>
        <w:t>HbA</w:t>
      </w:r>
      <w:r w:rsidRPr="00B7639A">
        <w:rPr>
          <w:rFonts w:eastAsia="Times New Roman" w:cs="Arial"/>
          <w:color w:val="000000"/>
          <w:vertAlign w:val="subscript"/>
          <w:lang w:val="en-US"/>
        </w:rPr>
        <w:t>lc</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Разликата в леченията е 0,44% в полза на метформин. Горната граница (1,05) на 95%-ния доверителния интервал не е под 0,3% - границата на </w:t>
      </w:r>
      <w:r w:rsidRPr="00B7639A">
        <w:rPr>
          <w:rFonts w:eastAsia="Times New Roman" w:cs="Arial"/>
          <w:color w:val="000000"/>
          <w:lang w:val="en-US"/>
        </w:rPr>
        <w:t xml:space="preserve">non-inferiority. </w:t>
      </w:r>
      <w:r w:rsidRPr="00B7639A">
        <w:rPr>
          <w:rFonts w:eastAsia="Times New Roman" w:cs="Arial"/>
          <w:color w:val="000000"/>
          <w:lang w:eastAsia="bg-BG"/>
        </w:rPr>
        <w:t>След лечението с глимепирид, не са отбелязани нови съображения за безопасността при деца в сравнение с възрастни пациенти със захарен диабет тип 2. Няма данни за дългосрочна ефикасност и безопасност при педиатрични пациенти.</w:t>
      </w:r>
    </w:p>
    <w:p w14:paraId="3E9DDDC4" w14:textId="77777777" w:rsidR="00B7639A" w:rsidRPr="0091385D" w:rsidRDefault="00B7639A"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5B90766D" w14:textId="77777777" w:rsidR="00B7639A" w:rsidRPr="00B7639A" w:rsidRDefault="00B7639A" w:rsidP="00B7639A">
      <w:pPr>
        <w:pStyle w:val="Heading3"/>
        <w:rPr>
          <w:rFonts w:eastAsia="Times New Roman"/>
          <w:u w:val="single"/>
          <w:lang w:eastAsia="bg-BG"/>
        </w:rPr>
      </w:pPr>
      <w:r w:rsidRPr="00B7639A">
        <w:rPr>
          <w:rFonts w:eastAsia="Times New Roman"/>
          <w:u w:val="single"/>
          <w:lang w:eastAsia="bg-BG"/>
        </w:rPr>
        <w:t>Абсорбция</w:t>
      </w:r>
    </w:p>
    <w:p w14:paraId="501C11EF"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Бионаличността на глимепирид след перорално приложение е пълна. Приемът на храна практически няма влияние върху абсорбцията, само скоростта на абсорбция леко намалява. Максимални серумни концентрации (С</w:t>
      </w:r>
      <w:r w:rsidRPr="00B7639A">
        <w:rPr>
          <w:rFonts w:eastAsia="Times New Roman" w:cs="Arial"/>
          <w:color w:val="000000"/>
          <w:lang w:val="en-US"/>
        </w:rPr>
        <w:t>max</w:t>
      </w:r>
      <w:r w:rsidRPr="00B7639A">
        <w:rPr>
          <w:rFonts w:eastAsia="Times New Roman" w:cs="Arial"/>
          <w:color w:val="000000"/>
          <w:lang w:eastAsia="bg-BG"/>
        </w:rPr>
        <w:t>) се достигат приблизително 2,5 часа след перорален прием (средно 0,3 μ</w:t>
      </w:r>
      <w:r w:rsidRPr="00B7639A">
        <w:rPr>
          <w:rFonts w:eastAsia="Times New Roman" w:cs="Arial"/>
          <w:color w:val="000000"/>
          <w:lang w:val="en-US"/>
        </w:rPr>
        <w:t xml:space="preserve">g/ml </w:t>
      </w:r>
      <w:r w:rsidRPr="00B7639A">
        <w:rPr>
          <w:rFonts w:eastAsia="Times New Roman" w:cs="Arial"/>
          <w:color w:val="000000"/>
          <w:lang w:eastAsia="bg-BG"/>
        </w:rPr>
        <w:t xml:space="preserve">по време на многократно дозиране с 4 </w:t>
      </w:r>
      <w:r w:rsidRPr="00B7639A">
        <w:rPr>
          <w:rFonts w:eastAsia="Times New Roman" w:cs="Arial"/>
          <w:color w:val="000000"/>
          <w:lang w:val="en-US"/>
        </w:rPr>
        <w:t xml:space="preserve">mg </w:t>
      </w:r>
      <w:r w:rsidRPr="00B7639A">
        <w:rPr>
          <w:rFonts w:eastAsia="Times New Roman" w:cs="Arial"/>
          <w:color w:val="000000"/>
          <w:lang w:eastAsia="bg-BG"/>
        </w:rPr>
        <w:t>дневно) и има линейна зависимост между дозата и С</w:t>
      </w:r>
      <w:r w:rsidRPr="00B7639A">
        <w:rPr>
          <w:rFonts w:eastAsia="Times New Roman" w:cs="Arial"/>
          <w:color w:val="000000"/>
          <w:lang w:val="en-US"/>
        </w:rPr>
        <w:t>max</w:t>
      </w:r>
      <w:r w:rsidRPr="00B7639A">
        <w:rPr>
          <w:rFonts w:eastAsia="Times New Roman" w:cs="Arial"/>
          <w:color w:val="000000"/>
          <w:lang w:eastAsia="bg-BG"/>
        </w:rPr>
        <w:t xml:space="preserve"> , както и между дозата и </w:t>
      </w:r>
      <w:r w:rsidRPr="00B7639A">
        <w:rPr>
          <w:rFonts w:eastAsia="Times New Roman" w:cs="Arial"/>
          <w:color w:val="000000"/>
          <w:lang w:val="en-US"/>
        </w:rPr>
        <w:t xml:space="preserve">AUC </w:t>
      </w:r>
      <w:r w:rsidRPr="00B7639A">
        <w:rPr>
          <w:rFonts w:eastAsia="Times New Roman" w:cs="Arial"/>
          <w:color w:val="000000"/>
          <w:lang w:eastAsia="bg-BG"/>
        </w:rPr>
        <w:t>(площта под кривата време/концентрация).</w:t>
      </w:r>
    </w:p>
    <w:p w14:paraId="3BE2F214" w14:textId="77777777" w:rsidR="00B7639A" w:rsidRPr="00B7639A" w:rsidRDefault="00B7639A" w:rsidP="00B7639A">
      <w:pPr>
        <w:spacing w:line="240" w:lineRule="auto"/>
        <w:rPr>
          <w:rFonts w:eastAsia="Times New Roman" w:cs="Arial"/>
          <w:color w:val="000000"/>
          <w:u w:val="single"/>
          <w:lang w:eastAsia="bg-BG"/>
        </w:rPr>
      </w:pPr>
    </w:p>
    <w:p w14:paraId="5FE8CB99" w14:textId="32E5FB35" w:rsidR="00B7639A" w:rsidRPr="00B7639A" w:rsidRDefault="00B7639A" w:rsidP="00B7639A">
      <w:pPr>
        <w:pStyle w:val="Heading3"/>
        <w:rPr>
          <w:rFonts w:eastAsia="Times New Roman"/>
          <w:u w:val="single"/>
          <w:lang w:eastAsia="bg-BG"/>
        </w:rPr>
      </w:pPr>
      <w:r w:rsidRPr="00B7639A">
        <w:rPr>
          <w:rFonts w:eastAsia="Times New Roman"/>
          <w:u w:val="single"/>
          <w:lang w:eastAsia="bg-BG"/>
        </w:rPr>
        <w:t>Разпределение</w:t>
      </w:r>
    </w:p>
    <w:p w14:paraId="00D79B41"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Глимепирид има много малък обем на разпределение (приблизително 8,8 литра), който грубо се равнява на пространството на разпределение на албумина, високо свързване с протеини (&gt;99 %) и нисък клирънс (приблизително 48 </w:t>
      </w:r>
      <w:r w:rsidRPr="00B7639A">
        <w:rPr>
          <w:rFonts w:eastAsia="Times New Roman" w:cs="Arial"/>
          <w:color w:val="000000"/>
          <w:lang w:val="en-US"/>
        </w:rPr>
        <w:t>ml/min).</w:t>
      </w:r>
    </w:p>
    <w:p w14:paraId="6A6BCAF4"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lastRenderedPageBreak/>
        <w:t>При животни, глимепирид се екскретира в млякото. Глимепирид преминава в плацентата. Преминаването през хематоенцефалната бариера е слабо.</w:t>
      </w:r>
    </w:p>
    <w:p w14:paraId="66285F6A" w14:textId="77777777" w:rsidR="00B7639A" w:rsidRPr="00B7639A" w:rsidRDefault="00B7639A" w:rsidP="00B7639A">
      <w:pPr>
        <w:spacing w:line="240" w:lineRule="auto"/>
        <w:rPr>
          <w:rFonts w:eastAsia="Times New Roman" w:cs="Arial"/>
          <w:color w:val="000000"/>
          <w:u w:val="single"/>
          <w:lang w:eastAsia="bg-BG"/>
        </w:rPr>
      </w:pPr>
    </w:p>
    <w:p w14:paraId="4455D147" w14:textId="0C6DAA3B" w:rsidR="00B7639A" w:rsidRPr="00B7639A" w:rsidRDefault="00B7639A" w:rsidP="00B7639A">
      <w:pPr>
        <w:pStyle w:val="Heading3"/>
        <w:rPr>
          <w:rFonts w:eastAsia="Times New Roman"/>
          <w:u w:val="single"/>
          <w:lang w:eastAsia="bg-BG"/>
        </w:rPr>
      </w:pPr>
      <w:r w:rsidRPr="00B7639A">
        <w:rPr>
          <w:rFonts w:eastAsia="Times New Roman"/>
          <w:u w:val="single"/>
          <w:lang w:eastAsia="bg-BG"/>
        </w:rPr>
        <w:t>Биотрансформация и елиминиране</w:t>
      </w:r>
    </w:p>
    <w:p w14:paraId="2B4A5F8B"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Средният преобладаващ серумен полуживот, който е от значение за серумните концентрации при многократно дозиране е около 5 до 8 часа. След прилагане на по-високи дози са наблюдавани малко по-дълги времена на полуживот.</w:t>
      </w:r>
    </w:p>
    <w:p w14:paraId="21081FD0" w14:textId="77777777" w:rsidR="00B7639A" w:rsidRPr="00B7639A" w:rsidRDefault="00B7639A" w:rsidP="00B7639A">
      <w:pPr>
        <w:spacing w:line="240" w:lineRule="auto"/>
        <w:rPr>
          <w:rFonts w:eastAsia="Times New Roman" w:cs="Arial"/>
          <w:color w:val="000000"/>
          <w:lang w:eastAsia="bg-BG"/>
        </w:rPr>
      </w:pPr>
    </w:p>
    <w:p w14:paraId="5F402DA9" w14:textId="35E15860"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 xml:space="preserve">След еднократна доза радиоактивно маркиран глимепирид, 58 % от радиоактивността е открита в урината и 35 % във фекалиите. Не се открива непроменено изходно вещество в урината. Два метаболита, най-вероятно резултат от чернодробния метаболизъм (главно чрез </w:t>
      </w:r>
      <w:r w:rsidRPr="00B7639A">
        <w:rPr>
          <w:rFonts w:eastAsia="Times New Roman" w:cs="Arial"/>
          <w:color w:val="000000"/>
          <w:lang w:val="en-US"/>
        </w:rPr>
        <w:t xml:space="preserve">CYP2C9), </w:t>
      </w:r>
      <w:r w:rsidRPr="00B7639A">
        <w:rPr>
          <w:rFonts w:eastAsia="Times New Roman" w:cs="Arial"/>
          <w:color w:val="000000"/>
          <w:lang w:eastAsia="bg-BG"/>
        </w:rPr>
        <w:t>са идентифицирани и в урината, и във фекалиите: хидрокси-производно и карбокси-производно. След перорално приложение на глимепирид терминалният полуживот на тези метаболити бе съответно от 3 до 6 часа и от 5 до 6 часа.</w:t>
      </w:r>
    </w:p>
    <w:p w14:paraId="0CFCA411" w14:textId="77777777" w:rsidR="00B7639A" w:rsidRPr="00B7639A" w:rsidRDefault="00B7639A" w:rsidP="00B7639A">
      <w:pPr>
        <w:spacing w:line="240" w:lineRule="auto"/>
        <w:rPr>
          <w:rFonts w:eastAsia="Times New Roman" w:cs="Arial"/>
          <w:color w:val="000000"/>
          <w:lang w:eastAsia="bg-BG"/>
        </w:rPr>
      </w:pPr>
    </w:p>
    <w:p w14:paraId="3C24A840" w14:textId="4FB9263C"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Сравнението между еднократно и многократно дозиране веднъж дневно не показва значими разлики във фармакокинетиката и вариабилността между отделните индивиди е много ниска. Няма практически значимо кумулиране.</w:t>
      </w:r>
    </w:p>
    <w:p w14:paraId="46524126" w14:textId="77777777" w:rsidR="00B7639A" w:rsidRPr="00B7639A" w:rsidRDefault="00B7639A" w:rsidP="00B7639A">
      <w:pPr>
        <w:spacing w:line="240" w:lineRule="auto"/>
        <w:rPr>
          <w:rFonts w:eastAsia="Times New Roman" w:cs="Arial"/>
          <w:color w:val="000000"/>
          <w:u w:val="single"/>
          <w:lang w:eastAsia="bg-BG"/>
        </w:rPr>
      </w:pPr>
    </w:p>
    <w:p w14:paraId="655782C1" w14:textId="532ED29A" w:rsidR="00B7639A" w:rsidRPr="00B7639A" w:rsidRDefault="00B7639A" w:rsidP="00B7639A">
      <w:pPr>
        <w:pStyle w:val="Heading3"/>
        <w:rPr>
          <w:rFonts w:eastAsia="Times New Roman"/>
          <w:u w:val="single"/>
          <w:lang w:eastAsia="bg-BG"/>
        </w:rPr>
      </w:pPr>
      <w:r w:rsidRPr="00B7639A">
        <w:rPr>
          <w:rFonts w:eastAsia="Times New Roman"/>
          <w:u w:val="single"/>
          <w:lang w:eastAsia="bg-BG"/>
        </w:rPr>
        <w:t>Специални популации</w:t>
      </w:r>
    </w:p>
    <w:p w14:paraId="148BA3FC" w14:textId="25FDE165" w:rsidR="0091385D"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Фармакокинетиката беше сходна при мъже и жени, както и при млади пациенти и пациенти в напреднала възраст (над 65 години). При пациенти с нисък креатининов клирънс имаше тенденция клирънсът на глимепирид да се увеличи и средните серумни концентрации да  намалеят, най-вероятно в резултат на по-бързо елиминиране, поради по-малко свързване с протеини. Бъбречното елиминиране на двата метаболита беше нарушено. Като цяло, не може</w:t>
      </w:r>
      <w:r>
        <w:rPr>
          <w:rFonts w:eastAsia="Times New Roman" w:cs="Arial"/>
          <w:sz w:val="24"/>
          <w:szCs w:val="24"/>
          <w:lang w:val="en-US" w:eastAsia="bg-BG"/>
        </w:rPr>
        <w:t xml:space="preserve"> </w:t>
      </w:r>
      <w:r w:rsidRPr="00B7639A">
        <w:rPr>
          <w:rFonts w:eastAsia="Times New Roman" w:cs="Arial"/>
          <w:color w:val="000000"/>
          <w:lang w:eastAsia="bg-BG"/>
        </w:rPr>
        <w:t>да се приеме, че съществува допълнителен риск от кумулиране при такива пациенти.</w:t>
      </w:r>
    </w:p>
    <w:p w14:paraId="4EE1BB0B" w14:textId="17BC9E2F" w:rsidR="0091385D" w:rsidRDefault="0091385D" w:rsidP="0091385D"/>
    <w:p w14:paraId="7EEECEAF" w14:textId="77777777" w:rsidR="00B7639A" w:rsidRPr="00B7639A" w:rsidRDefault="00B7639A" w:rsidP="00B7639A">
      <w:pPr>
        <w:spacing w:line="240" w:lineRule="auto"/>
        <w:rPr>
          <w:rFonts w:eastAsia="Times New Roman" w:cs="Arial"/>
          <w:lang w:eastAsia="bg-BG"/>
        </w:rPr>
      </w:pPr>
      <w:r w:rsidRPr="00B7639A">
        <w:rPr>
          <w:rFonts w:eastAsia="Times New Roman" w:cs="Arial"/>
          <w:color w:val="000000"/>
          <w:lang w:eastAsia="bg-BG"/>
        </w:rPr>
        <w:t>Фармакокинетиката при пет пациенти без диабет след операция на жлъчните пътища е била сходна на тази при здрави лица.</w:t>
      </w:r>
    </w:p>
    <w:p w14:paraId="37620547" w14:textId="77777777" w:rsidR="00B7639A" w:rsidRPr="00B7639A" w:rsidRDefault="00B7639A" w:rsidP="00B7639A">
      <w:pPr>
        <w:spacing w:line="240" w:lineRule="auto"/>
        <w:rPr>
          <w:rFonts w:eastAsia="Times New Roman" w:cs="Arial"/>
          <w:color w:val="000000"/>
          <w:lang w:eastAsia="bg-BG"/>
        </w:rPr>
      </w:pPr>
    </w:p>
    <w:p w14:paraId="2A7C0FA1" w14:textId="03E305CC" w:rsidR="00B7639A" w:rsidRPr="00B7639A" w:rsidRDefault="00B7639A" w:rsidP="00B7639A">
      <w:pPr>
        <w:spacing w:line="240" w:lineRule="auto"/>
        <w:rPr>
          <w:rFonts w:eastAsia="Times New Roman" w:cs="Arial"/>
          <w:lang w:eastAsia="bg-BG"/>
        </w:rPr>
      </w:pPr>
      <w:r w:rsidRPr="00B7639A">
        <w:rPr>
          <w:rFonts w:eastAsia="Times New Roman" w:cs="Arial"/>
          <w:color w:val="000000"/>
          <w:lang w:eastAsia="bg-BG"/>
        </w:rPr>
        <w:t>Деца и юноши</w:t>
      </w:r>
    </w:p>
    <w:p w14:paraId="3A0D3748" w14:textId="3460E2A1" w:rsidR="00B7639A" w:rsidRPr="00B7639A" w:rsidRDefault="00B7639A" w:rsidP="00B7639A">
      <w:pPr>
        <w:rPr>
          <w:rFonts w:cs="Arial"/>
        </w:rPr>
      </w:pPr>
      <w:r w:rsidRPr="00B7639A">
        <w:rPr>
          <w:rFonts w:eastAsia="Times New Roman" w:cs="Arial"/>
          <w:color w:val="000000"/>
          <w:lang w:eastAsia="bg-BG"/>
        </w:rPr>
        <w:t xml:space="preserve">Едно </w:t>
      </w:r>
      <w:r w:rsidRPr="00B7639A">
        <w:rPr>
          <w:rFonts w:eastAsia="Times New Roman" w:cs="Arial"/>
          <w:i/>
          <w:iCs/>
          <w:color w:val="000000"/>
          <w:lang w:val="en-US"/>
        </w:rPr>
        <w:t>fed study-</w:t>
      </w:r>
      <w:r w:rsidRPr="00B7639A">
        <w:rPr>
          <w:rFonts w:eastAsia="Times New Roman" w:cs="Arial"/>
          <w:color w:val="000000"/>
          <w:lang w:eastAsia="bg-BG"/>
        </w:rPr>
        <w:t xml:space="preserve">проучване, изследващо фармакокинетиката, безопасността и поносимостта на 1 </w:t>
      </w:r>
      <w:r w:rsidRPr="00B7639A">
        <w:rPr>
          <w:rFonts w:eastAsia="Times New Roman" w:cs="Arial"/>
          <w:color w:val="000000"/>
          <w:lang w:val="en-US"/>
        </w:rPr>
        <w:t xml:space="preserve">mg </w:t>
      </w:r>
      <w:r w:rsidRPr="00B7639A">
        <w:rPr>
          <w:rFonts w:eastAsia="Times New Roman" w:cs="Arial"/>
          <w:color w:val="000000"/>
          <w:lang w:eastAsia="bg-BG"/>
        </w:rPr>
        <w:t xml:space="preserve">еднократна доза глимелирид при 30 педиатрични пациенти (4 деца на възраст 10-12 години и 26 деца на възраст 12-17 години) с диабет тип 2 е показало средни стойности за </w:t>
      </w:r>
      <w:r w:rsidRPr="00B7639A">
        <w:rPr>
          <w:rFonts w:eastAsia="Times New Roman" w:cs="Arial"/>
          <w:color w:val="000000"/>
          <w:lang w:val="en-US"/>
        </w:rPr>
        <w:t>AUQ</w:t>
      </w:r>
      <w:r w:rsidRPr="00B7639A">
        <w:rPr>
          <w:rFonts w:eastAsia="Times New Roman" w:cs="Arial"/>
          <w:color w:val="000000"/>
          <w:vertAlign w:val="subscript"/>
          <w:lang w:val="en-US"/>
        </w:rPr>
        <w:t>(0-</w:t>
      </w:r>
      <w:r w:rsidRPr="00B7639A">
        <w:rPr>
          <w:rFonts w:eastAsia="Times New Roman" w:cs="Arial"/>
          <w:color w:val="000000"/>
          <w:lang w:val="en-US"/>
        </w:rPr>
        <w:t xml:space="preserve"> last)</w:t>
      </w:r>
      <w:r w:rsidRPr="00B7639A">
        <w:rPr>
          <w:rFonts w:eastAsia="Times New Roman" w:cs="Arial"/>
          <w:color w:val="000000"/>
          <w:lang w:eastAsia="bg-BG"/>
        </w:rPr>
        <w:t>,</w:t>
      </w:r>
      <w:r w:rsidRPr="00B7639A">
        <w:rPr>
          <w:rFonts w:eastAsia="Times New Roman" w:cs="Arial"/>
          <w:color w:val="000000"/>
          <w:lang w:val="en-US"/>
        </w:rPr>
        <w:t xml:space="preserve"> </w:t>
      </w:r>
      <w:proofErr w:type="spellStart"/>
      <w:r w:rsidRPr="00B7639A">
        <w:rPr>
          <w:rFonts w:eastAsia="Times New Roman" w:cs="Arial"/>
          <w:color w:val="000000"/>
          <w:lang w:val="en-US"/>
        </w:rPr>
        <w:t>Cmax</w:t>
      </w:r>
      <w:proofErr w:type="spellEnd"/>
      <w:r w:rsidRPr="00B7639A">
        <w:rPr>
          <w:rFonts w:eastAsia="Times New Roman" w:cs="Arial"/>
          <w:color w:val="000000"/>
          <w:lang w:val="en-US"/>
        </w:rPr>
        <w:t xml:space="preserve"> </w:t>
      </w:r>
      <w:r w:rsidRPr="00B7639A">
        <w:rPr>
          <w:rFonts w:eastAsia="Times New Roman" w:cs="Arial"/>
          <w:color w:val="000000"/>
          <w:lang w:eastAsia="bg-BG"/>
        </w:rPr>
        <w:t xml:space="preserve">и </w:t>
      </w:r>
      <w:r w:rsidRPr="00B7639A">
        <w:rPr>
          <w:rFonts w:eastAsia="Times New Roman" w:cs="Arial"/>
          <w:color w:val="000000"/>
          <w:lang w:val="en-US"/>
        </w:rPr>
        <w:t>t</w:t>
      </w:r>
      <w:r w:rsidRPr="00B7639A">
        <w:rPr>
          <w:rFonts w:eastAsia="Times New Roman" w:cs="Arial"/>
          <w:color w:val="000000"/>
          <w:vertAlign w:val="subscript"/>
          <w:lang w:val="en-US"/>
        </w:rPr>
        <w:t>1/2</w:t>
      </w:r>
      <w:r w:rsidRPr="00B7639A">
        <w:rPr>
          <w:rFonts w:eastAsia="Times New Roman" w:cs="Arial"/>
          <w:color w:val="000000"/>
          <w:lang w:val="en-US"/>
        </w:rPr>
        <w:t xml:space="preserve">, </w:t>
      </w:r>
      <w:r w:rsidRPr="00B7639A">
        <w:rPr>
          <w:rFonts w:eastAsia="Times New Roman" w:cs="Arial"/>
          <w:color w:val="000000"/>
          <w:lang w:eastAsia="bg-BG"/>
        </w:rPr>
        <w:t>сходни на наблюдаваните преди това при възрастни.</w:t>
      </w:r>
    </w:p>
    <w:p w14:paraId="5518C13F" w14:textId="77777777" w:rsidR="00B7639A" w:rsidRPr="0091385D" w:rsidRDefault="00B7639A"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52E4D01A" w14:textId="4533EB17" w:rsidR="0091385D" w:rsidRDefault="00B7639A" w:rsidP="0091385D">
      <w:r>
        <w:t>При предклиничните изпитвания ефекти са наблюдавани само при експозиции, които са в достатъчна степен по-големи от максималната експозиция при хора, показали са малка релевантност към клиничното приложение, или са били причинени от фармакодинамичния ефект (хипогликемия) на веществото. Тези данни се основават на изследвания на конвенционалната фармакология за безопасност, токсичност при многократно дозиране, генотоксичност, канцерогенен потенциал и репродуктивна токсичност. При последните (за ембриотоксичността, тератогенността и токсикология на развитието), наблюдаваните нежелани реакции се считат за вторични по отношение на хипогликемичните ефекти, предизвикан от веществото при майките и потомството.</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3C7BA832" w14:textId="77777777" w:rsidR="00B7639A" w:rsidRPr="00B7639A" w:rsidRDefault="00B7639A" w:rsidP="00B7639A">
      <w:pPr>
        <w:spacing w:line="240" w:lineRule="auto"/>
        <w:rPr>
          <w:rFonts w:eastAsia="Times New Roman" w:cs="Arial"/>
          <w:sz w:val="24"/>
          <w:szCs w:val="24"/>
          <w:lang w:val="en-US" w:eastAsia="bg-BG"/>
        </w:rPr>
      </w:pPr>
      <w:r w:rsidRPr="00B7639A">
        <w:rPr>
          <w:rFonts w:eastAsia="Times New Roman" w:cs="Arial"/>
          <w:color w:val="000000"/>
          <w:lang w:eastAsia="bg-BG"/>
        </w:rPr>
        <w:t>Wörwag</w:t>
      </w:r>
      <w:r w:rsidRPr="00B7639A">
        <w:rPr>
          <w:rFonts w:eastAsia="Times New Roman" w:cs="Arial"/>
          <w:color w:val="000000"/>
          <w:lang w:val="en-US"/>
        </w:rPr>
        <w:t xml:space="preserve"> Pharma GmbH </w:t>
      </w:r>
      <w:r w:rsidRPr="00B7639A">
        <w:rPr>
          <w:rFonts w:eastAsia="Times New Roman" w:cs="Arial"/>
          <w:color w:val="000000"/>
          <w:lang w:eastAsia="bg-BG"/>
        </w:rPr>
        <w:t xml:space="preserve">&amp; </w:t>
      </w:r>
      <w:r w:rsidRPr="00B7639A">
        <w:rPr>
          <w:rFonts w:eastAsia="Times New Roman" w:cs="Arial"/>
          <w:color w:val="000000"/>
          <w:lang w:val="en-US"/>
        </w:rPr>
        <w:t>Co. KG</w:t>
      </w:r>
    </w:p>
    <w:p w14:paraId="6EF06D6A" w14:textId="77777777" w:rsidR="00B7639A" w:rsidRPr="00B7639A" w:rsidRDefault="00B7639A" w:rsidP="00B7639A">
      <w:pPr>
        <w:spacing w:line="240" w:lineRule="auto"/>
        <w:rPr>
          <w:rFonts w:eastAsia="Times New Roman" w:cs="Arial"/>
          <w:sz w:val="24"/>
          <w:szCs w:val="24"/>
          <w:lang w:val="en-US" w:eastAsia="bg-BG"/>
        </w:rPr>
      </w:pPr>
      <w:proofErr w:type="spellStart"/>
      <w:r w:rsidRPr="00B7639A">
        <w:rPr>
          <w:rFonts w:eastAsia="Times New Roman" w:cs="Arial"/>
          <w:color w:val="000000"/>
          <w:lang w:val="en-US"/>
        </w:rPr>
        <w:t>Flugfeld-Allee</w:t>
      </w:r>
      <w:proofErr w:type="spellEnd"/>
      <w:r w:rsidRPr="00B7639A">
        <w:rPr>
          <w:rFonts w:eastAsia="Times New Roman" w:cs="Arial"/>
          <w:color w:val="000000"/>
          <w:lang w:val="en-US"/>
        </w:rPr>
        <w:t xml:space="preserve"> 24</w:t>
      </w:r>
    </w:p>
    <w:p w14:paraId="18A260E3" w14:textId="77777777" w:rsidR="00B7639A" w:rsidRPr="00B7639A" w:rsidRDefault="00B7639A" w:rsidP="00B7639A">
      <w:pPr>
        <w:spacing w:line="240" w:lineRule="auto"/>
        <w:rPr>
          <w:rFonts w:eastAsia="Times New Roman" w:cs="Arial"/>
          <w:sz w:val="24"/>
          <w:szCs w:val="24"/>
          <w:lang w:val="en-US" w:eastAsia="bg-BG"/>
        </w:rPr>
      </w:pPr>
      <w:r w:rsidRPr="00B7639A">
        <w:rPr>
          <w:rFonts w:eastAsia="Times New Roman" w:cs="Arial"/>
          <w:color w:val="000000"/>
          <w:lang w:val="en-US"/>
        </w:rPr>
        <w:t>71034 B</w:t>
      </w:r>
      <w:r w:rsidRPr="00B7639A">
        <w:rPr>
          <w:rFonts w:eastAsia="Times New Roman" w:cs="Arial"/>
          <w:color w:val="000000"/>
          <w:lang w:eastAsia="bg-BG"/>
        </w:rPr>
        <w:t>ö</w:t>
      </w:r>
      <w:proofErr w:type="spellStart"/>
      <w:r w:rsidRPr="00B7639A">
        <w:rPr>
          <w:rFonts w:eastAsia="Times New Roman" w:cs="Arial"/>
          <w:color w:val="000000"/>
          <w:lang w:val="en-US"/>
        </w:rPr>
        <w:t>blingen</w:t>
      </w:r>
      <w:proofErr w:type="spellEnd"/>
    </w:p>
    <w:p w14:paraId="3FD825DB" w14:textId="286BB52A" w:rsidR="0091385D" w:rsidRPr="00B7639A" w:rsidRDefault="00B7639A" w:rsidP="00B7639A">
      <w:pPr>
        <w:rPr>
          <w:rFonts w:cs="Arial"/>
        </w:rPr>
      </w:pPr>
      <w:r w:rsidRPr="00B7639A">
        <w:rPr>
          <w:rFonts w:eastAsia="Times New Roman" w:cs="Arial"/>
          <w:color w:val="000000"/>
          <w:lang w:eastAsia="bg-BG"/>
        </w:rPr>
        <w:t>Германия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063815B3" w:rsidR="0091385D" w:rsidRPr="00B7639A" w:rsidRDefault="00EF14CD" w:rsidP="0091385D">
      <w:pPr>
        <w:rPr>
          <w:rFonts w:cs="Arial"/>
        </w:rPr>
      </w:pPr>
      <w:r>
        <w:rPr>
          <w:rFonts w:cs="Arial"/>
        </w:rPr>
        <w:t>20080253</w:t>
      </w:r>
      <w:bookmarkStart w:id="3" w:name="_GoBack"/>
      <w:bookmarkEnd w:id="3"/>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05F6BD12" w14:textId="77777777" w:rsidR="00B7639A" w:rsidRPr="00B7639A" w:rsidRDefault="00B7639A" w:rsidP="00B7639A">
      <w:pPr>
        <w:spacing w:line="240" w:lineRule="auto"/>
        <w:rPr>
          <w:rFonts w:eastAsia="Times New Roman" w:cs="Arial"/>
          <w:sz w:val="24"/>
          <w:szCs w:val="24"/>
          <w:lang w:eastAsia="bg-BG"/>
        </w:rPr>
      </w:pPr>
      <w:r w:rsidRPr="00B7639A">
        <w:rPr>
          <w:rFonts w:eastAsia="Times New Roman" w:cs="Arial"/>
          <w:color w:val="000000"/>
          <w:lang w:eastAsia="bg-BG"/>
        </w:rPr>
        <w:t>Дата на първо разрешаване: 28 Ноември 2008 г.</w:t>
      </w:r>
    </w:p>
    <w:p w14:paraId="497007FA" w14:textId="65C02198" w:rsidR="0091385D" w:rsidRPr="00B7639A" w:rsidRDefault="00B7639A" w:rsidP="00B7639A">
      <w:pPr>
        <w:rPr>
          <w:rFonts w:cs="Arial"/>
        </w:rPr>
      </w:pPr>
      <w:r w:rsidRPr="00B7639A">
        <w:rPr>
          <w:rFonts w:eastAsia="Times New Roman" w:cs="Arial"/>
          <w:color w:val="000000"/>
          <w:lang w:eastAsia="bg-BG"/>
        </w:rPr>
        <w:t>Дата на последно подновяване: 6 Юни 2012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517CBD75" w:rsidR="0091385D" w:rsidRPr="00B7639A" w:rsidRDefault="00B7639A" w:rsidP="0091385D">
      <w:pPr>
        <w:rPr>
          <w:rFonts w:cs="Arial"/>
        </w:rPr>
      </w:pPr>
      <w:r w:rsidRPr="00B7639A">
        <w:rPr>
          <w:rFonts w:cs="Arial"/>
        </w:rPr>
        <w:t>10/2021</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C638B6"/>
    <w:multiLevelType w:val="hybridMultilevel"/>
    <w:tmpl w:val="10F4A66A"/>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74DE9"/>
    <w:multiLevelType w:val="hybridMultilevel"/>
    <w:tmpl w:val="4EEAF782"/>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4F520B4"/>
    <w:multiLevelType w:val="hybridMultilevel"/>
    <w:tmpl w:val="C620693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77A58"/>
    <w:multiLevelType w:val="hybridMultilevel"/>
    <w:tmpl w:val="CF1E6B5C"/>
    <w:lvl w:ilvl="0" w:tplc="DEAE4BBE">
      <w:start w:val="4"/>
      <w:numFmt w:val="bullet"/>
      <w:lvlText w:val="-"/>
      <w:lvlJc w:val="left"/>
      <w:pPr>
        <w:ind w:left="144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0F4EFD"/>
    <w:multiLevelType w:val="hybridMultilevel"/>
    <w:tmpl w:val="2EFAA17C"/>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804069"/>
    <w:multiLevelType w:val="hybridMultilevel"/>
    <w:tmpl w:val="A0242084"/>
    <w:lvl w:ilvl="0" w:tplc="DEAE4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D093A"/>
    <w:multiLevelType w:val="hybridMultilevel"/>
    <w:tmpl w:val="5D202DD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5"/>
  </w:num>
  <w:num w:numId="4">
    <w:abstractNumId w:val="3"/>
  </w:num>
  <w:num w:numId="5">
    <w:abstractNumId w:val="1"/>
  </w:num>
  <w:num w:numId="6">
    <w:abstractNumId w:val="20"/>
  </w:num>
  <w:num w:numId="7">
    <w:abstractNumId w:val="13"/>
  </w:num>
  <w:num w:numId="8">
    <w:abstractNumId w:val="18"/>
  </w:num>
  <w:num w:numId="9">
    <w:abstractNumId w:val="2"/>
  </w:num>
  <w:num w:numId="10">
    <w:abstractNumId w:val="4"/>
  </w:num>
  <w:num w:numId="11">
    <w:abstractNumId w:val="35"/>
  </w:num>
  <w:num w:numId="12">
    <w:abstractNumId w:val="17"/>
  </w:num>
  <w:num w:numId="13">
    <w:abstractNumId w:val="23"/>
  </w:num>
  <w:num w:numId="14">
    <w:abstractNumId w:val="14"/>
  </w:num>
  <w:num w:numId="15">
    <w:abstractNumId w:val="34"/>
  </w:num>
  <w:num w:numId="16">
    <w:abstractNumId w:val="12"/>
  </w:num>
  <w:num w:numId="17">
    <w:abstractNumId w:val="29"/>
  </w:num>
  <w:num w:numId="18">
    <w:abstractNumId w:val="10"/>
  </w:num>
  <w:num w:numId="19">
    <w:abstractNumId w:val="31"/>
  </w:num>
  <w:num w:numId="20">
    <w:abstractNumId w:val="28"/>
  </w:num>
  <w:num w:numId="21">
    <w:abstractNumId w:val="21"/>
  </w:num>
  <w:num w:numId="22">
    <w:abstractNumId w:val="30"/>
  </w:num>
  <w:num w:numId="23">
    <w:abstractNumId w:val="22"/>
  </w:num>
  <w:num w:numId="24">
    <w:abstractNumId w:val="11"/>
  </w:num>
  <w:num w:numId="25">
    <w:abstractNumId w:val="27"/>
  </w:num>
  <w:num w:numId="26">
    <w:abstractNumId w:val="26"/>
  </w:num>
  <w:num w:numId="27">
    <w:abstractNumId w:val="36"/>
  </w:num>
  <w:num w:numId="28">
    <w:abstractNumId w:val="8"/>
  </w:num>
  <w:num w:numId="29">
    <w:abstractNumId w:val="24"/>
  </w:num>
  <w:num w:numId="30">
    <w:abstractNumId w:val="40"/>
  </w:num>
  <w:num w:numId="31">
    <w:abstractNumId w:val="6"/>
  </w:num>
  <w:num w:numId="32">
    <w:abstractNumId w:val="39"/>
  </w:num>
  <w:num w:numId="33">
    <w:abstractNumId w:val="33"/>
  </w:num>
  <w:num w:numId="34">
    <w:abstractNumId w:val="37"/>
  </w:num>
  <w:num w:numId="35">
    <w:abstractNumId w:val="9"/>
  </w:num>
  <w:num w:numId="36">
    <w:abstractNumId w:val="5"/>
  </w:num>
  <w:num w:numId="37">
    <w:abstractNumId w:val="16"/>
  </w:num>
  <w:num w:numId="38">
    <w:abstractNumId w:val="38"/>
  </w:num>
  <w:num w:numId="39">
    <w:abstractNumId w:val="19"/>
  </w:num>
  <w:num w:numId="40">
    <w:abstractNumId w:val="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263A6"/>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1385D"/>
    <w:rsid w:val="009773E4"/>
    <w:rsid w:val="009B171C"/>
    <w:rsid w:val="009F1313"/>
    <w:rsid w:val="00A20351"/>
    <w:rsid w:val="00A65A81"/>
    <w:rsid w:val="00AA23EC"/>
    <w:rsid w:val="00AC63CE"/>
    <w:rsid w:val="00AE2107"/>
    <w:rsid w:val="00B275A8"/>
    <w:rsid w:val="00B7639A"/>
    <w:rsid w:val="00BE7414"/>
    <w:rsid w:val="00BF2600"/>
    <w:rsid w:val="00C0049F"/>
    <w:rsid w:val="00C07B84"/>
    <w:rsid w:val="00C33464"/>
    <w:rsid w:val="00C40420"/>
    <w:rsid w:val="00C809A7"/>
    <w:rsid w:val="00C83063"/>
    <w:rsid w:val="00C87E90"/>
    <w:rsid w:val="00CA1B57"/>
    <w:rsid w:val="00CF77F7"/>
    <w:rsid w:val="00D86297"/>
    <w:rsid w:val="00DD466D"/>
    <w:rsid w:val="00EB6364"/>
    <w:rsid w:val="00EF14C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4058</Words>
  <Characters>23131</Characters>
  <Application>Microsoft Office Word</Application>
  <DocSecurity>0</DocSecurity>
  <Lines>192</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2022-07-24T10:04:00Z</dcterms:created>
  <dcterms:modified xsi:type="dcterms:W3CDTF">2022-07-24T10:04:00Z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