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3E00C0" w:rsidRDefault="002C50EE" w:rsidP="003E00C0">
      <w:pPr>
        <w:jc w:val="center"/>
        <w:rPr>
          <w:sz w:val="28"/>
          <w:szCs w:val="28"/>
        </w:rPr>
      </w:pPr>
      <w:bookmarkStart w:id="0" w:name="_Hlk63124480"/>
      <w:r w:rsidRPr="003E00C0">
        <w:rPr>
          <w:sz w:val="28"/>
          <w:szCs w:val="28"/>
        </w:rPr>
        <w:t>КРАТКА ХАРАКТЕРИСТИКА НА ПРОДУКТА</w:t>
      </w:r>
    </w:p>
    <w:p w14:paraId="1BBB3756" w14:textId="0DAEAFBF" w:rsidR="00C07B84" w:rsidRDefault="00DD466D" w:rsidP="00DD466D">
      <w:pPr>
        <w:pStyle w:val="1"/>
      </w:pPr>
      <w:r>
        <w:t>1.ИМЕ НА ЛЕКАРСТВЕНИЯ ПРОДУКТ</w:t>
      </w:r>
    </w:p>
    <w:p w14:paraId="31DA71DC" w14:textId="77777777" w:rsidR="00C20336" w:rsidRDefault="00C20336" w:rsidP="00C20336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7271AF1" w14:textId="61E539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proofErr w:type="spellStart"/>
      <w:r w:rsidRPr="00C20336">
        <w:rPr>
          <w:rFonts w:eastAsia="Times New Roman" w:cs="Arial"/>
          <w:color w:val="000000"/>
          <w:lang w:eastAsia="bg-BG"/>
        </w:rPr>
        <w:t>Глопенел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75 </w:t>
      </w:r>
      <w:r w:rsidRPr="00C20336">
        <w:rPr>
          <w:rFonts w:eastAsia="Times New Roman" w:cs="Arial"/>
          <w:color w:val="000000"/>
          <w:lang w:val="en-US"/>
        </w:rPr>
        <w:t xml:space="preserve">mg </w:t>
      </w:r>
      <w:r w:rsidRPr="00C20336">
        <w:rPr>
          <w:rFonts w:eastAsia="Times New Roman" w:cs="Arial"/>
          <w:color w:val="000000"/>
          <w:lang w:eastAsia="bg-BG"/>
        </w:rPr>
        <w:t>филмирани таблетки</w:t>
      </w:r>
    </w:p>
    <w:p w14:paraId="0198FC92" w14:textId="424165A5" w:rsidR="00C20336" w:rsidRPr="00C20336" w:rsidRDefault="00C20336" w:rsidP="00C20336">
      <w:pPr>
        <w:rPr>
          <w:rFonts w:cs="Arial"/>
        </w:rPr>
      </w:pPr>
      <w:proofErr w:type="spellStart"/>
      <w:r w:rsidRPr="00C20336">
        <w:rPr>
          <w:rFonts w:eastAsia="Times New Roman" w:cs="Arial"/>
          <w:color w:val="000000"/>
          <w:lang w:val="en-US"/>
        </w:rPr>
        <w:t>Glopenel</w:t>
      </w:r>
      <w:proofErr w:type="spellEnd"/>
      <w:r w:rsidRPr="00C20336">
        <w:rPr>
          <w:rFonts w:eastAsia="Times New Roman" w:cs="Arial"/>
          <w:color w:val="000000"/>
          <w:lang w:val="en-US"/>
        </w:rPr>
        <w:t xml:space="preserve"> </w:t>
      </w:r>
      <w:r w:rsidRPr="00C20336">
        <w:rPr>
          <w:rFonts w:eastAsia="Times New Roman" w:cs="Arial"/>
          <w:color w:val="000000"/>
          <w:lang w:eastAsia="bg-BG"/>
        </w:rPr>
        <w:t xml:space="preserve">75 </w:t>
      </w:r>
      <w:r w:rsidRPr="00C20336">
        <w:rPr>
          <w:rFonts w:eastAsia="Times New Roman" w:cs="Arial"/>
          <w:color w:val="000000"/>
          <w:lang w:val="en-US"/>
        </w:rPr>
        <w:t>mg film-coated tablets</w:t>
      </w:r>
    </w:p>
    <w:p w14:paraId="3A916BC0" w14:textId="244EC06B" w:rsidR="00DD466D" w:rsidRDefault="00DD466D" w:rsidP="00DD466D">
      <w:pPr>
        <w:pStyle w:val="1"/>
      </w:pPr>
      <w:r>
        <w:t>2. КАЧЕСТВЕН И КОЛИЧЕСТВЕН СЪСТАВ</w:t>
      </w:r>
    </w:p>
    <w:p w14:paraId="7C3884E3" w14:textId="1F4EE543" w:rsidR="00C20336" w:rsidRDefault="00C20336" w:rsidP="00C20336"/>
    <w:p w14:paraId="27DCDAC2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 xml:space="preserve">Всяка филмирана таблетка съдържа 75 </w:t>
      </w:r>
      <w:r w:rsidRPr="00C20336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</w:t>
      </w:r>
      <w:r w:rsidRPr="00C20336">
        <w:rPr>
          <w:rFonts w:eastAsia="Times New Roman" w:cs="Arial"/>
          <w:i/>
          <w:iCs/>
          <w:color w:val="000000"/>
          <w:lang w:val="en-US"/>
        </w:rPr>
        <w:t>(clopidogrel)</w:t>
      </w:r>
      <w:r w:rsidRPr="00C20336">
        <w:rPr>
          <w:rFonts w:eastAsia="Times New Roman" w:cs="Arial"/>
          <w:color w:val="000000"/>
          <w:lang w:val="en-US"/>
        </w:rPr>
        <w:t xml:space="preserve"> </w:t>
      </w:r>
      <w:r w:rsidRPr="00C20336">
        <w:rPr>
          <w:rFonts w:eastAsia="Times New Roman" w:cs="Arial"/>
          <w:color w:val="000000"/>
          <w:lang w:eastAsia="bg-BG"/>
        </w:rPr>
        <w:t xml:space="preserve">(като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безилат</w:t>
      </w:r>
      <w:proofErr w:type="spellEnd"/>
      <w:r w:rsidRPr="00C20336">
        <w:rPr>
          <w:rFonts w:eastAsia="Times New Roman" w:cs="Arial"/>
          <w:color w:val="000000"/>
          <w:lang w:eastAsia="bg-BG"/>
        </w:rPr>
        <w:t>).</w:t>
      </w:r>
    </w:p>
    <w:p w14:paraId="47E78A2B" w14:textId="77777777" w:rsidR="00C20336" w:rsidRPr="00C20336" w:rsidRDefault="00C20336" w:rsidP="00C2033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C11DF0" w14:textId="5AE61604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действие:</w:t>
      </w:r>
    </w:p>
    <w:p w14:paraId="31A67BBF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 xml:space="preserve">Всяка филмирана таблетка съдържа 2,6 </w:t>
      </w:r>
      <w:r w:rsidRPr="00C20336">
        <w:rPr>
          <w:rFonts w:eastAsia="Times New Roman" w:cs="Arial"/>
          <w:color w:val="000000"/>
          <w:lang w:val="en-US"/>
        </w:rPr>
        <w:t xml:space="preserve">mg </w:t>
      </w:r>
      <w:r w:rsidRPr="00C20336">
        <w:rPr>
          <w:rFonts w:eastAsia="Times New Roman" w:cs="Arial"/>
          <w:color w:val="000000"/>
          <w:lang w:eastAsia="bg-BG"/>
        </w:rPr>
        <w:t xml:space="preserve">лактоза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C20336">
        <w:rPr>
          <w:rFonts w:eastAsia="Times New Roman" w:cs="Arial"/>
          <w:color w:val="000000"/>
          <w:lang w:eastAsia="bg-BG"/>
        </w:rPr>
        <w:t>.</w:t>
      </w:r>
    </w:p>
    <w:p w14:paraId="30BE0B4A" w14:textId="77777777" w:rsidR="00C20336" w:rsidRPr="00C20336" w:rsidRDefault="00C20336" w:rsidP="00C20336"/>
    <w:p w14:paraId="5D2526C7" w14:textId="566BB060" w:rsidR="009318C5" w:rsidRDefault="00DD466D" w:rsidP="003E00C0">
      <w:pPr>
        <w:pStyle w:val="1"/>
      </w:pPr>
      <w:r>
        <w:t>3. ЛЕКАРСТВЕНА ФОРМА</w:t>
      </w:r>
    </w:p>
    <w:p w14:paraId="7C5A3BD9" w14:textId="2CB6E008" w:rsidR="00C20336" w:rsidRDefault="00C20336" w:rsidP="00C20336"/>
    <w:p w14:paraId="04721393" w14:textId="77777777" w:rsidR="00C20336" w:rsidRPr="00C20336" w:rsidRDefault="00C20336" w:rsidP="00C20336">
      <w:pPr>
        <w:rPr>
          <w:sz w:val="24"/>
          <w:szCs w:val="24"/>
        </w:rPr>
      </w:pPr>
      <w:r w:rsidRPr="00C20336">
        <w:rPr>
          <w:lang w:eastAsia="bg-BG"/>
        </w:rPr>
        <w:t>Филмирана таблетка</w:t>
      </w:r>
    </w:p>
    <w:p w14:paraId="3F4F35F4" w14:textId="77777777" w:rsidR="00C20336" w:rsidRDefault="00C20336" w:rsidP="00C20336">
      <w:pPr>
        <w:rPr>
          <w:lang w:eastAsia="bg-BG"/>
        </w:rPr>
      </w:pPr>
    </w:p>
    <w:p w14:paraId="7EBD5178" w14:textId="019B566D" w:rsidR="00C20336" w:rsidRPr="00C20336" w:rsidRDefault="00C20336" w:rsidP="00C20336">
      <w:proofErr w:type="spellStart"/>
      <w:r w:rsidRPr="00C20336">
        <w:rPr>
          <w:lang w:eastAsia="bg-BG"/>
        </w:rPr>
        <w:t>Глопенел</w:t>
      </w:r>
      <w:proofErr w:type="spellEnd"/>
      <w:r w:rsidRPr="00C20336">
        <w:rPr>
          <w:lang w:eastAsia="bg-BG"/>
        </w:rPr>
        <w:t xml:space="preserve"> 75 </w:t>
      </w:r>
      <w:r w:rsidRPr="00C20336">
        <w:rPr>
          <w:lang w:val="en-US"/>
        </w:rPr>
        <w:t xml:space="preserve">mg </w:t>
      </w:r>
      <w:r w:rsidRPr="00C20336">
        <w:rPr>
          <w:lang w:eastAsia="bg-BG"/>
        </w:rPr>
        <w:t>са розови, кръгли, двойно-изпъкнали.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5A55DBB9" w14:textId="5CD5A320" w:rsidR="009318C5" w:rsidRDefault="002C50EE" w:rsidP="003E00C0">
      <w:pPr>
        <w:pStyle w:val="2"/>
      </w:pPr>
      <w:r>
        <w:t>4.1. Терапевтични показания</w:t>
      </w:r>
    </w:p>
    <w:p w14:paraId="0ADFE948" w14:textId="4B051CCA" w:rsidR="00C20336" w:rsidRDefault="00C20336" w:rsidP="00C20336"/>
    <w:p w14:paraId="1398877D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i/>
          <w:iCs/>
          <w:color w:val="000000"/>
          <w:lang w:eastAsia="bg-BG"/>
        </w:rPr>
        <w:t xml:space="preserve">Вторична превенция от </w:t>
      </w:r>
      <w:proofErr w:type="spellStart"/>
      <w:r w:rsidRPr="00C20336">
        <w:rPr>
          <w:rFonts w:eastAsia="Times New Roman" w:cs="Arial"/>
          <w:i/>
          <w:iCs/>
          <w:color w:val="000000"/>
          <w:lang w:eastAsia="bg-BG"/>
        </w:rPr>
        <w:t>атеротромботични</w:t>
      </w:r>
      <w:proofErr w:type="spellEnd"/>
      <w:r w:rsidRPr="00C20336">
        <w:rPr>
          <w:rFonts w:eastAsia="Times New Roman" w:cs="Arial"/>
          <w:i/>
          <w:iCs/>
          <w:color w:val="000000"/>
          <w:lang w:eastAsia="bg-BG"/>
        </w:rPr>
        <w:t xml:space="preserve"> случаи</w:t>
      </w:r>
    </w:p>
    <w:p w14:paraId="5D928E7D" w14:textId="0D745EDB" w:rsidR="00C20336" w:rsidRP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е показан при:</w:t>
      </w:r>
    </w:p>
    <w:p w14:paraId="4467AD82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</w:p>
    <w:p w14:paraId="5A714792" w14:textId="77777777" w:rsidR="00C20336" w:rsidRPr="00C20336" w:rsidRDefault="00C20336" w:rsidP="00C20336">
      <w:pPr>
        <w:pStyle w:val="a3"/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20336">
        <w:rPr>
          <w:rFonts w:eastAsia="Times New Roman" w:cs="Arial"/>
          <w:color w:val="000000"/>
          <w:lang w:eastAsia="bg-BG"/>
        </w:rPr>
        <w:t>Възрастни пациенти с прекаран миокарден инфаркт (от няколко дни до 35 дни), исхемичен инсулт (от 7-мия ден до по-малко от 6-тия месец) или установено периферно артериално заболяване;</w:t>
      </w:r>
    </w:p>
    <w:p w14:paraId="46D39709" w14:textId="77777777" w:rsidR="00C20336" w:rsidRPr="00C20336" w:rsidRDefault="00C20336" w:rsidP="00C20336">
      <w:pPr>
        <w:pStyle w:val="a3"/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20336">
        <w:rPr>
          <w:rFonts w:eastAsia="Times New Roman" w:cs="Arial"/>
          <w:color w:val="000000"/>
          <w:lang w:eastAsia="bg-BG"/>
        </w:rPr>
        <w:t>Възрастни пациенти с остър коронарен синдром:</w:t>
      </w:r>
    </w:p>
    <w:p w14:paraId="3E561CCC" w14:textId="7E9CA20D" w:rsidR="00C20336" w:rsidRPr="00C20336" w:rsidRDefault="00C20336" w:rsidP="00C20336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20336">
        <w:rPr>
          <w:rFonts w:eastAsia="Times New Roman" w:cs="Arial"/>
          <w:color w:val="000000"/>
          <w:lang w:eastAsia="bg-BG"/>
        </w:rPr>
        <w:t xml:space="preserve">Остър коронарен синдром без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на </w:t>
      </w:r>
      <w:r w:rsidRPr="00C20336">
        <w:rPr>
          <w:rFonts w:eastAsia="Times New Roman" w:cs="Arial"/>
          <w:color w:val="000000"/>
          <w:lang w:val="en-US"/>
        </w:rPr>
        <w:t>ST</w:t>
      </w:r>
      <w:r w:rsidRPr="00C20336">
        <w:rPr>
          <w:rFonts w:eastAsia="Times New Roman" w:cs="Arial"/>
          <w:color w:val="000000"/>
          <w:lang w:eastAsia="bg-BG"/>
        </w:rPr>
        <w:t xml:space="preserve">-сегмента (нестабилна стенокардия или миокарден инфаркт без </w:t>
      </w:r>
      <w:r w:rsidRPr="00C20336">
        <w:rPr>
          <w:rFonts w:eastAsia="Times New Roman" w:cs="Arial"/>
          <w:color w:val="000000"/>
          <w:lang w:val="en-US"/>
        </w:rPr>
        <w:t>Q</w:t>
      </w:r>
      <w:r w:rsidRPr="00C20336">
        <w:rPr>
          <w:rFonts w:eastAsia="Times New Roman" w:cs="Arial"/>
          <w:color w:val="000000"/>
          <w:lang w:eastAsia="bg-BG"/>
        </w:rPr>
        <w:t xml:space="preserve">-зъбец), включително пациенти, на които е поставен </w:t>
      </w:r>
      <w:proofErr w:type="spellStart"/>
      <w:r w:rsidRPr="00C20336">
        <w:rPr>
          <w:rFonts w:eastAsia="Times New Roman" w:cs="Arial"/>
          <w:color w:val="000000"/>
          <w:lang w:eastAsia="bg-BG"/>
        </w:rPr>
        <w:t>стент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след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перкутанна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коронарна интервенция, в комбинация с ацетилсалицилова киселина (АСК).</w:t>
      </w:r>
    </w:p>
    <w:p w14:paraId="089B8080" w14:textId="7DA67767" w:rsidR="00C20336" w:rsidRPr="00C20336" w:rsidRDefault="00C20336" w:rsidP="00C20336">
      <w:pPr>
        <w:pStyle w:val="a3"/>
        <w:numPr>
          <w:ilvl w:val="0"/>
          <w:numId w:val="26"/>
        </w:numPr>
        <w:tabs>
          <w:tab w:val="left" w:pos="900"/>
          <w:tab w:val="left" w:pos="1260"/>
        </w:tabs>
        <w:spacing w:line="240" w:lineRule="auto"/>
        <w:rPr>
          <w:rFonts w:eastAsia="Times New Roman" w:cs="Arial"/>
          <w:color w:val="000000"/>
          <w:lang w:eastAsia="bg-BG"/>
        </w:rPr>
      </w:pPr>
      <w:r w:rsidRPr="00C20336">
        <w:rPr>
          <w:rFonts w:eastAsia="Times New Roman" w:cs="Arial"/>
          <w:color w:val="000000"/>
          <w:lang w:eastAsia="bg-BG"/>
        </w:rPr>
        <w:t xml:space="preserve">Остър миокарден инфаркт с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на </w:t>
      </w:r>
      <w:r w:rsidRPr="00C20336">
        <w:rPr>
          <w:rFonts w:eastAsia="Times New Roman" w:cs="Arial"/>
          <w:color w:val="000000"/>
          <w:lang w:val="en-US"/>
        </w:rPr>
        <w:t>ST</w:t>
      </w:r>
      <w:r w:rsidRPr="00C20336">
        <w:rPr>
          <w:rFonts w:eastAsia="Times New Roman" w:cs="Arial"/>
          <w:color w:val="000000"/>
          <w:lang w:eastAsia="bg-BG"/>
        </w:rPr>
        <w:t xml:space="preserve">-сегмента, в комбинация с АСК при медикаментозно лекувани пациенти, подходящи за </w:t>
      </w:r>
      <w:proofErr w:type="spellStart"/>
      <w:r w:rsidRPr="00C20336">
        <w:rPr>
          <w:rFonts w:eastAsia="Times New Roman" w:cs="Arial"/>
          <w:color w:val="000000"/>
          <w:lang w:eastAsia="bg-BG"/>
        </w:rPr>
        <w:t>тромболитична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терапия.</w:t>
      </w:r>
    </w:p>
    <w:p w14:paraId="3CCC876E" w14:textId="77777777" w:rsidR="00C20336" w:rsidRPr="00C20336" w:rsidRDefault="00C20336" w:rsidP="00C2033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09D5F6D" w14:textId="329C99FF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i/>
          <w:iCs/>
          <w:color w:val="000000"/>
          <w:lang w:eastAsia="bg-BG"/>
        </w:rPr>
        <w:t xml:space="preserve">Предпазване от </w:t>
      </w:r>
      <w:proofErr w:type="spellStart"/>
      <w:r w:rsidRPr="00C20336">
        <w:rPr>
          <w:rFonts w:eastAsia="Times New Roman" w:cs="Arial"/>
          <w:i/>
          <w:iCs/>
          <w:color w:val="000000"/>
          <w:lang w:eastAsia="bg-BG"/>
        </w:rPr>
        <w:t>атеротромботични</w:t>
      </w:r>
      <w:proofErr w:type="spellEnd"/>
      <w:r w:rsidRPr="00C20336">
        <w:rPr>
          <w:rFonts w:eastAsia="Times New Roman" w:cs="Arial"/>
          <w:i/>
          <w:iCs/>
          <w:color w:val="000000"/>
          <w:lang w:eastAsia="bg-BG"/>
        </w:rPr>
        <w:t xml:space="preserve"> и </w:t>
      </w:r>
      <w:proofErr w:type="spellStart"/>
      <w:r w:rsidRPr="00C20336">
        <w:rPr>
          <w:rFonts w:eastAsia="Times New Roman" w:cs="Arial"/>
          <w:i/>
          <w:iCs/>
          <w:color w:val="000000"/>
          <w:lang w:eastAsia="bg-BG"/>
        </w:rPr>
        <w:t>тромбоемболични</w:t>
      </w:r>
      <w:proofErr w:type="spellEnd"/>
      <w:r w:rsidRPr="00C20336">
        <w:rPr>
          <w:rFonts w:eastAsia="Times New Roman" w:cs="Arial"/>
          <w:i/>
          <w:iCs/>
          <w:color w:val="000000"/>
          <w:lang w:eastAsia="bg-BG"/>
        </w:rPr>
        <w:t xml:space="preserve"> инциденти при </w:t>
      </w:r>
      <w:proofErr w:type="spellStart"/>
      <w:r w:rsidRPr="00C20336">
        <w:rPr>
          <w:rFonts w:eastAsia="Times New Roman" w:cs="Arial"/>
          <w:i/>
          <w:iCs/>
          <w:color w:val="000000"/>
          <w:lang w:eastAsia="bg-BG"/>
        </w:rPr>
        <w:t>предсърдно</w:t>
      </w:r>
      <w:proofErr w:type="spellEnd"/>
      <w:r w:rsidRPr="00C20336">
        <w:rPr>
          <w:rFonts w:eastAsia="Times New Roman" w:cs="Arial"/>
          <w:i/>
          <w:iCs/>
          <w:color w:val="000000"/>
          <w:lang w:eastAsia="bg-BG"/>
        </w:rPr>
        <w:t xml:space="preserve"> мъждене </w:t>
      </w:r>
      <w:r w:rsidRPr="00C20336">
        <w:rPr>
          <w:rFonts w:eastAsia="Times New Roman" w:cs="Arial"/>
          <w:color w:val="000000"/>
          <w:lang w:eastAsia="bg-BG"/>
        </w:rPr>
        <w:t xml:space="preserve">При възрастни пациенти с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мъждене, които имат поне един рисков фактор за съдови инциденти, които не са подходящи за лечение с антагонист на витамин К </w:t>
      </w:r>
      <w:r w:rsidRPr="00C20336">
        <w:rPr>
          <w:rFonts w:eastAsia="Times New Roman" w:cs="Arial"/>
          <w:color w:val="000000"/>
          <w:lang w:val="en-US"/>
        </w:rPr>
        <w:t xml:space="preserve">(VKA) </w:t>
      </w:r>
      <w:r w:rsidRPr="00C20336">
        <w:rPr>
          <w:rFonts w:eastAsia="Times New Roman" w:cs="Arial"/>
          <w:color w:val="000000"/>
          <w:lang w:eastAsia="bg-BG"/>
        </w:rPr>
        <w:t xml:space="preserve">и които имат нисък риск за кървене,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е показан в комбинация с АСК за предпазване от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атеротромботични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20336">
        <w:rPr>
          <w:rFonts w:eastAsia="Times New Roman" w:cs="Arial"/>
          <w:color w:val="000000"/>
          <w:lang w:eastAsia="bg-BG"/>
        </w:rPr>
        <w:t>тромбоемболични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инциденти, включително инсулт.</w:t>
      </w:r>
    </w:p>
    <w:p w14:paraId="64C69DB2" w14:textId="77777777" w:rsidR="00C20336" w:rsidRP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62C9E4" w14:textId="7ECEF62A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За допълнителна информация, вижте точка 5.1.</w:t>
      </w:r>
    </w:p>
    <w:p w14:paraId="1E2E3C9D" w14:textId="77777777" w:rsidR="00C20336" w:rsidRPr="00C20336" w:rsidRDefault="00C20336" w:rsidP="00C20336"/>
    <w:p w14:paraId="34DEF566" w14:textId="467E75DC" w:rsidR="000B4D83" w:rsidRDefault="002C50EE" w:rsidP="003E00C0">
      <w:pPr>
        <w:pStyle w:val="2"/>
      </w:pPr>
      <w:r>
        <w:lastRenderedPageBreak/>
        <w:t>4.2. Дозировка и начин на приложение</w:t>
      </w:r>
    </w:p>
    <w:p w14:paraId="7C7C57C7" w14:textId="49406BD9" w:rsidR="00C20336" w:rsidRDefault="00C20336" w:rsidP="00C20336"/>
    <w:p w14:paraId="7C5D568D" w14:textId="77777777" w:rsidR="00C20336" w:rsidRPr="00C20336" w:rsidRDefault="00C20336" w:rsidP="00C20336">
      <w:pPr>
        <w:pStyle w:val="3"/>
        <w:rPr>
          <w:rFonts w:eastAsia="Times New Roman"/>
          <w:u w:val="single"/>
        </w:rPr>
      </w:pPr>
      <w:r w:rsidRPr="00C20336">
        <w:rPr>
          <w:rFonts w:eastAsia="Times New Roman"/>
          <w:u w:val="single"/>
          <w:lang w:eastAsia="bg-BG"/>
        </w:rPr>
        <w:t>Дозировка:</w:t>
      </w:r>
    </w:p>
    <w:p w14:paraId="23CE5709" w14:textId="1B1AF212" w:rsidR="00C20336" w:rsidRPr="0076594E" w:rsidRDefault="00C20336" w:rsidP="0076594E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>Възрастни и пациенти над 65 години</w:t>
      </w:r>
    </w:p>
    <w:p w14:paraId="7477EAC2" w14:textId="77777777" w:rsidR="00C20336" w:rsidRP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EDB8D4" w14:textId="5D43288F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трябва да се прилага като единична дневна доза от 75 </w:t>
      </w:r>
      <w:r w:rsidRPr="00C20336">
        <w:rPr>
          <w:rFonts w:eastAsia="Times New Roman" w:cs="Arial"/>
          <w:color w:val="000000"/>
          <w:lang w:val="en-US"/>
        </w:rPr>
        <w:t>mg.</w:t>
      </w:r>
    </w:p>
    <w:p w14:paraId="477635BB" w14:textId="37761B80" w:rsidR="00C20336" w:rsidRPr="00C20336" w:rsidRDefault="00C20336" w:rsidP="00C20336">
      <w:pPr>
        <w:rPr>
          <w:rFonts w:cs="Arial"/>
        </w:rPr>
      </w:pPr>
    </w:p>
    <w:p w14:paraId="64232098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При пациенти с остър коронарен синдром:</w:t>
      </w:r>
    </w:p>
    <w:p w14:paraId="32A64FAC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 xml:space="preserve">Остър коронарен синдром без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на </w:t>
      </w:r>
      <w:r w:rsidRPr="00C20336">
        <w:rPr>
          <w:rFonts w:eastAsia="Times New Roman" w:cs="Arial"/>
          <w:color w:val="000000"/>
          <w:lang w:val="en-US"/>
        </w:rPr>
        <w:t>ST</w:t>
      </w:r>
      <w:r w:rsidRPr="00C20336">
        <w:rPr>
          <w:rFonts w:eastAsia="Times New Roman" w:cs="Arial"/>
          <w:color w:val="000000"/>
          <w:lang w:eastAsia="bg-BG"/>
        </w:rPr>
        <w:t xml:space="preserve">-сегмента (нестабилна стенокардия или миокарден инфаркт без </w:t>
      </w:r>
      <w:r w:rsidRPr="00C20336">
        <w:rPr>
          <w:rFonts w:eastAsia="Times New Roman" w:cs="Arial"/>
          <w:color w:val="000000"/>
          <w:lang w:val="en-US"/>
        </w:rPr>
        <w:t>Q</w:t>
      </w:r>
      <w:r w:rsidRPr="00C20336">
        <w:rPr>
          <w:rFonts w:eastAsia="Times New Roman" w:cs="Arial"/>
          <w:color w:val="000000"/>
          <w:lang w:eastAsia="bg-BG"/>
        </w:rPr>
        <w:t xml:space="preserve">-зъбец): лечението с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трябва да започне с единична натоварваща доза от 300 </w:t>
      </w:r>
      <w:r w:rsidRPr="00C20336">
        <w:rPr>
          <w:rFonts w:eastAsia="Times New Roman" w:cs="Arial"/>
          <w:color w:val="000000"/>
          <w:lang w:val="en-US"/>
        </w:rPr>
        <w:t xml:space="preserve">mg, </w:t>
      </w:r>
      <w:r w:rsidRPr="00C20336">
        <w:rPr>
          <w:rFonts w:eastAsia="Times New Roman" w:cs="Arial"/>
          <w:color w:val="000000"/>
          <w:lang w:eastAsia="bg-BG"/>
        </w:rPr>
        <w:t xml:space="preserve">след което продължава със 75 </w:t>
      </w:r>
      <w:r w:rsidRPr="00C20336">
        <w:rPr>
          <w:rFonts w:eastAsia="Times New Roman" w:cs="Arial"/>
          <w:color w:val="000000"/>
          <w:lang w:val="en-US"/>
        </w:rPr>
        <w:t xml:space="preserve">mg </w:t>
      </w:r>
      <w:r w:rsidRPr="00C20336">
        <w:rPr>
          <w:rFonts w:eastAsia="Times New Roman" w:cs="Arial"/>
          <w:color w:val="000000"/>
          <w:lang w:eastAsia="bg-BG"/>
        </w:rPr>
        <w:t xml:space="preserve">веднъж дневно (с ацетилсалицилова киселина (АСК) 75 </w:t>
      </w:r>
      <w:r w:rsidRPr="00C20336">
        <w:rPr>
          <w:rFonts w:eastAsia="Times New Roman" w:cs="Arial"/>
          <w:color w:val="000000"/>
          <w:lang w:val="en-US"/>
        </w:rPr>
        <w:t xml:space="preserve">mg-325 mg </w:t>
      </w:r>
      <w:r w:rsidRPr="00C20336">
        <w:rPr>
          <w:rFonts w:eastAsia="Times New Roman" w:cs="Arial"/>
          <w:color w:val="000000"/>
          <w:lang w:eastAsia="bg-BG"/>
        </w:rPr>
        <w:t xml:space="preserve">дневно). Тъй като по-високите дози на АСК се свързват с повишен риск от кървене, се препоръчва дозата на АСК да не превишава 100 </w:t>
      </w:r>
      <w:r w:rsidRPr="00C20336">
        <w:rPr>
          <w:rFonts w:eastAsia="Times New Roman" w:cs="Arial"/>
          <w:color w:val="000000"/>
          <w:lang w:val="en-US"/>
        </w:rPr>
        <w:t xml:space="preserve">mg. </w:t>
      </w:r>
      <w:r w:rsidRPr="00C20336">
        <w:rPr>
          <w:rFonts w:eastAsia="Times New Roman" w:cs="Arial"/>
          <w:color w:val="000000"/>
          <w:lang w:eastAsia="bg-BG"/>
        </w:rPr>
        <w:t xml:space="preserve">Оптималната продължителност на лечението не е официално установена. Данните от клинични проучвания са в подкрепа на употребата на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до 12 месеца, като максимален ефект се наблюдава на 3-ия месец (вж. точка 5.1).</w:t>
      </w:r>
    </w:p>
    <w:p w14:paraId="314B34E7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 xml:space="preserve">Остър миокарден инфаркт с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на </w:t>
      </w:r>
      <w:r w:rsidRPr="00C20336">
        <w:rPr>
          <w:rFonts w:eastAsia="Times New Roman" w:cs="Arial"/>
          <w:color w:val="000000"/>
          <w:lang w:val="en-US"/>
        </w:rPr>
        <w:t>ST</w:t>
      </w:r>
      <w:r w:rsidRPr="00C20336">
        <w:rPr>
          <w:rFonts w:eastAsia="Times New Roman" w:cs="Arial"/>
          <w:color w:val="000000"/>
          <w:lang w:eastAsia="bg-BG"/>
        </w:rPr>
        <w:t xml:space="preserve">-сегмента: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трябва да бъде прилаган като еднократна дневна доза от 75 </w:t>
      </w:r>
      <w:r w:rsidRPr="00C20336">
        <w:rPr>
          <w:rFonts w:eastAsia="Times New Roman" w:cs="Arial"/>
          <w:color w:val="000000"/>
          <w:lang w:val="en-US"/>
        </w:rPr>
        <w:t xml:space="preserve">mg, </w:t>
      </w:r>
      <w:r w:rsidRPr="00C20336">
        <w:rPr>
          <w:rFonts w:eastAsia="Times New Roman" w:cs="Arial"/>
          <w:color w:val="000000"/>
          <w:lang w:eastAsia="bg-BG"/>
        </w:rPr>
        <w:t xml:space="preserve">като се започва с 300 </w:t>
      </w:r>
      <w:r w:rsidRPr="00C20336">
        <w:rPr>
          <w:rFonts w:eastAsia="Times New Roman" w:cs="Arial"/>
          <w:color w:val="000000"/>
          <w:lang w:val="en-US"/>
        </w:rPr>
        <w:t xml:space="preserve">mg </w:t>
      </w:r>
      <w:r w:rsidRPr="00C20336">
        <w:rPr>
          <w:rFonts w:eastAsia="Times New Roman" w:cs="Arial"/>
          <w:color w:val="000000"/>
          <w:lang w:eastAsia="bg-BG"/>
        </w:rPr>
        <w:t xml:space="preserve">натоварваща доза в комбинация с АСК и с/без </w:t>
      </w:r>
      <w:proofErr w:type="spellStart"/>
      <w:r w:rsidRPr="00C20336">
        <w:rPr>
          <w:rFonts w:eastAsia="Times New Roman" w:cs="Arial"/>
          <w:color w:val="000000"/>
          <w:lang w:eastAsia="bg-BG"/>
        </w:rPr>
        <w:t>тромболитици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. За пациенти на възраст над 75 години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трябва да се започне без натоварваща доза. Комбинирано лечение трябва да се започне възможно най-рано след началото на симптомите и да бъде продължено поне за четири седмици. Ползата от комбинирането на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с АСК за повече от четири седмици не е била проучвана при това показание (вж. точка 5.1).</w:t>
      </w:r>
    </w:p>
    <w:p w14:paraId="28693E11" w14:textId="77777777" w:rsidR="00C20336" w:rsidRP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395D55" w14:textId="40055A62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 xml:space="preserve">При пациенти с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мъждене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трябва да се прилага като еднократна дневна доза от 75 </w:t>
      </w:r>
      <w:r w:rsidRPr="00C20336">
        <w:rPr>
          <w:rFonts w:eastAsia="Times New Roman" w:cs="Arial"/>
          <w:color w:val="000000"/>
          <w:lang w:val="en-US"/>
        </w:rPr>
        <w:t xml:space="preserve">mg. </w:t>
      </w:r>
      <w:r w:rsidRPr="00C20336">
        <w:rPr>
          <w:rFonts w:eastAsia="Times New Roman" w:cs="Arial"/>
          <w:color w:val="000000"/>
          <w:lang w:eastAsia="bg-BG"/>
        </w:rPr>
        <w:t xml:space="preserve">АСК (75-100 </w:t>
      </w:r>
      <w:r w:rsidRPr="00C20336">
        <w:rPr>
          <w:rFonts w:eastAsia="Times New Roman" w:cs="Arial"/>
          <w:color w:val="000000"/>
          <w:lang w:val="en-US"/>
        </w:rPr>
        <w:t xml:space="preserve">mg </w:t>
      </w:r>
      <w:r w:rsidRPr="00C20336">
        <w:rPr>
          <w:rFonts w:eastAsia="Times New Roman" w:cs="Arial"/>
          <w:color w:val="000000"/>
          <w:lang w:eastAsia="bg-BG"/>
        </w:rPr>
        <w:t xml:space="preserve">дневно) трябва да се започне и да продължи в комбинация с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(вж. точка 5.1).</w:t>
      </w:r>
    </w:p>
    <w:p w14:paraId="3B8D8A74" w14:textId="77777777" w:rsidR="00C20336" w:rsidRP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BE5070" w14:textId="359BF833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Ако е пропусната доза:</w:t>
      </w:r>
    </w:p>
    <w:p w14:paraId="7C2081E5" w14:textId="388E90FC" w:rsidR="00C20336" w:rsidRPr="00C20336" w:rsidRDefault="00C20336" w:rsidP="00C20336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В рамките на по-малко от 12 часа след редовно определеното време: пациентите трябва да приемат дозата незабавно и после да приемат следващата доза в редовно определеното време.</w:t>
      </w:r>
    </w:p>
    <w:p w14:paraId="06242AA7" w14:textId="150B129D" w:rsidR="00C20336" w:rsidRPr="00C20336" w:rsidRDefault="00C20336" w:rsidP="00C20336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При повече от 12 часа: пациентите трябва да приемат следващата доза в редовно определеното време и не трябва да удвояват дозата.</w:t>
      </w:r>
    </w:p>
    <w:p w14:paraId="64D5D3B8" w14:textId="77777777" w:rsidR="00C20336" w:rsidRPr="00C20336" w:rsidRDefault="00C20336" w:rsidP="00C20336">
      <w:pPr>
        <w:spacing w:line="240" w:lineRule="auto"/>
        <w:ind w:left="360"/>
        <w:rPr>
          <w:rFonts w:eastAsia="Times New Roman" w:cs="Arial"/>
          <w:sz w:val="24"/>
          <w:szCs w:val="24"/>
        </w:rPr>
      </w:pPr>
    </w:p>
    <w:p w14:paraId="3484F0E8" w14:textId="1BC5BEDE" w:rsidR="00C20336" w:rsidRPr="00C20336" w:rsidRDefault="00C20336" w:rsidP="00C20336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Педиатрични пациенти</w:t>
      </w:r>
    </w:p>
    <w:p w14:paraId="6B1ABC83" w14:textId="38277249" w:rsid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20336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не трябва да се прилага при деца поради съображения относно ефикасността (вж. точка 5.1).</w:t>
      </w:r>
    </w:p>
    <w:p w14:paraId="5C5828D1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</w:p>
    <w:p w14:paraId="7BBECB52" w14:textId="48D8456A" w:rsidR="00C20336" w:rsidRPr="00C20336" w:rsidRDefault="00C20336" w:rsidP="00C20336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Бъбречно увреждане</w:t>
      </w:r>
    </w:p>
    <w:p w14:paraId="618B11FB" w14:textId="7095DB92" w:rsidR="00C20336" w:rsidRDefault="00C20336" w:rsidP="00C2033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20336">
        <w:rPr>
          <w:rFonts w:eastAsia="Times New Roman" w:cs="Arial"/>
          <w:color w:val="000000"/>
          <w:lang w:eastAsia="bg-BG"/>
        </w:rPr>
        <w:t>Терапевтичният опит е ограничен при пациенти с бъбречно увреждане (вж. точка 4.4).</w:t>
      </w:r>
    </w:p>
    <w:p w14:paraId="40156933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</w:p>
    <w:p w14:paraId="7C05E1F1" w14:textId="2C4F12ED" w:rsidR="00C20336" w:rsidRPr="00C20336" w:rsidRDefault="00C20336" w:rsidP="00C20336">
      <w:pPr>
        <w:pStyle w:val="a3"/>
        <w:numPr>
          <w:ilvl w:val="0"/>
          <w:numId w:val="28"/>
        </w:num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>Чернодробно увреждане</w:t>
      </w:r>
    </w:p>
    <w:p w14:paraId="6E28A50D" w14:textId="77777777" w:rsidR="00C20336" w:rsidRPr="00C20336" w:rsidRDefault="00C20336" w:rsidP="00C20336">
      <w:pPr>
        <w:spacing w:line="240" w:lineRule="auto"/>
        <w:rPr>
          <w:rFonts w:eastAsia="Times New Roman" w:cs="Arial"/>
          <w:sz w:val="24"/>
          <w:szCs w:val="24"/>
        </w:rPr>
      </w:pPr>
      <w:r w:rsidRPr="00C20336">
        <w:rPr>
          <w:rFonts w:eastAsia="Times New Roman" w:cs="Arial"/>
          <w:color w:val="000000"/>
          <w:lang w:eastAsia="bg-BG"/>
        </w:rPr>
        <w:t xml:space="preserve">Терапевтичният опит е ограничен при пациенти с умерено изразено чернодробно заболяване, при които може да има хеморагична </w:t>
      </w:r>
      <w:proofErr w:type="spellStart"/>
      <w:r w:rsidRPr="00C20336">
        <w:rPr>
          <w:rFonts w:eastAsia="Times New Roman" w:cs="Arial"/>
          <w:color w:val="000000"/>
          <w:lang w:eastAsia="bg-BG"/>
        </w:rPr>
        <w:t>диатеза</w:t>
      </w:r>
      <w:proofErr w:type="spellEnd"/>
      <w:r w:rsidRPr="00C20336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56E4E42A" w14:textId="77777777" w:rsidR="00C20336" w:rsidRPr="00C20336" w:rsidRDefault="00C20336" w:rsidP="00C20336">
      <w:pPr>
        <w:rPr>
          <w:rFonts w:eastAsia="Times New Roman" w:cs="Arial"/>
          <w:color w:val="000000"/>
          <w:u w:val="single"/>
          <w:lang w:eastAsia="bg-BG"/>
        </w:rPr>
      </w:pPr>
    </w:p>
    <w:p w14:paraId="1CD86B60" w14:textId="77777777" w:rsidR="00C20336" w:rsidRPr="00C20336" w:rsidRDefault="00C20336" w:rsidP="00C20336">
      <w:pPr>
        <w:pStyle w:val="3"/>
        <w:rPr>
          <w:rFonts w:eastAsia="Times New Roman"/>
          <w:u w:val="single"/>
          <w:lang w:eastAsia="bg-BG"/>
        </w:rPr>
      </w:pPr>
      <w:r w:rsidRPr="00C20336">
        <w:rPr>
          <w:rFonts w:eastAsia="Times New Roman"/>
          <w:u w:val="single"/>
          <w:lang w:eastAsia="bg-BG"/>
        </w:rPr>
        <w:t xml:space="preserve">Начин на приложение </w:t>
      </w:r>
    </w:p>
    <w:p w14:paraId="4909BD44" w14:textId="26120862" w:rsidR="00C20336" w:rsidRPr="00C20336" w:rsidRDefault="00C20336" w:rsidP="00C20336">
      <w:pPr>
        <w:rPr>
          <w:rFonts w:cs="Arial"/>
        </w:rPr>
      </w:pPr>
      <w:r w:rsidRPr="00C20336">
        <w:rPr>
          <w:rFonts w:eastAsia="Times New Roman" w:cs="Arial"/>
          <w:color w:val="000000"/>
          <w:lang w:eastAsia="bg-BG"/>
        </w:rPr>
        <w:t>За перорално приложение. Може да се прилага със или без храна.</w:t>
      </w:r>
    </w:p>
    <w:p w14:paraId="29961AE2" w14:textId="68A66871" w:rsidR="00803941" w:rsidRDefault="002C50EE" w:rsidP="003E00C0">
      <w:pPr>
        <w:pStyle w:val="2"/>
      </w:pPr>
      <w:r>
        <w:lastRenderedPageBreak/>
        <w:t>4.3. Противопоказания</w:t>
      </w:r>
    </w:p>
    <w:p w14:paraId="5301AD23" w14:textId="025BFBC0" w:rsidR="0076594E" w:rsidRDefault="0076594E" w:rsidP="0076594E"/>
    <w:p w14:paraId="5B86FEAE" w14:textId="48E6174C" w:rsidR="0076594E" w:rsidRPr="0076594E" w:rsidRDefault="0076594E" w:rsidP="0076594E">
      <w:pPr>
        <w:pStyle w:val="a3"/>
        <w:numPr>
          <w:ilvl w:val="0"/>
          <w:numId w:val="28"/>
        </w:numPr>
      </w:pPr>
      <w:r w:rsidRPr="0076594E">
        <w:t>Свръхчувствителност към активното вещество или към някое от помощните вещества, изброени в точка 6,1,</w:t>
      </w:r>
    </w:p>
    <w:p w14:paraId="64E53466" w14:textId="499E0681" w:rsidR="0076594E" w:rsidRPr="0076594E" w:rsidRDefault="0076594E" w:rsidP="0076594E">
      <w:pPr>
        <w:pStyle w:val="a3"/>
        <w:numPr>
          <w:ilvl w:val="0"/>
          <w:numId w:val="28"/>
        </w:numPr>
      </w:pPr>
      <w:r w:rsidRPr="0076594E">
        <w:t>Тежко чернодробно увреждане.</w:t>
      </w:r>
    </w:p>
    <w:p w14:paraId="48180911" w14:textId="2E10785B" w:rsidR="0076594E" w:rsidRPr="0076594E" w:rsidRDefault="0076594E" w:rsidP="0076594E">
      <w:pPr>
        <w:pStyle w:val="a3"/>
        <w:numPr>
          <w:ilvl w:val="0"/>
          <w:numId w:val="28"/>
        </w:numPr>
      </w:pPr>
      <w:r w:rsidRPr="0076594E">
        <w:t xml:space="preserve">Активно патологично кървене като </w:t>
      </w:r>
      <w:proofErr w:type="spellStart"/>
      <w:r w:rsidRPr="0076594E">
        <w:t>пептична</w:t>
      </w:r>
      <w:proofErr w:type="spellEnd"/>
      <w:r w:rsidRPr="0076594E">
        <w:t xml:space="preserve"> язва или </w:t>
      </w:r>
      <w:proofErr w:type="spellStart"/>
      <w:r w:rsidRPr="0076594E">
        <w:t>интракраниална</w:t>
      </w:r>
      <w:proofErr w:type="spellEnd"/>
      <w:r w:rsidRPr="0076594E">
        <w:t xml:space="preserve"> хеморагия.</w:t>
      </w:r>
    </w:p>
    <w:p w14:paraId="1DD594AC" w14:textId="77777777" w:rsidR="0076594E" w:rsidRPr="0076594E" w:rsidRDefault="0076594E" w:rsidP="0076594E"/>
    <w:p w14:paraId="3C61D389" w14:textId="43EC4B2C" w:rsidR="00D9655A" w:rsidRDefault="002C50EE" w:rsidP="003E00C0">
      <w:pPr>
        <w:pStyle w:val="2"/>
      </w:pPr>
      <w:r>
        <w:t>4.4. Специални предупреждения и предпазни мерки при употреба</w:t>
      </w:r>
    </w:p>
    <w:p w14:paraId="5B0CAA3A" w14:textId="073EF5E2" w:rsidR="0076594E" w:rsidRDefault="0076594E" w:rsidP="0076594E"/>
    <w:p w14:paraId="210311E8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Кървене и хематологични нарушения</w:t>
      </w:r>
    </w:p>
    <w:p w14:paraId="46B47FA4" w14:textId="77777777" w:rsidR="0076594E" w:rsidRPr="0076594E" w:rsidRDefault="0076594E" w:rsidP="0076594E">
      <w:pPr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>Поради риск от кървене и хематологични нежелани реакции, веднага трябва да се вземат предвид определянето на кръвната картина и/или други подходящи изследвания в случай на</w:t>
      </w:r>
      <w:r w:rsidRPr="0076594E">
        <w:rPr>
          <w:rFonts w:eastAsia="Times New Roman" w:cs="Arial"/>
          <w:color w:val="000000"/>
          <w:lang w:eastAsia="bg-BG"/>
        </w:rPr>
        <w:t xml:space="preserve"> </w:t>
      </w:r>
      <w:r w:rsidRPr="0076594E">
        <w:rPr>
          <w:rFonts w:eastAsia="Times New Roman" w:cs="Arial"/>
          <w:color w:val="000000"/>
          <w:lang w:eastAsia="bg-BG"/>
        </w:rPr>
        <w:t xml:space="preserve">поява на клинични симптоми, насочващи към кървене по време на лечението (вж. точка 4.8). Подобно на други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антитромботични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средства,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трябва да се прилага с внимание при пациенти, които може да са изложени на опасност от усилено кървене поради травма, хирургична интервенция или други патологични състояния и при пациенти, лекувани с АСК (ацетилсалицилова киселина),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гликопротеин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 </w:t>
      </w:r>
      <w:r w:rsidRPr="0076594E">
        <w:rPr>
          <w:rFonts w:eastAsia="Times New Roman" w:cs="Arial"/>
          <w:color w:val="000000"/>
          <w:lang w:val="en-US"/>
        </w:rPr>
        <w:t>IIb</w:t>
      </w:r>
      <w:r w:rsidRPr="0076594E">
        <w:rPr>
          <w:rFonts w:eastAsia="Times New Roman" w:cs="Arial"/>
          <w:color w:val="000000"/>
          <w:lang w:eastAsia="bg-BG"/>
        </w:rPr>
        <w:t>/</w:t>
      </w:r>
      <w:r w:rsidRPr="0076594E">
        <w:rPr>
          <w:rFonts w:eastAsia="Times New Roman" w:cs="Arial"/>
          <w:color w:val="000000"/>
          <w:lang w:val="en-US"/>
        </w:rPr>
        <w:t>III</w:t>
      </w:r>
      <w:r w:rsidRPr="0076594E">
        <w:rPr>
          <w:rFonts w:eastAsia="Times New Roman" w:cs="Arial"/>
          <w:color w:val="000000"/>
          <w:lang w:eastAsia="bg-BG"/>
        </w:rPr>
        <w:t xml:space="preserve">а инхибитори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нестероиДни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противовъзпалителни средства (НСПВС), включително СОХ-2 инхибитори или селективни инхибитори на обратния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захват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серотонина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r w:rsidRPr="0076594E">
        <w:rPr>
          <w:rFonts w:eastAsia="Times New Roman" w:cs="Arial"/>
          <w:color w:val="000000"/>
          <w:lang w:val="en-US"/>
        </w:rPr>
        <w:t xml:space="preserve">(SSRIs) </w:t>
      </w:r>
      <w:r w:rsidRPr="0076594E">
        <w:rPr>
          <w:rFonts w:eastAsia="Times New Roman" w:cs="Arial"/>
          <w:color w:val="000000"/>
          <w:lang w:eastAsia="bg-BG"/>
        </w:rPr>
        <w:t xml:space="preserve">или други лекарствени продукти, при които има риск от кървене, като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пентоксифилин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(вж. точка 4.5). Пациентите трябва да бъдат внимателно наблюдавани за признаци на кървене, включително и окултно кървене, особено през първите седмици на лечението и/или след инвазивни кардиологични процедури или хирургическа интервенция. Едновременното приложение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 перорални антикоагуланти не се препоръчва, тъй като може да увеличи интензивността на кървене (вж. точка 4.5).</w:t>
      </w:r>
    </w:p>
    <w:p w14:paraId="7F79F904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91852E" w14:textId="574B514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Ако пациентът подлежи на планова операция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антиагрегантният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ефект е временно нежелан, приемът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трябва да се преустанови 7 дни преди хирургичната интервенция. Пациентите трябва да информират лекарите и стоматолозите, че приемат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преди насрочване на хирургична манипулация и преди приемането на нов лекарствен продукт.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удължава времето на кървене и трябва да се прилага с внимание при пациенти, които имат нарушения със склонност към кървене (специално стомашно-чревни и вътреочни).</w:t>
      </w:r>
    </w:p>
    <w:p w14:paraId="36A4472D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AEFDF2" w14:textId="409887F3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Пациентите трябва да бъдат уведомени, че при лечение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(самостоятелно или в комбинация с АСК), времето на кървенето е по-продължително от обичайното, а те от своя страна трябва да информират своя лекар за всяко необичайно кървене (локализация или продължителност).</w:t>
      </w:r>
    </w:p>
    <w:p w14:paraId="08159F9A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650E448" w14:textId="1213439D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Тромботична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тромбоцитопенична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пурпура (ТТП)</w:t>
      </w:r>
    </w:p>
    <w:p w14:paraId="1852A747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Случаи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тромботична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тромбоцитопенична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пурпура (ТТР) са докладвани много рядко след употреба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понякога и след краткотрайно лечение. Тя се характеризира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микроангиопатична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анемия, придружена с неврологични нарушения, бъбречна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дисфунция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фебрилитет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ТТР е потенциално фатално състояние, изискващо незабавно лечение, включително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плазмафереза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7015DEDA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E811DB" w14:textId="6F06B9E1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Придобита хемофилия</w:t>
      </w:r>
    </w:p>
    <w:p w14:paraId="2301C7D7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lastRenderedPageBreak/>
        <w:t xml:space="preserve">Придобита хемофилия е докладвана след употреба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В случай на потвърдено удължаване на активираното парциално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тромбопластиново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време (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аРТТ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) с или без кървене, трябва да се мисли за придобита хемофилия. Пациенти с потвърдена диагноза на придобита хемофилия трябва да се лекуват от специалисти, 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трябва да се спре.</w:t>
      </w:r>
    </w:p>
    <w:p w14:paraId="4EFD85E6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65C4F4F" w14:textId="031EC879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Наскоро прекаран исхемичен инсулт</w:t>
      </w:r>
    </w:p>
    <w:p w14:paraId="6E5B591F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Поради липса на данни,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 се препоръчва през първите 7 дни след остър исхемичен инсулт.</w:t>
      </w:r>
    </w:p>
    <w:p w14:paraId="010A4C53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176E8C8" w14:textId="14AE62A0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Цитохром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Р450 2С19 </w:t>
      </w:r>
      <w:r w:rsidRPr="0076594E">
        <w:rPr>
          <w:rFonts w:eastAsia="Times New Roman" w:cs="Arial"/>
          <w:i/>
          <w:iCs/>
          <w:color w:val="000000"/>
          <w:lang w:val="en-US"/>
        </w:rPr>
        <w:t>(CYP2C19)</w:t>
      </w:r>
    </w:p>
    <w:p w14:paraId="09CD1780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color w:val="000000"/>
          <w:lang w:eastAsia="bg-BG"/>
        </w:rPr>
        <w:t>Фармакогенетика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: При пациентите, които са слаби </w:t>
      </w:r>
      <w:r w:rsidRPr="0076594E">
        <w:rPr>
          <w:rFonts w:eastAsia="Times New Roman" w:cs="Arial"/>
          <w:color w:val="000000"/>
          <w:lang w:val="en-US"/>
        </w:rPr>
        <w:t xml:space="preserve">CYP2C19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в препоръчителните дози образува по-малко от активния метаболит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има по- малък ефект върху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функция. Съществуват тестове за идентифициране на </w:t>
      </w:r>
      <w:r w:rsidRPr="0076594E">
        <w:rPr>
          <w:rFonts w:eastAsia="Times New Roman" w:cs="Arial"/>
          <w:color w:val="000000"/>
          <w:lang w:val="en-US"/>
        </w:rPr>
        <w:t>CYP2C</w:t>
      </w:r>
      <w:r w:rsidRPr="0076594E">
        <w:rPr>
          <w:rFonts w:eastAsia="Times New Roman" w:cs="Arial"/>
          <w:color w:val="000000"/>
          <w:lang w:eastAsia="bg-BG"/>
        </w:rPr>
        <w:t>19 генотипа на пациента.</w:t>
      </w:r>
    </w:p>
    <w:p w14:paraId="0AA26FF9" w14:textId="77777777" w:rsidR="0076594E" w:rsidRPr="0076594E" w:rsidRDefault="0076594E" w:rsidP="0076594E">
      <w:pPr>
        <w:rPr>
          <w:rFonts w:eastAsia="Times New Roman" w:cs="Arial"/>
          <w:color w:val="000000"/>
          <w:lang w:eastAsia="bg-BG"/>
        </w:rPr>
      </w:pPr>
    </w:p>
    <w:p w14:paraId="156B877E" w14:textId="792E91F5" w:rsidR="0076594E" w:rsidRPr="0076594E" w:rsidRDefault="0076594E" w:rsidP="0076594E">
      <w:pPr>
        <w:rPr>
          <w:rFonts w:cs="Arial"/>
        </w:rPr>
      </w:pPr>
      <w:r w:rsidRPr="0076594E">
        <w:rPr>
          <w:rFonts w:eastAsia="Times New Roman" w:cs="Arial"/>
          <w:color w:val="000000"/>
          <w:lang w:eastAsia="bg-BG"/>
        </w:rPr>
        <w:t xml:space="preserve">Тъй като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до неговия активен метаболит отчасти чрез </w:t>
      </w:r>
      <w:r w:rsidRPr="0076594E">
        <w:rPr>
          <w:rFonts w:eastAsia="Times New Roman" w:cs="Arial"/>
          <w:color w:val="000000"/>
          <w:lang w:val="en-US"/>
        </w:rPr>
        <w:t xml:space="preserve">CYP2C19, </w:t>
      </w:r>
      <w:r w:rsidRPr="0076594E">
        <w:rPr>
          <w:rFonts w:eastAsia="Times New Roman" w:cs="Arial"/>
          <w:color w:val="000000"/>
          <w:lang w:eastAsia="bg-BG"/>
        </w:rPr>
        <w:t xml:space="preserve">употребата на лекарствени продукти, които инхибират активността на този ензим, би следвало да намали нивото на активния метаболит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респективно неговата клинична ефективност. Клиничната значимост на това взаимодействие е неизяснена. Като предпазна мярка не трябва да се използват едновременно силни или умерени </w:t>
      </w:r>
      <w:r w:rsidRPr="0076594E">
        <w:rPr>
          <w:rFonts w:eastAsia="Times New Roman" w:cs="Arial"/>
          <w:color w:val="000000"/>
          <w:lang w:val="en-US"/>
        </w:rPr>
        <w:t xml:space="preserve">CYP </w:t>
      </w:r>
      <w:r w:rsidRPr="0076594E">
        <w:rPr>
          <w:rFonts w:eastAsia="Times New Roman" w:cs="Arial"/>
          <w:color w:val="000000"/>
          <w:lang w:eastAsia="bg-BG"/>
        </w:rPr>
        <w:t xml:space="preserve">2С19 инхибитора (вж. точка 4.5 за списък на </w:t>
      </w:r>
      <w:r w:rsidRPr="0076594E">
        <w:rPr>
          <w:rFonts w:eastAsia="Times New Roman" w:cs="Arial"/>
          <w:color w:val="000000"/>
          <w:lang w:val="en-US"/>
        </w:rPr>
        <w:t xml:space="preserve">CYP2C19 </w:t>
      </w:r>
      <w:r w:rsidRPr="0076594E">
        <w:rPr>
          <w:rFonts w:eastAsia="Times New Roman" w:cs="Arial"/>
          <w:color w:val="000000"/>
          <w:lang w:eastAsia="bg-BG"/>
        </w:rPr>
        <w:t>инхибитори, вж. също точка 5.2).</w:t>
      </w:r>
    </w:p>
    <w:p w14:paraId="558FC32A" w14:textId="0DE6A1BF" w:rsidR="0076594E" w:rsidRDefault="0076594E" w:rsidP="0076594E"/>
    <w:p w14:paraId="39CB0C95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 xml:space="preserve">Субстрати на </w:t>
      </w:r>
      <w:r w:rsidRPr="0076594E">
        <w:rPr>
          <w:rFonts w:eastAsia="Times New Roman" w:cs="Arial"/>
          <w:i/>
          <w:iCs/>
          <w:color w:val="000000"/>
          <w:lang w:val="en-US"/>
        </w:rPr>
        <w:t>CYP2C8</w:t>
      </w:r>
    </w:p>
    <w:p w14:paraId="3DAE7DFB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Необходимо е повишено внимание при пациенти, лекувани едновременно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лекарствени продукти, субстрати на </w:t>
      </w:r>
      <w:r w:rsidRPr="0076594E">
        <w:rPr>
          <w:rFonts w:eastAsia="Times New Roman" w:cs="Arial"/>
          <w:color w:val="000000"/>
          <w:lang w:val="en-US"/>
        </w:rPr>
        <w:t xml:space="preserve">CYP2C8 </w:t>
      </w:r>
      <w:r w:rsidRPr="0076594E">
        <w:rPr>
          <w:rFonts w:eastAsia="Times New Roman" w:cs="Arial"/>
          <w:color w:val="000000"/>
          <w:lang w:eastAsia="bg-BG"/>
        </w:rPr>
        <w:t>(вж. точка 4.5).</w:t>
      </w:r>
    </w:p>
    <w:p w14:paraId="7E134624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A23D575" w14:textId="63102975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 xml:space="preserve">Кръстосани реакции между </w:t>
      </w: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тиенопиридините</w:t>
      </w:r>
      <w:proofErr w:type="spellEnd"/>
    </w:p>
    <w:p w14:paraId="7BC0CA15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При пациентите трябва да се снеме анамнеза за свръхчувствителност към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тиенопиридини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(като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тиклопидин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прасугрел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), тъй като се съобщава за кръстосана реактивност между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тиенопиридините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(вж. точка 4.8).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Тиенопиридините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могат да предизвикат леки до тежки алергични реакции като обрив, ангиоедем или хематологични кръстосани реакции като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Пациенти, които са развили предишна алергична реакция и/или хематологична реакция към един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тиенопиридин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имат повишен риск от развитие на същата или друга реакция към друг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тиенопиридин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При пациенти с известна алергия към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тиенопиридините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се препоръчва мониторинг за признаците на свръхчувствителност.</w:t>
      </w:r>
    </w:p>
    <w:p w14:paraId="41011F07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E158D01" w14:textId="2DB62DA0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0BCF1F21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Терапевтичният опит при пациенти с бъбречни нарушения е ограничен. Следователно при такива болни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се прилага с повишено внимание (вж. точка 4.2).</w:t>
      </w:r>
    </w:p>
    <w:p w14:paraId="446D3C7C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3E9FE92" w14:textId="2947D96F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62D7E8C0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Опитът е ограничен при болни с умерено изразено чернодробно заболяване, които могат да имат хеморагична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диатеза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По тази причина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трябва се прилага с повишено внимание при тази популация (вж. точка 4.2).</w:t>
      </w:r>
    </w:p>
    <w:p w14:paraId="0958A894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08F30E" w14:textId="248B26B5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Помощни вещества</w:t>
      </w:r>
    </w:p>
    <w:p w14:paraId="426129BE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color w:val="000000"/>
          <w:lang w:eastAsia="bg-BG"/>
        </w:rPr>
        <w:lastRenderedPageBreak/>
        <w:t>Глопенел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съдържа лактоза. Пациенти с редки наследствени проблеми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непоносимост,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лактазна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недостатъчност на </w:t>
      </w:r>
      <w:r w:rsidRPr="0076594E">
        <w:rPr>
          <w:rFonts w:eastAsia="Times New Roman" w:cs="Arial"/>
          <w:color w:val="000000"/>
          <w:lang w:val="en-US"/>
        </w:rPr>
        <w:t xml:space="preserve">Lapp </w:t>
      </w:r>
      <w:r w:rsidRPr="0076594E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малабсорбция, не трябва да приемат този лекарствен продукт.</w:t>
      </w:r>
    </w:p>
    <w:p w14:paraId="63D7DDCC" w14:textId="77777777" w:rsidR="0076594E" w:rsidRPr="0076594E" w:rsidRDefault="0076594E" w:rsidP="0076594E"/>
    <w:p w14:paraId="5F32CF68" w14:textId="139E1361" w:rsidR="008E27B1" w:rsidRDefault="002C50EE" w:rsidP="003E00C0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325A2C1B" w14:textId="485AE6AB" w:rsidR="0076594E" w:rsidRDefault="0076594E" w:rsidP="0076594E"/>
    <w:p w14:paraId="141BD103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Лекарствени продукти, свързани с риск от кървене:</w:t>
      </w:r>
      <w:r w:rsidRPr="0076594E">
        <w:rPr>
          <w:rFonts w:eastAsia="Times New Roman" w:cs="Arial"/>
          <w:color w:val="000000"/>
          <w:lang w:eastAsia="bg-BG"/>
        </w:rPr>
        <w:t xml:space="preserve"> има повишен риск от кървене поради потенциален адитивен ефект. Едновременното приложение на лекарствени продукти, свързани с риск от кървене, трябва да се предприема с повишено внимание (вж. точка 4.4).</w:t>
      </w:r>
    </w:p>
    <w:p w14:paraId="390EF3E9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2E24BA" w14:textId="7F4C9C23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Перорални антикоагуланти:</w:t>
      </w:r>
      <w:r w:rsidRPr="0076594E">
        <w:rPr>
          <w:rFonts w:eastAsia="Times New Roman" w:cs="Arial"/>
          <w:color w:val="000000"/>
          <w:lang w:eastAsia="bg-BG"/>
        </w:rPr>
        <w:t xml:space="preserve"> едновременното приложение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 перорални антикоагуланти не се препоръчва, тъй като може да увеличи интензивността на кървене (вж. точка 4.4). Въпреки, че приложението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75 </w:t>
      </w:r>
      <w:r w:rsidRPr="0076594E">
        <w:rPr>
          <w:rFonts w:eastAsia="Times New Roman" w:cs="Arial"/>
          <w:color w:val="000000"/>
          <w:lang w:val="en-US"/>
        </w:rPr>
        <w:t>mg</w:t>
      </w:r>
      <w:r w:rsidRPr="0076594E">
        <w:rPr>
          <w:rFonts w:eastAsia="Times New Roman" w:cs="Arial"/>
          <w:color w:val="000000"/>
          <w:lang w:eastAsia="bg-BG"/>
        </w:rPr>
        <w:t xml:space="preserve">/дневно не променя фармакокинетиката на </w:t>
      </w:r>
      <w:r w:rsidRPr="0076594E">
        <w:rPr>
          <w:rFonts w:eastAsia="Times New Roman" w:cs="Arial"/>
          <w:color w:val="000000"/>
          <w:lang w:val="en-US"/>
        </w:rPr>
        <w:t>S</w:t>
      </w:r>
      <w:r w:rsidRPr="0076594E">
        <w:rPr>
          <w:rFonts w:eastAsia="Times New Roman" w:cs="Arial"/>
          <w:color w:val="000000"/>
          <w:lang w:eastAsia="bg-BG"/>
        </w:rPr>
        <w:t>-</w:t>
      </w:r>
      <w:proofErr w:type="spellStart"/>
      <w:r w:rsidRPr="0076594E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Международното Нормализирано Съотношение </w:t>
      </w:r>
      <w:r w:rsidRPr="0076594E">
        <w:rPr>
          <w:rFonts w:eastAsia="Times New Roman" w:cs="Arial"/>
          <w:color w:val="000000"/>
          <w:lang w:val="en-US"/>
        </w:rPr>
        <w:t xml:space="preserve">(INR) </w:t>
      </w:r>
      <w:r w:rsidRPr="0076594E">
        <w:rPr>
          <w:rFonts w:eastAsia="Times New Roman" w:cs="Arial"/>
          <w:color w:val="000000"/>
          <w:lang w:eastAsia="bg-BG"/>
        </w:rPr>
        <w:t xml:space="preserve">при пациенти, получаващи продължителна терапия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едновременното приложение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повишава риска от кървене поради независими ефекти върху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хемостазата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2CF2F277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43B5BC" w14:textId="63AADD26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Гликопротеин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76594E">
        <w:rPr>
          <w:rFonts w:eastAsia="Times New Roman" w:cs="Arial"/>
          <w:i/>
          <w:iCs/>
          <w:color w:val="000000"/>
          <w:lang w:val="en-US"/>
        </w:rPr>
        <w:t>IIb</w:t>
      </w:r>
      <w:r w:rsidRPr="0076594E">
        <w:rPr>
          <w:rFonts w:eastAsia="Times New Roman" w:cs="Arial"/>
          <w:i/>
          <w:iCs/>
          <w:color w:val="000000"/>
          <w:lang w:eastAsia="bg-BG"/>
        </w:rPr>
        <w:t>/</w:t>
      </w:r>
      <w:r w:rsidRPr="0076594E">
        <w:rPr>
          <w:rFonts w:eastAsia="Times New Roman" w:cs="Arial"/>
          <w:i/>
          <w:iCs/>
          <w:color w:val="000000"/>
          <w:lang w:val="en-US"/>
        </w:rPr>
        <w:t xml:space="preserve">IIIa </w:t>
      </w:r>
      <w:r w:rsidRPr="0076594E">
        <w:rPr>
          <w:rFonts w:eastAsia="Times New Roman" w:cs="Arial"/>
          <w:i/>
          <w:iCs/>
          <w:color w:val="000000"/>
          <w:lang w:eastAsia="bg-BG"/>
        </w:rPr>
        <w:t>инхибитори:</w:t>
      </w:r>
      <w:r w:rsidRPr="0076594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трябва се прилага с повишено внимание при пациенти, които приемат едновременно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гликопротеин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r w:rsidRPr="0076594E">
        <w:rPr>
          <w:rFonts w:eastAsia="Times New Roman" w:cs="Arial"/>
          <w:i/>
          <w:iCs/>
          <w:color w:val="000000"/>
          <w:lang w:val="en-US"/>
        </w:rPr>
        <w:t>IIb</w:t>
      </w:r>
      <w:r w:rsidRPr="0076594E">
        <w:rPr>
          <w:rFonts w:eastAsia="Times New Roman" w:cs="Arial"/>
          <w:i/>
          <w:iCs/>
          <w:color w:val="000000"/>
          <w:lang w:eastAsia="bg-BG"/>
        </w:rPr>
        <w:t>/</w:t>
      </w:r>
      <w:r w:rsidRPr="0076594E">
        <w:rPr>
          <w:rFonts w:eastAsia="Times New Roman" w:cs="Arial"/>
          <w:i/>
          <w:iCs/>
          <w:color w:val="000000"/>
          <w:lang w:val="en-US"/>
        </w:rPr>
        <w:t>IIIa</w:t>
      </w:r>
      <w:r w:rsidRPr="0076594E">
        <w:rPr>
          <w:rFonts w:eastAsia="Times New Roman" w:cs="Arial"/>
          <w:color w:val="000000"/>
          <w:lang w:val="en-US"/>
        </w:rPr>
        <w:t xml:space="preserve"> </w:t>
      </w:r>
      <w:r w:rsidRPr="0076594E">
        <w:rPr>
          <w:rFonts w:eastAsia="Times New Roman" w:cs="Arial"/>
          <w:color w:val="000000"/>
          <w:lang w:eastAsia="bg-BG"/>
        </w:rPr>
        <w:t>инхибитори (вж. точка 4.4).</w:t>
      </w:r>
    </w:p>
    <w:p w14:paraId="119386E6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9FAFAE" w14:textId="58640EAA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Ацетилсалицилова киселина (АСК):</w:t>
      </w:r>
      <w:r w:rsidRPr="0076594E">
        <w:rPr>
          <w:rFonts w:eastAsia="Times New Roman" w:cs="Arial"/>
          <w:color w:val="000000"/>
          <w:lang w:eastAsia="bg-BG"/>
        </w:rPr>
        <w:t xml:space="preserve"> АСК не променя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клопидогрел-медиираната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инхибиция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на АДФ-индуцираната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агрегация, 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усилва ефекта на АСК върху колаген-индуцираната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агрегация. Едновременното приложение на 500 </w:t>
      </w:r>
      <w:r w:rsidRPr="0076594E">
        <w:rPr>
          <w:rFonts w:eastAsia="Times New Roman" w:cs="Arial"/>
          <w:color w:val="000000"/>
          <w:lang w:val="en-US"/>
        </w:rPr>
        <w:t xml:space="preserve">mg </w:t>
      </w:r>
      <w:r w:rsidRPr="0076594E">
        <w:rPr>
          <w:rFonts w:eastAsia="Times New Roman" w:cs="Arial"/>
          <w:color w:val="000000"/>
          <w:lang w:eastAsia="bg-BG"/>
        </w:rPr>
        <w:t xml:space="preserve">АСК двукратно дневно за един ден обаче не удължава значително времето на кървене, предизвикано от лечението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Възможно 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фармакодинамично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взаимодействие между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АСК,което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увеличава риска от кървене. Следователно, едновременната им употреба следва да се прилага с повишено внимание (вж. точка 4.4). Въпреки това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АСК са прилагани едновременно до една година (вж. точка 5.1).</w:t>
      </w:r>
    </w:p>
    <w:p w14:paraId="016D47B1" w14:textId="77777777" w:rsidR="0076594E" w:rsidRPr="0076594E" w:rsidRDefault="0076594E" w:rsidP="0076594E">
      <w:pPr>
        <w:rPr>
          <w:rFonts w:eastAsia="Times New Roman" w:cs="Arial"/>
          <w:i/>
          <w:iCs/>
          <w:color w:val="000000"/>
          <w:lang w:eastAsia="bg-BG"/>
        </w:rPr>
      </w:pPr>
    </w:p>
    <w:p w14:paraId="40406ECB" w14:textId="77777777" w:rsidR="0076594E" w:rsidRPr="0076594E" w:rsidRDefault="0076594E" w:rsidP="0076594E">
      <w:pPr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Хепарин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>:</w:t>
      </w:r>
      <w:r w:rsidRPr="0076594E">
        <w:rPr>
          <w:rFonts w:eastAsia="Times New Roman" w:cs="Arial"/>
          <w:color w:val="000000"/>
          <w:lang w:eastAsia="bg-BG"/>
        </w:rPr>
        <w:t xml:space="preserve"> в клинично проучване при здрави доброволци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 налага промяна на дозата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хепарина</w:t>
      </w:r>
      <w:proofErr w:type="spellEnd"/>
      <w:r w:rsidRPr="0076594E">
        <w:rPr>
          <w:rFonts w:eastAsia="Times New Roman" w:cs="Arial"/>
          <w:color w:val="000000"/>
          <w:lang w:eastAsia="bg-BG"/>
        </w:rPr>
        <w:t>, нито променя ефекта му върху коагулацията. Едновременното приложение</w:t>
      </w:r>
      <w:r w:rsidRPr="0076594E">
        <w:rPr>
          <w:rFonts w:eastAsia="Times New Roman" w:cs="Arial"/>
          <w:color w:val="000000"/>
          <w:lang w:eastAsia="bg-BG"/>
        </w:rPr>
        <w:t xml:space="preserve"> </w:t>
      </w:r>
      <w:r w:rsidRPr="0076594E">
        <w:rPr>
          <w:rFonts w:eastAsia="Times New Roman" w:cs="Arial"/>
          <w:color w:val="000000"/>
          <w:lang w:eastAsia="bg-BG"/>
        </w:rPr>
        <w:t xml:space="preserve">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 е довело до ефект върху потискането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агрегация, индуцирано от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Възможно 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фармакодинамично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взаимодействие между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>, което увеличава риска от кървене. Следователно, едновременната им употреба трябва да става с повишено внимание (вж. точка 4.4).</w:t>
      </w:r>
    </w:p>
    <w:p w14:paraId="6D152831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E737FE" w14:textId="6C35F56C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Тромболитици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>:</w:t>
      </w:r>
      <w:r w:rsidRPr="0076594E">
        <w:rPr>
          <w:rFonts w:eastAsia="Times New Roman" w:cs="Arial"/>
          <w:color w:val="000000"/>
          <w:lang w:eastAsia="bg-BG"/>
        </w:rPr>
        <w:t xml:space="preserve"> безопасността на едновременно прилагане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фибрин или не- фибрин специфични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тромболитични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агенти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е проучена при пациенти с остър миокарден инфаркт. Въздействието върху клинично значимото кървене е било сходно с това, наблюдавано при едновременно приложение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тромболитични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агенти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 АСК (вж. точка 4.8).</w:t>
      </w:r>
    </w:p>
    <w:p w14:paraId="66D3F39F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5BC15E" w14:textId="633E446D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Нестероидни противовъзпалителни средства (НСПВС):</w:t>
      </w:r>
      <w:r w:rsidRPr="0076594E">
        <w:rPr>
          <w:rFonts w:eastAsia="Times New Roman" w:cs="Arial"/>
          <w:color w:val="000000"/>
          <w:lang w:eastAsia="bg-BG"/>
        </w:rPr>
        <w:t xml:space="preserve"> в клинично проучване, проведено при здрави доброволци, едновременното приложение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lastRenderedPageBreak/>
        <w:t>напроксен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повишава окултните стомашно-чревни кръвоизливи. Поради липса на проучвания за взаимодействия с други НСПВС обаче, понастоящем не е ясно дали има повишен риск от стомашно-чревно кървене с всички НСПВС. Следователно НСПВС, включително СОХ-2 инхибитори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>, трябва да се прилагат едновременно с повишено внимание (вж. точка 4.4).</w:t>
      </w:r>
    </w:p>
    <w:p w14:paraId="6E0F7D13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1638E7" w14:textId="32FEA512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 xml:space="preserve">Селективни инхибитори на обратния </w:t>
      </w: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захват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на </w:t>
      </w: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серотонина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76594E">
        <w:rPr>
          <w:rFonts w:eastAsia="Times New Roman" w:cs="Arial"/>
          <w:i/>
          <w:iCs/>
          <w:color w:val="000000"/>
          <w:lang w:val="en-US"/>
        </w:rPr>
        <w:t>(SSRIs):</w:t>
      </w:r>
      <w:r w:rsidRPr="0076594E">
        <w:rPr>
          <w:rFonts w:eastAsia="Times New Roman" w:cs="Arial"/>
          <w:color w:val="000000"/>
          <w:lang w:val="en-US"/>
        </w:rPr>
        <w:t xml:space="preserve"> </w:t>
      </w:r>
      <w:r w:rsidRPr="0076594E">
        <w:rPr>
          <w:rFonts w:eastAsia="Times New Roman" w:cs="Arial"/>
          <w:color w:val="000000"/>
          <w:lang w:eastAsia="bg-BG"/>
        </w:rPr>
        <w:t xml:space="preserve">тъй като </w:t>
      </w:r>
      <w:r w:rsidRPr="0076594E">
        <w:rPr>
          <w:rFonts w:eastAsia="Times New Roman" w:cs="Arial"/>
          <w:color w:val="000000"/>
          <w:lang w:val="en-US"/>
        </w:rPr>
        <w:t xml:space="preserve">SSRIs </w:t>
      </w:r>
      <w:r w:rsidRPr="0076594E">
        <w:rPr>
          <w:rFonts w:eastAsia="Times New Roman" w:cs="Arial"/>
          <w:color w:val="000000"/>
          <w:lang w:eastAsia="bg-BG"/>
        </w:rPr>
        <w:t xml:space="preserve">повлияват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активация и повишават риска от кървене, едновременното приложение на </w:t>
      </w:r>
      <w:r w:rsidRPr="0076594E">
        <w:rPr>
          <w:rFonts w:eastAsia="Times New Roman" w:cs="Arial"/>
          <w:color w:val="000000"/>
          <w:lang w:val="en-US"/>
        </w:rPr>
        <w:t xml:space="preserve">SSRIs </w:t>
      </w:r>
      <w:r w:rsidRPr="0076594E">
        <w:rPr>
          <w:rFonts w:eastAsia="Times New Roman" w:cs="Arial"/>
          <w:color w:val="000000"/>
          <w:lang w:eastAsia="bg-BG"/>
        </w:rPr>
        <w:t xml:space="preserve">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трябва да става с повишено внимание.</w:t>
      </w:r>
    </w:p>
    <w:p w14:paraId="52E8407C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10F7D2" w14:textId="0CFFF860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Друго съпътстващо лечение:</w:t>
      </w:r>
      <w:r w:rsidRPr="0076594E">
        <w:rPr>
          <w:rFonts w:eastAsia="Times New Roman" w:cs="Arial"/>
          <w:color w:val="000000"/>
          <w:lang w:eastAsia="bg-BG"/>
        </w:rPr>
        <w:t xml:space="preserve"> тъй като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до неговия активен метаболит </w:t>
      </w:r>
    </w:p>
    <w:p w14:paraId="1191A2CE" w14:textId="10E74363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частично чрез </w:t>
      </w:r>
      <w:r w:rsidRPr="0076594E">
        <w:rPr>
          <w:rFonts w:eastAsia="Times New Roman" w:cs="Arial"/>
          <w:color w:val="000000"/>
          <w:lang w:val="en-US"/>
        </w:rPr>
        <w:t xml:space="preserve">CYP2C19, </w:t>
      </w:r>
      <w:r w:rsidRPr="0076594E">
        <w:rPr>
          <w:rFonts w:eastAsia="Times New Roman" w:cs="Arial"/>
          <w:color w:val="000000"/>
          <w:lang w:eastAsia="bg-BG"/>
        </w:rPr>
        <w:t xml:space="preserve">употребата на лекарствени продукти, които инхибират активността на този ензим, би следвало да намали нивото на активния метаболит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респективно неговата клинична ефективност. Клиничната значимост на това взаимодействие е неизяснена. Като предпазна мярка не трябва да се използват едновременно силни или умерени </w:t>
      </w:r>
      <w:r w:rsidRPr="0076594E">
        <w:rPr>
          <w:rFonts w:eastAsia="Times New Roman" w:cs="Arial"/>
          <w:color w:val="000000"/>
          <w:lang w:val="en-US"/>
        </w:rPr>
        <w:t xml:space="preserve">CYP2C19 </w:t>
      </w:r>
      <w:r w:rsidRPr="0076594E">
        <w:rPr>
          <w:rFonts w:eastAsia="Times New Roman" w:cs="Arial"/>
          <w:color w:val="000000"/>
          <w:lang w:eastAsia="bg-BG"/>
        </w:rPr>
        <w:t>инхибитори (вж. точки 4.4 и 5.2).</w:t>
      </w:r>
    </w:p>
    <w:p w14:paraId="7F483A08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1F64BF" w14:textId="40E72A22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Лекарствени продукти, които са силни или умерени </w:t>
      </w:r>
      <w:r w:rsidRPr="0076594E">
        <w:rPr>
          <w:rFonts w:eastAsia="Times New Roman" w:cs="Arial"/>
          <w:color w:val="000000"/>
          <w:lang w:val="en-US"/>
        </w:rPr>
        <w:t xml:space="preserve">CYP2C19 </w:t>
      </w:r>
      <w:r w:rsidRPr="0076594E">
        <w:rPr>
          <w:rFonts w:eastAsia="Times New Roman" w:cs="Arial"/>
          <w:color w:val="000000"/>
          <w:lang w:eastAsia="bg-BG"/>
        </w:rPr>
        <w:t xml:space="preserve">инхибитори, включително напр.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омепразол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езомепразол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флувоксамин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флуоксетин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моклобемид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вориконазол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флуконазол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тиклопидин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карбамазепин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ефавиренц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43CD9558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E68B7CC" w14:textId="3E14ECCF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 xml:space="preserve">Инхибитори на </w:t>
      </w:r>
      <w:proofErr w:type="spellStart"/>
      <w:r w:rsidRPr="0076594E">
        <w:rPr>
          <w:rFonts w:eastAsia="Times New Roman" w:cs="Arial"/>
          <w:i/>
          <w:iCs/>
          <w:color w:val="000000"/>
          <w:lang w:eastAsia="bg-BG"/>
        </w:rPr>
        <w:t>протонната</w:t>
      </w:r>
      <w:proofErr w:type="spellEnd"/>
      <w:r w:rsidRPr="0076594E">
        <w:rPr>
          <w:rFonts w:eastAsia="Times New Roman" w:cs="Arial"/>
          <w:i/>
          <w:iCs/>
          <w:color w:val="000000"/>
          <w:lang w:eastAsia="bg-BG"/>
        </w:rPr>
        <w:t xml:space="preserve"> помпа:</w:t>
      </w:r>
    </w:p>
    <w:p w14:paraId="325FE0BB" w14:textId="77777777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6594E">
        <w:rPr>
          <w:rFonts w:eastAsia="Times New Roman" w:cs="Arial"/>
          <w:color w:val="000000"/>
          <w:lang w:eastAsia="bg-BG"/>
        </w:rPr>
        <w:t>Омепразол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80 </w:t>
      </w:r>
      <w:r w:rsidRPr="0076594E">
        <w:rPr>
          <w:rFonts w:eastAsia="Times New Roman" w:cs="Arial"/>
          <w:color w:val="000000"/>
          <w:lang w:val="en-US"/>
        </w:rPr>
        <w:t xml:space="preserve">mg </w:t>
      </w:r>
      <w:r w:rsidRPr="0076594E">
        <w:rPr>
          <w:rFonts w:eastAsia="Times New Roman" w:cs="Arial"/>
          <w:color w:val="000000"/>
          <w:lang w:eastAsia="bg-BG"/>
        </w:rPr>
        <w:t xml:space="preserve">веднъж дневно, приложен по едно и също време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с интервал от 12 часа между приложенията на двете лекарства, намалява експозицията на активния метаболит с 45% (натоварваща доза) и 40% (поддържаща доза). Намалението е свързано с 39% (натоварваща доза) и 21% (поддържаща доза) понижаване на инхибирането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агрегация. Очаква се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езомепразол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да показва подобно взаимодействие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78505D37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3D34AF" w14:textId="714ED50E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Съобщавани са противоречиви данни от клиничните заключения за това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(ФК)/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фармакодинамично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(ФД) взаимодействие от гледна точка на значими сърдечно-съдови събития и от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обсервационни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от клинични проучвания. Като предпазна мярка не трябва да се използват едновременно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омепразол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езомепразол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24873026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1AF3BD" w14:textId="6281B199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Наблюдавано е по-слабо изразено понижение на метаболитната експозиция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пантопразол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ланзопразол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Плазмените концентрации на активния метаболит са понижени с 20% (натоварваща доза) и с 14% (поддържаща доза) по време на съпътстващо лечение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пантопразол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80 </w:t>
      </w:r>
      <w:r w:rsidRPr="0076594E">
        <w:rPr>
          <w:rFonts w:eastAsia="Times New Roman" w:cs="Arial"/>
          <w:color w:val="000000"/>
          <w:lang w:val="en-US"/>
        </w:rPr>
        <w:t xml:space="preserve">mg </w:t>
      </w:r>
      <w:r w:rsidRPr="0076594E">
        <w:rPr>
          <w:rFonts w:eastAsia="Times New Roman" w:cs="Arial"/>
          <w:color w:val="000000"/>
          <w:lang w:eastAsia="bg-BG"/>
        </w:rPr>
        <w:t xml:space="preserve">веднъж дневно. Това е свързано с понижение на средното инхибиране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агрегация с 15% и 11% съответно. Тези резултати показват, че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може да бъде прилаган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пантопразол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1410C5D1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059584" w14:textId="29A402EB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>Няма доказателства, че други лекарствени продукти, намаляващи стомашната киселинност като</w:t>
      </w:r>
    </w:p>
    <w:p w14:paraId="5DA88043" w14:textId="7F89D39C" w:rsidR="0076594E" w:rsidRPr="0076594E" w:rsidRDefault="0076594E" w:rsidP="0076594E">
      <w:pPr>
        <w:rPr>
          <w:rFonts w:eastAsia="Times New Roman" w:cs="Arial"/>
          <w:color w:val="000000"/>
          <w:lang w:eastAsia="bg-BG"/>
        </w:rPr>
      </w:pPr>
      <w:r w:rsidRPr="0076594E">
        <w:rPr>
          <w:rFonts w:eastAsia="Times New Roman" w:cs="Arial"/>
          <w:color w:val="000000"/>
          <w:lang w:eastAsia="bg-BG"/>
        </w:rPr>
        <w:t xml:space="preserve">Н2-блокерите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повлияват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антитромбоцитната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активност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4BC07F93" w14:textId="77777777" w:rsidR="0076594E" w:rsidRPr="0076594E" w:rsidRDefault="0076594E" w:rsidP="0076594E">
      <w:pPr>
        <w:rPr>
          <w:rFonts w:eastAsia="Times New Roman" w:cs="Arial"/>
          <w:color w:val="000000"/>
          <w:lang w:eastAsia="bg-BG"/>
        </w:rPr>
      </w:pPr>
    </w:p>
    <w:p w14:paraId="336BE8C9" w14:textId="244D7CFB" w:rsidR="0076594E" w:rsidRPr="0076594E" w:rsidRDefault="0076594E" w:rsidP="0076594E">
      <w:pPr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>Други лекарствени продукти:</w:t>
      </w:r>
      <w:r w:rsidRPr="0076594E">
        <w:rPr>
          <w:rFonts w:eastAsia="Times New Roman" w:cs="Arial"/>
          <w:color w:val="000000"/>
          <w:lang w:eastAsia="bg-BG"/>
        </w:rPr>
        <w:t xml:space="preserve"> За проучване на потенциални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фармакодинамични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взаимодействия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други съпътстващи лекарствени продукти, са проведени значителен брой клинични изпитвания. Не са наблюдавани </w:t>
      </w:r>
      <w:r w:rsidRPr="0076594E">
        <w:rPr>
          <w:rFonts w:eastAsia="Times New Roman" w:cs="Arial"/>
          <w:color w:val="000000"/>
          <w:lang w:eastAsia="bg-BG"/>
        </w:rPr>
        <w:lastRenderedPageBreak/>
        <w:t xml:space="preserve">клинично значими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фармакодинамични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взаимодействия, когато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е прилаган едновременно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нифедипин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или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нифедипин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заедно.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Фармакодинамичната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активност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 се повлиява значително при едновременно приложение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фенобарбитал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циметидин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естроген.</w:t>
      </w:r>
    </w:p>
    <w:p w14:paraId="1199DC42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CE2C54" w14:textId="56F50A52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Фармакокинетиката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теофилин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 се променя от едновременно прилагане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не променят степента на резорбция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38816463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876D07" w14:textId="614BEAF3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Данни от проучването </w:t>
      </w:r>
      <w:r w:rsidRPr="0076594E">
        <w:rPr>
          <w:rFonts w:eastAsia="Times New Roman" w:cs="Arial"/>
          <w:color w:val="000000"/>
          <w:lang w:val="en-US"/>
        </w:rPr>
        <w:t xml:space="preserve">CAPRIE </w:t>
      </w:r>
      <w:r w:rsidRPr="0076594E">
        <w:rPr>
          <w:rFonts w:eastAsia="Times New Roman" w:cs="Arial"/>
          <w:color w:val="000000"/>
          <w:lang w:eastAsia="bg-BG"/>
        </w:rPr>
        <w:t xml:space="preserve">показват, че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фенитоин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толбутамид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които се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от </w:t>
      </w:r>
      <w:r w:rsidRPr="0076594E">
        <w:rPr>
          <w:rFonts w:eastAsia="Times New Roman" w:cs="Arial"/>
          <w:color w:val="000000"/>
          <w:lang w:val="en-US"/>
        </w:rPr>
        <w:t xml:space="preserve">CYP2C9, </w:t>
      </w:r>
      <w:r w:rsidRPr="0076594E">
        <w:rPr>
          <w:rFonts w:eastAsia="Times New Roman" w:cs="Arial"/>
          <w:color w:val="000000"/>
          <w:lang w:eastAsia="bg-BG"/>
        </w:rPr>
        <w:t xml:space="preserve">безопасно могат да се прилагат успоредно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>.</w:t>
      </w:r>
    </w:p>
    <w:p w14:paraId="7A7478D1" w14:textId="77777777" w:rsidR="0076594E" w:rsidRPr="0076594E" w:rsidRDefault="0076594E" w:rsidP="0076594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B6E8F91" w14:textId="59ADC53C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 субстрати на </w:t>
      </w:r>
      <w:r w:rsidRPr="0076594E">
        <w:rPr>
          <w:rFonts w:eastAsia="Times New Roman" w:cs="Arial"/>
          <w:i/>
          <w:iCs/>
          <w:color w:val="000000"/>
          <w:lang w:val="en-US"/>
        </w:rPr>
        <w:t>CYP2C8:</w:t>
      </w:r>
      <w:r w:rsidRPr="0076594E">
        <w:rPr>
          <w:rFonts w:eastAsia="Times New Roman" w:cs="Arial"/>
          <w:color w:val="000000"/>
          <w:lang w:val="en-US"/>
        </w:rPr>
        <w:t xml:space="preserve"> </w:t>
      </w:r>
      <w:r w:rsidRPr="0076594E">
        <w:rPr>
          <w:rFonts w:eastAsia="Times New Roman" w:cs="Arial"/>
          <w:color w:val="000000"/>
          <w:lang w:eastAsia="bg-BG"/>
        </w:rPr>
        <w:t xml:space="preserve">Установено е, че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повишава плазмената концентрация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репаглинид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при здрави доброволци. Проучвания </w:t>
      </w:r>
      <w:r w:rsidRPr="0076594E">
        <w:rPr>
          <w:rFonts w:eastAsia="Times New Roman" w:cs="Arial"/>
          <w:i/>
          <w:iCs/>
          <w:color w:val="000000"/>
          <w:lang w:val="en-US"/>
        </w:rPr>
        <w:t>in vitro</w:t>
      </w:r>
      <w:r w:rsidRPr="0076594E">
        <w:rPr>
          <w:rFonts w:eastAsia="Times New Roman" w:cs="Arial"/>
          <w:color w:val="000000"/>
          <w:lang w:val="en-US"/>
        </w:rPr>
        <w:t xml:space="preserve"> </w:t>
      </w:r>
      <w:r w:rsidRPr="0076594E">
        <w:rPr>
          <w:rFonts w:eastAsia="Times New Roman" w:cs="Arial"/>
          <w:color w:val="000000"/>
          <w:lang w:eastAsia="bg-BG"/>
        </w:rPr>
        <w:t xml:space="preserve">показват, че се дължи на инхибиране на </w:t>
      </w:r>
      <w:r w:rsidRPr="0076594E">
        <w:rPr>
          <w:rFonts w:eastAsia="Times New Roman" w:cs="Arial"/>
          <w:color w:val="000000"/>
          <w:lang w:val="en-US"/>
        </w:rPr>
        <w:t xml:space="preserve">CYP2C8 </w:t>
      </w:r>
      <w:r w:rsidRPr="0076594E">
        <w:rPr>
          <w:rFonts w:eastAsia="Times New Roman" w:cs="Arial"/>
          <w:color w:val="000000"/>
          <w:lang w:eastAsia="bg-BG"/>
        </w:rPr>
        <w:t xml:space="preserve">от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глюкуронидния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метаболит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Поради риска от повишаване на плазмените концентрации, едновременното приложение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лекарства, които се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посредством </w:t>
      </w:r>
      <w:r w:rsidRPr="0076594E">
        <w:rPr>
          <w:rFonts w:eastAsia="Times New Roman" w:cs="Arial"/>
          <w:color w:val="000000"/>
          <w:lang w:val="en-US"/>
        </w:rPr>
        <w:t xml:space="preserve">CYP2C8 </w:t>
      </w:r>
      <w:r w:rsidRPr="0076594E">
        <w:rPr>
          <w:rFonts w:eastAsia="Times New Roman" w:cs="Arial"/>
          <w:color w:val="000000"/>
          <w:lang w:eastAsia="bg-BG"/>
        </w:rPr>
        <w:t xml:space="preserve">(напр.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репаглинид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паклитаксел</w:t>
      </w:r>
      <w:proofErr w:type="spellEnd"/>
      <w:r w:rsidRPr="0076594E">
        <w:rPr>
          <w:rFonts w:eastAsia="Times New Roman" w:cs="Arial"/>
          <w:color w:val="000000"/>
          <w:lang w:eastAsia="bg-BG"/>
        </w:rPr>
        <w:t>), трябва да се приемат с повишено внимание (вж. точка 4.4).</w:t>
      </w:r>
    </w:p>
    <w:p w14:paraId="223B580E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86886A" w14:textId="273E75D6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При инфектирани с </w:t>
      </w:r>
      <w:r w:rsidRPr="0076594E">
        <w:rPr>
          <w:rFonts w:eastAsia="Times New Roman" w:cs="Arial"/>
          <w:color w:val="000000"/>
          <w:lang w:val="en-US"/>
        </w:rPr>
        <w:t xml:space="preserve">HIV </w:t>
      </w:r>
      <w:r w:rsidRPr="0076594E">
        <w:rPr>
          <w:rFonts w:eastAsia="Times New Roman" w:cs="Arial"/>
          <w:color w:val="000000"/>
          <w:lang w:eastAsia="bg-BG"/>
        </w:rPr>
        <w:t xml:space="preserve">пациенти, лекувани с антиретровирусна терапия </w:t>
      </w:r>
      <w:r w:rsidRPr="0076594E">
        <w:rPr>
          <w:rFonts w:eastAsia="Times New Roman" w:cs="Arial"/>
          <w:color w:val="000000"/>
          <w:lang w:val="en-US"/>
        </w:rPr>
        <w:t xml:space="preserve">(APT), </w:t>
      </w:r>
      <w:r w:rsidRPr="0076594E">
        <w:rPr>
          <w:rFonts w:eastAsia="Times New Roman" w:cs="Arial"/>
          <w:color w:val="000000"/>
          <w:lang w:eastAsia="bg-BG"/>
        </w:rPr>
        <w:t xml:space="preserve">усилена с ритонавир или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кобицистат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е доказана значително по-ниска експозиция на активния метаболит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намалено инхибиране на агрегацията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Въпреки че клиничната значимост на тези находки е неясна, има спонтанни съобщения за инфектирани с </w:t>
      </w:r>
      <w:r w:rsidRPr="0076594E">
        <w:rPr>
          <w:rFonts w:eastAsia="Times New Roman" w:cs="Arial"/>
          <w:color w:val="000000"/>
          <w:lang w:val="en-US"/>
        </w:rPr>
        <w:t xml:space="preserve">HIV </w:t>
      </w:r>
      <w:r w:rsidRPr="0076594E">
        <w:rPr>
          <w:rFonts w:eastAsia="Times New Roman" w:cs="Arial"/>
          <w:color w:val="000000"/>
          <w:lang w:eastAsia="bg-BG"/>
        </w:rPr>
        <w:t xml:space="preserve">пациенти, лекувани с усилена </w:t>
      </w:r>
      <w:r w:rsidRPr="0076594E">
        <w:rPr>
          <w:rFonts w:eastAsia="Times New Roman" w:cs="Arial"/>
          <w:color w:val="000000"/>
          <w:lang w:val="en-US"/>
        </w:rPr>
        <w:t xml:space="preserve">APT, </w:t>
      </w:r>
      <w:r w:rsidRPr="0076594E">
        <w:rPr>
          <w:rFonts w:eastAsia="Times New Roman" w:cs="Arial"/>
          <w:color w:val="000000"/>
          <w:lang w:eastAsia="bg-BG"/>
        </w:rPr>
        <w:t xml:space="preserve">които са имали повторно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оклузивни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събития след премахване на обструкцията или са претърпели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тромботични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събития, докато са били на схема на лечение с натоварваща доза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. Експозицията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средното инхибиране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агрегация може да се намалят при съпътстваща употреба на ритонавир. Поради това съпътстваща употреба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с усилена </w:t>
      </w:r>
      <w:r w:rsidRPr="0076594E">
        <w:rPr>
          <w:rFonts w:eastAsia="Times New Roman" w:cs="Arial"/>
          <w:color w:val="000000"/>
          <w:lang w:val="en-US"/>
        </w:rPr>
        <w:t xml:space="preserve">APT </w:t>
      </w:r>
      <w:r w:rsidRPr="0076594E">
        <w:rPr>
          <w:rFonts w:eastAsia="Times New Roman" w:cs="Arial"/>
          <w:color w:val="000000"/>
          <w:lang w:eastAsia="bg-BG"/>
        </w:rPr>
        <w:t>трябва да се избягва.</w:t>
      </w:r>
    </w:p>
    <w:p w14:paraId="1D3C2404" w14:textId="77777777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B925E4" w14:textId="2A872250" w:rsidR="0076594E" w:rsidRPr="0076594E" w:rsidRDefault="0076594E" w:rsidP="0076594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6594E">
        <w:rPr>
          <w:rFonts w:eastAsia="Times New Roman" w:cs="Arial"/>
          <w:color w:val="000000"/>
          <w:lang w:eastAsia="bg-BG"/>
        </w:rPr>
        <w:t xml:space="preserve">Освен информацията за специфичните лекарствени взаимодействия, представена по-горе, проучвания за взаимодействия при едновременната употреба на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и някои други лекарствени продукти при пациенти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атеротромботични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заболявалия не са провеждани. </w:t>
      </w:r>
    </w:p>
    <w:p w14:paraId="332C2313" w14:textId="48EF7D16" w:rsidR="0076594E" w:rsidRPr="0076594E" w:rsidRDefault="0076594E" w:rsidP="0076594E">
      <w:pPr>
        <w:spacing w:line="240" w:lineRule="auto"/>
        <w:rPr>
          <w:rFonts w:eastAsia="Times New Roman" w:cs="Arial"/>
          <w:sz w:val="24"/>
          <w:szCs w:val="24"/>
        </w:rPr>
      </w:pPr>
      <w:r w:rsidRPr="0076594E">
        <w:rPr>
          <w:rFonts w:eastAsia="Times New Roman" w:cs="Arial"/>
          <w:color w:val="000000"/>
          <w:lang w:eastAsia="bg-BG"/>
        </w:rPr>
        <w:t xml:space="preserve">Пациентите, участвали в клиничните проучвания с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 обаче, са получавали голям брой съпътстващи лекарствени продукти, включително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76594E">
        <w:rPr>
          <w:rFonts w:eastAsia="Times New Roman" w:cs="Arial"/>
          <w:color w:val="000000"/>
          <w:lang w:eastAsia="bg-BG"/>
        </w:rPr>
        <w:t>, бета-</w:t>
      </w:r>
      <w:proofErr w:type="spellStart"/>
      <w:r w:rsidRPr="0076594E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АСЕ- инхибитори, калциеви антагонисти, холестерол-понижаващи средства, коронарни </w:t>
      </w:r>
      <w:proofErr w:type="spellStart"/>
      <w:r w:rsidRPr="0076594E">
        <w:rPr>
          <w:rFonts w:eastAsia="Times New Roman" w:cs="Arial"/>
          <w:color w:val="000000"/>
          <w:lang w:eastAsia="bg-BG"/>
        </w:rPr>
        <w:t>вазодилатори</w:t>
      </w:r>
      <w:proofErr w:type="spellEnd"/>
      <w:r w:rsidRPr="0076594E">
        <w:rPr>
          <w:rFonts w:eastAsia="Times New Roman" w:cs="Arial"/>
          <w:color w:val="000000"/>
          <w:lang w:eastAsia="bg-BG"/>
        </w:rPr>
        <w:t xml:space="preserve">, антидиабетни средства (включително инсулин), антиепилептични средства и </w:t>
      </w:r>
      <w:r w:rsidRPr="0076594E">
        <w:rPr>
          <w:rFonts w:eastAsia="Times New Roman" w:cs="Arial"/>
          <w:color w:val="000000"/>
          <w:lang w:val="en-US"/>
        </w:rPr>
        <w:t>GP IIb</w:t>
      </w:r>
      <w:r w:rsidRPr="0076594E">
        <w:rPr>
          <w:rFonts w:eastAsia="Times New Roman" w:cs="Arial"/>
          <w:color w:val="000000"/>
          <w:lang w:eastAsia="bg-BG"/>
        </w:rPr>
        <w:t>/</w:t>
      </w:r>
      <w:r w:rsidRPr="0076594E">
        <w:rPr>
          <w:rFonts w:eastAsia="Times New Roman" w:cs="Arial"/>
          <w:color w:val="000000"/>
          <w:lang w:val="en-US"/>
        </w:rPr>
        <w:t>III</w:t>
      </w:r>
      <w:r w:rsidRPr="0076594E">
        <w:rPr>
          <w:rFonts w:eastAsia="Times New Roman" w:cs="Arial"/>
          <w:color w:val="000000"/>
          <w:lang w:eastAsia="bg-BG"/>
        </w:rPr>
        <w:t>а антагонисти без доказателства за клинично значими нежелани взаимодействия.</w:t>
      </w:r>
    </w:p>
    <w:p w14:paraId="6250064F" w14:textId="20C466AF" w:rsidR="0076594E" w:rsidRPr="0076594E" w:rsidRDefault="0076594E" w:rsidP="0076594E"/>
    <w:p w14:paraId="33D7526D" w14:textId="7BF154EA" w:rsidR="00CA42AA" w:rsidRDefault="002C50EE" w:rsidP="003E00C0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4537F1A" w14:textId="42401071" w:rsidR="0076594E" w:rsidRDefault="0076594E" w:rsidP="0076594E"/>
    <w:p w14:paraId="62E3D314" w14:textId="7CD1F20F" w:rsidR="0076594E" w:rsidRPr="0076594E" w:rsidRDefault="0076594E" w:rsidP="0076594E">
      <w:pPr>
        <w:pStyle w:val="3"/>
        <w:rPr>
          <w:rFonts w:eastAsia="Times New Roman"/>
          <w:u w:val="single"/>
        </w:rPr>
      </w:pPr>
      <w:r w:rsidRPr="0076594E">
        <w:rPr>
          <w:u w:val="single"/>
          <w:lang w:eastAsia="bg-BG"/>
        </w:rPr>
        <w:t>Б</w:t>
      </w:r>
      <w:r w:rsidRPr="0076594E">
        <w:rPr>
          <w:rFonts w:eastAsia="Times New Roman"/>
          <w:u w:val="single"/>
          <w:lang w:eastAsia="bg-BG"/>
        </w:rPr>
        <w:t>ременност</w:t>
      </w:r>
    </w:p>
    <w:p w14:paraId="592581C0" w14:textId="77777777" w:rsidR="0076594E" w:rsidRPr="0076594E" w:rsidRDefault="0076594E" w:rsidP="0076594E">
      <w:pPr>
        <w:rPr>
          <w:sz w:val="24"/>
          <w:szCs w:val="24"/>
        </w:rPr>
      </w:pPr>
      <w:r w:rsidRPr="0076594E">
        <w:rPr>
          <w:lang w:eastAsia="bg-BG"/>
        </w:rPr>
        <w:t xml:space="preserve">Поради липса на клинични данни относно експозицията на </w:t>
      </w:r>
      <w:proofErr w:type="spellStart"/>
      <w:r w:rsidRPr="0076594E">
        <w:rPr>
          <w:lang w:eastAsia="bg-BG"/>
        </w:rPr>
        <w:t>клопидогрел</w:t>
      </w:r>
      <w:proofErr w:type="spellEnd"/>
      <w:r w:rsidRPr="0076594E">
        <w:rPr>
          <w:lang w:eastAsia="bg-BG"/>
        </w:rPr>
        <w:t xml:space="preserve"> по време на бременност, за предпочитане е, като предпазна мярка, да не се използва </w:t>
      </w:r>
      <w:proofErr w:type="spellStart"/>
      <w:r w:rsidRPr="0076594E">
        <w:rPr>
          <w:lang w:eastAsia="bg-BG"/>
        </w:rPr>
        <w:t>клопидогрел</w:t>
      </w:r>
      <w:proofErr w:type="spellEnd"/>
      <w:r w:rsidRPr="0076594E">
        <w:rPr>
          <w:lang w:eastAsia="bg-BG"/>
        </w:rPr>
        <w:t xml:space="preserve"> по време на бременност.</w:t>
      </w:r>
    </w:p>
    <w:p w14:paraId="4786D977" w14:textId="77777777" w:rsidR="0076594E" w:rsidRDefault="0076594E" w:rsidP="0076594E">
      <w:pPr>
        <w:rPr>
          <w:lang w:eastAsia="bg-BG"/>
        </w:rPr>
      </w:pPr>
    </w:p>
    <w:p w14:paraId="0EEF9AA3" w14:textId="13D7593B" w:rsidR="0076594E" w:rsidRPr="0076594E" w:rsidRDefault="0076594E" w:rsidP="0076594E">
      <w:pPr>
        <w:rPr>
          <w:sz w:val="24"/>
          <w:szCs w:val="24"/>
        </w:rPr>
      </w:pPr>
      <w:r w:rsidRPr="0076594E">
        <w:rPr>
          <w:lang w:eastAsia="bg-BG"/>
        </w:rPr>
        <w:lastRenderedPageBreak/>
        <w:t xml:space="preserve">Експерименталните проучвания при животни не показват пряко или непряко вредно въздействие върху бременността, ембрионалното/фетално развитие, раждането или </w:t>
      </w:r>
    </w:p>
    <w:p w14:paraId="190C2AAC" w14:textId="77777777" w:rsidR="0076594E" w:rsidRPr="0076594E" w:rsidRDefault="0076594E" w:rsidP="0076594E">
      <w:pPr>
        <w:rPr>
          <w:sz w:val="24"/>
          <w:szCs w:val="24"/>
        </w:rPr>
      </w:pPr>
      <w:proofErr w:type="spellStart"/>
      <w:r w:rsidRPr="0076594E">
        <w:rPr>
          <w:lang w:eastAsia="bg-BG"/>
        </w:rPr>
        <w:t>постнаталното</w:t>
      </w:r>
      <w:proofErr w:type="spellEnd"/>
      <w:r w:rsidRPr="0076594E">
        <w:rPr>
          <w:lang w:eastAsia="bg-BG"/>
        </w:rPr>
        <w:t xml:space="preserve"> развитие (вж. точка 5.3).</w:t>
      </w:r>
    </w:p>
    <w:p w14:paraId="7E621548" w14:textId="77777777" w:rsidR="0076594E" w:rsidRDefault="0076594E" w:rsidP="0076594E">
      <w:pPr>
        <w:rPr>
          <w:lang w:eastAsia="bg-BG"/>
        </w:rPr>
      </w:pPr>
    </w:p>
    <w:p w14:paraId="02CDB898" w14:textId="154B21F3" w:rsidR="0076594E" w:rsidRPr="0076594E" w:rsidRDefault="0076594E" w:rsidP="0076594E">
      <w:pPr>
        <w:pStyle w:val="3"/>
        <w:rPr>
          <w:rFonts w:eastAsia="Times New Roman"/>
          <w:u w:val="single"/>
        </w:rPr>
      </w:pPr>
      <w:r w:rsidRPr="0076594E">
        <w:rPr>
          <w:rFonts w:eastAsia="Times New Roman"/>
          <w:u w:val="single"/>
          <w:lang w:eastAsia="bg-BG"/>
        </w:rPr>
        <w:t>Кърмене</w:t>
      </w:r>
    </w:p>
    <w:p w14:paraId="2EC38C9A" w14:textId="1B518A71" w:rsidR="0076594E" w:rsidRDefault="0076594E" w:rsidP="0076594E">
      <w:pPr>
        <w:rPr>
          <w:lang w:eastAsia="bg-BG"/>
        </w:rPr>
      </w:pPr>
      <w:r w:rsidRPr="0076594E">
        <w:rPr>
          <w:lang w:eastAsia="bg-BG"/>
        </w:rPr>
        <w:t xml:space="preserve">Не е известно дали </w:t>
      </w:r>
      <w:proofErr w:type="spellStart"/>
      <w:r w:rsidRPr="0076594E">
        <w:rPr>
          <w:lang w:eastAsia="bg-BG"/>
        </w:rPr>
        <w:t>клопидогрел</w:t>
      </w:r>
      <w:proofErr w:type="spellEnd"/>
      <w:r w:rsidRPr="0076594E">
        <w:rPr>
          <w:lang w:eastAsia="bg-BG"/>
        </w:rPr>
        <w:t xml:space="preserve"> се </w:t>
      </w:r>
      <w:proofErr w:type="spellStart"/>
      <w:r w:rsidRPr="0076594E">
        <w:rPr>
          <w:lang w:eastAsia="bg-BG"/>
        </w:rPr>
        <w:t>екскретира</w:t>
      </w:r>
      <w:proofErr w:type="spellEnd"/>
      <w:r w:rsidRPr="0076594E">
        <w:rPr>
          <w:lang w:eastAsia="bg-BG"/>
        </w:rPr>
        <w:t xml:space="preserve"> в кърмата. Проучванията при</w:t>
      </w:r>
      <w:r w:rsidRPr="0076594E">
        <w:rPr>
          <w:lang w:val="en-US"/>
        </w:rPr>
        <w:t xml:space="preserve"> </w:t>
      </w:r>
      <w:r w:rsidRPr="0076594E">
        <w:rPr>
          <w:lang w:eastAsia="bg-BG"/>
        </w:rPr>
        <w:t xml:space="preserve">животни показват че </w:t>
      </w:r>
      <w:proofErr w:type="spellStart"/>
      <w:r w:rsidRPr="0076594E">
        <w:rPr>
          <w:lang w:eastAsia="bg-BG"/>
        </w:rPr>
        <w:t>клопидогрел</w:t>
      </w:r>
      <w:proofErr w:type="spellEnd"/>
      <w:r w:rsidRPr="0076594E">
        <w:rPr>
          <w:lang w:eastAsia="bg-BG"/>
        </w:rPr>
        <w:t xml:space="preserve"> се </w:t>
      </w:r>
      <w:proofErr w:type="spellStart"/>
      <w:r w:rsidRPr="0076594E">
        <w:rPr>
          <w:lang w:eastAsia="bg-BG"/>
        </w:rPr>
        <w:t>екскретира</w:t>
      </w:r>
      <w:proofErr w:type="spellEnd"/>
      <w:r w:rsidRPr="0076594E">
        <w:rPr>
          <w:lang w:eastAsia="bg-BG"/>
        </w:rPr>
        <w:t xml:space="preserve"> в кърмата. Като предпазна мярка, кърменето не трябва да продължава по време на лечението с </w:t>
      </w:r>
      <w:proofErr w:type="spellStart"/>
      <w:r w:rsidRPr="0076594E">
        <w:rPr>
          <w:lang w:eastAsia="bg-BG"/>
        </w:rPr>
        <w:t>Глопенел</w:t>
      </w:r>
      <w:proofErr w:type="spellEnd"/>
      <w:r w:rsidRPr="0076594E">
        <w:rPr>
          <w:lang w:eastAsia="bg-BG"/>
        </w:rPr>
        <w:t>.</w:t>
      </w:r>
    </w:p>
    <w:p w14:paraId="2238CD38" w14:textId="7825B1B6" w:rsidR="0076594E" w:rsidRDefault="0076594E" w:rsidP="0076594E">
      <w:pPr>
        <w:rPr>
          <w:lang w:eastAsia="bg-BG"/>
        </w:rPr>
      </w:pPr>
    </w:p>
    <w:p w14:paraId="76C92856" w14:textId="77777777" w:rsidR="0076594E" w:rsidRPr="0076594E" w:rsidRDefault="0076594E" w:rsidP="0076594E">
      <w:pPr>
        <w:pStyle w:val="3"/>
        <w:rPr>
          <w:rFonts w:eastAsia="Times New Roman"/>
          <w:u w:val="single"/>
        </w:rPr>
      </w:pPr>
      <w:proofErr w:type="spellStart"/>
      <w:r w:rsidRPr="0076594E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591F8130" w14:textId="6A48903A" w:rsidR="0076594E" w:rsidRDefault="0076594E" w:rsidP="0076594E">
      <w:pPr>
        <w:rPr>
          <w:lang w:eastAsia="bg-BG"/>
        </w:rPr>
      </w:pPr>
      <w:r w:rsidRPr="0076594E">
        <w:rPr>
          <w:lang w:eastAsia="bg-BG"/>
        </w:rPr>
        <w:t xml:space="preserve">Проучвания при животни не </w:t>
      </w:r>
      <w:r>
        <w:rPr>
          <w:lang w:eastAsia="bg-BG"/>
        </w:rPr>
        <w:t>с</w:t>
      </w:r>
      <w:r w:rsidRPr="0076594E">
        <w:rPr>
          <w:lang w:eastAsia="bg-BG"/>
        </w:rPr>
        <w:t xml:space="preserve">а показали, че </w:t>
      </w:r>
      <w:proofErr w:type="spellStart"/>
      <w:r w:rsidRPr="0076594E">
        <w:rPr>
          <w:lang w:eastAsia="bg-BG"/>
        </w:rPr>
        <w:t>клопидогрел</w:t>
      </w:r>
      <w:proofErr w:type="spellEnd"/>
      <w:r w:rsidRPr="0076594E">
        <w:rPr>
          <w:lang w:eastAsia="bg-BG"/>
        </w:rPr>
        <w:t xml:space="preserve"> повлиява </w:t>
      </w:r>
      <w:proofErr w:type="spellStart"/>
      <w:r w:rsidRPr="0076594E">
        <w:rPr>
          <w:lang w:eastAsia="bg-BG"/>
        </w:rPr>
        <w:t>фертилитета</w:t>
      </w:r>
      <w:proofErr w:type="spellEnd"/>
      <w:r w:rsidRPr="0076594E">
        <w:rPr>
          <w:lang w:eastAsia="bg-BG"/>
        </w:rPr>
        <w:t>.</w:t>
      </w:r>
    </w:p>
    <w:p w14:paraId="7C5702E8" w14:textId="77777777" w:rsidR="0076594E" w:rsidRPr="0076594E" w:rsidRDefault="0076594E" w:rsidP="0076594E"/>
    <w:p w14:paraId="5F675BDB" w14:textId="1D40265B" w:rsidR="002C50EE" w:rsidRDefault="002C50EE" w:rsidP="002C50EE">
      <w:pPr>
        <w:pStyle w:val="2"/>
      </w:pPr>
      <w:r>
        <w:t>4.7. Ефекти върху способността за шофиране и работа с машини</w:t>
      </w:r>
    </w:p>
    <w:p w14:paraId="410C431B" w14:textId="0E7738AE" w:rsidR="0076594E" w:rsidRDefault="0076594E" w:rsidP="0076594E"/>
    <w:p w14:paraId="0EC624D6" w14:textId="25C13066" w:rsidR="0076594E" w:rsidRDefault="00B20198" w:rsidP="00B20198">
      <w:proofErr w:type="spellStart"/>
      <w:r>
        <w:t>Глопенел</w:t>
      </w:r>
      <w:proofErr w:type="spellEnd"/>
      <w:r>
        <w:t xml:space="preserve"> не повлиява или повлиява пренебрежимо способността за шофиране и работа с машини.</w:t>
      </w:r>
    </w:p>
    <w:p w14:paraId="7F6A8AB9" w14:textId="77777777" w:rsidR="00B20198" w:rsidRPr="0076594E" w:rsidRDefault="00B20198" w:rsidP="00B20198"/>
    <w:p w14:paraId="1B3BD30D" w14:textId="3558DAF6" w:rsidR="002C50EE" w:rsidRDefault="002C50EE" w:rsidP="002C50EE">
      <w:pPr>
        <w:pStyle w:val="2"/>
      </w:pPr>
      <w:r>
        <w:t>4.8. Нежелани лекарствени реакции</w:t>
      </w:r>
    </w:p>
    <w:p w14:paraId="2CD4DDAB" w14:textId="7D48BBD7" w:rsidR="00B20198" w:rsidRDefault="00B20198" w:rsidP="00B20198"/>
    <w:p w14:paraId="30F38567" w14:textId="77777777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i/>
          <w:iCs/>
          <w:color w:val="000000"/>
          <w:lang w:eastAsia="bg-BG"/>
        </w:rPr>
        <w:t>Резюме на профила на безопасност</w:t>
      </w:r>
    </w:p>
    <w:p w14:paraId="2AACB624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519A56" w14:textId="45CB7DFA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 xml:space="preserve">Безопасността на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е оценена при повече от 42 000 пациенти, които са участвали в клинични проучвания, включително над 9 000 пациенти, лекувани 1 година или повече. Клинично-значимите нежелани лекарствени реакции, наблюдавани в проучванията </w:t>
      </w:r>
      <w:r w:rsidRPr="00B20198">
        <w:rPr>
          <w:rFonts w:eastAsia="Times New Roman" w:cs="Arial"/>
          <w:color w:val="000000"/>
          <w:lang w:val="en-US"/>
        </w:rPr>
        <w:t xml:space="preserve">CAPRTE, CURE, CLARITY </w:t>
      </w:r>
      <w:r w:rsidRPr="00B20198">
        <w:rPr>
          <w:rFonts w:eastAsia="Times New Roman" w:cs="Arial"/>
          <w:color w:val="000000"/>
          <w:lang w:eastAsia="bg-BG"/>
        </w:rPr>
        <w:t xml:space="preserve">и </w:t>
      </w:r>
      <w:r w:rsidRPr="00B20198">
        <w:rPr>
          <w:rFonts w:eastAsia="Times New Roman" w:cs="Arial"/>
          <w:color w:val="000000"/>
          <w:lang w:val="en-US"/>
        </w:rPr>
        <w:t xml:space="preserve">COMMIT, </w:t>
      </w:r>
      <w:r w:rsidRPr="00B20198">
        <w:rPr>
          <w:rFonts w:eastAsia="Times New Roman" w:cs="Arial"/>
          <w:color w:val="000000"/>
          <w:lang w:eastAsia="bg-BG"/>
        </w:rPr>
        <w:t xml:space="preserve">са обсъдени по-долу. Като цяло,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75 </w:t>
      </w:r>
      <w:r w:rsidRPr="00B20198">
        <w:rPr>
          <w:rFonts w:eastAsia="Times New Roman" w:cs="Arial"/>
          <w:color w:val="000000"/>
          <w:lang w:val="en-US"/>
        </w:rPr>
        <w:t>mg</w:t>
      </w:r>
      <w:r w:rsidRPr="00B20198">
        <w:rPr>
          <w:rFonts w:eastAsia="Times New Roman" w:cs="Arial"/>
          <w:color w:val="000000"/>
          <w:lang w:eastAsia="bg-BG"/>
        </w:rPr>
        <w:t xml:space="preserve">/дневно е сравним с АСК 325 </w:t>
      </w:r>
      <w:r w:rsidRPr="00B20198">
        <w:rPr>
          <w:rFonts w:eastAsia="Times New Roman" w:cs="Arial"/>
          <w:color w:val="000000"/>
          <w:lang w:val="en-US"/>
        </w:rPr>
        <w:t>mg</w:t>
      </w:r>
      <w:r w:rsidRPr="00B20198">
        <w:rPr>
          <w:rFonts w:eastAsia="Times New Roman" w:cs="Arial"/>
          <w:color w:val="000000"/>
          <w:lang w:eastAsia="bg-BG"/>
        </w:rPr>
        <w:t xml:space="preserve">/дневно в </w:t>
      </w:r>
      <w:r w:rsidRPr="00B20198">
        <w:rPr>
          <w:rFonts w:eastAsia="Times New Roman" w:cs="Arial"/>
          <w:color w:val="000000"/>
          <w:lang w:val="en-US"/>
        </w:rPr>
        <w:t xml:space="preserve">CAPRTE, </w:t>
      </w:r>
      <w:r w:rsidRPr="00B20198">
        <w:rPr>
          <w:rFonts w:eastAsia="Times New Roman" w:cs="Arial"/>
          <w:color w:val="000000"/>
          <w:lang w:eastAsia="bg-BG"/>
        </w:rPr>
        <w:t>независимо от възрастта, пола и расата. В допълнение, към опита от клиничните проучвания нежелани лекарствени реакции са съобщавани и спонтанно.</w:t>
      </w:r>
    </w:p>
    <w:p w14:paraId="1C10A660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9A8786" w14:textId="0E9F9B2C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 xml:space="preserve">Кървенето е най-често съобщаваната реакция както при клиничните проучвания, така и при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постмаркетинговия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опит, където е съобщавана най-често през първия месец на лечението.</w:t>
      </w:r>
    </w:p>
    <w:p w14:paraId="4314C392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4DCE96" w14:textId="6D8C869A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 xml:space="preserve">В </w:t>
      </w:r>
      <w:r w:rsidRPr="00B20198">
        <w:rPr>
          <w:rFonts w:eastAsia="Times New Roman" w:cs="Arial"/>
          <w:color w:val="000000"/>
          <w:lang w:val="en-US"/>
        </w:rPr>
        <w:t xml:space="preserve">CAPRTE </w:t>
      </w:r>
      <w:r w:rsidRPr="00B20198">
        <w:rPr>
          <w:rFonts w:eastAsia="Times New Roman" w:cs="Arial"/>
          <w:color w:val="000000"/>
          <w:lang w:eastAsia="bg-BG"/>
        </w:rPr>
        <w:t xml:space="preserve">при пациенти, лекувани с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или АСК, общата честота на кървене е 9,3%. Честотата на тежките случаи е сходна при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и АСК.</w:t>
      </w:r>
    </w:p>
    <w:p w14:paraId="25920312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19CB21" w14:textId="1DD593C1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20198">
        <w:rPr>
          <w:rFonts w:eastAsia="Times New Roman" w:cs="Arial"/>
          <w:color w:val="000000"/>
          <w:lang w:eastAsia="bg-BG"/>
        </w:rPr>
        <w:t xml:space="preserve">В </w:t>
      </w:r>
      <w:r w:rsidRPr="00B20198">
        <w:rPr>
          <w:rFonts w:eastAsia="Times New Roman" w:cs="Arial"/>
          <w:color w:val="000000"/>
          <w:lang w:val="en-US"/>
        </w:rPr>
        <w:t xml:space="preserve">CURE </w:t>
      </w:r>
      <w:r w:rsidRPr="00B20198">
        <w:rPr>
          <w:rFonts w:eastAsia="Times New Roman" w:cs="Arial"/>
          <w:color w:val="000000"/>
          <w:lang w:eastAsia="bg-BG"/>
        </w:rPr>
        <w:t xml:space="preserve">не е наблюдаван по-голям брой на случаи на масивно кървене с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 през първите 7 дни след коронарен байпас при пациенти, които са спрели терапията повече от 5 дни преди операцията. При пациенти, останали на терапия в продължение на 5 дни преди коронарния </w:t>
      </w:r>
    </w:p>
    <w:p w14:paraId="04FB1F19" w14:textId="7FB05780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 xml:space="preserve">байпас, честотата на случаите е била 9,6% за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АСК, и 6,3% за плацебо + АСК.</w:t>
      </w:r>
    </w:p>
    <w:p w14:paraId="67896ADD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E4A3F3" w14:textId="17926DC2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 xml:space="preserve">В </w:t>
      </w:r>
      <w:r w:rsidRPr="00B20198">
        <w:rPr>
          <w:rFonts w:eastAsia="Times New Roman" w:cs="Arial"/>
          <w:color w:val="000000"/>
          <w:lang w:val="en-US"/>
        </w:rPr>
        <w:t xml:space="preserve">CLARITY </w:t>
      </w:r>
      <w:r w:rsidRPr="00B20198">
        <w:rPr>
          <w:rFonts w:eastAsia="Times New Roman" w:cs="Arial"/>
          <w:color w:val="000000"/>
          <w:lang w:eastAsia="bg-BG"/>
        </w:rPr>
        <w:t xml:space="preserve">е наблюдавано общо увеличение на кървенето в групата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 спрямо групата на плацебо + АСК. Честотата на масивно кървене при групите е сходна. Това е наблюдавано и в подгрупите от пациенти, определени по характеристики на изходно ниво и вида на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фибринолитичното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B20198">
        <w:rPr>
          <w:rFonts w:eastAsia="Times New Roman" w:cs="Arial"/>
          <w:color w:val="000000"/>
          <w:lang w:eastAsia="bg-BG"/>
        </w:rPr>
        <w:t>хепариново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лечение.</w:t>
      </w:r>
    </w:p>
    <w:p w14:paraId="19557D30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727F03" w14:textId="36B35876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lastRenderedPageBreak/>
        <w:t xml:space="preserve">В </w:t>
      </w:r>
      <w:r w:rsidRPr="00B20198">
        <w:rPr>
          <w:rFonts w:eastAsia="Times New Roman" w:cs="Arial"/>
          <w:color w:val="000000"/>
          <w:lang w:val="en-US"/>
        </w:rPr>
        <w:t xml:space="preserve">COMMIT </w:t>
      </w:r>
      <w:r w:rsidRPr="00B20198">
        <w:rPr>
          <w:rFonts w:eastAsia="Times New Roman" w:cs="Arial"/>
          <w:color w:val="000000"/>
          <w:lang w:eastAsia="bg-BG"/>
        </w:rPr>
        <w:t>общата честота на нецеребрално масивно кървене или церебрално кървене е ниска и сходна и при двете групи.</w:t>
      </w:r>
    </w:p>
    <w:p w14:paraId="0C8DCB0D" w14:textId="77777777" w:rsidR="00B20198" w:rsidRPr="00B20198" w:rsidRDefault="00B20198" w:rsidP="00B2019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7F78D9" w14:textId="3E382FC7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 xml:space="preserve">В </w:t>
      </w:r>
      <w:r w:rsidRPr="00B20198">
        <w:rPr>
          <w:rFonts w:eastAsia="Times New Roman" w:cs="Arial"/>
          <w:color w:val="000000"/>
          <w:lang w:val="en-US"/>
        </w:rPr>
        <w:t xml:space="preserve">ACTIVE-A </w:t>
      </w:r>
      <w:r w:rsidRPr="00B20198">
        <w:rPr>
          <w:rFonts w:eastAsia="Times New Roman" w:cs="Arial"/>
          <w:color w:val="000000"/>
          <w:lang w:eastAsia="bg-BG"/>
        </w:rPr>
        <w:t xml:space="preserve">честотата на масивно кървене е по-висока в групата на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АСК, отколкото в групата на плацебо + АСК (6,7% спрямо 4,3%). Масивното кървене е било главно от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екстракраниален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произход в двете групи (5,3% в групата на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АСК, 3,5% в групата на плацебо + АСК), главно от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гастро-интестиналния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тракт (3,5% спрямо 1,8%). Наблюдавано е прекомерно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интракраниално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кървене в групата на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 спрямо групата на плацебо + АСК (1,4% спрямо 0,8%, съответно). Не е наблюдавана статистически значима разлика в честотата на фатално кървене (1,1% в групата на </w:t>
      </w:r>
      <w:proofErr w:type="spellStart"/>
      <w:r w:rsidRPr="00B20198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B20198">
        <w:rPr>
          <w:rFonts w:eastAsia="Times New Roman" w:cs="Arial"/>
          <w:color w:val="000000"/>
          <w:lang w:eastAsia="bg-BG"/>
        </w:rPr>
        <w:t xml:space="preserve"> + АСК и 0,7% в групата на плацебо + АСК) и хеморагичен инсулт (0,8% и 0,6%, респективно) между двете групи.</w:t>
      </w:r>
    </w:p>
    <w:p w14:paraId="3981A8DE" w14:textId="77777777" w:rsidR="00B20198" w:rsidRPr="00B20198" w:rsidRDefault="00B20198" w:rsidP="00B2019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A4BDFBE" w14:textId="37D67635" w:rsidR="00B20198" w:rsidRPr="00B20198" w:rsidRDefault="00B20198" w:rsidP="00B20198">
      <w:pPr>
        <w:spacing w:line="240" w:lineRule="auto"/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i/>
          <w:iCs/>
          <w:color w:val="000000"/>
          <w:lang w:eastAsia="bg-BG"/>
        </w:rPr>
        <w:t>Табличен списък на нежеланите реакции</w:t>
      </w:r>
    </w:p>
    <w:p w14:paraId="10EB8EEB" w14:textId="77777777" w:rsidR="00B20198" w:rsidRPr="00B20198" w:rsidRDefault="00B20198" w:rsidP="00B20198">
      <w:pPr>
        <w:rPr>
          <w:rFonts w:eastAsia="Times New Roman" w:cs="Arial"/>
          <w:color w:val="000000"/>
          <w:lang w:eastAsia="bg-BG"/>
        </w:rPr>
      </w:pPr>
    </w:p>
    <w:p w14:paraId="1F7CE8C2" w14:textId="77777777" w:rsidR="00B20198" w:rsidRPr="00B20198" w:rsidRDefault="00B20198" w:rsidP="00B20198">
      <w:pPr>
        <w:rPr>
          <w:rFonts w:eastAsia="Times New Roman" w:cs="Arial"/>
          <w:sz w:val="24"/>
          <w:szCs w:val="24"/>
        </w:rPr>
      </w:pPr>
      <w:r w:rsidRPr="00B20198">
        <w:rPr>
          <w:rFonts w:eastAsia="Times New Roman" w:cs="Arial"/>
          <w:color w:val="000000"/>
          <w:lang w:eastAsia="bg-BG"/>
        </w:rPr>
        <w:t>Нежелани лекарствени реакции, настъпили по време на клиничните проучвания или съобщени спонтанно, са представени по-долу. Тяхната честота е определена въз основа на следната</w:t>
      </w:r>
      <w:r w:rsidRPr="00B20198">
        <w:rPr>
          <w:rFonts w:eastAsia="Times New Roman" w:cs="Arial"/>
          <w:color w:val="000000"/>
          <w:lang w:eastAsia="bg-BG"/>
        </w:rPr>
        <w:t xml:space="preserve"> </w:t>
      </w:r>
      <w:r w:rsidRPr="00B20198">
        <w:rPr>
          <w:rFonts w:eastAsia="Times New Roman" w:cs="Arial"/>
          <w:color w:val="000000"/>
          <w:lang w:eastAsia="bg-BG"/>
        </w:rPr>
        <w:t>конвенция: чести (</w:t>
      </w:r>
      <w:r w:rsidRPr="00B20198">
        <w:rPr>
          <w:rFonts w:eastAsia="Times New Roman" w:cs="Arial"/>
          <w:color w:val="000000"/>
          <w:lang w:val="en-US"/>
        </w:rPr>
        <w:t>≥</w:t>
      </w:r>
      <w:r w:rsidRPr="00B20198">
        <w:rPr>
          <w:rFonts w:eastAsia="Times New Roman" w:cs="Arial"/>
          <w:color w:val="000000"/>
          <w:lang w:eastAsia="bg-BG"/>
        </w:rPr>
        <w:t>1/100 до &lt; 1/10); нечести (</w:t>
      </w:r>
      <w:r w:rsidRPr="00B20198">
        <w:rPr>
          <w:rFonts w:eastAsia="Times New Roman" w:cs="Arial"/>
          <w:color w:val="000000"/>
          <w:lang w:val="en-US"/>
        </w:rPr>
        <w:t>≥</w:t>
      </w:r>
      <w:r w:rsidRPr="00B20198">
        <w:rPr>
          <w:rFonts w:eastAsia="Times New Roman" w:cs="Arial"/>
          <w:color w:val="000000"/>
          <w:lang w:eastAsia="bg-BG"/>
        </w:rPr>
        <w:t>1/1 000 до &lt; 1/100); редки (</w:t>
      </w:r>
      <w:r w:rsidRPr="00B20198">
        <w:rPr>
          <w:rFonts w:eastAsia="Times New Roman" w:cs="Arial"/>
          <w:color w:val="000000"/>
          <w:lang w:val="en-US"/>
        </w:rPr>
        <w:t>≥</w:t>
      </w:r>
      <w:r w:rsidRPr="00B20198">
        <w:rPr>
          <w:rFonts w:eastAsia="Times New Roman" w:cs="Arial"/>
          <w:color w:val="000000"/>
          <w:lang w:eastAsia="bg-BG"/>
        </w:rPr>
        <w:t>1/10 000 до &lt; 1/1 000); много редки (&lt;1/10 000), с неизвестна честота (не може да бъде оценена от наличните данни). При всяко групиране в зависимост от честотата нежеланите реакции се изброяват в низходящ ред по отношение на тяхната сериозност.</w:t>
      </w:r>
    </w:p>
    <w:p w14:paraId="6A5B1553" w14:textId="10C7906E" w:rsidR="00B20198" w:rsidRDefault="00B20198" w:rsidP="00B201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1391"/>
        <w:gridCol w:w="1919"/>
        <w:gridCol w:w="2049"/>
        <w:gridCol w:w="2220"/>
      </w:tblGrid>
      <w:tr w:rsidR="00B20198" w14:paraId="53A7C930" w14:textId="77777777" w:rsidTr="00C17DA2">
        <w:tc>
          <w:tcPr>
            <w:tcW w:w="1771" w:type="dxa"/>
            <w:vAlign w:val="bottom"/>
          </w:tcPr>
          <w:p w14:paraId="3FBE29DF" w14:textId="7977D105" w:rsidR="00B20198" w:rsidRDefault="00B20198" w:rsidP="00B20198">
            <w:proofErr w:type="spellStart"/>
            <w:r>
              <w:rPr>
                <w:b/>
                <w:bCs/>
              </w:rPr>
              <w:t>Системо</w:t>
            </w:r>
            <w:proofErr w:type="spellEnd"/>
            <w:r>
              <w:rPr>
                <w:b/>
                <w:bCs/>
              </w:rPr>
              <w:t>- органна класификация</w:t>
            </w:r>
          </w:p>
        </w:tc>
        <w:tc>
          <w:tcPr>
            <w:tcW w:w="1391" w:type="dxa"/>
          </w:tcPr>
          <w:p w14:paraId="7D59140B" w14:textId="049A9E90" w:rsidR="00B20198" w:rsidRDefault="00B20198" w:rsidP="00B20198">
            <w:proofErr w:type="spellStart"/>
            <w:r>
              <w:rPr>
                <w:b/>
                <w:bCs/>
              </w:rPr>
              <w:t>Честц</w:t>
            </w:r>
            <w:proofErr w:type="spellEnd"/>
          </w:p>
        </w:tc>
        <w:tc>
          <w:tcPr>
            <w:tcW w:w="1919" w:type="dxa"/>
          </w:tcPr>
          <w:p w14:paraId="5D62E780" w14:textId="3AC1A399" w:rsidR="00B20198" w:rsidRDefault="00B20198" w:rsidP="00B20198">
            <w:r>
              <w:rPr>
                <w:b/>
                <w:bCs/>
              </w:rPr>
              <w:t>Нечести</w:t>
            </w:r>
          </w:p>
        </w:tc>
        <w:tc>
          <w:tcPr>
            <w:tcW w:w="2049" w:type="dxa"/>
          </w:tcPr>
          <w:p w14:paraId="3657FCEE" w14:textId="31AE01A5" w:rsidR="00B20198" w:rsidRDefault="00B20198" w:rsidP="00B20198">
            <w:r>
              <w:rPr>
                <w:b/>
                <w:bCs/>
              </w:rPr>
              <w:t>Редки</w:t>
            </w:r>
          </w:p>
        </w:tc>
        <w:tc>
          <w:tcPr>
            <w:tcW w:w="2220" w:type="dxa"/>
          </w:tcPr>
          <w:p w14:paraId="688F11B9" w14:textId="7B81E158" w:rsidR="00B20198" w:rsidRDefault="00B20198" w:rsidP="00B20198">
            <w:r>
              <w:rPr>
                <w:b/>
                <w:bCs/>
              </w:rPr>
              <w:t>Много редки, с неизвестна честота*</w:t>
            </w:r>
          </w:p>
        </w:tc>
      </w:tr>
      <w:tr w:rsidR="00B20198" w14:paraId="7DEDCFE9" w14:textId="77777777" w:rsidTr="00C17DA2">
        <w:tc>
          <w:tcPr>
            <w:tcW w:w="1771" w:type="dxa"/>
          </w:tcPr>
          <w:p w14:paraId="66DE0E40" w14:textId="40AED4F8" w:rsidR="00B20198" w:rsidRDefault="00B20198" w:rsidP="00B20198">
            <w:r>
              <w:t>Нарушения на кръвта и лимфната система</w:t>
            </w:r>
          </w:p>
        </w:tc>
        <w:tc>
          <w:tcPr>
            <w:tcW w:w="1391" w:type="dxa"/>
          </w:tcPr>
          <w:p w14:paraId="6FD5A8F4" w14:textId="77777777" w:rsidR="00B20198" w:rsidRDefault="00B20198" w:rsidP="00B20198"/>
        </w:tc>
        <w:tc>
          <w:tcPr>
            <w:tcW w:w="1919" w:type="dxa"/>
          </w:tcPr>
          <w:p w14:paraId="72BF9492" w14:textId="0E2D0C6F" w:rsidR="00B20198" w:rsidRDefault="00B20198" w:rsidP="00B20198"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еозинофилия</w:t>
            </w:r>
            <w:proofErr w:type="spellEnd"/>
          </w:p>
        </w:tc>
        <w:tc>
          <w:tcPr>
            <w:tcW w:w="2049" w:type="dxa"/>
          </w:tcPr>
          <w:p w14:paraId="3AB38FAA" w14:textId="7142A5BC" w:rsidR="00B20198" w:rsidRDefault="00B20198" w:rsidP="00B20198">
            <w:proofErr w:type="spellStart"/>
            <w:r>
              <w:t>Неутропения</w:t>
            </w:r>
            <w:proofErr w:type="spellEnd"/>
            <w:r>
              <w:t xml:space="preserve">, включително тежка </w:t>
            </w:r>
            <w:proofErr w:type="spellStart"/>
            <w:r>
              <w:t>неутропения</w:t>
            </w:r>
            <w:proofErr w:type="spellEnd"/>
          </w:p>
        </w:tc>
        <w:tc>
          <w:tcPr>
            <w:tcW w:w="2220" w:type="dxa"/>
            <w:vAlign w:val="bottom"/>
          </w:tcPr>
          <w:p w14:paraId="159B3285" w14:textId="24DD0BF8" w:rsidR="00B20198" w:rsidRDefault="00B20198" w:rsidP="00B20198">
            <w:proofErr w:type="spellStart"/>
            <w:r>
              <w:t>Тромботична</w:t>
            </w:r>
            <w:proofErr w:type="spellEnd"/>
            <w:r>
              <w:t xml:space="preserve"> </w:t>
            </w:r>
            <w:proofErr w:type="spellStart"/>
            <w:r>
              <w:t>тромбоцитопенична</w:t>
            </w:r>
            <w:proofErr w:type="spellEnd"/>
            <w:r>
              <w:t xml:space="preserve"> пурпура (ТТП) (вж. точка 4.4), </w:t>
            </w:r>
            <w:proofErr w:type="spellStart"/>
            <w:r>
              <w:t>апластична</w:t>
            </w:r>
            <w:proofErr w:type="spellEnd"/>
            <w:r>
              <w:t xml:space="preserve"> анемия, </w:t>
            </w:r>
            <w:proofErr w:type="spellStart"/>
            <w:r>
              <w:t>панцитопения</w:t>
            </w:r>
            <w:proofErr w:type="spellEnd"/>
            <w:r>
              <w:t xml:space="preserve">, </w:t>
            </w:r>
            <w:proofErr w:type="spellStart"/>
            <w:r>
              <w:t>агранулоцитоза</w:t>
            </w:r>
            <w:proofErr w:type="spellEnd"/>
            <w:r>
              <w:t xml:space="preserve">, тежка </w:t>
            </w:r>
            <w:proofErr w:type="spellStart"/>
            <w:r>
              <w:t>тромбоцитопения</w:t>
            </w:r>
            <w:proofErr w:type="spellEnd"/>
            <w:r>
              <w:t xml:space="preserve">, придобита хемофилия А, </w:t>
            </w:r>
            <w:proofErr w:type="spellStart"/>
            <w:r>
              <w:t>гранулоцитопения</w:t>
            </w:r>
            <w:proofErr w:type="spellEnd"/>
            <w:r>
              <w:t>,. анемия</w:t>
            </w:r>
          </w:p>
        </w:tc>
      </w:tr>
      <w:tr w:rsidR="00B20198" w14:paraId="4A2DFEEF" w14:textId="77777777" w:rsidTr="00C17DA2">
        <w:tc>
          <w:tcPr>
            <w:tcW w:w="1771" w:type="dxa"/>
          </w:tcPr>
          <w:p w14:paraId="274E154F" w14:textId="4F20E782" w:rsidR="00B20198" w:rsidRDefault="00B20198" w:rsidP="00B20198">
            <w:r>
              <w:t>Нарушения на сърдечната система</w:t>
            </w:r>
          </w:p>
        </w:tc>
        <w:tc>
          <w:tcPr>
            <w:tcW w:w="1391" w:type="dxa"/>
          </w:tcPr>
          <w:p w14:paraId="79942E52" w14:textId="77777777" w:rsidR="00B20198" w:rsidRDefault="00B20198" w:rsidP="00B20198"/>
        </w:tc>
        <w:tc>
          <w:tcPr>
            <w:tcW w:w="1919" w:type="dxa"/>
          </w:tcPr>
          <w:p w14:paraId="44C1E996" w14:textId="77777777" w:rsidR="00B20198" w:rsidRDefault="00B20198" w:rsidP="00B20198"/>
        </w:tc>
        <w:tc>
          <w:tcPr>
            <w:tcW w:w="2049" w:type="dxa"/>
          </w:tcPr>
          <w:p w14:paraId="5E2B0B9D" w14:textId="77777777" w:rsidR="00B20198" w:rsidRDefault="00B20198" w:rsidP="00B20198"/>
        </w:tc>
        <w:tc>
          <w:tcPr>
            <w:tcW w:w="2220" w:type="dxa"/>
            <w:vAlign w:val="bottom"/>
          </w:tcPr>
          <w:p w14:paraId="346963FF" w14:textId="3C5E4BD4" w:rsidR="00B20198" w:rsidRDefault="00B20198" w:rsidP="00B20198">
            <w:r>
              <w:t xml:space="preserve">Синдром на </w:t>
            </w:r>
            <w:proofErr w:type="spellStart"/>
            <w:r>
              <w:rPr>
                <w:lang w:val="en-US"/>
              </w:rPr>
              <w:t>Kounis</w:t>
            </w:r>
            <w:proofErr w:type="spellEnd"/>
            <w:r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>
              <w:t>вазоспастична</w:t>
            </w:r>
            <w:proofErr w:type="spellEnd"/>
            <w:r>
              <w:t xml:space="preserve"> алергична ангина/алергичен миокарден инфаркт) в хода на реакция на свръхчувствително</w:t>
            </w:r>
            <w:r>
              <w:lastRenderedPageBreak/>
              <w:t xml:space="preserve">ст, дължаща се на </w:t>
            </w:r>
            <w:proofErr w:type="spellStart"/>
            <w:r>
              <w:t>клопидогрел</w:t>
            </w:r>
            <w:proofErr w:type="spellEnd"/>
            <w:r>
              <w:t>*</w:t>
            </w:r>
          </w:p>
        </w:tc>
      </w:tr>
      <w:tr w:rsidR="00B20198" w14:paraId="1B89518E" w14:textId="77777777" w:rsidTr="00C17DA2">
        <w:tc>
          <w:tcPr>
            <w:tcW w:w="1771" w:type="dxa"/>
          </w:tcPr>
          <w:p w14:paraId="6199F3BC" w14:textId="088FE98C" w:rsidR="00B20198" w:rsidRDefault="00B20198" w:rsidP="00B20198">
            <w:r>
              <w:lastRenderedPageBreak/>
              <w:t>Нарушения на имунната система</w:t>
            </w:r>
          </w:p>
        </w:tc>
        <w:tc>
          <w:tcPr>
            <w:tcW w:w="1391" w:type="dxa"/>
          </w:tcPr>
          <w:p w14:paraId="6A285620" w14:textId="77777777" w:rsidR="00B20198" w:rsidRDefault="00B20198" w:rsidP="00B20198"/>
        </w:tc>
        <w:tc>
          <w:tcPr>
            <w:tcW w:w="1919" w:type="dxa"/>
          </w:tcPr>
          <w:p w14:paraId="287CF9DF" w14:textId="77777777" w:rsidR="00B20198" w:rsidRDefault="00B20198" w:rsidP="00B20198"/>
        </w:tc>
        <w:tc>
          <w:tcPr>
            <w:tcW w:w="2049" w:type="dxa"/>
          </w:tcPr>
          <w:p w14:paraId="5D8A973B" w14:textId="77777777" w:rsidR="00B20198" w:rsidRDefault="00B20198" w:rsidP="00B20198"/>
        </w:tc>
        <w:tc>
          <w:tcPr>
            <w:tcW w:w="2220" w:type="dxa"/>
            <w:vAlign w:val="bottom"/>
          </w:tcPr>
          <w:p w14:paraId="28D8AD9E" w14:textId="13FF580F" w:rsidR="00B20198" w:rsidRDefault="00B20198" w:rsidP="00B20198">
            <w:r>
              <w:t xml:space="preserve">Серумна болест, </w:t>
            </w:r>
            <w:proofErr w:type="spellStart"/>
            <w:r>
              <w:t>анафилактоидни</w:t>
            </w:r>
            <w:proofErr w:type="spellEnd"/>
            <w:r>
              <w:t xml:space="preserve"> реакции, кръстосани лекарствени реакции на свръхчувствителност между </w:t>
            </w:r>
            <w:proofErr w:type="spellStart"/>
            <w:r>
              <w:t>тиенопиридините</w:t>
            </w:r>
            <w:proofErr w:type="spellEnd"/>
            <w:r>
              <w:t xml:space="preserve"> (като </w:t>
            </w:r>
            <w:proofErr w:type="spellStart"/>
            <w:r>
              <w:t>тиклопидин</w:t>
            </w:r>
            <w:proofErr w:type="spellEnd"/>
            <w:r>
              <w:t xml:space="preserve">, </w:t>
            </w:r>
            <w:proofErr w:type="spellStart"/>
            <w:r>
              <w:t>прасугрел</w:t>
            </w:r>
            <w:proofErr w:type="spellEnd"/>
            <w:r>
              <w:t>) (вж. точка 4.4)*</w:t>
            </w:r>
          </w:p>
        </w:tc>
      </w:tr>
      <w:tr w:rsidR="00B20198" w14:paraId="4BCF9A06" w14:textId="77777777" w:rsidTr="00C17DA2">
        <w:tc>
          <w:tcPr>
            <w:tcW w:w="1771" w:type="dxa"/>
          </w:tcPr>
          <w:p w14:paraId="7E0A6F2D" w14:textId="5BE86D71" w:rsidR="00B20198" w:rsidRDefault="00B20198" w:rsidP="00B20198">
            <w:r>
              <w:t>Психични нарушения</w:t>
            </w:r>
          </w:p>
        </w:tc>
        <w:tc>
          <w:tcPr>
            <w:tcW w:w="1391" w:type="dxa"/>
          </w:tcPr>
          <w:p w14:paraId="71581332" w14:textId="77777777" w:rsidR="00B20198" w:rsidRDefault="00B20198" w:rsidP="00B20198"/>
        </w:tc>
        <w:tc>
          <w:tcPr>
            <w:tcW w:w="1919" w:type="dxa"/>
          </w:tcPr>
          <w:p w14:paraId="5AE55D1F" w14:textId="77777777" w:rsidR="00B20198" w:rsidRDefault="00B20198" w:rsidP="00B20198"/>
        </w:tc>
        <w:tc>
          <w:tcPr>
            <w:tcW w:w="2049" w:type="dxa"/>
          </w:tcPr>
          <w:p w14:paraId="2C32671F" w14:textId="77777777" w:rsidR="00B20198" w:rsidRDefault="00B20198" w:rsidP="00B20198"/>
        </w:tc>
        <w:tc>
          <w:tcPr>
            <w:tcW w:w="2220" w:type="dxa"/>
          </w:tcPr>
          <w:p w14:paraId="24AAE994" w14:textId="7EBB6602" w:rsidR="00B20198" w:rsidRDefault="00B20198" w:rsidP="00B20198">
            <w:r>
              <w:t>Халюцинации, обърканост</w:t>
            </w:r>
          </w:p>
        </w:tc>
      </w:tr>
      <w:tr w:rsidR="00B20198" w14:paraId="4711FD48" w14:textId="77777777" w:rsidTr="00C17DA2">
        <w:tc>
          <w:tcPr>
            <w:tcW w:w="1771" w:type="dxa"/>
          </w:tcPr>
          <w:p w14:paraId="7654A80D" w14:textId="76455262" w:rsidR="00B20198" w:rsidRDefault="00B20198" w:rsidP="00B20198">
            <w:r>
              <w:t>Нарушения на нервната система</w:t>
            </w:r>
          </w:p>
        </w:tc>
        <w:tc>
          <w:tcPr>
            <w:tcW w:w="1391" w:type="dxa"/>
          </w:tcPr>
          <w:p w14:paraId="28BFECB1" w14:textId="77777777" w:rsidR="00B20198" w:rsidRDefault="00B20198" w:rsidP="00B20198"/>
        </w:tc>
        <w:tc>
          <w:tcPr>
            <w:tcW w:w="1919" w:type="dxa"/>
            <w:vAlign w:val="bottom"/>
          </w:tcPr>
          <w:p w14:paraId="65E8006A" w14:textId="5C767CF3" w:rsidR="00B20198" w:rsidRDefault="00B20198" w:rsidP="00B20198">
            <w:proofErr w:type="spellStart"/>
            <w:r>
              <w:t>Интракраниално</w:t>
            </w:r>
            <w:proofErr w:type="spellEnd"/>
            <w:r>
              <w:t xml:space="preserve"> кървене (съобщени са няколко случаи с фатален изход), главоболие, </w:t>
            </w:r>
            <w:proofErr w:type="spellStart"/>
            <w:r>
              <w:t>парестезия</w:t>
            </w:r>
            <w:proofErr w:type="spellEnd"/>
            <w:r>
              <w:t>, замаяност</w:t>
            </w:r>
          </w:p>
        </w:tc>
        <w:tc>
          <w:tcPr>
            <w:tcW w:w="2049" w:type="dxa"/>
          </w:tcPr>
          <w:p w14:paraId="1064D29B" w14:textId="77777777" w:rsidR="00B20198" w:rsidRDefault="00B20198" w:rsidP="00B20198"/>
        </w:tc>
        <w:tc>
          <w:tcPr>
            <w:tcW w:w="2220" w:type="dxa"/>
          </w:tcPr>
          <w:p w14:paraId="06F02D99" w14:textId="48A46027" w:rsidR="00B20198" w:rsidRDefault="00B20198" w:rsidP="00B20198">
            <w:r>
              <w:t>Нарушения във вкусовите възприятия</w:t>
            </w:r>
          </w:p>
        </w:tc>
      </w:tr>
      <w:tr w:rsidR="00B20198" w14:paraId="4207EA5A" w14:textId="77777777" w:rsidTr="00C17DA2">
        <w:tc>
          <w:tcPr>
            <w:tcW w:w="1771" w:type="dxa"/>
          </w:tcPr>
          <w:p w14:paraId="182E7D90" w14:textId="650984E5" w:rsidR="00B20198" w:rsidRDefault="00B20198" w:rsidP="00B20198">
            <w:r>
              <w:t>Нарушения на очите</w:t>
            </w:r>
          </w:p>
        </w:tc>
        <w:tc>
          <w:tcPr>
            <w:tcW w:w="1391" w:type="dxa"/>
          </w:tcPr>
          <w:p w14:paraId="4A93BEF3" w14:textId="77777777" w:rsidR="00B20198" w:rsidRDefault="00B20198" w:rsidP="00B20198"/>
        </w:tc>
        <w:tc>
          <w:tcPr>
            <w:tcW w:w="1919" w:type="dxa"/>
            <w:vAlign w:val="bottom"/>
          </w:tcPr>
          <w:p w14:paraId="21114E9D" w14:textId="393C1F08" w:rsidR="00B20198" w:rsidRDefault="00B20198" w:rsidP="00B20198">
            <w:r>
              <w:t>Кръвоизлив в очите (</w:t>
            </w:r>
            <w:proofErr w:type="spellStart"/>
            <w:r>
              <w:t>конюнктивата</w:t>
            </w:r>
            <w:proofErr w:type="spellEnd"/>
            <w:r>
              <w:t>, окото, ретината)</w:t>
            </w:r>
          </w:p>
        </w:tc>
        <w:tc>
          <w:tcPr>
            <w:tcW w:w="2049" w:type="dxa"/>
          </w:tcPr>
          <w:p w14:paraId="3001AAD0" w14:textId="77777777" w:rsidR="00B20198" w:rsidRDefault="00B20198" w:rsidP="00B20198"/>
        </w:tc>
        <w:tc>
          <w:tcPr>
            <w:tcW w:w="2220" w:type="dxa"/>
          </w:tcPr>
          <w:p w14:paraId="4B02B5DE" w14:textId="77777777" w:rsidR="00B20198" w:rsidRDefault="00B20198" w:rsidP="00B20198"/>
        </w:tc>
      </w:tr>
      <w:tr w:rsidR="00B20198" w14:paraId="72DF41D9" w14:textId="77777777" w:rsidTr="00C17DA2">
        <w:tc>
          <w:tcPr>
            <w:tcW w:w="1771" w:type="dxa"/>
            <w:vAlign w:val="bottom"/>
          </w:tcPr>
          <w:p w14:paraId="44B65D54" w14:textId="527F4794" w:rsidR="00B20198" w:rsidRDefault="00B20198" w:rsidP="00B20198">
            <w:r>
              <w:t>Нарушения на ухото и лабиринта</w:t>
            </w:r>
          </w:p>
        </w:tc>
        <w:tc>
          <w:tcPr>
            <w:tcW w:w="1391" w:type="dxa"/>
          </w:tcPr>
          <w:p w14:paraId="2327492B" w14:textId="77777777" w:rsidR="00B20198" w:rsidRDefault="00B20198" w:rsidP="00B20198"/>
        </w:tc>
        <w:tc>
          <w:tcPr>
            <w:tcW w:w="1919" w:type="dxa"/>
          </w:tcPr>
          <w:p w14:paraId="352EAE72" w14:textId="77777777" w:rsidR="00B20198" w:rsidRDefault="00B20198" w:rsidP="00B20198"/>
        </w:tc>
        <w:tc>
          <w:tcPr>
            <w:tcW w:w="2049" w:type="dxa"/>
          </w:tcPr>
          <w:p w14:paraId="5AE70B40" w14:textId="77E9D227" w:rsidR="00B20198" w:rsidRDefault="00B20198" w:rsidP="00B20198">
            <w:proofErr w:type="spellStart"/>
            <w:r>
              <w:t>Вертиго</w:t>
            </w:r>
            <w:proofErr w:type="spellEnd"/>
          </w:p>
        </w:tc>
        <w:tc>
          <w:tcPr>
            <w:tcW w:w="2220" w:type="dxa"/>
          </w:tcPr>
          <w:p w14:paraId="6CA78D29" w14:textId="77777777" w:rsidR="00B20198" w:rsidRDefault="00B20198" w:rsidP="00B20198"/>
        </w:tc>
      </w:tr>
      <w:tr w:rsidR="00B20198" w14:paraId="083F3BD8" w14:textId="77777777" w:rsidTr="00C17DA2">
        <w:tc>
          <w:tcPr>
            <w:tcW w:w="1771" w:type="dxa"/>
          </w:tcPr>
          <w:p w14:paraId="79EE07A8" w14:textId="603016C1" w:rsidR="00B20198" w:rsidRDefault="00B20198" w:rsidP="00B20198">
            <w:r>
              <w:t>Съдови нарушения</w:t>
            </w:r>
          </w:p>
        </w:tc>
        <w:tc>
          <w:tcPr>
            <w:tcW w:w="1391" w:type="dxa"/>
          </w:tcPr>
          <w:p w14:paraId="3BA8B28A" w14:textId="2FE5DC3B" w:rsidR="00B20198" w:rsidRDefault="00B20198" w:rsidP="00B20198">
            <w:r>
              <w:t>Хематом</w:t>
            </w:r>
          </w:p>
        </w:tc>
        <w:tc>
          <w:tcPr>
            <w:tcW w:w="1919" w:type="dxa"/>
          </w:tcPr>
          <w:p w14:paraId="51D6315F" w14:textId="77777777" w:rsidR="00B20198" w:rsidRDefault="00B20198" w:rsidP="00B20198"/>
        </w:tc>
        <w:tc>
          <w:tcPr>
            <w:tcW w:w="2049" w:type="dxa"/>
          </w:tcPr>
          <w:p w14:paraId="2130F02A" w14:textId="77777777" w:rsidR="00B20198" w:rsidRDefault="00B20198" w:rsidP="00B20198"/>
        </w:tc>
        <w:tc>
          <w:tcPr>
            <w:tcW w:w="2220" w:type="dxa"/>
            <w:vAlign w:val="bottom"/>
          </w:tcPr>
          <w:p w14:paraId="203E8F6A" w14:textId="77777777" w:rsidR="00B20198" w:rsidRPr="00B20198" w:rsidRDefault="00B20198" w:rsidP="00B20198">
            <w:r w:rsidRPr="00B20198">
              <w:t>Тежка хеморагия, кървене от</w:t>
            </w:r>
          </w:p>
          <w:p w14:paraId="43E502EC" w14:textId="0EE273F5" w:rsidR="00B20198" w:rsidRPr="00B20198" w:rsidRDefault="00B20198" w:rsidP="00B20198">
            <w:pPr>
              <w:rPr>
                <w:rFonts w:eastAsia="Times New Roman" w:cs="Arial"/>
                <w:sz w:val="24"/>
                <w:szCs w:val="24"/>
              </w:rPr>
            </w:pPr>
            <w:r w:rsidRPr="00B20198">
              <w:t>оперативна рана</w:t>
            </w:r>
            <w:r>
              <w:t xml:space="preserve">, </w:t>
            </w:r>
            <w:proofErr w:type="spellStart"/>
            <w:r w:rsidRPr="00B20198">
              <w:rPr>
                <w:rFonts w:eastAsia="Times New Roman" w:cs="Arial"/>
                <w:color w:val="000000"/>
                <w:lang w:eastAsia="bg-BG"/>
              </w:rPr>
              <w:t>васкулит</w:t>
            </w:r>
            <w:proofErr w:type="spellEnd"/>
            <w:r w:rsidRPr="00B20198">
              <w:rPr>
                <w:rFonts w:eastAsia="Times New Roman" w:cs="Arial"/>
                <w:color w:val="000000"/>
                <w:lang w:eastAsia="bg-BG"/>
              </w:rPr>
              <w:t>, хипотония</w:t>
            </w:r>
          </w:p>
          <w:p w14:paraId="6D7A4F40" w14:textId="43ADE8E2" w:rsidR="00B20198" w:rsidRDefault="00B20198" w:rsidP="00B20198"/>
        </w:tc>
      </w:tr>
      <w:tr w:rsidR="00B20198" w14:paraId="4A8DCFDC" w14:textId="77777777" w:rsidTr="00C17DA2">
        <w:tc>
          <w:tcPr>
            <w:tcW w:w="1771" w:type="dxa"/>
          </w:tcPr>
          <w:p w14:paraId="7CE78F07" w14:textId="442F888A" w:rsidR="00B20198" w:rsidRDefault="00B20198" w:rsidP="00B20198"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1391" w:type="dxa"/>
          </w:tcPr>
          <w:p w14:paraId="5A66FD45" w14:textId="6E95E195" w:rsidR="00B20198" w:rsidRDefault="00B20198" w:rsidP="00B20198">
            <w:proofErr w:type="spellStart"/>
            <w:r>
              <w:t>Епистаксис</w:t>
            </w:r>
            <w:proofErr w:type="spellEnd"/>
          </w:p>
        </w:tc>
        <w:tc>
          <w:tcPr>
            <w:tcW w:w="1919" w:type="dxa"/>
          </w:tcPr>
          <w:p w14:paraId="3C0F387A" w14:textId="77777777" w:rsidR="00B20198" w:rsidRDefault="00B20198" w:rsidP="00B20198"/>
        </w:tc>
        <w:tc>
          <w:tcPr>
            <w:tcW w:w="2049" w:type="dxa"/>
          </w:tcPr>
          <w:p w14:paraId="2EF67631" w14:textId="77777777" w:rsidR="00B20198" w:rsidRDefault="00B20198" w:rsidP="00B20198"/>
        </w:tc>
        <w:tc>
          <w:tcPr>
            <w:tcW w:w="2220" w:type="dxa"/>
            <w:vAlign w:val="bottom"/>
          </w:tcPr>
          <w:p w14:paraId="4020EF6C" w14:textId="06FC0DF7" w:rsidR="00B20198" w:rsidRDefault="00B20198" w:rsidP="00B20198">
            <w:r>
              <w:t>Кръвоизливи в дихателната система, (</w:t>
            </w:r>
            <w:proofErr w:type="spellStart"/>
            <w:r>
              <w:t>хемоптиза</w:t>
            </w:r>
            <w:proofErr w:type="spellEnd"/>
            <w:r>
              <w:t xml:space="preserve">, белодробна хеморагия), </w:t>
            </w:r>
            <w:proofErr w:type="spellStart"/>
            <w:r>
              <w:t>бронхоспазъм</w:t>
            </w:r>
            <w:proofErr w:type="spellEnd"/>
            <w:r>
              <w:t xml:space="preserve">, </w:t>
            </w:r>
            <w:proofErr w:type="spellStart"/>
            <w:r>
              <w:t>интерстициален</w:t>
            </w:r>
            <w:proofErr w:type="spellEnd"/>
            <w:r>
              <w:t xml:space="preserve"> </w:t>
            </w:r>
            <w:proofErr w:type="spellStart"/>
            <w:r>
              <w:t>пневмонит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еозинофилна</w:t>
            </w:r>
            <w:proofErr w:type="spellEnd"/>
            <w:r>
              <w:t xml:space="preserve"> пневмония</w:t>
            </w:r>
          </w:p>
        </w:tc>
      </w:tr>
      <w:tr w:rsidR="00B20198" w14:paraId="406C06D1" w14:textId="77777777" w:rsidTr="00C17DA2">
        <w:tc>
          <w:tcPr>
            <w:tcW w:w="1771" w:type="dxa"/>
          </w:tcPr>
          <w:p w14:paraId="3D6C0BA8" w14:textId="0EB06186" w:rsidR="00B20198" w:rsidRDefault="00B20198" w:rsidP="00B20198">
            <w:r>
              <w:lastRenderedPageBreak/>
              <w:t>Стомашно- чревни нарушения</w:t>
            </w:r>
          </w:p>
        </w:tc>
        <w:tc>
          <w:tcPr>
            <w:tcW w:w="1391" w:type="dxa"/>
            <w:vAlign w:val="bottom"/>
          </w:tcPr>
          <w:p w14:paraId="7507F29C" w14:textId="1F9A0C47" w:rsidR="00B20198" w:rsidRDefault="00B20198" w:rsidP="00B20198">
            <w:r>
              <w:t>Стомашно- чревна хеморагия, диария, коремна болка, диспепсия</w:t>
            </w:r>
          </w:p>
        </w:tc>
        <w:tc>
          <w:tcPr>
            <w:tcW w:w="1919" w:type="dxa"/>
          </w:tcPr>
          <w:p w14:paraId="4CF34EEB" w14:textId="73D5B4EA" w:rsidR="00B20198" w:rsidRDefault="00B20198" w:rsidP="00B20198">
            <w:r>
              <w:t xml:space="preserve">Стомашна язва и </w:t>
            </w:r>
            <w:proofErr w:type="spellStart"/>
            <w:r>
              <w:t>дуоденална</w:t>
            </w:r>
            <w:proofErr w:type="spellEnd"/>
            <w:r>
              <w:t xml:space="preserve"> язва, гастрит, повръщане, гадене, запек, </w:t>
            </w:r>
            <w:proofErr w:type="spellStart"/>
            <w:r>
              <w:t>флатуленция</w:t>
            </w:r>
            <w:proofErr w:type="spellEnd"/>
          </w:p>
        </w:tc>
        <w:tc>
          <w:tcPr>
            <w:tcW w:w="2049" w:type="dxa"/>
          </w:tcPr>
          <w:p w14:paraId="2D277E24" w14:textId="688A6CE4" w:rsidR="00B20198" w:rsidRDefault="00B20198" w:rsidP="00B20198">
            <w:r>
              <w:t>Ретроперитонеална хеморагия</w:t>
            </w:r>
          </w:p>
        </w:tc>
        <w:tc>
          <w:tcPr>
            <w:tcW w:w="2220" w:type="dxa"/>
            <w:vAlign w:val="bottom"/>
          </w:tcPr>
          <w:p w14:paraId="5F1EECB7" w14:textId="218058A5" w:rsidR="00B20198" w:rsidRDefault="00B20198" w:rsidP="00B20198">
            <w:r>
              <w:t xml:space="preserve">Стомашно-чревна и ретроперитонеална хеморагия с фатален изход, </w:t>
            </w:r>
            <w:proofErr w:type="spellStart"/>
            <w:r>
              <w:t>панкреатит</w:t>
            </w:r>
            <w:proofErr w:type="spellEnd"/>
            <w:r>
              <w:t>, колит (включително язвен или лимфоцитен колит), стоматит.</w:t>
            </w:r>
          </w:p>
        </w:tc>
      </w:tr>
      <w:tr w:rsidR="00B20198" w14:paraId="1DB8F6FD" w14:textId="77777777" w:rsidTr="00C17DA2">
        <w:tc>
          <w:tcPr>
            <w:tcW w:w="1771" w:type="dxa"/>
          </w:tcPr>
          <w:p w14:paraId="0B4E4DB4" w14:textId="53D58868" w:rsidR="00B20198" w:rsidRDefault="00B20198" w:rsidP="00B20198">
            <w:proofErr w:type="spellStart"/>
            <w:r>
              <w:t>Хепато</w:t>
            </w:r>
            <w:proofErr w:type="spellEnd"/>
            <w:r>
              <w:t xml:space="preserve">- </w:t>
            </w:r>
            <w:proofErr w:type="spellStart"/>
            <w:r>
              <w:t>билиарни</w:t>
            </w:r>
            <w:proofErr w:type="spellEnd"/>
            <w:r>
              <w:t xml:space="preserve"> нарушения</w:t>
            </w:r>
          </w:p>
        </w:tc>
        <w:tc>
          <w:tcPr>
            <w:tcW w:w="1391" w:type="dxa"/>
          </w:tcPr>
          <w:p w14:paraId="5607BAB2" w14:textId="77777777" w:rsidR="00B20198" w:rsidRDefault="00B20198" w:rsidP="00B20198"/>
        </w:tc>
        <w:tc>
          <w:tcPr>
            <w:tcW w:w="1919" w:type="dxa"/>
          </w:tcPr>
          <w:p w14:paraId="0192235F" w14:textId="77777777" w:rsidR="00B20198" w:rsidRDefault="00B20198" w:rsidP="00B20198"/>
        </w:tc>
        <w:tc>
          <w:tcPr>
            <w:tcW w:w="2049" w:type="dxa"/>
          </w:tcPr>
          <w:p w14:paraId="5E63ABC8" w14:textId="77777777" w:rsidR="00B20198" w:rsidRDefault="00B20198" w:rsidP="00B20198"/>
        </w:tc>
        <w:tc>
          <w:tcPr>
            <w:tcW w:w="2220" w:type="dxa"/>
            <w:vAlign w:val="bottom"/>
          </w:tcPr>
          <w:p w14:paraId="30C2014F" w14:textId="41DEEF26" w:rsidR="00B20198" w:rsidRDefault="00B20198" w:rsidP="00B20198">
            <w:r>
              <w:t>Остра чернодробна недостатъчност, хепатит, отклонения в чернодробните функционални тестове</w:t>
            </w:r>
          </w:p>
        </w:tc>
      </w:tr>
      <w:tr w:rsidR="00B20198" w14:paraId="2577F646" w14:textId="77777777" w:rsidTr="00C17DA2">
        <w:tc>
          <w:tcPr>
            <w:tcW w:w="1771" w:type="dxa"/>
          </w:tcPr>
          <w:p w14:paraId="5BE7FFBB" w14:textId="208957D4" w:rsidR="00B20198" w:rsidRDefault="00B20198" w:rsidP="00B20198">
            <w:r>
              <w:t>Нарушения на кожата и подкожната тъкан</w:t>
            </w:r>
          </w:p>
        </w:tc>
        <w:tc>
          <w:tcPr>
            <w:tcW w:w="1391" w:type="dxa"/>
          </w:tcPr>
          <w:p w14:paraId="6E4A8F22" w14:textId="4FFB1D62" w:rsidR="00B20198" w:rsidRDefault="00B20198" w:rsidP="00B20198">
            <w:r>
              <w:t>Образуване на синини</w:t>
            </w:r>
          </w:p>
        </w:tc>
        <w:tc>
          <w:tcPr>
            <w:tcW w:w="1919" w:type="dxa"/>
          </w:tcPr>
          <w:p w14:paraId="3D620243" w14:textId="6FA3095F" w:rsidR="00B20198" w:rsidRDefault="00B20198" w:rsidP="00B20198">
            <w:r>
              <w:t>Обрив, сърбеж, кожни кръвоизливи (пурпура)</w:t>
            </w:r>
          </w:p>
        </w:tc>
        <w:tc>
          <w:tcPr>
            <w:tcW w:w="2049" w:type="dxa"/>
          </w:tcPr>
          <w:p w14:paraId="73FDA85E" w14:textId="77777777" w:rsidR="00B20198" w:rsidRDefault="00B20198" w:rsidP="00B20198"/>
        </w:tc>
        <w:tc>
          <w:tcPr>
            <w:tcW w:w="2220" w:type="dxa"/>
            <w:vAlign w:val="bottom"/>
          </w:tcPr>
          <w:p w14:paraId="65310ACB" w14:textId="5CAB7A5F" w:rsidR="00B20198" w:rsidRDefault="00B20198" w:rsidP="00B20198">
            <w:proofErr w:type="spellStart"/>
            <w:r>
              <w:t>Булозен</w:t>
            </w:r>
            <w:proofErr w:type="spellEnd"/>
            <w:r>
              <w:t xml:space="preserve"> дерматит (токсична епидермална </w:t>
            </w:r>
            <w:proofErr w:type="spellStart"/>
            <w:r>
              <w:t>некролиза</w:t>
            </w:r>
            <w:proofErr w:type="spellEnd"/>
            <w:r>
              <w:t xml:space="preserve">, синдром на </w:t>
            </w:r>
            <w:r>
              <w:rPr>
                <w:lang w:val="en-US"/>
              </w:rPr>
              <w:t xml:space="preserve">Stevens-Johnson, </w:t>
            </w:r>
            <w:r>
              <w:t xml:space="preserve">еритема </w:t>
            </w:r>
            <w:proofErr w:type="spellStart"/>
            <w:r>
              <w:t>мултиформе</w:t>
            </w:r>
            <w:proofErr w:type="spellEnd"/>
            <w:r>
              <w:t xml:space="preserve">, остра генерализирана </w:t>
            </w:r>
            <w:proofErr w:type="spellStart"/>
            <w:r>
              <w:t>екзантематозна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(AGEP)), </w:t>
            </w:r>
            <w:r>
              <w:t xml:space="preserve">ангиоедем, лекарствено-индуциран синдром на свръхчувствителност, лекарствен обрив с </w:t>
            </w:r>
            <w:proofErr w:type="spellStart"/>
            <w:r>
              <w:t>еозинофилия</w:t>
            </w:r>
            <w:proofErr w:type="spellEnd"/>
            <w:r>
              <w:t xml:space="preserve"> и системни симптоми </w:t>
            </w:r>
            <w:r>
              <w:rPr>
                <w:lang w:val="en-US"/>
              </w:rPr>
              <w:t xml:space="preserve">(DRESS), </w:t>
            </w:r>
            <w:proofErr w:type="spellStart"/>
            <w:r>
              <w:t>еритематозен</w:t>
            </w:r>
            <w:proofErr w:type="spellEnd"/>
            <w:r>
              <w:t xml:space="preserve"> обрив, </w:t>
            </w:r>
            <w:proofErr w:type="spellStart"/>
            <w:r>
              <w:t>ексфолиативен</w:t>
            </w:r>
            <w:proofErr w:type="spellEnd"/>
            <w:r>
              <w:t xml:space="preserve"> дерматит, </w:t>
            </w:r>
            <w:r>
              <w:lastRenderedPageBreak/>
              <w:t xml:space="preserve">уртикария, екзема, </w:t>
            </w:r>
            <w:proofErr w:type="spellStart"/>
            <w:r>
              <w:t>лихен</w:t>
            </w:r>
            <w:proofErr w:type="spellEnd"/>
            <w:r>
              <w:t xml:space="preserve"> </w:t>
            </w:r>
            <w:proofErr w:type="spellStart"/>
            <w:r>
              <w:t>планус</w:t>
            </w:r>
            <w:proofErr w:type="spellEnd"/>
          </w:p>
        </w:tc>
      </w:tr>
      <w:tr w:rsidR="00C17DA2" w14:paraId="5583A42B" w14:textId="77777777" w:rsidTr="00C17DA2">
        <w:tc>
          <w:tcPr>
            <w:tcW w:w="1771" w:type="dxa"/>
            <w:vAlign w:val="bottom"/>
          </w:tcPr>
          <w:p w14:paraId="062F9DD2" w14:textId="08E107AA" w:rsidR="00C17DA2" w:rsidRDefault="00C17DA2" w:rsidP="00C17DA2">
            <w:r>
              <w:lastRenderedPageBreak/>
              <w:t>Нарушения на репродуктивната система и гърдата</w:t>
            </w:r>
          </w:p>
        </w:tc>
        <w:tc>
          <w:tcPr>
            <w:tcW w:w="1391" w:type="dxa"/>
          </w:tcPr>
          <w:p w14:paraId="6BC63237" w14:textId="77777777" w:rsidR="00C17DA2" w:rsidRDefault="00C17DA2" w:rsidP="00C17DA2"/>
        </w:tc>
        <w:tc>
          <w:tcPr>
            <w:tcW w:w="1919" w:type="dxa"/>
          </w:tcPr>
          <w:p w14:paraId="2D815946" w14:textId="77777777" w:rsidR="00C17DA2" w:rsidRDefault="00C17DA2" w:rsidP="00C17DA2"/>
        </w:tc>
        <w:tc>
          <w:tcPr>
            <w:tcW w:w="2049" w:type="dxa"/>
          </w:tcPr>
          <w:p w14:paraId="564A9E7B" w14:textId="3BEFADAB" w:rsidR="00C17DA2" w:rsidRDefault="00C17DA2" w:rsidP="00C17DA2">
            <w:proofErr w:type="spellStart"/>
            <w:r>
              <w:t>Гинекомастия</w:t>
            </w:r>
            <w:proofErr w:type="spellEnd"/>
          </w:p>
        </w:tc>
        <w:tc>
          <w:tcPr>
            <w:tcW w:w="2220" w:type="dxa"/>
          </w:tcPr>
          <w:p w14:paraId="07AEBC8A" w14:textId="77777777" w:rsidR="00C17DA2" w:rsidRDefault="00C17DA2" w:rsidP="00C17DA2"/>
        </w:tc>
      </w:tr>
      <w:tr w:rsidR="00C17DA2" w14:paraId="4D1FFCCD" w14:textId="77777777" w:rsidTr="00C17DA2">
        <w:tc>
          <w:tcPr>
            <w:tcW w:w="1771" w:type="dxa"/>
          </w:tcPr>
          <w:p w14:paraId="363DDBA4" w14:textId="74E659B3" w:rsidR="00C17DA2" w:rsidRDefault="00C17DA2" w:rsidP="00C17DA2">
            <w:r>
              <w:t>Нарушения на мускулно- скелетната система и съединителната тъкан</w:t>
            </w:r>
          </w:p>
        </w:tc>
        <w:tc>
          <w:tcPr>
            <w:tcW w:w="1391" w:type="dxa"/>
          </w:tcPr>
          <w:p w14:paraId="7E1FEA22" w14:textId="77777777" w:rsidR="00C17DA2" w:rsidRDefault="00C17DA2" w:rsidP="00C17DA2"/>
        </w:tc>
        <w:tc>
          <w:tcPr>
            <w:tcW w:w="1919" w:type="dxa"/>
          </w:tcPr>
          <w:p w14:paraId="2966061A" w14:textId="77777777" w:rsidR="00C17DA2" w:rsidRDefault="00C17DA2" w:rsidP="00C17DA2"/>
        </w:tc>
        <w:tc>
          <w:tcPr>
            <w:tcW w:w="2049" w:type="dxa"/>
          </w:tcPr>
          <w:p w14:paraId="4A04CEB7" w14:textId="77777777" w:rsidR="00C17DA2" w:rsidRDefault="00C17DA2" w:rsidP="00C17DA2"/>
        </w:tc>
        <w:tc>
          <w:tcPr>
            <w:tcW w:w="2220" w:type="dxa"/>
          </w:tcPr>
          <w:p w14:paraId="357B0FF5" w14:textId="440C2D66" w:rsidR="00C17DA2" w:rsidRDefault="00C17DA2" w:rsidP="00C17DA2">
            <w:r>
              <w:t>Кръвоизливи в мускулно- скелетната система (</w:t>
            </w:r>
            <w:proofErr w:type="spellStart"/>
            <w:r>
              <w:t>хемартроза</w:t>
            </w:r>
            <w:proofErr w:type="spellEnd"/>
            <w:r>
              <w:t xml:space="preserve">), артрит, </w:t>
            </w:r>
            <w:proofErr w:type="spellStart"/>
            <w:r>
              <w:t>артралгия</w:t>
            </w:r>
            <w:proofErr w:type="spellEnd"/>
            <w:r>
              <w:t xml:space="preserve">, </w:t>
            </w:r>
            <w:proofErr w:type="spellStart"/>
            <w:r>
              <w:t>миалгия</w:t>
            </w:r>
            <w:proofErr w:type="spellEnd"/>
          </w:p>
        </w:tc>
      </w:tr>
      <w:tr w:rsidR="00C17DA2" w14:paraId="24AF39B1" w14:textId="77777777" w:rsidTr="00C17DA2">
        <w:tc>
          <w:tcPr>
            <w:tcW w:w="1771" w:type="dxa"/>
            <w:vAlign w:val="bottom"/>
          </w:tcPr>
          <w:p w14:paraId="5F32134C" w14:textId="2236882F" w:rsidR="00C17DA2" w:rsidRDefault="00C17DA2" w:rsidP="00C17DA2">
            <w:r>
              <w:t>Нарушения на бъбреците и пикочните пътища</w:t>
            </w:r>
          </w:p>
        </w:tc>
        <w:tc>
          <w:tcPr>
            <w:tcW w:w="1391" w:type="dxa"/>
          </w:tcPr>
          <w:p w14:paraId="1F1B27BF" w14:textId="77777777" w:rsidR="00C17DA2" w:rsidRDefault="00C17DA2" w:rsidP="00C17DA2"/>
        </w:tc>
        <w:tc>
          <w:tcPr>
            <w:tcW w:w="1919" w:type="dxa"/>
          </w:tcPr>
          <w:p w14:paraId="6FD09BC2" w14:textId="21133CA8" w:rsidR="00C17DA2" w:rsidRDefault="00C17DA2" w:rsidP="00C17DA2">
            <w:proofErr w:type="spellStart"/>
            <w:r>
              <w:t>Хематурия</w:t>
            </w:r>
            <w:proofErr w:type="spellEnd"/>
          </w:p>
        </w:tc>
        <w:tc>
          <w:tcPr>
            <w:tcW w:w="2049" w:type="dxa"/>
          </w:tcPr>
          <w:p w14:paraId="30F4455B" w14:textId="77777777" w:rsidR="00C17DA2" w:rsidRDefault="00C17DA2" w:rsidP="00C17DA2"/>
        </w:tc>
        <w:tc>
          <w:tcPr>
            <w:tcW w:w="2220" w:type="dxa"/>
            <w:vAlign w:val="bottom"/>
          </w:tcPr>
          <w:p w14:paraId="7A0ABABD" w14:textId="77777777" w:rsidR="00C17DA2" w:rsidRDefault="00C17DA2" w:rsidP="00C17DA2">
            <w:proofErr w:type="spellStart"/>
            <w:r>
              <w:t>Гломерулонефрит</w:t>
            </w:r>
            <w:proofErr w:type="spellEnd"/>
            <w:r>
              <w:t xml:space="preserve"> повишен </w:t>
            </w:r>
            <w:proofErr w:type="spellStart"/>
            <w:r>
              <w:t>креатинин</w:t>
            </w:r>
            <w:proofErr w:type="spellEnd"/>
            <w:r>
              <w:t xml:space="preserve"> в</w:t>
            </w:r>
          </w:p>
          <w:p w14:paraId="261592D8" w14:textId="08AAF055" w:rsidR="00C17DA2" w:rsidRDefault="00C17DA2" w:rsidP="00C17DA2">
            <w:r>
              <w:t>кръвта</w:t>
            </w:r>
          </w:p>
        </w:tc>
      </w:tr>
      <w:tr w:rsidR="00C17DA2" w14:paraId="4D9478E6" w14:textId="77777777" w:rsidTr="00C17DA2">
        <w:tc>
          <w:tcPr>
            <w:tcW w:w="1771" w:type="dxa"/>
          </w:tcPr>
          <w:p w14:paraId="53F81E49" w14:textId="77777777" w:rsidR="00C17DA2" w:rsidRDefault="00C17DA2" w:rsidP="00C17DA2">
            <w:r>
              <w:t>Общи нарушения и</w:t>
            </w:r>
          </w:p>
          <w:p w14:paraId="7145113E" w14:textId="10B17558" w:rsidR="00C17DA2" w:rsidRPr="00C17DA2" w:rsidRDefault="00C17DA2" w:rsidP="00C17DA2">
            <w:pPr>
              <w:rPr>
                <w:sz w:val="24"/>
                <w:szCs w:val="24"/>
              </w:rPr>
            </w:pPr>
            <w:r w:rsidRPr="00C17DA2">
              <w:rPr>
                <w:lang w:eastAsia="bg-BG"/>
              </w:rPr>
              <w:t>ефекти на мястото на приложение</w:t>
            </w:r>
          </w:p>
        </w:tc>
        <w:tc>
          <w:tcPr>
            <w:tcW w:w="1391" w:type="dxa"/>
          </w:tcPr>
          <w:p w14:paraId="199F92A5" w14:textId="77777777" w:rsidR="00C17DA2" w:rsidRPr="00C17DA2" w:rsidRDefault="00C17DA2" w:rsidP="00C17DA2">
            <w:pPr>
              <w:rPr>
                <w:sz w:val="24"/>
                <w:szCs w:val="24"/>
              </w:rPr>
            </w:pPr>
            <w:r>
              <w:t xml:space="preserve">Кръвоизлив на мястото </w:t>
            </w:r>
            <w:r w:rsidRPr="00C17DA2">
              <w:rPr>
                <w:color w:val="000000"/>
                <w:lang w:eastAsia="bg-BG"/>
              </w:rPr>
              <w:t>на</w:t>
            </w:r>
          </w:p>
          <w:p w14:paraId="01B35E7B" w14:textId="19C98296" w:rsidR="00C17DA2" w:rsidRDefault="00C17DA2" w:rsidP="00C17DA2">
            <w:r w:rsidRPr="00C17DA2">
              <w:rPr>
                <w:color w:val="000000"/>
                <w:lang w:eastAsia="bg-BG"/>
              </w:rPr>
              <w:t>инжектиране</w:t>
            </w:r>
          </w:p>
        </w:tc>
        <w:tc>
          <w:tcPr>
            <w:tcW w:w="1919" w:type="dxa"/>
          </w:tcPr>
          <w:p w14:paraId="593C37F9" w14:textId="77777777" w:rsidR="00C17DA2" w:rsidRDefault="00C17DA2" w:rsidP="00C17DA2"/>
        </w:tc>
        <w:tc>
          <w:tcPr>
            <w:tcW w:w="2049" w:type="dxa"/>
          </w:tcPr>
          <w:p w14:paraId="763C3A80" w14:textId="77777777" w:rsidR="00C17DA2" w:rsidRDefault="00C17DA2" w:rsidP="00C17DA2"/>
        </w:tc>
        <w:tc>
          <w:tcPr>
            <w:tcW w:w="2220" w:type="dxa"/>
          </w:tcPr>
          <w:p w14:paraId="7F9D38AE" w14:textId="7B134AF0" w:rsidR="00C17DA2" w:rsidRDefault="00C17DA2" w:rsidP="00C17DA2">
            <w:r>
              <w:t>Треска</w:t>
            </w:r>
          </w:p>
        </w:tc>
      </w:tr>
      <w:tr w:rsidR="00C17DA2" w14:paraId="6FA70461" w14:textId="77777777" w:rsidTr="00C17DA2">
        <w:tc>
          <w:tcPr>
            <w:tcW w:w="1771" w:type="dxa"/>
          </w:tcPr>
          <w:p w14:paraId="53EEFBFA" w14:textId="6CD8F4D5" w:rsidR="00C17DA2" w:rsidRDefault="00C17DA2" w:rsidP="00C17DA2">
            <w:r>
              <w:t>Изследвания</w:t>
            </w:r>
          </w:p>
        </w:tc>
        <w:tc>
          <w:tcPr>
            <w:tcW w:w="1391" w:type="dxa"/>
          </w:tcPr>
          <w:p w14:paraId="1245794B" w14:textId="77777777" w:rsidR="00C17DA2" w:rsidRDefault="00C17DA2" w:rsidP="00C17DA2"/>
        </w:tc>
        <w:tc>
          <w:tcPr>
            <w:tcW w:w="1919" w:type="dxa"/>
          </w:tcPr>
          <w:p w14:paraId="0E4AF310" w14:textId="5A356F10" w:rsidR="00C17DA2" w:rsidRDefault="00C17DA2" w:rsidP="00C17DA2">
            <w:r>
              <w:t xml:space="preserve">Удължено време на кървене, понижен брой </w:t>
            </w:r>
            <w:proofErr w:type="spellStart"/>
            <w:r>
              <w:t>неутрофили</w:t>
            </w:r>
            <w:proofErr w:type="spellEnd"/>
            <w:r>
              <w:t xml:space="preserve">, понижен брой </w:t>
            </w:r>
            <w:proofErr w:type="spellStart"/>
            <w:r>
              <w:t>тромбоцити</w:t>
            </w:r>
            <w:proofErr w:type="spellEnd"/>
          </w:p>
        </w:tc>
        <w:tc>
          <w:tcPr>
            <w:tcW w:w="2049" w:type="dxa"/>
          </w:tcPr>
          <w:p w14:paraId="6C5B64DB" w14:textId="77777777" w:rsidR="00C17DA2" w:rsidRDefault="00C17DA2" w:rsidP="00C17DA2"/>
        </w:tc>
        <w:tc>
          <w:tcPr>
            <w:tcW w:w="2220" w:type="dxa"/>
          </w:tcPr>
          <w:p w14:paraId="093920AB" w14:textId="77777777" w:rsidR="00C17DA2" w:rsidRDefault="00C17DA2" w:rsidP="00C17DA2"/>
        </w:tc>
      </w:tr>
    </w:tbl>
    <w:p w14:paraId="172355AE" w14:textId="0AB5D8B7" w:rsidR="00C17DA2" w:rsidRPr="00C17DA2" w:rsidRDefault="00C17DA2" w:rsidP="00C17DA2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>*</w:t>
      </w:r>
      <w:r w:rsidRPr="00C17DA2">
        <w:rPr>
          <w:rFonts w:eastAsia="Times New Roman" w:cs="Arial"/>
          <w:color w:val="000000"/>
          <w:lang w:eastAsia="bg-BG"/>
        </w:rPr>
        <w:t xml:space="preserve">Информация свързана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с честота "с неизвестна честота".</w:t>
      </w:r>
    </w:p>
    <w:p w14:paraId="7CC35250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19ABF70" w14:textId="1F90456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8AF139C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Дамян Груев № 8, 1303 София, тел: +359 2 8903417, уебсайт: </w:t>
      </w:r>
      <w:hyperlink r:id="rId5" w:history="1">
        <w:r w:rsidRPr="00C17DA2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  <w:r w:rsidRPr="00C17DA2">
        <w:rPr>
          <w:rFonts w:eastAsia="Times New Roman" w:cs="Arial"/>
          <w:color w:val="000000"/>
          <w:lang w:val="en-US"/>
        </w:rPr>
        <w:t>.</w:t>
      </w:r>
    </w:p>
    <w:p w14:paraId="52FC82A8" w14:textId="77777777" w:rsidR="00B20198" w:rsidRPr="00B20198" w:rsidRDefault="00B20198" w:rsidP="00B20198"/>
    <w:p w14:paraId="34F37BFA" w14:textId="7D4791F5" w:rsidR="00EF02F6" w:rsidRDefault="002C50EE" w:rsidP="003E00C0">
      <w:pPr>
        <w:pStyle w:val="2"/>
      </w:pPr>
      <w:r>
        <w:t>4.9. Предозиране</w:t>
      </w:r>
    </w:p>
    <w:p w14:paraId="3DB76E06" w14:textId="4104A622" w:rsidR="00C17DA2" w:rsidRDefault="00C17DA2" w:rsidP="00C17DA2"/>
    <w:p w14:paraId="4CC266FB" w14:textId="77777777" w:rsidR="00C17DA2" w:rsidRPr="00C17DA2" w:rsidRDefault="00C17DA2" w:rsidP="00C17DA2">
      <w:pPr>
        <w:rPr>
          <w:sz w:val="24"/>
          <w:szCs w:val="24"/>
        </w:rPr>
      </w:pPr>
      <w:r w:rsidRPr="00C17DA2">
        <w:rPr>
          <w:lang w:eastAsia="bg-BG"/>
        </w:rPr>
        <w:t xml:space="preserve">Предозирането след приложение на </w:t>
      </w:r>
      <w:proofErr w:type="spellStart"/>
      <w:r w:rsidRPr="00C17DA2">
        <w:rPr>
          <w:lang w:eastAsia="bg-BG"/>
        </w:rPr>
        <w:t>клопидогрел</w:t>
      </w:r>
      <w:proofErr w:type="spellEnd"/>
      <w:r w:rsidRPr="00C17DA2">
        <w:rPr>
          <w:lang w:eastAsia="bg-BG"/>
        </w:rPr>
        <w:t xml:space="preserve"> може да доведе до удължено време на кървене и последващите усложнения от кървенето. Ако възникне кървене, трябва да се приложи подходяща терапия.</w:t>
      </w:r>
    </w:p>
    <w:p w14:paraId="588DA6B0" w14:textId="77777777" w:rsidR="00C17DA2" w:rsidRDefault="00C17DA2" w:rsidP="00C17DA2">
      <w:pPr>
        <w:rPr>
          <w:lang w:eastAsia="bg-BG"/>
        </w:rPr>
      </w:pPr>
    </w:p>
    <w:p w14:paraId="58F59C40" w14:textId="617820C2" w:rsidR="00C17DA2" w:rsidRPr="00C17DA2" w:rsidRDefault="00C17DA2" w:rsidP="00C17DA2">
      <w:pPr>
        <w:rPr>
          <w:sz w:val="24"/>
          <w:szCs w:val="24"/>
        </w:rPr>
      </w:pPr>
      <w:r w:rsidRPr="00C17DA2">
        <w:rPr>
          <w:lang w:eastAsia="bg-BG"/>
        </w:rPr>
        <w:t xml:space="preserve">Не е установен антидот на фармакологичната активност на </w:t>
      </w:r>
      <w:proofErr w:type="spellStart"/>
      <w:r w:rsidRPr="00C17DA2">
        <w:rPr>
          <w:lang w:eastAsia="bg-BG"/>
        </w:rPr>
        <w:t>клопидогрел</w:t>
      </w:r>
      <w:proofErr w:type="spellEnd"/>
      <w:r w:rsidRPr="00C17DA2">
        <w:rPr>
          <w:lang w:eastAsia="bg-BG"/>
        </w:rPr>
        <w:t xml:space="preserve">. Ако е необходима незабавна корекция на удълженото време на кървене, противодействие на ефектите на </w:t>
      </w:r>
      <w:proofErr w:type="spellStart"/>
      <w:r w:rsidRPr="00C17DA2">
        <w:rPr>
          <w:lang w:eastAsia="bg-BG"/>
        </w:rPr>
        <w:t>клопидогрел</w:t>
      </w:r>
      <w:proofErr w:type="spellEnd"/>
      <w:r w:rsidRPr="00C17DA2">
        <w:rPr>
          <w:lang w:eastAsia="bg-BG"/>
        </w:rPr>
        <w:t xml:space="preserve"> се постига с трансфузия на </w:t>
      </w:r>
      <w:proofErr w:type="spellStart"/>
      <w:r w:rsidRPr="00C17DA2">
        <w:rPr>
          <w:lang w:eastAsia="bg-BG"/>
        </w:rPr>
        <w:t>тромбоцитна</w:t>
      </w:r>
      <w:proofErr w:type="spellEnd"/>
      <w:r w:rsidRPr="00C17DA2">
        <w:rPr>
          <w:lang w:eastAsia="bg-BG"/>
        </w:rPr>
        <w:t xml:space="preserve"> маса.</w:t>
      </w:r>
    </w:p>
    <w:p w14:paraId="6A664AE7" w14:textId="77777777" w:rsidR="00C17DA2" w:rsidRPr="00C17DA2" w:rsidRDefault="00C17DA2" w:rsidP="00C17DA2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3EC4E446" w14:textId="4D40A393" w:rsidR="00EF02F6" w:rsidRDefault="002C50EE" w:rsidP="003E00C0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3D01EFC" w14:textId="2241888F" w:rsidR="00C17DA2" w:rsidRDefault="00C17DA2" w:rsidP="00C17DA2"/>
    <w:p w14:paraId="696A74ED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група: инхибитори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агрегация, изключвайки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АТС код: В01АС04</w:t>
      </w:r>
    </w:p>
    <w:p w14:paraId="6CA787A1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148562" w14:textId="721D648E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41704BC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4DDFEA" w14:textId="4AD13FCA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предлекарство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val="en-US"/>
        </w:rPr>
        <w:t xml:space="preserve">(prodrug), </w:t>
      </w:r>
      <w:r w:rsidRPr="00C17DA2">
        <w:rPr>
          <w:rFonts w:eastAsia="Times New Roman" w:cs="Arial"/>
          <w:color w:val="000000"/>
          <w:lang w:eastAsia="bg-BG"/>
        </w:rPr>
        <w:t xml:space="preserve">един от метаболитите на който има инхибираща активност върху агрегацията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чрез ензимите на </w:t>
      </w:r>
      <w:r w:rsidRPr="00C17DA2">
        <w:rPr>
          <w:rFonts w:eastAsia="Times New Roman" w:cs="Arial"/>
          <w:color w:val="000000"/>
          <w:lang w:val="en-US"/>
        </w:rPr>
        <w:t xml:space="preserve">CYP450, </w:t>
      </w:r>
      <w:r w:rsidRPr="00C17DA2">
        <w:rPr>
          <w:rFonts w:eastAsia="Times New Roman" w:cs="Arial"/>
          <w:color w:val="000000"/>
          <w:lang w:eastAsia="bg-BG"/>
        </w:rPr>
        <w:t xml:space="preserve">в резултат на което се получава активния метаболит, инхибиращ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агрегация. Активният метаболит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селективно инхибира свързването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аденозин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дифосфат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(АДФ) към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му </w:t>
      </w:r>
      <w:r w:rsidRPr="00C17DA2">
        <w:rPr>
          <w:rFonts w:eastAsia="Times New Roman" w:cs="Arial"/>
          <w:color w:val="000000"/>
          <w:lang w:val="en-US"/>
        </w:rPr>
        <w:t>P2Y</w:t>
      </w:r>
      <w:r w:rsidRPr="00C17DA2">
        <w:rPr>
          <w:rFonts w:eastAsia="Times New Roman" w:cs="Arial"/>
          <w:color w:val="000000"/>
          <w:vertAlign w:val="subscript"/>
          <w:lang w:val="en-US"/>
        </w:rPr>
        <w:t>12</w:t>
      </w:r>
      <w:r w:rsidRPr="00C17DA2">
        <w:rPr>
          <w:rFonts w:eastAsia="Times New Roman" w:cs="Arial"/>
          <w:color w:val="000000"/>
          <w:lang w:val="en-US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>рецептор и последващата АДФ-</w:t>
      </w:r>
      <w:proofErr w:type="spellStart"/>
      <w:r w:rsidRPr="00C17DA2">
        <w:rPr>
          <w:rFonts w:eastAsia="Times New Roman" w:cs="Arial"/>
          <w:color w:val="000000"/>
          <w:lang w:eastAsia="bg-BG"/>
        </w:rPr>
        <w:t>медиирана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активация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гликопротеин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val="en-US"/>
        </w:rPr>
        <w:t>IIb</w:t>
      </w:r>
      <w:r w:rsidRPr="00C17DA2">
        <w:rPr>
          <w:rFonts w:eastAsia="Times New Roman" w:cs="Arial"/>
          <w:color w:val="000000"/>
          <w:lang w:eastAsia="bg-BG"/>
        </w:rPr>
        <w:t>/</w:t>
      </w:r>
      <w:r w:rsidRPr="00C17DA2">
        <w:rPr>
          <w:rFonts w:eastAsia="Times New Roman" w:cs="Arial"/>
          <w:color w:val="000000"/>
          <w:lang w:val="en-US"/>
        </w:rPr>
        <w:t>III</w:t>
      </w:r>
      <w:r w:rsidRPr="00C17DA2">
        <w:rPr>
          <w:rFonts w:eastAsia="Times New Roman" w:cs="Arial"/>
          <w:color w:val="000000"/>
          <w:lang w:eastAsia="bg-BG"/>
        </w:rPr>
        <w:t xml:space="preserve">а комплекса, като по този начин инхибира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агрегация. Поради необратимото свързване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подложени на влиянието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остават променени до края на своя живот (приблизително 7 до 10 дни) и възстановяването на нормална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функция настъпва със скорост, съответстваща на скоростта на обменяне </w:t>
      </w:r>
      <w:r w:rsidRPr="00C17DA2">
        <w:rPr>
          <w:rFonts w:eastAsia="Times New Roman" w:cs="Arial"/>
          <w:color w:val="000000"/>
          <w:lang w:val="en-US"/>
        </w:rPr>
        <w:t xml:space="preserve">(“turnover”) </w:t>
      </w:r>
      <w:r w:rsidRPr="00C17DA2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агрегация, предизвикана от други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агонисти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също се инхибира чрез блокиране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активация от освободения АДФ.</w:t>
      </w:r>
    </w:p>
    <w:p w14:paraId="674485E3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93C948" w14:textId="4C40A69C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>Тъй като активният метаболит се образува под влияние на ензимите на</w:t>
      </w:r>
      <w:r w:rsidRPr="00C17DA2">
        <w:rPr>
          <w:rFonts w:eastAsia="Times New Roman" w:cs="Arial"/>
          <w:color w:val="000000"/>
          <w:lang w:val="en-US"/>
        </w:rPr>
        <w:t xml:space="preserve"> CYP450 </w:t>
      </w:r>
      <w:r w:rsidRPr="00C17DA2">
        <w:rPr>
          <w:rFonts w:eastAsia="Times New Roman" w:cs="Arial"/>
          <w:color w:val="000000"/>
          <w:lang w:eastAsia="bg-BG"/>
        </w:rPr>
        <w:t xml:space="preserve">някои от които са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полиморфни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или обект на инхибиране от други лекарствени продукти, не при всички</w:t>
      </w:r>
    </w:p>
    <w:p w14:paraId="509DAE9D" w14:textId="31307BB4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17DA2">
        <w:rPr>
          <w:rFonts w:eastAsia="Times New Roman" w:cs="Arial"/>
          <w:color w:val="000000"/>
          <w:lang w:eastAsia="bg-BG"/>
        </w:rPr>
        <w:t xml:space="preserve">пациенти би се получила задоволителна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инхибиция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</w:t>
      </w:r>
      <w:r w:rsidRPr="00C17DA2">
        <w:rPr>
          <w:rFonts w:eastAsia="Times New Roman" w:cs="Arial"/>
          <w:color w:val="000000"/>
          <w:lang w:eastAsia="bg-BG"/>
        </w:rPr>
        <w:t>.</w:t>
      </w:r>
    </w:p>
    <w:p w14:paraId="2C0683BB" w14:textId="10F86086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E9ACDF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C17DA2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52243D19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99B0D1" w14:textId="205403D8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Многократното приложение на 75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 xml:space="preserve">дневно води до устойчиво инхибиране на АДФ- индуцираната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 от първия ден, което прогресивно нараства и достига </w:t>
      </w:r>
      <w:r w:rsidRPr="00C17DA2">
        <w:rPr>
          <w:rFonts w:eastAsia="Times New Roman" w:cs="Arial"/>
          <w:i/>
          <w:iCs/>
          <w:color w:val="000000"/>
          <w:lang w:val="en-US"/>
        </w:rPr>
        <w:t>steady state</w:t>
      </w:r>
      <w:r w:rsidRPr="00C17DA2">
        <w:rPr>
          <w:rFonts w:eastAsia="Times New Roman" w:cs="Arial"/>
          <w:color w:val="000000"/>
          <w:lang w:val="en-US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между 3 и 7 ден. При </w:t>
      </w:r>
      <w:r w:rsidRPr="00C17DA2">
        <w:rPr>
          <w:rFonts w:eastAsia="Times New Roman" w:cs="Arial"/>
          <w:i/>
          <w:iCs/>
          <w:color w:val="000000"/>
          <w:lang w:val="en-US"/>
        </w:rPr>
        <w:t>steady state</w:t>
      </w:r>
      <w:r w:rsidRPr="00C17DA2">
        <w:rPr>
          <w:rFonts w:eastAsia="Times New Roman" w:cs="Arial"/>
          <w:color w:val="000000"/>
          <w:lang w:val="en-US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средното ниво на инхибиране, постигнато със75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 xml:space="preserve">дневно, е между 40% и 60%.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 и времето на кървене постепенно се възвръщат към изходните стойности обикновено 5 дни след прекъсване на лечението.</w:t>
      </w:r>
    </w:p>
    <w:p w14:paraId="524AF2DE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021188B" w14:textId="32E33A93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23F2C102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B7656F" w14:textId="746A0FF3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оценена в 5 двойно-слепи изпитвания, включващи над 80 000 пациенти: изпитването </w:t>
      </w:r>
      <w:r w:rsidRPr="00C17DA2">
        <w:rPr>
          <w:rFonts w:eastAsia="Times New Roman" w:cs="Arial"/>
          <w:color w:val="000000"/>
          <w:lang w:val="en-US"/>
        </w:rPr>
        <w:t xml:space="preserve">CAPRIE, </w:t>
      </w:r>
      <w:r w:rsidRPr="00C17DA2">
        <w:rPr>
          <w:rFonts w:eastAsia="Times New Roman" w:cs="Arial"/>
          <w:color w:val="000000"/>
          <w:lang w:eastAsia="bg-BG"/>
        </w:rPr>
        <w:t xml:space="preserve">сравнение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АСК, и изпитванията </w:t>
      </w:r>
      <w:r w:rsidRPr="00C17DA2">
        <w:rPr>
          <w:rFonts w:eastAsia="Times New Roman" w:cs="Arial"/>
          <w:color w:val="000000"/>
          <w:lang w:val="en-US"/>
        </w:rPr>
        <w:t xml:space="preserve">CURE, CLARITY, COMMIT </w:t>
      </w:r>
      <w:r w:rsidRPr="00C17DA2">
        <w:rPr>
          <w:rFonts w:eastAsia="Times New Roman" w:cs="Arial"/>
          <w:color w:val="000000"/>
          <w:lang w:eastAsia="bg-BG"/>
        </w:rPr>
        <w:t xml:space="preserve">и </w:t>
      </w:r>
      <w:r w:rsidRPr="00C17DA2">
        <w:rPr>
          <w:rFonts w:eastAsia="Times New Roman" w:cs="Arial"/>
          <w:color w:val="000000"/>
          <w:lang w:val="en-US"/>
        </w:rPr>
        <w:t xml:space="preserve">ACTIVE-A, </w:t>
      </w:r>
      <w:r w:rsidRPr="00C17DA2">
        <w:rPr>
          <w:rFonts w:eastAsia="Times New Roman" w:cs="Arial"/>
          <w:color w:val="000000"/>
          <w:lang w:eastAsia="bg-BG"/>
        </w:rPr>
        <w:t xml:space="preserve">сравняващи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с плацебо и двата лекарствени продукта в комбинация с АСК и друга стандартна терапия.</w:t>
      </w:r>
    </w:p>
    <w:p w14:paraId="3B02C5C6" w14:textId="77777777" w:rsidR="00C17DA2" w:rsidRPr="00C17DA2" w:rsidRDefault="00C17DA2" w:rsidP="00C17D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6BB4478" w14:textId="360A0F89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i/>
          <w:iCs/>
          <w:color w:val="000000"/>
          <w:lang w:eastAsia="bg-BG"/>
        </w:rPr>
        <w:t>Пресен миокарден инфаркт (МИ), пресен мозъчен инсулт или установена периферна артериална болест</w:t>
      </w:r>
    </w:p>
    <w:p w14:paraId="198C4A46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3E6DB5" w14:textId="592FCB04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Проучването </w:t>
      </w:r>
      <w:r w:rsidRPr="00C17DA2">
        <w:rPr>
          <w:rFonts w:eastAsia="Times New Roman" w:cs="Arial"/>
          <w:color w:val="000000"/>
          <w:lang w:val="en-US"/>
        </w:rPr>
        <w:t xml:space="preserve">CAPRIE </w:t>
      </w:r>
      <w:r w:rsidRPr="00C17DA2">
        <w:rPr>
          <w:rFonts w:eastAsia="Times New Roman" w:cs="Arial"/>
          <w:color w:val="000000"/>
          <w:lang w:eastAsia="bg-BG"/>
        </w:rPr>
        <w:t xml:space="preserve">включва 19 185 пациенти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атеротромбоза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манифестирана с пресен миокарден инфаркт (&lt; 35 дни), пресен исхемичен инсулт (между 7 дни и 6 месеца) или доказана периферна артериална болест (ПАБ). Пациентите са рандомизирани на 75 </w:t>
      </w:r>
      <w:r w:rsidRPr="00C17DA2">
        <w:rPr>
          <w:rFonts w:eastAsia="Times New Roman" w:cs="Arial"/>
          <w:color w:val="000000"/>
          <w:lang w:val="en-US"/>
        </w:rPr>
        <w:lastRenderedPageBreak/>
        <w:t xml:space="preserve">mg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дневно или на 325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>АСК и са проследени от една до три години. В подгрупата с миокарден инфаркт, повечето от пациентите са получавали АСК през първите дни след острия инфаркт на миокарда.</w:t>
      </w:r>
    </w:p>
    <w:p w14:paraId="1E7A698B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03A8D8" w14:textId="3FC90966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значително редуцира честотата на новите исхемични инциденти (комбинирана крайна точка, включваща миокарден инфаркт, исхемичен инсулт и съдова смърт) в сравнение с АСК. В групата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са възникнали 939 инцидента, а в групата с АСК -1 020 (редукция на относителния риск </w:t>
      </w:r>
      <w:r w:rsidRPr="00C17DA2">
        <w:rPr>
          <w:rFonts w:eastAsia="Times New Roman" w:cs="Arial"/>
          <w:color w:val="000000"/>
          <w:lang w:val="en-US"/>
        </w:rPr>
        <w:t xml:space="preserve">(RRR) </w:t>
      </w:r>
      <w:r w:rsidRPr="00C17DA2">
        <w:rPr>
          <w:rFonts w:eastAsia="Times New Roman" w:cs="Arial"/>
          <w:color w:val="000000"/>
          <w:lang w:eastAsia="bg-BG"/>
        </w:rPr>
        <w:t xml:space="preserve">с 8,7% [95%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>0,2 до 16,4]; р = 0,045), което съответства за всеки 1 000 пациенти, лекувани две години, допълнително предотвратени исхемични инциденти при 10 пациенти [С</w:t>
      </w:r>
      <w:r w:rsidRPr="00C17DA2">
        <w:rPr>
          <w:rFonts w:eastAsia="Times New Roman" w:cs="Arial"/>
          <w:color w:val="000000"/>
          <w:lang w:val="en-US"/>
        </w:rPr>
        <w:t>I</w:t>
      </w:r>
      <w:r w:rsidRPr="00C17DA2">
        <w:rPr>
          <w:rFonts w:eastAsia="Times New Roman" w:cs="Arial"/>
          <w:color w:val="000000"/>
          <w:lang w:eastAsia="bg-BG"/>
        </w:rPr>
        <w:t xml:space="preserve">:0 до 20]. Анализът на общата смъртност като вторична крайна точка не показва значително различие между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(5,8%) и АСК (6%).</w:t>
      </w:r>
    </w:p>
    <w:p w14:paraId="454D4125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715C7C" w14:textId="23CB3216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При анализ на подгрупите според състоянието (миокарден инфаркт, исхемичен инсулт или ПАБ) най-благоприятен е ефектът (достига се статистическа значимост при р = 0,003) при пациентите с ПАБ, (особено тези, които са с анамнеза и за миокарден инфаркт) </w:t>
      </w:r>
      <w:r w:rsidRPr="00C17DA2">
        <w:rPr>
          <w:rFonts w:eastAsia="Times New Roman" w:cs="Arial"/>
          <w:color w:val="000000"/>
          <w:lang w:val="en-US"/>
        </w:rPr>
        <w:t xml:space="preserve">(RRR </w:t>
      </w:r>
      <w:r w:rsidRPr="00C17DA2">
        <w:rPr>
          <w:rFonts w:eastAsia="Times New Roman" w:cs="Arial"/>
          <w:color w:val="000000"/>
          <w:lang w:eastAsia="bg-BG"/>
        </w:rPr>
        <w:t xml:space="preserve">= 23,7%;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8,9 до 36,2) и по-слаб (без значима разлика спрямо АСК) при пациентите с инсулт </w:t>
      </w:r>
      <w:r w:rsidRPr="00C17DA2">
        <w:rPr>
          <w:rFonts w:eastAsia="Times New Roman" w:cs="Arial"/>
          <w:color w:val="000000"/>
          <w:lang w:val="en-US"/>
        </w:rPr>
        <w:t xml:space="preserve">(RRR </w:t>
      </w:r>
      <w:r w:rsidRPr="00C17DA2">
        <w:rPr>
          <w:rFonts w:eastAsia="Times New Roman" w:cs="Arial"/>
          <w:color w:val="000000"/>
          <w:lang w:eastAsia="bg-BG"/>
        </w:rPr>
        <w:t xml:space="preserve">= 7,3%;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-5,7 до 18,7) [р=0,258]. При пациентите, включени в изпитването поради скоро прекаран миокарден инфаркт,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по-малко ефективен, но без статистическа разлика спрямо АСК </w:t>
      </w:r>
      <w:r w:rsidRPr="00C17DA2">
        <w:rPr>
          <w:rFonts w:eastAsia="Times New Roman" w:cs="Arial"/>
          <w:color w:val="000000"/>
          <w:lang w:val="en-US"/>
        </w:rPr>
        <w:t xml:space="preserve">(RRR </w:t>
      </w:r>
      <w:r w:rsidRPr="00C17DA2">
        <w:rPr>
          <w:rFonts w:eastAsia="Times New Roman" w:cs="Arial"/>
          <w:color w:val="000000"/>
          <w:lang w:eastAsia="bg-BG"/>
        </w:rPr>
        <w:t xml:space="preserve">= 4%;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-22,5 до 11,7 [р=0,639]). Допълнително чрез анализ на подгрупите по отношение на възрастта се установява, че ефектът от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при пациенти над 75 години е по-слаб от този при пациентите &lt;75 години.</w:t>
      </w:r>
    </w:p>
    <w:p w14:paraId="3976F614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F5B7D2" w14:textId="136C369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Тъй като в проучването </w:t>
      </w:r>
      <w:r w:rsidRPr="00C17DA2">
        <w:rPr>
          <w:rFonts w:eastAsia="Times New Roman" w:cs="Arial"/>
          <w:color w:val="000000"/>
          <w:lang w:val="en-US"/>
        </w:rPr>
        <w:t xml:space="preserve">CAPRIE </w:t>
      </w:r>
      <w:r w:rsidRPr="00C17DA2">
        <w:rPr>
          <w:rFonts w:eastAsia="Times New Roman" w:cs="Arial"/>
          <w:color w:val="000000"/>
          <w:lang w:eastAsia="bg-BG"/>
        </w:rPr>
        <w:t>не е имало възможност за оценка на ефективността в отделните подгрупи, не е ясно дали различията в намаляване на относителния риск при отделните състояния са реални или са случайни.</w:t>
      </w:r>
    </w:p>
    <w:p w14:paraId="20F67E48" w14:textId="77777777" w:rsidR="00C17DA2" w:rsidRPr="00C17DA2" w:rsidRDefault="00C17DA2" w:rsidP="00C17D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E99C4A8" w14:textId="4C923B3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i/>
          <w:iCs/>
          <w:color w:val="000000"/>
          <w:lang w:eastAsia="bg-BG"/>
        </w:rPr>
        <w:t>Остър коронарен синдром</w:t>
      </w:r>
    </w:p>
    <w:p w14:paraId="4E404A38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D4AB0E" w14:textId="77777777" w:rsidR="00C17DA2" w:rsidRPr="00C17DA2" w:rsidRDefault="00C17DA2" w:rsidP="00C17DA2">
      <w:pPr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Проучването </w:t>
      </w:r>
      <w:r w:rsidRPr="00C17DA2">
        <w:rPr>
          <w:rFonts w:eastAsia="Times New Roman" w:cs="Arial"/>
          <w:color w:val="000000"/>
          <w:lang w:val="en-US"/>
        </w:rPr>
        <w:t xml:space="preserve">CURE </w:t>
      </w:r>
      <w:r w:rsidRPr="00C17DA2">
        <w:rPr>
          <w:rFonts w:eastAsia="Times New Roman" w:cs="Arial"/>
          <w:color w:val="000000"/>
          <w:lang w:eastAsia="bg-BG"/>
        </w:rPr>
        <w:t xml:space="preserve">включва 12 562 пациенти с остър коронарен синдром без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u w:val="single"/>
          <w:lang w:eastAsia="bg-BG"/>
        </w:rPr>
        <w:t xml:space="preserve">на </w:t>
      </w:r>
      <w:r w:rsidRPr="00C17DA2">
        <w:rPr>
          <w:rFonts w:eastAsia="Times New Roman" w:cs="Arial"/>
          <w:color w:val="000000"/>
          <w:u w:val="single"/>
          <w:lang w:val="en-US"/>
        </w:rPr>
        <w:t xml:space="preserve">ST </w:t>
      </w:r>
      <w:r w:rsidRPr="00C17DA2">
        <w:rPr>
          <w:rFonts w:eastAsia="Times New Roman" w:cs="Arial"/>
          <w:color w:val="000000"/>
          <w:lang w:eastAsia="bg-BG"/>
        </w:rPr>
        <w:t xml:space="preserve">сегмент (нестабилна стенокардия или миокарден инфаркт без </w:t>
      </w:r>
      <w:r w:rsidRPr="00C17DA2">
        <w:rPr>
          <w:rFonts w:eastAsia="Times New Roman" w:cs="Arial"/>
          <w:color w:val="000000"/>
          <w:lang w:val="en-US"/>
        </w:rPr>
        <w:t xml:space="preserve">Q </w:t>
      </w:r>
      <w:r w:rsidRPr="00C17DA2">
        <w:rPr>
          <w:rFonts w:eastAsia="Times New Roman" w:cs="Arial"/>
          <w:color w:val="000000"/>
          <w:lang w:eastAsia="bg-BG"/>
        </w:rPr>
        <w:t>зъбец) и наличието</w:t>
      </w:r>
      <w:r w:rsidRPr="00C17DA2">
        <w:rPr>
          <w:rFonts w:eastAsia="Times New Roman" w:cs="Arial"/>
          <w:color w:val="000000"/>
          <w:lang w:val="en-US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в първите 24 часа от началото на острия епизод на гръдна болка или симптоми в резултат на исхемия. Пациентите трябва да имат ЕКГ промени, говорещи за новопоявила се исхемия или повишени сърдечни ензими 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тропонин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I или Т, в стойности поне два пъти по-високи от горна граница на нормата. Пациентите се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рандомизират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(300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>натоварваща доза,</w:t>
      </w:r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последвана от 75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 xml:space="preserve">дневно, </w:t>
      </w:r>
      <w:r w:rsidRPr="00C17DA2">
        <w:rPr>
          <w:rFonts w:eastAsia="Times New Roman" w:cs="Arial"/>
          <w:color w:val="000000"/>
          <w:lang w:val="en-US"/>
        </w:rPr>
        <w:t xml:space="preserve">N </w:t>
      </w:r>
      <w:r w:rsidRPr="00C17DA2">
        <w:rPr>
          <w:rFonts w:eastAsia="Times New Roman" w:cs="Arial"/>
          <w:color w:val="000000"/>
          <w:lang w:eastAsia="bg-BG"/>
        </w:rPr>
        <w:t xml:space="preserve">= 6 259) или плацебо </w:t>
      </w:r>
      <w:r w:rsidRPr="00C17DA2">
        <w:rPr>
          <w:rFonts w:eastAsia="Times New Roman" w:cs="Arial"/>
          <w:color w:val="000000"/>
          <w:lang w:val="en-US"/>
        </w:rPr>
        <w:t xml:space="preserve">(N </w:t>
      </w:r>
      <w:r w:rsidRPr="00C17DA2">
        <w:rPr>
          <w:rFonts w:eastAsia="Times New Roman" w:cs="Arial"/>
          <w:color w:val="000000"/>
          <w:lang w:eastAsia="bg-BG"/>
        </w:rPr>
        <w:t xml:space="preserve">= 6 303), и двете групи в комбинация с АСК (75-325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 xml:space="preserve">веднъж дневно) и други стандартни терапии. Пациентите са лекувани до 1 година. В проучването </w:t>
      </w:r>
      <w:r w:rsidRPr="00C17DA2">
        <w:rPr>
          <w:rFonts w:eastAsia="Times New Roman" w:cs="Arial"/>
          <w:color w:val="000000"/>
          <w:lang w:val="en-US"/>
        </w:rPr>
        <w:t xml:space="preserve">CURE, </w:t>
      </w:r>
      <w:r w:rsidRPr="00C17DA2">
        <w:rPr>
          <w:rFonts w:eastAsia="Times New Roman" w:cs="Arial"/>
          <w:color w:val="000000"/>
          <w:lang w:eastAsia="bg-BG"/>
        </w:rPr>
        <w:t xml:space="preserve">823 (6,6 %) пациенти получават едновременно и </w:t>
      </w:r>
      <w:r w:rsidRPr="00C17DA2">
        <w:rPr>
          <w:rFonts w:eastAsia="Times New Roman" w:cs="Arial"/>
          <w:color w:val="000000"/>
          <w:lang w:val="en-US"/>
        </w:rPr>
        <w:t>GPII</w:t>
      </w:r>
      <w:r w:rsidRPr="00C17DA2">
        <w:rPr>
          <w:rFonts w:eastAsia="Times New Roman" w:cs="Arial"/>
          <w:color w:val="000000"/>
          <w:lang w:eastAsia="bg-BG"/>
        </w:rPr>
        <w:t>/</w:t>
      </w:r>
      <w:r w:rsidRPr="00C17DA2">
        <w:rPr>
          <w:rFonts w:eastAsia="Times New Roman" w:cs="Arial"/>
          <w:color w:val="000000"/>
          <w:lang w:val="en-US"/>
        </w:rPr>
        <w:t>III</w:t>
      </w:r>
      <w:r w:rsidRPr="00C17DA2">
        <w:rPr>
          <w:rFonts w:eastAsia="Times New Roman" w:cs="Arial"/>
          <w:color w:val="000000"/>
          <w:lang w:eastAsia="bg-BG"/>
        </w:rPr>
        <w:t xml:space="preserve">а рецепторни антагонисти.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се прилага при повече от 90% от пациентите, като относителната честота на кървене между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плацебо не е била значително повлияна от едновременната терапия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>.</w:t>
      </w:r>
    </w:p>
    <w:p w14:paraId="63792052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B31659" w14:textId="5213FA60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Броят пациенти, при които са Наблюдавани състояния, отговарящи на критериите на първичната крайна точка [сърдечно-съдова смърт </w:t>
      </w:r>
      <w:r w:rsidRPr="00C17DA2">
        <w:rPr>
          <w:rFonts w:eastAsia="Times New Roman" w:cs="Arial"/>
          <w:color w:val="000000"/>
          <w:lang w:val="en-US"/>
        </w:rPr>
        <w:t xml:space="preserve">(CV), </w:t>
      </w:r>
      <w:r w:rsidRPr="00C17DA2">
        <w:rPr>
          <w:rFonts w:eastAsia="Times New Roman" w:cs="Arial"/>
          <w:color w:val="000000"/>
          <w:lang w:eastAsia="bg-BG"/>
        </w:rPr>
        <w:t xml:space="preserve">миокарден инфаркт </w:t>
      </w:r>
      <w:r w:rsidRPr="00C17DA2">
        <w:rPr>
          <w:rFonts w:eastAsia="Times New Roman" w:cs="Arial"/>
          <w:color w:val="000000"/>
          <w:lang w:val="en-US"/>
        </w:rPr>
        <w:t xml:space="preserve">(MI) </w:t>
      </w:r>
      <w:r w:rsidRPr="00C17DA2">
        <w:rPr>
          <w:rFonts w:eastAsia="Times New Roman" w:cs="Arial"/>
          <w:color w:val="000000"/>
          <w:lang w:eastAsia="bg-BG"/>
        </w:rPr>
        <w:t xml:space="preserve">или инсулт], са 582 (9,3%) в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719 (11,4%) в плацебо групата, редукция на относителния риск с 20% (95%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10-28%; р = 0,00009) в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(17% редукция на относителния риск при консервативно лечение на пациентите, 29% при направена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перкутанна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транслуминална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коронарна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ангиопластика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val="en-US"/>
        </w:rPr>
        <w:t>(PTC</w:t>
      </w:r>
      <w:r w:rsidRPr="00C17DA2">
        <w:rPr>
          <w:rFonts w:eastAsia="Times New Roman" w:cs="Arial"/>
          <w:color w:val="000000"/>
          <w:lang w:eastAsia="bg-BG"/>
        </w:rPr>
        <w:t xml:space="preserve">А) с или без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стент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10% при направен коронарно-артериален байпас </w:t>
      </w:r>
      <w:r w:rsidRPr="00C17DA2">
        <w:rPr>
          <w:rFonts w:eastAsia="Times New Roman" w:cs="Arial"/>
          <w:color w:val="000000"/>
          <w:lang w:val="en-US"/>
        </w:rPr>
        <w:t xml:space="preserve">(CABG)). </w:t>
      </w:r>
      <w:r w:rsidRPr="00C17DA2">
        <w:rPr>
          <w:rFonts w:eastAsia="Times New Roman" w:cs="Arial"/>
          <w:color w:val="000000"/>
          <w:lang w:eastAsia="bg-BG"/>
        </w:rPr>
        <w:t xml:space="preserve">Нови сърдечно-съдови инциденти (първична цел) са предотвратени, с редукция на </w:t>
      </w:r>
      <w:r w:rsidRPr="00C17DA2">
        <w:rPr>
          <w:rFonts w:eastAsia="Times New Roman" w:cs="Arial"/>
          <w:color w:val="000000"/>
          <w:lang w:eastAsia="bg-BG"/>
        </w:rPr>
        <w:lastRenderedPageBreak/>
        <w:t xml:space="preserve">относителния риск с 22% </w:t>
      </w:r>
      <w:r w:rsidRPr="00C17DA2">
        <w:rPr>
          <w:rFonts w:eastAsia="Times New Roman" w:cs="Arial"/>
          <w:color w:val="000000"/>
          <w:lang w:val="en-US"/>
        </w:rPr>
        <w:t xml:space="preserve">(CI: </w:t>
      </w:r>
      <w:r w:rsidRPr="00C17DA2">
        <w:rPr>
          <w:rFonts w:eastAsia="Times New Roman" w:cs="Arial"/>
          <w:color w:val="000000"/>
          <w:lang w:eastAsia="bg-BG"/>
        </w:rPr>
        <w:t xml:space="preserve">8,6, 33,4;), 32% </w:t>
      </w:r>
      <w:r w:rsidRPr="00C17DA2">
        <w:rPr>
          <w:rFonts w:eastAsia="Times New Roman" w:cs="Arial"/>
          <w:color w:val="000000"/>
          <w:lang w:val="en-US"/>
        </w:rPr>
        <w:t xml:space="preserve">(CI: </w:t>
      </w:r>
      <w:r w:rsidRPr="00C17DA2">
        <w:rPr>
          <w:rFonts w:eastAsia="Times New Roman" w:cs="Arial"/>
          <w:color w:val="000000"/>
          <w:lang w:eastAsia="bg-BG"/>
        </w:rPr>
        <w:t xml:space="preserve">12,8, 46,4), 4% </w:t>
      </w:r>
      <w:r w:rsidRPr="00C17DA2">
        <w:rPr>
          <w:rFonts w:eastAsia="Times New Roman" w:cs="Arial"/>
          <w:color w:val="000000"/>
          <w:lang w:val="en-US"/>
        </w:rPr>
        <w:t xml:space="preserve">(CI: </w:t>
      </w:r>
      <w:r w:rsidRPr="00C17DA2">
        <w:rPr>
          <w:rFonts w:eastAsia="Times New Roman" w:cs="Arial"/>
          <w:color w:val="000000"/>
          <w:lang w:eastAsia="bg-BG"/>
        </w:rPr>
        <w:t xml:space="preserve">-26,9,26,7), 6% </w:t>
      </w:r>
      <w:r w:rsidRPr="00C17DA2">
        <w:rPr>
          <w:rFonts w:eastAsia="Times New Roman" w:cs="Arial"/>
          <w:color w:val="000000"/>
          <w:lang w:val="en-US"/>
        </w:rPr>
        <w:t xml:space="preserve">(CI: </w:t>
      </w:r>
      <w:r w:rsidRPr="00C17DA2">
        <w:rPr>
          <w:rFonts w:eastAsia="Times New Roman" w:cs="Arial"/>
          <w:color w:val="000000"/>
          <w:lang w:eastAsia="bg-BG"/>
        </w:rPr>
        <w:t xml:space="preserve">-33,5, 34,3;) и 14% </w:t>
      </w:r>
      <w:r w:rsidRPr="00C17DA2">
        <w:rPr>
          <w:rFonts w:eastAsia="Times New Roman" w:cs="Arial"/>
          <w:color w:val="000000"/>
          <w:lang w:val="en-US"/>
        </w:rPr>
        <w:t xml:space="preserve">(CI: </w:t>
      </w:r>
      <w:r w:rsidRPr="00C17DA2">
        <w:rPr>
          <w:rFonts w:eastAsia="Times New Roman" w:cs="Arial"/>
          <w:color w:val="000000"/>
          <w:lang w:eastAsia="bg-BG"/>
        </w:rPr>
        <w:t xml:space="preserve">-31,6, 44,2) съответно през 0-1,1-3,3- 6, 6-9 и 9-12-месечни интервали на проучването. След третия месец благоприятният ефект, наблюдаван в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+АСК не нараства повече, но риска от хеморагия остава (вж. точка 4.4).</w:t>
      </w:r>
    </w:p>
    <w:p w14:paraId="14AD293E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6D1B24" w14:textId="7996439F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в </w:t>
      </w:r>
      <w:r w:rsidRPr="00C17DA2">
        <w:rPr>
          <w:rFonts w:eastAsia="Times New Roman" w:cs="Arial"/>
          <w:color w:val="000000"/>
          <w:lang w:val="en-US"/>
        </w:rPr>
        <w:t xml:space="preserve">CURE </w:t>
      </w:r>
      <w:r w:rsidRPr="00C17DA2">
        <w:rPr>
          <w:rFonts w:eastAsia="Times New Roman" w:cs="Arial"/>
          <w:color w:val="000000"/>
          <w:lang w:eastAsia="bg-BG"/>
        </w:rPr>
        <w:t xml:space="preserve">проучването е свързана с намаляване на необходимостта от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тромболитична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терапия </w:t>
      </w:r>
      <w:r w:rsidRPr="00C17DA2">
        <w:rPr>
          <w:rFonts w:eastAsia="Times New Roman" w:cs="Arial"/>
          <w:color w:val="000000"/>
          <w:lang w:val="en-US"/>
        </w:rPr>
        <w:t xml:space="preserve">(RRR </w:t>
      </w:r>
      <w:r w:rsidRPr="00C17DA2">
        <w:rPr>
          <w:rFonts w:eastAsia="Times New Roman" w:cs="Arial"/>
          <w:color w:val="000000"/>
          <w:lang w:eastAsia="bg-BG"/>
        </w:rPr>
        <w:t xml:space="preserve">= 43,3%;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24,3%, 57,5%) и </w:t>
      </w:r>
      <w:proofErr w:type="spellStart"/>
      <w:r w:rsidRPr="00C17DA2">
        <w:rPr>
          <w:rFonts w:eastAsia="Times New Roman" w:cs="Arial"/>
          <w:color w:val="000000"/>
          <w:lang w:val="en-US"/>
        </w:rPr>
        <w:t>GPIIb</w:t>
      </w:r>
      <w:proofErr w:type="spellEnd"/>
      <w:r w:rsidRPr="00C17DA2">
        <w:rPr>
          <w:rFonts w:eastAsia="Times New Roman" w:cs="Arial"/>
          <w:color w:val="000000"/>
          <w:lang w:val="en-US"/>
        </w:rPr>
        <w:t xml:space="preserve">/IIIa </w:t>
      </w:r>
      <w:r w:rsidRPr="00C17DA2">
        <w:rPr>
          <w:rFonts w:eastAsia="Times New Roman" w:cs="Arial"/>
          <w:color w:val="000000"/>
          <w:lang w:eastAsia="bg-BG"/>
        </w:rPr>
        <w:t xml:space="preserve">инхибитори </w:t>
      </w:r>
      <w:r w:rsidRPr="00C17DA2">
        <w:rPr>
          <w:rFonts w:eastAsia="Times New Roman" w:cs="Arial"/>
          <w:color w:val="000000"/>
          <w:lang w:val="en-US"/>
        </w:rPr>
        <w:t xml:space="preserve">(RRR </w:t>
      </w:r>
      <w:r w:rsidRPr="00C17DA2">
        <w:rPr>
          <w:rFonts w:eastAsia="Times New Roman" w:cs="Arial"/>
          <w:color w:val="000000"/>
          <w:lang w:eastAsia="bg-BG"/>
        </w:rPr>
        <w:t xml:space="preserve">= 18,2%;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>6,5%, 28,3%).</w:t>
      </w:r>
    </w:p>
    <w:p w14:paraId="0E94B2A6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B70081" w14:textId="5DDD51B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Броят на пациентите, при които са настъпили състояния, отговарящи на критериите за допълнителната първична крайна точка </w:t>
      </w:r>
      <w:r w:rsidRPr="00C17DA2">
        <w:rPr>
          <w:rFonts w:eastAsia="Times New Roman" w:cs="Arial"/>
          <w:color w:val="000000"/>
          <w:lang w:val="en-US"/>
        </w:rPr>
        <w:t xml:space="preserve">(CV </w:t>
      </w:r>
      <w:r w:rsidRPr="00C17DA2">
        <w:rPr>
          <w:rFonts w:eastAsia="Times New Roman" w:cs="Arial"/>
          <w:color w:val="000000"/>
          <w:lang w:eastAsia="bg-BG"/>
        </w:rPr>
        <w:t xml:space="preserve">смърт, </w:t>
      </w:r>
      <w:r w:rsidRPr="00C17DA2">
        <w:rPr>
          <w:rFonts w:eastAsia="Times New Roman" w:cs="Arial"/>
          <w:color w:val="000000"/>
          <w:lang w:val="en-US"/>
        </w:rPr>
        <w:t xml:space="preserve">MI, </w:t>
      </w:r>
      <w:r w:rsidRPr="00C17DA2">
        <w:rPr>
          <w:rFonts w:eastAsia="Times New Roman" w:cs="Arial"/>
          <w:color w:val="000000"/>
          <w:lang w:eastAsia="bg-BG"/>
        </w:rPr>
        <w:t xml:space="preserve">мозъчен инсулт 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рефрактерна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исхемия) е 1 035 (16,5%) в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групата и 1 187 (18,8%) в плацебо групата, редукция на относителния риск с 14% (95 %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6%-21 %, р-0,0005) в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. Този благоприятен ефект се дължи предимно на ефекта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върху миокардния инфаркт [287 (4,6%) при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клопидрогел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363 (5,8 ) при плацебо]. Не е наблюдаван ефект върху честотата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рехоспитализацията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при нестабилна стенокардия.</w:t>
      </w:r>
    </w:p>
    <w:p w14:paraId="214136BA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9B3932" w14:textId="6937EB0D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Резултатите, получени в групите с различни характеристики (напр. нестабилна стенокардия или </w:t>
      </w:r>
      <w:r w:rsidRPr="00C17DA2">
        <w:rPr>
          <w:rFonts w:eastAsia="Times New Roman" w:cs="Arial"/>
          <w:color w:val="000000"/>
          <w:lang w:val="en-US"/>
        </w:rPr>
        <w:t xml:space="preserve">MI </w:t>
      </w:r>
      <w:r w:rsidRPr="00C17DA2">
        <w:rPr>
          <w:rFonts w:eastAsia="Times New Roman" w:cs="Arial"/>
          <w:color w:val="000000"/>
          <w:lang w:eastAsia="bg-BG"/>
        </w:rPr>
        <w:t xml:space="preserve">без </w:t>
      </w:r>
      <w:r w:rsidRPr="00C17DA2">
        <w:rPr>
          <w:rFonts w:eastAsia="Times New Roman" w:cs="Arial"/>
          <w:color w:val="000000"/>
          <w:lang w:val="en-US"/>
        </w:rPr>
        <w:t xml:space="preserve">Q </w:t>
      </w:r>
      <w:r w:rsidRPr="00C17DA2">
        <w:rPr>
          <w:rFonts w:eastAsia="Times New Roman" w:cs="Arial"/>
          <w:color w:val="000000"/>
          <w:lang w:eastAsia="bg-BG"/>
        </w:rPr>
        <w:t xml:space="preserve">зъбец, различна степен на риск, диабет, необходимост от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реваскуларизация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възраст, пол), са сходни с резултатите от първичните анализи. По-специално, в </w:t>
      </w:r>
      <w:r w:rsidRPr="00C17DA2">
        <w:rPr>
          <w:rFonts w:eastAsia="Times New Roman" w:cs="Arial"/>
          <w:color w:val="000000"/>
          <w:lang w:val="en-US"/>
        </w:rPr>
        <w:t xml:space="preserve">post-hoc </w:t>
      </w:r>
      <w:r w:rsidRPr="00C17DA2">
        <w:rPr>
          <w:rFonts w:eastAsia="Times New Roman" w:cs="Arial"/>
          <w:color w:val="000000"/>
          <w:lang w:eastAsia="bg-BG"/>
        </w:rPr>
        <w:t xml:space="preserve">анализ при 2 172 пациенти (17% от цялата </w:t>
      </w:r>
      <w:r w:rsidRPr="00C17DA2">
        <w:rPr>
          <w:rFonts w:eastAsia="Times New Roman" w:cs="Arial"/>
          <w:color w:val="000000"/>
          <w:lang w:val="en-US"/>
        </w:rPr>
        <w:t xml:space="preserve">CURE </w:t>
      </w:r>
      <w:r w:rsidRPr="00C17DA2">
        <w:rPr>
          <w:rFonts w:eastAsia="Times New Roman" w:cs="Arial"/>
          <w:color w:val="000000"/>
          <w:lang w:eastAsia="bg-BG"/>
        </w:rPr>
        <w:t xml:space="preserve">популация), на които им е поставен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стент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val="en-US"/>
        </w:rPr>
        <w:t xml:space="preserve">(Stent-CURE), </w:t>
      </w:r>
      <w:r w:rsidRPr="00C17DA2">
        <w:rPr>
          <w:rFonts w:eastAsia="Times New Roman" w:cs="Arial"/>
          <w:color w:val="000000"/>
          <w:lang w:eastAsia="bg-BG"/>
        </w:rPr>
        <w:t xml:space="preserve">данните показват, че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сравнен с плацебо, демонстрира значимо </w:t>
      </w:r>
      <w:r w:rsidRPr="00C17DA2">
        <w:rPr>
          <w:rFonts w:eastAsia="Times New Roman" w:cs="Arial"/>
          <w:color w:val="000000"/>
          <w:lang w:val="en-US"/>
        </w:rPr>
        <w:t xml:space="preserve">RRR </w:t>
      </w:r>
      <w:r w:rsidRPr="00C17DA2">
        <w:rPr>
          <w:rFonts w:eastAsia="Times New Roman" w:cs="Arial"/>
          <w:color w:val="000000"/>
          <w:lang w:eastAsia="bg-BG"/>
        </w:rPr>
        <w:t xml:space="preserve">от 26,2% в полза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за ко-първичната крайна точка </w:t>
      </w:r>
      <w:r w:rsidRPr="00C17DA2">
        <w:rPr>
          <w:rFonts w:eastAsia="Times New Roman" w:cs="Arial"/>
          <w:color w:val="000000"/>
          <w:lang w:val="en-US"/>
        </w:rPr>
        <w:t xml:space="preserve">(CV </w:t>
      </w:r>
      <w:r w:rsidRPr="00C17DA2">
        <w:rPr>
          <w:rFonts w:eastAsia="Times New Roman" w:cs="Arial"/>
          <w:color w:val="000000"/>
          <w:lang w:eastAsia="bg-BG"/>
        </w:rPr>
        <w:t xml:space="preserve">смърт, </w:t>
      </w:r>
      <w:r w:rsidRPr="00C17DA2">
        <w:rPr>
          <w:rFonts w:eastAsia="Times New Roman" w:cs="Arial"/>
          <w:color w:val="000000"/>
          <w:lang w:val="en-US"/>
        </w:rPr>
        <w:t xml:space="preserve">MI, </w:t>
      </w:r>
      <w:r w:rsidRPr="00C17DA2">
        <w:rPr>
          <w:rFonts w:eastAsia="Times New Roman" w:cs="Arial"/>
          <w:color w:val="000000"/>
          <w:lang w:eastAsia="bg-BG"/>
        </w:rPr>
        <w:t xml:space="preserve">мозъчен инсулт) и също значимо </w:t>
      </w:r>
      <w:r w:rsidRPr="00C17DA2">
        <w:rPr>
          <w:rFonts w:eastAsia="Times New Roman" w:cs="Arial"/>
          <w:color w:val="000000"/>
          <w:lang w:val="en-US"/>
        </w:rPr>
        <w:t xml:space="preserve">RRR </w:t>
      </w:r>
      <w:r w:rsidRPr="00C17DA2">
        <w:rPr>
          <w:rFonts w:eastAsia="Times New Roman" w:cs="Arial"/>
          <w:color w:val="000000"/>
          <w:lang w:eastAsia="bg-BG"/>
        </w:rPr>
        <w:t xml:space="preserve">от 23,9% за ко-вторичната крайна точка </w:t>
      </w:r>
      <w:r w:rsidRPr="00C17DA2">
        <w:rPr>
          <w:rFonts w:eastAsia="Times New Roman" w:cs="Arial"/>
          <w:color w:val="000000"/>
          <w:lang w:val="en-US"/>
        </w:rPr>
        <w:t xml:space="preserve">(CV </w:t>
      </w:r>
      <w:r w:rsidRPr="00C17DA2">
        <w:rPr>
          <w:rFonts w:eastAsia="Times New Roman" w:cs="Arial"/>
          <w:color w:val="000000"/>
          <w:lang w:eastAsia="bg-BG"/>
        </w:rPr>
        <w:t xml:space="preserve">смърт, </w:t>
      </w:r>
      <w:r w:rsidRPr="00C17DA2">
        <w:rPr>
          <w:rFonts w:eastAsia="Times New Roman" w:cs="Arial"/>
          <w:color w:val="000000"/>
          <w:lang w:val="en-US"/>
        </w:rPr>
        <w:t xml:space="preserve">MI, </w:t>
      </w:r>
      <w:r w:rsidRPr="00C17DA2">
        <w:rPr>
          <w:rFonts w:eastAsia="Times New Roman" w:cs="Arial"/>
          <w:color w:val="000000"/>
          <w:lang w:eastAsia="bg-BG"/>
        </w:rPr>
        <w:t xml:space="preserve">мозъчен инсулт 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рефрактерна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исхемия). Освен това, профила на безопасност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в тази подгрупа пациенти не предизвика някакъв особен проблем. Следователно, резултатите от тази подгрупа са в съответствие с общите резултати от проучването.</w:t>
      </w:r>
    </w:p>
    <w:p w14:paraId="0FCDE787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EDEEF5" w14:textId="4692FBAD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Благоприятният ефект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независим от друго спешно и продължително сърдечно-съдово лечение (като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val="en-US"/>
        </w:rPr>
        <w:t xml:space="preserve">/LMWH, </w:t>
      </w:r>
      <w:proofErr w:type="spellStart"/>
      <w:r w:rsidRPr="00C17DA2">
        <w:rPr>
          <w:rFonts w:eastAsia="Times New Roman" w:cs="Arial"/>
          <w:color w:val="000000"/>
          <w:lang w:val="en-US"/>
        </w:rPr>
        <w:t>GPIIb</w:t>
      </w:r>
      <w:proofErr w:type="spellEnd"/>
      <w:r w:rsidRPr="00C17DA2">
        <w:rPr>
          <w:rFonts w:eastAsia="Times New Roman" w:cs="Arial"/>
          <w:color w:val="000000"/>
          <w:lang w:eastAsia="bg-BG"/>
        </w:rPr>
        <w:t>/</w:t>
      </w:r>
      <w:r w:rsidRPr="00C17DA2">
        <w:rPr>
          <w:rFonts w:eastAsia="Times New Roman" w:cs="Arial"/>
          <w:color w:val="000000"/>
          <w:lang w:val="en-US"/>
        </w:rPr>
        <w:t>III</w:t>
      </w:r>
      <w:r w:rsidRPr="00C17DA2">
        <w:rPr>
          <w:rFonts w:eastAsia="Times New Roman" w:cs="Arial"/>
          <w:color w:val="000000"/>
          <w:lang w:eastAsia="bg-BG"/>
        </w:rPr>
        <w:t xml:space="preserve">а антагонисти,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липидо</w:t>
      </w:r>
      <w:proofErr w:type="spellEnd"/>
      <w:r w:rsidRPr="00C17DA2">
        <w:rPr>
          <w:rFonts w:eastAsia="Times New Roman" w:cs="Arial"/>
          <w:color w:val="000000"/>
          <w:lang w:eastAsia="bg-BG"/>
        </w:rPr>
        <w:t>-редуциращи лекарствени продукти, бета-</w:t>
      </w:r>
      <w:proofErr w:type="spellStart"/>
      <w:r w:rsidRPr="00C17DA2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АСЕ инхибитори). Ефикасността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оценена независимо от дозата на АСК (75-325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>веднъж дневно).</w:t>
      </w:r>
    </w:p>
    <w:p w14:paraId="148ED520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F504E5" w14:textId="706CAF52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При пациенти с остър </w:t>
      </w:r>
      <w:r w:rsidRPr="00C17DA2">
        <w:rPr>
          <w:rFonts w:eastAsia="Times New Roman" w:cs="Arial"/>
          <w:color w:val="000000"/>
          <w:lang w:val="en-US"/>
        </w:rPr>
        <w:t xml:space="preserve">MI </w:t>
      </w:r>
      <w:r w:rsidRPr="00C17DA2">
        <w:rPr>
          <w:rFonts w:eastAsia="Times New Roman" w:cs="Arial"/>
          <w:color w:val="000000"/>
          <w:lang w:eastAsia="bg-BG"/>
        </w:rPr>
        <w:t xml:space="preserve">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на </w:t>
      </w:r>
      <w:r w:rsidRPr="00C17DA2">
        <w:rPr>
          <w:rFonts w:eastAsia="Times New Roman" w:cs="Arial"/>
          <w:color w:val="000000"/>
          <w:lang w:val="en-US"/>
        </w:rPr>
        <w:t>ST</w:t>
      </w:r>
      <w:r w:rsidRPr="00C17DA2">
        <w:rPr>
          <w:rFonts w:eastAsia="Times New Roman" w:cs="Arial"/>
          <w:color w:val="000000"/>
          <w:lang w:eastAsia="bg-BG"/>
        </w:rPr>
        <w:t xml:space="preserve">-сегмента, ефективността и безопасността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била оценена в 2 рандомизирани, плацебо-контролирани двойно-слепи изпитвания, </w:t>
      </w:r>
      <w:r w:rsidRPr="00C17DA2">
        <w:rPr>
          <w:rFonts w:eastAsia="Times New Roman" w:cs="Arial"/>
          <w:color w:val="000000"/>
          <w:lang w:val="en-US"/>
        </w:rPr>
        <w:t xml:space="preserve">CLARITY </w:t>
      </w:r>
      <w:r w:rsidRPr="00C17DA2">
        <w:rPr>
          <w:rFonts w:eastAsia="Times New Roman" w:cs="Arial"/>
          <w:color w:val="000000"/>
          <w:lang w:eastAsia="bg-BG"/>
        </w:rPr>
        <w:t xml:space="preserve">и </w:t>
      </w:r>
      <w:r w:rsidRPr="00C17DA2">
        <w:rPr>
          <w:rFonts w:eastAsia="Times New Roman" w:cs="Arial"/>
          <w:color w:val="000000"/>
          <w:lang w:val="en-US"/>
        </w:rPr>
        <w:t>COMMIT.</w:t>
      </w:r>
    </w:p>
    <w:p w14:paraId="52A71F68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C9A181" w14:textId="79C9ED72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Проучването </w:t>
      </w:r>
      <w:r w:rsidRPr="00C17DA2">
        <w:rPr>
          <w:rFonts w:eastAsia="Times New Roman" w:cs="Arial"/>
          <w:color w:val="000000"/>
          <w:lang w:val="en-US"/>
        </w:rPr>
        <w:t xml:space="preserve">CLARITY </w:t>
      </w:r>
      <w:r w:rsidRPr="00C17DA2">
        <w:rPr>
          <w:rFonts w:eastAsia="Times New Roman" w:cs="Arial"/>
          <w:color w:val="000000"/>
          <w:lang w:eastAsia="bg-BG"/>
        </w:rPr>
        <w:t xml:space="preserve">включва 3 491 пациенти с начало на </w:t>
      </w:r>
      <w:r w:rsidRPr="00C17DA2">
        <w:rPr>
          <w:rFonts w:eastAsia="Times New Roman" w:cs="Arial"/>
          <w:color w:val="000000"/>
          <w:lang w:val="en-US"/>
        </w:rPr>
        <w:t xml:space="preserve">MI </w:t>
      </w:r>
      <w:r w:rsidRPr="00C17DA2">
        <w:rPr>
          <w:rFonts w:eastAsia="Times New Roman" w:cs="Arial"/>
          <w:color w:val="000000"/>
          <w:lang w:eastAsia="bg-BG"/>
        </w:rPr>
        <w:t xml:space="preserve">с </w:t>
      </w:r>
      <w:r w:rsidRPr="00C17DA2">
        <w:rPr>
          <w:rFonts w:eastAsia="Times New Roman" w:cs="Arial"/>
          <w:color w:val="000000"/>
          <w:lang w:val="en-US"/>
        </w:rPr>
        <w:t xml:space="preserve">ST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в рамките на</w:t>
      </w:r>
      <w:r w:rsidRPr="00C17DA2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последните 12 часа и запланувано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тромболитично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лечение. Пациентите са получили</w:t>
      </w:r>
    </w:p>
    <w:p w14:paraId="3545A350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(300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 xml:space="preserve">натоварваща доза, последвана от 75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 xml:space="preserve">/ден, </w:t>
      </w:r>
      <w:r w:rsidRPr="00C17DA2">
        <w:rPr>
          <w:rFonts w:eastAsia="Times New Roman" w:cs="Arial"/>
          <w:color w:val="000000"/>
          <w:lang w:val="en-US"/>
        </w:rPr>
        <w:t>n</w:t>
      </w:r>
      <w:r w:rsidRPr="00C17DA2">
        <w:rPr>
          <w:rFonts w:eastAsia="Times New Roman" w:cs="Arial"/>
          <w:color w:val="000000"/>
          <w:lang w:eastAsia="bg-BG"/>
        </w:rPr>
        <w:t>=1 752) или плацебо</w:t>
      </w:r>
    </w:p>
    <w:p w14:paraId="5B1D2B34" w14:textId="77777777" w:rsidR="00C17DA2" w:rsidRPr="00C17DA2" w:rsidRDefault="00C17DA2" w:rsidP="00C17DA2">
      <w:pPr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val="en-US"/>
        </w:rPr>
        <w:t xml:space="preserve">(n=l 739), </w:t>
      </w:r>
      <w:r w:rsidRPr="00C17DA2">
        <w:rPr>
          <w:rFonts w:eastAsia="Times New Roman" w:cs="Arial"/>
          <w:color w:val="000000"/>
          <w:lang w:eastAsia="bg-BG"/>
        </w:rPr>
        <w:t xml:space="preserve">и двете в комбинация-с АСК (150 до 325 </w:t>
      </w:r>
      <w:r w:rsidRPr="00C17DA2">
        <w:rPr>
          <w:rFonts w:eastAsia="Times New Roman" w:cs="Arial"/>
          <w:color w:val="000000"/>
          <w:lang w:val="en-US"/>
        </w:rPr>
        <w:t xml:space="preserve">mg </w:t>
      </w:r>
      <w:r w:rsidRPr="00C17DA2">
        <w:rPr>
          <w:rFonts w:eastAsia="Times New Roman" w:cs="Arial"/>
          <w:color w:val="000000"/>
          <w:lang w:eastAsia="bg-BG"/>
        </w:rPr>
        <w:t>като натоварваща доза, последвана от 75</w:t>
      </w:r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до 162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 xml:space="preserve">/ден),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фибринолитичен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агент, и когато е било подходящо,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. Пациентите са проследени за 30 дни. Първичната крайна точка е била комбинирано появата на запушена артерия, свързана с инфаркта,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антиограмата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при изписване или смърт или повторен </w:t>
      </w:r>
      <w:r w:rsidRPr="00C17DA2">
        <w:rPr>
          <w:rFonts w:eastAsia="Times New Roman" w:cs="Arial"/>
          <w:color w:val="000000"/>
          <w:lang w:val="en-US"/>
        </w:rPr>
        <w:t xml:space="preserve">MI </w:t>
      </w:r>
      <w:r w:rsidRPr="00C17DA2">
        <w:rPr>
          <w:rFonts w:eastAsia="Times New Roman" w:cs="Arial"/>
          <w:color w:val="000000"/>
          <w:lang w:eastAsia="bg-BG"/>
        </w:rPr>
        <w:t xml:space="preserve">преди коронарната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ангиография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. При пациенти, при които не е правена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ангиография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първичната крайна точка е била смърт или повторен миокарден инфаркт до ден 8 или до изписването. Популацията пациенти е включвала 19,7% жени и </w:t>
      </w:r>
      <w:r w:rsidRPr="00C17DA2">
        <w:rPr>
          <w:rFonts w:eastAsia="Times New Roman" w:cs="Arial"/>
          <w:color w:val="000000"/>
          <w:lang w:eastAsia="bg-BG"/>
        </w:rPr>
        <w:lastRenderedPageBreak/>
        <w:t xml:space="preserve">29,2% пациенти </w:t>
      </w:r>
      <w:r w:rsidRPr="00C17DA2">
        <w:rPr>
          <w:rFonts w:eastAsia="Times New Roman" w:cs="Arial"/>
          <w:color w:val="000000"/>
          <w:lang w:val="en-US"/>
        </w:rPr>
        <w:t>≥</w:t>
      </w:r>
      <w:r w:rsidRPr="00C17DA2">
        <w:rPr>
          <w:rFonts w:eastAsia="Times New Roman" w:cs="Arial"/>
          <w:color w:val="000000"/>
          <w:lang w:eastAsia="bg-BG"/>
        </w:rPr>
        <w:t xml:space="preserve"> 65 години. Общо 99,7% от пациентите са получили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фибринолитици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(фибрин специфични: 68,7%, не- фибрин специфични: 31,1%), 89,5%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>, 78,7% бета-</w:t>
      </w:r>
      <w:proofErr w:type="spellStart"/>
      <w:r w:rsidRPr="00C17DA2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54,7% АСЕ инхибитори и 63%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C17DA2">
        <w:rPr>
          <w:rFonts w:eastAsia="Times New Roman" w:cs="Arial"/>
          <w:color w:val="000000"/>
          <w:lang w:eastAsia="bg-BG"/>
        </w:rPr>
        <w:t>.</w:t>
      </w:r>
    </w:p>
    <w:p w14:paraId="3686621D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0F575D" w14:textId="4413613E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Петнадесет процента (15,0%) от пациентите в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21,7% в плацебо групата са достигнали до първична крайна точка, което представлява абсолютно намаление от 6,7% и 36% относително намаление в полза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(95% </w:t>
      </w:r>
      <w:r w:rsidRPr="00C17DA2">
        <w:rPr>
          <w:rFonts w:eastAsia="Times New Roman" w:cs="Arial"/>
          <w:color w:val="000000"/>
          <w:lang w:val="en-US"/>
        </w:rPr>
        <w:t xml:space="preserve">CI: </w:t>
      </w:r>
      <w:r w:rsidRPr="00C17DA2">
        <w:rPr>
          <w:rFonts w:eastAsia="Times New Roman" w:cs="Arial"/>
          <w:color w:val="000000"/>
          <w:lang w:eastAsia="bg-BG"/>
        </w:rPr>
        <w:t xml:space="preserve">24,47%; р &lt; 0,001), главно свързано с намаление на запушени артерии, свързани с инфаркта. Тази полза е била налице във всички предварително определени подгрупи на пациентите по възраст и пол, локализация на инфаркта и вида на използваното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фибринолитично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лечение 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>.</w:t>
      </w:r>
    </w:p>
    <w:p w14:paraId="25297FAA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974CB9" w14:textId="632F35A2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Проучването с </w:t>
      </w:r>
      <w:r w:rsidRPr="00C17DA2">
        <w:rPr>
          <w:rFonts w:eastAsia="Times New Roman" w:cs="Arial"/>
          <w:color w:val="000000"/>
          <w:lang w:val="en-US"/>
        </w:rPr>
        <w:t xml:space="preserve">2x2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факгориален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дизайн </w:t>
      </w:r>
      <w:r w:rsidRPr="00C17DA2">
        <w:rPr>
          <w:rFonts w:eastAsia="Times New Roman" w:cs="Arial"/>
          <w:color w:val="000000"/>
          <w:lang w:val="en-US"/>
        </w:rPr>
        <w:t xml:space="preserve">COMMIT </w:t>
      </w:r>
      <w:r w:rsidRPr="00C17DA2">
        <w:rPr>
          <w:rFonts w:eastAsia="Times New Roman" w:cs="Arial"/>
          <w:color w:val="000000"/>
          <w:lang w:eastAsia="bg-BG"/>
        </w:rPr>
        <w:t xml:space="preserve">е включило 45 852 пациенти с начало на симптоми, подозрителни за </w:t>
      </w:r>
      <w:r w:rsidRPr="00C17DA2">
        <w:rPr>
          <w:rFonts w:eastAsia="Times New Roman" w:cs="Arial"/>
          <w:color w:val="000000"/>
          <w:lang w:val="en-US"/>
        </w:rPr>
        <w:t xml:space="preserve">MI </w:t>
      </w:r>
      <w:r w:rsidRPr="00C17DA2">
        <w:rPr>
          <w:rFonts w:eastAsia="Times New Roman" w:cs="Arial"/>
          <w:color w:val="000000"/>
          <w:lang w:eastAsia="bg-BG"/>
        </w:rPr>
        <w:t xml:space="preserve">с подкрепящи ЕКГ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абнормни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находки (напр. </w:t>
      </w:r>
      <w:r w:rsidRPr="00C17DA2">
        <w:rPr>
          <w:rFonts w:eastAsia="Times New Roman" w:cs="Arial"/>
          <w:color w:val="000000"/>
          <w:lang w:val="en-US"/>
        </w:rPr>
        <w:t xml:space="preserve">ST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елевация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</w:t>
      </w:r>
      <w:r w:rsidRPr="00C17DA2">
        <w:rPr>
          <w:rFonts w:eastAsia="Times New Roman" w:cs="Arial"/>
          <w:color w:val="000000"/>
          <w:lang w:val="en-US"/>
        </w:rPr>
        <w:t xml:space="preserve">ST </w:t>
      </w:r>
      <w:r w:rsidRPr="00C17DA2">
        <w:rPr>
          <w:rFonts w:eastAsia="Times New Roman" w:cs="Arial"/>
          <w:color w:val="000000"/>
          <w:lang w:eastAsia="bg-BG"/>
        </w:rPr>
        <w:t xml:space="preserve">депресия или ляв бедрен блок) в рамките на последните 24 часа. Пациентите са получили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(75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 xml:space="preserve">/ден, </w:t>
      </w:r>
      <w:r w:rsidRPr="00C17DA2">
        <w:rPr>
          <w:rFonts w:eastAsia="Times New Roman" w:cs="Arial"/>
          <w:color w:val="000000"/>
          <w:lang w:val="en-US"/>
        </w:rPr>
        <w:t>n</w:t>
      </w:r>
      <w:r w:rsidRPr="00C17DA2">
        <w:rPr>
          <w:rFonts w:eastAsia="Times New Roman" w:cs="Arial"/>
          <w:color w:val="000000"/>
          <w:lang w:eastAsia="bg-BG"/>
        </w:rPr>
        <w:t>=22 961) или плацебо (</w:t>
      </w:r>
      <w:r w:rsidRPr="00C17DA2">
        <w:rPr>
          <w:rFonts w:eastAsia="Times New Roman" w:cs="Arial"/>
          <w:color w:val="000000"/>
          <w:lang w:val="en-US"/>
        </w:rPr>
        <w:t>n</w:t>
      </w:r>
      <w:r w:rsidRPr="00C17DA2">
        <w:rPr>
          <w:rFonts w:eastAsia="Times New Roman" w:cs="Arial"/>
          <w:color w:val="000000"/>
          <w:lang w:eastAsia="bg-BG"/>
        </w:rPr>
        <w:t xml:space="preserve">=22 891), в комбинация с АСК (162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 xml:space="preserve">/ден), за 28 дни или до изписване от болницата. Първичните крайни точки са били смърт по всякаква причина и първа поява на ре-инфаркт, инсулт или смърт. Популацията е включила 27,8% жени, 58,4% пациенти </w:t>
      </w:r>
      <w:r w:rsidRPr="00C17DA2">
        <w:rPr>
          <w:rFonts w:eastAsia="Times New Roman" w:cs="Arial"/>
          <w:color w:val="000000"/>
          <w:lang w:val="en-US"/>
        </w:rPr>
        <w:t>≥</w:t>
      </w:r>
      <w:r w:rsidRPr="00C17DA2">
        <w:rPr>
          <w:rFonts w:eastAsia="Times New Roman" w:cs="Arial"/>
          <w:color w:val="000000"/>
          <w:lang w:eastAsia="bg-BG"/>
        </w:rPr>
        <w:t xml:space="preserve"> 60 години (26% </w:t>
      </w:r>
      <w:r w:rsidRPr="00C17DA2">
        <w:rPr>
          <w:rFonts w:eastAsia="Times New Roman" w:cs="Arial"/>
          <w:color w:val="000000"/>
          <w:lang w:val="en-US"/>
        </w:rPr>
        <w:t>≥</w:t>
      </w:r>
      <w:r w:rsidRPr="00C17DA2">
        <w:rPr>
          <w:rFonts w:eastAsia="Times New Roman" w:cs="Arial"/>
          <w:color w:val="000000"/>
          <w:lang w:eastAsia="bg-BG"/>
        </w:rPr>
        <w:t xml:space="preserve"> 70 години) и 54,5% пациенти, които са получили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фибринолитици</w:t>
      </w:r>
      <w:proofErr w:type="spellEnd"/>
      <w:r w:rsidRPr="00C17DA2">
        <w:rPr>
          <w:rFonts w:eastAsia="Times New Roman" w:cs="Arial"/>
          <w:color w:val="000000"/>
          <w:lang w:eastAsia="bg-BG"/>
        </w:rPr>
        <w:t>.</w:t>
      </w:r>
    </w:p>
    <w:p w14:paraId="77C5327F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67290D" w14:textId="7966CCA1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значително намалява относителния риск от смърт по всякаква причина със 7% (р=0,029), и относителния риск за комбинацията от ре-инфаркт, инсулт или смърт с 9% (р=0,002), което представлява абсолютно намаление съответно от 0,5% и 0,9%. Тази полза е налице независимо от възраст, пол, с или без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фибринолитици</w:t>
      </w:r>
      <w:proofErr w:type="spellEnd"/>
      <w:r w:rsidRPr="00C17DA2">
        <w:rPr>
          <w:rFonts w:eastAsia="Times New Roman" w:cs="Arial"/>
          <w:color w:val="000000"/>
          <w:lang w:eastAsia="bg-BG"/>
        </w:rPr>
        <w:t>, и е наблюдавана още в първите 24 часа.</w:t>
      </w:r>
    </w:p>
    <w:p w14:paraId="72AD3212" w14:textId="77777777" w:rsidR="00C17DA2" w:rsidRPr="00C17DA2" w:rsidRDefault="00C17DA2" w:rsidP="00C17D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79EBB60" w14:textId="39FE7A78" w:rsidR="00C17DA2" w:rsidRPr="00C17DA2" w:rsidRDefault="00C17DA2" w:rsidP="00C17DA2">
      <w:pPr>
        <w:spacing w:line="240" w:lineRule="auto"/>
        <w:rPr>
          <w:rFonts w:eastAsia="Times New Roman" w:cs="Arial"/>
        </w:rPr>
      </w:pPr>
      <w:proofErr w:type="spellStart"/>
      <w:r w:rsidRPr="00C17DA2">
        <w:rPr>
          <w:rFonts w:eastAsia="Times New Roman" w:cs="Arial"/>
          <w:i/>
          <w:iCs/>
          <w:color w:val="000000"/>
          <w:lang w:eastAsia="bg-BG"/>
        </w:rPr>
        <w:t>Предсърдно</w:t>
      </w:r>
      <w:proofErr w:type="spellEnd"/>
      <w:r w:rsidRPr="00C17DA2">
        <w:rPr>
          <w:rFonts w:eastAsia="Times New Roman" w:cs="Arial"/>
          <w:i/>
          <w:iCs/>
          <w:color w:val="000000"/>
          <w:lang w:eastAsia="bg-BG"/>
        </w:rPr>
        <w:t xml:space="preserve"> мъждене</w:t>
      </w:r>
    </w:p>
    <w:p w14:paraId="0F89F165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87420B" w14:textId="13C88B05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Проучванията </w:t>
      </w:r>
      <w:r w:rsidRPr="00C17DA2">
        <w:rPr>
          <w:rFonts w:eastAsia="Times New Roman" w:cs="Arial"/>
          <w:color w:val="000000"/>
          <w:lang w:val="en-US"/>
        </w:rPr>
        <w:t xml:space="preserve">ACTIVE-W </w:t>
      </w:r>
      <w:r w:rsidRPr="00C17DA2">
        <w:rPr>
          <w:rFonts w:eastAsia="Times New Roman" w:cs="Arial"/>
          <w:color w:val="000000"/>
          <w:lang w:eastAsia="bg-BG"/>
        </w:rPr>
        <w:t xml:space="preserve">и </w:t>
      </w:r>
      <w:r w:rsidRPr="00C17DA2">
        <w:rPr>
          <w:rFonts w:eastAsia="Times New Roman" w:cs="Arial"/>
          <w:color w:val="000000"/>
          <w:lang w:val="en-US"/>
        </w:rPr>
        <w:t>ACTIVE-</w:t>
      </w:r>
      <w:r w:rsidRPr="00C17DA2">
        <w:rPr>
          <w:rFonts w:eastAsia="Times New Roman" w:cs="Arial"/>
          <w:color w:val="000000"/>
          <w:lang w:eastAsia="bg-BG"/>
        </w:rPr>
        <w:t xml:space="preserve">А, отделни проучвания в програмата </w:t>
      </w:r>
      <w:r w:rsidRPr="00C17DA2">
        <w:rPr>
          <w:rFonts w:eastAsia="Times New Roman" w:cs="Arial"/>
          <w:color w:val="000000"/>
          <w:lang w:val="en-US"/>
        </w:rPr>
        <w:t xml:space="preserve">ACTIVE, </w:t>
      </w:r>
      <w:r w:rsidRPr="00C17DA2">
        <w:rPr>
          <w:rFonts w:eastAsia="Times New Roman" w:cs="Arial"/>
          <w:color w:val="000000"/>
          <w:lang w:eastAsia="bg-BG"/>
        </w:rPr>
        <w:t xml:space="preserve">включват пациенти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мъждене </w:t>
      </w:r>
      <w:r w:rsidRPr="00C17DA2">
        <w:rPr>
          <w:rFonts w:eastAsia="Times New Roman" w:cs="Arial"/>
          <w:color w:val="000000"/>
          <w:lang w:val="en-US"/>
        </w:rPr>
        <w:t xml:space="preserve">(AF), </w:t>
      </w:r>
      <w:r w:rsidRPr="00C17DA2">
        <w:rPr>
          <w:rFonts w:eastAsia="Times New Roman" w:cs="Arial"/>
          <w:color w:val="000000"/>
          <w:lang w:eastAsia="bg-BG"/>
        </w:rPr>
        <w:t xml:space="preserve">които имат поне един рисков фактор за съдови инциденти. Въз основа на включващите критерии лекарите са включвали в </w:t>
      </w:r>
      <w:r w:rsidRPr="00C17DA2">
        <w:rPr>
          <w:rFonts w:eastAsia="Times New Roman" w:cs="Arial"/>
          <w:color w:val="000000"/>
          <w:lang w:val="en-US"/>
        </w:rPr>
        <w:t xml:space="preserve">ACTIVE-W </w:t>
      </w:r>
      <w:r w:rsidRPr="00C17DA2">
        <w:rPr>
          <w:rFonts w:eastAsia="Times New Roman" w:cs="Arial"/>
          <w:color w:val="000000"/>
          <w:lang w:eastAsia="bg-BG"/>
        </w:rPr>
        <w:t xml:space="preserve">пациенти, ако са кандидати за терапия с антагонист на витамин К </w:t>
      </w:r>
      <w:r w:rsidRPr="00C17DA2">
        <w:rPr>
          <w:rFonts w:eastAsia="Times New Roman" w:cs="Arial"/>
          <w:color w:val="000000"/>
          <w:lang w:val="en-US"/>
        </w:rPr>
        <w:t xml:space="preserve">(VKA) </w:t>
      </w:r>
      <w:r w:rsidRPr="00C17DA2">
        <w:rPr>
          <w:rFonts w:eastAsia="Times New Roman" w:cs="Arial"/>
          <w:color w:val="000000"/>
          <w:lang w:eastAsia="bg-BG"/>
        </w:rPr>
        <w:t xml:space="preserve">(като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). Проучването </w:t>
      </w:r>
      <w:r w:rsidRPr="00C17DA2">
        <w:rPr>
          <w:rFonts w:eastAsia="Times New Roman" w:cs="Arial"/>
          <w:color w:val="000000"/>
          <w:lang w:val="en-US"/>
        </w:rPr>
        <w:t xml:space="preserve">ACTIVE-A </w:t>
      </w:r>
      <w:r w:rsidRPr="00C17DA2">
        <w:rPr>
          <w:rFonts w:eastAsia="Times New Roman" w:cs="Arial"/>
          <w:color w:val="000000"/>
          <w:lang w:eastAsia="bg-BG"/>
        </w:rPr>
        <w:t xml:space="preserve">включва пациенти, които не могат да получават лечение с </w:t>
      </w:r>
      <w:r w:rsidRPr="00C17DA2">
        <w:rPr>
          <w:rFonts w:eastAsia="Times New Roman" w:cs="Arial"/>
          <w:color w:val="000000"/>
          <w:lang w:val="en-US"/>
        </w:rPr>
        <w:t xml:space="preserve">VKA </w:t>
      </w:r>
      <w:r w:rsidRPr="00C17DA2">
        <w:rPr>
          <w:rFonts w:eastAsia="Times New Roman" w:cs="Arial"/>
          <w:color w:val="000000"/>
          <w:lang w:eastAsia="bg-BG"/>
        </w:rPr>
        <w:t>поради невъзможност или нежелание.</w:t>
      </w:r>
    </w:p>
    <w:p w14:paraId="12FD769E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Проучването </w:t>
      </w:r>
      <w:r w:rsidRPr="00C17DA2">
        <w:rPr>
          <w:rFonts w:eastAsia="Times New Roman" w:cs="Arial"/>
          <w:color w:val="000000"/>
          <w:lang w:val="en-US"/>
        </w:rPr>
        <w:t xml:space="preserve">ACTIVE-W </w:t>
      </w:r>
      <w:r w:rsidRPr="00C17DA2">
        <w:rPr>
          <w:rFonts w:eastAsia="Times New Roman" w:cs="Arial"/>
          <w:color w:val="000000"/>
          <w:lang w:eastAsia="bg-BG"/>
        </w:rPr>
        <w:t xml:space="preserve">показва, че лечението с антагонист на витамин К е по-ефективно от това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АСК.</w:t>
      </w:r>
    </w:p>
    <w:p w14:paraId="20BC3DFA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Проучването </w:t>
      </w:r>
      <w:r w:rsidRPr="00C17DA2">
        <w:rPr>
          <w:rFonts w:eastAsia="Times New Roman" w:cs="Arial"/>
          <w:color w:val="000000"/>
          <w:lang w:val="en-US"/>
        </w:rPr>
        <w:t xml:space="preserve">ACTIVE-A (N=7 </w:t>
      </w:r>
      <w:r w:rsidRPr="00C17DA2">
        <w:rPr>
          <w:rFonts w:eastAsia="Times New Roman" w:cs="Arial"/>
          <w:color w:val="000000"/>
          <w:lang w:eastAsia="bg-BG"/>
        </w:rPr>
        <w:t xml:space="preserve">554) е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рандомизирано, двойно-сляпо, плацебо- контролирано проучване, което сравнява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75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 xml:space="preserve">/дневно + АСК </w:t>
      </w:r>
      <w:r w:rsidRPr="00C17DA2">
        <w:rPr>
          <w:rFonts w:eastAsia="Times New Roman" w:cs="Arial"/>
          <w:color w:val="000000"/>
          <w:lang w:val="en-US"/>
        </w:rPr>
        <w:t xml:space="preserve">(N=3 </w:t>
      </w:r>
      <w:r w:rsidRPr="00C17DA2">
        <w:rPr>
          <w:rFonts w:eastAsia="Times New Roman" w:cs="Arial"/>
          <w:color w:val="000000"/>
          <w:lang w:eastAsia="bg-BG"/>
        </w:rPr>
        <w:t xml:space="preserve">772) с плацебо + АСК </w:t>
      </w:r>
      <w:r w:rsidRPr="00C17DA2">
        <w:rPr>
          <w:rFonts w:eastAsia="Times New Roman" w:cs="Arial"/>
          <w:color w:val="000000"/>
          <w:lang w:val="en-US"/>
        </w:rPr>
        <w:t xml:space="preserve">(N=3 </w:t>
      </w:r>
      <w:r w:rsidRPr="00C17DA2">
        <w:rPr>
          <w:rFonts w:eastAsia="Times New Roman" w:cs="Arial"/>
          <w:color w:val="000000"/>
          <w:lang w:eastAsia="bg-BG"/>
        </w:rPr>
        <w:t xml:space="preserve">782). Препоръчителната доза за АСК е 75 до 100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>/дневно. Пациентите са лекувани в продължение на 5 години.</w:t>
      </w:r>
    </w:p>
    <w:p w14:paraId="70A26A99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Пациентите, рандомизирани в програмата </w:t>
      </w:r>
      <w:r w:rsidRPr="00C17DA2">
        <w:rPr>
          <w:rFonts w:eastAsia="Times New Roman" w:cs="Arial"/>
          <w:color w:val="000000"/>
          <w:lang w:val="en-US"/>
        </w:rPr>
        <w:t xml:space="preserve">ACTIVE, </w:t>
      </w:r>
      <w:r w:rsidRPr="00C17DA2">
        <w:rPr>
          <w:rFonts w:eastAsia="Times New Roman" w:cs="Arial"/>
          <w:color w:val="000000"/>
          <w:lang w:eastAsia="bg-BG"/>
        </w:rPr>
        <w:t xml:space="preserve">са били с доказано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мъждене </w:t>
      </w:r>
      <w:r w:rsidRPr="00C17DA2">
        <w:rPr>
          <w:rFonts w:eastAsia="Times New Roman" w:cs="Arial"/>
          <w:color w:val="000000"/>
          <w:lang w:val="en-US"/>
        </w:rPr>
        <w:t xml:space="preserve">(AF), </w:t>
      </w:r>
      <w:r w:rsidRPr="00C17DA2">
        <w:rPr>
          <w:rFonts w:eastAsia="Times New Roman" w:cs="Arial"/>
          <w:color w:val="000000"/>
          <w:lang w:eastAsia="bg-BG"/>
        </w:rPr>
        <w:t xml:space="preserve">т.е. или персистиращо АЕ или най-малко 2 епизода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интермитентно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val="en-US"/>
        </w:rPr>
        <w:t xml:space="preserve">AF </w:t>
      </w:r>
      <w:r w:rsidRPr="00C17DA2">
        <w:rPr>
          <w:rFonts w:eastAsia="Times New Roman" w:cs="Arial"/>
          <w:color w:val="000000"/>
          <w:lang w:eastAsia="bg-BG"/>
        </w:rPr>
        <w:t xml:space="preserve">през последните 6 месеца, и са имали поне един от следните рискови фактори: възраст </w:t>
      </w:r>
      <w:r w:rsidRPr="00C17DA2">
        <w:rPr>
          <w:rFonts w:eastAsia="Times New Roman" w:cs="Arial"/>
          <w:color w:val="000000"/>
          <w:lang w:val="en-US"/>
        </w:rPr>
        <w:t>≥</w:t>
      </w:r>
      <w:r w:rsidRPr="00C17DA2">
        <w:rPr>
          <w:rFonts w:eastAsia="Times New Roman" w:cs="Arial"/>
          <w:color w:val="000000"/>
          <w:lang w:eastAsia="bg-BG"/>
        </w:rPr>
        <w:t xml:space="preserve"> 75 години или от 55 до 74 години; захарен диабет, изискващ лечение, или доказан прекаран </w:t>
      </w:r>
      <w:r w:rsidRPr="00C17DA2">
        <w:rPr>
          <w:rFonts w:eastAsia="Times New Roman" w:cs="Arial"/>
          <w:color w:val="000000"/>
          <w:lang w:val="en-US"/>
        </w:rPr>
        <w:t xml:space="preserve">MI, </w:t>
      </w:r>
      <w:r w:rsidRPr="00C17DA2">
        <w:rPr>
          <w:rFonts w:eastAsia="Times New Roman" w:cs="Arial"/>
          <w:color w:val="000000"/>
          <w:lang w:eastAsia="bg-BG"/>
        </w:rPr>
        <w:t>или доказано</w:t>
      </w:r>
      <w:r w:rsidRPr="00C17DA2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C17DA2">
        <w:rPr>
          <w:rFonts w:eastAsia="Times New Roman" w:cs="Arial"/>
          <w:color w:val="000000"/>
          <w:lang w:eastAsia="bg-BG"/>
        </w:rPr>
        <w:t xml:space="preserve">коронарно-артериално заболяване; лекувани за системна хипертония; прекаран инсулт преходна исхемична атака </w:t>
      </w:r>
      <w:r w:rsidRPr="00C17DA2">
        <w:rPr>
          <w:rFonts w:eastAsia="Times New Roman" w:cs="Arial"/>
          <w:color w:val="000000"/>
          <w:lang w:val="en-US"/>
        </w:rPr>
        <w:t xml:space="preserve">(TIA) </w:t>
      </w:r>
      <w:r w:rsidRPr="00C17DA2">
        <w:rPr>
          <w:rFonts w:eastAsia="Times New Roman" w:cs="Arial"/>
          <w:color w:val="000000"/>
          <w:lang w:eastAsia="bg-BG"/>
        </w:rPr>
        <w:t xml:space="preserve">или системен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ембол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който не засяга ЦНС;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левкомерна</w:t>
      </w:r>
      <w:proofErr w:type="spellEnd"/>
    </w:p>
    <w:p w14:paraId="21E05410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дисфункция с фракция на изтласкване на лява камера &lt; 45% или доказана периферна съдова болест. Средният </w:t>
      </w:r>
      <w:r w:rsidRPr="00C17DA2">
        <w:rPr>
          <w:rFonts w:eastAsia="Times New Roman" w:cs="Arial"/>
          <w:color w:val="000000"/>
          <w:lang w:val="en-US"/>
        </w:rPr>
        <w:t xml:space="preserve">CHADS2 </w:t>
      </w:r>
      <w:r w:rsidRPr="00C17DA2">
        <w:rPr>
          <w:rFonts w:eastAsia="Times New Roman" w:cs="Arial"/>
          <w:color w:val="000000"/>
          <w:lang w:eastAsia="bg-BG"/>
        </w:rPr>
        <w:t>резултат е 2,0 (граници 0-6).</w:t>
      </w:r>
    </w:p>
    <w:p w14:paraId="14208EAA" w14:textId="77777777" w:rsidR="00C17DA2" w:rsidRPr="00C17DA2" w:rsidRDefault="00C17DA2" w:rsidP="00C17DA2">
      <w:pPr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lastRenderedPageBreak/>
        <w:t xml:space="preserve">Главните изключващи критерии за пациентите са били доказана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пептична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язвена болест в рамките на предходните 6 месеца, предшестващ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интрацеребрален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кръвоизлив, значима</w:t>
      </w:r>
      <w:r w:rsidRPr="00C17DA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(брой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&lt; 50 х 10</w:t>
      </w:r>
      <w:r w:rsidRPr="00C17DA2">
        <w:rPr>
          <w:rFonts w:eastAsia="Times New Roman" w:cs="Arial"/>
          <w:color w:val="000000"/>
          <w:vertAlign w:val="subscript"/>
          <w:lang w:eastAsia="bg-BG"/>
        </w:rPr>
        <w:t>9</w:t>
      </w:r>
      <w:r w:rsidRPr="00C17DA2">
        <w:rPr>
          <w:rFonts w:eastAsia="Times New Roman" w:cs="Arial"/>
          <w:color w:val="000000"/>
          <w:lang w:eastAsia="bg-BG"/>
        </w:rPr>
        <w:t xml:space="preserve">/1), необходимост от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или перорални антикоагуланти (ОАС) или непоносимост към някое от двете съединения.</w:t>
      </w:r>
    </w:p>
    <w:p w14:paraId="400DCDE0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Седемдесет и три процента (73%) от пациентите, включени в проучването </w:t>
      </w:r>
      <w:r w:rsidRPr="00C17DA2">
        <w:rPr>
          <w:rFonts w:eastAsia="Times New Roman" w:cs="Arial"/>
          <w:color w:val="000000"/>
          <w:lang w:val="en-US"/>
        </w:rPr>
        <w:t xml:space="preserve">ACTIVE-A, </w:t>
      </w:r>
      <w:r w:rsidRPr="00C17DA2">
        <w:rPr>
          <w:rFonts w:eastAsia="Times New Roman" w:cs="Arial"/>
          <w:color w:val="000000"/>
          <w:lang w:eastAsia="bg-BG"/>
        </w:rPr>
        <w:t xml:space="preserve">не са били в състояние да приемат </w:t>
      </w:r>
      <w:r w:rsidRPr="00C17DA2">
        <w:rPr>
          <w:rFonts w:eastAsia="Times New Roman" w:cs="Arial"/>
          <w:color w:val="000000"/>
          <w:lang w:val="en-US"/>
        </w:rPr>
        <w:t xml:space="preserve">VKA </w:t>
      </w:r>
      <w:r w:rsidRPr="00C17DA2">
        <w:rPr>
          <w:rFonts w:eastAsia="Times New Roman" w:cs="Arial"/>
          <w:color w:val="000000"/>
          <w:lang w:eastAsia="bg-BG"/>
        </w:rPr>
        <w:t xml:space="preserve">поради преценка на лекаря, невъзможност за мониториране на </w:t>
      </w:r>
      <w:r w:rsidRPr="00C17DA2">
        <w:rPr>
          <w:rFonts w:eastAsia="Times New Roman" w:cs="Arial"/>
          <w:color w:val="000000"/>
          <w:lang w:val="en-US"/>
        </w:rPr>
        <w:t xml:space="preserve">INR </w:t>
      </w:r>
      <w:r w:rsidRPr="00C17DA2">
        <w:rPr>
          <w:rFonts w:eastAsia="Times New Roman" w:cs="Arial"/>
          <w:color w:val="000000"/>
          <w:lang w:eastAsia="bg-BG"/>
        </w:rPr>
        <w:t xml:space="preserve">(международно нормализирано съотношение),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предиспозиция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към падане или травма на главата, или специфичен риск от кървене; за 26% от пациентите решението на лекаря е било основано на нежеланието на пациента да приема </w:t>
      </w:r>
      <w:r w:rsidRPr="00C17DA2">
        <w:rPr>
          <w:rFonts w:eastAsia="Times New Roman" w:cs="Arial"/>
          <w:color w:val="000000"/>
          <w:lang w:val="en-US"/>
        </w:rPr>
        <w:t>VKA.</w:t>
      </w:r>
    </w:p>
    <w:p w14:paraId="6C9FD41A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Популацията пациенти е включвала 41,8% жени. Средната възраст е била 71 години, 41,6% от пациентите са били </w:t>
      </w:r>
      <w:r w:rsidRPr="00C17DA2">
        <w:rPr>
          <w:rFonts w:eastAsia="Times New Roman" w:cs="Arial"/>
          <w:color w:val="000000"/>
          <w:lang w:val="en-US"/>
        </w:rPr>
        <w:t>≥</w:t>
      </w:r>
      <w:r w:rsidRPr="00C17DA2">
        <w:rPr>
          <w:rFonts w:eastAsia="Times New Roman" w:cs="Arial"/>
          <w:color w:val="000000"/>
          <w:lang w:eastAsia="bg-BG"/>
        </w:rPr>
        <w:t xml:space="preserve">75 години. Общо 23,0% от пациентите са получавали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антиаритмици</w:t>
      </w:r>
      <w:proofErr w:type="spellEnd"/>
      <w:r w:rsidRPr="00C17DA2">
        <w:rPr>
          <w:rFonts w:eastAsia="Times New Roman" w:cs="Arial"/>
          <w:color w:val="000000"/>
          <w:lang w:eastAsia="bg-BG"/>
        </w:rPr>
        <w:t>, 52,1% бета-</w:t>
      </w:r>
      <w:proofErr w:type="spellStart"/>
      <w:r w:rsidRPr="00C17DA2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54,6% АСЕ-инхибитори, и 25,4%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C17DA2">
        <w:rPr>
          <w:rFonts w:eastAsia="Times New Roman" w:cs="Arial"/>
          <w:color w:val="000000"/>
          <w:lang w:eastAsia="bg-BG"/>
        </w:rPr>
        <w:t>.</w:t>
      </w:r>
    </w:p>
    <w:p w14:paraId="4A98DF75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Броят на пациентите, които са достигнали първичната крайна точка (време до първа поява на инсулт, </w:t>
      </w:r>
      <w:r w:rsidRPr="00C17DA2">
        <w:rPr>
          <w:rFonts w:eastAsia="Times New Roman" w:cs="Arial"/>
          <w:color w:val="000000"/>
          <w:lang w:val="en-US"/>
        </w:rPr>
        <w:t xml:space="preserve">MI, </w:t>
      </w:r>
      <w:r w:rsidRPr="00C17DA2">
        <w:rPr>
          <w:rFonts w:eastAsia="Times New Roman" w:cs="Arial"/>
          <w:color w:val="000000"/>
          <w:lang w:eastAsia="bg-BG"/>
        </w:rPr>
        <w:t xml:space="preserve">системен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емболизъм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който не засяга ЦНС или съдова смърт) е бил 832 (22,1%) в групата, лекувана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+ АСК и 924 (24,4%) в групата на плацебо + АСК (11,1% намаляване на относителния риск; 95% </w:t>
      </w:r>
      <w:r w:rsidRPr="00C17DA2">
        <w:rPr>
          <w:rFonts w:eastAsia="Times New Roman" w:cs="Arial"/>
          <w:color w:val="000000"/>
          <w:lang w:val="en-US"/>
        </w:rPr>
        <w:t xml:space="preserve">CI </w:t>
      </w:r>
      <w:r w:rsidRPr="00C17DA2">
        <w:rPr>
          <w:rFonts w:eastAsia="Times New Roman" w:cs="Arial"/>
          <w:color w:val="000000"/>
          <w:lang w:eastAsia="bg-BG"/>
        </w:rPr>
        <w:t xml:space="preserve">от 2,4% на 19,1%; р=0,013), главно поради голямо намаляване на честотата на инсултите. Инсулти са възникнали при 296 (7,8%) от пациентите, получаващи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+ АСК и 408 (10,8%) от пациентите, получаващи плацебо + АСК (28,4% намаляване на относителния риск; 95% </w:t>
      </w:r>
      <w:r w:rsidRPr="00C17DA2">
        <w:rPr>
          <w:rFonts w:eastAsia="Times New Roman" w:cs="Arial"/>
          <w:color w:val="000000"/>
          <w:lang w:val="en-US"/>
        </w:rPr>
        <w:t xml:space="preserve">CI, </w:t>
      </w:r>
      <w:r w:rsidRPr="00C17DA2">
        <w:rPr>
          <w:rFonts w:eastAsia="Times New Roman" w:cs="Arial"/>
          <w:color w:val="000000"/>
          <w:lang w:eastAsia="bg-BG"/>
        </w:rPr>
        <w:t>от 16,8% на 38,3%; р=0,00001).</w:t>
      </w:r>
    </w:p>
    <w:p w14:paraId="32F3A7F7" w14:textId="77777777" w:rsidR="00C17DA2" w:rsidRPr="00C17DA2" w:rsidRDefault="00C17DA2" w:rsidP="00C17DA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5C168A3" w14:textId="75E37B07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EB5A593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D82CF3" w14:textId="487F8246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В проучване с повишаване на дозата при 86 новородени или деца до 24 месеца с риск за тромбоза </w:t>
      </w:r>
      <w:r w:rsidRPr="00C17DA2">
        <w:rPr>
          <w:rFonts w:eastAsia="Times New Roman" w:cs="Arial"/>
          <w:color w:val="000000"/>
          <w:lang w:val="en-US"/>
        </w:rPr>
        <w:t xml:space="preserve">(PICOLO),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е оценяван в последователни дози от 0,01,0,1 и 0,2 </w:t>
      </w:r>
      <w:r w:rsidRPr="00C17DA2">
        <w:rPr>
          <w:rFonts w:eastAsia="Times New Roman" w:cs="Arial"/>
          <w:color w:val="000000"/>
          <w:lang w:val="en-US"/>
        </w:rPr>
        <w:t xml:space="preserve">mg/kg </w:t>
      </w:r>
      <w:r w:rsidRPr="00C17DA2">
        <w:rPr>
          <w:rFonts w:eastAsia="Times New Roman" w:cs="Arial"/>
          <w:color w:val="000000"/>
          <w:lang w:eastAsia="bg-BG"/>
        </w:rPr>
        <w:t xml:space="preserve">при новородени и деца и 0,15 </w:t>
      </w:r>
      <w:r w:rsidRPr="00C17DA2">
        <w:rPr>
          <w:rFonts w:eastAsia="Times New Roman" w:cs="Arial"/>
          <w:color w:val="000000"/>
          <w:lang w:val="en-US"/>
        </w:rPr>
        <w:t xml:space="preserve">mg/kg </w:t>
      </w:r>
      <w:r w:rsidRPr="00C17DA2">
        <w:rPr>
          <w:rFonts w:eastAsia="Times New Roman" w:cs="Arial"/>
          <w:color w:val="000000"/>
          <w:lang w:eastAsia="bg-BG"/>
        </w:rPr>
        <w:t xml:space="preserve">само при новородени. Дозата от 0,2 </w:t>
      </w:r>
      <w:r w:rsidRPr="00C17DA2">
        <w:rPr>
          <w:rFonts w:eastAsia="Times New Roman" w:cs="Arial"/>
          <w:color w:val="000000"/>
          <w:lang w:val="en-US"/>
        </w:rPr>
        <w:t xml:space="preserve">mg/kg </w:t>
      </w:r>
      <w:r w:rsidRPr="00C17DA2">
        <w:rPr>
          <w:rFonts w:eastAsia="Times New Roman" w:cs="Arial"/>
          <w:color w:val="000000"/>
          <w:lang w:eastAsia="bg-BG"/>
        </w:rPr>
        <w:t xml:space="preserve">достига среден процент на инхибиране 49,3% (5 </w:t>
      </w:r>
      <w:r w:rsidRPr="00C17DA2">
        <w:rPr>
          <w:rFonts w:eastAsia="Times New Roman" w:cs="Arial"/>
          <w:color w:val="000000"/>
          <w:lang w:val="en-US"/>
        </w:rPr>
        <w:t>μ</w:t>
      </w:r>
      <w:r w:rsidRPr="00C17DA2">
        <w:rPr>
          <w:rFonts w:eastAsia="Times New Roman" w:cs="Arial"/>
          <w:color w:val="000000"/>
          <w:lang w:eastAsia="bg-BG"/>
        </w:rPr>
        <w:t xml:space="preserve">М АДФ-индуцирана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агрегация), който е сравним с този при възрастни, приемащи </w:t>
      </w:r>
      <w:r w:rsidRPr="00C17DA2">
        <w:rPr>
          <w:rFonts w:eastAsia="Times New Roman" w:cs="Arial"/>
          <w:color w:val="000000"/>
          <w:lang w:val="en-US"/>
        </w:rPr>
        <w:t xml:space="preserve">Plavix </w:t>
      </w:r>
      <w:r w:rsidRPr="00C17DA2">
        <w:rPr>
          <w:rFonts w:eastAsia="Times New Roman" w:cs="Arial"/>
          <w:color w:val="000000"/>
          <w:lang w:eastAsia="bg-BG"/>
        </w:rPr>
        <w:t xml:space="preserve">75 </w:t>
      </w:r>
      <w:r w:rsidRPr="00C17DA2">
        <w:rPr>
          <w:rFonts w:eastAsia="Times New Roman" w:cs="Arial"/>
          <w:color w:val="000000"/>
          <w:lang w:val="en-US"/>
        </w:rPr>
        <w:t>mg</w:t>
      </w:r>
      <w:r w:rsidRPr="00C17DA2">
        <w:rPr>
          <w:rFonts w:eastAsia="Times New Roman" w:cs="Arial"/>
          <w:color w:val="000000"/>
          <w:lang w:eastAsia="bg-BG"/>
        </w:rPr>
        <w:t>/дневно.</w:t>
      </w:r>
    </w:p>
    <w:p w14:paraId="7D3BB032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414A28" w14:textId="50483590" w:rsidR="00C17DA2" w:rsidRP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В рандомизирано двойно-сляпо, паралелно групово проучване </w:t>
      </w:r>
      <w:r w:rsidRPr="00C17DA2">
        <w:rPr>
          <w:rFonts w:eastAsia="Times New Roman" w:cs="Arial"/>
          <w:color w:val="000000"/>
          <w:lang w:val="en-US"/>
        </w:rPr>
        <w:t xml:space="preserve">(CLARINET) </w:t>
      </w:r>
      <w:r w:rsidRPr="00C17DA2">
        <w:rPr>
          <w:rFonts w:eastAsia="Times New Roman" w:cs="Arial"/>
          <w:color w:val="000000"/>
          <w:lang w:eastAsia="bg-BG"/>
        </w:rPr>
        <w:t xml:space="preserve">906 педиатрични пациенти (новородени и деца), с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цианотично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вродено сърдечно заболяване, с палиативно поставен системно-белодробен артериален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шънт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, са рандомизирани да приемат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0,2 </w:t>
      </w:r>
      <w:r w:rsidRPr="00C17DA2">
        <w:rPr>
          <w:rFonts w:eastAsia="Times New Roman" w:cs="Arial"/>
          <w:color w:val="000000"/>
          <w:lang w:val="en-US"/>
        </w:rPr>
        <w:t xml:space="preserve">mg/kg </w:t>
      </w:r>
      <w:r w:rsidRPr="00C17DA2">
        <w:rPr>
          <w:rFonts w:eastAsia="Times New Roman" w:cs="Arial"/>
          <w:color w:val="000000"/>
          <w:lang w:eastAsia="bg-BG"/>
        </w:rPr>
        <w:t>(п=467) или плацебо (</w:t>
      </w:r>
      <w:r w:rsidRPr="00C17DA2">
        <w:rPr>
          <w:rFonts w:eastAsia="Times New Roman" w:cs="Arial"/>
          <w:color w:val="000000"/>
          <w:lang w:val="en-US"/>
        </w:rPr>
        <w:t>n</w:t>
      </w:r>
      <w:r w:rsidRPr="00C17DA2">
        <w:rPr>
          <w:rFonts w:eastAsia="Times New Roman" w:cs="Arial"/>
          <w:color w:val="000000"/>
          <w:lang w:eastAsia="bg-BG"/>
        </w:rPr>
        <w:t xml:space="preserve">=439) едновременно със съпътстващо основно лечение до момента на втория етап на операцията. Средният период между поставянето на палиативен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шънт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първото приложение на изпитвания лекарствен продукт е 20 дни. Приблизително 88% от пациентите са получавали едновременно АСК (диапазон от 1 до 23 </w:t>
      </w:r>
      <w:r w:rsidRPr="00C17DA2">
        <w:rPr>
          <w:rFonts w:eastAsia="Times New Roman" w:cs="Arial"/>
          <w:color w:val="000000"/>
          <w:lang w:val="en-US"/>
        </w:rPr>
        <w:t>mg/kg</w:t>
      </w:r>
      <w:r w:rsidRPr="00C17DA2">
        <w:rPr>
          <w:rFonts w:eastAsia="Times New Roman" w:cs="Arial"/>
          <w:color w:val="000000"/>
          <w:lang w:eastAsia="bg-BG"/>
        </w:rPr>
        <w:t xml:space="preserve">/дневно). Не е наблюдавана значима разлика между групите по отношение на първичната съставна крайна точка на смърт, тромбоза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шънта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или сърдечна интервенция по-рано от 120-дневна възраст след събитие с определено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тромботичен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характер (89 [19,1%] за групата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90 [20,5%] за групата на плацебо) (вж. точка 4.2). Кървенето е най-често съобщаваната нежелана реакция и в двете групи -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и плацебо; като не е наблюдавана значима разлика в честотата на кървене между групите. При дългосрочно проследяване на безопасността при това проучване, 26 пациенти с все още наличен </w:t>
      </w:r>
      <w:proofErr w:type="spellStart"/>
      <w:r w:rsidRPr="00C17DA2">
        <w:rPr>
          <w:rFonts w:eastAsia="Times New Roman" w:cs="Arial"/>
          <w:color w:val="000000"/>
          <w:lang w:eastAsia="bg-BG"/>
        </w:rPr>
        <w:t>шънт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на едногодишна възраст са получавали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до 18-месечна възраст. Не са наблюдавани нови съображения относно безопасността по време на това дългосрочно проследяване.</w:t>
      </w:r>
    </w:p>
    <w:p w14:paraId="2C5674A3" w14:textId="77777777" w:rsidR="00C17DA2" w:rsidRPr="00C17DA2" w:rsidRDefault="00C17DA2" w:rsidP="00C17DA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2095B7" w14:textId="132DB211" w:rsidR="00C17DA2" w:rsidRDefault="00C17DA2" w:rsidP="00C17DA2">
      <w:pPr>
        <w:spacing w:line="240" w:lineRule="auto"/>
        <w:rPr>
          <w:rFonts w:eastAsia="Times New Roman" w:cs="Arial"/>
        </w:rPr>
      </w:pPr>
      <w:r w:rsidRPr="00C17DA2">
        <w:rPr>
          <w:rFonts w:eastAsia="Times New Roman" w:cs="Arial"/>
          <w:color w:val="000000"/>
          <w:lang w:eastAsia="bg-BG"/>
        </w:rPr>
        <w:t xml:space="preserve">Изпитванията </w:t>
      </w:r>
      <w:r w:rsidRPr="00C17DA2">
        <w:rPr>
          <w:rFonts w:eastAsia="Times New Roman" w:cs="Arial"/>
          <w:color w:val="000000"/>
          <w:lang w:val="en-US"/>
        </w:rPr>
        <w:t xml:space="preserve">CLARINET </w:t>
      </w:r>
      <w:r w:rsidRPr="00C17DA2">
        <w:rPr>
          <w:rFonts w:eastAsia="Times New Roman" w:cs="Arial"/>
          <w:color w:val="000000"/>
          <w:lang w:eastAsia="bg-BG"/>
        </w:rPr>
        <w:t xml:space="preserve">и </w:t>
      </w:r>
      <w:r w:rsidRPr="00C17DA2">
        <w:rPr>
          <w:rFonts w:eastAsia="Times New Roman" w:cs="Arial"/>
          <w:color w:val="000000"/>
          <w:lang w:val="en-US"/>
        </w:rPr>
        <w:t xml:space="preserve">PICOLO </w:t>
      </w:r>
      <w:r w:rsidRPr="00C17DA2">
        <w:rPr>
          <w:rFonts w:eastAsia="Times New Roman" w:cs="Arial"/>
          <w:color w:val="000000"/>
          <w:lang w:eastAsia="bg-BG"/>
        </w:rPr>
        <w:t xml:space="preserve">са проведени с използване на приготвен разтвор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. В проучване на относителната бионаличност при възрастни, приготвеният </w:t>
      </w:r>
      <w:r w:rsidRPr="00C17DA2">
        <w:rPr>
          <w:rFonts w:eastAsia="Times New Roman" w:cs="Arial"/>
          <w:color w:val="000000"/>
          <w:lang w:eastAsia="bg-BG"/>
        </w:rPr>
        <w:lastRenderedPageBreak/>
        <w:t xml:space="preserve">разтвор на </w:t>
      </w:r>
      <w:proofErr w:type="spellStart"/>
      <w:r w:rsidRPr="00C17DA2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C17DA2">
        <w:rPr>
          <w:rFonts w:eastAsia="Times New Roman" w:cs="Arial"/>
          <w:color w:val="000000"/>
          <w:lang w:eastAsia="bg-BG"/>
        </w:rPr>
        <w:t xml:space="preserve"> показва сходна степен и малко по-висока скорост на абсорбция на главния циркулиращ (неактивен) метаболит, в сравнение с разрешената за употреба таблетка.</w:t>
      </w:r>
    </w:p>
    <w:p w14:paraId="5B14DF29" w14:textId="77777777" w:rsidR="00C17DA2" w:rsidRPr="00C17DA2" w:rsidRDefault="00C17DA2" w:rsidP="00C17DA2">
      <w:pPr>
        <w:spacing w:line="240" w:lineRule="auto"/>
        <w:rPr>
          <w:rFonts w:eastAsia="Times New Roman" w:cs="Arial"/>
        </w:rPr>
      </w:pPr>
    </w:p>
    <w:p w14:paraId="2248F67E" w14:textId="4AC20F72" w:rsidR="00A16872" w:rsidRDefault="002C50EE" w:rsidP="003E00C0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1D7634E" w14:textId="0F09677A" w:rsidR="00C17DA2" w:rsidRDefault="00C17DA2" w:rsidP="00C17DA2"/>
    <w:p w14:paraId="52E3FF5E" w14:textId="77777777" w:rsidR="008749B1" w:rsidRPr="008749B1" w:rsidRDefault="008749B1" w:rsidP="008749B1">
      <w:pPr>
        <w:pStyle w:val="3"/>
        <w:rPr>
          <w:rFonts w:eastAsia="Times New Roman"/>
          <w:i/>
          <w:iCs/>
        </w:rPr>
      </w:pPr>
      <w:r w:rsidRPr="008749B1">
        <w:rPr>
          <w:rFonts w:eastAsia="Times New Roman"/>
          <w:i/>
          <w:iCs/>
          <w:lang w:eastAsia="bg-BG"/>
        </w:rPr>
        <w:t>Абсорбция</w:t>
      </w:r>
    </w:p>
    <w:p w14:paraId="0FC89191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След еднократно и многократно перорално приложение на дози от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r w:rsidRPr="008749B1">
        <w:rPr>
          <w:rFonts w:eastAsia="Times New Roman" w:cs="Arial"/>
          <w:color w:val="000000"/>
          <w:lang w:eastAsia="bg-BG"/>
        </w:rPr>
        <w:t>дневно,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се резорбира бързо. Средната максимална плазмена концентрация на непроменения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(приблизително 2,2 - 2,5 </w:t>
      </w:r>
      <w:r w:rsidRPr="008749B1">
        <w:rPr>
          <w:rFonts w:eastAsia="Times New Roman" w:cs="Arial"/>
          <w:color w:val="000000"/>
          <w:lang w:val="en-US"/>
        </w:rPr>
        <w:t xml:space="preserve">ng/ml </w:t>
      </w:r>
      <w:r w:rsidRPr="008749B1">
        <w:rPr>
          <w:rFonts w:eastAsia="Times New Roman" w:cs="Arial"/>
          <w:color w:val="000000"/>
          <w:lang w:eastAsia="bg-BG"/>
        </w:rPr>
        <w:t>след еднократна орална доза 75</w:t>
      </w:r>
      <w:r w:rsidRPr="008749B1">
        <w:rPr>
          <w:rFonts w:eastAsia="Times New Roman" w:cs="Arial"/>
          <w:color w:val="000000"/>
          <w:lang w:val="en-US"/>
        </w:rPr>
        <w:t xml:space="preserve">mg) </w:t>
      </w:r>
      <w:r w:rsidRPr="008749B1">
        <w:rPr>
          <w:rFonts w:eastAsia="Times New Roman" w:cs="Arial"/>
          <w:color w:val="000000"/>
          <w:lang w:eastAsia="bg-BG"/>
        </w:rPr>
        <w:t xml:space="preserve">се наблюдава приблизително 45 минути след приемането на дозата. Резорбцията е най-малко 50%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възоснова</w:t>
      </w:r>
      <w:proofErr w:type="spellEnd"/>
    </w:p>
    <w:p w14:paraId="76D37960" w14:textId="3B5DE299" w:rsidR="00C17DA2" w:rsidRPr="008749B1" w:rsidRDefault="008749B1" w:rsidP="008749B1">
      <w:pPr>
        <w:rPr>
          <w:rFonts w:eastAsia="Times New Roman" w:cs="Arial"/>
          <w:color w:val="000000"/>
          <w:lang w:eastAsia="bg-BG"/>
        </w:rPr>
      </w:pPr>
      <w:r w:rsidRPr="008749B1">
        <w:rPr>
          <w:rFonts w:eastAsia="Times New Roman" w:cs="Arial"/>
          <w:color w:val="000000"/>
          <w:lang w:eastAsia="bg-BG"/>
        </w:rPr>
        <w:t xml:space="preserve">на екскрецията с урината на метаболитите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1BCACEB1" w14:textId="4E681E3D" w:rsidR="008749B1" w:rsidRPr="008749B1" w:rsidRDefault="008749B1" w:rsidP="008749B1">
      <w:pPr>
        <w:rPr>
          <w:rFonts w:eastAsia="Times New Roman" w:cs="Arial"/>
          <w:color w:val="000000"/>
          <w:lang w:eastAsia="bg-BG"/>
        </w:rPr>
      </w:pPr>
    </w:p>
    <w:p w14:paraId="18852178" w14:textId="77777777" w:rsidR="008749B1" w:rsidRPr="008749B1" w:rsidRDefault="008749B1" w:rsidP="008749B1">
      <w:pPr>
        <w:pStyle w:val="3"/>
        <w:rPr>
          <w:rFonts w:eastAsia="Times New Roman"/>
          <w:i/>
          <w:iCs/>
        </w:rPr>
      </w:pPr>
      <w:r w:rsidRPr="008749B1">
        <w:rPr>
          <w:rFonts w:eastAsia="Times New Roman"/>
          <w:i/>
          <w:iCs/>
          <w:lang w:eastAsia="bg-BG"/>
        </w:rPr>
        <w:t>Разпределение</w:t>
      </w:r>
    </w:p>
    <w:p w14:paraId="4661C612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и основният циркулиращ (неактивен) метаболит се свързват обратимо </w:t>
      </w:r>
      <w:r w:rsidRPr="008749B1">
        <w:rPr>
          <w:rFonts w:eastAsia="Times New Roman" w:cs="Arial"/>
          <w:i/>
          <w:iCs/>
          <w:color w:val="000000"/>
          <w:lang w:val="en-US"/>
        </w:rPr>
        <w:t>in vitro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с човешките плазмени протеини (98% и 94% респективно). Свързването 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ненаситено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</w:t>
      </w:r>
      <w:r w:rsidRPr="008749B1">
        <w:rPr>
          <w:rFonts w:eastAsia="Times New Roman" w:cs="Arial"/>
          <w:i/>
          <w:iCs/>
          <w:color w:val="000000"/>
          <w:lang w:val="en-US"/>
        </w:rPr>
        <w:t>in vitro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>в широк концентрационен обхват.</w:t>
      </w:r>
    </w:p>
    <w:p w14:paraId="01335AE5" w14:textId="77777777" w:rsidR="008749B1" w:rsidRPr="008749B1" w:rsidRDefault="008749B1" w:rsidP="008749B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FF87356" w14:textId="46A9F546" w:rsidR="008749B1" w:rsidRPr="008749B1" w:rsidRDefault="008749B1" w:rsidP="008749B1">
      <w:pPr>
        <w:pStyle w:val="3"/>
        <w:rPr>
          <w:rFonts w:eastAsia="Times New Roman"/>
          <w:i/>
          <w:iCs/>
        </w:rPr>
      </w:pPr>
      <w:r w:rsidRPr="008749B1">
        <w:rPr>
          <w:rFonts w:eastAsia="Times New Roman"/>
          <w:i/>
          <w:iCs/>
          <w:lang w:eastAsia="bg-BG"/>
        </w:rPr>
        <w:t>Биотрансформация</w:t>
      </w:r>
    </w:p>
    <w:p w14:paraId="696D7911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интензивно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в черния дроб. </w:t>
      </w:r>
      <w:r w:rsidRPr="008749B1">
        <w:rPr>
          <w:rFonts w:eastAsia="Times New Roman" w:cs="Arial"/>
          <w:i/>
          <w:iCs/>
          <w:color w:val="000000"/>
          <w:lang w:val="en-US"/>
        </w:rPr>
        <w:t>In vitro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и </w:t>
      </w:r>
      <w:r w:rsidRPr="008749B1">
        <w:rPr>
          <w:rFonts w:eastAsia="Times New Roman" w:cs="Arial"/>
          <w:i/>
          <w:iCs/>
          <w:color w:val="000000"/>
          <w:lang w:val="en-US"/>
        </w:rPr>
        <w:t>in vivo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чрез два основни метаболитни пътя: единият, опосредстван от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естерази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и водещ до хидролиза в негов неактивен метаболит, дериват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карбоксиловата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киселина (85% от циркулиращите метаболити) и друг, осъществяван посредством множество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цитохроми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Р450.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първо се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до междинния метаболит 2-оксо-клопидогрел, и чрез неговата последваща хидролиза се формира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тиолов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дериват, който представлява активния метаболит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. Активният метаболит се образува предимно от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r w:rsidRPr="008749B1">
        <w:rPr>
          <w:rFonts w:eastAsia="Times New Roman" w:cs="Arial"/>
          <w:color w:val="000000"/>
          <w:lang w:eastAsia="bg-BG"/>
        </w:rPr>
        <w:t xml:space="preserve">с помощта на няколко други </w:t>
      </w:r>
      <w:r w:rsidRPr="008749B1">
        <w:rPr>
          <w:rFonts w:eastAsia="Times New Roman" w:cs="Arial"/>
          <w:color w:val="000000"/>
          <w:lang w:val="en-US"/>
        </w:rPr>
        <w:t xml:space="preserve">CYP </w:t>
      </w:r>
      <w:r w:rsidRPr="008749B1">
        <w:rPr>
          <w:rFonts w:eastAsia="Times New Roman" w:cs="Arial"/>
          <w:color w:val="000000"/>
          <w:lang w:eastAsia="bg-BG"/>
        </w:rPr>
        <w:t xml:space="preserve">ензима, включително </w:t>
      </w:r>
      <w:r w:rsidRPr="008749B1">
        <w:rPr>
          <w:rFonts w:eastAsia="Times New Roman" w:cs="Arial"/>
          <w:color w:val="000000"/>
          <w:lang w:val="en-US"/>
        </w:rPr>
        <w:t>CYP1</w:t>
      </w:r>
      <w:r w:rsidRPr="008749B1">
        <w:rPr>
          <w:rFonts w:eastAsia="Times New Roman" w:cs="Arial"/>
          <w:color w:val="000000"/>
          <w:lang w:eastAsia="bg-BG"/>
        </w:rPr>
        <w:t xml:space="preserve">А2, </w:t>
      </w:r>
      <w:r w:rsidRPr="008749B1">
        <w:rPr>
          <w:rFonts w:eastAsia="Times New Roman" w:cs="Arial"/>
          <w:color w:val="000000"/>
          <w:lang w:val="en-US"/>
        </w:rPr>
        <w:t xml:space="preserve">CYP2B6 </w:t>
      </w:r>
      <w:r w:rsidRPr="008749B1">
        <w:rPr>
          <w:rFonts w:eastAsia="Times New Roman" w:cs="Arial"/>
          <w:color w:val="000000"/>
          <w:lang w:eastAsia="bg-BG"/>
        </w:rPr>
        <w:t xml:space="preserve">и </w:t>
      </w:r>
      <w:r w:rsidRPr="008749B1">
        <w:rPr>
          <w:rFonts w:eastAsia="Times New Roman" w:cs="Arial"/>
          <w:color w:val="000000"/>
          <w:lang w:val="en-US"/>
        </w:rPr>
        <w:t xml:space="preserve">CYP3A4. </w:t>
      </w:r>
      <w:r w:rsidRPr="008749B1">
        <w:rPr>
          <w:rFonts w:eastAsia="Times New Roman" w:cs="Arial"/>
          <w:color w:val="000000"/>
          <w:lang w:eastAsia="bg-BG"/>
        </w:rPr>
        <w:t xml:space="preserve">Активният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тиолов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метаболит, който е изолиран </w:t>
      </w:r>
      <w:r w:rsidRPr="008749B1">
        <w:rPr>
          <w:rFonts w:eastAsia="Times New Roman" w:cs="Arial"/>
          <w:i/>
          <w:iCs/>
          <w:color w:val="000000"/>
          <w:lang w:val="en-US"/>
        </w:rPr>
        <w:t>in vitro,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се свързва бързо и необратимо с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тромбоцитните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рецептори и по този начин инхибира агрегацията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776B4639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CA5E50" w14:textId="2A32BC3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>С</w:t>
      </w:r>
      <w:r w:rsidRPr="008749B1">
        <w:rPr>
          <w:rFonts w:eastAsia="Times New Roman" w:cs="Arial"/>
          <w:color w:val="000000"/>
          <w:vertAlign w:val="subscript"/>
          <w:lang w:val="en-US"/>
        </w:rPr>
        <w:t>max</w:t>
      </w:r>
      <w:r w:rsidRPr="008749B1">
        <w:rPr>
          <w:rFonts w:eastAsia="Times New Roman" w:cs="Arial"/>
          <w:color w:val="000000"/>
          <w:lang w:eastAsia="bg-BG"/>
        </w:rPr>
        <w:t xml:space="preserve">на активния метаболит е два пъти по-висока след еднократна натоварваща доза от 300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отколкото след прилагане на поддържаща доза от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r w:rsidRPr="008749B1">
        <w:rPr>
          <w:rFonts w:eastAsia="Times New Roman" w:cs="Arial"/>
          <w:color w:val="000000"/>
          <w:lang w:eastAsia="bg-BG"/>
        </w:rPr>
        <w:t>за четири дни. С</w:t>
      </w:r>
      <w:r w:rsidRPr="008749B1">
        <w:rPr>
          <w:rFonts w:eastAsia="Times New Roman" w:cs="Arial"/>
          <w:color w:val="000000"/>
          <w:vertAlign w:val="subscript"/>
          <w:lang w:val="en-US"/>
        </w:rPr>
        <w:t>max</w:t>
      </w:r>
      <w:r w:rsidRPr="008749B1">
        <w:rPr>
          <w:rFonts w:eastAsia="Times New Roman" w:cs="Arial"/>
          <w:color w:val="000000"/>
          <w:lang w:eastAsia="bg-BG"/>
        </w:rPr>
        <w:t xml:space="preserve"> се достига приблизително 30 до 60 минути след прилагане.</w:t>
      </w:r>
    </w:p>
    <w:p w14:paraId="3F309AA8" w14:textId="77777777" w:rsidR="008749B1" w:rsidRPr="008749B1" w:rsidRDefault="008749B1" w:rsidP="008749B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990F470" w14:textId="0F5B5DF8" w:rsidR="008749B1" w:rsidRPr="008749B1" w:rsidRDefault="008749B1" w:rsidP="008749B1">
      <w:pPr>
        <w:pStyle w:val="3"/>
        <w:rPr>
          <w:rFonts w:eastAsia="Times New Roman"/>
          <w:i/>
          <w:iCs/>
        </w:rPr>
      </w:pPr>
      <w:r w:rsidRPr="008749B1">
        <w:rPr>
          <w:rFonts w:eastAsia="Times New Roman"/>
          <w:i/>
          <w:iCs/>
          <w:lang w:eastAsia="bg-BG"/>
        </w:rPr>
        <w:t>Елиминиране</w:t>
      </w:r>
    </w:p>
    <w:p w14:paraId="68FE2A34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>След перорален прием на маркиран с С</w:t>
      </w:r>
      <w:r w:rsidRPr="008749B1">
        <w:rPr>
          <w:rFonts w:eastAsia="Times New Roman" w:cs="Arial"/>
          <w:color w:val="000000"/>
          <w:vertAlign w:val="subscript"/>
          <w:lang w:eastAsia="bg-BG"/>
        </w:rPr>
        <w:t>14</w:t>
      </w:r>
      <w:r w:rsidRPr="008749B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при мъже приблизително 50% се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в урината и около 46% чрез фекалиите за 120-часов интервал след приема. След еднократна орална доза от 75 </w:t>
      </w:r>
      <w:r w:rsidRPr="008749B1">
        <w:rPr>
          <w:rFonts w:eastAsia="Times New Roman" w:cs="Arial"/>
          <w:color w:val="000000"/>
          <w:lang w:val="en-US"/>
        </w:rPr>
        <w:t xml:space="preserve">mg, </w:t>
      </w:r>
      <w:r w:rsidRPr="008749B1">
        <w:rPr>
          <w:rFonts w:eastAsia="Times New Roman" w:cs="Arial"/>
          <w:color w:val="000000"/>
          <w:lang w:eastAsia="bg-BG"/>
        </w:rPr>
        <w:t xml:space="preserve">полуживотът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е приблизително 6 часа. Елиминационният полуживот на основния циркулиращ (неактивен) метаболит е 8 часа след еднократно и многократно приложение.</w:t>
      </w:r>
    </w:p>
    <w:p w14:paraId="392303F3" w14:textId="77777777" w:rsidR="008749B1" w:rsidRPr="008749B1" w:rsidRDefault="008749B1" w:rsidP="008749B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A5EB99" w14:textId="3541D206" w:rsidR="008749B1" w:rsidRPr="008749B1" w:rsidRDefault="008749B1" w:rsidP="008749B1">
      <w:pPr>
        <w:pStyle w:val="3"/>
        <w:rPr>
          <w:rFonts w:eastAsia="Times New Roman"/>
          <w:i/>
          <w:iCs/>
        </w:rPr>
      </w:pPr>
      <w:proofErr w:type="spellStart"/>
      <w:r w:rsidRPr="008749B1">
        <w:rPr>
          <w:rFonts w:eastAsia="Times New Roman"/>
          <w:i/>
          <w:iCs/>
          <w:lang w:eastAsia="bg-BG"/>
        </w:rPr>
        <w:t>Фармакогенетика</w:t>
      </w:r>
      <w:proofErr w:type="spellEnd"/>
    </w:p>
    <w:p w14:paraId="6D4C3D32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val="en-US"/>
        </w:rPr>
        <w:t xml:space="preserve">CYP2C19 </w:t>
      </w:r>
      <w:r w:rsidRPr="008749B1">
        <w:rPr>
          <w:rFonts w:eastAsia="Times New Roman" w:cs="Arial"/>
          <w:color w:val="000000"/>
          <w:lang w:eastAsia="bg-BG"/>
        </w:rPr>
        <w:t xml:space="preserve">е включен във формирането на активния метаболит и на междинния метаболит 2-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оксо-клопидогрел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. Фармакокинетиката и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антитромбоцитните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ефекти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измерени чрез анализ на </w:t>
      </w:r>
      <w:r w:rsidRPr="008749B1">
        <w:rPr>
          <w:rFonts w:eastAsia="Times New Roman" w:cs="Arial"/>
          <w:color w:val="000000"/>
          <w:lang w:val="en-US"/>
        </w:rPr>
        <w:t xml:space="preserve">ex </w:t>
      </w:r>
      <w:r w:rsidRPr="008749B1">
        <w:rPr>
          <w:rFonts w:eastAsia="Times New Roman" w:cs="Arial"/>
          <w:i/>
          <w:iCs/>
          <w:color w:val="000000"/>
          <w:lang w:val="en-US"/>
        </w:rPr>
        <w:t>vivo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агрегация, се различават в зависимост от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r w:rsidRPr="008749B1">
        <w:rPr>
          <w:rFonts w:eastAsia="Times New Roman" w:cs="Arial"/>
          <w:color w:val="000000"/>
          <w:lang w:eastAsia="bg-BG"/>
        </w:rPr>
        <w:t>генотипа.</w:t>
      </w:r>
    </w:p>
    <w:p w14:paraId="20D4A7AB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val="en-US"/>
        </w:rPr>
        <w:lastRenderedPageBreak/>
        <w:t xml:space="preserve">CYP2C19*1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алелът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съответства на цялостен функционален метаболизъм, докато </w:t>
      </w:r>
      <w:r w:rsidRPr="008749B1">
        <w:rPr>
          <w:rFonts w:eastAsia="Times New Roman" w:cs="Arial"/>
          <w:color w:val="000000"/>
          <w:lang w:val="en-US"/>
        </w:rPr>
        <w:t xml:space="preserve">CYP2C19*2 </w:t>
      </w:r>
      <w:r w:rsidRPr="008749B1">
        <w:rPr>
          <w:rFonts w:eastAsia="Times New Roman" w:cs="Arial"/>
          <w:color w:val="000000"/>
          <w:lang w:eastAsia="bg-BG"/>
        </w:rPr>
        <w:t xml:space="preserve">и </w:t>
      </w:r>
      <w:r w:rsidRPr="008749B1">
        <w:rPr>
          <w:rFonts w:eastAsia="Times New Roman" w:cs="Arial"/>
          <w:color w:val="000000"/>
          <w:lang w:val="en-US"/>
        </w:rPr>
        <w:t xml:space="preserve">CYP2C19*3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алелите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са нефункционални. </w:t>
      </w:r>
      <w:r w:rsidRPr="008749B1">
        <w:rPr>
          <w:rFonts w:eastAsia="Times New Roman" w:cs="Arial"/>
          <w:color w:val="000000"/>
          <w:lang w:val="en-US"/>
        </w:rPr>
        <w:t xml:space="preserve">CYP2C19*2 </w:t>
      </w:r>
      <w:r w:rsidRPr="008749B1">
        <w:rPr>
          <w:rFonts w:eastAsia="Times New Roman" w:cs="Arial"/>
          <w:color w:val="000000"/>
          <w:lang w:eastAsia="bg-BG"/>
        </w:rPr>
        <w:t xml:space="preserve">и </w:t>
      </w:r>
      <w:r w:rsidRPr="008749B1">
        <w:rPr>
          <w:rFonts w:eastAsia="Times New Roman" w:cs="Arial"/>
          <w:color w:val="000000"/>
          <w:lang w:val="en-US"/>
        </w:rPr>
        <w:t xml:space="preserve">CYP2C19*3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алелите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са отговорни за по- голямата част от намалената функция при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от бялата (85%) и азиатската (99%) раса. Други апели, свързани с липсващ или намален метаболизъм, са по-малко чести и включват </w:t>
      </w:r>
      <w:r w:rsidRPr="008749B1">
        <w:rPr>
          <w:rFonts w:eastAsia="Times New Roman" w:cs="Arial"/>
          <w:color w:val="000000"/>
          <w:lang w:val="en-US"/>
        </w:rPr>
        <w:t xml:space="preserve">CYP2C19*4, </w:t>
      </w:r>
      <w:r w:rsidRPr="008749B1">
        <w:rPr>
          <w:rFonts w:eastAsia="Times New Roman" w:cs="Arial"/>
          <w:color w:val="000000"/>
          <w:lang w:eastAsia="bg-BG"/>
        </w:rPr>
        <w:t xml:space="preserve">*5, *6,*7и*8. Пациент със статус на слаб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ще притежава два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алела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отговорни за загуба на функция, както е определено по-горе. Публикуваните честоти за слабите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метаболизиращи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генотипове са приблизително 2% за бялата раса, 4% за черната раса и 14% за китайците. Съществуват тестове за определяне на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r w:rsidRPr="008749B1">
        <w:rPr>
          <w:rFonts w:eastAsia="Times New Roman" w:cs="Arial"/>
          <w:color w:val="000000"/>
          <w:lang w:eastAsia="bg-BG"/>
        </w:rPr>
        <w:t>генотипа на пациента.</w:t>
      </w:r>
    </w:p>
    <w:p w14:paraId="05D7721F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311261" w14:textId="73079B23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Кръстосано проучване при 40 здрави доброволци, по 10 във всяка от четирите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метаболизиращи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групи (крайно бързи, екстензивни, междинни и слаби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) оценява фармакокинетиката и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антитромбоцитните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отговори при доза от 300 </w:t>
      </w:r>
      <w:r w:rsidRPr="008749B1">
        <w:rPr>
          <w:rFonts w:eastAsia="Times New Roman" w:cs="Arial"/>
          <w:color w:val="000000"/>
          <w:lang w:val="en-US"/>
        </w:rPr>
        <w:t xml:space="preserve">mg, </w:t>
      </w:r>
      <w:r w:rsidRPr="008749B1">
        <w:rPr>
          <w:rFonts w:eastAsia="Times New Roman" w:cs="Arial"/>
          <w:color w:val="000000"/>
          <w:lang w:eastAsia="bg-BG"/>
        </w:rPr>
        <w:t xml:space="preserve">последвана от 75 </w:t>
      </w:r>
      <w:r w:rsidRPr="008749B1">
        <w:rPr>
          <w:rFonts w:eastAsia="Times New Roman" w:cs="Arial"/>
          <w:color w:val="000000"/>
          <w:lang w:val="en-US"/>
        </w:rPr>
        <w:t>mg</w:t>
      </w:r>
      <w:r w:rsidRPr="008749B1">
        <w:rPr>
          <w:rFonts w:eastAsia="Times New Roman" w:cs="Arial"/>
          <w:color w:val="000000"/>
          <w:lang w:eastAsia="bg-BG"/>
        </w:rPr>
        <w:t xml:space="preserve">/дневно и 600 </w:t>
      </w:r>
      <w:r w:rsidRPr="008749B1">
        <w:rPr>
          <w:rFonts w:eastAsia="Times New Roman" w:cs="Arial"/>
          <w:color w:val="000000"/>
          <w:lang w:val="en-US"/>
        </w:rPr>
        <w:t xml:space="preserve">mg, </w:t>
      </w:r>
      <w:r w:rsidRPr="008749B1">
        <w:rPr>
          <w:rFonts w:eastAsia="Times New Roman" w:cs="Arial"/>
          <w:color w:val="000000"/>
          <w:lang w:eastAsia="bg-BG"/>
        </w:rPr>
        <w:t xml:space="preserve">последвана от 150 </w:t>
      </w:r>
      <w:r w:rsidRPr="008749B1">
        <w:rPr>
          <w:rFonts w:eastAsia="Times New Roman" w:cs="Arial"/>
          <w:color w:val="000000"/>
          <w:lang w:val="en-US"/>
        </w:rPr>
        <w:t>mg</w:t>
      </w:r>
      <w:r w:rsidRPr="008749B1">
        <w:rPr>
          <w:rFonts w:eastAsia="Times New Roman" w:cs="Arial"/>
          <w:color w:val="000000"/>
          <w:lang w:eastAsia="bg-BG"/>
        </w:rPr>
        <w:t xml:space="preserve">/дневно, всяка за общо 5 дни (стационарно състояние). Не са наблюдавани съществени разлики в експозицията на активния метаболит и средното инхибиране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агрегация </w:t>
      </w:r>
      <w:r w:rsidRPr="008749B1">
        <w:rPr>
          <w:rFonts w:eastAsia="Times New Roman" w:cs="Arial"/>
          <w:color w:val="000000"/>
          <w:lang w:val="en-US"/>
        </w:rPr>
        <w:t xml:space="preserve">(IPA) </w:t>
      </w:r>
      <w:r w:rsidRPr="008749B1">
        <w:rPr>
          <w:rFonts w:eastAsia="Times New Roman" w:cs="Arial"/>
          <w:color w:val="000000"/>
          <w:lang w:eastAsia="bg-BG"/>
        </w:rPr>
        <w:t>между крайно бързите, екстен</w:t>
      </w:r>
      <w:r w:rsidRPr="008749B1">
        <w:rPr>
          <w:rFonts w:eastAsia="Times New Roman" w:cs="Arial"/>
          <w:color w:val="000000"/>
          <w:u w:val="single"/>
          <w:lang w:eastAsia="bg-BG"/>
        </w:rPr>
        <w:t>зивнит</w:t>
      </w:r>
      <w:r w:rsidRPr="008749B1">
        <w:rPr>
          <w:rFonts w:eastAsia="Times New Roman" w:cs="Arial"/>
          <w:color w:val="000000"/>
          <w:lang w:eastAsia="bg-BG"/>
        </w:rPr>
        <w:t xml:space="preserve">е и междинните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. При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експозицията на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>активния</w:t>
      </w:r>
      <w:r w:rsidRPr="008749B1">
        <w:rPr>
          <w:rFonts w:eastAsia="Times New Roman" w:cs="Arial"/>
          <w:color w:val="000000"/>
          <w:vertAlign w:val="superscript"/>
          <w:lang w:eastAsia="bg-BG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>метаболит е намалена с 63-71%, в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сравнение с екстензивните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. След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ехема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на</w:t>
      </w:r>
    </w:p>
    <w:p w14:paraId="4C6CFDF3" w14:textId="77777777" w:rsidR="008749B1" w:rsidRPr="008749B1" w:rsidRDefault="008749B1" w:rsidP="008749B1">
      <w:pPr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дозиране 300 </w:t>
      </w:r>
      <w:r w:rsidRPr="008749B1">
        <w:rPr>
          <w:rFonts w:eastAsia="Times New Roman" w:cs="Arial"/>
          <w:color w:val="000000"/>
          <w:lang w:val="en-US"/>
        </w:rPr>
        <w:t xml:space="preserve">mg/75 mg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антитромбоцитните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отговори са понижени при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със средно </w:t>
      </w:r>
      <w:r w:rsidRPr="008749B1">
        <w:rPr>
          <w:rFonts w:eastAsia="Times New Roman" w:cs="Arial"/>
          <w:color w:val="000000"/>
          <w:lang w:val="en-US"/>
        </w:rPr>
        <w:t xml:space="preserve">IPA </w:t>
      </w:r>
      <w:r w:rsidRPr="008749B1">
        <w:rPr>
          <w:rFonts w:eastAsia="Times New Roman" w:cs="Arial"/>
          <w:color w:val="000000"/>
          <w:lang w:eastAsia="bg-BG"/>
        </w:rPr>
        <w:t xml:space="preserve">(5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рМ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</w:t>
      </w:r>
      <w:r w:rsidRPr="008749B1">
        <w:rPr>
          <w:rFonts w:eastAsia="Times New Roman" w:cs="Arial"/>
          <w:color w:val="000000"/>
          <w:lang w:val="en-US"/>
        </w:rPr>
        <w:t xml:space="preserve">ADP) </w:t>
      </w:r>
      <w:r w:rsidRPr="008749B1">
        <w:rPr>
          <w:rFonts w:eastAsia="Times New Roman" w:cs="Arial"/>
          <w:color w:val="000000"/>
          <w:lang w:eastAsia="bg-BG"/>
        </w:rPr>
        <w:t xml:space="preserve">от 24% (24 час) и 37% (ден 5), в сравнение с </w:t>
      </w:r>
      <w:r w:rsidRPr="008749B1">
        <w:rPr>
          <w:rFonts w:eastAsia="Times New Roman" w:cs="Arial"/>
          <w:color w:val="000000"/>
          <w:lang w:val="en-US"/>
        </w:rPr>
        <w:t xml:space="preserve">IPA </w:t>
      </w:r>
      <w:r w:rsidRPr="008749B1">
        <w:rPr>
          <w:rFonts w:eastAsia="Times New Roman" w:cs="Arial"/>
          <w:color w:val="000000"/>
          <w:lang w:eastAsia="bg-BG"/>
        </w:rPr>
        <w:t xml:space="preserve">от 39% 24 часа) и 58% (ден 5) при екстензивните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и 37% (24 час) и 60% (ден 5) при междинните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. Когато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приемат по схема 600 </w:t>
      </w:r>
      <w:r w:rsidRPr="008749B1">
        <w:rPr>
          <w:rFonts w:eastAsia="Times New Roman" w:cs="Arial"/>
          <w:color w:val="000000"/>
          <w:lang w:val="en-US"/>
        </w:rPr>
        <w:t>mg/150 mg,</w:t>
      </w:r>
      <w:r w:rsidRPr="008749B1">
        <w:rPr>
          <w:rFonts w:eastAsia="Times New Roman" w:cs="Arial"/>
          <w:color w:val="000000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експозицията на активния метаболит е по-гол яма, отколкото при схемата 300 </w:t>
      </w:r>
      <w:r w:rsidRPr="008749B1">
        <w:rPr>
          <w:rFonts w:eastAsia="Times New Roman" w:cs="Arial"/>
          <w:color w:val="000000"/>
          <w:lang w:val="en-US"/>
        </w:rPr>
        <w:t xml:space="preserve">mg/75 mg. </w:t>
      </w:r>
      <w:r w:rsidRPr="008749B1">
        <w:rPr>
          <w:rFonts w:eastAsia="Times New Roman" w:cs="Arial"/>
          <w:color w:val="000000"/>
          <w:lang w:eastAsia="bg-BG"/>
        </w:rPr>
        <w:t xml:space="preserve">В допълнение, </w:t>
      </w:r>
      <w:r w:rsidRPr="008749B1">
        <w:rPr>
          <w:rFonts w:eastAsia="Times New Roman" w:cs="Arial"/>
          <w:color w:val="000000"/>
          <w:lang w:val="en-US"/>
        </w:rPr>
        <w:t>IP</w:t>
      </w:r>
      <w:r w:rsidRPr="008749B1">
        <w:rPr>
          <w:rFonts w:eastAsia="Times New Roman" w:cs="Arial"/>
          <w:color w:val="000000"/>
          <w:lang w:eastAsia="bg-BG"/>
        </w:rPr>
        <w:t xml:space="preserve">А е 32% (24 час) и 61% (ден 5), стойности, по-големи отколкото при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получаващи по схема 300 </w:t>
      </w:r>
      <w:r w:rsidRPr="008749B1">
        <w:rPr>
          <w:rFonts w:eastAsia="Times New Roman" w:cs="Arial"/>
          <w:color w:val="000000"/>
          <w:lang w:val="en-US"/>
        </w:rPr>
        <w:t xml:space="preserve">mg/75 mg </w:t>
      </w:r>
      <w:r w:rsidRPr="008749B1">
        <w:rPr>
          <w:rFonts w:eastAsia="Times New Roman" w:cs="Arial"/>
          <w:color w:val="000000"/>
          <w:lang w:eastAsia="bg-BG"/>
        </w:rPr>
        <w:t xml:space="preserve">и сходни на тези при другите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метаболизиращи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групи, получаващи по схема 300 </w:t>
      </w:r>
      <w:r w:rsidRPr="008749B1">
        <w:rPr>
          <w:rFonts w:eastAsia="Times New Roman" w:cs="Arial"/>
          <w:color w:val="000000"/>
          <w:lang w:val="en-US"/>
        </w:rPr>
        <w:t xml:space="preserve">mg/75 mg. </w:t>
      </w:r>
      <w:r w:rsidRPr="008749B1">
        <w:rPr>
          <w:rFonts w:eastAsia="Times New Roman" w:cs="Arial"/>
          <w:color w:val="000000"/>
          <w:lang w:eastAsia="bg-BG"/>
        </w:rPr>
        <w:t>Подходяща схема на дозиране при тази популация пациенти все още не е определена в изпитвания за клинични резултати.</w:t>
      </w:r>
    </w:p>
    <w:p w14:paraId="5B57A564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572F25" w14:textId="0159567D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В съответствие с горните резултати, при мета-анализ, включващ 6 проучвания на 335 пациенти, лекувани с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в стационарно състояние, е показано, че експозицията на активния метаболит е понижена с 28% за междинните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и 72% за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докато инхибирането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агрегация (5 </w:t>
      </w:r>
      <w:r w:rsidRPr="008749B1">
        <w:rPr>
          <w:rFonts w:eastAsia="Times New Roman" w:cs="Arial"/>
          <w:color w:val="000000"/>
          <w:lang w:val="en-US"/>
        </w:rPr>
        <w:t>μ</w:t>
      </w:r>
      <w:r w:rsidRPr="008749B1">
        <w:rPr>
          <w:rFonts w:eastAsia="Times New Roman" w:cs="Arial"/>
          <w:color w:val="000000"/>
          <w:lang w:eastAsia="bg-BG"/>
        </w:rPr>
        <w:t xml:space="preserve">М </w:t>
      </w:r>
      <w:r w:rsidRPr="008749B1">
        <w:rPr>
          <w:rFonts w:eastAsia="Times New Roman" w:cs="Arial"/>
          <w:color w:val="000000"/>
          <w:lang w:val="en-US"/>
        </w:rPr>
        <w:t xml:space="preserve">ADP) </w:t>
      </w:r>
      <w:r w:rsidRPr="008749B1">
        <w:rPr>
          <w:rFonts w:eastAsia="Times New Roman" w:cs="Arial"/>
          <w:color w:val="000000"/>
          <w:lang w:eastAsia="bg-BG"/>
        </w:rPr>
        <w:t xml:space="preserve">е понижено с разлики в </w:t>
      </w:r>
      <w:r w:rsidRPr="008749B1">
        <w:rPr>
          <w:rFonts w:eastAsia="Times New Roman" w:cs="Arial"/>
          <w:color w:val="000000"/>
          <w:lang w:val="en-US"/>
        </w:rPr>
        <w:t xml:space="preserve">IPA </w:t>
      </w:r>
      <w:r w:rsidRPr="008749B1">
        <w:rPr>
          <w:rFonts w:eastAsia="Times New Roman" w:cs="Arial"/>
          <w:color w:val="000000"/>
          <w:lang w:eastAsia="bg-BG"/>
        </w:rPr>
        <w:t xml:space="preserve">от 5,9% и 21,4% съответно, в сравнение с екстензивните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70F85171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B84615" w14:textId="46136436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Влиянието на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r w:rsidRPr="008749B1">
        <w:rPr>
          <w:rFonts w:eastAsia="Times New Roman" w:cs="Arial"/>
          <w:color w:val="000000"/>
          <w:lang w:eastAsia="bg-BG"/>
        </w:rPr>
        <w:t xml:space="preserve">генотипа върху клиничния изход при пациенти, лекувани с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не е оценявано в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проспективни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рандомизирани, контролирани изпитвания. Съществуват обаче редица ретроспективни анализи за оценка на този ефект при пациенти, лекувани с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за които има резултати за генотипа: </w:t>
      </w:r>
      <w:r w:rsidRPr="008749B1">
        <w:rPr>
          <w:rFonts w:eastAsia="Times New Roman" w:cs="Arial"/>
          <w:color w:val="000000"/>
          <w:lang w:val="en-US"/>
        </w:rPr>
        <w:t>CURE (n=2,721), CHARISMA (n=2,428), CLARTTY-TIMI</w:t>
      </w:r>
      <w:r w:rsidRPr="008749B1">
        <w:rPr>
          <w:rFonts w:eastAsia="Times New Roman" w:cs="Arial"/>
          <w:color w:val="000000"/>
          <w:lang w:eastAsia="bg-BG"/>
        </w:rPr>
        <w:t xml:space="preserve">28 </w:t>
      </w:r>
      <w:r w:rsidRPr="008749B1">
        <w:rPr>
          <w:rFonts w:eastAsia="Times New Roman" w:cs="Arial"/>
          <w:color w:val="000000"/>
          <w:lang w:val="en-US"/>
        </w:rPr>
        <w:t>(n=227), TRITON-TIMI</w:t>
      </w:r>
      <w:r w:rsidRPr="008749B1">
        <w:rPr>
          <w:rFonts w:eastAsia="Times New Roman" w:cs="Arial"/>
          <w:color w:val="000000"/>
          <w:lang w:eastAsia="bg-BG"/>
        </w:rPr>
        <w:t>38 (</w:t>
      </w:r>
      <w:r w:rsidRPr="008749B1">
        <w:rPr>
          <w:rFonts w:eastAsia="Times New Roman" w:cs="Arial"/>
          <w:color w:val="000000"/>
          <w:lang w:val="en-US"/>
        </w:rPr>
        <w:t>n</w:t>
      </w:r>
      <w:r w:rsidRPr="008749B1">
        <w:rPr>
          <w:rFonts w:eastAsia="Times New Roman" w:cs="Arial"/>
          <w:color w:val="000000"/>
          <w:lang w:eastAsia="bg-BG"/>
        </w:rPr>
        <w:t xml:space="preserve">=1,477), и </w:t>
      </w:r>
      <w:r w:rsidRPr="008749B1">
        <w:rPr>
          <w:rFonts w:eastAsia="Times New Roman" w:cs="Arial"/>
          <w:color w:val="000000"/>
          <w:lang w:val="en-US"/>
        </w:rPr>
        <w:t xml:space="preserve">ACTIVE-A </w:t>
      </w:r>
      <w:r w:rsidRPr="008749B1">
        <w:rPr>
          <w:rFonts w:eastAsia="Times New Roman" w:cs="Arial"/>
          <w:color w:val="000000"/>
          <w:lang w:eastAsia="bg-BG"/>
        </w:rPr>
        <w:t>(</w:t>
      </w:r>
      <w:r w:rsidRPr="008749B1">
        <w:rPr>
          <w:rFonts w:eastAsia="Times New Roman" w:cs="Arial"/>
          <w:color w:val="000000"/>
          <w:lang w:val="en-US"/>
        </w:rPr>
        <w:t>n</w:t>
      </w:r>
      <w:r w:rsidRPr="008749B1">
        <w:rPr>
          <w:rFonts w:eastAsia="Times New Roman" w:cs="Arial"/>
          <w:color w:val="000000"/>
          <w:lang w:eastAsia="bg-BG"/>
        </w:rPr>
        <w:t xml:space="preserve">=601), както и известен брой публикувани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кохортни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проучвания.</w:t>
      </w:r>
    </w:p>
    <w:p w14:paraId="30479B09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654A7A" w14:textId="37722022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В </w:t>
      </w:r>
      <w:r w:rsidRPr="008749B1">
        <w:rPr>
          <w:rFonts w:eastAsia="Times New Roman" w:cs="Arial"/>
          <w:color w:val="000000"/>
          <w:lang w:val="en-US"/>
        </w:rPr>
        <w:t xml:space="preserve">TRITON-TIMI </w:t>
      </w:r>
      <w:r w:rsidRPr="008749B1">
        <w:rPr>
          <w:rFonts w:eastAsia="Times New Roman" w:cs="Arial"/>
          <w:color w:val="000000"/>
          <w:lang w:eastAsia="bg-BG"/>
        </w:rPr>
        <w:t xml:space="preserve">38 и 3 от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кохортните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проучвания </w:t>
      </w:r>
      <w:r w:rsidRPr="008749B1">
        <w:rPr>
          <w:rFonts w:eastAsia="Times New Roman" w:cs="Arial"/>
          <w:color w:val="000000"/>
          <w:lang w:val="en-US"/>
        </w:rPr>
        <w:t xml:space="preserve">(Collet, Sibbing, Giusti) </w:t>
      </w:r>
      <w:r w:rsidRPr="008749B1">
        <w:rPr>
          <w:rFonts w:eastAsia="Times New Roman" w:cs="Arial"/>
          <w:color w:val="000000"/>
          <w:lang w:eastAsia="bg-BG"/>
        </w:rPr>
        <w:t xml:space="preserve">комбинираната група пациенти с междинен или слаб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метаболизиращ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статус са имали по-висока честота на сърдечно</w:t>
      </w:r>
      <w:r w:rsidRPr="008749B1">
        <w:rPr>
          <w:rFonts w:eastAsia="Times New Roman" w:cs="Arial"/>
          <w:color w:val="000000"/>
          <w:lang w:eastAsia="bg-BG"/>
        </w:rPr>
        <w:softHyphen/>
        <w:t xml:space="preserve">съдови инциденти (смърт, миокарден инфаркт и инсулт) или тромбоза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стента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в сравнение с екстензивните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61B6A8AF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E702AA" w14:textId="2C194D49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lastRenderedPageBreak/>
        <w:t xml:space="preserve">В </w:t>
      </w:r>
      <w:r w:rsidRPr="008749B1">
        <w:rPr>
          <w:rFonts w:eastAsia="Times New Roman" w:cs="Arial"/>
          <w:color w:val="000000"/>
          <w:lang w:val="en-US"/>
        </w:rPr>
        <w:t xml:space="preserve">CHARISMA </w:t>
      </w:r>
      <w:r w:rsidRPr="008749B1">
        <w:rPr>
          <w:rFonts w:eastAsia="Times New Roman" w:cs="Arial"/>
          <w:color w:val="000000"/>
          <w:lang w:eastAsia="bg-BG"/>
        </w:rPr>
        <w:t xml:space="preserve">и едно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кохортно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проучване </w:t>
      </w:r>
      <w:r w:rsidRPr="008749B1">
        <w:rPr>
          <w:rFonts w:eastAsia="Times New Roman" w:cs="Arial"/>
          <w:color w:val="000000"/>
          <w:lang w:val="en-US"/>
        </w:rPr>
        <w:t xml:space="preserve">(Simon) </w:t>
      </w:r>
      <w:r w:rsidRPr="008749B1">
        <w:rPr>
          <w:rFonts w:eastAsia="Times New Roman" w:cs="Arial"/>
          <w:color w:val="000000"/>
          <w:lang w:eastAsia="bg-BG"/>
        </w:rPr>
        <w:t xml:space="preserve">повишена честота на инциденти е наблюдавана само при слаби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в сравнение с екстензивните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6D247E97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5DED26" w14:textId="12FC1E56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В </w:t>
      </w:r>
      <w:r w:rsidRPr="008749B1">
        <w:rPr>
          <w:rFonts w:eastAsia="Times New Roman" w:cs="Arial"/>
          <w:color w:val="000000"/>
          <w:lang w:val="en-US"/>
        </w:rPr>
        <w:t xml:space="preserve">CURE, CLARITY, ACTIVE-A </w:t>
      </w:r>
      <w:r w:rsidRPr="008749B1">
        <w:rPr>
          <w:rFonts w:eastAsia="Times New Roman" w:cs="Arial"/>
          <w:color w:val="000000"/>
          <w:lang w:eastAsia="bg-BG"/>
        </w:rPr>
        <w:t xml:space="preserve">и едно от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кохортните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проучвания </w:t>
      </w:r>
      <w:r w:rsidRPr="008749B1">
        <w:rPr>
          <w:rFonts w:eastAsia="Times New Roman" w:cs="Arial"/>
          <w:color w:val="000000"/>
          <w:lang w:val="en-US"/>
        </w:rPr>
        <w:t>(</w:t>
      </w:r>
      <w:proofErr w:type="spellStart"/>
      <w:r w:rsidRPr="008749B1">
        <w:rPr>
          <w:rFonts w:eastAsia="Times New Roman" w:cs="Arial"/>
          <w:color w:val="000000"/>
          <w:lang w:val="en-US"/>
        </w:rPr>
        <w:t>Trenk</w:t>
      </w:r>
      <w:proofErr w:type="spellEnd"/>
      <w:r w:rsidRPr="008749B1">
        <w:rPr>
          <w:rFonts w:eastAsia="Times New Roman" w:cs="Arial"/>
          <w:color w:val="000000"/>
          <w:lang w:val="en-US"/>
        </w:rPr>
        <w:t xml:space="preserve">) </w:t>
      </w:r>
      <w:r w:rsidRPr="008749B1">
        <w:rPr>
          <w:rFonts w:eastAsia="Times New Roman" w:cs="Arial"/>
          <w:color w:val="000000"/>
          <w:lang w:eastAsia="bg-BG"/>
        </w:rPr>
        <w:t xml:space="preserve">не е наблюдавана повишена честота на инцидентите въз основа на статуса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метаболизатора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4ACF6FAD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5FD041" w14:textId="40AD136F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Нито един от тези анализи не е бил с адекватен брой пациенти, за да открие разлики в изхода при слабите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0B87F610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C5146D" w14:textId="04354AEC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23DF181F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AD3FAA" w14:textId="79F76B5F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Фармакокинетиката на активния метаболит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не е известна за тези специални популации.</w:t>
      </w:r>
    </w:p>
    <w:p w14:paraId="360A2ED9" w14:textId="77777777" w:rsidR="008749B1" w:rsidRPr="008749B1" w:rsidRDefault="008749B1" w:rsidP="008749B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701ABA" w14:textId="6ECC7DFC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i/>
          <w:iCs/>
          <w:color w:val="000000"/>
          <w:lang w:eastAsia="bg-BG"/>
        </w:rPr>
        <w:t>Бъбречни увреждания/нарушения</w:t>
      </w:r>
    </w:p>
    <w:p w14:paraId="37BE0D5D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След многократни дневни дози от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при хора с тежко бъбречно заболяване (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клирънс от 5 до 15 </w:t>
      </w:r>
      <w:r w:rsidRPr="008749B1">
        <w:rPr>
          <w:rFonts w:eastAsia="Times New Roman" w:cs="Arial"/>
          <w:color w:val="000000"/>
          <w:lang w:val="en-US"/>
        </w:rPr>
        <w:t xml:space="preserve">ml/min),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инхибицията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на индуцираната от АДФ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агрегация е по-ниска (25%) от тази, наблюдавана при здрави индивиди, обаче удължаването на времето на кървене е подобно на това, наблюдавано при здрави хора, получаващи дневна доза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>. В заключение клиничната поносимост е добра при всички пациенти.</w:t>
      </w:r>
    </w:p>
    <w:p w14:paraId="7FF4D641" w14:textId="77777777" w:rsidR="008749B1" w:rsidRPr="008749B1" w:rsidRDefault="008749B1" w:rsidP="008749B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11380AE" w14:textId="5693D23A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i/>
          <w:iCs/>
          <w:color w:val="000000"/>
          <w:lang w:eastAsia="bg-BG"/>
        </w:rPr>
        <w:t>Чернодробни увреждания/нарушения</w:t>
      </w:r>
    </w:p>
    <w:p w14:paraId="343C4929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След многократни дневни дози от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за 10 дни при пациенти с тежко чернодробно увреждане,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инхибицията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на индуцираната от АДФ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агрегация е подобна на тази, наблюдавана при здрави индивиди. Средното удължаване на времето на кървене е също подобно в двете групи.</w:t>
      </w:r>
    </w:p>
    <w:p w14:paraId="566AB44D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CF7B58" w14:textId="2AC15871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i/>
          <w:iCs/>
          <w:color w:val="000000"/>
          <w:lang w:eastAsia="bg-BG"/>
        </w:rPr>
        <w:t>Раси</w:t>
      </w:r>
    </w:p>
    <w:p w14:paraId="0B5CDE02" w14:textId="6BD0026C" w:rsid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Преобладаване на </w:t>
      </w:r>
      <w:r w:rsidRPr="008749B1">
        <w:rPr>
          <w:rFonts w:eastAsia="Times New Roman" w:cs="Arial"/>
          <w:color w:val="000000"/>
          <w:lang w:val="en-US"/>
        </w:rPr>
        <w:t xml:space="preserve">CYP2C19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алели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, които кореспондират с междинния и бавния метаболизъм се различават според расата/етноса (виж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фармакогенетика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). Налице са </w:t>
      </w:r>
      <w:r w:rsidRPr="008749B1">
        <w:rPr>
          <w:rFonts w:eastAsia="Times New Roman" w:cs="Arial"/>
          <w:i/>
          <w:iCs/>
          <w:color w:val="000000"/>
          <w:lang w:eastAsia="bg-BG"/>
        </w:rPr>
        <w:t xml:space="preserve">ограничени литературни </w:t>
      </w:r>
      <w:r w:rsidRPr="008749B1">
        <w:rPr>
          <w:rFonts w:eastAsia="Times New Roman" w:cs="Arial"/>
          <w:color w:val="000000"/>
          <w:lang w:eastAsia="bg-BG"/>
        </w:rPr>
        <w:t xml:space="preserve">данни за азиатската популация, за да се оцени клиничното приложение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генотипна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на </w:t>
      </w:r>
      <w:r w:rsidRPr="008749B1">
        <w:rPr>
          <w:rFonts w:eastAsia="Times New Roman" w:cs="Arial"/>
          <w:color w:val="000000"/>
          <w:lang w:val="en-US"/>
        </w:rPr>
        <w:t>CYP</w:t>
      </w:r>
      <w:r w:rsidRPr="008749B1">
        <w:rPr>
          <w:rFonts w:eastAsia="Times New Roman" w:cs="Arial"/>
          <w:color w:val="000000"/>
          <w:lang w:eastAsia="bg-BG"/>
        </w:rPr>
        <w:t xml:space="preserve"> върху клиничния изход от събитието.</w:t>
      </w:r>
    </w:p>
    <w:p w14:paraId="25F9D967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</w:p>
    <w:p w14:paraId="134A69A8" w14:textId="7D161B1B" w:rsidR="002C50EE" w:rsidRDefault="002C50EE" w:rsidP="002C50EE">
      <w:pPr>
        <w:pStyle w:val="2"/>
      </w:pPr>
      <w:r>
        <w:t>5.3. Предклинични данни за безопасност</w:t>
      </w:r>
    </w:p>
    <w:p w14:paraId="541AE114" w14:textId="2639A94A" w:rsidR="008749B1" w:rsidRDefault="008749B1" w:rsidP="008749B1"/>
    <w:p w14:paraId="3AEF7077" w14:textId="77777777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При неклиничните изпитвания с плъхове и маймуни, при дози, надвишаващи най-малко 25 пъти терапевтичната дневна доза от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r w:rsidRPr="008749B1">
        <w:rPr>
          <w:rFonts w:eastAsia="Times New Roman" w:cs="Arial"/>
          <w:color w:val="000000"/>
          <w:lang w:eastAsia="bg-BG"/>
        </w:rPr>
        <w:t xml:space="preserve">при хора, най-често се установяват чернодробни промени, които са резултат на ефект върху чернодробните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метаболизиращи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ензими. Такъв ефект не е установен при хора, приемащи терапевтична доза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>.</w:t>
      </w:r>
    </w:p>
    <w:p w14:paraId="54BB6C11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BA6332" w14:textId="071F3EDE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>При много високи дози при плъхове й маймуни е установена и нарушена стомашна поносимост (гастрит, стомашни ерозии и/или повръщане).</w:t>
      </w:r>
    </w:p>
    <w:p w14:paraId="6976A184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7C201A" w14:textId="6F4FF4FE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t xml:space="preserve">Няма доказателства за канцерогенен ефект при прилагане на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78 седмици на мишки и 104 седмици на плъхове в дози до 77 </w:t>
      </w:r>
      <w:r w:rsidRPr="008749B1">
        <w:rPr>
          <w:rFonts w:eastAsia="Times New Roman" w:cs="Arial"/>
          <w:color w:val="000000"/>
          <w:lang w:val="en-US"/>
        </w:rPr>
        <w:t xml:space="preserve">mg/kg </w:t>
      </w:r>
      <w:r w:rsidRPr="008749B1">
        <w:rPr>
          <w:rFonts w:eastAsia="Times New Roman" w:cs="Arial"/>
          <w:color w:val="000000"/>
          <w:lang w:eastAsia="bg-BG"/>
        </w:rPr>
        <w:t xml:space="preserve">дневно (съответстващо на най-малко 25-пъти по- висока доза от терапевтичната при хора, получаващи 75 </w:t>
      </w:r>
      <w:r w:rsidRPr="008749B1">
        <w:rPr>
          <w:rFonts w:eastAsia="Times New Roman" w:cs="Arial"/>
          <w:color w:val="000000"/>
          <w:lang w:val="en-US"/>
        </w:rPr>
        <w:t xml:space="preserve">mg </w:t>
      </w:r>
      <w:r w:rsidRPr="008749B1">
        <w:rPr>
          <w:rFonts w:eastAsia="Times New Roman" w:cs="Arial"/>
          <w:color w:val="000000"/>
          <w:lang w:eastAsia="bg-BG"/>
        </w:rPr>
        <w:t>дневно).</w:t>
      </w:r>
    </w:p>
    <w:p w14:paraId="213AFEDC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E83BFD" w14:textId="255AA364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r w:rsidRPr="008749B1">
        <w:rPr>
          <w:rFonts w:eastAsia="Times New Roman" w:cs="Arial"/>
          <w:color w:val="000000"/>
          <w:lang w:eastAsia="bg-BG"/>
        </w:rPr>
        <w:lastRenderedPageBreak/>
        <w:t xml:space="preserve">Множеството </w:t>
      </w:r>
      <w:r w:rsidRPr="008749B1">
        <w:rPr>
          <w:rFonts w:eastAsia="Times New Roman" w:cs="Arial"/>
          <w:i/>
          <w:iCs/>
          <w:color w:val="000000"/>
          <w:lang w:val="en-US"/>
        </w:rPr>
        <w:t>in vitro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и </w:t>
      </w:r>
      <w:r w:rsidRPr="008749B1">
        <w:rPr>
          <w:rFonts w:eastAsia="Times New Roman" w:cs="Arial"/>
          <w:i/>
          <w:iCs/>
          <w:color w:val="000000"/>
          <w:lang w:val="en-US"/>
        </w:rPr>
        <w:t>in vivo</w:t>
      </w:r>
      <w:r w:rsidRPr="008749B1">
        <w:rPr>
          <w:rFonts w:eastAsia="Times New Roman" w:cs="Arial"/>
          <w:color w:val="000000"/>
          <w:lang w:val="en-US"/>
        </w:rPr>
        <w:t xml:space="preserve"> </w:t>
      </w:r>
      <w:r w:rsidRPr="008749B1">
        <w:rPr>
          <w:rFonts w:eastAsia="Times New Roman" w:cs="Arial"/>
          <w:color w:val="000000"/>
          <w:lang w:eastAsia="bg-BG"/>
        </w:rPr>
        <w:t xml:space="preserve">проучвания за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генотоксичност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показват, че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няма такъв ефект.</w:t>
      </w:r>
    </w:p>
    <w:p w14:paraId="1BEE7065" w14:textId="77777777" w:rsidR="008749B1" w:rsidRPr="008749B1" w:rsidRDefault="008749B1" w:rsidP="008749B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52621B" w14:textId="2A8A6FC4" w:rsidR="008749B1" w:rsidRPr="008749B1" w:rsidRDefault="008749B1" w:rsidP="008749B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749B1">
        <w:rPr>
          <w:rFonts w:eastAsia="Times New Roman" w:cs="Arial"/>
          <w:color w:val="000000"/>
          <w:lang w:eastAsia="bg-BG"/>
        </w:rPr>
        <w:t>Клопидрогел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не влияе върху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на мъжки и женски плъхове и няма тератогенен ефект върху плъхове и зайци. Когато се прилага при кърмещи плъхове предизвиква слабо забавяне на развитието на поколението. Специфични </w:t>
      </w:r>
      <w:proofErr w:type="spellStart"/>
      <w:r w:rsidRPr="008749B1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проучвания с маркиран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клопидогрел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показват, че основното съединение или негови метаболити се </w:t>
      </w:r>
      <w:proofErr w:type="spellStart"/>
      <w:r w:rsidRPr="008749B1">
        <w:rPr>
          <w:rFonts w:eastAsia="Times New Roman" w:cs="Arial"/>
          <w:color w:val="000000"/>
          <w:lang w:eastAsia="bg-BG"/>
        </w:rPr>
        <w:t>екскретират</w:t>
      </w:r>
      <w:proofErr w:type="spellEnd"/>
      <w:r w:rsidRPr="008749B1">
        <w:rPr>
          <w:rFonts w:eastAsia="Times New Roman" w:cs="Arial"/>
          <w:color w:val="000000"/>
          <w:lang w:eastAsia="bg-BG"/>
        </w:rPr>
        <w:t xml:space="preserve"> в млякото, следователно пряк (слаба токсичност) или косвен ефект (леко вкусово усещане) не може да се изключи.</w:t>
      </w:r>
    </w:p>
    <w:p w14:paraId="0D203A60" w14:textId="77777777" w:rsidR="008749B1" w:rsidRPr="008749B1" w:rsidRDefault="008749B1" w:rsidP="008749B1"/>
    <w:p w14:paraId="28C40F19" w14:textId="51E8315C" w:rsidR="002C50EE" w:rsidRDefault="002C50EE" w:rsidP="002C50EE">
      <w:pPr>
        <w:pStyle w:val="1"/>
      </w:pPr>
      <w:r>
        <w:t>7. ПРИТЕЖАТЕЛ НА РАЗРЕШЕНИЕТО ЗА УПОТРЕБА</w:t>
      </w:r>
    </w:p>
    <w:p w14:paraId="53BA66E5" w14:textId="310A3C2E" w:rsidR="008749B1" w:rsidRDefault="008749B1" w:rsidP="008749B1"/>
    <w:p w14:paraId="2B922EEA" w14:textId="77777777" w:rsidR="008749B1" w:rsidRPr="008749B1" w:rsidRDefault="008749B1" w:rsidP="008749B1">
      <w:pPr>
        <w:rPr>
          <w:sz w:val="24"/>
          <w:szCs w:val="24"/>
        </w:rPr>
      </w:pPr>
      <w:r w:rsidRPr="008749B1">
        <w:rPr>
          <w:lang w:eastAsia="bg-BG"/>
        </w:rPr>
        <w:t>СОФАРМА АД</w:t>
      </w:r>
    </w:p>
    <w:p w14:paraId="70B37425" w14:textId="221E95AF" w:rsidR="008749B1" w:rsidRPr="008749B1" w:rsidRDefault="008749B1" w:rsidP="008749B1">
      <w:r w:rsidRPr="008749B1">
        <w:rPr>
          <w:lang w:eastAsia="bg-BG"/>
        </w:rPr>
        <w:t xml:space="preserve">ул. </w:t>
      </w:r>
      <w:proofErr w:type="spellStart"/>
      <w:r w:rsidRPr="008749B1">
        <w:rPr>
          <w:lang w:eastAsia="bg-BG"/>
        </w:rPr>
        <w:t>Илиенско</w:t>
      </w:r>
      <w:proofErr w:type="spellEnd"/>
      <w:r w:rsidRPr="008749B1">
        <w:rPr>
          <w:lang w:eastAsia="bg-BG"/>
        </w:rPr>
        <w:t xml:space="preserve"> шосе 16, 1220 София, България</w:t>
      </w:r>
    </w:p>
    <w:p w14:paraId="04840D59" w14:textId="7E4AFF69" w:rsidR="002C50EE" w:rsidRDefault="002C50EE" w:rsidP="002C50EE">
      <w:pPr>
        <w:pStyle w:val="1"/>
      </w:pPr>
      <w:r>
        <w:t>8. НОМЕР НА РАЗРЕШЕНИЕТО ЗА УПОТРЕБА</w:t>
      </w:r>
    </w:p>
    <w:p w14:paraId="1E356651" w14:textId="01A2FEFB" w:rsidR="008749B1" w:rsidRDefault="008749B1" w:rsidP="008749B1"/>
    <w:p w14:paraId="651C9695" w14:textId="2745B41F" w:rsidR="008749B1" w:rsidRPr="008749B1" w:rsidRDefault="008749B1" w:rsidP="008749B1">
      <w:r>
        <w:t>20100223</w:t>
      </w:r>
    </w:p>
    <w:p w14:paraId="3F7440A6" w14:textId="381BBE29" w:rsidR="00306EB4" w:rsidRDefault="002C50EE" w:rsidP="003E00C0">
      <w:pPr>
        <w:pStyle w:val="1"/>
      </w:pPr>
      <w:r>
        <w:t>9. ДАТА НА ПЪРВО РАЗРЕШАВАНЕ/ПОДНОВЯВАНЕ НА РАЗРЕШЕНИЕТО ЗА УПОТРЕБА</w:t>
      </w:r>
    </w:p>
    <w:p w14:paraId="1B5B0DE1" w14:textId="0F302232" w:rsidR="008749B1" w:rsidRDefault="008749B1" w:rsidP="008749B1"/>
    <w:p w14:paraId="449C8725" w14:textId="43C2974C" w:rsidR="008749B1" w:rsidRPr="008749B1" w:rsidRDefault="008749B1" w:rsidP="008749B1">
      <w:r>
        <w:t>31.03.2010</w:t>
      </w:r>
    </w:p>
    <w:p w14:paraId="0E9D0119" w14:textId="7777777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2635B5C5" w14:textId="77777777" w:rsidR="008749B1" w:rsidRDefault="008749B1" w:rsidP="003E3126"/>
    <w:p w14:paraId="423F4C2A" w14:textId="511B7A75" w:rsidR="00C87E90" w:rsidRPr="003E3126" w:rsidRDefault="008749B1" w:rsidP="008749B1">
      <w:r>
        <w:t>Август, 2019 г.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03615D"/>
    <w:multiLevelType w:val="hybridMultilevel"/>
    <w:tmpl w:val="0C82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D76880"/>
    <w:multiLevelType w:val="hybridMultilevel"/>
    <w:tmpl w:val="7198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358C"/>
    <w:multiLevelType w:val="hybridMultilevel"/>
    <w:tmpl w:val="FFF8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133F"/>
    <w:multiLevelType w:val="hybridMultilevel"/>
    <w:tmpl w:val="2C1E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AE5AC5"/>
    <w:multiLevelType w:val="hybridMultilevel"/>
    <w:tmpl w:val="F41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2A1C"/>
    <w:multiLevelType w:val="hybridMultilevel"/>
    <w:tmpl w:val="7C30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7A42"/>
    <w:multiLevelType w:val="hybridMultilevel"/>
    <w:tmpl w:val="505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80A09"/>
    <w:multiLevelType w:val="hybridMultilevel"/>
    <w:tmpl w:val="0EA4F8A2"/>
    <w:lvl w:ilvl="0" w:tplc="BB8A55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C45A1"/>
    <w:multiLevelType w:val="hybridMultilevel"/>
    <w:tmpl w:val="532C4E02"/>
    <w:lvl w:ilvl="0" w:tplc="8048DD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C6B09"/>
    <w:multiLevelType w:val="hybridMultilevel"/>
    <w:tmpl w:val="57D6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552"/>
    <w:multiLevelType w:val="hybridMultilevel"/>
    <w:tmpl w:val="2DC8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745F7"/>
    <w:multiLevelType w:val="hybridMultilevel"/>
    <w:tmpl w:val="6E9255B0"/>
    <w:lvl w:ilvl="0" w:tplc="806C25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17"/>
  </w:num>
  <w:num w:numId="9">
    <w:abstractNumId w:val="2"/>
  </w:num>
  <w:num w:numId="10">
    <w:abstractNumId w:val="5"/>
  </w:num>
  <w:num w:numId="11">
    <w:abstractNumId w:val="25"/>
  </w:num>
  <w:num w:numId="12">
    <w:abstractNumId w:val="16"/>
  </w:num>
  <w:num w:numId="13">
    <w:abstractNumId w:val="19"/>
  </w:num>
  <w:num w:numId="14">
    <w:abstractNumId w:val="12"/>
  </w:num>
  <w:num w:numId="15">
    <w:abstractNumId w:val="24"/>
  </w:num>
  <w:num w:numId="16">
    <w:abstractNumId w:val="9"/>
  </w:num>
  <w:num w:numId="17">
    <w:abstractNumId w:val="21"/>
  </w:num>
  <w:num w:numId="18">
    <w:abstractNumId w:val="6"/>
  </w:num>
  <w:num w:numId="19">
    <w:abstractNumId w:val="28"/>
  </w:num>
  <w:num w:numId="20">
    <w:abstractNumId w:val="7"/>
  </w:num>
  <w:num w:numId="21">
    <w:abstractNumId w:val="11"/>
  </w:num>
  <w:num w:numId="22">
    <w:abstractNumId w:val="4"/>
  </w:num>
  <w:num w:numId="23">
    <w:abstractNumId w:val="22"/>
  </w:num>
  <w:num w:numId="24">
    <w:abstractNumId w:val="8"/>
  </w:num>
  <w:num w:numId="25">
    <w:abstractNumId w:val="15"/>
  </w:num>
  <w:num w:numId="26">
    <w:abstractNumId w:val="20"/>
  </w:num>
  <w:num w:numId="27">
    <w:abstractNumId w:val="26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0651E"/>
    <w:rsid w:val="000719CB"/>
    <w:rsid w:val="000B4D83"/>
    <w:rsid w:val="00185A46"/>
    <w:rsid w:val="001915B6"/>
    <w:rsid w:val="001D1B23"/>
    <w:rsid w:val="002129E0"/>
    <w:rsid w:val="002B4DBB"/>
    <w:rsid w:val="002C50EE"/>
    <w:rsid w:val="002C62F4"/>
    <w:rsid w:val="002F509F"/>
    <w:rsid w:val="00306EB4"/>
    <w:rsid w:val="0032109F"/>
    <w:rsid w:val="00340A0A"/>
    <w:rsid w:val="003E00C0"/>
    <w:rsid w:val="003E3126"/>
    <w:rsid w:val="00517A5B"/>
    <w:rsid w:val="00533587"/>
    <w:rsid w:val="0055232E"/>
    <w:rsid w:val="00593A00"/>
    <w:rsid w:val="00605BCA"/>
    <w:rsid w:val="006158A1"/>
    <w:rsid w:val="00617B1F"/>
    <w:rsid w:val="00672487"/>
    <w:rsid w:val="00672600"/>
    <w:rsid w:val="0068107D"/>
    <w:rsid w:val="00681D4A"/>
    <w:rsid w:val="00685882"/>
    <w:rsid w:val="0074087E"/>
    <w:rsid w:val="0075649D"/>
    <w:rsid w:val="0076594E"/>
    <w:rsid w:val="007A5BF2"/>
    <w:rsid w:val="007B1975"/>
    <w:rsid w:val="00803941"/>
    <w:rsid w:val="00814073"/>
    <w:rsid w:val="00826F0D"/>
    <w:rsid w:val="008749B1"/>
    <w:rsid w:val="00893B92"/>
    <w:rsid w:val="008C70A2"/>
    <w:rsid w:val="008E27B1"/>
    <w:rsid w:val="00901575"/>
    <w:rsid w:val="009318C5"/>
    <w:rsid w:val="009773E4"/>
    <w:rsid w:val="009F10D1"/>
    <w:rsid w:val="00A01EF1"/>
    <w:rsid w:val="00A16872"/>
    <w:rsid w:val="00A20351"/>
    <w:rsid w:val="00AC63CE"/>
    <w:rsid w:val="00AE2107"/>
    <w:rsid w:val="00B20198"/>
    <w:rsid w:val="00B275A8"/>
    <w:rsid w:val="00BF2600"/>
    <w:rsid w:val="00C06912"/>
    <w:rsid w:val="00C07B84"/>
    <w:rsid w:val="00C171D1"/>
    <w:rsid w:val="00C17DA2"/>
    <w:rsid w:val="00C20336"/>
    <w:rsid w:val="00C33464"/>
    <w:rsid w:val="00C83063"/>
    <w:rsid w:val="00C87E90"/>
    <w:rsid w:val="00CA42AA"/>
    <w:rsid w:val="00CD2539"/>
    <w:rsid w:val="00D17E73"/>
    <w:rsid w:val="00D9655A"/>
    <w:rsid w:val="00DD466D"/>
    <w:rsid w:val="00E3753E"/>
    <w:rsid w:val="00E46E15"/>
    <w:rsid w:val="00E61928"/>
    <w:rsid w:val="00EB6364"/>
    <w:rsid w:val="00EF02F6"/>
    <w:rsid w:val="00F37B6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7576</Words>
  <Characters>43188</Characters>
  <Application>Microsoft Office Word</Application>
  <DocSecurity>0</DocSecurity>
  <Lines>359</Lines>
  <Paragraphs>101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Катерина В. Василева</cp:lastModifiedBy>
  <cp:revision>2</cp:revision>
  <dcterms:created xsi:type="dcterms:W3CDTF">2021-11-19T16:15:00Z</dcterms:created>
  <dcterms:modified xsi:type="dcterms:W3CDTF">2021-11-19T16:15:00Z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