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448CF00A" w:rsidR="00C40420" w:rsidRDefault="00DD466D" w:rsidP="004A448E">
      <w:pPr>
        <w:pStyle w:val="Heading1"/>
      </w:pPr>
      <w:r>
        <w:t>1.ИМЕ НА ЛЕКАРСТВЕНИЯ ПРОДУКТ</w:t>
      </w:r>
    </w:p>
    <w:p w14:paraId="6DE184F9" w14:textId="7FB74063" w:rsidR="00FC325B" w:rsidRDefault="00FC325B" w:rsidP="00FC325B"/>
    <w:p w14:paraId="41157FA4" w14:textId="77777777" w:rsidR="00FC325B" w:rsidRPr="00FC325B" w:rsidRDefault="00FC325B" w:rsidP="00FC325B">
      <w:pPr>
        <w:rPr>
          <w:sz w:val="24"/>
          <w:szCs w:val="24"/>
        </w:rPr>
      </w:pPr>
      <w:r w:rsidRPr="00FC325B">
        <w:rPr>
          <w:lang w:eastAsia="bg-BG"/>
        </w:rPr>
        <w:t xml:space="preserve">ГЛЮКОБАЙ 100 </w:t>
      </w:r>
      <w:r w:rsidRPr="00FC325B">
        <w:rPr>
          <w:lang w:val="en-US"/>
        </w:rPr>
        <w:t>mg</w:t>
      </w:r>
      <w:r w:rsidRPr="00FC325B">
        <w:t xml:space="preserve"> </w:t>
      </w:r>
      <w:r w:rsidRPr="00FC325B">
        <w:rPr>
          <w:lang w:eastAsia="bg-BG"/>
        </w:rPr>
        <w:t>таблетки</w:t>
      </w:r>
    </w:p>
    <w:p w14:paraId="342E0097" w14:textId="70CE8361" w:rsidR="00FC325B" w:rsidRPr="00FC325B" w:rsidRDefault="00FC325B" w:rsidP="00FC325B">
      <w:r w:rsidRPr="00FC325B">
        <w:rPr>
          <w:lang w:val="en-US"/>
        </w:rPr>
        <w:t>GLUCOBAY</w:t>
      </w:r>
      <w:r w:rsidRPr="00FC325B">
        <w:t xml:space="preserve"> </w:t>
      </w:r>
      <w:r w:rsidRPr="00FC325B">
        <w:rPr>
          <w:lang w:eastAsia="bg-BG"/>
        </w:rPr>
        <w:t xml:space="preserve">100 </w:t>
      </w:r>
      <w:r w:rsidRPr="00FC325B">
        <w:rPr>
          <w:lang w:val="en-US"/>
        </w:rPr>
        <w:t>mg</w:t>
      </w:r>
      <w:r w:rsidRPr="00FC325B">
        <w:t xml:space="preserve"> </w:t>
      </w:r>
      <w:r w:rsidRPr="00FC325B">
        <w:rPr>
          <w:lang w:val="en-US"/>
        </w:rPr>
        <w:t>tablets</w:t>
      </w:r>
    </w:p>
    <w:p w14:paraId="6920A680" w14:textId="3D93010C" w:rsidR="00C40420" w:rsidRDefault="00DD466D" w:rsidP="004A448E">
      <w:pPr>
        <w:pStyle w:val="Heading1"/>
      </w:pPr>
      <w:r>
        <w:t>2. КАЧЕСТВЕН И КОЛИЧЕСТВЕН СЪСТАВ</w:t>
      </w:r>
    </w:p>
    <w:p w14:paraId="4B9BF6E9" w14:textId="395C2269" w:rsidR="00FC325B" w:rsidRDefault="00FC325B" w:rsidP="00FC325B"/>
    <w:p w14:paraId="3D28813E" w14:textId="77777777" w:rsidR="00FC325B" w:rsidRPr="00FC325B" w:rsidRDefault="00FC325B" w:rsidP="00FC325B">
      <w:pPr>
        <w:rPr>
          <w:sz w:val="24"/>
          <w:szCs w:val="24"/>
        </w:rPr>
      </w:pPr>
      <w:r w:rsidRPr="00FC325B">
        <w:rPr>
          <w:lang w:eastAsia="bg-BG"/>
        </w:rPr>
        <w:t xml:space="preserve">Активно вещество: акарбоза </w:t>
      </w:r>
      <w:r w:rsidRPr="00FC325B">
        <w:rPr>
          <w:i/>
          <w:iCs/>
          <w:lang w:val="ru-RU"/>
        </w:rPr>
        <w:t>(</w:t>
      </w:r>
      <w:proofErr w:type="spellStart"/>
      <w:r w:rsidRPr="00FC325B">
        <w:rPr>
          <w:i/>
          <w:iCs/>
          <w:lang w:val="en-US"/>
        </w:rPr>
        <w:t>acarbose</w:t>
      </w:r>
      <w:proofErr w:type="spellEnd"/>
      <w:r w:rsidRPr="00FC325B">
        <w:rPr>
          <w:i/>
          <w:iCs/>
          <w:lang w:val="ru-RU"/>
        </w:rPr>
        <w:t>).</w:t>
      </w:r>
      <w:r w:rsidRPr="00FC325B">
        <w:rPr>
          <w:lang w:val="ru-RU"/>
        </w:rPr>
        <w:t xml:space="preserve"> </w:t>
      </w:r>
      <w:r w:rsidRPr="00FC325B">
        <w:rPr>
          <w:lang w:eastAsia="bg-BG"/>
        </w:rPr>
        <w:t xml:space="preserve">Всяка таблетка Глюкобай съдържа 100 </w:t>
      </w:r>
      <w:r w:rsidRPr="00FC325B">
        <w:rPr>
          <w:lang w:val="en-US"/>
        </w:rPr>
        <w:t>mg</w:t>
      </w:r>
      <w:r w:rsidRPr="00FC325B">
        <w:rPr>
          <w:lang w:val="ru-RU"/>
        </w:rPr>
        <w:t xml:space="preserve"> </w:t>
      </w:r>
      <w:r w:rsidRPr="00FC325B">
        <w:rPr>
          <w:lang w:eastAsia="bg-BG"/>
        </w:rPr>
        <w:t>акарбоза.</w:t>
      </w:r>
    </w:p>
    <w:p w14:paraId="1EA0E0DA" w14:textId="77777777" w:rsidR="00FC325B" w:rsidRPr="00FC325B" w:rsidRDefault="00FC325B" w:rsidP="00FC325B"/>
    <w:p w14:paraId="614984C4" w14:textId="55F2F8B5" w:rsidR="008A6AF2" w:rsidRDefault="00DD466D" w:rsidP="002C50EE">
      <w:pPr>
        <w:pStyle w:val="Heading1"/>
      </w:pPr>
      <w:r>
        <w:t>3. ЛЕКАРСТВЕНА ФОРМА</w:t>
      </w:r>
    </w:p>
    <w:p w14:paraId="653C1D5B" w14:textId="4E3F1196" w:rsidR="00FC325B" w:rsidRDefault="00FC325B" w:rsidP="00FC325B"/>
    <w:p w14:paraId="60669B9C" w14:textId="77777777" w:rsidR="00FC325B" w:rsidRPr="00FC325B" w:rsidRDefault="00FC325B" w:rsidP="00FC325B">
      <w:pPr>
        <w:rPr>
          <w:sz w:val="24"/>
          <w:szCs w:val="24"/>
        </w:rPr>
      </w:pPr>
      <w:r w:rsidRPr="00FC325B">
        <w:rPr>
          <w:lang w:eastAsia="bg-BG"/>
        </w:rPr>
        <w:t>Таблетка</w:t>
      </w:r>
    </w:p>
    <w:p w14:paraId="691702AF" w14:textId="77777777" w:rsidR="00FC325B" w:rsidRDefault="00FC325B" w:rsidP="00FC325B">
      <w:pPr>
        <w:rPr>
          <w:lang w:eastAsia="bg-BG"/>
        </w:rPr>
      </w:pPr>
    </w:p>
    <w:p w14:paraId="5B6C9114" w14:textId="6F068B32" w:rsidR="00FC325B" w:rsidRPr="00FC325B" w:rsidRDefault="00FC325B" w:rsidP="00FC325B">
      <w:pPr>
        <w:rPr>
          <w:sz w:val="24"/>
          <w:szCs w:val="24"/>
        </w:rPr>
      </w:pPr>
      <w:r w:rsidRPr="00FC325B">
        <w:rPr>
          <w:lang w:eastAsia="bg-BG"/>
        </w:rPr>
        <w:t xml:space="preserve">Бели до бледо жълти овални продълговати, изпъкнали таблетки с дължина 13 </w:t>
      </w:r>
      <w:r w:rsidRPr="00FC325B">
        <w:rPr>
          <w:lang w:val="en-US"/>
        </w:rPr>
        <w:t>mm</w:t>
      </w:r>
      <w:r w:rsidRPr="00FC325B">
        <w:rPr>
          <w:lang w:val="ru-RU"/>
        </w:rPr>
        <w:t xml:space="preserve">, </w:t>
      </w:r>
      <w:r w:rsidRPr="00FC325B">
        <w:rPr>
          <w:lang w:eastAsia="bg-BG"/>
        </w:rPr>
        <w:t xml:space="preserve">ширина 6 </w:t>
      </w:r>
      <w:r w:rsidRPr="00FC325B">
        <w:rPr>
          <w:lang w:val="en-US"/>
        </w:rPr>
        <w:t>mm</w:t>
      </w:r>
      <w:r w:rsidRPr="00FC325B">
        <w:rPr>
          <w:lang w:val="ru-RU"/>
        </w:rPr>
        <w:t xml:space="preserve"> </w:t>
      </w:r>
      <w:r w:rsidRPr="00FC325B">
        <w:rPr>
          <w:lang w:eastAsia="bg-BG"/>
        </w:rPr>
        <w:t xml:space="preserve">и 5,5 </w:t>
      </w:r>
      <w:r w:rsidRPr="00FC325B">
        <w:rPr>
          <w:lang w:val="en-US"/>
        </w:rPr>
        <w:t>mm</w:t>
      </w:r>
      <w:r w:rsidRPr="00FC325B">
        <w:rPr>
          <w:lang w:val="ru-RU"/>
        </w:rPr>
        <w:t xml:space="preserve"> </w:t>
      </w:r>
      <w:r w:rsidRPr="00FC325B">
        <w:rPr>
          <w:lang w:eastAsia="bg-BG"/>
        </w:rPr>
        <w:t xml:space="preserve">радиус на кривина. От едната страна таблетката е означена с </w:t>
      </w:r>
      <w:r w:rsidRPr="00FC325B">
        <w:rPr>
          <w:lang w:val="ru-RU"/>
        </w:rPr>
        <w:t>“</w:t>
      </w:r>
      <w:r w:rsidRPr="00FC325B">
        <w:rPr>
          <w:lang w:val="en-US"/>
        </w:rPr>
        <w:t>G</w:t>
      </w:r>
      <w:r w:rsidRPr="00FC325B">
        <w:rPr>
          <w:lang w:val="ru-RU"/>
        </w:rPr>
        <w:t xml:space="preserve">” </w:t>
      </w:r>
      <w:r w:rsidRPr="00FC325B">
        <w:rPr>
          <w:lang w:eastAsia="bg-BG"/>
        </w:rPr>
        <w:t>и “100”, разделени от делител на черта, а от другата страна - с делителна черта.</w:t>
      </w:r>
    </w:p>
    <w:p w14:paraId="6492860D" w14:textId="77777777" w:rsidR="00FC325B" w:rsidRPr="00FC325B" w:rsidRDefault="00FC325B" w:rsidP="00FC325B"/>
    <w:p w14:paraId="490FC2C4" w14:textId="32682B15" w:rsidR="002C50EE" w:rsidRDefault="002C50EE" w:rsidP="002C50EE">
      <w:pPr>
        <w:pStyle w:val="Heading1"/>
      </w:pPr>
      <w:r>
        <w:t>4. КЛИНИЧНИ ДАННИ</w:t>
      </w:r>
    </w:p>
    <w:p w14:paraId="0C8E6903" w14:textId="32CEE7CA" w:rsidR="008134C8" w:rsidRDefault="002C50EE" w:rsidP="004A448E">
      <w:pPr>
        <w:pStyle w:val="Heading2"/>
      </w:pPr>
      <w:r>
        <w:t>4.1. Терапевтични показания</w:t>
      </w:r>
    </w:p>
    <w:p w14:paraId="469EFFA8" w14:textId="5CC2B09D" w:rsidR="00FC325B" w:rsidRDefault="00FC325B" w:rsidP="00FC325B"/>
    <w:p w14:paraId="4F8EDBA6"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Допълнително лечение едновременно с диета при пациенти със захарен диабет.</w:t>
      </w:r>
    </w:p>
    <w:p w14:paraId="4563FC5F" w14:textId="77777777" w:rsidR="00FC325B" w:rsidRDefault="00FC325B" w:rsidP="00FC325B">
      <w:pPr>
        <w:spacing w:line="240" w:lineRule="auto"/>
        <w:rPr>
          <w:rFonts w:eastAsia="Times New Roman" w:cs="Arial"/>
          <w:color w:val="000000"/>
          <w:lang w:eastAsia="bg-BG"/>
        </w:rPr>
      </w:pPr>
    </w:p>
    <w:p w14:paraId="368D3FA1" w14:textId="78BF0ECD" w:rsidR="00FC325B" w:rsidRPr="00FC325B" w:rsidRDefault="00FC325B" w:rsidP="00FC325B">
      <w:pPr>
        <w:spacing w:line="240" w:lineRule="auto"/>
        <w:rPr>
          <w:rFonts w:ascii="Times New Roman" w:eastAsia="Times New Roman" w:hAnsi="Times New Roman" w:cs="Times New Roman"/>
          <w:sz w:val="24"/>
          <w:szCs w:val="24"/>
        </w:rPr>
      </w:pPr>
      <w:r w:rsidRPr="00FC325B">
        <w:rPr>
          <w:rFonts w:eastAsia="Times New Roman" w:cs="Arial"/>
          <w:color w:val="000000"/>
          <w:lang w:eastAsia="bg-BG"/>
        </w:rPr>
        <w:t xml:space="preserve">Превенция на диабет тип 2 при пациенти с доказано нарушен глюкозен толеранс (дефиниран като плазмена концентрация след глюкозно натоварване на втори час </w:t>
      </w:r>
      <w:r w:rsidRPr="00FC325B">
        <w:rPr>
          <w:rFonts w:eastAsia="Times New Roman" w:cs="Arial"/>
          <w:color w:val="000000"/>
          <w:lang w:val="ru-RU"/>
        </w:rPr>
        <w:t>(2</w:t>
      </w:r>
      <w:r w:rsidRPr="00FC325B">
        <w:rPr>
          <w:rFonts w:eastAsia="Times New Roman" w:cs="Arial"/>
          <w:color w:val="000000"/>
          <w:lang w:val="en-US"/>
        </w:rPr>
        <w:t>HPG</w:t>
      </w:r>
      <w:r w:rsidRPr="00FC325B">
        <w:rPr>
          <w:rFonts w:eastAsia="Times New Roman" w:cs="Arial"/>
          <w:color w:val="000000"/>
          <w:lang w:val="ru-RU"/>
        </w:rPr>
        <w:t xml:space="preserve">) </w:t>
      </w:r>
      <w:r w:rsidRPr="00FC325B">
        <w:rPr>
          <w:rFonts w:eastAsia="Times New Roman" w:cs="Arial"/>
          <w:color w:val="000000"/>
          <w:lang w:eastAsia="bg-BG"/>
        </w:rPr>
        <w:t xml:space="preserve">между 7,8 и 11,1 </w:t>
      </w:r>
      <w:proofErr w:type="spellStart"/>
      <w:r w:rsidRPr="00FC325B">
        <w:rPr>
          <w:rFonts w:eastAsia="Times New Roman" w:cs="Arial"/>
          <w:color w:val="000000"/>
          <w:lang w:val="en-US"/>
        </w:rPr>
        <w:t>mmol</w:t>
      </w:r>
      <w:proofErr w:type="spellEnd"/>
      <w:r w:rsidRPr="00FC325B">
        <w:rPr>
          <w:rFonts w:eastAsia="Times New Roman" w:cs="Arial"/>
          <w:color w:val="000000"/>
          <w:lang w:val="ru-RU"/>
        </w:rPr>
        <w:t>/</w:t>
      </w:r>
      <w:r w:rsidRPr="00FC325B">
        <w:rPr>
          <w:rFonts w:eastAsia="Times New Roman" w:cs="Arial"/>
          <w:color w:val="000000"/>
          <w:lang w:val="en-US"/>
        </w:rPr>
        <w:t>L</w:t>
      </w:r>
      <w:r w:rsidRPr="00FC325B">
        <w:rPr>
          <w:rFonts w:eastAsia="Times New Roman" w:cs="Arial"/>
          <w:color w:val="000000"/>
          <w:lang w:val="ru-RU"/>
        </w:rPr>
        <w:t xml:space="preserve"> </w:t>
      </w:r>
      <w:r w:rsidRPr="00FC325B">
        <w:rPr>
          <w:rFonts w:eastAsia="Times New Roman" w:cs="Arial"/>
          <w:color w:val="000000"/>
          <w:lang w:eastAsia="bg-BG"/>
        </w:rPr>
        <w:t xml:space="preserve">(140 - 200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Dl</w:t>
      </w:r>
      <w:r w:rsidRPr="00FC325B">
        <w:rPr>
          <w:rFonts w:eastAsia="Times New Roman" w:cs="Arial"/>
          <w:color w:val="000000"/>
          <w:lang w:val="ru-RU"/>
        </w:rPr>
        <w:t xml:space="preserve">) </w:t>
      </w:r>
      <w:r w:rsidRPr="00FC325B">
        <w:rPr>
          <w:rFonts w:eastAsia="Times New Roman" w:cs="Arial"/>
          <w:color w:val="000000"/>
          <w:lang w:eastAsia="bg-BG"/>
        </w:rPr>
        <w:t xml:space="preserve">и нива на гладно между 5,6 и 7,0 </w:t>
      </w:r>
      <w:proofErr w:type="spellStart"/>
      <w:r w:rsidRPr="00FC325B">
        <w:rPr>
          <w:rFonts w:eastAsia="Times New Roman" w:cs="Arial"/>
          <w:color w:val="000000"/>
          <w:lang w:val="en-US"/>
        </w:rPr>
        <w:t>mmol</w:t>
      </w:r>
      <w:proofErr w:type="spellEnd"/>
      <w:r w:rsidRPr="00FC325B">
        <w:rPr>
          <w:rFonts w:eastAsia="Times New Roman" w:cs="Arial"/>
          <w:color w:val="000000"/>
          <w:lang w:val="ru-RU"/>
        </w:rPr>
        <w:t>/</w:t>
      </w:r>
      <w:r w:rsidRPr="00FC325B">
        <w:rPr>
          <w:rFonts w:eastAsia="Times New Roman" w:cs="Arial"/>
          <w:color w:val="000000"/>
          <w:lang w:val="en-US"/>
        </w:rPr>
        <w:t>L</w:t>
      </w:r>
      <w:r w:rsidRPr="00FC325B">
        <w:rPr>
          <w:rFonts w:eastAsia="Times New Roman" w:cs="Arial"/>
          <w:color w:val="000000"/>
          <w:lang w:val="ru-RU"/>
        </w:rPr>
        <w:t xml:space="preserve"> </w:t>
      </w:r>
      <w:r>
        <w:rPr>
          <w:rFonts w:eastAsia="Times New Roman" w:cs="Arial"/>
          <w:color w:val="000000"/>
          <w:lang w:eastAsia="bg-BG"/>
        </w:rPr>
        <w:t>(100 -</w:t>
      </w:r>
      <w:r w:rsidRPr="00FC325B">
        <w:rPr>
          <w:rFonts w:eastAsia="Times New Roman" w:cs="Arial"/>
          <w:color w:val="000000"/>
          <w:lang w:eastAsia="bg-BG"/>
        </w:rPr>
        <w:t xml:space="preserve">125 </w:t>
      </w:r>
      <w:r w:rsidRPr="00FC325B">
        <w:rPr>
          <w:rFonts w:eastAsia="Times New Roman" w:cs="Arial"/>
          <w:color w:val="000000"/>
          <w:lang w:val="en-US"/>
        </w:rPr>
        <w:t>mg</w:t>
      </w:r>
      <w:r w:rsidRPr="00FC325B">
        <w:rPr>
          <w:rFonts w:eastAsia="Times New Roman" w:cs="Arial"/>
          <w:color w:val="000000"/>
          <w:lang w:val="ru-RU"/>
        </w:rPr>
        <w:t>/</w:t>
      </w:r>
      <w:proofErr w:type="spellStart"/>
      <w:r w:rsidRPr="00FC325B">
        <w:rPr>
          <w:rFonts w:eastAsia="Times New Roman" w:cs="Arial"/>
          <w:color w:val="000000"/>
          <w:lang w:val="en-US"/>
        </w:rPr>
        <w:t>dL</w:t>
      </w:r>
      <w:proofErr w:type="spellEnd"/>
      <w:r w:rsidRPr="00FC325B">
        <w:rPr>
          <w:rFonts w:eastAsia="Times New Roman" w:cs="Arial"/>
          <w:color w:val="000000"/>
          <w:lang w:val="ru-RU"/>
        </w:rPr>
        <w:t xml:space="preserve">)), </w:t>
      </w:r>
      <w:r w:rsidRPr="00FC325B">
        <w:rPr>
          <w:rFonts w:eastAsia="Times New Roman" w:cs="Arial"/>
          <w:color w:val="000000"/>
          <w:lang w:eastAsia="bg-BG"/>
        </w:rPr>
        <w:t>в комбинация с диета и физически упражнения.</w:t>
      </w:r>
    </w:p>
    <w:p w14:paraId="33FE560C" w14:textId="77777777" w:rsidR="00FC325B" w:rsidRPr="00FC325B" w:rsidRDefault="00FC325B" w:rsidP="00FC325B"/>
    <w:p w14:paraId="30BE2C7B" w14:textId="54A7CE60" w:rsidR="008134C8" w:rsidRDefault="002C50EE" w:rsidP="004A448E">
      <w:pPr>
        <w:pStyle w:val="Heading2"/>
      </w:pPr>
      <w:r>
        <w:t>4.2. Дозировка и начин на приложение</w:t>
      </w:r>
    </w:p>
    <w:p w14:paraId="44A5151D" w14:textId="0C27C404" w:rsidR="00FC325B" w:rsidRDefault="00FC325B" w:rsidP="00FC325B"/>
    <w:p w14:paraId="32AFB4A3" w14:textId="77777777" w:rsidR="00FC325B" w:rsidRPr="00FC325B" w:rsidRDefault="00FC325B" w:rsidP="00FC325B">
      <w:pPr>
        <w:pStyle w:val="Heading3"/>
        <w:rPr>
          <w:rFonts w:eastAsia="Times New Roman"/>
          <w:u w:val="single"/>
        </w:rPr>
      </w:pPr>
      <w:r w:rsidRPr="00FC325B">
        <w:rPr>
          <w:rFonts w:eastAsia="Times New Roman"/>
          <w:u w:val="single"/>
          <w:lang w:eastAsia="bg-BG"/>
        </w:rPr>
        <w:t>Дозировка</w:t>
      </w:r>
    </w:p>
    <w:p w14:paraId="13A4DD86" w14:textId="77777777" w:rsidR="00FC325B" w:rsidRDefault="00FC325B" w:rsidP="00FC325B">
      <w:pPr>
        <w:spacing w:line="240" w:lineRule="auto"/>
        <w:rPr>
          <w:rFonts w:eastAsia="Times New Roman" w:cs="Arial"/>
          <w:i/>
          <w:iCs/>
          <w:color w:val="000000"/>
          <w:lang w:eastAsia="bg-BG"/>
        </w:rPr>
      </w:pPr>
    </w:p>
    <w:p w14:paraId="19B1AC41" w14:textId="0DBFD6EC"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Препоръчителна доза за допълнително лечение едновременно с диета при пациенти със захарен диабет</w:t>
      </w:r>
    </w:p>
    <w:p w14:paraId="261B5D21" w14:textId="77777777" w:rsidR="00FC325B" w:rsidRDefault="00FC325B" w:rsidP="00FC325B">
      <w:pPr>
        <w:spacing w:line="240" w:lineRule="auto"/>
        <w:rPr>
          <w:rFonts w:eastAsia="Times New Roman" w:cs="Arial"/>
          <w:color w:val="000000"/>
          <w:lang w:eastAsia="bg-BG"/>
        </w:rPr>
      </w:pPr>
    </w:p>
    <w:p w14:paraId="502A07B0" w14:textId="7D00E342" w:rsidR="00FC325B" w:rsidRPr="00FC325B" w:rsidRDefault="00FC325B" w:rsidP="00FC325B">
      <w:pPr>
        <w:spacing w:line="240" w:lineRule="auto"/>
        <w:rPr>
          <w:rFonts w:eastAsia="Times New Roman" w:cs="Arial"/>
        </w:rPr>
      </w:pPr>
      <w:r w:rsidRPr="00FC325B">
        <w:rPr>
          <w:rFonts w:eastAsia="Times New Roman" w:cs="Arial"/>
          <w:color w:val="000000"/>
          <w:lang w:eastAsia="bg-BG"/>
        </w:rPr>
        <w:t>Дозировката трябва да бъде определена за всеки отделен пациент от лекар, тъй като ефикасността и поносимостта варират между отделните индивиди.</w:t>
      </w:r>
    </w:p>
    <w:p w14:paraId="7775CF1D"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Ако не е предписано по друг начин, препоръчваната дозировка е както следва:</w:t>
      </w:r>
    </w:p>
    <w:p w14:paraId="141BBB06" w14:textId="77777777" w:rsidR="00FC325B" w:rsidRDefault="00FC325B" w:rsidP="00FC325B">
      <w:pPr>
        <w:spacing w:line="240" w:lineRule="auto"/>
        <w:rPr>
          <w:rFonts w:eastAsia="Times New Roman" w:cs="Arial"/>
          <w:color w:val="000000"/>
          <w:lang w:eastAsia="bg-BG"/>
        </w:rPr>
      </w:pPr>
    </w:p>
    <w:p w14:paraId="7D97861D" w14:textId="02D08219" w:rsidR="00FC325B" w:rsidRPr="00FC325B" w:rsidRDefault="00FC325B" w:rsidP="00FC325B">
      <w:pPr>
        <w:spacing w:line="240" w:lineRule="auto"/>
        <w:rPr>
          <w:rFonts w:eastAsia="Times New Roman" w:cs="Arial"/>
        </w:rPr>
      </w:pPr>
      <w:r>
        <w:rPr>
          <w:rFonts w:eastAsia="Times New Roman" w:cs="Arial"/>
          <w:color w:val="000000"/>
          <w:lang w:eastAsia="bg-BG"/>
        </w:rPr>
        <w:t xml:space="preserve">Начална доза: </w:t>
      </w:r>
      <w:r w:rsidRPr="00FC325B">
        <w:rPr>
          <w:rFonts w:eastAsia="Times New Roman" w:cs="Arial"/>
          <w:color w:val="000000"/>
          <w:lang w:eastAsia="bg-BG"/>
        </w:rPr>
        <w:t xml:space="preserve">3x1/2 табл. от Глюкобай 100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таблетки дневно</w:t>
      </w:r>
    </w:p>
    <w:p w14:paraId="3ABB880E" w14:textId="77777777" w:rsidR="00FC325B" w:rsidRDefault="00FC325B" w:rsidP="00FC325B">
      <w:pPr>
        <w:spacing w:line="240" w:lineRule="auto"/>
        <w:rPr>
          <w:rFonts w:eastAsia="Times New Roman" w:cs="Arial"/>
          <w:color w:val="000000"/>
          <w:lang w:eastAsia="bg-BG"/>
        </w:rPr>
      </w:pPr>
    </w:p>
    <w:p w14:paraId="39010D08" w14:textId="06E282AB" w:rsidR="00FC325B" w:rsidRPr="00FC325B" w:rsidRDefault="00FC325B" w:rsidP="00FC325B">
      <w:pPr>
        <w:spacing w:line="240" w:lineRule="auto"/>
        <w:rPr>
          <w:rFonts w:eastAsia="Times New Roman" w:cs="Arial"/>
        </w:rPr>
      </w:pPr>
      <w:r w:rsidRPr="00FC325B">
        <w:rPr>
          <w:rFonts w:eastAsia="Times New Roman" w:cs="Arial"/>
          <w:color w:val="000000"/>
          <w:lang w:eastAsia="bg-BG"/>
        </w:rPr>
        <w:lastRenderedPageBreak/>
        <w:t xml:space="preserve">Следващи дози до: </w:t>
      </w:r>
      <w:r w:rsidRPr="00FC325B">
        <w:rPr>
          <w:rFonts w:eastAsia="Times New Roman" w:cs="Arial"/>
          <w:color w:val="000000"/>
          <w:lang w:val="ru-RU"/>
        </w:rPr>
        <w:t>3</w:t>
      </w:r>
      <w:r w:rsidRPr="00FC325B">
        <w:rPr>
          <w:rFonts w:eastAsia="Times New Roman" w:cs="Arial"/>
          <w:color w:val="000000"/>
          <w:lang w:val="en-US"/>
        </w:rPr>
        <w:t>x</w:t>
      </w:r>
      <w:r w:rsidRPr="00FC325B">
        <w:rPr>
          <w:rFonts w:eastAsia="Times New Roman" w:cs="Arial"/>
          <w:color w:val="000000"/>
          <w:lang w:val="ru-RU"/>
        </w:rPr>
        <w:t xml:space="preserve">1 </w:t>
      </w:r>
      <w:r w:rsidRPr="00FC325B">
        <w:rPr>
          <w:rFonts w:eastAsia="Times New Roman" w:cs="Arial"/>
          <w:color w:val="000000"/>
          <w:lang w:eastAsia="bg-BG"/>
        </w:rPr>
        <w:t xml:space="preserve">табл. от Глюкобай 100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таблетки дневно</w:t>
      </w:r>
    </w:p>
    <w:p w14:paraId="2C6D1318" w14:textId="77777777" w:rsidR="00FC325B" w:rsidRDefault="00FC325B" w:rsidP="00FC325B">
      <w:pPr>
        <w:spacing w:line="240" w:lineRule="auto"/>
        <w:rPr>
          <w:rFonts w:eastAsia="Times New Roman" w:cs="Arial"/>
          <w:color w:val="000000"/>
          <w:lang w:eastAsia="bg-BG"/>
        </w:rPr>
      </w:pPr>
    </w:p>
    <w:p w14:paraId="785DC78A" w14:textId="475F41D3"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Понякога може да е необходимо по-нататъшно повишаване на дозировката до 3 х 200 </w:t>
      </w:r>
      <w:r w:rsidRPr="00FC325B">
        <w:rPr>
          <w:rFonts w:eastAsia="Times New Roman" w:cs="Arial"/>
          <w:color w:val="000000"/>
          <w:lang w:val="en-US"/>
        </w:rPr>
        <w:t>mg</w:t>
      </w:r>
      <w:r w:rsidRPr="00FC325B">
        <w:rPr>
          <w:rFonts w:eastAsia="Times New Roman" w:cs="Arial"/>
          <w:color w:val="000000"/>
          <w:lang w:eastAsia="bg-BG"/>
        </w:rPr>
        <w:t xml:space="preserve"> Глюкобай дневно.</w:t>
      </w:r>
    </w:p>
    <w:p w14:paraId="40BCFEF4" w14:textId="77777777" w:rsidR="00FC325B" w:rsidRPr="00FC325B" w:rsidRDefault="00FC325B" w:rsidP="00FC325B">
      <w:pPr>
        <w:spacing w:line="240" w:lineRule="auto"/>
        <w:rPr>
          <w:rFonts w:eastAsia="Times New Roman" w:cs="Arial"/>
        </w:rPr>
      </w:pPr>
    </w:p>
    <w:p w14:paraId="2D8DC05E"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Дозата може да бъде повишена след 4-8 седмици, ако пациентите не показват адекватен</w:t>
      </w:r>
    </w:p>
    <w:p w14:paraId="0AA70AB1" w14:textId="77777777" w:rsidR="00FC325B" w:rsidRPr="00FC325B" w:rsidRDefault="00FC325B" w:rsidP="00FC325B">
      <w:pPr>
        <w:rPr>
          <w:rFonts w:eastAsia="Times New Roman" w:cs="Arial"/>
        </w:rPr>
      </w:pPr>
      <w:r w:rsidRPr="00FC325B">
        <w:rPr>
          <w:rFonts w:eastAsia="Times New Roman" w:cs="Arial"/>
          <w:color w:val="000000"/>
          <w:lang w:eastAsia="bg-BG"/>
        </w:rPr>
        <w:t>клиничен отговор в по-късния етап на лечението. Ако се появят сериозни оплакваня въпреки строгото спазване на диета, дозата не трябва да се повишава още и ако е необходимо трябва да</w:t>
      </w:r>
      <w:r>
        <w:rPr>
          <w:rFonts w:eastAsia="Times New Roman" w:cs="Arial"/>
          <w:color w:val="000000"/>
          <w:lang w:eastAsia="bg-BG"/>
        </w:rPr>
        <w:t xml:space="preserve"> </w:t>
      </w:r>
      <w:r w:rsidRPr="00FC325B">
        <w:rPr>
          <w:rFonts w:eastAsia="Times New Roman" w:cs="Arial"/>
          <w:color w:val="000000"/>
          <w:lang w:eastAsia="bg-BG"/>
        </w:rPr>
        <w:t xml:space="preserve">се намали в известна степен. Средната доза е 300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 xml:space="preserve">Глюкобай дневно (което съответства на 3 х 1 таблетка Глюкобай 100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дневно).</w:t>
      </w:r>
    </w:p>
    <w:p w14:paraId="19EBED68" w14:textId="77777777" w:rsidR="00FC325B" w:rsidRDefault="00FC325B" w:rsidP="00FC325B">
      <w:pPr>
        <w:spacing w:line="240" w:lineRule="auto"/>
        <w:rPr>
          <w:rFonts w:eastAsia="Times New Roman" w:cs="Arial"/>
          <w:i/>
          <w:iCs/>
          <w:color w:val="000000"/>
          <w:lang w:eastAsia="bg-BG"/>
        </w:rPr>
      </w:pPr>
    </w:p>
    <w:p w14:paraId="4551CD17" w14:textId="160005D1"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Препоръчителна доза за превенция на диабет тип 2 при пациенти с нарушен глюкозен толеранс</w:t>
      </w:r>
    </w:p>
    <w:p w14:paraId="0593EB2F" w14:textId="77777777" w:rsidR="00FC325B" w:rsidRDefault="00FC325B" w:rsidP="00FC325B">
      <w:pPr>
        <w:spacing w:line="240" w:lineRule="auto"/>
        <w:rPr>
          <w:rFonts w:eastAsia="Times New Roman" w:cs="Arial"/>
          <w:i/>
          <w:iCs/>
          <w:color w:val="000000"/>
          <w:lang w:eastAsia="bg-BG"/>
        </w:rPr>
      </w:pPr>
    </w:p>
    <w:p w14:paraId="6E35CC4F" w14:textId="0AFF7764"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 xml:space="preserve">Препоръчителна доза: Зх 100 </w:t>
      </w:r>
      <w:r w:rsidRPr="00FC325B">
        <w:rPr>
          <w:rFonts w:eastAsia="Times New Roman" w:cs="Arial"/>
          <w:i/>
          <w:iCs/>
          <w:color w:val="000000"/>
          <w:lang w:val="en-US"/>
        </w:rPr>
        <w:t>mg</w:t>
      </w:r>
      <w:r w:rsidRPr="00FC325B">
        <w:rPr>
          <w:rFonts w:eastAsia="Times New Roman" w:cs="Arial"/>
          <w:i/>
          <w:iCs/>
          <w:color w:val="000000"/>
          <w:lang w:val="ru-RU"/>
        </w:rPr>
        <w:t xml:space="preserve"> </w:t>
      </w:r>
      <w:r w:rsidRPr="00FC325B">
        <w:rPr>
          <w:rFonts w:eastAsia="Times New Roman" w:cs="Arial"/>
          <w:i/>
          <w:iCs/>
          <w:color w:val="000000"/>
          <w:lang w:eastAsia="bg-BG"/>
        </w:rPr>
        <w:t>дневно</w:t>
      </w:r>
    </w:p>
    <w:p w14:paraId="48641012" w14:textId="77777777" w:rsidR="00FC325B" w:rsidRDefault="00FC325B" w:rsidP="00FC325B">
      <w:pPr>
        <w:spacing w:line="240" w:lineRule="auto"/>
        <w:rPr>
          <w:rFonts w:eastAsia="Times New Roman" w:cs="Arial"/>
          <w:color w:val="000000"/>
          <w:lang w:eastAsia="bg-BG"/>
        </w:rPr>
      </w:pPr>
    </w:p>
    <w:p w14:paraId="171196D3" w14:textId="77BEEC3F"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Лечението трябва да започне с начална доза от 50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веднъж дневно и да се увеличи до 3 х</w:t>
      </w:r>
      <w:r>
        <w:rPr>
          <w:rFonts w:eastAsia="Times New Roman" w:cs="Arial"/>
        </w:rPr>
        <w:t xml:space="preserve">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 xml:space="preserve">дневно в рамките на </w:t>
      </w:r>
      <w:r w:rsidRPr="00FC325B">
        <w:rPr>
          <w:rFonts w:eastAsia="Times New Roman" w:cs="Arial"/>
          <w:i/>
          <w:iCs/>
          <w:color w:val="000000"/>
          <w:lang w:eastAsia="bg-BG"/>
        </w:rPr>
        <w:t>3</w:t>
      </w:r>
      <w:r w:rsidRPr="00FC325B">
        <w:rPr>
          <w:rFonts w:eastAsia="Times New Roman" w:cs="Arial"/>
          <w:color w:val="000000"/>
          <w:lang w:eastAsia="bg-BG"/>
        </w:rPr>
        <w:t xml:space="preserve"> месеца.</w:t>
      </w:r>
    </w:p>
    <w:p w14:paraId="50D66312" w14:textId="77777777" w:rsidR="00FC325B" w:rsidRDefault="00FC325B" w:rsidP="00FC325B">
      <w:pPr>
        <w:spacing w:line="240" w:lineRule="auto"/>
        <w:rPr>
          <w:rFonts w:eastAsia="Times New Roman" w:cs="Arial"/>
          <w:color w:val="000000"/>
          <w:u w:val="single"/>
          <w:lang w:eastAsia="bg-BG"/>
        </w:rPr>
      </w:pPr>
    </w:p>
    <w:p w14:paraId="18D3C8B7" w14:textId="727A1722" w:rsidR="00FC325B" w:rsidRPr="00FC325B" w:rsidRDefault="00FC325B" w:rsidP="00FC325B">
      <w:pPr>
        <w:pStyle w:val="Heading3"/>
        <w:rPr>
          <w:rFonts w:eastAsia="Times New Roman"/>
          <w:u w:val="single"/>
        </w:rPr>
      </w:pPr>
      <w:r w:rsidRPr="00FC325B">
        <w:rPr>
          <w:rFonts w:eastAsia="Times New Roman"/>
          <w:u w:val="single"/>
          <w:lang w:eastAsia="bg-BG"/>
        </w:rPr>
        <w:t>Начин на приложение</w:t>
      </w:r>
    </w:p>
    <w:p w14:paraId="59F6FD4A" w14:textId="77777777" w:rsidR="00FC325B" w:rsidRDefault="00FC325B" w:rsidP="00FC325B">
      <w:pPr>
        <w:spacing w:line="240" w:lineRule="auto"/>
        <w:rPr>
          <w:rFonts w:eastAsia="Times New Roman" w:cs="Arial"/>
          <w:color w:val="000000"/>
          <w:lang w:eastAsia="bg-BG"/>
        </w:rPr>
      </w:pPr>
    </w:p>
    <w:p w14:paraId="0FC7C077" w14:textId="4BA37CC9" w:rsidR="00FC325B" w:rsidRPr="00FC325B" w:rsidRDefault="00FC325B" w:rsidP="00FC325B">
      <w:pPr>
        <w:spacing w:line="240" w:lineRule="auto"/>
        <w:rPr>
          <w:rFonts w:eastAsia="Times New Roman" w:cs="Arial"/>
        </w:rPr>
      </w:pPr>
      <w:r w:rsidRPr="00FC325B">
        <w:rPr>
          <w:rFonts w:eastAsia="Times New Roman" w:cs="Arial"/>
          <w:color w:val="000000"/>
          <w:lang w:eastAsia="bg-BG"/>
        </w:rPr>
        <w:t>Глюкобай таблетки са ефективни, само ако се поглъщат цели с малко количество течност, непосредствено преди хранене или се сдъвкат с първите хапки храна.</w:t>
      </w:r>
    </w:p>
    <w:p w14:paraId="41BA02A7" w14:textId="77777777" w:rsidR="00FC325B" w:rsidRDefault="00FC325B" w:rsidP="00FC325B">
      <w:pPr>
        <w:spacing w:line="240" w:lineRule="auto"/>
        <w:rPr>
          <w:rFonts w:eastAsia="Times New Roman" w:cs="Arial"/>
          <w:i/>
          <w:iCs/>
          <w:color w:val="000000"/>
          <w:lang w:eastAsia="bg-BG"/>
        </w:rPr>
      </w:pPr>
    </w:p>
    <w:p w14:paraId="7D2F609B" w14:textId="735FEAA7"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Пациенти в старческа възраст</w:t>
      </w:r>
    </w:p>
    <w:p w14:paraId="1D9A102C"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Не се препоръчва промяна на дозата или честотата на приемане във връзка с възрастта на тези пациенти.</w:t>
      </w:r>
    </w:p>
    <w:p w14:paraId="01FED20B" w14:textId="77777777" w:rsidR="00FC325B" w:rsidRDefault="00FC325B" w:rsidP="00FC325B">
      <w:pPr>
        <w:spacing w:line="240" w:lineRule="auto"/>
        <w:rPr>
          <w:rFonts w:eastAsia="Times New Roman" w:cs="Arial"/>
          <w:i/>
          <w:iCs/>
          <w:color w:val="000000"/>
          <w:lang w:eastAsia="bg-BG"/>
        </w:rPr>
      </w:pPr>
    </w:p>
    <w:p w14:paraId="3A6B372F" w14:textId="18048F6C"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Педиатрична популация</w:t>
      </w:r>
    </w:p>
    <w:p w14:paraId="3E30DFB0"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Безопасността и ефикасността на Глюкобай при деца и юноши на възраст под 18 години все още не са установени.</w:t>
      </w:r>
    </w:p>
    <w:p w14:paraId="70017221" w14:textId="77777777" w:rsidR="00FC325B" w:rsidRDefault="00FC325B" w:rsidP="00FC325B">
      <w:pPr>
        <w:spacing w:line="240" w:lineRule="auto"/>
        <w:rPr>
          <w:rFonts w:eastAsia="Times New Roman" w:cs="Arial"/>
          <w:i/>
          <w:iCs/>
          <w:color w:val="000000"/>
          <w:lang w:eastAsia="bg-BG"/>
        </w:rPr>
      </w:pPr>
    </w:p>
    <w:p w14:paraId="74024611" w14:textId="27CC9F21"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Чернодробно увреждане</w:t>
      </w:r>
    </w:p>
    <w:p w14:paraId="1646DFEE"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Не е необходима корекция на дозата при пациенти с предшестващо увреждане на чернодробната функция.</w:t>
      </w:r>
    </w:p>
    <w:p w14:paraId="29C641A7" w14:textId="77777777" w:rsidR="00FC325B" w:rsidRDefault="00FC325B" w:rsidP="00FC325B">
      <w:pPr>
        <w:spacing w:line="240" w:lineRule="auto"/>
        <w:rPr>
          <w:rFonts w:eastAsia="Times New Roman" w:cs="Arial"/>
          <w:i/>
          <w:iCs/>
          <w:color w:val="000000"/>
          <w:lang w:eastAsia="bg-BG"/>
        </w:rPr>
      </w:pPr>
    </w:p>
    <w:p w14:paraId="38097AB6" w14:textId="0284553A"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Бъбречно увреждане</w:t>
      </w:r>
    </w:p>
    <w:p w14:paraId="5EB57C5F"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За пациенти с бъбречно увреждане вижте т. 4.3 „Противопоказания”.</w:t>
      </w:r>
    </w:p>
    <w:p w14:paraId="3D00187C" w14:textId="77777777" w:rsidR="00FC325B" w:rsidRDefault="00FC325B" w:rsidP="00FC325B">
      <w:pPr>
        <w:spacing w:line="240" w:lineRule="auto"/>
        <w:rPr>
          <w:rFonts w:eastAsia="Times New Roman" w:cs="Arial"/>
          <w:color w:val="000000"/>
          <w:u w:val="single"/>
          <w:lang w:eastAsia="bg-BG"/>
        </w:rPr>
      </w:pPr>
    </w:p>
    <w:p w14:paraId="737123B2" w14:textId="35D16442"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Продължителност на употреба</w:t>
      </w:r>
    </w:p>
    <w:p w14:paraId="5673660A"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Не се предвижда ограничение на употребата на Глюкобай таблетки.</w:t>
      </w:r>
    </w:p>
    <w:p w14:paraId="6C97960E" w14:textId="6F825895" w:rsidR="00FC325B" w:rsidRPr="00FC325B" w:rsidRDefault="00FC325B" w:rsidP="00FC325B">
      <w:pPr>
        <w:rPr>
          <w:rFonts w:cs="Arial"/>
        </w:rPr>
      </w:pPr>
    </w:p>
    <w:p w14:paraId="28C984E8" w14:textId="35E3BEBB" w:rsidR="008134C8" w:rsidRDefault="002C50EE" w:rsidP="004A448E">
      <w:pPr>
        <w:pStyle w:val="Heading2"/>
      </w:pPr>
      <w:r>
        <w:t>4.3. Противопоказания</w:t>
      </w:r>
    </w:p>
    <w:p w14:paraId="7D18D13D" w14:textId="3C20120A" w:rsidR="00FC325B" w:rsidRDefault="00FC325B" w:rsidP="00FC325B"/>
    <w:p w14:paraId="5D70EB9F"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3809C3F1" w14:textId="77777777" w:rsidR="00FC325B" w:rsidRDefault="00FC325B" w:rsidP="00FC325B">
      <w:pPr>
        <w:spacing w:line="240" w:lineRule="auto"/>
        <w:rPr>
          <w:rFonts w:eastAsia="Times New Roman" w:cs="Arial"/>
          <w:color w:val="000000"/>
          <w:lang w:eastAsia="bg-BG"/>
        </w:rPr>
      </w:pPr>
    </w:p>
    <w:p w14:paraId="500C1837" w14:textId="0C4E6F20" w:rsidR="00FC325B" w:rsidRPr="00FC325B" w:rsidRDefault="00FC325B" w:rsidP="00FC325B">
      <w:pPr>
        <w:spacing w:line="240" w:lineRule="auto"/>
        <w:rPr>
          <w:rFonts w:eastAsia="Times New Roman" w:cs="Arial"/>
        </w:rPr>
      </w:pPr>
      <w:r w:rsidRPr="00FC325B">
        <w:rPr>
          <w:rFonts w:eastAsia="Times New Roman" w:cs="Arial"/>
          <w:color w:val="000000"/>
          <w:lang w:eastAsia="bg-BG"/>
        </w:rPr>
        <w:t>Възпалителни чревни заболявалия, улцерация на дебелото черво, частично запушване на червата или предразположение към запушване на червата.</w:t>
      </w:r>
    </w:p>
    <w:p w14:paraId="6F1187F3" w14:textId="77777777" w:rsidR="00FC325B" w:rsidRDefault="00FC325B" w:rsidP="00FC325B">
      <w:pPr>
        <w:spacing w:line="240" w:lineRule="auto"/>
        <w:rPr>
          <w:rFonts w:eastAsia="Times New Roman" w:cs="Arial"/>
          <w:color w:val="000000"/>
          <w:lang w:eastAsia="bg-BG"/>
        </w:rPr>
      </w:pPr>
    </w:p>
    <w:p w14:paraId="7B09CD92" w14:textId="69AEB98F" w:rsidR="00FC325B" w:rsidRPr="00FC325B" w:rsidRDefault="00FC325B" w:rsidP="00FC325B">
      <w:pPr>
        <w:spacing w:line="240" w:lineRule="auto"/>
        <w:rPr>
          <w:rFonts w:eastAsia="Times New Roman" w:cs="Arial"/>
        </w:rPr>
      </w:pPr>
      <w:r w:rsidRPr="00FC325B">
        <w:rPr>
          <w:rFonts w:eastAsia="Times New Roman" w:cs="Arial"/>
          <w:color w:val="000000"/>
          <w:lang w:eastAsia="bg-BG"/>
        </w:rPr>
        <w:lastRenderedPageBreak/>
        <w:t xml:space="preserve">Тежко бъбречно увреждане (креатининов клирънс &lt; 25 </w:t>
      </w:r>
      <w:r w:rsidRPr="00FC325B">
        <w:rPr>
          <w:rFonts w:eastAsia="Times New Roman" w:cs="Arial"/>
          <w:color w:val="000000"/>
          <w:lang w:val="en-US"/>
        </w:rPr>
        <w:t>ml</w:t>
      </w:r>
      <w:r w:rsidRPr="00FC325B">
        <w:rPr>
          <w:rFonts w:eastAsia="Times New Roman" w:cs="Arial"/>
          <w:color w:val="000000"/>
          <w:lang w:val="ru-RU"/>
        </w:rPr>
        <w:t>/</w:t>
      </w:r>
      <w:r w:rsidRPr="00FC325B">
        <w:rPr>
          <w:rFonts w:eastAsia="Times New Roman" w:cs="Arial"/>
          <w:color w:val="000000"/>
          <w:lang w:val="en-US"/>
        </w:rPr>
        <w:t>min</w:t>
      </w:r>
      <w:r w:rsidRPr="00FC325B">
        <w:rPr>
          <w:rFonts w:eastAsia="Times New Roman" w:cs="Arial"/>
          <w:color w:val="000000"/>
          <w:lang w:val="ru-RU"/>
        </w:rPr>
        <w:t>).</w:t>
      </w:r>
    </w:p>
    <w:p w14:paraId="2F624B43" w14:textId="77777777" w:rsidR="00FC325B" w:rsidRDefault="00FC325B" w:rsidP="00FC325B">
      <w:pPr>
        <w:spacing w:line="240" w:lineRule="auto"/>
        <w:rPr>
          <w:rFonts w:eastAsia="Times New Roman" w:cs="Arial"/>
          <w:color w:val="000000"/>
          <w:lang w:eastAsia="bg-BG"/>
        </w:rPr>
      </w:pPr>
    </w:p>
    <w:p w14:paraId="422040D7" w14:textId="0E996FCA" w:rsidR="00FC325B" w:rsidRPr="00FC325B" w:rsidRDefault="00FC325B" w:rsidP="00FC325B">
      <w:pPr>
        <w:spacing w:line="240" w:lineRule="auto"/>
        <w:rPr>
          <w:rFonts w:eastAsia="Times New Roman" w:cs="Arial"/>
        </w:rPr>
      </w:pPr>
      <w:r w:rsidRPr="00FC325B">
        <w:rPr>
          <w:rFonts w:eastAsia="Times New Roman" w:cs="Arial"/>
          <w:color w:val="000000"/>
          <w:lang w:eastAsia="bg-BG"/>
        </w:rPr>
        <w:t>Тежко чернодробно увреждане (напр. чернодробна цироза).</w:t>
      </w:r>
    </w:p>
    <w:p w14:paraId="3560CD4B" w14:textId="77777777" w:rsidR="00FC325B" w:rsidRPr="00FC325B" w:rsidRDefault="00FC325B" w:rsidP="00FC325B"/>
    <w:p w14:paraId="212F509C" w14:textId="68EE09A0" w:rsidR="004F498A" w:rsidRDefault="002C50EE" w:rsidP="004A448E">
      <w:pPr>
        <w:pStyle w:val="Heading2"/>
      </w:pPr>
      <w:r>
        <w:t>4.4. Специални предупреждения и предпазни мерки при употреба</w:t>
      </w:r>
    </w:p>
    <w:p w14:paraId="0EF4397C" w14:textId="4A4E1546" w:rsidR="00FC325B" w:rsidRDefault="00FC325B" w:rsidP="00FC325B"/>
    <w:p w14:paraId="37B8468C"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Има съобщения за случаи на фулминанген хепатит по време на терапия с Глюкобай. Механизмът</w:t>
      </w:r>
    </w:p>
    <w:p w14:paraId="6117743E" w14:textId="77777777" w:rsidR="00FC325B" w:rsidRPr="00FC325B" w:rsidRDefault="00FC325B" w:rsidP="00FC325B">
      <w:pPr>
        <w:rPr>
          <w:rFonts w:eastAsia="Times New Roman" w:cs="Arial"/>
        </w:rPr>
      </w:pPr>
      <w:r w:rsidRPr="00FC325B">
        <w:rPr>
          <w:rFonts w:eastAsia="Times New Roman" w:cs="Arial"/>
          <w:color w:val="000000"/>
          <w:lang w:eastAsia="bg-BG"/>
        </w:rPr>
        <w:t>неизвестен, но Глюкобай може да допринася към многофакторната патофизиология на чернодробното увреждане. Ако се наблюдава повишение на чернодробните ензими, може да е показано намаляване на дозата или преустановяване на терапията, особено при персистиране на повишението.</w:t>
      </w:r>
    </w:p>
    <w:p w14:paraId="2FF8F7E0" w14:textId="77777777" w:rsidR="00FC325B" w:rsidRDefault="00FC325B" w:rsidP="00FC325B">
      <w:pPr>
        <w:spacing w:line="240" w:lineRule="auto"/>
        <w:rPr>
          <w:rFonts w:eastAsia="Times New Roman" w:cs="Arial"/>
          <w:color w:val="000000"/>
          <w:lang w:eastAsia="bg-BG"/>
        </w:rPr>
      </w:pPr>
    </w:p>
    <w:p w14:paraId="5BD35792" w14:textId="2E87EF6D" w:rsidR="00FC325B" w:rsidRPr="00FC325B" w:rsidRDefault="00FC325B" w:rsidP="00FC325B">
      <w:pPr>
        <w:spacing w:line="240" w:lineRule="auto"/>
        <w:rPr>
          <w:rFonts w:eastAsia="Times New Roman" w:cs="Arial"/>
        </w:rPr>
      </w:pPr>
      <w:r w:rsidRPr="00FC325B">
        <w:rPr>
          <w:rFonts w:eastAsia="Times New Roman" w:cs="Arial"/>
          <w:color w:val="000000"/>
          <w:lang w:eastAsia="bg-BG"/>
        </w:rPr>
        <w:t>През първите 6 до 12 месеца лечение трябва да се мониторират чернодробните ензими (вж. точка 4.8).</w:t>
      </w:r>
    </w:p>
    <w:p w14:paraId="1BEBD43B" w14:textId="77777777" w:rsidR="00FC325B" w:rsidRDefault="00FC325B" w:rsidP="00FC325B">
      <w:pPr>
        <w:spacing w:line="240" w:lineRule="auto"/>
        <w:rPr>
          <w:rFonts w:eastAsia="Times New Roman" w:cs="Arial"/>
          <w:color w:val="000000"/>
          <w:lang w:eastAsia="bg-BG"/>
        </w:rPr>
      </w:pPr>
    </w:p>
    <w:p w14:paraId="55D36F34" w14:textId="7D4A0697" w:rsidR="00FC325B" w:rsidRPr="00FC325B" w:rsidRDefault="00FC325B" w:rsidP="00FC325B">
      <w:pPr>
        <w:spacing w:line="240" w:lineRule="auto"/>
        <w:rPr>
          <w:rFonts w:eastAsia="Times New Roman" w:cs="Arial"/>
        </w:rPr>
      </w:pPr>
      <w:r w:rsidRPr="00FC325B">
        <w:rPr>
          <w:rFonts w:eastAsia="Times New Roman" w:cs="Arial"/>
          <w:color w:val="000000"/>
          <w:lang w:eastAsia="bg-BG"/>
        </w:rPr>
        <w:t>Глюкобай притежава антихипергликемично действие, но самият той не индуцира хипогликемия.</w:t>
      </w:r>
    </w:p>
    <w:p w14:paraId="5A03BD1B" w14:textId="77777777" w:rsidR="00FC325B" w:rsidRDefault="00FC325B" w:rsidP="00FC325B">
      <w:pPr>
        <w:spacing w:line="240" w:lineRule="auto"/>
        <w:rPr>
          <w:rFonts w:eastAsia="Times New Roman" w:cs="Arial"/>
          <w:color w:val="000000"/>
          <w:lang w:eastAsia="bg-BG"/>
        </w:rPr>
      </w:pPr>
    </w:p>
    <w:p w14:paraId="2B5DFEB3" w14:textId="41399B33" w:rsidR="00FC325B" w:rsidRPr="00FC325B" w:rsidRDefault="00FC325B" w:rsidP="00FC325B">
      <w:pPr>
        <w:spacing w:line="240" w:lineRule="auto"/>
        <w:rPr>
          <w:rFonts w:eastAsia="Times New Roman" w:cs="Arial"/>
        </w:rPr>
      </w:pPr>
      <w:r w:rsidRPr="00FC325B">
        <w:rPr>
          <w:rFonts w:eastAsia="Times New Roman" w:cs="Arial"/>
          <w:color w:val="000000"/>
          <w:lang w:eastAsia="bg-BG"/>
        </w:rPr>
        <w:t>Ако Глюкобай е предписан в допълнение към други лекарства, понижаващи кръвната захар (напр. сулфанилурейни продукти, метформин или инсулин), понижаване нивата на кръвната захар до степен на хипогликемия може да наложи адаптиране на дозата на съответното съпътстващо лечение. Ако се развие остра хипогликемия, трябва да се използва глюкоза за корекция на хипогликемията (вж. точка 4.5).</w:t>
      </w:r>
    </w:p>
    <w:p w14:paraId="66E16F67" w14:textId="77777777" w:rsidR="00FC325B" w:rsidRDefault="00FC325B" w:rsidP="00FC325B">
      <w:pPr>
        <w:spacing w:line="240" w:lineRule="auto"/>
        <w:rPr>
          <w:rFonts w:eastAsia="Times New Roman" w:cs="Arial"/>
          <w:color w:val="000000"/>
          <w:u w:val="single"/>
          <w:lang w:eastAsia="bg-BG"/>
        </w:rPr>
      </w:pPr>
    </w:p>
    <w:p w14:paraId="5000E694" w14:textId="5C7A9CE2"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Педиатрична популация</w:t>
      </w:r>
    </w:p>
    <w:p w14:paraId="4D9A9587"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Безопасността и ефикасността на Глюкобай не са установени при пациенти под 18-годишна възраст.</w:t>
      </w:r>
    </w:p>
    <w:p w14:paraId="3093065B" w14:textId="01607D8A" w:rsidR="00FC325B" w:rsidRPr="00FC325B" w:rsidRDefault="00FC325B" w:rsidP="00FC325B"/>
    <w:p w14:paraId="619DED1E" w14:textId="717BB26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1793B5F" w14:textId="12E7667C" w:rsidR="00FC325B" w:rsidRDefault="00FC325B" w:rsidP="00FC325B"/>
    <w:p w14:paraId="42081323"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Захароза (тръстикова захар) и храните, съдържащи захароза, често причиняват коремен дискомфорт или дори диария по време на лечението с Глюкобай в резултат на повишената въглехидратна ферментация в дебелото черво.</w:t>
      </w:r>
    </w:p>
    <w:p w14:paraId="41C33975" w14:textId="77777777" w:rsidR="00FC325B" w:rsidRDefault="00FC325B" w:rsidP="00FC325B">
      <w:pPr>
        <w:spacing w:line="240" w:lineRule="auto"/>
        <w:rPr>
          <w:rFonts w:eastAsia="Times New Roman" w:cs="Arial"/>
          <w:color w:val="000000"/>
          <w:lang w:eastAsia="bg-BG"/>
        </w:rPr>
      </w:pPr>
    </w:p>
    <w:p w14:paraId="4AD2FA29" w14:textId="0A5A3581" w:rsidR="00FC325B" w:rsidRPr="00FC325B" w:rsidRDefault="00FC325B" w:rsidP="00FC325B">
      <w:pPr>
        <w:spacing w:line="240" w:lineRule="auto"/>
        <w:rPr>
          <w:rFonts w:eastAsia="Times New Roman" w:cs="Arial"/>
        </w:rPr>
      </w:pPr>
      <w:r w:rsidRPr="00FC325B">
        <w:rPr>
          <w:rFonts w:eastAsia="Times New Roman" w:cs="Arial"/>
          <w:color w:val="000000"/>
          <w:lang w:eastAsia="bg-BG"/>
        </w:rPr>
        <w:t>Акарбоза притежава антихипергликемичен ефект, но самостоятелно не предизвиква хипогликемия. При пациенти, лекувани едновременно с Глюкобай и сулфанилурея, метформин или инсулин, стойностите на кръвната захар могат да спаднат до хипогликемични нива и да се наложи съответно корекция на дозата за тези лекарствени продукти.</w:t>
      </w:r>
    </w:p>
    <w:p w14:paraId="4159C8A6" w14:textId="77777777" w:rsidR="00FC325B" w:rsidRDefault="00FC325B" w:rsidP="00FC325B">
      <w:pPr>
        <w:spacing w:line="240" w:lineRule="auto"/>
        <w:rPr>
          <w:rFonts w:eastAsia="Times New Roman" w:cs="Arial"/>
          <w:color w:val="000000"/>
          <w:lang w:eastAsia="bg-BG"/>
        </w:rPr>
      </w:pPr>
    </w:p>
    <w:p w14:paraId="1AD3C592" w14:textId="798012AF" w:rsidR="00FC325B" w:rsidRPr="00FC325B" w:rsidRDefault="00FC325B" w:rsidP="00FC325B">
      <w:pPr>
        <w:spacing w:line="240" w:lineRule="auto"/>
        <w:rPr>
          <w:rFonts w:eastAsia="Times New Roman" w:cs="Arial"/>
        </w:rPr>
      </w:pPr>
      <w:r w:rsidRPr="00FC325B">
        <w:rPr>
          <w:rFonts w:eastAsia="Times New Roman" w:cs="Arial"/>
          <w:color w:val="000000"/>
          <w:lang w:eastAsia="bg-BG"/>
        </w:rPr>
        <w:t>В отделни случаи се съобщава за хипогликемичен шок.</w:t>
      </w:r>
    </w:p>
    <w:p w14:paraId="494F413D"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Ако се развие остра хипогликемия трябва да се има пред вид, че захарозата (тръстиковата захар) се разгражда до фруктоза и глюкоза по-бавно по време на лечение с Глюкобай; поради това захарозата е неподходяща за бързо повлияване на хипогликемията и трябва да се използва глюкоза.</w:t>
      </w:r>
    </w:p>
    <w:p w14:paraId="4B98E426" w14:textId="77777777" w:rsidR="00FC325B" w:rsidRDefault="00FC325B" w:rsidP="00FC325B">
      <w:pPr>
        <w:spacing w:line="240" w:lineRule="auto"/>
        <w:rPr>
          <w:rFonts w:eastAsia="Times New Roman" w:cs="Arial"/>
          <w:color w:val="000000"/>
          <w:lang w:eastAsia="bg-BG"/>
        </w:rPr>
      </w:pPr>
    </w:p>
    <w:p w14:paraId="00869AC7" w14:textId="4546E3AB" w:rsidR="00FC325B" w:rsidRPr="00FC325B" w:rsidRDefault="00FC325B" w:rsidP="00FC325B">
      <w:pPr>
        <w:spacing w:line="240" w:lineRule="auto"/>
        <w:rPr>
          <w:rFonts w:eastAsia="Times New Roman" w:cs="Arial"/>
        </w:rPr>
      </w:pPr>
      <w:r w:rsidRPr="00FC325B">
        <w:rPr>
          <w:rFonts w:eastAsia="Times New Roman" w:cs="Arial"/>
          <w:color w:val="000000"/>
          <w:lang w:eastAsia="bg-BG"/>
        </w:rPr>
        <w:lastRenderedPageBreak/>
        <w:t>В отделни случаи Глюкобай може да повлияе бионаличността на дигоксин, което налага корекция на дозата на дигоксина.</w:t>
      </w:r>
    </w:p>
    <w:p w14:paraId="5F331203" w14:textId="77777777" w:rsidR="00FC325B" w:rsidRDefault="00FC325B" w:rsidP="00FC325B">
      <w:pPr>
        <w:spacing w:line="240" w:lineRule="auto"/>
        <w:rPr>
          <w:rFonts w:eastAsia="Times New Roman" w:cs="Arial"/>
          <w:color w:val="000000"/>
          <w:lang w:eastAsia="bg-BG"/>
        </w:rPr>
      </w:pPr>
    </w:p>
    <w:p w14:paraId="46EC810F" w14:textId="2C73528F" w:rsidR="00FC325B" w:rsidRPr="00FC325B" w:rsidRDefault="00FC325B" w:rsidP="00FC325B">
      <w:pPr>
        <w:spacing w:line="240" w:lineRule="auto"/>
        <w:rPr>
          <w:rFonts w:eastAsia="Times New Roman" w:cs="Arial"/>
        </w:rPr>
      </w:pPr>
      <w:r w:rsidRPr="00FC325B">
        <w:rPr>
          <w:rFonts w:eastAsia="Times New Roman" w:cs="Arial"/>
          <w:color w:val="000000"/>
          <w:lang w:eastAsia="bg-BG"/>
        </w:rPr>
        <w:t>Тъй като съществува възможност колестирамин, чревни адсорбенти и лекарствени продукти с храносмилателни ензими да влияят на действието на Глюкобай, трябва да се избягва едновременното им приложение.</w:t>
      </w:r>
    </w:p>
    <w:p w14:paraId="0750A0B9" w14:textId="77777777" w:rsidR="00FC325B" w:rsidRDefault="00FC325B" w:rsidP="00FC325B">
      <w:pPr>
        <w:spacing w:line="240" w:lineRule="auto"/>
        <w:rPr>
          <w:rFonts w:eastAsia="Times New Roman" w:cs="Arial"/>
          <w:color w:val="000000"/>
          <w:lang w:eastAsia="bg-BG"/>
        </w:rPr>
      </w:pPr>
    </w:p>
    <w:p w14:paraId="7A200233" w14:textId="43755527" w:rsidR="00FC325B" w:rsidRPr="00FC325B" w:rsidRDefault="00FC325B" w:rsidP="00FC325B">
      <w:pPr>
        <w:spacing w:line="240" w:lineRule="auto"/>
        <w:rPr>
          <w:rFonts w:eastAsia="Times New Roman" w:cs="Arial"/>
        </w:rPr>
      </w:pPr>
      <w:r w:rsidRPr="00FC325B">
        <w:rPr>
          <w:rFonts w:eastAsia="Times New Roman" w:cs="Arial"/>
          <w:color w:val="000000"/>
          <w:lang w:eastAsia="bg-BG"/>
        </w:rPr>
        <w:t>Едновременното приложение на Глюкобай и перорален неомицин може да доведе до по- изразено понижаване на постпрандиалната кръвна глюкоза и до повишаване честотата и тежестта на стомашно-чревните нежелани реакции. Ако симптомите са тежки, може да се прибегне до временно намаляване на дозата на Глюкобай.</w:t>
      </w:r>
    </w:p>
    <w:p w14:paraId="525354A6" w14:textId="77777777" w:rsidR="00FC325B" w:rsidRPr="00FC325B" w:rsidRDefault="00FC325B" w:rsidP="00FC325B"/>
    <w:p w14:paraId="394A7584" w14:textId="3B328DBB" w:rsidR="004F498A" w:rsidRDefault="002C50EE" w:rsidP="004A448E">
      <w:pPr>
        <w:pStyle w:val="Heading2"/>
      </w:pPr>
      <w:r>
        <w:t>4.6. Фертилитет, бременност и кърмене</w:t>
      </w:r>
    </w:p>
    <w:p w14:paraId="1D742570" w14:textId="0BCCFFC0" w:rsidR="00FC325B" w:rsidRDefault="00FC325B" w:rsidP="00FC325B"/>
    <w:p w14:paraId="2548E318" w14:textId="77777777" w:rsidR="00FC325B" w:rsidRPr="00FC325B" w:rsidRDefault="00FC325B" w:rsidP="00FC325B">
      <w:pPr>
        <w:pStyle w:val="Heading3"/>
        <w:rPr>
          <w:rFonts w:eastAsia="Times New Roman"/>
          <w:u w:val="single"/>
        </w:rPr>
      </w:pPr>
      <w:r w:rsidRPr="00FC325B">
        <w:rPr>
          <w:rFonts w:eastAsia="Times New Roman"/>
          <w:u w:val="single"/>
          <w:lang w:eastAsia="bg-BG"/>
        </w:rPr>
        <w:t>Бременност</w:t>
      </w:r>
    </w:p>
    <w:p w14:paraId="527C15DB" w14:textId="4FF3717F" w:rsidR="00FC325B" w:rsidRDefault="00FC325B" w:rsidP="00FC325B">
      <w:pPr>
        <w:rPr>
          <w:lang w:eastAsia="bg-BG"/>
        </w:rPr>
      </w:pPr>
      <w:r w:rsidRPr="00FC325B">
        <w:rPr>
          <w:lang w:eastAsia="bg-BG"/>
        </w:rPr>
        <w:t>Глюкобай не трябва да се прилагат по време на бременност, тъй като няма данни от контролирани клинични проучвания за употреба при бременни жени.</w:t>
      </w:r>
    </w:p>
    <w:p w14:paraId="4955F92A" w14:textId="0244ACE8" w:rsidR="00FC325B" w:rsidRDefault="00FC325B" w:rsidP="00FC325B">
      <w:pPr>
        <w:rPr>
          <w:lang w:eastAsia="bg-BG"/>
        </w:rPr>
      </w:pPr>
    </w:p>
    <w:p w14:paraId="28355954" w14:textId="77777777" w:rsidR="00FC325B" w:rsidRPr="00FC325B" w:rsidRDefault="00FC325B" w:rsidP="00FC325B">
      <w:pPr>
        <w:pStyle w:val="Heading3"/>
        <w:rPr>
          <w:rFonts w:eastAsia="Times New Roman"/>
          <w:u w:val="single"/>
        </w:rPr>
      </w:pPr>
      <w:r w:rsidRPr="00FC325B">
        <w:rPr>
          <w:rFonts w:eastAsia="Times New Roman"/>
          <w:u w:val="single"/>
          <w:lang w:eastAsia="bg-BG"/>
        </w:rPr>
        <w:t>Кърмене</w:t>
      </w:r>
    </w:p>
    <w:p w14:paraId="21B0A92F" w14:textId="77777777" w:rsidR="00FC325B" w:rsidRPr="00FC325B" w:rsidRDefault="00FC325B" w:rsidP="00FC325B">
      <w:pPr>
        <w:rPr>
          <w:sz w:val="24"/>
          <w:szCs w:val="24"/>
        </w:rPr>
      </w:pPr>
      <w:r w:rsidRPr="00FC325B">
        <w:rPr>
          <w:lang w:eastAsia="bg-BG"/>
        </w:rPr>
        <w:t>След приложение на белязана акарбоза при кърмещи плъхове в млякото е установена ниска радиоактивност. За сега няма съответни данни при хора.</w:t>
      </w:r>
    </w:p>
    <w:p w14:paraId="2EBB6224" w14:textId="77777777" w:rsidR="00FC325B" w:rsidRDefault="00FC325B" w:rsidP="00FC325B">
      <w:pPr>
        <w:rPr>
          <w:lang w:eastAsia="bg-BG"/>
        </w:rPr>
      </w:pPr>
    </w:p>
    <w:p w14:paraId="1157365C" w14:textId="59CD296F" w:rsidR="00FC325B" w:rsidRPr="00FC325B" w:rsidRDefault="00FC325B" w:rsidP="00FC325B">
      <w:pPr>
        <w:rPr>
          <w:sz w:val="24"/>
          <w:szCs w:val="24"/>
        </w:rPr>
      </w:pPr>
      <w:r w:rsidRPr="00FC325B">
        <w:rPr>
          <w:lang w:eastAsia="bg-BG"/>
        </w:rPr>
        <w:t>Въпреки това, тъй като не може да се изключат индуцирани от лекарството ефекти върху кърмачето, не се препоръчва предписването на Глюкобай по време на кърмене.</w:t>
      </w:r>
    </w:p>
    <w:p w14:paraId="1FAA024C" w14:textId="77777777" w:rsidR="00FC325B" w:rsidRPr="00FC325B" w:rsidRDefault="00FC325B" w:rsidP="00FC325B"/>
    <w:p w14:paraId="064DF1DE" w14:textId="65B0B83F" w:rsidR="00CF77F7" w:rsidRDefault="002C50EE" w:rsidP="004A448E">
      <w:pPr>
        <w:pStyle w:val="Heading2"/>
      </w:pPr>
      <w:r>
        <w:t>4.7. Ефекти върху способността за шофиране и работа с машини</w:t>
      </w:r>
    </w:p>
    <w:p w14:paraId="4799396E" w14:textId="5C3D040E" w:rsidR="00FC325B" w:rsidRDefault="00FC325B" w:rsidP="00FC325B"/>
    <w:p w14:paraId="2BD177C9" w14:textId="1FB5CF68" w:rsidR="00FC325B" w:rsidRDefault="00FC325B" w:rsidP="00FC325B">
      <w:r>
        <w:t>Глюкобай не повлиява или повлиява пренебрежимо способността за шофиране и работа с машини.</w:t>
      </w:r>
    </w:p>
    <w:p w14:paraId="1CE29775" w14:textId="77777777" w:rsidR="00FC325B" w:rsidRPr="00FC325B" w:rsidRDefault="00FC325B" w:rsidP="00FC325B"/>
    <w:p w14:paraId="37A3FD9F" w14:textId="7DC9321D" w:rsidR="00CF77F7" w:rsidRDefault="002C50EE" w:rsidP="004A448E">
      <w:pPr>
        <w:pStyle w:val="Heading2"/>
      </w:pPr>
      <w:r>
        <w:t>4.8. Нежелани лекарствени реакции</w:t>
      </w:r>
    </w:p>
    <w:p w14:paraId="2A948B6E" w14:textId="3BD932B4" w:rsidR="00FC325B" w:rsidRDefault="00FC325B" w:rsidP="00FC325B"/>
    <w:p w14:paraId="7B482F0B"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Нежеланите реакции, наблюдавани в плацебо-контролирани клинични проучвания с акарбоза и подредени според категориите </w:t>
      </w:r>
      <w:r w:rsidRPr="00FC325B">
        <w:rPr>
          <w:rFonts w:eastAsia="Times New Roman" w:cs="Arial"/>
          <w:color w:val="000000"/>
          <w:lang w:val="en-US"/>
        </w:rPr>
        <w:t>CIOMS</w:t>
      </w:r>
      <w:r w:rsidRPr="00FC325B">
        <w:rPr>
          <w:rFonts w:eastAsia="Times New Roman" w:cs="Arial"/>
          <w:color w:val="000000"/>
          <w:lang w:val="ru-RU"/>
        </w:rPr>
        <w:t xml:space="preserve"> </w:t>
      </w:r>
      <w:r w:rsidRPr="00FC325B">
        <w:rPr>
          <w:rFonts w:eastAsia="Times New Roman" w:cs="Arial"/>
          <w:color w:val="000000"/>
          <w:lang w:val="en-US"/>
        </w:rPr>
        <w:t>III</w:t>
      </w:r>
      <w:r w:rsidRPr="00FC325B">
        <w:rPr>
          <w:rFonts w:eastAsia="Times New Roman" w:cs="Arial"/>
          <w:color w:val="000000"/>
          <w:lang w:eastAsia="bg-BG"/>
        </w:rPr>
        <w:t xml:space="preserve"> за честота (плацебо-контролирани проучвания в база данни от клинично проучване: акарбоза </w:t>
      </w:r>
      <w:r w:rsidRPr="00FC325B">
        <w:rPr>
          <w:rFonts w:eastAsia="Times New Roman" w:cs="Arial"/>
          <w:color w:val="000000"/>
          <w:lang w:val="en-US"/>
        </w:rPr>
        <w:t>N</w:t>
      </w:r>
      <w:r w:rsidRPr="00FC325B">
        <w:rPr>
          <w:rFonts w:eastAsia="Times New Roman" w:cs="Arial"/>
          <w:color w:val="000000"/>
          <w:lang w:val="ru-RU"/>
        </w:rPr>
        <w:t xml:space="preserve">= </w:t>
      </w:r>
      <w:r w:rsidRPr="00FC325B">
        <w:rPr>
          <w:rFonts w:eastAsia="Times New Roman" w:cs="Arial"/>
          <w:color w:val="000000"/>
          <w:lang w:eastAsia="bg-BG"/>
        </w:rPr>
        <w:t xml:space="preserve">8595; </w:t>
      </w:r>
      <w:r w:rsidRPr="00FC325B">
        <w:rPr>
          <w:rFonts w:eastAsia="Times New Roman" w:cs="Arial"/>
          <w:color w:val="000000"/>
          <w:lang w:val="en-US"/>
        </w:rPr>
        <w:t>placebo</w:t>
      </w:r>
      <w:r w:rsidRPr="00FC325B">
        <w:rPr>
          <w:rFonts w:eastAsia="Times New Roman" w:cs="Arial"/>
          <w:color w:val="000000"/>
          <w:lang w:val="ru-RU"/>
        </w:rPr>
        <w:t xml:space="preserve"> </w:t>
      </w:r>
      <w:r w:rsidRPr="00FC325B">
        <w:rPr>
          <w:rFonts w:eastAsia="Times New Roman" w:cs="Arial"/>
          <w:color w:val="000000"/>
          <w:lang w:val="en-US"/>
        </w:rPr>
        <w:t>N</w:t>
      </w:r>
      <w:r w:rsidRPr="00FC325B">
        <w:rPr>
          <w:rFonts w:eastAsia="Times New Roman" w:cs="Arial"/>
          <w:color w:val="000000"/>
          <w:lang w:val="ru-RU"/>
        </w:rPr>
        <w:t xml:space="preserve">= </w:t>
      </w:r>
      <w:r w:rsidRPr="00FC325B">
        <w:rPr>
          <w:rFonts w:eastAsia="Times New Roman" w:cs="Arial"/>
          <w:color w:val="000000"/>
          <w:lang w:eastAsia="bg-BG"/>
        </w:rPr>
        <w:t>7278; статус: 10.02.2006), са обобщени в таблицата по-долу.</w:t>
      </w:r>
    </w:p>
    <w:p w14:paraId="4D737F97" w14:textId="77777777" w:rsidR="00FC325B" w:rsidRDefault="00FC325B" w:rsidP="00FC325B">
      <w:pPr>
        <w:spacing w:line="240" w:lineRule="auto"/>
        <w:rPr>
          <w:rFonts w:eastAsia="Times New Roman" w:cs="Arial"/>
          <w:color w:val="000000"/>
          <w:lang w:eastAsia="bg-BG"/>
        </w:rPr>
      </w:pPr>
    </w:p>
    <w:p w14:paraId="1B41BB99" w14:textId="6D0AABF3" w:rsidR="00FC325B" w:rsidRPr="00FC325B" w:rsidRDefault="00FC325B" w:rsidP="00FC325B">
      <w:pPr>
        <w:spacing w:line="240" w:lineRule="auto"/>
        <w:rPr>
          <w:rFonts w:eastAsia="Times New Roman" w:cs="Arial"/>
        </w:rPr>
      </w:pPr>
      <w:r w:rsidRPr="00FC325B">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 Честотата се определя като много чести (≥ 1/10), чести (≥1/100 до &lt; 1/10), нечести (≥ 1/1 000 до &lt; 1/100) и редки (≥1/10 000 до &lt; 1/1 000).</w:t>
      </w:r>
    </w:p>
    <w:p w14:paraId="167AFD02" w14:textId="62F2A449" w:rsidR="00FC325B" w:rsidRDefault="00FC325B" w:rsidP="00FC325B">
      <w:pPr>
        <w:rPr>
          <w:rFonts w:eastAsia="Times New Roman" w:cs="Arial"/>
          <w:color w:val="000000"/>
          <w:lang w:eastAsia="bg-BG"/>
        </w:rPr>
      </w:pPr>
      <w:r w:rsidRPr="00FC325B">
        <w:rPr>
          <w:rFonts w:eastAsia="Times New Roman" w:cs="Arial"/>
          <w:color w:val="000000"/>
          <w:lang w:eastAsia="bg-BG"/>
        </w:rPr>
        <w:t>Нежеланите реакции, получени само от пост маркетингови съобщения (статус: 31.12.2005) и за които не може да бъде направена оценка, са описани като “с неизвестна честота”.</w:t>
      </w:r>
    </w:p>
    <w:p w14:paraId="11957BF5" w14:textId="2EC12E03" w:rsidR="00FC325B" w:rsidRDefault="00FC325B" w:rsidP="00FC325B">
      <w:pPr>
        <w:rPr>
          <w:rFonts w:eastAsia="Times New Roman" w:cs="Arial"/>
          <w:color w:val="000000"/>
          <w:lang w:eastAsia="bg-BG"/>
        </w:rPr>
      </w:pPr>
    </w:p>
    <w:tbl>
      <w:tblPr>
        <w:tblStyle w:val="TableGrid"/>
        <w:tblW w:w="0" w:type="auto"/>
        <w:tblLook w:val="04A0" w:firstRow="1" w:lastRow="0" w:firstColumn="1" w:lastColumn="0" w:noHBand="0" w:noVBand="1"/>
      </w:tblPr>
      <w:tblGrid>
        <w:gridCol w:w="1732"/>
        <w:gridCol w:w="1347"/>
        <w:gridCol w:w="1227"/>
        <w:gridCol w:w="1597"/>
        <w:gridCol w:w="1258"/>
        <w:gridCol w:w="2189"/>
      </w:tblGrid>
      <w:tr w:rsidR="00FC325B" w14:paraId="000F0669" w14:textId="77777777" w:rsidTr="00FC325B">
        <w:tc>
          <w:tcPr>
            <w:tcW w:w="1596" w:type="dxa"/>
          </w:tcPr>
          <w:p w14:paraId="5D8E27D1" w14:textId="1DDF9A2D" w:rsidR="00FC325B" w:rsidRPr="00FC325B" w:rsidRDefault="00FC325B" w:rsidP="00FC325B">
            <w:pPr>
              <w:rPr>
                <w:rFonts w:cs="Arial"/>
              </w:rPr>
            </w:pPr>
            <w:r w:rsidRPr="00FC325B">
              <w:rPr>
                <w:b/>
                <w:bCs/>
              </w:rPr>
              <w:t xml:space="preserve">Системо-органни </w:t>
            </w:r>
            <w:r w:rsidRPr="00FC325B">
              <w:rPr>
                <w:b/>
                <w:bCs/>
              </w:rPr>
              <w:lastRenderedPageBreak/>
              <w:t xml:space="preserve">класове </w:t>
            </w:r>
            <w:r w:rsidRPr="00FC325B">
              <w:rPr>
                <w:b/>
                <w:bCs/>
                <w:lang w:val="en-US"/>
              </w:rPr>
              <w:t>(</w:t>
            </w:r>
            <w:proofErr w:type="spellStart"/>
            <w:r w:rsidRPr="00FC325B">
              <w:rPr>
                <w:b/>
                <w:bCs/>
                <w:lang w:val="en-US"/>
              </w:rPr>
              <w:t>MedDRA</w:t>
            </w:r>
            <w:proofErr w:type="spellEnd"/>
            <w:r w:rsidRPr="00FC325B">
              <w:rPr>
                <w:b/>
                <w:bCs/>
                <w:lang w:val="en-US"/>
              </w:rPr>
              <w:t>)</w:t>
            </w:r>
          </w:p>
        </w:tc>
        <w:tc>
          <w:tcPr>
            <w:tcW w:w="1596" w:type="dxa"/>
          </w:tcPr>
          <w:p w14:paraId="319A67A0" w14:textId="262A8205" w:rsidR="00FC325B" w:rsidRPr="00FC325B" w:rsidRDefault="00FC325B" w:rsidP="00FC325B">
            <w:pPr>
              <w:rPr>
                <w:rFonts w:cs="Arial"/>
              </w:rPr>
            </w:pPr>
            <w:r w:rsidRPr="00FC325B">
              <w:rPr>
                <w:b/>
                <w:bCs/>
              </w:rPr>
              <w:lastRenderedPageBreak/>
              <w:t>Много чести</w:t>
            </w:r>
          </w:p>
        </w:tc>
        <w:tc>
          <w:tcPr>
            <w:tcW w:w="1596" w:type="dxa"/>
          </w:tcPr>
          <w:p w14:paraId="0B8631C8" w14:textId="47CAD335" w:rsidR="00FC325B" w:rsidRPr="00FC325B" w:rsidRDefault="00FC325B" w:rsidP="00FC325B">
            <w:pPr>
              <w:rPr>
                <w:rFonts w:cs="Arial"/>
              </w:rPr>
            </w:pPr>
            <w:r w:rsidRPr="00FC325B">
              <w:rPr>
                <w:b/>
                <w:bCs/>
              </w:rPr>
              <w:t>Чести</w:t>
            </w:r>
          </w:p>
        </w:tc>
        <w:tc>
          <w:tcPr>
            <w:tcW w:w="1596" w:type="dxa"/>
          </w:tcPr>
          <w:p w14:paraId="3630722A" w14:textId="4B15667B" w:rsidR="00FC325B" w:rsidRPr="00FC325B" w:rsidRDefault="00FC325B" w:rsidP="00FC325B">
            <w:pPr>
              <w:rPr>
                <w:rFonts w:cs="Arial"/>
              </w:rPr>
            </w:pPr>
            <w:r w:rsidRPr="00FC325B">
              <w:rPr>
                <w:b/>
                <w:bCs/>
              </w:rPr>
              <w:t>Нечести</w:t>
            </w:r>
          </w:p>
        </w:tc>
        <w:tc>
          <w:tcPr>
            <w:tcW w:w="1596" w:type="dxa"/>
          </w:tcPr>
          <w:p w14:paraId="7B988B0C" w14:textId="0F094870" w:rsidR="00FC325B" w:rsidRPr="00FC325B" w:rsidRDefault="00FC325B" w:rsidP="00FC325B">
            <w:pPr>
              <w:rPr>
                <w:rFonts w:cs="Arial"/>
              </w:rPr>
            </w:pPr>
            <w:r w:rsidRPr="00FC325B">
              <w:rPr>
                <w:b/>
                <w:bCs/>
              </w:rPr>
              <w:t>Редки</w:t>
            </w:r>
          </w:p>
        </w:tc>
        <w:tc>
          <w:tcPr>
            <w:tcW w:w="1596" w:type="dxa"/>
          </w:tcPr>
          <w:p w14:paraId="261B4ABD" w14:textId="722CBCA9" w:rsidR="00FC325B" w:rsidRPr="00FC325B" w:rsidRDefault="00FC325B" w:rsidP="00FC325B">
            <w:pPr>
              <w:rPr>
                <w:rFonts w:cs="Arial"/>
              </w:rPr>
            </w:pPr>
            <w:r w:rsidRPr="00FC325B">
              <w:rPr>
                <w:b/>
                <w:bCs/>
                <w:i/>
                <w:iCs/>
              </w:rPr>
              <w:t>С</w:t>
            </w:r>
            <w:r w:rsidRPr="00FC325B">
              <w:rPr>
                <w:b/>
                <w:bCs/>
              </w:rPr>
              <w:t xml:space="preserve"> неизвестна честота</w:t>
            </w:r>
          </w:p>
        </w:tc>
      </w:tr>
      <w:tr w:rsidR="00FC325B" w14:paraId="4C6212DE" w14:textId="77777777" w:rsidTr="00FC325B">
        <w:tc>
          <w:tcPr>
            <w:tcW w:w="1596" w:type="dxa"/>
          </w:tcPr>
          <w:p w14:paraId="5B75A423" w14:textId="394EA6A4" w:rsidR="00FC325B" w:rsidRPr="00FC325B" w:rsidRDefault="00FC325B" w:rsidP="00FC325B">
            <w:pPr>
              <w:rPr>
                <w:rFonts w:cs="Arial"/>
              </w:rPr>
            </w:pPr>
            <w:r w:rsidRPr="00FC325B">
              <w:lastRenderedPageBreak/>
              <w:t>Нарушения на кръвта и лимфната система</w:t>
            </w:r>
          </w:p>
        </w:tc>
        <w:tc>
          <w:tcPr>
            <w:tcW w:w="1596" w:type="dxa"/>
          </w:tcPr>
          <w:p w14:paraId="4B26C32F" w14:textId="77777777" w:rsidR="00FC325B" w:rsidRPr="00FC325B" w:rsidRDefault="00FC325B" w:rsidP="00FC325B">
            <w:pPr>
              <w:rPr>
                <w:rFonts w:cs="Arial"/>
              </w:rPr>
            </w:pPr>
          </w:p>
        </w:tc>
        <w:tc>
          <w:tcPr>
            <w:tcW w:w="1596" w:type="dxa"/>
          </w:tcPr>
          <w:p w14:paraId="291ABBD7" w14:textId="77777777" w:rsidR="00FC325B" w:rsidRPr="00FC325B" w:rsidRDefault="00FC325B" w:rsidP="00FC325B">
            <w:pPr>
              <w:rPr>
                <w:rFonts w:cs="Arial"/>
              </w:rPr>
            </w:pPr>
          </w:p>
        </w:tc>
        <w:tc>
          <w:tcPr>
            <w:tcW w:w="1596" w:type="dxa"/>
          </w:tcPr>
          <w:p w14:paraId="01A4F1D0" w14:textId="77777777" w:rsidR="00FC325B" w:rsidRPr="00FC325B" w:rsidRDefault="00FC325B" w:rsidP="00FC325B">
            <w:pPr>
              <w:rPr>
                <w:rFonts w:cs="Arial"/>
              </w:rPr>
            </w:pPr>
          </w:p>
        </w:tc>
        <w:tc>
          <w:tcPr>
            <w:tcW w:w="1596" w:type="dxa"/>
          </w:tcPr>
          <w:p w14:paraId="2FDD6FB6" w14:textId="77777777" w:rsidR="00FC325B" w:rsidRPr="00FC325B" w:rsidRDefault="00FC325B" w:rsidP="00FC325B">
            <w:pPr>
              <w:rPr>
                <w:rFonts w:cs="Arial"/>
              </w:rPr>
            </w:pPr>
          </w:p>
        </w:tc>
        <w:tc>
          <w:tcPr>
            <w:tcW w:w="1596" w:type="dxa"/>
          </w:tcPr>
          <w:p w14:paraId="5D1366F8" w14:textId="195BB62D" w:rsidR="00FC325B" w:rsidRPr="00FC325B" w:rsidRDefault="00FC325B" w:rsidP="00FC325B">
            <w:pPr>
              <w:rPr>
                <w:rFonts w:cs="Arial"/>
              </w:rPr>
            </w:pPr>
            <w:r w:rsidRPr="00FC325B">
              <w:t>Тромбоцитопения</w:t>
            </w:r>
          </w:p>
        </w:tc>
      </w:tr>
      <w:tr w:rsidR="00FC325B" w14:paraId="4CBDF88C" w14:textId="77777777" w:rsidTr="00FC325B">
        <w:tc>
          <w:tcPr>
            <w:tcW w:w="1596" w:type="dxa"/>
          </w:tcPr>
          <w:p w14:paraId="697ABDD7" w14:textId="6E689298" w:rsidR="00FC325B" w:rsidRPr="00FC325B" w:rsidRDefault="00FC325B" w:rsidP="00FC325B">
            <w:pPr>
              <w:rPr>
                <w:rFonts w:cs="Arial"/>
              </w:rPr>
            </w:pPr>
            <w:r w:rsidRPr="00FC325B">
              <w:t>Нарушения на имунната система</w:t>
            </w:r>
          </w:p>
        </w:tc>
        <w:tc>
          <w:tcPr>
            <w:tcW w:w="1596" w:type="dxa"/>
          </w:tcPr>
          <w:p w14:paraId="24D1D03A" w14:textId="77777777" w:rsidR="00FC325B" w:rsidRPr="00FC325B" w:rsidRDefault="00FC325B" w:rsidP="00FC325B">
            <w:pPr>
              <w:rPr>
                <w:rFonts w:cs="Arial"/>
              </w:rPr>
            </w:pPr>
          </w:p>
        </w:tc>
        <w:tc>
          <w:tcPr>
            <w:tcW w:w="1596" w:type="dxa"/>
          </w:tcPr>
          <w:p w14:paraId="202E02DC" w14:textId="77777777" w:rsidR="00FC325B" w:rsidRPr="00FC325B" w:rsidRDefault="00FC325B" w:rsidP="00FC325B">
            <w:pPr>
              <w:rPr>
                <w:rFonts w:cs="Arial"/>
              </w:rPr>
            </w:pPr>
          </w:p>
        </w:tc>
        <w:tc>
          <w:tcPr>
            <w:tcW w:w="1596" w:type="dxa"/>
          </w:tcPr>
          <w:p w14:paraId="203077D5" w14:textId="77777777" w:rsidR="00FC325B" w:rsidRPr="00FC325B" w:rsidRDefault="00FC325B" w:rsidP="00FC325B">
            <w:pPr>
              <w:rPr>
                <w:rFonts w:cs="Arial"/>
              </w:rPr>
            </w:pPr>
          </w:p>
        </w:tc>
        <w:tc>
          <w:tcPr>
            <w:tcW w:w="1596" w:type="dxa"/>
          </w:tcPr>
          <w:p w14:paraId="7E71EBE9" w14:textId="77777777" w:rsidR="00FC325B" w:rsidRPr="00FC325B" w:rsidRDefault="00FC325B" w:rsidP="00FC325B">
            <w:pPr>
              <w:rPr>
                <w:rFonts w:cs="Arial"/>
              </w:rPr>
            </w:pPr>
          </w:p>
        </w:tc>
        <w:tc>
          <w:tcPr>
            <w:tcW w:w="1596" w:type="dxa"/>
          </w:tcPr>
          <w:p w14:paraId="7374390F" w14:textId="3CCCBE8A" w:rsidR="00FC325B" w:rsidRPr="00FC325B" w:rsidRDefault="00FC325B" w:rsidP="00FC325B">
            <w:pPr>
              <w:rPr>
                <w:rFonts w:cs="Arial"/>
              </w:rPr>
            </w:pPr>
            <w:r w:rsidRPr="00FC325B">
              <w:t>Свръхчувствителност към лекарството и свръхчувствителност (обрив, еритема, екзантема, уртикария)</w:t>
            </w:r>
          </w:p>
        </w:tc>
      </w:tr>
      <w:tr w:rsidR="00FC325B" w14:paraId="10C8A844" w14:textId="77777777" w:rsidTr="00FC325B">
        <w:tc>
          <w:tcPr>
            <w:tcW w:w="1596" w:type="dxa"/>
          </w:tcPr>
          <w:p w14:paraId="2EF4F5B1" w14:textId="15B68E93" w:rsidR="00FC325B" w:rsidRPr="00FC325B" w:rsidRDefault="00FC325B" w:rsidP="00FC325B">
            <w:pPr>
              <w:rPr>
                <w:rFonts w:cs="Arial"/>
              </w:rPr>
            </w:pPr>
            <w:r w:rsidRPr="00FC325B">
              <w:t>Съдови нарушения</w:t>
            </w:r>
          </w:p>
        </w:tc>
        <w:tc>
          <w:tcPr>
            <w:tcW w:w="1596" w:type="dxa"/>
          </w:tcPr>
          <w:p w14:paraId="0682512F" w14:textId="77777777" w:rsidR="00FC325B" w:rsidRPr="00FC325B" w:rsidRDefault="00FC325B" w:rsidP="00FC325B">
            <w:pPr>
              <w:rPr>
                <w:rFonts w:cs="Arial"/>
              </w:rPr>
            </w:pPr>
          </w:p>
        </w:tc>
        <w:tc>
          <w:tcPr>
            <w:tcW w:w="1596" w:type="dxa"/>
          </w:tcPr>
          <w:p w14:paraId="50712F4C" w14:textId="77777777" w:rsidR="00FC325B" w:rsidRPr="00FC325B" w:rsidRDefault="00FC325B" w:rsidP="00FC325B">
            <w:pPr>
              <w:rPr>
                <w:rFonts w:cs="Arial"/>
              </w:rPr>
            </w:pPr>
          </w:p>
        </w:tc>
        <w:tc>
          <w:tcPr>
            <w:tcW w:w="1596" w:type="dxa"/>
          </w:tcPr>
          <w:p w14:paraId="21304B6E" w14:textId="77777777" w:rsidR="00FC325B" w:rsidRPr="00FC325B" w:rsidRDefault="00FC325B" w:rsidP="00FC325B">
            <w:pPr>
              <w:rPr>
                <w:rFonts w:cs="Arial"/>
              </w:rPr>
            </w:pPr>
          </w:p>
        </w:tc>
        <w:tc>
          <w:tcPr>
            <w:tcW w:w="1596" w:type="dxa"/>
          </w:tcPr>
          <w:p w14:paraId="54CA861D" w14:textId="17885A19" w:rsidR="00FC325B" w:rsidRPr="00FC325B" w:rsidRDefault="00FC325B" w:rsidP="00FC325B">
            <w:pPr>
              <w:rPr>
                <w:rFonts w:cs="Arial"/>
              </w:rPr>
            </w:pPr>
            <w:r w:rsidRPr="00FC325B">
              <w:t>Оток</w:t>
            </w:r>
          </w:p>
        </w:tc>
        <w:tc>
          <w:tcPr>
            <w:tcW w:w="1596" w:type="dxa"/>
          </w:tcPr>
          <w:p w14:paraId="7887E77D" w14:textId="77777777" w:rsidR="00FC325B" w:rsidRPr="00FC325B" w:rsidRDefault="00FC325B" w:rsidP="00FC325B">
            <w:pPr>
              <w:rPr>
                <w:rFonts w:cs="Arial"/>
              </w:rPr>
            </w:pPr>
          </w:p>
        </w:tc>
      </w:tr>
      <w:tr w:rsidR="00FC325B" w14:paraId="6FD8F0C2" w14:textId="77777777" w:rsidTr="00FC325B">
        <w:tc>
          <w:tcPr>
            <w:tcW w:w="1596" w:type="dxa"/>
          </w:tcPr>
          <w:p w14:paraId="7CEBE3EF" w14:textId="64F52980" w:rsidR="00FC325B" w:rsidRPr="00FC325B" w:rsidRDefault="00FC325B" w:rsidP="00FC325B">
            <w:pPr>
              <w:rPr>
                <w:rFonts w:cs="Arial"/>
              </w:rPr>
            </w:pPr>
            <w:r w:rsidRPr="00FC325B">
              <w:t>Стомашно-чревни нарушения</w:t>
            </w:r>
          </w:p>
        </w:tc>
        <w:tc>
          <w:tcPr>
            <w:tcW w:w="1596" w:type="dxa"/>
          </w:tcPr>
          <w:p w14:paraId="0094409D" w14:textId="2C460B16" w:rsidR="00FC325B" w:rsidRPr="00FC325B" w:rsidRDefault="00FC325B" w:rsidP="00FC325B">
            <w:pPr>
              <w:rPr>
                <w:rFonts w:cs="Arial"/>
              </w:rPr>
            </w:pPr>
            <w:r w:rsidRPr="00FC325B">
              <w:t>Метеоризъм</w:t>
            </w:r>
          </w:p>
        </w:tc>
        <w:tc>
          <w:tcPr>
            <w:tcW w:w="1596" w:type="dxa"/>
          </w:tcPr>
          <w:p w14:paraId="527F7304" w14:textId="162420F0" w:rsidR="00FC325B" w:rsidRPr="00FC325B" w:rsidRDefault="00FC325B" w:rsidP="00FC325B">
            <w:pPr>
              <w:rPr>
                <w:rFonts w:cs="Arial"/>
              </w:rPr>
            </w:pPr>
            <w:r w:rsidRPr="00FC325B">
              <w:t>Диария Стомашно-чревна и коремна болка</w:t>
            </w:r>
          </w:p>
        </w:tc>
        <w:tc>
          <w:tcPr>
            <w:tcW w:w="1596" w:type="dxa"/>
          </w:tcPr>
          <w:p w14:paraId="7E6C5231" w14:textId="031057C8" w:rsidR="00FC325B" w:rsidRPr="00FC325B" w:rsidRDefault="00FC325B" w:rsidP="00FC325B">
            <w:pPr>
              <w:rPr>
                <w:rFonts w:cs="Arial"/>
              </w:rPr>
            </w:pPr>
            <w:r w:rsidRPr="00FC325B">
              <w:t>Гадене Повръщане Диспепсия</w:t>
            </w:r>
          </w:p>
        </w:tc>
        <w:tc>
          <w:tcPr>
            <w:tcW w:w="1596" w:type="dxa"/>
          </w:tcPr>
          <w:p w14:paraId="1C9A2321" w14:textId="77777777" w:rsidR="00FC325B" w:rsidRPr="00FC325B" w:rsidRDefault="00FC325B" w:rsidP="00FC325B">
            <w:pPr>
              <w:rPr>
                <w:rFonts w:cs="Arial"/>
              </w:rPr>
            </w:pPr>
          </w:p>
        </w:tc>
        <w:tc>
          <w:tcPr>
            <w:tcW w:w="1596" w:type="dxa"/>
          </w:tcPr>
          <w:p w14:paraId="6042703E" w14:textId="250436CD" w:rsidR="00FC325B" w:rsidRPr="00FC325B" w:rsidRDefault="00FC325B" w:rsidP="00FC325B">
            <w:pPr>
              <w:rPr>
                <w:rFonts w:cs="Arial"/>
              </w:rPr>
            </w:pPr>
            <w:r w:rsidRPr="00FC325B">
              <w:t xml:space="preserve">Субилеус/ илеус </w:t>
            </w:r>
            <w:proofErr w:type="spellStart"/>
            <w:r w:rsidRPr="00FC325B">
              <w:rPr>
                <w:i/>
                <w:iCs/>
                <w:lang w:val="en-US"/>
              </w:rPr>
              <w:t>Pneumatosis</w:t>
            </w:r>
            <w:proofErr w:type="spellEnd"/>
            <w:r w:rsidRPr="00FC325B">
              <w:rPr>
                <w:i/>
                <w:iCs/>
                <w:lang w:val="en-US"/>
              </w:rPr>
              <w:t xml:space="preserve"> </w:t>
            </w:r>
            <w:proofErr w:type="spellStart"/>
            <w:r w:rsidRPr="00FC325B">
              <w:rPr>
                <w:i/>
                <w:iCs/>
                <w:lang w:val="en-US"/>
              </w:rPr>
              <w:t>cystoidis</w:t>
            </w:r>
            <w:proofErr w:type="spellEnd"/>
            <w:r w:rsidRPr="00FC325B">
              <w:rPr>
                <w:i/>
                <w:iCs/>
                <w:lang w:val="en-US"/>
              </w:rPr>
              <w:t xml:space="preserve"> </w:t>
            </w:r>
            <w:proofErr w:type="spellStart"/>
            <w:r w:rsidRPr="00FC325B">
              <w:rPr>
                <w:i/>
                <w:iCs/>
                <w:lang w:val="en-US"/>
              </w:rPr>
              <w:t>intestinalis</w:t>
            </w:r>
            <w:proofErr w:type="spellEnd"/>
          </w:p>
        </w:tc>
      </w:tr>
      <w:tr w:rsidR="00FC325B" w14:paraId="72FE682A" w14:textId="77777777" w:rsidTr="00FC325B">
        <w:tc>
          <w:tcPr>
            <w:tcW w:w="1596" w:type="dxa"/>
          </w:tcPr>
          <w:p w14:paraId="70993471" w14:textId="2DB71138" w:rsidR="00FC325B" w:rsidRPr="00FC325B" w:rsidRDefault="00FC325B" w:rsidP="00FC325B">
            <w:pPr>
              <w:rPr>
                <w:rFonts w:cs="Arial"/>
              </w:rPr>
            </w:pPr>
            <w:r w:rsidRPr="00FC325B">
              <w:t>Хепатобилиарни нарушения</w:t>
            </w:r>
          </w:p>
        </w:tc>
        <w:tc>
          <w:tcPr>
            <w:tcW w:w="1596" w:type="dxa"/>
          </w:tcPr>
          <w:p w14:paraId="407DB788" w14:textId="77777777" w:rsidR="00FC325B" w:rsidRPr="00FC325B" w:rsidRDefault="00FC325B" w:rsidP="00FC325B">
            <w:pPr>
              <w:rPr>
                <w:rFonts w:cs="Arial"/>
              </w:rPr>
            </w:pPr>
          </w:p>
        </w:tc>
        <w:tc>
          <w:tcPr>
            <w:tcW w:w="1596" w:type="dxa"/>
          </w:tcPr>
          <w:p w14:paraId="31F6A636" w14:textId="77777777" w:rsidR="00FC325B" w:rsidRPr="00FC325B" w:rsidRDefault="00FC325B" w:rsidP="00FC325B">
            <w:pPr>
              <w:rPr>
                <w:rFonts w:cs="Arial"/>
              </w:rPr>
            </w:pPr>
          </w:p>
        </w:tc>
        <w:tc>
          <w:tcPr>
            <w:tcW w:w="1596" w:type="dxa"/>
          </w:tcPr>
          <w:p w14:paraId="5E533C3C" w14:textId="631C6B68" w:rsidR="00FC325B" w:rsidRPr="00FC325B" w:rsidRDefault="00FC325B" w:rsidP="00FC325B">
            <w:pPr>
              <w:rPr>
                <w:rFonts w:cs="Arial"/>
              </w:rPr>
            </w:pPr>
            <w:r w:rsidRPr="00FC325B">
              <w:t>Повишаване на чернодробните ензими</w:t>
            </w:r>
          </w:p>
        </w:tc>
        <w:tc>
          <w:tcPr>
            <w:tcW w:w="1596" w:type="dxa"/>
          </w:tcPr>
          <w:p w14:paraId="3A3AA2BD" w14:textId="54515B5B" w:rsidR="00FC325B" w:rsidRPr="00FC325B" w:rsidRDefault="00FC325B" w:rsidP="00FC325B">
            <w:pPr>
              <w:rPr>
                <w:rFonts w:cs="Arial"/>
              </w:rPr>
            </w:pPr>
            <w:r w:rsidRPr="00FC325B">
              <w:t>Жълтеница</w:t>
            </w:r>
          </w:p>
        </w:tc>
        <w:tc>
          <w:tcPr>
            <w:tcW w:w="1596" w:type="dxa"/>
          </w:tcPr>
          <w:p w14:paraId="7681F770" w14:textId="502AA573" w:rsidR="00FC325B" w:rsidRPr="00FC325B" w:rsidRDefault="00FC325B" w:rsidP="00FC325B">
            <w:pPr>
              <w:rPr>
                <w:rFonts w:cs="Arial"/>
              </w:rPr>
            </w:pPr>
            <w:r w:rsidRPr="00FC325B">
              <w:t>Хепатит</w:t>
            </w:r>
          </w:p>
        </w:tc>
      </w:tr>
      <w:tr w:rsidR="00FC325B" w14:paraId="336D4585" w14:textId="77777777" w:rsidTr="00FC325B">
        <w:tc>
          <w:tcPr>
            <w:tcW w:w="1596" w:type="dxa"/>
          </w:tcPr>
          <w:p w14:paraId="24EF036D" w14:textId="0F19FC21" w:rsidR="00FC325B" w:rsidRPr="00FC325B" w:rsidRDefault="00FC325B" w:rsidP="00FC325B">
            <w:pPr>
              <w:rPr>
                <w:rFonts w:cs="Arial"/>
              </w:rPr>
            </w:pPr>
            <w:r w:rsidRPr="00FC325B">
              <w:t>Нарушения на кожата и подкожната тъкан</w:t>
            </w:r>
          </w:p>
        </w:tc>
        <w:tc>
          <w:tcPr>
            <w:tcW w:w="1596" w:type="dxa"/>
          </w:tcPr>
          <w:p w14:paraId="0063434B" w14:textId="77777777" w:rsidR="00FC325B" w:rsidRPr="00FC325B" w:rsidRDefault="00FC325B" w:rsidP="00FC325B">
            <w:pPr>
              <w:rPr>
                <w:rFonts w:cs="Arial"/>
              </w:rPr>
            </w:pPr>
          </w:p>
        </w:tc>
        <w:tc>
          <w:tcPr>
            <w:tcW w:w="1596" w:type="dxa"/>
          </w:tcPr>
          <w:p w14:paraId="7B194DCA" w14:textId="77777777" w:rsidR="00FC325B" w:rsidRPr="00FC325B" w:rsidRDefault="00FC325B" w:rsidP="00FC325B">
            <w:pPr>
              <w:rPr>
                <w:rFonts w:cs="Arial"/>
              </w:rPr>
            </w:pPr>
          </w:p>
        </w:tc>
        <w:tc>
          <w:tcPr>
            <w:tcW w:w="1596" w:type="dxa"/>
          </w:tcPr>
          <w:p w14:paraId="14CA2B68" w14:textId="77777777" w:rsidR="00FC325B" w:rsidRPr="00FC325B" w:rsidRDefault="00FC325B" w:rsidP="00FC325B">
            <w:pPr>
              <w:rPr>
                <w:rFonts w:cs="Arial"/>
              </w:rPr>
            </w:pPr>
          </w:p>
        </w:tc>
        <w:tc>
          <w:tcPr>
            <w:tcW w:w="1596" w:type="dxa"/>
          </w:tcPr>
          <w:p w14:paraId="2AF001BC" w14:textId="77777777" w:rsidR="00FC325B" w:rsidRPr="00FC325B" w:rsidRDefault="00FC325B" w:rsidP="00FC325B">
            <w:pPr>
              <w:rPr>
                <w:rFonts w:cs="Arial"/>
              </w:rPr>
            </w:pPr>
          </w:p>
        </w:tc>
        <w:tc>
          <w:tcPr>
            <w:tcW w:w="1596" w:type="dxa"/>
          </w:tcPr>
          <w:p w14:paraId="547F51AD" w14:textId="72EA3F2C" w:rsidR="00FC325B" w:rsidRPr="00FC325B" w:rsidRDefault="00FC325B" w:rsidP="00FC325B">
            <w:pPr>
              <w:rPr>
                <w:rFonts w:cs="Arial"/>
              </w:rPr>
            </w:pPr>
            <w:r w:rsidRPr="00FC325B">
              <w:t>Остра генерализирана екзантемна пустулоза</w:t>
            </w:r>
          </w:p>
        </w:tc>
      </w:tr>
    </w:tbl>
    <w:p w14:paraId="440EF1EC" w14:textId="1F867C3D" w:rsidR="00FC325B" w:rsidRDefault="00FC325B" w:rsidP="00FC325B">
      <w:pPr>
        <w:rPr>
          <w:rFonts w:cs="Arial"/>
        </w:rPr>
      </w:pPr>
    </w:p>
    <w:p w14:paraId="00A12A92" w14:textId="77777777" w:rsidR="00FC325B" w:rsidRPr="00FC325B" w:rsidRDefault="00FC325B" w:rsidP="00FC325B">
      <w:pPr>
        <w:spacing w:line="240" w:lineRule="auto"/>
        <w:rPr>
          <w:rFonts w:eastAsia="Times New Roman" w:cs="Arial"/>
        </w:rPr>
      </w:pPr>
      <w:r w:rsidRPr="00FC325B">
        <w:rPr>
          <w:rFonts w:eastAsia="Times New Roman" w:cs="Arial"/>
          <w:i/>
          <w:iCs/>
          <w:color w:val="000000"/>
          <w:lang w:eastAsia="bg-BG"/>
        </w:rPr>
        <w:t xml:space="preserve">При описване на определена реакция и нейните синоними и свързани състояния е използван предпочитаният термин </w:t>
      </w:r>
      <w:r w:rsidRPr="00FC325B">
        <w:rPr>
          <w:rFonts w:eastAsia="Times New Roman" w:cs="Arial"/>
          <w:i/>
          <w:iCs/>
          <w:color w:val="000000"/>
          <w:lang w:val="en-US"/>
        </w:rPr>
        <w:t>no</w:t>
      </w:r>
      <w:r w:rsidRPr="00FC325B">
        <w:rPr>
          <w:rFonts w:eastAsia="Times New Roman" w:cs="Arial"/>
          <w:i/>
          <w:iCs/>
          <w:color w:val="000000"/>
          <w:lang w:val="ru-RU"/>
        </w:rPr>
        <w:t xml:space="preserve"> </w:t>
      </w:r>
      <w:proofErr w:type="spellStart"/>
      <w:r w:rsidRPr="00FC325B">
        <w:rPr>
          <w:rFonts w:eastAsia="Times New Roman" w:cs="Arial"/>
          <w:i/>
          <w:iCs/>
          <w:color w:val="000000"/>
          <w:lang w:val="en-US"/>
        </w:rPr>
        <w:t>MedDRA</w:t>
      </w:r>
      <w:proofErr w:type="spellEnd"/>
      <w:r w:rsidRPr="00FC325B">
        <w:rPr>
          <w:rFonts w:eastAsia="Times New Roman" w:cs="Arial"/>
          <w:i/>
          <w:iCs/>
          <w:color w:val="000000"/>
          <w:lang w:val="ru-RU"/>
        </w:rPr>
        <w:t xml:space="preserve">. </w:t>
      </w:r>
      <w:r w:rsidRPr="00FC325B">
        <w:rPr>
          <w:rFonts w:eastAsia="Times New Roman" w:cs="Arial"/>
          <w:i/>
          <w:iCs/>
          <w:color w:val="000000"/>
          <w:lang w:eastAsia="bg-BG"/>
        </w:rPr>
        <w:t xml:space="preserve">Представянето на НЛР се основава на </w:t>
      </w:r>
      <w:proofErr w:type="spellStart"/>
      <w:r w:rsidRPr="00FC325B">
        <w:rPr>
          <w:rFonts w:eastAsia="Times New Roman" w:cs="Arial"/>
          <w:i/>
          <w:iCs/>
          <w:color w:val="000000"/>
          <w:lang w:val="en-US"/>
        </w:rPr>
        <w:t>MedDRA</w:t>
      </w:r>
      <w:proofErr w:type="spellEnd"/>
      <w:r w:rsidRPr="00FC325B">
        <w:rPr>
          <w:rFonts w:eastAsia="Times New Roman" w:cs="Arial"/>
          <w:i/>
          <w:iCs/>
          <w:color w:val="000000"/>
          <w:lang w:val="en-US"/>
        </w:rPr>
        <w:t xml:space="preserve"> </w:t>
      </w:r>
      <w:r w:rsidRPr="00FC325B">
        <w:rPr>
          <w:rFonts w:eastAsia="Times New Roman" w:cs="Arial"/>
          <w:i/>
          <w:iCs/>
          <w:color w:val="000000"/>
          <w:lang w:eastAsia="bg-BG"/>
        </w:rPr>
        <w:t>версия 11.1.</w:t>
      </w:r>
    </w:p>
    <w:p w14:paraId="210E6067" w14:textId="77777777" w:rsidR="00FC325B" w:rsidRDefault="00FC325B" w:rsidP="00FC325B">
      <w:pPr>
        <w:rPr>
          <w:rFonts w:eastAsia="Times New Roman" w:cs="Arial"/>
          <w:color w:val="000000"/>
          <w:lang w:eastAsia="bg-BG"/>
        </w:rPr>
      </w:pPr>
    </w:p>
    <w:p w14:paraId="0558F061" w14:textId="3F950BD0" w:rsidR="00FC325B" w:rsidRDefault="00FC325B" w:rsidP="00FC325B">
      <w:pPr>
        <w:rPr>
          <w:rFonts w:eastAsia="Times New Roman" w:cs="Arial"/>
          <w:color w:val="000000"/>
          <w:lang w:eastAsia="bg-BG"/>
        </w:rPr>
      </w:pPr>
      <w:r w:rsidRPr="00FC325B">
        <w:rPr>
          <w:rFonts w:eastAsia="Times New Roman" w:cs="Arial"/>
          <w:color w:val="000000"/>
          <w:lang w:eastAsia="bg-BG"/>
        </w:rPr>
        <w:t>По време на постмаркетинговото наблюдение се съобщават случаи на чернодробно нарушение, абнормна чернодробна функция и чернодробно увреждане. Съобщават се също отделни случаи на фулминантен хепатит с фатален изход, особено в Япония.</w:t>
      </w:r>
    </w:p>
    <w:p w14:paraId="53F3047A" w14:textId="2CFF94F6" w:rsidR="00FC325B" w:rsidRDefault="00FC325B" w:rsidP="00FC325B">
      <w:pPr>
        <w:rPr>
          <w:rFonts w:eastAsia="Times New Roman" w:cs="Arial"/>
          <w:color w:val="000000"/>
          <w:lang w:eastAsia="bg-BG"/>
        </w:rPr>
      </w:pPr>
    </w:p>
    <w:p w14:paraId="60AF20C0"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Ако предписаната диета не се спазва, нежеланите реакции от страна на червата могат да се засилят. Ако се появят силно изразени симптоми, въпреки спазването на предписаната диета, трябва да се направи консултация с лекар и дозата временно или постоянно да се редуцира.</w:t>
      </w:r>
    </w:p>
    <w:p w14:paraId="7983092C" w14:textId="77777777" w:rsidR="00FC325B" w:rsidRDefault="00FC325B" w:rsidP="00FC325B">
      <w:pPr>
        <w:spacing w:line="240" w:lineRule="auto"/>
        <w:rPr>
          <w:rFonts w:eastAsia="Times New Roman" w:cs="Arial"/>
          <w:color w:val="000000"/>
          <w:lang w:eastAsia="bg-BG"/>
        </w:rPr>
      </w:pPr>
    </w:p>
    <w:p w14:paraId="39884CC7" w14:textId="0521B756"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При пациенти, получаващи препоръчаната дневна доза от 150 до 300 </w:t>
      </w:r>
      <w:r w:rsidRPr="00FC325B">
        <w:rPr>
          <w:rFonts w:eastAsia="Times New Roman" w:cs="Arial"/>
          <w:color w:val="000000"/>
          <w:lang w:val="en-US"/>
        </w:rPr>
        <w:t>mg</w:t>
      </w:r>
      <w:r w:rsidRPr="00FC325B">
        <w:rPr>
          <w:rFonts w:eastAsia="Times New Roman" w:cs="Arial"/>
          <w:color w:val="000000"/>
          <w:lang w:val="ru-RU"/>
        </w:rPr>
        <w:t xml:space="preserve"> </w:t>
      </w:r>
      <w:r w:rsidRPr="00FC325B">
        <w:rPr>
          <w:rFonts w:eastAsia="Times New Roman" w:cs="Arial"/>
          <w:color w:val="000000"/>
          <w:lang w:eastAsia="bg-BG"/>
        </w:rPr>
        <w:t>Глюкобай дневно, рядко са наблюдавани клинично значими абнормни чернодробни тестове (три пъти по-високи от нормалните стойности). Абнормните стойности могат да бъдат преходни при продължаваща терапия с Глюкобай (вж. точка 4.4).</w:t>
      </w:r>
    </w:p>
    <w:p w14:paraId="36BF26CF" w14:textId="77777777" w:rsidR="00FC325B" w:rsidRDefault="00FC325B" w:rsidP="00FC325B">
      <w:pPr>
        <w:spacing w:line="240" w:lineRule="auto"/>
        <w:rPr>
          <w:rFonts w:eastAsia="Times New Roman" w:cs="Arial"/>
          <w:color w:val="000000"/>
          <w:u w:val="single"/>
          <w:lang w:eastAsia="bg-BG"/>
        </w:rPr>
      </w:pPr>
    </w:p>
    <w:p w14:paraId="3CF63EC4" w14:textId="3303E043"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Съобщаване на подозирани нежелани реакции</w:t>
      </w:r>
    </w:p>
    <w:p w14:paraId="4DD2C230"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тел.:+359 2 8903417 уебсайт: </w:t>
      </w:r>
      <w:r w:rsidRPr="00FC325B">
        <w:rPr>
          <w:rFonts w:eastAsia="Times New Roman" w:cs="Arial"/>
        </w:rPr>
        <w:fldChar w:fldCharType="begin"/>
      </w:r>
      <w:r w:rsidRPr="00FC325B">
        <w:rPr>
          <w:rFonts w:eastAsia="Times New Roman" w:cs="Arial"/>
        </w:rPr>
        <w:instrText xml:space="preserve"> HYPERLINK "http://www.bda.bg" </w:instrText>
      </w:r>
      <w:r w:rsidRPr="00FC325B">
        <w:rPr>
          <w:rFonts w:eastAsia="Times New Roman" w:cs="Arial"/>
        </w:rPr>
      </w:r>
      <w:r w:rsidRPr="00FC325B">
        <w:rPr>
          <w:rFonts w:eastAsia="Times New Roman" w:cs="Arial"/>
        </w:rPr>
        <w:fldChar w:fldCharType="separate"/>
      </w:r>
      <w:r w:rsidRPr="00FC325B">
        <w:rPr>
          <w:rFonts w:eastAsia="Times New Roman" w:cs="Arial"/>
          <w:color w:val="000000"/>
          <w:lang w:val="en-US"/>
        </w:rPr>
        <w:t>www.bda.bg</w:t>
      </w:r>
      <w:r w:rsidRPr="00FC325B">
        <w:rPr>
          <w:rFonts w:eastAsia="Times New Roman" w:cs="Arial"/>
        </w:rPr>
        <w:fldChar w:fldCharType="end"/>
      </w:r>
    </w:p>
    <w:p w14:paraId="640276A2" w14:textId="77777777" w:rsidR="00FC325B" w:rsidRPr="00FC325B" w:rsidRDefault="00FC325B" w:rsidP="00FC325B">
      <w:pPr>
        <w:rPr>
          <w:rFonts w:cs="Arial"/>
        </w:rPr>
      </w:pPr>
    </w:p>
    <w:p w14:paraId="0A023CE0" w14:textId="5E409D14" w:rsidR="00CF77F7" w:rsidRDefault="002C50EE" w:rsidP="004A448E">
      <w:pPr>
        <w:pStyle w:val="Heading2"/>
      </w:pPr>
      <w:r>
        <w:t>4.9. Предозиране</w:t>
      </w:r>
    </w:p>
    <w:p w14:paraId="6FD6E5D9" w14:textId="223CB104" w:rsidR="00FC325B" w:rsidRDefault="00FC325B" w:rsidP="00FC325B"/>
    <w:p w14:paraId="0F9C32D6"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Когато Глюкобай се приема с течности и/или храна, съдържащи въглехидрати (полизахариди, олигозахариди или дизахариди), предозирането може да доведе до метеоризъм и диария. В случай на предозиране на Глюкобай извън времето за хранене, обаче, не трябва да се очаква засилване на симптомите от страна на червата.</w:t>
      </w:r>
    </w:p>
    <w:p w14:paraId="10F01292" w14:textId="77777777" w:rsidR="00FC325B" w:rsidRPr="00FC325B" w:rsidRDefault="00FC325B" w:rsidP="00FC325B">
      <w:pPr>
        <w:spacing w:line="240" w:lineRule="auto"/>
        <w:rPr>
          <w:rFonts w:eastAsia="Times New Roman" w:cs="Arial"/>
          <w:color w:val="000000"/>
          <w:lang w:eastAsia="bg-BG"/>
        </w:rPr>
      </w:pPr>
    </w:p>
    <w:p w14:paraId="0D5FB19C" w14:textId="7A05798D" w:rsidR="00FC325B" w:rsidRPr="00FC325B" w:rsidRDefault="00FC325B" w:rsidP="00FC325B">
      <w:pPr>
        <w:spacing w:line="240" w:lineRule="auto"/>
        <w:rPr>
          <w:rFonts w:eastAsia="Times New Roman" w:cs="Arial"/>
        </w:rPr>
      </w:pPr>
      <w:r w:rsidRPr="00FC325B">
        <w:rPr>
          <w:rFonts w:eastAsia="Times New Roman" w:cs="Arial"/>
          <w:color w:val="000000"/>
          <w:lang w:eastAsia="bg-BG"/>
        </w:rPr>
        <w:t>При предозиране трябва да се избягва приема на течности или храни, съдържащи въглехидрати, през следващите 4-6 часа.</w:t>
      </w:r>
    </w:p>
    <w:p w14:paraId="02081B24" w14:textId="1F46E296" w:rsidR="00395555" w:rsidRPr="00395555" w:rsidRDefault="002C50EE" w:rsidP="008A6AF2">
      <w:pPr>
        <w:pStyle w:val="Heading1"/>
      </w:pPr>
      <w:r>
        <w:t>5. ФАРМАКОЛОГИЧНИ СВОЙСТВА</w:t>
      </w:r>
    </w:p>
    <w:p w14:paraId="32B6DE66" w14:textId="3F14FD19" w:rsidR="00CF77F7" w:rsidRDefault="002C50EE" w:rsidP="004A448E">
      <w:pPr>
        <w:pStyle w:val="Heading2"/>
      </w:pPr>
      <w:r>
        <w:t>5.1. Фармакодинамични свойства</w:t>
      </w:r>
    </w:p>
    <w:p w14:paraId="233E910F" w14:textId="324FB249" w:rsidR="00FC325B" w:rsidRDefault="00FC325B" w:rsidP="00FC325B"/>
    <w:p w14:paraId="0A06D109"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Фармакотерапевтична група: инхибитори на алфа-глюкозидазата, АТС код: А10В </w:t>
      </w:r>
      <w:r w:rsidRPr="00FC325B">
        <w:rPr>
          <w:rFonts w:eastAsia="Times New Roman" w:cs="Arial"/>
          <w:color w:val="000000"/>
          <w:lang w:val="en-US"/>
        </w:rPr>
        <w:t>F</w:t>
      </w:r>
      <w:r w:rsidRPr="00FC325B">
        <w:rPr>
          <w:rFonts w:eastAsia="Times New Roman" w:cs="Arial"/>
          <w:color w:val="000000"/>
          <w:lang w:val="ru-RU"/>
        </w:rPr>
        <w:t>01</w:t>
      </w:r>
    </w:p>
    <w:p w14:paraId="7E135475" w14:textId="77777777" w:rsidR="00FC325B" w:rsidRDefault="00FC325B" w:rsidP="00FC325B">
      <w:pPr>
        <w:spacing w:line="240" w:lineRule="auto"/>
        <w:rPr>
          <w:rFonts w:eastAsia="Times New Roman" w:cs="Arial"/>
          <w:color w:val="000000"/>
          <w:lang w:eastAsia="bg-BG"/>
        </w:rPr>
      </w:pPr>
    </w:p>
    <w:p w14:paraId="428E02D0" w14:textId="0C5D9B16"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Активното вещество на Глюкобай е акарбоза, псевдотетразахарид от микробиален произход. Глюкобай може да се използва за лечение на инсулинозависим диабет </w:t>
      </w:r>
      <w:r w:rsidRPr="00FC325B">
        <w:rPr>
          <w:rFonts w:eastAsia="Times New Roman" w:cs="Arial"/>
          <w:color w:val="000000"/>
          <w:lang w:val="ru-RU"/>
        </w:rPr>
        <w:t>(</w:t>
      </w:r>
      <w:r w:rsidRPr="00FC325B">
        <w:rPr>
          <w:rFonts w:eastAsia="Times New Roman" w:cs="Arial"/>
          <w:color w:val="000000"/>
          <w:lang w:val="en-US"/>
        </w:rPr>
        <w:t>IDDM</w:t>
      </w:r>
      <w:r w:rsidRPr="00FC325B">
        <w:rPr>
          <w:rFonts w:eastAsia="Times New Roman" w:cs="Arial"/>
          <w:color w:val="000000"/>
          <w:lang w:val="ru-RU"/>
        </w:rPr>
        <w:t xml:space="preserve">) </w:t>
      </w:r>
      <w:r w:rsidRPr="00FC325B">
        <w:rPr>
          <w:rFonts w:eastAsia="Times New Roman" w:cs="Arial"/>
          <w:color w:val="000000"/>
          <w:lang w:eastAsia="bg-BG"/>
        </w:rPr>
        <w:t xml:space="preserve">и неинсулинозависим диабет </w:t>
      </w:r>
      <w:r w:rsidRPr="00FC325B">
        <w:rPr>
          <w:rFonts w:eastAsia="Times New Roman" w:cs="Arial"/>
          <w:color w:val="000000"/>
          <w:lang w:val="ru-RU"/>
        </w:rPr>
        <w:t>(</w:t>
      </w:r>
      <w:r w:rsidRPr="00FC325B">
        <w:rPr>
          <w:rFonts w:eastAsia="Times New Roman" w:cs="Arial"/>
          <w:color w:val="000000"/>
          <w:lang w:val="en-US"/>
        </w:rPr>
        <w:t>NIDDM</w:t>
      </w:r>
      <w:r w:rsidRPr="00FC325B">
        <w:rPr>
          <w:rFonts w:eastAsia="Times New Roman" w:cs="Arial"/>
          <w:color w:val="000000"/>
          <w:lang w:val="ru-RU"/>
        </w:rPr>
        <w:t>),</w:t>
      </w:r>
    </w:p>
    <w:p w14:paraId="6D74D87E" w14:textId="77777777" w:rsidR="00FC325B" w:rsidRDefault="00FC325B" w:rsidP="00FC325B">
      <w:pPr>
        <w:spacing w:line="240" w:lineRule="auto"/>
        <w:rPr>
          <w:rFonts w:eastAsia="Times New Roman" w:cs="Arial"/>
          <w:color w:val="000000"/>
          <w:lang w:eastAsia="bg-BG"/>
        </w:rPr>
      </w:pPr>
    </w:p>
    <w:p w14:paraId="5D0EB669" w14:textId="469C18EB" w:rsidR="00FC325B" w:rsidRPr="00FC325B" w:rsidRDefault="00FC325B" w:rsidP="00FC325B">
      <w:pPr>
        <w:spacing w:line="240" w:lineRule="auto"/>
        <w:rPr>
          <w:rFonts w:eastAsia="Times New Roman" w:cs="Arial"/>
        </w:rPr>
      </w:pPr>
      <w:r w:rsidRPr="00FC325B">
        <w:rPr>
          <w:rFonts w:eastAsia="Times New Roman" w:cs="Arial"/>
          <w:color w:val="000000"/>
          <w:lang w:eastAsia="bg-BG"/>
        </w:rPr>
        <w:t>Във всички изследвани животински видове акарбоза упражнява своето действие в чревния тракт. Действието на акарбоза се основава на инхибирането на чревни ензими (а-глюкозидази), участващи в разграждането на дизахаридите, олигозахаридите и полизахаридите.</w:t>
      </w:r>
    </w:p>
    <w:p w14:paraId="0C79C81F" w14:textId="77777777" w:rsidR="00FC325B" w:rsidRDefault="00FC325B" w:rsidP="00FC325B">
      <w:pPr>
        <w:spacing w:line="240" w:lineRule="auto"/>
        <w:rPr>
          <w:rFonts w:eastAsia="Times New Roman" w:cs="Arial"/>
          <w:color w:val="000000"/>
          <w:lang w:eastAsia="bg-BG"/>
        </w:rPr>
      </w:pPr>
    </w:p>
    <w:p w14:paraId="1878B39D" w14:textId="36A253E8" w:rsidR="00FC325B" w:rsidRPr="00FC325B" w:rsidRDefault="00FC325B" w:rsidP="00FC325B">
      <w:pPr>
        <w:spacing w:line="240" w:lineRule="auto"/>
        <w:rPr>
          <w:rFonts w:eastAsia="Times New Roman" w:cs="Arial"/>
        </w:rPr>
      </w:pPr>
      <w:r w:rsidRPr="00FC325B">
        <w:rPr>
          <w:rFonts w:eastAsia="Times New Roman" w:cs="Arial"/>
          <w:color w:val="000000"/>
          <w:lang w:eastAsia="bg-BG"/>
        </w:rPr>
        <w:t>Това води до зависимо от дозата забавяне на разграждането на тези въглехидрати. Най-важното е, че глюкозата, получена от въглехидратите, се освобождава и преминава в кръвта по-бавно. По този начин акарбоза забавя и намалява постпрандиалното повишаване на кръвната захар. В резултат на балансиращия ефект на приема на глюкоза от червата, дневните промени в кръвно захарните нива се намаляват и средните стойности на кръвната захар се понижават.</w:t>
      </w:r>
    </w:p>
    <w:p w14:paraId="7019C0D6" w14:textId="77777777" w:rsidR="00FC325B" w:rsidRDefault="00FC325B" w:rsidP="00FC325B">
      <w:pPr>
        <w:rPr>
          <w:rFonts w:eastAsia="Times New Roman" w:cs="Arial"/>
          <w:color w:val="000000"/>
          <w:lang w:eastAsia="bg-BG"/>
        </w:rPr>
      </w:pPr>
    </w:p>
    <w:p w14:paraId="36775916" w14:textId="00E6AAF7" w:rsidR="00FC325B" w:rsidRDefault="00FC325B" w:rsidP="00FC325B">
      <w:pPr>
        <w:rPr>
          <w:rFonts w:eastAsia="Times New Roman" w:cs="Arial"/>
          <w:color w:val="000000"/>
          <w:lang w:eastAsia="bg-BG"/>
        </w:rPr>
      </w:pPr>
      <w:r w:rsidRPr="00FC325B">
        <w:rPr>
          <w:rFonts w:eastAsia="Times New Roman" w:cs="Arial"/>
          <w:color w:val="000000"/>
          <w:lang w:eastAsia="bg-BG"/>
        </w:rPr>
        <w:t>Акарбоза понижава патологично повишените концентрации на гликирания хемоглобин.</w:t>
      </w:r>
    </w:p>
    <w:p w14:paraId="2C397E9A" w14:textId="77777777" w:rsidR="00FC325B" w:rsidRPr="00FC325B" w:rsidRDefault="00FC325B" w:rsidP="00FC325B">
      <w:pPr>
        <w:rPr>
          <w:rFonts w:cs="Arial"/>
        </w:rPr>
      </w:pPr>
    </w:p>
    <w:p w14:paraId="35F84B81" w14:textId="2707D551" w:rsidR="00CF77F7" w:rsidRDefault="002C50EE" w:rsidP="004A448E">
      <w:pPr>
        <w:pStyle w:val="Heading2"/>
      </w:pPr>
      <w:r>
        <w:t>5.2. Фармакокинетични свойства</w:t>
      </w:r>
    </w:p>
    <w:p w14:paraId="728F5CC3" w14:textId="34BAAE9E" w:rsidR="00FC325B" w:rsidRDefault="00FC325B" w:rsidP="00FC325B"/>
    <w:p w14:paraId="229C492F"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Фармакокинетиката на акарбоза е изследвана при здрави доброволци след перорално приложение на белязана субстанция (200 </w:t>
      </w:r>
      <w:r w:rsidRPr="00FC325B">
        <w:rPr>
          <w:rFonts w:eastAsia="Times New Roman" w:cs="Arial"/>
          <w:color w:val="000000"/>
          <w:lang w:val="en-US"/>
        </w:rPr>
        <w:t>mg</w:t>
      </w:r>
      <w:r w:rsidRPr="00FC325B">
        <w:rPr>
          <w:rFonts w:eastAsia="Times New Roman" w:cs="Arial"/>
          <w:color w:val="000000"/>
          <w:lang w:val="ru-RU"/>
        </w:rPr>
        <w:t>).</w:t>
      </w:r>
    </w:p>
    <w:p w14:paraId="062C149D" w14:textId="77777777" w:rsidR="00FC325B" w:rsidRDefault="00FC325B" w:rsidP="00FC325B">
      <w:pPr>
        <w:spacing w:line="240" w:lineRule="auto"/>
        <w:rPr>
          <w:rFonts w:eastAsia="Times New Roman" w:cs="Arial"/>
          <w:color w:val="000000"/>
          <w:u w:val="single"/>
          <w:lang w:eastAsia="bg-BG"/>
        </w:rPr>
      </w:pPr>
    </w:p>
    <w:p w14:paraId="60B04EB6" w14:textId="400B2235" w:rsidR="00FC325B" w:rsidRPr="00FC325B" w:rsidRDefault="00FC325B" w:rsidP="00FC325B">
      <w:pPr>
        <w:pStyle w:val="Heading3"/>
        <w:rPr>
          <w:rFonts w:eastAsia="Times New Roman"/>
          <w:u w:val="single"/>
        </w:rPr>
      </w:pPr>
      <w:r w:rsidRPr="00FC325B">
        <w:rPr>
          <w:rFonts w:eastAsia="Times New Roman"/>
          <w:u w:val="single"/>
          <w:lang w:eastAsia="bg-BG"/>
        </w:rPr>
        <w:lastRenderedPageBreak/>
        <w:t>Абсорбция</w:t>
      </w:r>
    </w:p>
    <w:p w14:paraId="66C8969F"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Тъй като средно 35% от общата радиоактивност (сума от инхибиторна субстанция и всички разпадни продукти) се екскретира чрез бъбреците до 96 часа, може да се допусне, че степента на абсорбция е най-малко в тази граница.</w:t>
      </w:r>
    </w:p>
    <w:p w14:paraId="264564C6" w14:textId="77777777" w:rsidR="00FC325B" w:rsidRDefault="00FC325B" w:rsidP="00FC325B">
      <w:pPr>
        <w:spacing w:line="240" w:lineRule="auto"/>
        <w:rPr>
          <w:rFonts w:eastAsia="Times New Roman" w:cs="Arial"/>
          <w:color w:val="000000"/>
          <w:lang w:eastAsia="bg-BG"/>
        </w:rPr>
      </w:pPr>
    </w:p>
    <w:p w14:paraId="3847514A" w14:textId="641F77D7" w:rsidR="00FC325B" w:rsidRPr="00FC325B" w:rsidRDefault="00FC325B" w:rsidP="00FC325B">
      <w:pPr>
        <w:spacing w:line="240" w:lineRule="auto"/>
        <w:rPr>
          <w:rFonts w:eastAsia="Times New Roman" w:cs="Arial"/>
        </w:rPr>
      </w:pPr>
      <w:r w:rsidRPr="00FC325B">
        <w:rPr>
          <w:rFonts w:eastAsia="Times New Roman" w:cs="Arial"/>
          <w:color w:val="000000"/>
          <w:lang w:eastAsia="bg-BG"/>
        </w:rPr>
        <w:t>Концентрацията на общата радиоактивност в плазмата преминава през два пика. Първият пик със средна акарбоза-еквивалентна концентрация от 52,2 ± 15,7 μ</w:t>
      </w:r>
      <w:r w:rsidRPr="00FC325B">
        <w:rPr>
          <w:rFonts w:eastAsia="Times New Roman" w:cs="Arial"/>
          <w:color w:val="000000"/>
          <w:lang w:val="en-US"/>
        </w:rPr>
        <w:t>g</w:t>
      </w:r>
      <w:r w:rsidRPr="00FC325B">
        <w:rPr>
          <w:rFonts w:eastAsia="Times New Roman" w:cs="Arial"/>
          <w:color w:val="000000"/>
          <w:lang w:val="ru-RU"/>
        </w:rPr>
        <w:t>/</w:t>
      </w:r>
      <w:r w:rsidRPr="00FC325B">
        <w:rPr>
          <w:rFonts w:eastAsia="Times New Roman" w:cs="Arial"/>
          <w:color w:val="000000"/>
          <w:lang w:val="en-US"/>
        </w:rPr>
        <w:t>l</w:t>
      </w:r>
      <w:r w:rsidRPr="00FC325B">
        <w:rPr>
          <w:rFonts w:eastAsia="Times New Roman" w:cs="Arial"/>
          <w:color w:val="000000"/>
          <w:lang w:val="ru-RU"/>
        </w:rPr>
        <w:t xml:space="preserve"> </w:t>
      </w:r>
      <w:r w:rsidRPr="00FC325B">
        <w:rPr>
          <w:rFonts w:eastAsia="Times New Roman" w:cs="Arial"/>
          <w:color w:val="000000"/>
          <w:lang w:eastAsia="bg-BG"/>
        </w:rPr>
        <w:t xml:space="preserve">след 1,1 ± 0,3 </w:t>
      </w:r>
      <w:r w:rsidRPr="00FC325B">
        <w:rPr>
          <w:rFonts w:eastAsia="Times New Roman" w:cs="Arial"/>
          <w:color w:val="000000"/>
          <w:lang w:val="en-US"/>
        </w:rPr>
        <w:t>h</w:t>
      </w:r>
      <w:r w:rsidRPr="00FC325B">
        <w:rPr>
          <w:rFonts w:eastAsia="Times New Roman" w:cs="Arial"/>
          <w:color w:val="000000"/>
          <w:lang w:val="ru-RU"/>
        </w:rPr>
        <w:t xml:space="preserve"> </w:t>
      </w:r>
      <w:r w:rsidRPr="00FC325B">
        <w:rPr>
          <w:rFonts w:eastAsia="Times New Roman" w:cs="Arial"/>
          <w:color w:val="000000"/>
          <w:lang w:eastAsia="bg-BG"/>
        </w:rPr>
        <w:t>е в съответствие с данните за концентрацията на инхибиторната субстанция (49,5 ± 26,9 μ</w:t>
      </w:r>
      <w:r w:rsidRPr="00FC325B">
        <w:rPr>
          <w:rFonts w:eastAsia="Times New Roman" w:cs="Arial"/>
          <w:color w:val="000000"/>
          <w:lang w:val="en-US"/>
        </w:rPr>
        <w:t>g</w:t>
      </w:r>
      <w:r w:rsidRPr="00FC325B">
        <w:rPr>
          <w:rFonts w:eastAsia="Times New Roman" w:cs="Arial"/>
          <w:color w:val="000000"/>
          <w:lang w:val="ru-RU"/>
        </w:rPr>
        <w:t>/</w:t>
      </w:r>
      <w:r w:rsidRPr="00FC325B">
        <w:rPr>
          <w:rFonts w:eastAsia="Times New Roman" w:cs="Arial"/>
          <w:color w:val="000000"/>
          <w:lang w:val="en-US"/>
        </w:rPr>
        <w:t>l</w:t>
      </w:r>
      <w:r w:rsidRPr="00FC325B">
        <w:rPr>
          <w:rFonts w:eastAsia="Times New Roman" w:cs="Arial"/>
          <w:color w:val="000000"/>
          <w:lang w:val="ru-RU"/>
        </w:rPr>
        <w:t xml:space="preserve"> </w:t>
      </w:r>
      <w:r w:rsidRPr="00FC325B">
        <w:rPr>
          <w:rFonts w:eastAsia="Times New Roman" w:cs="Arial"/>
          <w:color w:val="000000"/>
          <w:lang w:eastAsia="bg-BG"/>
        </w:rPr>
        <w:t xml:space="preserve">след 2,1 ± 1,6 </w:t>
      </w:r>
      <w:r w:rsidRPr="00FC325B">
        <w:rPr>
          <w:rFonts w:eastAsia="Times New Roman" w:cs="Arial"/>
          <w:color w:val="000000"/>
          <w:lang w:val="en-US"/>
        </w:rPr>
        <w:t>h</w:t>
      </w:r>
      <w:r w:rsidRPr="00FC325B">
        <w:rPr>
          <w:rFonts w:eastAsia="Times New Roman" w:cs="Arial"/>
          <w:color w:val="000000"/>
          <w:lang w:val="ru-RU"/>
        </w:rPr>
        <w:t xml:space="preserve">). </w:t>
      </w:r>
      <w:r w:rsidRPr="00FC325B">
        <w:rPr>
          <w:rFonts w:eastAsia="Times New Roman" w:cs="Arial"/>
          <w:color w:val="000000"/>
          <w:lang w:eastAsia="bg-BG"/>
        </w:rPr>
        <w:t>Вторият пик е средно 586,3 ± 282,7 μ</w:t>
      </w:r>
      <w:r w:rsidRPr="00FC325B">
        <w:rPr>
          <w:rFonts w:eastAsia="Times New Roman" w:cs="Arial"/>
          <w:color w:val="000000"/>
          <w:lang w:val="en-US"/>
        </w:rPr>
        <w:t>g</w:t>
      </w:r>
      <w:r w:rsidRPr="00FC325B">
        <w:rPr>
          <w:rFonts w:eastAsia="Times New Roman" w:cs="Arial"/>
          <w:color w:val="000000"/>
          <w:lang w:val="ru-RU"/>
        </w:rPr>
        <w:t>/</w:t>
      </w:r>
      <w:r w:rsidRPr="00FC325B">
        <w:rPr>
          <w:rFonts w:eastAsia="Times New Roman" w:cs="Arial"/>
          <w:color w:val="000000"/>
          <w:lang w:val="en-US"/>
        </w:rPr>
        <w:t>l</w:t>
      </w:r>
      <w:r w:rsidRPr="00FC325B">
        <w:rPr>
          <w:rFonts w:eastAsia="Times New Roman" w:cs="Arial"/>
          <w:color w:val="000000"/>
          <w:lang w:val="ru-RU"/>
        </w:rPr>
        <w:t xml:space="preserve"> </w:t>
      </w:r>
      <w:r w:rsidRPr="00FC325B">
        <w:rPr>
          <w:rFonts w:eastAsia="Times New Roman" w:cs="Arial"/>
          <w:color w:val="000000"/>
          <w:lang w:eastAsia="bg-BG"/>
        </w:rPr>
        <w:t xml:space="preserve">и се постига след 20,7 ± 5,2 </w:t>
      </w:r>
      <w:r w:rsidRPr="00FC325B">
        <w:rPr>
          <w:rFonts w:eastAsia="Times New Roman" w:cs="Arial"/>
          <w:color w:val="000000"/>
          <w:lang w:val="en-US"/>
        </w:rPr>
        <w:t>h</w:t>
      </w:r>
      <w:r w:rsidRPr="00FC325B">
        <w:rPr>
          <w:rFonts w:eastAsia="Times New Roman" w:cs="Arial"/>
          <w:color w:val="000000"/>
          <w:lang w:val="ru-RU"/>
        </w:rPr>
        <w:t xml:space="preserve">. </w:t>
      </w:r>
      <w:r w:rsidRPr="00FC325B">
        <w:rPr>
          <w:rFonts w:eastAsia="Times New Roman" w:cs="Arial"/>
          <w:color w:val="000000"/>
          <w:lang w:eastAsia="bg-BG"/>
        </w:rPr>
        <w:t>За разлика от общата радиоактивност, максималните плазмени концентрации на инхибиторната субстанция са по-ниски с коефициент 10-20 пъти. Приема се, че вторият пик след около 14-24 часа се дължи на абсорбцията на бактериалните разпадни продукти от по-дълбоките части на червото.</w:t>
      </w:r>
    </w:p>
    <w:p w14:paraId="2A122A1D" w14:textId="77777777" w:rsidR="00FC325B" w:rsidRDefault="00FC325B" w:rsidP="00FC325B">
      <w:pPr>
        <w:spacing w:line="240" w:lineRule="auto"/>
        <w:rPr>
          <w:rFonts w:eastAsia="Times New Roman" w:cs="Arial"/>
          <w:color w:val="000000"/>
          <w:lang w:eastAsia="bg-BG"/>
        </w:rPr>
      </w:pPr>
    </w:p>
    <w:p w14:paraId="23066391" w14:textId="4F37C876" w:rsidR="00FC325B" w:rsidRPr="00FC325B" w:rsidRDefault="00FC325B" w:rsidP="00FC325B">
      <w:pPr>
        <w:spacing w:line="240" w:lineRule="auto"/>
        <w:rPr>
          <w:rFonts w:eastAsia="Times New Roman" w:cs="Arial"/>
        </w:rPr>
      </w:pPr>
      <w:r w:rsidRPr="00FC325B">
        <w:rPr>
          <w:rFonts w:eastAsia="Times New Roman" w:cs="Arial"/>
          <w:color w:val="000000"/>
          <w:lang w:eastAsia="bg-BG"/>
        </w:rPr>
        <w:t>Бионаличността е само 1 - 2%. Този изключително нисък системно наличен процент от инхибиторната субстанция е желан, тъй като акарбоза действа локално в червата. Поради това бионаличността няма значение за терапевтичния ефект.</w:t>
      </w:r>
    </w:p>
    <w:p w14:paraId="43E9059C" w14:textId="77777777" w:rsidR="00FC325B" w:rsidRDefault="00FC325B" w:rsidP="00FC325B">
      <w:pPr>
        <w:spacing w:line="240" w:lineRule="auto"/>
        <w:rPr>
          <w:rFonts w:eastAsia="Times New Roman" w:cs="Arial"/>
          <w:color w:val="000000"/>
          <w:u w:val="single"/>
          <w:lang w:eastAsia="bg-BG"/>
        </w:rPr>
      </w:pPr>
    </w:p>
    <w:p w14:paraId="472689CB" w14:textId="15E66CCF" w:rsidR="00FC325B" w:rsidRPr="00FC325B" w:rsidRDefault="00FC325B" w:rsidP="00FC325B">
      <w:pPr>
        <w:pStyle w:val="Heading3"/>
        <w:rPr>
          <w:rFonts w:eastAsia="Times New Roman"/>
          <w:u w:val="single"/>
        </w:rPr>
      </w:pPr>
      <w:r w:rsidRPr="00FC325B">
        <w:rPr>
          <w:rFonts w:eastAsia="Times New Roman"/>
          <w:u w:val="single"/>
          <w:lang w:eastAsia="bg-BG"/>
        </w:rPr>
        <w:t>Разпределение</w:t>
      </w:r>
    </w:p>
    <w:p w14:paraId="2C80FB9A"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Относителният обем на разпределение от 0,32 </w:t>
      </w:r>
      <w:r w:rsidRPr="00FC325B">
        <w:rPr>
          <w:rFonts w:eastAsia="Times New Roman" w:cs="Arial"/>
          <w:color w:val="000000"/>
          <w:lang w:val="ru-RU"/>
        </w:rPr>
        <w:t>1/</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eastAsia="bg-BG"/>
        </w:rPr>
        <w:t xml:space="preserve">телесно тегло е изчислен при здрави доброволци от концентрацията в плазмата (интравенозно дозиране 0,4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eastAsia="bg-BG"/>
        </w:rPr>
        <w:t>т.т.).</w:t>
      </w:r>
    </w:p>
    <w:p w14:paraId="6C9CDCFE" w14:textId="77777777" w:rsidR="00FC325B" w:rsidRDefault="00FC325B" w:rsidP="00FC325B">
      <w:pPr>
        <w:spacing w:line="240" w:lineRule="auto"/>
        <w:rPr>
          <w:rFonts w:eastAsia="Times New Roman" w:cs="Arial"/>
          <w:color w:val="000000"/>
          <w:u w:val="single"/>
          <w:lang w:eastAsia="bg-BG"/>
        </w:rPr>
      </w:pPr>
    </w:p>
    <w:p w14:paraId="6B410807" w14:textId="5D89054A" w:rsidR="00FC325B" w:rsidRPr="00FC325B" w:rsidRDefault="00FC325B" w:rsidP="00FC325B">
      <w:pPr>
        <w:pStyle w:val="Heading3"/>
        <w:rPr>
          <w:rFonts w:eastAsia="Times New Roman"/>
          <w:u w:val="single"/>
        </w:rPr>
      </w:pPr>
      <w:r w:rsidRPr="00FC325B">
        <w:rPr>
          <w:rFonts w:eastAsia="Times New Roman"/>
          <w:u w:val="single"/>
          <w:lang w:eastAsia="bg-BG"/>
        </w:rPr>
        <w:t>Биотрансформация и елиминиране</w:t>
      </w:r>
    </w:p>
    <w:p w14:paraId="38DDE084"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Плазменият елиминационен полуживот на инхибиторната субстанция е съответно 3,7 ± 2,7 </w:t>
      </w:r>
      <w:r w:rsidRPr="00FC325B">
        <w:rPr>
          <w:rFonts w:eastAsia="Times New Roman" w:cs="Arial"/>
          <w:color w:val="000000"/>
          <w:lang w:val="en-US"/>
        </w:rPr>
        <w:t>h</w:t>
      </w:r>
      <w:r w:rsidRPr="00FC325B">
        <w:rPr>
          <w:rFonts w:eastAsia="Times New Roman" w:cs="Arial"/>
          <w:color w:val="000000"/>
          <w:lang w:val="ru-RU"/>
        </w:rPr>
        <w:t xml:space="preserve"> </w:t>
      </w:r>
      <w:r w:rsidRPr="00FC325B">
        <w:rPr>
          <w:rFonts w:eastAsia="Times New Roman" w:cs="Arial"/>
          <w:color w:val="000000"/>
          <w:lang w:eastAsia="bg-BG"/>
        </w:rPr>
        <w:t xml:space="preserve">за фазата на разпределение и 9,6 ± 4,4 </w:t>
      </w:r>
      <w:r w:rsidRPr="00FC325B">
        <w:rPr>
          <w:rFonts w:eastAsia="Times New Roman" w:cs="Arial"/>
          <w:color w:val="000000"/>
          <w:lang w:val="en-US"/>
        </w:rPr>
        <w:t>h</w:t>
      </w:r>
      <w:r w:rsidRPr="00FC325B">
        <w:rPr>
          <w:rFonts w:eastAsia="Times New Roman" w:cs="Arial"/>
          <w:color w:val="000000"/>
          <w:lang w:val="ru-RU"/>
        </w:rPr>
        <w:t xml:space="preserve"> </w:t>
      </w:r>
      <w:r w:rsidRPr="00FC325B">
        <w:rPr>
          <w:rFonts w:eastAsia="Times New Roman" w:cs="Arial"/>
          <w:color w:val="000000"/>
          <w:lang w:eastAsia="bg-BG"/>
        </w:rPr>
        <w:t>за фазата на елиминиране.</w:t>
      </w:r>
    </w:p>
    <w:p w14:paraId="4A13CC7B" w14:textId="77777777" w:rsidR="00FC325B" w:rsidRDefault="00FC325B" w:rsidP="00FC325B">
      <w:pPr>
        <w:spacing w:line="240" w:lineRule="auto"/>
        <w:rPr>
          <w:rFonts w:eastAsia="Times New Roman" w:cs="Arial"/>
          <w:color w:val="000000"/>
          <w:lang w:eastAsia="bg-BG"/>
        </w:rPr>
      </w:pPr>
    </w:p>
    <w:p w14:paraId="32FAF80D" w14:textId="58D6F8CE" w:rsidR="00FC325B" w:rsidRPr="00FC325B" w:rsidRDefault="00FC325B" w:rsidP="00FC325B">
      <w:pPr>
        <w:spacing w:line="240" w:lineRule="auto"/>
        <w:rPr>
          <w:rFonts w:eastAsia="Times New Roman" w:cs="Arial"/>
        </w:rPr>
      </w:pPr>
      <w:r w:rsidRPr="00FC325B">
        <w:rPr>
          <w:rFonts w:eastAsia="Times New Roman" w:cs="Arial"/>
          <w:color w:val="000000"/>
          <w:lang w:eastAsia="bg-BG"/>
        </w:rPr>
        <w:t>Частта от инхибиторната субстанция, екскретирана в урината, е 1,7% от приложената доза. 51% от активността се елиминира до 96</w:t>
      </w:r>
      <w:r w:rsidRPr="00FC325B">
        <w:rPr>
          <w:rFonts w:eastAsia="Times New Roman" w:cs="Arial"/>
          <w:color w:val="000000"/>
          <w:lang w:val="en-US"/>
        </w:rPr>
        <w:t>h</w:t>
      </w:r>
      <w:r w:rsidRPr="00FC325B">
        <w:rPr>
          <w:rFonts w:eastAsia="Times New Roman" w:cs="Arial"/>
          <w:color w:val="000000"/>
          <w:lang w:val="ru-RU"/>
        </w:rPr>
        <w:t xml:space="preserve"> </w:t>
      </w:r>
      <w:r w:rsidRPr="00FC325B">
        <w:rPr>
          <w:rFonts w:eastAsia="Times New Roman" w:cs="Arial"/>
          <w:color w:val="000000"/>
          <w:lang w:eastAsia="bg-BG"/>
        </w:rPr>
        <w:t>чрез фекалиите.</w:t>
      </w:r>
    </w:p>
    <w:p w14:paraId="78C9AC1D" w14:textId="77777777" w:rsidR="00FC325B" w:rsidRPr="00FC325B" w:rsidRDefault="00FC325B" w:rsidP="00FC325B"/>
    <w:p w14:paraId="648E39DA" w14:textId="749855C2" w:rsidR="00CF77F7" w:rsidRDefault="002C50EE" w:rsidP="004A448E">
      <w:pPr>
        <w:pStyle w:val="Heading2"/>
      </w:pPr>
      <w:r>
        <w:t>5.3. Предклинични данни за безопасност</w:t>
      </w:r>
    </w:p>
    <w:p w14:paraId="131EF3D5" w14:textId="257CEBB3" w:rsidR="00FC325B" w:rsidRDefault="00FC325B" w:rsidP="00FC325B"/>
    <w:p w14:paraId="6CF70007" w14:textId="77777777"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Остра токсичност</w:t>
      </w:r>
    </w:p>
    <w:p w14:paraId="5AC907F3"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Проучванията за остра токсичност след перорално и интравенозно приложение на акарбоза са проведени при мишки, плъхове и кучета. Резултатите от проучванията за остра токсичност са представени на таблицата по-долу.</w:t>
      </w:r>
    </w:p>
    <w:p w14:paraId="446B0A25" w14:textId="12485DE4" w:rsidR="00FC325B" w:rsidRDefault="00FC325B" w:rsidP="00FC325B"/>
    <w:tbl>
      <w:tblPr>
        <w:tblStyle w:val="TableGrid"/>
        <w:tblW w:w="0" w:type="auto"/>
        <w:tblLook w:val="04A0" w:firstRow="1" w:lastRow="0" w:firstColumn="1" w:lastColumn="0" w:noHBand="0" w:noVBand="1"/>
      </w:tblPr>
      <w:tblGrid>
        <w:gridCol w:w="1858"/>
        <w:gridCol w:w="1841"/>
        <w:gridCol w:w="1889"/>
        <w:gridCol w:w="1855"/>
        <w:gridCol w:w="1907"/>
      </w:tblGrid>
      <w:tr w:rsidR="00FC325B" w14:paraId="04CFE4BD" w14:textId="77777777" w:rsidTr="00FC325B">
        <w:tc>
          <w:tcPr>
            <w:tcW w:w="1915" w:type="dxa"/>
          </w:tcPr>
          <w:p w14:paraId="3E1D6974" w14:textId="183B6CCD" w:rsidR="00FC325B" w:rsidRPr="00FC325B" w:rsidRDefault="00FC325B" w:rsidP="00FC325B">
            <w:r w:rsidRPr="00FC325B">
              <w:rPr>
                <w:lang w:eastAsia="bg-BG"/>
              </w:rPr>
              <w:t>Вид</w:t>
            </w:r>
          </w:p>
        </w:tc>
        <w:tc>
          <w:tcPr>
            <w:tcW w:w="1915" w:type="dxa"/>
          </w:tcPr>
          <w:p w14:paraId="09635C3A" w14:textId="3AC9B151" w:rsidR="00FC325B" w:rsidRPr="00FC325B" w:rsidRDefault="00FC325B" w:rsidP="00FC325B">
            <w:r w:rsidRPr="00FC325B">
              <w:rPr>
                <w:lang w:eastAsia="bg-BG"/>
              </w:rPr>
              <w:t>Пол</w:t>
            </w:r>
          </w:p>
        </w:tc>
        <w:tc>
          <w:tcPr>
            <w:tcW w:w="1915" w:type="dxa"/>
          </w:tcPr>
          <w:p w14:paraId="43D5C708" w14:textId="66A436C8" w:rsidR="00FC325B" w:rsidRPr="00FC325B" w:rsidRDefault="00FC325B" w:rsidP="00FC325B">
            <w:r w:rsidRPr="00FC325B">
              <w:rPr>
                <w:lang w:eastAsia="bg-BG"/>
              </w:rPr>
              <w:t>Начин на приложение</w:t>
            </w:r>
          </w:p>
        </w:tc>
        <w:tc>
          <w:tcPr>
            <w:tcW w:w="1915" w:type="dxa"/>
          </w:tcPr>
          <w:p w14:paraId="7B414CF4" w14:textId="44D68600" w:rsidR="00FC325B" w:rsidRPr="00FC325B" w:rsidRDefault="00FC325B" w:rsidP="00FC325B">
            <w:r w:rsidRPr="00FC325B">
              <w:t>LD</w:t>
            </w:r>
            <w:r w:rsidRPr="00FC325B">
              <w:rPr>
                <w:vertAlign w:val="subscript"/>
              </w:rPr>
              <w:t>50</w:t>
            </w:r>
            <w:r w:rsidRPr="00FC325B">
              <w:t xml:space="preserve"> SIU/kg (</w:t>
            </w:r>
            <w:r w:rsidRPr="00FC325B">
              <w:rPr>
                <w:vertAlign w:val="superscript"/>
              </w:rPr>
              <w:t>3</w:t>
            </w:r>
            <w:r w:rsidRPr="00FC325B">
              <w:t>)</w:t>
            </w:r>
          </w:p>
        </w:tc>
        <w:tc>
          <w:tcPr>
            <w:tcW w:w="1916" w:type="dxa"/>
          </w:tcPr>
          <w:p w14:paraId="13321EAF" w14:textId="74DF84B0" w:rsidR="00FC325B" w:rsidRPr="00FC325B" w:rsidRDefault="00FC325B" w:rsidP="00FC325B">
            <w:r w:rsidRPr="00FC325B">
              <w:rPr>
                <w:lang w:eastAsia="bg-BG"/>
              </w:rPr>
              <w:t xml:space="preserve">Интервал на доверителност </w:t>
            </w:r>
            <w:r w:rsidRPr="00FC325B">
              <w:t>p&lt;0,05</w:t>
            </w:r>
          </w:p>
        </w:tc>
      </w:tr>
      <w:tr w:rsidR="00FC325B" w14:paraId="787B58F7" w14:textId="77777777" w:rsidTr="00FC325B">
        <w:tc>
          <w:tcPr>
            <w:tcW w:w="1915" w:type="dxa"/>
          </w:tcPr>
          <w:p w14:paraId="3686CCE0" w14:textId="3DF25A36" w:rsidR="00FC325B" w:rsidRPr="00FC325B" w:rsidRDefault="00FC325B" w:rsidP="00FC325B">
            <w:r w:rsidRPr="00FC325B">
              <w:rPr>
                <w:lang w:eastAsia="bg-BG"/>
              </w:rPr>
              <w:t>Мишка</w:t>
            </w:r>
          </w:p>
        </w:tc>
        <w:tc>
          <w:tcPr>
            <w:tcW w:w="1915" w:type="dxa"/>
          </w:tcPr>
          <w:p w14:paraId="6C6E7946" w14:textId="157B9047" w:rsidR="00FC325B" w:rsidRPr="00FC325B" w:rsidRDefault="00FC325B" w:rsidP="00FC325B">
            <w:r w:rsidRPr="00FC325B">
              <w:t>m</w:t>
            </w:r>
            <w:r w:rsidRPr="00FC325B">
              <w:rPr>
                <w:vertAlign w:val="superscript"/>
              </w:rPr>
              <w:t>(1)</w:t>
            </w:r>
          </w:p>
        </w:tc>
        <w:tc>
          <w:tcPr>
            <w:tcW w:w="1915" w:type="dxa"/>
          </w:tcPr>
          <w:p w14:paraId="652F72B4" w14:textId="405AB249" w:rsidR="00FC325B" w:rsidRPr="00FC325B" w:rsidRDefault="00FC325B" w:rsidP="00FC325B">
            <w:r w:rsidRPr="00FC325B">
              <w:t>per os</w:t>
            </w:r>
          </w:p>
        </w:tc>
        <w:tc>
          <w:tcPr>
            <w:tcW w:w="1915" w:type="dxa"/>
          </w:tcPr>
          <w:p w14:paraId="68506264" w14:textId="727660B9" w:rsidR="00FC325B" w:rsidRPr="00FC325B" w:rsidRDefault="00FC325B" w:rsidP="00FC325B">
            <w:r w:rsidRPr="00FC325B">
              <w:t>&gt; 1 000 000</w:t>
            </w:r>
          </w:p>
        </w:tc>
        <w:tc>
          <w:tcPr>
            <w:tcW w:w="1916" w:type="dxa"/>
          </w:tcPr>
          <w:p w14:paraId="6EDB91F5" w14:textId="77777777" w:rsidR="00FC325B" w:rsidRPr="00FC325B" w:rsidRDefault="00FC325B" w:rsidP="00FC325B"/>
        </w:tc>
      </w:tr>
      <w:tr w:rsidR="00FC325B" w14:paraId="2DB26488" w14:textId="77777777" w:rsidTr="00FC325B">
        <w:tc>
          <w:tcPr>
            <w:tcW w:w="1915" w:type="dxa"/>
          </w:tcPr>
          <w:p w14:paraId="2F10EA67" w14:textId="4269A0FA" w:rsidR="00FC325B" w:rsidRPr="00FC325B" w:rsidRDefault="00FC325B" w:rsidP="00FC325B">
            <w:r w:rsidRPr="00FC325B">
              <w:rPr>
                <w:lang w:eastAsia="bg-BG"/>
              </w:rPr>
              <w:t>Мишка</w:t>
            </w:r>
          </w:p>
        </w:tc>
        <w:tc>
          <w:tcPr>
            <w:tcW w:w="1915" w:type="dxa"/>
          </w:tcPr>
          <w:p w14:paraId="36FD2FD6" w14:textId="695175C1" w:rsidR="00FC325B" w:rsidRPr="00FC325B" w:rsidRDefault="00FC325B" w:rsidP="00FC325B">
            <w:r w:rsidRPr="00FC325B">
              <w:t>m</w:t>
            </w:r>
          </w:p>
        </w:tc>
        <w:tc>
          <w:tcPr>
            <w:tcW w:w="1915" w:type="dxa"/>
          </w:tcPr>
          <w:p w14:paraId="2A20E3FC" w14:textId="751F4C45" w:rsidR="00FC325B" w:rsidRPr="00FC325B" w:rsidRDefault="00FC325B" w:rsidP="00FC325B">
            <w:r w:rsidRPr="00FC325B">
              <w:t>i.v.</w:t>
            </w:r>
          </w:p>
        </w:tc>
        <w:tc>
          <w:tcPr>
            <w:tcW w:w="1915" w:type="dxa"/>
          </w:tcPr>
          <w:p w14:paraId="4AD6F9B6" w14:textId="4CBDE721" w:rsidR="00FC325B" w:rsidRPr="00FC325B" w:rsidRDefault="00FC325B" w:rsidP="00FC325B">
            <w:r w:rsidRPr="00FC325B">
              <w:t>&gt; 500 000</w:t>
            </w:r>
          </w:p>
        </w:tc>
        <w:tc>
          <w:tcPr>
            <w:tcW w:w="1916" w:type="dxa"/>
          </w:tcPr>
          <w:p w14:paraId="343699AE" w14:textId="77777777" w:rsidR="00FC325B" w:rsidRPr="00FC325B" w:rsidRDefault="00FC325B" w:rsidP="00FC325B"/>
        </w:tc>
      </w:tr>
      <w:tr w:rsidR="00FC325B" w14:paraId="2ABD8EA9" w14:textId="77777777" w:rsidTr="00FC325B">
        <w:tc>
          <w:tcPr>
            <w:tcW w:w="1915" w:type="dxa"/>
          </w:tcPr>
          <w:p w14:paraId="2FC7715A" w14:textId="2C58C4C4" w:rsidR="00FC325B" w:rsidRPr="00FC325B" w:rsidRDefault="00FC325B" w:rsidP="00FC325B">
            <w:r w:rsidRPr="00FC325B">
              <w:rPr>
                <w:lang w:eastAsia="bg-BG"/>
              </w:rPr>
              <w:t>Плъх</w:t>
            </w:r>
          </w:p>
        </w:tc>
        <w:tc>
          <w:tcPr>
            <w:tcW w:w="1915" w:type="dxa"/>
          </w:tcPr>
          <w:p w14:paraId="1154492A" w14:textId="64815CA2" w:rsidR="00FC325B" w:rsidRPr="00FC325B" w:rsidRDefault="00FC325B" w:rsidP="00FC325B">
            <w:r w:rsidRPr="00FC325B">
              <w:t>m</w:t>
            </w:r>
          </w:p>
        </w:tc>
        <w:tc>
          <w:tcPr>
            <w:tcW w:w="1915" w:type="dxa"/>
          </w:tcPr>
          <w:p w14:paraId="69877DF6" w14:textId="51CB8CFD" w:rsidR="00FC325B" w:rsidRPr="00FC325B" w:rsidRDefault="00FC325B" w:rsidP="00FC325B">
            <w:r w:rsidRPr="00FC325B">
              <w:t>per os</w:t>
            </w:r>
          </w:p>
        </w:tc>
        <w:tc>
          <w:tcPr>
            <w:tcW w:w="1915" w:type="dxa"/>
          </w:tcPr>
          <w:p w14:paraId="0DF83EEE" w14:textId="08ECB376" w:rsidR="00FC325B" w:rsidRPr="00FC325B" w:rsidRDefault="00FC325B" w:rsidP="00FC325B">
            <w:r w:rsidRPr="00FC325B">
              <w:t>&gt; 1 000 000</w:t>
            </w:r>
          </w:p>
        </w:tc>
        <w:tc>
          <w:tcPr>
            <w:tcW w:w="1916" w:type="dxa"/>
          </w:tcPr>
          <w:p w14:paraId="0792EDE8" w14:textId="77777777" w:rsidR="00FC325B" w:rsidRPr="00FC325B" w:rsidRDefault="00FC325B" w:rsidP="00FC325B"/>
        </w:tc>
      </w:tr>
      <w:tr w:rsidR="00FC325B" w14:paraId="3478C6DE" w14:textId="77777777" w:rsidTr="00FC325B">
        <w:tc>
          <w:tcPr>
            <w:tcW w:w="1915" w:type="dxa"/>
          </w:tcPr>
          <w:p w14:paraId="4516B7C5" w14:textId="7BAD5868" w:rsidR="00FC325B" w:rsidRPr="00FC325B" w:rsidRDefault="00FC325B" w:rsidP="00FC325B">
            <w:r w:rsidRPr="00FC325B">
              <w:rPr>
                <w:lang w:eastAsia="bg-BG"/>
              </w:rPr>
              <w:t>Плъх</w:t>
            </w:r>
          </w:p>
        </w:tc>
        <w:tc>
          <w:tcPr>
            <w:tcW w:w="1915" w:type="dxa"/>
          </w:tcPr>
          <w:p w14:paraId="1394DA42" w14:textId="442583DE" w:rsidR="00FC325B" w:rsidRPr="00FC325B" w:rsidRDefault="00FC325B" w:rsidP="00FC325B">
            <w:r w:rsidRPr="00FC325B">
              <w:t>m</w:t>
            </w:r>
          </w:p>
        </w:tc>
        <w:tc>
          <w:tcPr>
            <w:tcW w:w="1915" w:type="dxa"/>
          </w:tcPr>
          <w:p w14:paraId="5085D9B6" w14:textId="6E40BFAD" w:rsidR="00FC325B" w:rsidRPr="00FC325B" w:rsidRDefault="00FC325B" w:rsidP="00FC325B">
            <w:r w:rsidRPr="00FC325B">
              <w:t>i.v.</w:t>
            </w:r>
          </w:p>
        </w:tc>
        <w:tc>
          <w:tcPr>
            <w:tcW w:w="1915" w:type="dxa"/>
          </w:tcPr>
          <w:p w14:paraId="39FDFCC0" w14:textId="45063C7E" w:rsidR="00FC325B" w:rsidRPr="00FC325B" w:rsidRDefault="00FC325B" w:rsidP="00FC325B">
            <w:r w:rsidRPr="00FC325B">
              <w:t>478 000</w:t>
            </w:r>
          </w:p>
        </w:tc>
        <w:tc>
          <w:tcPr>
            <w:tcW w:w="1916" w:type="dxa"/>
          </w:tcPr>
          <w:p w14:paraId="5FD61F39" w14:textId="1B4B964D" w:rsidR="00FC325B" w:rsidRPr="00FC325B" w:rsidRDefault="00FC325B" w:rsidP="00FC325B">
            <w:r w:rsidRPr="00FC325B">
              <w:t>(421000-546000)</w:t>
            </w:r>
          </w:p>
        </w:tc>
      </w:tr>
      <w:tr w:rsidR="00FC325B" w14:paraId="675AE57A" w14:textId="77777777" w:rsidTr="00FC325B">
        <w:tc>
          <w:tcPr>
            <w:tcW w:w="1915" w:type="dxa"/>
          </w:tcPr>
          <w:p w14:paraId="1872017A" w14:textId="3DD1CA5C" w:rsidR="00FC325B" w:rsidRPr="00FC325B" w:rsidRDefault="00FC325B" w:rsidP="00FC325B">
            <w:r w:rsidRPr="00FC325B">
              <w:rPr>
                <w:lang w:eastAsia="bg-BG"/>
              </w:rPr>
              <w:t>Плъх</w:t>
            </w:r>
          </w:p>
        </w:tc>
        <w:tc>
          <w:tcPr>
            <w:tcW w:w="1915" w:type="dxa"/>
          </w:tcPr>
          <w:p w14:paraId="68AF5C17" w14:textId="344D02B7" w:rsidR="00FC325B" w:rsidRPr="00FC325B" w:rsidRDefault="00FC325B" w:rsidP="00FC325B">
            <w:r w:rsidRPr="00FC325B">
              <w:t>f</w:t>
            </w:r>
            <w:r w:rsidRPr="00FC325B">
              <w:rPr>
                <w:vertAlign w:val="superscript"/>
              </w:rPr>
              <w:t>(2)</w:t>
            </w:r>
          </w:p>
        </w:tc>
        <w:tc>
          <w:tcPr>
            <w:tcW w:w="1915" w:type="dxa"/>
          </w:tcPr>
          <w:p w14:paraId="2A6CD618" w14:textId="096DF16A" w:rsidR="00FC325B" w:rsidRPr="00FC325B" w:rsidRDefault="00FC325B" w:rsidP="00FC325B">
            <w:r w:rsidRPr="00FC325B">
              <w:t>i.v.</w:t>
            </w:r>
          </w:p>
        </w:tc>
        <w:tc>
          <w:tcPr>
            <w:tcW w:w="1915" w:type="dxa"/>
          </w:tcPr>
          <w:p w14:paraId="2C5E143D" w14:textId="59D31532" w:rsidR="00FC325B" w:rsidRPr="00FC325B" w:rsidRDefault="00FC325B" w:rsidP="00FC325B">
            <w:r w:rsidRPr="00FC325B">
              <w:t>359 000</w:t>
            </w:r>
          </w:p>
        </w:tc>
        <w:tc>
          <w:tcPr>
            <w:tcW w:w="1916" w:type="dxa"/>
          </w:tcPr>
          <w:p w14:paraId="303B2082" w14:textId="11E10705" w:rsidR="00FC325B" w:rsidRPr="00FC325B" w:rsidRDefault="00FC325B" w:rsidP="00FC325B">
            <w:r w:rsidRPr="00FC325B">
              <w:t>(286000-423000)</w:t>
            </w:r>
          </w:p>
        </w:tc>
      </w:tr>
      <w:tr w:rsidR="00FC325B" w14:paraId="07CBA6EF" w14:textId="77777777" w:rsidTr="00FC325B">
        <w:tc>
          <w:tcPr>
            <w:tcW w:w="1915" w:type="dxa"/>
          </w:tcPr>
          <w:p w14:paraId="252279C0" w14:textId="00D6F4DB" w:rsidR="00FC325B" w:rsidRPr="00FC325B" w:rsidRDefault="00FC325B" w:rsidP="00FC325B">
            <w:r w:rsidRPr="00FC325B">
              <w:rPr>
                <w:lang w:eastAsia="bg-BG"/>
              </w:rPr>
              <w:t>Куче</w:t>
            </w:r>
          </w:p>
        </w:tc>
        <w:tc>
          <w:tcPr>
            <w:tcW w:w="1915" w:type="dxa"/>
          </w:tcPr>
          <w:p w14:paraId="36A57AF7" w14:textId="517C2536" w:rsidR="00FC325B" w:rsidRPr="00FC325B" w:rsidRDefault="00FC325B" w:rsidP="00FC325B">
            <w:r w:rsidRPr="00FC325B">
              <w:t xml:space="preserve">m </w:t>
            </w:r>
            <w:r w:rsidRPr="00FC325B">
              <w:rPr>
                <w:lang w:eastAsia="bg-BG"/>
              </w:rPr>
              <w:t xml:space="preserve">и </w:t>
            </w:r>
            <w:r w:rsidRPr="00FC325B">
              <w:t>f</w:t>
            </w:r>
          </w:p>
        </w:tc>
        <w:tc>
          <w:tcPr>
            <w:tcW w:w="1915" w:type="dxa"/>
          </w:tcPr>
          <w:p w14:paraId="056B22C3" w14:textId="22AC768A" w:rsidR="00FC325B" w:rsidRPr="00FC325B" w:rsidRDefault="00FC325B" w:rsidP="00FC325B">
            <w:r w:rsidRPr="00FC325B">
              <w:t>per os</w:t>
            </w:r>
          </w:p>
        </w:tc>
        <w:tc>
          <w:tcPr>
            <w:tcW w:w="1915" w:type="dxa"/>
          </w:tcPr>
          <w:p w14:paraId="7A213BD3" w14:textId="4D4C5CFB" w:rsidR="00FC325B" w:rsidRPr="00FC325B" w:rsidRDefault="00FC325B" w:rsidP="00FC325B">
            <w:r w:rsidRPr="00FC325B">
              <w:t>&gt; 650 000</w:t>
            </w:r>
          </w:p>
        </w:tc>
        <w:tc>
          <w:tcPr>
            <w:tcW w:w="1916" w:type="dxa"/>
          </w:tcPr>
          <w:p w14:paraId="6800F533" w14:textId="77777777" w:rsidR="00FC325B" w:rsidRPr="00FC325B" w:rsidRDefault="00FC325B" w:rsidP="00FC325B"/>
        </w:tc>
      </w:tr>
      <w:tr w:rsidR="00FC325B" w14:paraId="36E21255" w14:textId="77777777" w:rsidTr="00FC325B">
        <w:tc>
          <w:tcPr>
            <w:tcW w:w="1915" w:type="dxa"/>
          </w:tcPr>
          <w:p w14:paraId="2ACFC68A" w14:textId="0597E2A7" w:rsidR="00FC325B" w:rsidRPr="00FC325B" w:rsidRDefault="00FC325B" w:rsidP="00FC325B">
            <w:r w:rsidRPr="00FC325B">
              <w:rPr>
                <w:lang w:eastAsia="bg-BG"/>
              </w:rPr>
              <w:t>Куче</w:t>
            </w:r>
          </w:p>
        </w:tc>
        <w:tc>
          <w:tcPr>
            <w:tcW w:w="1915" w:type="dxa"/>
          </w:tcPr>
          <w:p w14:paraId="000059F4" w14:textId="2EDECF80" w:rsidR="00FC325B" w:rsidRPr="00FC325B" w:rsidRDefault="00FC325B" w:rsidP="00FC325B">
            <w:r w:rsidRPr="00FC325B">
              <w:t xml:space="preserve">m </w:t>
            </w:r>
            <w:r w:rsidRPr="00FC325B">
              <w:rPr>
                <w:lang w:eastAsia="bg-BG"/>
              </w:rPr>
              <w:t xml:space="preserve">и </w:t>
            </w:r>
            <w:r w:rsidRPr="00FC325B">
              <w:t>f</w:t>
            </w:r>
          </w:p>
        </w:tc>
        <w:tc>
          <w:tcPr>
            <w:tcW w:w="1915" w:type="dxa"/>
          </w:tcPr>
          <w:p w14:paraId="28879380" w14:textId="34CB2922" w:rsidR="00FC325B" w:rsidRPr="00FC325B" w:rsidRDefault="00FC325B" w:rsidP="00FC325B">
            <w:r w:rsidRPr="00FC325B">
              <w:t>i.v.</w:t>
            </w:r>
          </w:p>
        </w:tc>
        <w:tc>
          <w:tcPr>
            <w:tcW w:w="1915" w:type="dxa"/>
          </w:tcPr>
          <w:p w14:paraId="74324F45" w14:textId="70F5C9B3" w:rsidR="00FC325B" w:rsidRPr="00FC325B" w:rsidRDefault="00FC325B" w:rsidP="00FC325B">
            <w:r w:rsidRPr="00FC325B">
              <w:t>&gt; 250 000</w:t>
            </w:r>
          </w:p>
        </w:tc>
        <w:tc>
          <w:tcPr>
            <w:tcW w:w="1916" w:type="dxa"/>
          </w:tcPr>
          <w:p w14:paraId="4917F36A" w14:textId="77777777" w:rsidR="00FC325B" w:rsidRPr="00FC325B" w:rsidRDefault="00FC325B" w:rsidP="00FC325B"/>
        </w:tc>
      </w:tr>
    </w:tbl>
    <w:p w14:paraId="1ED2E5FA" w14:textId="77777777" w:rsidR="00FC325B" w:rsidRPr="00FC325B" w:rsidRDefault="00FC325B" w:rsidP="00FC325B">
      <w:pPr>
        <w:rPr>
          <w:sz w:val="24"/>
          <w:szCs w:val="24"/>
        </w:rPr>
      </w:pPr>
      <w:r w:rsidRPr="00FC325B">
        <w:rPr>
          <w:lang w:eastAsia="bg-BG"/>
        </w:rPr>
        <w:t>(1) мъжки пол</w:t>
      </w:r>
    </w:p>
    <w:p w14:paraId="1BCD6796" w14:textId="77777777" w:rsidR="00FC325B" w:rsidRPr="00FC325B" w:rsidRDefault="00FC325B" w:rsidP="00FC325B">
      <w:pPr>
        <w:rPr>
          <w:sz w:val="24"/>
          <w:szCs w:val="24"/>
        </w:rPr>
      </w:pPr>
      <w:r w:rsidRPr="00FC325B">
        <w:rPr>
          <w:lang w:eastAsia="bg-BG"/>
        </w:rPr>
        <w:t>(2) женски пол</w:t>
      </w:r>
    </w:p>
    <w:p w14:paraId="3D0AC557" w14:textId="77777777" w:rsidR="00FC325B" w:rsidRDefault="00FC325B" w:rsidP="00FC325B">
      <w:pPr>
        <w:rPr>
          <w:lang w:eastAsia="bg-BG"/>
        </w:rPr>
      </w:pPr>
      <w:r w:rsidRPr="00FC325B">
        <w:rPr>
          <w:lang w:eastAsia="bg-BG"/>
        </w:rPr>
        <w:lastRenderedPageBreak/>
        <w:t xml:space="preserve">(3) 65000 </w:t>
      </w:r>
      <w:r w:rsidRPr="00FC325B">
        <w:rPr>
          <w:lang w:val="en-US"/>
        </w:rPr>
        <w:t>SIU</w:t>
      </w:r>
      <w:r w:rsidRPr="00FC325B">
        <w:t xml:space="preserve"> </w:t>
      </w:r>
      <w:r w:rsidRPr="00FC325B">
        <w:rPr>
          <w:lang w:eastAsia="bg-BG"/>
        </w:rPr>
        <w:t xml:space="preserve">съответстват на около 1 </w:t>
      </w:r>
      <w:r w:rsidRPr="00FC325B">
        <w:rPr>
          <w:lang w:val="en-US"/>
        </w:rPr>
        <w:t>g</w:t>
      </w:r>
      <w:r w:rsidRPr="00FC325B">
        <w:t xml:space="preserve"> </w:t>
      </w:r>
      <w:r w:rsidRPr="00FC325B">
        <w:rPr>
          <w:lang w:eastAsia="bg-BG"/>
        </w:rPr>
        <w:t xml:space="preserve">от продукта </w:t>
      </w:r>
    </w:p>
    <w:p w14:paraId="320BAF13" w14:textId="05482D9E" w:rsidR="00FC325B" w:rsidRPr="00FC325B" w:rsidRDefault="00FC325B" w:rsidP="00FC325B">
      <w:pPr>
        <w:rPr>
          <w:sz w:val="24"/>
          <w:szCs w:val="24"/>
        </w:rPr>
      </w:pPr>
      <w:r w:rsidRPr="00FC325B">
        <w:t>(</w:t>
      </w:r>
      <w:r w:rsidRPr="00FC325B">
        <w:rPr>
          <w:lang w:val="en-US"/>
        </w:rPr>
        <w:t>SIU</w:t>
      </w:r>
      <w:r w:rsidRPr="00FC325B">
        <w:t xml:space="preserve"> </w:t>
      </w:r>
      <w:r w:rsidRPr="00FC325B">
        <w:rPr>
          <w:lang w:eastAsia="bg-BG"/>
        </w:rPr>
        <w:t xml:space="preserve">= </w:t>
      </w:r>
      <w:proofErr w:type="spellStart"/>
      <w:r w:rsidRPr="00FC325B">
        <w:rPr>
          <w:lang w:val="en-US"/>
        </w:rPr>
        <w:t>saccharase</w:t>
      </w:r>
      <w:proofErr w:type="spellEnd"/>
      <w:r w:rsidRPr="00FC325B">
        <w:t xml:space="preserve"> </w:t>
      </w:r>
      <w:r w:rsidRPr="00FC325B">
        <w:rPr>
          <w:lang w:val="en-US"/>
        </w:rPr>
        <w:t>inhibitory</w:t>
      </w:r>
      <w:r w:rsidRPr="00FC325B">
        <w:t xml:space="preserve"> </w:t>
      </w:r>
      <w:r w:rsidRPr="00FC325B">
        <w:rPr>
          <w:lang w:val="en-US"/>
        </w:rPr>
        <w:t>units</w:t>
      </w:r>
      <w:r w:rsidRPr="00FC325B">
        <w:t>)</w:t>
      </w:r>
    </w:p>
    <w:p w14:paraId="7D46BBAE" w14:textId="3C288611" w:rsidR="00FC325B" w:rsidRDefault="00FC325B" w:rsidP="00FC325B"/>
    <w:p w14:paraId="71BF35D2"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Въз основа на тези резултати акарбоза може да се приеме като безвредна, след еднократни перорални дози; </w:t>
      </w:r>
      <w:r w:rsidRPr="00FC325B">
        <w:rPr>
          <w:rFonts w:eastAsia="Times New Roman" w:cs="Arial"/>
          <w:color w:val="000000"/>
          <w:lang w:val="en-US"/>
        </w:rPr>
        <w:t>LD</w:t>
      </w:r>
      <w:r w:rsidRPr="00FC325B">
        <w:rPr>
          <w:rFonts w:eastAsia="Times New Roman" w:cs="Arial"/>
          <w:color w:val="000000"/>
          <w:lang w:val="ru-RU"/>
        </w:rPr>
        <w:t xml:space="preserve">50 </w:t>
      </w:r>
      <w:r w:rsidRPr="00FC325B">
        <w:rPr>
          <w:rFonts w:eastAsia="Times New Roman" w:cs="Arial"/>
          <w:color w:val="000000"/>
          <w:lang w:eastAsia="bg-BG"/>
        </w:rPr>
        <w:t xml:space="preserve">не може да се определи дори след дози от 10 </w:t>
      </w:r>
      <w:r w:rsidRPr="00FC325B">
        <w:rPr>
          <w:rFonts w:eastAsia="Times New Roman" w:cs="Arial"/>
          <w:color w:val="000000"/>
          <w:lang w:val="en-US"/>
        </w:rPr>
        <w:t>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eastAsia="bg-BG"/>
        </w:rPr>
        <w:t>Още повече, че не са наблюдавани симптоми на интоксикация в нито един от изследваните видове.</w:t>
      </w:r>
    </w:p>
    <w:p w14:paraId="7BF91D87" w14:textId="77777777" w:rsidR="00FC325B" w:rsidRDefault="00FC325B" w:rsidP="00FC325B">
      <w:pPr>
        <w:spacing w:line="240" w:lineRule="auto"/>
        <w:rPr>
          <w:rFonts w:eastAsia="Times New Roman" w:cs="Arial"/>
          <w:color w:val="000000"/>
          <w:lang w:eastAsia="bg-BG"/>
        </w:rPr>
      </w:pPr>
    </w:p>
    <w:p w14:paraId="4F80B5F9" w14:textId="3FFD858C" w:rsidR="00FC325B" w:rsidRPr="00FC325B" w:rsidRDefault="00FC325B" w:rsidP="00FC325B">
      <w:pPr>
        <w:spacing w:line="240" w:lineRule="auto"/>
        <w:rPr>
          <w:rFonts w:eastAsia="Times New Roman" w:cs="Arial"/>
        </w:rPr>
      </w:pPr>
      <w:r w:rsidRPr="00FC325B">
        <w:rPr>
          <w:rFonts w:eastAsia="Times New Roman" w:cs="Arial"/>
          <w:color w:val="000000"/>
          <w:lang w:eastAsia="bg-BG"/>
        </w:rPr>
        <w:t>Субстанцията е също практически безвредна след интравенозно приложение.</w:t>
      </w:r>
    </w:p>
    <w:p w14:paraId="48DA3769" w14:textId="77777777" w:rsidR="00FC325B" w:rsidRDefault="00FC325B" w:rsidP="00FC325B">
      <w:pPr>
        <w:spacing w:line="240" w:lineRule="auto"/>
        <w:rPr>
          <w:rFonts w:eastAsia="Times New Roman" w:cs="Arial"/>
          <w:color w:val="000000"/>
          <w:u w:val="single"/>
          <w:lang w:eastAsia="bg-BG"/>
        </w:rPr>
      </w:pPr>
    </w:p>
    <w:p w14:paraId="17D1E59B" w14:textId="1EEEC3CC"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Изследване за субхронична токсичност</w:t>
      </w:r>
    </w:p>
    <w:p w14:paraId="6A621E1C"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Проучванията за поносимост са проведени при плъхове и при кучета за период над 3 месеца. При плъхове акарбоза е изследвана в дози от 50 - 450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val="en-US"/>
        </w:rPr>
        <w:t>per</w:t>
      </w:r>
      <w:r w:rsidRPr="00FC325B">
        <w:rPr>
          <w:rFonts w:eastAsia="Times New Roman" w:cs="Arial"/>
          <w:color w:val="000000"/>
          <w:lang w:val="ru-RU"/>
        </w:rPr>
        <w:t xml:space="preserve"> </w:t>
      </w:r>
      <w:proofErr w:type="spellStart"/>
      <w:r w:rsidRPr="00FC325B">
        <w:rPr>
          <w:rFonts w:eastAsia="Times New Roman" w:cs="Arial"/>
          <w:color w:val="000000"/>
          <w:lang w:val="en-US"/>
        </w:rPr>
        <w:t>os</w:t>
      </w:r>
      <w:proofErr w:type="spellEnd"/>
      <w:r w:rsidRPr="00FC325B">
        <w:rPr>
          <w:rFonts w:eastAsia="Times New Roman" w:cs="Arial"/>
          <w:color w:val="000000"/>
          <w:lang w:val="ru-RU"/>
        </w:rPr>
        <w:t xml:space="preserve">. </w:t>
      </w:r>
      <w:r w:rsidRPr="00FC325B">
        <w:rPr>
          <w:rFonts w:eastAsia="Times New Roman" w:cs="Arial"/>
          <w:color w:val="000000"/>
          <w:lang w:eastAsia="bg-BG"/>
        </w:rPr>
        <w:t>Всички хематологични и клинико-химични параметри остават непроменени в сравнение с контролната група, която не е получавала акарбоза. Последващите хистопатологични проучвания не предоставят данни за увреждане при коята и да е доза.</w:t>
      </w:r>
    </w:p>
    <w:p w14:paraId="5129F7DB"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Дози от 50 - 450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val="en-US"/>
        </w:rPr>
        <w:t>per</w:t>
      </w:r>
      <w:r w:rsidRPr="00FC325B">
        <w:rPr>
          <w:rFonts w:eastAsia="Times New Roman" w:cs="Arial"/>
          <w:color w:val="000000"/>
          <w:lang w:val="ru-RU"/>
        </w:rPr>
        <w:t xml:space="preserve"> </w:t>
      </w:r>
      <w:proofErr w:type="spellStart"/>
      <w:r w:rsidRPr="00FC325B">
        <w:rPr>
          <w:rFonts w:eastAsia="Times New Roman" w:cs="Arial"/>
          <w:color w:val="000000"/>
          <w:lang w:val="en-US"/>
        </w:rPr>
        <w:t>os</w:t>
      </w:r>
      <w:proofErr w:type="spellEnd"/>
      <w:r w:rsidRPr="00FC325B">
        <w:rPr>
          <w:rFonts w:eastAsia="Times New Roman" w:cs="Arial"/>
          <w:color w:val="000000"/>
          <w:lang w:val="ru-RU"/>
        </w:rPr>
        <w:t xml:space="preserve"> </w:t>
      </w:r>
      <w:r w:rsidRPr="00FC325B">
        <w:rPr>
          <w:rFonts w:eastAsia="Times New Roman" w:cs="Arial"/>
          <w:color w:val="000000"/>
          <w:lang w:eastAsia="bg-BG"/>
        </w:rPr>
        <w:t xml:space="preserve">също са изследвани при кучета. В сравнение с контролната група, която не получава акарбоза, промени, дължащи се на изследваната субстанция, са били доказани върху телесното тегло, сс-амилазна активност в серума и концентрацията на урея в кръвта. Във всички изследвани групи телесното тегло се е повлияло, когато е давано постоянно количество от 350 </w:t>
      </w:r>
      <w:r w:rsidRPr="00FC325B">
        <w:rPr>
          <w:rFonts w:eastAsia="Times New Roman" w:cs="Arial"/>
          <w:color w:val="000000"/>
          <w:lang w:val="en-US"/>
        </w:rPr>
        <w:t>g</w:t>
      </w:r>
      <w:r w:rsidRPr="00FC325B">
        <w:rPr>
          <w:rFonts w:eastAsia="Times New Roman" w:cs="Arial"/>
          <w:color w:val="000000"/>
          <w:lang w:val="ru-RU"/>
        </w:rPr>
        <w:t xml:space="preserve"> </w:t>
      </w:r>
      <w:r w:rsidRPr="00FC325B">
        <w:rPr>
          <w:rFonts w:eastAsia="Times New Roman" w:cs="Arial"/>
          <w:color w:val="000000"/>
          <w:lang w:eastAsia="bg-BG"/>
        </w:rPr>
        <w:t xml:space="preserve">храна дневно, средните стойности са се понижили отчетливо по време на първите 4 седмици на проучването. Когато количеството на храната е било повишено на 500 </w:t>
      </w:r>
      <w:r w:rsidRPr="00FC325B">
        <w:rPr>
          <w:rFonts w:eastAsia="Times New Roman" w:cs="Arial"/>
          <w:color w:val="000000"/>
          <w:lang w:val="en-US"/>
        </w:rPr>
        <w:t>g</w:t>
      </w:r>
      <w:r w:rsidRPr="00FC325B">
        <w:rPr>
          <w:rFonts w:eastAsia="Times New Roman" w:cs="Arial"/>
          <w:color w:val="000000"/>
          <w:lang w:val="ru-RU"/>
        </w:rPr>
        <w:t xml:space="preserve"> </w:t>
      </w:r>
      <w:r w:rsidRPr="00FC325B">
        <w:rPr>
          <w:rFonts w:eastAsia="Times New Roman" w:cs="Arial"/>
          <w:color w:val="000000"/>
          <w:lang w:eastAsia="bg-BG"/>
        </w:rPr>
        <w:t>дневно на 5-тата седмица от проучването, животните са останали на същото телесно тегло. Тези промени в телесното тегло, индуцирани от акарбоза в количества, превишаващи терапевтичната доза, трябва да се приемат като израз на повишената фармакодинамична активност на изследваната субстанция, поради изокалориен хранителен дисбаланс (загуба на въглехидрати); те не представляват всъщност актуален токсичен ефект. Лекото повишаване на концентрацията на уреята трябва също да се приеме като индиректен резултат от лечението, т.е. катаболитно метаболитно състояние, което се развива със загубата на тегло. Намалената а- амилазна активност може също да бъде интерпретирана като симптом на повишен фармакодинамичен ефект.</w:t>
      </w:r>
    </w:p>
    <w:p w14:paraId="0891D182" w14:textId="77777777" w:rsidR="00FC325B" w:rsidRDefault="00FC325B" w:rsidP="00FC325B">
      <w:pPr>
        <w:spacing w:line="240" w:lineRule="auto"/>
        <w:rPr>
          <w:rFonts w:eastAsia="Times New Roman" w:cs="Arial"/>
          <w:color w:val="000000"/>
          <w:u w:val="single"/>
          <w:lang w:eastAsia="bg-BG"/>
        </w:rPr>
      </w:pPr>
    </w:p>
    <w:p w14:paraId="521664AC" w14:textId="768C89DD"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Хронична токсичност</w:t>
      </w:r>
    </w:p>
    <w:p w14:paraId="40210BB4"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Проучвания на хроничната токсичност са проведени при плъхове, кучета и хамстери с продължителност съответно 24 месеца, 12 месеца и 80 седмици. Освен изследване на уврежданията при хронично приложение, проучванията при плъхове и хамстери имат за цел също и проучването на възможните канцерогенни ефекти.</w:t>
      </w:r>
    </w:p>
    <w:p w14:paraId="0E960D22" w14:textId="77777777" w:rsidR="00FC325B" w:rsidRDefault="00FC325B" w:rsidP="00FC325B">
      <w:pPr>
        <w:spacing w:line="240" w:lineRule="auto"/>
        <w:rPr>
          <w:rFonts w:eastAsia="Times New Roman" w:cs="Arial"/>
          <w:color w:val="000000"/>
          <w:u w:val="single"/>
          <w:lang w:eastAsia="bg-BG"/>
        </w:rPr>
      </w:pPr>
    </w:p>
    <w:p w14:paraId="4ECABD79" w14:textId="5D1F2332"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Канцерогенност</w:t>
      </w:r>
    </w:p>
    <w:p w14:paraId="52D3B6EE"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Има няколко проучвания върху канцерогенността.</w:t>
      </w:r>
    </w:p>
    <w:p w14:paraId="0498BA65" w14:textId="77777777" w:rsidR="00FC325B" w:rsidRDefault="00FC325B" w:rsidP="00FC325B">
      <w:pPr>
        <w:spacing w:line="240" w:lineRule="auto"/>
        <w:rPr>
          <w:rFonts w:eastAsia="Times New Roman" w:cs="Arial"/>
          <w:color w:val="000000"/>
          <w:lang w:eastAsia="bg-BG"/>
        </w:rPr>
      </w:pPr>
    </w:p>
    <w:p w14:paraId="1F1D987D" w14:textId="2D828E45"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Плъхове </w:t>
      </w:r>
      <w:r w:rsidRPr="00FC325B">
        <w:rPr>
          <w:rFonts w:eastAsia="Times New Roman" w:cs="Arial"/>
          <w:color w:val="000000"/>
          <w:lang w:val="en-US"/>
        </w:rPr>
        <w:t>Sprague</w:t>
      </w:r>
      <w:r w:rsidRPr="00FC325B">
        <w:rPr>
          <w:rFonts w:eastAsia="Times New Roman" w:cs="Arial"/>
          <w:color w:val="000000"/>
          <w:lang w:val="ru-RU"/>
        </w:rPr>
        <w:t>-</w:t>
      </w:r>
      <w:r w:rsidRPr="00FC325B">
        <w:rPr>
          <w:rFonts w:eastAsia="Times New Roman" w:cs="Arial"/>
          <w:color w:val="000000"/>
          <w:lang w:val="en-US"/>
        </w:rPr>
        <w:t>Dawley</w:t>
      </w:r>
      <w:r w:rsidRPr="00FC325B">
        <w:rPr>
          <w:rFonts w:eastAsia="Times New Roman" w:cs="Arial"/>
          <w:color w:val="000000"/>
          <w:lang w:val="ru-RU"/>
        </w:rPr>
        <w:t xml:space="preserve"> </w:t>
      </w:r>
      <w:r w:rsidRPr="00FC325B">
        <w:rPr>
          <w:rFonts w:eastAsia="Times New Roman" w:cs="Arial"/>
          <w:color w:val="000000"/>
          <w:lang w:eastAsia="bg-BG"/>
        </w:rPr>
        <w:t xml:space="preserve">са получавали до 4 500 </w:t>
      </w:r>
      <w:r w:rsidRPr="00FC325B">
        <w:rPr>
          <w:rFonts w:eastAsia="Times New Roman" w:cs="Arial"/>
          <w:color w:val="000000"/>
          <w:lang w:val="en-US"/>
        </w:rPr>
        <w:t>ppm</w:t>
      </w:r>
      <w:r w:rsidRPr="00FC325B">
        <w:rPr>
          <w:rFonts w:eastAsia="Times New Roman" w:cs="Arial"/>
          <w:color w:val="000000"/>
          <w:lang w:val="ru-RU"/>
        </w:rPr>
        <w:t xml:space="preserve"> </w:t>
      </w:r>
      <w:r w:rsidRPr="00FC325B">
        <w:rPr>
          <w:rFonts w:eastAsia="Times New Roman" w:cs="Arial"/>
          <w:color w:val="000000"/>
          <w:lang w:eastAsia="bg-BG"/>
        </w:rPr>
        <w:t>акарбоза в храната за период от 24 - 26 месеца. Приложението на акарбоза в храната е причинило значително недохранване при животните. При тези условия на проучване са били установени тумори на бъбречния паренхим, зависими от дозата (аденом, хипернефроиден карцином), в сравнение с контролната група, докато като цяло честотата (особено честотата на хормоно-зависимите тумори) е понижена.</w:t>
      </w:r>
    </w:p>
    <w:p w14:paraId="3BCAED4A" w14:textId="77777777" w:rsidR="00FC325B" w:rsidRDefault="00FC325B" w:rsidP="00FC325B">
      <w:pPr>
        <w:spacing w:line="240" w:lineRule="auto"/>
        <w:rPr>
          <w:rFonts w:eastAsia="Times New Roman" w:cs="Arial"/>
          <w:color w:val="000000"/>
          <w:lang w:eastAsia="bg-BG"/>
        </w:rPr>
      </w:pPr>
    </w:p>
    <w:p w14:paraId="4D6FA696" w14:textId="7233798C"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За да се предотврати недоимъчното хранене при последващите проучвания, животните са получавали заместване с глюкоза. При доза от 4 500 </w:t>
      </w:r>
      <w:r w:rsidRPr="00FC325B">
        <w:rPr>
          <w:rFonts w:eastAsia="Times New Roman" w:cs="Arial"/>
          <w:color w:val="000000"/>
          <w:lang w:val="en-US"/>
        </w:rPr>
        <w:t>ppm</w:t>
      </w:r>
      <w:r w:rsidRPr="00FC325B">
        <w:rPr>
          <w:rFonts w:eastAsia="Times New Roman" w:cs="Arial"/>
          <w:color w:val="000000"/>
          <w:lang w:val="ru-RU"/>
        </w:rPr>
        <w:t xml:space="preserve"> </w:t>
      </w:r>
      <w:r w:rsidRPr="00FC325B">
        <w:rPr>
          <w:rFonts w:eastAsia="Times New Roman" w:cs="Arial"/>
          <w:color w:val="000000"/>
          <w:lang w:eastAsia="bg-BG"/>
        </w:rPr>
        <w:t xml:space="preserve">акарбоза + заместване с </w:t>
      </w:r>
      <w:r w:rsidRPr="00FC325B">
        <w:rPr>
          <w:rFonts w:eastAsia="Times New Roman" w:cs="Arial"/>
          <w:color w:val="000000"/>
          <w:lang w:eastAsia="bg-BG"/>
        </w:rPr>
        <w:lastRenderedPageBreak/>
        <w:t>глюкоза, телесното тегло е 10% по-ниско от това в контролната група. Не е наблюдавана повишена честота на бъбречни тумори.</w:t>
      </w:r>
    </w:p>
    <w:p w14:paraId="172F4B3A" w14:textId="77777777" w:rsidR="00FC325B" w:rsidRDefault="00FC325B" w:rsidP="00FC325B">
      <w:pPr>
        <w:rPr>
          <w:rFonts w:eastAsia="Times New Roman" w:cs="Arial"/>
          <w:color w:val="000000"/>
          <w:lang w:eastAsia="bg-BG"/>
        </w:rPr>
      </w:pPr>
    </w:p>
    <w:p w14:paraId="251A6AA0" w14:textId="77777777" w:rsidR="00FC325B" w:rsidRPr="00FC325B" w:rsidRDefault="00FC325B" w:rsidP="00FC325B">
      <w:pPr>
        <w:rPr>
          <w:rFonts w:eastAsia="Times New Roman" w:cs="Arial"/>
        </w:rPr>
      </w:pPr>
      <w:r w:rsidRPr="00FC325B">
        <w:rPr>
          <w:rFonts w:eastAsia="Times New Roman" w:cs="Arial"/>
          <w:color w:val="000000"/>
          <w:lang w:eastAsia="bg-BG"/>
        </w:rPr>
        <w:t>Когато проучването е повторено без заместване с глюкоза за по-дълъг период</w:t>
      </w:r>
      <w:r w:rsidRPr="00FC325B">
        <w:rPr>
          <w:rFonts w:eastAsia="Times New Roman" w:cs="Arial"/>
          <w:color w:val="000000"/>
          <w:lang w:val="ru-RU"/>
        </w:rPr>
        <w:t xml:space="preserve"> </w:t>
      </w:r>
      <w:r w:rsidRPr="00FC325B">
        <w:rPr>
          <w:rFonts w:eastAsia="Times New Roman" w:cs="Arial"/>
          <w:color w:val="000000"/>
          <w:lang w:eastAsia="bg-BG"/>
        </w:rPr>
        <w:t>от 26 месеца, е наблюдавана повишена честотата на доброкачествените тумори на Лайдиговите клетки на тестисите. Във всички групи, получаващи заместване с глюкоза, стойностите на глюкозата са</w:t>
      </w:r>
      <w:r>
        <w:rPr>
          <w:rFonts w:eastAsia="Times New Roman" w:cs="Arial"/>
          <w:color w:val="000000"/>
          <w:lang w:eastAsia="bg-BG"/>
        </w:rPr>
        <w:t xml:space="preserve"> </w:t>
      </w:r>
      <w:r w:rsidRPr="00FC325B">
        <w:rPr>
          <w:rFonts w:eastAsia="Times New Roman" w:cs="Arial"/>
          <w:color w:val="000000"/>
          <w:lang w:eastAsia="bg-BG"/>
        </w:rPr>
        <w:t>(понякога патологични) повишени (алиментарен диабет при приложение на големи количества глюкоза).</w:t>
      </w:r>
    </w:p>
    <w:p w14:paraId="3D45B7D8" w14:textId="77777777" w:rsidR="00FC325B" w:rsidRDefault="00FC325B" w:rsidP="00FC325B">
      <w:pPr>
        <w:spacing w:line="240" w:lineRule="auto"/>
        <w:rPr>
          <w:rFonts w:eastAsia="Times New Roman" w:cs="Arial"/>
          <w:color w:val="000000"/>
          <w:lang w:eastAsia="bg-BG"/>
        </w:rPr>
      </w:pPr>
    </w:p>
    <w:p w14:paraId="017942DD" w14:textId="42FE9FD0" w:rsidR="00FC325B" w:rsidRPr="00FC325B" w:rsidRDefault="00FC325B" w:rsidP="00FC325B">
      <w:pPr>
        <w:spacing w:line="240" w:lineRule="auto"/>
        <w:rPr>
          <w:rFonts w:eastAsia="Times New Roman" w:cs="Arial"/>
        </w:rPr>
      </w:pPr>
      <w:r w:rsidRPr="00FC325B">
        <w:rPr>
          <w:rFonts w:eastAsia="Times New Roman" w:cs="Arial"/>
          <w:color w:val="000000"/>
          <w:lang w:eastAsia="bg-BG"/>
        </w:rPr>
        <w:t>При приложението на акарбоза чрез стомашна сонда телесните тегла са били в рамките на контролната група и в това проучване е избегната повишена фармакодинамична активност. Честотата на туморите е нормална.</w:t>
      </w:r>
    </w:p>
    <w:p w14:paraId="4BA286E8" w14:textId="77777777" w:rsidR="00FC325B" w:rsidRDefault="00FC325B" w:rsidP="00FC325B">
      <w:pPr>
        <w:spacing w:line="240" w:lineRule="auto"/>
        <w:rPr>
          <w:rFonts w:eastAsia="Times New Roman" w:cs="Arial"/>
          <w:color w:val="000000"/>
          <w:lang w:eastAsia="bg-BG"/>
        </w:rPr>
      </w:pPr>
    </w:p>
    <w:p w14:paraId="2406B762" w14:textId="36AAA5AC"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Плъхове </w:t>
      </w:r>
      <w:proofErr w:type="spellStart"/>
      <w:r w:rsidRPr="00FC325B">
        <w:rPr>
          <w:rFonts w:eastAsia="Times New Roman" w:cs="Arial"/>
          <w:color w:val="000000"/>
          <w:lang w:val="en-US"/>
        </w:rPr>
        <w:t>Wistar</w:t>
      </w:r>
      <w:proofErr w:type="spellEnd"/>
      <w:r w:rsidRPr="00FC325B">
        <w:rPr>
          <w:rFonts w:eastAsia="Times New Roman" w:cs="Arial"/>
          <w:color w:val="000000"/>
          <w:lang w:val="ru-RU"/>
        </w:rPr>
        <w:t xml:space="preserve"> </w:t>
      </w:r>
      <w:r w:rsidRPr="00FC325B">
        <w:rPr>
          <w:rFonts w:eastAsia="Times New Roman" w:cs="Arial"/>
          <w:color w:val="000000"/>
          <w:lang w:eastAsia="bg-BG"/>
        </w:rPr>
        <w:t xml:space="preserve">са получавали 0-4 500 </w:t>
      </w:r>
      <w:r w:rsidRPr="00FC325B">
        <w:rPr>
          <w:rFonts w:eastAsia="Times New Roman" w:cs="Arial"/>
          <w:color w:val="000000"/>
          <w:lang w:val="en-US"/>
        </w:rPr>
        <w:t>ppm</w:t>
      </w:r>
      <w:r w:rsidRPr="00FC325B">
        <w:rPr>
          <w:rFonts w:eastAsia="Times New Roman" w:cs="Arial"/>
          <w:color w:val="000000"/>
          <w:lang w:val="ru-RU"/>
        </w:rPr>
        <w:t xml:space="preserve"> </w:t>
      </w:r>
      <w:r w:rsidRPr="00FC325B">
        <w:rPr>
          <w:rFonts w:eastAsia="Times New Roman" w:cs="Arial"/>
          <w:color w:val="000000"/>
          <w:lang w:eastAsia="bg-BG"/>
        </w:rPr>
        <w:t xml:space="preserve">акарбоза в продължение на 30 месеца с храната чрез стомашна сонда. Приложението на акарбоза в храната не е довело до изразена загуба на телесното тегло. От 500 </w:t>
      </w:r>
      <w:r w:rsidRPr="00FC325B">
        <w:rPr>
          <w:rFonts w:eastAsia="Times New Roman" w:cs="Arial"/>
          <w:color w:val="000000"/>
          <w:lang w:val="en-US"/>
        </w:rPr>
        <w:t>ppm</w:t>
      </w:r>
      <w:r w:rsidRPr="00FC325B">
        <w:rPr>
          <w:rFonts w:eastAsia="Times New Roman" w:cs="Arial"/>
          <w:color w:val="000000"/>
          <w:lang w:val="ru-RU"/>
        </w:rPr>
        <w:t xml:space="preserve"> </w:t>
      </w:r>
      <w:r w:rsidRPr="00FC325B">
        <w:rPr>
          <w:rFonts w:eastAsia="Times New Roman" w:cs="Arial"/>
          <w:color w:val="000000"/>
          <w:lang w:eastAsia="bg-BG"/>
        </w:rPr>
        <w:t>акарбоза цекумът е бил уголемен. Честотата на тумори е била понижена и няма данни за повишена честота на тумори.</w:t>
      </w:r>
    </w:p>
    <w:p w14:paraId="4B10682B" w14:textId="77777777" w:rsidR="00FC325B" w:rsidRDefault="00FC325B" w:rsidP="00FC325B">
      <w:pPr>
        <w:spacing w:line="240" w:lineRule="auto"/>
        <w:rPr>
          <w:rFonts w:eastAsia="Times New Roman" w:cs="Arial"/>
          <w:color w:val="000000"/>
          <w:lang w:eastAsia="bg-BG"/>
        </w:rPr>
      </w:pPr>
    </w:p>
    <w:p w14:paraId="69746F3D" w14:textId="32DC5E0A" w:rsidR="00FC325B" w:rsidRDefault="00FC325B" w:rsidP="00FC325B">
      <w:pPr>
        <w:spacing w:line="240" w:lineRule="auto"/>
        <w:rPr>
          <w:rFonts w:eastAsia="Times New Roman" w:cs="Arial"/>
          <w:color w:val="000000"/>
          <w:lang w:eastAsia="bg-BG"/>
        </w:rPr>
      </w:pPr>
      <w:r w:rsidRPr="00FC325B">
        <w:rPr>
          <w:rFonts w:eastAsia="Times New Roman" w:cs="Arial"/>
          <w:color w:val="000000"/>
          <w:lang w:eastAsia="bg-BG"/>
        </w:rPr>
        <w:t xml:space="preserve">Хамстери са получавали 0-4 000 </w:t>
      </w:r>
      <w:r w:rsidRPr="00FC325B">
        <w:rPr>
          <w:rFonts w:eastAsia="Times New Roman" w:cs="Arial"/>
          <w:color w:val="000000"/>
          <w:lang w:val="en-US"/>
        </w:rPr>
        <w:t>ppm</w:t>
      </w:r>
      <w:r w:rsidRPr="00FC325B">
        <w:rPr>
          <w:rFonts w:eastAsia="Times New Roman" w:cs="Arial"/>
          <w:color w:val="000000"/>
          <w:lang w:val="ru-RU"/>
        </w:rPr>
        <w:t xml:space="preserve"> </w:t>
      </w:r>
      <w:r w:rsidRPr="00FC325B">
        <w:rPr>
          <w:rFonts w:eastAsia="Times New Roman" w:cs="Arial"/>
          <w:color w:val="000000"/>
          <w:lang w:eastAsia="bg-BG"/>
        </w:rPr>
        <w:t xml:space="preserve">акарбоза в храната за по-дълъг период от 80 </w:t>
      </w:r>
    </w:p>
    <w:p w14:paraId="30B5ECB1" w14:textId="351E60CD" w:rsidR="00FC325B" w:rsidRPr="00FC325B" w:rsidRDefault="00FC325B" w:rsidP="00FC325B">
      <w:pPr>
        <w:spacing w:line="240" w:lineRule="auto"/>
        <w:rPr>
          <w:rFonts w:eastAsia="Times New Roman" w:cs="Arial"/>
        </w:rPr>
      </w:pPr>
      <w:r w:rsidRPr="00FC325B">
        <w:rPr>
          <w:rFonts w:eastAsia="Times New Roman" w:cs="Arial"/>
          <w:color w:val="000000"/>
          <w:lang w:eastAsia="bg-BG"/>
        </w:rPr>
        <w:t>седмици, с или без заместване с глюкоза. Повишени концентрации на глюкоза в кръвта са наблюдавани при животни в групата с най-висока дозировка. Честотата на туморите не е повишена.</w:t>
      </w:r>
    </w:p>
    <w:p w14:paraId="74A153E1" w14:textId="77777777" w:rsidR="00FC325B" w:rsidRDefault="00FC325B" w:rsidP="00FC325B">
      <w:pPr>
        <w:spacing w:line="240" w:lineRule="auto"/>
        <w:rPr>
          <w:rFonts w:eastAsia="Times New Roman" w:cs="Arial"/>
          <w:color w:val="000000"/>
          <w:u w:val="single"/>
          <w:lang w:eastAsia="bg-BG"/>
        </w:rPr>
      </w:pPr>
    </w:p>
    <w:p w14:paraId="4E460938" w14:textId="4F791ED9"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Репродуктивна токсичност</w:t>
      </w:r>
    </w:p>
    <w:p w14:paraId="6FDC9367"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Проучвания върху тератогенните ефекти са проведени при плъхове и зайци, като са използвани перорални дози от 0, 30, 120 и 480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eastAsia="bg-BG"/>
        </w:rPr>
        <w:t>при двата вида. При плъхове лечението е приложено от 6-ия до 15-тия ден на бременността, а при зайци от 6-тия до 18-тия ден на бременността.</w:t>
      </w:r>
    </w:p>
    <w:p w14:paraId="02506BCE" w14:textId="77777777" w:rsidR="00FC325B" w:rsidRDefault="00FC325B" w:rsidP="00FC325B">
      <w:pPr>
        <w:spacing w:line="240" w:lineRule="auto"/>
        <w:rPr>
          <w:rFonts w:eastAsia="Times New Roman" w:cs="Arial"/>
          <w:color w:val="000000"/>
          <w:lang w:eastAsia="bg-BG"/>
        </w:rPr>
      </w:pPr>
    </w:p>
    <w:p w14:paraId="7C0FC7B5" w14:textId="6C1BD1E7" w:rsidR="00FC325B" w:rsidRPr="00FC325B" w:rsidRDefault="00FC325B" w:rsidP="00FC325B">
      <w:pPr>
        <w:spacing w:line="240" w:lineRule="auto"/>
        <w:rPr>
          <w:rFonts w:eastAsia="Times New Roman" w:cs="Arial"/>
        </w:rPr>
      </w:pPr>
      <w:r w:rsidRPr="00FC325B">
        <w:rPr>
          <w:rFonts w:eastAsia="Times New Roman" w:cs="Arial"/>
          <w:color w:val="000000"/>
          <w:lang w:eastAsia="bg-BG"/>
        </w:rPr>
        <w:t>Няма данни за тератогенни ефекти, дължащи се на акарбоза, при двата вида в границите на използваните дози по време на изследването.</w:t>
      </w:r>
    </w:p>
    <w:p w14:paraId="4BB2859C" w14:textId="77777777" w:rsidR="00FC325B" w:rsidRDefault="00FC325B" w:rsidP="00FC325B">
      <w:pPr>
        <w:spacing w:line="240" w:lineRule="auto"/>
        <w:rPr>
          <w:rFonts w:eastAsia="Times New Roman" w:cs="Arial"/>
          <w:color w:val="000000"/>
          <w:lang w:eastAsia="bg-BG"/>
        </w:rPr>
      </w:pPr>
    </w:p>
    <w:p w14:paraId="046D5D2C" w14:textId="3F3ABEB2"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Не е наблюдавано увреждане на фертилитета при плъхове от женски и мъжки пол при дози до 540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eastAsia="bg-BG"/>
        </w:rPr>
        <w:t>дневно.</w:t>
      </w:r>
    </w:p>
    <w:p w14:paraId="4EB10D38" w14:textId="77777777" w:rsidR="00FC325B" w:rsidRDefault="00FC325B" w:rsidP="00FC325B">
      <w:pPr>
        <w:spacing w:line="240" w:lineRule="auto"/>
        <w:rPr>
          <w:rFonts w:eastAsia="Times New Roman" w:cs="Arial"/>
          <w:color w:val="000000"/>
          <w:lang w:eastAsia="bg-BG"/>
        </w:rPr>
      </w:pPr>
    </w:p>
    <w:p w14:paraId="729C228B" w14:textId="1ABC8E70" w:rsidR="00FC325B" w:rsidRPr="00FC325B" w:rsidRDefault="00FC325B" w:rsidP="00FC325B">
      <w:pPr>
        <w:spacing w:line="240" w:lineRule="auto"/>
        <w:rPr>
          <w:rFonts w:eastAsia="Times New Roman" w:cs="Arial"/>
        </w:rPr>
      </w:pPr>
      <w:r w:rsidRPr="00FC325B">
        <w:rPr>
          <w:rFonts w:eastAsia="Times New Roman" w:cs="Arial"/>
          <w:color w:val="000000"/>
          <w:lang w:eastAsia="bg-BG"/>
        </w:rPr>
        <w:t xml:space="preserve">Приложението до 540 </w:t>
      </w:r>
      <w:r w:rsidRPr="00FC325B">
        <w:rPr>
          <w:rFonts w:eastAsia="Times New Roman" w:cs="Arial"/>
          <w:color w:val="000000"/>
          <w:lang w:val="en-US"/>
        </w:rPr>
        <w:t>mg</w:t>
      </w:r>
      <w:r w:rsidRPr="00FC325B">
        <w:rPr>
          <w:rFonts w:eastAsia="Times New Roman" w:cs="Arial"/>
          <w:color w:val="000000"/>
          <w:lang w:val="ru-RU"/>
        </w:rPr>
        <w:t>/</w:t>
      </w:r>
      <w:r w:rsidRPr="00FC325B">
        <w:rPr>
          <w:rFonts w:eastAsia="Times New Roman" w:cs="Arial"/>
          <w:color w:val="000000"/>
          <w:lang w:val="en-US"/>
        </w:rPr>
        <w:t>kg</w:t>
      </w:r>
      <w:r w:rsidRPr="00FC325B">
        <w:rPr>
          <w:rFonts w:eastAsia="Times New Roman" w:cs="Arial"/>
          <w:color w:val="000000"/>
          <w:lang w:val="ru-RU"/>
        </w:rPr>
        <w:t xml:space="preserve"> </w:t>
      </w:r>
      <w:r w:rsidRPr="00FC325B">
        <w:rPr>
          <w:rFonts w:eastAsia="Times New Roman" w:cs="Arial"/>
          <w:color w:val="000000"/>
          <w:lang w:eastAsia="bg-BG"/>
        </w:rPr>
        <w:t>дневно по време на феталното развитие и кърменето при плъхове не е имало ефект върху родовия процес или младите организми. Няма данни за използването на Глюкобай по време на бременност и кърмене при хора.</w:t>
      </w:r>
    </w:p>
    <w:p w14:paraId="4A738511" w14:textId="77777777" w:rsidR="00FC325B" w:rsidRDefault="00FC325B" w:rsidP="00FC325B">
      <w:pPr>
        <w:spacing w:line="240" w:lineRule="auto"/>
        <w:rPr>
          <w:rFonts w:eastAsia="Times New Roman" w:cs="Arial"/>
          <w:color w:val="000000"/>
          <w:u w:val="single"/>
          <w:lang w:eastAsia="bg-BG"/>
        </w:rPr>
      </w:pPr>
    </w:p>
    <w:p w14:paraId="6AE62C39" w14:textId="7954EF76" w:rsidR="00FC325B" w:rsidRPr="00FC325B" w:rsidRDefault="00FC325B" w:rsidP="00FC325B">
      <w:pPr>
        <w:spacing w:line="240" w:lineRule="auto"/>
        <w:rPr>
          <w:rFonts w:eastAsia="Times New Roman" w:cs="Arial"/>
        </w:rPr>
      </w:pPr>
      <w:r w:rsidRPr="00FC325B">
        <w:rPr>
          <w:rFonts w:eastAsia="Times New Roman" w:cs="Arial"/>
          <w:color w:val="000000"/>
          <w:u w:val="single"/>
          <w:lang w:eastAsia="bg-BG"/>
        </w:rPr>
        <w:t>Мутагенност</w:t>
      </w:r>
    </w:p>
    <w:p w14:paraId="1B3B7F1F" w14:textId="77777777" w:rsidR="00FC325B" w:rsidRPr="00FC325B" w:rsidRDefault="00FC325B" w:rsidP="00FC325B">
      <w:pPr>
        <w:spacing w:line="240" w:lineRule="auto"/>
        <w:rPr>
          <w:rFonts w:eastAsia="Times New Roman" w:cs="Arial"/>
        </w:rPr>
      </w:pPr>
      <w:r w:rsidRPr="00FC325B">
        <w:rPr>
          <w:rFonts w:eastAsia="Times New Roman" w:cs="Arial"/>
          <w:color w:val="000000"/>
          <w:lang w:eastAsia="bg-BG"/>
        </w:rPr>
        <w:t>Според много проучвания върху мутагенностга няма данни за генотоксично действие на акарбоза.</w:t>
      </w:r>
    </w:p>
    <w:p w14:paraId="79AC06C0" w14:textId="0C65A858" w:rsidR="00FC325B" w:rsidRPr="00FC325B" w:rsidRDefault="00FC325B" w:rsidP="00FC325B">
      <w:pPr>
        <w:rPr>
          <w:rFonts w:cs="Arial"/>
        </w:rPr>
      </w:pPr>
    </w:p>
    <w:p w14:paraId="6A7820AB" w14:textId="4CC4B91D" w:rsidR="008A6AF2" w:rsidRDefault="002C50EE" w:rsidP="00395555">
      <w:pPr>
        <w:pStyle w:val="Heading1"/>
      </w:pPr>
      <w:r>
        <w:t>7. ПРИТЕЖАТЕЛ НА РАЗРЕШЕНИЕТО ЗА УПОТРЕБА</w:t>
      </w:r>
    </w:p>
    <w:p w14:paraId="31FE6281" w14:textId="0715C7F5" w:rsidR="00FC325B" w:rsidRDefault="00FC325B" w:rsidP="00FC325B"/>
    <w:p w14:paraId="021299EB" w14:textId="77777777" w:rsidR="00FC325B" w:rsidRPr="00FC325B" w:rsidRDefault="00FC325B" w:rsidP="00FC325B">
      <w:pPr>
        <w:rPr>
          <w:sz w:val="24"/>
          <w:szCs w:val="24"/>
          <w:lang w:val="en-US"/>
        </w:rPr>
      </w:pPr>
      <w:r w:rsidRPr="00FC325B">
        <w:rPr>
          <w:lang w:val="en-US"/>
        </w:rPr>
        <w:t>Bayer AG</w:t>
      </w:r>
    </w:p>
    <w:p w14:paraId="1EA76FAA" w14:textId="77777777" w:rsidR="00FC325B" w:rsidRPr="00FC325B" w:rsidRDefault="00FC325B" w:rsidP="00FC325B">
      <w:pPr>
        <w:rPr>
          <w:sz w:val="24"/>
          <w:szCs w:val="24"/>
          <w:lang w:val="en-US"/>
        </w:rPr>
      </w:pPr>
      <w:r w:rsidRPr="00FC325B">
        <w:rPr>
          <w:lang w:val="en-US"/>
        </w:rPr>
        <w:t>Kaiser-Wilhelm-</w:t>
      </w:r>
      <w:proofErr w:type="spellStart"/>
      <w:r w:rsidRPr="00FC325B">
        <w:rPr>
          <w:lang w:val="en-US"/>
        </w:rPr>
        <w:t>AHee</w:t>
      </w:r>
      <w:proofErr w:type="spellEnd"/>
      <w:r w:rsidRPr="00FC325B">
        <w:rPr>
          <w:lang w:val="en-US"/>
        </w:rPr>
        <w:t xml:space="preserve"> </w:t>
      </w:r>
      <w:r w:rsidRPr="00FC325B">
        <w:rPr>
          <w:lang w:eastAsia="bg-BG"/>
        </w:rPr>
        <w:t>1</w:t>
      </w:r>
    </w:p>
    <w:p w14:paraId="69A4B45A" w14:textId="18739571" w:rsidR="00FC325B" w:rsidRPr="00FC325B" w:rsidRDefault="00FC325B" w:rsidP="00FC325B">
      <w:r w:rsidRPr="00FC325B">
        <w:rPr>
          <w:lang w:eastAsia="bg-BG"/>
        </w:rPr>
        <w:t xml:space="preserve">51373 </w:t>
      </w:r>
      <w:r w:rsidRPr="00FC325B">
        <w:rPr>
          <w:lang w:val="en-US"/>
        </w:rPr>
        <w:t>Leverkusen</w:t>
      </w:r>
      <w:r w:rsidRPr="00FC325B">
        <w:rPr>
          <w:lang w:val="ru-RU"/>
        </w:rPr>
        <w:t xml:space="preserve">, </w:t>
      </w:r>
      <w:r w:rsidRPr="00FC325B">
        <w:rPr>
          <w:lang w:eastAsia="bg-BG"/>
        </w:rPr>
        <w:t>Германия</w:t>
      </w:r>
    </w:p>
    <w:p w14:paraId="7BA1BA64" w14:textId="2538E1E0" w:rsidR="00CF77F7" w:rsidRDefault="002C50EE" w:rsidP="004A448E">
      <w:pPr>
        <w:pStyle w:val="Heading1"/>
      </w:pPr>
      <w:r>
        <w:lastRenderedPageBreak/>
        <w:t>8. НОМЕР НА РАЗРЕШЕНИЕТО ЗА УПОТРЕБА</w:t>
      </w:r>
    </w:p>
    <w:p w14:paraId="123E0F57" w14:textId="71DF4296" w:rsidR="00FC325B" w:rsidRDefault="00FC325B" w:rsidP="00FC325B"/>
    <w:p w14:paraId="1D0A675C" w14:textId="40144DB8" w:rsidR="00FC325B" w:rsidRPr="00FC325B" w:rsidRDefault="00FC325B" w:rsidP="00FC325B">
      <w:r>
        <w:t>Регистрационен номер: 20010298</w:t>
      </w:r>
    </w:p>
    <w:p w14:paraId="2CCB5832" w14:textId="0661645B" w:rsidR="007C605B" w:rsidRDefault="002C50EE" w:rsidP="007C605B">
      <w:pPr>
        <w:pStyle w:val="Heading1"/>
      </w:pPr>
      <w:r>
        <w:t>9. ДАТА НА ПЪРВО РАЗРЕШАВАНЕ/ПОДНОВЯВАНЕ НА РАЗРЕШЕНИЕТО ЗА УПОТРЕБА</w:t>
      </w:r>
    </w:p>
    <w:p w14:paraId="6153A417" w14:textId="60CAE690" w:rsidR="00FC325B" w:rsidRDefault="00FC325B" w:rsidP="00FC325B"/>
    <w:p w14:paraId="675EFEFD" w14:textId="77777777" w:rsidR="00FC325B" w:rsidRPr="00FC325B" w:rsidRDefault="00FC325B" w:rsidP="00FC325B">
      <w:pPr>
        <w:rPr>
          <w:sz w:val="24"/>
          <w:szCs w:val="24"/>
        </w:rPr>
      </w:pPr>
      <w:r w:rsidRPr="00FC325B">
        <w:rPr>
          <w:lang w:eastAsia="bg-BG"/>
        </w:rPr>
        <w:t>Дата на първо разрешаване: 26 март 2001 г.</w:t>
      </w:r>
    </w:p>
    <w:p w14:paraId="42692D57" w14:textId="77777777" w:rsidR="00FC325B" w:rsidRPr="00FC325B" w:rsidRDefault="00FC325B" w:rsidP="00FC325B">
      <w:pPr>
        <w:rPr>
          <w:sz w:val="24"/>
          <w:szCs w:val="24"/>
        </w:rPr>
      </w:pPr>
      <w:r w:rsidRPr="00FC325B">
        <w:rPr>
          <w:lang w:eastAsia="bg-BG"/>
        </w:rPr>
        <w:t>Дата на последно подновяване: 06 април 2011 г.</w:t>
      </w:r>
    </w:p>
    <w:p w14:paraId="62FC04D7" w14:textId="77777777" w:rsidR="00FC325B" w:rsidRPr="00FC325B" w:rsidRDefault="00FC325B" w:rsidP="00FC325B"/>
    <w:p w14:paraId="0E9D0119" w14:textId="0245C6D7" w:rsidR="002C50EE" w:rsidRDefault="002C50EE" w:rsidP="002C50EE">
      <w:pPr>
        <w:pStyle w:val="Heading1"/>
      </w:pPr>
      <w:r>
        <w:t>10. ДАТА НА АКТУАЛИЗИРАНЕ НА ТЕКСТА</w:t>
      </w:r>
    </w:p>
    <w:p w14:paraId="43FB38A2" w14:textId="08B2387F" w:rsidR="007C605B" w:rsidRPr="00FC325B" w:rsidRDefault="00FC325B" w:rsidP="00FC325B">
      <w:pPr>
        <w:rPr>
          <w:rFonts w:cs="Arial"/>
        </w:rPr>
      </w:pPr>
      <w:bookmarkStart w:id="1" w:name="bookmark0"/>
      <w:bookmarkEnd w:id="0"/>
      <w:r w:rsidRPr="00FC325B">
        <w:rPr>
          <w:rFonts w:cs="Arial"/>
          <w:w w:val="80"/>
        </w:rPr>
        <w:t>мм/ггг</w:t>
      </w:r>
      <w:bookmarkStart w:id="2" w:name="_GoBack"/>
      <w:bookmarkEnd w:id="2"/>
      <w:r w:rsidRPr="00FC325B">
        <w:rPr>
          <w:rFonts w:cs="Arial"/>
          <w:w w:val="80"/>
        </w:rPr>
        <w:t>г</w:t>
      </w:r>
      <w:bookmarkEnd w:id="1"/>
    </w:p>
    <w:sectPr w:rsidR="007C605B" w:rsidRPr="00FC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C325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2846</Words>
  <Characters>16223</Characters>
  <Application>Microsoft Office Word</Application>
  <DocSecurity>0</DocSecurity>
  <Lines>135</Lines>
  <Paragraphs>38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2022-05-05T09:02:00Z</dcterms:created>
  <dcterms:modified xsi:type="dcterms:W3CDTF">2022-05-05T09:02:00Z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