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3320F4BE" w14:textId="78C6E81D" w:rsidR="00C40420" w:rsidRDefault="00DD466D" w:rsidP="004A448E">
      <w:pPr>
        <w:pStyle w:val="Heading1"/>
      </w:pPr>
      <w:r>
        <w:t>1.ИМЕ НА ЛЕКАРСТВЕНИЯ ПРОДУКТ</w:t>
      </w:r>
    </w:p>
    <w:p w14:paraId="01C3A05E" w14:textId="48EBE521" w:rsidR="00151FE1" w:rsidRDefault="00151FE1" w:rsidP="00151FE1"/>
    <w:p w14:paraId="632D503C" w14:textId="77777777" w:rsidR="00151FE1" w:rsidRPr="00151FE1" w:rsidRDefault="00151FE1" w:rsidP="00151FE1">
      <w:pPr>
        <w:rPr>
          <w:sz w:val="24"/>
          <w:szCs w:val="24"/>
        </w:rPr>
      </w:pPr>
      <w:r w:rsidRPr="00151FE1">
        <w:rPr>
          <w:lang w:eastAsia="bg-BG"/>
        </w:rPr>
        <w:t xml:space="preserve">ГЛЮКОФАЖ 850 </w:t>
      </w:r>
      <w:r w:rsidRPr="00151FE1">
        <w:rPr>
          <w:lang w:val="en-US"/>
        </w:rPr>
        <w:t>mg</w:t>
      </w:r>
      <w:r w:rsidRPr="00151FE1">
        <w:t xml:space="preserve"> </w:t>
      </w:r>
      <w:r w:rsidRPr="00151FE1">
        <w:rPr>
          <w:lang w:eastAsia="bg-BG"/>
        </w:rPr>
        <w:t>филмирани таблетки</w:t>
      </w:r>
    </w:p>
    <w:p w14:paraId="5C6C083A" w14:textId="77777777" w:rsidR="00151FE1" w:rsidRPr="00151FE1" w:rsidRDefault="00151FE1" w:rsidP="00151FE1">
      <w:pPr>
        <w:rPr>
          <w:sz w:val="24"/>
          <w:szCs w:val="24"/>
        </w:rPr>
      </w:pPr>
      <w:r w:rsidRPr="00151FE1">
        <w:rPr>
          <w:lang w:val="en-US"/>
        </w:rPr>
        <w:t>GLUCOPHAGE</w:t>
      </w:r>
      <w:r w:rsidRPr="00151FE1">
        <w:t xml:space="preserve"> </w:t>
      </w:r>
      <w:r w:rsidRPr="00151FE1">
        <w:rPr>
          <w:lang w:eastAsia="bg-BG"/>
        </w:rPr>
        <w:t xml:space="preserve">850 </w:t>
      </w:r>
      <w:r w:rsidRPr="00151FE1">
        <w:rPr>
          <w:lang w:val="en-US"/>
        </w:rPr>
        <w:t>mg</w:t>
      </w:r>
      <w:r w:rsidRPr="00151FE1">
        <w:t xml:space="preserve"> </w:t>
      </w:r>
      <w:r w:rsidRPr="00151FE1">
        <w:rPr>
          <w:lang w:val="en-US"/>
        </w:rPr>
        <w:t>film</w:t>
      </w:r>
      <w:r w:rsidRPr="00151FE1">
        <w:t>-</w:t>
      </w:r>
      <w:r w:rsidRPr="00151FE1">
        <w:rPr>
          <w:lang w:val="en-US"/>
        </w:rPr>
        <w:t>coated</w:t>
      </w:r>
      <w:r w:rsidRPr="00151FE1">
        <w:t xml:space="preserve"> </w:t>
      </w:r>
      <w:r w:rsidRPr="00151FE1">
        <w:rPr>
          <w:lang w:val="en-US"/>
        </w:rPr>
        <w:t>tablets</w:t>
      </w:r>
    </w:p>
    <w:p w14:paraId="1CC1F890" w14:textId="77777777" w:rsidR="00151FE1" w:rsidRPr="00151FE1" w:rsidRDefault="00151FE1" w:rsidP="00151FE1"/>
    <w:p w14:paraId="6920A680" w14:textId="378491A1" w:rsidR="00C40420" w:rsidRDefault="00DD466D" w:rsidP="004A448E">
      <w:pPr>
        <w:pStyle w:val="Heading1"/>
      </w:pPr>
      <w:r>
        <w:t>2. КАЧЕСТВЕН И КОЛИЧЕСТВЕН СЪСТАВ</w:t>
      </w:r>
    </w:p>
    <w:p w14:paraId="73D3B14A" w14:textId="1B4561FD" w:rsidR="00151FE1" w:rsidRDefault="00151FE1" w:rsidP="00151FE1"/>
    <w:p w14:paraId="4F1C71E7" w14:textId="77777777" w:rsidR="00151FE1" w:rsidRPr="00151FE1" w:rsidRDefault="00151FE1" w:rsidP="00151FE1">
      <w:pPr>
        <w:rPr>
          <w:sz w:val="24"/>
          <w:szCs w:val="24"/>
        </w:rPr>
      </w:pPr>
      <w:r w:rsidRPr="00151FE1">
        <w:rPr>
          <w:lang w:eastAsia="bg-BG"/>
        </w:rPr>
        <w:t xml:space="preserve">Една филмирана таблетка съдържа 850 </w:t>
      </w:r>
      <w:r w:rsidRPr="00151FE1">
        <w:rPr>
          <w:lang w:val="en-US"/>
        </w:rPr>
        <w:t>mg</w:t>
      </w:r>
      <w:r w:rsidRPr="00151FE1">
        <w:t xml:space="preserve"> </w:t>
      </w:r>
      <w:r w:rsidRPr="00151FE1">
        <w:rPr>
          <w:lang w:eastAsia="bg-BG"/>
        </w:rPr>
        <w:t xml:space="preserve">метформинов хидрохлорид </w:t>
      </w:r>
      <w:r w:rsidRPr="00151FE1">
        <w:t>(</w:t>
      </w:r>
      <w:r w:rsidRPr="00151FE1">
        <w:rPr>
          <w:lang w:val="en-US"/>
        </w:rPr>
        <w:t>metformin</w:t>
      </w:r>
      <w:r w:rsidRPr="00151FE1">
        <w:t xml:space="preserve"> </w:t>
      </w:r>
      <w:r w:rsidRPr="00151FE1">
        <w:rPr>
          <w:lang w:val="en-US"/>
        </w:rPr>
        <w:t>hydrochloride</w:t>
      </w:r>
      <w:r w:rsidRPr="00151FE1">
        <w:t xml:space="preserve">), </w:t>
      </w:r>
      <w:r w:rsidRPr="00151FE1">
        <w:rPr>
          <w:lang w:eastAsia="bg-BG"/>
        </w:rPr>
        <w:t xml:space="preserve">еквивалентен на 662,9 </w:t>
      </w:r>
      <w:r w:rsidRPr="00151FE1">
        <w:rPr>
          <w:lang w:val="en-US"/>
        </w:rPr>
        <w:t>mg</w:t>
      </w:r>
      <w:r w:rsidRPr="00151FE1">
        <w:t xml:space="preserve"> </w:t>
      </w:r>
      <w:r w:rsidRPr="00151FE1">
        <w:rPr>
          <w:lang w:eastAsia="bg-BG"/>
        </w:rPr>
        <w:t xml:space="preserve">метформин база </w:t>
      </w:r>
      <w:r w:rsidRPr="00151FE1">
        <w:t>(</w:t>
      </w:r>
      <w:r w:rsidRPr="00151FE1">
        <w:rPr>
          <w:lang w:val="en-US"/>
        </w:rPr>
        <w:t>metformin</w:t>
      </w:r>
      <w:r w:rsidRPr="00151FE1">
        <w:t xml:space="preserve"> </w:t>
      </w:r>
      <w:r w:rsidRPr="00151FE1">
        <w:rPr>
          <w:lang w:val="en-US"/>
        </w:rPr>
        <w:t>base</w:t>
      </w:r>
      <w:r w:rsidRPr="00151FE1">
        <w:t>).</w:t>
      </w:r>
    </w:p>
    <w:p w14:paraId="4FCCF55C" w14:textId="77777777" w:rsidR="00151FE1" w:rsidRPr="00151FE1" w:rsidRDefault="00151FE1" w:rsidP="00151FE1"/>
    <w:p w14:paraId="614984C4" w14:textId="114A82D0" w:rsidR="008A6AF2" w:rsidRDefault="00DD466D" w:rsidP="002C50EE">
      <w:pPr>
        <w:pStyle w:val="Heading1"/>
      </w:pPr>
      <w:r>
        <w:t>3. ЛЕКАРСТВЕНА ФОРМА</w:t>
      </w:r>
    </w:p>
    <w:p w14:paraId="72891B82" w14:textId="10F1420A" w:rsidR="00151FE1" w:rsidRDefault="00151FE1" w:rsidP="00151FE1"/>
    <w:p w14:paraId="1CC8FEA5" w14:textId="77777777" w:rsidR="00151FE1" w:rsidRPr="00151FE1" w:rsidRDefault="00151FE1" w:rsidP="00151FE1">
      <w:pPr>
        <w:rPr>
          <w:sz w:val="24"/>
          <w:szCs w:val="24"/>
        </w:rPr>
      </w:pPr>
      <w:r w:rsidRPr="00151FE1">
        <w:rPr>
          <w:lang w:eastAsia="bg-BG"/>
        </w:rPr>
        <w:t>Филмирана таблетка.</w:t>
      </w:r>
    </w:p>
    <w:p w14:paraId="50A522BB" w14:textId="77777777" w:rsidR="00151FE1" w:rsidRDefault="00151FE1" w:rsidP="00151FE1">
      <w:pPr>
        <w:rPr>
          <w:lang w:eastAsia="bg-BG"/>
        </w:rPr>
      </w:pPr>
    </w:p>
    <w:p w14:paraId="127F3E32" w14:textId="05A61CA2" w:rsidR="00151FE1" w:rsidRPr="00151FE1" w:rsidRDefault="00151FE1" w:rsidP="00151FE1">
      <w:r w:rsidRPr="00151FE1">
        <w:rPr>
          <w:lang w:eastAsia="bg-BG"/>
        </w:rPr>
        <w:t xml:space="preserve">Бели, кръгли, изпъкнали филмирани таблетки, 13,5 </w:t>
      </w:r>
      <w:r w:rsidRPr="00151FE1">
        <w:rPr>
          <w:lang w:val="en-US"/>
        </w:rPr>
        <w:t>mm</w:t>
      </w:r>
      <w:r w:rsidRPr="00151FE1">
        <w:rPr>
          <w:lang w:val="ru-RU"/>
        </w:rPr>
        <w:t xml:space="preserve"> </w:t>
      </w:r>
      <w:r w:rsidRPr="00151FE1">
        <w:rPr>
          <w:lang w:eastAsia="bg-BG"/>
        </w:rPr>
        <w:t xml:space="preserve">в диаметър и 6,6 </w:t>
      </w:r>
      <w:r w:rsidRPr="00151FE1">
        <w:rPr>
          <w:lang w:val="en-US"/>
        </w:rPr>
        <w:t>mm</w:t>
      </w:r>
      <w:r w:rsidRPr="00151FE1">
        <w:rPr>
          <w:lang w:val="ru-RU"/>
        </w:rPr>
        <w:t xml:space="preserve"> </w:t>
      </w:r>
      <w:r w:rsidRPr="00151FE1">
        <w:rPr>
          <w:lang w:eastAsia="bg-BG"/>
        </w:rPr>
        <w:t>височина.</w:t>
      </w:r>
    </w:p>
    <w:p w14:paraId="490FC2C4" w14:textId="32682B15" w:rsidR="002C50EE" w:rsidRDefault="002C50EE" w:rsidP="002C50EE">
      <w:pPr>
        <w:pStyle w:val="Heading1"/>
      </w:pPr>
      <w:r>
        <w:t>4. КЛИНИЧНИ ДАННИ</w:t>
      </w:r>
    </w:p>
    <w:p w14:paraId="0C8E6903" w14:textId="6A323C65" w:rsidR="008134C8" w:rsidRDefault="002C50EE" w:rsidP="004A448E">
      <w:pPr>
        <w:pStyle w:val="Heading2"/>
      </w:pPr>
      <w:r>
        <w:t>4.1. Терапевтични показания</w:t>
      </w:r>
    </w:p>
    <w:p w14:paraId="2443CE14" w14:textId="58459182" w:rsidR="00151FE1" w:rsidRDefault="00151FE1" w:rsidP="00151FE1"/>
    <w:p w14:paraId="0316527A" w14:textId="720FB8D0" w:rsidR="00151FE1" w:rsidRDefault="00151FE1" w:rsidP="00151FE1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151FE1">
        <w:rPr>
          <w:rFonts w:eastAsia="Times New Roman" w:cs="Arial"/>
          <w:color w:val="000000"/>
          <w:lang w:eastAsia="bg-BG"/>
        </w:rPr>
        <w:t>Лечение на захарен диабет тип 2, особено при пациенти с наднормено тегло, когато само диета и физически упражнения не водят до адекватен гликемичен контрол.</w:t>
      </w:r>
    </w:p>
    <w:p w14:paraId="6031EA36" w14:textId="77777777" w:rsidR="00151FE1" w:rsidRPr="00151FE1" w:rsidRDefault="00151FE1" w:rsidP="00151FE1">
      <w:pPr>
        <w:spacing w:line="240" w:lineRule="auto"/>
        <w:rPr>
          <w:rFonts w:eastAsia="Times New Roman" w:cs="Arial"/>
        </w:rPr>
      </w:pPr>
    </w:p>
    <w:p w14:paraId="242D2BC4" w14:textId="77777777" w:rsidR="00151FE1" w:rsidRDefault="00151FE1" w:rsidP="00151FE1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51FE1">
        <w:rPr>
          <w:rFonts w:eastAsia="Times New Roman" w:cs="Arial"/>
          <w:color w:val="000000"/>
          <w:lang w:eastAsia="bg-BG"/>
        </w:rPr>
        <w:t>При възрастни, Глюкофаж може да се прилага като монотерапия или в комбинация с други перорални антидиабетни лекарствени продукти или с инсулин.</w:t>
      </w:r>
    </w:p>
    <w:p w14:paraId="4A8699DD" w14:textId="31BC9EEE" w:rsidR="00151FE1" w:rsidRPr="00151FE1" w:rsidRDefault="00151FE1" w:rsidP="00151FE1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51FE1">
        <w:rPr>
          <w:rFonts w:eastAsia="Times New Roman" w:cs="Arial"/>
          <w:color w:val="000000"/>
          <w:lang w:eastAsia="bg-BG"/>
        </w:rPr>
        <w:t>При деца над 10 години и юноши, може да се прилага като монотерапия или в</w:t>
      </w:r>
      <w:r w:rsidRPr="00151FE1">
        <w:rPr>
          <w:rFonts w:eastAsia="Times New Roman" w:cs="Arial"/>
          <w:color w:val="000000"/>
          <w:lang w:val="ru-RU" w:eastAsia="bg-BG"/>
        </w:rPr>
        <w:t xml:space="preserve"> </w:t>
      </w:r>
      <w:r w:rsidRPr="00151FE1">
        <w:rPr>
          <w:rFonts w:eastAsia="Times New Roman" w:cs="Arial"/>
          <w:color w:val="000000"/>
          <w:lang w:eastAsia="bg-BG"/>
        </w:rPr>
        <w:t>комбинация с инсулин.</w:t>
      </w:r>
    </w:p>
    <w:p w14:paraId="69F4DEAE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8C990D6" w14:textId="799F2900" w:rsidR="00151FE1" w:rsidRPr="00151FE1" w:rsidRDefault="00151FE1" w:rsidP="00151FE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FE1">
        <w:rPr>
          <w:rFonts w:eastAsia="Times New Roman" w:cs="Arial"/>
          <w:color w:val="000000"/>
          <w:lang w:eastAsia="bg-BG"/>
        </w:rPr>
        <w:t>Установено е намаление на усложненията, свързани с диабета, при пациенти с наднормено тегло и диабет тип 2, лекувани с метформин, като първи избор на лечение след неуспешна диета, (виж точка 5.1).</w:t>
      </w:r>
    </w:p>
    <w:p w14:paraId="7FEC0390" w14:textId="77777777" w:rsidR="00151FE1" w:rsidRPr="00151FE1" w:rsidRDefault="00151FE1" w:rsidP="00151FE1"/>
    <w:p w14:paraId="30BE2C7B" w14:textId="2C29DFA9" w:rsidR="008134C8" w:rsidRDefault="002C50EE" w:rsidP="004A448E">
      <w:pPr>
        <w:pStyle w:val="Heading2"/>
      </w:pPr>
      <w:r>
        <w:t>4.2. Дозировка и начин на приложение</w:t>
      </w:r>
    </w:p>
    <w:p w14:paraId="5D763002" w14:textId="1A1C9FDC" w:rsidR="00151FE1" w:rsidRDefault="00151FE1" w:rsidP="00151FE1"/>
    <w:p w14:paraId="0EF504B0" w14:textId="77777777" w:rsidR="00151FE1" w:rsidRPr="00151FE1" w:rsidRDefault="00151FE1" w:rsidP="00151FE1">
      <w:pPr>
        <w:pStyle w:val="Heading3"/>
        <w:rPr>
          <w:rFonts w:eastAsia="Times New Roman"/>
          <w:u w:val="single"/>
        </w:rPr>
      </w:pPr>
      <w:r w:rsidRPr="00151FE1">
        <w:rPr>
          <w:rFonts w:eastAsia="Times New Roman"/>
          <w:u w:val="single"/>
          <w:lang w:eastAsia="bg-BG"/>
        </w:rPr>
        <w:t>Дозировка</w:t>
      </w:r>
    </w:p>
    <w:p w14:paraId="5324D710" w14:textId="77777777" w:rsidR="00151FE1" w:rsidRDefault="00151FE1" w:rsidP="00151FE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8C18FBA" w14:textId="1E0579F8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i/>
          <w:iCs/>
          <w:color w:val="000000"/>
          <w:lang w:eastAsia="bg-BG"/>
        </w:rPr>
        <w:t xml:space="preserve">Възрастни с нормална бъбречна функция </w:t>
      </w:r>
      <w:r w:rsidRPr="00151FE1">
        <w:rPr>
          <w:rFonts w:eastAsia="Times New Roman" w:cs="Arial"/>
          <w:i/>
          <w:iCs/>
          <w:color w:val="000000"/>
          <w:lang w:val="ru-RU"/>
        </w:rPr>
        <w:t>(</w:t>
      </w:r>
      <w:r w:rsidRPr="00151FE1">
        <w:rPr>
          <w:rFonts w:eastAsia="Times New Roman" w:cs="Arial"/>
          <w:i/>
          <w:iCs/>
          <w:color w:val="000000"/>
          <w:lang w:val="en-US"/>
        </w:rPr>
        <w:t>GFR</w:t>
      </w:r>
      <w:r w:rsidRPr="00151FE1">
        <w:rPr>
          <w:rFonts w:eastAsia="Times New Roman" w:cs="Arial"/>
          <w:i/>
          <w:iCs/>
          <w:color w:val="000000"/>
          <w:lang w:eastAsia="bg-BG"/>
        </w:rPr>
        <w:t>≥</w:t>
      </w:r>
      <w:r w:rsidRPr="00151FE1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151FE1">
        <w:rPr>
          <w:rFonts w:eastAsia="Times New Roman" w:cs="Arial"/>
          <w:i/>
          <w:iCs/>
          <w:color w:val="000000"/>
          <w:lang w:eastAsia="bg-BG"/>
        </w:rPr>
        <w:t xml:space="preserve">90 </w:t>
      </w:r>
      <w:r w:rsidRPr="00151FE1">
        <w:rPr>
          <w:rFonts w:eastAsia="Times New Roman" w:cs="Arial"/>
          <w:i/>
          <w:iCs/>
          <w:color w:val="000000"/>
          <w:lang w:val="en-US"/>
        </w:rPr>
        <w:t>ml</w:t>
      </w:r>
      <w:r w:rsidRPr="00151FE1">
        <w:rPr>
          <w:rFonts w:eastAsia="Times New Roman" w:cs="Arial"/>
          <w:i/>
          <w:iCs/>
          <w:color w:val="000000"/>
          <w:lang w:eastAsia="bg-BG"/>
        </w:rPr>
        <w:t>/мин)</w:t>
      </w:r>
    </w:p>
    <w:p w14:paraId="4CFCEC63" w14:textId="77777777" w:rsidR="00151FE1" w:rsidRDefault="00151FE1" w:rsidP="00151FE1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1" w:name="bookmark0"/>
    </w:p>
    <w:p w14:paraId="64B3D0D3" w14:textId="2AA3122C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b/>
          <w:bCs/>
          <w:color w:val="000000"/>
          <w:lang w:eastAsia="bg-BG"/>
        </w:rPr>
        <w:t>Монотерапия и в комбинация с други перорални антидиабетни средства</w:t>
      </w:r>
      <w:bookmarkEnd w:id="1"/>
    </w:p>
    <w:p w14:paraId="1AA27CF3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15F0AF6" w14:textId="475B74F4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 xml:space="preserve">Обичайната начална доза е 500 </w:t>
      </w:r>
      <w:r w:rsidRPr="00151FE1">
        <w:rPr>
          <w:rFonts w:eastAsia="Times New Roman" w:cs="Arial"/>
          <w:color w:val="000000"/>
          <w:lang w:val="en-US"/>
        </w:rPr>
        <w:t>mg</w:t>
      </w:r>
      <w:r w:rsidRPr="00151FE1">
        <w:rPr>
          <w:rFonts w:eastAsia="Times New Roman" w:cs="Arial"/>
          <w:color w:val="000000"/>
          <w:lang w:val="ru-RU"/>
        </w:rPr>
        <w:t xml:space="preserve"> </w:t>
      </w:r>
      <w:r w:rsidRPr="00151FE1">
        <w:rPr>
          <w:rFonts w:eastAsia="Times New Roman" w:cs="Arial"/>
          <w:color w:val="000000"/>
          <w:lang w:eastAsia="bg-BG"/>
        </w:rPr>
        <w:t xml:space="preserve">или 850 </w:t>
      </w:r>
      <w:r w:rsidRPr="00151FE1">
        <w:rPr>
          <w:rFonts w:eastAsia="Times New Roman" w:cs="Arial"/>
          <w:color w:val="000000"/>
          <w:lang w:val="en-US"/>
        </w:rPr>
        <w:t>mg</w:t>
      </w:r>
      <w:r w:rsidRPr="00151FE1">
        <w:rPr>
          <w:rFonts w:eastAsia="Times New Roman" w:cs="Arial"/>
          <w:color w:val="000000"/>
          <w:lang w:val="ru-RU"/>
        </w:rPr>
        <w:t xml:space="preserve"> </w:t>
      </w:r>
      <w:r w:rsidRPr="00151FE1">
        <w:rPr>
          <w:rFonts w:eastAsia="Times New Roman" w:cs="Arial"/>
          <w:color w:val="000000"/>
          <w:lang w:eastAsia="bg-BG"/>
        </w:rPr>
        <w:t>метформин хидрохлорид два или три пъти дневно, приемана по време или след хранене.</w:t>
      </w:r>
    </w:p>
    <w:p w14:paraId="572D7A4F" w14:textId="66A0349E" w:rsidR="00151FE1" w:rsidRDefault="00151FE1" w:rsidP="00151FE1">
      <w:pPr>
        <w:rPr>
          <w:rFonts w:eastAsia="Times New Roman" w:cs="Arial"/>
          <w:color w:val="000000"/>
          <w:lang w:eastAsia="bg-BG"/>
        </w:rPr>
      </w:pPr>
      <w:r w:rsidRPr="00151FE1">
        <w:rPr>
          <w:rFonts w:eastAsia="Times New Roman" w:cs="Arial"/>
          <w:color w:val="000000"/>
          <w:lang w:eastAsia="bg-BG"/>
        </w:rPr>
        <w:lastRenderedPageBreak/>
        <w:t>След 10 до 15 дни дозата трябва да се адаптира в зависимост от измерените стойности на кръвната захар. Постепенното повишаване на дозата може да подобри гастроинтестиналната толерантност. Допустимата максимална дневна доза метформинов хидрохлорид е 3</w:t>
      </w:r>
      <w:r w:rsidRPr="00151FE1">
        <w:rPr>
          <w:rFonts w:eastAsia="Times New Roman" w:cs="Arial"/>
          <w:color w:val="000000"/>
          <w:lang w:val="en-US"/>
        </w:rPr>
        <w:t>g</w:t>
      </w:r>
      <w:r w:rsidRPr="00151FE1">
        <w:rPr>
          <w:rFonts w:eastAsia="Times New Roman" w:cs="Arial"/>
          <w:color w:val="000000"/>
          <w:lang w:val="ru-RU"/>
        </w:rPr>
        <w:t xml:space="preserve"> </w:t>
      </w:r>
      <w:r w:rsidRPr="00151FE1">
        <w:rPr>
          <w:rFonts w:eastAsia="Times New Roman" w:cs="Arial"/>
          <w:color w:val="000000"/>
          <w:lang w:eastAsia="bg-BG"/>
        </w:rPr>
        <w:t>разделени на три приема.</w:t>
      </w:r>
    </w:p>
    <w:p w14:paraId="2B0F7009" w14:textId="0A49CC8F" w:rsidR="00151FE1" w:rsidRDefault="00151FE1" w:rsidP="00151FE1">
      <w:pPr>
        <w:rPr>
          <w:rFonts w:eastAsia="Times New Roman" w:cs="Arial"/>
          <w:color w:val="000000"/>
          <w:lang w:eastAsia="bg-BG"/>
        </w:rPr>
      </w:pPr>
    </w:p>
    <w:p w14:paraId="5D959C4C" w14:textId="77777777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Ако се предвижда замяна на друг перорален антидиабетен продукт, предишното хипогликемично лечение трябва да бъде преустановено и да се замести с метформин в дозата, посочена по-горе.</w:t>
      </w:r>
    </w:p>
    <w:p w14:paraId="43839EEA" w14:textId="77777777" w:rsidR="00151FE1" w:rsidRDefault="00151FE1" w:rsidP="00151FE1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4F99EB8C" w14:textId="1AB5978C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b/>
          <w:bCs/>
          <w:color w:val="000000"/>
          <w:lang w:eastAsia="bg-BG"/>
        </w:rPr>
        <w:t>Комбинация с инсулин</w:t>
      </w:r>
    </w:p>
    <w:p w14:paraId="28E0FFE9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EEE2ED4" w14:textId="2B7454AB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Метформин и инсулин могат да се използват в комбинирана терапия, за да се постигне по- добър контрол на кръвната захар.</w:t>
      </w:r>
    </w:p>
    <w:p w14:paraId="7287541A" w14:textId="77777777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 xml:space="preserve">Обичайната начална доза е </w:t>
      </w:r>
      <w:r w:rsidRPr="00151FE1">
        <w:rPr>
          <w:rFonts w:eastAsia="Times New Roman" w:cs="Arial"/>
          <w:i/>
          <w:iCs/>
          <w:color w:val="000000"/>
          <w:lang w:eastAsia="bg-BG"/>
        </w:rPr>
        <w:t>500</w:t>
      </w:r>
      <w:r w:rsidRPr="00151FE1">
        <w:rPr>
          <w:rFonts w:eastAsia="Times New Roman" w:cs="Arial"/>
          <w:color w:val="000000"/>
          <w:lang w:eastAsia="bg-BG"/>
        </w:rPr>
        <w:t xml:space="preserve"> </w:t>
      </w:r>
      <w:r w:rsidRPr="00151FE1">
        <w:rPr>
          <w:rFonts w:eastAsia="Times New Roman" w:cs="Arial"/>
          <w:color w:val="000000"/>
          <w:lang w:val="en-US"/>
        </w:rPr>
        <w:t>mg</w:t>
      </w:r>
      <w:r w:rsidRPr="00151FE1">
        <w:rPr>
          <w:rFonts w:eastAsia="Times New Roman" w:cs="Arial"/>
          <w:color w:val="000000"/>
          <w:lang w:val="ru-RU"/>
        </w:rPr>
        <w:t xml:space="preserve"> </w:t>
      </w:r>
      <w:r w:rsidRPr="00151FE1">
        <w:rPr>
          <w:rFonts w:eastAsia="Times New Roman" w:cs="Arial"/>
          <w:color w:val="000000"/>
          <w:lang w:eastAsia="bg-BG"/>
        </w:rPr>
        <w:t xml:space="preserve">или 850 </w:t>
      </w:r>
      <w:r w:rsidRPr="00151FE1">
        <w:rPr>
          <w:rFonts w:eastAsia="Times New Roman" w:cs="Arial"/>
          <w:color w:val="000000"/>
          <w:lang w:val="en-US"/>
        </w:rPr>
        <w:t>mg</w:t>
      </w:r>
      <w:r w:rsidRPr="00151FE1">
        <w:rPr>
          <w:rFonts w:eastAsia="Times New Roman" w:cs="Arial"/>
          <w:color w:val="000000"/>
          <w:lang w:val="ru-RU"/>
        </w:rPr>
        <w:t xml:space="preserve"> </w:t>
      </w:r>
      <w:r w:rsidRPr="00151FE1">
        <w:rPr>
          <w:rFonts w:eastAsia="Times New Roman" w:cs="Arial"/>
          <w:color w:val="000000"/>
          <w:lang w:eastAsia="bg-BG"/>
        </w:rPr>
        <w:t xml:space="preserve">метформинов хидрохлорид 2 или </w:t>
      </w:r>
      <w:r w:rsidRPr="00151FE1">
        <w:rPr>
          <w:rFonts w:eastAsia="Times New Roman" w:cs="Arial"/>
          <w:i/>
          <w:iCs/>
          <w:color w:val="000000"/>
          <w:lang w:eastAsia="bg-BG"/>
        </w:rPr>
        <w:t>3</w:t>
      </w:r>
      <w:r w:rsidRPr="00151FE1">
        <w:rPr>
          <w:rFonts w:eastAsia="Times New Roman" w:cs="Arial"/>
          <w:color w:val="000000"/>
          <w:lang w:eastAsia="bg-BG"/>
        </w:rPr>
        <w:t xml:space="preserve"> пъти дневно, докато дозата на инсулина се адаптира в зависимост от измерените стойности на кръвната захар.</w:t>
      </w:r>
    </w:p>
    <w:p w14:paraId="05AB522F" w14:textId="77777777" w:rsidR="00151FE1" w:rsidRDefault="00151FE1" w:rsidP="00151FE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CB26886" w14:textId="5AC654AD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i/>
          <w:iCs/>
          <w:color w:val="000000"/>
          <w:lang w:eastAsia="bg-BG"/>
        </w:rPr>
        <w:t>Пациенти</w:t>
      </w:r>
      <w:r w:rsidRPr="00151FE1">
        <w:rPr>
          <w:rFonts w:eastAsia="Times New Roman" w:cs="Arial"/>
          <w:color w:val="000000"/>
          <w:lang w:eastAsia="bg-BG"/>
        </w:rPr>
        <w:t xml:space="preserve"> е </w:t>
      </w:r>
      <w:r w:rsidRPr="00151FE1">
        <w:rPr>
          <w:rFonts w:eastAsia="Times New Roman" w:cs="Arial"/>
          <w:i/>
          <w:iCs/>
          <w:color w:val="000000"/>
          <w:lang w:eastAsia="bg-BG"/>
        </w:rPr>
        <w:t>напреднала възраст</w:t>
      </w:r>
    </w:p>
    <w:p w14:paraId="7C477E20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360B8EA" w14:textId="187C86AE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Поради вероятността от намалена бъбречна функция при пациенти в напреднала възраст, дозата на метформин трябва да се адаптира в зависимост от бъбречната функция, която редовно трябва да се контролира (виж точка 4.4).</w:t>
      </w:r>
    </w:p>
    <w:p w14:paraId="710D3948" w14:textId="77777777" w:rsidR="00151FE1" w:rsidRDefault="00151FE1" w:rsidP="00151FE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0A2D9D9" w14:textId="5DBE8550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i/>
          <w:iCs/>
          <w:color w:val="000000"/>
          <w:lang w:eastAsia="bg-BG"/>
        </w:rPr>
        <w:t>Бъбречно увреждане</w:t>
      </w:r>
    </w:p>
    <w:p w14:paraId="07C76308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28C48F3" w14:textId="235B7C97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 xml:space="preserve">Преди започване на лечение с продукти, съдържащи метформин, трябва да се направи оценка на </w:t>
      </w:r>
      <w:r w:rsidRPr="00151FE1">
        <w:rPr>
          <w:rFonts w:eastAsia="Times New Roman" w:cs="Arial"/>
          <w:color w:val="000000"/>
          <w:lang w:val="en-US"/>
        </w:rPr>
        <w:t>GFR</w:t>
      </w:r>
      <w:r w:rsidRPr="00151FE1">
        <w:rPr>
          <w:rFonts w:eastAsia="Times New Roman" w:cs="Arial"/>
          <w:color w:val="000000"/>
          <w:lang w:val="ru-RU"/>
        </w:rPr>
        <w:t xml:space="preserve"> </w:t>
      </w:r>
      <w:r w:rsidRPr="00151FE1">
        <w:rPr>
          <w:rFonts w:eastAsia="Times New Roman" w:cs="Arial"/>
          <w:color w:val="000000"/>
          <w:lang w:eastAsia="bg-BG"/>
        </w:rPr>
        <w:t>стойностите, а след това - поне веднъж годишно. При пациенти с повишен риск от по</w:t>
      </w:r>
      <w:r w:rsidRPr="00151FE1">
        <w:rPr>
          <w:rFonts w:eastAsia="Times New Roman" w:cs="Arial"/>
          <w:color w:val="000000"/>
          <w:lang w:eastAsia="bg-BG"/>
        </w:rPr>
        <w:softHyphen/>
        <w:t>нататъшно прогресиране на бъбречно увреждане и при пациенти в старческа възраст трябва по- често да се прави оценка на бъбречната функция, например на всеки 3-6 месеца.</w:t>
      </w:r>
    </w:p>
    <w:p w14:paraId="4C3941C5" w14:textId="072EE9E6" w:rsidR="00151FE1" w:rsidRDefault="00151FE1" w:rsidP="00151FE1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119"/>
        <w:gridCol w:w="3135"/>
      </w:tblGrid>
      <w:tr w:rsidR="00151FE1" w14:paraId="1964A6C2" w14:textId="77777777" w:rsidTr="00151FE1">
        <w:tc>
          <w:tcPr>
            <w:tcW w:w="3192" w:type="dxa"/>
          </w:tcPr>
          <w:p w14:paraId="36C5A1DB" w14:textId="26CA91D6" w:rsidR="00151FE1" w:rsidRPr="00151FE1" w:rsidRDefault="00151FE1" w:rsidP="00151FE1">
            <w:pPr>
              <w:rPr>
                <w:rFonts w:cs="Arial"/>
              </w:rPr>
            </w:pPr>
            <w:r w:rsidRPr="00151FE1">
              <w:rPr>
                <w:lang w:val="en-US"/>
              </w:rPr>
              <w:t>GFR ml</w:t>
            </w:r>
            <w:r w:rsidRPr="00151FE1">
              <w:t>/мин</w:t>
            </w:r>
          </w:p>
        </w:tc>
        <w:tc>
          <w:tcPr>
            <w:tcW w:w="3192" w:type="dxa"/>
          </w:tcPr>
          <w:p w14:paraId="56DF246D" w14:textId="444987F2" w:rsidR="00151FE1" w:rsidRPr="00151FE1" w:rsidRDefault="00151FE1" w:rsidP="00151FE1">
            <w:pPr>
              <w:rPr>
                <w:rFonts w:cs="Arial"/>
              </w:rPr>
            </w:pPr>
            <w:r w:rsidRPr="00151FE1">
              <w:t>Обща максимална дневна доза (да се раздели на 2-3 дневни дози)</w:t>
            </w:r>
          </w:p>
        </w:tc>
        <w:tc>
          <w:tcPr>
            <w:tcW w:w="3192" w:type="dxa"/>
          </w:tcPr>
          <w:p w14:paraId="49854995" w14:textId="53F13A83" w:rsidR="00151FE1" w:rsidRPr="00151FE1" w:rsidRDefault="00151FE1" w:rsidP="00151FE1">
            <w:pPr>
              <w:rPr>
                <w:rFonts w:cs="Arial"/>
              </w:rPr>
            </w:pPr>
            <w:r w:rsidRPr="00151FE1">
              <w:t>1 Допълнителни съображения</w:t>
            </w:r>
          </w:p>
        </w:tc>
      </w:tr>
      <w:tr w:rsidR="00151FE1" w14:paraId="42231205" w14:textId="77777777" w:rsidTr="00151FE1">
        <w:tc>
          <w:tcPr>
            <w:tcW w:w="3192" w:type="dxa"/>
          </w:tcPr>
          <w:p w14:paraId="455E1AD9" w14:textId="685E8722" w:rsidR="00151FE1" w:rsidRPr="00151FE1" w:rsidRDefault="00151FE1" w:rsidP="00151FE1">
            <w:pPr>
              <w:rPr>
                <w:rFonts w:cs="Arial"/>
              </w:rPr>
            </w:pPr>
            <w:r w:rsidRPr="00151FE1">
              <w:rPr>
                <w:lang w:val="en-US"/>
              </w:rPr>
              <w:t>60-89</w:t>
            </w:r>
          </w:p>
        </w:tc>
        <w:tc>
          <w:tcPr>
            <w:tcW w:w="3192" w:type="dxa"/>
          </w:tcPr>
          <w:p w14:paraId="4638BD6A" w14:textId="0D731180" w:rsidR="00151FE1" w:rsidRPr="00151FE1" w:rsidRDefault="00151FE1" w:rsidP="00151FE1">
            <w:pPr>
              <w:rPr>
                <w:rFonts w:cs="Arial"/>
              </w:rPr>
            </w:pPr>
            <w:r w:rsidRPr="00151FE1">
              <w:t xml:space="preserve">3000 </w:t>
            </w:r>
            <w:r w:rsidRPr="00151FE1">
              <w:rPr>
                <w:lang w:val="en-US"/>
              </w:rPr>
              <w:t>mg</w:t>
            </w:r>
          </w:p>
        </w:tc>
        <w:tc>
          <w:tcPr>
            <w:tcW w:w="3192" w:type="dxa"/>
          </w:tcPr>
          <w:p w14:paraId="09C76966" w14:textId="12730F6E" w:rsidR="00151FE1" w:rsidRPr="00151FE1" w:rsidRDefault="00151FE1" w:rsidP="00151FE1">
            <w:pPr>
              <w:rPr>
                <w:rFonts w:cs="Arial"/>
              </w:rPr>
            </w:pPr>
            <w:r w:rsidRPr="00151FE1">
              <w:t>Може да се обмисли понижаване на дозата във връзка с намаляването на бъбречната функция.</w:t>
            </w:r>
          </w:p>
        </w:tc>
      </w:tr>
      <w:tr w:rsidR="00151FE1" w14:paraId="1A724159" w14:textId="77777777" w:rsidTr="00151FE1">
        <w:tc>
          <w:tcPr>
            <w:tcW w:w="3192" w:type="dxa"/>
          </w:tcPr>
          <w:p w14:paraId="56772AD9" w14:textId="63239DB7" w:rsidR="00151FE1" w:rsidRPr="00151FE1" w:rsidRDefault="00151FE1" w:rsidP="00151FE1">
            <w:pPr>
              <w:rPr>
                <w:rFonts w:cs="Arial"/>
              </w:rPr>
            </w:pPr>
            <w:r w:rsidRPr="00151FE1">
              <w:rPr>
                <w:lang w:val="en-US"/>
              </w:rPr>
              <w:t>45-59</w:t>
            </w:r>
          </w:p>
        </w:tc>
        <w:tc>
          <w:tcPr>
            <w:tcW w:w="3192" w:type="dxa"/>
          </w:tcPr>
          <w:p w14:paraId="34B3A94A" w14:textId="68665C81" w:rsidR="00151FE1" w:rsidRPr="00151FE1" w:rsidRDefault="00151FE1" w:rsidP="00151FE1">
            <w:pPr>
              <w:rPr>
                <w:rFonts w:cs="Arial"/>
              </w:rPr>
            </w:pPr>
            <w:r w:rsidRPr="00151FE1">
              <w:t xml:space="preserve">2000 </w:t>
            </w:r>
            <w:r w:rsidRPr="00151FE1">
              <w:rPr>
                <w:lang w:val="en-US"/>
              </w:rPr>
              <w:t>mg</w:t>
            </w:r>
          </w:p>
        </w:tc>
        <w:tc>
          <w:tcPr>
            <w:tcW w:w="3192" w:type="dxa"/>
            <w:vMerge w:val="restart"/>
          </w:tcPr>
          <w:p w14:paraId="39F7B7B3" w14:textId="77777777" w:rsidR="00151FE1" w:rsidRPr="00151FE1" w:rsidRDefault="00151FE1" w:rsidP="00151FE1">
            <w:r w:rsidRPr="00151FE1">
              <w:t>Факторите, които могат да увеличат риска от лактатна ацидоза (виж точка 4.4) трябва да бъдат преразгледани, преди да се обмисли започването на лечение с метформин.</w:t>
            </w:r>
          </w:p>
          <w:p w14:paraId="6B724948" w14:textId="6F4F2B03" w:rsidR="00151FE1" w:rsidRPr="00151FE1" w:rsidRDefault="00151FE1" w:rsidP="00151FE1">
            <w:pPr>
              <w:rPr>
                <w:rFonts w:cs="Arial"/>
              </w:rPr>
            </w:pPr>
            <w:r w:rsidRPr="00151FE1">
              <w:t>Началната доза е най-много половината от максималната доза.</w:t>
            </w:r>
          </w:p>
        </w:tc>
      </w:tr>
      <w:tr w:rsidR="00151FE1" w14:paraId="1797CAE2" w14:textId="77777777" w:rsidTr="00151FE1">
        <w:tc>
          <w:tcPr>
            <w:tcW w:w="3192" w:type="dxa"/>
          </w:tcPr>
          <w:p w14:paraId="2C41C647" w14:textId="4B31FBE3" w:rsidR="00151FE1" w:rsidRPr="00151FE1" w:rsidRDefault="00151FE1" w:rsidP="00151FE1">
            <w:pPr>
              <w:rPr>
                <w:rFonts w:cs="Arial"/>
              </w:rPr>
            </w:pPr>
            <w:r w:rsidRPr="00151FE1">
              <w:rPr>
                <w:lang w:val="en-US"/>
              </w:rPr>
              <w:t>30-44</w:t>
            </w:r>
          </w:p>
        </w:tc>
        <w:tc>
          <w:tcPr>
            <w:tcW w:w="3192" w:type="dxa"/>
          </w:tcPr>
          <w:p w14:paraId="72606E8D" w14:textId="57991F96" w:rsidR="00151FE1" w:rsidRPr="00151FE1" w:rsidRDefault="00151FE1" w:rsidP="00151FE1">
            <w:pPr>
              <w:rPr>
                <w:rFonts w:cs="Arial"/>
              </w:rPr>
            </w:pPr>
            <w:r w:rsidRPr="00151FE1">
              <w:t xml:space="preserve">1000 </w:t>
            </w:r>
            <w:r w:rsidRPr="00151FE1">
              <w:rPr>
                <w:lang w:val="en-US"/>
              </w:rPr>
              <w:t>mg</w:t>
            </w:r>
          </w:p>
        </w:tc>
        <w:tc>
          <w:tcPr>
            <w:tcW w:w="3192" w:type="dxa"/>
            <w:vMerge/>
          </w:tcPr>
          <w:p w14:paraId="787E127A" w14:textId="77777777" w:rsidR="00151FE1" w:rsidRPr="00151FE1" w:rsidRDefault="00151FE1" w:rsidP="00151FE1">
            <w:pPr>
              <w:rPr>
                <w:rFonts w:cs="Arial"/>
              </w:rPr>
            </w:pPr>
          </w:p>
        </w:tc>
      </w:tr>
      <w:tr w:rsidR="00151FE1" w14:paraId="7BF198A8" w14:textId="77777777" w:rsidTr="00151FE1">
        <w:tc>
          <w:tcPr>
            <w:tcW w:w="3192" w:type="dxa"/>
          </w:tcPr>
          <w:p w14:paraId="354EFD9E" w14:textId="285D9B74" w:rsidR="00151FE1" w:rsidRPr="00151FE1" w:rsidRDefault="00151FE1" w:rsidP="00151FE1">
            <w:pPr>
              <w:rPr>
                <w:rFonts w:cs="Arial"/>
              </w:rPr>
            </w:pPr>
            <w:r w:rsidRPr="00151FE1">
              <w:rPr>
                <w:lang w:val="en-US"/>
              </w:rPr>
              <w:lastRenderedPageBreak/>
              <w:t>&lt;30</w:t>
            </w:r>
          </w:p>
        </w:tc>
        <w:tc>
          <w:tcPr>
            <w:tcW w:w="3192" w:type="dxa"/>
          </w:tcPr>
          <w:p w14:paraId="3264751C" w14:textId="2A218271" w:rsidR="00151FE1" w:rsidRPr="00151FE1" w:rsidRDefault="00151FE1" w:rsidP="00151FE1">
            <w:pPr>
              <w:rPr>
                <w:rFonts w:cs="Arial"/>
              </w:rPr>
            </w:pPr>
            <w:r w:rsidRPr="00151FE1">
              <w:t>—</w:t>
            </w:r>
          </w:p>
        </w:tc>
        <w:tc>
          <w:tcPr>
            <w:tcW w:w="3192" w:type="dxa"/>
          </w:tcPr>
          <w:p w14:paraId="52ED7D6D" w14:textId="6295DF99" w:rsidR="00151FE1" w:rsidRPr="00151FE1" w:rsidRDefault="00151FE1" w:rsidP="00151FE1">
            <w:pPr>
              <w:rPr>
                <w:rFonts w:cs="Arial"/>
              </w:rPr>
            </w:pPr>
            <w:r w:rsidRPr="00151FE1">
              <w:t>Метформин е противопоказан</w:t>
            </w:r>
          </w:p>
        </w:tc>
      </w:tr>
    </w:tbl>
    <w:p w14:paraId="2DCFD4AD" w14:textId="2AAFD36A" w:rsidR="00151FE1" w:rsidRDefault="00151FE1" w:rsidP="00151FE1">
      <w:pPr>
        <w:rPr>
          <w:rFonts w:cs="Arial"/>
        </w:rPr>
      </w:pPr>
    </w:p>
    <w:p w14:paraId="727DC83D" w14:textId="77777777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i/>
          <w:iCs/>
          <w:color w:val="000000"/>
          <w:u w:val="single"/>
          <w:lang w:eastAsia="bg-BG"/>
        </w:rPr>
        <w:t>Педиатрична популация</w:t>
      </w:r>
    </w:p>
    <w:p w14:paraId="5030A656" w14:textId="77777777" w:rsidR="00151FE1" w:rsidRDefault="00151FE1" w:rsidP="00151FE1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5E77B655" w14:textId="272BA39E" w:rsidR="00151FE1" w:rsidRDefault="00151FE1" w:rsidP="00151FE1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r w:rsidRPr="00151FE1">
        <w:rPr>
          <w:rFonts w:eastAsia="Times New Roman" w:cs="Arial"/>
          <w:b/>
          <w:bCs/>
          <w:color w:val="000000"/>
          <w:lang w:eastAsia="bg-BG"/>
        </w:rPr>
        <w:t>Монотерапия и в комбинация е инсулин</w:t>
      </w:r>
    </w:p>
    <w:p w14:paraId="3227426A" w14:textId="77777777" w:rsidR="00151FE1" w:rsidRPr="00151FE1" w:rsidRDefault="00151FE1" w:rsidP="00151FE1">
      <w:pPr>
        <w:spacing w:line="240" w:lineRule="auto"/>
        <w:rPr>
          <w:rFonts w:eastAsia="Times New Roman" w:cs="Arial"/>
        </w:rPr>
      </w:pPr>
    </w:p>
    <w:p w14:paraId="479CC0AD" w14:textId="77777777" w:rsidR="00151FE1" w:rsidRDefault="00151FE1" w:rsidP="00151FE1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51FE1">
        <w:rPr>
          <w:rFonts w:eastAsia="Times New Roman" w:cs="Arial"/>
          <w:color w:val="000000"/>
          <w:lang w:eastAsia="bg-BG"/>
        </w:rPr>
        <w:t>Глюкофаж може да се използва при деца над 10 години и юноши.</w:t>
      </w:r>
    </w:p>
    <w:p w14:paraId="194CEEE9" w14:textId="286BB8C9" w:rsidR="00151FE1" w:rsidRPr="00151FE1" w:rsidRDefault="00151FE1" w:rsidP="00151FE1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51FE1">
        <w:rPr>
          <w:rFonts w:eastAsia="Times New Roman" w:cs="Arial"/>
          <w:color w:val="000000"/>
          <w:lang w:eastAsia="bg-BG"/>
        </w:rPr>
        <w:t xml:space="preserve">Обичайната начална доза е 500 </w:t>
      </w:r>
      <w:r w:rsidRPr="00151FE1">
        <w:rPr>
          <w:rFonts w:eastAsia="Times New Roman" w:cs="Arial"/>
          <w:color w:val="000000"/>
          <w:lang w:val="en-US"/>
        </w:rPr>
        <w:t>mg</w:t>
      </w:r>
      <w:r w:rsidRPr="00151FE1">
        <w:rPr>
          <w:rFonts w:eastAsia="Times New Roman" w:cs="Arial"/>
          <w:color w:val="000000"/>
          <w:lang w:val="ru-RU"/>
        </w:rPr>
        <w:t xml:space="preserve"> </w:t>
      </w:r>
      <w:r w:rsidRPr="00151FE1">
        <w:rPr>
          <w:rFonts w:eastAsia="Times New Roman" w:cs="Arial"/>
          <w:color w:val="000000"/>
          <w:lang w:eastAsia="bg-BG"/>
        </w:rPr>
        <w:t xml:space="preserve">или 850 </w:t>
      </w:r>
      <w:r w:rsidRPr="00151FE1">
        <w:rPr>
          <w:rFonts w:eastAsia="Times New Roman" w:cs="Arial"/>
          <w:color w:val="000000"/>
          <w:lang w:val="en-US"/>
        </w:rPr>
        <w:t>mg</w:t>
      </w:r>
      <w:r w:rsidRPr="00151FE1">
        <w:rPr>
          <w:rFonts w:eastAsia="Times New Roman" w:cs="Arial"/>
          <w:color w:val="000000"/>
          <w:lang w:val="ru-RU"/>
        </w:rPr>
        <w:t xml:space="preserve"> </w:t>
      </w:r>
      <w:r w:rsidRPr="00151FE1">
        <w:rPr>
          <w:rFonts w:eastAsia="Times New Roman" w:cs="Arial"/>
          <w:color w:val="000000"/>
          <w:lang w:eastAsia="bg-BG"/>
        </w:rPr>
        <w:t>метформинов хидрохлорид на ден, която се приема по време или след хранене.</w:t>
      </w:r>
    </w:p>
    <w:p w14:paraId="364E5363" w14:textId="0E2A6CF7" w:rsidR="00151FE1" w:rsidRPr="00151FE1" w:rsidRDefault="00151FE1" w:rsidP="00151FE1">
      <w:pPr>
        <w:spacing w:line="240" w:lineRule="auto"/>
        <w:rPr>
          <w:rFonts w:eastAsia="Times New Roman" w:cs="Arial"/>
          <w:color w:val="000000"/>
          <w:lang w:val="ru-RU" w:eastAsia="bg-BG"/>
        </w:rPr>
      </w:pPr>
      <w:r w:rsidRPr="00151FE1">
        <w:rPr>
          <w:rFonts w:eastAsia="Times New Roman" w:cs="Arial"/>
          <w:color w:val="000000"/>
          <w:lang w:eastAsia="bg-BG"/>
        </w:rPr>
        <w:t>След 10 до 15 дни дозата трябва да се адаптира в зависимост от нивото на кръвната захар.</w:t>
      </w:r>
      <w:r w:rsidRPr="00151FE1">
        <w:rPr>
          <w:rFonts w:eastAsia="Times New Roman" w:cs="Arial"/>
          <w:lang w:val="ru-RU"/>
        </w:rPr>
        <w:t xml:space="preserve"> </w:t>
      </w:r>
      <w:r w:rsidRPr="00151FE1">
        <w:rPr>
          <w:rFonts w:eastAsia="Times New Roman" w:cs="Arial"/>
          <w:color w:val="000000"/>
          <w:lang w:eastAsia="bg-BG"/>
        </w:rPr>
        <w:t xml:space="preserve">Постепенното повишаване на дозата може да подобри гастроинтестиналната толерантност. Препоръчаната максимална дневна доза метформинов хидрохлорид е 2 </w:t>
      </w:r>
      <w:r w:rsidRPr="00151FE1">
        <w:rPr>
          <w:rFonts w:eastAsia="Times New Roman" w:cs="Arial"/>
          <w:color w:val="000000"/>
          <w:lang w:val="en-US"/>
        </w:rPr>
        <w:t>g</w:t>
      </w:r>
      <w:r w:rsidRPr="00151FE1">
        <w:rPr>
          <w:rFonts w:eastAsia="Times New Roman" w:cs="Arial"/>
          <w:color w:val="000000"/>
          <w:lang w:val="ru-RU"/>
        </w:rPr>
        <w:t xml:space="preserve"> </w:t>
      </w:r>
      <w:r w:rsidRPr="00151FE1">
        <w:rPr>
          <w:rFonts w:eastAsia="Times New Roman" w:cs="Arial"/>
          <w:color w:val="000000"/>
          <w:lang w:eastAsia="bg-BG"/>
        </w:rPr>
        <w:t>дневно, разделени на 2 или 3 приема</w:t>
      </w:r>
      <w:r w:rsidRPr="00151FE1">
        <w:rPr>
          <w:rFonts w:eastAsia="Times New Roman" w:cs="Arial"/>
          <w:color w:val="000000"/>
          <w:lang w:val="ru-RU" w:eastAsia="bg-BG"/>
        </w:rPr>
        <w:t>.</w:t>
      </w:r>
    </w:p>
    <w:p w14:paraId="0CA2EC3E" w14:textId="77777777" w:rsidR="00151FE1" w:rsidRPr="00151FE1" w:rsidRDefault="00151FE1" w:rsidP="00151FE1">
      <w:pPr>
        <w:spacing w:line="240" w:lineRule="auto"/>
        <w:rPr>
          <w:rFonts w:eastAsia="Times New Roman" w:cs="Arial"/>
          <w:lang w:val="ru-RU"/>
        </w:rPr>
      </w:pPr>
    </w:p>
    <w:p w14:paraId="28C984E8" w14:textId="614DB5F4" w:rsidR="008134C8" w:rsidRDefault="002C50EE" w:rsidP="004A448E">
      <w:pPr>
        <w:pStyle w:val="Heading2"/>
      </w:pPr>
      <w:r>
        <w:t>4.3. Противопоказания</w:t>
      </w:r>
    </w:p>
    <w:p w14:paraId="7D4A2AA7" w14:textId="215340C8" w:rsidR="00151FE1" w:rsidRDefault="00151FE1" w:rsidP="00151FE1"/>
    <w:p w14:paraId="114D820B" w14:textId="650931E2" w:rsidR="00151FE1" w:rsidRPr="00151FE1" w:rsidRDefault="00151FE1" w:rsidP="00151FE1">
      <w:pPr>
        <w:pStyle w:val="ListParagraph"/>
        <w:numPr>
          <w:ilvl w:val="0"/>
          <w:numId w:val="37"/>
        </w:numPr>
        <w:rPr>
          <w:lang w:eastAsia="bg-BG"/>
        </w:rPr>
      </w:pPr>
      <w:r w:rsidRPr="00151FE1">
        <w:rPr>
          <w:lang w:eastAsia="bg-BG"/>
        </w:rPr>
        <w:t>Свръхчувствителност към метформин или към някое от помощните вещества, изброени в</w:t>
      </w:r>
      <w:r w:rsidRPr="00151FE1">
        <w:rPr>
          <w:lang w:val="ru-RU" w:eastAsia="bg-BG"/>
        </w:rPr>
        <w:t xml:space="preserve"> </w:t>
      </w:r>
      <w:r w:rsidRPr="00151FE1">
        <w:rPr>
          <w:lang w:eastAsia="bg-BG"/>
        </w:rPr>
        <w:t>точка 6.1;</w:t>
      </w:r>
    </w:p>
    <w:p w14:paraId="6582A108" w14:textId="77777777" w:rsidR="00151FE1" w:rsidRPr="00151FE1" w:rsidRDefault="00151FE1" w:rsidP="00151FE1">
      <w:pPr>
        <w:pStyle w:val="ListParagraph"/>
        <w:numPr>
          <w:ilvl w:val="0"/>
          <w:numId w:val="37"/>
        </w:numPr>
        <w:rPr>
          <w:lang w:eastAsia="bg-BG"/>
        </w:rPr>
      </w:pPr>
      <w:r w:rsidRPr="00151FE1">
        <w:rPr>
          <w:lang w:eastAsia="bg-BG"/>
        </w:rPr>
        <w:t>Всеки тип остра метаболитна ацидоза (напр. лактатна ацидоза, диабетна кетоацидоза);</w:t>
      </w:r>
    </w:p>
    <w:p w14:paraId="5F68A338" w14:textId="77777777" w:rsidR="00151FE1" w:rsidRPr="00151FE1" w:rsidRDefault="00151FE1" w:rsidP="00151FE1">
      <w:pPr>
        <w:pStyle w:val="ListParagraph"/>
        <w:numPr>
          <w:ilvl w:val="0"/>
          <w:numId w:val="37"/>
        </w:numPr>
        <w:rPr>
          <w:lang w:eastAsia="bg-BG"/>
        </w:rPr>
      </w:pPr>
      <w:r w:rsidRPr="00151FE1">
        <w:rPr>
          <w:lang w:eastAsia="bg-BG"/>
        </w:rPr>
        <w:t>Диабетна пре-кома;</w:t>
      </w:r>
    </w:p>
    <w:p w14:paraId="4C4A8A16" w14:textId="77777777" w:rsidR="00151FE1" w:rsidRPr="00151FE1" w:rsidRDefault="00151FE1" w:rsidP="00151FE1">
      <w:pPr>
        <w:pStyle w:val="ListParagraph"/>
        <w:numPr>
          <w:ilvl w:val="0"/>
          <w:numId w:val="37"/>
        </w:numPr>
        <w:rPr>
          <w:lang w:eastAsia="bg-BG"/>
        </w:rPr>
      </w:pPr>
      <w:r w:rsidRPr="00151FE1">
        <w:rPr>
          <w:lang w:eastAsia="bg-BG"/>
        </w:rPr>
        <w:t xml:space="preserve">Тежка бъбречна недостатъчност </w:t>
      </w:r>
      <w:r w:rsidRPr="00151FE1">
        <w:rPr>
          <w:lang w:val="ru-RU"/>
        </w:rPr>
        <w:t>(</w:t>
      </w:r>
      <w:r w:rsidRPr="00151FE1">
        <w:rPr>
          <w:lang w:val="en-US"/>
        </w:rPr>
        <w:t>GFR</w:t>
      </w:r>
      <w:r w:rsidRPr="00151FE1">
        <w:rPr>
          <w:lang w:val="ru-RU"/>
        </w:rPr>
        <w:t xml:space="preserve">&lt; </w:t>
      </w:r>
      <w:r w:rsidRPr="00151FE1">
        <w:rPr>
          <w:lang w:eastAsia="bg-BG"/>
        </w:rPr>
        <w:t xml:space="preserve">30 </w:t>
      </w:r>
      <w:r w:rsidRPr="00151FE1">
        <w:rPr>
          <w:lang w:val="en-US"/>
        </w:rPr>
        <w:t>ml</w:t>
      </w:r>
      <w:r w:rsidRPr="00151FE1">
        <w:rPr>
          <w:lang w:eastAsia="bg-BG"/>
        </w:rPr>
        <w:t>/мин);</w:t>
      </w:r>
    </w:p>
    <w:p w14:paraId="62A059AA" w14:textId="77777777" w:rsidR="00151FE1" w:rsidRPr="00151FE1" w:rsidRDefault="00151FE1" w:rsidP="00151FE1">
      <w:pPr>
        <w:pStyle w:val="ListParagraph"/>
        <w:numPr>
          <w:ilvl w:val="0"/>
          <w:numId w:val="37"/>
        </w:numPr>
        <w:rPr>
          <w:lang w:eastAsia="bg-BG"/>
        </w:rPr>
      </w:pPr>
      <w:r w:rsidRPr="00151FE1">
        <w:rPr>
          <w:lang w:eastAsia="bg-BG"/>
        </w:rPr>
        <w:t>Остри състояния, застрашаващи да влошат бъбречната функция, като: дехидратация, тежка инфекция, шок;</w:t>
      </w:r>
    </w:p>
    <w:p w14:paraId="6116A617" w14:textId="75D20082" w:rsidR="00151FE1" w:rsidRPr="00151FE1" w:rsidRDefault="00151FE1" w:rsidP="00151FE1">
      <w:pPr>
        <w:pStyle w:val="ListParagraph"/>
        <w:numPr>
          <w:ilvl w:val="0"/>
          <w:numId w:val="37"/>
        </w:numPr>
        <w:rPr>
          <w:lang w:eastAsia="bg-BG"/>
        </w:rPr>
      </w:pPr>
      <w:r w:rsidRPr="00151FE1">
        <w:rPr>
          <w:lang w:eastAsia="bg-BG"/>
        </w:rPr>
        <w:t>Заболя вяния, които могат да причинят тъканна хипоксия (особено остри заболявалия или</w:t>
      </w:r>
      <w:r w:rsidRPr="00151FE1">
        <w:rPr>
          <w:lang w:val="ru-RU" w:eastAsia="bg-BG"/>
        </w:rPr>
        <w:t xml:space="preserve"> </w:t>
      </w:r>
      <w:r w:rsidRPr="00151FE1">
        <w:rPr>
          <w:lang w:eastAsia="bg-BG"/>
        </w:rPr>
        <w:t>влошаване на хронични заболявания), като: декомпенсирана сърдечна недостатъчност, респираторна недостатъчност, наскоро прекаран миокарден инфаркт, шок;</w:t>
      </w:r>
    </w:p>
    <w:p w14:paraId="3CEE9B05" w14:textId="77777777" w:rsidR="00151FE1" w:rsidRPr="00151FE1" w:rsidRDefault="00151FE1" w:rsidP="00151FE1">
      <w:pPr>
        <w:pStyle w:val="ListParagraph"/>
        <w:numPr>
          <w:ilvl w:val="0"/>
          <w:numId w:val="37"/>
        </w:numPr>
        <w:rPr>
          <w:lang w:eastAsia="bg-BG"/>
        </w:rPr>
      </w:pPr>
      <w:r w:rsidRPr="00151FE1">
        <w:rPr>
          <w:lang w:eastAsia="bg-BG"/>
        </w:rPr>
        <w:t>Чернодробна недостатъчност, остра алкохолна интоксикация, алкохолизъм</w:t>
      </w:r>
    </w:p>
    <w:p w14:paraId="11E8F2BB" w14:textId="77777777" w:rsidR="00151FE1" w:rsidRPr="00151FE1" w:rsidRDefault="00151FE1" w:rsidP="00151FE1"/>
    <w:p w14:paraId="212F509C" w14:textId="146A77D6" w:rsidR="004F498A" w:rsidRDefault="002C50EE" w:rsidP="004A448E">
      <w:pPr>
        <w:pStyle w:val="Heading2"/>
      </w:pPr>
      <w:r>
        <w:t>4.4. Специални предупреждения и предпазни мерки при употреба</w:t>
      </w:r>
    </w:p>
    <w:p w14:paraId="538402EA" w14:textId="0A70B15D" w:rsidR="00151FE1" w:rsidRDefault="00151FE1" w:rsidP="00151FE1"/>
    <w:p w14:paraId="6AF3F8DE" w14:textId="77777777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i/>
          <w:iCs/>
          <w:color w:val="000000"/>
          <w:lang w:eastAsia="bg-BG"/>
        </w:rPr>
        <w:t>Лактатна ацидоза</w:t>
      </w:r>
    </w:p>
    <w:p w14:paraId="72C7B1E1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C9F5CDA" w14:textId="30D4E7A7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Лакгатната ацидоза, много рядко, но сериозно метаболитно усложнение, най-често настъпва при остро влошаване на бъбречната функция, кардио-респираторно заболяване или сепсис. Натрупването на метформин настъпва при остро влошаване на бъбречната функция и увеличава риска от лактатна ацидоза.</w:t>
      </w:r>
    </w:p>
    <w:p w14:paraId="78B9E8F0" w14:textId="77777777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В случай на дехидратация (тежка диария или повръщане, треска или намален прием на течности) трябва временно да се спре приема на метформин и е препоръчително да се установи връзка с медицински специалист.</w:t>
      </w:r>
    </w:p>
    <w:p w14:paraId="0F2A45E9" w14:textId="77777777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 xml:space="preserve">Приемът на лекарствени продукти, които могат остро да увредят бъбречната функция (като антихипертензивни средства, диуретици и НСПВС) трябва да се започне с повишено внимание при пациенти, лекувани с метформин. Други рискови фактори за лактатна ацидоза са прекомерен прием на алкохол, чернодробна недостатъчност, недостатъчно контролиран диабет, кетоза, продължително гладуване и всякакви </w:t>
      </w:r>
      <w:r w:rsidRPr="00151FE1">
        <w:rPr>
          <w:rFonts w:eastAsia="Times New Roman" w:cs="Arial"/>
          <w:color w:val="000000"/>
          <w:lang w:eastAsia="bg-BG"/>
        </w:rPr>
        <w:lastRenderedPageBreak/>
        <w:t>състояния, свързани с хипоксия, както и едновременната употреба на лекарствени продукти, които могат да причинят лактатна ацидоза (вижточки 4.3 и4.5).</w:t>
      </w:r>
    </w:p>
    <w:p w14:paraId="63C8C5E6" w14:textId="77777777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 xml:space="preserve">Пациентите и/или болногледачите трябва да бъдат информирани за риска от лактатна ацидоза. Лактатната ацидоза се характеризира с ацидозна диспнея, коремна болка, мускулни крампи, астения и хипотермия, последвани от кома. В случай на съмнение за симптоми пациентът трябва да спре приема на метформин и незабавно да потърси лекарска помощ. Диагностичните лабораторни находки са понижено кръвно </w:t>
      </w:r>
      <w:r w:rsidRPr="00151FE1">
        <w:rPr>
          <w:rFonts w:eastAsia="Times New Roman" w:cs="Arial"/>
          <w:color w:val="000000"/>
          <w:lang w:val="en-US"/>
        </w:rPr>
        <w:t>pH</w:t>
      </w:r>
      <w:r w:rsidRPr="00151FE1">
        <w:rPr>
          <w:rFonts w:eastAsia="Times New Roman" w:cs="Arial"/>
          <w:color w:val="000000"/>
          <w:lang w:val="ru-RU"/>
        </w:rPr>
        <w:t xml:space="preserve"> </w:t>
      </w:r>
      <w:r w:rsidRPr="00151FE1">
        <w:rPr>
          <w:rFonts w:eastAsia="Times New Roman" w:cs="Arial"/>
          <w:color w:val="000000"/>
          <w:lang w:eastAsia="bg-BG"/>
        </w:rPr>
        <w:t xml:space="preserve">(&lt;7,3 </w:t>
      </w:r>
      <w:r w:rsidRPr="00151FE1">
        <w:rPr>
          <w:rFonts w:eastAsia="Times New Roman" w:cs="Arial"/>
          <w:i/>
          <w:iCs/>
          <w:color w:val="000000"/>
          <w:lang w:eastAsia="bg-BG"/>
        </w:rPr>
        <w:t>5), повишени нива на</w:t>
      </w:r>
      <w:r w:rsidRPr="00151FE1">
        <w:rPr>
          <w:rFonts w:eastAsia="Times New Roman" w:cs="Arial"/>
          <w:color w:val="000000"/>
          <w:lang w:eastAsia="bg-BG"/>
        </w:rPr>
        <w:t xml:space="preserve"> плазмения лактат </w:t>
      </w:r>
      <w:r w:rsidRPr="00151FE1">
        <w:rPr>
          <w:rFonts w:eastAsia="Times New Roman" w:cs="Arial"/>
          <w:i/>
          <w:iCs/>
          <w:color w:val="000000"/>
          <w:lang w:eastAsia="bg-BG"/>
        </w:rPr>
        <w:t xml:space="preserve">(&gt;5 </w:t>
      </w:r>
      <w:proofErr w:type="spellStart"/>
      <w:r w:rsidRPr="00151FE1">
        <w:rPr>
          <w:rFonts w:eastAsia="Times New Roman" w:cs="Arial"/>
          <w:color w:val="000000"/>
          <w:lang w:val="en-US"/>
        </w:rPr>
        <w:t>mmol</w:t>
      </w:r>
      <w:proofErr w:type="spellEnd"/>
      <w:r w:rsidRPr="00151FE1">
        <w:rPr>
          <w:rFonts w:eastAsia="Times New Roman" w:cs="Arial"/>
          <w:color w:val="000000"/>
          <w:lang w:val="ru-RU"/>
        </w:rPr>
        <w:t xml:space="preserve">/1) </w:t>
      </w:r>
      <w:r w:rsidRPr="00151FE1">
        <w:rPr>
          <w:rFonts w:eastAsia="Times New Roman" w:cs="Arial"/>
          <w:color w:val="000000"/>
          <w:lang w:eastAsia="bg-BG"/>
        </w:rPr>
        <w:t>и повишена анионна разлика и съотношение лактат/пируват.</w:t>
      </w:r>
    </w:p>
    <w:p w14:paraId="03DED957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85CE29F" w14:textId="71FFF820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u w:val="single"/>
          <w:lang w:eastAsia="bg-BG"/>
        </w:rPr>
        <w:t>Бъбречна функция:</w:t>
      </w:r>
    </w:p>
    <w:p w14:paraId="3EB5E981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E6EADFB" w14:textId="17449FDF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 xml:space="preserve">Преди започване на лечението трябва да се направи оценка на стойностите на </w:t>
      </w:r>
      <w:r w:rsidRPr="00151FE1">
        <w:rPr>
          <w:rFonts w:eastAsia="Times New Roman" w:cs="Arial"/>
          <w:color w:val="000000"/>
          <w:lang w:val="en-US"/>
        </w:rPr>
        <w:t>GFR</w:t>
      </w:r>
      <w:r w:rsidRPr="00151FE1">
        <w:rPr>
          <w:rFonts w:eastAsia="Times New Roman" w:cs="Arial"/>
          <w:color w:val="000000"/>
          <w:lang w:val="ru-RU"/>
        </w:rPr>
        <w:t xml:space="preserve"> </w:t>
      </w:r>
      <w:r w:rsidRPr="00151FE1">
        <w:rPr>
          <w:rFonts w:eastAsia="Times New Roman" w:cs="Arial"/>
          <w:color w:val="000000"/>
          <w:lang w:eastAsia="bg-BG"/>
        </w:rPr>
        <w:t xml:space="preserve">и редовно след това, виж точка 4.2. Метформин е противопоказан при пациенти с </w:t>
      </w:r>
      <w:r w:rsidRPr="00151FE1">
        <w:rPr>
          <w:rFonts w:eastAsia="Times New Roman" w:cs="Arial"/>
          <w:color w:val="000000"/>
          <w:lang w:val="en-US"/>
        </w:rPr>
        <w:t>GFR</w:t>
      </w:r>
      <w:r w:rsidRPr="00151FE1">
        <w:rPr>
          <w:rFonts w:eastAsia="Times New Roman" w:cs="Arial"/>
          <w:color w:val="000000"/>
          <w:lang w:val="ru-RU"/>
        </w:rPr>
        <w:t xml:space="preserve"> </w:t>
      </w:r>
      <w:r w:rsidRPr="00151FE1">
        <w:rPr>
          <w:rFonts w:eastAsia="Times New Roman" w:cs="Arial"/>
          <w:color w:val="000000"/>
          <w:lang w:eastAsia="bg-BG"/>
        </w:rPr>
        <w:t xml:space="preserve">&lt;30 </w:t>
      </w:r>
      <w:r w:rsidRPr="00151FE1">
        <w:rPr>
          <w:rFonts w:eastAsia="Times New Roman" w:cs="Arial"/>
          <w:color w:val="000000"/>
          <w:lang w:val="en-US"/>
        </w:rPr>
        <w:t>ml</w:t>
      </w:r>
      <w:r w:rsidRPr="00151FE1">
        <w:rPr>
          <w:rFonts w:eastAsia="Times New Roman" w:cs="Arial"/>
          <w:color w:val="000000"/>
          <w:lang w:eastAsia="bg-BG"/>
        </w:rPr>
        <w:t>/мин и трябва да бъде временно спрян при наличие на състояния, които променят бъбречната функция, виж точка 43).</w:t>
      </w:r>
    </w:p>
    <w:p w14:paraId="1ECD2352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7151CD9" w14:textId="63CBDC3E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u w:val="single"/>
          <w:lang w:eastAsia="bg-BG"/>
        </w:rPr>
        <w:t>Сърдечна Функция</w:t>
      </w:r>
    </w:p>
    <w:p w14:paraId="6BE4B53B" w14:textId="77777777" w:rsidR="00151FE1" w:rsidRDefault="00151FE1" w:rsidP="00151FE1">
      <w:pPr>
        <w:rPr>
          <w:rFonts w:eastAsia="Times New Roman" w:cs="Arial"/>
          <w:color w:val="000000"/>
          <w:lang w:eastAsia="bg-BG"/>
        </w:rPr>
      </w:pPr>
    </w:p>
    <w:p w14:paraId="2050F4E9" w14:textId="400978B7" w:rsidR="00151FE1" w:rsidRDefault="00151FE1" w:rsidP="00151FE1">
      <w:pPr>
        <w:rPr>
          <w:rFonts w:eastAsia="Times New Roman" w:cs="Arial"/>
          <w:color w:val="000000"/>
          <w:lang w:eastAsia="bg-BG"/>
        </w:rPr>
      </w:pPr>
      <w:r w:rsidRPr="00151FE1">
        <w:rPr>
          <w:rFonts w:eastAsia="Times New Roman" w:cs="Arial"/>
          <w:color w:val="000000"/>
          <w:lang w:eastAsia="bg-BG"/>
        </w:rPr>
        <w:t>Пациенти със сърдечна недостатъчност са изложени на по-голям риск от хипоксия и бъбречна недостатъчност. При пациенти със стабилна хронична сърдечна недостатъчност, метформин може да се използва при редовно наблюдение на сърдечната и бъбречната функция.</w:t>
      </w:r>
    </w:p>
    <w:p w14:paraId="4668EE0E" w14:textId="4281664D" w:rsidR="00151FE1" w:rsidRDefault="00151FE1" w:rsidP="00151FE1">
      <w:pPr>
        <w:rPr>
          <w:rFonts w:eastAsia="Times New Roman" w:cs="Arial"/>
          <w:color w:val="000000"/>
          <w:lang w:eastAsia="bg-BG"/>
        </w:rPr>
      </w:pPr>
    </w:p>
    <w:p w14:paraId="1E3F92C0" w14:textId="77777777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За пациенти с остра и нестабилна сърдечна недостатъчност, метформин е противопоказан (виж точка 4.3).</w:t>
      </w:r>
    </w:p>
    <w:p w14:paraId="592F9ADF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7ED8F25" w14:textId="56AA2A8F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u w:val="single"/>
          <w:lang w:eastAsia="bg-BG"/>
        </w:rPr>
        <w:t>Приложение на йодирани контрастни вещества</w:t>
      </w:r>
    </w:p>
    <w:p w14:paraId="6B4E2D8B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F99252E" w14:textId="12553E92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Вътресъдовото приложение на йодирани контрастни вещества може да доведе до контраст- индуцирана нефропатия, водеща до натрупването на метформин и повишен риск от лактатна ацидоза. Метформин трябва да се спре преди или по време на процедурата за образна диагностика и не трябва да се възобновява до най-малко 48 часа след това, при условие че бъбречната функция е оценена отново и е установено, че е стабилна, виж точки 4.2 и 4.5.</w:t>
      </w:r>
    </w:p>
    <w:p w14:paraId="0613E2BF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1342C07" w14:textId="31362AC7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u w:val="single"/>
          <w:lang w:eastAsia="bg-BG"/>
        </w:rPr>
        <w:t>Операция</w:t>
      </w:r>
    </w:p>
    <w:p w14:paraId="2DD8C031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989EBF8" w14:textId="43EE73AE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Метформин трябва да се спре по време на операция под обща, спинална или епидурална анестезия. Лечението може да бъде възобновено не по-рано от 48 часа след операцията или възобновяването на храненето през уста, и при условие че бъбречната функция е оценена отново и е установено, че е стабилна.</w:t>
      </w:r>
    </w:p>
    <w:p w14:paraId="3129865F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B2E8ACC" w14:textId="6F51D371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309BB1F6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38F77C6" w14:textId="2114A8C8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Преди започване на лечение с метформин, трябва да бъде потвърдена диагнозата за диабет тип 2.</w:t>
      </w:r>
    </w:p>
    <w:p w14:paraId="31F29B3B" w14:textId="77777777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 xml:space="preserve">Проведените контролирани клинични изследвания в продължение на една година не са установили влияние на метформин върху растежа и пубертета, но засега няма по- продължителни наблюдения в тази област. Затова се препоръчва внимателно </w:t>
      </w:r>
      <w:r w:rsidRPr="00151FE1">
        <w:rPr>
          <w:rFonts w:eastAsia="Times New Roman" w:cs="Arial"/>
          <w:color w:val="000000"/>
          <w:lang w:eastAsia="bg-BG"/>
        </w:rPr>
        <w:lastRenderedPageBreak/>
        <w:t>проследяване ефектите на метформин върху тези параметри, по-специално при лечение на деца в предпубертетна възраст.</w:t>
      </w:r>
    </w:p>
    <w:p w14:paraId="057616BE" w14:textId="77777777" w:rsidR="00151FE1" w:rsidRDefault="00151FE1" w:rsidP="00151FE1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4339F808" w14:textId="6006F1C6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b/>
          <w:bCs/>
          <w:color w:val="000000"/>
          <w:lang w:eastAsia="bg-BG"/>
        </w:rPr>
        <w:t>Деца между 10 и 12 години</w:t>
      </w:r>
    </w:p>
    <w:p w14:paraId="79F3A6C0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1ED1D54" w14:textId="1E533A63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В контролираните клинични проучвания на деца и юноши са били включени само 15 пациента на възраст между 10 и 12 години. Въпреки че ефикасността и безопасността на метформин при тези деца не са по-различни от тези при по-големи деца и юноши, се препоръчва особено внимание при предписването на метформинов хидрохлорид на деца между 10 и 12 годишна възраст.</w:t>
      </w:r>
    </w:p>
    <w:p w14:paraId="29B37B2A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08AF1DD" w14:textId="39759FB2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u w:val="single"/>
          <w:lang w:eastAsia="bg-BG"/>
        </w:rPr>
        <w:t>Други предупреждения</w:t>
      </w:r>
    </w:p>
    <w:p w14:paraId="68090EF8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D6D76AB" w14:textId="707C34F8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Всички пациенти трябва да продължат диетата си с равномерно разпределение на въглехидратния прием през деня. Пациентите с наднормено тегло трябва да спазват нискокалоричната си диета.</w:t>
      </w:r>
    </w:p>
    <w:p w14:paraId="3B6E2742" w14:textId="77777777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Обичайните лабораторни тестове за мониториране на диабета трябва да се извършват редовно. Метформин, прилаган самостоятелно, не предизвиква хипогликемия, но трябва да се внимава, когато се използва в комбинация с инсулин или други перорални антидиабетни продукти (напр. сулфанилурейни продукти или меглитиниди).</w:t>
      </w:r>
    </w:p>
    <w:p w14:paraId="793E824B" w14:textId="77777777" w:rsidR="00151FE1" w:rsidRPr="00151FE1" w:rsidRDefault="00151FE1" w:rsidP="00151FE1">
      <w:pPr>
        <w:rPr>
          <w:rFonts w:cs="Arial"/>
        </w:rPr>
      </w:pPr>
    </w:p>
    <w:p w14:paraId="619DED1E" w14:textId="3E902A1E" w:rsidR="004F498A" w:rsidRDefault="002C50EE" w:rsidP="004A448E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3BAC9B90" w14:textId="67D8B4E8" w:rsidR="00151FE1" w:rsidRDefault="00151FE1" w:rsidP="00151FE1"/>
    <w:p w14:paraId="230CECC7" w14:textId="77777777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i/>
          <w:iCs/>
          <w:color w:val="000000"/>
          <w:u w:val="single"/>
          <w:lang w:eastAsia="bg-BG"/>
        </w:rPr>
        <w:t>Не се препоръчва съпътстваща употреба</w:t>
      </w:r>
    </w:p>
    <w:p w14:paraId="782D4DBC" w14:textId="77777777" w:rsidR="00151FE1" w:rsidRPr="00151FE1" w:rsidRDefault="00151FE1" w:rsidP="00151FE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1E44238" w14:textId="173C1CE5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i/>
          <w:iCs/>
          <w:color w:val="000000"/>
          <w:lang w:eastAsia="bg-BG"/>
        </w:rPr>
        <w:t>Алкохол</w:t>
      </w:r>
    </w:p>
    <w:p w14:paraId="578B7FDD" w14:textId="77777777" w:rsidR="00151FE1" w:rsidRPr="00151FE1" w:rsidRDefault="00151FE1" w:rsidP="00151FE1">
      <w:pPr>
        <w:rPr>
          <w:rFonts w:eastAsia="Times New Roman" w:cs="Arial"/>
          <w:color w:val="000000"/>
          <w:lang w:eastAsia="bg-BG"/>
        </w:rPr>
      </w:pPr>
    </w:p>
    <w:p w14:paraId="7FA12110" w14:textId="1DB5156F" w:rsidR="00151FE1" w:rsidRPr="00151FE1" w:rsidRDefault="00151FE1" w:rsidP="00151FE1">
      <w:pPr>
        <w:rPr>
          <w:rFonts w:eastAsia="Times New Roman" w:cs="Arial"/>
          <w:color w:val="000000"/>
          <w:lang w:eastAsia="bg-BG"/>
        </w:rPr>
      </w:pPr>
      <w:r w:rsidRPr="00151FE1">
        <w:rPr>
          <w:rFonts w:eastAsia="Times New Roman" w:cs="Arial"/>
          <w:color w:val="000000"/>
          <w:lang w:eastAsia="bg-BG"/>
        </w:rPr>
        <w:t>Алкохолната интоксикация се свързва с повишен риск от лактатна ацидоза, особено в случаи на гладуване, недохранване или чернодробна недостатъчност.</w:t>
      </w:r>
    </w:p>
    <w:p w14:paraId="4703F620" w14:textId="7E06094E" w:rsidR="00151FE1" w:rsidRPr="00151FE1" w:rsidRDefault="00151FE1" w:rsidP="00151FE1">
      <w:pPr>
        <w:rPr>
          <w:rFonts w:eastAsia="Times New Roman" w:cs="Arial"/>
          <w:color w:val="000000"/>
          <w:lang w:eastAsia="bg-BG"/>
        </w:rPr>
      </w:pPr>
    </w:p>
    <w:p w14:paraId="4FEB847C" w14:textId="77777777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i/>
          <w:iCs/>
          <w:color w:val="000000"/>
          <w:lang w:eastAsia="bg-BG"/>
        </w:rPr>
        <w:t>Йодирани контрастни вещества</w:t>
      </w:r>
    </w:p>
    <w:p w14:paraId="7DBD33EE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946636A" w14:textId="600D6A8B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Метформин трябва задължително да се спре преди или по време на процедурата за образна диагностика и не трябва да се възобновява до най-малко 48 часа след това, при условие че бъбречната функция е оценена отново и е установено, че е стабилна, виж точки 4.2 и 4.4.</w:t>
      </w:r>
    </w:p>
    <w:p w14:paraId="276CD94D" w14:textId="77777777" w:rsidR="00151FE1" w:rsidRDefault="00151FE1" w:rsidP="00151FE1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3C608F3B" w14:textId="5E7E1EB4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i/>
          <w:iCs/>
          <w:color w:val="000000"/>
          <w:u w:val="single"/>
          <w:lang w:eastAsia="bg-BG"/>
        </w:rPr>
        <w:t>Комбинации, изискващи предпазни мерки при употреба</w:t>
      </w:r>
    </w:p>
    <w:p w14:paraId="46B09467" w14:textId="77777777" w:rsidR="00151FE1" w:rsidRDefault="00151FE1" w:rsidP="00151FE1">
      <w:pPr>
        <w:spacing w:line="240" w:lineRule="auto"/>
        <w:rPr>
          <w:rFonts w:eastAsia="Times New Roman" w:cs="Arial"/>
          <w:i/>
          <w:iCs/>
          <w:smallCaps/>
          <w:color w:val="000000"/>
          <w:lang w:eastAsia="bg-BG"/>
        </w:rPr>
      </w:pPr>
    </w:p>
    <w:p w14:paraId="5F63AD56" w14:textId="15D926C2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i/>
          <w:iCs/>
          <w:smallCaps/>
          <w:color w:val="000000"/>
          <w:lang w:eastAsia="bg-BG"/>
        </w:rPr>
        <w:t>Някои</w:t>
      </w:r>
      <w:r w:rsidRPr="00151FE1">
        <w:rPr>
          <w:rFonts w:eastAsia="Times New Roman" w:cs="Arial"/>
          <w:color w:val="000000"/>
          <w:lang w:eastAsia="bg-BG"/>
        </w:rPr>
        <w:t xml:space="preserve"> лекарствени продукти могат да се отразят неблагоприятно на бъбречната функция, което може да увеличи риска от лактатна ацидоза, например НСПВС, включително селективни инхибитори на циклооксигеназа </w:t>
      </w:r>
      <w:r w:rsidRPr="00151FE1">
        <w:rPr>
          <w:rFonts w:eastAsia="Times New Roman" w:cs="Arial"/>
          <w:color w:val="000000"/>
          <w:lang w:val="ru-RU"/>
        </w:rPr>
        <w:t>(</w:t>
      </w:r>
      <w:r w:rsidRPr="00151FE1">
        <w:rPr>
          <w:rFonts w:eastAsia="Times New Roman" w:cs="Arial"/>
          <w:color w:val="000000"/>
          <w:lang w:val="en-US"/>
        </w:rPr>
        <w:t>COX</w:t>
      </w:r>
      <w:r w:rsidRPr="00151FE1">
        <w:rPr>
          <w:rFonts w:eastAsia="Times New Roman" w:cs="Arial"/>
          <w:color w:val="000000"/>
          <w:lang w:val="ru-RU"/>
        </w:rPr>
        <w:t xml:space="preserve">) </w:t>
      </w:r>
      <w:r w:rsidRPr="00151FE1">
        <w:rPr>
          <w:rFonts w:eastAsia="Times New Roman" w:cs="Arial"/>
          <w:color w:val="000000"/>
          <w:lang w:eastAsia="bg-BG"/>
        </w:rPr>
        <w:t>II, АСЕ инхибитори, ангиотензин II рецепторни антагонисти и диуретици, особено брнмкови диуретици. При започването или употребата на такива продукти в комбинация с метформин е необходимо внимателно проследяване на бъбречната функция.</w:t>
      </w:r>
    </w:p>
    <w:p w14:paraId="706656CB" w14:textId="77777777" w:rsidR="00151FE1" w:rsidRDefault="00151FE1" w:rsidP="00151FE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DFDB375" w14:textId="7F3A0888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i/>
          <w:iCs/>
          <w:color w:val="000000"/>
          <w:lang w:eastAsia="bg-BG"/>
        </w:rPr>
        <w:t>Лекарствени продукти с вътрешна хипергликемична активност (напр. глюкокортикостероиди (системно и локално приложение) и симпатомиметици)</w:t>
      </w:r>
    </w:p>
    <w:p w14:paraId="624C310F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8DA429B" w14:textId="211CA0A9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lastRenderedPageBreak/>
        <w:t>Може да е необходимо по-често проследяване нивото на кръвната захар, особено в началото на лечението. При нужда дозата на метформин трябва да се адаптира по време на лечението със съответния лекарствен продукт и след неговото спиране.</w:t>
      </w:r>
    </w:p>
    <w:p w14:paraId="2D1AF618" w14:textId="77777777" w:rsidR="00151FE1" w:rsidRDefault="00151FE1" w:rsidP="00151FE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83A0980" w14:textId="2002F919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i/>
          <w:iCs/>
          <w:color w:val="000000"/>
          <w:lang w:eastAsia="bg-BG"/>
        </w:rPr>
        <w:t>Транспортерц на органични катиони (ОКТ)</w:t>
      </w:r>
    </w:p>
    <w:p w14:paraId="3CF62DF1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58B617E" w14:textId="7E5FD187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Метформин е субстрат и на двата транспортера ОКТ1 и ОКТ2.</w:t>
      </w:r>
    </w:p>
    <w:p w14:paraId="6DBBF8E6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E20DEEE" w14:textId="77777777" w:rsid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Едновременното приложение на метформин с</w:t>
      </w:r>
    </w:p>
    <w:p w14:paraId="0B39864F" w14:textId="77777777" w:rsidR="00151FE1" w:rsidRPr="00151FE1" w:rsidRDefault="00151FE1" w:rsidP="00151FE1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Инхибитори на ОКТ1 (като верапамил) могат да намалят ефикасността на метформин.</w:t>
      </w:r>
    </w:p>
    <w:p w14:paraId="013C9E16" w14:textId="77777777" w:rsidR="00151FE1" w:rsidRPr="00151FE1" w:rsidRDefault="00151FE1" w:rsidP="00151FE1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Индуктори на ОКТ1 (като рифампицин) могат да повишат гастроинтестиналната абсорбция и ефикасността на метформин.</w:t>
      </w:r>
    </w:p>
    <w:p w14:paraId="3B5735D4" w14:textId="77777777" w:rsidR="00151FE1" w:rsidRPr="00151FE1" w:rsidRDefault="00151FE1" w:rsidP="00151FE1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Инхибитори на ОКТ2 (като циметидин, долутегравир, ранолазин, триметоприм, вандетаниб, исавуканазол) могат да понижат елиминирането на метформин през бъбреците и това да доведе до повишена плазмена концентрация на метформин.</w:t>
      </w:r>
    </w:p>
    <w:p w14:paraId="29477A7A" w14:textId="42290951" w:rsidR="00151FE1" w:rsidRPr="00151FE1" w:rsidRDefault="00151FE1" w:rsidP="00151FE1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 xml:space="preserve">Инхибитори на </w:t>
      </w:r>
      <w:r w:rsidRPr="00151FE1">
        <w:rPr>
          <w:rFonts w:eastAsia="Times New Roman" w:cs="Arial"/>
          <w:color w:val="000000"/>
          <w:lang w:val="en-US"/>
        </w:rPr>
        <w:t>OKT</w:t>
      </w:r>
      <w:r w:rsidRPr="00151FE1">
        <w:rPr>
          <w:rFonts w:eastAsia="Times New Roman" w:cs="Arial"/>
          <w:color w:val="000000"/>
          <w:lang w:val="ru-RU"/>
        </w:rPr>
        <w:t xml:space="preserve">1 </w:t>
      </w:r>
      <w:r w:rsidRPr="00151FE1">
        <w:rPr>
          <w:rFonts w:eastAsia="Times New Roman" w:cs="Arial"/>
          <w:color w:val="000000"/>
          <w:lang w:eastAsia="bg-BG"/>
        </w:rPr>
        <w:t>и ОКТ2 (като кризотиниб, олапариб) могат да променят ефикасността и бъбречната елиминация на метформин.</w:t>
      </w:r>
    </w:p>
    <w:p w14:paraId="363256DD" w14:textId="77777777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Следователно, необходимо е да се обръща внимание, особено при пациенти с бъбречно увреждане, когато тези лекарствени продукти се прилагат едновременно с метформин, тъй като плазмената концентрация на метформин може да бъде повишена. Ако е необходимо, може да се обмисли корекция на дозата, тъй като ОКТ инхибиторите/индукторите могат да променят ефикасността на метформин.</w:t>
      </w:r>
    </w:p>
    <w:p w14:paraId="489FF3D1" w14:textId="77777777" w:rsidR="00151FE1" w:rsidRPr="00151FE1" w:rsidRDefault="00151FE1" w:rsidP="00151FE1"/>
    <w:p w14:paraId="394A7584" w14:textId="1BB8D1D8" w:rsidR="004F498A" w:rsidRDefault="002C50EE" w:rsidP="004A448E">
      <w:pPr>
        <w:pStyle w:val="Heading2"/>
      </w:pPr>
      <w:r>
        <w:t>4.6. Фертилитет, бременност и кърмене</w:t>
      </w:r>
    </w:p>
    <w:p w14:paraId="1C571E6B" w14:textId="5536A545" w:rsidR="00151FE1" w:rsidRDefault="00151FE1" w:rsidP="00151FE1"/>
    <w:p w14:paraId="4A8ECE11" w14:textId="77777777" w:rsidR="00151FE1" w:rsidRPr="00151FE1" w:rsidRDefault="00151FE1" w:rsidP="00151FE1">
      <w:pPr>
        <w:pStyle w:val="Heading3"/>
        <w:rPr>
          <w:rFonts w:eastAsia="Times New Roman"/>
          <w:u w:val="single"/>
        </w:rPr>
      </w:pPr>
      <w:r w:rsidRPr="00151FE1">
        <w:rPr>
          <w:rFonts w:eastAsia="Times New Roman"/>
          <w:u w:val="single"/>
          <w:lang w:eastAsia="bg-BG"/>
        </w:rPr>
        <w:t>Бременност</w:t>
      </w:r>
    </w:p>
    <w:p w14:paraId="762111E7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3844574" w14:textId="7C7D833F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По време на бременност неконтролираният диабет (гестационен или постоянен) се свързва с повишен риск от вродени аномалии или перинатална смъртност.</w:t>
      </w:r>
    </w:p>
    <w:p w14:paraId="646966D4" w14:textId="77777777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Ограничените данни за употребата на метформин при бременни жени не се свързват с повишен риск от вродени аномалии.</w:t>
      </w:r>
    </w:p>
    <w:p w14:paraId="62F3D16C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493AAE3" w14:textId="77777777" w:rsidR="00151FE1" w:rsidRPr="00151FE1" w:rsidRDefault="00151FE1" w:rsidP="00151FE1">
      <w:pPr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Опитите с животни не показват увреждащи ефекти, свързани с бременността, ембрионалното</w:t>
      </w:r>
      <w:r w:rsidRPr="00151FE1">
        <w:rPr>
          <w:rFonts w:eastAsia="Times New Roman" w:cs="Arial"/>
          <w:i/>
          <w:iCs/>
          <w:color w:val="000000"/>
          <w:lang w:eastAsia="bg-BG"/>
        </w:rPr>
        <w:t xml:space="preserve"> </w:t>
      </w:r>
      <w:r w:rsidRPr="00151FE1">
        <w:rPr>
          <w:rFonts w:eastAsia="Times New Roman" w:cs="Arial"/>
          <w:color w:val="000000"/>
          <w:lang w:eastAsia="bg-BG"/>
        </w:rPr>
        <w:t>или феталното развитие, раждане или постнатално развитие (виж точка 5.3).</w:t>
      </w:r>
      <w:r w:rsidRPr="00151FE1">
        <w:rPr>
          <w:rFonts w:eastAsia="Times New Roman" w:cs="Arial"/>
          <w:lang w:val="ru-RU"/>
        </w:rPr>
        <w:t xml:space="preserve"> </w:t>
      </w:r>
      <w:r w:rsidRPr="00151FE1">
        <w:rPr>
          <w:rFonts w:eastAsia="Times New Roman" w:cs="Arial"/>
          <w:color w:val="000000"/>
          <w:lang w:eastAsia="bg-BG"/>
        </w:rPr>
        <w:t>В случай на планирано бъдещо забременяване и по време на бременност, се препоръчва за лечение на диабет да не се използва метформин, а за поддържане на нивото на кръвната захар</w:t>
      </w:r>
      <w:r w:rsidRPr="00151FE1">
        <w:rPr>
          <w:rFonts w:eastAsia="Times New Roman" w:cs="Arial"/>
          <w:color w:val="000000"/>
          <w:lang w:val="ru-RU" w:eastAsia="bg-BG"/>
        </w:rPr>
        <w:t xml:space="preserve"> </w:t>
      </w:r>
      <w:r w:rsidRPr="00151FE1">
        <w:rPr>
          <w:rFonts w:eastAsia="Times New Roman" w:cs="Arial"/>
          <w:color w:val="000000"/>
          <w:lang w:eastAsia="bg-BG"/>
        </w:rPr>
        <w:t>възможно най-близко до нормалното, да се прилага инсулин, за намаляване на риска от малформации на плода.</w:t>
      </w:r>
    </w:p>
    <w:p w14:paraId="69B9D46D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00FBB0E" w14:textId="26D8E444" w:rsidR="00151FE1" w:rsidRPr="00151FE1" w:rsidRDefault="00151FE1" w:rsidP="00151FE1">
      <w:pPr>
        <w:pStyle w:val="Heading3"/>
        <w:rPr>
          <w:rFonts w:eastAsia="Times New Roman"/>
          <w:u w:val="single"/>
        </w:rPr>
      </w:pPr>
      <w:r w:rsidRPr="00151FE1">
        <w:rPr>
          <w:rFonts w:eastAsia="Times New Roman"/>
          <w:u w:val="single"/>
          <w:lang w:eastAsia="bg-BG"/>
        </w:rPr>
        <w:t>Кърмене</w:t>
      </w:r>
    </w:p>
    <w:p w14:paraId="2BA40FC6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687D3D7" w14:textId="19173DA1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Метформин се екскретира в кърмата. Не са наблюдавани нежелани лекарствени реакции при новородени кърмачета/малки дена. Все пак, поради ограничените налични данни, кърменето не се препоръчва по време на лечение с метформин.</w:t>
      </w:r>
    </w:p>
    <w:p w14:paraId="63D6AB15" w14:textId="77777777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Трябва да се вземе решение дали да се преустанови кърменето като се има предвид ползата от кърменето и потенциалния риск от нежелани лекарствени реакции за детето.</w:t>
      </w:r>
    </w:p>
    <w:p w14:paraId="59AB585D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D6E2583" w14:textId="4FFDE0F1" w:rsidR="00151FE1" w:rsidRPr="00151FE1" w:rsidRDefault="00151FE1" w:rsidP="00151FE1">
      <w:pPr>
        <w:pStyle w:val="Heading3"/>
        <w:rPr>
          <w:rFonts w:eastAsia="Times New Roman"/>
          <w:u w:val="single"/>
        </w:rPr>
      </w:pPr>
      <w:r w:rsidRPr="00151FE1">
        <w:rPr>
          <w:rFonts w:eastAsia="Times New Roman"/>
          <w:u w:val="single"/>
          <w:lang w:eastAsia="bg-BG"/>
        </w:rPr>
        <w:lastRenderedPageBreak/>
        <w:t>Фертилитет</w:t>
      </w:r>
    </w:p>
    <w:p w14:paraId="7E105EF7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5A1E71C" w14:textId="1D69C752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 xml:space="preserve">При мъжки и женски плъхове фертилитетьт не се повлиява от метформин, приложен в дози до 600 </w:t>
      </w:r>
      <w:r w:rsidRPr="00151FE1">
        <w:rPr>
          <w:rFonts w:eastAsia="Times New Roman" w:cs="Arial"/>
          <w:color w:val="000000"/>
          <w:lang w:val="en-US"/>
        </w:rPr>
        <w:t>mg</w:t>
      </w:r>
      <w:r w:rsidRPr="00151FE1">
        <w:rPr>
          <w:rFonts w:eastAsia="Times New Roman" w:cs="Arial"/>
          <w:color w:val="000000"/>
          <w:lang w:val="ru-RU"/>
        </w:rPr>
        <w:t>/</w:t>
      </w:r>
      <w:r w:rsidRPr="00151FE1">
        <w:rPr>
          <w:rFonts w:eastAsia="Times New Roman" w:cs="Arial"/>
          <w:color w:val="000000"/>
          <w:lang w:val="en-US"/>
        </w:rPr>
        <w:t>kg</w:t>
      </w:r>
      <w:r w:rsidRPr="00151FE1">
        <w:rPr>
          <w:rFonts w:eastAsia="Times New Roman" w:cs="Arial"/>
          <w:color w:val="000000"/>
          <w:lang w:eastAsia="bg-BG"/>
        </w:rPr>
        <w:t>/на ден, което е почти три пъти повече от максималната препоръчана дневна доза при хора, на база сравнение на телесна повърхност.</w:t>
      </w:r>
    </w:p>
    <w:p w14:paraId="0BE762EC" w14:textId="55182330" w:rsidR="00151FE1" w:rsidRPr="00151FE1" w:rsidRDefault="00151FE1" w:rsidP="00151FE1"/>
    <w:p w14:paraId="064DF1DE" w14:textId="1A0AD337" w:rsidR="00CF77F7" w:rsidRDefault="002C50EE" w:rsidP="004A448E">
      <w:pPr>
        <w:pStyle w:val="Heading2"/>
      </w:pPr>
      <w:r>
        <w:t>4.7. Ефекти върху способността за шофиране и работа с машини</w:t>
      </w:r>
    </w:p>
    <w:p w14:paraId="2C55923D" w14:textId="69D7FCE8" w:rsidR="00151FE1" w:rsidRDefault="00151FE1" w:rsidP="00151FE1"/>
    <w:p w14:paraId="74B87E34" w14:textId="77777777" w:rsidR="00151FE1" w:rsidRPr="00151FE1" w:rsidRDefault="00151FE1" w:rsidP="00151FE1">
      <w:pPr>
        <w:rPr>
          <w:sz w:val="24"/>
          <w:szCs w:val="24"/>
        </w:rPr>
      </w:pPr>
      <w:r w:rsidRPr="00151FE1">
        <w:rPr>
          <w:lang w:eastAsia="bg-BG"/>
        </w:rPr>
        <w:t>Метформин, като монотерапия, не води до хипогликемия и затова няма влияние върху способността за шофиране и работа с машини.</w:t>
      </w:r>
    </w:p>
    <w:p w14:paraId="64CE75AB" w14:textId="77777777" w:rsidR="00151FE1" w:rsidRPr="00151FE1" w:rsidRDefault="00151FE1" w:rsidP="00151FE1">
      <w:pPr>
        <w:rPr>
          <w:sz w:val="24"/>
          <w:szCs w:val="24"/>
        </w:rPr>
      </w:pPr>
      <w:r w:rsidRPr="00151FE1">
        <w:rPr>
          <w:lang w:eastAsia="bg-BG"/>
        </w:rPr>
        <w:t>Все пак, пациентите трябва да са предупредени за риска от появата на хипогликемия, когато метформин се използва в комбинация с други антидиабетни лекарствени продукти (напр.сулфанилурейни, инсулин или меглитиниди).</w:t>
      </w:r>
    </w:p>
    <w:p w14:paraId="1E0E4CD1" w14:textId="77777777" w:rsidR="00151FE1" w:rsidRPr="00151FE1" w:rsidRDefault="00151FE1" w:rsidP="00151FE1"/>
    <w:p w14:paraId="37A3FD9F" w14:textId="5F8506CC" w:rsidR="00CF77F7" w:rsidRDefault="002C50EE" w:rsidP="004A448E">
      <w:pPr>
        <w:pStyle w:val="Heading2"/>
      </w:pPr>
      <w:r>
        <w:t>4.8. Нежелани лекарствени реакции</w:t>
      </w:r>
    </w:p>
    <w:p w14:paraId="0D62AC9C" w14:textId="1D8490C0" w:rsidR="00151FE1" w:rsidRDefault="00151FE1" w:rsidP="00151FE1"/>
    <w:p w14:paraId="5F86B4B8" w14:textId="77777777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В началото на лечението, най-честите нежелани лекарствени реакции са гадене, повръщане, диария, стомашна болка и загуба на апетит, които в повечето случаи отминават спонтанно. За предотвратяването им се препоръчва метформин да се приема на две или три дневни дози и постепенно увеличаване на дозите.</w:t>
      </w:r>
    </w:p>
    <w:p w14:paraId="35ADA9B5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DCFE55D" w14:textId="30E3FEAB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По време на лечение с метформин могат да се появят следните нежелани лекарствени реакции. Честотата им се определя както следва: много чести: ≥1/10; чести: ≥ 1/100, &lt; 1/10; нечести: ≥ 1/1000, &lt; 1/100; редки: ≥1710000, &lt; 1/1000; много редки: &lt; 1/10000.</w:t>
      </w:r>
    </w:p>
    <w:p w14:paraId="58D2097E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B9EF78D" w14:textId="62545872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При всяко групиране в зависимост от честотата, нежеланите лекарствени реакции се изброяват в низходящ ред по отношение на тежестта.</w:t>
      </w:r>
    </w:p>
    <w:p w14:paraId="349023F1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C8BC319" w14:textId="0CC31F30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u w:val="single"/>
          <w:lang w:eastAsia="bg-BG"/>
        </w:rPr>
        <w:t>Нарушения на метаболизма и храненето</w:t>
      </w:r>
    </w:p>
    <w:p w14:paraId="0D7DB966" w14:textId="77777777" w:rsidR="00151FE1" w:rsidRDefault="00151FE1" w:rsidP="00151FE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8C87EFA" w14:textId="18BFB489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i/>
          <w:iCs/>
          <w:color w:val="000000"/>
          <w:lang w:eastAsia="bg-BG"/>
        </w:rPr>
        <w:t>Много редки</w:t>
      </w:r>
    </w:p>
    <w:p w14:paraId="1F9B7A8F" w14:textId="77777777" w:rsidR="00151FE1" w:rsidRDefault="00151FE1" w:rsidP="00151FE1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51FE1">
        <w:rPr>
          <w:rFonts w:eastAsia="Times New Roman" w:cs="Arial"/>
          <w:color w:val="000000"/>
          <w:lang w:eastAsia="bg-BG"/>
        </w:rPr>
        <w:t>Лактатна ацидоза (виж точка 4.4)</w:t>
      </w:r>
    </w:p>
    <w:p w14:paraId="5832CD45" w14:textId="373C4E7A" w:rsidR="00151FE1" w:rsidRPr="00151FE1" w:rsidRDefault="00151FE1" w:rsidP="00151FE1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51FE1">
        <w:rPr>
          <w:rFonts w:eastAsia="Times New Roman" w:cs="Arial"/>
          <w:color w:val="000000"/>
          <w:lang w:eastAsia="bg-BG"/>
        </w:rPr>
        <w:t>Намалена абсорбция на витамин В</w:t>
      </w:r>
      <w:r w:rsidRPr="00151FE1">
        <w:rPr>
          <w:rFonts w:eastAsia="Times New Roman" w:cs="Arial"/>
          <w:color w:val="000000"/>
          <w:vertAlign w:val="subscript"/>
          <w:lang w:eastAsia="bg-BG"/>
        </w:rPr>
        <w:t>12</w:t>
      </w:r>
      <w:r w:rsidRPr="00151FE1">
        <w:rPr>
          <w:rFonts w:eastAsia="Times New Roman" w:cs="Arial"/>
          <w:color w:val="000000"/>
          <w:lang w:eastAsia="bg-BG"/>
        </w:rPr>
        <w:t xml:space="preserve"> намаляване на серумните нива по време на продължително лечение с метформин. Препоръчва се подобна етиология да се вземе предвид в случай, че пациентът има мегалобластна анемия.</w:t>
      </w:r>
    </w:p>
    <w:p w14:paraId="2B006691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FF9A3D6" w14:textId="2AB98A6E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u w:val="single"/>
          <w:lang w:eastAsia="bg-BG"/>
        </w:rPr>
        <w:t>Нарушения на нервната система</w:t>
      </w:r>
    </w:p>
    <w:p w14:paraId="170F256E" w14:textId="77777777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i/>
          <w:iCs/>
          <w:color w:val="000000"/>
          <w:lang w:eastAsia="bg-BG"/>
        </w:rPr>
        <w:t>Чести</w:t>
      </w:r>
    </w:p>
    <w:p w14:paraId="3B1BBAE3" w14:textId="77777777" w:rsidR="00151FE1" w:rsidRPr="00151FE1" w:rsidRDefault="00151FE1" w:rsidP="00151FE1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51FE1">
        <w:rPr>
          <w:rFonts w:eastAsia="Times New Roman" w:cs="Arial"/>
          <w:color w:val="000000"/>
          <w:lang w:eastAsia="bg-BG"/>
        </w:rPr>
        <w:t>Нарушения на вкуса.</w:t>
      </w:r>
    </w:p>
    <w:p w14:paraId="3E849C09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1DD6CB5" w14:textId="2E88507D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u w:val="single"/>
          <w:lang w:eastAsia="bg-BG"/>
        </w:rPr>
        <w:t>Стомашно-чревни нарушения</w:t>
      </w:r>
    </w:p>
    <w:p w14:paraId="68E5AB92" w14:textId="77777777" w:rsidR="00151FE1" w:rsidRDefault="00151FE1" w:rsidP="00151FE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6A03838" w14:textId="0062C9D5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i/>
          <w:iCs/>
          <w:color w:val="000000"/>
          <w:lang w:eastAsia="bg-BG"/>
        </w:rPr>
        <w:t>Много чести</w:t>
      </w:r>
    </w:p>
    <w:p w14:paraId="69E80DD8" w14:textId="28FF2453" w:rsidR="00151FE1" w:rsidRPr="00151FE1" w:rsidRDefault="00151FE1" w:rsidP="00151FE1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51FE1">
        <w:rPr>
          <w:rFonts w:eastAsia="Times New Roman" w:cs="Arial"/>
          <w:color w:val="000000"/>
          <w:lang w:eastAsia="bg-BG"/>
        </w:rPr>
        <w:t>Стомашно-чревни нарушения като гадене, повръщане, диария, абдоминална болка и загуба на апетит. Те се появяват най-често в началото на терапията и отминават спонтанно в повечето случаи. За да се предотвратят тези симптоми, е препоръчително метформин да се приема на 2 или 3 дневни дози по време или след хранене. Бавното увеличаване на дозата може също да подобри гастроинтестиналната толерантност.</w:t>
      </w:r>
    </w:p>
    <w:p w14:paraId="21FDE9BA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668131B" w14:textId="4C4F8714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u w:val="single"/>
          <w:lang w:eastAsia="bg-BG"/>
        </w:rPr>
        <w:t>Нарушения на чернодробната и жлъчна функция</w:t>
      </w:r>
    </w:p>
    <w:p w14:paraId="7D5A9ADF" w14:textId="77777777" w:rsidR="00151FE1" w:rsidRDefault="00151FE1" w:rsidP="00151FE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1B19B0B" w14:textId="24FC47C8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i/>
          <w:iCs/>
          <w:color w:val="000000"/>
          <w:lang w:eastAsia="bg-BG"/>
        </w:rPr>
        <w:t>Много редки</w:t>
      </w:r>
    </w:p>
    <w:p w14:paraId="7595E396" w14:textId="77777777" w:rsidR="00151FE1" w:rsidRPr="00151FE1" w:rsidRDefault="00151FE1" w:rsidP="00151FE1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51FE1">
        <w:rPr>
          <w:rFonts w:eastAsia="Times New Roman" w:cs="Arial"/>
          <w:color w:val="000000"/>
          <w:lang w:eastAsia="bg-BG"/>
        </w:rPr>
        <w:t>Единични случаи на аномалии в чернодробните изследвания или хепатит, които преминават след преустановяване на лечението с метформин.</w:t>
      </w:r>
    </w:p>
    <w:p w14:paraId="3F985BF9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248F598" w14:textId="01734E88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u w:val="single"/>
          <w:lang w:eastAsia="bg-BG"/>
        </w:rPr>
        <w:t>Промени на кожата и подкожните тъкани</w:t>
      </w:r>
    </w:p>
    <w:p w14:paraId="140284B0" w14:textId="77777777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i/>
          <w:iCs/>
          <w:color w:val="000000"/>
          <w:lang w:eastAsia="bg-BG"/>
        </w:rPr>
        <w:t>Много редки</w:t>
      </w:r>
    </w:p>
    <w:p w14:paraId="3FA91DD1" w14:textId="77777777" w:rsidR="00151FE1" w:rsidRPr="00151FE1" w:rsidRDefault="00151FE1" w:rsidP="00151FE1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151FE1">
        <w:rPr>
          <w:rFonts w:eastAsia="Times New Roman" w:cs="Arial"/>
          <w:color w:val="000000"/>
          <w:lang w:eastAsia="bg-BG"/>
        </w:rPr>
        <w:t>Кожни реакции като еритема, пруритус, уртикария.</w:t>
      </w:r>
    </w:p>
    <w:p w14:paraId="15082A9E" w14:textId="77777777" w:rsidR="00151FE1" w:rsidRDefault="00151FE1" w:rsidP="00151FE1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55E9B883" w14:textId="3A66CE61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b/>
          <w:bCs/>
          <w:color w:val="000000"/>
          <w:lang w:eastAsia="bg-BG"/>
        </w:rPr>
        <w:t>Педиатрична популация</w:t>
      </w:r>
    </w:p>
    <w:p w14:paraId="42434CAE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2584E6A" w14:textId="7557BEE5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Нежеланите лекарствени реакции от публикации и постмаркетингови източници, както и от контролирани клинични проучвания на малка група деца, между 10 и 16 години, третирани в продължение на 1 година, са подобни на наблюдаваните при възрастни по отношение на характера и тежестта им.</w:t>
      </w:r>
    </w:p>
    <w:p w14:paraId="283F95D0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0C4DD4D" w14:textId="2AE181DC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34BFFD64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151FE1">
        <w:rPr>
          <w:rFonts w:eastAsia="Times New Roman" w:cs="Arial"/>
          <w:color w:val="000000"/>
          <w:lang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Изпълнителна агенция по лекарствата </w:t>
      </w:r>
    </w:p>
    <w:p w14:paraId="7E4A4B05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151FE1">
        <w:rPr>
          <w:rFonts w:eastAsia="Times New Roman" w:cs="Arial"/>
          <w:color w:val="000000"/>
          <w:lang w:eastAsia="bg-BG"/>
        </w:rPr>
        <w:t xml:space="preserve">ул. „Дамян Груев” № 8 </w:t>
      </w:r>
    </w:p>
    <w:p w14:paraId="6D5A95ED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151FE1">
        <w:rPr>
          <w:rFonts w:eastAsia="Times New Roman" w:cs="Arial"/>
          <w:color w:val="000000"/>
          <w:lang w:eastAsia="bg-BG"/>
        </w:rPr>
        <w:t xml:space="preserve">1303 София </w:t>
      </w:r>
    </w:p>
    <w:p w14:paraId="15C6CB5B" w14:textId="36A67FED" w:rsidR="00151FE1" w:rsidRDefault="00151FE1" w:rsidP="00151FE1">
      <w:pPr>
        <w:spacing w:line="240" w:lineRule="auto"/>
        <w:rPr>
          <w:rFonts w:eastAsia="Times New Roman" w:cs="Arial"/>
          <w:color w:val="000000"/>
          <w:lang w:eastAsia="bg-BG"/>
        </w:rPr>
      </w:pPr>
      <w:r>
        <w:rPr>
          <w:rFonts w:eastAsia="Times New Roman" w:cs="Arial"/>
          <w:color w:val="000000"/>
          <w:lang w:eastAsia="bg-BG"/>
        </w:rPr>
        <w:t>Тел.:</w:t>
      </w:r>
      <w:r w:rsidRPr="00151FE1">
        <w:rPr>
          <w:rFonts w:eastAsia="Times New Roman" w:cs="Arial"/>
          <w:color w:val="000000"/>
          <w:lang w:val="ru-RU" w:eastAsia="bg-BG"/>
        </w:rPr>
        <w:t>+</w:t>
      </w:r>
      <w:r>
        <w:rPr>
          <w:rFonts w:eastAsia="Times New Roman" w:cs="Arial"/>
          <w:color w:val="000000"/>
          <w:lang w:eastAsia="bg-BG"/>
        </w:rPr>
        <w:t>35</w:t>
      </w:r>
      <w:r>
        <w:rPr>
          <w:rFonts w:eastAsia="Times New Roman" w:cs="Arial"/>
          <w:color w:val="000000"/>
          <w:lang w:val="en-US" w:eastAsia="bg-BG"/>
        </w:rPr>
        <w:t xml:space="preserve"> </w:t>
      </w:r>
      <w:r w:rsidRPr="00151FE1">
        <w:rPr>
          <w:rFonts w:eastAsia="Times New Roman" w:cs="Arial"/>
          <w:color w:val="000000"/>
          <w:lang w:eastAsia="bg-BG"/>
        </w:rPr>
        <w:t xml:space="preserve">928903417 </w:t>
      </w:r>
    </w:p>
    <w:p w14:paraId="6B6A8D91" w14:textId="4736A0E2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 xml:space="preserve">уебсайт: </w:t>
      </w:r>
      <w:r w:rsidRPr="00151FE1">
        <w:rPr>
          <w:rFonts w:eastAsia="Times New Roman" w:cs="Arial"/>
        </w:rPr>
        <w:fldChar w:fldCharType="begin"/>
      </w:r>
      <w:r w:rsidRPr="00151FE1">
        <w:rPr>
          <w:rFonts w:eastAsia="Times New Roman" w:cs="Arial"/>
        </w:rPr>
        <w:instrText xml:space="preserve"> HYPERLINK "http://www.bda.bg" </w:instrText>
      </w:r>
      <w:r w:rsidRPr="00151FE1">
        <w:rPr>
          <w:rFonts w:eastAsia="Times New Roman" w:cs="Arial"/>
        </w:rPr>
      </w:r>
      <w:r w:rsidRPr="00151FE1">
        <w:rPr>
          <w:rFonts w:eastAsia="Times New Roman" w:cs="Arial"/>
        </w:rPr>
        <w:fldChar w:fldCharType="separate"/>
      </w:r>
      <w:r w:rsidRPr="00151FE1">
        <w:rPr>
          <w:rFonts w:eastAsia="Times New Roman" w:cs="Arial"/>
          <w:color w:val="000000"/>
          <w:u w:val="single"/>
          <w:lang w:val="en-US"/>
        </w:rPr>
        <w:t>www</w:t>
      </w:r>
      <w:r w:rsidRPr="00151FE1">
        <w:rPr>
          <w:rFonts w:eastAsia="Times New Roman" w:cs="Arial"/>
          <w:color w:val="000000"/>
          <w:u w:val="single"/>
          <w:lang w:val="ru-RU"/>
        </w:rPr>
        <w:t>.</w:t>
      </w:r>
      <w:proofErr w:type="spellStart"/>
      <w:r w:rsidRPr="00151FE1">
        <w:rPr>
          <w:rFonts w:eastAsia="Times New Roman" w:cs="Arial"/>
          <w:color w:val="000000"/>
          <w:u w:val="single"/>
          <w:lang w:val="en-US"/>
        </w:rPr>
        <w:t>bda</w:t>
      </w:r>
      <w:proofErr w:type="spellEnd"/>
      <w:r w:rsidRPr="00151FE1">
        <w:rPr>
          <w:rFonts w:eastAsia="Times New Roman" w:cs="Arial"/>
          <w:color w:val="000000"/>
          <w:u w:val="single"/>
          <w:lang w:val="ru-RU"/>
        </w:rPr>
        <w:t>.</w:t>
      </w:r>
      <w:proofErr w:type="spellStart"/>
      <w:r w:rsidRPr="00151FE1">
        <w:rPr>
          <w:rFonts w:eastAsia="Times New Roman" w:cs="Arial"/>
          <w:color w:val="000000"/>
          <w:u w:val="single"/>
          <w:lang w:val="en-US"/>
        </w:rPr>
        <w:t>bg</w:t>
      </w:r>
      <w:proofErr w:type="spellEnd"/>
      <w:r w:rsidRPr="00151FE1">
        <w:rPr>
          <w:rFonts w:eastAsia="Times New Roman" w:cs="Arial"/>
        </w:rPr>
        <w:fldChar w:fldCharType="end"/>
      </w:r>
    </w:p>
    <w:p w14:paraId="501BC813" w14:textId="2C866DE8" w:rsidR="00151FE1" w:rsidRPr="00151FE1" w:rsidRDefault="00151FE1" w:rsidP="00151FE1"/>
    <w:p w14:paraId="0A023CE0" w14:textId="3C3329B5" w:rsidR="00CF77F7" w:rsidRDefault="002C50EE" w:rsidP="004A448E">
      <w:pPr>
        <w:pStyle w:val="Heading2"/>
      </w:pPr>
      <w:r>
        <w:t>4.9. Предозиране</w:t>
      </w:r>
    </w:p>
    <w:p w14:paraId="11D3E916" w14:textId="09A1ACCA" w:rsidR="00151FE1" w:rsidRDefault="00151FE1" w:rsidP="00151FE1"/>
    <w:p w14:paraId="1DEC4CAD" w14:textId="77777777" w:rsidR="00151FE1" w:rsidRPr="00151FE1" w:rsidRDefault="00151FE1" w:rsidP="00151FE1">
      <w:pPr>
        <w:rPr>
          <w:sz w:val="24"/>
          <w:szCs w:val="24"/>
        </w:rPr>
      </w:pPr>
      <w:r w:rsidRPr="00151FE1">
        <w:rPr>
          <w:lang w:eastAsia="bg-BG"/>
        </w:rPr>
        <w:t xml:space="preserve">Хипогликемия не се наблюдава дори при дози на метформин до 85 </w:t>
      </w:r>
      <w:r w:rsidRPr="00151FE1">
        <w:rPr>
          <w:lang w:val="en-US"/>
        </w:rPr>
        <w:t>g</w:t>
      </w:r>
      <w:r w:rsidRPr="00151FE1">
        <w:rPr>
          <w:lang w:val="ru-RU"/>
        </w:rPr>
        <w:t xml:space="preserve">, </w:t>
      </w:r>
      <w:r w:rsidRPr="00151FE1">
        <w:rPr>
          <w:lang w:eastAsia="bg-BG"/>
        </w:rPr>
        <w:t>въпреки че при такива обстоятелства се появява лактатна ацидоза.</w:t>
      </w:r>
    </w:p>
    <w:p w14:paraId="0D46532E" w14:textId="77777777" w:rsidR="00151FE1" w:rsidRPr="00151FE1" w:rsidRDefault="00151FE1" w:rsidP="00151FE1">
      <w:pPr>
        <w:rPr>
          <w:sz w:val="24"/>
          <w:szCs w:val="24"/>
        </w:rPr>
      </w:pPr>
      <w:r w:rsidRPr="00151FE1">
        <w:rPr>
          <w:lang w:eastAsia="bg-BG"/>
        </w:rPr>
        <w:t>Значителното предозиране на метформинов хидрохлорид и съпътстващите рискови фактори могат да доведат до лактатна ацидоза.</w:t>
      </w:r>
    </w:p>
    <w:p w14:paraId="1A6E72EA" w14:textId="5DF1D434" w:rsidR="00151FE1" w:rsidRPr="00151FE1" w:rsidRDefault="00151FE1" w:rsidP="00151FE1">
      <w:r w:rsidRPr="00151FE1">
        <w:rPr>
          <w:lang w:eastAsia="bg-BG"/>
        </w:rPr>
        <w:t>Лактатната ацидоза е спешно състояние и трябва да се лекува в болница. Най-ефективното лечение е отстраняването на лактат и метформин чрез хемодиализа.</w:t>
      </w:r>
    </w:p>
    <w:p w14:paraId="02081B24" w14:textId="1F46E296" w:rsidR="00395555" w:rsidRPr="00395555" w:rsidRDefault="002C50EE" w:rsidP="008A6AF2">
      <w:pPr>
        <w:pStyle w:val="Heading1"/>
      </w:pPr>
      <w:r>
        <w:t>5. ФАРМАКОЛОГИЧНИ СВОЙСТВА</w:t>
      </w:r>
    </w:p>
    <w:p w14:paraId="32B6DE66" w14:textId="2166B1D6" w:rsidR="00CF77F7" w:rsidRDefault="002C50EE" w:rsidP="004A448E">
      <w:pPr>
        <w:pStyle w:val="Heading2"/>
      </w:pPr>
      <w:r>
        <w:t>5.1. Фармакодинамични свойства</w:t>
      </w:r>
    </w:p>
    <w:p w14:paraId="7BC11FED" w14:textId="3AF2C859" w:rsidR="00151FE1" w:rsidRDefault="00151FE1" w:rsidP="00151FE1"/>
    <w:p w14:paraId="194544FD" w14:textId="77777777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Фармакотерапевтична група: Лекарствени продукти, понижаващи нивото на кръвната захари Бигваниди. АТС код: А10ВА02</w:t>
      </w:r>
    </w:p>
    <w:p w14:paraId="1F2D8CD7" w14:textId="77777777" w:rsidR="00151FE1" w:rsidRPr="00151FE1" w:rsidRDefault="00151FE1" w:rsidP="00151FE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1746E03" w14:textId="3AAD233C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u w:val="single"/>
          <w:lang w:eastAsia="bg-BG"/>
        </w:rPr>
        <w:t>Механизъм на действие</w:t>
      </w:r>
    </w:p>
    <w:p w14:paraId="3D78E73D" w14:textId="77777777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Метформин е бигванид с антихипергликемични ефекти, намаляващи базалната и постпрандиалната кръвна захар. Той не стимулира инсулиновата секреция, затова не предизвиква хипогликемия.</w:t>
      </w:r>
    </w:p>
    <w:p w14:paraId="70924918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24BD3CB" w14:textId="38AA191D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lastRenderedPageBreak/>
        <w:t>Метформин може да действа чрез три механизма:</w:t>
      </w:r>
    </w:p>
    <w:p w14:paraId="0EE877F6" w14:textId="77777777" w:rsidR="00151FE1" w:rsidRPr="00151FE1" w:rsidRDefault="00151FE1" w:rsidP="00151FE1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намалява чернодробната продукция на глюкоза чрез инхибиране на глюконеогенезата и гликогенолизата,</w:t>
      </w:r>
    </w:p>
    <w:p w14:paraId="2A301BAD" w14:textId="77777777" w:rsidR="00151FE1" w:rsidRPr="00151FE1" w:rsidRDefault="00151FE1" w:rsidP="00151FE1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в мускулите, чрез повишаване на чувствителността към инсулин, подобряване на периферния прием и усвояване на гликозата,</w:t>
      </w:r>
    </w:p>
    <w:p w14:paraId="75541F37" w14:textId="7BD80B22" w:rsidR="00151FE1" w:rsidRPr="00151FE1" w:rsidRDefault="00151FE1" w:rsidP="00151FE1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чрез забавяне на абсорбцията на гликозата в червата.</w:t>
      </w:r>
    </w:p>
    <w:p w14:paraId="373E7259" w14:textId="77777777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Метформин стимулира интрацелуларния синтез на гликоген, като въздейства върху гликоген- синтазата.</w:t>
      </w:r>
    </w:p>
    <w:p w14:paraId="71B5936D" w14:textId="77777777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 xml:space="preserve">Метформин повишава транспортния капацитет на всички видове мембранни преносители на глюкоза </w:t>
      </w:r>
      <w:r w:rsidRPr="00151FE1">
        <w:rPr>
          <w:rFonts w:eastAsia="Times New Roman" w:cs="Arial"/>
          <w:color w:val="000000"/>
          <w:lang w:val="ru-RU"/>
        </w:rPr>
        <w:t>(</w:t>
      </w:r>
      <w:r w:rsidRPr="00151FE1">
        <w:rPr>
          <w:rFonts w:eastAsia="Times New Roman" w:cs="Arial"/>
          <w:color w:val="000000"/>
          <w:lang w:val="en-US"/>
        </w:rPr>
        <w:t>GLUT</w:t>
      </w:r>
      <w:r w:rsidRPr="00151FE1">
        <w:rPr>
          <w:rFonts w:eastAsia="Times New Roman" w:cs="Arial"/>
          <w:color w:val="000000"/>
          <w:lang w:val="ru-RU"/>
        </w:rPr>
        <w:t xml:space="preserve">), </w:t>
      </w:r>
      <w:r w:rsidRPr="00151FE1">
        <w:rPr>
          <w:rFonts w:eastAsia="Times New Roman" w:cs="Arial"/>
          <w:color w:val="000000"/>
          <w:lang w:eastAsia="bg-BG"/>
        </w:rPr>
        <w:t>известни досега.</w:t>
      </w:r>
    </w:p>
    <w:p w14:paraId="01136119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DE5A74B" w14:textId="12A28D4C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u w:val="single"/>
          <w:lang w:eastAsia="bg-BG"/>
        </w:rPr>
        <w:t>Фармакодинамични ефекти</w:t>
      </w:r>
    </w:p>
    <w:p w14:paraId="66F89154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E4FDB43" w14:textId="5F80B04E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В клинични проучвания, употребата на метформин се свързва със стабилизиране на телесното тегло или с умерена загуба на тегло.</w:t>
      </w:r>
    </w:p>
    <w:p w14:paraId="689B6C35" w14:textId="77777777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 xml:space="preserve">Метформин има благоприятни ефекти върху липидния метаболизъм при хора, независимо от неговото действие върху гликемията. Това е показано в терапевтични дози при контролирани, средносрочни или дългосрочни клинични проучвания: метформин намалява нивата на общия холестерол, </w:t>
      </w:r>
      <w:r w:rsidRPr="00151FE1">
        <w:rPr>
          <w:rFonts w:eastAsia="Times New Roman" w:cs="Arial"/>
          <w:color w:val="000000"/>
          <w:lang w:val="en-US"/>
        </w:rPr>
        <w:t>LDL</w:t>
      </w:r>
      <w:r w:rsidRPr="00151FE1">
        <w:rPr>
          <w:rFonts w:eastAsia="Times New Roman" w:cs="Arial"/>
          <w:color w:val="000000"/>
          <w:lang w:eastAsia="bg-BG"/>
        </w:rPr>
        <w:t>-холестерола и триглицеридите.</w:t>
      </w:r>
    </w:p>
    <w:p w14:paraId="46684FA2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D932969" w14:textId="68EC2585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u w:val="single"/>
          <w:lang w:eastAsia="bg-BG"/>
        </w:rPr>
        <w:t>Клинична ефективност</w:t>
      </w:r>
    </w:p>
    <w:p w14:paraId="37380C7B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1A87A2A" w14:textId="2AC3DE68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 xml:space="preserve">Проспективното рандомизирано проучване </w:t>
      </w:r>
      <w:r w:rsidRPr="00151FE1">
        <w:rPr>
          <w:rFonts w:eastAsia="Times New Roman" w:cs="Arial"/>
          <w:color w:val="000000"/>
          <w:lang w:val="ru-RU"/>
        </w:rPr>
        <w:t>(</w:t>
      </w:r>
      <w:r w:rsidRPr="00151FE1">
        <w:rPr>
          <w:rFonts w:eastAsia="Times New Roman" w:cs="Arial"/>
          <w:color w:val="000000"/>
          <w:lang w:val="en-US"/>
        </w:rPr>
        <w:t>UKPDS</w:t>
      </w:r>
      <w:r w:rsidRPr="00151FE1">
        <w:rPr>
          <w:rFonts w:eastAsia="Times New Roman" w:cs="Arial"/>
          <w:color w:val="000000"/>
          <w:lang w:val="ru-RU"/>
        </w:rPr>
        <w:t xml:space="preserve">) </w:t>
      </w:r>
      <w:r w:rsidRPr="00151FE1">
        <w:rPr>
          <w:rFonts w:eastAsia="Times New Roman" w:cs="Arial"/>
          <w:color w:val="000000"/>
          <w:lang w:eastAsia="bg-BG"/>
        </w:rPr>
        <w:t xml:space="preserve">потвърди дълготрайната полза от интензивния контрол на кръвната захар при </w:t>
      </w:r>
      <w:r w:rsidRPr="00151FE1">
        <w:rPr>
          <w:rFonts w:eastAsia="Times New Roman" w:cs="Arial"/>
          <w:i/>
          <w:iCs/>
          <w:color w:val="000000"/>
          <w:lang w:eastAsia="bg-BG"/>
        </w:rPr>
        <w:t>възрастни</w:t>
      </w:r>
      <w:r w:rsidRPr="00151FE1">
        <w:rPr>
          <w:rFonts w:eastAsia="Times New Roman" w:cs="Arial"/>
          <w:color w:val="000000"/>
          <w:lang w:eastAsia="bg-BG"/>
        </w:rPr>
        <w:t xml:space="preserve"> пациенти с диабет тип 2.</w:t>
      </w:r>
    </w:p>
    <w:p w14:paraId="376348A4" w14:textId="77777777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Анализът на резултатите при пациенти с наднормено тегло, лекувани с метформин след като без успех е приложена само диета, показват:</w:t>
      </w:r>
    </w:p>
    <w:p w14:paraId="5E13904D" w14:textId="77777777" w:rsidR="00151FE1" w:rsidRPr="00151FE1" w:rsidRDefault="00151FE1" w:rsidP="00151FE1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 xml:space="preserve">значително намаление на абсолютния риск от всякакви усложнения, свързани с диабета, в групата на метформин (29.8 случая/1000 пациент-години) в сравнение с групата пациенти само на диета (43.3 случая/1000 пациент-години), </w:t>
      </w:r>
      <w:r w:rsidRPr="00151FE1">
        <w:rPr>
          <w:rFonts w:eastAsia="Times New Roman" w:cs="Arial"/>
          <w:color w:val="000000"/>
          <w:lang w:val="en-US"/>
        </w:rPr>
        <w:t>p</w:t>
      </w:r>
      <w:r w:rsidRPr="00151FE1">
        <w:rPr>
          <w:rFonts w:eastAsia="Times New Roman" w:cs="Arial"/>
          <w:color w:val="000000"/>
          <w:lang w:val="ru-RU"/>
        </w:rPr>
        <w:t xml:space="preserve">=0.0023, </w:t>
      </w:r>
      <w:r w:rsidRPr="00151FE1">
        <w:rPr>
          <w:rFonts w:eastAsia="Times New Roman" w:cs="Arial"/>
          <w:color w:val="000000"/>
          <w:lang w:eastAsia="bg-BG"/>
        </w:rPr>
        <w:t>и в сравнение с групите на сулфанилурейни лекарствени продукти и инсулин, монотерапия (40.1 случая/1000 пациент-години), р=О.0034.</w:t>
      </w:r>
    </w:p>
    <w:p w14:paraId="40D9A4A5" w14:textId="77777777" w:rsidR="00151FE1" w:rsidRPr="00151FE1" w:rsidRDefault="00151FE1" w:rsidP="00151FE1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значително намаление на абсолютния риск за смъртност, свързана с диабета: метформин</w:t>
      </w:r>
      <w:r w:rsidRPr="00151FE1">
        <w:rPr>
          <w:rFonts w:eastAsia="Times New Roman" w:cs="Arial"/>
          <w:color w:val="000000"/>
          <w:lang w:val="ru-RU" w:eastAsia="bg-BG"/>
        </w:rPr>
        <w:t xml:space="preserve"> </w:t>
      </w:r>
      <w:r w:rsidRPr="00151FE1">
        <w:rPr>
          <w:rFonts w:eastAsia="Times New Roman" w:cs="Arial"/>
          <w:color w:val="000000"/>
          <w:lang w:eastAsia="bg-BG"/>
        </w:rPr>
        <w:t>7.5 случая/1000 пациент-години, само диета: 12.7 случая/1000 пациент-години, р=0.017.</w:t>
      </w:r>
    </w:p>
    <w:p w14:paraId="56299B48" w14:textId="77777777" w:rsidR="00151FE1" w:rsidRPr="00151FE1" w:rsidRDefault="00151FE1" w:rsidP="00151FE1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значително намаление на абсолютния риск за обща смъртност: метформин 13.5 случая/1000 пациент-години, в сравнение с групата пациенти само на диета: 20.6 случая/1000 пациент-години, (р=0.011), и в сравнение с комбинираните групи на сулфанилурейни лекарствени продукти и инсулин, монотерапия: 18.9 случая/1000 пациент-години, (р=0.021).</w:t>
      </w:r>
    </w:p>
    <w:p w14:paraId="79644C1B" w14:textId="4384BBE8" w:rsidR="00151FE1" w:rsidRPr="00151FE1" w:rsidRDefault="00151FE1" w:rsidP="00151FE1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значително намаление на абсолютния риск за миокарден инфаркт: метформин 11 случая/1000 пациент-години, само диета 18 случая/1000 пациент-години, р=0.01.</w:t>
      </w:r>
    </w:p>
    <w:p w14:paraId="78C16A8C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7C8B19B" w14:textId="1536F77E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Не са наблюдавани клинични ползи при комбиниране на метформин със сулфанилурея, прилаган като втора линия на лечение.</w:t>
      </w:r>
    </w:p>
    <w:p w14:paraId="3026FED3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9523C49" w14:textId="2F216B88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Комбинацията на метформин и инсулин е прилагана при избрани пациенти с диабет тип 1, но клинична полза не е категорично установена.</w:t>
      </w:r>
    </w:p>
    <w:p w14:paraId="2A3E475C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2DF801B" w14:textId="630AA3E4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706D3329" w14:textId="77777777" w:rsidR="00151FE1" w:rsidRPr="00151FE1" w:rsidRDefault="00151FE1" w:rsidP="00151FE1">
      <w:pPr>
        <w:rPr>
          <w:sz w:val="24"/>
          <w:szCs w:val="24"/>
        </w:rPr>
      </w:pPr>
      <w:r w:rsidRPr="00151FE1">
        <w:rPr>
          <w:lang w:eastAsia="bg-BG"/>
        </w:rPr>
        <w:lastRenderedPageBreak/>
        <w:t>Контролирани клинични проучвания с неголяма група деца, между 10 и 16 години, третирани в продължение на 1 година, са показали промени в нивото на кръвната захар, аналогични при възрастни пациенти.</w:t>
      </w:r>
    </w:p>
    <w:p w14:paraId="0EFCE4EA" w14:textId="77777777" w:rsidR="00151FE1" w:rsidRPr="00151FE1" w:rsidRDefault="00151FE1" w:rsidP="00151FE1"/>
    <w:p w14:paraId="35F84B81" w14:textId="627C5AA6" w:rsidR="00CF77F7" w:rsidRDefault="002C50EE" w:rsidP="004A448E">
      <w:pPr>
        <w:pStyle w:val="Heading2"/>
      </w:pPr>
      <w:r>
        <w:t>5.2. Фармакокинетични свойства</w:t>
      </w:r>
    </w:p>
    <w:p w14:paraId="57AE7835" w14:textId="5B46644A" w:rsidR="00151FE1" w:rsidRDefault="00151FE1" w:rsidP="00151FE1"/>
    <w:p w14:paraId="0EA6BCE3" w14:textId="77777777" w:rsidR="00151FE1" w:rsidRPr="00151FE1" w:rsidRDefault="00151FE1" w:rsidP="00151FE1">
      <w:pPr>
        <w:pStyle w:val="Heading3"/>
        <w:rPr>
          <w:rFonts w:eastAsia="Times New Roman"/>
          <w:u w:val="single"/>
        </w:rPr>
      </w:pPr>
      <w:r w:rsidRPr="00151FE1">
        <w:rPr>
          <w:rFonts w:eastAsia="Times New Roman"/>
          <w:u w:val="single"/>
          <w:lang w:eastAsia="bg-BG"/>
        </w:rPr>
        <w:t>Абсорбция</w:t>
      </w:r>
    </w:p>
    <w:p w14:paraId="169A6444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DA9128E" w14:textId="131B3A5B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След перорална доза метформинов хидрохлорид таблетка, максималната плазмена концентрация (С</w:t>
      </w:r>
      <w:r w:rsidRPr="00151FE1">
        <w:rPr>
          <w:rFonts w:eastAsia="Times New Roman" w:cs="Arial"/>
          <w:color w:val="000000"/>
          <w:vertAlign w:val="subscript"/>
          <w:lang w:val="en-US"/>
        </w:rPr>
        <w:t>max</w:t>
      </w:r>
      <w:r w:rsidRPr="00151FE1">
        <w:rPr>
          <w:rFonts w:eastAsia="Times New Roman" w:cs="Arial"/>
          <w:color w:val="000000"/>
          <w:lang w:eastAsia="bg-BG"/>
        </w:rPr>
        <w:t xml:space="preserve">) се достига приблизително след 2 часа и 30 минути </w:t>
      </w:r>
      <w:r w:rsidRPr="00151FE1">
        <w:rPr>
          <w:rFonts w:eastAsia="Times New Roman" w:cs="Arial"/>
          <w:color w:val="000000"/>
          <w:lang w:val="ru-RU"/>
        </w:rPr>
        <w:t>(</w:t>
      </w:r>
      <w:proofErr w:type="spellStart"/>
      <w:r w:rsidRPr="00151FE1">
        <w:rPr>
          <w:rFonts w:eastAsia="Times New Roman" w:cs="Arial"/>
          <w:color w:val="000000"/>
          <w:lang w:val="en-US"/>
        </w:rPr>
        <w:t>t</w:t>
      </w:r>
      <w:r w:rsidRPr="00151FE1">
        <w:rPr>
          <w:rFonts w:eastAsia="Times New Roman" w:cs="Arial"/>
          <w:color w:val="000000"/>
          <w:vertAlign w:val="subscript"/>
          <w:lang w:val="en-US"/>
        </w:rPr>
        <w:t>max</w:t>
      </w:r>
      <w:proofErr w:type="spellEnd"/>
      <w:r w:rsidRPr="00151FE1">
        <w:rPr>
          <w:rFonts w:eastAsia="Times New Roman" w:cs="Arial"/>
          <w:color w:val="000000"/>
          <w:lang w:val="ru-RU"/>
        </w:rPr>
        <w:t xml:space="preserve">). </w:t>
      </w:r>
      <w:r w:rsidRPr="00151FE1">
        <w:rPr>
          <w:rFonts w:eastAsia="Times New Roman" w:cs="Arial"/>
          <w:color w:val="000000"/>
          <w:lang w:eastAsia="bg-BG"/>
        </w:rPr>
        <w:t xml:space="preserve">Абсолютната бионаличност на 500 </w:t>
      </w:r>
      <w:r w:rsidRPr="00151FE1">
        <w:rPr>
          <w:rFonts w:eastAsia="Times New Roman" w:cs="Arial"/>
          <w:color w:val="000000"/>
          <w:lang w:val="en-US"/>
        </w:rPr>
        <w:t>mg</w:t>
      </w:r>
      <w:r w:rsidRPr="00151FE1">
        <w:rPr>
          <w:rFonts w:eastAsia="Times New Roman" w:cs="Arial"/>
          <w:color w:val="000000"/>
          <w:lang w:val="ru-RU"/>
        </w:rPr>
        <w:t xml:space="preserve"> </w:t>
      </w:r>
      <w:r w:rsidRPr="00151FE1">
        <w:rPr>
          <w:rFonts w:eastAsia="Times New Roman" w:cs="Arial"/>
          <w:color w:val="000000"/>
          <w:lang w:eastAsia="bg-BG"/>
        </w:rPr>
        <w:t xml:space="preserve">или 850 </w:t>
      </w:r>
      <w:r w:rsidRPr="00151FE1">
        <w:rPr>
          <w:rFonts w:eastAsia="Times New Roman" w:cs="Arial"/>
          <w:color w:val="000000"/>
          <w:lang w:val="en-US"/>
        </w:rPr>
        <w:t>mg</w:t>
      </w:r>
      <w:r w:rsidRPr="00151FE1">
        <w:rPr>
          <w:rFonts w:eastAsia="Times New Roman" w:cs="Arial"/>
          <w:color w:val="000000"/>
          <w:lang w:val="ru-RU"/>
        </w:rPr>
        <w:t xml:space="preserve"> </w:t>
      </w:r>
      <w:r w:rsidRPr="00151FE1">
        <w:rPr>
          <w:rFonts w:eastAsia="Times New Roman" w:cs="Arial"/>
          <w:color w:val="000000"/>
          <w:lang w:eastAsia="bg-BG"/>
        </w:rPr>
        <w:t xml:space="preserve">метформинов хидрохлорид таблетки е приблизително 50 - </w:t>
      </w:r>
      <w:r w:rsidRPr="00151FE1">
        <w:rPr>
          <w:rFonts w:eastAsia="Times New Roman" w:cs="Arial"/>
          <w:i/>
          <w:iCs/>
          <w:color w:val="000000"/>
          <w:lang w:eastAsia="bg-BG"/>
        </w:rPr>
        <w:t>60%</w:t>
      </w:r>
      <w:r w:rsidRPr="00151FE1">
        <w:rPr>
          <w:rFonts w:eastAsia="Times New Roman" w:cs="Arial"/>
          <w:color w:val="000000"/>
          <w:lang w:eastAsia="bg-BG"/>
        </w:rPr>
        <w:t xml:space="preserve"> при здрави хора. След перорална доза, неабсорбираната фракция, открита във фекалиите е 20-30%.</w:t>
      </w:r>
    </w:p>
    <w:p w14:paraId="4A398D01" w14:textId="77777777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След перорален прием, абсорбцията на метформин е наситена и непълна. Предполага се, че абсорбцията на метформин не е линейна.</w:t>
      </w:r>
    </w:p>
    <w:p w14:paraId="1CE33AC7" w14:textId="77777777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 xml:space="preserve">При препоръчаните дози и дозови схеми с метформин, стабилните плазмени концентрации се достигат от 24 до 48 часа и по принцип са по-ниски от 1 </w:t>
      </w:r>
      <w:r w:rsidRPr="00151FE1">
        <w:rPr>
          <w:rFonts w:eastAsia="Times New Roman" w:cs="Arial"/>
          <w:color w:val="000000"/>
          <w:lang w:val="en-US"/>
        </w:rPr>
        <w:t>microgram</w:t>
      </w:r>
      <w:r w:rsidRPr="00151FE1">
        <w:rPr>
          <w:rFonts w:eastAsia="Times New Roman" w:cs="Arial"/>
          <w:color w:val="000000"/>
          <w:lang w:val="ru-RU"/>
        </w:rPr>
        <w:t>/</w:t>
      </w:r>
      <w:r w:rsidRPr="00151FE1">
        <w:rPr>
          <w:rFonts w:eastAsia="Times New Roman" w:cs="Arial"/>
          <w:color w:val="000000"/>
          <w:lang w:val="en-US"/>
        </w:rPr>
        <w:t>ml</w:t>
      </w:r>
      <w:r w:rsidRPr="00151FE1">
        <w:rPr>
          <w:rFonts w:eastAsia="Times New Roman" w:cs="Arial"/>
          <w:color w:val="000000"/>
          <w:lang w:val="ru-RU"/>
        </w:rPr>
        <w:t xml:space="preserve">. </w:t>
      </w:r>
      <w:r w:rsidRPr="00151FE1">
        <w:rPr>
          <w:rFonts w:eastAsia="Times New Roman" w:cs="Arial"/>
          <w:color w:val="000000"/>
          <w:lang w:eastAsia="bg-BG"/>
        </w:rPr>
        <w:t xml:space="preserve">При контролирани клинични изпитвания максималните плазмени нива на метформин </w:t>
      </w:r>
      <w:r w:rsidRPr="00151FE1">
        <w:rPr>
          <w:rFonts w:eastAsia="Times New Roman" w:cs="Arial"/>
          <w:color w:val="000000"/>
          <w:lang w:val="ru-RU"/>
        </w:rPr>
        <w:t>(</w:t>
      </w:r>
      <w:proofErr w:type="spellStart"/>
      <w:r w:rsidRPr="00151FE1">
        <w:rPr>
          <w:rFonts w:eastAsia="Times New Roman" w:cs="Arial"/>
          <w:color w:val="000000"/>
          <w:lang w:val="en-US"/>
        </w:rPr>
        <w:t>C</w:t>
      </w:r>
      <w:r w:rsidRPr="00151FE1">
        <w:rPr>
          <w:rFonts w:eastAsia="Times New Roman" w:cs="Arial"/>
          <w:color w:val="000000"/>
          <w:vertAlign w:val="subscript"/>
          <w:lang w:val="en-US"/>
        </w:rPr>
        <w:t>max</w:t>
      </w:r>
      <w:proofErr w:type="spellEnd"/>
      <w:r w:rsidRPr="00151FE1">
        <w:rPr>
          <w:rFonts w:eastAsia="Times New Roman" w:cs="Arial"/>
          <w:color w:val="000000"/>
          <w:lang w:val="ru-RU"/>
        </w:rPr>
        <w:t xml:space="preserve">), </w:t>
      </w:r>
      <w:r w:rsidRPr="00151FE1">
        <w:rPr>
          <w:rFonts w:eastAsia="Times New Roman" w:cs="Arial"/>
          <w:color w:val="000000"/>
          <w:lang w:eastAsia="bg-BG"/>
        </w:rPr>
        <w:t xml:space="preserve">не надвишават 5 </w:t>
      </w:r>
      <w:r w:rsidRPr="00151FE1">
        <w:rPr>
          <w:rFonts w:eastAsia="Times New Roman" w:cs="Arial"/>
          <w:color w:val="000000"/>
          <w:lang w:val="en-US"/>
        </w:rPr>
        <w:t>micrograms</w:t>
      </w:r>
      <w:r w:rsidRPr="00151FE1">
        <w:rPr>
          <w:rFonts w:eastAsia="Times New Roman" w:cs="Arial"/>
          <w:color w:val="000000"/>
          <w:lang w:val="ru-RU"/>
        </w:rPr>
        <w:t>/</w:t>
      </w:r>
      <w:r w:rsidRPr="00151FE1">
        <w:rPr>
          <w:rFonts w:eastAsia="Times New Roman" w:cs="Arial"/>
          <w:color w:val="000000"/>
          <w:lang w:val="en-US"/>
        </w:rPr>
        <w:t>ml</w:t>
      </w:r>
      <w:r w:rsidRPr="00151FE1">
        <w:rPr>
          <w:rFonts w:eastAsia="Times New Roman" w:cs="Arial"/>
          <w:color w:val="000000"/>
          <w:lang w:val="ru-RU"/>
        </w:rPr>
        <w:t xml:space="preserve">, </w:t>
      </w:r>
      <w:r w:rsidRPr="00151FE1">
        <w:rPr>
          <w:rFonts w:eastAsia="Times New Roman" w:cs="Arial"/>
          <w:color w:val="000000"/>
          <w:lang w:eastAsia="bg-BG"/>
        </w:rPr>
        <w:t>дори и при максимални дози.</w:t>
      </w:r>
    </w:p>
    <w:p w14:paraId="5452AED9" w14:textId="77777777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 xml:space="preserve">Храната намалява степента </w:t>
      </w:r>
      <w:r w:rsidRPr="00151FE1">
        <w:rPr>
          <w:rFonts w:eastAsia="Times New Roman" w:cs="Arial"/>
          <w:i/>
          <w:iCs/>
          <w:color w:val="000000"/>
          <w:lang w:eastAsia="bg-BG"/>
        </w:rPr>
        <w:t>и слабо</w:t>
      </w:r>
      <w:r w:rsidRPr="00151FE1">
        <w:rPr>
          <w:rFonts w:eastAsia="Times New Roman" w:cs="Arial"/>
          <w:color w:val="000000"/>
          <w:lang w:eastAsia="bg-BG"/>
        </w:rPr>
        <w:t xml:space="preserve"> забавя абсорбцията </w:t>
      </w:r>
      <w:r w:rsidRPr="00151FE1">
        <w:rPr>
          <w:rFonts w:eastAsia="Times New Roman" w:cs="Arial"/>
          <w:i/>
          <w:iCs/>
          <w:color w:val="000000"/>
          <w:lang w:eastAsia="bg-BG"/>
        </w:rPr>
        <w:t>на</w:t>
      </w:r>
      <w:r w:rsidRPr="00151FE1">
        <w:rPr>
          <w:rFonts w:eastAsia="Times New Roman" w:cs="Arial"/>
          <w:color w:val="000000"/>
          <w:lang w:eastAsia="bg-BG"/>
        </w:rPr>
        <w:t xml:space="preserve"> метформин. След перорален прием на таблетка от 850 </w:t>
      </w:r>
      <w:r w:rsidRPr="00151FE1">
        <w:rPr>
          <w:rFonts w:eastAsia="Times New Roman" w:cs="Arial"/>
          <w:color w:val="000000"/>
          <w:lang w:val="en-US"/>
        </w:rPr>
        <w:t>mg</w:t>
      </w:r>
      <w:r w:rsidRPr="00151FE1">
        <w:rPr>
          <w:rFonts w:eastAsia="Times New Roman" w:cs="Arial"/>
          <w:color w:val="000000"/>
          <w:lang w:val="ru-RU"/>
        </w:rPr>
        <w:t xml:space="preserve"> </w:t>
      </w:r>
      <w:r w:rsidRPr="00151FE1">
        <w:rPr>
          <w:rFonts w:eastAsia="Times New Roman" w:cs="Arial"/>
          <w:color w:val="000000"/>
          <w:lang w:eastAsia="bg-BG"/>
        </w:rPr>
        <w:t xml:space="preserve">се наблюдава 40% по-нисък пик на плазмената концентрация, 25% намаляване на </w:t>
      </w:r>
      <w:r w:rsidRPr="00151FE1">
        <w:rPr>
          <w:rFonts w:eastAsia="Times New Roman" w:cs="Arial"/>
          <w:color w:val="000000"/>
          <w:lang w:val="en-US"/>
        </w:rPr>
        <w:t>AUC</w:t>
      </w:r>
      <w:r w:rsidRPr="00151FE1">
        <w:rPr>
          <w:rFonts w:eastAsia="Times New Roman" w:cs="Arial"/>
          <w:color w:val="000000"/>
          <w:lang w:val="ru-RU"/>
        </w:rPr>
        <w:t xml:space="preserve"> </w:t>
      </w:r>
      <w:r w:rsidRPr="00151FE1">
        <w:rPr>
          <w:rFonts w:eastAsia="Times New Roman" w:cs="Arial"/>
          <w:color w:val="000000"/>
          <w:lang w:eastAsia="bg-BG"/>
        </w:rPr>
        <w:t>(площта под кривата) и 35 минутно удължаване на времето до пика на плазмената концентрация. Клиничните последствия от промяната на тези параметри остават неизяснени.</w:t>
      </w:r>
    </w:p>
    <w:p w14:paraId="31C731AC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30A8A69" w14:textId="3C0548D0" w:rsidR="00151FE1" w:rsidRPr="00151FE1" w:rsidRDefault="00151FE1" w:rsidP="00151FE1">
      <w:pPr>
        <w:pStyle w:val="Heading3"/>
        <w:rPr>
          <w:rFonts w:eastAsia="Times New Roman"/>
          <w:u w:val="single"/>
        </w:rPr>
      </w:pPr>
      <w:r w:rsidRPr="00151FE1">
        <w:rPr>
          <w:rFonts w:eastAsia="Times New Roman"/>
          <w:u w:val="single"/>
          <w:lang w:eastAsia="bg-BG"/>
        </w:rPr>
        <w:t>Разпределение</w:t>
      </w:r>
    </w:p>
    <w:p w14:paraId="6842D183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66C8DE0" w14:textId="41C972B8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Свързването с плазмените протеини е незначимо. Метформин се разпределя в еритроцитите. Пикът в кръвта е по-нисък от плазмения пик и се появява приблизително по същото време. Червените кръвни клетки най-вероятно представляват вторичен етап на разпределение.</w:t>
      </w:r>
    </w:p>
    <w:p w14:paraId="4D8B98E7" w14:textId="77777777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 xml:space="preserve">Средният обем на разпределение е в рамките между 63 и 276 </w:t>
      </w:r>
      <w:r w:rsidRPr="00151FE1">
        <w:rPr>
          <w:rFonts w:eastAsia="Times New Roman" w:cs="Arial"/>
          <w:color w:val="000000"/>
          <w:lang w:val="en-US"/>
        </w:rPr>
        <w:t>L</w:t>
      </w:r>
      <w:r w:rsidRPr="00151FE1">
        <w:rPr>
          <w:rFonts w:eastAsia="Times New Roman" w:cs="Arial"/>
          <w:color w:val="000000"/>
          <w:lang w:val="ru-RU"/>
        </w:rPr>
        <w:t>.</w:t>
      </w:r>
    </w:p>
    <w:p w14:paraId="6964C4D1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F75AE2E" w14:textId="666C722B" w:rsidR="00151FE1" w:rsidRPr="00151FE1" w:rsidRDefault="00151FE1" w:rsidP="00151FE1">
      <w:pPr>
        <w:pStyle w:val="Heading3"/>
        <w:rPr>
          <w:rFonts w:eastAsia="Times New Roman"/>
          <w:u w:val="single"/>
        </w:rPr>
      </w:pPr>
      <w:r w:rsidRPr="00151FE1">
        <w:rPr>
          <w:rFonts w:eastAsia="Times New Roman"/>
          <w:u w:val="single"/>
          <w:lang w:eastAsia="bg-BG"/>
        </w:rPr>
        <w:t>Метаболизъм</w:t>
      </w:r>
    </w:p>
    <w:p w14:paraId="6F4BF01B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0A819DD" w14:textId="59DF8707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Метформин се екскретира непроменен в урината. Не са идентифицирани метаболити при хората.</w:t>
      </w:r>
    </w:p>
    <w:p w14:paraId="791B64C0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BF51691" w14:textId="530C4386" w:rsidR="00151FE1" w:rsidRPr="00151FE1" w:rsidRDefault="00151FE1" w:rsidP="00151FE1">
      <w:pPr>
        <w:pStyle w:val="Heading3"/>
        <w:rPr>
          <w:rFonts w:eastAsia="Times New Roman"/>
          <w:u w:val="single"/>
        </w:rPr>
      </w:pPr>
      <w:r w:rsidRPr="00151FE1">
        <w:rPr>
          <w:rFonts w:eastAsia="Times New Roman"/>
          <w:u w:val="single"/>
          <w:lang w:eastAsia="bg-BG"/>
        </w:rPr>
        <w:t>Елиминиране</w:t>
      </w:r>
    </w:p>
    <w:p w14:paraId="1A03FFA9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46F8600" w14:textId="18874F90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 xml:space="preserve">Бъбречният клирънс на метформин е &gt; 400 </w:t>
      </w:r>
      <w:r w:rsidRPr="00151FE1">
        <w:rPr>
          <w:rFonts w:eastAsia="Times New Roman" w:cs="Arial"/>
          <w:color w:val="000000"/>
          <w:lang w:val="en-US"/>
        </w:rPr>
        <w:t>ml</w:t>
      </w:r>
      <w:r w:rsidRPr="00151FE1">
        <w:rPr>
          <w:rFonts w:eastAsia="Times New Roman" w:cs="Arial"/>
          <w:color w:val="000000"/>
          <w:lang w:val="ru-RU"/>
        </w:rPr>
        <w:t>/</w:t>
      </w:r>
      <w:r w:rsidRPr="00151FE1">
        <w:rPr>
          <w:rFonts w:eastAsia="Times New Roman" w:cs="Arial"/>
          <w:color w:val="000000"/>
          <w:lang w:val="en-US"/>
        </w:rPr>
        <w:t>min</w:t>
      </w:r>
      <w:r w:rsidRPr="00151FE1">
        <w:rPr>
          <w:rFonts w:eastAsia="Times New Roman" w:cs="Arial"/>
          <w:color w:val="000000"/>
          <w:lang w:val="ru-RU"/>
        </w:rPr>
        <w:t xml:space="preserve">, </w:t>
      </w:r>
      <w:r w:rsidRPr="00151FE1">
        <w:rPr>
          <w:rFonts w:eastAsia="Times New Roman" w:cs="Arial"/>
          <w:color w:val="000000"/>
          <w:lang w:eastAsia="bg-BG"/>
        </w:rPr>
        <w:t>което показва че метформин се елиминира чрез гломерулна филтрация и тубулна секреция. След перорална доза, очевидно крайният елиминационен полуживот е приблизително 6,5 часа.</w:t>
      </w:r>
    </w:p>
    <w:p w14:paraId="75749938" w14:textId="77777777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Когато бъбречната функция е нарушена, бъбречният клирънс е намален пропорционално на този на креатинина и затова елиминационният полуживот е удължен, което води до повишени нива на метформин в плазмата.</w:t>
      </w:r>
    </w:p>
    <w:p w14:paraId="54920298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526F6DA" w14:textId="770D4EB9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>Характеристики при специални групи пациенти</w:t>
      </w:r>
    </w:p>
    <w:p w14:paraId="41B27A5E" w14:textId="77777777" w:rsidR="00151FE1" w:rsidRDefault="00151FE1" w:rsidP="00151FE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2D8C644" w14:textId="2673C0A6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u w:val="single"/>
          <w:lang w:eastAsia="bg-BG"/>
        </w:rPr>
        <w:lastRenderedPageBreak/>
        <w:t>Бъбречно увреждане</w:t>
      </w:r>
    </w:p>
    <w:p w14:paraId="75317002" w14:textId="77777777" w:rsidR="00151FE1" w:rsidRDefault="00151FE1" w:rsidP="00151FE1">
      <w:pPr>
        <w:rPr>
          <w:rFonts w:eastAsia="Times New Roman" w:cs="Arial"/>
          <w:color w:val="000000"/>
          <w:lang w:eastAsia="bg-BG"/>
        </w:rPr>
      </w:pPr>
    </w:p>
    <w:p w14:paraId="36825F53" w14:textId="04A2FDFC" w:rsidR="00151FE1" w:rsidRDefault="00151FE1" w:rsidP="00151FE1">
      <w:pPr>
        <w:rPr>
          <w:rFonts w:eastAsia="Times New Roman" w:cs="Arial"/>
          <w:color w:val="000000"/>
          <w:lang w:eastAsia="bg-BG"/>
        </w:rPr>
      </w:pPr>
      <w:r w:rsidRPr="00151FE1">
        <w:rPr>
          <w:rFonts w:eastAsia="Times New Roman" w:cs="Arial"/>
          <w:color w:val="000000"/>
          <w:lang w:eastAsia="bg-BG"/>
        </w:rPr>
        <w:t>Наличните данни при пациенти с умерена бъбречна недостатъчност са оскъдни и не може да се</w:t>
      </w:r>
      <w:r w:rsidRPr="00151FE1">
        <w:rPr>
          <w:rFonts w:eastAsia="Times New Roman" w:cs="Arial"/>
          <w:color w:val="000000"/>
          <w:vertAlign w:val="superscript"/>
          <w:lang w:eastAsia="bg-BG"/>
        </w:rPr>
        <w:t xml:space="preserve"> </w:t>
      </w:r>
      <w:r w:rsidRPr="00151FE1">
        <w:rPr>
          <w:rFonts w:eastAsia="Times New Roman" w:cs="Arial"/>
          <w:color w:val="000000"/>
          <w:lang w:eastAsia="bg-BG"/>
        </w:rPr>
        <w:t>направи надеждна оценка на системната експозиция на метформин в тази подгрупа в сравнение с пациенти с нормална бъбречна функция. Следователно, адаптиране на дозата трябва да се извършва въз основа на клинични съображения за ефикасност / поносимост (виж точка 4.2).</w:t>
      </w:r>
    </w:p>
    <w:p w14:paraId="7BF651EF" w14:textId="33B2302A" w:rsidR="00151FE1" w:rsidRDefault="00151FE1" w:rsidP="00151FE1">
      <w:pPr>
        <w:rPr>
          <w:rFonts w:eastAsia="Times New Roman" w:cs="Arial"/>
          <w:color w:val="000000"/>
          <w:lang w:eastAsia="bg-BG"/>
        </w:rPr>
      </w:pPr>
    </w:p>
    <w:p w14:paraId="7770E685" w14:textId="77777777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71708D4A" w14:textId="77777777" w:rsidR="00151FE1" w:rsidRPr="00151FE1" w:rsidRDefault="00151FE1" w:rsidP="00151FE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1486E48" w14:textId="2F51D54C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 xml:space="preserve">Изследване при еднократна доза: фармакокинетичният профил при деца, получили еднократна доза от 500 </w:t>
      </w:r>
      <w:r w:rsidRPr="00151FE1">
        <w:rPr>
          <w:rFonts w:eastAsia="Times New Roman" w:cs="Arial"/>
          <w:color w:val="000000"/>
          <w:lang w:val="en-US"/>
        </w:rPr>
        <w:t>mg</w:t>
      </w:r>
      <w:r w:rsidRPr="00151FE1">
        <w:rPr>
          <w:rFonts w:eastAsia="Times New Roman" w:cs="Arial"/>
          <w:color w:val="000000"/>
          <w:lang w:val="ru-RU"/>
        </w:rPr>
        <w:t xml:space="preserve"> </w:t>
      </w:r>
      <w:r w:rsidRPr="00151FE1">
        <w:rPr>
          <w:rFonts w:eastAsia="Times New Roman" w:cs="Arial"/>
          <w:color w:val="000000"/>
          <w:lang w:eastAsia="bg-BG"/>
        </w:rPr>
        <w:t>метформинов хидрохлорид, е подобен на този при здрави възрастни.</w:t>
      </w:r>
    </w:p>
    <w:p w14:paraId="12BBA4A3" w14:textId="67D2BEE1" w:rsidR="00151FE1" w:rsidRPr="00151FE1" w:rsidRDefault="00151FE1" w:rsidP="00151FE1">
      <w:pPr>
        <w:spacing w:line="240" w:lineRule="auto"/>
        <w:rPr>
          <w:rFonts w:eastAsia="Times New Roman" w:cs="Arial"/>
        </w:rPr>
      </w:pPr>
      <w:r w:rsidRPr="00151FE1">
        <w:rPr>
          <w:rFonts w:eastAsia="Times New Roman" w:cs="Arial"/>
          <w:color w:val="000000"/>
          <w:lang w:eastAsia="bg-BG"/>
        </w:rPr>
        <w:t xml:space="preserve">Резултати след многократно дозиране: всички данни са получени от едно изследване. След приложение на доза от 500 </w:t>
      </w:r>
      <w:r w:rsidRPr="00151FE1">
        <w:rPr>
          <w:rFonts w:eastAsia="Times New Roman" w:cs="Arial"/>
          <w:color w:val="000000"/>
          <w:lang w:val="en-US"/>
        </w:rPr>
        <w:t>mg</w:t>
      </w:r>
      <w:r w:rsidRPr="00151FE1">
        <w:rPr>
          <w:rFonts w:eastAsia="Times New Roman" w:cs="Arial"/>
          <w:color w:val="000000"/>
          <w:lang w:val="ru-RU"/>
        </w:rPr>
        <w:t xml:space="preserve"> </w:t>
      </w:r>
      <w:r w:rsidRPr="00151FE1">
        <w:rPr>
          <w:rFonts w:eastAsia="Times New Roman" w:cs="Arial"/>
          <w:color w:val="000000"/>
          <w:lang w:eastAsia="bg-BG"/>
        </w:rPr>
        <w:t>два пъти дневно в продължение на 7 дни на деца и юноши, максималната плазмена концентрация (С</w:t>
      </w:r>
      <w:r w:rsidRPr="00151FE1">
        <w:rPr>
          <w:rFonts w:eastAsia="Times New Roman" w:cs="Arial"/>
          <w:color w:val="000000"/>
          <w:vertAlign w:val="subscript"/>
          <w:lang w:val="en-US"/>
        </w:rPr>
        <w:t>max</w:t>
      </w:r>
      <w:r w:rsidRPr="00151FE1">
        <w:rPr>
          <w:rFonts w:eastAsia="Times New Roman" w:cs="Arial"/>
          <w:color w:val="000000"/>
          <w:lang w:eastAsia="bg-BG"/>
        </w:rPr>
        <w:t xml:space="preserve">) и системната експозиция </w:t>
      </w:r>
      <w:r w:rsidRPr="00151FE1">
        <w:rPr>
          <w:rFonts w:eastAsia="Times New Roman" w:cs="Arial"/>
          <w:color w:val="000000"/>
          <w:lang w:val="ru-RU"/>
        </w:rPr>
        <w:t>(</w:t>
      </w:r>
      <w:r w:rsidRPr="00151FE1">
        <w:rPr>
          <w:rFonts w:eastAsia="Times New Roman" w:cs="Arial"/>
          <w:color w:val="000000"/>
          <w:lang w:val="en-US"/>
        </w:rPr>
        <w:t>AUC</w:t>
      </w:r>
      <w:r w:rsidRPr="00151FE1">
        <w:rPr>
          <w:rFonts w:eastAsia="Times New Roman" w:cs="Arial"/>
          <w:color w:val="000000"/>
          <w:lang w:val="ru-RU"/>
        </w:rPr>
        <w:t xml:space="preserve"> 0-</w:t>
      </w:r>
      <w:r w:rsidRPr="00151FE1">
        <w:rPr>
          <w:rFonts w:eastAsia="Times New Roman" w:cs="Arial"/>
          <w:color w:val="000000"/>
          <w:lang w:val="en-US"/>
        </w:rPr>
        <w:t>t</w:t>
      </w:r>
      <w:r w:rsidRPr="00151FE1">
        <w:rPr>
          <w:rFonts w:eastAsia="Times New Roman" w:cs="Arial"/>
          <w:color w:val="000000"/>
          <w:lang w:val="ru-RU"/>
        </w:rPr>
        <w:t xml:space="preserve">) </w:t>
      </w:r>
      <w:r w:rsidRPr="00151FE1">
        <w:rPr>
          <w:rFonts w:eastAsia="Times New Roman" w:cs="Arial"/>
          <w:color w:val="000000"/>
          <w:lang w:eastAsia="bg-BG"/>
        </w:rPr>
        <w:t xml:space="preserve">са намалени съответно с </w:t>
      </w:r>
      <w:r w:rsidRPr="00151FE1">
        <w:rPr>
          <w:rFonts w:eastAsia="Times New Roman" w:cs="Arial"/>
          <w:i/>
          <w:iCs/>
          <w:color w:val="000000"/>
          <w:lang w:eastAsia="bg-BG"/>
        </w:rPr>
        <w:t>33%</w:t>
      </w:r>
      <w:r w:rsidRPr="00151FE1">
        <w:rPr>
          <w:rFonts w:eastAsia="Times New Roman" w:cs="Arial"/>
          <w:color w:val="000000"/>
          <w:lang w:eastAsia="bg-BG"/>
        </w:rPr>
        <w:t xml:space="preserve"> и </w:t>
      </w:r>
      <w:r w:rsidRPr="00151FE1">
        <w:rPr>
          <w:rFonts w:eastAsia="Times New Roman" w:cs="Arial"/>
          <w:i/>
          <w:iCs/>
          <w:color w:val="000000"/>
          <w:lang w:eastAsia="bg-BG"/>
        </w:rPr>
        <w:t>40%</w:t>
      </w:r>
      <w:r w:rsidRPr="00151FE1">
        <w:rPr>
          <w:rFonts w:eastAsia="Times New Roman" w:cs="Arial"/>
          <w:color w:val="000000"/>
          <w:lang w:eastAsia="bg-BG"/>
        </w:rPr>
        <w:t xml:space="preserve"> в сравнение с възрастни диабетици, получили дози от 500 </w:t>
      </w:r>
      <w:r w:rsidRPr="00151FE1">
        <w:rPr>
          <w:rFonts w:eastAsia="Times New Roman" w:cs="Arial"/>
          <w:color w:val="000000"/>
          <w:lang w:val="en-US"/>
        </w:rPr>
        <w:t>mg</w:t>
      </w:r>
      <w:r w:rsidRPr="00151FE1">
        <w:rPr>
          <w:rFonts w:eastAsia="Times New Roman" w:cs="Arial"/>
          <w:color w:val="000000"/>
          <w:lang w:val="ru-RU"/>
        </w:rPr>
        <w:t xml:space="preserve"> </w:t>
      </w:r>
      <w:r w:rsidRPr="00151FE1">
        <w:rPr>
          <w:rFonts w:eastAsia="Times New Roman" w:cs="Arial"/>
          <w:color w:val="000000"/>
          <w:lang w:eastAsia="bg-BG"/>
        </w:rPr>
        <w:t>два пъти дневно в продължение на 14 дни. Тези резултати са с ограничена клинична значимост, поради индивидуалното определяне на дозите в зависим</w:t>
      </w:r>
      <w:r>
        <w:rPr>
          <w:rFonts w:eastAsia="Times New Roman" w:cs="Arial"/>
          <w:color w:val="000000"/>
          <w:lang w:eastAsia="bg-BG"/>
        </w:rPr>
        <w:t>ост от нивото на кръвната захар.</w:t>
      </w:r>
    </w:p>
    <w:p w14:paraId="55EE9C4A" w14:textId="77777777" w:rsidR="00151FE1" w:rsidRPr="00151FE1" w:rsidRDefault="00151FE1" w:rsidP="00151FE1">
      <w:pPr>
        <w:rPr>
          <w:rFonts w:cs="Arial"/>
        </w:rPr>
      </w:pPr>
    </w:p>
    <w:p w14:paraId="648E39DA" w14:textId="1AF1B88C" w:rsidR="00CF77F7" w:rsidRDefault="002C50EE" w:rsidP="004A448E">
      <w:pPr>
        <w:pStyle w:val="Heading2"/>
      </w:pPr>
      <w:r>
        <w:t>5.3. Предклинични данни за безопасност</w:t>
      </w:r>
    </w:p>
    <w:p w14:paraId="4641A189" w14:textId="5EDED3F8" w:rsidR="00151FE1" w:rsidRDefault="00151FE1" w:rsidP="00151FE1"/>
    <w:p w14:paraId="301FBBE4" w14:textId="77777777" w:rsidR="00151FE1" w:rsidRPr="00151FE1" w:rsidRDefault="00151FE1" w:rsidP="00151FE1">
      <w:pPr>
        <w:rPr>
          <w:sz w:val="24"/>
          <w:szCs w:val="24"/>
        </w:rPr>
      </w:pPr>
      <w:r w:rsidRPr="00151FE1">
        <w:rPr>
          <w:lang w:eastAsia="bg-BG"/>
        </w:rPr>
        <w:t xml:space="preserve">Предклиничните данни, основаващи се на конвенционални проучвания върху безопасност, фармакология, токсичност след многократно дозиране, генотоксичност, канцерогенен потенциал и репродуктивна токсичност, ие показват особен риск </w:t>
      </w:r>
      <w:r w:rsidRPr="00151FE1">
        <w:rPr>
          <w:i/>
          <w:iCs/>
          <w:lang w:eastAsia="bg-BG"/>
        </w:rPr>
        <w:t>при хора.</w:t>
      </w:r>
    </w:p>
    <w:p w14:paraId="2576AAB6" w14:textId="77777777" w:rsidR="00151FE1" w:rsidRPr="00151FE1" w:rsidRDefault="00151FE1" w:rsidP="00151FE1"/>
    <w:p w14:paraId="6A7820AB" w14:textId="4C77DADE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2D14439A" w14:textId="7D723353" w:rsidR="00151FE1" w:rsidRDefault="00151FE1" w:rsidP="00151FE1"/>
    <w:p w14:paraId="7E94ABDA" w14:textId="77777777" w:rsidR="00151FE1" w:rsidRDefault="00151FE1" w:rsidP="00151FE1">
      <w:r>
        <w:t xml:space="preserve">Merck Sante S.A.S., </w:t>
      </w:r>
    </w:p>
    <w:p w14:paraId="7DF726D0" w14:textId="77777777" w:rsidR="00151FE1" w:rsidRDefault="00151FE1" w:rsidP="00151FE1">
      <w:r>
        <w:rPr>
          <w:lang w:eastAsia="bg-BG"/>
        </w:rPr>
        <w:t xml:space="preserve">37, </w:t>
      </w:r>
      <w:r>
        <w:t xml:space="preserve">rue Saint Romain </w:t>
      </w:r>
    </w:p>
    <w:p w14:paraId="402B8BF4" w14:textId="77777777" w:rsidR="00151FE1" w:rsidRDefault="00151FE1" w:rsidP="00151FE1">
      <w:r>
        <w:t xml:space="preserve">69008 LYON </w:t>
      </w:r>
    </w:p>
    <w:p w14:paraId="2127E2D4" w14:textId="0D98F63F" w:rsidR="00151FE1" w:rsidRPr="00151FE1" w:rsidRDefault="00151FE1" w:rsidP="00151FE1">
      <w:r>
        <w:rPr>
          <w:lang w:eastAsia="bg-BG"/>
        </w:rPr>
        <w:t>Франция</w:t>
      </w:r>
    </w:p>
    <w:p w14:paraId="7BA1BA64" w14:textId="61A4EAE7" w:rsidR="00CF77F7" w:rsidRDefault="002C50EE" w:rsidP="004A448E">
      <w:pPr>
        <w:pStyle w:val="Heading1"/>
      </w:pPr>
      <w:r>
        <w:t>8. НОМЕР НА РАЗРЕШЕНИЕТО ЗА УПОТРЕБА</w:t>
      </w:r>
    </w:p>
    <w:p w14:paraId="0ED482E7" w14:textId="09AE8960" w:rsidR="00151FE1" w:rsidRDefault="00151FE1" w:rsidP="00151FE1"/>
    <w:p w14:paraId="07D8D6DC" w14:textId="7F5568EA" w:rsidR="00151FE1" w:rsidRPr="00151FE1" w:rsidRDefault="00151FE1" w:rsidP="00151FE1">
      <w:r>
        <w:t>20100243</w:t>
      </w:r>
    </w:p>
    <w:p w14:paraId="2CCB5832" w14:textId="0AA6D1B9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3CC84B4C" w14:textId="6AFD7913" w:rsidR="00151FE1" w:rsidRDefault="00151FE1" w:rsidP="00151FE1"/>
    <w:p w14:paraId="2977A92D" w14:textId="77777777" w:rsidR="00151FE1" w:rsidRPr="00151FE1" w:rsidRDefault="00151FE1" w:rsidP="00151FE1">
      <w:pPr>
        <w:rPr>
          <w:sz w:val="24"/>
          <w:szCs w:val="24"/>
        </w:rPr>
      </w:pPr>
      <w:r w:rsidRPr="00151FE1">
        <w:rPr>
          <w:lang w:eastAsia="bg-BG"/>
        </w:rPr>
        <w:t>Дата на първо разрешаване: 13.06.2006 г.</w:t>
      </w:r>
    </w:p>
    <w:p w14:paraId="191ABF46" w14:textId="6EA1E788" w:rsidR="00151FE1" w:rsidRPr="00151FE1" w:rsidRDefault="00151FE1" w:rsidP="00151FE1">
      <w:r w:rsidRPr="00151FE1">
        <w:rPr>
          <w:lang w:eastAsia="bg-BG"/>
        </w:rPr>
        <w:t>Дата на последно подновяване: 07.04.2015 г.</w:t>
      </w:r>
    </w:p>
    <w:p w14:paraId="0E9D0119" w14:textId="0245C6D7" w:rsidR="002C50EE" w:rsidRDefault="002C50EE" w:rsidP="002C50EE">
      <w:pPr>
        <w:pStyle w:val="Heading1"/>
      </w:pPr>
      <w:r>
        <w:lastRenderedPageBreak/>
        <w:t>10. ДАТА НА АКТУАЛИЗИРАНЕ НА ТЕКСТА</w:t>
      </w:r>
    </w:p>
    <w:bookmarkEnd w:id="0"/>
    <w:p w14:paraId="43FB38A2" w14:textId="5A622188" w:rsidR="007C605B" w:rsidRPr="003E3126" w:rsidRDefault="00151FE1" w:rsidP="00151FE1">
      <w:r>
        <w:t>Януари 2017 г.</w:t>
      </w:r>
      <w:bookmarkStart w:id="2" w:name="_GoBack"/>
      <w:bookmarkEnd w:id="2"/>
    </w:p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88D2AC4"/>
    <w:multiLevelType w:val="hybridMultilevel"/>
    <w:tmpl w:val="D9CC2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8BD1756"/>
    <w:multiLevelType w:val="hybridMultilevel"/>
    <w:tmpl w:val="05946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D0D07"/>
    <w:multiLevelType w:val="hybridMultilevel"/>
    <w:tmpl w:val="E4004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B4154"/>
    <w:multiLevelType w:val="hybridMultilevel"/>
    <w:tmpl w:val="0A62D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422FD"/>
    <w:multiLevelType w:val="hybridMultilevel"/>
    <w:tmpl w:val="FEEC4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697F51"/>
    <w:multiLevelType w:val="hybridMultilevel"/>
    <w:tmpl w:val="0FDE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20957"/>
    <w:multiLevelType w:val="hybridMultilevel"/>
    <w:tmpl w:val="19146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31"/>
  </w:num>
  <w:num w:numId="2">
    <w:abstractNumId w:val="0"/>
  </w:num>
  <w:num w:numId="3">
    <w:abstractNumId w:val="15"/>
  </w:num>
  <w:num w:numId="4">
    <w:abstractNumId w:val="3"/>
  </w:num>
  <w:num w:numId="5">
    <w:abstractNumId w:val="1"/>
  </w:num>
  <w:num w:numId="6">
    <w:abstractNumId w:val="18"/>
  </w:num>
  <w:num w:numId="7">
    <w:abstractNumId w:val="11"/>
  </w:num>
  <w:num w:numId="8">
    <w:abstractNumId w:val="17"/>
  </w:num>
  <w:num w:numId="9">
    <w:abstractNumId w:val="2"/>
  </w:num>
  <w:num w:numId="10">
    <w:abstractNumId w:val="4"/>
  </w:num>
  <w:num w:numId="11">
    <w:abstractNumId w:val="34"/>
  </w:num>
  <w:num w:numId="12">
    <w:abstractNumId w:val="16"/>
  </w:num>
  <w:num w:numId="13">
    <w:abstractNumId w:val="21"/>
  </w:num>
  <w:num w:numId="14">
    <w:abstractNumId w:val="14"/>
  </w:num>
  <w:num w:numId="15">
    <w:abstractNumId w:val="33"/>
  </w:num>
  <w:num w:numId="16">
    <w:abstractNumId w:val="10"/>
  </w:num>
  <w:num w:numId="17">
    <w:abstractNumId w:val="28"/>
  </w:num>
  <w:num w:numId="18">
    <w:abstractNumId w:val="8"/>
  </w:num>
  <w:num w:numId="19">
    <w:abstractNumId w:val="30"/>
  </w:num>
  <w:num w:numId="20">
    <w:abstractNumId w:val="26"/>
  </w:num>
  <w:num w:numId="21">
    <w:abstractNumId w:val="19"/>
  </w:num>
  <w:num w:numId="22">
    <w:abstractNumId w:val="29"/>
  </w:num>
  <w:num w:numId="23">
    <w:abstractNumId w:val="20"/>
  </w:num>
  <w:num w:numId="24">
    <w:abstractNumId w:val="9"/>
  </w:num>
  <w:num w:numId="25">
    <w:abstractNumId w:val="25"/>
  </w:num>
  <w:num w:numId="26">
    <w:abstractNumId w:val="24"/>
  </w:num>
  <w:num w:numId="27">
    <w:abstractNumId w:val="35"/>
  </w:num>
  <w:num w:numId="28">
    <w:abstractNumId w:val="7"/>
  </w:num>
  <w:num w:numId="29">
    <w:abstractNumId w:val="23"/>
  </w:num>
  <w:num w:numId="30">
    <w:abstractNumId w:val="40"/>
  </w:num>
  <w:num w:numId="31">
    <w:abstractNumId w:val="6"/>
  </w:num>
  <w:num w:numId="32">
    <w:abstractNumId w:val="39"/>
  </w:num>
  <w:num w:numId="33">
    <w:abstractNumId w:val="32"/>
  </w:num>
  <w:num w:numId="34">
    <w:abstractNumId w:val="36"/>
  </w:num>
  <w:num w:numId="35">
    <w:abstractNumId w:val="38"/>
  </w:num>
  <w:num w:numId="36">
    <w:abstractNumId w:val="37"/>
  </w:num>
  <w:num w:numId="37">
    <w:abstractNumId w:val="12"/>
  </w:num>
  <w:num w:numId="38">
    <w:abstractNumId w:val="27"/>
  </w:num>
  <w:num w:numId="39">
    <w:abstractNumId w:val="13"/>
  </w:num>
  <w:num w:numId="40">
    <w:abstractNumId w:val="22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51FE1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7C605B"/>
    <w:rsid w:val="008134C8"/>
    <w:rsid w:val="00814073"/>
    <w:rsid w:val="00826F0D"/>
    <w:rsid w:val="00893B92"/>
    <w:rsid w:val="008A6AF2"/>
    <w:rsid w:val="008C70A2"/>
    <w:rsid w:val="009773E4"/>
    <w:rsid w:val="009B171C"/>
    <w:rsid w:val="009F1313"/>
    <w:rsid w:val="00A07CE9"/>
    <w:rsid w:val="00A20351"/>
    <w:rsid w:val="00A65A81"/>
    <w:rsid w:val="00AA23EC"/>
    <w:rsid w:val="00AC63CE"/>
    <w:rsid w:val="00AE2107"/>
    <w:rsid w:val="00B275A8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3470</Words>
  <Characters>19779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2022-04-21T10:28:00Z</dcterms:created>
  <dcterms:modified xsi:type="dcterms:W3CDTF">2022-04-21T10:28:00Z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