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Pr="00E8119A" w:rsidRDefault="002C50EE" w:rsidP="002C50EE">
      <w:pPr>
        <w:pStyle w:val="Heading1"/>
        <w:jc w:val="center"/>
      </w:pPr>
      <w:bookmarkStart w:id="0" w:name="_Hlk63124480"/>
      <w:r w:rsidRPr="00E8119A">
        <w:t>КРАТКА ХАРАКТЕРИСТИКА НА ПРОДУКТА</w:t>
      </w:r>
    </w:p>
    <w:p w14:paraId="2BE34EF6" w14:textId="397343E6" w:rsidR="007122AD" w:rsidRPr="00E8119A" w:rsidRDefault="00DD466D" w:rsidP="00936AD0">
      <w:pPr>
        <w:pStyle w:val="Heading1"/>
      </w:pPr>
      <w:r w:rsidRPr="00E8119A">
        <w:t>1.ИМЕ НА ЛЕКАРСТВЕНИЯ ПРОДУКТ</w:t>
      </w:r>
    </w:p>
    <w:p w14:paraId="1600901F" w14:textId="2EA5A644" w:rsidR="00F07F0E" w:rsidRPr="00E8119A" w:rsidRDefault="00F07F0E" w:rsidP="00F07F0E"/>
    <w:p w14:paraId="6D4B327F" w14:textId="77777777" w:rsidR="00F07F0E" w:rsidRPr="00E8119A" w:rsidRDefault="00F07F0E" w:rsidP="00F07F0E">
      <w:pPr>
        <w:rPr>
          <w:sz w:val="24"/>
          <w:szCs w:val="24"/>
        </w:rPr>
      </w:pPr>
      <w:proofErr w:type="spellStart"/>
      <w:r w:rsidRPr="00E8119A">
        <w:rPr>
          <w:lang w:eastAsia="bg-BG"/>
        </w:rPr>
        <w:t>Гоптен</w:t>
      </w:r>
      <w:proofErr w:type="spellEnd"/>
      <w:r w:rsidRPr="00E8119A">
        <w:rPr>
          <w:lang w:eastAsia="bg-BG"/>
        </w:rPr>
        <w:t xml:space="preserve"> </w:t>
      </w:r>
      <w:r w:rsidRPr="00E8119A">
        <w:t xml:space="preserve">2 </w:t>
      </w:r>
      <w:proofErr w:type="spellStart"/>
      <w:r w:rsidRPr="00E8119A">
        <w:t>mg</w:t>
      </w:r>
      <w:proofErr w:type="spellEnd"/>
      <w:r w:rsidRPr="00E8119A">
        <w:t xml:space="preserve"> </w:t>
      </w:r>
      <w:r w:rsidRPr="00E8119A">
        <w:rPr>
          <w:lang w:eastAsia="bg-BG"/>
        </w:rPr>
        <w:t>твърди капсули</w:t>
      </w:r>
    </w:p>
    <w:p w14:paraId="23E8509A" w14:textId="78DD2CCB" w:rsidR="00F07F0E" w:rsidRPr="00E8119A" w:rsidRDefault="00F07F0E" w:rsidP="00F07F0E">
      <w:proofErr w:type="spellStart"/>
      <w:r w:rsidRPr="00E8119A">
        <w:t>Gopten</w:t>
      </w:r>
      <w:proofErr w:type="spellEnd"/>
      <w:r w:rsidRPr="00E8119A">
        <w:t xml:space="preserve"> </w:t>
      </w:r>
      <w:r w:rsidRPr="00E8119A">
        <w:rPr>
          <w:lang w:eastAsia="bg-BG"/>
        </w:rPr>
        <w:t xml:space="preserve">2 </w:t>
      </w:r>
      <w:proofErr w:type="spellStart"/>
      <w:r w:rsidRPr="00E8119A">
        <w:t>mg</w:t>
      </w:r>
      <w:proofErr w:type="spellEnd"/>
      <w:r w:rsidRPr="00E8119A">
        <w:t xml:space="preserve"> </w:t>
      </w:r>
      <w:proofErr w:type="spellStart"/>
      <w:r w:rsidRPr="00E8119A">
        <w:t>capsules</w:t>
      </w:r>
      <w:proofErr w:type="spellEnd"/>
      <w:r w:rsidRPr="00E8119A">
        <w:t xml:space="preserve">, </w:t>
      </w:r>
      <w:proofErr w:type="spellStart"/>
      <w:r w:rsidRPr="00E8119A">
        <w:t>hard</w:t>
      </w:r>
      <w:proofErr w:type="spellEnd"/>
    </w:p>
    <w:p w14:paraId="6920A680" w14:textId="580C4EEC" w:rsidR="00C40420" w:rsidRPr="00E8119A" w:rsidRDefault="00DD466D" w:rsidP="004A448E">
      <w:pPr>
        <w:pStyle w:val="Heading1"/>
      </w:pPr>
      <w:r w:rsidRPr="00E8119A">
        <w:t>2. КАЧЕСТВЕН И КОЛИЧЕСТВЕН СЪСТАВ</w:t>
      </w:r>
    </w:p>
    <w:p w14:paraId="6B3C9237" w14:textId="0DC24A0F" w:rsidR="00F07F0E" w:rsidRPr="00E8119A" w:rsidRDefault="00F07F0E" w:rsidP="00F07F0E"/>
    <w:p w14:paraId="54D528A4" w14:textId="77777777" w:rsidR="00F07F0E" w:rsidRPr="00E8119A" w:rsidRDefault="00F07F0E" w:rsidP="00F07F0E">
      <w:pPr>
        <w:rPr>
          <w:sz w:val="24"/>
          <w:szCs w:val="24"/>
        </w:rPr>
      </w:pPr>
      <w:r w:rsidRPr="00E8119A">
        <w:rPr>
          <w:lang w:eastAsia="bg-BG"/>
        </w:rPr>
        <w:t xml:space="preserve">Всяка капсула съдържа 2 </w:t>
      </w:r>
      <w:proofErr w:type="spellStart"/>
      <w:r w:rsidRPr="00E8119A">
        <w:t>mg</w:t>
      </w:r>
      <w:proofErr w:type="spellEnd"/>
      <w:r w:rsidRPr="00E8119A">
        <w:t xml:space="preserve"> </w:t>
      </w:r>
      <w:proofErr w:type="spellStart"/>
      <w:r w:rsidRPr="00E8119A">
        <w:rPr>
          <w:lang w:eastAsia="bg-BG"/>
        </w:rPr>
        <w:t>трандолаприл</w:t>
      </w:r>
      <w:proofErr w:type="spellEnd"/>
      <w:r w:rsidRPr="00E8119A">
        <w:rPr>
          <w:lang w:eastAsia="bg-BG"/>
        </w:rPr>
        <w:t>.</w:t>
      </w:r>
    </w:p>
    <w:p w14:paraId="719FE183" w14:textId="1085109F" w:rsidR="00F07F0E" w:rsidRPr="00E8119A" w:rsidRDefault="00F07F0E" w:rsidP="00F07F0E">
      <w:r w:rsidRPr="00E8119A">
        <w:rPr>
          <w:lang w:eastAsia="bg-BG"/>
        </w:rPr>
        <w:t xml:space="preserve">Помощни вещества: всяка капсула съдържа 54,5 </w:t>
      </w:r>
      <w:proofErr w:type="spellStart"/>
      <w:r w:rsidRPr="00E8119A">
        <w:t>mg</w:t>
      </w:r>
      <w:proofErr w:type="spellEnd"/>
      <w:r w:rsidRPr="00E8119A">
        <w:t xml:space="preserve"> </w:t>
      </w:r>
      <w:r w:rsidRPr="00E8119A">
        <w:rPr>
          <w:lang w:eastAsia="bg-BG"/>
        </w:rPr>
        <w:t xml:space="preserve">лактоза </w:t>
      </w:r>
      <w:proofErr w:type="spellStart"/>
      <w:r w:rsidRPr="00E8119A">
        <w:rPr>
          <w:lang w:eastAsia="bg-BG"/>
        </w:rPr>
        <w:t>монохидрат</w:t>
      </w:r>
      <w:proofErr w:type="spellEnd"/>
      <w:r w:rsidRPr="00E8119A">
        <w:rPr>
          <w:lang w:eastAsia="bg-BG"/>
        </w:rPr>
        <w:t>.</w:t>
      </w:r>
    </w:p>
    <w:p w14:paraId="614984C4" w14:textId="5BDB4C99" w:rsidR="008A6AF2" w:rsidRPr="00E8119A" w:rsidRDefault="00DD466D" w:rsidP="002C50EE">
      <w:pPr>
        <w:pStyle w:val="Heading1"/>
      </w:pPr>
      <w:r w:rsidRPr="00E8119A">
        <w:t>3. ЛЕКАРСТВЕНА ФОРМА</w:t>
      </w:r>
    </w:p>
    <w:p w14:paraId="07166333" w14:textId="00E8584C" w:rsidR="00F07F0E" w:rsidRPr="00E8119A" w:rsidRDefault="00F07F0E" w:rsidP="00F07F0E"/>
    <w:p w14:paraId="175B8615" w14:textId="77777777" w:rsidR="00F07F0E" w:rsidRPr="00E8119A" w:rsidRDefault="00F07F0E" w:rsidP="00F07F0E">
      <w:pPr>
        <w:rPr>
          <w:sz w:val="24"/>
          <w:szCs w:val="24"/>
        </w:rPr>
      </w:pPr>
      <w:r w:rsidRPr="00E8119A">
        <w:rPr>
          <w:lang w:eastAsia="bg-BG"/>
        </w:rPr>
        <w:t>Твърда капсула</w:t>
      </w:r>
    </w:p>
    <w:p w14:paraId="2D3386CE" w14:textId="77777777" w:rsidR="00F07F0E" w:rsidRPr="00E8119A" w:rsidRDefault="00F07F0E" w:rsidP="00F07F0E">
      <w:pPr>
        <w:rPr>
          <w:sz w:val="24"/>
          <w:szCs w:val="24"/>
        </w:rPr>
      </w:pPr>
      <w:r w:rsidRPr="00E8119A">
        <w:rPr>
          <w:lang w:eastAsia="bg-BG"/>
        </w:rPr>
        <w:t>Твърди желатинови капсули с размер 4, с непрозрачно червено тяло и непрозрачно червено капаче, съдържащи бели до почти бели гранули.</w:t>
      </w:r>
    </w:p>
    <w:p w14:paraId="6C901AFF" w14:textId="77777777" w:rsidR="00F07F0E" w:rsidRPr="00E8119A" w:rsidRDefault="00F07F0E" w:rsidP="00F07F0E"/>
    <w:p w14:paraId="490FC2C4" w14:textId="0F4A4A75" w:rsidR="002C50EE" w:rsidRPr="00E8119A" w:rsidRDefault="002C50EE" w:rsidP="002C50EE">
      <w:pPr>
        <w:pStyle w:val="Heading1"/>
      </w:pPr>
      <w:r w:rsidRPr="00E8119A">
        <w:t>4. КЛИНИЧНИ ДАННИ</w:t>
      </w:r>
    </w:p>
    <w:p w14:paraId="74330405" w14:textId="2CC76900" w:rsidR="007122AD" w:rsidRPr="00E8119A" w:rsidRDefault="002C50EE" w:rsidP="00936AD0">
      <w:pPr>
        <w:pStyle w:val="Heading2"/>
      </w:pPr>
      <w:r w:rsidRPr="00E8119A">
        <w:t>4.1. Терапевтични показания</w:t>
      </w:r>
    </w:p>
    <w:p w14:paraId="7913E882" w14:textId="0BCBB652" w:rsidR="00F07F0E" w:rsidRPr="00E8119A" w:rsidRDefault="00F07F0E" w:rsidP="00F07F0E"/>
    <w:p w14:paraId="47D3E3F4" w14:textId="77777777" w:rsidR="00F07F0E" w:rsidRPr="00E8119A" w:rsidRDefault="00F07F0E" w:rsidP="00F07F0E">
      <w:pPr>
        <w:rPr>
          <w:sz w:val="24"/>
          <w:szCs w:val="24"/>
        </w:rPr>
      </w:pPr>
      <w:r w:rsidRPr="00E8119A">
        <w:rPr>
          <w:lang w:eastAsia="bg-BG"/>
        </w:rPr>
        <w:t>Лека до умерена хипертония.</w:t>
      </w:r>
    </w:p>
    <w:p w14:paraId="3C6426A8" w14:textId="77777777" w:rsidR="00F07F0E" w:rsidRPr="00E8119A" w:rsidRDefault="00F07F0E" w:rsidP="00F07F0E">
      <w:pPr>
        <w:rPr>
          <w:lang w:eastAsia="bg-BG"/>
        </w:rPr>
      </w:pPr>
    </w:p>
    <w:p w14:paraId="26DCEA53" w14:textId="4A33B2EE" w:rsidR="00F07F0E" w:rsidRPr="00E8119A" w:rsidRDefault="00F07F0E" w:rsidP="00F07F0E">
      <w:pPr>
        <w:rPr>
          <w:sz w:val="24"/>
          <w:szCs w:val="24"/>
        </w:rPr>
      </w:pPr>
      <w:proofErr w:type="spellStart"/>
      <w:r w:rsidRPr="00E8119A">
        <w:rPr>
          <w:lang w:eastAsia="bg-BG"/>
        </w:rPr>
        <w:t>Левокамерна</w:t>
      </w:r>
      <w:proofErr w:type="spellEnd"/>
      <w:r w:rsidRPr="00E8119A">
        <w:rPr>
          <w:lang w:eastAsia="bg-BG"/>
        </w:rPr>
        <w:t xml:space="preserve"> дисфункция след инфаркт на миокарда.</w:t>
      </w:r>
    </w:p>
    <w:p w14:paraId="53108F7B" w14:textId="77777777" w:rsidR="00F07F0E" w:rsidRPr="00E8119A" w:rsidRDefault="00F07F0E" w:rsidP="00F07F0E">
      <w:pPr>
        <w:rPr>
          <w:lang w:eastAsia="bg-BG"/>
        </w:rPr>
      </w:pPr>
    </w:p>
    <w:p w14:paraId="04162E19" w14:textId="692BDED5" w:rsidR="00F07F0E" w:rsidRPr="00E8119A" w:rsidRDefault="00F07F0E" w:rsidP="00F07F0E">
      <w:pPr>
        <w:rPr>
          <w:sz w:val="24"/>
          <w:szCs w:val="24"/>
        </w:rPr>
      </w:pPr>
      <w:r w:rsidRPr="00E8119A">
        <w:rPr>
          <w:lang w:eastAsia="bg-BG"/>
        </w:rPr>
        <w:t xml:space="preserve">Установено е, че </w:t>
      </w:r>
      <w:proofErr w:type="spellStart"/>
      <w:r w:rsidRPr="00E8119A">
        <w:rPr>
          <w:lang w:eastAsia="bg-BG"/>
        </w:rPr>
        <w:t>Гоптен</w:t>
      </w:r>
      <w:proofErr w:type="spellEnd"/>
      <w:r w:rsidRPr="00E8119A">
        <w:rPr>
          <w:lang w:eastAsia="bg-BG"/>
        </w:rPr>
        <w:t xml:space="preserve"> подобрява преживяемостта след инфаркт на миокарда при пациенти с </w:t>
      </w:r>
      <w:proofErr w:type="spellStart"/>
      <w:r w:rsidRPr="00E8119A">
        <w:rPr>
          <w:lang w:eastAsia="bg-BG"/>
        </w:rPr>
        <w:t>левокамерна</w:t>
      </w:r>
      <w:proofErr w:type="spellEnd"/>
      <w:r w:rsidRPr="00E8119A">
        <w:rPr>
          <w:lang w:eastAsia="bg-BG"/>
        </w:rPr>
        <w:t xml:space="preserve"> дисфункция (фракция на изтласкване ≤ 35%) с или без симптоми на сърдечна недостатъчност и/или с или без остатъчна исхемия.</w:t>
      </w:r>
    </w:p>
    <w:p w14:paraId="40C946EC" w14:textId="77777777" w:rsidR="00F07F0E" w:rsidRPr="00E8119A" w:rsidRDefault="00F07F0E" w:rsidP="00F07F0E">
      <w:pPr>
        <w:rPr>
          <w:lang w:eastAsia="bg-BG"/>
        </w:rPr>
      </w:pPr>
    </w:p>
    <w:p w14:paraId="61F3348B" w14:textId="3D5D566C" w:rsidR="00F07F0E" w:rsidRPr="00E8119A" w:rsidRDefault="00F07F0E" w:rsidP="00F07F0E">
      <w:pPr>
        <w:rPr>
          <w:sz w:val="24"/>
          <w:szCs w:val="24"/>
        </w:rPr>
      </w:pPr>
      <w:r w:rsidRPr="00E8119A">
        <w:rPr>
          <w:lang w:eastAsia="bg-BG"/>
        </w:rPr>
        <w:t xml:space="preserve">Продължителното лечение с </w:t>
      </w:r>
      <w:proofErr w:type="spellStart"/>
      <w:r w:rsidRPr="00E8119A">
        <w:rPr>
          <w:lang w:eastAsia="bg-BG"/>
        </w:rPr>
        <w:t>Гоптен</w:t>
      </w:r>
      <w:proofErr w:type="spellEnd"/>
      <w:r w:rsidRPr="00E8119A">
        <w:rPr>
          <w:lang w:eastAsia="bg-BG"/>
        </w:rPr>
        <w:t xml:space="preserve"> намалява значително общата сърдечно-съдова смъртност. Той значително понижава риска от внезапна смърт и появата на тежка или резистентна сърдечна недостатъчност.</w:t>
      </w:r>
    </w:p>
    <w:p w14:paraId="211E1B44" w14:textId="77777777" w:rsidR="00F07F0E" w:rsidRPr="00E8119A" w:rsidRDefault="00F07F0E" w:rsidP="00F07F0E"/>
    <w:p w14:paraId="53F5B866" w14:textId="04B2B5D6" w:rsidR="007122AD" w:rsidRPr="00E8119A" w:rsidRDefault="002C50EE" w:rsidP="00936AD0">
      <w:pPr>
        <w:pStyle w:val="Heading2"/>
      </w:pPr>
      <w:r w:rsidRPr="00E8119A">
        <w:t>4.2. Дозировка и начин на приложение</w:t>
      </w:r>
    </w:p>
    <w:p w14:paraId="56F68E02" w14:textId="4BB2D691" w:rsidR="00F07F0E" w:rsidRPr="00E8119A" w:rsidRDefault="00F07F0E" w:rsidP="00F07F0E"/>
    <w:p w14:paraId="63A6BD4B" w14:textId="77777777" w:rsidR="00F07F0E" w:rsidRPr="00E8119A" w:rsidRDefault="00F07F0E" w:rsidP="00F07F0E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u w:val="single"/>
          <w:lang w:eastAsia="bg-BG"/>
        </w:rPr>
        <w:t>За перорално приложение</w:t>
      </w:r>
    </w:p>
    <w:p w14:paraId="5A79ABAE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EB8DECF" w14:textId="2A9969B9" w:rsidR="00F07F0E" w:rsidRPr="00E8119A" w:rsidRDefault="00F07F0E" w:rsidP="00F07F0E">
      <w:pPr>
        <w:pStyle w:val="Heading3"/>
        <w:rPr>
          <w:rFonts w:eastAsia="Times New Roman"/>
          <w:u w:val="single"/>
        </w:rPr>
      </w:pPr>
      <w:r w:rsidRPr="00E8119A">
        <w:rPr>
          <w:rFonts w:eastAsia="Times New Roman"/>
          <w:u w:val="single"/>
          <w:lang w:eastAsia="bg-BG"/>
        </w:rPr>
        <w:t>Дозировка</w:t>
      </w:r>
    </w:p>
    <w:p w14:paraId="44311903" w14:textId="77777777" w:rsidR="00F07F0E" w:rsidRPr="00E8119A" w:rsidRDefault="00F07F0E" w:rsidP="00F07F0E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654868A3" w14:textId="35CAE7F3" w:rsidR="00F07F0E" w:rsidRPr="00E8119A" w:rsidRDefault="00F07F0E" w:rsidP="00F07F0E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i/>
          <w:iCs/>
          <w:color w:val="000000"/>
          <w:u w:val="single"/>
          <w:lang w:eastAsia="bg-BG"/>
        </w:rPr>
        <w:t>Възрастни</w:t>
      </w:r>
    </w:p>
    <w:p w14:paraId="25E33352" w14:textId="77777777" w:rsidR="00F07F0E" w:rsidRPr="00E8119A" w:rsidRDefault="00F07F0E" w:rsidP="00F07F0E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i/>
          <w:iCs/>
          <w:color w:val="000000"/>
          <w:lang w:eastAsia="bg-BG"/>
        </w:rPr>
        <w:t>Хипертония</w:t>
      </w:r>
    </w:p>
    <w:p w14:paraId="26DE4B79" w14:textId="08BC2B60" w:rsidR="00F07F0E" w:rsidRPr="00E8119A" w:rsidRDefault="00F07F0E" w:rsidP="00F07F0E">
      <w:pPr>
        <w:rPr>
          <w:rFonts w:eastAsia="Times New Roman" w:cs="Arial"/>
          <w:color w:val="000000"/>
          <w:lang w:eastAsia="bg-BG"/>
        </w:rPr>
      </w:pPr>
      <w:r w:rsidRPr="00E8119A">
        <w:rPr>
          <w:rFonts w:eastAsia="Times New Roman" w:cs="Arial"/>
          <w:color w:val="000000"/>
          <w:lang w:eastAsia="bg-BG"/>
        </w:rPr>
        <w:t xml:space="preserve">При възрастни пациенти без застойна сърдечна недостатъчност и без бъбречна или чернодробна недостатъчност, които не приемат диуретична терапия, препоръчваната </w:t>
      </w:r>
      <w:r w:rsidRPr="00E8119A">
        <w:rPr>
          <w:rFonts w:eastAsia="Times New Roman" w:cs="Arial"/>
          <w:color w:val="000000"/>
          <w:lang w:eastAsia="bg-BG"/>
        </w:rPr>
        <w:lastRenderedPageBreak/>
        <w:t xml:space="preserve">начална доза е от 0,5 </w:t>
      </w:r>
      <w:proofErr w:type="spellStart"/>
      <w:r w:rsidRPr="00E8119A">
        <w:rPr>
          <w:rFonts w:eastAsia="Times New Roman" w:cs="Arial"/>
          <w:color w:val="000000"/>
        </w:rPr>
        <w:t>mg</w:t>
      </w:r>
      <w:proofErr w:type="spellEnd"/>
      <w:r w:rsidRPr="00E8119A">
        <w:rPr>
          <w:rFonts w:eastAsia="Times New Roman" w:cs="Arial"/>
          <w:color w:val="000000"/>
        </w:rPr>
        <w:t xml:space="preserve"> </w:t>
      </w:r>
      <w:r w:rsidRPr="00E8119A">
        <w:rPr>
          <w:rFonts w:eastAsia="Times New Roman" w:cs="Arial"/>
          <w:color w:val="000000"/>
          <w:lang w:eastAsia="bg-BG"/>
        </w:rPr>
        <w:t xml:space="preserve">до 1 </w:t>
      </w:r>
      <w:proofErr w:type="spellStart"/>
      <w:r w:rsidRPr="00E8119A">
        <w:rPr>
          <w:rFonts w:eastAsia="Times New Roman" w:cs="Arial"/>
          <w:color w:val="000000"/>
        </w:rPr>
        <w:t>mg</w:t>
      </w:r>
      <w:proofErr w:type="spellEnd"/>
      <w:r w:rsidRPr="00E8119A">
        <w:rPr>
          <w:rFonts w:eastAsia="Times New Roman" w:cs="Arial"/>
          <w:color w:val="000000"/>
        </w:rPr>
        <w:t xml:space="preserve"> </w:t>
      </w:r>
      <w:r w:rsidRPr="00E8119A">
        <w:rPr>
          <w:rFonts w:eastAsia="Times New Roman" w:cs="Arial"/>
          <w:color w:val="000000"/>
          <w:lang w:eastAsia="bg-BG"/>
        </w:rPr>
        <w:t xml:space="preserve">и до 2 </w:t>
      </w:r>
      <w:proofErr w:type="spellStart"/>
      <w:r w:rsidRPr="00E8119A">
        <w:rPr>
          <w:rFonts w:eastAsia="Times New Roman" w:cs="Arial"/>
          <w:color w:val="000000"/>
        </w:rPr>
        <w:t>mg</w:t>
      </w:r>
      <w:proofErr w:type="spellEnd"/>
      <w:r w:rsidRPr="00E8119A">
        <w:rPr>
          <w:rFonts w:eastAsia="Times New Roman" w:cs="Arial"/>
          <w:color w:val="000000"/>
        </w:rPr>
        <w:t xml:space="preserve"> </w:t>
      </w:r>
      <w:r w:rsidRPr="00E8119A">
        <w:rPr>
          <w:rFonts w:eastAsia="Times New Roman" w:cs="Arial"/>
          <w:color w:val="000000"/>
          <w:lang w:eastAsia="bg-BG"/>
        </w:rPr>
        <w:t xml:space="preserve">като единична дневна доза. Пациенти с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афроамерикански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произход обикновено се нуждаят от 2 </w:t>
      </w:r>
      <w:proofErr w:type="spellStart"/>
      <w:r w:rsidRPr="00E8119A">
        <w:rPr>
          <w:rFonts w:eastAsia="Times New Roman" w:cs="Arial"/>
          <w:color w:val="000000"/>
        </w:rPr>
        <w:t>mg</w:t>
      </w:r>
      <w:proofErr w:type="spellEnd"/>
      <w:r w:rsidRPr="00E8119A">
        <w:rPr>
          <w:rFonts w:eastAsia="Times New Roman" w:cs="Arial"/>
          <w:color w:val="000000"/>
        </w:rPr>
        <w:t xml:space="preserve"> </w:t>
      </w:r>
      <w:r w:rsidRPr="00E8119A">
        <w:rPr>
          <w:rFonts w:eastAsia="Times New Roman" w:cs="Arial"/>
          <w:color w:val="000000"/>
          <w:lang w:eastAsia="bg-BG"/>
        </w:rPr>
        <w:t xml:space="preserve">като начална доза. Доза от 0,5 </w:t>
      </w:r>
      <w:proofErr w:type="spellStart"/>
      <w:r w:rsidRPr="00E8119A">
        <w:rPr>
          <w:rFonts w:eastAsia="Times New Roman" w:cs="Arial"/>
          <w:color w:val="000000"/>
        </w:rPr>
        <w:t>mg</w:t>
      </w:r>
      <w:proofErr w:type="spellEnd"/>
      <w:r w:rsidRPr="00E8119A">
        <w:rPr>
          <w:rFonts w:eastAsia="Times New Roman" w:cs="Arial"/>
          <w:color w:val="000000"/>
        </w:rPr>
        <w:t xml:space="preserve"> </w:t>
      </w:r>
      <w:r w:rsidRPr="00E8119A">
        <w:rPr>
          <w:rFonts w:eastAsia="Times New Roman" w:cs="Arial"/>
          <w:color w:val="000000"/>
          <w:lang w:eastAsia="bg-BG"/>
        </w:rPr>
        <w:t xml:space="preserve">достига терапевтичен отговор само при малка част от пациентите. Дозата трябва да се удвои постепенно на интервали от една до четири седмици, въз основа на отговора на пациента, до максимум 4 </w:t>
      </w:r>
      <w:proofErr w:type="spellStart"/>
      <w:r w:rsidRPr="00E8119A">
        <w:rPr>
          <w:rFonts w:eastAsia="Times New Roman" w:cs="Arial"/>
          <w:color w:val="000000"/>
        </w:rPr>
        <w:t>mg</w:t>
      </w:r>
      <w:proofErr w:type="spellEnd"/>
      <w:r w:rsidRPr="00E8119A">
        <w:rPr>
          <w:rFonts w:eastAsia="Times New Roman" w:cs="Arial"/>
          <w:color w:val="000000"/>
        </w:rPr>
        <w:t xml:space="preserve"> </w:t>
      </w:r>
      <w:r w:rsidRPr="00E8119A">
        <w:rPr>
          <w:rFonts w:eastAsia="Times New Roman" w:cs="Arial"/>
          <w:color w:val="000000"/>
          <w:lang w:eastAsia="bg-BG"/>
        </w:rPr>
        <w:t xml:space="preserve">до 8 </w:t>
      </w:r>
      <w:proofErr w:type="spellStart"/>
      <w:r w:rsidRPr="00E8119A">
        <w:rPr>
          <w:rFonts w:eastAsia="Times New Roman" w:cs="Arial"/>
          <w:color w:val="000000"/>
        </w:rPr>
        <w:t>mg</w:t>
      </w:r>
      <w:proofErr w:type="spellEnd"/>
      <w:r w:rsidRPr="00E8119A">
        <w:rPr>
          <w:rFonts w:eastAsia="Times New Roman" w:cs="Arial"/>
          <w:color w:val="000000"/>
        </w:rPr>
        <w:t xml:space="preserve"> </w:t>
      </w:r>
      <w:r w:rsidRPr="00E8119A">
        <w:rPr>
          <w:rFonts w:eastAsia="Times New Roman" w:cs="Arial"/>
          <w:color w:val="000000"/>
          <w:lang w:eastAsia="bg-BG"/>
        </w:rPr>
        <w:t xml:space="preserve">дневно. Обичайната поддържаща доза е от 1 </w:t>
      </w:r>
      <w:proofErr w:type="spellStart"/>
      <w:r w:rsidRPr="00E8119A">
        <w:rPr>
          <w:rFonts w:eastAsia="Times New Roman" w:cs="Arial"/>
          <w:color w:val="000000"/>
        </w:rPr>
        <w:t>mg</w:t>
      </w:r>
      <w:proofErr w:type="spellEnd"/>
      <w:r w:rsidRPr="00E8119A">
        <w:rPr>
          <w:rFonts w:eastAsia="Times New Roman" w:cs="Arial"/>
          <w:color w:val="000000"/>
        </w:rPr>
        <w:t xml:space="preserve"> </w:t>
      </w:r>
      <w:r w:rsidRPr="00E8119A">
        <w:rPr>
          <w:rFonts w:eastAsia="Times New Roman" w:cs="Arial"/>
          <w:color w:val="000000"/>
          <w:lang w:eastAsia="bg-BG"/>
        </w:rPr>
        <w:t xml:space="preserve">до 4 </w:t>
      </w:r>
      <w:proofErr w:type="spellStart"/>
      <w:r w:rsidRPr="00E8119A">
        <w:rPr>
          <w:rFonts w:eastAsia="Times New Roman" w:cs="Arial"/>
          <w:color w:val="000000"/>
        </w:rPr>
        <w:t>mg</w:t>
      </w:r>
      <w:proofErr w:type="spellEnd"/>
      <w:r w:rsidRPr="00E8119A">
        <w:rPr>
          <w:rFonts w:eastAsia="Times New Roman" w:cs="Arial"/>
          <w:color w:val="000000"/>
        </w:rPr>
        <w:t xml:space="preserve"> </w:t>
      </w:r>
      <w:r w:rsidRPr="00E8119A">
        <w:rPr>
          <w:rFonts w:eastAsia="Times New Roman" w:cs="Arial"/>
          <w:color w:val="000000"/>
          <w:lang w:eastAsia="bg-BG"/>
        </w:rPr>
        <w:t xml:space="preserve">като единична дневна Ако отговорът на пациента е все още незадоволителен при доза от 4 </w:t>
      </w:r>
      <w:proofErr w:type="spellStart"/>
      <w:r w:rsidRPr="00E8119A">
        <w:rPr>
          <w:rFonts w:eastAsia="Times New Roman" w:cs="Arial"/>
          <w:color w:val="000000"/>
        </w:rPr>
        <w:t>mg</w:t>
      </w:r>
      <w:proofErr w:type="spellEnd"/>
      <w:r w:rsidRPr="00E8119A">
        <w:rPr>
          <w:rFonts w:eastAsia="Times New Roman" w:cs="Arial"/>
          <w:color w:val="000000"/>
        </w:rPr>
        <w:t xml:space="preserve"> </w:t>
      </w:r>
      <w:r w:rsidRPr="00E8119A">
        <w:rPr>
          <w:rFonts w:eastAsia="Times New Roman" w:cs="Arial"/>
          <w:color w:val="000000"/>
          <w:lang w:eastAsia="bg-BG"/>
        </w:rPr>
        <w:t xml:space="preserve">до 8 </w:t>
      </w:r>
      <w:proofErr w:type="spellStart"/>
      <w:r w:rsidRPr="00E8119A">
        <w:rPr>
          <w:rFonts w:eastAsia="Times New Roman" w:cs="Arial"/>
          <w:color w:val="000000"/>
        </w:rPr>
        <w:t>mg</w:t>
      </w:r>
      <w:proofErr w:type="spellEnd"/>
      <w:r w:rsidRPr="00E8119A">
        <w:rPr>
          <w:rFonts w:eastAsia="Times New Roman" w:cs="Arial"/>
          <w:color w:val="000000"/>
        </w:rPr>
        <w:t xml:space="preserve">, </w:t>
      </w:r>
      <w:r w:rsidRPr="00E8119A">
        <w:rPr>
          <w:rFonts w:eastAsia="Times New Roman" w:cs="Arial"/>
          <w:color w:val="000000"/>
          <w:lang w:eastAsia="bg-BG"/>
        </w:rPr>
        <w:t xml:space="preserve">трябва да се обмисли комбинирана терапия с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диуретик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и/или калциев антагонист (вж. точки 4.3, 4.4, 4.5 и 5.1).</w:t>
      </w:r>
    </w:p>
    <w:p w14:paraId="35D8AA56" w14:textId="540B8261" w:rsidR="00F07F0E" w:rsidRPr="00E8119A" w:rsidRDefault="00F07F0E" w:rsidP="00F07F0E">
      <w:pPr>
        <w:rPr>
          <w:rFonts w:eastAsia="Times New Roman" w:cs="Arial"/>
          <w:color w:val="000000"/>
          <w:lang w:eastAsia="bg-BG"/>
        </w:rPr>
      </w:pPr>
    </w:p>
    <w:p w14:paraId="3F23115D" w14:textId="77777777" w:rsidR="00F07F0E" w:rsidRPr="00E8119A" w:rsidRDefault="00F07F0E" w:rsidP="00F07F0E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E8119A">
        <w:rPr>
          <w:rFonts w:eastAsia="Times New Roman" w:cs="Arial"/>
          <w:i/>
          <w:iCs/>
          <w:color w:val="000000"/>
          <w:lang w:eastAsia="bg-BG"/>
        </w:rPr>
        <w:t>Левокамерна</w:t>
      </w:r>
      <w:proofErr w:type="spellEnd"/>
      <w:r w:rsidRPr="00E8119A">
        <w:rPr>
          <w:rFonts w:eastAsia="Times New Roman" w:cs="Arial"/>
          <w:i/>
          <w:iCs/>
          <w:color w:val="000000"/>
          <w:lang w:eastAsia="bg-BG"/>
        </w:rPr>
        <w:t xml:space="preserve"> дисфункция след инфаркт на миокарда</w:t>
      </w:r>
    </w:p>
    <w:p w14:paraId="3F5DE205" w14:textId="77777777" w:rsidR="00F07F0E" w:rsidRPr="00E8119A" w:rsidRDefault="00F07F0E" w:rsidP="00F07F0E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 xml:space="preserve">След инфаркт на миокарда, лечението може да бъде започнато не по-рано от третия ден. Началната дневна доза трябва да е от 0,5 </w:t>
      </w:r>
      <w:proofErr w:type="spellStart"/>
      <w:r w:rsidRPr="00E8119A">
        <w:rPr>
          <w:rFonts w:eastAsia="Times New Roman" w:cs="Arial"/>
          <w:color w:val="000000"/>
        </w:rPr>
        <w:t>mg</w:t>
      </w:r>
      <w:proofErr w:type="spellEnd"/>
      <w:r w:rsidRPr="00E8119A">
        <w:rPr>
          <w:rFonts w:eastAsia="Times New Roman" w:cs="Arial"/>
          <w:color w:val="000000"/>
        </w:rPr>
        <w:t xml:space="preserve"> </w:t>
      </w:r>
      <w:r w:rsidRPr="00E8119A">
        <w:rPr>
          <w:rFonts w:eastAsia="Times New Roman" w:cs="Arial"/>
          <w:color w:val="000000"/>
          <w:lang w:eastAsia="bg-BG"/>
        </w:rPr>
        <w:t xml:space="preserve">до 1 </w:t>
      </w:r>
      <w:proofErr w:type="spellStart"/>
      <w:r w:rsidRPr="00E8119A">
        <w:rPr>
          <w:rFonts w:eastAsia="Times New Roman" w:cs="Arial"/>
          <w:color w:val="000000"/>
        </w:rPr>
        <w:t>mg</w:t>
      </w:r>
      <w:proofErr w:type="spellEnd"/>
      <w:r w:rsidRPr="00E8119A">
        <w:rPr>
          <w:rFonts w:eastAsia="Times New Roman" w:cs="Arial"/>
          <w:color w:val="000000"/>
        </w:rPr>
        <w:t xml:space="preserve">. </w:t>
      </w:r>
      <w:r w:rsidRPr="00E8119A">
        <w:rPr>
          <w:rFonts w:eastAsia="Times New Roman" w:cs="Arial"/>
          <w:color w:val="000000"/>
          <w:lang w:eastAsia="bg-BG"/>
        </w:rPr>
        <w:t xml:space="preserve">Тази доза трябва постепенно да се повишава до максимум 4 </w:t>
      </w:r>
      <w:proofErr w:type="spellStart"/>
      <w:r w:rsidRPr="00E8119A">
        <w:rPr>
          <w:rFonts w:eastAsia="Times New Roman" w:cs="Arial"/>
          <w:color w:val="000000"/>
        </w:rPr>
        <w:t>mg</w:t>
      </w:r>
      <w:proofErr w:type="spellEnd"/>
      <w:r w:rsidRPr="00E8119A">
        <w:rPr>
          <w:rFonts w:eastAsia="Times New Roman" w:cs="Arial"/>
          <w:color w:val="000000"/>
        </w:rPr>
        <w:t xml:space="preserve">, </w:t>
      </w:r>
      <w:r w:rsidRPr="00E8119A">
        <w:rPr>
          <w:rFonts w:eastAsia="Times New Roman" w:cs="Arial"/>
          <w:color w:val="000000"/>
          <w:lang w:eastAsia="bg-BG"/>
        </w:rPr>
        <w:t>като еднократна дневна доза. В зависимост от поносимостта, например появата на симптоматична хипотония, това форсирано титриране на дозата може временно да бъде отложено.</w:t>
      </w:r>
    </w:p>
    <w:p w14:paraId="36A3BD4D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C4B6AD2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E8119A">
        <w:rPr>
          <w:rFonts w:eastAsia="Times New Roman" w:cs="Arial"/>
          <w:color w:val="000000"/>
          <w:lang w:eastAsia="bg-BG"/>
        </w:rPr>
        <w:t xml:space="preserve">В случай на хипотония, всяко съпътстващо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хипотензивно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лечение, като например прием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вазодилататори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включително нитрати 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диуретици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трябва внимателно да бъде преоценено и при </w:t>
      </w:r>
    </w:p>
    <w:p w14:paraId="0FB4AD5D" w14:textId="42A2029F" w:rsidR="00F07F0E" w:rsidRPr="00E8119A" w:rsidRDefault="00F07F0E" w:rsidP="00F07F0E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>възможност дозата на тези лекарствени продукти да бъде намалена.</w:t>
      </w:r>
    </w:p>
    <w:p w14:paraId="1DD7064B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C3F6016" w14:textId="36560A54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E8119A">
        <w:rPr>
          <w:rFonts w:eastAsia="Times New Roman" w:cs="Arial"/>
          <w:color w:val="000000"/>
          <w:lang w:eastAsia="bg-BG"/>
        </w:rPr>
        <w:t xml:space="preserve">Дозата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трябва да бъде намалена, само в случай, че посочените по-горе мерки са </w:t>
      </w:r>
    </w:p>
    <w:p w14:paraId="216B9092" w14:textId="544DEB0E" w:rsidR="00F07F0E" w:rsidRPr="00E8119A" w:rsidRDefault="00F07F0E" w:rsidP="00F07F0E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>неефективни или неприложими.</w:t>
      </w:r>
    </w:p>
    <w:p w14:paraId="2ADB8CEE" w14:textId="77777777" w:rsidR="00F07F0E" w:rsidRPr="00E8119A" w:rsidRDefault="00F07F0E" w:rsidP="00F07F0E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3695E4F7" w14:textId="5D19338D" w:rsidR="00F07F0E" w:rsidRPr="00E8119A" w:rsidRDefault="00F07F0E" w:rsidP="00F07F0E">
      <w:pPr>
        <w:pStyle w:val="Heading3"/>
        <w:rPr>
          <w:rFonts w:eastAsia="Times New Roman"/>
          <w:u w:val="single"/>
        </w:rPr>
      </w:pPr>
      <w:r w:rsidRPr="00E8119A">
        <w:rPr>
          <w:rFonts w:eastAsia="Times New Roman"/>
          <w:u w:val="single"/>
          <w:lang w:eastAsia="bg-BG"/>
        </w:rPr>
        <w:t>Специални популации</w:t>
      </w:r>
    </w:p>
    <w:p w14:paraId="36E30340" w14:textId="77777777" w:rsidR="00F07F0E" w:rsidRPr="00E8119A" w:rsidRDefault="00F07F0E" w:rsidP="00F07F0E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F7DACDA" w14:textId="79F7EA43" w:rsidR="00F07F0E" w:rsidRPr="00E8119A" w:rsidRDefault="00F07F0E" w:rsidP="00F07F0E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035CE7DD" w14:textId="7B7CB34F" w:rsidR="00F07F0E" w:rsidRPr="00E8119A" w:rsidRDefault="00F07F0E" w:rsidP="00F07F0E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 xml:space="preserve">Безопасността и ефикасността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в детска възраст не е установена.</w:t>
      </w:r>
    </w:p>
    <w:p w14:paraId="36F89A71" w14:textId="77777777" w:rsidR="00F07F0E" w:rsidRPr="00E8119A" w:rsidRDefault="00F07F0E" w:rsidP="00F07F0E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E37B366" w14:textId="3E009248" w:rsidR="00F07F0E" w:rsidRPr="00E8119A" w:rsidRDefault="00F07F0E" w:rsidP="00F07F0E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i/>
          <w:iCs/>
          <w:color w:val="000000"/>
          <w:lang w:eastAsia="bg-BG"/>
        </w:rPr>
        <w:t>Пациенти в старческа възраст</w:t>
      </w:r>
    </w:p>
    <w:p w14:paraId="59EA06AD" w14:textId="77777777" w:rsidR="00F07F0E" w:rsidRPr="00E8119A" w:rsidRDefault="00F07F0E" w:rsidP="00F07F0E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 xml:space="preserve">Дозата при пациенти в старческа възраст е същата като при пациенти в не-старческа възраст. Няма необходимост от редуциране на дозата при пациенти в старческа възраст с нормална бъбречна и чернодробна функции. Повишено внимание е необходимо при пациенти в старческа възраст на едновременно лечение с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диуретици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застойна сърдечна недостъпност, или бъбречна или чернодробна недостатъчност. Дозата трябва да се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титрира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според нуждите за контрол на кръвното налягане.</w:t>
      </w:r>
    </w:p>
    <w:p w14:paraId="7601779F" w14:textId="77777777" w:rsidR="00F07F0E" w:rsidRPr="00E8119A" w:rsidRDefault="00F07F0E" w:rsidP="00F07F0E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20F04A7" w14:textId="7A49A30F" w:rsidR="00F07F0E" w:rsidRPr="00E8119A" w:rsidRDefault="00F07F0E" w:rsidP="00F07F0E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i/>
          <w:iCs/>
          <w:color w:val="000000"/>
          <w:lang w:eastAsia="bg-BG"/>
        </w:rPr>
        <w:t>Предшестващо диуретично лечение</w:t>
      </w:r>
    </w:p>
    <w:p w14:paraId="15321A11" w14:textId="77777777" w:rsidR="00F07F0E" w:rsidRPr="00E8119A" w:rsidRDefault="00F07F0E" w:rsidP="00F07F0E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>При пациенти в риск от стимулирана ренин-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ангиотензин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система (напр. пациенти със загуба на вода и натрий),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диуретикът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трябва да се спре 2 или 3 дни преди началото на терапията с 0,5 </w:t>
      </w:r>
      <w:proofErr w:type="spellStart"/>
      <w:r w:rsidRPr="00E8119A">
        <w:rPr>
          <w:rFonts w:eastAsia="Times New Roman" w:cs="Arial"/>
          <w:color w:val="000000"/>
        </w:rPr>
        <w:t>mg</w:t>
      </w:r>
      <w:proofErr w:type="spellEnd"/>
      <w:r w:rsidRPr="00E8119A">
        <w:rPr>
          <w:rFonts w:eastAsia="Times New Roman" w:cs="Arial"/>
          <w:color w:val="000000"/>
        </w:rPr>
        <w:t xml:space="preserve">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за да се намали вероятността от развитие на симптоматична хипотония.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Диуретикът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може да се прибави по-късно, ако е необходимо.</w:t>
      </w:r>
    </w:p>
    <w:p w14:paraId="74C061A5" w14:textId="77777777" w:rsidR="00F07F0E" w:rsidRPr="00E8119A" w:rsidRDefault="00F07F0E" w:rsidP="00F07F0E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E1EB5C6" w14:textId="315714A9" w:rsidR="00F07F0E" w:rsidRPr="00E8119A" w:rsidRDefault="00F07F0E" w:rsidP="00F07F0E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i/>
          <w:iCs/>
          <w:color w:val="000000"/>
          <w:lang w:eastAsia="bg-BG"/>
        </w:rPr>
        <w:t>Сърдечна недостатъчност</w:t>
      </w:r>
    </w:p>
    <w:p w14:paraId="3B30553B" w14:textId="77777777" w:rsidR="00F07F0E" w:rsidRPr="00E8119A" w:rsidRDefault="00F07F0E" w:rsidP="00F07F0E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 xml:space="preserve">При пациенти с хипертония, които имат застойна сърдечна недостатъчност със или без съпътстваща бъбречна недостатъчност, след лечението с АСЕ-инхибитори е наблюдавана симптоматична хипотония. При тези пациенти лечението трябва да започне с доза от 0,5 </w:t>
      </w:r>
      <w:proofErr w:type="spellStart"/>
      <w:r w:rsidRPr="00E8119A">
        <w:rPr>
          <w:rFonts w:eastAsia="Times New Roman" w:cs="Arial"/>
          <w:color w:val="000000"/>
        </w:rPr>
        <w:t>mg</w:t>
      </w:r>
      <w:proofErr w:type="spellEnd"/>
      <w:r w:rsidRPr="00E8119A">
        <w:rPr>
          <w:rFonts w:eastAsia="Times New Roman" w:cs="Arial"/>
          <w:color w:val="000000"/>
        </w:rPr>
        <w:t xml:space="preserve"> </w:t>
      </w:r>
      <w:r w:rsidRPr="00E8119A">
        <w:rPr>
          <w:rFonts w:eastAsia="Times New Roman" w:cs="Arial"/>
          <w:color w:val="000000"/>
          <w:lang w:eastAsia="bg-BG"/>
        </w:rPr>
        <w:t xml:space="preserve">до 1 </w:t>
      </w:r>
      <w:proofErr w:type="spellStart"/>
      <w:r w:rsidRPr="00E8119A">
        <w:rPr>
          <w:rFonts w:eastAsia="Times New Roman" w:cs="Arial"/>
          <w:color w:val="000000"/>
        </w:rPr>
        <w:t>mg</w:t>
      </w:r>
      <w:proofErr w:type="spellEnd"/>
      <w:r w:rsidRPr="00E8119A">
        <w:rPr>
          <w:rFonts w:eastAsia="Times New Roman" w:cs="Arial"/>
          <w:color w:val="000000"/>
        </w:rPr>
        <w:t xml:space="preserve">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веднъж дневно под строг медицински контрол.</w:t>
      </w:r>
    </w:p>
    <w:p w14:paraId="2314B7E1" w14:textId="77777777" w:rsidR="00F07F0E" w:rsidRPr="00E8119A" w:rsidRDefault="00F07F0E" w:rsidP="00F07F0E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8428C47" w14:textId="136EF75F" w:rsidR="00F07F0E" w:rsidRPr="00E8119A" w:rsidRDefault="00F07F0E" w:rsidP="00F07F0E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i/>
          <w:iCs/>
          <w:color w:val="000000"/>
          <w:lang w:eastAsia="bg-BG"/>
        </w:rPr>
        <w:lastRenderedPageBreak/>
        <w:t>Бъбречно увреждане</w:t>
      </w:r>
    </w:p>
    <w:p w14:paraId="3C0C6373" w14:textId="77777777" w:rsidR="00F07F0E" w:rsidRPr="00E8119A" w:rsidRDefault="00F07F0E" w:rsidP="00F07F0E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 xml:space="preserve">При пациенти с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креатининов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клирънс от 30 до 70 </w:t>
      </w:r>
      <w:r w:rsidRPr="00E8119A">
        <w:rPr>
          <w:rFonts w:eastAsia="Times New Roman" w:cs="Arial"/>
          <w:color w:val="000000"/>
        </w:rPr>
        <w:t>ml/</w:t>
      </w:r>
      <w:proofErr w:type="spellStart"/>
      <w:r w:rsidRPr="00E8119A">
        <w:rPr>
          <w:rFonts w:eastAsia="Times New Roman" w:cs="Arial"/>
          <w:color w:val="000000"/>
        </w:rPr>
        <w:t>min</w:t>
      </w:r>
      <w:proofErr w:type="spellEnd"/>
      <w:r w:rsidRPr="00E8119A">
        <w:rPr>
          <w:rFonts w:eastAsia="Times New Roman" w:cs="Arial"/>
          <w:color w:val="000000"/>
        </w:rPr>
        <w:t xml:space="preserve"> </w:t>
      </w:r>
      <w:r w:rsidRPr="00E8119A">
        <w:rPr>
          <w:rFonts w:eastAsia="Times New Roman" w:cs="Arial"/>
          <w:color w:val="000000"/>
          <w:lang w:eastAsia="bg-BG"/>
        </w:rPr>
        <w:t>се препоръчва прием на обичайната доза за възрастни и пациенти в напреднала възраст.</w:t>
      </w:r>
    </w:p>
    <w:p w14:paraId="424FFC95" w14:textId="77777777" w:rsidR="00F07F0E" w:rsidRPr="00E8119A" w:rsidRDefault="00F07F0E" w:rsidP="00F07F0E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 xml:space="preserve">При пациенти с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креатининов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клирънс под 30 </w:t>
      </w:r>
      <w:r w:rsidRPr="00E8119A">
        <w:rPr>
          <w:rFonts w:eastAsia="Times New Roman" w:cs="Arial"/>
          <w:color w:val="000000"/>
        </w:rPr>
        <w:t>ml/</w:t>
      </w:r>
      <w:proofErr w:type="spellStart"/>
      <w:r w:rsidRPr="00E8119A">
        <w:rPr>
          <w:rFonts w:eastAsia="Times New Roman" w:cs="Arial"/>
          <w:color w:val="000000"/>
        </w:rPr>
        <w:t>min</w:t>
      </w:r>
      <w:proofErr w:type="spellEnd"/>
      <w:r w:rsidRPr="00E8119A">
        <w:rPr>
          <w:rFonts w:eastAsia="Times New Roman" w:cs="Arial"/>
          <w:color w:val="000000"/>
        </w:rPr>
        <w:t xml:space="preserve"> </w:t>
      </w:r>
      <w:r w:rsidRPr="00E8119A">
        <w:rPr>
          <w:rFonts w:eastAsia="Times New Roman" w:cs="Arial"/>
          <w:color w:val="000000"/>
          <w:lang w:eastAsia="bg-BG"/>
        </w:rPr>
        <w:t xml:space="preserve">се препоръчва започване на лечението с по- ниска доза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(т.е. начална доза 0,5 </w:t>
      </w:r>
      <w:proofErr w:type="spellStart"/>
      <w:r w:rsidRPr="00E8119A">
        <w:rPr>
          <w:rFonts w:eastAsia="Times New Roman" w:cs="Arial"/>
          <w:color w:val="000000"/>
        </w:rPr>
        <w:t>mg</w:t>
      </w:r>
      <w:proofErr w:type="spellEnd"/>
      <w:r w:rsidRPr="00E8119A">
        <w:rPr>
          <w:rFonts w:eastAsia="Times New Roman" w:cs="Arial"/>
          <w:color w:val="000000"/>
        </w:rPr>
        <w:t xml:space="preserve">) </w:t>
      </w:r>
      <w:r w:rsidRPr="00E8119A">
        <w:rPr>
          <w:rFonts w:eastAsia="Times New Roman" w:cs="Arial"/>
          <w:color w:val="000000"/>
          <w:lang w:eastAsia="bg-BG"/>
        </w:rPr>
        <w:t>и постепенно повишаване на дозата до постигане на желания ефект във времето. При тези пациенти лечението трябва да се извършва при редовно медицинско проследяване.</w:t>
      </w:r>
    </w:p>
    <w:p w14:paraId="1199B6C0" w14:textId="77777777" w:rsidR="00F07F0E" w:rsidRPr="00E8119A" w:rsidRDefault="00F07F0E" w:rsidP="00F07F0E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 xml:space="preserve">Пациентите с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креатининов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клирънс над 30 </w:t>
      </w:r>
      <w:r w:rsidRPr="00E8119A">
        <w:rPr>
          <w:rFonts w:eastAsia="Times New Roman" w:cs="Arial"/>
          <w:color w:val="000000"/>
        </w:rPr>
        <w:t>ml/</w:t>
      </w:r>
      <w:proofErr w:type="spellStart"/>
      <w:r w:rsidRPr="00E8119A">
        <w:rPr>
          <w:rFonts w:eastAsia="Times New Roman" w:cs="Arial"/>
          <w:color w:val="000000"/>
        </w:rPr>
        <w:t>min</w:t>
      </w:r>
      <w:proofErr w:type="spellEnd"/>
      <w:r w:rsidRPr="00E8119A">
        <w:rPr>
          <w:rFonts w:eastAsia="Times New Roman" w:cs="Arial"/>
          <w:color w:val="000000"/>
        </w:rPr>
        <w:t xml:space="preserve"> </w:t>
      </w:r>
      <w:r w:rsidRPr="00E8119A">
        <w:rPr>
          <w:rFonts w:eastAsia="Times New Roman" w:cs="Arial"/>
          <w:color w:val="000000"/>
          <w:lang w:eastAsia="bg-BG"/>
        </w:rPr>
        <w:t>не се нуждаят от адаптиране на началната доза.</w:t>
      </w:r>
    </w:p>
    <w:p w14:paraId="3E5DBBB6" w14:textId="77777777" w:rsidR="00F07F0E" w:rsidRPr="00E8119A" w:rsidRDefault="00F07F0E" w:rsidP="00F07F0E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1049653" w14:textId="6CDEE756" w:rsidR="00F07F0E" w:rsidRPr="00E8119A" w:rsidRDefault="00F07F0E" w:rsidP="00F07F0E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i/>
          <w:iCs/>
          <w:color w:val="000000"/>
          <w:lang w:eastAsia="bg-BG"/>
        </w:rPr>
        <w:t>Диализа</w:t>
      </w:r>
    </w:p>
    <w:p w14:paraId="5895949C" w14:textId="2CF71D7E" w:rsidR="00F07F0E" w:rsidRPr="00E8119A" w:rsidRDefault="00F07F0E" w:rsidP="00F07F0E">
      <w:pPr>
        <w:rPr>
          <w:rFonts w:eastAsia="Times New Roman" w:cs="Arial"/>
          <w:color w:val="000000"/>
          <w:lang w:eastAsia="bg-BG"/>
        </w:rPr>
      </w:pPr>
      <w:r w:rsidRPr="00E8119A">
        <w:rPr>
          <w:rFonts w:eastAsia="Times New Roman" w:cs="Arial"/>
          <w:color w:val="000000"/>
          <w:lang w:eastAsia="bg-BG"/>
        </w:rPr>
        <w:t xml:space="preserve">Не е установено със сигурност дали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трандолаприлат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се отстраняват при диализа. Въпреки това би могло да се очаква, че диализата може да отстрани активния метаболит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трандолаприлат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от циркулацията, което да доведе до възможна загуба на контрол на кръвното налягане. Поради това се изисква внимателно наблюдение на кръвното налягане на пациента по време на диализа и адаптиране на дозата, ако е необходимо.</w:t>
      </w:r>
    </w:p>
    <w:p w14:paraId="1F334597" w14:textId="0D016B07" w:rsidR="00F07F0E" w:rsidRPr="00E8119A" w:rsidRDefault="00F07F0E" w:rsidP="00F07F0E">
      <w:pPr>
        <w:rPr>
          <w:rFonts w:eastAsia="Times New Roman" w:cs="Arial"/>
          <w:color w:val="000000"/>
          <w:lang w:eastAsia="bg-BG"/>
        </w:rPr>
      </w:pPr>
    </w:p>
    <w:p w14:paraId="3FA07CD6" w14:textId="77777777" w:rsidR="00F07F0E" w:rsidRPr="00E8119A" w:rsidRDefault="00F07F0E" w:rsidP="00F07F0E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i/>
          <w:iCs/>
          <w:color w:val="000000"/>
          <w:lang w:eastAsia="bg-BG"/>
        </w:rPr>
        <w:t>Чернодробно увреждане</w:t>
      </w:r>
    </w:p>
    <w:p w14:paraId="0AE205AC" w14:textId="77777777" w:rsidR="00F07F0E" w:rsidRPr="00E8119A" w:rsidRDefault="00F07F0E" w:rsidP="00F07F0E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 xml:space="preserve">При пациенти с тежко нарушена чернодробна функция, намаляването на метаболитния клирънс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и активния метаболит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трандолаприлат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води до голямо повишаване на плазмените нива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и в по-малка степен, до повишаване на нивата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трандолаприлат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. Затова лечението с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трябва да започне с доза от 0,5 </w:t>
      </w:r>
      <w:proofErr w:type="spellStart"/>
      <w:r w:rsidRPr="00E8119A">
        <w:rPr>
          <w:rFonts w:eastAsia="Times New Roman" w:cs="Arial"/>
          <w:color w:val="000000"/>
        </w:rPr>
        <w:t>mg</w:t>
      </w:r>
      <w:proofErr w:type="spellEnd"/>
      <w:r w:rsidRPr="00E8119A">
        <w:rPr>
          <w:rFonts w:eastAsia="Times New Roman" w:cs="Arial"/>
          <w:color w:val="000000"/>
        </w:rPr>
        <w:t xml:space="preserve"> </w:t>
      </w:r>
      <w:r w:rsidRPr="00E8119A">
        <w:rPr>
          <w:rFonts w:eastAsia="Times New Roman" w:cs="Arial"/>
          <w:color w:val="000000"/>
          <w:lang w:eastAsia="bg-BG"/>
        </w:rPr>
        <w:t>веднъж дневно под строго наблюдение.</w:t>
      </w:r>
    </w:p>
    <w:p w14:paraId="0A73B5BA" w14:textId="77777777" w:rsidR="00F07F0E" w:rsidRPr="00E8119A" w:rsidRDefault="00F07F0E" w:rsidP="00F07F0E"/>
    <w:p w14:paraId="0F253247" w14:textId="29BEB85C" w:rsidR="007122AD" w:rsidRPr="00E8119A" w:rsidRDefault="002C50EE" w:rsidP="00936AD0">
      <w:pPr>
        <w:pStyle w:val="Heading2"/>
      </w:pPr>
      <w:r w:rsidRPr="00E8119A">
        <w:t>4.3. Противопоказания</w:t>
      </w:r>
    </w:p>
    <w:p w14:paraId="14B362D7" w14:textId="40E380AC" w:rsidR="00F07F0E" w:rsidRPr="00E8119A" w:rsidRDefault="00F07F0E" w:rsidP="00F07F0E"/>
    <w:p w14:paraId="1369C094" w14:textId="77777777" w:rsidR="00F07F0E" w:rsidRPr="00E8119A" w:rsidRDefault="00F07F0E" w:rsidP="00F07F0E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E8119A">
        <w:rPr>
          <w:lang w:eastAsia="bg-BG"/>
        </w:rPr>
        <w:t xml:space="preserve">Анамнеза за свръхчувствителност към активното вещество </w:t>
      </w:r>
      <w:proofErr w:type="spellStart"/>
      <w:r w:rsidRPr="00E8119A">
        <w:rPr>
          <w:lang w:eastAsia="bg-BG"/>
        </w:rPr>
        <w:t>трандолаприл</w:t>
      </w:r>
      <w:proofErr w:type="spellEnd"/>
      <w:r w:rsidRPr="00E8119A">
        <w:rPr>
          <w:lang w:eastAsia="bg-BG"/>
        </w:rPr>
        <w:t>, или към някое от помощните вещества, изброени в точка 6.1.</w:t>
      </w:r>
    </w:p>
    <w:p w14:paraId="4A11ADB6" w14:textId="77777777" w:rsidR="00F07F0E" w:rsidRPr="00E8119A" w:rsidRDefault="00F07F0E" w:rsidP="00F07F0E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E8119A">
        <w:rPr>
          <w:lang w:eastAsia="bg-BG"/>
        </w:rPr>
        <w:t xml:space="preserve">Анамнеза за </w:t>
      </w:r>
      <w:proofErr w:type="spellStart"/>
      <w:r w:rsidRPr="00E8119A">
        <w:rPr>
          <w:lang w:eastAsia="bg-BG"/>
        </w:rPr>
        <w:t>ангионевротичен</w:t>
      </w:r>
      <w:proofErr w:type="spellEnd"/>
      <w:r w:rsidRPr="00E8119A">
        <w:rPr>
          <w:lang w:eastAsia="bg-BG"/>
        </w:rPr>
        <w:t xml:space="preserve"> оток, свързан с прием на АСЕ-инхибитор. </w:t>
      </w:r>
    </w:p>
    <w:p w14:paraId="5B0D969A" w14:textId="41DCAE26" w:rsidR="00F07F0E" w:rsidRPr="00E8119A" w:rsidRDefault="00F07F0E" w:rsidP="00F07F0E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E8119A">
        <w:rPr>
          <w:lang w:eastAsia="bg-BG"/>
        </w:rPr>
        <w:t xml:space="preserve">Наследствен/идиопатичен </w:t>
      </w:r>
      <w:proofErr w:type="spellStart"/>
      <w:r w:rsidRPr="00E8119A">
        <w:rPr>
          <w:lang w:eastAsia="bg-BG"/>
        </w:rPr>
        <w:t>ангионевротичен</w:t>
      </w:r>
      <w:proofErr w:type="spellEnd"/>
      <w:r w:rsidRPr="00E8119A">
        <w:rPr>
          <w:lang w:eastAsia="bg-BG"/>
        </w:rPr>
        <w:t xml:space="preserve"> оток.</w:t>
      </w:r>
    </w:p>
    <w:p w14:paraId="33576B90" w14:textId="77777777" w:rsidR="00F07F0E" w:rsidRPr="00E8119A" w:rsidRDefault="00F07F0E" w:rsidP="00F07F0E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E8119A">
        <w:rPr>
          <w:lang w:eastAsia="bg-BG"/>
        </w:rPr>
        <w:t>Втори и трети триместър на бременността (вж. точки 4.4 и 4.6).</w:t>
      </w:r>
    </w:p>
    <w:p w14:paraId="3BC63014" w14:textId="77777777" w:rsidR="00F07F0E" w:rsidRPr="00E8119A" w:rsidRDefault="00F07F0E" w:rsidP="00F07F0E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E8119A">
        <w:rPr>
          <w:lang w:eastAsia="bg-BG"/>
        </w:rPr>
        <w:t xml:space="preserve">Едновременната употреба на </w:t>
      </w:r>
      <w:proofErr w:type="spellStart"/>
      <w:r w:rsidRPr="00E8119A">
        <w:rPr>
          <w:lang w:eastAsia="bg-BG"/>
        </w:rPr>
        <w:t>Гоптен</w:t>
      </w:r>
      <w:proofErr w:type="spellEnd"/>
      <w:r w:rsidRPr="00E8119A">
        <w:rPr>
          <w:lang w:eastAsia="bg-BG"/>
        </w:rPr>
        <w:t xml:space="preserve"> с </w:t>
      </w:r>
      <w:proofErr w:type="spellStart"/>
      <w:r w:rsidRPr="00E8119A">
        <w:rPr>
          <w:lang w:eastAsia="bg-BG"/>
        </w:rPr>
        <w:t>алискирен</w:t>
      </w:r>
      <w:proofErr w:type="spellEnd"/>
      <w:r w:rsidRPr="00E8119A">
        <w:rPr>
          <w:lang w:eastAsia="bg-BG"/>
        </w:rPr>
        <w:t xml:space="preserve">-съдържащи лекарствени продукти при пациенти със захарен диабет или бъбречно увреждане </w:t>
      </w:r>
      <w:r w:rsidRPr="00E8119A">
        <w:t xml:space="preserve">(GFR </w:t>
      </w:r>
      <w:r w:rsidRPr="00E8119A">
        <w:rPr>
          <w:lang w:eastAsia="bg-BG"/>
        </w:rPr>
        <w:t xml:space="preserve">&lt; 60 </w:t>
      </w:r>
      <w:r w:rsidRPr="00E8119A">
        <w:t>ml/</w:t>
      </w:r>
      <w:proofErr w:type="spellStart"/>
      <w:r w:rsidRPr="00E8119A">
        <w:t>min</w:t>
      </w:r>
      <w:proofErr w:type="spellEnd"/>
      <w:r w:rsidRPr="00E8119A">
        <w:t>/1</w:t>
      </w:r>
      <w:r w:rsidRPr="00E8119A">
        <w:rPr>
          <w:lang w:eastAsia="bg-BG"/>
        </w:rPr>
        <w:t>,73 m2) (вж. точки 4.5 и 5.1).</w:t>
      </w:r>
    </w:p>
    <w:p w14:paraId="3D2F5505" w14:textId="77777777" w:rsidR="00F07F0E" w:rsidRPr="00E8119A" w:rsidRDefault="00F07F0E" w:rsidP="00F07F0E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E8119A">
        <w:rPr>
          <w:lang w:eastAsia="bg-BG"/>
        </w:rPr>
        <w:t xml:space="preserve">Едновременна употреба със </w:t>
      </w:r>
      <w:proofErr w:type="spellStart"/>
      <w:r w:rsidRPr="00E8119A">
        <w:rPr>
          <w:lang w:eastAsia="bg-BG"/>
        </w:rPr>
        <w:t>сакубитрил</w:t>
      </w:r>
      <w:proofErr w:type="spellEnd"/>
      <w:r w:rsidRPr="00E8119A">
        <w:rPr>
          <w:lang w:eastAsia="bg-BG"/>
        </w:rPr>
        <w:t>/</w:t>
      </w:r>
      <w:proofErr w:type="spellStart"/>
      <w:r w:rsidRPr="00E8119A">
        <w:rPr>
          <w:lang w:eastAsia="bg-BG"/>
        </w:rPr>
        <w:t>валсартан</w:t>
      </w:r>
      <w:proofErr w:type="spellEnd"/>
      <w:r w:rsidRPr="00E8119A">
        <w:rPr>
          <w:lang w:eastAsia="bg-BG"/>
        </w:rPr>
        <w:t xml:space="preserve">. </w:t>
      </w:r>
      <w:proofErr w:type="spellStart"/>
      <w:r w:rsidRPr="00E8119A">
        <w:rPr>
          <w:lang w:eastAsia="bg-BG"/>
        </w:rPr>
        <w:t>Гоптен</w:t>
      </w:r>
      <w:proofErr w:type="spellEnd"/>
      <w:r w:rsidRPr="00E8119A">
        <w:rPr>
          <w:lang w:eastAsia="bg-BG"/>
        </w:rPr>
        <w:t xml:space="preserve"> не трябва да се започва по-рано от 36 часа след последната доза </w:t>
      </w:r>
      <w:proofErr w:type="spellStart"/>
      <w:r w:rsidRPr="00E8119A">
        <w:rPr>
          <w:lang w:eastAsia="bg-BG"/>
        </w:rPr>
        <w:t>сакубитрил</w:t>
      </w:r>
      <w:proofErr w:type="spellEnd"/>
      <w:r w:rsidRPr="00E8119A">
        <w:rPr>
          <w:lang w:eastAsia="bg-BG"/>
        </w:rPr>
        <w:t>/</w:t>
      </w:r>
      <w:proofErr w:type="spellStart"/>
      <w:r w:rsidRPr="00E8119A">
        <w:rPr>
          <w:lang w:eastAsia="bg-BG"/>
        </w:rPr>
        <w:t>валсартан</w:t>
      </w:r>
      <w:proofErr w:type="spellEnd"/>
      <w:r w:rsidRPr="00E8119A">
        <w:rPr>
          <w:lang w:eastAsia="bg-BG"/>
        </w:rPr>
        <w:t xml:space="preserve"> (вж. точки 4.4 и 4.5).</w:t>
      </w:r>
    </w:p>
    <w:p w14:paraId="72CC2F45" w14:textId="77777777" w:rsidR="00F07F0E" w:rsidRPr="00E8119A" w:rsidRDefault="00F07F0E" w:rsidP="00F07F0E"/>
    <w:p w14:paraId="0E0BDCC7" w14:textId="23420B04" w:rsidR="007122AD" w:rsidRPr="00E8119A" w:rsidRDefault="002C50EE" w:rsidP="00936AD0">
      <w:pPr>
        <w:pStyle w:val="Heading2"/>
      </w:pPr>
      <w:r w:rsidRPr="00E8119A">
        <w:t>4.4. Специални предупреждения и предпазни мерки при употреба</w:t>
      </w:r>
    </w:p>
    <w:p w14:paraId="37AD6182" w14:textId="118295E4" w:rsidR="00F07F0E" w:rsidRPr="00E8119A" w:rsidRDefault="00F07F0E" w:rsidP="00F07F0E"/>
    <w:p w14:paraId="31862FC4" w14:textId="77777777" w:rsidR="00F07F0E" w:rsidRPr="00E8119A" w:rsidRDefault="00F07F0E" w:rsidP="00F07F0E">
      <w:pPr>
        <w:spacing w:line="240" w:lineRule="auto"/>
        <w:rPr>
          <w:rFonts w:eastAsia="Times New Roman" w:cs="Arial"/>
        </w:rPr>
      </w:pPr>
      <w:proofErr w:type="spellStart"/>
      <w:r w:rsidRPr="00E8119A">
        <w:rPr>
          <w:rFonts w:eastAsia="Times New Roman" w:cs="Arial"/>
          <w:color w:val="000000"/>
          <w:lang w:eastAsia="bg-BG"/>
        </w:rPr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не трябва да се прилага при пациенти с аортна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стеноза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или изходяща обструкция.</w:t>
      </w:r>
    </w:p>
    <w:p w14:paraId="3D7AD17F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3E34D2C" w14:textId="4867497B" w:rsidR="00F07F0E" w:rsidRPr="00E8119A" w:rsidRDefault="00F07F0E" w:rsidP="00F07F0E">
      <w:pPr>
        <w:spacing w:line="240" w:lineRule="auto"/>
        <w:rPr>
          <w:rFonts w:eastAsia="Times New Roman" w:cs="Arial"/>
        </w:rPr>
      </w:pPr>
      <w:proofErr w:type="spellStart"/>
      <w:r w:rsidRPr="00E8119A">
        <w:rPr>
          <w:rFonts w:eastAsia="Times New Roman" w:cs="Arial"/>
          <w:color w:val="000000"/>
          <w:u w:val="single"/>
          <w:lang w:eastAsia="bg-BG"/>
        </w:rPr>
        <w:t>Анафилактоидни</w:t>
      </w:r>
      <w:proofErr w:type="spellEnd"/>
      <w:r w:rsidRPr="00E8119A">
        <w:rPr>
          <w:rFonts w:eastAsia="Times New Roman" w:cs="Arial"/>
          <w:color w:val="000000"/>
          <w:u w:val="single"/>
          <w:lang w:eastAsia="bg-BG"/>
        </w:rPr>
        <w:t xml:space="preserve"> и възможно свързани реакции</w:t>
      </w:r>
    </w:p>
    <w:p w14:paraId="0E89C54B" w14:textId="77777777" w:rsidR="00F07F0E" w:rsidRPr="00E8119A" w:rsidRDefault="00F07F0E" w:rsidP="00F07F0E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21431BA" w14:textId="2BC3B880" w:rsidR="00F07F0E" w:rsidRPr="00E8119A" w:rsidRDefault="00F07F0E" w:rsidP="00F07F0E">
      <w:pPr>
        <w:spacing w:line="240" w:lineRule="auto"/>
        <w:rPr>
          <w:rFonts w:eastAsia="Times New Roman" w:cs="Arial"/>
        </w:rPr>
      </w:pPr>
      <w:proofErr w:type="spellStart"/>
      <w:r w:rsidRPr="00E8119A">
        <w:rPr>
          <w:rFonts w:eastAsia="Times New Roman" w:cs="Arial"/>
          <w:i/>
          <w:iCs/>
          <w:color w:val="000000"/>
          <w:lang w:eastAsia="bg-BG"/>
        </w:rPr>
        <w:t>Десензибилизация</w:t>
      </w:r>
      <w:proofErr w:type="spellEnd"/>
    </w:p>
    <w:p w14:paraId="1BC494DF" w14:textId="77777777" w:rsidR="00F07F0E" w:rsidRPr="00E8119A" w:rsidRDefault="00F07F0E" w:rsidP="00F07F0E">
      <w:pPr>
        <w:spacing w:line="240" w:lineRule="auto"/>
        <w:rPr>
          <w:rFonts w:eastAsia="Times New Roman" w:cs="Arial"/>
        </w:rPr>
      </w:pPr>
      <w:proofErr w:type="spellStart"/>
      <w:r w:rsidRPr="00E8119A">
        <w:rPr>
          <w:rFonts w:eastAsia="Times New Roman" w:cs="Arial"/>
          <w:color w:val="000000"/>
          <w:lang w:eastAsia="bg-BG"/>
        </w:rPr>
        <w:lastRenderedPageBreak/>
        <w:t>Анафилактоидни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реакции (в някои случаи животозастрашаващи) могат да се развият при пациенти, получаващи лечение с АСЕ-инхибитор и едновременна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десензибилизация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срещу животински отрови.</w:t>
      </w:r>
    </w:p>
    <w:p w14:paraId="1D5399A8" w14:textId="77777777" w:rsidR="00F07F0E" w:rsidRPr="00E8119A" w:rsidRDefault="00F07F0E" w:rsidP="00F07F0E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F9002DB" w14:textId="566289F7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i/>
          <w:iCs/>
          <w:color w:val="000000"/>
          <w:lang w:eastAsia="bg-BG"/>
        </w:rPr>
        <w:t xml:space="preserve">Ниско </w:t>
      </w:r>
      <w:proofErr w:type="spellStart"/>
      <w:r w:rsidRPr="00E8119A">
        <w:rPr>
          <w:rFonts w:eastAsia="Times New Roman" w:cs="Arial"/>
          <w:i/>
          <w:iCs/>
          <w:color w:val="000000"/>
          <w:lang w:eastAsia="bg-BG"/>
        </w:rPr>
        <w:t>плътностна</w:t>
      </w:r>
      <w:proofErr w:type="spellEnd"/>
      <w:r w:rsidRPr="00E8119A">
        <w:rPr>
          <w:rFonts w:eastAsia="Times New Roman" w:cs="Arial"/>
          <w:i/>
          <w:iCs/>
          <w:color w:val="000000"/>
          <w:lang w:eastAsia="bg-BG"/>
        </w:rPr>
        <w:t xml:space="preserve"> </w:t>
      </w:r>
      <w:proofErr w:type="spellStart"/>
      <w:r w:rsidRPr="00E8119A">
        <w:rPr>
          <w:rFonts w:eastAsia="Times New Roman" w:cs="Arial"/>
          <w:i/>
          <w:iCs/>
          <w:color w:val="000000"/>
          <w:lang w:eastAsia="bg-BG"/>
        </w:rPr>
        <w:t>липопротеин</w:t>
      </w:r>
      <w:proofErr w:type="spellEnd"/>
      <w:r w:rsidRPr="00E8119A">
        <w:rPr>
          <w:rFonts w:eastAsia="Times New Roman" w:cs="Arial"/>
          <w:i/>
          <w:iCs/>
          <w:color w:val="000000"/>
          <w:lang w:eastAsia="bg-BG"/>
        </w:rPr>
        <w:t xml:space="preserve"> (</w:t>
      </w:r>
      <w:r w:rsidRPr="00E8119A">
        <w:rPr>
          <w:rFonts w:eastAsia="Times New Roman" w:cs="Arial"/>
          <w:i/>
          <w:iCs/>
          <w:color w:val="000000"/>
        </w:rPr>
        <w:t>LDL</w:t>
      </w:r>
      <w:r w:rsidRPr="00E8119A">
        <w:rPr>
          <w:rFonts w:eastAsia="Times New Roman" w:cs="Arial"/>
          <w:i/>
          <w:iCs/>
          <w:color w:val="000000"/>
          <w:lang w:eastAsia="bg-BG"/>
        </w:rPr>
        <w:t>)-</w:t>
      </w:r>
      <w:proofErr w:type="spellStart"/>
      <w:r w:rsidRPr="00E8119A">
        <w:rPr>
          <w:rFonts w:eastAsia="Times New Roman" w:cs="Arial"/>
          <w:i/>
          <w:iCs/>
          <w:color w:val="000000"/>
          <w:lang w:eastAsia="bg-BG"/>
        </w:rPr>
        <w:t>афереза</w:t>
      </w:r>
      <w:proofErr w:type="spellEnd"/>
    </w:p>
    <w:p w14:paraId="32CA6F37" w14:textId="77777777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 xml:space="preserve">Животозастрашаващите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анафилактоидни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реакции са забелязани, когато пациенти на </w:t>
      </w:r>
      <w:r w:rsidRPr="00E8119A">
        <w:rPr>
          <w:rFonts w:eastAsia="Times New Roman" w:cs="Arial"/>
          <w:color w:val="000000"/>
        </w:rPr>
        <w:t>LDL</w:t>
      </w:r>
      <w:r w:rsidRPr="00E8119A">
        <w:rPr>
          <w:rFonts w:eastAsia="Times New Roman" w:cs="Arial"/>
          <w:color w:val="000000"/>
          <w:lang w:eastAsia="bg-BG"/>
        </w:rPr>
        <w:t>-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афереза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приемат АСЕ-инхибитори по същото време.</w:t>
      </w:r>
    </w:p>
    <w:p w14:paraId="7DB7C284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B195ACA" w14:textId="2B3A7C1A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u w:val="single"/>
          <w:lang w:eastAsia="bg-BG"/>
        </w:rPr>
        <w:t>Увредена чернодробна функция</w:t>
      </w:r>
    </w:p>
    <w:p w14:paraId="36BCA7A3" w14:textId="77777777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 xml:space="preserve">Тъй като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се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метаболизира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до своя активен метаболит в черния дроб, при пациенти с увредена чернодробна функция е необходимо повишено внимание и наблюдение.</w:t>
      </w:r>
    </w:p>
    <w:p w14:paraId="6E80A90E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E77F127" w14:textId="0DAE3053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u w:val="single"/>
          <w:lang w:eastAsia="bg-BG"/>
        </w:rPr>
        <w:t>Симптоматична хипотония</w:t>
      </w:r>
    </w:p>
    <w:p w14:paraId="5A6B564F" w14:textId="77777777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 xml:space="preserve">При пациенти с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неусложнена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хипертония е наблюдавана рядко симптоматична хипотония след началната доза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както и след повишаване на дозата му. По-вероятно е тя да се появи при пациенти с дефицит на течности и сол при продължителна диуретична терапия, диетично ограничаване на солта, диализа, диария или повръщане. По тази причина при тези пациенти диуретичната терапия трябва да се спре и да се коригира дефицита на течности и сол преди началото на лечението с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>.</w:t>
      </w:r>
    </w:p>
    <w:p w14:paraId="028FA005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2DAF953" w14:textId="58E2742C" w:rsidR="00F07F0E" w:rsidRPr="00E8119A" w:rsidRDefault="00F07F0E" w:rsidP="00F07F0E">
      <w:pPr>
        <w:spacing w:line="240" w:lineRule="auto"/>
        <w:rPr>
          <w:rFonts w:eastAsia="Times New Roman" w:cs="Arial"/>
        </w:rPr>
      </w:pPr>
      <w:proofErr w:type="spellStart"/>
      <w:r w:rsidRPr="00E8119A">
        <w:rPr>
          <w:rFonts w:eastAsia="Times New Roman" w:cs="Arial"/>
          <w:color w:val="000000"/>
          <w:u w:val="single"/>
          <w:lang w:eastAsia="bg-BG"/>
        </w:rPr>
        <w:t>Агранулоцитоза</w:t>
      </w:r>
      <w:proofErr w:type="spellEnd"/>
      <w:r w:rsidRPr="00E8119A">
        <w:rPr>
          <w:rFonts w:eastAsia="Times New Roman" w:cs="Arial"/>
          <w:color w:val="000000"/>
          <w:u w:val="single"/>
          <w:lang w:eastAsia="bg-BG"/>
        </w:rPr>
        <w:t xml:space="preserve"> и костно-мозъчна </w:t>
      </w:r>
      <w:proofErr w:type="spellStart"/>
      <w:r w:rsidRPr="00E8119A">
        <w:rPr>
          <w:rFonts w:eastAsia="Times New Roman" w:cs="Arial"/>
          <w:color w:val="000000"/>
          <w:u w:val="single"/>
          <w:lang w:eastAsia="bg-BG"/>
        </w:rPr>
        <w:t>супресия</w:t>
      </w:r>
      <w:proofErr w:type="spellEnd"/>
    </w:p>
    <w:p w14:paraId="59BD0140" w14:textId="5AFA7FBC" w:rsidR="00F07F0E" w:rsidRPr="00E8119A" w:rsidRDefault="00F07F0E" w:rsidP="00F07F0E">
      <w:pPr>
        <w:rPr>
          <w:rFonts w:eastAsia="Times New Roman" w:cs="Arial"/>
          <w:color w:val="000000"/>
          <w:lang w:eastAsia="bg-BG"/>
        </w:rPr>
      </w:pPr>
      <w:r w:rsidRPr="00E8119A">
        <w:rPr>
          <w:rFonts w:eastAsia="Times New Roman" w:cs="Arial"/>
          <w:color w:val="000000"/>
          <w:lang w:eastAsia="bg-BG"/>
        </w:rPr>
        <w:t xml:space="preserve">При пациенти на лечение с АСЕ-инхибитори, са наблюдавани случаи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агранулоцитоза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и потискане на костно-мозъчната функция. Изглежда, че рискът за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неутропения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е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дозо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- и типово- свързан и зависи от клиничния статус на пациента. Тези реакции са по-чести при пациентите с бъбречно увреждане, особено такива със съдова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колагеноза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. Въпреки това е необходимо редовно проследяване броя на белите кръвни клетки и нивото на протеини в урината, при пациенти със съдова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колагеноза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(напр.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лупус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еритематозус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склеродермия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), особено придружени с нарушение на бъбречната функция и съпътстващо лечение, предимно с кортикостероиди 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антиметабилитни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средства. Това състояние е обратимо след прекъсване на АСЕ-инхибитора.</w:t>
      </w:r>
    </w:p>
    <w:p w14:paraId="570337AC" w14:textId="317BB34D" w:rsidR="00F07F0E" w:rsidRPr="00E8119A" w:rsidRDefault="00F07F0E" w:rsidP="00F07F0E">
      <w:pPr>
        <w:rPr>
          <w:rFonts w:eastAsia="Times New Roman" w:cs="Arial"/>
          <w:color w:val="000000"/>
          <w:lang w:eastAsia="bg-BG"/>
        </w:rPr>
      </w:pPr>
    </w:p>
    <w:p w14:paraId="030D7AFF" w14:textId="77777777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u w:val="single"/>
          <w:lang w:eastAsia="bg-BG"/>
        </w:rPr>
        <w:t>Ангиоедем</w:t>
      </w:r>
    </w:p>
    <w:p w14:paraId="3734410F" w14:textId="77777777" w:rsidR="00F07F0E" w:rsidRPr="00E8119A" w:rsidRDefault="00F07F0E" w:rsidP="00F07F0E">
      <w:pPr>
        <w:spacing w:line="240" w:lineRule="auto"/>
        <w:rPr>
          <w:rFonts w:eastAsia="Times New Roman" w:cs="Arial"/>
        </w:rPr>
      </w:pPr>
      <w:proofErr w:type="spellStart"/>
      <w:r w:rsidRPr="00E8119A">
        <w:rPr>
          <w:rFonts w:eastAsia="Times New Roman" w:cs="Arial"/>
          <w:color w:val="000000"/>
          <w:lang w:eastAsia="bg-BG"/>
        </w:rPr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може да причини ангиоедем, който включва подуване на лицето, крайниците, езика, глотиса и/или ларинкса. Доказано е, че АСЕ-инхибиторите причиняват ангиоедем в по-голяма степен при афроамериканци, отколкото при пациенти с не-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афроамерикански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произход.</w:t>
      </w:r>
    </w:p>
    <w:p w14:paraId="6A383FFC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AB0ADAC" w14:textId="79D13702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 xml:space="preserve">Докладван е и ангиоедем на червата при пациенти, лекувани с АСЕ-инхибитори. Това трябва да се има предвид при пациенти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е коремна болка (е или без гадене и повръщане).</w:t>
      </w:r>
    </w:p>
    <w:p w14:paraId="708CC433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7038C6F" w14:textId="0AFB94EB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 xml:space="preserve">Пациенти с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ангионевротичен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оток трябва незабавно да преустановят терапията с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и да бъдат наблюдавани до отзвучаване на отока.</w:t>
      </w:r>
    </w:p>
    <w:p w14:paraId="06AAED2C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E2F35D8" w14:textId="634FC7A5" w:rsidR="00F07F0E" w:rsidRPr="00E8119A" w:rsidRDefault="00F07F0E" w:rsidP="00F07F0E">
      <w:pPr>
        <w:spacing w:line="240" w:lineRule="auto"/>
        <w:rPr>
          <w:rFonts w:eastAsia="Times New Roman" w:cs="Arial"/>
        </w:rPr>
      </w:pPr>
      <w:proofErr w:type="spellStart"/>
      <w:r w:rsidRPr="00E8119A">
        <w:rPr>
          <w:rFonts w:eastAsia="Times New Roman" w:cs="Arial"/>
          <w:color w:val="000000"/>
          <w:lang w:eastAsia="bg-BG"/>
        </w:rPr>
        <w:t>Ангионевротичен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оток, ограничен до лицето, обикновено отзвучава спонтанно. Оток не само на лицето, но и на глотиса може да бъде живото-застрашаващ поради риска от обструкция на дихателните пътища.</w:t>
      </w:r>
    </w:p>
    <w:p w14:paraId="0C7E8AEA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4319028" w14:textId="6659577F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lastRenderedPageBreak/>
        <w:t xml:space="preserve">Съпътстващата употреба на АСЕ инхибитори със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сакубитрил</w:t>
      </w:r>
      <w:proofErr w:type="spellEnd"/>
      <w:r w:rsidRPr="00E8119A">
        <w:rPr>
          <w:rFonts w:eastAsia="Times New Roman" w:cs="Arial"/>
          <w:color w:val="000000"/>
          <w:lang w:eastAsia="bg-BG"/>
        </w:rPr>
        <w:t>/</w:t>
      </w:r>
      <w:proofErr w:type="spellStart"/>
      <w:r w:rsidRPr="00E8119A">
        <w:rPr>
          <w:rFonts w:eastAsia="Times New Roman" w:cs="Arial"/>
          <w:color w:val="000000"/>
          <w:lang w:eastAsia="bg-BG"/>
        </w:rPr>
        <w:t>валсартан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е противопоказана поради повишения риск от ангиоедем. Лечение със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сакубитрил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/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валсартан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не трябва да се започва по-</w:t>
      </w:r>
      <w:proofErr w:type="spellStart"/>
      <w:r w:rsidRPr="00E8119A">
        <w:rPr>
          <w:rFonts w:eastAsia="Times New Roman" w:cs="Arial"/>
          <w:color w:val="000000"/>
          <w:lang w:eastAsia="bg-BG"/>
        </w:rPr>
        <w:t>рьно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от 36 часа след последната доза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. Лечение с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не трябва да се започва по- рано от 36 часа след последната доза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сакубитрил</w:t>
      </w:r>
      <w:proofErr w:type="spellEnd"/>
      <w:r w:rsidRPr="00E8119A">
        <w:rPr>
          <w:rFonts w:eastAsia="Times New Roman" w:cs="Arial"/>
          <w:color w:val="000000"/>
          <w:lang w:eastAsia="bg-BG"/>
        </w:rPr>
        <w:t>/</w:t>
      </w:r>
      <w:proofErr w:type="spellStart"/>
      <w:r w:rsidRPr="00E8119A">
        <w:rPr>
          <w:rFonts w:eastAsia="Times New Roman" w:cs="Arial"/>
          <w:color w:val="000000"/>
          <w:lang w:eastAsia="bg-BG"/>
        </w:rPr>
        <w:t>валсартан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(вж. точки 4.3 и 4.5).</w:t>
      </w:r>
    </w:p>
    <w:p w14:paraId="47182ED3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C7455EE" w14:textId="6DA3FC6F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 xml:space="preserve">Съпътстващата употреба на АСЕ инхибитори с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рацекадотрил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E8119A">
        <w:rPr>
          <w:rFonts w:eastAsia="Times New Roman" w:cs="Arial"/>
          <w:color w:val="000000"/>
        </w:rPr>
        <w:t>mTOR</w:t>
      </w:r>
      <w:proofErr w:type="spellEnd"/>
      <w:r w:rsidRPr="00E8119A">
        <w:rPr>
          <w:rFonts w:eastAsia="Times New Roman" w:cs="Arial"/>
          <w:color w:val="000000"/>
        </w:rPr>
        <w:t xml:space="preserve"> </w:t>
      </w:r>
      <w:r w:rsidRPr="00E8119A">
        <w:rPr>
          <w:rFonts w:eastAsia="Times New Roman" w:cs="Arial"/>
          <w:color w:val="000000"/>
          <w:lang w:eastAsia="bg-BG"/>
        </w:rPr>
        <w:t xml:space="preserve">инхибитори (напр.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сиролимус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еверолимус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темсиролимус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) 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вилдаглиптин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може да доведе до повишен риск от ангиоедем (напр. оток на дихателните пътища или езика, със или без нарушение на дишането) (вж. точка 4.5). Необходимо е да се подходи с повишено внимание, когато се започва лечение с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рацекадотрил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E8119A">
        <w:rPr>
          <w:rFonts w:eastAsia="Times New Roman" w:cs="Arial"/>
          <w:color w:val="000000"/>
        </w:rPr>
        <w:t>mTOR</w:t>
      </w:r>
      <w:proofErr w:type="spellEnd"/>
      <w:r w:rsidRPr="00E8119A">
        <w:rPr>
          <w:rFonts w:eastAsia="Times New Roman" w:cs="Arial"/>
          <w:color w:val="000000"/>
        </w:rPr>
        <w:t xml:space="preserve"> </w:t>
      </w:r>
      <w:r w:rsidRPr="00E8119A">
        <w:rPr>
          <w:rFonts w:eastAsia="Times New Roman" w:cs="Arial"/>
          <w:color w:val="000000"/>
          <w:lang w:eastAsia="bg-BG"/>
        </w:rPr>
        <w:t xml:space="preserve">инхибитори (напр.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сиролимус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еверолимус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темсиролимус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) 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вилдаглиптин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при пациент, който вече приема АСЕ инхибитор.</w:t>
      </w:r>
    </w:p>
    <w:p w14:paraId="1500474E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61147A2" w14:textId="05C94247" w:rsidR="00F07F0E" w:rsidRPr="00E8119A" w:rsidRDefault="00F07F0E" w:rsidP="00F07F0E">
      <w:pPr>
        <w:spacing w:line="240" w:lineRule="auto"/>
        <w:rPr>
          <w:rFonts w:eastAsia="Times New Roman" w:cs="Arial"/>
        </w:rPr>
      </w:pPr>
      <w:proofErr w:type="spellStart"/>
      <w:r w:rsidRPr="00E8119A">
        <w:rPr>
          <w:rFonts w:eastAsia="Times New Roman" w:cs="Arial"/>
          <w:color w:val="000000"/>
          <w:lang w:eastAsia="bg-BG"/>
        </w:rPr>
        <w:t>Ангионевротичен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оток на езика, глотиса или ларинкса налага незабавно подкожно прилагане на 0,3-0,5 </w:t>
      </w:r>
      <w:r w:rsidRPr="00E8119A">
        <w:rPr>
          <w:rFonts w:eastAsia="Times New Roman" w:cs="Arial"/>
          <w:color w:val="000000"/>
        </w:rPr>
        <w:t xml:space="preserve">ml </w:t>
      </w:r>
      <w:r w:rsidRPr="00E8119A">
        <w:rPr>
          <w:rFonts w:eastAsia="Times New Roman" w:cs="Arial"/>
          <w:color w:val="000000"/>
          <w:lang w:eastAsia="bg-BG"/>
        </w:rPr>
        <w:t>разтвор на епинефрин (1:1000) заедно с други терапевтични мерки, които са подходящи.</w:t>
      </w:r>
    </w:p>
    <w:p w14:paraId="3FFA4997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FF5BFDB" w14:textId="46BC46F0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u w:val="single"/>
          <w:lang w:eastAsia="bg-BG"/>
        </w:rPr>
        <w:t xml:space="preserve">Пациенти с </w:t>
      </w:r>
      <w:proofErr w:type="spellStart"/>
      <w:r w:rsidRPr="00E8119A">
        <w:rPr>
          <w:rFonts w:eastAsia="Times New Roman" w:cs="Arial"/>
          <w:color w:val="000000"/>
          <w:u w:val="single"/>
          <w:lang w:eastAsia="bg-BG"/>
        </w:rPr>
        <w:t>реноваскуларна</w:t>
      </w:r>
      <w:proofErr w:type="spellEnd"/>
      <w:r w:rsidRPr="00E8119A">
        <w:rPr>
          <w:rFonts w:eastAsia="Times New Roman" w:cs="Arial"/>
          <w:color w:val="000000"/>
          <w:u w:val="single"/>
          <w:lang w:eastAsia="bg-BG"/>
        </w:rPr>
        <w:t xml:space="preserve"> хипертония</w:t>
      </w:r>
    </w:p>
    <w:p w14:paraId="71CE22A0" w14:textId="77777777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 xml:space="preserve">АСЕ-инхибитори могат да бъдат използвани до прилагане на процедура за излекуване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реноваскуларната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хипертония или в случаи, че процедурата не може да бъде извършена. Рискът от тежка артериална хипотония и бъбрена недостатъчност е увеличен, когато пациенти с предшестваща едностранна или двустранна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стеноза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на бъбречната артерия са на терапия с АСЕ- инхибитори.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Диуретиците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може да увеличат риска допълнително. Дори при малки промени в серумния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креатинин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може да има загуба на бъбречна функция дори при пациенти с едностранна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стеноза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на бъбречната артерия. При тези пациенти лечението трябва да бъде започнато с ниски дози с постепенно титриране на дозата в болнични условия под постоянно медицинско наблюдение. Диуретичната терапия трябва да бъде спряна и да се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мониторират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в началните седмици на лечението бъбречната функция и серумния калий.</w:t>
      </w:r>
    </w:p>
    <w:p w14:paraId="37D986F4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C134DD0" w14:textId="7FE60EFA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u w:val="single"/>
          <w:lang w:eastAsia="bg-BG"/>
        </w:rPr>
        <w:t>Общи</w:t>
      </w:r>
    </w:p>
    <w:p w14:paraId="5B9CD770" w14:textId="77777777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 xml:space="preserve">При някои пациенти, приемащи вече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диуретици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особено в началото на лечението, спадането на кръвното налягане може да бъде значително при започване на терапия с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>.</w:t>
      </w:r>
    </w:p>
    <w:p w14:paraId="3DF9F32F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B01CA57" w14:textId="2F1B1B7A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u w:val="single"/>
          <w:lang w:eastAsia="bg-BG"/>
        </w:rPr>
        <w:t>Бъбречно увреждане</w:t>
      </w:r>
    </w:p>
    <w:p w14:paraId="7EBC3F99" w14:textId="77777777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 xml:space="preserve">Пациенти с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креатининов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клирънс под 30 </w:t>
      </w:r>
      <w:r w:rsidRPr="00E8119A">
        <w:rPr>
          <w:rFonts w:eastAsia="Times New Roman" w:cs="Arial"/>
          <w:color w:val="000000"/>
        </w:rPr>
        <w:t>ml/</w:t>
      </w:r>
      <w:proofErr w:type="spellStart"/>
      <w:r w:rsidRPr="00E8119A">
        <w:rPr>
          <w:rFonts w:eastAsia="Times New Roman" w:cs="Arial"/>
          <w:color w:val="000000"/>
        </w:rPr>
        <w:t>min</w:t>
      </w:r>
      <w:proofErr w:type="spellEnd"/>
      <w:r w:rsidRPr="00E8119A">
        <w:rPr>
          <w:rFonts w:eastAsia="Times New Roman" w:cs="Arial"/>
          <w:color w:val="000000"/>
        </w:rPr>
        <w:t xml:space="preserve"> </w:t>
      </w:r>
      <w:r w:rsidRPr="00E8119A">
        <w:rPr>
          <w:rFonts w:eastAsia="Times New Roman" w:cs="Arial"/>
          <w:color w:val="000000"/>
          <w:lang w:eastAsia="bg-BG"/>
        </w:rPr>
        <w:t xml:space="preserve">могат да изискват намаляване на дозата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>; тяхната бъбречна функция трябва да се наблюдава внимателно.</w:t>
      </w:r>
    </w:p>
    <w:p w14:paraId="6222561D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6E0C22D" w14:textId="38F32013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 xml:space="preserve">При пациенти с бъбречна недостатъчност, застойна сърдечна недостатъчност или едностранна или двустранна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стеноза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на бъбречната артерия, единствен бъбрек или след бъбречна трансплантация съществува риск от увреждане на бъбречната функция. При някои пациенти с хипертония без очевидно предшестващо бъбречно заболяване може да се повишат кръвната урея и серумния</w:t>
      </w:r>
    </w:p>
    <w:p w14:paraId="549641FE" w14:textId="77777777" w:rsidR="00F07F0E" w:rsidRPr="00E8119A" w:rsidRDefault="00F07F0E" w:rsidP="00F07F0E">
      <w:pPr>
        <w:rPr>
          <w:rFonts w:eastAsia="Times New Roman" w:cs="Arial"/>
        </w:rPr>
      </w:pPr>
      <w:proofErr w:type="spellStart"/>
      <w:r w:rsidRPr="00E8119A">
        <w:rPr>
          <w:rFonts w:eastAsia="Times New Roman" w:cs="Arial"/>
          <w:color w:val="000000"/>
          <w:lang w:eastAsia="bg-BG"/>
        </w:rPr>
        <w:t>креатинин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когато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се прилага едновременно с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диуретик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. Може да се появи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протеинурия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особено при пациенти със съществуващо увреждане на бъбречната функция или при относително високи дози на АСЕ-инхибитори.</w:t>
      </w:r>
    </w:p>
    <w:p w14:paraId="13C33E0A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36E9A99" w14:textId="625937EC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u w:val="single"/>
          <w:lang w:eastAsia="bg-BG"/>
        </w:rPr>
        <w:t>Двойно блокиране на ренин-</w:t>
      </w:r>
      <w:proofErr w:type="spellStart"/>
      <w:r w:rsidRPr="00E8119A">
        <w:rPr>
          <w:rFonts w:eastAsia="Times New Roman" w:cs="Arial"/>
          <w:color w:val="000000"/>
          <w:u w:val="single"/>
          <w:lang w:eastAsia="bg-BG"/>
        </w:rPr>
        <w:t>ангиотензин</w:t>
      </w:r>
      <w:proofErr w:type="spellEnd"/>
      <w:r w:rsidRPr="00E8119A">
        <w:rPr>
          <w:rFonts w:eastAsia="Times New Roman" w:cs="Arial"/>
          <w:color w:val="000000"/>
          <w:u w:val="single"/>
          <w:lang w:eastAsia="bg-BG"/>
        </w:rPr>
        <w:t>-</w:t>
      </w:r>
      <w:proofErr w:type="spellStart"/>
      <w:r w:rsidRPr="00E8119A">
        <w:rPr>
          <w:rFonts w:eastAsia="Times New Roman" w:cs="Arial"/>
          <w:color w:val="000000"/>
          <w:u w:val="single"/>
          <w:lang w:eastAsia="bg-BG"/>
        </w:rPr>
        <w:t>алдостероновата</w:t>
      </w:r>
      <w:proofErr w:type="spellEnd"/>
      <w:r w:rsidRPr="00E8119A">
        <w:rPr>
          <w:rFonts w:eastAsia="Times New Roman" w:cs="Arial"/>
          <w:color w:val="000000"/>
          <w:u w:val="single"/>
          <w:lang w:eastAsia="bg-BG"/>
        </w:rPr>
        <w:t xml:space="preserve"> система (РААС)</w:t>
      </w:r>
    </w:p>
    <w:p w14:paraId="652D9395" w14:textId="77777777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 xml:space="preserve">Има данни, че едновременната употреба на АСЕ-инхибитори,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ангиотензин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П-рецепторни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блокери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алискирен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повишава риска от хипотония,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хиперкалиемия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и намаляване на </w:t>
      </w:r>
      <w:r w:rsidRPr="00E8119A">
        <w:rPr>
          <w:rFonts w:eastAsia="Times New Roman" w:cs="Arial"/>
          <w:color w:val="000000"/>
          <w:lang w:eastAsia="bg-BG"/>
        </w:rPr>
        <w:lastRenderedPageBreak/>
        <w:t xml:space="preserve">бъбречната функция (включително остра бъбречна недостатъчност). Поради това не се препоръчва двойно блокиране на РААС чрез комбинираната употреба на АСЕ-инхибитори,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ангиотензин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II- рецепторни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блокери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алискирен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(вж. точки 4.5 и 5,1).</w:t>
      </w:r>
    </w:p>
    <w:p w14:paraId="7930128F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0839738" w14:textId="442FCF4A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>Ако се прецени, че терапията с двойно блокиране е абсолютно необходима, това трябва да става само под наблюдението на специалист и при често внимателно мониториране на бъбречната функция, електролитите и кръвното налягане.</w:t>
      </w:r>
    </w:p>
    <w:p w14:paraId="260A753E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34CFBE2" w14:textId="4444FF7F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 xml:space="preserve">АСЕ-инхибитори 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ангиотензин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П-рецепторни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блокери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не трябва да се използват едновременно при пациенти с диабетна нефропатия.</w:t>
      </w:r>
    </w:p>
    <w:p w14:paraId="1B06AA20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B68044F" w14:textId="7A4097A6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u w:val="single"/>
          <w:lang w:eastAsia="bg-BG"/>
        </w:rPr>
        <w:t>Серумен калий</w:t>
      </w:r>
    </w:p>
    <w:p w14:paraId="107A4A9B" w14:textId="77777777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 xml:space="preserve">АСЕ инхибиторите могат да предизвикат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хиперкалиемия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тъй като инхибират освобождаването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алдостерон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. Ефектът обикновено не е значителен при пациенти с нормална бъбречна функция. При пациенти с нарушена бъбречна функция обаче и/или при пациенти, приемащи хранителни добавки, съдържащи калий (включително заместители на солта), калий-съхраняващи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диуретици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триметоприм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котримоксазол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известен също като три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мето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при м/</w:t>
      </w:r>
      <w:proofErr w:type="spellStart"/>
      <w:r w:rsidRPr="00E8119A">
        <w:rPr>
          <w:rFonts w:eastAsia="Times New Roman" w:cs="Arial"/>
          <w:color w:val="000000"/>
          <w:lang w:eastAsia="bg-BG"/>
        </w:rPr>
        <w:t>сулфаметоксазол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и особено антагонисти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алдостерона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ангиотензин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-рецепторни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блокери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може да възникне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хиперкалиемия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. Калий-съхраняващите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диуретици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ангиотензин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-рецепторните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блокери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трябва да се прилагат внимателно при пациенти, приемащи АСЕ инхибитори, като серумният калий и бъбречната функция трябва да се проследяват (вж. точка 4.5).</w:t>
      </w:r>
    </w:p>
    <w:p w14:paraId="06BDA92F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E8CD22F" w14:textId="69B959FA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u w:val="single"/>
          <w:lang w:eastAsia="bg-BG"/>
        </w:rPr>
        <w:t>Кашлица</w:t>
      </w:r>
    </w:p>
    <w:p w14:paraId="3B681F8E" w14:textId="77777777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>По време на лечението с АСЕ-инхибитор може да се появи суха и непродуктивна кашлица, която изчезва след прекратяване на терапията.</w:t>
      </w:r>
    </w:p>
    <w:p w14:paraId="490DD46D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48F5332" w14:textId="35102FFD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u w:val="single"/>
          <w:lang w:eastAsia="bg-BG"/>
        </w:rPr>
        <w:t>Хирургия/Анестезия</w:t>
      </w:r>
    </w:p>
    <w:p w14:paraId="29775904" w14:textId="77777777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 xml:space="preserve">При пациенти с хирургични интервенции или по време на анестезия с лекарства, намаляващи кръвното налягане,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може да блокира образуването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ангиотензин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II вторично на компенсаторното отделяне на ренин.</w:t>
      </w:r>
    </w:p>
    <w:p w14:paraId="07F71704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29EBC9A" w14:textId="329B396F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7EB64B17" w14:textId="77777777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 xml:space="preserve">Безопасността и ефикасността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при деца не е изследвана.</w:t>
      </w:r>
    </w:p>
    <w:p w14:paraId="408DCD02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26BA7D1" w14:textId="2D3AB711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u w:val="single"/>
          <w:lang w:eastAsia="bg-BG"/>
        </w:rPr>
        <w:t>Бременност</w:t>
      </w:r>
    </w:p>
    <w:p w14:paraId="6711DD82" w14:textId="77777777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>Терапия с АСЕ-инхибитори не трябва да се започва по време на бременност. Освен ако продължаване на лечението с АСЕ-инхибитори не се счита за крайно необходимо, терапията на пациентите, които планират забременяване, трябва да се смени с алтернативни антихипертензивни лекарствени средства с доказан профил на безопасност при употреба по време на бременност. При установяване на бременност лечението с АСЕ-инхибитори трябва да се спре незабавно и ако е подходящо, да се започне алтернативна терапия (вж. точки 4.3 и 4.6).</w:t>
      </w:r>
    </w:p>
    <w:p w14:paraId="36E5BC35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36BA33D" w14:textId="1AFEAAA8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u w:val="single"/>
          <w:lang w:eastAsia="bg-BG"/>
        </w:rPr>
        <w:t>Кърмещи майки</w:t>
      </w:r>
    </w:p>
    <w:p w14:paraId="43621AED" w14:textId="77777777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 xml:space="preserve">Поради това, че не е налична информация по отношение употребата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по време на кърмене,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не се препоръчва и алтернативни лечения с по-добре установен профил на безопасност по време на кърмене са за предпочитане, особено при кърмене на новородено или недоносено дете.</w:t>
      </w:r>
    </w:p>
    <w:p w14:paraId="0270FF72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8F0D865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  <w:r w:rsidRPr="00E8119A">
        <w:rPr>
          <w:rFonts w:eastAsia="Times New Roman" w:cs="Arial"/>
          <w:color w:val="000000"/>
          <w:u w:val="single"/>
          <w:lang w:eastAsia="bg-BG"/>
        </w:rPr>
        <w:t xml:space="preserve">Помощни вещества </w:t>
      </w:r>
    </w:p>
    <w:p w14:paraId="25AFBFAE" w14:textId="44046DB0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i/>
          <w:iCs/>
          <w:color w:val="000000"/>
          <w:lang w:eastAsia="bg-BG"/>
        </w:rPr>
        <w:lastRenderedPageBreak/>
        <w:t>Лактоза</w:t>
      </w:r>
    </w:p>
    <w:p w14:paraId="719A6770" w14:textId="4AAA9B45" w:rsidR="00F07F0E" w:rsidRPr="00E8119A" w:rsidRDefault="00F07F0E" w:rsidP="00F07F0E">
      <w:pPr>
        <w:rPr>
          <w:rFonts w:cs="Arial"/>
        </w:rPr>
      </w:pPr>
    </w:p>
    <w:p w14:paraId="6B32A026" w14:textId="77777777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 xml:space="preserve">Пациенти с редки наследствени проблеми на непоносимост към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галактоза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пълен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лактазен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дефицит или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глюкозо-галактозна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малабсорбция не трябва да приемат това лекарство.</w:t>
      </w:r>
    </w:p>
    <w:p w14:paraId="6CA7CDD5" w14:textId="77777777" w:rsidR="00F07F0E" w:rsidRPr="00E8119A" w:rsidRDefault="00F07F0E" w:rsidP="00F07F0E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036B9BC" w14:textId="324DC5BE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i/>
          <w:iCs/>
          <w:color w:val="000000"/>
          <w:lang w:eastAsia="bg-BG"/>
        </w:rPr>
        <w:t>Натрий</w:t>
      </w:r>
    </w:p>
    <w:p w14:paraId="1E801261" w14:textId="77777777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 xml:space="preserve">Това лекарство съдържа по-малко от 1 </w:t>
      </w:r>
      <w:proofErr w:type="spellStart"/>
      <w:r w:rsidRPr="00E8119A">
        <w:rPr>
          <w:rFonts w:eastAsia="Times New Roman" w:cs="Arial"/>
          <w:color w:val="000000"/>
        </w:rPr>
        <w:t>mmol</w:t>
      </w:r>
      <w:proofErr w:type="spellEnd"/>
      <w:r w:rsidRPr="00E8119A">
        <w:rPr>
          <w:rFonts w:eastAsia="Times New Roman" w:cs="Arial"/>
          <w:color w:val="000000"/>
        </w:rPr>
        <w:t xml:space="preserve"> </w:t>
      </w:r>
      <w:r w:rsidRPr="00E8119A">
        <w:rPr>
          <w:rFonts w:eastAsia="Times New Roman" w:cs="Arial"/>
          <w:color w:val="000000"/>
          <w:lang w:eastAsia="bg-BG"/>
        </w:rPr>
        <w:t xml:space="preserve">натрий (23 </w:t>
      </w:r>
      <w:proofErr w:type="spellStart"/>
      <w:r w:rsidRPr="00E8119A">
        <w:rPr>
          <w:rFonts w:eastAsia="Times New Roman" w:cs="Arial"/>
          <w:color w:val="000000"/>
        </w:rPr>
        <w:t>mg</w:t>
      </w:r>
      <w:proofErr w:type="spellEnd"/>
      <w:r w:rsidRPr="00E8119A">
        <w:rPr>
          <w:rFonts w:eastAsia="Times New Roman" w:cs="Arial"/>
          <w:color w:val="000000"/>
        </w:rPr>
        <w:t xml:space="preserve">) </w:t>
      </w:r>
      <w:r w:rsidRPr="00E8119A">
        <w:rPr>
          <w:rFonts w:eastAsia="Times New Roman" w:cs="Arial"/>
          <w:color w:val="000000"/>
          <w:lang w:eastAsia="bg-BG"/>
        </w:rPr>
        <w:t>на капсула, т.е. може да се каже, че практически не съдържа натрий.</w:t>
      </w:r>
    </w:p>
    <w:p w14:paraId="0E137438" w14:textId="77777777" w:rsidR="00F07F0E" w:rsidRPr="00E8119A" w:rsidRDefault="00F07F0E" w:rsidP="00F07F0E"/>
    <w:p w14:paraId="0734264C" w14:textId="15E6AAFF" w:rsidR="007122AD" w:rsidRPr="00E8119A" w:rsidRDefault="002C50EE" w:rsidP="00936AD0">
      <w:pPr>
        <w:pStyle w:val="Heading2"/>
      </w:pPr>
      <w:r w:rsidRPr="00E8119A">
        <w:t>4.5. Взаимодействие с други лекарствени продукти и други форми на</w:t>
      </w:r>
      <w:r w:rsidR="004F1CE7" w:rsidRPr="00E8119A">
        <w:t xml:space="preserve"> взаимодействие</w:t>
      </w:r>
      <w:r w:rsidRPr="00E8119A">
        <w:t xml:space="preserve"> </w:t>
      </w:r>
    </w:p>
    <w:p w14:paraId="4D3AB40E" w14:textId="601A587F" w:rsidR="00F07F0E" w:rsidRPr="00E8119A" w:rsidRDefault="00F07F0E" w:rsidP="00F07F0E"/>
    <w:p w14:paraId="7C9D45AD" w14:textId="77777777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u w:val="single"/>
          <w:lang w:eastAsia="bg-BG"/>
        </w:rPr>
        <w:t>Лекарства, повишаващи риска от ангиоедем</w:t>
      </w:r>
    </w:p>
    <w:p w14:paraId="3886EE04" w14:textId="77777777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 xml:space="preserve">Съпътстващата употреба на АСЕ инхибитори със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сакубитрил</w:t>
      </w:r>
      <w:proofErr w:type="spellEnd"/>
      <w:r w:rsidRPr="00E8119A">
        <w:rPr>
          <w:rFonts w:eastAsia="Times New Roman" w:cs="Arial"/>
          <w:color w:val="000000"/>
          <w:lang w:eastAsia="bg-BG"/>
        </w:rPr>
        <w:t>/</w:t>
      </w:r>
      <w:proofErr w:type="spellStart"/>
      <w:r w:rsidRPr="00E8119A">
        <w:rPr>
          <w:rFonts w:eastAsia="Times New Roman" w:cs="Arial"/>
          <w:color w:val="000000"/>
          <w:lang w:eastAsia="bg-BG"/>
        </w:rPr>
        <w:t>валсартан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е противопоказана, тъй като това повишава риска от ангиоедем (вж. точка 4.3 и 4.4).</w:t>
      </w:r>
    </w:p>
    <w:p w14:paraId="7860921A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B65E626" w14:textId="35F7A423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 xml:space="preserve">Съпътстващата употреба на АСЕ инхибитори с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рацекадотрил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E8119A">
        <w:rPr>
          <w:rFonts w:eastAsia="Times New Roman" w:cs="Arial"/>
          <w:color w:val="000000"/>
        </w:rPr>
        <w:t>mTOR</w:t>
      </w:r>
      <w:proofErr w:type="spellEnd"/>
      <w:r w:rsidRPr="00E8119A">
        <w:rPr>
          <w:rFonts w:eastAsia="Times New Roman" w:cs="Arial"/>
          <w:color w:val="000000"/>
        </w:rPr>
        <w:t xml:space="preserve"> </w:t>
      </w:r>
      <w:r w:rsidRPr="00E8119A">
        <w:rPr>
          <w:rFonts w:eastAsia="Times New Roman" w:cs="Arial"/>
          <w:color w:val="000000"/>
          <w:lang w:eastAsia="bg-BG"/>
        </w:rPr>
        <w:t xml:space="preserve">инхибитори (напр.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сиролимус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еверолимус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темсиролимус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) 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вилдаглиптин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може да доведе до повишен риск от ангиоедем (вж. точка 4.4).</w:t>
      </w:r>
    </w:p>
    <w:p w14:paraId="602992F5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F3AF959" w14:textId="5ED65938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u w:val="single"/>
          <w:lang w:eastAsia="bg-BG"/>
        </w:rPr>
        <w:t>Калий-</w:t>
      </w:r>
      <w:proofErr w:type="spellStart"/>
      <w:r w:rsidRPr="00E8119A">
        <w:rPr>
          <w:rFonts w:eastAsia="Times New Roman" w:cs="Arial"/>
          <w:color w:val="000000"/>
          <w:u w:val="single"/>
          <w:lang w:eastAsia="bg-BG"/>
        </w:rPr>
        <w:t>съхраняваши</w:t>
      </w:r>
      <w:proofErr w:type="spellEnd"/>
      <w:r w:rsidRPr="00E8119A">
        <w:rPr>
          <w:rFonts w:eastAsia="Times New Roman" w:cs="Arial"/>
          <w:color w:val="000000"/>
          <w:u w:val="single"/>
          <w:lang w:eastAsia="bg-BG"/>
        </w:rPr>
        <w:t xml:space="preserve"> </w:t>
      </w:r>
      <w:proofErr w:type="spellStart"/>
      <w:r w:rsidRPr="00E8119A">
        <w:rPr>
          <w:rFonts w:eastAsia="Times New Roman" w:cs="Arial"/>
          <w:color w:val="000000"/>
          <w:u w:val="single"/>
          <w:lang w:eastAsia="bg-BG"/>
        </w:rPr>
        <w:t>диуретици</w:t>
      </w:r>
      <w:proofErr w:type="spellEnd"/>
      <w:r w:rsidRPr="00E8119A">
        <w:rPr>
          <w:rFonts w:eastAsia="Times New Roman" w:cs="Arial"/>
          <w:color w:val="000000"/>
          <w:u w:val="single"/>
          <w:lang w:eastAsia="bg-BG"/>
        </w:rPr>
        <w:t>, хранителни добавки, съдържащи калий или калий-съдържащи заместители на солта</w:t>
      </w:r>
    </w:p>
    <w:p w14:paraId="147CB85B" w14:textId="77777777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 xml:space="preserve">Въпреки че серумният калий обикновено остава в рамките на нормалните граници, при някои пациенти, лекувани с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може да възникне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хиперкалиемия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. Употребата на калий- съхраняващи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диуретици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(напр.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спиронолактон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триамтерен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амилорид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), хранителни добавки, съдържащи калий или калий-съдържащи заместители на солта може да доведе до значително повишение на серумния калий. Трябва също да се внимава, когато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се прилага едновременно с други средства, които повишават серумния калий, като напр.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триметоприм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котримоксазол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(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триметоприм</w:t>
      </w:r>
      <w:proofErr w:type="spellEnd"/>
      <w:r w:rsidRPr="00E8119A">
        <w:rPr>
          <w:rFonts w:eastAsia="Times New Roman" w:cs="Arial"/>
          <w:color w:val="000000"/>
          <w:lang w:eastAsia="bg-BG"/>
        </w:rPr>
        <w:t>/</w:t>
      </w:r>
      <w:proofErr w:type="spellStart"/>
      <w:r w:rsidRPr="00E8119A">
        <w:rPr>
          <w:rFonts w:eastAsia="Times New Roman" w:cs="Arial"/>
          <w:color w:val="000000"/>
          <w:lang w:eastAsia="bg-BG"/>
        </w:rPr>
        <w:t>сулфаметоксазол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), тъй като е известно, че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триметоприм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действа като калий-съхраняващ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диуретик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подобно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амилорид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. Поради това не се препоръчва комбинирането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с гореспоменатите лекарства. Ако е показана съпътстваща употреба, те трябва да се използват с повишено внимание и при често проследяване на серумния калий.</w:t>
      </w:r>
    </w:p>
    <w:p w14:paraId="2DFADB0A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FB939A1" w14:textId="2BD1E2E9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u w:val="single"/>
          <w:lang w:eastAsia="bg-BG"/>
        </w:rPr>
        <w:t>Циклоспорин</w:t>
      </w:r>
    </w:p>
    <w:p w14:paraId="4FE47C4D" w14:textId="77777777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 xml:space="preserve">При съпътстваща употреба на АСЕ инхибитори с циклоспорин може да възникне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хиперкалиемия</w:t>
      </w:r>
      <w:proofErr w:type="spellEnd"/>
      <w:r w:rsidRPr="00E8119A">
        <w:rPr>
          <w:rFonts w:eastAsia="Times New Roman" w:cs="Arial"/>
          <w:color w:val="000000"/>
          <w:lang w:eastAsia="bg-BG"/>
        </w:rPr>
        <w:t>. Препоръчва се проследяване на серумния калий.</w:t>
      </w:r>
    </w:p>
    <w:p w14:paraId="3FEBC143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B817343" w14:textId="0BB1D2AC" w:rsidR="00F07F0E" w:rsidRPr="00E8119A" w:rsidRDefault="00F07F0E" w:rsidP="00F07F0E">
      <w:pPr>
        <w:spacing w:line="240" w:lineRule="auto"/>
        <w:rPr>
          <w:rFonts w:eastAsia="Times New Roman" w:cs="Arial"/>
        </w:rPr>
      </w:pPr>
      <w:proofErr w:type="spellStart"/>
      <w:r w:rsidRPr="00E8119A">
        <w:rPr>
          <w:rFonts w:eastAsia="Times New Roman" w:cs="Arial"/>
          <w:color w:val="000000"/>
          <w:u w:val="single"/>
          <w:lang w:eastAsia="bg-BG"/>
        </w:rPr>
        <w:t>Хепарин</w:t>
      </w:r>
      <w:proofErr w:type="spellEnd"/>
    </w:p>
    <w:p w14:paraId="002F8A4A" w14:textId="77777777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 xml:space="preserve">При съпътстваща употреба на АСЕ инхибитори с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хепарин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може да възникне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хиперкалиемия</w:t>
      </w:r>
      <w:proofErr w:type="spellEnd"/>
      <w:r w:rsidRPr="00E8119A">
        <w:rPr>
          <w:rFonts w:eastAsia="Times New Roman" w:cs="Arial"/>
          <w:color w:val="000000"/>
          <w:lang w:eastAsia="bg-BG"/>
        </w:rPr>
        <w:t>. Препоръчва се проследяване на серумния калий.</w:t>
      </w:r>
    </w:p>
    <w:p w14:paraId="164122F6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AD8EE28" w14:textId="52620AB2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u w:val="single"/>
          <w:lang w:eastAsia="bg-BG"/>
        </w:rPr>
        <w:t>Антидиабетни лекарствени продукти</w:t>
      </w:r>
    </w:p>
    <w:p w14:paraId="2F3553FE" w14:textId="77777777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>Както при всички АСЕ-инхибитори, едновременното приложение с антидиабетни лекарства (инсулин или перорални хипогликемични средства) може да доведе до повишаване на ефекта на понижаване на глюкозата и по-висок риск от хипогликемия.</w:t>
      </w:r>
    </w:p>
    <w:p w14:paraId="46C8FB40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BE408DF" w14:textId="5BE6F81B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u w:val="single"/>
          <w:lang w:eastAsia="bg-BG"/>
        </w:rPr>
        <w:t>Литий</w:t>
      </w:r>
    </w:p>
    <w:p w14:paraId="6635256E" w14:textId="77777777" w:rsidR="00F07F0E" w:rsidRPr="00E8119A" w:rsidRDefault="00F07F0E" w:rsidP="00F07F0E">
      <w:pPr>
        <w:spacing w:line="240" w:lineRule="auto"/>
        <w:rPr>
          <w:rFonts w:eastAsia="Times New Roman" w:cs="Arial"/>
        </w:rPr>
      </w:pPr>
      <w:proofErr w:type="spellStart"/>
      <w:r w:rsidRPr="00E8119A">
        <w:rPr>
          <w:rFonts w:eastAsia="Times New Roman" w:cs="Arial"/>
          <w:color w:val="000000"/>
          <w:lang w:eastAsia="bg-BG"/>
        </w:rPr>
        <w:lastRenderedPageBreak/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може да намали елиминирането на литий. Нивата на серумния литий трябва да бъдат наблюдавани.</w:t>
      </w:r>
    </w:p>
    <w:p w14:paraId="00F405B6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FE9E5AC" w14:textId="275B9F1E" w:rsidR="00F07F0E" w:rsidRPr="00E8119A" w:rsidRDefault="00F07F0E" w:rsidP="00F07F0E">
      <w:pPr>
        <w:spacing w:line="240" w:lineRule="auto"/>
        <w:rPr>
          <w:rFonts w:eastAsia="Times New Roman" w:cs="Arial"/>
        </w:rPr>
      </w:pPr>
      <w:proofErr w:type="spellStart"/>
      <w:r w:rsidRPr="00E8119A">
        <w:rPr>
          <w:rFonts w:eastAsia="Times New Roman" w:cs="Arial"/>
          <w:color w:val="000000"/>
          <w:u w:val="single"/>
          <w:lang w:eastAsia="bg-BG"/>
        </w:rPr>
        <w:t>Ангиотензин</w:t>
      </w:r>
      <w:proofErr w:type="spellEnd"/>
      <w:r w:rsidRPr="00E8119A">
        <w:rPr>
          <w:rFonts w:eastAsia="Times New Roman" w:cs="Arial"/>
          <w:color w:val="000000"/>
          <w:u w:val="single"/>
          <w:lang w:eastAsia="bg-BG"/>
        </w:rPr>
        <w:t xml:space="preserve"> </w:t>
      </w:r>
      <w:r w:rsidRPr="00E8119A">
        <w:rPr>
          <w:rFonts w:eastAsia="Times New Roman" w:cs="Arial"/>
          <w:color w:val="000000"/>
          <w:u w:val="single"/>
        </w:rPr>
        <w:t>II</w:t>
      </w:r>
      <w:r w:rsidRPr="00E8119A">
        <w:rPr>
          <w:rFonts w:eastAsia="Times New Roman" w:cs="Arial"/>
          <w:color w:val="000000"/>
          <w:u w:val="single"/>
          <w:lang w:eastAsia="bg-BG"/>
        </w:rPr>
        <w:t xml:space="preserve">-рецепторни </w:t>
      </w:r>
      <w:proofErr w:type="spellStart"/>
      <w:r w:rsidRPr="00E8119A">
        <w:rPr>
          <w:rFonts w:eastAsia="Times New Roman" w:cs="Arial"/>
          <w:color w:val="000000"/>
          <w:u w:val="single"/>
          <w:lang w:eastAsia="bg-BG"/>
        </w:rPr>
        <w:t>блокери</w:t>
      </w:r>
      <w:proofErr w:type="spellEnd"/>
      <w:r w:rsidRPr="00E8119A">
        <w:rPr>
          <w:rFonts w:eastAsia="Times New Roman" w:cs="Arial"/>
          <w:color w:val="000000"/>
          <w:u w:val="single"/>
          <w:lang w:eastAsia="bg-BG"/>
        </w:rPr>
        <w:t xml:space="preserve">, </w:t>
      </w:r>
      <w:proofErr w:type="spellStart"/>
      <w:r w:rsidRPr="00E8119A">
        <w:rPr>
          <w:rFonts w:eastAsia="Times New Roman" w:cs="Arial"/>
          <w:color w:val="000000"/>
          <w:u w:val="single"/>
          <w:lang w:eastAsia="bg-BG"/>
        </w:rPr>
        <w:t>Алискирен</w:t>
      </w:r>
      <w:proofErr w:type="spellEnd"/>
    </w:p>
    <w:p w14:paraId="6B1CC2DC" w14:textId="77777777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>Данни от клинични проучвания показват, че двойното блокиране на ренин-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ангиотензин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-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алдостероновата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система (РААС) чрез комбинираната употреба на АСЕ-инхибитори,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ангиотензин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П-рецепторни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блокери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алискирен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се свързва с по-висока честота на нежелани събития, като например хипотония,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хиперкалиемия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и намаляване на бъбречната функция (включително остра бъбречна недостатъчност), в сравнение с употребата само на едно лекарство, действащо върху РААС (вж. точки 4.3, 4.4 и 5.1)</w:t>
      </w:r>
    </w:p>
    <w:p w14:paraId="0C1E416B" w14:textId="77777777" w:rsidR="00F07F0E" w:rsidRPr="00E8119A" w:rsidRDefault="00F07F0E" w:rsidP="00F07F0E">
      <w:pPr>
        <w:spacing w:line="240" w:lineRule="auto"/>
        <w:rPr>
          <w:rFonts w:eastAsia="Times New Roman" w:cs="Arial"/>
          <w:smallCaps/>
          <w:color w:val="000000"/>
          <w:u w:val="single"/>
          <w:lang w:eastAsia="bg-BG"/>
        </w:rPr>
      </w:pPr>
    </w:p>
    <w:p w14:paraId="3111944C" w14:textId="2197F830" w:rsidR="00F07F0E" w:rsidRPr="00E8119A" w:rsidRDefault="00F07F0E" w:rsidP="00F07F0E">
      <w:pPr>
        <w:spacing w:line="240" w:lineRule="auto"/>
        <w:rPr>
          <w:rFonts w:eastAsia="Times New Roman" w:cs="Arial"/>
          <w:smallCaps/>
          <w:color w:val="000000"/>
          <w:u w:val="single"/>
          <w:lang w:eastAsia="bg-BG"/>
        </w:rPr>
      </w:pPr>
      <w:r w:rsidRPr="00E8119A">
        <w:rPr>
          <w:rFonts w:eastAsia="Times New Roman" w:cs="Arial"/>
          <w:smallCaps/>
          <w:color w:val="000000"/>
          <w:u w:val="single"/>
          <w:lang w:eastAsia="bg-BG"/>
        </w:rPr>
        <w:t>Други</w:t>
      </w:r>
    </w:p>
    <w:p w14:paraId="492CBFB3" w14:textId="205D2999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 xml:space="preserve">Докладвани са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анафилактоидни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реакции към високо-пропускливи поли-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акрило</w:t>
      </w:r>
      <w:proofErr w:type="spellEnd"/>
      <w:r w:rsidRPr="00E8119A">
        <w:rPr>
          <w:rFonts w:eastAsia="Times New Roman" w:cs="Arial"/>
          <w:color w:val="000000"/>
          <w:lang w:eastAsia="bg-BG"/>
        </w:rPr>
        <w:t>-</w:t>
      </w:r>
      <w:proofErr w:type="spellStart"/>
      <w:r w:rsidRPr="00E8119A">
        <w:rPr>
          <w:rFonts w:eastAsia="Times New Roman" w:cs="Arial"/>
          <w:color w:val="000000"/>
          <w:lang w:eastAsia="bg-BG"/>
        </w:rPr>
        <w:t>нитрилни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мембрани, прилагани при хемодиализа, при пациенти на АСЕ-инхибитори. Както и при други лекарства от този химичен клас, тази комбинация трябва да се избягва, когато се изписват АСЕ- инхибитори на пациенти на хемодиализа.</w:t>
      </w:r>
    </w:p>
    <w:p w14:paraId="2AE74DAC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4C30F1E" w14:textId="250E267D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 xml:space="preserve">Както при всички антихипертензивни лекарства, НСПВС (включително ацетилсалицилова киселина във високи дози, като противовъзпалително лекарство, например за облекчаване на болката) могат да намалят антихипертензивния ефект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. Трябва да се повиши наблюдението на кръвното налягане, когато се прибавя или се спира лечение с НСПВС при пациенти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>.</w:t>
      </w:r>
    </w:p>
    <w:p w14:paraId="5A27CA9D" w14:textId="77777777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 xml:space="preserve">НСПВС, включително ацетилсалициловата киселина, освен ако се използва в по-ниски дози като инхибитор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тромбоцитната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агрегация, трябва да се избягват при лечение с АСЕ инхибитори при пациенти със сърдечна недостатъчност.</w:t>
      </w:r>
    </w:p>
    <w:p w14:paraId="1750999E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394C546" w14:textId="069B852C" w:rsidR="00F07F0E" w:rsidRPr="00E8119A" w:rsidRDefault="00F07F0E" w:rsidP="00F07F0E">
      <w:pPr>
        <w:spacing w:line="240" w:lineRule="auto"/>
        <w:rPr>
          <w:rFonts w:eastAsia="Times New Roman" w:cs="Arial"/>
        </w:rPr>
      </w:pPr>
      <w:proofErr w:type="spellStart"/>
      <w:r w:rsidRPr="00E8119A">
        <w:rPr>
          <w:rFonts w:eastAsia="Times New Roman" w:cs="Arial"/>
          <w:color w:val="000000"/>
          <w:lang w:eastAsia="bg-BG"/>
        </w:rPr>
        <w:t>Хипотензивният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ефект на определени инхалатор ни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анестетици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може да бъде повишен от АСЕ- инхибиторите.</w:t>
      </w:r>
    </w:p>
    <w:p w14:paraId="5338CBAD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5F78D02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lang w:eastAsia="bg-BG"/>
        </w:rPr>
      </w:pPr>
      <w:proofErr w:type="spellStart"/>
      <w:r w:rsidRPr="00E8119A">
        <w:rPr>
          <w:rFonts w:eastAsia="Times New Roman" w:cs="Arial"/>
          <w:color w:val="000000"/>
          <w:lang w:eastAsia="bg-BG"/>
        </w:rPr>
        <w:t>Алопуринол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цитостатици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имуносупресори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кортикостероиди за системно приложение или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прокаинамид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може да повишат риска от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левкопения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в случай на едновременно приложение с </w:t>
      </w:r>
    </w:p>
    <w:p w14:paraId="3D60D8E9" w14:textId="44EA9233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>АСЕ-инхибитори.</w:t>
      </w:r>
    </w:p>
    <w:p w14:paraId="7E0BA9E5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76E2B40" w14:textId="34E987CE" w:rsidR="00F07F0E" w:rsidRPr="00E8119A" w:rsidRDefault="00F07F0E" w:rsidP="00F07F0E">
      <w:pPr>
        <w:spacing w:line="240" w:lineRule="auto"/>
        <w:rPr>
          <w:rFonts w:eastAsia="Times New Roman" w:cs="Arial"/>
        </w:rPr>
      </w:pPr>
      <w:proofErr w:type="spellStart"/>
      <w:r w:rsidRPr="00E8119A">
        <w:rPr>
          <w:rFonts w:eastAsia="Times New Roman" w:cs="Arial"/>
          <w:color w:val="000000"/>
          <w:lang w:eastAsia="bg-BG"/>
        </w:rPr>
        <w:t>Антиацидите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може да понижат бионаличността на АСЕ-инхибиторите.</w:t>
      </w:r>
    </w:p>
    <w:p w14:paraId="2CFC9E78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87E1076" w14:textId="2081C203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>Алкохолът повишава риска от хипотония.</w:t>
      </w:r>
    </w:p>
    <w:p w14:paraId="3C3516C9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74A7361" w14:textId="72582FF7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 xml:space="preserve">Антихипертензивните ефекти на АСЕ-инхибиторите може да бъдат понижени от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симпатикомиметиците</w:t>
      </w:r>
      <w:proofErr w:type="spellEnd"/>
      <w:r w:rsidRPr="00E8119A">
        <w:rPr>
          <w:rFonts w:eastAsia="Times New Roman" w:cs="Arial"/>
          <w:color w:val="000000"/>
          <w:lang w:eastAsia="bg-BG"/>
        </w:rPr>
        <w:t>, което налага внимателно проследяване на пациентите.</w:t>
      </w:r>
    </w:p>
    <w:p w14:paraId="38390D9E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E393B64" w14:textId="5BB7E0D4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 xml:space="preserve">Както и при другите антихипертензивни лекарства, комбинацията с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невролептици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или трициклични антидепресанти повишава риска от ортостатична хипотония.</w:t>
      </w:r>
    </w:p>
    <w:p w14:paraId="5750D248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4A81510" w14:textId="7FCC2FC0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 xml:space="preserve">Едновременното приложение на АСЕ-инхибитор и </w:t>
      </w:r>
      <w:proofErr w:type="spellStart"/>
      <w:r w:rsidRPr="00E8119A">
        <w:rPr>
          <w:rFonts w:eastAsia="Times New Roman" w:cs="Arial"/>
          <w:color w:val="000000"/>
        </w:rPr>
        <w:t>mTOR</w:t>
      </w:r>
      <w:proofErr w:type="spellEnd"/>
      <w:r w:rsidRPr="00E8119A">
        <w:rPr>
          <w:rFonts w:eastAsia="Times New Roman" w:cs="Arial"/>
          <w:color w:val="000000"/>
        </w:rPr>
        <w:t xml:space="preserve"> (</w:t>
      </w:r>
      <w:proofErr w:type="spellStart"/>
      <w:r w:rsidRPr="00E8119A">
        <w:rPr>
          <w:rFonts w:eastAsia="Times New Roman" w:cs="Arial"/>
          <w:i/>
          <w:iCs/>
          <w:color w:val="000000"/>
        </w:rPr>
        <w:t>mammalian</w:t>
      </w:r>
      <w:proofErr w:type="spellEnd"/>
      <w:r w:rsidRPr="00E8119A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E8119A">
        <w:rPr>
          <w:rFonts w:eastAsia="Times New Roman" w:cs="Arial"/>
          <w:i/>
          <w:iCs/>
          <w:color w:val="000000"/>
        </w:rPr>
        <w:t>target</w:t>
      </w:r>
      <w:proofErr w:type="spellEnd"/>
      <w:r w:rsidRPr="00E8119A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E8119A">
        <w:rPr>
          <w:rFonts w:eastAsia="Times New Roman" w:cs="Arial"/>
          <w:i/>
          <w:iCs/>
          <w:color w:val="000000"/>
        </w:rPr>
        <w:t>of</w:t>
      </w:r>
      <w:proofErr w:type="spellEnd"/>
      <w:r w:rsidRPr="00E8119A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E8119A">
        <w:rPr>
          <w:rFonts w:eastAsia="Times New Roman" w:cs="Arial"/>
          <w:i/>
          <w:iCs/>
          <w:color w:val="000000"/>
        </w:rPr>
        <w:t>rapamycin</w:t>
      </w:r>
      <w:proofErr w:type="spellEnd"/>
      <w:r w:rsidRPr="00E8119A">
        <w:rPr>
          <w:rFonts w:eastAsia="Times New Roman" w:cs="Arial"/>
          <w:i/>
          <w:iCs/>
          <w:color w:val="000000"/>
        </w:rPr>
        <w:t xml:space="preserve">) </w:t>
      </w:r>
      <w:r w:rsidRPr="00E8119A">
        <w:rPr>
          <w:rFonts w:eastAsia="Times New Roman" w:cs="Arial"/>
          <w:color w:val="000000"/>
          <w:lang w:eastAsia="bg-BG"/>
        </w:rPr>
        <w:t xml:space="preserve">инхибитор (напр. </w:t>
      </w:r>
      <w:proofErr w:type="spellStart"/>
      <w:r w:rsidRPr="00E8119A">
        <w:rPr>
          <w:rFonts w:eastAsia="Times New Roman" w:cs="Arial"/>
          <w:color w:val="000000"/>
        </w:rPr>
        <w:t>temsirolimus</w:t>
      </w:r>
      <w:proofErr w:type="spellEnd"/>
      <w:r w:rsidRPr="00E8119A">
        <w:rPr>
          <w:rFonts w:eastAsia="Times New Roman" w:cs="Arial"/>
          <w:color w:val="000000"/>
        </w:rPr>
        <w:t xml:space="preserve">, </w:t>
      </w:r>
      <w:proofErr w:type="spellStart"/>
      <w:r w:rsidRPr="00E8119A">
        <w:rPr>
          <w:rFonts w:eastAsia="Times New Roman" w:cs="Arial"/>
          <w:color w:val="000000"/>
        </w:rPr>
        <w:t>sirolimus</w:t>
      </w:r>
      <w:proofErr w:type="spellEnd"/>
      <w:r w:rsidRPr="00E8119A">
        <w:rPr>
          <w:rFonts w:eastAsia="Times New Roman" w:cs="Arial"/>
          <w:color w:val="000000"/>
        </w:rPr>
        <w:t xml:space="preserve">, </w:t>
      </w:r>
      <w:proofErr w:type="spellStart"/>
      <w:r w:rsidRPr="00E8119A">
        <w:rPr>
          <w:rFonts w:eastAsia="Times New Roman" w:cs="Arial"/>
          <w:color w:val="000000"/>
        </w:rPr>
        <w:t>everolimus</w:t>
      </w:r>
      <w:proofErr w:type="spellEnd"/>
      <w:r w:rsidRPr="00E8119A">
        <w:rPr>
          <w:rFonts w:eastAsia="Times New Roman" w:cs="Arial"/>
          <w:color w:val="000000"/>
        </w:rPr>
        <w:t xml:space="preserve">) </w:t>
      </w:r>
      <w:r w:rsidRPr="00E8119A">
        <w:rPr>
          <w:rFonts w:eastAsia="Times New Roman" w:cs="Arial"/>
          <w:color w:val="000000"/>
          <w:lang w:eastAsia="bg-BG"/>
        </w:rPr>
        <w:t>може да увеличи риска от ангиоедем (вж. точка 4.4).</w:t>
      </w:r>
    </w:p>
    <w:p w14:paraId="6011F7EC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F3CE751" w14:textId="52A005F9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 xml:space="preserve">Не са наблюдавани клинични взаимодействия при пациенти с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левокамерна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дисфункция след миокарден инфаркт, когато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е прилаган заедно с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тромболитици</w:t>
      </w:r>
      <w:proofErr w:type="spellEnd"/>
      <w:r w:rsidRPr="00E8119A">
        <w:rPr>
          <w:rFonts w:eastAsia="Times New Roman" w:cs="Arial"/>
          <w:color w:val="000000"/>
          <w:lang w:eastAsia="bg-BG"/>
        </w:rPr>
        <w:t>, ацетилсалицилова киселина, бета-</w:t>
      </w:r>
      <w:proofErr w:type="spellStart"/>
      <w:r w:rsidRPr="00E8119A">
        <w:rPr>
          <w:rFonts w:eastAsia="Times New Roman" w:cs="Arial"/>
          <w:color w:val="000000"/>
          <w:lang w:eastAsia="bg-BG"/>
        </w:rPr>
        <w:t>блокери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калциеви антагонисти, нитрати, </w:t>
      </w:r>
      <w:r w:rsidRPr="00E8119A">
        <w:rPr>
          <w:rFonts w:eastAsia="Times New Roman" w:cs="Arial"/>
          <w:color w:val="000000"/>
          <w:lang w:eastAsia="bg-BG"/>
        </w:rPr>
        <w:lastRenderedPageBreak/>
        <w:t xml:space="preserve">антикоагуланти или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дигоксин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. Не са намерени значими клинични взаимодействия между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циметидин</w:t>
      </w:r>
      <w:proofErr w:type="spellEnd"/>
      <w:r w:rsidRPr="00E8119A">
        <w:rPr>
          <w:rFonts w:eastAsia="Times New Roman" w:cs="Arial"/>
          <w:color w:val="000000"/>
          <w:lang w:eastAsia="bg-BG"/>
        </w:rPr>
        <w:t>.</w:t>
      </w:r>
    </w:p>
    <w:p w14:paraId="4E798A51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E830CD4" w14:textId="6834D919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 xml:space="preserve">Злато: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Нитритоидни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реакции (симптомите включват зачервяване на лицето, гадене, повръщане и хипотония) са били докладвани рядко при пациенти на лечение с инжекционно злато (натриев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ауротиомалат</w:t>
      </w:r>
      <w:proofErr w:type="spellEnd"/>
      <w:r w:rsidRPr="00E8119A">
        <w:rPr>
          <w:rFonts w:eastAsia="Times New Roman" w:cs="Arial"/>
          <w:color w:val="000000"/>
          <w:lang w:eastAsia="bg-BG"/>
        </w:rPr>
        <w:t>) и придружаваща терапия с АСЕ инхибитор.</w:t>
      </w:r>
    </w:p>
    <w:p w14:paraId="024FF5E8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4900B56" w14:textId="304FD94C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u w:val="single"/>
          <w:lang w:eastAsia="bg-BG"/>
        </w:rPr>
        <w:t>Специални популации</w:t>
      </w:r>
    </w:p>
    <w:p w14:paraId="050FD8C8" w14:textId="47EB7E0F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4BFC31C5" w14:textId="77777777" w:rsidR="00F07F0E" w:rsidRPr="00E8119A" w:rsidRDefault="00F07F0E" w:rsidP="00F07F0E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>Проучвания за взаимодействия са провеждани само при възрастни.</w:t>
      </w:r>
    </w:p>
    <w:p w14:paraId="6DC1F10D" w14:textId="5E191124" w:rsidR="00F07F0E" w:rsidRPr="00E8119A" w:rsidRDefault="00F07F0E" w:rsidP="00F07F0E"/>
    <w:p w14:paraId="5D9F40EA" w14:textId="02B38BC4" w:rsidR="007122AD" w:rsidRPr="00E8119A" w:rsidRDefault="002C50EE" w:rsidP="00936AD0">
      <w:pPr>
        <w:pStyle w:val="Heading2"/>
      </w:pPr>
      <w:r w:rsidRPr="00E8119A">
        <w:t>4.6. Фертилитет, бременност и кърмене</w:t>
      </w:r>
    </w:p>
    <w:p w14:paraId="3D059114" w14:textId="199B92EC" w:rsidR="00F07F0E" w:rsidRPr="00E8119A" w:rsidRDefault="00F07F0E" w:rsidP="00F07F0E"/>
    <w:p w14:paraId="6A268C33" w14:textId="77777777" w:rsidR="00F07F0E" w:rsidRPr="00E8119A" w:rsidRDefault="00F07F0E" w:rsidP="00F07F0E">
      <w:pPr>
        <w:pStyle w:val="Heading3"/>
        <w:rPr>
          <w:rFonts w:eastAsia="Times New Roman"/>
          <w:u w:val="single"/>
        </w:rPr>
      </w:pPr>
      <w:r w:rsidRPr="00E8119A">
        <w:rPr>
          <w:rFonts w:eastAsia="Times New Roman"/>
          <w:u w:val="single"/>
          <w:lang w:eastAsia="bg-BG"/>
        </w:rPr>
        <w:t>Бременност</w:t>
      </w:r>
    </w:p>
    <w:p w14:paraId="63DD7770" w14:textId="77777777" w:rsidR="00F07F0E" w:rsidRPr="00E8119A" w:rsidRDefault="00F07F0E" w:rsidP="00F07F0E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>Употребата на АСЕ-инхибитори през първия триместър на бременността не се</w:t>
      </w:r>
      <w:r w:rsidRPr="00E8119A">
        <w:rPr>
          <w:rFonts w:eastAsia="Times New Roman" w:cs="Arial"/>
          <w:color w:val="000000"/>
        </w:rPr>
        <w:t xml:space="preserve"> </w:t>
      </w:r>
      <w:r w:rsidRPr="00E8119A">
        <w:rPr>
          <w:rFonts w:eastAsia="Times New Roman" w:cs="Arial"/>
          <w:color w:val="000000"/>
          <w:lang w:eastAsia="bg-BG"/>
        </w:rPr>
        <w:t>препоръчва (вж.</w:t>
      </w:r>
    </w:p>
    <w:p w14:paraId="423BE7A4" w14:textId="77777777" w:rsidR="00F07F0E" w:rsidRPr="00E8119A" w:rsidRDefault="00F07F0E" w:rsidP="00F07F0E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>точка 4.4). Употребата на АСЕ-инхибитори е противопоказана по време на 2 и 3 триместър на</w:t>
      </w:r>
    </w:p>
    <w:p w14:paraId="00602C5F" w14:textId="1B3CFE1D" w:rsidR="00F07F0E" w:rsidRPr="00E8119A" w:rsidRDefault="00F07F0E" w:rsidP="00F07F0E">
      <w:pPr>
        <w:rPr>
          <w:rFonts w:eastAsia="Times New Roman" w:cs="Arial"/>
          <w:color w:val="000000"/>
          <w:lang w:eastAsia="bg-BG"/>
        </w:rPr>
      </w:pPr>
      <w:r w:rsidRPr="00E8119A">
        <w:rPr>
          <w:rFonts w:eastAsia="Times New Roman" w:cs="Arial"/>
          <w:color w:val="000000"/>
          <w:lang w:eastAsia="bg-BG"/>
        </w:rPr>
        <w:t>бременността (вж. точки 4.3 и 4.4).</w:t>
      </w:r>
    </w:p>
    <w:p w14:paraId="0DED529D" w14:textId="64870DBA" w:rsidR="00F07F0E" w:rsidRPr="00E8119A" w:rsidRDefault="00F07F0E" w:rsidP="00F07F0E">
      <w:pPr>
        <w:rPr>
          <w:rFonts w:eastAsia="Times New Roman" w:cs="Arial"/>
          <w:color w:val="000000"/>
          <w:lang w:eastAsia="bg-BG"/>
        </w:rPr>
      </w:pPr>
    </w:p>
    <w:p w14:paraId="4D9149C7" w14:textId="77777777" w:rsidR="00F07F0E" w:rsidRPr="00E8119A" w:rsidRDefault="00F07F0E" w:rsidP="00F07F0E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 xml:space="preserve">Епидемиологичните доказателства за риск от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тератогенност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след експозиция с АСЕ-инхибитори по време на първия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триместьр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на бременността не са убедителни; въпреки това леко повишаване на риска не може да се изключи. Лечението на пациентите, планиращи бременност трябва бъде сменено с алтернативно антихипертензивно лечение с установен профил на безопасност по време на бременност, освен ако продължаването на терапията с АСЕ-инхибитори не се счита за крайно необходимо. Когато се диагностицира бременност, лечението с АСЕ-инхибитори трябва да се спре незабавно и ако е подходящо, да се започне друго алтернативно лечение.</w:t>
      </w:r>
    </w:p>
    <w:p w14:paraId="46E5E047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9C84656" w14:textId="0FEE6002" w:rsidR="00F07F0E" w:rsidRPr="00E8119A" w:rsidRDefault="00F07F0E" w:rsidP="00F07F0E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 xml:space="preserve">Експозиция с АСЕ-инхибитори по време на втория и третия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триместьр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е известно, че индуцира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фетотоксичност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при хора (намалена бъбречна функция,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олигохидрамнион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забавяне на черепната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осификация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) 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неонатална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токсичност (бъбречна недостатъчност, хипотония,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хиперкалиемия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). Ако експозицията е настъпила от втория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триместьр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на бременността, се препоръчва ултразвуков преглед на бъбречната функция и черепа. Новородени, чиито майки са приемали АСЕ-инхибитори трябва да бъдат наблюдавани внимателно за хипотония.</w:t>
      </w:r>
    </w:p>
    <w:p w14:paraId="31972EE2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33F326C" w14:textId="39DB6AA6" w:rsidR="00F07F0E" w:rsidRPr="00E8119A" w:rsidRDefault="00F07F0E" w:rsidP="00F07F0E">
      <w:pPr>
        <w:pStyle w:val="Heading3"/>
        <w:rPr>
          <w:rFonts w:eastAsia="Times New Roman"/>
          <w:u w:val="single"/>
        </w:rPr>
      </w:pPr>
      <w:r w:rsidRPr="00E8119A">
        <w:rPr>
          <w:rFonts w:eastAsia="Times New Roman"/>
          <w:u w:val="single"/>
          <w:lang w:eastAsia="bg-BG"/>
        </w:rPr>
        <w:t>Кърмене</w:t>
      </w:r>
    </w:p>
    <w:p w14:paraId="5A7E49A0" w14:textId="77777777" w:rsidR="00F07F0E" w:rsidRPr="00E8119A" w:rsidRDefault="00F07F0E" w:rsidP="00F07F0E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 xml:space="preserve">Тъй като няма информация за приложението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по време на кърмене,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не се препоръчва през този период. За предпочитане са алтернативни лекарства с по-добре установен профил на безопасност, особено при кърмене на новородени или недоносени деца.</w:t>
      </w:r>
    </w:p>
    <w:p w14:paraId="2C26775B" w14:textId="77777777" w:rsidR="00F07F0E" w:rsidRPr="00E8119A" w:rsidRDefault="00F07F0E" w:rsidP="00F07F0E"/>
    <w:p w14:paraId="5DD7A76D" w14:textId="0D20ABB5" w:rsidR="007122AD" w:rsidRPr="00E8119A" w:rsidRDefault="002C50EE" w:rsidP="00936AD0">
      <w:pPr>
        <w:pStyle w:val="Heading2"/>
      </w:pPr>
      <w:r w:rsidRPr="00E8119A">
        <w:t>4.7. Ефекти върху способността за шофиране и работа с машини</w:t>
      </w:r>
    </w:p>
    <w:p w14:paraId="3967F7C6" w14:textId="64994989" w:rsidR="00F07F0E" w:rsidRPr="00E8119A" w:rsidRDefault="00F07F0E" w:rsidP="00F07F0E"/>
    <w:p w14:paraId="4CBC7F9E" w14:textId="77777777" w:rsidR="00F07F0E" w:rsidRPr="00E8119A" w:rsidRDefault="00F07F0E" w:rsidP="00F07F0E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E8119A">
        <w:rPr>
          <w:rFonts w:eastAsia="Times New Roman" w:cs="Arial"/>
          <w:color w:val="000000"/>
          <w:lang w:eastAsia="bg-BG"/>
        </w:rPr>
        <w:t>Фармокологичните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свойства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не предполагат появата на подобни ефекти. Въпреки това, при някои индивиди, АСЕ-инхибиторите може да повлияят способността за шофиране или работа с машини, особено в началото на лечението, при преминаването от едно към друго лечение или при едновременния прием на алкохол. Ето защо, не се </w:t>
      </w:r>
      <w:r w:rsidRPr="00E8119A">
        <w:rPr>
          <w:rFonts w:eastAsia="Times New Roman" w:cs="Arial"/>
          <w:color w:val="000000"/>
          <w:lang w:eastAsia="bg-BG"/>
        </w:rPr>
        <w:lastRenderedPageBreak/>
        <w:t>препоръчва шофиране или работа с машини няколко часа след първата доза или последващото повишаване на дозата.</w:t>
      </w:r>
    </w:p>
    <w:p w14:paraId="67A6E81B" w14:textId="77777777" w:rsidR="00F07F0E" w:rsidRPr="00E8119A" w:rsidRDefault="00F07F0E" w:rsidP="00F07F0E"/>
    <w:p w14:paraId="44CE30A3" w14:textId="286D3BF1" w:rsidR="007122AD" w:rsidRPr="00E8119A" w:rsidRDefault="002C50EE" w:rsidP="00936AD0">
      <w:pPr>
        <w:pStyle w:val="Heading2"/>
      </w:pPr>
      <w:r w:rsidRPr="00E8119A">
        <w:t>4.8. Нежелани лекарствени реакции</w:t>
      </w:r>
    </w:p>
    <w:p w14:paraId="01A15516" w14:textId="2549D9E0" w:rsidR="00F07F0E" w:rsidRPr="00E8119A" w:rsidRDefault="00F07F0E" w:rsidP="00F07F0E"/>
    <w:p w14:paraId="3B737CBF" w14:textId="77777777" w:rsidR="00F07F0E" w:rsidRPr="00E8119A" w:rsidRDefault="00F07F0E" w:rsidP="00F07F0E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u w:val="single"/>
          <w:lang w:eastAsia="bg-BG"/>
        </w:rPr>
        <w:t>Табличен списък на нежелани лекарствени реакции</w:t>
      </w:r>
    </w:p>
    <w:p w14:paraId="58857989" w14:textId="77777777" w:rsidR="00F07F0E" w:rsidRPr="00E8119A" w:rsidRDefault="00F07F0E" w:rsidP="00F07F0E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>Изброените нежелани лекарствени реакции са били докладвани по време на клиничната фаза, пост маркетингово наблюдение или фаза IV на клинични изпитвания.</w:t>
      </w:r>
    </w:p>
    <w:p w14:paraId="652B4619" w14:textId="77777777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39467EC" w14:textId="40FA7571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E8119A">
        <w:rPr>
          <w:rFonts w:eastAsia="Times New Roman" w:cs="Arial"/>
          <w:color w:val="000000"/>
          <w:lang w:eastAsia="bg-BG"/>
        </w:rPr>
        <w:t>Следните конвенции се използват за определяне на честотата: много чести (≥1/10); чести (≥1/100 до &lt;1/10); нечести (≥1/1 000 до &lt;1/100); редки (≥1/10 000 до &lt;1/1 000); много редки (&lt;1/10 000). Когато от наличните данни не може да се определи честотата: с неизвестна честота (от наличните данни не може да бъде направена оценка).</w:t>
      </w:r>
    </w:p>
    <w:p w14:paraId="637837E8" w14:textId="1605A08B" w:rsidR="00F07F0E" w:rsidRPr="00E8119A" w:rsidRDefault="00F07F0E" w:rsidP="00F07F0E">
      <w:pPr>
        <w:spacing w:line="240" w:lineRule="auto"/>
        <w:rPr>
          <w:rFonts w:eastAsia="Times New Roman" w:cs="Arial"/>
          <w:color w:val="000000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3"/>
        <w:gridCol w:w="1010"/>
        <w:gridCol w:w="1285"/>
        <w:gridCol w:w="1981"/>
        <w:gridCol w:w="1520"/>
        <w:gridCol w:w="2181"/>
      </w:tblGrid>
      <w:tr w:rsidR="00154E9A" w:rsidRPr="00E8119A" w14:paraId="5CA0CE78" w14:textId="77777777" w:rsidTr="00154E9A">
        <w:tc>
          <w:tcPr>
            <w:tcW w:w="1502" w:type="dxa"/>
            <w:vAlign w:val="bottom"/>
          </w:tcPr>
          <w:p w14:paraId="51466A1F" w14:textId="79D60C79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E8119A">
              <w:rPr>
                <w:b/>
                <w:bCs/>
              </w:rPr>
              <w:t>MedDRA</w:t>
            </w:r>
            <w:proofErr w:type="spellEnd"/>
            <w:r w:rsidRPr="00E8119A">
              <w:rPr>
                <w:b/>
                <w:bCs/>
              </w:rPr>
              <w:t xml:space="preserve">- база данни на </w:t>
            </w:r>
            <w:proofErr w:type="spellStart"/>
            <w:r w:rsidRPr="00E8119A">
              <w:rPr>
                <w:b/>
                <w:bCs/>
              </w:rPr>
              <w:t>системо</w:t>
            </w:r>
            <w:proofErr w:type="spellEnd"/>
            <w:r w:rsidRPr="00E8119A">
              <w:rPr>
                <w:b/>
                <w:bCs/>
              </w:rPr>
              <w:t>- органни класове</w:t>
            </w:r>
          </w:p>
        </w:tc>
        <w:tc>
          <w:tcPr>
            <w:tcW w:w="1190" w:type="dxa"/>
          </w:tcPr>
          <w:p w14:paraId="156214CF" w14:textId="23A96955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rPr>
                <w:b/>
                <w:bCs/>
              </w:rPr>
              <w:t>Чести</w:t>
            </w:r>
          </w:p>
        </w:tc>
        <w:tc>
          <w:tcPr>
            <w:tcW w:w="1408" w:type="dxa"/>
          </w:tcPr>
          <w:p w14:paraId="6EC5121A" w14:textId="353AA098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rPr>
                <w:b/>
                <w:bCs/>
              </w:rPr>
              <w:t>Нечести</w:t>
            </w:r>
          </w:p>
        </w:tc>
        <w:tc>
          <w:tcPr>
            <w:tcW w:w="2127" w:type="dxa"/>
          </w:tcPr>
          <w:p w14:paraId="19546589" w14:textId="252FC255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rPr>
                <w:b/>
                <w:bCs/>
              </w:rPr>
              <w:t>Редки</w:t>
            </w:r>
          </w:p>
        </w:tc>
        <w:tc>
          <w:tcPr>
            <w:tcW w:w="1369" w:type="dxa"/>
          </w:tcPr>
          <w:p w14:paraId="55C7F66F" w14:textId="343F0BEC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rPr>
                <w:b/>
                <w:bCs/>
                <w:u w:val="single"/>
              </w:rPr>
              <w:t>Много редки</w:t>
            </w:r>
          </w:p>
        </w:tc>
        <w:tc>
          <w:tcPr>
            <w:tcW w:w="1980" w:type="dxa"/>
          </w:tcPr>
          <w:p w14:paraId="7345ECF8" w14:textId="71B93CCA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rPr>
                <w:b/>
                <w:bCs/>
                <w:u w:val="single"/>
              </w:rPr>
              <w:t>С неизвестна честота</w:t>
            </w:r>
          </w:p>
        </w:tc>
      </w:tr>
      <w:tr w:rsidR="00154E9A" w:rsidRPr="00E8119A" w14:paraId="29D07840" w14:textId="77777777" w:rsidTr="00154E9A">
        <w:tc>
          <w:tcPr>
            <w:tcW w:w="1502" w:type="dxa"/>
          </w:tcPr>
          <w:p w14:paraId="201DAC7C" w14:textId="6A5E0C56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t xml:space="preserve">Инфекции и </w:t>
            </w:r>
            <w:proofErr w:type="spellStart"/>
            <w:r w:rsidRPr="00E8119A">
              <w:t>инфестации</w:t>
            </w:r>
            <w:proofErr w:type="spellEnd"/>
          </w:p>
        </w:tc>
        <w:tc>
          <w:tcPr>
            <w:tcW w:w="1190" w:type="dxa"/>
          </w:tcPr>
          <w:p w14:paraId="2D6ED130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408" w:type="dxa"/>
            <w:vAlign w:val="bottom"/>
          </w:tcPr>
          <w:p w14:paraId="0F5BE480" w14:textId="350C424B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t>Инфекции на горни дихателни пътища</w:t>
            </w:r>
          </w:p>
        </w:tc>
        <w:tc>
          <w:tcPr>
            <w:tcW w:w="2127" w:type="dxa"/>
            <w:vAlign w:val="bottom"/>
          </w:tcPr>
          <w:p w14:paraId="5359AF9B" w14:textId="3258052C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t xml:space="preserve">Инфекции на </w:t>
            </w:r>
            <w:proofErr w:type="spellStart"/>
            <w:r w:rsidRPr="00E8119A">
              <w:t>уринарен</w:t>
            </w:r>
            <w:proofErr w:type="spellEnd"/>
            <w:r w:rsidRPr="00E8119A">
              <w:t xml:space="preserve"> тракт, бронхит, фарингит</w:t>
            </w:r>
          </w:p>
        </w:tc>
        <w:tc>
          <w:tcPr>
            <w:tcW w:w="1369" w:type="dxa"/>
          </w:tcPr>
          <w:p w14:paraId="32B2B47C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CC2D776" w14:textId="75CB3F39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t xml:space="preserve">Синузит*, ри нит*, </w:t>
            </w:r>
            <w:proofErr w:type="spellStart"/>
            <w:r w:rsidRPr="00E8119A">
              <w:t>глосит</w:t>
            </w:r>
            <w:proofErr w:type="spellEnd"/>
            <w:r w:rsidRPr="00E8119A">
              <w:t>*</w:t>
            </w:r>
          </w:p>
        </w:tc>
      </w:tr>
      <w:tr w:rsidR="00154E9A" w:rsidRPr="00E8119A" w14:paraId="72946EAB" w14:textId="77777777" w:rsidTr="00154E9A">
        <w:tc>
          <w:tcPr>
            <w:tcW w:w="1502" w:type="dxa"/>
          </w:tcPr>
          <w:p w14:paraId="3DA1F36F" w14:textId="11457089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t>Нарушения на кръвта и лимфната система</w:t>
            </w:r>
          </w:p>
        </w:tc>
        <w:tc>
          <w:tcPr>
            <w:tcW w:w="1190" w:type="dxa"/>
          </w:tcPr>
          <w:p w14:paraId="0904CE68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14:paraId="186F2089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3FD672" w14:textId="2FFAF0F1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E8119A">
              <w:t>Левкопения</w:t>
            </w:r>
            <w:proofErr w:type="spellEnd"/>
            <w:r w:rsidRPr="00E8119A">
              <w:t xml:space="preserve">, анемия, нарушения на </w:t>
            </w:r>
            <w:proofErr w:type="spellStart"/>
            <w:r w:rsidRPr="00E8119A">
              <w:t>тромбоцитите</w:t>
            </w:r>
            <w:proofErr w:type="spellEnd"/>
            <w:r w:rsidRPr="00E8119A">
              <w:t>, нарушения на белите кръвни клетки</w:t>
            </w:r>
          </w:p>
        </w:tc>
        <w:tc>
          <w:tcPr>
            <w:tcW w:w="1369" w:type="dxa"/>
          </w:tcPr>
          <w:p w14:paraId="7E12D9D5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8FA17BB" w14:textId="77777777" w:rsidR="00154E9A" w:rsidRPr="00E8119A" w:rsidRDefault="00154E9A" w:rsidP="00154E9A">
            <w:proofErr w:type="spellStart"/>
            <w:r w:rsidRPr="00E8119A">
              <w:t>Агранулоцит</w:t>
            </w:r>
            <w:r w:rsidRPr="00E8119A">
              <w:rPr>
                <w:u w:val="single"/>
              </w:rPr>
              <w:t>оза</w:t>
            </w:r>
            <w:proofErr w:type="spellEnd"/>
            <w:r w:rsidRPr="00E8119A">
              <w:rPr>
                <w:u w:val="single"/>
              </w:rPr>
              <w:t xml:space="preserve">, </w:t>
            </w:r>
            <w:proofErr w:type="spellStart"/>
            <w:r w:rsidRPr="00E8119A">
              <w:t>панцитопения</w:t>
            </w:r>
            <w:proofErr w:type="spellEnd"/>
            <w:r w:rsidRPr="00E8119A">
              <w:t xml:space="preserve">, понижаване на </w:t>
            </w:r>
            <w:proofErr w:type="spellStart"/>
            <w:r w:rsidRPr="00E8119A">
              <w:t>тромбоцити</w:t>
            </w:r>
            <w:proofErr w:type="spellEnd"/>
            <w:r w:rsidRPr="00E8119A">
              <w:t xml:space="preserve">, </w:t>
            </w:r>
            <w:proofErr w:type="spellStart"/>
            <w:r w:rsidRPr="00E8119A">
              <w:t>хемолитична</w:t>
            </w:r>
            <w:proofErr w:type="spellEnd"/>
          </w:p>
          <w:p w14:paraId="343BBB7D" w14:textId="3D6D3408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t>анемия*</w:t>
            </w:r>
          </w:p>
        </w:tc>
      </w:tr>
      <w:tr w:rsidR="00154E9A" w:rsidRPr="00E8119A" w14:paraId="1418C29E" w14:textId="77777777" w:rsidTr="00154E9A">
        <w:tc>
          <w:tcPr>
            <w:tcW w:w="1502" w:type="dxa"/>
            <w:vAlign w:val="bottom"/>
          </w:tcPr>
          <w:p w14:paraId="4366822B" w14:textId="7CA0C7DB" w:rsidR="00154E9A" w:rsidRPr="00E8119A" w:rsidRDefault="00154E9A" w:rsidP="00154E9A">
            <w:pPr>
              <w:spacing w:line="240" w:lineRule="auto"/>
              <w:rPr>
                <w:rFonts w:eastAsia="Times New Roman" w:cs="Arial"/>
              </w:rPr>
            </w:pPr>
            <w:r w:rsidRPr="00E8119A">
              <w:t>Нарушения на имунната система</w:t>
            </w:r>
          </w:p>
        </w:tc>
        <w:tc>
          <w:tcPr>
            <w:tcW w:w="1190" w:type="dxa"/>
          </w:tcPr>
          <w:p w14:paraId="4E9C82C3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1408" w:type="dxa"/>
          </w:tcPr>
          <w:p w14:paraId="65515631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2127" w:type="dxa"/>
          </w:tcPr>
          <w:p w14:paraId="3F2020A8" w14:textId="77777777" w:rsidR="00154E9A" w:rsidRPr="00E8119A" w:rsidRDefault="00154E9A" w:rsidP="00154E9A">
            <w:proofErr w:type="spellStart"/>
            <w:r w:rsidRPr="00E8119A">
              <w:t>Свръхчувствителн</w:t>
            </w:r>
            <w:proofErr w:type="spellEnd"/>
          </w:p>
          <w:p w14:paraId="7C649074" w14:textId="4E91AFDC" w:rsidR="00154E9A" w:rsidRPr="00E8119A" w:rsidRDefault="00154E9A" w:rsidP="00154E9A">
            <w:pPr>
              <w:spacing w:line="240" w:lineRule="auto"/>
              <w:rPr>
                <w:rFonts w:eastAsia="Times New Roman" w:cs="Arial"/>
              </w:rPr>
            </w:pPr>
            <w:r w:rsidRPr="00E8119A">
              <w:rPr>
                <w:rFonts w:cs="Arial"/>
              </w:rPr>
              <w:t>OCT</w:t>
            </w:r>
          </w:p>
        </w:tc>
        <w:tc>
          <w:tcPr>
            <w:tcW w:w="1369" w:type="dxa"/>
          </w:tcPr>
          <w:p w14:paraId="3906BF9B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1980" w:type="dxa"/>
          </w:tcPr>
          <w:p w14:paraId="52F174C0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</w:rPr>
            </w:pPr>
          </w:p>
        </w:tc>
      </w:tr>
      <w:tr w:rsidR="00154E9A" w:rsidRPr="00E8119A" w14:paraId="4F0809CB" w14:textId="77777777" w:rsidTr="00154E9A">
        <w:tc>
          <w:tcPr>
            <w:tcW w:w="1502" w:type="dxa"/>
          </w:tcPr>
          <w:p w14:paraId="14EEEB36" w14:textId="46147B2A" w:rsidR="00154E9A" w:rsidRPr="00E8119A" w:rsidRDefault="00154E9A" w:rsidP="00154E9A">
            <w:pPr>
              <w:spacing w:line="240" w:lineRule="auto"/>
              <w:rPr>
                <w:rFonts w:eastAsia="Times New Roman" w:cs="Arial"/>
              </w:rPr>
            </w:pPr>
            <w:r w:rsidRPr="00E8119A">
              <w:t xml:space="preserve">Нарушения на </w:t>
            </w:r>
            <w:proofErr w:type="spellStart"/>
            <w:r w:rsidRPr="00E8119A">
              <w:t>метаболиз</w:t>
            </w:r>
            <w:proofErr w:type="spellEnd"/>
            <w:r w:rsidRPr="00E8119A">
              <w:t xml:space="preserve"> ма и храненето</w:t>
            </w:r>
          </w:p>
        </w:tc>
        <w:tc>
          <w:tcPr>
            <w:tcW w:w="1190" w:type="dxa"/>
          </w:tcPr>
          <w:p w14:paraId="2CC238DB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1408" w:type="dxa"/>
          </w:tcPr>
          <w:p w14:paraId="320BF2EA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2127" w:type="dxa"/>
            <w:vAlign w:val="bottom"/>
          </w:tcPr>
          <w:p w14:paraId="0F72CE2E" w14:textId="1AC5D7D9" w:rsidR="00154E9A" w:rsidRPr="00E8119A" w:rsidRDefault="00154E9A" w:rsidP="00154E9A">
            <w:pPr>
              <w:spacing w:line="240" w:lineRule="auto"/>
              <w:rPr>
                <w:rFonts w:eastAsia="Times New Roman" w:cs="Arial"/>
              </w:rPr>
            </w:pPr>
            <w:r w:rsidRPr="00E8119A">
              <w:t xml:space="preserve">Хипергликемия, </w:t>
            </w:r>
            <w:proofErr w:type="spellStart"/>
            <w:r w:rsidRPr="00E8119A">
              <w:t>хипонатремия</w:t>
            </w:r>
            <w:proofErr w:type="spellEnd"/>
            <w:r w:rsidRPr="00E8119A">
              <w:t xml:space="preserve">, </w:t>
            </w:r>
            <w:proofErr w:type="spellStart"/>
            <w:r w:rsidRPr="00E8119A">
              <w:t>хиперхолестероле</w:t>
            </w:r>
            <w:proofErr w:type="spellEnd"/>
            <w:r w:rsidRPr="00E8119A">
              <w:t xml:space="preserve"> мия, </w:t>
            </w:r>
            <w:proofErr w:type="spellStart"/>
            <w:r w:rsidRPr="00E8119A">
              <w:t>хиперлипидемия</w:t>
            </w:r>
            <w:proofErr w:type="spellEnd"/>
            <w:r w:rsidRPr="00E8119A">
              <w:t xml:space="preserve">, </w:t>
            </w:r>
            <w:proofErr w:type="spellStart"/>
            <w:r w:rsidRPr="00E8119A">
              <w:t>хиперурикемия</w:t>
            </w:r>
            <w:proofErr w:type="spellEnd"/>
            <w:r w:rsidRPr="00E8119A">
              <w:t>, подагра, анорексия, повишен апетит, ензимни отклонения</w:t>
            </w:r>
          </w:p>
        </w:tc>
        <w:tc>
          <w:tcPr>
            <w:tcW w:w="1369" w:type="dxa"/>
          </w:tcPr>
          <w:p w14:paraId="425C8604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1980" w:type="dxa"/>
          </w:tcPr>
          <w:p w14:paraId="728E0FFB" w14:textId="32F64E4A" w:rsidR="00154E9A" w:rsidRPr="00E8119A" w:rsidRDefault="00154E9A" w:rsidP="00154E9A">
            <w:pPr>
              <w:spacing w:line="240" w:lineRule="auto"/>
              <w:rPr>
                <w:rFonts w:eastAsia="Times New Roman" w:cs="Arial"/>
              </w:rPr>
            </w:pPr>
            <w:proofErr w:type="spellStart"/>
            <w:r w:rsidRPr="00E8119A">
              <w:t>Хиперкалиемия</w:t>
            </w:r>
            <w:proofErr w:type="spellEnd"/>
          </w:p>
        </w:tc>
      </w:tr>
      <w:tr w:rsidR="00154E9A" w:rsidRPr="00E8119A" w14:paraId="015D8FB4" w14:textId="77777777" w:rsidTr="00154E9A">
        <w:tc>
          <w:tcPr>
            <w:tcW w:w="1502" w:type="dxa"/>
          </w:tcPr>
          <w:p w14:paraId="026C8319" w14:textId="2E26380A" w:rsidR="00154E9A" w:rsidRPr="00E8119A" w:rsidRDefault="00154E9A" w:rsidP="00154E9A">
            <w:pPr>
              <w:spacing w:line="240" w:lineRule="auto"/>
              <w:rPr>
                <w:rFonts w:eastAsia="Times New Roman" w:cs="Arial"/>
              </w:rPr>
            </w:pPr>
            <w:r w:rsidRPr="00E8119A">
              <w:t>Психични нарушения</w:t>
            </w:r>
          </w:p>
        </w:tc>
        <w:tc>
          <w:tcPr>
            <w:tcW w:w="1190" w:type="dxa"/>
          </w:tcPr>
          <w:p w14:paraId="17EDFB19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1408" w:type="dxa"/>
          </w:tcPr>
          <w:p w14:paraId="1FC6BD96" w14:textId="0B40923B" w:rsidR="00154E9A" w:rsidRPr="00E8119A" w:rsidRDefault="00154E9A" w:rsidP="00154E9A">
            <w:pPr>
              <w:spacing w:line="240" w:lineRule="auto"/>
              <w:rPr>
                <w:rFonts w:eastAsia="Times New Roman" w:cs="Arial"/>
              </w:rPr>
            </w:pPr>
            <w:r w:rsidRPr="00E8119A">
              <w:t>Безсъние, понижава не на либидото</w:t>
            </w:r>
          </w:p>
        </w:tc>
        <w:tc>
          <w:tcPr>
            <w:tcW w:w="2127" w:type="dxa"/>
            <w:vAlign w:val="bottom"/>
          </w:tcPr>
          <w:p w14:paraId="2663E342" w14:textId="4736968F" w:rsidR="00154E9A" w:rsidRPr="00E8119A" w:rsidRDefault="00154E9A" w:rsidP="00154E9A">
            <w:pPr>
              <w:spacing w:line="240" w:lineRule="auto"/>
              <w:rPr>
                <w:rFonts w:eastAsia="Times New Roman" w:cs="Arial"/>
              </w:rPr>
            </w:pPr>
            <w:r w:rsidRPr="00E8119A">
              <w:t xml:space="preserve">Халюцинации, депресия, нарушения на съня, </w:t>
            </w:r>
            <w:r w:rsidRPr="00E8119A">
              <w:lastRenderedPageBreak/>
              <w:t xml:space="preserve">тревожност, </w:t>
            </w:r>
            <w:proofErr w:type="spellStart"/>
            <w:r w:rsidRPr="00E8119A">
              <w:t>ажитация</w:t>
            </w:r>
            <w:proofErr w:type="spellEnd"/>
            <w:r w:rsidRPr="00E8119A">
              <w:t>, апатия</w:t>
            </w:r>
          </w:p>
        </w:tc>
        <w:tc>
          <w:tcPr>
            <w:tcW w:w="1369" w:type="dxa"/>
          </w:tcPr>
          <w:p w14:paraId="6112248E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1980" w:type="dxa"/>
          </w:tcPr>
          <w:p w14:paraId="101143AA" w14:textId="143ABD79" w:rsidR="00154E9A" w:rsidRPr="00E8119A" w:rsidRDefault="00154E9A" w:rsidP="00154E9A">
            <w:pPr>
              <w:spacing w:line="240" w:lineRule="auto"/>
              <w:rPr>
                <w:rFonts w:eastAsia="Times New Roman" w:cs="Arial"/>
              </w:rPr>
            </w:pPr>
            <w:r w:rsidRPr="00E8119A">
              <w:t>Състояние на обърканост*</w:t>
            </w:r>
          </w:p>
        </w:tc>
      </w:tr>
      <w:tr w:rsidR="00154E9A" w:rsidRPr="00E8119A" w14:paraId="658A7263" w14:textId="77777777" w:rsidTr="00154E9A">
        <w:tc>
          <w:tcPr>
            <w:tcW w:w="1502" w:type="dxa"/>
          </w:tcPr>
          <w:p w14:paraId="7D5E8FAE" w14:textId="2C839669" w:rsidR="00154E9A" w:rsidRPr="00E8119A" w:rsidRDefault="00154E9A" w:rsidP="00154E9A">
            <w:pPr>
              <w:spacing w:line="240" w:lineRule="auto"/>
              <w:rPr>
                <w:rFonts w:eastAsia="Times New Roman" w:cs="Arial"/>
              </w:rPr>
            </w:pPr>
            <w:r w:rsidRPr="00E8119A">
              <w:t>Нарушения на нервната система</w:t>
            </w:r>
          </w:p>
        </w:tc>
        <w:tc>
          <w:tcPr>
            <w:tcW w:w="1190" w:type="dxa"/>
          </w:tcPr>
          <w:p w14:paraId="2FBAF542" w14:textId="4F2E109C" w:rsidR="00154E9A" w:rsidRPr="00E8119A" w:rsidRDefault="00154E9A" w:rsidP="00154E9A">
            <w:pPr>
              <w:spacing w:line="240" w:lineRule="auto"/>
              <w:rPr>
                <w:rFonts w:eastAsia="Times New Roman" w:cs="Arial"/>
              </w:rPr>
            </w:pPr>
            <w:proofErr w:type="spellStart"/>
            <w:r w:rsidRPr="00E8119A">
              <w:t>Главобо</w:t>
            </w:r>
            <w:proofErr w:type="spellEnd"/>
            <w:r w:rsidRPr="00E8119A">
              <w:t xml:space="preserve"> </w:t>
            </w:r>
            <w:proofErr w:type="spellStart"/>
            <w:r w:rsidRPr="00E8119A">
              <w:t>лие</w:t>
            </w:r>
            <w:proofErr w:type="spellEnd"/>
            <w:r w:rsidRPr="00E8119A">
              <w:t xml:space="preserve">, замаяно </w:t>
            </w:r>
            <w:proofErr w:type="spellStart"/>
            <w:r w:rsidRPr="00E8119A">
              <w:t>ст</w:t>
            </w:r>
            <w:proofErr w:type="spellEnd"/>
          </w:p>
        </w:tc>
        <w:tc>
          <w:tcPr>
            <w:tcW w:w="1408" w:type="dxa"/>
          </w:tcPr>
          <w:p w14:paraId="325FAB56" w14:textId="3540220A" w:rsidR="00154E9A" w:rsidRPr="00E8119A" w:rsidRDefault="00154E9A" w:rsidP="00154E9A">
            <w:pPr>
              <w:spacing w:line="240" w:lineRule="auto"/>
              <w:rPr>
                <w:rFonts w:eastAsia="Times New Roman" w:cs="Arial"/>
              </w:rPr>
            </w:pPr>
            <w:r w:rsidRPr="00E8119A">
              <w:t>Сънливост</w:t>
            </w:r>
          </w:p>
        </w:tc>
        <w:tc>
          <w:tcPr>
            <w:tcW w:w="2127" w:type="dxa"/>
            <w:vAlign w:val="bottom"/>
          </w:tcPr>
          <w:p w14:paraId="1B3CCB3A" w14:textId="7866ACA6" w:rsidR="00154E9A" w:rsidRPr="00E8119A" w:rsidRDefault="00154E9A" w:rsidP="00154E9A">
            <w:pPr>
              <w:spacing w:line="240" w:lineRule="auto"/>
              <w:rPr>
                <w:rFonts w:eastAsia="Times New Roman" w:cs="Arial"/>
              </w:rPr>
            </w:pPr>
            <w:r w:rsidRPr="00E8119A">
              <w:t xml:space="preserve">Мозъчно-съдови инциденти, </w:t>
            </w:r>
            <w:proofErr w:type="spellStart"/>
            <w:r w:rsidRPr="00E8119A">
              <w:t>синкоп</w:t>
            </w:r>
            <w:proofErr w:type="spellEnd"/>
            <w:r w:rsidRPr="00E8119A">
              <w:t xml:space="preserve">, </w:t>
            </w:r>
            <w:proofErr w:type="spellStart"/>
            <w:r w:rsidRPr="00E8119A">
              <w:t>миоклонус</w:t>
            </w:r>
            <w:proofErr w:type="spellEnd"/>
            <w:r w:rsidRPr="00E8119A">
              <w:t xml:space="preserve">, </w:t>
            </w:r>
            <w:proofErr w:type="spellStart"/>
            <w:r w:rsidRPr="00E8119A">
              <w:t>парестезия</w:t>
            </w:r>
            <w:proofErr w:type="spellEnd"/>
            <w:r w:rsidRPr="00E8119A">
              <w:t xml:space="preserve">, мигрена, мигрена без аура, </w:t>
            </w:r>
            <w:proofErr w:type="spellStart"/>
            <w:r w:rsidRPr="00E8119A">
              <w:t>дисгеузия</w:t>
            </w:r>
            <w:proofErr w:type="spellEnd"/>
          </w:p>
        </w:tc>
        <w:tc>
          <w:tcPr>
            <w:tcW w:w="1369" w:type="dxa"/>
          </w:tcPr>
          <w:p w14:paraId="064D2067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1980" w:type="dxa"/>
          </w:tcPr>
          <w:p w14:paraId="57E0C8F6" w14:textId="15FA6667" w:rsidR="00154E9A" w:rsidRPr="00E8119A" w:rsidRDefault="00154E9A" w:rsidP="00154E9A">
            <w:pPr>
              <w:spacing w:line="240" w:lineRule="auto"/>
              <w:rPr>
                <w:rFonts w:eastAsia="Times New Roman" w:cs="Arial"/>
              </w:rPr>
            </w:pPr>
            <w:proofErr w:type="spellStart"/>
            <w:r w:rsidRPr="00E8119A">
              <w:t>Транзиторна</w:t>
            </w:r>
            <w:proofErr w:type="spellEnd"/>
            <w:r w:rsidRPr="00E8119A">
              <w:t xml:space="preserve"> исхемична атака, церебрална хеморагия, нарушение на равновесието</w:t>
            </w:r>
          </w:p>
        </w:tc>
      </w:tr>
      <w:tr w:rsidR="00154E9A" w:rsidRPr="00E8119A" w14:paraId="08D84412" w14:textId="77777777" w:rsidTr="00154E9A">
        <w:tc>
          <w:tcPr>
            <w:tcW w:w="1502" w:type="dxa"/>
          </w:tcPr>
          <w:p w14:paraId="0B5324D2" w14:textId="423727E7" w:rsidR="00154E9A" w:rsidRPr="00E8119A" w:rsidRDefault="00154E9A" w:rsidP="00154E9A">
            <w:pPr>
              <w:spacing w:line="240" w:lineRule="auto"/>
              <w:rPr>
                <w:rFonts w:eastAsia="Times New Roman" w:cs="Arial"/>
              </w:rPr>
            </w:pPr>
            <w:r w:rsidRPr="00E8119A">
              <w:t>Нарушения на очите</w:t>
            </w:r>
          </w:p>
        </w:tc>
        <w:tc>
          <w:tcPr>
            <w:tcW w:w="1190" w:type="dxa"/>
          </w:tcPr>
          <w:p w14:paraId="0FB85280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1408" w:type="dxa"/>
          </w:tcPr>
          <w:p w14:paraId="2D41B38C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2127" w:type="dxa"/>
            <w:vAlign w:val="bottom"/>
          </w:tcPr>
          <w:p w14:paraId="4C91BA6E" w14:textId="5902A262" w:rsidR="00154E9A" w:rsidRPr="00E8119A" w:rsidRDefault="00154E9A" w:rsidP="00154E9A">
            <w:pPr>
              <w:spacing w:line="240" w:lineRule="auto"/>
              <w:rPr>
                <w:rFonts w:eastAsia="Times New Roman" w:cs="Arial"/>
              </w:rPr>
            </w:pPr>
            <w:proofErr w:type="spellStart"/>
            <w:r w:rsidRPr="00E8119A">
              <w:t>Блефарит</w:t>
            </w:r>
            <w:proofErr w:type="spellEnd"/>
            <w:r w:rsidRPr="00E8119A">
              <w:t xml:space="preserve">, </w:t>
            </w:r>
            <w:proofErr w:type="spellStart"/>
            <w:r w:rsidRPr="00E8119A">
              <w:t>конюнктивален</w:t>
            </w:r>
            <w:proofErr w:type="spellEnd"/>
            <w:r w:rsidRPr="00E8119A">
              <w:t xml:space="preserve"> оток, нарушения на зрението, нарушения на очите</w:t>
            </w:r>
          </w:p>
        </w:tc>
        <w:tc>
          <w:tcPr>
            <w:tcW w:w="1369" w:type="dxa"/>
          </w:tcPr>
          <w:p w14:paraId="0DA9ED20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1980" w:type="dxa"/>
          </w:tcPr>
          <w:p w14:paraId="4AFA8BF6" w14:textId="551C5ECB" w:rsidR="00154E9A" w:rsidRPr="00E8119A" w:rsidRDefault="00154E9A" w:rsidP="00154E9A">
            <w:pPr>
              <w:spacing w:line="240" w:lineRule="auto"/>
              <w:rPr>
                <w:rFonts w:eastAsia="Times New Roman" w:cs="Arial"/>
              </w:rPr>
            </w:pPr>
            <w:r w:rsidRPr="00E8119A">
              <w:t>Замъглено зрение*</w:t>
            </w:r>
          </w:p>
        </w:tc>
      </w:tr>
      <w:tr w:rsidR="00154E9A" w:rsidRPr="00E8119A" w14:paraId="0C0C53EC" w14:textId="77777777" w:rsidTr="00154E9A">
        <w:tc>
          <w:tcPr>
            <w:tcW w:w="1502" w:type="dxa"/>
            <w:vAlign w:val="bottom"/>
          </w:tcPr>
          <w:p w14:paraId="6BB82900" w14:textId="641DA626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t>Нарушения на ухото и лабиринта</w:t>
            </w:r>
          </w:p>
        </w:tc>
        <w:tc>
          <w:tcPr>
            <w:tcW w:w="1190" w:type="dxa"/>
          </w:tcPr>
          <w:p w14:paraId="1309C343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14:paraId="7894A84B" w14:textId="607BF4EA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E8119A">
              <w:t>Вертиго</w:t>
            </w:r>
            <w:proofErr w:type="spellEnd"/>
          </w:p>
        </w:tc>
        <w:tc>
          <w:tcPr>
            <w:tcW w:w="2127" w:type="dxa"/>
          </w:tcPr>
          <w:p w14:paraId="7A0945F8" w14:textId="0E6FB18B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E8119A">
              <w:t>Тинитус</w:t>
            </w:r>
            <w:proofErr w:type="spellEnd"/>
          </w:p>
        </w:tc>
        <w:tc>
          <w:tcPr>
            <w:tcW w:w="1369" w:type="dxa"/>
          </w:tcPr>
          <w:p w14:paraId="50CE3DB1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321A039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154E9A" w:rsidRPr="00E8119A" w14:paraId="1B20DDCC" w14:textId="77777777" w:rsidTr="00154E9A">
        <w:tc>
          <w:tcPr>
            <w:tcW w:w="1502" w:type="dxa"/>
          </w:tcPr>
          <w:p w14:paraId="4FFC3477" w14:textId="6DFAD0A0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t>Сърдечни нарушения</w:t>
            </w:r>
          </w:p>
        </w:tc>
        <w:tc>
          <w:tcPr>
            <w:tcW w:w="1190" w:type="dxa"/>
          </w:tcPr>
          <w:p w14:paraId="197587C2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14:paraId="4CE5DEBD" w14:textId="4A226DA1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E8119A">
              <w:t>Палпитаци</w:t>
            </w:r>
            <w:proofErr w:type="spellEnd"/>
            <w:r w:rsidRPr="00E8119A">
              <w:t xml:space="preserve"> и</w:t>
            </w:r>
          </w:p>
        </w:tc>
        <w:tc>
          <w:tcPr>
            <w:tcW w:w="2127" w:type="dxa"/>
            <w:vAlign w:val="bottom"/>
          </w:tcPr>
          <w:p w14:paraId="299EDA85" w14:textId="25D49BB9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t xml:space="preserve">Миокарден инфаркт, исхемия на миокарда, ангина </w:t>
            </w:r>
            <w:proofErr w:type="spellStart"/>
            <w:r w:rsidRPr="00E8119A">
              <w:t>пекторис</w:t>
            </w:r>
            <w:proofErr w:type="spellEnd"/>
            <w:r w:rsidRPr="00E8119A">
              <w:t>, сърдечна недостатъчност, камерна тахикардия, тахикардия, брадикардия</w:t>
            </w:r>
          </w:p>
        </w:tc>
        <w:tc>
          <w:tcPr>
            <w:tcW w:w="1369" w:type="dxa"/>
          </w:tcPr>
          <w:p w14:paraId="4E31DC55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9DE95AC" w14:textId="6866C0B3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E8119A">
              <w:t>Атрио</w:t>
            </w:r>
            <w:proofErr w:type="spellEnd"/>
            <w:r w:rsidRPr="00E8119A">
              <w:t xml:space="preserve">- </w:t>
            </w:r>
            <w:proofErr w:type="spellStart"/>
            <w:r w:rsidRPr="00E8119A">
              <w:t>вентрикуларен</w:t>
            </w:r>
            <w:proofErr w:type="spellEnd"/>
            <w:r w:rsidRPr="00E8119A">
              <w:t xml:space="preserve"> блок, сърдечен арест, аритмия</w:t>
            </w:r>
          </w:p>
        </w:tc>
      </w:tr>
      <w:tr w:rsidR="00154E9A" w:rsidRPr="00E8119A" w14:paraId="0F0D5512" w14:textId="77777777" w:rsidTr="00154E9A">
        <w:tc>
          <w:tcPr>
            <w:tcW w:w="1502" w:type="dxa"/>
          </w:tcPr>
          <w:p w14:paraId="56E9ADAE" w14:textId="48FB9195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t>Съдови нарушения</w:t>
            </w:r>
          </w:p>
        </w:tc>
        <w:tc>
          <w:tcPr>
            <w:tcW w:w="1190" w:type="dxa"/>
          </w:tcPr>
          <w:p w14:paraId="5DB8CC7E" w14:textId="760CD2F3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E8119A">
              <w:t>Хипото</w:t>
            </w:r>
            <w:proofErr w:type="spellEnd"/>
            <w:r w:rsidRPr="00E8119A">
              <w:t xml:space="preserve"> </w:t>
            </w:r>
            <w:proofErr w:type="spellStart"/>
            <w:r w:rsidRPr="00E8119A">
              <w:t>ния</w:t>
            </w:r>
            <w:proofErr w:type="spellEnd"/>
          </w:p>
        </w:tc>
        <w:tc>
          <w:tcPr>
            <w:tcW w:w="1408" w:type="dxa"/>
          </w:tcPr>
          <w:p w14:paraId="1589E746" w14:textId="65059B9A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t>Горещи вълни</w:t>
            </w:r>
          </w:p>
        </w:tc>
        <w:tc>
          <w:tcPr>
            <w:tcW w:w="2127" w:type="dxa"/>
            <w:vAlign w:val="bottom"/>
          </w:tcPr>
          <w:p w14:paraId="667A38AD" w14:textId="31241423" w:rsidR="00154E9A" w:rsidRPr="00E8119A" w:rsidRDefault="00154E9A" w:rsidP="00154E9A">
            <w:pPr>
              <w:rPr>
                <w:rFonts w:eastAsia="Times New Roman" w:cs="Arial"/>
                <w:sz w:val="24"/>
                <w:szCs w:val="24"/>
              </w:rPr>
            </w:pPr>
            <w:r w:rsidRPr="00E8119A">
              <w:rPr>
                <w:rFonts w:cs="Arial"/>
              </w:rPr>
              <w:t xml:space="preserve">Хипертония, </w:t>
            </w:r>
            <w:proofErr w:type="spellStart"/>
            <w:r w:rsidRPr="00E8119A">
              <w:rPr>
                <w:rFonts w:cs="Arial"/>
              </w:rPr>
              <w:t>ангиопатия</w:t>
            </w:r>
            <w:proofErr w:type="spellEnd"/>
            <w:r w:rsidRPr="00E8119A">
              <w:rPr>
                <w:rFonts w:cs="Arial"/>
              </w:rPr>
              <w:t xml:space="preserve">, ортостатична хипотония, периферни </w:t>
            </w:r>
            <w:proofErr w:type="spellStart"/>
            <w:r w:rsidRPr="00E8119A">
              <w:rPr>
                <w:rFonts w:cs="Arial"/>
              </w:rPr>
              <w:t>васкуларни</w:t>
            </w:r>
            <w:proofErr w:type="spellEnd"/>
            <w:r w:rsidRPr="00E8119A">
              <w:rPr>
                <w:rFonts w:cs="Arial"/>
              </w:rPr>
              <w:t xml:space="preserve"> нарушения, </w:t>
            </w:r>
            <w:proofErr w:type="spellStart"/>
            <w:r w:rsidRPr="00E8119A">
              <w:rPr>
                <w:rFonts w:eastAsia="Times New Roman" w:cs="Arial"/>
                <w:color w:val="000000"/>
                <w:lang w:eastAsia="bg-BG"/>
              </w:rPr>
              <w:t>варикозни</w:t>
            </w:r>
            <w:proofErr w:type="spellEnd"/>
            <w:r w:rsidRPr="00E8119A">
              <w:rPr>
                <w:rFonts w:eastAsia="Times New Roman" w:cs="Arial"/>
                <w:color w:val="000000"/>
                <w:lang w:eastAsia="bg-BG"/>
              </w:rPr>
              <w:t xml:space="preserve"> вени</w:t>
            </w:r>
          </w:p>
        </w:tc>
        <w:tc>
          <w:tcPr>
            <w:tcW w:w="1369" w:type="dxa"/>
          </w:tcPr>
          <w:p w14:paraId="79DD334A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3605940C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154E9A" w:rsidRPr="00E8119A" w14:paraId="4F0B2446" w14:textId="77777777" w:rsidTr="00154E9A">
        <w:tc>
          <w:tcPr>
            <w:tcW w:w="1502" w:type="dxa"/>
          </w:tcPr>
          <w:p w14:paraId="0D855CAC" w14:textId="70D823B9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t xml:space="preserve">Респиратор ни, гръдни и </w:t>
            </w:r>
            <w:proofErr w:type="spellStart"/>
            <w:r w:rsidRPr="00E8119A">
              <w:t>медиастина</w:t>
            </w:r>
            <w:proofErr w:type="spellEnd"/>
            <w:r w:rsidRPr="00E8119A">
              <w:t xml:space="preserve"> </w:t>
            </w:r>
            <w:proofErr w:type="spellStart"/>
            <w:r w:rsidRPr="00E8119A">
              <w:t>лни</w:t>
            </w:r>
            <w:proofErr w:type="spellEnd"/>
            <w:r w:rsidRPr="00E8119A">
              <w:t xml:space="preserve"> нарушения</w:t>
            </w:r>
          </w:p>
        </w:tc>
        <w:tc>
          <w:tcPr>
            <w:tcW w:w="1190" w:type="dxa"/>
          </w:tcPr>
          <w:p w14:paraId="5040F0C0" w14:textId="2EDF70A3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E8119A">
              <w:t>Кашлиц</w:t>
            </w:r>
            <w:proofErr w:type="spellEnd"/>
            <w:r w:rsidRPr="00E8119A">
              <w:t xml:space="preserve"> а</w:t>
            </w:r>
          </w:p>
        </w:tc>
        <w:tc>
          <w:tcPr>
            <w:tcW w:w="1408" w:type="dxa"/>
          </w:tcPr>
          <w:p w14:paraId="6660CD6A" w14:textId="4CF0DD94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t>Възпалени е на горни дихателни пътища, конгестия на горни дихателни пътища</w:t>
            </w:r>
          </w:p>
        </w:tc>
        <w:tc>
          <w:tcPr>
            <w:tcW w:w="2127" w:type="dxa"/>
            <w:vAlign w:val="bottom"/>
          </w:tcPr>
          <w:p w14:paraId="2AB54948" w14:textId="4F7151BA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E8119A">
              <w:t>Диспнея</w:t>
            </w:r>
            <w:proofErr w:type="spellEnd"/>
            <w:r w:rsidRPr="00E8119A">
              <w:t xml:space="preserve">, </w:t>
            </w:r>
            <w:proofErr w:type="spellStart"/>
            <w:r w:rsidRPr="00E8119A">
              <w:t>епистаксис</w:t>
            </w:r>
            <w:proofErr w:type="spellEnd"/>
            <w:r w:rsidRPr="00E8119A">
              <w:t xml:space="preserve">, </w:t>
            </w:r>
            <w:proofErr w:type="spellStart"/>
            <w:r w:rsidRPr="00E8119A">
              <w:t>фарингеално</w:t>
            </w:r>
            <w:proofErr w:type="spellEnd"/>
            <w:r w:rsidRPr="00E8119A">
              <w:t xml:space="preserve"> </w:t>
            </w:r>
            <w:proofErr w:type="spellStart"/>
            <w:r w:rsidRPr="00E8119A">
              <w:t>възпаление,болка</w:t>
            </w:r>
            <w:proofErr w:type="spellEnd"/>
            <w:r w:rsidRPr="00E8119A">
              <w:t xml:space="preserve"> на </w:t>
            </w:r>
            <w:proofErr w:type="spellStart"/>
            <w:r w:rsidRPr="00E8119A">
              <w:t>орофаринкса</w:t>
            </w:r>
            <w:proofErr w:type="spellEnd"/>
            <w:r w:rsidRPr="00E8119A">
              <w:t>, продуктивна кашлица, респираторни нарушения</w:t>
            </w:r>
          </w:p>
        </w:tc>
        <w:tc>
          <w:tcPr>
            <w:tcW w:w="1369" w:type="dxa"/>
          </w:tcPr>
          <w:p w14:paraId="07C9069B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60F2BAB" w14:textId="49593A0A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E8119A">
              <w:t>Бронхоспазъм</w:t>
            </w:r>
            <w:proofErr w:type="spellEnd"/>
          </w:p>
        </w:tc>
      </w:tr>
      <w:tr w:rsidR="00154E9A" w:rsidRPr="00E8119A" w14:paraId="69CC22F9" w14:textId="77777777" w:rsidTr="00154E9A">
        <w:tc>
          <w:tcPr>
            <w:tcW w:w="1502" w:type="dxa"/>
          </w:tcPr>
          <w:p w14:paraId="797B7382" w14:textId="7F1479EE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lastRenderedPageBreak/>
              <w:t>Стомашно- чревни нарушения</w:t>
            </w:r>
          </w:p>
        </w:tc>
        <w:tc>
          <w:tcPr>
            <w:tcW w:w="1190" w:type="dxa"/>
          </w:tcPr>
          <w:p w14:paraId="100B3984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408" w:type="dxa"/>
            <w:vAlign w:val="bottom"/>
          </w:tcPr>
          <w:p w14:paraId="19AA3706" w14:textId="4F9699AB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t xml:space="preserve">Гадене, диария, стомашно- чревна болка, </w:t>
            </w:r>
            <w:proofErr w:type="spellStart"/>
            <w:r w:rsidRPr="00E8119A">
              <w:t>констипац</w:t>
            </w:r>
            <w:proofErr w:type="spellEnd"/>
            <w:r w:rsidRPr="00E8119A">
              <w:t xml:space="preserve"> </w:t>
            </w:r>
            <w:proofErr w:type="spellStart"/>
            <w:r w:rsidRPr="00E8119A">
              <w:t>ия</w:t>
            </w:r>
            <w:proofErr w:type="spellEnd"/>
            <w:r w:rsidRPr="00E8119A">
              <w:t>, стомашно- чревни нарушения</w:t>
            </w:r>
          </w:p>
        </w:tc>
        <w:tc>
          <w:tcPr>
            <w:tcW w:w="2127" w:type="dxa"/>
          </w:tcPr>
          <w:p w14:paraId="320DB241" w14:textId="5F9218D9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E8119A">
              <w:t>Хематемеза</w:t>
            </w:r>
            <w:proofErr w:type="spellEnd"/>
            <w:r w:rsidRPr="00E8119A">
              <w:t xml:space="preserve">, гастрит, коремна болка, повръщане, диспепсия, сухота в устата, </w:t>
            </w:r>
            <w:proofErr w:type="spellStart"/>
            <w:r w:rsidRPr="00E8119A">
              <w:t>флатуленция</w:t>
            </w:r>
            <w:proofErr w:type="spellEnd"/>
          </w:p>
        </w:tc>
        <w:tc>
          <w:tcPr>
            <w:tcW w:w="1369" w:type="dxa"/>
          </w:tcPr>
          <w:p w14:paraId="527C2F9E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13BAF99" w14:textId="02D033F9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E8119A">
              <w:t>Илеус</w:t>
            </w:r>
            <w:proofErr w:type="spellEnd"/>
            <w:r w:rsidRPr="00E8119A">
              <w:t xml:space="preserve">, </w:t>
            </w:r>
            <w:proofErr w:type="spellStart"/>
            <w:r w:rsidRPr="00E8119A">
              <w:t>панкреатит</w:t>
            </w:r>
            <w:proofErr w:type="spellEnd"/>
            <w:r w:rsidRPr="00E8119A">
              <w:t xml:space="preserve">, </w:t>
            </w:r>
            <w:proofErr w:type="spellStart"/>
            <w:r w:rsidRPr="00E8119A">
              <w:t>интестинален</w:t>
            </w:r>
            <w:proofErr w:type="spellEnd"/>
            <w:r w:rsidRPr="00E8119A">
              <w:t xml:space="preserve"> ангиоедем*</w:t>
            </w:r>
          </w:p>
        </w:tc>
      </w:tr>
      <w:tr w:rsidR="00154E9A" w:rsidRPr="00E8119A" w14:paraId="65690E01" w14:textId="77777777" w:rsidTr="00154E9A">
        <w:tc>
          <w:tcPr>
            <w:tcW w:w="1502" w:type="dxa"/>
          </w:tcPr>
          <w:p w14:paraId="5766929B" w14:textId="08668398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E8119A">
              <w:t>Хепатобили</w:t>
            </w:r>
            <w:proofErr w:type="spellEnd"/>
            <w:r w:rsidRPr="00E8119A">
              <w:t xml:space="preserve"> </w:t>
            </w:r>
            <w:proofErr w:type="spellStart"/>
            <w:r w:rsidRPr="00E8119A">
              <w:t>арни</w:t>
            </w:r>
            <w:proofErr w:type="spellEnd"/>
            <w:r w:rsidRPr="00E8119A">
              <w:t xml:space="preserve"> нарушения</w:t>
            </w:r>
          </w:p>
        </w:tc>
        <w:tc>
          <w:tcPr>
            <w:tcW w:w="1190" w:type="dxa"/>
          </w:tcPr>
          <w:p w14:paraId="15133C0C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14:paraId="1DF355E1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325116" w14:textId="5FD3112C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t>Хепатит</w:t>
            </w:r>
          </w:p>
        </w:tc>
        <w:tc>
          <w:tcPr>
            <w:tcW w:w="1369" w:type="dxa"/>
          </w:tcPr>
          <w:p w14:paraId="745D833E" w14:textId="3F46A33C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E8119A">
              <w:t>Холестаза</w:t>
            </w:r>
            <w:proofErr w:type="spellEnd"/>
          </w:p>
        </w:tc>
        <w:tc>
          <w:tcPr>
            <w:tcW w:w="1980" w:type="dxa"/>
            <w:vAlign w:val="bottom"/>
          </w:tcPr>
          <w:p w14:paraId="4280E1F3" w14:textId="13F112AF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t>Жълтеница, нарушения в чернодробните функционални тестове</w:t>
            </w:r>
          </w:p>
        </w:tc>
      </w:tr>
      <w:tr w:rsidR="00154E9A" w:rsidRPr="00E8119A" w14:paraId="5E6DB5A4" w14:textId="77777777" w:rsidTr="00154E9A">
        <w:tc>
          <w:tcPr>
            <w:tcW w:w="1502" w:type="dxa"/>
          </w:tcPr>
          <w:p w14:paraId="0A4B1754" w14:textId="22668DE8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t>Нарушения на кожата и подкожната тъкан</w:t>
            </w:r>
          </w:p>
        </w:tc>
        <w:tc>
          <w:tcPr>
            <w:tcW w:w="1190" w:type="dxa"/>
          </w:tcPr>
          <w:p w14:paraId="7DCAB89E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14:paraId="6519940F" w14:textId="535EB7F3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t>Сърбеж, обрив</w:t>
            </w:r>
          </w:p>
        </w:tc>
        <w:tc>
          <w:tcPr>
            <w:tcW w:w="2127" w:type="dxa"/>
          </w:tcPr>
          <w:p w14:paraId="2151FDA9" w14:textId="73C3C7BB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t xml:space="preserve">Ангиоедем, псориазис, </w:t>
            </w:r>
            <w:proofErr w:type="spellStart"/>
            <w:r w:rsidRPr="00E8119A">
              <w:t>хиперхидроза</w:t>
            </w:r>
            <w:proofErr w:type="spellEnd"/>
            <w:r w:rsidRPr="00E8119A">
              <w:t>, екзема, акне, суха кожа, нарушения на кожата</w:t>
            </w:r>
          </w:p>
        </w:tc>
        <w:tc>
          <w:tcPr>
            <w:tcW w:w="1369" w:type="dxa"/>
          </w:tcPr>
          <w:p w14:paraId="617CF9AF" w14:textId="38D244B3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t>Псориазис, дерматит</w:t>
            </w:r>
          </w:p>
        </w:tc>
        <w:tc>
          <w:tcPr>
            <w:tcW w:w="1980" w:type="dxa"/>
            <w:vAlign w:val="bottom"/>
          </w:tcPr>
          <w:p w14:paraId="12839EBF" w14:textId="75A252ED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t xml:space="preserve">Алопеция, уртикария, синдром на Стивън- Джонсън, токсична епидермална </w:t>
            </w:r>
            <w:proofErr w:type="spellStart"/>
            <w:r w:rsidRPr="00E8119A">
              <w:t>некролиза</w:t>
            </w:r>
            <w:proofErr w:type="spellEnd"/>
            <w:r w:rsidRPr="00E8119A">
              <w:t xml:space="preserve">, еритема </w:t>
            </w:r>
            <w:proofErr w:type="spellStart"/>
            <w:r w:rsidRPr="00E8119A">
              <w:t>мултиформе</w:t>
            </w:r>
            <w:proofErr w:type="spellEnd"/>
            <w:r w:rsidRPr="00E8119A">
              <w:t xml:space="preserve">*, </w:t>
            </w:r>
            <w:proofErr w:type="spellStart"/>
            <w:r w:rsidRPr="00E8119A">
              <w:t>псориазиформен</w:t>
            </w:r>
            <w:proofErr w:type="spellEnd"/>
            <w:r w:rsidRPr="00E8119A">
              <w:t xml:space="preserve"> дерматит*</w:t>
            </w:r>
          </w:p>
        </w:tc>
      </w:tr>
      <w:tr w:rsidR="00154E9A" w:rsidRPr="00E8119A" w14:paraId="2CDA95EC" w14:textId="77777777" w:rsidTr="00154E9A">
        <w:tc>
          <w:tcPr>
            <w:tcW w:w="1502" w:type="dxa"/>
            <w:vAlign w:val="bottom"/>
          </w:tcPr>
          <w:p w14:paraId="31DE2D85" w14:textId="4382A3CE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t xml:space="preserve">Нарушения на мускулно- скелетната система и съединител </w:t>
            </w:r>
            <w:proofErr w:type="spellStart"/>
            <w:r w:rsidRPr="00E8119A">
              <w:t>ната</w:t>
            </w:r>
            <w:proofErr w:type="spellEnd"/>
            <w:r w:rsidRPr="00E8119A">
              <w:t xml:space="preserve"> тъкан</w:t>
            </w:r>
          </w:p>
        </w:tc>
        <w:tc>
          <w:tcPr>
            <w:tcW w:w="1190" w:type="dxa"/>
          </w:tcPr>
          <w:p w14:paraId="33851219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408" w:type="dxa"/>
            <w:vAlign w:val="bottom"/>
          </w:tcPr>
          <w:p w14:paraId="13140733" w14:textId="05D2F35A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t xml:space="preserve">Болки в гърба, мускулни спазми, болки в </w:t>
            </w:r>
            <w:proofErr w:type="spellStart"/>
            <w:r w:rsidRPr="00E8119A">
              <w:t>крайницит</w:t>
            </w:r>
            <w:proofErr w:type="spellEnd"/>
            <w:r w:rsidRPr="00E8119A">
              <w:t xml:space="preserve"> е</w:t>
            </w:r>
          </w:p>
        </w:tc>
        <w:tc>
          <w:tcPr>
            <w:tcW w:w="2127" w:type="dxa"/>
          </w:tcPr>
          <w:p w14:paraId="0264F943" w14:textId="08CE6B30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E8119A">
              <w:t>Артралгия</w:t>
            </w:r>
            <w:proofErr w:type="spellEnd"/>
            <w:r w:rsidRPr="00E8119A">
              <w:t xml:space="preserve">, болка в кости, </w:t>
            </w:r>
            <w:proofErr w:type="spellStart"/>
            <w:r w:rsidRPr="00E8119A">
              <w:t>остеоартрит</w:t>
            </w:r>
            <w:proofErr w:type="spellEnd"/>
          </w:p>
        </w:tc>
        <w:tc>
          <w:tcPr>
            <w:tcW w:w="1369" w:type="dxa"/>
          </w:tcPr>
          <w:p w14:paraId="76BB289F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5125F31" w14:textId="71F2B958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E8119A">
              <w:t>Миалгия</w:t>
            </w:r>
            <w:proofErr w:type="spellEnd"/>
          </w:p>
        </w:tc>
      </w:tr>
      <w:tr w:rsidR="00154E9A" w:rsidRPr="00E8119A" w14:paraId="6484A876" w14:textId="77777777" w:rsidTr="00154E9A">
        <w:tc>
          <w:tcPr>
            <w:tcW w:w="1502" w:type="dxa"/>
            <w:vAlign w:val="bottom"/>
          </w:tcPr>
          <w:p w14:paraId="58B63E46" w14:textId="07BD6BEB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t xml:space="preserve">Нарушения на бъбреците и </w:t>
            </w:r>
            <w:r w:rsidRPr="00E8119A">
              <w:rPr>
                <w:i/>
                <w:iCs/>
              </w:rPr>
              <w:t xml:space="preserve">пикочните </w:t>
            </w:r>
            <w:r w:rsidRPr="00E8119A">
              <w:t>пътища</w:t>
            </w:r>
          </w:p>
        </w:tc>
        <w:tc>
          <w:tcPr>
            <w:tcW w:w="1190" w:type="dxa"/>
          </w:tcPr>
          <w:p w14:paraId="627FDE77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14:paraId="5E866FAB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14:paraId="6676D74C" w14:textId="08E1CF18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t xml:space="preserve">Бъбречна недостатъчност, </w:t>
            </w:r>
            <w:proofErr w:type="spellStart"/>
            <w:r w:rsidRPr="00E8119A">
              <w:t>азотемия</w:t>
            </w:r>
            <w:proofErr w:type="spellEnd"/>
            <w:r w:rsidRPr="00E8119A">
              <w:t xml:space="preserve">, </w:t>
            </w:r>
            <w:proofErr w:type="spellStart"/>
            <w:r w:rsidRPr="00E8119A">
              <w:t>полиурия</w:t>
            </w:r>
            <w:proofErr w:type="spellEnd"/>
            <w:r w:rsidRPr="00E8119A">
              <w:t xml:space="preserve">, </w:t>
            </w:r>
            <w:proofErr w:type="spellStart"/>
            <w:r w:rsidRPr="00E8119A">
              <w:t>полакиурия</w:t>
            </w:r>
            <w:proofErr w:type="spellEnd"/>
          </w:p>
        </w:tc>
        <w:tc>
          <w:tcPr>
            <w:tcW w:w="1369" w:type="dxa"/>
          </w:tcPr>
          <w:p w14:paraId="782E7930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9EC2CEF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154E9A" w:rsidRPr="00E8119A" w14:paraId="20B88582" w14:textId="77777777" w:rsidTr="00154E9A">
        <w:tc>
          <w:tcPr>
            <w:tcW w:w="1502" w:type="dxa"/>
            <w:vAlign w:val="bottom"/>
          </w:tcPr>
          <w:p w14:paraId="503F9653" w14:textId="59D29273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t xml:space="preserve">Нарушения на </w:t>
            </w:r>
            <w:proofErr w:type="spellStart"/>
            <w:r w:rsidRPr="00E8119A">
              <w:t>възпроизво</w:t>
            </w:r>
            <w:proofErr w:type="spellEnd"/>
            <w:r w:rsidRPr="00E8119A">
              <w:t xml:space="preserve"> </w:t>
            </w:r>
            <w:proofErr w:type="spellStart"/>
            <w:r w:rsidRPr="00E8119A">
              <w:t>дителната</w:t>
            </w:r>
            <w:proofErr w:type="spellEnd"/>
            <w:r w:rsidRPr="00E8119A">
              <w:t xml:space="preserve"> система и гърдата</w:t>
            </w:r>
          </w:p>
        </w:tc>
        <w:tc>
          <w:tcPr>
            <w:tcW w:w="1190" w:type="dxa"/>
          </w:tcPr>
          <w:p w14:paraId="3276D7BA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14:paraId="143ED1CA" w14:textId="7E493198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t xml:space="preserve">Еректилна </w:t>
            </w:r>
            <w:proofErr w:type="spellStart"/>
            <w:r w:rsidRPr="00E8119A">
              <w:t>дисфункци</w:t>
            </w:r>
            <w:proofErr w:type="spellEnd"/>
            <w:r w:rsidRPr="00E8119A">
              <w:t xml:space="preserve"> я</w:t>
            </w:r>
          </w:p>
        </w:tc>
        <w:tc>
          <w:tcPr>
            <w:tcW w:w="2127" w:type="dxa"/>
          </w:tcPr>
          <w:p w14:paraId="4902F658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1B15E25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5C75728D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154E9A" w:rsidRPr="00E8119A" w14:paraId="7DC3E36B" w14:textId="77777777" w:rsidTr="00154E9A">
        <w:tc>
          <w:tcPr>
            <w:tcW w:w="1502" w:type="dxa"/>
            <w:vAlign w:val="bottom"/>
          </w:tcPr>
          <w:p w14:paraId="61E6907C" w14:textId="69BF5CF6" w:rsidR="00154E9A" w:rsidRPr="00E8119A" w:rsidRDefault="00154E9A" w:rsidP="00154E9A">
            <w:pPr>
              <w:rPr>
                <w:sz w:val="24"/>
                <w:szCs w:val="24"/>
              </w:rPr>
            </w:pPr>
            <w:r w:rsidRPr="00E8119A">
              <w:t xml:space="preserve">Вродени, фамилни и </w:t>
            </w:r>
            <w:r w:rsidRPr="00E8119A">
              <w:rPr>
                <w:color w:val="000000"/>
                <w:lang w:eastAsia="bg-BG"/>
              </w:rPr>
              <w:lastRenderedPageBreak/>
              <w:t>генетични нарушения</w:t>
            </w:r>
          </w:p>
        </w:tc>
        <w:tc>
          <w:tcPr>
            <w:tcW w:w="1190" w:type="dxa"/>
          </w:tcPr>
          <w:p w14:paraId="6541D117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14:paraId="28FF5CB6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14:paraId="67948789" w14:textId="71CDFD41" w:rsidR="00154E9A" w:rsidRPr="00E8119A" w:rsidRDefault="00154E9A" w:rsidP="00154E9A">
            <w:pPr>
              <w:rPr>
                <w:sz w:val="24"/>
                <w:szCs w:val="24"/>
              </w:rPr>
            </w:pPr>
            <w:r w:rsidRPr="00E8119A">
              <w:t xml:space="preserve">Вродени артериални </w:t>
            </w:r>
            <w:r w:rsidRPr="00E8119A">
              <w:rPr>
                <w:color w:val="000000"/>
                <w:lang w:eastAsia="bg-BG"/>
              </w:rPr>
              <w:lastRenderedPageBreak/>
              <w:t xml:space="preserve">малформации, </w:t>
            </w:r>
            <w:proofErr w:type="spellStart"/>
            <w:r w:rsidRPr="00E8119A">
              <w:rPr>
                <w:color w:val="000000"/>
                <w:lang w:eastAsia="bg-BG"/>
              </w:rPr>
              <w:t>ихтиоза</w:t>
            </w:r>
            <w:proofErr w:type="spellEnd"/>
          </w:p>
        </w:tc>
        <w:tc>
          <w:tcPr>
            <w:tcW w:w="1369" w:type="dxa"/>
          </w:tcPr>
          <w:p w14:paraId="48206F4E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1F5AE9B1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154E9A" w:rsidRPr="00E8119A" w14:paraId="13A55E5F" w14:textId="77777777" w:rsidTr="00154E9A">
        <w:tc>
          <w:tcPr>
            <w:tcW w:w="1502" w:type="dxa"/>
          </w:tcPr>
          <w:p w14:paraId="5EF881F2" w14:textId="21B5280F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t>Общи нарушения и ефекти на мястото на приложение</w:t>
            </w:r>
          </w:p>
        </w:tc>
        <w:tc>
          <w:tcPr>
            <w:tcW w:w="1190" w:type="dxa"/>
          </w:tcPr>
          <w:p w14:paraId="7E9E0756" w14:textId="3DCE991F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E8119A">
              <w:t>Астени</w:t>
            </w:r>
            <w:proofErr w:type="spellEnd"/>
            <w:r w:rsidRPr="00E8119A">
              <w:t xml:space="preserve"> я</w:t>
            </w:r>
          </w:p>
        </w:tc>
        <w:tc>
          <w:tcPr>
            <w:tcW w:w="1408" w:type="dxa"/>
          </w:tcPr>
          <w:p w14:paraId="0F8C7A10" w14:textId="39D513A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E8119A">
              <w:t>Неразполо</w:t>
            </w:r>
            <w:proofErr w:type="spellEnd"/>
            <w:r w:rsidRPr="00E8119A">
              <w:t xml:space="preserve"> </w:t>
            </w:r>
            <w:proofErr w:type="spellStart"/>
            <w:r w:rsidRPr="00E8119A">
              <w:t>жения</w:t>
            </w:r>
            <w:proofErr w:type="spellEnd"/>
            <w:r w:rsidRPr="00E8119A">
              <w:t xml:space="preserve">, болка в гърдите, периферен оток, </w:t>
            </w:r>
            <w:proofErr w:type="spellStart"/>
            <w:r w:rsidRPr="00E8119A">
              <w:t>непривичн</w:t>
            </w:r>
            <w:proofErr w:type="spellEnd"/>
            <w:r w:rsidRPr="00E8119A">
              <w:t xml:space="preserve"> о усещане</w:t>
            </w:r>
          </w:p>
        </w:tc>
        <w:tc>
          <w:tcPr>
            <w:tcW w:w="2127" w:type="dxa"/>
          </w:tcPr>
          <w:p w14:paraId="1B336931" w14:textId="3E5FBBE5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t>Оток, умора</w:t>
            </w:r>
          </w:p>
        </w:tc>
        <w:tc>
          <w:tcPr>
            <w:tcW w:w="1369" w:type="dxa"/>
          </w:tcPr>
          <w:p w14:paraId="1E574B2E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5EBD70A" w14:textId="79B80BF1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E8119A">
              <w:t>Пирексия</w:t>
            </w:r>
            <w:proofErr w:type="spellEnd"/>
          </w:p>
        </w:tc>
      </w:tr>
      <w:tr w:rsidR="00154E9A" w:rsidRPr="00E8119A" w14:paraId="23E3CE05" w14:textId="77777777" w:rsidTr="00154E9A">
        <w:tc>
          <w:tcPr>
            <w:tcW w:w="1502" w:type="dxa"/>
          </w:tcPr>
          <w:p w14:paraId="4A221DC8" w14:textId="24AF0EE5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t>Изследвани я</w:t>
            </w:r>
          </w:p>
        </w:tc>
        <w:tc>
          <w:tcPr>
            <w:tcW w:w="1190" w:type="dxa"/>
          </w:tcPr>
          <w:p w14:paraId="19DD4F22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14:paraId="5A319E25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8CE6A1" w14:textId="6ADB21DC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E8119A">
              <w:t>Хипербилирубине</w:t>
            </w:r>
            <w:proofErr w:type="spellEnd"/>
            <w:r w:rsidRPr="00E8119A">
              <w:t xml:space="preserve"> мия</w:t>
            </w:r>
          </w:p>
        </w:tc>
        <w:tc>
          <w:tcPr>
            <w:tcW w:w="1369" w:type="dxa"/>
          </w:tcPr>
          <w:p w14:paraId="04788BA1" w14:textId="73AED760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t xml:space="preserve">Повишен калий в кръвта, повишена гама </w:t>
            </w:r>
            <w:proofErr w:type="spellStart"/>
            <w:r w:rsidRPr="00E8119A">
              <w:t>глутамилтран</w:t>
            </w:r>
            <w:proofErr w:type="spellEnd"/>
            <w:r w:rsidRPr="00E8119A">
              <w:t xml:space="preserve"> </w:t>
            </w:r>
            <w:proofErr w:type="spellStart"/>
            <w:r w:rsidRPr="00E8119A">
              <w:t>сфераза</w:t>
            </w:r>
            <w:proofErr w:type="spellEnd"/>
            <w:r w:rsidRPr="00E8119A">
              <w:t xml:space="preserve">, повишена </w:t>
            </w:r>
            <w:proofErr w:type="spellStart"/>
            <w:r w:rsidRPr="00E8119A">
              <w:t>липаза</w:t>
            </w:r>
            <w:proofErr w:type="spellEnd"/>
            <w:r w:rsidRPr="00E8119A">
              <w:t xml:space="preserve">, повишен </w:t>
            </w:r>
            <w:proofErr w:type="spellStart"/>
            <w:r w:rsidRPr="00E8119A">
              <w:t>имуноглобул</w:t>
            </w:r>
            <w:proofErr w:type="spellEnd"/>
            <w:r w:rsidRPr="00E8119A">
              <w:t xml:space="preserve"> ин</w:t>
            </w:r>
          </w:p>
        </w:tc>
        <w:tc>
          <w:tcPr>
            <w:tcW w:w="1980" w:type="dxa"/>
          </w:tcPr>
          <w:p w14:paraId="1F914A80" w14:textId="158971CB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t xml:space="preserve">Понижен брой </w:t>
            </w:r>
            <w:proofErr w:type="spellStart"/>
            <w:r w:rsidRPr="00E8119A">
              <w:t>тромбоцити</w:t>
            </w:r>
            <w:proofErr w:type="spellEnd"/>
            <w:r w:rsidRPr="00E8119A">
              <w:t xml:space="preserve">, повишен </w:t>
            </w:r>
            <w:proofErr w:type="spellStart"/>
            <w:r w:rsidRPr="00E8119A">
              <w:t>креатинин</w:t>
            </w:r>
            <w:proofErr w:type="spellEnd"/>
            <w:r w:rsidRPr="00E8119A">
              <w:t xml:space="preserve"> в кръвта, повишена урея в кръвта, повишена алкална </w:t>
            </w:r>
            <w:proofErr w:type="spellStart"/>
            <w:r w:rsidRPr="00E8119A">
              <w:t>фосфатаза</w:t>
            </w:r>
            <w:proofErr w:type="spellEnd"/>
            <w:r w:rsidRPr="00E8119A">
              <w:t xml:space="preserve"> в кръвта, повишена </w:t>
            </w:r>
            <w:proofErr w:type="spellStart"/>
            <w:r w:rsidRPr="00E8119A">
              <w:t>лактат</w:t>
            </w:r>
            <w:proofErr w:type="spellEnd"/>
            <w:r w:rsidRPr="00E8119A">
              <w:t xml:space="preserve"> </w:t>
            </w:r>
            <w:proofErr w:type="spellStart"/>
            <w:r w:rsidRPr="00E8119A">
              <w:t>дехидрогеназа</w:t>
            </w:r>
            <w:proofErr w:type="spellEnd"/>
            <w:r w:rsidRPr="00E8119A">
              <w:t xml:space="preserve"> в кръвта, повишена аспартат </w:t>
            </w:r>
            <w:proofErr w:type="spellStart"/>
            <w:r w:rsidRPr="00E8119A">
              <w:t>аминотрансфераза</w:t>
            </w:r>
            <w:proofErr w:type="spellEnd"/>
            <w:r w:rsidRPr="00E8119A">
              <w:t xml:space="preserve">, повишена </w:t>
            </w:r>
            <w:proofErr w:type="spellStart"/>
            <w:r w:rsidRPr="00E8119A">
              <w:t>аланин</w:t>
            </w:r>
            <w:proofErr w:type="spellEnd"/>
            <w:r w:rsidRPr="00E8119A">
              <w:t xml:space="preserve"> </w:t>
            </w:r>
            <w:proofErr w:type="spellStart"/>
            <w:r w:rsidRPr="00E8119A">
              <w:t>аминотрансфераза</w:t>
            </w:r>
            <w:proofErr w:type="spellEnd"/>
            <w:r w:rsidRPr="00E8119A">
              <w:t>, повишени чернодробни ензими, намален хемоглобин, намален хематокрит, отклонения в електрокардиограма</w:t>
            </w:r>
          </w:p>
        </w:tc>
      </w:tr>
      <w:tr w:rsidR="00154E9A" w:rsidRPr="00E8119A" w14:paraId="5E845BF1" w14:textId="77777777" w:rsidTr="00154E9A">
        <w:tc>
          <w:tcPr>
            <w:tcW w:w="1502" w:type="dxa"/>
          </w:tcPr>
          <w:p w14:paraId="75634E29" w14:textId="54DF2C39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t>Наранява</w:t>
            </w:r>
            <w:r w:rsidRPr="00E8119A">
              <w:softHyphen/>
              <w:t>ния, отравяния и усложне</w:t>
            </w:r>
            <w:r w:rsidRPr="00E8119A">
              <w:softHyphen/>
              <w:t>ния, възникнали в резултат на интервенци и</w:t>
            </w:r>
          </w:p>
        </w:tc>
        <w:tc>
          <w:tcPr>
            <w:tcW w:w="1190" w:type="dxa"/>
          </w:tcPr>
          <w:p w14:paraId="7DBA6B82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408" w:type="dxa"/>
          </w:tcPr>
          <w:p w14:paraId="73BB5ABA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947F30" w14:textId="10B05862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E8119A">
              <w:t>Нараняване</w:t>
            </w:r>
          </w:p>
        </w:tc>
        <w:tc>
          <w:tcPr>
            <w:tcW w:w="1369" w:type="dxa"/>
          </w:tcPr>
          <w:p w14:paraId="5CE04ABF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3A07A66" w14:textId="77777777" w:rsidR="00154E9A" w:rsidRPr="00E8119A" w:rsidRDefault="00154E9A" w:rsidP="00154E9A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70EC9F21" w14:textId="77777777" w:rsidR="00F07F0E" w:rsidRPr="00E8119A" w:rsidRDefault="00F07F0E" w:rsidP="00F07F0E">
      <w:pPr>
        <w:spacing w:line="240" w:lineRule="auto"/>
        <w:rPr>
          <w:rFonts w:eastAsia="Times New Roman" w:cs="Arial"/>
          <w:sz w:val="24"/>
          <w:szCs w:val="24"/>
        </w:rPr>
      </w:pPr>
    </w:p>
    <w:p w14:paraId="661F36A1" w14:textId="77777777" w:rsidR="00154E9A" w:rsidRPr="00E8119A" w:rsidRDefault="00154E9A" w:rsidP="00154E9A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i/>
          <w:iCs/>
          <w:color w:val="000000"/>
          <w:lang w:eastAsia="bg-BG"/>
        </w:rPr>
        <w:t>*Показва АСЕ</w:t>
      </w:r>
      <w:r w:rsidRPr="00E8119A">
        <w:rPr>
          <w:rFonts w:eastAsia="Times New Roman" w:cs="Arial"/>
          <w:i/>
          <w:iCs/>
          <w:color w:val="000000"/>
        </w:rPr>
        <w:t>I</w:t>
      </w:r>
      <w:r w:rsidRPr="00E8119A">
        <w:rPr>
          <w:rFonts w:eastAsia="Times New Roman" w:cs="Arial"/>
          <w:i/>
          <w:iCs/>
          <w:color w:val="000000"/>
          <w:lang w:eastAsia="bg-BG"/>
        </w:rPr>
        <w:t xml:space="preserve"> клас нежелани лекарствени реакции</w:t>
      </w:r>
    </w:p>
    <w:p w14:paraId="2A54C2D8" w14:textId="77777777" w:rsidR="00154E9A" w:rsidRPr="00E8119A" w:rsidRDefault="00154E9A" w:rsidP="00154E9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67FB82C" w14:textId="2C99FB91" w:rsidR="00154E9A" w:rsidRPr="00E8119A" w:rsidRDefault="00154E9A" w:rsidP="00154E9A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7CC94938" w14:textId="77777777" w:rsidR="00154E9A" w:rsidRPr="00E8119A" w:rsidRDefault="00154E9A" w:rsidP="00154E9A">
      <w:pPr>
        <w:spacing w:line="240" w:lineRule="auto"/>
        <w:rPr>
          <w:rFonts w:eastAsia="Times New Roman" w:cs="Arial"/>
        </w:rPr>
      </w:pPr>
      <w:r w:rsidRPr="00E8119A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националната система за съобщаване:</w:t>
      </w:r>
    </w:p>
    <w:p w14:paraId="39BCCA80" w14:textId="77777777" w:rsidR="00154E9A" w:rsidRPr="00E8119A" w:rsidRDefault="00154E9A" w:rsidP="00154E9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10A7725" w14:textId="77777777" w:rsidR="00154E9A" w:rsidRPr="00E8119A" w:rsidRDefault="00154E9A" w:rsidP="00154E9A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E8119A">
        <w:rPr>
          <w:rFonts w:eastAsia="Times New Roman" w:cs="Arial"/>
          <w:color w:val="000000"/>
          <w:lang w:eastAsia="bg-BG"/>
        </w:rPr>
        <w:t xml:space="preserve">Изпълнителна агенция по лекарствата </w:t>
      </w:r>
    </w:p>
    <w:p w14:paraId="1CCE9EC0" w14:textId="77777777" w:rsidR="00154E9A" w:rsidRPr="00E8119A" w:rsidRDefault="00154E9A" w:rsidP="00154E9A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E8119A">
        <w:rPr>
          <w:rFonts w:eastAsia="Times New Roman" w:cs="Arial"/>
          <w:color w:val="000000"/>
          <w:lang w:eastAsia="bg-BG"/>
        </w:rPr>
        <w:t xml:space="preserve">ул. „Дамян Груев” № 8 </w:t>
      </w:r>
    </w:p>
    <w:p w14:paraId="2BF10643" w14:textId="77777777" w:rsidR="00154E9A" w:rsidRPr="00E8119A" w:rsidRDefault="00154E9A" w:rsidP="00154E9A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E8119A">
        <w:rPr>
          <w:rFonts w:eastAsia="Times New Roman" w:cs="Arial"/>
          <w:color w:val="000000"/>
          <w:lang w:eastAsia="bg-BG"/>
        </w:rPr>
        <w:t xml:space="preserve">1303 София </w:t>
      </w:r>
    </w:p>
    <w:p w14:paraId="408FA6EC" w14:textId="77777777" w:rsidR="00154E9A" w:rsidRPr="00E8119A" w:rsidRDefault="00154E9A" w:rsidP="00154E9A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E8119A">
        <w:rPr>
          <w:rFonts w:eastAsia="Times New Roman" w:cs="Arial"/>
          <w:color w:val="000000"/>
          <w:lang w:eastAsia="bg-BG"/>
        </w:rPr>
        <w:t xml:space="preserve">Тел.:+359 2 8903417 </w:t>
      </w:r>
    </w:p>
    <w:p w14:paraId="510AF65C" w14:textId="5889FBD9" w:rsidR="00154E9A" w:rsidRPr="00E8119A" w:rsidRDefault="00154E9A" w:rsidP="00154E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 xml:space="preserve">уебсайт: </w:t>
      </w:r>
      <w:hyperlink r:id="rId5" w:history="1">
        <w:r w:rsidRPr="00E8119A">
          <w:rPr>
            <w:rFonts w:eastAsia="Times New Roman" w:cs="Arial"/>
            <w:color w:val="000000"/>
            <w:u w:val="single"/>
          </w:rPr>
          <w:t>www.bda.bg</w:t>
        </w:r>
      </w:hyperlink>
    </w:p>
    <w:p w14:paraId="1D3838A6" w14:textId="77777777" w:rsidR="00F07F0E" w:rsidRPr="00E8119A" w:rsidRDefault="00F07F0E" w:rsidP="00F07F0E"/>
    <w:p w14:paraId="5A87DBA3" w14:textId="24146379" w:rsidR="007122AD" w:rsidRPr="00E8119A" w:rsidRDefault="002C50EE" w:rsidP="00936AD0">
      <w:pPr>
        <w:pStyle w:val="Heading2"/>
      </w:pPr>
      <w:r w:rsidRPr="00E8119A">
        <w:t>4.9. Предозиране</w:t>
      </w:r>
    </w:p>
    <w:p w14:paraId="3D38E95B" w14:textId="4B5D1E13" w:rsidR="00154E9A" w:rsidRPr="00E8119A" w:rsidRDefault="00154E9A" w:rsidP="00154E9A"/>
    <w:p w14:paraId="1821726D" w14:textId="77777777" w:rsidR="00154E9A" w:rsidRPr="00E8119A" w:rsidRDefault="00154E9A" w:rsidP="00154E9A">
      <w:pPr>
        <w:pStyle w:val="Heading3"/>
        <w:rPr>
          <w:rFonts w:eastAsia="Times New Roman"/>
          <w:u w:val="single"/>
        </w:rPr>
      </w:pPr>
      <w:r w:rsidRPr="00E8119A">
        <w:rPr>
          <w:rFonts w:eastAsia="Times New Roman"/>
          <w:u w:val="single"/>
          <w:lang w:eastAsia="bg-BG"/>
        </w:rPr>
        <w:t>Симптоми</w:t>
      </w:r>
    </w:p>
    <w:p w14:paraId="562F7EE9" w14:textId="77777777" w:rsidR="00154E9A" w:rsidRPr="00E8119A" w:rsidRDefault="00154E9A" w:rsidP="00154E9A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>Симптомите на предозиране са тежка хипотония, шок, ступор, брадикардия, електролитни нарушения и бъбречна недостатъчност.</w:t>
      </w:r>
    </w:p>
    <w:p w14:paraId="0AEE9DB6" w14:textId="77777777" w:rsidR="00154E9A" w:rsidRPr="00E8119A" w:rsidRDefault="00154E9A" w:rsidP="00154E9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7249D23" w14:textId="271926B4" w:rsidR="00154E9A" w:rsidRPr="00E8119A" w:rsidRDefault="00154E9A" w:rsidP="00154E9A">
      <w:pPr>
        <w:pStyle w:val="Heading3"/>
        <w:rPr>
          <w:rFonts w:eastAsia="Times New Roman"/>
          <w:u w:val="single"/>
        </w:rPr>
      </w:pPr>
      <w:r w:rsidRPr="00E8119A">
        <w:rPr>
          <w:rFonts w:eastAsia="Times New Roman"/>
          <w:u w:val="single"/>
          <w:lang w:eastAsia="bg-BG"/>
        </w:rPr>
        <w:t>Лечение</w:t>
      </w:r>
    </w:p>
    <w:p w14:paraId="52AD4884" w14:textId="77777777" w:rsidR="00154E9A" w:rsidRPr="00E8119A" w:rsidRDefault="00154E9A" w:rsidP="00154E9A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 xml:space="preserve">След поглъщане на предозиран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капсули, трябва да се обмисли извършването на пълна промивка на стомаха.</w:t>
      </w:r>
    </w:p>
    <w:p w14:paraId="5CC3D315" w14:textId="77777777" w:rsidR="00154E9A" w:rsidRPr="00E8119A" w:rsidRDefault="00154E9A" w:rsidP="00154E9A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 xml:space="preserve">Кръвното налягане трябва да се наблюдава и ако се развие хипотония, трябва да се имат предвид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обемозаместващи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разтвори.</w:t>
      </w:r>
    </w:p>
    <w:p w14:paraId="4E57ACD2" w14:textId="5F85B261" w:rsidR="00154E9A" w:rsidRPr="00E8119A" w:rsidRDefault="00154E9A" w:rsidP="00154E9A">
      <w:pPr>
        <w:rPr>
          <w:rFonts w:cs="Arial"/>
        </w:rPr>
      </w:pPr>
      <w:r w:rsidRPr="00E8119A">
        <w:rPr>
          <w:rFonts w:eastAsia="Times New Roman" w:cs="Arial"/>
          <w:color w:val="000000"/>
          <w:lang w:eastAsia="bg-BG"/>
        </w:rPr>
        <w:t xml:space="preserve">Няма специфичен антидот при предозиране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>.</w:t>
      </w:r>
    </w:p>
    <w:p w14:paraId="02081B24" w14:textId="1F46E296" w:rsidR="00395555" w:rsidRPr="00E8119A" w:rsidRDefault="002C50EE" w:rsidP="008A6AF2">
      <w:pPr>
        <w:pStyle w:val="Heading1"/>
      </w:pPr>
      <w:r w:rsidRPr="00E8119A">
        <w:t>5. ФАРМАКОЛОГИЧНИ СВОЙСТВА</w:t>
      </w:r>
    </w:p>
    <w:p w14:paraId="7DE36AC8" w14:textId="5D8F17CE" w:rsidR="00B6672E" w:rsidRPr="00E8119A" w:rsidRDefault="002C50EE" w:rsidP="00936AD0">
      <w:pPr>
        <w:pStyle w:val="Heading2"/>
      </w:pPr>
      <w:r w:rsidRPr="00E8119A">
        <w:t xml:space="preserve">5.1. </w:t>
      </w:r>
      <w:proofErr w:type="spellStart"/>
      <w:r w:rsidRPr="00E8119A">
        <w:t>Фармакодинамични</w:t>
      </w:r>
      <w:proofErr w:type="spellEnd"/>
      <w:r w:rsidRPr="00E8119A">
        <w:t xml:space="preserve"> свойства</w:t>
      </w:r>
    </w:p>
    <w:p w14:paraId="55911027" w14:textId="39258B99" w:rsidR="00154E9A" w:rsidRPr="00E8119A" w:rsidRDefault="00154E9A" w:rsidP="00154E9A"/>
    <w:p w14:paraId="66EBD15A" w14:textId="77777777" w:rsidR="00154E9A" w:rsidRPr="00E8119A" w:rsidRDefault="00154E9A" w:rsidP="00154E9A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>Фармакотерапевтична група: АСЕ-инхибитори, АТС код: С09АА10</w:t>
      </w:r>
    </w:p>
    <w:p w14:paraId="7D6273AA" w14:textId="77777777" w:rsidR="00154E9A" w:rsidRPr="00E8119A" w:rsidRDefault="00154E9A" w:rsidP="00154E9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FCB5CDC" w14:textId="56790FDD" w:rsidR="00154E9A" w:rsidRPr="00E8119A" w:rsidRDefault="00154E9A" w:rsidP="00154E9A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u w:val="single"/>
          <w:lang w:eastAsia="bg-BG"/>
        </w:rPr>
        <w:t>Механизъм на действие</w:t>
      </w:r>
    </w:p>
    <w:p w14:paraId="37B65032" w14:textId="77777777" w:rsidR="00154E9A" w:rsidRPr="00E8119A" w:rsidRDefault="00154E9A" w:rsidP="00154E9A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 xml:space="preserve">Капсулите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Гоптен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съдържат пред-лекарството </w:t>
      </w:r>
      <w:r w:rsidRPr="00E8119A">
        <w:rPr>
          <w:rFonts w:eastAsia="Times New Roman" w:cs="Arial"/>
          <w:color w:val="000000"/>
        </w:rPr>
        <w:t>("</w:t>
      </w:r>
      <w:proofErr w:type="spellStart"/>
      <w:r w:rsidRPr="00E8119A">
        <w:rPr>
          <w:rFonts w:eastAsia="Times New Roman" w:cs="Arial"/>
          <w:color w:val="000000"/>
        </w:rPr>
        <w:t>prodrug</w:t>
      </w:r>
      <w:proofErr w:type="spellEnd"/>
      <w:r w:rsidRPr="00E8119A">
        <w:rPr>
          <w:rFonts w:eastAsia="Times New Roman" w:cs="Arial"/>
          <w:color w:val="000000"/>
        </w:rPr>
        <w:t xml:space="preserve">")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</w:t>
      </w:r>
      <w:proofErr w:type="spellEnd"/>
      <w:r w:rsidRPr="00E8119A">
        <w:rPr>
          <w:rFonts w:eastAsia="Times New Roman" w:cs="Arial"/>
          <w:color w:val="000000"/>
          <w:lang w:eastAsia="bg-BG"/>
        </w:rPr>
        <w:t>, който е не-</w:t>
      </w:r>
      <w:proofErr w:type="spellStart"/>
      <w:r w:rsidRPr="00E8119A">
        <w:rPr>
          <w:rFonts w:eastAsia="Times New Roman" w:cs="Arial"/>
          <w:color w:val="000000"/>
          <w:lang w:eastAsia="bg-BG"/>
        </w:rPr>
        <w:t>пептиден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АСЕ-инхибитор с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карбоксилна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но без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сулфхидрилна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група.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се абсорбира бързо, след което се хидролизира неспецифично до неговия мощен, дълго действащ метаболит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трандолаприлат</w:t>
      </w:r>
      <w:proofErr w:type="spellEnd"/>
      <w:r w:rsidRPr="00E8119A">
        <w:rPr>
          <w:rFonts w:eastAsia="Times New Roman" w:cs="Arial"/>
          <w:color w:val="000000"/>
          <w:lang w:eastAsia="bg-BG"/>
        </w:rPr>
        <w:t>.</w:t>
      </w:r>
    </w:p>
    <w:p w14:paraId="196C7089" w14:textId="77777777" w:rsidR="00154E9A" w:rsidRPr="00E8119A" w:rsidRDefault="00154E9A" w:rsidP="00154E9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82F53C5" w14:textId="44FC2D8E" w:rsidR="00154E9A" w:rsidRPr="00E8119A" w:rsidRDefault="00154E9A" w:rsidP="00154E9A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E8119A">
        <w:rPr>
          <w:rFonts w:eastAsia="Times New Roman" w:cs="Arial"/>
          <w:color w:val="000000"/>
          <w:u w:val="single"/>
          <w:lang w:eastAsia="bg-BG"/>
        </w:rPr>
        <w:t>Фармакодинамични</w:t>
      </w:r>
      <w:proofErr w:type="spellEnd"/>
      <w:r w:rsidRPr="00E8119A">
        <w:rPr>
          <w:rFonts w:eastAsia="Times New Roman" w:cs="Arial"/>
          <w:color w:val="000000"/>
          <w:u w:val="single"/>
          <w:lang w:eastAsia="bg-BG"/>
        </w:rPr>
        <w:t xml:space="preserve"> ефекти</w:t>
      </w:r>
    </w:p>
    <w:p w14:paraId="7AADA2F3" w14:textId="77777777" w:rsidR="00154E9A" w:rsidRPr="00E8119A" w:rsidRDefault="00154E9A" w:rsidP="00154E9A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Трандолаприлат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се свързва здраво и по механизъм на насищането с АСЕ.</w:t>
      </w:r>
    </w:p>
    <w:p w14:paraId="7251442D" w14:textId="77777777" w:rsidR="00154E9A" w:rsidRPr="00E8119A" w:rsidRDefault="00154E9A" w:rsidP="00154E9A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 xml:space="preserve">Приемът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води до понижаване на концентрациите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ангиотензин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II,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алдостерон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атриален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натриуретичен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фактор, както и до повишаване на плазмената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ренинова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активност и концентрациите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ангиотензин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I. По този начин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модулира системата ренин-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ангиотензин-алдостерон</w:t>
      </w:r>
      <w:proofErr w:type="spellEnd"/>
      <w:r w:rsidRPr="00E8119A">
        <w:rPr>
          <w:rFonts w:eastAsia="Times New Roman" w:cs="Arial"/>
          <w:color w:val="000000"/>
          <w:lang w:eastAsia="bg-BG"/>
        </w:rPr>
        <w:t>, която играе главна роля в регулацията на кръвния обем и кръвното налягане, и съответно има благоприятен антихипертензивен ефект.</w:t>
      </w:r>
    </w:p>
    <w:p w14:paraId="7E678BE3" w14:textId="77777777" w:rsidR="00154E9A" w:rsidRPr="00E8119A" w:rsidRDefault="00154E9A" w:rsidP="00154E9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2B174F3" w14:textId="70260A57" w:rsidR="00154E9A" w:rsidRPr="00E8119A" w:rsidRDefault="00154E9A" w:rsidP="00154E9A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u w:val="single"/>
          <w:lang w:eastAsia="bg-BG"/>
        </w:rPr>
        <w:t>Клинична ефикасност и безопасност</w:t>
      </w:r>
    </w:p>
    <w:p w14:paraId="5CE058D4" w14:textId="77777777" w:rsidR="00154E9A" w:rsidRPr="00E8119A" w:rsidRDefault="00154E9A" w:rsidP="00154E9A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lastRenderedPageBreak/>
        <w:t xml:space="preserve">Прилагането на обичайните терапевтични дози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при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хипертензивни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пациенти води до значително понижение на кръвното налягане, както при легнало, така и при изправено положение на тялото. Антихипертензивният ефект настъпва след 1 час, като неговия максимален ефект е между 8 и 12 часа и продължава най-малко 24 часа.</w:t>
      </w:r>
    </w:p>
    <w:p w14:paraId="25BCB2F4" w14:textId="77777777" w:rsidR="00154E9A" w:rsidRPr="00E8119A" w:rsidRDefault="00154E9A" w:rsidP="00154E9A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 xml:space="preserve">Свойствата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могат да обясняват получените резултати по отношение на регресията на хипертрофията на сърцето с подобряване на диастолната функция и артериалния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комплаянс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при хора. Освен това, е наблюдавано и намаляване на съдовата хипертрофия при животни.</w:t>
      </w:r>
    </w:p>
    <w:p w14:paraId="5859EFEC" w14:textId="77777777" w:rsidR="00154E9A" w:rsidRPr="00E8119A" w:rsidRDefault="00154E9A" w:rsidP="00154E9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32A10BB" w14:textId="656E6D09" w:rsidR="00154E9A" w:rsidRPr="00E8119A" w:rsidRDefault="00154E9A" w:rsidP="00154E9A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 xml:space="preserve">Две големи рандомизирани контролирани проучвания - </w:t>
      </w:r>
      <w:r w:rsidRPr="00E8119A">
        <w:rPr>
          <w:rFonts w:eastAsia="Times New Roman" w:cs="Arial"/>
          <w:color w:val="000000"/>
        </w:rPr>
        <w:t>ONTARGET (</w:t>
      </w:r>
      <w:proofErr w:type="spellStart"/>
      <w:r w:rsidRPr="00E8119A">
        <w:rPr>
          <w:rFonts w:eastAsia="Times New Roman" w:cs="Arial"/>
          <w:color w:val="000000"/>
        </w:rPr>
        <w:t>ONgoing</w:t>
      </w:r>
      <w:proofErr w:type="spellEnd"/>
      <w:r w:rsidRPr="00E8119A">
        <w:rPr>
          <w:rFonts w:eastAsia="Times New Roman" w:cs="Arial"/>
          <w:color w:val="000000"/>
        </w:rPr>
        <w:t xml:space="preserve"> </w:t>
      </w:r>
      <w:proofErr w:type="spellStart"/>
      <w:r w:rsidRPr="00E8119A">
        <w:rPr>
          <w:rFonts w:eastAsia="Times New Roman" w:cs="Arial"/>
          <w:color w:val="000000"/>
        </w:rPr>
        <w:t>Telmisartan</w:t>
      </w:r>
      <w:proofErr w:type="spellEnd"/>
      <w:r w:rsidRPr="00E8119A">
        <w:rPr>
          <w:rFonts w:eastAsia="Times New Roman" w:cs="Arial"/>
          <w:color w:val="000000"/>
        </w:rPr>
        <w:t xml:space="preserve"> </w:t>
      </w:r>
      <w:proofErr w:type="spellStart"/>
      <w:r w:rsidRPr="00E8119A">
        <w:rPr>
          <w:rFonts w:eastAsia="Times New Roman" w:cs="Arial"/>
          <w:color w:val="000000"/>
        </w:rPr>
        <w:t>Alone</w:t>
      </w:r>
      <w:proofErr w:type="spellEnd"/>
      <w:r w:rsidRPr="00E8119A">
        <w:rPr>
          <w:rFonts w:eastAsia="Times New Roman" w:cs="Arial"/>
          <w:color w:val="000000"/>
        </w:rPr>
        <w:t xml:space="preserve"> </w:t>
      </w:r>
      <w:proofErr w:type="spellStart"/>
      <w:r w:rsidRPr="00E8119A">
        <w:rPr>
          <w:rFonts w:eastAsia="Times New Roman" w:cs="Arial"/>
          <w:color w:val="000000"/>
        </w:rPr>
        <w:t>and</w:t>
      </w:r>
      <w:proofErr w:type="spellEnd"/>
      <w:r w:rsidRPr="00E8119A">
        <w:rPr>
          <w:rFonts w:eastAsia="Times New Roman" w:cs="Arial"/>
          <w:color w:val="000000"/>
        </w:rPr>
        <w:t xml:space="preserve"> </w:t>
      </w:r>
      <w:proofErr w:type="spellStart"/>
      <w:r w:rsidRPr="00E8119A">
        <w:rPr>
          <w:rFonts w:eastAsia="Times New Roman" w:cs="Arial"/>
          <w:color w:val="000000"/>
        </w:rPr>
        <w:t>in</w:t>
      </w:r>
      <w:proofErr w:type="spellEnd"/>
      <w:r w:rsidRPr="00E8119A">
        <w:rPr>
          <w:rFonts w:eastAsia="Times New Roman" w:cs="Arial"/>
          <w:color w:val="000000"/>
        </w:rPr>
        <w:t xml:space="preserve"> </w:t>
      </w:r>
      <w:proofErr w:type="spellStart"/>
      <w:r w:rsidRPr="00E8119A">
        <w:rPr>
          <w:rFonts w:eastAsia="Times New Roman" w:cs="Arial"/>
          <w:color w:val="000000"/>
        </w:rPr>
        <w:t>combination</w:t>
      </w:r>
      <w:proofErr w:type="spellEnd"/>
      <w:r w:rsidRPr="00E8119A">
        <w:rPr>
          <w:rFonts w:eastAsia="Times New Roman" w:cs="Arial"/>
          <w:color w:val="000000"/>
        </w:rPr>
        <w:t xml:space="preserve"> </w:t>
      </w:r>
      <w:proofErr w:type="spellStart"/>
      <w:r w:rsidRPr="00E8119A">
        <w:rPr>
          <w:rFonts w:eastAsia="Times New Roman" w:cs="Arial"/>
          <w:color w:val="000000"/>
        </w:rPr>
        <w:t>with</w:t>
      </w:r>
      <w:proofErr w:type="spellEnd"/>
      <w:r w:rsidRPr="00E8119A">
        <w:rPr>
          <w:rFonts w:eastAsia="Times New Roman" w:cs="Arial"/>
          <w:color w:val="000000"/>
        </w:rPr>
        <w:t xml:space="preserve"> </w:t>
      </w:r>
      <w:proofErr w:type="spellStart"/>
      <w:r w:rsidRPr="00E8119A">
        <w:rPr>
          <w:rFonts w:eastAsia="Times New Roman" w:cs="Arial"/>
          <w:color w:val="000000"/>
        </w:rPr>
        <w:t>Ramipril</w:t>
      </w:r>
      <w:proofErr w:type="spellEnd"/>
      <w:r w:rsidRPr="00E8119A">
        <w:rPr>
          <w:rFonts w:eastAsia="Times New Roman" w:cs="Arial"/>
          <w:color w:val="000000"/>
        </w:rPr>
        <w:t xml:space="preserve"> </w:t>
      </w:r>
      <w:proofErr w:type="spellStart"/>
      <w:r w:rsidRPr="00E8119A">
        <w:rPr>
          <w:rFonts w:eastAsia="Times New Roman" w:cs="Arial"/>
          <w:color w:val="000000"/>
        </w:rPr>
        <w:t>Global</w:t>
      </w:r>
      <w:proofErr w:type="spellEnd"/>
      <w:r w:rsidRPr="00E8119A">
        <w:rPr>
          <w:rFonts w:eastAsia="Times New Roman" w:cs="Arial"/>
          <w:color w:val="000000"/>
        </w:rPr>
        <w:t xml:space="preserve"> </w:t>
      </w:r>
      <w:proofErr w:type="spellStart"/>
      <w:r w:rsidRPr="00E8119A">
        <w:rPr>
          <w:rFonts w:eastAsia="Times New Roman" w:cs="Arial"/>
          <w:color w:val="000000"/>
        </w:rPr>
        <w:t>Endpoint</w:t>
      </w:r>
      <w:proofErr w:type="spellEnd"/>
      <w:r w:rsidRPr="00E8119A">
        <w:rPr>
          <w:rFonts w:eastAsia="Times New Roman" w:cs="Arial"/>
          <w:color w:val="000000"/>
        </w:rPr>
        <w:t xml:space="preserve"> </w:t>
      </w:r>
      <w:proofErr w:type="spellStart"/>
      <w:r w:rsidRPr="00E8119A">
        <w:rPr>
          <w:rFonts w:eastAsia="Times New Roman" w:cs="Arial"/>
          <w:color w:val="000000"/>
        </w:rPr>
        <w:t>Trial</w:t>
      </w:r>
      <w:proofErr w:type="spellEnd"/>
      <w:r w:rsidRPr="00E8119A">
        <w:rPr>
          <w:rFonts w:eastAsia="Times New Roman" w:cs="Arial"/>
          <w:color w:val="000000"/>
        </w:rPr>
        <w:t xml:space="preserve"> - </w:t>
      </w:r>
      <w:r w:rsidRPr="00E8119A">
        <w:rPr>
          <w:rFonts w:eastAsia="Times New Roman" w:cs="Arial"/>
          <w:color w:val="000000"/>
          <w:lang w:eastAsia="bg-BG"/>
        </w:rPr>
        <w:t xml:space="preserve">текущо глобално изпитване за крайни точки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телмисартан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самостоятелно и в комбинация с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рамиприл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) и </w:t>
      </w:r>
      <w:r w:rsidRPr="00E8119A">
        <w:rPr>
          <w:rFonts w:eastAsia="Times New Roman" w:cs="Arial"/>
          <w:color w:val="000000"/>
        </w:rPr>
        <w:t xml:space="preserve">VA NEPHRON-D </w:t>
      </w:r>
      <w:r w:rsidRPr="00E8119A">
        <w:rPr>
          <w:rFonts w:eastAsia="Times New Roman" w:cs="Arial"/>
          <w:color w:val="000000"/>
          <w:lang w:eastAsia="bg-BG"/>
        </w:rPr>
        <w:t xml:space="preserve">(Клинично проучване свързано с развитие на нефропатия при диабет, </w:t>
      </w:r>
      <w:r w:rsidRPr="00E8119A">
        <w:rPr>
          <w:rFonts w:eastAsia="Times New Roman" w:cs="Arial"/>
          <w:i/>
          <w:iCs/>
          <w:color w:val="000000"/>
          <w:lang w:eastAsia="bg-BG"/>
        </w:rPr>
        <w:t>проведено от</w:t>
      </w:r>
      <w:r w:rsidRPr="00E8119A">
        <w:rPr>
          <w:rFonts w:eastAsia="Times New Roman" w:cs="Arial"/>
          <w:color w:val="000000"/>
          <w:lang w:eastAsia="bg-BG"/>
        </w:rPr>
        <w:t xml:space="preserve"> Министерство по въпросите на ветераните) - проучват употребата на комбинацията от АСЕ-инхибитор 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ангиотензин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</w:t>
      </w:r>
      <w:r w:rsidRPr="00E8119A">
        <w:rPr>
          <w:rFonts w:eastAsia="Times New Roman" w:cs="Arial"/>
          <w:color w:val="000000"/>
        </w:rPr>
        <w:t>II</w:t>
      </w:r>
      <w:r w:rsidRPr="00E8119A">
        <w:rPr>
          <w:rFonts w:eastAsia="Times New Roman" w:cs="Arial"/>
          <w:color w:val="000000"/>
          <w:lang w:eastAsia="bg-BG"/>
        </w:rPr>
        <w:t xml:space="preserve">-рецепторен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блокер</w:t>
      </w:r>
      <w:proofErr w:type="spellEnd"/>
      <w:r w:rsidRPr="00E8119A">
        <w:rPr>
          <w:rFonts w:eastAsia="Times New Roman" w:cs="Arial"/>
          <w:color w:val="000000"/>
          <w:lang w:eastAsia="bg-BG"/>
        </w:rPr>
        <w:t>.</w:t>
      </w:r>
    </w:p>
    <w:p w14:paraId="3C643299" w14:textId="77777777" w:rsidR="00154E9A" w:rsidRPr="00E8119A" w:rsidRDefault="00154E9A" w:rsidP="00154E9A">
      <w:pPr>
        <w:spacing w:line="240" w:lineRule="auto"/>
        <w:rPr>
          <w:rFonts w:eastAsia="Times New Roman" w:cs="Arial"/>
          <w:color w:val="000000"/>
        </w:rPr>
      </w:pPr>
    </w:p>
    <w:p w14:paraId="0FD0CAD3" w14:textId="0D562208" w:rsidR="00154E9A" w:rsidRPr="00E8119A" w:rsidRDefault="00154E9A" w:rsidP="00154E9A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</w:rPr>
        <w:t xml:space="preserve">ONTARGET </w:t>
      </w:r>
      <w:r w:rsidRPr="00E8119A">
        <w:rPr>
          <w:rFonts w:eastAsia="Times New Roman" w:cs="Arial"/>
          <w:color w:val="000000"/>
          <w:lang w:eastAsia="bg-BG"/>
        </w:rPr>
        <w:t xml:space="preserve">е проучване, проведено при пациенти с анамнеза за сърдечно-съдова или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мозъчносъдова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болест, или захарен диабет тип 2, придружени с данни за увреждане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ефекторни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органи. </w:t>
      </w:r>
      <w:r w:rsidRPr="00E8119A">
        <w:rPr>
          <w:rFonts w:eastAsia="Times New Roman" w:cs="Arial"/>
          <w:color w:val="000000"/>
        </w:rPr>
        <w:t xml:space="preserve">VA NEPHRON-D </w:t>
      </w:r>
      <w:r w:rsidRPr="00E8119A">
        <w:rPr>
          <w:rFonts w:eastAsia="Times New Roman" w:cs="Arial"/>
          <w:color w:val="000000"/>
          <w:lang w:eastAsia="bg-BG"/>
        </w:rPr>
        <w:t>е проучване при пациенти със захарен диабет тип 2 и диабетна</w:t>
      </w:r>
    </w:p>
    <w:p w14:paraId="706947D8" w14:textId="6AF5D911" w:rsidR="00154E9A" w:rsidRPr="00E8119A" w:rsidRDefault="00154E9A" w:rsidP="00154E9A">
      <w:pPr>
        <w:rPr>
          <w:rFonts w:eastAsia="Times New Roman" w:cs="Arial"/>
          <w:color w:val="000000"/>
          <w:lang w:eastAsia="bg-BG"/>
        </w:rPr>
      </w:pPr>
      <w:r w:rsidRPr="00E8119A">
        <w:rPr>
          <w:rFonts w:eastAsia="Times New Roman" w:cs="Arial"/>
          <w:color w:val="000000"/>
          <w:lang w:eastAsia="bg-BG"/>
        </w:rPr>
        <w:t>нефропатия.</w:t>
      </w:r>
    </w:p>
    <w:p w14:paraId="749557EF" w14:textId="205B6848" w:rsidR="00154E9A" w:rsidRPr="00E8119A" w:rsidRDefault="00154E9A" w:rsidP="00154E9A">
      <w:pPr>
        <w:rPr>
          <w:rFonts w:eastAsia="Times New Roman" w:cs="Arial"/>
          <w:color w:val="000000"/>
          <w:lang w:eastAsia="bg-BG"/>
        </w:rPr>
      </w:pPr>
    </w:p>
    <w:p w14:paraId="585FBDA6" w14:textId="77777777" w:rsidR="00154E9A" w:rsidRPr="00E8119A" w:rsidRDefault="00154E9A" w:rsidP="00154E9A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>Тези проучвания не показват значим благоприятен ефект върху бъбречните и/или сърдечно</w:t>
      </w:r>
      <w:r w:rsidRPr="00E8119A">
        <w:rPr>
          <w:rFonts w:eastAsia="Times New Roman" w:cs="Arial"/>
          <w:color w:val="000000"/>
          <w:lang w:eastAsia="bg-BG"/>
        </w:rPr>
        <w:softHyphen/>
        <w:t xml:space="preserve">съдовите последици и смъртност, като същевременно са наблюдавани повишен риск от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хиперкалиемия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остро увреждане на бъбреците и/или хипотония в сравнение с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монотерапията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. Като се имат предвид сходните им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фармакодинамични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свойства, тези резултати са приложими и за други АСЕ-инхибитори 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ангиотензин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</w:t>
      </w:r>
      <w:r w:rsidRPr="00E8119A">
        <w:rPr>
          <w:rFonts w:eastAsia="Times New Roman" w:cs="Arial"/>
          <w:color w:val="000000"/>
        </w:rPr>
        <w:t>II</w:t>
      </w:r>
      <w:r w:rsidRPr="00E8119A">
        <w:rPr>
          <w:rFonts w:eastAsia="Times New Roman" w:cs="Arial"/>
          <w:color w:val="000000"/>
          <w:lang w:eastAsia="bg-BG"/>
        </w:rPr>
        <w:t xml:space="preserve">-рецепторни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блокери</w:t>
      </w:r>
      <w:proofErr w:type="spellEnd"/>
      <w:r w:rsidRPr="00E8119A">
        <w:rPr>
          <w:rFonts w:eastAsia="Times New Roman" w:cs="Arial"/>
          <w:color w:val="000000"/>
          <w:lang w:eastAsia="bg-BG"/>
        </w:rPr>
        <w:t>.</w:t>
      </w:r>
    </w:p>
    <w:p w14:paraId="2BC7403A" w14:textId="77777777" w:rsidR="00154E9A" w:rsidRPr="00E8119A" w:rsidRDefault="00154E9A" w:rsidP="00154E9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BFB79B2" w14:textId="10CD3718" w:rsidR="00154E9A" w:rsidRPr="00E8119A" w:rsidRDefault="00154E9A" w:rsidP="00154E9A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 xml:space="preserve">АСЕ-инхибитори 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ангиотензин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</w:t>
      </w:r>
      <w:r w:rsidRPr="00E8119A">
        <w:rPr>
          <w:rFonts w:eastAsia="Times New Roman" w:cs="Arial"/>
          <w:color w:val="000000"/>
        </w:rPr>
        <w:t>II</w:t>
      </w:r>
      <w:r w:rsidRPr="00E8119A">
        <w:rPr>
          <w:rFonts w:eastAsia="Times New Roman" w:cs="Arial"/>
          <w:color w:val="000000"/>
          <w:lang w:eastAsia="bg-BG"/>
        </w:rPr>
        <w:t xml:space="preserve">-рецепторни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блокери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следователно не трябва да се използват едновременно при пациенти с диабетна нефропатия.</w:t>
      </w:r>
    </w:p>
    <w:p w14:paraId="5D94E54C" w14:textId="77777777" w:rsidR="00154E9A" w:rsidRPr="00E8119A" w:rsidRDefault="00154E9A" w:rsidP="00154E9A">
      <w:pPr>
        <w:spacing w:line="240" w:lineRule="auto"/>
        <w:rPr>
          <w:rFonts w:eastAsia="Times New Roman" w:cs="Arial"/>
          <w:color w:val="000000"/>
        </w:rPr>
      </w:pPr>
    </w:p>
    <w:p w14:paraId="29788D30" w14:textId="15F7C6DE" w:rsidR="00154E9A" w:rsidRPr="00E8119A" w:rsidRDefault="00154E9A" w:rsidP="00154E9A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</w:rPr>
        <w:t xml:space="preserve">ALTITUDE </w:t>
      </w:r>
      <w:r w:rsidRPr="00E8119A">
        <w:rPr>
          <w:rFonts w:eastAsia="Times New Roman" w:cs="Arial"/>
          <w:color w:val="000000"/>
          <w:lang w:eastAsia="bg-BG"/>
        </w:rPr>
        <w:t xml:space="preserve">(Клинично проучване проведено с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алискирен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при пациенти със захарен диабет тип 2 с използване на сърдечно-съдови и бъбречни заболявания като крайни точки) е проучване, предназначено да изследва ползата от добавянето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алискирен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към стандартна терапия с АСЕ инхибитор или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ангиотензин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</w:t>
      </w:r>
      <w:r w:rsidRPr="00E8119A">
        <w:rPr>
          <w:rFonts w:eastAsia="Times New Roman" w:cs="Arial"/>
          <w:color w:val="000000"/>
        </w:rPr>
        <w:t>II</w:t>
      </w:r>
      <w:r w:rsidRPr="00E8119A">
        <w:rPr>
          <w:rFonts w:eastAsia="Times New Roman" w:cs="Arial"/>
          <w:color w:val="000000"/>
          <w:lang w:eastAsia="bg-BG"/>
        </w:rPr>
        <w:t xml:space="preserve">-рецепторен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блокер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при пациенти със захарен диабет тип 2 и хронично бъбречно заболяване, сърдечно-съдово заболяване или и двете. Проучването е прекратено преждевременно поради повишен риск от неблагоприятни последици. Както сърдечно</w:t>
      </w:r>
      <w:r w:rsidRPr="00E8119A">
        <w:rPr>
          <w:rFonts w:eastAsia="Times New Roman" w:cs="Arial"/>
          <w:color w:val="000000"/>
          <w:lang w:eastAsia="bg-BG"/>
        </w:rPr>
        <w:softHyphen/>
        <w:t xml:space="preserve">съдовата смърт, така и инсултът са по-чести в групата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алискирен</w:t>
      </w:r>
      <w:proofErr w:type="spellEnd"/>
      <w:r w:rsidRPr="00E8119A">
        <w:rPr>
          <w:rFonts w:eastAsia="Times New Roman" w:cs="Arial"/>
          <w:color w:val="000000"/>
          <w:lang w:eastAsia="bg-BG"/>
        </w:rPr>
        <w:t>, отколкото в групата на плацебо, а представляващите интерес нежелани събития и сериозни нежелани събития (</w:t>
      </w:r>
      <w:proofErr w:type="spellStart"/>
      <w:r w:rsidRPr="00E8119A">
        <w:rPr>
          <w:rFonts w:eastAsia="Times New Roman" w:cs="Arial"/>
          <w:color w:val="000000"/>
          <w:lang w:eastAsia="bg-BG"/>
        </w:rPr>
        <w:t>хиперкалиемия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хипотония и бъбречна дисфункция) се съобщават по-често в групата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алискирен</w:t>
      </w:r>
      <w:proofErr w:type="spellEnd"/>
      <w:r w:rsidRPr="00E8119A">
        <w:rPr>
          <w:rFonts w:eastAsia="Times New Roman" w:cs="Arial"/>
          <w:color w:val="000000"/>
          <w:lang w:eastAsia="bg-BG"/>
        </w:rPr>
        <w:t>, отколкото в групата на плацебо.</w:t>
      </w:r>
    </w:p>
    <w:p w14:paraId="6DBC60C1" w14:textId="77777777" w:rsidR="00154E9A" w:rsidRPr="00E8119A" w:rsidRDefault="00154E9A" w:rsidP="00154E9A"/>
    <w:p w14:paraId="78DD93AA" w14:textId="05F74800" w:rsidR="00B6672E" w:rsidRPr="00E8119A" w:rsidRDefault="002C50EE" w:rsidP="00936AD0">
      <w:pPr>
        <w:pStyle w:val="Heading2"/>
      </w:pPr>
      <w:r w:rsidRPr="00E8119A">
        <w:t>5.2. Фармакокинетични свойства</w:t>
      </w:r>
    </w:p>
    <w:p w14:paraId="7A91CDC3" w14:textId="468FA0A9" w:rsidR="00154E9A" w:rsidRPr="00E8119A" w:rsidRDefault="00154E9A" w:rsidP="00154E9A"/>
    <w:p w14:paraId="4958BDC7" w14:textId="77777777" w:rsidR="00154E9A" w:rsidRPr="00E8119A" w:rsidRDefault="00154E9A" w:rsidP="00154E9A">
      <w:pPr>
        <w:pStyle w:val="Heading3"/>
        <w:rPr>
          <w:rFonts w:eastAsia="Times New Roman"/>
          <w:u w:val="single"/>
        </w:rPr>
      </w:pPr>
      <w:r w:rsidRPr="00E8119A">
        <w:rPr>
          <w:rFonts w:eastAsia="Times New Roman"/>
          <w:u w:val="single"/>
          <w:lang w:eastAsia="bg-BG"/>
        </w:rPr>
        <w:t>Абсорбция</w:t>
      </w:r>
    </w:p>
    <w:p w14:paraId="6C7562EB" w14:textId="77777777" w:rsidR="00154E9A" w:rsidRPr="00E8119A" w:rsidRDefault="00154E9A" w:rsidP="00154E9A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 xml:space="preserve">След перорален прием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се резорбира много бързо. Пиковите плазмени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концентраци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се достигат за един час след приема. Абсолютната бионаличност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е около 10%.</w:t>
      </w:r>
    </w:p>
    <w:p w14:paraId="2CF14365" w14:textId="77777777" w:rsidR="00154E9A" w:rsidRPr="00E8119A" w:rsidRDefault="00154E9A" w:rsidP="00154E9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E60B33A" w14:textId="702740E3" w:rsidR="00154E9A" w:rsidRPr="00E8119A" w:rsidRDefault="00154E9A" w:rsidP="00154E9A">
      <w:pPr>
        <w:pStyle w:val="Heading3"/>
        <w:rPr>
          <w:rFonts w:eastAsia="Times New Roman"/>
          <w:u w:val="single"/>
        </w:rPr>
      </w:pPr>
      <w:r w:rsidRPr="00E8119A">
        <w:rPr>
          <w:rFonts w:eastAsia="Times New Roman"/>
          <w:u w:val="single"/>
          <w:lang w:eastAsia="bg-BG"/>
        </w:rPr>
        <w:lastRenderedPageBreak/>
        <w:t>Биотрансформация</w:t>
      </w:r>
    </w:p>
    <w:p w14:paraId="0EC89A9B" w14:textId="77777777" w:rsidR="00154E9A" w:rsidRPr="00E8119A" w:rsidRDefault="00154E9A" w:rsidP="00154E9A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се хидролизира до активния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диацид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метаболит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трандолаприлат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който е специфичен АСЕ-инхибитор. Пиковата плазмена концентрация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трандолаприлат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се достига след 3 до 8 часа. Абсолютната бионаличност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трандолаприлат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след прием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е около 13%.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С</w:t>
      </w:r>
      <w:r w:rsidRPr="00E8119A">
        <w:rPr>
          <w:rFonts w:eastAsia="Times New Roman" w:cs="Arial"/>
          <w:color w:val="000000"/>
          <w:vertAlign w:val="subscript"/>
        </w:rPr>
        <w:t>max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или </w:t>
      </w:r>
      <w:r w:rsidRPr="00E8119A">
        <w:rPr>
          <w:rFonts w:eastAsia="Times New Roman" w:cs="Arial"/>
          <w:color w:val="000000"/>
        </w:rPr>
        <w:t xml:space="preserve">AUC </w:t>
      </w:r>
      <w:r w:rsidRPr="00E8119A">
        <w:rPr>
          <w:rFonts w:eastAsia="Times New Roman" w:cs="Arial"/>
          <w:color w:val="000000"/>
          <w:lang w:eastAsia="bg-BG"/>
        </w:rPr>
        <w:t xml:space="preserve">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трандолаприлат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не се променя от приема на храна.</w:t>
      </w:r>
    </w:p>
    <w:p w14:paraId="7EE36DBB" w14:textId="77777777" w:rsidR="00154E9A" w:rsidRPr="00E8119A" w:rsidRDefault="00154E9A" w:rsidP="00154E9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0DFDA64" w14:textId="3EB34824" w:rsidR="00154E9A" w:rsidRPr="00E8119A" w:rsidRDefault="00154E9A" w:rsidP="00154E9A">
      <w:pPr>
        <w:pStyle w:val="Heading3"/>
        <w:rPr>
          <w:rFonts w:eastAsia="Times New Roman"/>
          <w:u w:val="single"/>
        </w:rPr>
      </w:pPr>
      <w:r w:rsidRPr="00E8119A">
        <w:rPr>
          <w:rFonts w:eastAsia="Times New Roman"/>
          <w:u w:val="single"/>
          <w:lang w:eastAsia="bg-BG"/>
        </w:rPr>
        <w:t>Разпределение</w:t>
      </w:r>
    </w:p>
    <w:p w14:paraId="66C9FD00" w14:textId="77777777" w:rsidR="00154E9A" w:rsidRPr="00E8119A" w:rsidRDefault="00154E9A" w:rsidP="00154E9A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 xml:space="preserve">Свързването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с плазмените протеини е около 80% и не зависи от концентрацията. Обемът на разпределение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е около 18 </w:t>
      </w:r>
      <w:r w:rsidRPr="00E8119A">
        <w:rPr>
          <w:rFonts w:eastAsia="Times New Roman" w:cs="Arial"/>
          <w:color w:val="000000"/>
        </w:rPr>
        <w:t xml:space="preserve">L. </w:t>
      </w:r>
      <w:r w:rsidRPr="00E8119A">
        <w:rPr>
          <w:rFonts w:eastAsia="Times New Roman" w:cs="Arial"/>
          <w:color w:val="000000"/>
          <w:lang w:eastAsia="bg-BG"/>
        </w:rPr>
        <w:t xml:space="preserve">Свързването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трандолаприлата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е зависимо от концентрацията и варира от 65% при 1 000 </w:t>
      </w:r>
      <w:proofErr w:type="spellStart"/>
      <w:r w:rsidRPr="00E8119A">
        <w:rPr>
          <w:rFonts w:eastAsia="Times New Roman" w:cs="Arial"/>
          <w:color w:val="000000"/>
        </w:rPr>
        <w:t>ng</w:t>
      </w:r>
      <w:proofErr w:type="spellEnd"/>
      <w:r w:rsidRPr="00E8119A">
        <w:rPr>
          <w:rFonts w:eastAsia="Times New Roman" w:cs="Arial"/>
          <w:color w:val="000000"/>
        </w:rPr>
        <w:t xml:space="preserve">/ml </w:t>
      </w:r>
      <w:r w:rsidRPr="00E8119A">
        <w:rPr>
          <w:rFonts w:eastAsia="Times New Roman" w:cs="Arial"/>
          <w:color w:val="000000"/>
          <w:lang w:eastAsia="bg-BG"/>
        </w:rPr>
        <w:t xml:space="preserve">до 94% при 0,1 </w:t>
      </w:r>
      <w:proofErr w:type="spellStart"/>
      <w:r w:rsidRPr="00E8119A">
        <w:rPr>
          <w:rFonts w:eastAsia="Times New Roman" w:cs="Arial"/>
          <w:color w:val="000000"/>
        </w:rPr>
        <w:t>ng</w:t>
      </w:r>
      <w:proofErr w:type="spellEnd"/>
      <w:r w:rsidRPr="00E8119A">
        <w:rPr>
          <w:rFonts w:eastAsia="Times New Roman" w:cs="Arial"/>
          <w:color w:val="000000"/>
        </w:rPr>
        <w:t xml:space="preserve">/ml, </w:t>
      </w:r>
      <w:r w:rsidRPr="00E8119A">
        <w:rPr>
          <w:rFonts w:eastAsia="Times New Roman" w:cs="Arial"/>
          <w:color w:val="000000"/>
          <w:lang w:eastAsia="bg-BG"/>
        </w:rPr>
        <w:t xml:space="preserve">което показва насищане на свързване с увеличаване на концентрацията. При здрави доброволци, концентрацията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в плазмата намалява бързо с среден полуживот по малко от 1 час.</w:t>
      </w:r>
    </w:p>
    <w:p w14:paraId="6CB87E82" w14:textId="77777777" w:rsidR="00154E9A" w:rsidRPr="00E8119A" w:rsidRDefault="00154E9A" w:rsidP="00154E9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DFBDE8F" w14:textId="75F5AB45" w:rsidR="00154E9A" w:rsidRPr="00E8119A" w:rsidRDefault="00154E9A" w:rsidP="00154E9A">
      <w:pPr>
        <w:pStyle w:val="Heading3"/>
        <w:rPr>
          <w:rFonts w:eastAsia="Times New Roman"/>
          <w:u w:val="single"/>
        </w:rPr>
      </w:pPr>
      <w:r w:rsidRPr="00E8119A">
        <w:rPr>
          <w:rFonts w:eastAsia="Times New Roman"/>
          <w:u w:val="single"/>
          <w:lang w:eastAsia="bg-BG"/>
        </w:rPr>
        <w:t>Биотрансформация</w:t>
      </w:r>
    </w:p>
    <w:p w14:paraId="729613ED" w14:textId="77777777" w:rsidR="00154E9A" w:rsidRPr="00E8119A" w:rsidRDefault="00154E9A" w:rsidP="00154E9A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 xml:space="preserve">При многократно приложение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, равновесно състояние за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трандолаприлат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се достига за около четири дни, както при здрави доброволци, така и при по-млади или в напреднала възраст пациенти с хипертония. При равновесно състояние, ефективният полуживот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трандолаприлат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е между 15 и 23 часа, включващ малка фракция от приетия продукт, вероятно отразяваща свързването с плазмения и тъканен АСЕ.</w:t>
      </w:r>
    </w:p>
    <w:p w14:paraId="5AB9B9F8" w14:textId="77777777" w:rsidR="00154E9A" w:rsidRPr="00E8119A" w:rsidRDefault="00154E9A" w:rsidP="00154E9A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2874E3B" w14:textId="7CDA3895" w:rsidR="00154E9A" w:rsidRPr="00E8119A" w:rsidRDefault="00154E9A" w:rsidP="00154E9A">
      <w:pPr>
        <w:pStyle w:val="Heading3"/>
        <w:rPr>
          <w:rFonts w:eastAsia="Times New Roman"/>
          <w:u w:val="single"/>
        </w:rPr>
      </w:pPr>
      <w:r w:rsidRPr="00E8119A">
        <w:rPr>
          <w:rFonts w:eastAsia="Times New Roman"/>
          <w:u w:val="single"/>
          <w:lang w:eastAsia="bg-BG"/>
        </w:rPr>
        <w:t>Елиминиране</w:t>
      </w:r>
    </w:p>
    <w:p w14:paraId="1BD0ECE7" w14:textId="77777777" w:rsidR="00154E9A" w:rsidRPr="00E8119A" w:rsidRDefault="00154E9A" w:rsidP="00154E9A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 xml:space="preserve">След перорално приложение на белязан продукт при хора, 33% от радиоактивността се открива в урината и 66% в изпражненията. Около 9-14% от приетата доза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се отделя като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трандолаприлат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в урината. Незначително количество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се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екскретира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непроменено в урината (&lt;0,5%).</w:t>
      </w:r>
    </w:p>
    <w:p w14:paraId="391D07A1" w14:textId="77777777" w:rsidR="00154E9A" w:rsidRPr="00E8119A" w:rsidRDefault="00154E9A" w:rsidP="00154E9A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 xml:space="preserve">Общият плазмен клирънс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трандолаприлат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след приблизително 2 </w:t>
      </w:r>
      <w:proofErr w:type="spellStart"/>
      <w:r w:rsidRPr="00E8119A">
        <w:rPr>
          <w:rFonts w:eastAsia="Times New Roman" w:cs="Arial"/>
          <w:color w:val="000000"/>
        </w:rPr>
        <w:t>mg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интравенозно е около 52 литра на час и 7 литра на час, съответно.</w:t>
      </w:r>
    </w:p>
    <w:p w14:paraId="29BA6E53" w14:textId="22203317" w:rsidR="00154E9A" w:rsidRPr="00E8119A" w:rsidRDefault="00154E9A" w:rsidP="00154E9A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E8119A">
        <w:rPr>
          <w:rFonts w:eastAsia="Times New Roman" w:cs="Arial"/>
          <w:color w:val="000000"/>
          <w:lang w:eastAsia="bg-BG"/>
        </w:rPr>
        <w:t xml:space="preserve">Бъбречният клирънс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трандолаприлат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варира от 0,15 до 4 литра за час, в зависимост от дозата</w:t>
      </w:r>
    </w:p>
    <w:p w14:paraId="4854C495" w14:textId="7706700D" w:rsidR="00154E9A" w:rsidRPr="00E8119A" w:rsidRDefault="00154E9A" w:rsidP="00154E9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58FE9F5" w14:textId="77777777" w:rsidR="00154E9A" w:rsidRPr="00E8119A" w:rsidRDefault="00154E9A" w:rsidP="00154E9A">
      <w:pPr>
        <w:pStyle w:val="Heading3"/>
        <w:rPr>
          <w:rFonts w:eastAsia="Times New Roman"/>
          <w:u w:val="single"/>
        </w:rPr>
      </w:pPr>
      <w:r w:rsidRPr="00E8119A">
        <w:rPr>
          <w:rFonts w:eastAsia="Times New Roman"/>
          <w:u w:val="single"/>
          <w:lang w:eastAsia="bg-BG"/>
        </w:rPr>
        <w:t>Специални популации</w:t>
      </w:r>
    </w:p>
    <w:p w14:paraId="031EC93C" w14:textId="77777777" w:rsidR="00154E9A" w:rsidRPr="00E8119A" w:rsidRDefault="00154E9A" w:rsidP="00154E9A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D0F383D" w14:textId="0DAEB9E9" w:rsidR="00154E9A" w:rsidRPr="00E8119A" w:rsidRDefault="00154E9A" w:rsidP="00154E9A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2BED6D01" w14:textId="77777777" w:rsidR="00154E9A" w:rsidRPr="00E8119A" w:rsidRDefault="00154E9A" w:rsidP="00154E9A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 xml:space="preserve">Фармакокинетиката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не е изследвана при лица под 18-годишна възраст.</w:t>
      </w:r>
    </w:p>
    <w:p w14:paraId="4DB899A6" w14:textId="77777777" w:rsidR="00154E9A" w:rsidRPr="00E8119A" w:rsidRDefault="00154E9A" w:rsidP="00154E9A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E7B87F8" w14:textId="4F1AAF01" w:rsidR="00154E9A" w:rsidRPr="00E8119A" w:rsidRDefault="00154E9A" w:rsidP="00154E9A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i/>
          <w:iCs/>
          <w:color w:val="000000"/>
          <w:lang w:eastAsia="bg-BG"/>
        </w:rPr>
        <w:t>Пациенти в старческа възраст и пол</w:t>
      </w:r>
    </w:p>
    <w:p w14:paraId="741C0F4E" w14:textId="77777777" w:rsidR="00154E9A" w:rsidRPr="00E8119A" w:rsidRDefault="00154E9A" w:rsidP="00154E9A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 xml:space="preserve">Фармакокинетиката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е изследвана при пациенти в старческа възраст (над 65 години) и при двата пола. Плазмената концентрация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е повишена при пациентите в старческа възраст с хипертония, но плазмената концентрация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трандолаприлат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и инхибиращата АСЕ активност е подобна при възрастните и по-млади пациенти с хипертония. Фармакокинетиката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трандолаприлат</w:t>
      </w:r>
      <w:proofErr w:type="spellEnd"/>
      <w:r w:rsidRPr="00E8119A">
        <w:rPr>
          <w:rFonts w:eastAsia="Times New Roman" w:cs="Arial"/>
          <w:color w:val="000000"/>
          <w:lang w:eastAsia="bg-BG"/>
        </w:rPr>
        <w:t>, както и инхибиращата АСЕ активност е подобна при мъжете и жените в старческа възраст с хипертония.</w:t>
      </w:r>
    </w:p>
    <w:p w14:paraId="07538F9A" w14:textId="77777777" w:rsidR="00154E9A" w:rsidRPr="00E8119A" w:rsidRDefault="00154E9A" w:rsidP="00154E9A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38417D9" w14:textId="3DEB4F72" w:rsidR="00154E9A" w:rsidRPr="00E8119A" w:rsidRDefault="00154E9A" w:rsidP="00154E9A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i/>
          <w:iCs/>
          <w:color w:val="000000"/>
          <w:lang w:eastAsia="bg-BG"/>
        </w:rPr>
        <w:t>Раса</w:t>
      </w:r>
    </w:p>
    <w:p w14:paraId="2D93CB0E" w14:textId="77777777" w:rsidR="00154E9A" w:rsidRPr="00E8119A" w:rsidRDefault="00154E9A" w:rsidP="00154E9A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 xml:space="preserve">Не са установени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фармакокинетични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разлики при различните раси.</w:t>
      </w:r>
    </w:p>
    <w:p w14:paraId="664AF022" w14:textId="77777777" w:rsidR="00154E9A" w:rsidRPr="00E8119A" w:rsidRDefault="00154E9A" w:rsidP="00154E9A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9E1AF3B" w14:textId="2BB8A97D" w:rsidR="00154E9A" w:rsidRPr="00E8119A" w:rsidRDefault="00154E9A" w:rsidP="00154E9A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i/>
          <w:iCs/>
          <w:color w:val="000000"/>
          <w:lang w:eastAsia="bg-BG"/>
        </w:rPr>
        <w:t>Бъбречна недостатъчност</w:t>
      </w:r>
    </w:p>
    <w:p w14:paraId="020C276E" w14:textId="77777777" w:rsidR="00154E9A" w:rsidRPr="00E8119A" w:rsidRDefault="00154E9A" w:rsidP="00154E9A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 xml:space="preserve">В сравнение с нормалните индивиди, плазмените концентрации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трандолаприлат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са почти два пъти по-високи, а бъбречният клирънс намален с около 85% при пациентите с </w:t>
      </w:r>
      <w:proofErr w:type="spellStart"/>
      <w:r w:rsidRPr="00E8119A">
        <w:rPr>
          <w:rFonts w:eastAsia="Times New Roman" w:cs="Arial"/>
          <w:color w:val="000000"/>
          <w:lang w:eastAsia="bg-BG"/>
        </w:rPr>
        <w:t>креатининов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клирънс под 30 </w:t>
      </w:r>
      <w:r w:rsidRPr="00E8119A">
        <w:rPr>
          <w:rFonts w:eastAsia="Times New Roman" w:cs="Arial"/>
          <w:color w:val="000000"/>
        </w:rPr>
        <w:t>ml/</w:t>
      </w:r>
      <w:proofErr w:type="spellStart"/>
      <w:r w:rsidRPr="00E8119A">
        <w:rPr>
          <w:rFonts w:eastAsia="Times New Roman" w:cs="Arial"/>
          <w:color w:val="000000"/>
        </w:rPr>
        <w:t>min</w:t>
      </w:r>
      <w:proofErr w:type="spellEnd"/>
      <w:r w:rsidRPr="00E8119A">
        <w:rPr>
          <w:rFonts w:eastAsia="Times New Roman" w:cs="Arial"/>
          <w:color w:val="000000"/>
        </w:rPr>
        <w:t xml:space="preserve"> </w:t>
      </w:r>
      <w:r w:rsidRPr="00E8119A">
        <w:rPr>
          <w:rFonts w:eastAsia="Times New Roman" w:cs="Arial"/>
          <w:color w:val="000000"/>
          <w:lang w:eastAsia="bg-BG"/>
        </w:rPr>
        <w:t>и тези на хемодиализа. При пациентите с бъбречно увреждане се препоръчва адаптиране на дозата.</w:t>
      </w:r>
    </w:p>
    <w:p w14:paraId="501271E2" w14:textId="77777777" w:rsidR="00154E9A" w:rsidRPr="00E8119A" w:rsidRDefault="00154E9A" w:rsidP="00154E9A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75154E5" w14:textId="63EB2C61" w:rsidR="00154E9A" w:rsidRPr="00E8119A" w:rsidRDefault="00154E9A" w:rsidP="00154E9A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i/>
          <w:iCs/>
          <w:color w:val="000000"/>
          <w:lang w:eastAsia="bg-BG"/>
        </w:rPr>
        <w:t>Чернодробна недостатъчност</w:t>
      </w:r>
    </w:p>
    <w:p w14:paraId="763295EE" w14:textId="77777777" w:rsidR="00154E9A" w:rsidRPr="00E8119A" w:rsidRDefault="00154E9A" w:rsidP="00154E9A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 xml:space="preserve">След перорално приложение при пациенти с лека до умерена алкохолна цироза, плазмените концентрации на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и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трандолаприлат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са били съответно девет и два пъти по-високи от тези при нормалните индивиди, без това да е свързано с промяна в инхибиращата АСЕ активност. При пациентите с чернодробна недостатъчност се препоръчва обмисляне приема на по-ниски дози.</w:t>
      </w:r>
    </w:p>
    <w:p w14:paraId="0F133FC0" w14:textId="4A1F59E3" w:rsidR="00154E9A" w:rsidRPr="00E8119A" w:rsidRDefault="00154E9A" w:rsidP="00154E9A"/>
    <w:p w14:paraId="4FB791BE" w14:textId="2FC823A5" w:rsidR="00B6672E" w:rsidRPr="00E8119A" w:rsidRDefault="002C50EE" w:rsidP="00936AD0">
      <w:pPr>
        <w:pStyle w:val="Heading2"/>
      </w:pPr>
      <w:r w:rsidRPr="00E8119A">
        <w:t>5.3. Предклинични данни за безопасност</w:t>
      </w:r>
    </w:p>
    <w:p w14:paraId="2C0C440A" w14:textId="6D9AF7F7" w:rsidR="00154E9A" w:rsidRPr="00E8119A" w:rsidRDefault="00154E9A" w:rsidP="00154E9A"/>
    <w:p w14:paraId="1F6BECF3" w14:textId="77777777" w:rsidR="00154E9A" w:rsidRPr="00E8119A" w:rsidRDefault="00154E9A" w:rsidP="00154E9A">
      <w:pPr>
        <w:spacing w:line="240" w:lineRule="auto"/>
        <w:rPr>
          <w:rFonts w:eastAsia="Times New Roman" w:cs="Arial"/>
          <w:sz w:val="24"/>
          <w:szCs w:val="24"/>
        </w:rPr>
      </w:pPr>
      <w:proofErr w:type="spellStart"/>
      <w:r w:rsidRPr="00E8119A">
        <w:rPr>
          <w:rFonts w:eastAsia="Times New Roman" w:cs="Arial"/>
          <w:color w:val="000000"/>
          <w:u w:val="single"/>
          <w:lang w:eastAsia="bg-BG"/>
        </w:rPr>
        <w:t>Карциногенност</w:t>
      </w:r>
      <w:proofErr w:type="spellEnd"/>
      <w:r w:rsidRPr="00E8119A">
        <w:rPr>
          <w:rFonts w:eastAsia="Times New Roman" w:cs="Arial"/>
          <w:color w:val="000000"/>
          <w:u w:val="single"/>
          <w:lang w:eastAsia="bg-BG"/>
        </w:rPr>
        <w:t xml:space="preserve">, </w:t>
      </w:r>
      <w:proofErr w:type="spellStart"/>
      <w:r w:rsidRPr="00E8119A">
        <w:rPr>
          <w:rFonts w:eastAsia="Times New Roman" w:cs="Arial"/>
          <w:color w:val="000000"/>
          <w:u w:val="single"/>
          <w:lang w:eastAsia="bg-BG"/>
        </w:rPr>
        <w:t>мутагенност</w:t>
      </w:r>
      <w:proofErr w:type="spellEnd"/>
      <w:r w:rsidRPr="00E8119A">
        <w:rPr>
          <w:rFonts w:eastAsia="Times New Roman" w:cs="Arial"/>
          <w:color w:val="000000"/>
          <w:u w:val="single"/>
          <w:lang w:eastAsia="bg-BG"/>
        </w:rPr>
        <w:t xml:space="preserve"> и нарушение на </w:t>
      </w:r>
      <w:proofErr w:type="spellStart"/>
      <w:r w:rsidRPr="00E8119A">
        <w:rPr>
          <w:rFonts w:eastAsia="Times New Roman" w:cs="Arial"/>
          <w:color w:val="000000"/>
          <w:u w:val="single"/>
          <w:lang w:eastAsia="bg-BG"/>
        </w:rPr>
        <w:t>фертилитета</w:t>
      </w:r>
      <w:proofErr w:type="spellEnd"/>
    </w:p>
    <w:p w14:paraId="1E34E414" w14:textId="77777777" w:rsidR="00154E9A" w:rsidRPr="00E8119A" w:rsidRDefault="00154E9A" w:rsidP="00154E9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A6DF149" w14:textId="36CE2A2D" w:rsidR="00154E9A" w:rsidRPr="00E8119A" w:rsidRDefault="00154E9A" w:rsidP="00154E9A">
      <w:pPr>
        <w:spacing w:line="240" w:lineRule="auto"/>
        <w:rPr>
          <w:rFonts w:eastAsia="Times New Roman" w:cs="Arial"/>
          <w:sz w:val="24"/>
          <w:szCs w:val="24"/>
        </w:rPr>
      </w:pPr>
      <w:r w:rsidRPr="00E8119A">
        <w:rPr>
          <w:rFonts w:eastAsia="Times New Roman" w:cs="Arial"/>
          <w:color w:val="000000"/>
          <w:lang w:eastAsia="bg-BG"/>
        </w:rPr>
        <w:t xml:space="preserve">Проучванията върху репродуктивната токсичност са показали ефекти върху бъбречното развитие на потомството, с повишена честота на разширение на бъбречното легенче; това е наблюдавано при дози от 10 </w:t>
      </w:r>
      <w:proofErr w:type="spellStart"/>
      <w:r w:rsidRPr="00E8119A">
        <w:rPr>
          <w:rFonts w:eastAsia="Times New Roman" w:cs="Arial"/>
          <w:color w:val="000000"/>
        </w:rPr>
        <w:t>mg</w:t>
      </w:r>
      <w:proofErr w:type="spellEnd"/>
      <w:r w:rsidRPr="00E8119A">
        <w:rPr>
          <w:rFonts w:eastAsia="Times New Roman" w:cs="Arial"/>
          <w:color w:val="000000"/>
        </w:rPr>
        <w:t>/</w:t>
      </w:r>
      <w:proofErr w:type="spellStart"/>
      <w:r w:rsidRPr="00E8119A">
        <w:rPr>
          <w:rFonts w:eastAsia="Times New Roman" w:cs="Arial"/>
          <w:color w:val="000000"/>
        </w:rPr>
        <w:t>kg</w:t>
      </w:r>
      <w:proofErr w:type="spellEnd"/>
      <w:r w:rsidRPr="00E8119A">
        <w:rPr>
          <w:rFonts w:eastAsia="Times New Roman" w:cs="Arial"/>
          <w:color w:val="000000"/>
        </w:rPr>
        <w:t>/</w:t>
      </w:r>
      <w:r w:rsidRPr="00E8119A">
        <w:rPr>
          <w:rFonts w:eastAsia="Times New Roman" w:cs="Arial"/>
          <w:color w:val="000000"/>
          <w:lang w:eastAsia="bg-BG"/>
        </w:rPr>
        <w:t xml:space="preserve">дневно и повече при плъхове, но без засягане на нормалното развитие на потомството. </w:t>
      </w:r>
      <w:proofErr w:type="spellStart"/>
      <w:r w:rsidRPr="00E8119A">
        <w:rPr>
          <w:rFonts w:eastAsia="Times New Roman" w:cs="Arial"/>
          <w:color w:val="000000"/>
          <w:lang w:eastAsia="bg-BG"/>
        </w:rPr>
        <w:t>Трандолаприл</w:t>
      </w:r>
      <w:proofErr w:type="spellEnd"/>
      <w:r w:rsidRPr="00E8119A">
        <w:rPr>
          <w:rFonts w:eastAsia="Times New Roman" w:cs="Arial"/>
          <w:color w:val="000000"/>
          <w:lang w:eastAsia="bg-BG"/>
        </w:rPr>
        <w:t xml:space="preserve"> не е показал мутагенен или карциногенен потенциал.</w:t>
      </w:r>
    </w:p>
    <w:p w14:paraId="6D27B1BE" w14:textId="77777777" w:rsidR="00154E9A" w:rsidRPr="00E8119A" w:rsidRDefault="00154E9A" w:rsidP="00154E9A"/>
    <w:p w14:paraId="1BA6531D" w14:textId="64261CFB" w:rsidR="00B6672E" w:rsidRPr="00E8119A" w:rsidRDefault="002C50EE" w:rsidP="00936AD0">
      <w:pPr>
        <w:pStyle w:val="Heading1"/>
      </w:pPr>
      <w:r w:rsidRPr="00E8119A">
        <w:t>7. ПРИТЕЖАТЕЛ НА РАЗРЕШЕНИЕТО ЗА УПОТРЕБА</w:t>
      </w:r>
    </w:p>
    <w:p w14:paraId="2532C6FD" w14:textId="2808B0C7" w:rsidR="00154E9A" w:rsidRPr="00E8119A" w:rsidRDefault="00154E9A" w:rsidP="00154E9A"/>
    <w:p w14:paraId="0B98C5CA" w14:textId="77777777" w:rsidR="00154E9A" w:rsidRPr="00E8119A" w:rsidRDefault="00154E9A" w:rsidP="00154E9A">
      <w:pPr>
        <w:rPr>
          <w:sz w:val="24"/>
          <w:szCs w:val="24"/>
        </w:rPr>
      </w:pPr>
      <w:proofErr w:type="spellStart"/>
      <w:r w:rsidRPr="00E8119A">
        <w:rPr>
          <w:lang w:eastAsia="bg-BG"/>
        </w:rPr>
        <w:t>Майлан</w:t>
      </w:r>
      <w:proofErr w:type="spellEnd"/>
      <w:r w:rsidRPr="00E8119A">
        <w:rPr>
          <w:lang w:eastAsia="bg-BG"/>
        </w:rPr>
        <w:t xml:space="preserve"> ЕООД</w:t>
      </w:r>
    </w:p>
    <w:p w14:paraId="1DE8D13E" w14:textId="77777777" w:rsidR="00154E9A" w:rsidRPr="00E8119A" w:rsidRDefault="00154E9A" w:rsidP="00154E9A">
      <w:pPr>
        <w:rPr>
          <w:lang w:eastAsia="bg-BG"/>
        </w:rPr>
      </w:pPr>
      <w:r w:rsidRPr="00E8119A">
        <w:rPr>
          <w:lang w:eastAsia="bg-BG"/>
        </w:rPr>
        <w:t xml:space="preserve">Офис сграда „Сердика офиси" </w:t>
      </w:r>
    </w:p>
    <w:p w14:paraId="3E6DF123" w14:textId="1AC8A183" w:rsidR="00154E9A" w:rsidRPr="00E8119A" w:rsidRDefault="00154E9A" w:rsidP="00154E9A">
      <w:pPr>
        <w:rPr>
          <w:lang w:eastAsia="bg-BG"/>
        </w:rPr>
      </w:pPr>
      <w:r w:rsidRPr="00E8119A">
        <w:rPr>
          <w:lang w:eastAsia="bg-BG"/>
        </w:rPr>
        <w:t xml:space="preserve">бул. Ситняково № 48, ет. 7 </w:t>
      </w:r>
    </w:p>
    <w:p w14:paraId="7EE89758" w14:textId="58D6AB14" w:rsidR="00154E9A" w:rsidRPr="00E8119A" w:rsidRDefault="00154E9A" w:rsidP="00154E9A">
      <w:pPr>
        <w:rPr>
          <w:sz w:val="24"/>
          <w:szCs w:val="24"/>
        </w:rPr>
      </w:pPr>
      <w:r w:rsidRPr="00E8119A">
        <w:rPr>
          <w:lang w:eastAsia="bg-BG"/>
        </w:rPr>
        <w:t>1505 София</w:t>
      </w:r>
    </w:p>
    <w:p w14:paraId="7072861A" w14:textId="3C02F751" w:rsidR="00154E9A" w:rsidRPr="00E8119A" w:rsidRDefault="00154E9A" w:rsidP="00154E9A">
      <w:r w:rsidRPr="00E8119A">
        <w:rPr>
          <w:lang w:eastAsia="bg-BG"/>
        </w:rPr>
        <w:t>България</w:t>
      </w:r>
    </w:p>
    <w:p w14:paraId="508F3A54" w14:textId="07B00946" w:rsidR="00B6672E" w:rsidRPr="00E8119A" w:rsidRDefault="00936AD0" w:rsidP="00936AD0">
      <w:pPr>
        <w:pStyle w:val="Heading1"/>
      </w:pPr>
      <w:r w:rsidRPr="00E8119A">
        <w:t>8.</w:t>
      </w:r>
      <w:r w:rsidR="002C50EE" w:rsidRPr="00E8119A">
        <w:t>НОМЕР НА РАЗРЕШЕНИЕТО ЗА УПОТРЕБА</w:t>
      </w:r>
    </w:p>
    <w:p w14:paraId="07607C6E" w14:textId="1B922BB4" w:rsidR="00154E9A" w:rsidRPr="00E8119A" w:rsidRDefault="00154E9A" w:rsidP="00154E9A"/>
    <w:p w14:paraId="51A36484" w14:textId="14B31E70" w:rsidR="00154E9A" w:rsidRPr="00E8119A" w:rsidRDefault="00154E9A" w:rsidP="00154E9A">
      <w:r w:rsidRPr="00E8119A">
        <w:t>9600167</w:t>
      </w:r>
    </w:p>
    <w:p w14:paraId="2CCB5832" w14:textId="04540AC7" w:rsidR="007C605B" w:rsidRPr="00E8119A" w:rsidRDefault="002C50EE" w:rsidP="007C605B">
      <w:pPr>
        <w:pStyle w:val="Heading1"/>
      </w:pPr>
      <w:r w:rsidRPr="00E8119A">
        <w:t>9. ДАТА НА ПЪРВО РАЗРЕШАВАНЕ/ПОДНОВЯВАНЕ НА РАЗРЕШЕНИЕТО ЗА УПОТРЕБА</w:t>
      </w:r>
    </w:p>
    <w:p w14:paraId="2D6A5CBF" w14:textId="77777777" w:rsidR="00154E9A" w:rsidRPr="00E8119A" w:rsidRDefault="00154E9A" w:rsidP="00154E9A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230A85F1" w14:textId="3D88351D" w:rsidR="00154E9A" w:rsidRPr="00E8119A" w:rsidRDefault="00154E9A" w:rsidP="00154E9A">
      <w:pPr>
        <w:rPr>
          <w:sz w:val="24"/>
          <w:szCs w:val="24"/>
        </w:rPr>
      </w:pPr>
      <w:r w:rsidRPr="00E8119A">
        <w:rPr>
          <w:lang w:eastAsia="bg-BG"/>
        </w:rPr>
        <w:t>Дата на първо разрешаване: 11 февруари 1998 г.</w:t>
      </w:r>
    </w:p>
    <w:p w14:paraId="65C123D3" w14:textId="77777777" w:rsidR="00154E9A" w:rsidRPr="00E8119A" w:rsidRDefault="00154E9A" w:rsidP="00154E9A">
      <w:pPr>
        <w:rPr>
          <w:sz w:val="24"/>
          <w:szCs w:val="24"/>
        </w:rPr>
      </w:pPr>
      <w:r w:rsidRPr="00E8119A">
        <w:rPr>
          <w:lang w:eastAsia="bg-BG"/>
        </w:rPr>
        <w:t>Дата на последно подновяване: 19 януари 2009 г.</w:t>
      </w:r>
    </w:p>
    <w:p w14:paraId="272E1A35" w14:textId="2EB039A6" w:rsidR="00154E9A" w:rsidRPr="00E8119A" w:rsidRDefault="00154E9A" w:rsidP="00154E9A"/>
    <w:p w14:paraId="0E9D0119" w14:textId="0245C6D7" w:rsidR="002C50EE" w:rsidRPr="00E8119A" w:rsidRDefault="002C50EE" w:rsidP="002C50EE">
      <w:pPr>
        <w:pStyle w:val="Heading1"/>
      </w:pPr>
      <w:r w:rsidRPr="00E8119A">
        <w:t>10. ДАТА НА АКТУАЛИЗИРАНЕ НА ТЕКСТА</w:t>
      </w:r>
    </w:p>
    <w:bookmarkEnd w:id="0"/>
    <w:p w14:paraId="43FB38A2" w14:textId="5B63CB76" w:rsidR="007C605B" w:rsidRPr="00E8119A" w:rsidRDefault="007C605B" w:rsidP="00B6672E"/>
    <w:p w14:paraId="1E8162AF" w14:textId="760DAEC7" w:rsidR="00154E9A" w:rsidRPr="00E8119A" w:rsidRDefault="00154E9A" w:rsidP="00154E9A">
      <w:r w:rsidRPr="00E8119A">
        <w:t>07/2020</w:t>
      </w:r>
    </w:p>
    <w:sectPr w:rsidR="00154E9A" w:rsidRPr="00E81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74D0D9E"/>
    <w:multiLevelType w:val="hybridMultilevel"/>
    <w:tmpl w:val="4E6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C16F5"/>
    <w:multiLevelType w:val="hybridMultilevel"/>
    <w:tmpl w:val="E5E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F10A7"/>
    <w:multiLevelType w:val="hybridMultilevel"/>
    <w:tmpl w:val="0E0E8D6A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 w16cid:durableId="1245531342">
    <w:abstractNumId w:val="29"/>
  </w:num>
  <w:num w:numId="2" w16cid:durableId="1413090219">
    <w:abstractNumId w:val="0"/>
  </w:num>
  <w:num w:numId="3" w16cid:durableId="145174212">
    <w:abstractNumId w:val="14"/>
  </w:num>
  <w:num w:numId="4" w16cid:durableId="1407921840">
    <w:abstractNumId w:val="3"/>
  </w:num>
  <w:num w:numId="5" w16cid:durableId="712078156">
    <w:abstractNumId w:val="1"/>
  </w:num>
  <w:num w:numId="6" w16cid:durableId="648828940">
    <w:abstractNumId w:val="18"/>
  </w:num>
  <w:num w:numId="7" w16cid:durableId="1006320922">
    <w:abstractNumId w:val="12"/>
  </w:num>
  <w:num w:numId="8" w16cid:durableId="849366770">
    <w:abstractNumId w:val="17"/>
  </w:num>
  <w:num w:numId="9" w16cid:durableId="1901285897">
    <w:abstractNumId w:val="2"/>
  </w:num>
  <w:num w:numId="10" w16cid:durableId="1724671167">
    <w:abstractNumId w:val="4"/>
  </w:num>
  <w:num w:numId="11" w16cid:durableId="599803919">
    <w:abstractNumId w:val="32"/>
  </w:num>
  <w:num w:numId="12" w16cid:durableId="2007247934">
    <w:abstractNumId w:val="16"/>
  </w:num>
  <w:num w:numId="13" w16cid:durableId="548036146">
    <w:abstractNumId w:val="21"/>
  </w:num>
  <w:num w:numId="14" w16cid:durableId="1705128987">
    <w:abstractNumId w:val="13"/>
  </w:num>
  <w:num w:numId="15" w16cid:durableId="1849909810">
    <w:abstractNumId w:val="31"/>
  </w:num>
  <w:num w:numId="16" w16cid:durableId="1076898981">
    <w:abstractNumId w:val="11"/>
  </w:num>
  <w:num w:numId="17" w16cid:durableId="497312369">
    <w:abstractNumId w:val="26"/>
  </w:num>
  <w:num w:numId="18" w16cid:durableId="916553284">
    <w:abstractNumId w:val="8"/>
  </w:num>
  <w:num w:numId="19" w16cid:durableId="555624573">
    <w:abstractNumId w:val="28"/>
  </w:num>
  <w:num w:numId="20" w16cid:durableId="114065389">
    <w:abstractNumId w:val="25"/>
  </w:num>
  <w:num w:numId="21" w16cid:durableId="2012247636">
    <w:abstractNumId w:val="19"/>
  </w:num>
  <w:num w:numId="22" w16cid:durableId="1737783123">
    <w:abstractNumId w:val="27"/>
  </w:num>
  <w:num w:numId="23" w16cid:durableId="1562250021">
    <w:abstractNumId w:val="20"/>
  </w:num>
  <w:num w:numId="24" w16cid:durableId="1470199890">
    <w:abstractNumId w:val="9"/>
  </w:num>
  <w:num w:numId="25" w16cid:durableId="1578636958">
    <w:abstractNumId w:val="24"/>
  </w:num>
  <w:num w:numId="26" w16cid:durableId="738671227">
    <w:abstractNumId w:val="23"/>
  </w:num>
  <w:num w:numId="27" w16cid:durableId="2013332680">
    <w:abstractNumId w:val="33"/>
  </w:num>
  <w:num w:numId="28" w16cid:durableId="1943412004">
    <w:abstractNumId w:val="6"/>
  </w:num>
  <w:num w:numId="29" w16cid:durableId="1290165458">
    <w:abstractNumId w:val="22"/>
  </w:num>
  <w:num w:numId="30" w16cid:durableId="2119711254">
    <w:abstractNumId w:val="36"/>
  </w:num>
  <w:num w:numId="31" w16cid:durableId="176626751">
    <w:abstractNumId w:val="5"/>
  </w:num>
  <w:num w:numId="32" w16cid:durableId="1052116775">
    <w:abstractNumId w:val="35"/>
  </w:num>
  <w:num w:numId="33" w16cid:durableId="1094782804">
    <w:abstractNumId w:val="30"/>
  </w:num>
  <w:num w:numId="34" w16cid:durableId="854731500">
    <w:abstractNumId w:val="34"/>
  </w:num>
  <w:num w:numId="35" w16cid:durableId="1810896358">
    <w:abstractNumId w:val="7"/>
  </w:num>
  <w:num w:numId="36" w16cid:durableId="1691687509">
    <w:abstractNumId w:val="10"/>
  </w:num>
  <w:num w:numId="37" w16cid:durableId="14143514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00"/>
    <w:rsid w:val="00154E9A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122AD"/>
    <w:rsid w:val="0075649D"/>
    <w:rsid w:val="007C605B"/>
    <w:rsid w:val="008134C8"/>
    <w:rsid w:val="00814073"/>
    <w:rsid w:val="00826F0D"/>
    <w:rsid w:val="00893B92"/>
    <w:rsid w:val="008A6AF2"/>
    <w:rsid w:val="008C70A2"/>
    <w:rsid w:val="00936AD0"/>
    <w:rsid w:val="009773E4"/>
    <w:rsid w:val="009B171C"/>
    <w:rsid w:val="009F1313"/>
    <w:rsid w:val="00A20351"/>
    <w:rsid w:val="00A65A81"/>
    <w:rsid w:val="00AA23EC"/>
    <w:rsid w:val="00AC63CE"/>
    <w:rsid w:val="00AE2107"/>
    <w:rsid w:val="00B275A8"/>
    <w:rsid w:val="00B6672E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8119A"/>
    <w:rsid w:val="00EB6364"/>
    <w:rsid w:val="00F07F0E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5253</Words>
  <Characters>29945</Characters>
  <Application>Microsoft Office Word</Application>
  <DocSecurity>0</DocSecurity>
  <Lines>249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Maria Vasileva</cp:lastModifiedBy>
  <cp:revision>3</cp:revision>
  <dcterms:created xsi:type="dcterms:W3CDTF">2022-08-01T18:13:00Z</dcterms:created>
  <dcterms:modified xsi:type="dcterms:W3CDTF">2022-08-02T11:59:00Z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