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397343E6" w:rsidR="007122AD" w:rsidRDefault="00DD466D" w:rsidP="00936AD0">
      <w:pPr>
        <w:pStyle w:val="Heading1"/>
      </w:pPr>
      <w:r>
        <w:t>1.ИМЕ НА ЛЕКАРСТВЕНИЯ ПРОДУКТ</w:t>
      </w:r>
    </w:p>
    <w:p w14:paraId="1600901F" w14:textId="2EA5A644" w:rsidR="00F07F0E" w:rsidRDefault="00F07F0E" w:rsidP="00F07F0E"/>
    <w:p w14:paraId="6D4B327F" w14:textId="7D18D34B" w:rsidR="00F07F0E" w:rsidRPr="00F07F0E" w:rsidRDefault="00F07F0E" w:rsidP="00F07F0E">
      <w:pPr>
        <w:rPr>
          <w:sz w:val="24"/>
          <w:szCs w:val="24"/>
        </w:rPr>
      </w:pPr>
      <w:r w:rsidRPr="00F07F0E">
        <w:rPr>
          <w:lang w:eastAsia="bg-BG"/>
        </w:rPr>
        <w:t xml:space="preserve">Гоптен </w:t>
      </w:r>
      <w:r w:rsidR="009909CD">
        <w:t>4</w:t>
      </w:r>
      <w:r w:rsidRPr="00F07F0E">
        <w:t xml:space="preserve"> </w:t>
      </w:r>
      <w:r w:rsidRPr="00F07F0E">
        <w:rPr>
          <w:lang w:val="en-US"/>
        </w:rPr>
        <w:t>mg</w:t>
      </w:r>
      <w:r w:rsidRPr="00F07F0E">
        <w:t xml:space="preserve"> </w:t>
      </w:r>
      <w:r w:rsidRPr="00F07F0E">
        <w:rPr>
          <w:lang w:eastAsia="bg-BG"/>
        </w:rPr>
        <w:t>твърди капсули</w:t>
      </w:r>
    </w:p>
    <w:p w14:paraId="23E8509A" w14:textId="43585A11" w:rsidR="00F07F0E" w:rsidRPr="00F07F0E" w:rsidRDefault="00F07F0E" w:rsidP="00F07F0E">
      <w:proofErr w:type="spellStart"/>
      <w:r w:rsidRPr="00F07F0E">
        <w:rPr>
          <w:lang w:val="en-US"/>
        </w:rPr>
        <w:t>Gopten</w:t>
      </w:r>
      <w:proofErr w:type="spellEnd"/>
      <w:r w:rsidRPr="00F07F0E">
        <w:t xml:space="preserve"> </w:t>
      </w:r>
      <w:r w:rsidR="009909CD">
        <w:rPr>
          <w:lang w:eastAsia="bg-BG"/>
        </w:rPr>
        <w:t>4</w:t>
      </w:r>
      <w:r w:rsidRPr="00F07F0E">
        <w:rPr>
          <w:lang w:eastAsia="bg-BG"/>
        </w:rPr>
        <w:t xml:space="preserve"> </w:t>
      </w:r>
      <w:r w:rsidRPr="00F07F0E">
        <w:rPr>
          <w:lang w:val="en-US"/>
        </w:rPr>
        <w:t>mg</w:t>
      </w:r>
      <w:r w:rsidRPr="00F07F0E">
        <w:t xml:space="preserve"> </w:t>
      </w:r>
      <w:r w:rsidRPr="00F07F0E">
        <w:rPr>
          <w:lang w:val="en-US"/>
        </w:rPr>
        <w:t>capsules</w:t>
      </w:r>
      <w:r w:rsidRPr="00F07F0E">
        <w:t xml:space="preserve">, </w:t>
      </w:r>
      <w:r w:rsidRPr="00F07F0E">
        <w:rPr>
          <w:lang w:val="en-US"/>
        </w:rPr>
        <w:t>hard</w:t>
      </w:r>
    </w:p>
    <w:p w14:paraId="6920A680" w14:textId="580C4EEC" w:rsidR="00C40420" w:rsidRDefault="00DD466D" w:rsidP="004A448E">
      <w:pPr>
        <w:pStyle w:val="Heading1"/>
      </w:pPr>
      <w:r>
        <w:t>2. КАЧЕСТВЕН И КОЛИЧЕСТВЕН СЪСТАВ</w:t>
      </w:r>
    </w:p>
    <w:p w14:paraId="6B3C9237" w14:textId="0DC24A0F" w:rsidR="00F07F0E" w:rsidRDefault="00F07F0E" w:rsidP="00F07F0E"/>
    <w:p w14:paraId="54D528A4" w14:textId="3180C78C" w:rsidR="00F07F0E" w:rsidRPr="00F07F0E" w:rsidRDefault="009909CD" w:rsidP="00F07F0E">
      <w:pPr>
        <w:rPr>
          <w:sz w:val="24"/>
          <w:szCs w:val="24"/>
        </w:rPr>
      </w:pPr>
      <w:r>
        <w:rPr>
          <w:lang w:eastAsia="bg-BG"/>
        </w:rPr>
        <w:t>Всяка капсула съдържа 4</w:t>
      </w:r>
      <w:r w:rsidR="00F07F0E" w:rsidRPr="00F07F0E">
        <w:rPr>
          <w:lang w:eastAsia="bg-BG"/>
        </w:rPr>
        <w:t xml:space="preserve"> </w:t>
      </w:r>
      <w:r w:rsidR="00F07F0E" w:rsidRPr="00F07F0E">
        <w:rPr>
          <w:lang w:val="en-US"/>
        </w:rPr>
        <w:t>mg</w:t>
      </w:r>
      <w:r w:rsidR="00F07F0E" w:rsidRPr="00F07F0E">
        <w:rPr>
          <w:lang w:val="ru-RU"/>
        </w:rPr>
        <w:t xml:space="preserve"> </w:t>
      </w:r>
      <w:r w:rsidR="00F07F0E" w:rsidRPr="00F07F0E">
        <w:rPr>
          <w:lang w:eastAsia="bg-BG"/>
        </w:rPr>
        <w:t>трандолаприл.</w:t>
      </w:r>
    </w:p>
    <w:p w14:paraId="719FE183" w14:textId="368D5CE7" w:rsidR="00F07F0E" w:rsidRPr="00F07F0E" w:rsidRDefault="00F07F0E" w:rsidP="00F07F0E">
      <w:r w:rsidRPr="00F07F0E">
        <w:rPr>
          <w:lang w:eastAsia="bg-BG"/>
        </w:rPr>
        <w:t>Помощни ве</w:t>
      </w:r>
      <w:r w:rsidR="009909CD">
        <w:rPr>
          <w:lang w:eastAsia="bg-BG"/>
        </w:rPr>
        <w:t>щества: всяка капсула съдържа 109</w:t>
      </w:r>
      <w:r w:rsidR="00E67ECC">
        <w:rPr>
          <w:lang w:eastAsia="bg-BG"/>
        </w:rPr>
        <w:t>,0</w:t>
      </w:r>
      <w:r w:rsidRPr="00F07F0E">
        <w:rPr>
          <w:lang w:eastAsia="bg-BG"/>
        </w:rPr>
        <w:t xml:space="preserve"> </w:t>
      </w:r>
      <w:r w:rsidRPr="00F07F0E">
        <w:rPr>
          <w:lang w:val="en-US"/>
        </w:rPr>
        <w:t>mg</w:t>
      </w:r>
      <w:r w:rsidRPr="00F07F0E">
        <w:rPr>
          <w:lang w:val="ru-RU"/>
        </w:rPr>
        <w:t xml:space="preserve"> </w:t>
      </w:r>
      <w:r w:rsidRPr="00F07F0E">
        <w:rPr>
          <w:lang w:eastAsia="bg-BG"/>
        </w:rPr>
        <w:t>лактоза монохидрат.</w:t>
      </w:r>
    </w:p>
    <w:p w14:paraId="614984C4" w14:textId="5BDB4C99" w:rsidR="008A6AF2" w:rsidRDefault="00DD466D" w:rsidP="002C50EE">
      <w:pPr>
        <w:pStyle w:val="Heading1"/>
      </w:pPr>
      <w:r>
        <w:t>3. ЛЕКАРСТВЕНА ФОРМА</w:t>
      </w:r>
    </w:p>
    <w:p w14:paraId="07166333" w14:textId="00E8584C" w:rsidR="00F07F0E" w:rsidRDefault="00F07F0E" w:rsidP="00F07F0E"/>
    <w:p w14:paraId="175B8615" w14:textId="77777777" w:rsidR="00F07F0E" w:rsidRPr="00F07F0E" w:rsidRDefault="00F07F0E" w:rsidP="00F07F0E">
      <w:pPr>
        <w:rPr>
          <w:sz w:val="24"/>
          <w:szCs w:val="24"/>
        </w:rPr>
      </w:pPr>
      <w:r w:rsidRPr="00F07F0E">
        <w:rPr>
          <w:lang w:eastAsia="bg-BG"/>
        </w:rPr>
        <w:t>Твърда капсула</w:t>
      </w:r>
    </w:p>
    <w:p w14:paraId="2D3386CE" w14:textId="43D296BE" w:rsidR="00F07F0E" w:rsidRPr="00F07F0E" w:rsidRDefault="00F07F0E" w:rsidP="00F07F0E">
      <w:pPr>
        <w:rPr>
          <w:sz w:val="24"/>
          <w:szCs w:val="24"/>
        </w:rPr>
      </w:pPr>
      <w:r w:rsidRPr="00F07F0E">
        <w:rPr>
          <w:lang w:eastAsia="bg-BG"/>
        </w:rPr>
        <w:t>Твър</w:t>
      </w:r>
      <w:r w:rsidR="009909CD">
        <w:rPr>
          <w:lang w:eastAsia="bg-BG"/>
        </w:rPr>
        <w:t>ди желатинови капсули с размер 2</w:t>
      </w:r>
      <w:r w:rsidRPr="00F07F0E">
        <w:rPr>
          <w:lang w:eastAsia="bg-BG"/>
        </w:rPr>
        <w:t xml:space="preserve">, с непрозрачно червено тяло и </w:t>
      </w:r>
      <w:r w:rsidR="009909CD">
        <w:rPr>
          <w:lang w:eastAsia="bg-BG"/>
        </w:rPr>
        <w:t xml:space="preserve">кафениково </w:t>
      </w:r>
      <w:bookmarkStart w:id="1" w:name="_GoBack"/>
      <w:bookmarkEnd w:id="1"/>
      <w:r w:rsidRPr="00F07F0E">
        <w:rPr>
          <w:lang w:eastAsia="bg-BG"/>
        </w:rPr>
        <w:t>капаче, съдържащи бели до почти бели гранули.</w:t>
      </w:r>
    </w:p>
    <w:p w14:paraId="6C901AFF" w14:textId="77777777" w:rsidR="00F07F0E" w:rsidRPr="00F07F0E" w:rsidRDefault="00F07F0E" w:rsidP="00F07F0E"/>
    <w:p w14:paraId="490FC2C4" w14:textId="0F4A4A75" w:rsidR="002C50EE" w:rsidRDefault="002C50EE" w:rsidP="002C50EE">
      <w:pPr>
        <w:pStyle w:val="Heading1"/>
      </w:pPr>
      <w:r>
        <w:t>4. КЛИНИЧНИ ДАННИ</w:t>
      </w:r>
    </w:p>
    <w:p w14:paraId="74330405" w14:textId="2CC76900" w:rsidR="007122AD" w:rsidRDefault="002C50EE" w:rsidP="00936AD0">
      <w:pPr>
        <w:pStyle w:val="Heading2"/>
      </w:pPr>
      <w:r>
        <w:t>4.1. Терапевтични показания</w:t>
      </w:r>
    </w:p>
    <w:p w14:paraId="7913E882" w14:textId="0BCBB652" w:rsidR="00F07F0E" w:rsidRDefault="00F07F0E" w:rsidP="00F07F0E"/>
    <w:p w14:paraId="47D3E3F4" w14:textId="77777777" w:rsidR="00F07F0E" w:rsidRPr="00F07F0E" w:rsidRDefault="00F07F0E" w:rsidP="00F07F0E">
      <w:pPr>
        <w:rPr>
          <w:sz w:val="24"/>
          <w:szCs w:val="24"/>
        </w:rPr>
      </w:pPr>
      <w:r w:rsidRPr="00F07F0E">
        <w:rPr>
          <w:lang w:eastAsia="bg-BG"/>
        </w:rPr>
        <w:t>Лека до умерена хипертония.</w:t>
      </w:r>
    </w:p>
    <w:p w14:paraId="3C6426A8" w14:textId="77777777" w:rsidR="00F07F0E" w:rsidRDefault="00F07F0E" w:rsidP="00F07F0E">
      <w:pPr>
        <w:rPr>
          <w:lang w:eastAsia="bg-BG"/>
        </w:rPr>
      </w:pPr>
    </w:p>
    <w:p w14:paraId="26DCEA53" w14:textId="4A33B2EE" w:rsidR="00F07F0E" w:rsidRPr="00F07F0E" w:rsidRDefault="00F07F0E" w:rsidP="00F07F0E">
      <w:pPr>
        <w:rPr>
          <w:sz w:val="24"/>
          <w:szCs w:val="24"/>
        </w:rPr>
      </w:pPr>
      <w:r w:rsidRPr="00F07F0E">
        <w:rPr>
          <w:lang w:eastAsia="bg-BG"/>
        </w:rPr>
        <w:t>Левокамерна дисфункция след инфаркт на миокарда.</w:t>
      </w:r>
    </w:p>
    <w:p w14:paraId="53108F7B" w14:textId="77777777" w:rsidR="00F07F0E" w:rsidRDefault="00F07F0E" w:rsidP="00F07F0E">
      <w:pPr>
        <w:rPr>
          <w:lang w:eastAsia="bg-BG"/>
        </w:rPr>
      </w:pPr>
    </w:p>
    <w:p w14:paraId="04162E19" w14:textId="692BDED5" w:rsidR="00F07F0E" w:rsidRPr="00F07F0E" w:rsidRDefault="00F07F0E" w:rsidP="00F07F0E">
      <w:pPr>
        <w:rPr>
          <w:sz w:val="24"/>
          <w:szCs w:val="24"/>
        </w:rPr>
      </w:pPr>
      <w:r w:rsidRPr="00F07F0E">
        <w:rPr>
          <w:lang w:eastAsia="bg-BG"/>
        </w:rPr>
        <w:t>Установено е, че Гоптен подобрява преживяемостта след инфаркт на миокарда при пациенти с левокамерна дисфункция (фракция на изтласкване ≤ 35%) с или без симптоми на сърдечна недостатъчност и/или с или без остатъчна исхемия.</w:t>
      </w:r>
    </w:p>
    <w:p w14:paraId="40C946EC" w14:textId="77777777" w:rsidR="00F07F0E" w:rsidRDefault="00F07F0E" w:rsidP="00F07F0E">
      <w:pPr>
        <w:rPr>
          <w:lang w:eastAsia="bg-BG"/>
        </w:rPr>
      </w:pPr>
    </w:p>
    <w:p w14:paraId="61F3348B" w14:textId="3D5D566C" w:rsidR="00F07F0E" w:rsidRPr="00F07F0E" w:rsidRDefault="00F07F0E" w:rsidP="00F07F0E">
      <w:pPr>
        <w:rPr>
          <w:sz w:val="24"/>
          <w:szCs w:val="24"/>
        </w:rPr>
      </w:pPr>
      <w:r w:rsidRPr="00F07F0E">
        <w:rPr>
          <w:lang w:eastAsia="bg-BG"/>
        </w:rPr>
        <w:t>Продължителното лечение с Гоптен намалява значително общата сърдечно-съдова смъртност. Той значително понижава риска от внезапна смърт и появата на тежка или резистентна сърдечна недостатъчност.</w:t>
      </w:r>
    </w:p>
    <w:p w14:paraId="211E1B44" w14:textId="77777777" w:rsidR="00F07F0E" w:rsidRPr="00F07F0E" w:rsidRDefault="00F07F0E" w:rsidP="00F07F0E"/>
    <w:p w14:paraId="53F5B866" w14:textId="04B2B5D6" w:rsidR="007122AD" w:rsidRDefault="002C50EE" w:rsidP="00936AD0">
      <w:pPr>
        <w:pStyle w:val="Heading2"/>
      </w:pPr>
      <w:r>
        <w:t>4.2. Дозировка и начин на приложение</w:t>
      </w:r>
    </w:p>
    <w:p w14:paraId="56F68E02" w14:textId="4BB2D691" w:rsidR="00F07F0E" w:rsidRDefault="00F07F0E" w:rsidP="00F07F0E"/>
    <w:p w14:paraId="63A6BD4B" w14:textId="77777777" w:rsidR="00F07F0E" w:rsidRPr="00F07F0E" w:rsidRDefault="00F07F0E" w:rsidP="00F07F0E">
      <w:pPr>
        <w:spacing w:line="240" w:lineRule="auto"/>
        <w:rPr>
          <w:rFonts w:eastAsia="Times New Roman" w:cs="Arial"/>
          <w:sz w:val="24"/>
          <w:szCs w:val="24"/>
        </w:rPr>
      </w:pPr>
      <w:r w:rsidRPr="00F07F0E">
        <w:rPr>
          <w:rFonts w:eastAsia="Times New Roman" w:cs="Arial"/>
          <w:color w:val="000000"/>
          <w:u w:val="single"/>
          <w:lang w:eastAsia="bg-BG"/>
        </w:rPr>
        <w:t>За перорално приложение</w:t>
      </w:r>
    </w:p>
    <w:p w14:paraId="5A79ABAE" w14:textId="77777777" w:rsidR="00F07F0E" w:rsidRPr="00F07F0E" w:rsidRDefault="00F07F0E" w:rsidP="00F07F0E">
      <w:pPr>
        <w:spacing w:line="240" w:lineRule="auto"/>
        <w:rPr>
          <w:rFonts w:eastAsia="Times New Roman" w:cs="Arial"/>
          <w:color w:val="000000"/>
          <w:u w:val="single"/>
          <w:lang w:eastAsia="bg-BG"/>
        </w:rPr>
      </w:pPr>
    </w:p>
    <w:p w14:paraId="0EB8DECF" w14:textId="2A9969B9" w:rsidR="00F07F0E" w:rsidRPr="00F07F0E" w:rsidRDefault="00F07F0E" w:rsidP="00F07F0E">
      <w:pPr>
        <w:pStyle w:val="Heading3"/>
        <w:rPr>
          <w:rFonts w:eastAsia="Times New Roman"/>
          <w:u w:val="single"/>
        </w:rPr>
      </w:pPr>
      <w:r w:rsidRPr="00F07F0E">
        <w:rPr>
          <w:rFonts w:eastAsia="Times New Roman"/>
          <w:u w:val="single"/>
          <w:lang w:eastAsia="bg-BG"/>
        </w:rPr>
        <w:t>Дозировка</w:t>
      </w:r>
    </w:p>
    <w:p w14:paraId="44311903" w14:textId="77777777" w:rsidR="00F07F0E" w:rsidRPr="00F07F0E" w:rsidRDefault="00F07F0E" w:rsidP="00F07F0E">
      <w:pPr>
        <w:spacing w:line="240" w:lineRule="auto"/>
        <w:rPr>
          <w:rFonts w:eastAsia="Times New Roman" w:cs="Arial"/>
          <w:i/>
          <w:iCs/>
          <w:color w:val="000000"/>
          <w:u w:val="single"/>
          <w:lang w:eastAsia="bg-BG"/>
        </w:rPr>
      </w:pPr>
    </w:p>
    <w:p w14:paraId="654868A3" w14:textId="35CAE7F3" w:rsidR="00F07F0E" w:rsidRPr="00F07F0E" w:rsidRDefault="00F07F0E" w:rsidP="00F07F0E">
      <w:pPr>
        <w:spacing w:line="240" w:lineRule="auto"/>
        <w:rPr>
          <w:rFonts w:eastAsia="Times New Roman" w:cs="Arial"/>
          <w:sz w:val="24"/>
          <w:szCs w:val="24"/>
        </w:rPr>
      </w:pPr>
      <w:r w:rsidRPr="00F07F0E">
        <w:rPr>
          <w:rFonts w:eastAsia="Times New Roman" w:cs="Arial"/>
          <w:i/>
          <w:iCs/>
          <w:color w:val="000000"/>
          <w:u w:val="single"/>
          <w:lang w:eastAsia="bg-BG"/>
        </w:rPr>
        <w:t>Възрастни</w:t>
      </w:r>
    </w:p>
    <w:p w14:paraId="25E33352" w14:textId="77777777" w:rsidR="00F07F0E" w:rsidRPr="00F07F0E" w:rsidRDefault="00F07F0E" w:rsidP="00F07F0E">
      <w:pPr>
        <w:spacing w:line="240" w:lineRule="auto"/>
        <w:rPr>
          <w:rFonts w:eastAsia="Times New Roman" w:cs="Arial"/>
          <w:sz w:val="24"/>
          <w:szCs w:val="24"/>
        </w:rPr>
      </w:pPr>
      <w:r w:rsidRPr="00F07F0E">
        <w:rPr>
          <w:rFonts w:eastAsia="Times New Roman" w:cs="Arial"/>
          <w:i/>
          <w:iCs/>
          <w:color w:val="000000"/>
          <w:lang w:eastAsia="bg-BG"/>
        </w:rPr>
        <w:t>Хипертония</w:t>
      </w:r>
    </w:p>
    <w:p w14:paraId="26DE4B79" w14:textId="08BC2B60" w:rsidR="00F07F0E" w:rsidRPr="00F07F0E" w:rsidRDefault="00F07F0E" w:rsidP="00F07F0E">
      <w:pPr>
        <w:rPr>
          <w:rFonts w:eastAsia="Times New Roman" w:cs="Arial"/>
          <w:color w:val="000000"/>
          <w:lang w:eastAsia="bg-BG"/>
        </w:rPr>
      </w:pPr>
      <w:r w:rsidRPr="00F07F0E">
        <w:rPr>
          <w:rFonts w:eastAsia="Times New Roman" w:cs="Arial"/>
          <w:color w:val="000000"/>
          <w:lang w:eastAsia="bg-BG"/>
        </w:rPr>
        <w:t xml:space="preserve">При възрастни пациенти без застойна сърдечна недостатъчност и без бъбречна или чернодробна недостатъчност, които не приемат диуретична терапия, препоръчваната </w:t>
      </w:r>
      <w:r w:rsidRPr="00F07F0E">
        <w:rPr>
          <w:rFonts w:eastAsia="Times New Roman" w:cs="Arial"/>
          <w:color w:val="000000"/>
          <w:lang w:eastAsia="bg-BG"/>
        </w:rPr>
        <w:lastRenderedPageBreak/>
        <w:t xml:space="preserve">начална доза е от 0,5 </w:t>
      </w:r>
      <w:r w:rsidRPr="00F07F0E">
        <w:rPr>
          <w:rFonts w:eastAsia="Times New Roman" w:cs="Arial"/>
          <w:color w:val="000000"/>
          <w:lang w:val="en-US"/>
        </w:rPr>
        <w:t>mg</w:t>
      </w:r>
      <w:r w:rsidRPr="00F07F0E">
        <w:rPr>
          <w:rFonts w:eastAsia="Times New Roman" w:cs="Arial"/>
          <w:color w:val="000000"/>
          <w:lang w:val="ru-RU"/>
        </w:rPr>
        <w:t xml:space="preserve"> </w:t>
      </w:r>
      <w:r w:rsidRPr="00F07F0E">
        <w:rPr>
          <w:rFonts w:eastAsia="Times New Roman" w:cs="Arial"/>
          <w:color w:val="000000"/>
          <w:lang w:eastAsia="bg-BG"/>
        </w:rPr>
        <w:t xml:space="preserve">до 1 </w:t>
      </w:r>
      <w:r w:rsidRPr="00F07F0E">
        <w:rPr>
          <w:rFonts w:eastAsia="Times New Roman" w:cs="Arial"/>
          <w:color w:val="000000"/>
          <w:lang w:val="en-US"/>
        </w:rPr>
        <w:t>mg</w:t>
      </w:r>
      <w:r w:rsidRPr="00F07F0E">
        <w:rPr>
          <w:rFonts w:eastAsia="Times New Roman" w:cs="Arial"/>
          <w:color w:val="000000"/>
          <w:lang w:val="ru-RU"/>
        </w:rPr>
        <w:t xml:space="preserve"> </w:t>
      </w:r>
      <w:r w:rsidRPr="00F07F0E">
        <w:rPr>
          <w:rFonts w:eastAsia="Times New Roman" w:cs="Arial"/>
          <w:color w:val="000000"/>
          <w:lang w:eastAsia="bg-BG"/>
        </w:rPr>
        <w:t xml:space="preserve">и до 2 </w:t>
      </w:r>
      <w:r w:rsidRPr="00F07F0E">
        <w:rPr>
          <w:rFonts w:eastAsia="Times New Roman" w:cs="Arial"/>
          <w:color w:val="000000"/>
          <w:lang w:val="en-US"/>
        </w:rPr>
        <w:t>mg</w:t>
      </w:r>
      <w:r w:rsidRPr="00F07F0E">
        <w:rPr>
          <w:rFonts w:eastAsia="Times New Roman" w:cs="Arial"/>
          <w:color w:val="000000"/>
          <w:lang w:val="ru-RU"/>
        </w:rPr>
        <w:t xml:space="preserve"> </w:t>
      </w:r>
      <w:r w:rsidRPr="00F07F0E">
        <w:rPr>
          <w:rFonts w:eastAsia="Times New Roman" w:cs="Arial"/>
          <w:color w:val="000000"/>
          <w:lang w:eastAsia="bg-BG"/>
        </w:rPr>
        <w:t xml:space="preserve">като единична дневна доза. Пациенти с афроамерикански произход обикновено се нуждаят от 2 </w:t>
      </w:r>
      <w:r w:rsidRPr="00F07F0E">
        <w:rPr>
          <w:rFonts w:eastAsia="Times New Roman" w:cs="Arial"/>
          <w:color w:val="000000"/>
          <w:lang w:val="en-US"/>
        </w:rPr>
        <w:t>mg</w:t>
      </w:r>
      <w:r w:rsidRPr="00F07F0E">
        <w:rPr>
          <w:rFonts w:eastAsia="Times New Roman" w:cs="Arial"/>
          <w:color w:val="000000"/>
          <w:lang w:val="ru-RU"/>
        </w:rPr>
        <w:t xml:space="preserve"> </w:t>
      </w:r>
      <w:r w:rsidRPr="00F07F0E">
        <w:rPr>
          <w:rFonts w:eastAsia="Times New Roman" w:cs="Arial"/>
          <w:color w:val="000000"/>
          <w:lang w:eastAsia="bg-BG"/>
        </w:rPr>
        <w:t xml:space="preserve">като начална доза. Доза от 0,5 </w:t>
      </w:r>
      <w:r w:rsidRPr="00F07F0E">
        <w:rPr>
          <w:rFonts w:eastAsia="Times New Roman" w:cs="Arial"/>
          <w:color w:val="000000"/>
          <w:lang w:val="en-US"/>
        </w:rPr>
        <w:t>mg</w:t>
      </w:r>
      <w:r w:rsidRPr="00F07F0E">
        <w:rPr>
          <w:rFonts w:eastAsia="Times New Roman" w:cs="Arial"/>
          <w:color w:val="000000"/>
          <w:lang w:val="ru-RU"/>
        </w:rPr>
        <w:t xml:space="preserve"> </w:t>
      </w:r>
      <w:r w:rsidRPr="00F07F0E">
        <w:rPr>
          <w:rFonts w:eastAsia="Times New Roman" w:cs="Arial"/>
          <w:color w:val="000000"/>
          <w:lang w:eastAsia="bg-BG"/>
        </w:rPr>
        <w:t xml:space="preserve">достига терапевтичен отговор само при малка част от пациентите. Дозата трябва да се удвои постепенно на интервали от една до четири седмици, въз основа на отговора на пациента, до максимум 4 </w:t>
      </w:r>
      <w:r w:rsidRPr="00F07F0E">
        <w:rPr>
          <w:rFonts w:eastAsia="Times New Roman" w:cs="Arial"/>
          <w:color w:val="000000"/>
          <w:lang w:val="en-US"/>
        </w:rPr>
        <w:t>mg</w:t>
      </w:r>
      <w:r w:rsidRPr="00F07F0E">
        <w:rPr>
          <w:rFonts w:eastAsia="Times New Roman" w:cs="Arial"/>
          <w:color w:val="000000"/>
          <w:lang w:val="ru-RU"/>
        </w:rPr>
        <w:t xml:space="preserve"> </w:t>
      </w:r>
      <w:r w:rsidRPr="00F07F0E">
        <w:rPr>
          <w:rFonts w:eastAsia="Times New Roman" w:cs="Arial"/>
          <w:color w:val="000000"/>
          <w:lang w:eastAsia="bg-BG"/>
        </w:rPr>
        <w:t xml:space="preserve">до 8 </w:t>
      </w:r>
      <w:r w:rsidRPr="00F07F0E">
        <w:rPr>
          <w:rFonts w:eastAsia="Times New Roman" w:cs="Arial"/>
          <w:color w:val="000000"/>
          <w:lang w:val="en-US"/>
        </w:rPr>
        <w:t>mg</w:t>
      </w:r>
      <w:r w:rsidRPr="00F07F0E">
        <w:rPr>
          <w:rFonts w:eastAsia="Times New Roman" w:cs="Arial"/>
          <w:color w:val="000000"/>
          <w:lang w:val="ru-RU"/>
        </w:rPr>
        <w:t xml:space="preserve"> </w:t>
      </w:r>
      <w:r w:rsidRPr="00F07F0E">
        <w:rPr>
          <w:rFonts w:eastAsia="Times New Roman" w:cs="Arial"/>
          <w:color w:val="000000"/>
          <w:lang w:eastAsia="bg-BG"/>
        </w:rPr>
        <w:t xml:space="preserve">дневно. Обичайната поддържаща доза е от 1 </w:t>
      </w:r>
      <w:r w:rsidRPr="00F07F0E">
        <w:rPr>
          <w:rFonts w:eastAsia="Times New Roman" w:cs="Arial"/>
          <w:color w:val="000000"/>
          <w:lang w:val="en-US"/>
        </w:rPr>
        <w:t>mg</w:t>
      </w:r>
      <w:r w:rsidRPr="00F07F0E">
        <w:rPr>
          <w:rFonts w:eastAsia="Times New Roman" w:cs="Arial"/>
          <w:color w:val="000000"/>
          <w:lang w:val="ru-RU"/>
        </w:rPr>
        <w:t xml:space="preserve"> </w:t>
      </w:r>
      <w:r w:rsidRPr="00F07F0E">
        <w:rPr>
          <w:rFonts w:eastAsia="Times New Roman" w:cs="Arial"/>
          <w:color w:val="000000"/>
          <w:lang w:eastAsia="bg-BG"/>
        </w:rPr>
        <w:t xml:space="preserve">до 4 </w:t>
      </w:r>
      <w:r w:rsidRPr="00F07F0E">
        <w:rPr>
          <w:rFonts w:eastAsia="Times New Roman" w:cs="Arial"/>
          <w:color w:val="000000"/>
          <w:lang w:val="en-US"/>
        </w:rPr>
        <w:t>mg</w:t>
      </w:r>
      <w:r w:rsidRPr="00F07F0E">
        <w:rPr>
          <w:rFonts w:eastAsia="Times New Roman" w:cs="Arial"/>
          <w:color w:val="000000"/>
          <w:lang w:val="ru-RU"/>
        </w:rPr>
        <w:t xml:space="preserve"> </w:t>
      </w:r>
      <w:r w:rsidRPr="00F07F0E">
        <w:rPr>
          <w:rFonts w:eastAsia="Times New Roman" w:cs="Arial"/>
          <w:color w:val="000000"/>
          <w:lang w:eastAsia="bg-BG"/>
        </w:rPr>
        <w:t xml:space="preserve">като единична дневна Ако отговорът на пациента е все още незадоволителен при доза от 4 </w:t>
      </w:r>
      <w:r w:rsidRPr="00F07F0E">
        <w:rPr>
          <w:rFonts w:eastAsia="Times New Roman" w:cs="Arial"/>
          <w:color w:val="000000"/>
          <w:lang w:val="en-US"/>
        </w:rPr>
        <w:t>mg</w:t>
      </w:r>
      <w:r w:rsidRPr="00F07F0E">
        <w:rPr>
          <w:rFonts w:eastAsia="Times New Roman" w:cs="Arial"/>
          <w:color w:val="000000"/>
          <w:lang w:val="ru-RU"/>
        </w:rPr>
        <w:t xml:space="preserve"> </w:t>
      </w:r>
      <w:r w:rsidRPr="00F07F0E">
        <w:rPr>
          <w:rFonts w:eastAsia="Times New Roman" w:cs="Arial"/>
          <w:color w:val="000000"/>
          <w:lang w:eastAsia="bg-BG"/>
        </w:rPr>
        <w:t xml:space="preserve">до 8 </w:t>
      </w:r>
      <w:r w:rsidRPr="00F07F0E">
        <w:rPr>
          <w:rFonts w:eastAsia="Times New Roman" w:cs="Arial"/>
          <w:color w:val="000000"/>
          <w:lang w:val="en-US"/>
        </w:rPr>
        <w:t>mg</w:t>
      </w:r>
      <w:r w:rsidRPr="00F07F0E">
        <w:rPr>
          <w:rFonts w:eastAsia="Times New Roman" w:cs="Arial"/>
          <w:color w:val="000000"/>
          <w:lang w:val="ru-RU"/>
        </w:rPr>
        <w:t xml:space="preserve">, </w:t>
      </w:r>
      <w:r w:rsidRPr="00F07F0E">
        <w:rPr>
          <w:rFonts w:eastAsia="Times New Roman" w:cs="Arial"/>
          <w:color w:val="000000"/>
          <w:lang w:eastAsia="bg-BG"/>
        </w:rPr>
        <w:t>трябва да се обмисли комбинирана терапия с диуретик и/или калциев антагонист (вж. точки 4.3, 4.4, 4.5 и 5.1).</w:t>
      </w:r>
    </w:p>
    <w:p w14:paraId="35D8AA56" w14:textId="540B8261" w:rsidR="00F07F0E" w:rsidRPr="00F07F0E" w:rsidRDefault="00F07F0E" w:rsidP="00F07F0E">
      <w:pPr>
        <w:rPr>
          <w:rFonts w:eastAsia="Times New Roman" w:cs="Arial"/>
          <w:color w:val="000000"/>
          <w:lang w:eastAsia="bg-BG"/>
        </w:rPr>
      </w:pPr>
    </w:p>
    <w:p w14:paraId="3F23115D" w14:textId="77777777" w:rsidR="00F07F0E" w:rsidRPr="00F07F0E" w:rsidRDefault="00F07F0E" w:rsidP="00F07F0E">
      <w:pPr>
        <w:spacing w:line="240" w:lineRule="auto"/>
        <w:rPr>
          <w:rFonts w:eastAsia="Times New Roman" w:cs="Arial"/>
          <w:sz w:val="24"/>
          <w:szCs w:val="24"/>
        </w:rPr>
      </w:pPr>
      <w:r w:rsidRPr="00F07F0E">
        <w:rPr>
          <w:rFonts w:eastAsia="Times New Roman" w:cs="Arial"/>
          <w:i/>
          <w:iCs/>
          <w:color w:val="000000"/>
          <w:lang w:eastAsia="bg-BG"/>
        </w:rPr>
        <w:t>Левокамерна дисфункция след инфаркт на миокарда</w:t>
      </w:r>
    </w:p>
    <w:p w14:paraId="3F5DE205" w14:textId="77777777" w:rsidR="00F07F0E" w:rsidRPr="00F07F0E" w:rsidRDefault="00F07F0E" w:rsidP="00F07F0E">
      <w:pPr>
        <w:spacing w:line="240" w:lineRule="auto"/>
        <w:rPr>
          <w:rFonts w:eastAsia="Times New Roman" w:cs="Arial"/>
          <w:sz w:val="24"/>
          <w:szCs w:val="24"/>
        </w:rPr>
      </w:pPr>
      <w:r w:rsidRPr="00F07F0E">
        <w:rPr>
          <w:rFonts w:eastAsia="Times New Roman" w:cs="Arial"/>
          <w:color w:val="000000"/>
          <w:lang w:eastAsia="bg-BG"/>
        </w:rPr>
        <w:t xml:space="preserve">След инфаркт на миокарда, лечението може да бъде започнато не по-рано от третия ден. Началната дневна доза трябва да е от 0,5 </w:t>
      </w:r>
      <w:r w:rsidRPr="00F07F0E">
        <w:rPr>
          <w:rFonts w:eastAsia="Times New Roman" w:cs="Arial"/>
          <w:color w:val="000000"/>
          <w:lang w:val="en-US"/>
        </w:rPr>
        <w:t>mg</w:t>
      </w:r>
      <w:r w:rsidRPr="00F07F0E">
        <w:rPr>
          <w:rFonts w:eastAsia="Times New Roman" w:cs="Arial"/>
          <w:color w:val="000000"/>
          <w:lang w:val="ru-RU"/>
        </w:rPr>
        <w:t xml:space="preserve"> </w:t>
      </w:r>
      <w:r w:rsidRPr="00F07F0E">
        <w:rPr>
          <w:rFonts w:eastAsia="Times New Roman" w:cs="Arial"/>
          <w:color w:val="000000"/>
          <w:lang w:eastAsia="bg-BG"/>
        </w:rPr>
        <w:t xml:space="preserve">до 1 </w:t>
      </w:r>
      <w:r w:rsidRPr="00F07F0E">
        <w:rPr>
          <w:rFonts w:eastAsia="Times New Roman" w:cs="Arial"/>
          <w:color w:val="000000"/>
          <w:lang w:val="en-US"/>
        </w:rPr>
        <w:t>mg</w:t>
      </w:r>
      <w:r w:rsidRPr="00F07F0E">
        <w:rPr>
          <w:rFonts w:eastAsia="Times New Roman" w:cs="Arial"/>
          <w:color w:val="000000"/>
          <w:lang w:val="ru-RU"/>
        </w:rPr>
        <w:t xml:space="preserve">. </w:t>
      </w:r>
      <w:r w:rsidRPr="00F07F0E">
        <w:rPr>
          <w:rFonts w:eastAsia="Times New Roman" w:cs="Arial"/>
          <w:color w:val="000000"/>
          <w:lang w:eastAsia="bg-BG"/>
        </w:rPr>
        <w:t xml:space="preserve">Тази доза трябва постепенно да се повишава до максимум 4 </w:t>
      </w:r>
      <w:r w:rsidRPr="00F07F0E">
        <w:rPr>
          <w:rFonts w:eastAsia="Times New Roman" w:cs="Arial"/>
          <w:color w:val="000000"/>
          <w:lang w:val="en-US"/>
        </w:rPr>
        <w:t>mg</w:t>
      </w:r>
      <w:r w:rsidRPr="00F07F0E">
        <w:rPr>
          <w:rFonts w:eastAsia="Times New Roman" w:cs="Arial"/>
          <w:color w:val="000000"/>
          <w:lang w:val="ru-RU"/>
        </w:rPr>
        <w:t xml:space="preserve">, </w:t>
      </w:r>
      <w:r w:rsidRPr="00F07F0E">
        <w:rPr>
          <w:rFonts w:eastAsia="Times New Roman" w:cs="Arial"/>
          <w:color w:val="000000"/>
          <w:lang w:eastAsia="bg-BG"/>
        </w:rPr>
        <w:t>като еднократна дневна доза. В зависимост от поносимостта, например появата на симптоматична хипотония, това форсирано титриране на дозата може временно да бъде отложено.</w:t>
      </w:r>
    </w:p>
    <w:p w14:paraId="36A3BD4D" w14:textId="77777777" w:rsidR="00F07F0E" w:rsidRPr="00F07F0E" w:rsidRDefault="00F07F0E" w:rsidP="00F07F0E">
      <w:pPr>
        <w:spacing w:line="240" w:lineRule="auto"/>
        <w:rPr>
          <w:rFonts w:eastAsia="Times New Roman" w:cs="Arial"/>
          <w:color w:val="000000"/>
          <w:lang w:eastAsia="bg-BG"/>
        </w:rPr>
      </w:pPr>
    </w:p>
    <w:p w14:paraId="5C4B6AD2" w14:textId="77777777" w:rsidR="00F07F0E" w:rsidRPr="00F07F0E" w:rsidRDefault="00F07F0E" w:rsidP="00F07F0E">
      <w:pPr>
        <w:spacing w:line="240" w:lineRule="auto"/>
        <w:rPr>
          <w:rFonts w:eastAsia="Times New Roman" w:cs="Arial"/>
          <w:color w:val="000000"/>
          <w:lang w:eastAsia="bg-BG"/>
        </w:rPr>
      </w:pPr>
      <w:r w:rsidRPr="00F07F0E">
        <w:rPr>
          <w:rFonts w:eastAsia="Times New Roman" w:cs="Arial"/>
          <w:color w:val="000000"/>
          <w:lang w:eastAsia="bg-BG"/>
        </w:rPr>
        <w:t xml:space="preserve">В случай на хипотония, всяко съпътстващо хипотензивно лечение, като например прием на вазодилататори, включително нитрати и диуретици, трябва внимателно да бъде преоценено и при </w:t>
      </w:r>
    </w:p>
    <w:p w14:paraId="0FB4AD5D" w14:textId="42A2029F" w:rsidR="00F07F0E" w:rsidRPr="00F07F0E" w:rsidRDefault="00F07F0E" w:rsidP="00F07F0E">
      <w:pPr>
        <w:spacing w:line="240" w:lineRule="auto"/>
        <w:rPr>
          <w:rFonts w:eastAsia="Times New Roman" w:cs="Arial"/>
          <w:sz w:val="24"/>
          <w:szCs w:val="24"/>
        </w:rPr>
      </w:pPr>
      <w:r w:rsidRPr="00F07F0E">
        <w:rPr>
          <w:rFonts w:eastAsia="Times New Roman" w:cs="Arial"/>
          <w:color w:val="000000"/>
          <w:lang w:eastAsia="bg-BG"/>
        </w:rPr>
        <w:t>възможност дозата на тези лекарствени продукти да бъде намалена.</w:t>
      </w:r>
    </w:p>
    <w:p w14:paraId="1DD7064B" w14:textId="77777777" w:rsidR="00F07F0E" w:rsidRPr="00F07F0E" w:rsidRDefault="00F07F0E" w:rsidP="00F07F0E">
      <w:pPr>
        <w:spacing w:line="240" w:lineRule="auto"/>
        <w:rPr>
          <w:rFonts w:eastAsia="Times New Roman" w:cs="Arial"/>
          <w:color w:val="000000"/>
          <w:lang w:eastAsia="bg-BG"/>
        </w:rPr>
      </w:pPr>
    </w:p>
    <w:p w14:paraId="4C3F6016" w14:textId="36560A54" w:rsidR="00F07F0E" w:rsidRPr="00F07F0E" w:rsidRDefault="00F07F0E" w:rsidP="00F07F0E">
      <w:pPr>
        <w:spacing w:line="240" w:lineRule="auto"/>
        <w:rPr>
          <w:rFonts w:eastAsia="Times New Roman" w:cs="Arial"/>
          <w:color w:val="000000"/>
          <w:lang w:eastAsia="bg-BG"/>
        </w:rPr>
      </w:pPr>
      <w:r w:rsidRPr="00F07F0E">
        <w:rPr>
          <w:rFonts w:eastAsia="Times New Roman" w:cs="Arial"/>
          <w:color w:val="000000"/>
          <w:lang w:eastAsia="bg-BG"/>
        </w:rPr>
        <w:t xml:space="preserve">Дозата на Гоптен трябва да бъде намалена, само в случай, че посочените по-горе мерки са </w:t>
      </w:r>
    </w:p>
    <w:p w14:paraId="216B9092" w14:textId="544DEB0E" w:rsidR="00F07F0E" w:rsidRPr="00F07F0E" w:rsidRDefault="00F07F0E" w:rsidP="00F07F0E">
      <w:pPr>
        <w:spacing w:line="240" w:lineRule="auto"/>
        <w:rPr>
          <w:rFonts w:eastAsia="Times New Roman" w:cs="Arial"/>
          <w:sz w:val="24"/>
          <w:szCs w:val="24"/>
        </w:rPr>
      </w:pPr>
      <w:r w:rsidRPr="00F07F0E">
        <w:rPr>
          <w:rFonts w:eastAsia="Times New Roman" w:cs="Arial"/>
          <w:color w:val="000000"/>
          <w:lang w:eastAsia="bg-BG"/>
        </w:rPr>
        <w:t>неефективни или неприложими.</w:t>
      </w:r>
    </w:p>
    <w:p w14:paraId="2ADB8CEE" w14:textId="77777777" w:rsidR="00F07F0E" w:rsidRPr="00F07F0E" w:rsidRDefault="00F07F0E" w:rsidP="00F07F0E">
      <w:pPr>
        <w:spacing w:line="240" w:lineRule="auto"/>
        <w:rPr>
          <w:rFonts w:eastAsia="Times New Roman" w:cs="Arial"/>
          <w:i/>
          <w:iCs/>
          <w:color w:val="000000"/>
          <w:u w:val="single"/>
          <w:lang w:eastAsia="bg-BG"/>
        </w:rPr>
      </w:pPr>
    </w:p>
    <w:p w14:paraId="3695E4F7" w14:textId="5D19338D" w:rsidR="00F07F0E" w:rsidRPr="00F07F0E" w:rsidRDefault="00F07F0E" w:rsidP="00F07F0E">
      <w:pPr>
        <w:pStyle w:val="Heading3"/>
        <w:rPr>
          <w:rFonts w:eastAsia="Times New Roman"/>
          <w:u w:val="single"/>
        </w:rPr>
      </w:pPr>
      <w:r w:rsidRPr="00F07F0E">
        <w:rPr>
          <w:rFonts w:eastAsia="Times New Roman"/>
          <w:u w:val="single"/>
          <w:lang w:eastAsia="bg-BG"/>
        </w:rPr>
        <w:t>Специални популации</w:t>
      </w:r>
    </w:p>
    <w:p w14:paraId="36E30340" w14:textId="77777777" w:rsidR="00F07F0E" w:rsidRPr="00F07F0E" w:rsidRDefault="00F07F0E" w:rsidP="00F07F0E">
      <w:pPr>
        <w:spacing w:line="240" w:lineRule="auto"/>
        <w:rPr>
          <w:rFonts w:eastAsia="Times New Roman" w:cs="Arial"/>
          <w:i/>
          <w:iCs/>
          <w:color w:val="000000"/>
          <w:lang w:eastAsia="bg-BG"/>
        </w:rPr>
      </w:pPr>
    </w:p>
    <w:p w14:paraId="2F7DACDA" w14:textId="79F7EA43" w:rsidR="00F07F0E" w:rsidRPr="00F07F0E" w:rsidRDefault="00F07F0E" w:rsidP="00F07F0E">
      <w:pPr>
        <w:spacing w:line="240" w:lineRule="auto"/>
        <w:rPr>
          <w:rFonts w:eastAsia="Times New Roman" w:cs="Arial"/>
          <w:sz w:val="24"/>
          <w:szCs w:val="24"/>
        </w:rPr>
      </w:pPr>
      <w:r w:rsidRPr="00F07F0E">
        <w:rPr>
          <w:rFonts w:eastAsia="Times New Roman" w:cs="Arial"/>
          <w:i/>
          <w:iCs/>
          <w:color w:val="000000"/>
          <w:lang w:eastAsia="bg-BG"/>
        </w:rPr>
        <w:t>Педиатрична популация</w:t>
      </w:r>
    </w:p>
    <w:p w14:paraId="035CE7DD" w14:textId="7B7CB34F" w:rsidR="00F07F0E" w:rsidRPr="00F07F0E" w:rsidRDefault="00F07F0E" w:rsidP="00F07F0E">
      <w:pPr>
        <w:spacing w:line="240" w:lineRule="auto"/>
        <w:rPr>
          <w:rFonts w:eastAsia="Times New Roman" w:cs="Arial"/>
          <w:sz w:val="24"/>
          <w:szCs w:val="24"/>
        </w:rPr>
      </w:pPr>
      <w:r w:rsidRPr="00F07F0E">
        <w:rPr>
          <w:rFonts w:eastAsia="Times New Roman" w:cs="Arial"/>
          <w:color w:val="000000"/>
          <w:lang w:eastAsia="bg-BG"/>
        </w:rPr>
        <w:t>Безопасността и ефикасността на Гоптен в детска възраст не е установена.</w:t>
      </w:r>
    </w:p>
    <w:p w14:paraId="36F89A71" w14:textId="77777777" w:rsidR="00F07F0E" w:rsidRPr="00F07F0E" w:rsidRDefault="00F07F0E" w:rsidP="00F07F0E">
      <w:pPr>
        <w:spacing w:line="240" w:lineRule="auto"/>
        <w:rPr>
          <w:rFonts w:eastAsia="Times New Roman" w:cs="Arial"/>
          <w:i/>
          <w:iCs/>
          <w:color w:val="000000"/>
          <w:lang w:eastAsia="bg-BG"/>
        </w:rPr>
      </w:pPr>
    </w:p>
    <w:p w14:paraId="1E37B366" w14:textId="3E009248" w:rsidR="00F07F0E" w:rsidRPr="00F07F0E" w:rsidRDefault="00F07F0E" w:rsidP="00F07F0E">
      <w:pPr>
        <w:spacing w:line="240" w:lineRule="auto"/>
        <w:rPr>
          <w:rFonts w:eastAsia="Times New Roman" w:cs="Arial"/>
          <w:sz w:val="24"/>
          <w:szCs w:val="24"/>
        </w:rPr>
      </w:pPr>
      <w:r w:rsidRPr="00F07F0E">
        <w:rPr>
          <w:rFonts w:eastAsia="Times New Roman" w:cs="Arial"/>
          <w:i/>
          <w:iCs/>
          <w:color w:val="000000"/>
          <w:lang w:eastAsia="bg-BG"/>
        </w:rPr>
        <w:t>Пациенти в старческа възраст</w:t>
      </w:r>
    </w:p>
    <w:p w14:paraId="59EA06AD" w14:textId="77777777" w:rsidR="00F07F0E" w:rsidRPr="00F07F0E" w:rsidRDefault="00F07F0E" w:rsidP="00F07F0E">
      <w:pPr>
        <w:spacing w:line="240" w:lineRule="auto"/>
        <w:rPr>
          <w:rFonts w:eastAsia="Times New Roman" w:cs="Arial"/>
          <w:sz w:val="24"/>
          <w:szCs w:val="24"/>
        </w:rPr>
      </w:pPr>
      <w:r w:rsidRPr="00F07F0E">
        <w:rPr>
          <w:rFonts w:eastAsia="Times New Roman" w:cs="Arial"/>
          <w:color w:val="000000"/>
          <w:lang w:eastAsia="bg-BG"/>
        </w:rPr>
        <w:t>Дозата при пациенти в старческа възраст е същата като при пациенти в не-старческа възраст. Няма необходимост от редуциране на дозата при пациенти в старческа възраст с нормална бъбречна и чернодробна функции. Повишено внимание е необходимо при пациенти в старческа възраст на едновременно лечение с диуретици, застойна сърдечна недостъпност, или бъбречна или чернодробна недостатъчност. Дозата трябва да се титрира според нуждите за контрол на кръвното налягане.</w:t>
      </w:r>
    </w:p>
    <w:p w14:paraId="7601779F" w14:textId="77777777" w:rsidR="00F07F0E" w:rsidRPr="00F07F0E" w:rsidRDefault="00F07F0E" w:rsidP="00F07F0E">
      <w:pPr>
        <w:spacing w:line="240" w:lineRule="auto"/>
        <w:rPr>
          <w:rFonts w:eastAsia="Times New Roman" w:cs="Arial"/>
          <w:i/>
          <w:iCs/>
          <w:color w:val="000000"/>
          <w:lang w:eastAsia="bg-BG"/>
        </w:rPr>
      </w:pPr>
    </w:p>
    <w:p w14:paraId="020F04A7" w14:textId="7A49A30F" w:rsidR="00F07F0E" w:rsidRPr="00F07F0E" w:rsidRDefault="00F07F0E" w:rsidP="00F07F0E">
      <w:pPr>
        <w:spacing w:line="240" w:lineRule="auto"/>
        <w:rPr>
          <w:rFonts w:eastAsia="Times New Roman" w:cs="Arial"/>
          <w:sz w:val="24"/>
          <w:szCs w:val="24"/>
        </w:rPr>
      </w:pPr>
      <w:r w:rsidRPr="00F07F0E">
        <w:rPr>
          <w:rFonts w:eastAsia="Times New Roman" w:cs="Arial"/>
          <w:i/>
          <w:iCs/>
          <w:color w:val="000000"/>
          <w:lang w:eastAsia="bg-BG"/>
        </w:rPr>
        <w:t>Предшестващо диуретично лечение</w:t>
      </w:r>
    </w:p>
    <w:p w14:paraId="15321A11" w14:textId="77777777" w:rsidR="00F07F0E" w:rsidRPr="00F07F0E" w:rsidRDefault="00F07F0E" w:rsidP="00F07F0E">
      <w:pPr>
        <w:spacing w:line="240" w:lineRule="auto"/>
        <w:rPr>
          <w:rFonts w:eastAsia="Times New Roman" w:cs="Arial"/>
          <w:sz w:val="24"/>
          <w:szCs w:val="24"/>
        </w:rPr>
      </w:pPr>
      <w:r w:rsidRPr="00F07F0E">
        <w:rPr>
          <w:rFonts w:eastAsia="Times New Roman" w:cs="Arial"/>
          <w:color w:val="000000"/>
          <w:lang w:eastAsia="bg-BG"/>
        </w:rPr>
        <w:t xml:space="preserve">При пациенти в риск от стимулирана ренин-ангиотензин система (напр. пациенти със загуба на вода и натрий), диуретикът трябва да се спре 2 или 3 дни преди началото на терапията с 0,5 </w:t>
      </w:r>
      <w:r w:rsidRPr="00F07F0E">
        <w:rPr>
          <w:rFonts w:eastAsia="Times New Roman" w:cs="Arial"/>
          <w:color w:val="000000"/>
          <w:lang w:val="en-US"/>
        </w:rPr>
        <w:t>mg</w:t>
      </w:r>
      <w:r w:rsidRPr="00F07F0E">
        <w:rPr>
          <w:rFonts w:eastAsia="Times New Roman" w:cs="Arial"/>
          <w:color w:val="000000"/>
          <w:lang w:val="ru-RU"/>
        </w:rPr>
        <w:t xml:space="preserve"> </w:t>
      </w:r>
      <w:r w:rsidRPr="00F07F0E">
        <w:rPr>
          <w:rFonts w:eastAsia="Times New Roman" w:cs="Arial"/>
          <w:color w:val="000000"/>
          <w:lang w:eastAsia="bg-BG"/>
        </w:rPr>
        <w:t>Гоптен, за да се намали вероятността от развитие на симптоматична хипотония. Диуретикът може да се прибави по-късно, ако е необходимо.</w:t>
      </w:r>
    </w:p>
    <w:p w14:paraId="74C061A5" w14:textId="77777777" w:rsidR="00F07F0E" w:rsidRPr="00F07F0E" w:rsidRDefault="00F07F0E" w:rsidP="00F07F0E">
      <w:pPr>
        <w:spacing w:line="240" w:lineRule="auto"/>
        <w:rPr>
          <w:rFonts w:eastAsia="Times New Roman" w:cs="Arial"/>
          <w:i/>
          <w:iCs/>
          <w:color w:val="000000"/>
          <w:lang w:eastAsia="bg-BG"/>
        </w:rPr>
      </w:pPr>
    </w:p>
    <w:p w14:paraId="3E1EB5C6" w14:textId="315714A9" w:rsidR="00F07F0E" w:rsidRPr="00F07F0E" w:rsidRDefault="00F07F0E" w:rsidP="00F07F0E">
      <w:pPr>
        <w:spacing w:line="240" w:lineRule="auto"/>
        <w:rPr>
          <w:rFonts w:eastAsia="Times New Roman" w:cs="Arial"/>
          <w:sz w:val="24"/>
          <w:szCs w:val="24"/>
        </w:rPr>
      </w:pPr>
      <w:r w:rsidRPr="00F07F0E">
        <w:rPr>
          <w:rFonts w:eastAsia="Times New Roman" w:cs="Arial"/>
          <w:i/>
          <w:iCs/>
          <w:color w:val="000000"/>
          <w:lang w:eastAsia="bg-BG"/>
        </w:rPr>
        <w:t>Сърдечна недостатъчност</w:t>
      </w:r>
    </w:p>
    <w:p w14:paraId="3B30553B" w14:textId="77777777" w:rsidR="00F07F0E" w:rsidRPr="00F07F0E" w:rsidRDefault="00F07F0E" w:rsidP="00F07F0E">
      <w:pPr>
        <w:spacing w:line="240" w:lineRule="auto"/>
        <w:rPr>
          <w:rFonts w:eastAsia="Times New Roman" w:cs="Arial"/>
          <w:sz w:val="24"/>
          <w:szCs w:val="24"/>
        </w:rPr>
      </w:pPr>
      <w:r w:rsidRPr="00F07F0E">
        <w:rPr>
          <w:rFonts w:eastAsia="Times New Roman" w:cs="Arial"/>
          <w:color w:val="000000"/>
          <w:lang w:eastAsia="bg-BG"/>
        </w:rPr>
        <w:t xml:space="preserve">При пациенти с хипертония, които имат застойна сърдечна недостатъчност със или без съпътстваща бъбречна недостатъчност, след лечението с АСЕ-инхибитори е наблюдавана симптоматична хипотония. При тези пациенти лечението трябва да започне с доза от 0,5 </w:t>
      </w:r>
      <w:r w:rsidRPr="00F07F0E">
        <w:rPr>
          <w:rFonts w:eastAsia="Times New Roman" w:cs="Arial"/>
          <w:color w:val="000000"/>
          <w:lang w:val="en-US"/>
        </w:rPr>
        <w:t>mg</w:t>
      </w:r>
      <w:r w:rsidRPr="00F07F0E">
        <w:rPr>
          <w:rFonts w:eastAsia="Times New Roman" w:cs="Arial"/>
          <w:color w:val="000000"/>
          <w:lang w:val="ru-RU"/>
        </w:rPr>
        <w:t xml:space="preserve"> </w:t>
      </w:r>
      <w:r w:rsidRPr="00F07F0E">
        <w:rPr>
          <w:rFonts w:eastAsia="Times New Roman" w:cs="Arial"/>
          <w:color w:val="000000"/>
          <w:lang w:eastAsia="bg-BG"/>
        </w:rPr>
        <w:t xml:space="preserve">до 1 </w:t>
      </w:r>
      <w:r w:rsidRPr="00F07F0E">
        <w:rPr>
          <w:rFonts w:eastAsia="Times New Roman" w:cs="Arial"/>
          <w:color w:val="000000"/>
          <w:lang w:val="en-US"/>
        </w:rPr>
        <w:t>mg</w:t>
      </w:r>
      <w:r w:rsidRPr="00F07F0E">
        <w:rPr>
          <w:rFonts w:eastAsia="Times New Roman" w:cs="Arial"/>
          <w:color w:val="000000"/>
          <w:lang w:val="ru-RU"/>
        </w:rPr>
        <w:t xml:space="preserve"> </w:t>
      </w:r>
      <w:r w:rsidRPr="00F07F0E">
        <w:rPr>
          <w:rFonts w:eastAsia="Times New Roman" w:cs="Arial"/>
          <w:color w:val="000000"/>
          <w:lang w:eastAsia="bg-BG"/>
        </w:rPr>
        <w:t>Гоптен веднъж дневно под строг медицински контрол.</w:t>
      </w:r>
    </w:p>
    <w:p w14:paraId="2314B7E1" w14:textId="77777777" w:rsidR="00F07F0E" w:rsidRPr="00F07F0E" w:rsidRDefault="00F07F0E" w:rsidP="00F07F0E">
      <w:pPr>
        <w:spacing w:line="240" w:lineRule="auto"/>
        <w:rPr>
          <w:rFonts w:eastAsia="Times New Roman" w:cs="Arial"/>
          <w:i/>
          <w:iCs/>
          <w:color w:val="000000"/>
          <w:lang w:eastAsia="bg-BG"/>
        </w:rPr>
      </w:pPr>
    </w:p>
    <w:p w14:paraId="48428C47" w14:textId="136EF75F" w:rsidR="00F07F0E" w:rsidRPr="00F07F0E" w:rsidRDefault="00F07F0E" w:rsidP="00F07F0E">
      <w:pPr>
        <w:spacing w:line="240" w:lineRule="auto"/>
        <w:rPr>
          <w:rFonts w:eastAsia="Times New Roman" w:cs="Arial"/>
          <w:sz w:val="24"/>
          <w:szCs w:val="24"/>
        </w:rPr>
      </w:pPr>
      <w:r w:rsidRPr="00F07F0E">
        <w:rPr>
          <w:rFonts w:eastAsia="Times New Roman" w:cs="Arial"/>
          <w:i/>
          <w:iCs/>
          <w:color w:val="000000"/>
          <w:lang w:eastAsia="bg-BG"/>
        </w:rPr>
        <w:lastRenderedPageBreak/>
        <w:t>Бъбречно увреждане</w:t>
      </w:r>
    </w:p>
    <w:p w14:paraId="3C0C6373" w14:textId="77777777" w:rsidR="00F07F0E" w:rsidRPr="00F07F0E" w:rsidRDefault="00F07F0E" w:rsidP="00F07F0E">
      <w:pPr>
        <w:spacing w:line="240" w:lineRule="auto"/>
        <w:rPr>
          <w:rFonts w:eastAsia="Times New Roman" w:cs="Arial"/>
          <w:sz w:val="24"/>
          <w:szCs w:val="24"/>
        </w:rPr>
      </w:pPr>
      <w:r w:rsidRPr="00F07F0E">
        <w:rPr>
          <w:rFonts w:eastAsia="Times New Roman" w:cs="Arial"/>
          <w:color w:val="000000"/>
          <w:lang w:eastAsia="bg-BG"/>
        </w:rPr>
        <w:t xml:space="preserve">При пациенти с креатининов клирънс от 30 до 70 </w:t>
      </w:r>
      <w:r w:rsidRPr="00F07F0E">
        <w:rPr>
          <w:rFonts w:eastAsia="Times New Roman" w:cs="Arial"/>
          <w:color w:val="000000"/>
          <w:lang w:val="en-US"/>
        </w:rPr>
        <w:t>ml</w:t>
      </w:r>
      <w:r w:rsidRPr="00F07F0E">
        <w:rPr>
          <w:rFonts w:eastAsia="Times New Roman" w:cs="Arial"/>
          <w:color w:val="000000"/>
          <w:lang w:val="ru-RU"/>
        </w:rPr>
        <w:t>/</w:t>
      </w:r>
      <w:r w:rsidRPr="00F07F0E">
        <w:rPr>
          <w:rFonts w:eastAsia="Times New Roman" w:cs="Arial"/>
          <w:color w:val="000000"/>
          <w:lang w:val="en-US"/>
        </w:rPr>
        <w:t>min</w:t>
      </w:r>
      <w:r w:rsidRPr="00F07F0E">
        <w:rPr>
          <w:rFonts w:eastAsia="Times New Roman" w:cs="Arial"/>
          <w:color w:val="000000"/>
          <w:lang w:val="ru-RU"/>
        </w:rPr>
        <w:t xml:space="preserve"> </w:t>
      </w:r>
      <w:r w:rsidRPr="00F07F0E">
        <w:rPr>
          <w:rFonts w:eastAsia="Times New Roman" w:cs="Arial"/>
          <w:color w:val="000000"/>
          <w:lang w:eastAsia="bg-BG"/>
        </w:rPr>
        <w:t>се препоръчва прием на обичайната доза за възрастни и пациенти в напреднала възраст.</w:t>
      </w:r>
    </w:p>
    <w:p w14:paraId="424FFC95" w14:textId="77777777" w:rsidR="00F07F0E" w:rsidRPr="00F07F0E" w:rsidRDefault="00F07F0E" w:rsidP="00F07F0E">
      <w:pPr>
        <w:spacing w:line="240" w:lineRule="auto"/>
        <w:rPr>
          <w:rFonts w:eastAsia="Times New Roman" w:cs="Arial"/>
          <w:sz w:val="24"/>
          <w:szCs w:val="24"/>
        </w:rPr>
      </w:pPr>
      <w:r w:rsidRPr="00F07F0E">
        <w:rPr>
          <w:rFonts w:eastAsia="Times New Roman" w:cs="Arial"/>
          <w:color w:val="000000"/>
          <w:lang w:eastAsia="bg-BG"/>
        </w:rPr>
        <w:t xml:space="preserve">При пациенти с креатининов клирънс под 30 </w:t>
      </w:r>
      <w:r w:rsidRPr="00F07F0E">
        <w:rPr>
          <w:rFonts w:eastAsia="Times New Roman" w:cs="Arial"/>
          <w:color w:val="000000"/>
          <w:lang w:val="en-US"/>
        </w:rPr>
        <w:t>ml</w:t>
      </w:r>
      <w:r w:rsidRPr="00F07F0E">
        <w:rPr>
          <w:rFonts w:eastAsia="Times New Roman" w:cs="Arial"/>
          <w:color w:val="000000"/>
          <w:lang w:val="ru-RU"/>
        </w:rPr>
        <w:t>/</w:t>
      </w:r>
      <w:r w:rsidRPr="00F07F0E">
        <w:rPr>
          <w:rFonts w:eastAsia="Times New Roman" w:cs="Arial"/>
          <w:color w:val="000000"/>
          <w:lang w:val="en-US"/>
        </w:rPr>
        <w:t>min</w:t>
      </w:r>
      <w:r w:rsidRPr="00F07F0E">
        <w:rPr>
          <w:rFonts w:eastAsia="Times New Roman" w:cs="Arial"/>
          <w:color w:val="000000"/>
          <w:lang w:val="ru-RU"/>
        </w:rPr>
        <w:t xml:space="preserve"> </w:t>
      </w:r>
      <w:r w:rsidRPr="00F07F0E">
        <w:rPr>
          <w:rFonts w:eastAsia="Times New Roman" w:cs="Arial"/>
          <w:color w:val="000000"/>
          <w:lang w:eastAsia="bg-BG"/>
        </w:rPr>
        <w:t xml:space="preserve">се препоръчва започване на лечението с по- ниска доза Гоптен (т.е. начална доза 0,5 </w:t>
      </w:r>
      <w:r w:rsidRPr="00F07F0E">
        <w:rPr>
          <w:rFonts w:eastAsia="Times New Roman" w:cs="Arial"/>
          <w:color w:val="000000"/>
          <w:lang w:val="en-US"/>
        </w:rPr>
        <w:t>mg</w:t>
      </w:r>
      <w:r w:rsidRPr="00F07F0E">
        <w:rPr>
          <w:rFonts w:eastAsia="Times New Roman" w:cs="Arial"/>
          <w:color w:val="000000"/>
          <w:lang w:val="ru-RU"/>
        </w:rPr>
        <w:t xml:space="preserve">) </w:t>
      </w:r>
      <w:r w:rsidRPr="00F07F0E">
        <w:rPr>
          <w:rFonts w:eastAsia="Times New Roman" w:cs="Arial"/>
          <w:color w:val="000000"/>
          <w:lang w:eastAsia="bg-BG"/>
        </w:rPr>
        <w:t>и постепенно повишаване на дозата до постигане на желания ефект във времето. При тези пациенти лечението трябва да се извършва при редовно медицинско проследяване.</w:t>
      </w:r>
    </w:p>
    <w:p w14:paraId="1199B6C0" w14:textId="77777777" w:rsidR="00F07F0E" w:rsidRPr="00F07F0E" w:rsidRDefault="00F07F0E" w:rsidP="00F07F0E">
      <w:pPr>
        <w:spacing w:line="240" w:lineRule="auto"/>
        <w:rPr>
          <w:rFonts w:eastAsia="Times New Roman" w:cs="Arial"/>
          <w:sz w:val="24"/>
          <w:szCs w:val="24"/>
        </w:rPr>
      </w:pPr>
      <w:r w:rsidRPr="00F07F0E">
        <w:rPr>
          <w:rFonts w:eastAsia="Times New Roman" w:cs="Arial"/>
          <w:color w:val="000000"/>
          <w:lang w:eastAsia="bg-BG"/>
        </w:rPr>
        <w:t xml:space="preserve">Пациентите с креатининов клирънс над 30 </w:t>
      </w:r>
      <w:r w:rsidRPr="00F07F0E">
        <w:rPr>
          <w:rFonts w:eastAsia="Times New Roman" w:cs="Arial"/>
          <w:color w:val="000000"/>
          <w:lang w:val="en-US"/>
        </w:rPr>
        <w:t>ml</w:t>
      </w:r>
      <w:r w:rsidRPr="00F07F0E">
        <w:rPr>
          <w:rFonts w:eastAsia="Times New Roman" w:cs="Arial"/>
          <w:color w:val="000000"/>
          <w:lang w:val="ru-RU"/>
        </w:rPr>
        <w:t>/</w:t>
      </w:r>
      <w:r w:rsidRPr="00F07F0E">
        <w:rPr>
          <w:rFonts w:eastAsia="Times New Roman" w:cs="Arial"/>
          <w:color w:val="000000"/>
          <w:lang w:val="en-US"/>
        </w:rPr>
        <w:t>min</w:t>
      </w:r>
      <w:r w:rsidRPr="00F07F0E">
        <w:rPr>
          <w:rFonts w:eastAsia="Times New Roman" w:cs="Arial"/>
          <w:color w:val="000000"/>
          <w:lang w:val="ru-RU"/>
        </w:rPr>
        <w:t xml:space="preserve"> </w:t>
      </w:r>
      <w:r w:rsidRPr="00F07F0E">
        <w:rPr>
          <w:rFonts w:eastAsia="Times New Roman" w:cs="Arial"/>
          <w:color w:val="000000"/>
          <w:lang w:eastAsia="bg-BG"/>
        </w:rPr>
        <w:t>не се нуждаят от адаптиране на началната доза.</w:t>
      </w:r>
    </w:p>
    <w:p w14:paraId="3E5DBBB6" w14:textId="77777777" w:rsidR="00F07F0E" w:rsidRPr="00F07F0E" w:rsidRDefault="00F07F0E" w:rsidP="00F07F0E">
      <w:pPr>
        <w:spacing w:line="240" w:lineRule="auto"/>
        <w:rPr>
          <w:rFonts w:eastAsia="Times New Roman" w:cs="Arial"/>
          <w:i/>
          <w:iCs/>
          <w:color w:val="000000"/>
          <w:lang w:eastAsia="bg-BG"/>
        </w:rPr>
      </w:pPr>
    </w:p>
    <w:p w14:paraId="51049653" w14:textId="6CDEE756" w:rsidR="00F07F0E" w:rsidRPr="00F07F0E" w:rsidRDefault="00F07F0E" w:rsidP="00F07F0E">
      <w:pPr>
        <w:spacing w:line="240" w:lineRule="auto"/>
        <w:rPr>
          <w:rFonts w:eastAsia="Times New Roman" w:cs="Arial"/>
          <w:sz w:val="24"/>
          <w:szCs w:val="24"/>
        </w:rPr>
      </w:pPr>
      <w:r w:rsidRPr="00F07F0E">
        <w:rPr>
          <w:rFonts w:eastAsia="Times New Roman" w:cs="Arial"/>
          <w:i/>
          <w:iCs/>
          <w:color w:val="000000"/>
          <w:lang w:eastAsia="bg-BG"/>
        </w:rPr>
        <w:t>Диализа</w:t>
      </w:r>
    </w:p>
    <w:p w14:paraId="5895949C" w14:textId="2CF71D7E" w:rsidR="00F07F0E" w:rsidRPr="00F07F0E" w:rsidRDefault="00F07F0E" w:rsidP="00F07F0E">
      <w:pPr>
        <w:rPr>
          <w:rFonts w:eastAsia="Times New Roman" w:cs="Arial"/>
          <w:color w:val="000000"/>
          <w:lang w:eastAsia="bg-BG"/>
        </w:rPr>
      </w:pPr>
      <w:r w:rsidRPr="00F07F0E">
        <w:rPr>
          <w:rFonts w:eastAsia="Times New Roman" w:cs="Arial"/>
          <w:color w:val="000000"/>
          <w:lang w:eastAsia="bg-BG"/>
        </w:rPr>
        <w:t>Не е установено със сигурност дали Гоптен или трандолаприлат се отстраняват при диализа. Въпреки това би могло да се очаква, че диализата може да отстрани активния метаболит трандолаприлат от циркулацията, което да доведе до възможна загуба на контрол на кръвното налягане. Поради това се изисква внимателно наблюдение на кръвното налягане на пациента по време на диализа и адаптиране на дозата, ако е необходимо.</w:t>
      </w:r>
    </w:p>
    <w:p w14:paraId="1F334597" w14:textId="0D016B07" w:rsidR="00F07F0E" w:rsidRPr="00F07F0E" w:rsidRDefault="00F07F0E" w:rsidP="00F07F0E">
      <w:pPr>
        <w:rPr>
          <w:rFonts w:eastAsia="Times New Roman" w:cs="Arial"/>
          <w:color w:val="000000"/>
          <w:lang w:eastAsia="bg-BG"/>
        </w:rPr>
      </w:pPr>
    </w:p>
    <w:p w14:paraId="3FA07CD6" w14:textId="77777777" w:rsidR="00F07F0E" w:rsidRPr="00F07F0E" w:rsidRDefault="00F07F0E" w:rsidP="00F07F0E">
      <w:pPr>
        <w:spacing w:line="240" w:lineRule="auto"/>
        <w:rPr>
          <w:rFonts w:eastAsia="Times New Roman" w:cs="Arial"/>
          <w:sz w:val="24"/>
          <w:szCs w:val="24"/>
        </w:rPr>
      </w:pPr>
      <w:r w:rsidRPr="00F07F0E">
        <w:rPr>
          <w:rFonts w:eastAsia="Times New Roman" w:cs="Arial"/>
          <w:i/>
          <w:iCs/>
          <w:color w:val="000000"/>
          <w:lang w:eastAsia="bg-BG"/>
        </w:rPr>
        <w:t>Чернодробно увреждане</w:t>
      </w:r>
    </w:p>
    <w:p w14:paraId="0AE205AC" w14:textId="77777777" w:rsidR="00F07F0E" w:rsidRPr="00F07F0E" w:rsidRDefault="00F07F0E" w:rsidP="00F07F0E">
      <w:pPr>
        <w:spacing w:line="240" w:lineRule="auto"/>
        <w:rPr>
          <w:rFonts w:eastAsia="Times New Roman" w:cs="Arial"/>
          <w:sz w:val="24"/>
          <w:szCs w:val="24"/>
        </w:rPr>
      </w:pPr>
      <w:r w:rsidRPr="00F07F0E">
        <w:rPr>
          <w:rFonts w:eastAsia="Times New Roman" w:cs="Arial"/>
          <w:color w:val="000000"/>
          <w:lang w:eastAsia="bg-BG"/>
        </w:rPr>
        <w:t xml:space="preserve">При пациенти с тежко нарушена чернодробна функция, намаляването на метаболитния клирънс на Гоптен и активния метаболит трандолаприлат, води до голямо повишаване на плазмените нива Гоптен и в по-малка степен, до повишаване на нивата на трандолаприлат. Затова лечението с Гоптен трябва да започне с доза от 0,5 </w:t>
      </w:r>
      <w:r w:rsidRPr="00F07F0E">
        <w:rPr>
          <w:rFonts w:eastAsia="Times New Roman" w:cs="Arial"/>
          <w:color w:val="000000"/>
          <w:lang w:val="en-US"/>
        </w:rPr>
        <w:t>mg</w:t>
      </w:r>
      <w:r w:rsidRPr="00F07F0E">
        <w:rPr>
          <w:rFonts w:eastAsia="Times New Roman" w:cs="Arial"/>
          <w:color w:val="000000"/>
          <w:lang w:val="ru-RU"/>
        </w:rPr>
        <w:t xml:space="preserve"> </w:t>
      </w:r>
      <w:r w:rsidRPr="00F07F0E">
        <w:rPr>
          <w:rFonts w:eastAsia="Times New Roman" w:cs="Arial"/>
          <w:color w:val="000000"/>
          <w:lang w:eastAsia="bg-BG"/>
        </w:rPr>
        <w:t>веднъж дневно под строго наблюдение.</w:t>
      </w:r>
    </w:p>
    <w:p w14:paraId="0A73B5BA" w14:textId="77777777" w:rsidR="00F07F0E" w:rsidRPr="00F07F0E" w:rsidRDefault="00F07F0E" w:rsidP="00F07F0E"/>
    <w:p w14:paraId="0F253247" w14:textId="29BEB85C" w:rsidR="007122AD" w:rsidRDefault="002C50EE" w:rsidP="00936AD0">
      <w:pPr>
        <w:pStyle w:val="Heading2"/>
      </w:pPr>
      <w:r>
        <w:t>4.3. Противопоказания</w:t>
      </w:r>
    </w:p>
    <w:p w14:paraId="14B362D7" w14:textId="40E380AC" w:rsidR="00F07F0E" w:rsidRDefault="00F07F0E" w:rsidP="00F07F0E"/>
    <w:p w14:paraId="1369C094" w14:textId="77777777" w:rsidR="00F07F0E" w:rsidRPr="00F07F0E" w:rsidRDefault="00F07F0E" w:rsidP="00F07F0E">
      <w:pPr>
        <w:pStyle w:val="ListParagraph"/>
        <w:numPr>
          <w:ilvl w:val="0"/>
          <w:numId w:val="37"/>
        </w:numPr>
        <w:rPr>
          <w:sz w:val="24"/>
          <w:szCs w:val="24"/>
        </w:rPr>
      </w:pPr>
      <w:r w:rsidRPr="00F07F0E">
        <w:rPr>
          <w:lang w:eastAsia="bg-BG"/>
        </w:rPr>
        <w:t>Анамнеза за свръхчувствителност към активното вещество трандолаприл, или към някое от помощните вещества, изброени в точка 6.1.</w:t>
      </w:r>
    </w:p>
    <w:p w14:paraId="4A11ADB6" w14:textId="77777777" w:rsidR="00F07F0E" w:rsidRPr="00F07F0E" w:rsidRDefault="00F07F0E" w:rsidP="00F07F0E">
      <w:pPr>
        <w:pStyle w:val="ListParagraph"/>
        <w:numPr>
          <w:ilvl w:val="0"/>
          <w:numId w:val="37"/>
        </w:numPr>
        <w:rPr>
          <w:sz w:val="24"/>
          <w:szCs w:val="24"/>
        </w:rPr>
      </w:pPr>
      <w:r w:rsidRPr="00F07F0E">
        <w:rPr>
          <w:lang w:eastAsia="bg-BG"/>
        </w:rPr>
        <w:t xml:space="preserve">Анамнеза за ангионевротичен оток, свързан с прием на АСЕ-инхибитор. </w:t>
      </w:r>
    </w:p>
    <w:p w14:paraId="5B0D969A" w14:textId="41DCAE26" w:rsidR="00F07F0E" w:rsidRPr="00F07F0E" w:rsidRDefault="00F07F0E" w:rsidP="00F07F0E">
      <w:pPr>
        <w:pStyle w:val="ListParagraph"/>
        <w:numPr>
          <w:ilvl w:val="0"/>
          <w:numId w:val="37"/>
        </w:numPr>
        <w:rPr>
          <w:sz w:val="24"/>
          <w:szCs w:val="24"/>
        </w:rPr>
      </w:pPr>
      <w:r w:rsidRPr="00F07F0E">
        <w:rPr>
          <w:lang w:eastAsia="bg-BG"/>
        </w:rPr>
        <w:t>Наследствен/идиопатичен ангионевротичен оток.</w:t>
      </w:r>
    </w:p>
    <w:p w14:paraId="33576B90" w14:textId="77777777" w:rsidR="00F07F0E" w:rsidRPr="00F07F0E" w:rsidRDefault="00F07F0E" w:rsidP="00F07F0E">
      <w:pPr>
        <w:pStyle w:val="ListParagraph"/>
        <w:numPr>
          <w:ilvl w:val="0"/>
          <w:numId w:val="37"/>
        </w:numPr>
        <w:rPr>
          <w:sz w:val="24"/>
          <w:szCs w:val="24"/>
        </w:rPr>
      </w:pPr>
      <w:r w:rsidRPr="00F07F0E">
        <w:rPr>
          <w:lang w:eastAsia="bg-BG"/>
        </w:rPr>
        <w:t>Втори и трети триместър на бременността (вж. точки 4.4 и 4.6).</w:t>
      </w:r>
    </w:p>
    <w:p w14:paraId="3BC63014" w14:textId="77777777" w:rsidR="00F07F0E" w:rsidRPr="00F07F0E" w:rsidRDefault="00F07F0E" w:rsidP="00F07F0E">
      <w:pPr>
        <w:pStyle w:val="ListParagraph"/>
        <w:numPr>
          <w:ilvl w:val="0"/>
          <w:numId w:val="37"/>
        </w:numPr>
        <w:rPr>
          <w:sz w:val="24"/>
          <w:szCs w:val="24"/>
        </w:rPr>
      </w:pPr>
      <w:r w:rsidRPr="00F07F0E">
        <w:rPr>
          <w:lang w:eastAsia="bg-BG"/>
        </w:rPr>
        <w:t xml:space="preserve">Едновременната употреба на Гоптен с алискирен-съдържащи лекарствени продукти при пациенти със захарен диабет или бъбречно увреждане </w:t>
      </w:r>
      <w:r w:rsidRPr="00F07F0E">
        <w:rPr>
          <w:lang w:val="ru-RU"/>
        </w:rPr>
        <w:t>(</w:t>
      </w:r>
      <w:r w:rsidRPr="00F07F0E">
        <w:rPr>
          <w:lang w:val="en-US"/>
        </w:rPr>
        <w:t>GFR</w:t>
      </w:r>
      <w:r w:rsidRPr="00F07F0E">
        <w:rPr>
          <w:lang w:val="ru-RU"/>
        </w:rPr>
        <w:t xml:space="preserve"> </w:t>
      </w:r>
      <w:r w:rsidRPr="00F07F0E">
        <w:rPr>
          <w:lang w:eastAsia="bg-BG"/>
        </w:rPr>
        <w:t xml:space="preserve">&lt; 60 </w:t>
      </w:r>
      <w:r w:rsidRPr="00F07F0E">
        <w:rPr>
          <w:lang w:val="en-US"/>
        </w:rPr>
        <w:t>ml</w:t>
      </w:r>
      <w:r w:rsidRPr="00F07F0E">
        <w:rPr>
          <w:lang w:val="ru-RU"/>
        </w:rPr>
        <w:t>/</w:t>
      </w:r>
      <w:r w:rsidRPr="00F07F0E">
        <w:rPr>
          <w:lang w:val="en-US"/>
        </w:rPr>
        <w:t>min</w:t>
      </w:r>
      <w:r w:rsidRPr="00F07F0E">
        <w:rPr>
          <w:lang w:val="ru-RU"/>
        </w:rPr>
        <w:t>/1</w:t>
      </w:r>
      <w:r w:rsidRPr="00F07F0E">
        <w:rPr>
          <w:lang w:eastAsia="bg-BG"/>
        </w:rPr>
        <w:t>,73 m2) (вж. точки 4.5 и 5.1).</w:t>
      </w:r>
    </w:p>
    <w:p w14:paraId="3D2F5505" w14:textId="77777777" w:rsidR="00F07F0E" w:rsidRPr="00F07F0E" w:rsidRDefault="00F07F0E" w:rsidP="00F07F0E">
      <w:pPr>
        <w:pStyle w:val="ListParagraph"/>
        <w:numPr>
          <w:ilvl w:val="0"/>
          <w:numId w:val="37"/>
        </w:numPr>
        <w:rPr>
          <w:sz w:val="24"/>
          <w:szCs w:val="24"/>
        </w:rPr>
      </w:pPr>
      <w:r w:rsidRPr="00F07F0E">
        <w:rPr>
          <w:lang w:eastAsia="bg-BG"/>
        </w:rPr>
        <w:t>Едновременна употреба със сакубитрил/валсартан. Гоптен не трябва да се започва по-рано от 36 часа след последната доза сакубитрил/валсартан (вж. точки 4.4 и 4.5).</w:t>
      </w:r>
    </w:p>
    <w:p w14:paraId="72CC2F45" w14:textId="77777777" w:rsidR="00F07F0E" w:rsidRPr="00F07F0E" w:rsidRDefault="00F07F0E" w:rsidP="00F07F0E"/>
    <w:p w14:paraId="0E0BDCC7" w14:textId="23420B04" w:rsidR="007122AD" w:rsidRDefault="002C50EE" w:rsidP="00936AD0">
      <w:pPr>
        <w:pStyle w:val="Heading2"/>
      </w:pPr>
      <w:r>
        <w:t>4.4. Специални предупреждения и предпазни мерки при употреба</w:t>
      </w:r>
    </w:p>
    <w:p w14:paraId="37AD6182" w14:textId="118295E4" w:rsidR="00F07F0E" w:rsidRDefault="00F07F0E" w:rsidP="00F07F0E"/>
    <w:p w14:paraId="31862FC4" w14:textId="77777777" w:rsidR="00F07F0E" w:rsidRPr="00F07F0E" w:rsidRDefault="00F07F0E" w:rsidP="00F07F0E">
      <w:pPr>
        <w:spacing w:line="240" w:lineRule="auto"/>
        <w:rPr>
          <w:rFonts w:eastAsia="Times New Roman" w:cs="Arial"/>
        </w:rPr>
      </w:pPr>
      <w:r w:rsidRPr="00F07F0E">
        <w:rPr>
          <w:rFonts w:eastAsia="Times New Roman" w:cs="Arial"/>
          <w:color w:val="000000"/>
          <w:lang w:eastAsia="bg-BG"/>
        </w:rPr>
        <w:t>Гоптен не трябва да се прилага при пациенти с аортна стеноза или изходяща обструкция.</w:t>
      </w:r>
    </w:p>
    <w:p w14:paraId="3D7AD17F" w14:textId="77777777" w:rsidR="00F07F0E" w:rsidRPr="00F07F0E" w:rsidRDefault="00F07F0E" w:rsidP="00F07F0E">
      <w:pPr>
        <w:spacing w:line="240" w:lineRule="auto"/>
        <w:rPr>
          <w:rFonts w:eastAsia="Times New Roman" w:cs="Arial"/>
          <w:color w:val="000000"/>
          <w:u w:val="single"/>
          <w:lang w:eastAsia="bg-BG"/>
        </w:rPr>
      </w:pPr>
    </w:p>
    <w:p w14:paraId="03E34D2C" w14:textId="4867497B" w:rsidR="00F07F0E" w:rsidRPr="00F07F0E" w:rsidRDefault="00F07F0E" w:rsidP="00F07F0E">
      <w:pPr>
        <w:spacing w:line="240" w:lineRule="auto"/>
        <w:rPr>
          <w:rFonts w:eastAsia="Times New Roman" w:cs="Arial"/>
        </w:rPr>
      </w:pPr>
      <w:r w:rsidRPr="00F07F0E">
        <w:rPr>
          <w:rFonts w:eastAsia="Times New Roman" w:cs="Arial"/>
          <w:color w:val="000000"/>
          <w:u w:val="single"/>
          <w:lang w:eastAsia="bg-BG"/>
        </w:rPr>
        <w:t>Анафилактоидни и възможно свързани реакции</w:t>
      </w:r>
    </w:p>
    <w:p w14:paraId="0E89C54B" w14:textId="77777777" w:rsidR="00F07F0E" w:rsidRPr="00F07F0E" w:rsidRDefault="00F07F0E" w:rsidP="00F07F0E">
      <w:pPr>
        <w:spacing w:line="240" w:lineRule="auto"/>
        <w:rPr>
          <w:rFonts w:eastAsia="Times New Roman" w:cs="Arial"/>
          <w:i/>
          <w:iCs/>
          <w:color w:val="000000"/>
          <w:lang w:eastAsia="bg-BG"/>
        </w:rPr>
      </w:pPr>
    </w:p>
    <w:p w14:paraId="421431BA" w14:textId="2BC3B880" w:rsidR="00F07F0E" w:rsidRPr="00F07F0E" w:rsidRDefault="00F07F0E" w:rsidP="00F07F0E">
      <w:pPr>
        <w:spacing w:line="240" w:lineRule="auto"/>
        <w:rPr>
          <w:rFonts w:eastAsia="Times New Roman" w:cs="Arial"/>
        </w:rPr>
      </w:pPr>
      <w:r w:rsidRPr="00F07F0E">
        <w:rPr>
          <w:rFonts w:eastAsia="Times New Roman" w:cs="Arial"/>
          <w:i/>
          <w:iCs/>
          <w:color w:val="000000"/>
          <w:lang w:eastAsia="bg-BG"/>
        </w:rPr>
        <w:t>Десензибилизация</w:t>
      </w:r>
    </w:p>
    <w:p w14:paraId="1BC494DF" w14:textId="77777777" w:rsidR="00F07F0E" w:rsidRPr="00F07F0E" w:rsidRDefault="00F07F0E" w:rsidP="00F07F0E">
      <w:pPr>
        <w:spacing w:line="240" w:lineRule="auto"/>
        <w:rPr>
          <w:rFonts w:eastAsia="Times New Roman" w:cs="Arial"/>
        </w:rPr>
      </w:pPr>
      <w:r w:rsidRPr="00F07F0E">
        <w:rPr>
          <w:rFonts w:eastAsia="Times New Roman" w:cs="Arial"/>
          <w:color w:val="000000"/>
          <w:lang w:eastAsia="bg-BG"/>
        </w:rPr>
        <w:lastRenderedPageBreak/>
        <w:t>Анафилактоидни реакции (в някои случаи животозастрашаващи) могат да се развият при пациенти, получаващи лечение с АСЕ-инхибитор и едновременна десензибилизация срещу животински отрови.</w:t>
      </w:r>
    </w:p>
    <w:p w14:paraId="1D5399A8" w14:textId="77777777" w:rsidR="00F07F0E" w:rsidRPr="00F07F0E" w:rsidRDefault="00F07F0E" w:rsidP="00F07F0E">
      <w:pPr>
        <w:spacing w:line="240" w:lineRule="auto"/>
        <w:rPr>
          <w:rFonts w:eastAsia="Times New Roman" w:cs="Arial"/>
          <w:i/>
          <w:iCs/>
          <w:color w:val="000000"/>
          <w:lang w:eastAsia="bg-BG"/>
        </w:rPr>
      </w:pPr>
    </w:p>
    <w:p w14:paraId="5F9002DB" w14:textId="566289F7" w:rsidR="00F07F0E" w:rsidRPr="00F07F0E" w:rsidRDefault="00F07F0E" w:rsidP="00F07F0E">
      <w:pPr>
        <w:spacing w:line="240" w:lineRule="auto"/>
        <w:rPr>
          <w:rFonts w:eastAsia="Times New Roman" w:cs="Arial"/>
        </w:rPr>
      </w:pPr>
      <w:r w:rsidRPr="00F07F0E">
        <w:rPr>
          <w:rFonts w:eastAsia="Times New Roman" w:cs="Arial"/>
          <w:i/>
          <w:iCs/>
          <w:color w:val="000000"/>
          <w:lang w:eastAsia="bg-BG"/>
        </w:rPr>
        <w:t>Ниско плътностна липопротеин (</w:t>
      </w:r>
      <w:r w:rsidRPr="00F07F0E">
        <w:rPr>
          <w:rFonts w:eastAsia="Times New Roman" w:cs="Arial"/>
          <w:i/>
          <w:iCs/>
          <w:color w:val="000000"/>
          <w:lang w:val="en-US"/>
        </w:rPr>
        <w:t>LDL</w:t>
      </w:r>
      <w:r w:rsidRPr="00F07F0E">
        <w:rPr>
          <w:rFonts w:eastAsia="Times New Roman" w:cs="Arial"/>
          <w:i/>
          <w:iCs/>
          <w:color w:val="000000"/>
          <w:lang w:eastAsia="bg-BG"/>
        </w:rPr>
        <w:t>)-афереза</w:t>
      </w:r>
    </w:p>
    <w:p w14:paraId="32CA6F37" w14:textId="77777777" w:rsidR="00F07F0E" w:rsidRPr="00F07F0E" w:rsidRDefault="00F07F0E" w:rsidP="00F07F0E">
      <w:pPr>
        <w:spacing w:line="240" w:lineRule="auto"/>
        <w:rPr>
          <w:rFonts w:eastAsia="Times New Roman" w:cs="Arial"/>
        </w:rPr>
      </w:pPr>
      <w:r w:rsidRPr="00F07F0E">
        <w:rPr>
          <w:rFonts w:eastAsia="Times New Roman" w:cs="Arial"/>
          <w:color w:val="000000"/>
          <w:lang w:eastAsia="bg-BG"/>
        </w:rPr>
        <w:t xml:space="preserve">Животозастрашаващите анафилактоидни реакции са забелязани, когато пациенти на </w:t>
      </w:r>
      <w:r w:rsidRPr="00F07F0E">
        <w:rPr>
          <w:rFonts w:eastAsia="Times New Roman" w:cs="Arial"/>
          <w:color w:val="000000"/>
          <w:lang w:val="en-US"/>
        </w:rPr>
        <w:t>LDL</w:t>
      </w:r>
      <w:r w:rsidRPr="00F07F0E">
        <w:rPr>
          <w:rFonts w:eastAsia="Times New Roman" w:cs="Arial"/>
          <w:color w:val="000000"/>
          <w:lang w:eastAsia="bg-BG"/>
        </w:rPr>
        <w:t>-афереза приемат АСЕ-инхибитори по същото време.</w:t>
      </w:r>
    </w:p>
    <w:p w14:paraId="7DB7C284" w14:textId="77777777" w:rsidR="00F07F0E" w:rsidRPr="00F07F0E" w:rsidRDefault="00F07F0E" w:rsidP="00F07F0E">
      <w:pPr>
        <w:spacing w:line="240" w:lineRule="auto"/>
        <w:rPr>
          <w:rFonts w:eastAsia="Times New Roman" w:cs="Arial"/>
          <w:color w:val="000000"/>
          <w:u w:val="single"/>
          <w:lang w:eastAsia="bg-BG"/>
        </w:rPr>
      </w:pPr>
    </w:p>
    <w:p w14:paraId="1B195ACA" w14:textId="2B3A7C1A" w:rsidR="00F07F0E" w:rsidRPr="00F07F0E" w:rsidRDefault="00F07F0E" w:rsidP="00F07F0E">
      <w:pPr>
        <w:spacing w:line="240" w:lineRule="auto"/>
        <w:rPr>
          <w:rFonts w:eastAsia="Times New Roman" w:cs="Arial"/>
        </w:rPr>
      </w:pPr>
      <w:r w:rsidRPr="00F07F0E">
        <w:rPr>
          <w:rFonts w:eastAsia="Times New Roman" w:cs="Arial"/>
          <w:color w:val="000000"/>
          <w:u w:val="single"/>
          <w:lang w:eastAsia="bg-BG"/>
        </w:rPr>
        <w:t>Увредена чернодробна функция</w:t>
      </w:r>
    </w:p>
    <w:p w14:paraId="36BCA7A3" w14:textId="77777777" w:rsidR="00F07F0E" w:rsidRPr="00F07F0E" w:rsidRDefault="00F07F0E" w:rsidP="00F07F0E">
      <w:pPr>
        <w:spacing w:line="240" w:lineRule="auto"/>
        <w:rPr>
          <w:rFonts w:eastAsia="Times New Roman" w:cs="Arial"/>
        </w:rPr>
      </w:pPr>
      <w:r w:rsidRPr="00F07F0E">
        <w:rPr>
          <w:rFonts w:eastAsia="Times New Roman" w:cs="Arial"/>
          <w:color w:val="000000"/>
          <w:lang w:eastAsia="bg-BG"/>
        </w:rPr>
        <w:t>Тъй като Гоптен се метаболизира до своя активен метаболит в черния дроб, при пациенти с увредена чернодробна функция е необходимо повишено внимание и наблюдение.</w:t>
      </w:r>
    </w:p>
    <w:p w14:paraId="6E80A90E" w14:textId="77777777" w:rsidR="00F07F0E" w:rsidRPr="00F07F0E" w:rsidRDefault="00F07F0E" w:rsidP="00F07F0E">
      <w:pPr>
        <w:spacing w:line="240" w:lineRule="auto"/>
        <w:rPr>
          <w:rFonts w:eastAsia="Times New Roman" w:cs="Arial"/>
          <w:color w:val="000000"/>
          <w:u w:val="single"/>
          <w:lang w:eastAsia="bg-BG"/>
        </w:rPr>
      </w:pPr>
    </w:p>
    <w:p w14:paraId="7E77F127" w14:textId="0DAE3053" w:rsidR="00F07F0E" w:rsidRPr="00F07F0E" w:rsidRDefault="00F07F0E" w:rsidP="00F07F0E">
      <w:pPr>
        <w:spacing w:line="240" w:lineRule="auto"/>
        <w:rPr>
          <w:rFonts w:eastAsia="Times New Roman" w:cs="Arial"/>
        </w:rPr>
      </w:pPr>
      <w:r w:rsidRPr="00F07F0E">
        <w:rPr>
          <w:rFonts w:eastAsia="Times New Roman" w:cs="Arial"/>
          <w:color w:val="000000"/>
          <w:u w:val="single"/>
          <w:lang w:eastAsia="bg-BG"/>
        </w:rPr>
        <w:t>Симптоматична хипотония</w:t>
      </w:r>
    </w:p>
    <w:p w14:paraId="5A6B564F" w14:textId="77777777" w:rsidR="00F07F0E" w:rsidRPr="00F07F0E" w:rsidRDefault="00F07F0E" w:rsidP="00F07F0E">
      <w:pPr>
        <w:spacing w:line="240" w:lineRule="auto"/>
        <w:rPr>
          <w:rFonts w:eastAsia="Times New Roman" w:cs="Arial"/>
        </w:rPr>
      </w:pPr>
      <w:r w:rsidRPr="00F07F0E">
        <w:rPr>
          <w:rFonts w:eastAsia="Times New Roman" w:cs="Arial"/>
          <w:color w:val="000000"/>
          <w:lang w:eastAsia="bg-BG"/>
        </w:rPr>
        <w:t>При пациенти с неусложнена хипертония е наблюдавана рядко симптоматична хипотония след началната доза Гоптен, както и след повишаване на дозата му. По-вероятно е тя да се появи при пациенти с дефицит на течности и сол при продължителна диуретична терапия, диетично ограничаване на солта, диализа, диария или повръщане. По тази причина при тези пациенти диуретичната терапия трябва да се спре и да се коригира дефицита на течности и сол преди началото на лечението с Гоптен.</w:t>
      </w:r>
    </w:p>
    <w:p w14:paraId="028FA005" w14:textId="77777777" w:rsidR="00F07F0E" w:rsidRPr="00F07F0E" w:rsidRDefault="00F07F0E" w:rsidP="00F07F0E">
      <w:pPr>
        <w:spacing w:line="240" w:lineRule="auto"/>
        <w:rPr>
          <w:rFonts w:eastAsia="Times New Roman" w:cs="Arial"/>
          <w:color w:val="000000"/>
          <w:u w:val="single"/>
          <w:lang w:eastAsia="bg-BG"/>
        </w:rPr>
      </w:pPr>
    </w:p>
    <w:p w14:paraId="62DAF953" w14:textId="58E2742C" w:rsidR="00F07F0E" w:rsidRPr="00F07F0E" w:rsidRDefault="00F07F0E" w:rsidP="00F07F0E">
      <w:pPr>
        <w:spacing w:line="240" w:lineRule="auto"/>
        <w:rPr>
          <w:rFonts w:eastAsia="Times New Roman" w:cs="Arial"/>
        </w:rPr>
      </w:pPr>
      <w:r w:rsidRPr="00F07F0E">
        <w:rPr>
          <w:rFonts w:eastAsia="Times New Roman" w:cs="Arial"/>
          <w:color w:val="000000"/>
          <w:u w:val="single"/>
          <w:lang w:eastAsia="bg-BG"/>
        </w:rPr>
        <w:t>Агранулоцитоза и костно-мозъчна супресия</w:t>
      </w:r>
    </w:p>
    <w:p w14:paraId="59BD0140" w14:textId="5AFA7FBC" w:rsidR="00F07F0E" w:rsidRPr="00F07F0E" w:rsidRDefault="00F07F0E" w:rsidP="00F07F0E">
      <w:pPr>
        <w:rPr>
          <w:rFonts w:eastAsia="Times New Roman" w:cs="Arial"/>
          <w:color w:val="000000"/>
          <w:lang w:eastAsia="bg-BG"/>
        </w:rPr>
      </w:pPr>
      <w:r w:rsidRPr="00F07F0E">
        <w:rPr>
          <w:rFonts w:eastAsia="Times New Roman" w:cs="Arial"/>
          <w:color w:val="000000"/>
          <w:lang w:eastAsia="bg-BG"/>
        </w:rPr>
        <w:t>При пациенти на лечение с АСЕ-инхибитори, са наблюдавани случаи на агранулоцитоза и потискане на костно-мозъчната функция. Изглежда, че рискът за неутропения е дозо- и типово- свързан и зависи от клиничния статус на пациента. Тези реакции са по-чести при пациентите с бъбречно увреждане, особено такива със съдова колагеноза. Въпреки това е необходимо редовно проследяване броя на белите кръвни клетки и нивото на протеини в урината, при пациенти със съдова колагеноза (напр. лупус еритематозус и склеродермия), особено придружени с нарушение на бъбречната функция и съпътстващо лечение, предимно с кортикостероиди и антиметабилитни средства. Това състояние е обратимо след прекъсване на АСЕ-инхибитора.</w:t>
      </w:r>
    </w:p>
    <w:p w14:paraId="570337AC" w14:textId="317BB34D" w:rsidR="00F07F0E" w:rsidRPr="00F07F0E" w:rsidRDefault="00F07F0E" w:rsidP="00F07F0E">
      <w:pPr>
        <w:rPr>
          <w:rFonts w:eastAsia="Times New Roman" w:cs="Arial"/>
          <w:color w:val="000000"/>
          <w:lang w:eastAsia="bg-BG"/>
        </w:rPr>
      </w:pPr>
    </w:p>
    <w:p w14:paraId="030D7AFF" w14:textId="77777777" w:rsidR="00F07F0E" w:rsidRPr="00F07F0E" w:rsidRDefault="00F07F0E" w:rsidP="00F07F0E">
      <w:pPr>
        <w:spacing w:line="240" w:lineRule="auto"/>
        <w:rPr>
          <w:rFonts w:eastAsia="Times New Roman" w:cs="Arial"/>
        </w:rPr>
      </w:pPr>
      <w:r w:rsidRPr="00F07F0E">
        <w:rPr>
          <w:rFonts w:eastAsia="Times New Roman" w:cs="Arial"/>
          <w:color w:val="000000"/>
          <w:u w:val="single"/>
          <w:lang w:eastAsia="bg-BG"/>
        </w:rPr>
        <w:t>Ангиоедем</w:t>
      </w:r>
    </w:p>
    <w:p w14:paraId="3734410F" w14:textId="77777777" w:rsidR="00F07F0E" w:rsidRPr="00F07F0E" w:rsidRDefault="00F07F0E" w:rsidP="00F07F0E">
      <w:pPr>
        <w:spacing w:line="240" w:lineRule="auto"/>
        <w:rPr>
          <w:rFonts w:eastAsia="Times New Roman" w:cs="Arial"/>
        </w:rPr>
      </w:pPr>
      <w:r w:rsidRPr="00F07F0E">
        <w:rPr>
          <w:rFonts w:eastAsia="Times New Roman" w:cs="Arial"/>
          <w:color w:val="000000"/>
          <w:lang w:eastAsia="bg-BG"/>
        </w:rPr>
        <w:t>Гоптен може да причини ангиоедем, който включва подуване на лицето, крайниците, езика, глотиса и/или ларинкса. Доказано е, че АСЕ-инхибиторите причиняват ангиоедем в по-голяма степен при афроамериканци, отколкото при пациенти с не-афроамерикански произход.</w:t>
      </w:r>
    </w:p>
    <w:p w14:paraId="6A383FFC" w14:textId="77777777" w:rsidR="00F07F0E" w:rsidRPr="00F07F0E" w:rsidRDefault="00F07F0E" w:rsidP="00F07F0E">
      <w:pPr>
        <w:spacing w:line="240" w:lineRule="auto"/>
        <w:rPr>
          <w:rFonts w:eastAsia="Times New Roman" w:cs="Arial"/>
          <w:color w:val="000000"/>
          <w:lang w:eastAsia="bg-BG"/>
        </w:rPr>
      </w:pPr>
    </w:p>
    <w:p w14:paraId="6AB0ADAC" w14:textId="79D13702" w:rsidR="00F07F0E" w:rsidRPr="00F07F0E" w:rsidRDefault="00F07F0E" w:rsidP="00F07F0E">
      <w:pPr>
        <w:spacing w:line="240" w:lineRule="auto"/>
        <w:rPr>
          <w:rFonts w:eastAsia="Times New Roman" w:cs="Arial"/>
        </w:rPr>
      </w:pPr>
      <w:r w:rsidRPr="00F07F0E">
        <w:rPr>
          <w:rFonts w:eastAsia="Times New Roman" w:cs="Arial"/>
          <w:color w:val="000000"/>
          <w:lang w:eastAsia="bg-BG"/>
        </w:rPr>
        <w:t>Докладван е и ангиоедем на червата при пациенти, лекувани с АСЕ-инхибитори. Това трябва да се има предвид при пациенти на Гоптен е коремна болка (е или без гадене и повръщане).</w:t>
      </w:r>
    </w:p>
    <w:p w14:paraId="708CC433" w14:textId="77777777" w:rsidR="00F07F0E" w:rsidRPr="00F07F0E" w:rsidRDefault="00F07F0E" w:rsidP="00F07F0E">
      <w:pPr>
        <w:spacing w:line="240" w:lineRule="auto"/>
        <w:rPr>
          <w:rFonts w:eastAsia="Times New Roman" w:cs="Arial"/>
          <w:color w:val="000000"/>
          <w:lang w:eastAsia="bg-BG"/>
        </w:rPr>
      </w:pPr>
    </w:p>
    <w:p w14:paraId="17038C6F" w14:textId="0AFB94EB" w:rsidR="00F07F0E" w:rsidRPr="00F07F0E" w:rsidRDefault="00F07F0E" w:rsidP="00F07F0E">
      <w:pPr>
        <w:spacing w:line="240" w:lineRule="auto"/>
        <w:rPr>
          <w:rFonts w:eastAsia="Times New Roman" w:cs="Arial"/>
        </w:rPr>
      </w:pPr>
      <w:r w:rsidRPr="00F07F0E">
        <w:rPr>
          <w:rFonts w:eastAsia="Times New Roman" w:cs="Arial"/>
          <w:color w:val="000000"/>
          <w:lang w:eastAsia="bg-BG"/>
        </w:rPr>
        <w:t>Пациенти с ангионевротичен оток трябва незабавно да преустановят терапията с Гоптен и да бъдат наблюдавани до отзвучаване на отока.</w:t>
      </w:r>
    </w:p>
    <w:p w14:paraId="06AAED2C" w14:textId="77777777" w:rsidR="00F07F0E" w:rsidRPr="00F07F0E" w:rsidRDefault="00F07F0E" w:rsidP="00F07F0E">
      <w:pPr>
        <w:spacing w:line="240" w:lineRule="auto"/>
        <w:rPr>
          <w:rFonts w:eastAsia="Times New Roman" w:cs="Arial"/>
          <w:color w:val="000000"/>
          <w:lang w:eastAsia="bg-BG"/>
        </w:rPr>
      </w:pPr>
    </w:p>
    <w:p w14:paraId="7E2F35D8" w14:textId="634FC7A5" w:rsidR="00F07F0E" w:rsidRPr="00F07F0E" w:rsidRDefault="00F07F0E" w:rsidP="00F07F0E">
      <w:pPr>
        <w:spacing w:line="240" w:lineRule="auto"/>
        <w:rPr>
          <w:rFonts w:eastAsia="Times New Roman" w:cs="Arial"/>
        </w:rPr>
      </w:pPr>
      <w:r w:rsidRPr="00F07F0E">
        <w:rPr>
          <w:rFonts w:eastAsia="Times New Roman" w:cs="Arial"/>
          <w:color w:val="000000"/>
          <w:lang w:eastAsia="bg-BG"/>
        </w:rPr>
        <w:t>Ангионевротичен оток, ограничен до лицето, обикновено отзвучава спонтанно. Оток не само на лицето, но и на глотиса може да бъде живото-застрашаващ поради риска от обструкция на дихателните пътища.</w:t>
      </w:r>
    </w:p>
    <w:p w14:paraId="0C7E8AEA" w14:textId="77777777" w:rsidR="00F07F0E" w:rsidRPr="00F07F0E" w:rsidRDefault="00F07F0E" w:rsidP="00F07F0E">
      <w:pPr>
        <w:spacing w:line="240" w:lineRule="auto"/>
        <w:rPr>
          <w:rFonts w:eastAsia="Times New Roman" w:cs="Arial"/>
          <w:color w:val="000000"/>
          <w:lang w:eastAsia="bg-BG"/>
        </w:rPr>
      </w:pPr>
    </w:p>
    <w:p w14:paraId="74319028" w14:textId="6659577F" w:rsidR="00F07F0E" w:rsidRPr="00F07F0E" w:rsidRDefault="00F07F0E" w:rsidP="00F07F0E">
      <w:pPr>
        <w:spacing w:line="240" w:lineRule="auto"/>
        <w:rPr>
          <w:rFonts w:eastAsia="Times New Roman" w:cs="Arial"/>
        </w:rPr>
      </w:pPr>
      <w:r w:rsidRPr="00F07F0E">
        <w:rPr>
          <w:rFonts w:eastAsia="Times New Roman" w:cs="Arial"/>
          <w:color w:val="000000"/>
          <w:lang w:eastAsia="bg-BG"/>
        </w:rPr>
        <w:lastRenderedPageBreak/>
        <w:t>Съпътстващата употреба на АСЕ инхибитори със сакубитрил/валсартан е противопоказана поради повишения риск от ангиоедем. Лечение със сакубитрил/ валсартан не трябва да се започва по-рьно от 36 часа след последната доза трандолаприл. Лечение с трандолаприл не трябва да се започва по- рано от 36 часа след последната доза сакубитрил/валсартан (вж. точки 4.3 и 4.5).</w:t>
      </w:r>
    </w:p>
    <w:p w14:paraId="47182ED3" w14:textId="77777777" w:rsidR="00F07F0E" w:rsidRPr="00F07F0E" w:rsidRDefault="00F07F0E" w:rsidP="00F07F0E">
      <w:pPr>
        <w:spacing w:line="240" w:lineRule="auto"/>
        <w:rPr>
          <w:rFonts w:eastAsia="Times New Roman" w:cs="Arial"/>
          <w:color w:val="000000"/>
          <w:lang w:eastAsia="bg-BG"/>
        </w:rPr>
      </w:pPr>
    </w:p>
    <w:p w14:paraId="2C7455EE" w14:textId="6DA3FC6F" w:rsidR="00F07F0E" w:rsidRPr="00F07F0E" w:rsidRDefault="00F07F0E" w:rsidP="00F07F0E">
      <w:pPr>
        <w:spacing w:line="240" w:lineRule="auto"/>
        <w:rPr>
          <w:rFonts w:eastAsia="Times New Roman" w:cs="Arial"/>
        </w:rPr>
      </w:pPr>
      <w:r w:rsidRPr="00F07F0E">
        <w:rPr>
          <w:rFonts w:eastAsia="Times New Roman" w:cs="Arial"/>
          <w:color w:val="000000"/>
          <w:lang w:eastAsia="bg-BG"/>
        </w:rPr>
        <w:t xml:space="preserve">Съпътстващата употреба на АСЕ инхибитори с рацекадотрил, </w:t>
      </w:r>
      <w:proofErr w:type="spellStart"/>
      <w:r w:rsidRPr="00F07F0E">
        <w:rPr>
          <w:rFonts w:eastAsia="Times New Roman" w:cs="Arial"/>
          <w:color w:val="000000"/>
          <w:lang w:val="en-US"/>
        </w:rPr>
        <w:t>mTOR</w:t>
      </w:r>
      <w:proofErr w:type="spellEnd"/>
      <w:r w:rsidRPr="00F07F0E">
        <w:rPr>
          <w:rFonts w:eastAsia="Times New Roman" w:cs="Arial"/>
          <w:color w:val="000000"/>
          <w:lang w:val="ru-RU"/>
        </w:rPr>
        <w:t xml:space="preserve"> </w:t>
      </w:r>
      <w:r w:rsidRPr="00F07F0E">
        <w:rPr>
          <w:rFonts w:eastAsia="Times New Roman" w:cs="Arial"/>
          <w:color w:val="000000"/>
          <w:lang w:eastAsia="bg-BG"/>
        </w:rPr>
        <w:t xml:space="preserve">инхибитори (напр. сиролимус, еверолимус, темсиролимус) и вилдаглиптин може да доведе до повишен риск от ангиоедем (напр. оток на дихателните пътища или езика, със или без нарушение на дишането) (вж. точка 4.5). Необходимо е да се подходи с повишено внимание, когато се започва лечение с рацекадотрил, </w:t>
      </w:r>
      <w:proofErr w:type="spellStart"/>
      <w:r w:rsidRPr="00F07F0E">
        <w:rPr>
          <w:rFonts w:eastAsia="Times New Roman" w:cs="Arial"/>
          <w:color w:val="000000"/>
          <w:lang w:val="en-US"/>
        </w:rPr>
        <w:t>mTOR</w:t>
      </w:r>
      <w:proofErr w:type="spellEnd"/>
      <w:r w:rsidRPr="00F07F0E">
        <w:rPr>
          <w:rFonts w:eastAsia="Times New Roman" w:cs="Arial"/>
          <w:color w:val="000000"/>
          <w:lang w:val="ru-RU"/>
        </w:rPr>
        <w:t xml:space="preserve"> </w:t>
      </w:r>
      <w:r w:rsidRPr="00F07F0E">
        <w:rPr>
          <w:rFonts w:eastAsia="Times New Roman" w:cs="Arial"/>
          <w:color w:val="000000"/>
          <w:lang w:eastAsia="bg-BG"/>
        </w:rPr>
        <w:t>инхибитори (напр. сиролимус, еверолимус, темсиролимус) и вилдаглиптин при пациент, който вече приема АСЕ инхибитор.</w:t>
      </w:r>
    </w:p>
    <w:p w14:paraId="1500474E" w14:textId="77777777" w:rsidR="00F07F0E" w:rsidRPr="00F07F0E" w:rsidRDefault="00F07F0E" w:rsidP="00F07F0E">
      <w:pPr>
        <w:spacing w:line="240" w:lineRule="auto"/>
        <w:rPr>
          <w:rFonts w:eastAsia="Times New Roman" w:cs="Arial"/>
          <w:color w:val="000000"/>
          <w:lang w:eastAsia="bg-BG"/>
        </w:rPr>
      </w:pPr>
    </w:p>
    <w:p w14:paraId="061147A2" w14:textId="05C94247" w:rsidR="00F07F0E" w:rsidRPr="00F07F0E" w:rsidRDefault="00F07F0E" w:rsidP="00F07F0E">
      <w:pPr>
        <w:spacing w:line="240" w:lineRule="auto"/>
        <w:rPr>
          <w:rFonts w:eastAsia="Times New Roman" w:cs="Arial"/>
        </w:rPr>
      </w:pPr>
      <w:r w:rsidRPr="00F07F0E">
        <w:rPr>
          <w:rFonts w:eastAsia="Times New Roman" w:cs="Arial"/>
          <w:color w:val="000000"/>
          <w:lang w:eastAsia="bg-BG"/>
        </w:rPr>
        <w:t xml:space="preserve">Ангионевротичен оток на езика, глотиса или ларинкса налага незабавно подкожно прилагане на 0,3-0,5 </w:t>
      </w:r>
      <w:r w:rsidRPr="00F07F0E">
        <w:rPr>
          <w:rFonts w:eastAsia="Times New Roman" w:cs="Arial"/>
          <w:color w:val="000000"/>
          <w:lang w:val="en-US"/>
        </w:rPr>
        <w:t>ml</w:t>
      </w:r>
      <w:r w:rsidRPr="00F07F0E">
        <w:rPr>
          <w:rFonts w:eastAsia="Times New Roman" w:cs="Arial"/>
          <w:color w:val="000000"/>
          <w:lang w:val="ru-RU"/>
        </w:rPr>
        <w:t xml:space="preserve"> </w:t>
      </w:r>
      <w:r w:rsidRPr="00F07F0E">
        <w:rPr>
          <w:rFonts w:eastAsia="Times New Roman" w:cs="Arial"/>
          <w:color w:val="000000"/>
          <w:lang w:eastAsia="bg-BG"/>
        </w:rPr>
        <w:t>разтвор на епинефрин (1:1000) заедно с други терапевтични мерки, които са подходящи.</w:t>
      </w:r>
    </w:p>
    <w:p w14:paraId="3FFA4997" w14:textId="77777777" w:rsidR="00F07F0E" w:rsidRPr="00F07F0E" w:rsidRDefault="00F07F0E" w:rsidP="00F07F0E">
      <w:pPr>
        <w:spacing w:line="240" w:lineRule="auto"/>
        <w:rPr>
          <w:rFonts w:eastAsia="Times New Roman" w:cs="Arial"/>
          <w:color w:val="000000"/>
          <w:u w:val="single"/>
          <w:lang w:eastAsia="bg-BG"/>
        </w:rPr>
      </w:pPr>
    </w:p>
    <w:p w14:paraId="5FF5BFDB" w14:textId="46BC46F0" w:rsidR="00F07F0E" w:rsidRPr="00F07F0E" w:rsidRDefault="00F07F0E" w:rsidP="00F07F0E">
      <w:pPr>
        <w:spacing w:line="240" w:lineRule="auto"/>
        <w:rPr>
          <w:rFonts w:eastAsia="Times New Roman" w:cs="Arial"/>
        </w:rPr>
      </w:pPr>
      <w:r w:rsidRPr="00F07F0E">
        <w:rPr>
          <w:rFonts w:eastAsia="Times New Roman" w:cs="Arial"/>
          <w:color w:val="000000"/>
          <w:u w:val="single"/>
          <w:lang w:eastAsia="bg-BG"/>
        </w:rPr>
        <w:t>Пациенти с реноваскуларна хипертония</w:t>
      </w:r>
    </w:p>
    <w:p w14:paraId="71CE22A0" w14:textId="77777777" w:rsidR="00F07F0E" w:rsidRPr="00F07F0E" w:rsidRDefault="00F07F0E" w:rsidP="00F07F0E">
      <w:pPr>
        <w:spacing w:line="240" w:lineRule="auto"/>
        <w:rPr>
          <w:rFonts w:eastAsia="Times New Roman" w:cs="Arial"/>
        </w:rPr>
      </w:pPr>
      <w:r w:rsidRPr="00F07F0E">
        <w:rPr>
          <w:rFonts w:eastAsia="Times New Roman" w:cs="Arial"/>
          <w:color w:val="000000"/>
          <w:lang w:eastAsia="bg-BG"/>
        </w:rPr>
        <w:t>АСЕ-инхибитори могат да бъдат използвани до прилагане на процедура за излекуване на реноваскуларната хипертония или в случаи, че процедурата не може да бъде извършена. Рискът от тежка артериална хипотония и бъбрена недостатъчност е увеличен, когато пациенти с предшестваща едностранна или двустранна стеноза на бъбречната артерия са на терапия с АСЕ- инхибитори. Диуретиците може да увеличат риска допълнително. Дори при малки промени в серумния креатинин може да има загуба на бъбречна функция дори при пациенти с едностранна стеноза на бъбречната артерия. При тези пациенти лечението трябва да бъде започнато с ниски дози с постепенно титриране на дозата в болнични условия под постоянно медицинско наблюдение. Диуретичната терапия трябва да бъде спряна и да се мониторират в началните седмици на лечението бъбречната функция и серумния калий.</w:t>
      </w:r>
    </w:p>
    <w:p w14:paraId="37D986F4" w14:textId="77777777" w:rsidR="00F07F0E" w:rsidRPr="00F07F0E" w:rsidRDefault="00F07F0E" w:rsidP="00F07F0E">
      <w:pPr>
        <w:spacing w:line="240" w:lineRule="auto"/>
        <w:rPr>
          <w:rFonts w:eastAsia="Times New Roman" w:cs="Arial"/>
          <w:color w:val="000000"/>
          <w:u w:val="single"/>
          <w:lang w:eastAsia="bg-BG"/>
        </w:rPr>
      </w:pPr>
    </w:p>
    <w:p w14:paraId="0C134DD0" w14:textId="7FE60EFA" w:rsidR="00F07F0E" w:rsidRPr="00F07F0E" w:rsidRDefault="00F07F0E" w:rsidP="00F07F0E">
      <w:pPr>
        <w:spacing w:line="240" w:lineRule="auto"/>
        <w:rPr>
          <w:rFonts w:eastAsia="Times New Roman" w:cs="Arial"/>
        </w:rPr>
      </w:pPr>
      <w:r w:rsidRPr="00F07F0E">
        <w:rPr>
          <w:rFonts w:eastAsia="Times New Roman" w:cs="Arial"/>
          <w:color w:val="000000"/>
          <w:u w:val="single"/>
          <w:lang w:eastAsia="bg-BG"/>
        </w:rPr>
        <w:t>Общи</w:t>
      </w:r>
    </w:p>
    <w:p w14:paraId="5B9CD770" w14:textId="77777777" w:rsidR="00F07F0E" w:rsidRPr="00F07F0E" w:rsidRDefault="00F07F0E" w:rsidP="00F07F0E">
      <w:pPr>
        <w:spacing w:line="240" w:lineRule="auto"/>
        <w:rPr>
          <w:rFonts w:eastAsia="Times New Roman" w:cs="Arial"/>
        </w:rPr>
      </w:pPr>
      <w:r w:rsidRPr="00F07F0E">
        <w:rPr>
          <w:rFonts w:eastAsia="Times New Roman" w:cs="Arial"/>
          <w:color w:val="000000"/>
          <w:lang w:eastAsia="bg-BG"/>
        </w:rPr>
        <w:t>При някои пациенти, приемащи вече диуретици, особено в началото на лечението, спадането на кръвното налягане може да бъде значително при започване на терапия с Гоптен.</w:t>
      </w:r>
    </w:p>
    <w:p w14:paraId="3DF9F32F" w14:textId="77777777" w:rsidR="00F07F0E" w:rsidRPr="00F07F0E" w:rsidRDefault="00F07F0E" w:rsidP="00F07F0E">
      <w:pPr>
        <w:spacing w:line="240" w:lineRule="auto"/>
        <w:rPr>
          <w:rFonts w:eastAsia="Times New Roman" w:cs="Arial"/>
          <w:color w:val="000000"/>
          <w:u w:val="single"/>
          <w:lang w:eastAsia="bg-BG"/>
        </w:rPr>
      </w:pPr>
    </w:p>
    <w:p w14:paraId="2B01CA57" w14:textId="2F1B1B7A" w:rsidR="00F07F0E" w:rsidRPr="00F07F0E" w:rsidRDefault="00F07F0E" w:rsidP="00F07F0E">
      <w:pPr>
        <w:spacing w:line="240" w:lineRule="auto"/>
        <w:rPr>
          <w:rFonts w:eastAsia="Times New Roman" w:cs="Arial"/>
        </w:rPr>
      </w:pPr>
      <w:r w:rsidRPr="00F07F0E">
        <w:rPr>
          <w:rFonts w:eastAsia="Times New Roman" w:cs="Arial"/>
          <w:color w:val="000000"/>
          <w:u w:val="single"/>
          <w:lang w:eastAsia="bg-BG"/>
        </w:rPr>
        <w:t>Бъбречно увреждане</w:t>
      </w:r>
    </w:p>
    <w:p w14:paraId="7EBC3F99" w14:textId="77777777" w:rsidR="00F07F0E" w:rsidRPr="00F07F0E" w:rsidRDefault="00F07F0E" w:rsidP="00F07F0E">
      <w:pPr>
        <w:spacing w:line="240" w:lineRule="auto"/>
        <w:rPr>
          <w:rFonts w:eastAsia="Times New Roman" w:cs="Arial"/>
        </w:rPr>
      </w:pPr>
      <w:r w:rsidRPr="00F07F0E">
        <w:rPr>
          <w:rFonts w:eastAsia="Times New Roman" w:cs="Arial"/>
          <w:color w:val="000000"/>
          <w:lang w:eastAsia="bg-BG"/>
        </w:rPr>
        <w:t xml:space="preserve">Пациенти с креатининов клирънс под 30 </w:t>
      </w:r>
      <w:r w:rsidRPr="00F07F0E">
        <w:rPr>
          <w:rFonts w:eastAsia="Times New Roman" w:cs="Arial"/>
          <w:color w:val="000000"/>
          <w:lang w:val="en-US"/>
        </w:rPr>
        <w:t>ml</w:t>
      </w:r>
      <w:r w:rsidRPr="00F07F0E">
        <w:rPr>
          <w:rFonts w:eastAsia="Times New Roman" w:cs="Arial"/>
          <w:color w:val="000000"/>
          <w:lang w:val="ru-RU"/>
        </w:rPr>
        <w:t>/</w:t>
      </w:r>
      <w:r w:rsidRPr="00F07F0E">
        <w:rPr>
          <w:rFonts w:eastAsia="Times New Roman" w:cs="Arial"/>
          <w:color w:val="000000"/>
          <w:lang w:val="en-US"/>
        </w:rPr>
        <w:t>min</w:t>
      </w:r>
      <w:r w:rsidRPr="00F07F0E">
        <w:rPr>
          <w:rFonts w:eastAsia="Times New Roman" w:cs="Arial"/>
          <w:color w:val="000000"/>
          <w:lang w:val="ru-RU"/>
        </w:rPr>
        <w:t xml:space="preserve"> </w:t>
      </w:r>
      <w:r w:rsidRPr="00F07F0E">
        <w:rPr>
          <w:rFonts w:eastAsia="Times New Roman" w:cs="Arial"/>
          <w:color w:val="000000"/>
          <w:lang w:eastAsia="bg-BG"/>
        </w:rPr>
        <w:t>могат да изискват намаляване на дозата Гоптен; тяхната бъбречна функция трябва да се наблюдава внимателно.</w:t>
      </w:r>
    </w:p>
    <w:p w14:paraId="6222561D" w14:textId="77777777" w:rsidR="00F07F0E" w:rsidRPr="00F07F0E" w:rsidRDefault="00F07F0E" w:rsidP="00F07F0E">
      <w:pPr>
        <w:spacing w:line="240" w:lineRule="auto"/>
        <w:rPr>
          <w:rFonts w:eastAsia="Times New Roman" w:cs="Arial"/>
          <w:color w:val="000000"/>
          <w:lang w:eastAsia="bg-BG"/>
        </w:rPr>
      </w:pPr>
    </w:p>
    <w:p w14:paraId="16E0C22D" w14:textId="38F32013" w:rsidR="00F07F0E" w:rsidRPr="00F07F0E" w:rsidRDefault="00F07F0E" w:rsidP="00F07F0E">
      <w:pPr>
        <w:spacing w:line="240" w:lineRule="auto"/>
        <w:rPr>
          <w:rFonts w:eastAsia="Times New Roman" w:cs="Arial"/>
        </w:rPr>
      </w:pPr>
      <w:r w:rsidRPr="00F07F0E">
        <w:rPr>
          <w:rFonts w:eastAsia="Times New Roman" w:cs="Arial"/>
          <w:color w:val="000000"/>
          <w:lang w:eastAsia="bg-BG"/>
        </w:rPr>
        <w:t>При пациенти с бъбречна недостатъчност, застойна сърдечна недостатъчност или едностранна или двустранна стеноза на бъбречната артерия, единствен бъбрек или след бъбречна трансплантация съществува риск от увреждане на бъбречната функция. При някои пациенти с хипертония без очевидно предшестващо бъбречно заболяване може да се повишат кръвната урея и серумния</w:t>
      </w:r>
    </w:p>
    <w:p w14:paraId="549641FE" w14:textId="77777777" w:rsidR="00F07F0E" w:rsidRPr="00F07F0E" w:rsidRDefault="00F07F0E" w:rsidP="00F07F0E">
      <w:pPr>
        <w:rPr>
          <w:rFonts w:eastAsia="Times New Roman" w:cs="Arial"/>
        </w:rPr>
      </w:pPr>
      <w:r w:rsidRPr="00F07F0E">
        <w:rPr>
          <w:rFonts w:eastAsia="Times New Roman" w:cs="Arial"/>
          <w:color w:val="000000"/>
          <w:lang w:eastAsia="bg-BG"/>
        </w:rPr>
        <w:t>креатинин, когато Гоптен се прилага едновременно с диуретик. Може да се появи протеинурия</w:t>
      </w:r>
      <w:r w:rsidRPr="00F07F0E">
        <w:rPr>
          <w:rFonts w:eastAsia="Times New Roman" w:cs="Arial"/>
          <w:color w:val="000000"/>
          <w:lang w:val="ru-RU" w:eastAsia="bg-BG"/>
        </w:rPr>
        <w:t xml:space="preserve"> </w:t>
      </w:r>
      <w:r w:rsidRPr="00F07F0E">
        <w:rPr>
          <w:rFonts w:eastAsia="Times New Roman" w:cs="Arial"/>
          <w:color w:val="000000"/>
          <w:lang w:eastAsia="bg-BG"/>
        </w:rPr>
        <w:t>особено при пациенти със съществуващо увреждане на бъбречната функция или при относително високи дози на АСЕ-инхибитори.</w:t>
      </w:r>
    </w:p>
    <w:p w14:paraId="13C33E0A" w14:textId="77777777" w:rsidR="00F07F0E" w:rsidRPr="00F07F0E" w:rsidRDefault="00F07F0E" w:rsidP="00F07F0E">
      <w:pPr>
        <w:spacing w:line="240" w:lineRule="auto"/>
        <w:rPr>
          <w:rFonts w:eastAsia="Times New Roman" w:cs="Arial"/>
          <w:color w:val="000000"/>
          <w:u w:val="single"/>
          <w:lang w:eastAsia="bg-BG"/>
        </w:rPr>
      </w:pPr>
    </w:p>
    <w:p w14:paraId="236E9A99" w14:textId="625937EC" w:rsidR="00F07F0E" w:rsidRPr="00F07F0E" w:rsidRDefault="00F07F0E" w:rsidP="00F07F0E">
      <w:pPr>
        <w:spacing w:line="240" w:lineRule="auto"/>
        <w:rPr>
          <w:rFonts w:eastAsia="Times New Roman" w:cs="Arial"/>
        </w:rPr>
      </w:pPr>
      <w:r w:rsidRPr="00F07F0E">
        <w:rPr>
          <w:rFonts w:eastAsia="Times New Roman" w:cs="Arial"/>
          <w:color w:val="000000"/>
          <w:u w:val="single"/>
          <w:lang w:eastAsia="bg-BG"/>
        </w:rPr>
        <w:t>Двойно блокиране на ренин-ангиотензин-алдостероновата система (РААС)</w:t>
      </w:r>
    </w:p>
    <w:p w14:paraId="652D9395" w14:textId="77777777" w:rsidR="00F07F0E" w:rsidRPr="00F07F0E" w:rsidRDefault="00F07F0E" w:rsidP="00F07F0E">
      <w:pPr>
        <w:spacing w:line="240" w:lineRule="auto"/>
        <w:rPr>
          <w:rFonts w:eastAsia="Times New Roman" w:cs="Arial"/>
        </w:rPr>
      </w:pPr>
      <w:r w:rsidRPr="00F07F0E">
        <w:rPr>
          <w:rFonts w:eastAsia="Times New Roman" w:cs="Arial"/>
          <w:color w:val="000000"/>
          <w:lang w:eastAsia="bg-BG"/>
        </w:rPr>
        <w:t xml:space="preserve">Има данни, че едновременната употреба на АСЕ-инхибитори, ангиотензин П-рецепторни блокери или алискирен повишава риска от хипотония, хиперкалиемия и намаляване на </w:t>
      </w:r>
      <w:r w:rsidRPr="00F07F0E">
        <w:rPr>
          <w:rFonts w:eastAsia="Times New Roman" w:cs="Arial"/>
          <w:color w:val="000000"/>
          <w:lang w:eastAsia="bg-BG"/>
        </w:rPr>
        <w:lastRenderedPageBreak/>
        <w:t>бъбречната функция (включително остра бъбречна недостатъчност). Поради това не се препоръчва двойно блокиране на РААС чрез комбинираната употреба на АСЕ-инхибитори, ангиотензин II- рецепторни блокери или алискирен (вж. точки 4.5 и 5,1).</w:t>
      </w:r>
    </w:p>
    <w:p w14:paraId="7930128F" w14:textId="77777777" w:rsidR="00F07F0E" w:rsidRPr="00F07F0E" w:rsidRDefault="00F07F0E" w:rsidP="00F07F0E">
      <w:pPr>
        <w:spacing w:line="240" w:lineRule="auto"/>
        <w:rPr>
          <w:rFonts w:eastAsia="Times New Roman" w:cs="Arial"/>
          <w:color w:val="000000"/>
          <w:lang w:eastAsia="bg-BG"/>
        </w:rPr>
      </w:pPr>
    </w:p>
    <w:p w14:paraId="20839738" w14:textId="442FCF4A" w:rsidR="00F07F0E" w:rsidRPr="00F07F0E" w:rsidRDefault="00F07F0E" w:rsidP="00F07F0E">
      <w:pPr>
        <w:spacing w:line="240" w:lineRule="auto"/>
        <w:rPr>
          <w:rFonts w:eastAsia="Times New Roman" w:cs="Arial"/>
        </w:rPr>
      </w:pPr>
      <w:r w:rsidRPr="00F07F0E">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260A753E" w14:textId="77777777" w:rsidR="00F07F0E" w:rsidRPr="00F07F0E" w:rsidRDefault="00F07F0E" w:rsidP="00F07F0E">
      <w:pPr>
        <w:spacing w:line="240" w:lineRule="auto"/>
        <w:rPr>
          <w:rFonts w:eastAsia="Times New Roman" w:cs="Arial"/>
          <w:color w:val="000000"/>
          <w:lang w:eastAsia="bg-BG"/>
        </w:rPr>
      </w:pPr>
    </w:p>
    <w:p w14:paraId="734CFBE2" w14:textId="4444FF7F" w:rsidR="00F07F0E" w:rsidRPr="00F07F0E" w:rsidRDefault="00F07F0E" w:rsidP="00F07F0E">
      <w:pPr>
        <w:spacing w:line="240" w:lineRule="auto"/>
        <w:rPr>
          <w:rFonts w:eastAsia="Times New Roman" w:cs="Arial"/>
        </w:rPr>
      </w:pPr>
      <w:r w:rsidRPr="00F07F0E">
        <w:rPr>
          <w:rFonts w:eastAsia="Times New Roman" w:cs="Arial"/>
          <w:color w:val="000000"/>
          <w:lang w:eastAsia="bg-BG"/>
        </w:rPr>
        <w:t>АСЕ-инхибитори и ангиотензин П-рецепторни блокери не трябва да се използват едновременно при пациенти с диабетна нефропатия.</w:t>
      </w:r>
    </w:p>
    <w:p w14:paraId="1B06AA20" w14:textId="77777777" w:rsidR="00F07F0E" w:rsidRPr="00F07F0E" w:rsidRDefault="00F07F0E" w:rsidP="00F07F0E">
      <w:pPr>
        <w:spacing w:line="240" w:lineRule="auto"/>
        <w:rPr>
          <w:rFonts w:eastAsia="Times New Roman" w:cs="Arial"/>
          <w:color w:val="000000"/>
          <w:u w:val="single"/>
          <w:lang w:eastAsia="bg-BG"/>
        </w:rPr>
      </w:pPr>
    </w:p>
    <w:p w14:paraId="6B68044F" w14:textId="7A4097A6" w:rsidR="00F07F0E" w:rsidRPr="00F07F0E" w:rsidRDefault="00F07F0E" w:rsidP="00F07F0E">
      <w:pPr>
        <w:spacing w:line="240" w:lineRule="auto"/>
        <w:rPr>
          <w:rFonts w:eastAsia="Times New Roman" w:cs="Arial"/>
        </w:rPr>
      </w:pPr>
      <w:r w:rsidRPr="00F07F0E">
        <w:rPr>
          <w:rFonts w:eastAsia="Times New Roman" w:cs="Arial"/>
          <w:color w:val="000000"/>
          <w:u w:val="single"/>
          <w:lang w:eastAsia="bg-BG"/>
        </w:rPr>
        <w:t>Серумен калий</w:t>
      </w:r>
    </w:p>
    <w:p w14:paraId="107A4A9B" w14:textId="77777777" w:rsidR="00F07F0E" w:rsidRPr="00F07F0E" w:rsidRDefault="00F07F0E" w:rsidP="00F07F0E">
      <w:pPr>
        <w:spacing w:line="240" w:lineRule="auto"/>
        <w:rPr>
          <w:rFonts w:eastAsia="Times New Roman" w:cs="Arial"/>
        </w:rPr>
      </w:pPr>
      <w:r w:rsidRPr="00F07F0E">
        <w:rPr>
          <w:rFonts w:eastAsia="Times New Roman" w:cs="Arial"/>
          <w:color w:val="000000"/>
          <w:lang w:eastAsia="bg-BG"/>
        </w:rPr>
        <w:t>АСЕ инхибиторите могат да предизвикат хиперкалиемия, тъй като инхибират освобождаването на алдостерон. Ефектът обикновено не е значителен при пациенти с нормална бъбречна функция. При пациенти с нарушена бъбречна функция обаче и/или при пациенти, приемащи хранителни добавки, съдържащи калий (включително заместители на солта), калий-съхраняващи диуретици, триметоприм или котримоксазол, известен също като три мето при м/сулфаметоксазол, и особено антагонисти на алдостерона или ангиотензин-рецепторни блокери, може да възникне хиперкалиемия. Калий-съхраняващите диуретици и ангиотензин-рецепторните блокери трябва да се прилагат внимателно при пациенти, приемащи АСЕ инхибитори, като серумният калий и бъбречната функция трябва да се проследяват (вж. точка 4.5).</w:t>
      </w:r>
    </w:p>
    <w:p w14:paraId="06BDA92F" w14:textId="77777777" w:rsidR="00F07F0E" w:rsidRPr="00F07F0E" w:rsidRDefault="00F07F0E" w:rsidP="00F07F0E">
      <w:pPr>
        <w:spacing w:line="240" w:lineRule="auto"/>
        <w:rPr>
          <w:rFonts w:eastAsia="Times New Roman" w:cs="Arial"/>
          <w:color w:val="000000"/>
          <w:u w:val="single"/>
          <w:lang w:eastAsia="bg-BG"/>
        </w:rPr>
      </w:pPr>
    </w:p>
    <w:p w14:paraId="3E8CD22F" w14:textId="69B959FA" w:rsidR="00F07F0E" w:rsidRPr="00F07F0E" w:rsidRDefault="00F07F0E" w:rsidP="00F07F0E">
      <w:pPr>
        <w:spacing w:line="240" w:lineRule="auto"/>
        <w:rPr>
          <w:rFonts w:eastAsia="Times New Roman" w:cs="Arial"/>
        </w:rPr>
      </w:pPr>
      <w:r w:rsidRPr="00F07F0E">
        <w:rPr>
          <w:rFonts w:eastAsia="Times New Roman" w:cs="Arial"/>
          <w:color w:val="000000"/>
          <w:u w:val="single"/>
          <w:lang w:eastAsia="bg-BG"/>
        </w:rPr>
        <w:t>Кашлица</w:t>
      </w:r>
    </w:p>
    <w:p w14:paraId="3B681F8E" w14:textId="77777777" w:rsidR="00F07F0E" w:rsidRPr="00F07F0E" w:rsidRDefault="00F07F0E" w:rsidP="00F07F0E">
      <w:pPr>
        <w:spacing w:line="240" w:lineRule="auto"/>
        <w:rPr>
          <w:rFonts w:eastAsia="Times New Roman" w:cs="Arial"/>
        </w:rPr>
      </w:pPr>
      <w:r w:rsidRPr="00F07F0E">
        <w:rPr>
          <w:rFonts w:eastAsia="Times New Roman" w:cs="Arial"/>
          <w:color w:val="000000"/>
          <w:lang w:eastAsia="bg-BG"/>
        </w:rPr>
        <w:t>По време на лечението с АСЕ-инхибитор може да се появи суха и непродуктивна кашлица, която изчезва след прекратяване на терапията.</w:t>
      </w:r>
    </w:p>
    <w:p w14:paraId="490DD46D" w14:textId="77777777" w:rsidR="00F07F0E" w:rsidRPr="00F07F0E" w:rsidRDefault="00F07F0E" w:rsidP="00F07F0E">
      <w:pPr>
        <w:spacing w:line="240" w:lineRule="auto"/>
        <w:rPr>
          <w:rFonts w:eastAsia="Times New Roman" w:cs="Arial"/>
          <w:color w:val="000000"/>
          <w:u w:val="single"/>
          <w:lang w:eastAsia="bg-BG"/>
        </w:rPr>
      </w:pPr>
    </w:p>
    <w:p w14:paraId="248F5332" w14:textId="35102FFD" w:rsidR="00F07F0E" w:rsidRPr="00F07F0E" w:rsidRDefault="00F07F0E" w:rsidP="00F07F0E">
      <w:pPr>
        <w:spacing w:line="240" w:lineRule="auto"/>
        <w:rPr>
          <w:rFonts w:eastAsia="Times New Roman" w:cs="Arial"/>
        </w:rPr>
      </w:pPr>
      <w:r w:rsidRPr="00F07F0E">
        <w:rPr>
          <w:rFonts w:eastAsia="Times New Roman" w:cs="Arial"/>
          <w:color w:val="000000"/>
          <w:u w:val="single"/>
          <w:lang w:eastAsia="bg-BG"/>
        </w:rPr>
        <w:t>Хирургия/Анестезия</w:t>
      </w:r>
    </w:p>
    <w:p w14:paraId="29775904" w14:textId="77777777" w:rsidR="00F07F0E" w:rsidRPr="00F07F0E" w:rsidRDefault="00F07F0E" w:rsidP="00F07F0E">
      <w:pPr>
        <w:spacing w:line="240" w:lineRule="auto"/>
        <w:rPr>
          <w:rFonts w:eastAsia="Times New Roman" w:cs="Arial"/>
        </w:rPr>
      </w:pPr>
      <w:r w:rsidRPr="00F07F0E">
        <w:rPr>
          <w:rFonts w:eastAsia="Times New Roman" w:cs="Arial"/>
          <w:color w:val="000000"/>
          <w:lang w:eastAsia="bg-BG"/>
        </w:rPr>
        <w:t>При пациенти с хирургични интервенции или по време на анестезия с лекарства, намаляващи кръвното налягане, Гоптен може да блокира образуването на ангиотензин II вторично на компенсаторното отделяне на ренин.</w:t>
      </w:r>
    </w:p>
    <w:p w14:paraId="07F71704" w14:textId="77777777" w:rsidR="00F07F0E" w:rsidRPr="00F07F0E" w:rsidRDefault="00F07F0E" w:rsidP="00F07F0E">
      <w:pPr>
        <w:spacing w:line="240" w:lineRule="auto"/>
        <w:rPr>
          <w:rFonts w:eastAsia="Times New Roman" w:cs="Arial"/>
          <w:color w:val="000000"/>
          <w:u w:val="single"/>
          <w:lang w:eastAsia="bg-BG"/>
        </w:rPr>
      </w:pPr>
    </w:p>
    <w:p w14:paraId="629EBC9A" w14:textId="329B396F" w:rsidR="00F07F0E" w:rsidRPr="00F07F0E" w:rsidRDefault="00F07F0E" w:rsidP="00F07F0E">
      <w:pPr>
        <w:spacing w:line="240" w:lineRule="auto"/>
        <w:rPr>
          <w:rFonts w:eastAsia="Times New Roman" w:cs="Arial"/>
        </w:rPr>
      </w:pPr>
      <w:r w:rsidRPr="00F07F0E">
        <w:rPr>
          <w:rFonts w:eastAsia="Times New Roman" w:cs="Arial"/>
          <w:color w:val="000000"/>
          <w:u w:val="single"/>
          <w:lang w:eastAsia="bg-BG"/>
        </w:rPr>
        <w:t>Педиатрична популация</w:t>
      </w:r>
    </w:p>
    <w:p w14:paraId="7EB64B17" w14:textId="77777777" w:rsidR="00F07F0E" w:rsidRPr="00F07F0E" w:rsidRDefault="00F07F0E" w:rsidP="00F07F0E">
      <w:pPr>
        <w:spacing w:line="240" w:lineRule="auto"/>
        <w:rPr>
          <w:rFonts w:eastAsia="Times New Roman" w:cs="Arial"/>
        </w:rPr>
      </w:pPr>
      <w:r w:rsidRPr="00F07F0E">
        <w:rPr>
          <w:rFonts w:eastAsia="Times New Roman" w:cs="Arial"/>
          <w:color w:val="000000"/>
          <w:lang w:eastAsia="bg-BG"/>
        </w:rPr>
        <w:t>Безопасността и ефикасността на Гоптен при деца не е изследвана.</w:t>
      </w:r>
    </w:p>
    <w:p w14:paraId="408DCD02" w14:textId="77777777" w:rsidR="00F07F0E" w:rsidRPr="00F07F0E" w:rsidRDefault="00F07F0E" w:rsidP="00F07F0E">
      <w:pPr>
        <w:spacing w:line="240" w:lineRule="auto"/>
        <w:rPr>
          <w:rFonts w:eastAsia="Times New Roman" w:cs="Arial"/>
          <w:color w:val="000000"/>
          <w:u w:val="single"/>
          <w:lang w:eastAsia="bg-BG"/>
        </w:rPr>
      </w:pPr>
    </w:p>
    <w:p w14:paraId="326BA7D1" w14:textId="2D3AB711" w:rsidR="00F07F0E" w:rsidRPr="00F07F0E" w:rsidRDefault="00F07F0E" w:rsidP="00F07F0E">
      <w:pPr>
        <w:spacing w:line="240" w:lineRule="auto"/>
        <w:rPr>
          <w:rFonts w:eastAsia="Times New Roman" w:cs="Arial"/>
        </w:rPr>
      </w:pPr>
      <w:r w:rsidRPr="00F07F0E">
        <w:rPr>
          <w:rFonts w:eastAsia="Times New Roman" w:cs="Arial"/>
          <w:color w:val="000000"/>
          <w:u w:val="single"/>
          <w:lang w:eastAsia="bg-BG"/>
        </w:rPr>
        <w:t>Бременност</w:t>
      </w:r>
    </w:p>
    <w:p w14:paraId="6711DD82" w14:textId="77777777" w:rsidR="00F07F0E" w:rsidRPr="00F07F0E" w:rsidRDefault="00F07F0E" w:rsidP="00F07F0E">
      <w:pPr>
        <w:spacing w:line="240" w:lineRule="auto"/>
        <w:rPr>
          <w:rFonts w:eastAsia="Times New Roman" w:cs="Arial"/>
        </w:rPr>
      </w:pPr>
      <w:r w:rsidRPr="00F07F0E">
        <w:rPr>
          <w:rFonts w:eastAsia="Times New Roman" w:cs="Arial"/>
          <w:color w:val="000000"/>
          <w:lang w:eastAsia="bg-BG"/>
        </w:rPr>
        <w:t>Терапия с АСЕ-инхибитори не трябва да се започва по време на бременност. Освен ако продължаване на лечението с АСЕ-инхибитори не се счита за крайно необходимо, терапията на пациентите, които планират забременяване, трябва да се смени с алтернативни антихипертензивни лекарствени средства с доказан профил на безопасност при употреба по време на бременност. При установяване на бременност лечението с АСЕ-инхибитори трябва да се спре незабавно и ако е подходящо, да се започне алтернативна терапия (вж. точки 4.3 и 4.6).</w:t>
      </w:r>
    </w:p>
    <w:p w14:paraId="36E5BC35" w14:textId="77777777" w:rsidR="00F07F0E" w:rsidRPr="00F07F0E" w:rsidRDefault="00F07F0E" w:rsidP="00F07F0E">
      <w:pPr>
        <w:spacing w:line="240" w:lineRule="auto"/>
        <w:rPr>
          <w:rFonts w:eastAsia="Times New Roman" w:cs="Arial"/>
          <w:color w:val="000000"/>
          <w:u w:val="single"/>
          <w:lang w:eastAsia="bg-BG"/>
        </w:rPr>
      </w:pPr>
    </w:p>
    <w:p w14:paraId="336BA33D" w14:textId="1AFEAAA8" w:rsidR="00F07F0E" w:rsidRPr="00F07F0E" w:rsidRDefault="00F07F0E" w:rsidP="00F07F0E">
      <w:pPr>
        <w:spacing w:line="240" w:lineRule="auto"/>
        <w:rPr>
          <w:rFonts w:eastAsia="Times New Roman" w:cs="Arial"/>
        </w:rPr>
      </w:pPr>
      <w:r w:rsidRPr="00F07F0E">
        <w:rPr>
          <w:rFonts w:eastAsia="Times New Roman" w:cs="Arial"/>
          <w:color w:val="000000"/>
          <w:u w:val="single"/>
          <w:lang w:eastAsia="bg-BG"/>
        </w:rPr>
        <w:t>Кърмещи майки</w:t>
      </w:r>
    </w:p>
    <w:p w14:paraId="43621AED" w14:textId="77777777" w:rsidR="00F07F0E" w:rsidRPr="00F07F0E" w:rsidRDefault="00F07F0E" w:rsidP="00F07F0E">
      <w:pPr>
        <w:spacing w:line="240" w:lineRule="auto"/>
        <w:rPr>
          <w:rFonts w:eastAsia="Times New Roman" w:cs="Arial"/>
        </w:rPr>
      </w:pPr>
      <w:r w:rsidRPr="00F07F0E">
        <w:rPr>
          <w:rFonts w:eastAsia="Times New Roman" w:cs="Arial"/>
          <w:color w:val="000000"/>
          <w:lang w:eastAsia="bg-BG"/>
        </w:rPr>
        <w:t>Поради това, че не е налична информация по отношение употребата на Гоптен по време на кърмене, Гоптен не се препоръчва и алтернативни лечения с по-добре установен профил на безопасност по време на кърмене са за предпочитане, особено при кърмене на новородено или недоносено дете.</w:t>
      </w:r>
    </w:p>
    <w:p w14:paraId="0270FF72" w14:textId="77777777" w:rsidR="00F07F0E" w:rsidRPr="00F07F0E" w:rsidRDefault="00F07F0E" w:rsidP="00F07F0E">
      <w:pPr>
        <w:spacing w:line="240" w:lineRule="auto"/>
        <w:rPr>
          <w:rFonts w:eastAsia="Times New Roman" w:cs="Arial"/>
          <w:color w:val="000000"/>
          <w:u w:val="single"/>
          <w:lang w:eastAsia="bg-BG"/>
        </w:rPr>
      </w:pPr>
    </w:p>
    <w:p w14:paraId="78F0D865" w14:textId="77777777" w:rsidR="00F07F0E" w:rsidRPr="00F07F0E" w:rsidRDefault="00F07F0E" w:rsidP="00F07F0E">
      <w:pPr>
        <w:spacing w:line="240" w:lineRule="auto"/>
        <w:rPr>
          <w:rFonts w:eastAsia="Times New Roman" w:cs="Arial"/>
          <w:color w:val="000000"/>
          <w:u w:val="single"/>
          <w:lang w:eastAsia="bg-BG"/>
        </w:rPr>
      </w:pPr>
      <w:r w:rsidRPr="00F07F0E">
        <w:rPr>
          <w:rFonts w:eastAsia="Times New Roman" w:cs="Arial"/>
          <w:color w:val="000000"/>
          <w:u w:val="single"/>
          <w:lang w:eastAsia="bg-BG"/>
        </w:rPr>
        <w:t xml:space="preserve">Помощни вещества </w:t>
      </w:r>
    </w:p>
    <w:p w14:paraId="25AFBFAE" w14:textId="44046DB0" w:rsidR="00F07F0E" w:rsidRPr="00F07F0E" w:rsidRDefault="00F07F0E" w:rsidP="00F07F0E">
      <w:pPr>
        <w:spacing w:line="240" w:lineRule="auto"/>
        <w:rPr>
          <w:rFonts w:eastAsia="Times New Roman" w:cs="Arial"/>
        </w:rPr>
      </w:pPr>
      <w:r w:rsidRPr="00F07F0E">
        <w:rPr>
          <w:rFonts w:eastAsia="Times New Roman" w:cs="Arial"/>
          <w:i/>
          <w:iCs/>
          <w:color w:val="000000"/>
          <w:lang w:eastAsia="bg-BG"/>
        </w:rPr>
        <w:lastRenderedPageBreak/>
        <w:t>Лактоза</w:t>
      </w:r>
    </w:p>
    <w:p w14:paraId="719A6770" w14:textId="4AAA9B45" w:rsidR="00F07F0E" w:rsidRPr="00E67ECC" w:rsidRDefault="00F07F0E" w:rsidP="00F07F0E">
      <w:pPr>
        <w:rPr>
          <w:rFonts w:cs="Arial"/>
          <w:lang w:val="ru-RU"/>
        </w:rPr>
      </w:pPr>
    </w:p>
    <w:p w14:paraId="6B32A026" w14:textId="77777777" w:rsidR="00F07F0E" w:rsidRPr="00F07F0E" w:rsidRDefault="00F07F0E" w:rsidP="00F07F0E">
      <w:pPr>
        <w:spacing w:line="240" w:lineRule="auto"/>
        <w:rPr>
          <w:rFonts w:eastAsia="Times New Roman" w:cs="Arial"/>
        </w:rPr>
      </w:pPr>
      <w:r w:rsidRPr="00F07F0E">
        <w:rPr>
          <w:rFonts w:eastAsia="Times New Roman" w:cs="Arial"/>
          <w:color w:val="000000"/>
          <w:lang w:eastAsia="bg-BG"/>
        </w:rPr>
        <w:t>Пациенти с редки наследствени проблеми на непоносимост към галактоза, пълен лактазен дефицит или глюкозо-галактозна малабсорбция не трябва да приемат това лекарство.</w:t>
      </w:r>
    </w:p>
    <w:p w14:paraId="6CA7CDD5" w14:textId="77777777" w:rsidR="00F07F0E" w:rsidRPr="00F07F0E" w:rsidRDefault="00F07F0E" w:rsidP="00F07F0E">
      <w:pPr>
        <w:spacing w:line="240" w:lineRule="auto"/>
        <w:rPr>
          <w:rFonts w:eastAsia="Times New Roman" w:cs="Arial"/>
          <w:i/>
          <w:iCs/>
          <w:color w:val="000000"/>
          <w:lang w:eastAsia="bg-BG"/>
        </w:rPr>
      </w:pPr>
    </w:p>
    <w:p w14:paraId="1036B9BC" w14:textId="324DC5BE" w:rsidR="00F07F0E" w:rsidRPr="00F07F0E" w:rsidRDefault="00F07F0E" w:rsidP="00F07F0E">
      <w:pPr>
        <w:spacing w:line="240" w:lineRule="auto"/>
        <w:rPr>
          <w:rFonts w:eastAsia="Times New Roman" w:cs="Arial"/>
        </w:rPr>
      </w:pPr>
      <w:r w:rsidRPr="00F07F0E">
        <w:rPr>
          <w:rFonts w:eastAsia="Times New Roman" w:cs="Arial"/>
          <w:i/>
          <w:iCs/>
          <w:color w:val="000000"/>
          <w:lang w:eastAsia="bg-BG"/>
        </w:rPr>
        <w:t>Натрий</w:t>
      </w:r>
    </w:p>
    <w:p w14:paraId="1E801261" w14:textId="77777777" w:rsidR="00F07F0E" w:rsidRPr="00F07F0E" w:rsidRDefault="00F07F0E" w:rsidP="00F07F0E">
      <w:pPr>
        <w:spacing w:line="240" w:lineRule="auto"/>
        <w:rPr>
          <w:rFonts w:eastAsia="Times New Roman" w:cs="Arial"/>
        </w:rPr>
      </w:pPr>
      <w:r w:rsidRPr="00F07F0E">
        <w:rPr>
          <w:rFonts w:eastAsia="Times New Roman" w:cs="Arial"/>
          <w:color w:val="000000"/>
          <w:lang w:eastAsia="bg-BG"/>
        </w:rPr>
        <w:t xml:space="preserve">Това лекарство съдържа по-малко от 1 </w:t>
      </w:r>
      <w:proofErr w:type="spellStart"/>
      <w:r w:rsidRPr="00F07F0E">
        <w:rPr>
          <w:rFonts w:eastAsia="Times New Roman" w:cs="Arial"/>
          <w:color w:val="000000"/>
          <w:lang w:val="en-US"/>
        </w:rPr>
        <w:t>mmol</w:t>
      </w:r>
      <w:proofErr w:type="spellEnd"/>
      <w:r w:rsidRPr="00F07F0E">
        <w:rPr>
          <w:rFonts w:eastAsia="Times New Roman" w:cs="Arial"/>
          <w:color w:val="000000"/>
          <w:lang w:val="ru-RU"/>
        </w:rPr>
        <w:t xml:space="preserve"> </w:t>
      </w:r>
      <w:r w:rsidRPr="00F07F0E">
        <w:rPr>
          <w:rFonts w:eastAsia="Times New Roman" w:cs="Arial"/>
          <w:color w:val="000000"/>
          <w:lang w:eastAsia="bg-BG"/>
        </w:rPr>
        <w:t xml:space="preserve">натрий (23 </w:t>
      </w:r>
      <w:r w:rsidRPr="00F07F0E">
        <w:rPr>
          <w:rFonts w:eastAsia="Times New Roman" w:cs="Arial"/>
          <w:color w:val="000000"/>
          <w:lang w:val="en-US"/>
        </w:rPr>
        <w:t>mg</w:t>
      </w:r>
      <w:r w:rsidRPr="00F07F0E">
        <w:rPr>
          <w:rFonts w:eastAsia="Times New Roman" w:cs="Arial"/>
          <w:color w:val="000000"/>
          <w:lang w:val="ru-RU"/>
        </w:rPr>
        <w:t xml:space="preserve">) </w:t>
      </w:r>
      <w:r w:rsidRPr="00F07F0E">
        <w:rPr>
          <w:rFonts w:eastAsia="Times New Roman" w:cs="Arial"/>
          <w:color w:val="000000"/>
          <w:lang w:eastAsia="bg-BG"/>
        </w:rPr>
        <w:t>на капсула, т.е. може да се каже, че практически не съдържа натрий.</w:t>
      </w:r>
    </w:p>
    <w:p w14:paraId="0E137438" w14:textId="77777777" w:rsidR="00F07F0E" w:rsidRPr="00F07F0E" w:rsidRDefault="00F07F0E" w:rsidP="00F07F0E"/>
    <w:p w14:paraId="0734264C" w14:textId="15E6AAFF"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4D3AB40E" w14:textId="601A587F" w:rsidR="00F07F0E" w:rsidRDefault="00F07F0E" w:rsidP="00F07F0E"/>
    <w:p w14:paraId="7C9D45AD" w14:textId="77777777" w:rsidR="00F07F0E" w:rsidRPr="00F07F0E" w:rsidRDefault="00F07F0E" w:rsidP="00F07F0E">
      <w:pPr>
        <w:spacing w:line="240" w:lineRule="auto"/>
        <w:rPr>
          <w:rFonts w:eastAsia="Times New Roman" w:cs="Arial"/>
        </w:rPr>
      </w:pPr>
      <w:r w:rsidRPr="00F07F0E">
        <w:rPr>
          <w:rFonts w:eastAsia="Times New Roman" w:cs="Arial"/>
          <w:color w:val="000000"/>
          <w:u w:val="single"/>
          <w:lang w:eastAsia="bg-BG"/>
        </w:rPr>
        <w:t>Лекарства, повишаващи риска от ангиоедем</w:t>
      </w:r>
    </w:p>
    <w:p w14:paraId="3886EE04" w14:textId="77777777" w:rsidR="00F07F0E" w:rsidRPr="00F07F0E" w:rsidRDefault="00F07F0E" w:rsidP="00F07F0E">
      <w:pPr>
        <w:spacing w:line="240" w:lineRule="auto"/>
        <w:rPr>
          <w:rFonts w:eastAsia="Times New Roman" w:cs="Arial"/>
        </w:rPr>
      </w:pPr>
      <w:r w:rsidRPr="00F07F0E">
        <w:rPr>
          <w:rFonts w:eastAsia="Times New Roman" w:cs="Arial"/>
          <w:color w:val="000000"/>
          <w:lang w:eastAsia="bg-BG"/>
        </w:rPr>
        <w:t>Съпътстващата употреба на АСЕ инхибитори със сакубитрил/валсартан е противопоказана, тъй като това повишава риска от ангиоедем (вж. точка 4.3 и 4.4).</w:t>
      </w:r>
    </w:p>
    <w:p w14:paraId="7860921A" w14:textId="77777777" w:rsidR="00F07F0E" w:rsidRPr="00F07F0E" w:rsidRDefault="00F07F0E" w:rsidP="00F07F0E">
      <w:pPr>
        <w:spacing w:line="240" w:lineRule="auto"/>
        <w:rPr>
          <w:rFonts w:eastAsia="Times New Roman" w:cs="Arial"/>
          <w:color w:val="000000"/>
          <w:lang w:eastAsia="bg-BG"/>
        </w:rPr>
      </w:pPr>
    </w:p>
    <w:p w14:paraId="2B65E626" w14:textId="35F7A423" w:rsidR="00F07F0E" w:rsidRPr="00F07F0E" w:rsidRDefault="00F07F0E" w:rsidP="00F07F0E">
      <w:pPr>
        <w:spacing w:line="240" w:lineRule="auto"/>
        <w:rPr>
          <w:rFonts w:eastAsia="Times New Roman" w:cs="Arial"/>
        </w:rPr>
      </w:pPr>
      <w:r w:rsidRPr="00F07F0E">
        <w:rPr>
          <w:rFonts w:eastAsia="Times New Roman" w:cs="Arial"/>
          <w:color w:val="000000"/>
          <w:lang w:eastAsia="bg-BG"/>
        </w:rPr>
        <w:t xml:space="preserve">Съпътстващата употреба на АСЕ инхибитори с рацекадотрил, </w:t>
      </w:r>
      <w:proofErr w:type="spellStart"/>
      <w:r w:rsidRPr="00F07F0E">
        <w:rPr>
          <w:rFonts w:eastAsia="Times New Roman" w:cs="Arial"/>
          <w:color w:val="000000"/>
          <w:lang w:val="en-US"/>
        </w:rPr>
        <w:t>mTOR</w:t>
      </w:r>
      <w:proofErr w:type="spellEnd"/>
      <w:r w:rsidRPr="00F07F0E">
        <w:rPr>
          <w:rFonts w:eastAsia="Times New Roman" w:cs="Arial"/>
          <w:color w:val="000000"/>
          <w:lang w:val="ru-RU"/>
        </w:rPr>
        <w:t xml:space="preserve"> </w:t>
      </w:r>
      <w:r w:rsidRPr="00F07F0E">
        <w:rPr>
          <w:rFonts w:eastAsia="Times New Roman" w:cs="Arial"/>
          <w:color w:val="000000"/>
          <w:lang w:eastAsia="bg-BG"/>
        </w:rPr>
        <w:t>инхибитори (напр. сиролимус, еверолимус, темсиролимус) и вилдаглиптин може да доведе до повишен риск от ангиоедем (вж. точка 4.4).</w:t>
      </w:r>
    </w:p>
    <w:p w14:paraId="602992F5" w14:textId="77777777" w:rsidR="00F07F0E" w:rsidRPr="00F07F0E" w:rsidRDefault="00F07F0E" w:rsidP="00F07F0E">
      <w:pPr>
        <w:spacing w:line="240" w:lineRule="auto"/>
        <w:rPr>
          <w:rFonts w:eastAsia="Times New Roman" w:cs="Arial"/>
          <w:color w:val="000000"/>
          <w:u w:val="single"/>
          <w:lang w:eastAsia="bg-BG"/>
        </w:rPr>
      </w:pPr>
    </w:p>
    <w:p w14:paraId="7F3AF959" w14:textId="5ED65938" w:rsidR="00F07F0E" w:rsidRPr="00F07F0E" w:rsidRDefault="00F07F0E" w:rsidP="00F07F0E">
      <w:pPr>
        <w:spacing w:line="240" w:lineRule="auto"/>
        <w:rPr>
          <w:rFonts w:eastAsia="Times New Roman" w:cs="Arial"/>
        </w:rPr>
      </w:pPr>
      <w:r w:rsidRPr="00F07F0E">
        <w:rPr>
          <w:rFonts w:eastAsia="Times New Roman" w:cs="Arial"/>
          <w:color w:val="000000"/>
          <w:u w:val="single"/>
          <w:lang w:eastAsia="bg-BG"/>
        </w:rPr>
        <w:t>Калий-съхраняваши диуретици, хранителни добавки, съдържащи калий или калий-съдържащи заместители на солта</w:t>
      </w:r>
    </w:p>
    <w:p w14:paraId="147CB85B" w14:textId="77777777" w:rsidR="00F07F0E" w:rsidRPr="00F07F0E" w:rsidRDefault="00F07F0E" w:rsidP="00F07F0E">
      <w:pPr>
        <w:spacing w:line="240" w:lineRule="auto"/>
        <w:rPr>
          <w:rFonts w:eastAsia="Times New Roman" w:cs="Arial"/>
        </w:rPr>
      </w:pPr>
      <w:r w:rsidRPr="00F07F0E">
        <w:rPr>
          <w:rFonts w:eastAsia="Times New Roman" w:cs="Arial"/>
          <w:color w:val="000000"/>
          <w:lang w:eastAsia="bg-BG"/>
        </w:rPr>
        <w:t>Въпреки че серумният калий обикновено остава в рамките на нормалните граници, при някои пациенти, лекувани с Гоптен, може да възникне хиперкалиемия. Употребата на калий- съхраняващи диуретици (напр. спиронолактон, триамтерен или амилорид), хранителни добавки, съдържащи калий или калий-съдържащи заместители на солта може да доведе до значително повишение на серумния калий. Трябва също да се внимава, когато Гоптен се прилага едновременно с други средства, които повишават серумния калий, като напр. триметоприм и котримоксазол (триметоприм/сулфаметоксазол), тъй като е известно, че триметоприм действа като калий-съхраняващ диуретик подобно на амилорид. Поради това не се препоръчва комбинирането на Гоптен с гореспоменатите лекарства. Ако е показана съпътстваща употреба, те трябва да се използват с повишено внимание и при често проследяване на серумния калий.</w:t>
      </w:r>
    </w:p>
    <w:p w14:paraId="2DFADB0A" w14:textId="77777777" w:rsidR="00F07F0E" w:rsidRPr="00F07F0E" w:rsidRDefault="00F07F0E" w:rsidP="00F07F0E">
      <w:pPr>
        <w:spacing w:line="240" w:lineRule="auto"/>
        <w:rPr>
          <w:rFonts w:eastAsia="Times New Roman" w:cs="Arial"/>
          <w:color w:val="000000"/>
          <w:u w:val="single"/>
          <w:lang w:eastAsia="bg-BG"/>
        </w:rPr>
      </w:pPr>
    </w:p>
    <w:p w14:paraId="0FB939A1" w14:textId="2BD1E2E9" w:rsidR="00F07F0E" w:rsidRPr="00F07F0E" w:rsidRDefault="00F07F0E" w:rsidP="00F07F0E">
      <w:pPr>
        <w:spacing w:line="240" w:lineRule="auto"/>
        <w:rPr>
          <w:rFonts w:eastAsia="Times New Roman" w:cs="Arial"/>
        </w:rPr>
      </w:pPr>
      <w:r w:rsidRPr="00F07F0E">
        <w:rPr>
          <w:rFonts w:eastAsia="Times New Roman" w:cs="Arial"/>
          <w:color w:val="000000"/>
          <w:u w:val="single"/>
          <w:lang w:eastAsia="bg-BG"/>
        </w:rPr>
        <w:t>Циклоспорин</w:t>
      </w:r>
    </w:p>
    <w:p w14:paraId="4FE47C4D" w14:textId="77777777" w:rsidR="00F07F0E" w:rsidRPr="00F07F0E" w:rsidRDefault="00F07F0E" w:rsidP="00F07F0E">
      <w:pPr>
        <w:spacing w:line="240" w:lineRule="auto"/>
        <w:rPr>
          <w:rFonts w:eastAsia="Times New Roman" w:cs="Arial"/>
        </w:rPr>
      </w:pPr>
      <w:r w:rsidRPr="00F07F0E">
        <w:rPr>
          <w:rFonts w:eastAsia="Times New Roman" w:cs="Arial"/>
          <w:color w:val="000000"/>
          <w:lang w:eastAsia="bg-BG"/>
        </w:rPr>
        <w:t>При съпътстваща употреба на АСЕ инхибитори с циклоспорин може да възникне хиперкалиемия. Препоръчва се проследяване на серумния калий.</w:t>
      </w:r>
    </w:p>
    <w:p w14:paraId="3FEBC143" w14:textId="77777777" w:rsidR="00F07F0E" w:rsidRPr="00F07F0E" w:rsidRDefault="00F07F0E" w:rsidP="00F07F0E">
      <w:pPr>
        <w:spacing w:line="240" w:lineRule="auto"/>
        <w:rPr>
          <w:rFonts w:eastAsia="Times New Roman" w:cs="Arial"/>
          <w:color w:val="000000"/>
          <w:u w:val="single"/>
          <w:lang w:eastAsia="bg-BG"/>
        </w:rPr>
      </w:pPr>
    </w:p>
    <w:p w14:paraId="0B817343" w14:textId="0BB1D2AC" w:rsidR="00F07F0E" w:rsidRPr="00F07F0E" w:rsidRDefault="00F07F0E" w:rsidP="00F07F0E">
      <w:pPr>
        <w:spacing w:line="240" w:lineRule="auto"/>
        <w:rPr>
          <w:rFonts w:eastAsia="Times New Roman" w:cs="Arial"/>
        </w:rPr>
      </w:pPr>
      <w:r w:rsidRPr="00F07F0E">
        <w:rPr>
          <w:rFonts w:eastAsia="Times New Roman" w:cs="Arial"/>
          <w:color w:val="000000"/>
          <w:u w:val="single"/>
          <w:lang w:eastAsia="bg-BG"/>
        </w:rPr>
        <w:t>Хепарин</w:t>
      </w:r>
    </w:p>
    <w:p w14:paraId="002F8A4A" w14:textId="77777777" w:rsidR="00F07F0E" w:rsidRPr="00F07F0E" w:rsidRDefault="00F07F0E" w:rsidP="00F07F0E">
      <w:pPr>
        <w:spacing w:line="240" w:lineRule="auto"/>
        <w:rPr>
          <w:rFonts w:eastAsia="Times New Roman" w:cs="Arial"/>
        </w:rPr>
      </w:pPr>
      <w:r w:rsidRPr="00F07F0E">
        <w:rPr>
          <w:rFonts w:eastAsia="Times New Roman" w:cs="Arial"/>
          <w:color w:val="000000"/>
          <w:lang w:eastAsia="bg-BG"/>
        </w:rPr>
        <w:t>При съпътстваща употреба на АСЕ инхибитори с хепарин може да възникне хиперкалиемия. Препоръчва се проследяване на серумния калий.</w:t>
      </w:r>
    </w:p>
    <w:p w14:paraId="164122F6" w14:textId="77777777" w:rsidR="00F07F0E" w:rsidRPr="00F07F0E" w:rsidRDefault="00F07F0E" w:rsidP="00F07F0E">
      <w:pPr>
        <w:spacing w:line="240" w:lineRule="auto"/>
        <w:rPr>
          <w:rFonts w:eastAsia="Times New Roman" w:cs="Arial"/>
          <w:color w:val="000000"/>
          <w:u w:val="single"/>
          <w:lang w:eastAsia="bg-BG"/>
        </w:rPr>
      </w:pPr>
    </w:p>
    <w:p w14:paraId="3AD8EE28" w14:textId="52620AB2" w:rsidR="00F07F0E" w:rsidRPr="00F07F0E" w:rsidRDefault="00F07F0E" w:rsidP="00F07F0E">
      <w:pPr>
        <w:spacing w:line="240" w:lineRule="auto"/>
        <w:rPr>
          <w:rFonts w:eastAsia="Times New Roman" w:cs="Arial"/>
        </w:rPr>
      </w:pPr>
      <w:r w:rsidRPr="00F07F0E">
        <w:rPr>
          <w:rFonts w:eastAsia="Times New Roman" w:cs="Arial"/>
          <w:color w:val="000000"/>
          <w:u w:val="single"/>
          <w:lang w:eastAsia="bg-BG"/>
        </w:rPr>
        <w:t>Антидиабетни лекарствени продукти</w:t>
      </w:r>
    </w:p>
    <w:p w14:paraId="2F3553FE" w14:textId="77777777" w:rsidR="00F07F0E" w:rsidRPr="00F07F0E" w:rsidRDefault="00F07F0E" w:rsidP="00F07F0E">
      <w:pPr>
        <w:spacing w:line="240" w:lineRule="auto"/>
        <w:rPr>
          <w:rFonts w:eastAsia="Times New Roman" w:cs="Arial"/>
        </w:rPr>
      </w:pPr>
      <w:r w:rsidRPr="00F07F0E">
        <w:rPr>
          <w:rFonts w:eastAsia="Times New Roman" w:cs="Arial"/>
          <w:color w:val="000000"/>
          <w:lang w:eastAsia="bg-BG"/>
        </w:rPr>
        <w:t>Както при всички АСЕ-инхибитори, едновременното приложение с антидиабетни лекарства (инсулин или перорални хипогликемични средства) може да доведе до повишаване на ефекта на понижаване на глюкозата и по-висок риск от хипогликемия.</w:t>
      </w:r>
    </w:p>
    <w:p w14:paraId="46C8FB40" w14:textId="77777777" w:rsidR="00F07F0E" w:rsidRPr="00F07F0E" w:rsidRDefault="00F07F0E" w:rsidP="00F07F0E">
      <w:pPr>
        <w:spacing w:line="240" w:lineRule="auto"/>
        <w:rPr>
          <w:rFonts w:eastAsia="Times New Roman" w:cs="Arial"/>
          <w:color w:val="000000"/>
          <w:u w:val="single"/>
          <w:lang w:eastAsia="bg-BG"/>
        </w:rPr>
      </w:pPr>
    </w:p>
    <w:p w14:paraId="2BE408DF" w14:textId="5BE6F81B" w:rsidR="00F07F0E" w:rsidRPr="00F07F0E" w:rsidRDefault="00F07F0E" w:rsidP="00F07F0E">
      <w:pPr>
        <w:spacing w:line="240" w:lineRule="auto"/>
        <w:rPr>
          <w:rFonts w:eastAsia="Times New Roman" w:cs="Arial"/>
        </w:rPr>
      </w:pPr>
      <w:r w:rsidRPr="00F07F0E">
        <w:rPr>
          <w:rFonts w:eastAsia="Times New Roman" w:cs="Arial"/>
          <w:color w:val="000000"/>
          <w:u w:val="single"/>
          <w:lang w:eastAsia="bg-BG"/>
        </w:rPr>
        <w:t>Литий</w:t>
      </w:r>
    </w:p>
    <w:p w14:paraId="6635256E" w14:textId="77777777" w:rsidR="00F07F0E" w:rsidRPr="00F07F0E" w:rsidRDefault="00F07F0E" w:rsidP="00F07F0E">
      <w:pPr>
        <w:spacing w:line="240" w:lineRule="auto"/>
        <w:rPr>
          <w:rFonts w:eastAsia="Times New Roman" w:cs="Arial"/>
        </w:rPr>
      </w:pPr>
      <w:r w:rsidRPr="00F07F0E">
        <w:rPr>
          <w:rFonts w:eastAsia="Times New Roman" w:cs="Arial"/>
          <w:color w:val="000000"/>
          <w:lang w:eastAsia="bg-BG"/>
        </w:rPr>
        <w:lastRenderedPageBreak/>
        <w:t>Гоптен може да намали елиминирането на литий. Нивата на серумния литий трябва да бъдат наблюдавани.</w:t>
      </w:r>
    </w:p>
    <w:p w14:paraId="00F405B6" w14:textId="77777777" w:rsidR="00F07F0E" w:rsidRPr="00F07F0E" w:rsidRDefault="00F07F0E" w:rsidP="00F07F0E">
      <w:pPr>
        <w:spacing w:line="240" w:lineRule="auto"/>
        <w:rPr>
          <w:rFonts w:eastAsia="Times New Roman" w:cs="Arial"/>
          <w:color w:val="000000"/>
          <w:u w:val="single"/>
          <w:lang w:eastAsia="bg-BG"/>
        </w:rPr>
      </w:pPr>
    </w:p>
    <w:p w14:paraId="1FE9E5AC" w14:textId="275B9F1E" w:rsidR="00F07F0E" w:rsidRPr="00F07F0E" w:rsidRDefault="00F07F0E" w:rsidP="00F07F0E">
      <w:pPr>
        <w:spacing w:line="240" w:lineRule="auto"/>
        <w:rPr>
          <w:rFonts w:eastAsia="Times New Roman" w:cs="Arial"/>
        </w:rPr>
      </w:pPr>
      <w:r w:rsidRPr="00F07F0E">
        <w:rPr>
          <w:rFonts w:eastAsia="Times New Roman" w:cs="Arial"/>
          <w:color w:val="000000"/>
          <w:u w:val="single"/>
          <w:lang w:eastAsia="bg-BG"/>
        </w:rPr>
        <w:t xml:space="preserve">Ангиотензин </w:t>
      </w:r>
      <w:r w:rsidRPr="00F07F0E">
        <w:rPr>
          <w:rFonts w:eastAsia="Times New Roman" w:cs="Arial"/>
          <w:color w:val="000000"/>
          <w:u w:val="single"/>
          <w:lang w:val="en-US"/>
        </w:rPr>
        <w:t>II</w:t>
      </w:r>
      <w:r w:rsidRPr="00F07F0E">
        <w:rPr>
          <w:rFonts w:eastAsia="Times New Roman" w:cs="Arial"/>
          <w:color w:val="000000"/>
          <w:u w:val="single"/>
          <w:lang w:eastAsia="bg-BG"/>
        </w:rPr>
        <w:t>-рецепторни блокери, Алискирен</w:t>
      </w:r>
    </w:p>
    <w:p w14:paraId="6B1CC2DC" w14:textId="77777777" w:rsidR="00F07F0E" w:rsidRPr="00F07F0E" w:rsidRDefault="00F07F0E" w:rsidP="00F07F0E">
      <w:pPr>
        <w:spacing w:line="240" w:lineRule="auto"/>
        <w:rPr>
          <w:rFonts w:eastAsia="Times New Roman" w:cs="Arial"/>
        </w:rPr>
      </w:pPr>
      <w:r w:rsidRPr="00F07F0E">
        <w:rPr>
          <w:rFonts w:eastAsia="Times New Roman" w:cs="Arial"/>
          <w:color w:val="000000"/>
          <w:lang w:eastAsia="bg-BG"/>
        </w:rPr>
        <w:t>Данни от клинични проучвания показват, че двойното блокиране на ренин-ангиотензин- алдостероновата система (РААС) чрез комбинираната употреба на АСЕ-инхибитори, ангиотензин П-рецепторни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лекарство, действащо върху РААС (вж. точки 4.3, 4.4 и 5.1)</w:t>
      </w:r>
    </w:p>
    <w:p w14:paraId="0C1E416B" w14:textId="77777777" w:rsidR="00F07F0E" w:rsidRPr="00F07F0E" w:rsidRDefault="00F07F0E" w:rsidP="00F07F0E">
      <w:pPr>
        <w:spacing w:line="240" w:lineRule="auto"/>
        <w:rPr>
          <w:rFonts w:eastAsia="Times New Roman" w:cs="Arial"/>
          <w:smallCaps/>
          <w:color w:val="000000"/>
          <w:u w:val="single"/>
          <w:lang w:eastAsia="bg-BG"/>
        </w:rPr>
      </w:pPr>
    </w:p>
    <w:p w14:paraId="3111944C" w14:textId="2197F830" w:rsidR="00F07F0E" w:rsidRPr="00F07F0E" w:rsidRDefault="00F07F0E" w:rsidP="00F07F0E">
      <w:pPr>
        <w:spacing w:line="240" w:lineRule="auto"/>
        <w:rPr>
          <w:rFonts w:eastAsia="Times New Roman" w:cs="Arial"/>
          <w:smallCaps/>
          <w:color w:val="000000"/>
          <w:u w:val="single"/>
          <w:lang w:eastAsia="bg-BG"/>
        </w:rPr>
      </w:pPr>
      <w:r>
        <w:rPr>
          <w:rFonts w:eastAsia="Times New Roman" w:cs="Arial"/>
          <w:smallCaps/>
          <w:color w:val="000000"/>
          <w:u w:val="single"/>
          <w:lang w:eastAsia="bg-BG"/>
        </w:rPr>
        <w:t>Други</w:t>
      </w:r>
    </w:p>
    <w:p w14:paraId="492CBFB3" w14:textId="205D2999" w:rsidR="00F07F0E" w:rsidRPr="00F07F0E" w:rsidRDefault="00F07F0E" w:rsidP="00F07F0E">
      <w:pPr>
        <w:spacing w:line="240" w:lineRule="auto"/>
        <w:rPr>
          <w:rFonts w:eastAsia="Times New Roman" w:cs="Arial"/>
        </w:rPr>
      </w:pPr>
      <w:r w:rsidRPr="00F07F0E">
        <w:rPr>
          <w:rFonts w:eastAsia="Times New Roman" w:cs="Arial"/>
          <w:color w:val="000000"/>
          <w:lang w:eastAsia="bg-BG"/>
        </w:rPr>
        <w:t>Докладвани са анафилактоидни реакции към високо-пропускливи поли-акрило-нитрилни мембрани, прилагани при хемодиализа, при пациенти на АСЕ-инхибитори. Както и при други лекарства от този химичен клас, тази комбинация трябва да се избягва, когато се изписват АСЕ- инхибитори на пациенти на хемодиализа.</w:t>
      </w:r>
    </w:p>
    <w:p w14:paraId="2AE74DAC" w14:textId="77777777" w:rsidR="00F07F0E" w:rsidRPr="00F07F0E" w:rsidRDefault="00F07F0E" w:rsidP="00F07F0E">
      <w:pPr>
        <w:spacing w:line="240" w:lineRule="auto"/>
        <w:rPr>
          <w:rFonts w:eastAsia="Times New Roman" w:cs="Arial"/>
          <w:color w:val="000000"/>
          <w:lang w:eastAsia="bg-BG"/>
        </w:rPr>
      </w:pPr>
    </w:p>
    <w:p w14:paraId="54C30F1E" w14:textId="250E267D" w:rsidR="00F07F0E" w:rsidRPr="00F07F0E" w:rsidRDefault="00F07F0E" w:rsidP="00F07F0E">
      <w:pPr>
        <w:spacing w:line="240" w:lineRule="auto"/>
        <w:rPr>
          <w:rFonts w:eastAsia="Times New Roman" w:cs="Arial"/>
        </w:rPr>
      </w:pPr>
      <w:r w:rsidRPr="00F07F0E">
        <w:rPr>
          <w:rFonts w:eastAsia="Times New Roman" w:cs="Arial"/>
          <w:color w:val="000000"/>
          <w:lang w:eastAsia="bg-BG"/>
        </w:rPr>
        <w:t>Както при всички антихипертензивни лекарства, НСПВС (включително ацетилсалицилова киселина във високи дози, като противовъзпалително лекарство, например за облекчаване на болката) могат да намалят антихипертензивния ефект на Гоптен. Трябва да се повиши наблюдението на кръвното налягане, когато се прибавя или се спира лечение с НСПВС при пациенти на Гоптен.</w:t>
      </w:r>
    </w:p>
    <w:p w14:paraId="5A27CA9D" w14:textId="77777777" w:rsidR="00F07F0E" w:rsidRPr="00F07F0E" w:rsidRDefault="00F07F0E" w:rsidP="00F07F0E">
      <w:pPr>
        <w:spacing w:line="240" w:lineRule="auto"/>
        <w:rPr>
          <w:rFonts w:eastAsia="Times New Roman" w:cs="Arial"/>
        </w:rPr>
      </w:pPr>
      <w:r w:rsidRPr="00F07F0E">
        <w:rPr>
          <w:rFonts w:eastAsia="Times New Roman" w:cs="Arial"/>
          <w:color w:val="000000"/>
          <w:lang w:eastAsia="bg-BG"/>
        </w:rPr>
        <w:t>НСПВС, включително ацетилсалициловата киселина, освен ако се използва в по-ниски дози като инхибитор на тромбоцитната агрегация, трябва да се избягват при лечение с АСЕ инхибитори при пациенти със сърдечна недостатъчност.</w:t>
      </w:r>
    </w:p>
    <w:p w14:paraId="1750999E" w14:textId="77777777" w:rsidR="00F07F0E" w:rsidRPr="00F07F0E" w:rsidRDefault="00F07F0E" w:rsidP="00F07F0E">
      <w:pPr>
        <w:spacing w:line="240" w:lineRule="auto"/>
        <w:rPr>
          <w:rFonts w:eastAsia="Times New Roman" w:cs="Arial"/>
          <w:color w:val="000000"/>
          <w:lang w:eastAsia="bg-BG"/>
        </w:rPr>
      </w:pPr>
    </w:p>
    <w:p w14:paraId="4394C546" w14:textId="069B852C" w:rsidR="00F07F0E" w:rsidRPr="00F07F0E" w:rsidRDefault="00F07F0E" w:rsidP="00F07F0E">
      <w:pPr>
        <w:spacing w:line="240" w:lineRule="auto"/>
        <w:rPr>
          <w:rFonts w:eastAsia="Times New Roman" w:cs="Arial"/>
        </w:rPr>
      </w:pPr>
      <w:r w:rsidRPr="00F07F0E">
        <w:rPr>
          <w:rFonts w:eastAsia="Times New Roman" w:cs="Arial"/>
          <w:color w:val="000000"/>
          <w:lang w:eastAsia="bg-BG"/>
        </w:rPr>
        <w:t>Хипотензивният ефект на определени инхалатор ни анестетици може да бъде повишен от АСЕ- инхибиторите.</w:t>
      </w:r>
    </w:p>
    <w:p w14:paraId="5338CBAD" w14:textId="77777777" w:rsidR="00F07F0E" w:rsidRPr="00F07F0E" w:rsidRDefault="00F07F0E" w:rsidP="00F07F0E">
      <w:pPr>
        <w:spacing w:line="240" w:lineRule="auto"/>
        <w:rPr>
          <w:rFonts w:eastAsia="Times New Roman" w:cs="Arial"/>
          <w:color w:val="000000"/>
          <w:lang w:eastAsia="bg-BG"/>
        </w:rPr>
      </w:pPr>
    </w:p>
    <w:p w14:paraId="75F78D02" w14:textId="77777777" w:rsidR="00F07F0E" w:rsidRPr="00F07F0E" w:rsidRDefault="00F07F0E" w:rsidP="00F07F0E">
      <w:pPr>
        <w:spacing w:line="240" w:lineRule="auto"/>
        <w:rPr>
          <w:rFonts w:eastAsia="Times New Roman" w:cs="Arial"/>
          <w:color w:val="000000"/>
          <w:lang w:eastAsia="bg-BG"/>
        </w:rPr>
      </w:pPr>
      <w:r w:rsidRPr="00F07F0E">
        <w:rPr>
          <w:rFonts w:eastAsia="Times New Roman" w:cs="Arial"/>
          <w:color w:val="000000"/>
          <w:lang w:eastAsia="bg-BG"/>
        </w:rPr>
        <w:t xml:space="preserve">Алопуринол, цитостатици, имуносупресори, кортикостероиди за системно приложение или прокаинамид, може да повишат риска от левкопения, в случай на едновременно приложение с </w:t>
      </w:r>
    </w:p>
    <w:p w14:paraId="3D60D8E9" w14:textId="44EA9233" w:rsidR="00F07F0E" w:rsidRPr="00F07F0E" w:rsidRDefault="00F07F0E" w:rsidP="00F07F0E">
      <w:pPr>
        <w:spacing w:line="240" w:lineRule="auto"/>
        <w:rPr>
          <w:rFonts w:eastAsia="Times New Roman" w:cs="Arial"/>
        </w:rPr>
      </w:pPr>
      <w:r w:rsidRPr="00F07F0E">
        <w:rPr>
          <w:rFonts w:eastAsia="Times New Roman" w:cs="Arial"/>
          <w:color w:val="000000"/>
          <w:lang w:eastAsia="bg-BG"/>
        </w:rPr>
        <w:t>АСЕ-инхибитори.</w:t>
      </w:r>
    </w:p>
    <w:p w14:paraId="7E0BA9E5" w14:textId="77777777" w:rsidR="00F07F0E" w:rsidRPr="00F07F0E" w:rsidRDefault="00F07F0E" w:rsidP="00F07F0E">
      <w:pPr>
        <w:spacing w:line="240" w:lineRule="auto"/>
        <w:rPr>
          <w:rFonts w:eastAsia="Times New Roman" w:cs="Arial"/>
          <w:color w:val="000000"/>
          <w:lang w:eastAsia="bg-BG"/>
        </w:rPr>
      </w:pPr>
    </w:p>
    <w:p w14:paraId="476E2B40" w14:textId="34E987CE" w:rsidR="00F07F0E" w:rsidRPr="00F07F0E" w:rsidRDefault="00F07F0E" w:rsidP="00F07F0E">
      <w:pPr>
        <w:spacing w:line="240" w:lineRule="auto"/>
        <w:rPr>
          <w:rFonts w:eastAsia="Times New Roman" w:cs="Arial"/>
        </w:rPr>
      </w:pPr>
      <w:r w:rsidRPr="00F07F0E">
        <w:rPr>
          <w:rFonts w:eastAsia="Times New Roman" w:cs="Arial"/>
          <w:color w:val="000000"/>
          <w:lang w:eastAsia="bg-BG"/>
        </w:rPr>
        <w:t>Антиацидите може да понижат бионаличността на АСЕ-инхибиторите.</w:t>
      </w:r>
    </w:p>
    <w:p w14:paraId="2CFC9E78" w14:textId="77777777" w:rsidR="00F07F0E" w:rsidRPr="00F07F0E" w:rsidRDefault="00F07F0E" w:rsidP="00F07F0E">
      <w:pPr>
        <w:spacing w:line="240" w:lineRule="auto"/>
        <w:rPr>
          <w:rFonts w:eastAsia="Times New Roman" w:cs="Arial"/>
          <w:color w:val="000000"/>
          <w:lang w:eastAsia="bg-BG"/>
        </w:rPr>
      </w:pPr>
    </w:p>
    <w:p w14:paraId="687E1076" w14:textId="2081C203" w:rsidR="00F07F0E" w:rsidRPr="00F07F0E" w:rsidRDefault="00F07F0E" w:rsidP="00F07F0E">
      <w:pPr>
        <w:spacing w:line="240" w:lineRule="auto"/>
        <w:rPr>
          <w:rFonts w:eastAsia="Times New Roman" w:cs="Arial"/>
        </w:rPr>
      </w:pPr>
      <w:r w:rsidRPr="00F07F0E">
        <w:rPr>
          <w:rFonts w:eastAsia="Times New Roman" w:cs="Arial"/>
          <w:color w:val="000000"/>
          <w:lang w:eastAsia="bg-BG"/>
        </w:rPr>
        <w:t>Алкохолът повишава риска от хипотония.</w:t>
      </w:r>
    </w:p>
    <w:p w14:paraId="3C3516C9" w14:textId="77777777" w:rsidR="00F07F0E" w:rsidRPr="00F07F0E" w:rsidRDefault="00F07F0E" w:rsidP="00F07F0E">
      <w:pPr>
        <w:spacing w:line="240" w:lineRule="auto"/>
        <w:rPr>
          <w:rFonts w:eastAsia="Times New Roman" w:cs="Arial"/>
          <w:color w:val="000000"/>
          <w:lang w:eastAsia="bg-BG"/>
        </w:rPr>
      </w:pPr>
    </w:p>
    <w:p w14:paraId="474A7361" w14:textId="72582FF7" w:rsidR="00F07F0E" w:rsidRPr="00F07F0E" w:rsidRDefault="00F07F0E" w:rsidP="00F07F0E">
      <w:pPr>
        <w:spacing w:line="240" w:lineRule="auto"/>
        <w:rPr>
          <w:rFonts w:eastAsia="Times New Roman" w:cs="Arial"/>
        </w:rPr>
      </w:pPr>
      <w:r w:rsidRPr="00F07F0E">
        <w:rPr>
          <w:rFonts w:eastAsia="Times New Roman" w:cs="Arial"/>
          <w:color w:val="000000"/>
          <w:lang w:eastAsia="bg-BG"/>
        </w:rPr>
        <w:t>Антихипертензивните ефекти на АСЕ-инхибиторите може да бъдат понижени от симпатикомиметиците, което налага внимателно проследяване на пациентите.</w:t>
      </w:r>
    </w:p>
    <w:p w14:paraId="38390D9E" w14:textId="77777777" w:rsidR="00F07F0E" w:rsidRPr="00F07F0E" w:rsidRDefault="00F07F0E" w:rsidP="00F07F0E">
      <w:pPr>
        <w:spacing w:line="240" w:lineRule="auto"/>
        <w:rPr>
          <w:rFonts w:eastAsia="Times New Roman" w:cs="Arial"/>
          <w:color w:val="000000"/>
          <w:lang w:eastAsia="bg-BG"/>
        </w:rPr>
      </w:pPr>
    </w:p>
    <w:p w14:paraId="0E393B64" w14:textId="5BB7E0D4" w:rsidR="00F07F0E" w:rsidRPr="00F07F0E" w:rsidRDefault="00F07F0E" w:rsidP="00F07F0E">
      <w:pPr>
        <w:spacing w:line="240" w:lineRule="auto"/>
        <w:rPr>
          <w:rFonts w:eastAsia="Times New Roman" w:cs="Arial"/>
        </w:rPr>
      </w:pPr>
      <w:r w:rsidRPr="00F07F0E">
        <w:rPr>
          <w:rFonts w:eastAsia="Times New Roman" w:cs="Arial"/>
          <w:color w:val="000000"/>
          <w:lang w:eastAsia="bg-BG"/>
        </w:rPr>
        <w:t>Както и при другите антихипертензивни лекарства, комбинацията с невролептици или трициклични антидепресанти повишава риска от ортостатична хипотония.</w:t>
      </w:r>
    </w:p>
    <w:p w14:paraId="5750D248" w14:textId="77777777" w:rsidR="00F07F0E" w:rsidRPr="00F07F0E" w:rsidRDefault="00F07F0E" w:rsidP="00F07F0E">
      <w:pPr>
        <w:spacing w:line="240" w:lineRule="auto"/>
        <w:rPr>
          <w:rFonts w:eastAsia="Times New Roman" w:cs="Arial"/>
          <w:color w:val="000000"/>
          <w:lang w:eastAsia="bg-BG"/>
        </w:rPr>
      </w:pPr>
    </w:p>
    <w:p w14:paraId="44A81510" w14:textId="7FCC2FC0" w:rsidR="00F07F0E" w:rsidRPr="00F07F0E" w:rsidRDefault="00F07F0E" w:rsidP="00F07F0E">
      <w:pPr>
        <w:spacing w:line="240" w:lineRule="auto"/>
        <w:rPr>
          <w:rFonts w:eastAsia="Times New Roman" w:cs="Arial"/>
        </w:rPr>
      </w:pPr>
      <w:r w:rsidRPr="00F07F0E">
        <w:rPr>
          <w:rFonts w:eastAsia="Times New Roman" w:cs="Arial"/>
          <w:color w:val="000000"/>
          <w:lang w:eastAsia="bg-BG"/>
        </w:rPr>
        <w:t xml:space="preserve">Едновременното приложение на АСЕ-инхибитор и </w:t>
      </w:r>
      <w:proofErr w:type="spellStart"/>
      <w:r w:rsidRPr="00F07F0E">
        <w:rPr>
          <w:rFonts w:eastAsia="Times New Roman" w:cs="Arial"/>
          <w:color w:val="000000"/>
          <w:lang w:val="en-US"/>
        </w:rPr>
        <w:t>mTOR</w:t>
      </w:r>
      <w:proofErr w:type="spellEnd"/>
      <w:r w:rsidRPr="00F07F0E">
        <w:rPr>
          <w:rFonts w:eastAsia="Times New Roman" w:cs="Arial"/>
          <w:color w:val="000000"/>
        </w:rPr>
        <w:t xml:space="preserve"> (</w:t>
      </w:r>
      <w:r w:rsidRPr="00F07F0E">
        <w:rPr>
          <w:rFonts w:eastAsia="Times New Roman" w:cs="Arial"/>
          <w:i/>
          <w:iCs/>
          <w:color w:val="000000"/>
          <w:lang w:val="en-US"/>
        </w:rPr>
        <w:t>mammalian</w:t>
      </w:r>
      <w:r w:rsidRPr="00F07F0E">
        <w:rPr>
          <w:rFonts w:eastAsia="Times New Roman" w:cs="Arial"/>
          <w:i/>
          <w:iCs/>
          <w:color w:val="000000"/>
        </w:rPr>
        <w:t xml:space="preserve"> </w:t>
      </w:r>
      <w:r w:rsidRPr="00F07F0E">
        <w:rPr>
          <w:rFonts w:eastAsia="Times New Roman" w:cs="Arial"/>
          <w:i/>
          <w:iCs/>
          <w:color w:val="000000"/>
          <w:lang w:val="en-US"/>
        </w:rPr>
        <w:t>target</w:t>
      </w:r>
      <w:r w:rsidRPr="00F07F0E">
        <w:rPr>
          <w:rFonts w:eastAsia="Times New Roman" w:cs="Arial"/>
          <w:i/>
          <w:iCs/>
          <w:color w:val="000000"/>
        </w:rPr>
        <w:t xml:space="preserve"> </w:t>
      </w:r>
      <w:r w:rsidRPr="00F07F0E">
        <w:rPr>
          <w:rFonts w:eastAsia="Times New Roman" w:cs="Arial"/>
          <w:i/>
          <w:iCs/>
          <w:color w:val="000000"/>
          <w:lang w:val="en-US"/>
        </w:rPr>
        <w:t>of</w:t>
      </w:r>
      <w:r w:rsidRPr="00F07F0E">
        <w:rPr>
          <w:rFonts w:eastAsia="Times New Roman" w:cs="Arial"/>
          <w:i/>
          <w:iCs/>
          <w:color w:val="000000"/>
        </w:rPr>
        <w:t xml:space="preserve"> </w:t>
      </w:r>
      <w:r w:rsidRPr="00F07F0E">
        <w:rPr>
          <w:rFonts w:eastAsia="Times New Roman" w:cs="Arial"/>
          <w:i/>
          <w:iCs/>
          <w:color w:val="000000"/>
          <w:lang w:val="en-US"/>
        </w:rPr>
        <w:t>rapamycin</w:t>
      </w:r>
      <w:r w:rsidRPr="00F07F0E">
        <w:rPr>
          <w:rFonts w:eastAsia="Times New Roman" w:cs="Arial"/>
          <w:i/>
          <w:iCs/>
          <w:color w:val="000000"/>
        </w:rPr>
        <w:t xml:space="preserve">) </w:t>
      </w:r>
      <w:r w:rsidRPr="00F07F0E">
        <w:rPr>
          <w:rFonts w:eastAsia="Times New Roman" w:cs="Arial"/>
          <w:color w:val="000000"/>
          <w:lang w:eastAsia="bg-BG"/>
        </w:rPr>
        <w:t xml:space="preserve">инхибитор (напр. </w:t>
      </w:r>
      <w:proofErr w:type="spellStart"/>
      <w:proofErr w:type="gramStart"/>
      <w:r w:rsidRPr="00F07F0E">
        <w:rPr>
          <w:rFonts w:eastAsia="Times New Roman" w:cs="Arial"/>
          <w:color w:val="000000"/>
          <w:lang w:val="en-US"/>
        </w:rPr>
        <w:t>temsirolimus</w:t>
      </w:r>
      <w:proofErr w:type="spellEnd"/>
      <w:proofErr w:type="gramEnd"/>
      <w:r w:rsidRPr="00F07F0E">
        <w:rPr>
          <w:rFonts w:eastAsia="Times New Roman" w:cs="Arial"/>
          <w:color w:val="000000"/>
        </w:rPr>
        <w:t xml:space="preserve">, </w:t>
      </w:r>
      <w:proofErr w:type="spellStart"/>
      <w:r w:rsidRPr="00F07F0E">
        <w:rPr>
          <w:rFonts w:eastAsia="Times New Roman" w:cs="Arial"/>
          <w:color w:val="000000"/>
          <w:lang w:val="en-US"/>
        </w:rPr>
        <w:t>sirolimus</w:t>
      </w:r>
      <w:proofErr w:type="spellEnd"/>
      <w:r w:rsidRPr="00F07F0E">
        <w:rPr>
          <w:rFonts w:eastAsia="Times New Roman" w:cs="Arial"/>
          <w:color w:val="000000"/>
        </w:rPr>
        <w:t xml:space="preserve">, </w:t>
      </w:r>
      <w:proofErr w:type="spellStart"/>
      <w:r w:rsidRPr="00F07F0E">
        <w:rPr>
          <w:rFonts w:eastAsia="Times New Roman" w:cs="Arial"/>
          <w:color w:val="000000"/>
          <w:lang w:val="en-US"/>
        </w:rPr>
        <w:t>everolimus</w:t>
      </w:r>
      <w:proofErr w:type="spellEnd"/>
      <w:r w:rsidRPr="00F07F0E">
        <w:rPr>
          <w:rFonts w:eastAsia="Times New Roman" w:cs="Arial"/>
          <w:color w:val="000000"/>
        </w:rPr>
        <w:t xml:space="preserve">) </w:t>
      </w:r>
      <w:r w:rsidRPr="00F07F0E">
        <w:rPr>
          <w:rFonts w:eastAsia="Times New Roman" w:cs="Arial"/>
          <w:color w:val="000000"/>
          <w:lang w:eastAsia="bg-BG"/>
        </w:rPr>
        <w:t>може да увеличи риска от ангиоедем (вж. точка 4.4).</w:t>
      </w:r>
    </w:p>
    <w:p w14:paraId="6011F7EC" w14:textId="77777777" w:rsidR="00F07F0E" w:rsidRPr="00F07F0E" w:rsidRDefault="00F07F0E" w:rsidP="00F07F0E">
      <w:pPr>
        <w:spacing w:line="240" w:lineRule="auto"/>
        <w:rPr>
          <w:rFonts w:eastAsia="Times New Roman" w:cs="Arial"/>
          <w:color w:val="000000"/>
          <w:lang w:eastAsia="bg-BG"/>
        </w:rPr>
      </w:pPr>
    </w:p>
    <w:p w14:paraId="7F3CE751" w14:textId="52A005F9" w:rsidR="00F07F0E" w:rsidRPr="00F07F0E" w:rsidRDefault="00F07F0E" w:rsidP="00F07F0E">
      <w:pPr>
        <w:spacing w:line="240" w:lineRule="auto"/>
        <w:rPr>
          <w:rFonts w:eastAsia="Times New Roman" w:cs="Arial"/>
        </w:rPr>
      </w:pPr>
      <w:r w:rsidRPr="00F07F0E">
        <w:rPr>
          <w:rFonts w:eastAsia="Times New Roman" w:cs="Arial"/>
          <w:color w:val="000000"/>
          <w:lang w:eastAsia="bg-BG"/>
        </w:rPr>
        <w:t xml:space="preserve">Не са наблюдавани клинични взаимодействия при пациенти с левокамерна дисфункция след миокарден инфаркт, когато Гоптен е прилаган заедно с тромболитици, ацетилсалицилова киселина, бета-блокери, калциеви антагонисти, нитрати, </w:t>
      </w:r>
      <w:r w:rsidRPr="00F07F0E">
        <w:rPr>
          <w:rFonts w:eastAsia="Times New Roman" w:cs="Arial"/>
          <w:color w:val="000000"/>
          <w:lang w:eastAsia="bg-BG"/>
        </w:rPr>
        <w:lastRenderedPageBreak/>
        <w:t>антикоагуланти или дигоксин. Не са намерени значими клинични взаимодействия между Гоптен и циметидин.</w:t>
      </w:r>
    </w:p>
    <w:p w14:paraId="4E798A51" w14:textId="77777777" w:rsidR="00F07F0E" w:rsidRPr="00F07F0E" w:rsidRDefault="00F07F0E" w:rsidP="00F07F0E">
      <w:pPr>
        <w:spacing w:line="240" w:lineRule="auto"/>
        <w:rPr>
          <w:rFonts w:eastAsia="Times New Roman" w:cs="Arial"/>
          <w:color w:val="000000"/>
          <w:lang w:eastAsia="bg-BG"/>
        </w:rPr>
      </w:pPr>
    </w:p>
    <w:p w14:paraId="5E830CD4" w14:textId="6834D919" w:rsidR="00F07F0E" w:rsidRPr="00F07F0E" w:rsidRDefault="00F07F0E" w:rsidP="00F07F0E">
      <w:pPr>
        <w:spacing w:line="240" w:lineRule="auto"/>
        <w:rPr>
          <w:rFonts w:eastAsia="Times New Roman" w:cs="Arial"/>
        </w:rPr>
      </w:pPr>
      <w:r w:rsidRPr="00F07F0E">
        <w:rPr>
          <w:rFonts w:eastAsia="Times New Roman" w:cs="Arial"/>
          <w:color w:val="000000"/>
          <w:lang w:eastAsia="bg-BG"/>
        </w:rPr>
        <w:t>Злато: Нитритоидни реакции (симптомите включват зачервяване на лицето, гадене, повръщане и хипотония) са били докладвани рядко при пациенти на лечение с инжекционно злато (натриев ауротиомалат) и придружаваща терапия с АСЕ инхибитор.</w:t>
      </w:r>
    </w:p>
    <w:p w14:paraId="024FF5E8" w14:textId="77777777" w:rsidR="00F07F0E" w:rsidRPr="00F07F0E" w:rsidRDefault="00F07F0E" w:rsidP="00F07F0E">
      <w:pPr>
        <w:spacing w:line="240" w:lineRule="auto"/>
        <w:rPr>
          <w:rFonts w:eastAsia="Times New Roman" w:cs="Arial"/>
          <w:color w:val="000000"/>
          <w:u w:val="single"/>
          <w:lang w:eastAsia="bg-BG"/>
        </w:rPr>
      </w:pPr>
    </w:p>
    <w:p w14:paraId="64900B56" w14:textId="304FD94C" w:rsidR="00F07F0E" w:rsidRPr="00F07F0E" w:rsidRDefault="00F07F0E" w:rsidP="00F07F0E">
      <w:pPr>
        <w:spacing w:line="240" w:lineRule="auto"/>
        <w:rPr>
          <w:rFonts w:eastAsia="Times New Roman" w:cs="Arial"/>
        </w:rPr>
      </w:pPr>
      <w:r w:rsidRPr="00F07F0E">
        <w:rPr>
          <w:rFonts w:eastAsia="Times New Roman" w:cs="Arial"/>
          <w:color w:val="000000"/>
          <w:u w:val="single"/>
          <w:lang w:eastAsia="bg-BG"/>
        </w:rPr>
        <w:t>Специални популации</w:t>
      </w:r>
    </w:p>
    <w:p w14:paraId="050FD8C8" w14:textId="47EB7E0F" w:rsidR="00F07F0E" w:rsidRPr="00F07F0E" w:rsidRDefault="00F07F0E" w:rsidP="00F07F0E">
      <w:pPr>
        <w:spacing w:line="240" w:lineRule="auto"/>
        <w:rPr>
          <w:rFonts w:eastAsia="Times New Roman" w:cs="Arial"/>
        </w:rPr>
      </w:pPr>
      <w:r w:rsidRPr="00F07F0E">
        <w:rPr>
          <w:rFonts w:eastAsia="Times New Roman" w:cs="Arial"/>
          <w:i/>
          <w:iCs/>
          <w:color w:val="000000"/>
          <w:lang w:eastAsia="bg-BG"/>
        </w:rPr>
        <w:t>Педиатрична популация</w:t>
      </w:r>
    </w:p>
    <w:p w14:paraId="4BFC31C5" w14:textId="77777777" w:rsidR="00F07F0E" w:rsidRPr="00F07F0E" w:rsidRDefault="00F07F0E" w:rsidP="00F07F0E">
      <w:pPr>
        <w:spacing w:line="240" w:lineRule="auto"/>
        <w:rPr>
          <w:rFonts w:eastAsia="Times New Roman" w:cs="Arial"/>
        </w:rPr>
      </w:pPr>
      <w:r w:rsidRPr="00F07F0E">
        <w:rPr>
          <w:rFonts w:eastAsia="Times New Roman" w:cs="Arial"/>
          <w:color w:val="000000"/>
          <w:lang w:eastAsia="bg-BG"/>
        </w:rPr>
        <w:t>Проучвания за взаимодействия са провеждани само при възрастни.</w:t>
      </w:r>
    </w:p>
    <w:p w14:paraId="6DC1F10D" w14:textId="5E191124" w:rsidR="00F07F0E" w:rsidRPr="00F07F0E" w:rsidRDefault="00F07F0E" w:rsidP="00F07F0E"/>
    <w:p w14:paraId="5D9F40EA" w14:textId="02B38BC4" w:rsidR="007122AD" w:rsidRDefault="002C50EE" w:rsidP="00936AD0">
      <w:pPr>
        <w:pStyle w:val="Heading2"/>
      </w:pPr>
      <w:r>
        <w:t>4.6. Фертилитет, бременност и кърмене</w:t>
      </w:r>
    </w:p>
    <w:p w14:paraId="3D059114" w14:textId="199B92EC" w:rsidR="00F07F0E" w:rsidRDefault="00F07F0E" w:rsidP="00F07F0E"/>
    <w:p w14:paraId="6A268C33" w14:textId="77777777" w:rsidR="00F07F0E" w:rsidRPr="00F07F0E" w:rsidRDefault="00F07F0E" w:rsidP="00F07F0E">
      <w:pPr>
        <w:pStyle w:val="Heading3"/>
        <w:rPr>
          <w:rFonts w:eastAsia="Times New Roman"/>
          <w:u w:val="single"/>
        </w:rPr>
      </w:pPr>
      <w:r w:rsidRPr="00F07F0E">
        <w:rPr>
          <w:rFonts w:eastAsia="Times New Roman"/>
          <w:u w:val="single"/>
          <w:lang w:eastAsia="bg-BG"/>
        </w:rPr>
        <w:t>Бременност</w:t>
      </w:r>
    </w:p>
    <w:p w14:paraId="63DD7770" w14:textId="77777777" w:rsidR="00F07F0E" w:rsidRPr="00F07F0E" w:rsidRDefault="00F07F0E" w:rsidP="00F07F0E">
      <w:pPr>
        <w:spacing w:line="240" w:lineRule="auto"/>
        <w:rPr>
          <w:rFonts w:eastAsia="Times New Roman" w:cs="Arial"/>
          <w:sz w:val="24"/>
          <w:szCs w:val="24"/>
        </w:rPr>
      </w:pPr>
      <w:r w:rsidRPr="00F07F0E">
        <w:rPr>
          <w:rFonts w:eastAsia="Times New Roman" w:cs="Arial"/>
          <w:color w:val="000000"/>
          <w:lang w:eastAsia="bg-BG"/>
        </w:rPr>
        <w:t>Употребата на АСЕ-инхибитори през първия триместър на бременността не се</w:t>
      </w:r>
      <w:r w:rsidRPr="00F07F0E">
        <w:rPr>
          <w:rFonts w:eastAsia="Times New Roman" w:cs="Arial"/>
          <w:color w:val="000000"/>
          <w:lang w:val="ru-RU"/>
        </w:rPr>
        <w:t xml:space="preserve"> </w:t>
      </w:r>
      <w:r w:rsidRPr="00F07F0E">
        <w:rPr>
          <w:rFonts w:eastAsia="Times New Roman" w:cs="Arial"/>
          <w:color w:val="000000"/>
          <w:lang w:eastAsia="bg-BG"/>
        </w:rPr>
        <w:t>препоръчва (вж.</w:t>
      </w:r>
    </w:p>
    <w:p w14:paraId="423BE7A4" w14:textId="77777777" w:rsidR="00F07F0E" w:rsidRPr="00F07F0E" w:rsidRDefault="00F07F0E" w:rsidP="00F07F0E">
      <w:pPr>
        <w:spacing w:line="240" w:lineRule="auto"/>
        <w:rPr>
          <w:rFonts w:eastAsia="Times New Roman" w:cs="Arial"/>
          <w:sz w:val="24"/>
          <w:szCs w:val="24"/>
        </w:rPr>
      </w:pPr>
      <w:r w:rsidRPr="00F07F0E">
        <w:rPr>
          <w:rFonts w:eastAsia="Times New Roman" w:cs="Arial"/>
          <w:color w:val="000000"/>
          <w:lang w:eastAsia="bg-BG"/>
        </w:rPr>
        <w:t>точка 4.4). Употребата на АСЕ-инхибитори е противопоказана по време на 2 и 3 триместър на</w:t>
      </w:r>
    </w:p>
    <w:p w14:paraId="00602C5F" w14:textId="1B3CFE1D" w:rsidR="00F07F0E" w:rsidRPr="00F07F0E" w:rsidRDefault="00F07F0E" w:rsidP="00F07F0E">
      <w:pPr>
        <w:rPr>
          <w:rFonts w:eastAsia="Times New Roman" w:cs="Arial"/>
          <w:color w:val="000000"/>
          <w:lang w:eastAsia="bg-BG"/>
        </w:rPr>
      </w:pPr>
      <w:r w:rsidRPr="00F07F0E">
        <w:rPr>
          <w:rFonts w:eastAsia="Times New Roman" w:cs="Arial"/>
          <w:color w:val="000000"/>
          <w:lang w:eastAsia="bg-BG"/>
        </w:rPr>
        <w:t>бременността (вж. точки 4.3 и 4.4).</w:t>
      </w:r>
    </w:p>
    <w:p w14:paraId="0DED529D" w14:textId="64870DBA" w:rsidR="00F07F0E" w:rsidRPr="00F07F0E" w:rsidRDefault="00F07F0E" w:rsidP="00F07F0E">
      <w:pPr>
        <w:rPr>
          <w:rFonts w:eastAsia="Times New Roman" w:cs="Arial"/>
          <w:color w:val="000000"/>
          <w:lang w:eastAsia="bg-BG"/>
        </w:rPr>
      </w:pPr>
    </w:p>
    <w:p w14:paraId="4D9149C7" w14:textId="77777777" w:rsidR="00F07F0E" w:rsidRPr="00F07F0E" w:rsidRDefault="00F07F0E" w:rsidP="00F07F0E">
      <w:pPr>
        <w:spacing w:line="240" w:lineRule="auto"/>
        <w:rPr>
          <w:rFonts w:eastAsia="Times New Roman" w:cs="Arial"/>
          <w:sz w:val="24"/>
          <w:szCs w:val="24"/>
        </w:rPr>
      </w:pPr>
      <w:r w:rsidRPr="00F07F0E">
        <w:rPr>
          <w:rFonts w:eastAsia="Times New Roman" w:cs="Arial"/>
          <w:color w:val="000000"/>
          <w:lang w:eastAsia="bg-BG"/>
        </w:rPr>
        <w:t>Епидемиологичните доказателства за риск от тератогенност след експозиция с АСЕ-инхибитори по време на първия триместьр на бременността не са убедителни; въпреки това леко повишаване на риска не може да се изключи. Лечението на пациентите, планиращи бременност трябва бъде сменено с алтернативно антихипертензивно лечение с установен профил на безопасност по време на бременност, освен ако продължаването на терапията с АСЕ-инхибитори не се счита за крайно необходимо. Когато се диагностицира бременност, лечението с АСЕ-инхибитори трябва да се спре незабавно и ако е подходящо, да се започне друго алтернативно лечение.</w:t>
      </w:r>
    </w:p>
    <w:p w14:paraId="46E5E047" w14:textId="77777777" w:rsidR="00F07F0E" w:rsidRPr="00F07F0E" w:rsidRDefault="00F07F0E" w:rsidP="00F07F0E">
      <w:pPr>
        <w:spacing w:line="240" w:lineRule="auto"/>
        <w:rPr>
          <w:rFonts w:eastAsia="Times New Roman" w:cs="Arial"/>
          <w:color w:val="000000"/>
          <w:lang w:eastAsia="bg-BG"/>
        </w:rPr>
      </w:pPr>
    </w:p>
    <w:p w14:paraId="59C84656" w14:textId="0FEE6002" w:rsidR="00F07F0E" w:rsidRPr="00F07F0E" w:rsidRDefault="00F07F0E" w:rsidP="00F07F0E">
      <w:pPr>
        <w:spacing w:line="240" w:lineRule="auto"/>
        <w:rPr>
          <w:rFonts w:eastAsia="Times New Roman" w:cs="Arial"/>
          <w:sz w:val="24"/>
          <w:szCs w:val="24"/>
        </w:rPr>
      </w:pPr>
      <w:r w:rsidRPr="00F07F0E">
        <w:rPr>
          <w:rFonts w:eastAsia="Times New Roman" w:cs="Arial"/>
          <w:color w:val="000000"/>
          <w:lang w:eastAsia="bg-BG"/>
        </w:rPr>
        <w:t>Експозиция с АСЕ-инхибитори по време на втория и третия триместьр е известно, че индуцира фетотоксичност при хора (намалена бъбречна функция, олигохидрамнион, забавяне на черепната осификация) и неонатална токсичност (бъбречна недостатъчност, хипотония, хиперкалиемия). Ако експозицията е настъпила от втория триместьр на бременността, се препоръчва ултразвуков преглед на бъбречната функция и черепа. Новородени, чиито майки са приемали АСЕ-инхибитори трябва да бъдат наблюдавани внимателно за хипотония.</w:t>
      </w:r>
    </w:p>
    <w:p w14:paraId="31972EE2" w14:textId="77777777" w:rsidR="00F07F0E" w:rsidRPr="00F07F0E" w:rsidRDefault="00F07F0E" w:rsidP="00F07F0E">
      <w:pPr>
        <w:spacing w:line="240" w:lineRule="auto"/>
        <w:rPr>
          <w:rFonts w:eastAsia="Times New Roman" w:cs="Arial"/>
          <w:color w:val="000000"/>
          <w:u w:val="single"/>
          <w:lang w:eastAsia="bg-BG"/>
        </w:rPr>
      </w:pPr>
    </w:p>
    <w:p w14:paraId="733F326C" w14:textId="39DB6AA6" w:rsidR="00F07F0E" w:rsidRPr="00F07F0E" w:rsidRDefault="00F07F0E" w:rsidP="00F07F0E">
      <w:pPr>
        <w:pStyle w:val="Heading3"/>
        <w:rPr>
          <w:rFonts w:eastAsia="Times New Roman"/>
          <w:u w:val="single"/>
        </w:rPr>
      </w:pPr>
      <w:r w:rsidRPr="00F07F0E">
        <w:rPr>
          <w:rFonts w:eastAsia="Times New Roman"/>
          <w:u w:val="single"/>
          <w:lang w:eastAsia="bg-BG"/>
        </w:rPr>
        <w:t>Кърмене</w:t>
      </w:r>
    </w:p>
    <w:p w14:paraId="5A7E49A0" w14:textId="77777777" w:rsidR="00F07F0E" w:rsidRPr="00F07F0E" w:rsidRDefault="00F07F0E" w:rsidP="00F07F0E">
      <w:pPr>
        <w:spacing w:line="240" w:lineRule="auto"/>
        <w:rPr>
          <w:rFonts w:eastAsia="Times New Roman" w:cs="Arial"/>
          <w:sz w:val="24"/>
          <w:szCs w:val="24"/>
        </w:rPr>
      </w:pPr>
      <w:r w:rsidRPr="00F07F0E">
        <w:rPr>
          <w:rFonts w:eastAsia="Times New Roman" w:cs="Arial"/>
          <w:color w:val="000000"/>
          <w:lang w:eastAsia="bg-BG"/>
        </w:rPr>
        <w:t>Тъй като няма информация за приложението на Гоптен по време на кърмене, Гоптен не се препоръчва през този период. За предпочитане са алтернативни лекарства с по-добре установен профил на безопасност, особено при кърмене на новородени или недоносени деца.</w:t>
      </w:r>
    </w:p>
    <w:p w14:paraId="2C26775B" w14:textId="77777777" w:rsidR="00F07F0E" w:rsidRPr="00F07F0E" w:rsidRDefault="00F07F0E" w:rsidP="00F07F0E"/>
    <w:p w14:paraId="5DD7A76D" w14:textId="0D20ABB5" w:rsidR="007122AD" w:rsidRDefault="002C50EE" w:rsidP="00936AD0">
      <w:pPr>
        <w:pStyle w:val="Heading2"/>
      </w:pPr>
      <w:r>
        <w:t>4.7. Ефекти върху способността за шофиране и работа с машини</w:t>
      </w:r>
    </w:p>
    <w:p w14:paraId="3967F7C6" w14:textId="64994989" w:rsidR="00F07F0E" w:rsidRDefault="00F07F0E" w:rsidP="00F07F0E"/>
    <w:p w14:paraId="4CBC7F9E" w14:textId="77777777" w:rsidR="00F07F0E" w:rsidRPr="00F07F0E" w:rsidRDefault="00F07F0E" w:rsidP="00F07F0E">
      <w:pPr>
        <w:spacing w:line="240" w:lineRule="auto"/>
        <w:rPr>
          <w:rFonts w:eastAsia="Times New Roman" w:cs="Arial"/>
          <w:sz w:val="24"/>
          <w:szCs w:val="24"/>
        </w:rPr>
      </w:pPr>
      <w:r w:rsidRPr="00F07F0E">
        <w:rPr>
          <w:rFonts w:eastAsia="Times New Roman" w:cs="Arial"/>
          <w:color w:val="000000"/>
          <w:lang w:eastAsia="bg-BG"/>
        </w:rPr>
        <w:t xml:space="preserve">Фармокологичните свойства на Гоптен не предполагат появата на подобни ефекти. Въпреки това, при някои индивиди, АСЕ-инхибиторите може да повлияят способността за шофиране или работа с машини, особено в началото на лечението, при преминаването от едно към друго лечение или при едновременния прием на алкохол. Ето защо, не се </w:t>
      </w:r>
      <w:r w:rsidRPr="00F07F0E">
        <w:rPr>
          <w:rFonts w:eastAsia="Times New Roman" w:cs="Arial"/>
          <w:color w:val="000000"/>
          <w:lang w:eastAsia="bg-BG"/>
        </w:rPr>
        <w:lastRenderedPageBreak/>
        <w:t>препоръчва шофиране или работа с машини няколко часа след първата доза или последващото повишаване на дозата.</w:t>
      </w:r>
    </w:p>
    <w:p w14:paraId="67A6E81B" w14:textId="77777777" w:rsidR="00F07F0E" w:rsidRPr="00F07F0E" w:rsidRDefault="00F07F0E" w:rsidP="00F07F0E"/>
    <w:p w14:paraId="44CE30A3" w14:textId="286D3BF1" w:rsidR="007122AD" w:rsidRDefault="002C50EE" w:rsidP="00936AD0">
      <w:pPr>
        <w:pStyle w:val="Heading2"/>
      </w:pPr>
      <w:r>
        <w:t>4.8. Нежелани лекарствени реакции</w:t>
      </w:r>
    </w:p>
    <w:p w14:paraId="01A15516" w14:textId="2549D9E0" w:rsidR="00F07F0E" w:rsidRDefault="00F07F0E" w:rsidP="00F07F0E"/>
    <w:p w14:paraId="3B737CBF" w14:textId="77777777" w:rsidR="00F07F0E" w:rsidRPr="00F07F0E" w:rsidRDefault="00F07F0E" w:rsidP="00F07F0E">
      <w:pPr>
        <w:spacing w:line="240" w:lineRule="auto"/>
        <w:rPr>
          <w:rFonts w:eastAsia="Times New Roman" w:cs="Arial"/>
          <w:sz w:val="24"/>
          <w:szCs w:val="24"/>
        </w:rPr>
      </w:pPr>
      <w:r w:rsidRPr="00F07F0E">
        <w:rPr>
          <w:rFonts w:eastAsia="Times New Roman" w:cs="Arial"/>
          <w:color w:val="000000"/>
          <w:u w:val="single"/>
          <w:lang w:eastAsia="bg-BG"/>
        </w:rPr>
        <w:t>Табличен списък на нежелани лекарствени реакции</w:t>
      </w:r>
    </w:p>
    <w:p w14:paraId="58857989" w14:textId="77777777" w:rsidR="00F07F0E" w:rsidRPr="00F07F0E" w:rsidRDefault="00F07F0E" w:rsidP="00F07F0E">
      <w:pPr>
        <w:spacing w:line="240" w:lineRule="auto"/>
        <w:rPr>
          <w:rFonts w:eastAsia="Times New Roman" w:cs="Arial"/>
          <w:sz w:val="24"/>
          <w:szCs w:val="24"/>
        </w:rPr>
      </w:pPr>
      <w:r w:rsidRPr="00F07F0E">
        <w:rPr>
          <w:rFonts w:eastAsia="Times New Roman" w:cs="Arial"/>
          <w:color w:val="000000"/>
          <w:lang w:eastAsia="bg-BG"/>
        </w:rPr>
        <w:t>Изброените нежелани лекарствени реакции са били докладвани по време на клиничната фаза, пост маркетингово наблюдение или фаза IV на клинични изпитвания.</w:t>
      </w:r>
    </w:p>
    <w:p w14:paraId="652B4619" w14:textId="77777777" w:rsidR="00F07F0E" w:rsidRPr="00F07F0E" w:rsidRDefault="00F07F0E" w:rsidP="00F07F0E">
      <w:pPr>
        <w:spacing w:line="240" w:lineRule="auto"/>
        <w:rPr>
          <w:rFonts w:eastAsia="Times New Roman" w:cs="Arial"/>
          <w:color w:val="000000"/>
          <w:lang w:eastAsia="bg-BG"/>
        </w:rPr>
      </w:pPr>
    </w:p>
    <w:p w14:paraId="139467EC" w14:textId="40FA7571" w:rsidR="00F07F0E" w:rsidRDefault="00F07F0E" w:rsidP="00F07F0E">
      <w:pPr>
        <w:spacing w:line="240" w:lineRule="auto"/>
        <w:rPr>
          <w:rFonts w:eastAsia="Times New Roman" w:cs="Arial"/>
          <w:color w:val="000000"/>
          <w:lang w:eastAsia="bg-BG"/>
        </w:rPr>
      </w:pPr>
      <w:r w:rsidRPr="00F07F0E">
        <w:rPr>
          <w:rFonts w:eastAsia="Times New Roman" w:cs="Arial"/>
          <w:color w:val="000000"/>
          <w:lang w:eastAsia="bg-BG"/>
        </w:rPr>
        <w:t>Следните конвенции се използват за определяне на честотата: много чести (≥1/10); чести (≥1/100 до &lt;1/10); нечести (≥1/1 000 до &lt;1/100); редки (≥1/10 000 до &lt;1/1 000); много редки (&lt;1/10 000). Когато от наличните данни не може да се определи честотата: с неизвестна честота (от наличните данни не може да бъде направена оценка).</w:t>
      </w:r>
    </w:p>
    <w:p w14:paraId="637837E8" w14:textId="1605A08B" w:rsidR="00F07F0E" w:rsidRDefault="00F07F0E" w:rsidP="00F07F0E">
      <w:pPr>
        <w:spacing w:line="240" w:lineRule="auto"/>
        <w:rPr>
          <w:rFonts w:eastAsia="Times New Roman" w:cs="Arial"/>
          <w:color w:val="000000"/>
          <w:lang w:eastAsia="bg-BG"/>
        </w:rPr>
      </w:pPr>
    </w:p>
    <w:tbl>
      <w:tblPr>
        <w:tblStyle w:val="TableGrid"/>
        <w:tblW w:w="0" w:type="auto"/>
        <w:tblLook w:val="04A0" w:firstRow="1" w:lastRow="0" w:firstColumn="1" w:lastColumn="0" w:noHBand="0" w:noVBand="1"/>
      </w:tblPr>
      <w:tblGrid>
        <w:gridCol w:w="1373"/>
        <w:gridCol w:w="1010"/>
        <w:gridCol w:w="1285"/>
        <w:gridCol w:w="1981"/>
        <w:gridCol w:w="1520"/>
        <w:gridCol w:w="2181"/>
      </w:tblGrid>
      <w:tr w:rsidR="00154E9A" w14:paraId="5CA0CE78" w14:textId="77777777" w:rsidTr="00154E9A">
        <w:tc>
          <w:tcPr>
            <w:tcW w:w="1502" w:type="dxa"/>
            <w:vAlign w:val="bottom"/>
          </w:tcPr>
          <w:p w14:paraId="51466A1F" w14:textId="79D60C79" w:rsidR="00154E9A" w:rsidRDefault="00154E9A" w:rsidP="00154E9A">
            <w:pPr>
              <w:spacing w:line="240" w:lineRule="auto"/>
              <w:rPr>
                <w:rFonts w:eastAsia="Times New Roman" w:cs="Arial"/>
                <w:sz w:val="24"/>
                <w:szCs w:val="24"/>
              </w:rPr>
            </w:pPr>
            <w:proofErr w:type="spellStart"/>
            <w:r>
              <w:rPr>
                <w:b/>
                <w:bCs/>
                <w:lang w:val="en-US"/>
              </w:rPr>
              <w:t>MedDRA</w:t>
            </w:r>
            <w:proofErr w:type="spellEnd"/>
            <w:r w:rsidRPr="00154E9A">
              <w:rPr>
                <w:b/>
                <w:bCs/>
                <w:lang w:val="ru-RU"/>
              </w:rPr>
              <w:t xml:space="preserve">- </w:t>
            </w:r>
            <w:r>
              <w:rPr>
                <w:b/>
                <w:bCs/>
              </w:rPr>
              <w:t>база данни на системо- органни класове</w:t>
            </w:r>
          </w:p>
        </w:tc>
        <w:tc>
          <w:tcPr>
            <w:tcW w:w="1190" w:type="dxa"/>
          </w:tcPr>
          <w:p w14:paraId="156214CF" w14:textId="23A96955" w:rsidR="00154E9A" w:rsidRDefault="00154E9A" w:rsidP="00154E9A">
            <w:pPr>
              <w:spacing w:line="240" w:lineRule="auto"/>
              <w:rPr>
                <w:rFonts w:eastAsia="Times New Roman" w:cs="Arial"/>
                <w:sz w:val="24"/>
                <w:szCs w:val="24"/>
              </w:rPr>
            </w:pPr>
            <w:r>
              <w:rPr>
                <w:b/>
                <w:bCs/>
              </w:rPr>
              <w:t>Чести</w:t>
            </w:r>
          </w:p>
        </w:tc>
        <w:tc>
          <w:tcPr>
            <w:tcW w:w="1408" w:type="dxa"/>
          </w:tcPr>
          <w:p w14:paraId="6EC5121A" w14:textId="353AA098" w:rsidR="00154E9A" w:rsidRDefault="00154E9A" w:rsidP="00154E9A">
            <w:pPr>
              <w:spacing w:line="240" w:lineRule="auto"/>
              <w:rPr>
                <w:rFonts w:eastAsia="Times New Roman" w:cs="Arial"/>
                <w:sz w:val="24"/>
                <w:szCs w:val="24"/>
              </w:rPr>
            </w:pPr>
            <w:r>
              <w:rPr>
                <w:b/>
                <w:bCs/>
              </w:rPr>
              <w:t>Нечести</w:t>
            </w:r>
          </w:p>
        </w:tc>
        <w:tc>
          <w:tcPr>
            <w:tcW w:w="2127" w:type="dxa"/>
          </w:tcPr>
          <w:p w14:paraId="19546589" w14:textId="252FC255" w:rsidR="00154E9A" w:rsidRDefault="00154E9A" w:rsidP="00154E9A">
            <w:pPr>
              <w:spacing w:line="240" w:lineRule="auto"/>
              <w:rPr>
                <w:rFonts w:eastAsia="Times New Roman" w:cs="Arial"/>
                <w:sz w:val="24"/>
                <w:szCs w:val="24"/>
              </w:rPr>
            </w:pPr>
            <w:r>
              <w:rPr>
                <w:b/>
                <w:bCs/>
              </w:rPr>
              <w:t>Редки</w:t>
            </w:r>
          </w:p>
        </w:tc>
        <w:tc>
          <w:tcPr>
            <w:tcW w:w="1369" w:type="dxa"/>
          </w:tcPr>
          <w:p w14:paraId="55C7F66F" w14:textId="343F0BEC" w:rsidR="00154E9A" w:rsidRDefault="00154E9A" w:rsidP="00154E9A">
            <w:pPr>
              <w:spacing w:line="240" w:lineRule="auto"/>
              <w:rPr>
                <w:rFonts w:eastAsia="Times New Roman" w:cs="Arial"/>
                <w:sz w:val="24"/>
                <w:szCs w:val="24"/>
              </w:rPr>
            </w:pPr>
            <w:r>
              <w:rPr>
                <w:b/>
                <w:bCs/>
                <w:u w:val="single"/>
              </w:rPr>
              <w:t>Много редки</w:t>
            </w:r>
          </w:p>
        </w:tc>
        <w:tc>
          <w:tcPr>
            <w:tcW w:w="1980" w:type="dxa"/>
          </w:tcPr>
          <w:p w14:paraId="7345ECF8" w14:textId="71B93CCA" w:rsidR="00154E9A" w:rsidRDefault="00154E9A" w:rsidP="00154E9A">
            <w:pPr>
              <w:spacing w:line="240" w:lineRule="auto"/>
              <w:rPr>
                <w:rFonts w:eastAsia="Times New Roman" w:cs="Arial"/>
                <w:sz w:val="24"/>
                <w:szCs w:val="24"/>
              </w:rPr>
            </w:pPr>
            <w:r>
              <w:rPr>
                <w:b/>
                <w:bCs/>
                <w:u w:val="single"/>
              </w:rPr>
              <w:t>С неизвестна честота</w:t>
            </w:r>
          </w:p>
        </w:tc>
      </w:tr>
      <w:tr w:rsidR="00154E9A" w14:paraId="29D07840" w14:textId="77777777" w:rsidTr="00154E9A">
        <w:tc>
          <w:tcPr>
            <w:tcW w:w="1502" w:type="dxa"/>
          </w:tcPr>
          <w:p w14:paraId="201DAC7C" w14:textId="6A5E0C56" w:rsidR="00154E9A" w:rsidRDefault="00154E9A" w:rsidP="00154E9A">
            <w:pPr>
              <w:spacing w:line="240" w:lineRule="auto"/>
              <w:rPr>
                <w:rFonts w:eastAsia="Times New Roman" w:cs="Arial"/>
                <w:sz w:val="24"/>
                <w:szCs w:val="24"/>
              </w:rPr>
            </w:pPr>
            <w:r>
              <w:t>Инфекции и инфестации</w:t>
            </w:r>
          </w:p>
        </w:tc>
        <w:tc>
          <w:tcPr>
            <w:tcW w:w="1190" w:type="dxa"/>
          </w:tcPr>
          <w:p w14:paraId="2D6ED130" w14:textId="77777777" w:rsidR="00154E9A" w:rsidRDefault="00154E9A" w:rsidP="00154E9A">
            <w:pPr>
              <w:spacing w:line="240" w:lineRule="auto"/>
              <w:rPr>
                <w:rFonts w:eastAsia="Times New Roman" w:cs="Arial"/>
                <w:sz w:val="24"/>
                <w:szCs w:val="24"/>
              </w:rPr>
            </w:pPr>
          </w:p>
        </w:tc>
        <w:tc>
          <w:tcPr>
            <w:tcW w:w="1408" w:type="dxa"/>
            <w:vAlign w:val="bottom"/>
          </w:tcPr>
          <w:p w14:paraId="0F5BE480" w14:textId="350C424B" w:rsidR="00154E9A" w:rsidRDefault="00154E9A" w:rsidP="00154E9A">
            <w:pPr>
              <w:spacing w:line="240" w:lineRule="auto"/>
              <w:rPr>
                <w:rFonts w:eastAsia="Times New Roman" w:cs="Arial"/>
                <w:sz w:val="24"/>
                <w:szCs w:val="24"/>
              </w:rPr>
            </w:pPr>
            <w:r>
              <w:t>Инфекции на горни дихателни пътища</w:t>
            </w:r>
          </w:p>
        </w:tc>
        <w:tc>
          <w:tcPr>
            <w:tcW w:w="2127" w:type="dxa"/>
            <w:vAlign w:val="bottom"/>
          </w:tcPr>
          <w:p w14:paraId="5359AF9B" w14:textId="3258052C" w:rsidR="00154E9A" w:rsidRDefault="00154E9A" w:rsidP="00154E9A">
            <w:pPr>
              <w:spacing w:line="240" w:lineRule="auto"/>
              <w:rPr>
                <w:rFonts w:eastAsia="Times New Roman" w:cs="Arial"/>
                <w:sz w:val="24"/>
                <w:szCs w:val="24"/>
              </w:rPr>
            </w:pPr>
            <w:r>
              <w:t>Инфекции на уринарен тракт, бронхит, фарингит</w:t>
            </w:r>
          </w:p>
        </w:tc>
        <w:tc>
          <w:tcPr>
            <w:tcW w:w="1369" w:type="dxa"/>
          </w:tcPr>
          <w:p w14:paraId="32B2B47C" w14:textId="77777777" w:rsidR="00154E9A" w:rsidRDefault="00154E9A" w:rsidP="00154E9A">
            <w:pPr>
              <w:spacing w:line="240" w:lineRule="auto"/>
              <w:rPr>
                <w:rFonts w:eastAsia="Times New Roman" w:cs="Arial"/>
                <w:sz w:val="24"/>
                <w:szCs w:val="24"/>
              </w:rPr>
            </w:pPr>
          </w:p>
        </w:tc>
        <w:tc>
          <w:tcPr>
            <w:tcW w:w="1980" w:type="dxa"/>
          </w:tcPr>
          <w:p w14:paraId="0CC2D776" w14:textId="75CB3F39" w:rsidR="00154E9A" w:rsidRDefault="00154E9A" w:rsidP="00154E9A">
            <w:pPr>
              <w:spacing w:line="240" w:lineRule="auto"/>
              <w:rPr>
                <w:rFonts w:eastAsia="Times New Roman" w:cs="Arial"/>
                <w:sz w:val="24"/>
                <w:szCs w:val="24"/>
              </w:rPr>
            </w:pPr>
            <w:r>
              <w:t>Синузит*, ри нит*, глосит*</w:t>
            </w:r>
          </w:p>
        </w:tc>
      </w:tr>
      <w:tr w:rsidR="00154E9A" w14:paraId="72946EAB" w14:textId="77777777" w:rsidTr="00154E9A">
        <w:tc>
          <w:tcPr>
            <w:tcW w:w="1502" w:type="dxa"/>
          </w:tcPr>
          <w:p w14:paraId="3DA1F36F" w14:textId="11457089" w:rsidR="00154E9A" w:rsidRDefault="00154E9A" w:rsidP="00154E9A">
            <w:pPr>
              <w:spacing w:line="240" w:lineRule="auto"/>
              <w:rPr>
                <w:rFonts w:eastAsia="Times New Roman" w:cs="Arial"/>
                <w:sz w:val="24"/>
                <w:szCs w:val="24"/>
              </w:rPr>
            </w:pPr>
            <w:r>
              <w:t>Нарушения на кръвта и лимфната система</w:t>
            </w:r>
          </w:p>
        </w:tc>
        <w:tc>
          <w:tcPr>
            <w:tcW w:w="1190" w:type="dxa"/>
          </w:tcPr>
          <w:p w14:paraId="0904CE68" w14:textId="77777777" w:rsidR="00154E9A" w:rsidRDefault="00154E9A" w:rsidP="00154E9A">
            <w:pPr>
              <w:spacing w:line="240" w:lineRule="auto"/>
              <w:rPr>
                <w:rFonts w:eastAsia="Times New Roman" w:cs="Arial"/>
                <w:sz w:val="24"/>
                <w:szCs w:val="24"/>
              </w:rPr>
            </w:pPr>
          </w:p>
        </w:tc>
        <w:tc>
          <w:tcPr>
            <w:tcW w:w="1408" w:type="dxa"/>
          </w:tcPr>
          <w:p w14:paraId="186F2089" w14:textId="77777777" w:rsidR="00154E9A" w:rsidRDefault="00154E9A" w:rsidP="00154E9A">
            <w:pPr>
              <w:spacing w:line="240" w:lineRule="auto"/>
              <w:rPr>
                <w:rFonts w:eastAsia="Times New Roman" w:cs="Arial"/>
                <w:sz w:val="24"/>
                <w:szCs w:val="24"/>
              </w:rPr>
            </w:pPr>
          </w:p>
        </w:tc>
        <w:tc>
          <w:tcPr>
            <w:tcW w:w="2127" w:type="dxa"/>
          </w:tcPr>
          <w:p w14:paraId="7A3FD672" w14:textId="2FFAF0F1" w:rsidR="00154E9A" w:rsidRDefault="00154E9A" w:rsidP="00154E9A">
            <w:pPr>
              <w:spacing w:line="240" w:lineRule="auto"/>
              <w:rPr>
                <w:rFonts w:eastAsia="Times New Roman" w:cs="Arial"/>
                <w:sz w:val="24"/>
                <w:szCs w:val="24"/>
              </w:rPr>
            </w:pPr>
            <w:r>
              <w:t>Левкопения, анемия, нарушения на тромбоцитите, нарушения на белите кръвни клетки</w:t>
            </w:r>
          </w:p>
        </w:tc>
        <w:tc>
          <w:tcPr>
            <w:tcW w:w="1369" w:type="dxa"/>
          </w:tcPr>
          <w:p w14:paraId="7E12D9D5" w14:textId="77777777" w:rsidR="00154E9A" w:rsidRDefault="00154E9A" w:rsidP="00154E9A">
            <w:pPr>
              <w:spacing w:line="240" w:lineRule="auto"/>
              <w:rPr>
                <w:rFonts w:eastAsia="Times New Roman" w:cs="Arial"/>
                <w:sz w:val="24"/>
                <w:szCs w:val="24"/>
              </w:rPr>
            </w:pPr>
          </w:p>
        </w:tc>
        <w:tc>
          <w:tcPr>
            <w:tcW w:w="1980" w:type="dxa"/>
          </w:tcPr>
          <w:p w14:paraId="48FA17BB" w14:textId="77777777" w:rsidR="00154E9A" w:rsidRDefault="00154E9A" w:rsidP="00154E9A">
            <w:r>
              <w:t>Агранулоцит</w:t>
            </w:r>
            <w:r>
              <w:rPr>
                <w:u w:val="single"/>
              </w:rPr>
              <w:t xml:space="preserve">оза, </w:t>
            </w:r>
            <w:r>
              <w:t>панцитопения, понижаване на тромбоцити, хемолитична</w:t>
            </w:r>
          </w:p>
          <w:p w14:paraId="343BBB7D" w14:textId="3D6D3408" w:rsidR="00154E9A" w:rsidRDefault="00154E9A" w:rsidP="00154E9A">
            <w:pPr>
              <w:spacing w:line="240" w:lineRule="auto"/>
              <w:rPr>
                <w:rFonts w:eastAsia="Times New Roman" w:cs="Arial"/>
                <w:sz w:val="24"/>
                <w:szCs w:val="24"/>
              </w:rPr>
            </w:pPr>
            <w:r>
              <w:t>анемия*</w:t>
            </w:r>
          </w:p>
        </w:tc>
      </w:tr>
      <w:tr w:rsidR="00154E9A" w14:paraId="1418C29E" w14:textId="77777777" w:rsidTr="00154E9A">
        <w:tc>
          <w:tcPr>
            <w:tcW w:w="1502" w:type="dxa"/>
            <w:vAlign w:val="bottom"/>
          </w:tcPr>
          <w:p w14:paraId="4366822B" w14:textId="7CA0C7DB" w:rsidR="00154E9A" w:rsidRPr="00154E9A" w:rsidRDefault="00154E9A" w:rsidP="00154E9A">
            <w:pPr>
              <w:spacing w:line="240" w:lineRule="auto"/>
              <w:rPr>
                <w:rFonts w:eastAsia="Times New Roman" w:cs="Arial"/>
              </w:rPr>
            </w:pPr>
            <w:r w:rsidRPr="00154E9A">
              <w:t>Нарушения на имунната система</w:t>
            </w:r>
          </w:p>
        </w:tc>
        <w:tc>
          <w:tcPr>
            <w:tcW w:w="1190" w:type="dxa"/>
          </w:tcPr>
          <w:p w14:paraId="4E9C82C3" w14:textId="77777777" w:rsidR="00154E9A" w:rsidRPr="00154E9A" w:rsidRDefault="00154E9A" w:rsidP="00154E9A">
            <w:pPr>
              <w:spacing w:line="240" w:lineRule="auto"/>
              <w:rPr>
                <w:rFonts w:eastAsia="Times New Roman" w:cs="Arial"/>
              </w:rPr>
            </w:pPr>
          </w:p>
        </w:tc>
        <w:tc>
          <w:tcPr>
            <w:tcW w:w="1408" w:type="dxa"/>
          </w:tcPr>
          <w:p w14:paraId="65515631" w14:textId="77777777" w:rsidR="00154E9A" w:rsidRPr="00154E9A" w:rsidRDefault="00154E9A" w:rsidP="00154E9A">
            <w:pPr>
              <w:spacing w:line="240" w:lineRule="auto"/>
              <w:rPr>
                <w:rFonts w:eastAsia="Times New Roman" w:cs="Arial"/>
              </w:rPr>
            </w:pPr>
          </w:p>
        </w:tc>
        <w:tc>
          <w:tcPr>
            <w:tcW w:w="2127" w:type="dxa"/>
          </w:tcPr>
          <w:p w14:paraId="3F2020A8" w14:textId="77777777" w:rsidR="00154E9A" w:rsidRPr="00154E9A" w:rsidRDefault="00154E9A" w:rsidP="00154E9A">
            <w:r w:rsidRPr="00154E9A">
              <w:t>Свръхчувствителн</w:t>
            </w:r>
          </w:p>
          <w:p w14:paraId="7C649074" w14:textId="4E91AFDC" w:rsidR="00154E9A" w:rsidRPr="00154E9A" w:rsidRDefault="00154E9A" w:rsidP="00154E9A">
            <w:pPr>
              <w:spacing w:line="240" w:lineRule="auto"/>
              <w:rPr>
                <w:rFonts w:eastAsia="Times New Roman" w:cs="Arial"/>
              </w:rPr>
            </w:pPr>
            <w:r w:rsidRPr="00154E9A">
              <w:rPr>
                <w:rFonts w:cs="Arial"/>
                <w:lang w:val="en-US"/>
              </w:rPr>
              <w:t>OCT</w:t>
            </w:r>
          </w:p>
        </w:tc>
        <w:tc>
          <w:tcPr>
            <w:tcW w:w="1369" w:type="dxa"/>
          </w:tcPr>
          <w:p w14:paraId="3906BF9B" w14:textId="77777777" w:rsidR="00154E9A" w:rsidRPr="00154E9A" w:rsidRDefault="00154E9A" w:rsidP="00154E9A">
            <w:pPr>
              <w:spacing w:line="240" w:lineRule="auto"/>
              <w:rPr>
                <w:rFonts w:eastAsia="Times New Roman" w:cs="Arial"/>
              </w:rPr>
            </w:pPr>
          </w:p>
        </w:tc>
        <w:tc>
          <w:tcPr>
            <w:tcW w:w="1980" w:type="dxa"/>
          </w:tcPr>
          <w:p w14:paraId="52F174C0" w14:textId="77777777" w:rsidR="00154E9A" w:rsidRPr="00154E9A" w:rsidRDefault="00154E9A" w:rsidP="00154E9A">
            <w:pPr>
              <w:spacing w:line="240" w:lineRule="auto"/>
              <w:rPr>
                <w:rFonts w:eastAsia="Times New Roman" w:cs="Arial"/>
              </w:rPr>
            </w:pPr>
          </w:p>
        </w:tc>
      </w:tr>
      <w:tr w:rsidR="00154E9A" w14:paraId="4F0809CB" w14:textId="77777777" w:rsidTr="00154E9A">
        <w:tc>
          <w:tcPr>
            <w:tcW w:w="1502" w:type="dxa"/>
          </w:tcPr>
          <w:p w14:paraId="14EEEB36" w14:textId="46147B2A" w:rsidR="00154E9A" w:rsidRPr="00154E9A" w:rsidRDefault="00154E9A" w:rsidP="00154E9A">
            <w:pPr>
              <w:spacing w:line="240" w:lineRule="auto"/>
              <w:rPr>
                <w:rFonts w:eastAsia="Times New Roman" w:cs="Arial"/>
              </w:rPr>
            </w:pPr>
            <w:r w:rsidRPr="00154E9A">
              <w:t>Нарушения на метаболиз ма и храненето</w:t>
            </w:r>
          </w:p>
        </w:tc>
        <w:tc>
          <w:tcPr>
            <w:tcW w:w="1190" w:type="dxa"/>
          </w:tcPr>
          <w:p w14:paraId="2CC238DB" w14:textId="77777777" w:rsidR="00154E9A" w:rsidRPr="00154E9A" w:rsidRDefault="00154E9A" w:rsidP="00154E9A">
            <w:pPr>
              <w:spacing w:line="240" w:lineRule="auto"/>
              <w:rPr>
                <w:rFonts w:eastAsia="Times New Roman" w:cs="Arial"/>
              </w:rPr>
            </w:pPr>
          </w:p>
        </w:tc>
        <w:tc>
          <w:tcPr>
            <w:tcW w:w="1408" w:type="dxa"/>
          </w:tcPr>
          <w:p w14:paraId="320BF2EA" w14:textId="77777777" w:rsidR="00154E9A" w:rsidRPr="00154E9A" w:rsidRDefault="00154E9A" w:rsidP="00154E9A">
            <w:pPr>
              <w:spacing w:line="240" w:lineRule="auto"/>
              <w:rPr>
                <w:rFonts w:eastAsia="Times New Roman" w:cs="Arial"/>
              </w:rPr>
            </w:pPr>
          </w:p>
        </w:tc>
        <w:tc>
          <w:tcPr>
            <w:tcW w:w="2127" w:type="dxa"/>
            <w:vAlign w:val="bottom"/>
          </w:tcPr>
          <w:p w14:paraId="0F72CE2E" w14:textId="1AC5D7D9" w:rsidR="00154E9A" w:rsidRPr="00154E9A" w:rsidRDefault="00154E9A" w:rsidP="00154E9A">
            <w:pPr>
              <w:spacing w:line="240" w:lineRule="auto"/>
              <w:rPr>
                <w:rFonts w:eastAsia="Times New Roman" w:cs="Arial"/>
              </w:rPr>
            </w:pPr>
            <w:r w:rsidRPr="00154E9A">
              <w:t>Хипергликемия, хипонатремия, хиперхолестероле мия, хиперлипидемия, хиперурикемия, подагра, анорексия, повишен апетит, ензимни отклонения</w:t>
            </w:r>
          </w:p>
        </w:tc>
        <w:tc>
          <w:tcPr>
            <w:tcW w:w="1369" w:type="dxa"/>
          </w:tcPr>
          <w:p w14:paraId="425C8604" w14:textId="77777777" w:rsidR="00154E9A" w:rsidRPr="00154E9A" w:rsidRDefault="00154E9A" w:rsidP="00154E9A">
            <w:pPr>
              <w:spacing w:line="240" w:lineRule="auto"/>
              <w:rPr>
                <w:rFonts w:eastAsia="Times New Roman" w:cs="Arial"/>
              </w:rPr>
            </w:pPr>
          </w:p>
        </w:tc>
        <w:tc>
          <w:tcPr>
            <w:tcW w:w="1980" w:type="dxa"/>
          </w:tcPr>
          <w:p w14:paraId="728E0FFB" w14:textId="32F64E4A" w:rsidR="00154E9A" w:rsidRPr="00154E9A" w:rsidRDefault="00154E9A" w:rsidP="00154E9A">
            <w:pPr>
              <w:spacing w:line="240" w:lineRule="auto"/>
              <w:rPr>
                <w:rFonts w:eastAsia="Times New Roman" w:cs="Arial"/>
              </w:rPr>
            </w:pPr>
            <w:r w:rsidRPr="00154E9A">
              <w:t>Хиперкалиемия</w:t>
            </w:r>
          </w:p>
        </w:tc>
      </w:tr>
      <w:tr w:rsidR="00154E9A" w14:paraId="015D8FB4" w14:textId="77777777" w:rsidTr="00154E9A">
        <w:tc>
          <w:tcPr>
            <w:tcW w:w="1502" w:type="dxa"/>
          </w:tcPr>
          <w:p w14:paraId="026C8319" w14:textId="2E26380A" w:rsidR="00154E9A" w:rsidRPr="00154E9A" w:rsidRDefault="00154E9A" w:rsidP="00154E9A">
            <w:pPr>
              <w:spacing w:line="240" w:lineRule="auto"/>
              <w:rPr>
                <w:rFonts w:eastAsia="Times New Roman" w:cs="Arial"/>
              </w:rPr>
            </w:pPr>
            <w:r w:rsidRPr="00154E9A">
              <w:t>Психични нарушения</w:t>
            </w:r>
          </w:p>
        </w:tc>
        <w:tc>
          <w:tcPr>
            <w:tcW w:w="1190" w:type="dxa"/>
          </w:tcPr>
          <w:p w14:paraId="17EDFB19" w14:textId="77777777" w:rsidR="00154E9A" w:rsidRPr="00154E9A" w:rsidRDefault="00154E9A" w:rsidP="00154E9A">
            <w:pPr>
              <w:spacing w:line="240" w:lineRule="auto"/>
              <w:rPr>
                <w:rFonts w:eastAsia="Times New Roman" w:cs="Arial"/>
              </w:rPr>
            </w:pPr>
          </w:p>
        </w:tc>
        <w:tc>
          <w:tcPr>
            <w:tcW w:w="1408" w:type="dxa"/>
          </w:tcPr>
          <w:p w14:paraId="1FC6BD96" w14:textId="0B40923B" w:rsidR="00154E9A" w:rsidRPr="00154E9A" w:rsidRDefault="00154E9A" w:rsidP="00154E9A">
            <w:pPr>
              <w:spacing w:line="240" w:lineRule="auto"/>
              <w:rPr>
                <w:rFonts w:eastAsia="Times New Roman" w:cs="Arial"/>
              </w:rPr>
            </w:pPr>
            <w:r w:rsidRPr="00154E9A">
              <w:t>Безсъние, понижава не на либидото</w:t>
            </w:r>
          </w:p>
        </w:tc>
        <w:tc>
          <w:tcPr>
            <w:tcW w:w="2127" w:type="dxa"/>
            <w:vAlign w:val="bottom"/>
          </w:tcPr>
          <w:p w14:paraId="2663E342" w14:textId="4736968F" w:rsidR="00154E9A" w:rsidRPr="00154E9A" w:rsidRDefault="00154E9A" w:rsidP="00154E9A">
            <w:pPr>
              <w:spacing w:line="240" w:lineRule="auto"/>
              <w:rPr>
                <w:rFonts w:eastAsia="Times New Roman" w:cs="Arial"/>
              </w:rPr>
            </w:pPr>
            <w:r w:rsidRPr="00154E9A">
              <w:t xml:space="preserve">Халюцинации, депресия, нарушения на съня, </w:t>
            </w:r>
            <w:r w:rsidRPr="00154E9A">
              <w:lastRenderedPageBreak/>
              <w:t>тревожност, ажитация, апатия</w:t>
            </w:r>
          </w:p>
        </w:tc>
        <w:tc>
          <w:tcPr>
            <w:tcW w:w="1369" w:type="dxa"/>
          </w:tcPr>
          <w:p w14:paraId="6112248E" w14:textId="77777777" w:rsidR="00154E9A" w:rsidRPr="00154E9A" w:rsidRDefault="00154E9A" w:rsidP="00154E9A">
            <w:pPr>
              <w:spacing w:line="240" w:lineRule="auto"/>
              <w:rPr>
                <w:rFonts w:eastAsia="Times New Roman" w:cs="Arial"/>
              </w:rPr>
            </w:pPr>
          </w:p>
        </w:tc>
        <w:tc>
          <w:tcPr>
            <w:tcW w:w="1980" w:type="dxa"/>
          </w:tcPr>
          <w:p w14:paraId="101143AA" w14:textId="143ABD79" w:rsidR="00154E9A" w:rsidRPr="00154E9A" w:rsidRDefault="00154E9A" w:rsidP="00154E9A">
            <w:pPr>
              <w:spacing w:line="240" w:lineRule="auto"/>
              <w:rPr>
                <w:rFonts w:eastAsia="Times New Roman" w:cs="Arial"/>
              </w:rPr>
            </w:pPr>
            <w:r w:rsidRPr="00154E9A">
              <w:t>Състояние на обърканост*</w:t>
            </w:r>
          </w:p>
        </w:tc>
      </w:tr>
      <w:tr w:rsidR="00154E9A" w14:paraId="658A7263" w14:textId="77777777" w:rsidTr="00154E9A">
        <w:tc>
          <w:tcPr>
            <w:tcW w:w="1502" w:type="dxa"/>
          </w:tcPr>
          <w:p w14:paraId="7D5E8FAE" w14:textId="2C839669" w:rsidR="00154E9A" w:rsidRPr="00154E9A" w:rsidRDefault="00154E9A" w:rsidP="00154E9A">
            <w:pPr>
              <w:spacing w:line="240" w:lineRule="auto"/>
              <w:rPr>
                <w:rFonts w:eastAsia="Times New Roman" w:cs="Arial"/>
              </w:rPr>
            </w:pPr>
            <w:r w:rsidRPr="00154E9A">
              <w:t>Нарушения на нервната система</w:t>
            </w:r>
          </w:p>
        </w:tc>
        <w:tc>
          <w:tcPr>
            <w:tcW w:w="1190" w:type="dxa"/>
          </w:tcPr>
          <w:p w14:paraId="2FBAF542" w14:textId="4F2E109C" w:rsidR="00154E9A" w:rsidRPr="00154E9A" w:rsidRDefault="00154E9A" w:rsidP="00154E9A">
            <w:pPr>
              <w:spacing w:line="240" w:lineRule="auto"/>
              <w:rPr>
                <w:rFonts w:eastAsia="Times New Roman" w:cs="Arial"/>
              </w:rPr>
            </w:pPr>
            <w:r w:rsidRPr="00154E9A">
              <w:t>Главобо лие, замаяно ст</w:t>
            </w:r>
          </w:p>
        </w:tc>
        <w:tc>
          <w:tcPr>
            <w:tcW w:w="1408" w:type="dxa"/>
          </w:tcPr>
          <w:p w14:paraId="325FAB56" w14:textId="3540220A" w:rsidR="00154E9A" w:rsidRPr="00154E9A" w:rsidRDefault="00154E9A" w:rsidP="00154E9A">
            <w:pPr>
              <w:spacing w:line="240" w:lineRule="auto"/>
              <w:rPr>
                <w:rFonts w:eastAsia="Times New Roman" w:cs="Arial"/>
              </w:rPr>
            </w:pPr>
            <w:r w:rsidRPr="00154E9A">
              <w:t>Сънливост</w:t>
            </w:r>
          </w:p>
        </w:tc>
        <w:tc>
          <w:tcPr>
            <w:tcW w:w="2127" w:type="dxa"/>
            <w:vAlign w:val="bottom"/>
          </w:tcPr>
          <w:p w14:paraId="1B3CCB3A" w14:textId="7866ACA6" w:rsidR="00154E9A" w:rsidRPr="00154E9A" w:rsidRDefault="00154E9A" w:rsidP="00154E9A">
            <w:pPr>
              <w:spacing w:line="240" w:lineRule="auto"/>
              <w:rPr>
                <w:rFonts w:eastAsia="Times New Roman" w:cs="Arial"/>
              </w:rPr>
            </w:pPr>
            <w:r w:rsidRPr="00154E9A">
              <w:t>Мозъчно-съдови инциденти, синкоп, миоклонус, парестезия, мигрена, мигрена без аура, дисгеузия</w:t>
            </w:r>
          </w:p>
        </w:tc>
        <w:tc>
          <w:tcPr>
            <w:tcW w:w="1369" w:type="dxa"/>
          </w:tcPr>
          <w:p w14:paraId="064D2067" w14:textId="77777777" w:rsidR="00154E9A" w:rsidRPr="00154E9A" w:rsidRDefault="00154E9A" w:rsidP="00154E9A">
            <w:pPr>
              <w:spacing w:line="240" w:lineRule="auto"/>
              <w:rPr>
                <w:rFonts w:eastAsia="Times New Roman" w:cs="Arial"/>
              </w:rPr>
            </w:pPr>
          </w:p>
        </w:tc>
        <w:tc>
          <w:tcPr>
            <w:tcW w:w="1980" w:type="dxa"/>
          </w:tcPr>
          <w:p w14:paraId="57E0C8F6" w14:textId="15FA6667" w:rsidR="00154E9A" w:rsidRPr="00154E9A" w:rsidRDefault="00154E9A" w:rsidP="00154E9A">
            <w:pPr>
              <w:spacing w:line="240" w:lineRule="auto"/>
              <w:rPr>
                <w:rFonts w:eastAsia="Times New Roman" w:cs="Arial"/>
              </w:rPr>
            </w:pPr>
            <w:r w:rsidRPr="00154E9A">
              <w:t>Транзиторна исхемична атака, церебрална хеморагия, нарушение на равновесието</w:t>
            </w:r>
          </w:p>
        </w:tc>
      </w:tr>
      <w:tr w:rsidR="00154E9A" w14:paraId="08D84412" w14:textId="77777777" w:rsidTr="00154E9A">
        <w:tc>
          <w:tcPr>
            <w:tcW w:w="1502" w:type="dxa"/>
          </w:tcPr>
          <w:p w14:paraId="0B5324D2" w14:textId="423727E7" w:rsidR="00154E9A" w:rsidRPr="00154E9A" w:rsidRDefault="00154E9A" w:rsidP="00154E9A">
            <w:pPr>
              <w:spacing w:line="240" w:lineRule="auto"/>
              <w:rPr>
                <w:rFonts w:eastAsia="Times New Roman" w:cs="Arial"/>
              </w:rPr>
            </w:pPr>
            <w:r w:rsidRPr="00154E9A">
              <w:t>Нарушения на очите</w:t>
            </w:r>
          </w:p>
        </w:tc>
        <w:tc>
          <w:tcPr>
            <w:tcW w:w="1190" w:type="dxa"/>
          </w:tcPr>
          <w:p w14:paraId="0FB85280" w14:textId="77777777" w:rsidR="00154E9A" w:rsidRPr="00154E9A" w:rsidRDefault="00154E9A" w:rsidP="00154E9A">
            <w:pPr>
              <w:spacing w:line="240" w:lineRule="auto"/>
              <w:rPr>
                <w:rFonts w:eastAsia="Times New Roman" w:cs="Arial"/>
              </w:rPr>
            </w:pPr>
          </w:p>
        </w:tc>
        <w:tc>
          <w:tcPr>
            <w:tcW w:w="1408" w:type="dxa"/>
          </w:tcPr>
          <w:p w14:paraId="2D41B38C" w14:textId="77777777" w:rsidR="00154E9A" w:rsidRPr="00154E9A" w:rsidRDefault="00154E9A" w:rsidP="00154E9A">
            <w:pPr>
              <w:spacing w:line="240" w:lineRule="auto"/>
              <w:rPr>
                <w:rFonts w:eastAsia="Times New Roman" w:cs="Arial"/>
              </w:rPr>
            </w:pPr>
          </w:p>
        </w:tc>
        <w:tc>
          <w:tcPr>
            <w:tcW w:w="2127" w:type="dxa"/>
            <w:vAlign w:val="bottom"/>
          </w:tcPr>
          <w:p w14:paraId="4C91BA6E" w14:textId="5902A262" w:rsidR="00154E9A" w:rsidRPr="00154E9A" w:rsidRDefault="00154E9A" w:rsidP="00154E9A">
            <w:pPr>
              <w:spacing w:line="240" w:lineRule="auto"/>
              <w:rPr>
                <w:rFonts w:eastAsia="Times New Roman" w:cs="Arial"/>
              </w:rPr>
            </w:pPr>
            <w:r w:rsidRPr="00154E9A">
              <w:t>Блефарит, конюнктивален оток, нарушения на зрението, нарушения на очите</w:t>
            </w:r>
          </w:p>
        </w:tc>
        <w:tc>
          <w:tcPr>
            <w:tcW w:w="1369" w:type="dxa"/>
          </w:tcPr>
          <w:p w14:paraId="0DA9ED20" w14:textId="77777777" w:rsidR="00154E9A" w:rsidRPr="00154E9A" w:rsidRDefault="00154E9A" w:rsidP="00154E9A">
            <w:pPr>
              <w:spacing w:line="240" w:lineRule="auto"/>
              <w:rPr>
                <w:rFonts w:eastAsia="Times New Roman" w:cs="Arial"/>
              </w:rPr>
            </w:pPr>
          </w:p>
        </w:tc>
        <w:tc>
          <w:tcPr>
            <w:tcW w:w="1980" w:type="dxa"/>
          </w:tcPr>
          <w:p w14:paraId="4AFA8BF6" w14:textId="551C5ECB" w:rsidR="00154E9A" w:rsidRPr="00154E9A" w:rsidRDefault="00154E9A" w:rsidP="00154E9A">
            <w:pPr>
              <w:spacing w:line="240" w:lineRule="auto"/>
              <w:rPr>
                <w:rFonts w:eastAsia="Times New Roman" w:cs="Arial"/>
              </w:rPr>
            </w:pPr>
            <w:r w:rsidRPr="00154E9A">
              <w:t>Замъглено зрение*</w:t>
            </w:r>
          </w:p>
        </w:tc>
      </w:tr>
      <w:tr w:rsidR="00154E9A" w14:paraId="0C0C53EC" w14:textId="77777777" w:rsidTr="00154E9A">
        <w:tc>
          <w:tcPr>
            <w:tcW w:w="1502" w:type="dxa"/>
            <w:vAlign w:val="bottom"/>
          </w:tcPr>
          <w:p w14:paraId="6BB82900" w14:textId="641DA626" w:rsidR="00154E9A" w:rsidRDefault="00154E9A" w:rsidP="00154E9A">
            <w:pPr>
              <w:spacing w:line="240" w:lineRule="auto"/>
              <w:rPr>
                <w:rFonts w:eastAsia="Times New Roman" w:cs="Arial"/>
                <w:sz w:val="24"/>
                <w:szCs w:val="24"/>
              </w:rPr>
            </w:pPr>
            <w:r>
              <w:t>Нарушения на ухото и лабиринта</w:t>
            </w:r>
          </w:p>
        </w:tc>
        <w:tc>
          <w:tcPr>
            <w:tcW w:w="1190" w:type="dxa"/>
          </w:tcPr>
          <w:p w14:paraId="1309C343" w14:textId="77777777" w:rsidR="00154E9A" w:rsidRDefault="00154E9A" w:rsidP="00154E9A">
            <w:pPr>
              <w:spacing w:line="240" w:lineRule="auto"/>
              <w:rPr>
                <w:rFonts w:eastAsia="Times New Roman" w:cs="Arial"/>
                <w:sz w:val="24"/>
                <w:szCs w:val="24"/>
              </w:rPr>
            </w:pPr>
          </w:p>
        </w:tc>
        <w:tc>
          <w:tcPr>
            <w:tcW w:w="1408" w:type="dxa"/>
          </w:tcPr>
          <w:p w14:paraId="7894A84B" w14:textId="607BF4EA" w:rsidR="00154E9A" w:rsidRDefault="00154E9A" w:rsidP="00154E9A">
            <w:pPr>
              <w:spacing w:line="240" w:lineRule="auto"/>
              <w:rPr>
                <w:rFonts w:eastAsia="Times New Roman" w:cs="Arial"/>
                <w:sz w:val="24"/>
                <w:szCs w:val="24"/>
              </w:rPr>
            </w:pPr>
            <w:r>
              <w:t>Вертиго</w:t>
            </w:r>
          </w:p>
        </w:tc>
        <w:tc>
          <w:tcPr>
            <w:tcW w:w="2127" w:type="dxa"/>
          </w:tcPr>
          <w:p w14:paraId="7A0945F8" w14:textId="0E6FB18B" w:rsidR="00154E9A" w:rsidRDefault="00154E9A" w:rsidP="00154E9A">
            <w:pPr>
              <w:spacing w:line="240" w:lineRule="auto"/>
              <w:rPr>
                <w:rFonts w:eastAsia="Times New Roman" w:cs="Arial"/>
                <w:sz w:val="24"/>
                <w:szCs w:val="24"/>
              </w:rPr>
            </w:pPr>
            <w:r>
              <w:t>Тинитус</w:t>
            </w:r>
          </w:p>
        </w:tc>
        <w:tc>
          <w:tcPr>
            <w:tcW w:w="1369" w:type="dxa"/>
          </w:tcPr>
          <w:p w14:paraId="50CE3DB1" w14:textId="77777777" w:rsidR="00154E9A" w:rsidRDefault="00154E9A" w:rsidP="00154E9A">
            <w:pPr>
              <w:spacing w:line="240" w:lineRule="auto"/>
              <w:rPr>
                <w:rFonts w:eastAsia="Times New Roman" w:cs="Arial"/>
                <w:sz w:val="24"/>
                <w:szCs w:val="24"/>
              </w:rPr>
            </w:pPr>
          </w:p>
        </w:tc>
        <w:tc>
          <w:tcPr>
            <w:tcW w:w="1980" w:type="dxa"/>
          </w:tcPr>
          <w:p w14:paraId="1321A039" w14:textId="77777777" w:rsidR="00154E9A" w:rsidRDefault="00154E9A" w:rsidP="00154E9A">
            <w:pPr>
              <w:spacing w:line="240" w:lineRule="auto"/>
              <w:rPr>
                <w:rFonts w:eastAsia="Times New Roman" w:cs="Arial"/>
                <w:sz w:val="24"/>
                <w:szCs w:val="24"/>
              </w:rPr>
            </w:pPr>
          </w:p>
        </w:tc>
      </w:tr>
      <w:tr w:rsidR="00154E9A" w14:paraId="1B20DDCC" w14:textId="77777777" w:rsidTr="00154E9A">
        <w:tc>
          <w:tcPr>
            <w:tcW w:w="1502" w:type="dxa"/>
          </w:tcPr>
          <w:p w14:paraId="4FFC3477" w14:textId="6DFAD0A0" w:rsidR="00154E9A" w:rsidRDefault="00154E9A" w:rsidP="00154E9A">
            <w:pPr>
              <w:spacing w:line="240" w:lineRule="auto"/>
              <w:rPr>
                <w:rFonts w:eastAsia="Times New Roman" w:cs="Arial"/>
                <w:sz w:val="24"/>
                <w:szCs w:val="24"/>
              </w:rPr>
            </w:pPr>
            <w:r>
              <w:t>Сърдечни нарушения</w:t>
            </w:r>
          </w:p>
        </w:tc>
        <w:tc>
          <w:tcPr>
            <w:tcW w:w="1190" w:type="dxa"/>
          </w:tcPr>
          <w:p w14:paraId="197587C2" w14:textId="77777777" w:rsidR="00154E9A" w:rsidRDefault="00154E9A" w:rsidP="00154E9A">
            <w:pPr>
              <w:spacing w:line="240" w:lineRule="auto"/>
              <w:rPr>
                <w:rFonts w:eastAsia="Times New Roman" w:cs="Arial"/>
                <w:sz w:val="24"/>
                <w:szCs w:val="24"/>
              </w:rPr>
            </w:pPr>
          </w:p>
        </w:tc>
        <w:tc>
          <w:tcPr>
            <w:tcW w:w="1408" w:type="dxa"/>
          </w:tcPr>
          <w:p w14:paraId="4CE5DEBD" w14:textId="4A226DA1" w:rsidR="00154E9A" w:rsidRDefault="00154E9A" w:rsidP="00154E9A">
            <w:pPr>
              <w:spacing w:line="240" w:lineRule="auto"/>
              <w:rPr>
                <w:rFonts w:eastAsia="Times New Roman" w:cs="Arial"/>
                <w:sz w:val="24"/>
                <w:szCs w:val="24"/>
              </w:rPr>
            </w:pPr>
            <w:r>
              <w:t>Палпитаци и</w:t>
            </w:r>
          </w:p>
        </w:tc>
        <w:tc>
          <w:tcPr>
            <w:tcW w:w="2127" w:type="dxa"/>
            <w:vAlign w:val="bottom"/>
          </w:tcPr>
          <w:p w14:paraId="299EDA85" w14:textId="25D49BB9" w:rsidR="00154E9A" w:rsidRDefault="00154E9A" w:rsidP="00154E9A">
            <w:pPr>
              <w:spacing w:line="240" w:lineRule="auto"/>
              <w:rPr>
                <w:rFonts w:eastAsia="Times New Roman" w:cs="Arial"/>
                <w:sz w:val="24"/>
                <w:szCs w:val="24"/>
              </w:rPr>
            </w:pPr>
            <w:r>
              <w:t>Миокарден инфаркт, исхемия на миокарда, ангина пекторис, сърдечна недостатъчност, камерна тахикардия, тахикардия, брадикардия</w:t>
            </w:r>
          </w:p>
        </w:tc>
        <w:tc>
          <w:tcPr>
            <w:tcW w:w="1369" w:type="dxa"/>
          </w:tcPr>
          <w:p w14:paraId="4E31DC55" w14:textId="77777777" w:rsidR="00154E9A" w:rsidRDefault="00154E9A" w:rsidP="00154E9A">
            <w:pPr>
              <w:spacing w:line="240" w:lineRule="auto"/>
              <w:rPr>
                <w:rFonts w:eastAsia="Times New Roman" w:cs="Arial"/>
                <w:sz w:val="24"/>
                <w:szCs w:val="24"/>
              </w:rPr>
            </w:pPr>
          </w:p>
        </w:tc>
        <w:tc>
          <w:tcPr>
            <w:tcW w:w="1980" w:type="dxa"/>
          </w:tcPr>
          <w:p w14:paraId="69DE95AC" w14:textId="6866C0B3" w:rsidR="00154E9A" w:rsidRDefault="00154E9A" w:rsidP="00154E9A">
            <w:pPr>
              <w:spacing w:line="240" w:lineRule="auto"/>
              <w:rPr>
                <w:rFonts w:eastAsia="Times New Roman" w:cs="Arial"/>
                <w:sz w:val="24"/>
                <w:szCs w:val="24"/>
              </w:rPr>
            </w:pPr>
            <w:r>
              <w:t>Атрио- вентрикуларен блок, сърдечен арест, аритмия</w:t>
            </w:r>
          </w:p>
        </w:tc>
      </w:tr>
      <w:tr w:rsidR="00154E9A" w14:paraId="0F0D5512" w14:textId="77777777" w:rsidTr="00154E9A">
        <w:tc>
          <w:tcPr>
            <w:tcW w:w="1502" w:type="dxa"/>
          </w:tcPr>
          <w:p w14:paraId="56E9ADAE" w14:textId="48FB9195" w:rsidR="00154E9A" w:rsidRDefault="00154E9A" w:rsidP="00154E9A">
            <w:pPr>
              <w:spacing w:line="240" w:lineRule="auto"/>
              <w:rPr>
                <w:rFonts w:eastAsia="Times New Roman" w:cs="Arial"/>
                <w:sz w:val="24"/>
                <w:szCs w:val="24"/>
              </w:rPr>
            </w:pPr>
            <w:r>
              <w:t>Съдови нарушения</w:t>
            </w:r>
          </w:p>
        </w:tc>
        <w:tc>
          <w:tcPr>
            <w:tcW w:w="1190" w:type="dxa"/>
          </w:tcPr>
          <w:p w14:paraId="5DB8CC7E" w14:textId="760CD2F3" w:rsidR="00154E9A" w:rsidRDefault="00154E9A" w:rsidP="00154E9A">
            <w:pPr>
              <w:spacing w:line="240" w:lineRule="auto"/>
              <w:rPr>
                <w:rFonts w:eastAsia="Times New Roman" w:cs="Arial"/>
                <w:sz w:val="24"/>
                <w:szCs w:val="24"/>
              </w:rPr>
            </w:pPr>
            <w:r>
              <w:t>Хипото ния</w:t>
            </w:r>
          </w:p>
        </w:tc>
        <w:tc>
          <w:tcPr>
            <w:tcW w:w="1408" w:type="dxa"/>
          </w:tcPr>
          <w:p w14:paraId="1589E746" w14:textId="65059B9A" w:rsidR="00154E9A" w:rsidRDefault="00154E9A" w:rsidP="00154E9A">
            <w:pPr>
              <w:spacing w:line="240" w:lineRule="auto"/>
              <w:rPr>
                <w:rFonts w:eastAsia="Times New Roman" w:cs="Arial"/>
                <w:sz w:val="24"/>
                <w:szCs w:val="24"/>
              </w:rPr>
            </w:pPr>
            <w:r>
              <w:t>Горещи вълни</w:t>
            </w:r>
          </w:p>
        </w:tc>
        <w:tc>
          <w:tcPr>
            <w:tcW w:w="2127" w:type="dxa"/>
            <w:vAlign w:val="bottom"/>
          </w:tcPr>
          <w:p w14:paraId="667A38AD" w14:textId="31241423" w:rsidR="00154E9A" w:rsidRPr="00154E9A" w:rsidRDefault="00154E9A" w:rsidP="00154E9A">
            <w:pPr>
              <w:rPr>
                <w:rFonts w:eastAsia="Times New Roman" w:cs="Arial"/>
                <w:sz w:val="24"/>
                <w:szCs w:val="24"/>
              </w:rPr>
            </w:pPr>
            <w:r w:rsidRPr="00154E9A">
              <w:rPr>
                <w:rFonts w:cs="Arial"/>
              </w:rPr>
              <w:t xml:space="preserve">Хипертония, ангиопатия, ортостатична хипотония, периферни васкуларни нарушения, </w:t>
            </w:r>
            <w:r w:rsidRPr="00154E9A">
              <w:rPr>
                <w:rFonts w:eastAsia="Times New Roman" w:cs="Arial"/>
                <w:color w:val="000000"/>
                <w:lang w:eastAsia="bg-BG"/>
              </w:rPr>
              <w:t>варикозни вени</w:t>
            </w:r>
          </w:p>
        </w:tc>
        <w:tc>
          <w:tcPr>
            <w:tcW w:w="1369" w:type="dxa"/>
          </w:tcPr>
          <w:p w14:paraId="79DD334A" w14:textId="77777777" w:rsidR="00154E9A" w:rsidRDefault="00154E9A" w:rsidP="00154E9A">
            <w:pPr>
              <w:spacing w:line="240" w:lineRule="auto"/>
              <w:rPr>
                <w:rFonts w:eastAsia="Times New Roman" w:cs="Arial"/>
                <w:sz w:val="24"/>
                <w:szCs w:val="24"/>
              </w:rPr>
            </w:pPr>
          </w:p>
        </w:tc>
        <w:tc>
          <w:tcPr>
            <w:tcW w:w="1980" w:type="dxa"/>
            <w:vAlign w:val="bottom"/>
          </w:tcPr>
          <w:p w14:paraId="3605940C" w14:textId="77777777" w:rsidR="00154E9A" w:rsidRDefault="00154E9A" w:rsidP="00154E9A">
            <w:pPr>
              <w:spacing w:line="240" w:lineRule="auto"/>
              <w:rPr>
                <w:rFonts w:eastAsia="Times New Roman" w:cs="Arial"/>
                <w:sz w:val="24"/>
                <w:szCs w:val="24"/>
              </w:rPr>
            </w:pPr>
          </w:p>
        </w:tc>
      </w:tr>
      <w:tr w:rsidR="00154E9A" w14:paraId="4F0B2446" w14:textId="77777777" w:rsidTr="00154E9A">
        <w:tc>
          <w:tcPr>
            <w:tcW w:w="1502" w:type="dxa"/>
          </w:tcPr>
          <w:p w14:paraId="0D855CAC" w14:textId="70D823B9" w:rsidR="00154E9A" w:rsidRDefault="00154E9A" w:rsidP="00154E9A">
            <w:pPr>
              <w:spacing w:line="240" w:lineRule="auto"/>
              <w:rPr>
                <w:rFonts w:eastAsia="Times New Roman" w:cs="Arial"/>
                <w:sz w:val="24"/>
                <w:szCs w:val="24"/>
              </w:rPr>
            </w:pPr>
            <w:r>
              <w:t>Респиратор ни, гръдни и медиастина лни нарушения</w:t>
            </w:r>
          </w:p>
        </w:tc>
        <w:tc>
          <w:tcPr>
            <w:tcW w:w="1190" w:type="dxa"/>
          </w:tcPr>
          <w:p w14:paraId="5040F0C0" w14:textId="2EDF70A3" w:rsidR="00154E9A" w:rsidRDefault="00154E9A" w:rsidP="00154E9A">
            <w:pPr>
              <w:spacing w:line="240" w:lineRule="auto"/>
              <w:rPr>
                <w:rFonts w:eastAsia="Times New Roman" w:cs="Arial"/>
                <w:sz w:val="24"/>
                <w:szCs w:val="24"/>
              </w:rPr>
            </w:pPr>
            <w:r>
              <w:t>Кашлиц а</w:t>
            </w:r>
          </w:p>
        </w:tc>
        <w:tc>
          <w:tcPr>
            <w:tcW w:w="1408" w:type="dxa"/>
          </w:tcPr>
          <w:p w14:paraId="6660CD6A" w14:textId="4CF0DD94" w:rsidR="00154E9A" w:rsidRDefault="00154E9A" w:rsidP="00154E9A">
            <w:pPr>
              <w:spacing w:line="240" w:lineRule="auto"/>
              <w:rPr>
                <w:rFonts w:eastAsia="Times New Roman" w:cs="Arial"/>
                <w:sz w:val="24"/>
                <w:szCs w:val="24"/>
              </w:rPr>
            </w:pPr>
            <w:r>
              <w:t>Възпалени е на горни дихателни пътища, конгестия на горни дихателни пътища</w:t>
            </w:r>
          </w:p>
        </w:tc>
        <w:tc>
          <w:tcPr>
            <w:tcW w:w="2127" w:type="dxa"/>
            <w:vAlign w:val="bottom"/>
          </w:tcPr>
          <w:p w14:paraId="2AB54948" w14:textId="4F7151BA" w:rsidR="00154E9A" w:rsidRDefault="00154E9A" w:rsidP="00154E9A">
            <w:pPr>
              <w:spacing w:line="240" w:lineRule="auto"/>
              <w:rPr>
                <w:rFonts w:eastAsia="Times New Roman" w:cs="Arial"/>
                <w:sz w:val="24"/>
                <w:szCs w:val="24"/>
              </w:rPr>
            </w:pPr>
            <w:r>
              <w:t>Диспнея, епистаксис, фарингеално възпаление,болка на орофаринкса, продуктивна кашлица, респираторни нарушения</w:t>
            </w:r>
          </w:p>
        </w:tc>
        <w:tc>
          <w:tcPr>
            <w:tcW w:w="1369" w:type="dxa"/>
          </w:tcPr>
          <w:p w14:paraId="07C9069B" w14:textId="77777777" w:rsidR="00154E9A" w:rsidRDefault="00154E9A" w:rsidP="00154E9A">
            <w:pPr>
              <w:spacing w:line="240" w:lineRule="auto"/>
              <w:rPr>
                <w:rFonts w:eastAsia="Times New Roman" w:cs="Arial"/>
                <w:sz w:val="24"/>
                <w:szCs w:val="24"/>
              </w:rPr>
            </w:pPr>
          </w:p>
        </w:tc>
        <w:tc>
          <w:tcPr>
            <w:tcW w:w="1980" w:type="dxa"/>
          </w:tcPr>
          <w:p w14:paraId="460F2BAB" w14:textId="49593A0A" w:rsidR="00154E9A" w:rsidRDefault="00154E9A" w:rsidP="00154E9A">
            <w:pPr>
              <w:spacing w:line="240" w:lineRule="auto"/>
              <w:rPr>
                <w:rFonts w:eastAsia="Times New Roman" w:cs="Arial"/>
                <w:sz w:val="24"/>
                <w:szCs w:val="24"/>
              </w:rPr>
            </w:pPr>
            <w:r>
              <w:t>Бронхоспазъм</w:t>
            </w:r>
          </w:p>
        </w:tc>
      </w:tr>
      <w:tr w:rsidR="00154E9A" w14:paraId="69CC22F9" w14:textId="77777777" w:rsidTr="00154E9A">
        <w:tc>
          <w:tcPr>
            <w:tcW w:w="1502" w:type="dxa"/>
          </w:tcPr>
          <w:p w14:paraId="797B7382" w14:textId="7F1479EE" w:rsidR="00154E9A" w:rsidRDefault="00154E9A" w:rsidP="00154E9A">
            <w:pPr>
              <w:spacing w:line="240" w:lineRule="auto"/>
              <w:rPr>
                <w:rFonts w:eastAsia="Times New Roman" w:cs="Arial"/>
                <w:sz w:val="24"/>
                <w:szCs w:val="24"/>
              </w:rPr>
            </w:pPr>
            <w:r>
              <w:lastRenderedPageBreak/>
              <w:t>Стомашно- чревни нарушения</w:t>
            </w:r>
          </w:p>
        </w:tc>
        <w:tc>
          <w:tcPr>
            <w:tcW w:w="1190" w:type="dxa"/>
          </w:tcPr>
          <w:p w14:paraId="100B3984" w14:textId="77777777" w:rsidR="00154E9A" w:rsidRDefault="00154E9A" w:rsidP="00154E9A">
            <w:pPr>
              <w:spacing w:line="240" w:lineRule="auto"/>
              <w:rPr>
                <w:rFonts w:eastAsia="Times New Roman" w:cs="Arial"/>
                <w:sz w:val="24"/>
                <w:szCs w:val="24"/>
              </w:rPr>
            </w:pPr>
          </w:p>
        </w:tc>
        <w:tc>
          <w:tcPr>
            <w:tcW w:w="1408" w:type="dxa"/>
            <w:vAlign w:val="bottom"/>
          </w:tcPr>
          <w:p w14:paraId="19AA3706" w14:textId="4F9699AB" w:rsidR="00154E9A" w:rsidRDefault="00154E9A" w:rsidP="00154E9A">
            <w:pPr>
              <w:spacing w:line="240" w:lineRule="auto"/>
              <w:rPr>
                <w:rFonts w:eastAsia="Times New Roman" w:cs="Arial"/>
                <w:sz w:val="24"/>
                <w:szCs w:val="24"/>
              </w:rPr>
            </w:pPr>
            <w:r>
              <w:t>Гадене, диария, стомашно- чревна болка, констипац ия, стомашно- чревни нарушения</w:t>
            </w:r>
          </w:p>
        </w:tc>
        <w:tc>
          <w:tcPr>
            <w:tcW w:w="2127" w:type="dxa"/>
          </w:tcPr>
          <w:p w14:paraId="320DB241" w14:textId="5F9218D9" w:rsidR="00154E9A" w:rsidRDefault="00154E9A" w:rsidP="00154E9A">
            <w:pPr>
              <w:spacing w:line="240" w:lineRule="auto"/>
              <w:rPr>
                <w:rFonts w:eastAsia="Times New Roman" w:cs="Arial"/>
                <w:sz w:val="24"/>
                <w:szCs w:val="24"/>
              </w:rPr>
            </w:pPr>
            <w:r>
              <w:t>Хематемеза, гастрит, коремна болка, повръщане, диспепсия, сухота в устата, флатуленция</w:t>
            </w:r>
          </w:p>
        </w:tc>
        <w:tc>
          <w:tcPr>
            <w:tcW w:w="1369" w:type="dxa"/>
          </w:tcPr>
          <w:p w14:paraId="527C2F9E" w14:textId="77777777" w:rsidR="00154E9A" w:rsidRDefault="00154E9A" w:rsidP="00154E9A">
            <w:pPr>
              <w:spacing w:line="240" w:lineRule="auto"/>
              <w:rPr>
                <w:rFonts w:eastAsia="Times New Roman" w:cs="Arial"/>
                <w:sz w:val="24"/>
                <w:szCs w:val="24"/>
              </w:rPr>
            </w:pPr>
          </w:p>
        </w:tc>
        <w:tc>
          <w:tcPr>
            <w:tcW w:w="1980" w:type="dxa"/>
          </w:tcPr>
          <w:p w14:paraId="013BAF99" w14:textId="02D033F9" w:rsidR="00154E9A" w:rsidRDefault="00154E9A" w:rsidP="00154E9A">
            <w:pPr>
              <w:spacing w:line="240" w:lineRule="auto"/>
              <w:rPr>
                <w:rFonts w:eastAsia="Times New Roman" w:cs="Arial"/>
                <w:sz w:val="24"/>
                <w:szCs w:val="24"/>
              </w:rPr>
            </w:pPr>
            <w:r>
              <w:t>Илеус, панкреатит, интестинален ангиоедем*</w:t>
            </w:r>
          </w:p>
        </w:tc>
      </w:tr>
      <w:tr w:rsidR="00154E9A" w14:paraId="65690E01" w14:textId="77777777" w:rsidTr="00154E9A">
        <w:tc>
          <w:tcPr>
            <w:tcW w:w="1502" w:type="dxa"/>
          </w:tcPr>
          <w:p w14:paraId="5766929B" w14:textId="08668398" w:rsidR="00154E9A" w:rsidRDefault="00154E9A" w:rsidP="00154E9A">
            <w:pPr>
              <w:spacing w:line="240" w:lineRule="auto"/>
              <w:rPr>
                <w:rFonts w:eastAsia="Times New Roman" w:cs="Arial"/>
                <w:sz w:val="24"/>
                <w:szCs w:val="24"/>
              </w:rPr>
            </w:pPr>
            <w:r>
              <w:t>Хепатобили арни нарушения</w:t>
            </w:r>
          </w:p>
        </w:tc>
        <w:tc>
          <w:tcPr>
            <w:tcW w:w="1190" w:type="dxa"/>
          </w:tcPr>
          <w:p w14:paraId="15133C0C" w14:textId="77777777" w:rsidR="00154E9A" w:rsidRDefault="00154E9A" w:rsidP="00154E9A">
            <w:pPr>
              <w:spacing w:line="240" w:lineRule="auto"/>
              <w:rPr>
                <w:rFonts w:eastAsia="Times New Roman" w:cs="Arial"/>
                <w:sz w:val="24"/>
                <w:szCs w:val="24"/>
              </w:rPr>
            </w:pPr>
          </w:p>
        </w:tc>
        <w:tc>
          <w:tcPr>
            <w:tcW w:w="1408" w:type="dxa"/>
          </w:tcPr>
          <w:p w14:paraId="1DF355E1" w14:textId="77777777" w:rsidR="00154E9A" w:rsidRDefault="00154E9A" w:rsidP="00154E9A">
            <w:pPr>
              <w:spacing w:line="240" w:lineRule="auto"/>
              <w:rPr>
                <w:rFonts w:eastAsia="Times New Roman" w:cs="Arial"/>
                <w:sz w:val="24"/>
                <w:szCs w:val="24"/>
              </w:rPr>
            </w:pPr>
          </w:p>
        </w:tc>
        <w:tc>
          <w:tcPr>
            <w:tcW w:w="2127" w:type="dxa"/>
          </w:tcPr>
          <w:p w14:paraId="1B325116" w14:textId="5FD3112C" w:rsidR="00154E9A" w:rsidRDefault="00154E9A" w:rsidP="00154E9A">
            <w:pPr>
              <w:spacing w:line="240" w:lineRule="auto"/>
              <w:rPr>
                <w:rFonts w:eastAsia="Times New Roman" w:cs="Arial"/>
                <w:sz w:val="24"/>
                <w:szCs w:val="24"/>
              </w:rPr>
            </w:pPr>
            <w:r>
              <w:t>Хепатит</w:t>
            </w:r>
          </w:p>
        </w:tc>
        <w:tc>
          <w:tcPr>
            <w:tcW w:w="1369" w:type="dxa"/>
          </w:tcPr>
          <w:p w14:paraId="745D833E" w14:textId="3F46A33C" w:rsidR="00154E9A" w:rsidRDefault="00154E9A" w:rsidP="00154E9A">
            <w:pPr>
              <w:spacing w:line="240" w:lineRule="auto"/>
              <w:rPr>
                <w:rFonts w:eastAsia="Times New Roman" w:cs="Arial"/>
                <w:sz w:val="24"/>
                <w:szCs w:val="24"/>
              </w:rPr>
            </w:pPr>
            <w:r>
              <w:t>Холестаза</w:t>
            </w:r>
          </w:p>
        </w:tc>
        <w:tc>
          <w:tcPr>
            <w:tcW w:w="1980" w:type="dxa"/>
            <w:vAlign w:val="bottom"/>
          </w:tcPr>
          <w:p w14:paraId="4280E1F3" w14:textId="13F112AF" w:rsidR="00154E9A" w:rsidRDefault="00154E9A" w:rsidP="00154E9A">
            <w:pPr>
              <w:spacing w:line="240" w:lineRule="auto"/>
              <w:rPr>
                <w:rFonts w:eastAsia="Times New Roman" w:cs="Arial"/>
                <w:sz w:val="24"/>
                <w:szCs w:val="24"/>
              </w:rPr>
            </w:pPr>
            <w:r>
              <w:t>Жълтеница, нарушения в чернодробните функционални тестове</w:t>
            </w:r>
          </w:p>
        </w:tc>
      </w:tr>
      <w:tr w:rsidR="00154E9A" w14:paraId="5E6DB5A4" w14:textId="77777777" w:rsidTr="00154E9A">
        <w:tc>
          <w:tcPr>
            <w:tcW w:w="1502" w:type="dxa"/>
          </w:tcPr>
          <w:p w14:paraId="0A4B1754" w14:textId="22668DE8" w:rsidR="00154E9A" w:rsidRDefault="00154E9A" w:rsidP="00154E9A">
            <w:pPr>
              <w:spacing w:line="240" w:lineRule="auto"/>
              <w:rPr>
                <w:rFonts w:eastAsia="Times New Roman" w:cs="Arial"/>
                <w:sz w:val="24"/>
                <w:szCs w:val="24"/>
              </w:rPr>
            </w:pPr>
            <w:r>
              <w:t>Нарушения на кожата и подкожната тъкан</w:t>
            </w:r>
          </w:p>
        </w:tc>
        <w:tc>
          <w:tcPr>
            <w:tcW w:w="1190" w:type="dxa"/>
          </w:tcPr>
          <w:p w14:paraId="7DCAB89E" w14:textId="77777777" w:rsidR="00154E9A" w:rsidRDefault="00154E9A" w:rsidP="00154E9A">
            <w:pPr>
              <w:spacing w:line="240" w:lineRule="auto"/>
              <w:rPr>
                <w:rFonts w:eastAsia="Times New Roman" w:cs="Arial"/>
                <w:sz w:val="24"/>
                <w:szCs w:val="24"/>
              </w:rPr>
            </w:pPr>
          </w:p>
        </w:tc>
        <w:tc>
          <w:tcPr>
            <w:tcW w:w="1408" w:type="dxa"/>
          </w:tcPr>
          <w:p w14:paraId="6519940F" w14:textId="535EB7F3" w:rsidR="00154E9A" w:rsidRDefault="00154E9A" w:rsidP="00154E9A">
            <w:pPr>
              <w:spacing w:line="240" w:lineRule="auto"/>
              <w:rPr>
                <w:rFonts w:eastAsia="Times New Roman" w:cs="Arial"/>
                <w:sz w:val="24"/>
                <w:szCs w:val="24"/>
              </w:rPr>
            </w:pPr>
            <w:r>
              <w:t>Сърбеж, обрив</w:t>
            </w:r>
          </w:p>
        </w:tc>
        <w:tc>
          <w:tcPr>
            <w:tcW w:w="2127" w:type="dxa"/>
          </w:tcPr>
          <w:p w14:paraId="2151FDA9" w14:textId="73C3C7BB" w:rsidR="00154E9A" w:rsidRDefault="00154E9A" w:rsidP="00154E9A">
            <w:pPr>
              <w:spacing w:line="240" w:lineRule="auto"/>
              <w:rPr>
                <w:rFonts w:eastAsia="Times New Roman" w:cs="Arial"/>
                <w:sz w:val="24"/>
                <w:szCs w:val="24"/>
              </w:rPr>
            </w:pPr>
            <w:r>
              <w:t>Ангиоедем, псориазис, хиперхидроза, екзема, акне, суха кожа, нарушения на кожата</w:t>
            </w:r>
          </w:p>
        </w:tc>
        <w:tc>
          <w:tcPr>
            <w:tcW w:w="1369" w:type="dxa"/>
          </w:tcPr>
          <w:p w14:paraId="617CF9AF" w14:textId="38D244B3" w:rsidR="00154E9A" w:rsidRDefault="00154E9A" w:rsidP="00154E9A">
            <w:pPr>
              <w:spacing w:line="240" w:lineRule="auto"/>
              <w:rPr>
                <w:rFonts w:eastAsia="Times New Roman" w:cs="Arial"/>
                <w:sz w:val="24"/>
                <w:szCs w:val="24"/>
              </w:rPr>
            </w:pPr>
            <w:r>
              <w:t>Псориазис, дерматит</w:t>
            </w:r>
          </w:p>
        </w:tc>
        <w:tc>
          <w:tcPr>
            <w:tcW w:w="1980" w:type="dxa"/>
            <w:vAlign w:val="bottom"/>
          </w:tcPr>
          <w:p w14:paraId="12839EBF" w14:textId="75A252ED" w:rsidR="00154E9A" w:rsidRDefault="00154E9A" w:rsidP="00154E9A">
            <w:pPr>
              <w:spacing w:line="240" w:lineRule="auto"/>
              <w:rPr>
                <w:rFonts w:eastAsia="Times New Roman" w:cs="Arial"/>
                <w:sz w:val="24"/>
                <w:szCs w:val="24"/>
              </w:rPr>
            </w:pPr>
            <w:r>
              <w:t>Алопеция, уртикария, синдром на Стивън- Джонсън, токсична епидермална некролиза, еритема мултиформе*, псориазиформен дерматит*</w:t>
            </w:r>
          </w:p>
        </w:tc>
      </w:tr>
      <w:tr w:rsidR="00154E9A" w14:paraId="2CDA95EC" w14:textId="77777777" w:rsidTr="00154E9A">
        <w:tc>
          <w:tcPr>
            <w:tcW w:w="1502" w:type="dxa"/>
            <w:vAlign w:val="bottom"/>
          </w:tcPr>
          <w:p w14:paraId="31DE2D85" w14:textId="4382A3CE" w:rsidR="00154E9A" w:rsidRDefault="00154E9A" w:rsidP="00154E9A">
            <w:pPr>
              <w:spacing w:line="240" w:lineRule="auto"/>
              <w:rPr>
                <w:rFonts w:eastAsia="Times New Roman" w:cs="Arial"/>
                <w:sz w:val="24"/>
                <w:szCs w:val="24"/>
              </w:rPr>
            </w:pPr>
            <w:r>
              <w:t>Нарушения на мускулно- скелетната система и съединител ната тъкан</w:t>
            </w:r>
          </w:p>
        </w:tc>
        <w:tc>
          <w:tcPr>
            <w:tcW w:w="1190" w:type="dxa"/>
          </w:tcPr>
          <w:p w14:paraId="33851219" w14:textId="77777777" w:rsidR="00154E9A" w:rsidRDefault="00154E9A" w:rsidP="00154E9A">
            <w:pPr>
              <w:spacing w:line="240" w:lineRule="auto"/>
              <w:rPr>
                <w:rFonts w:eastAsia="Times New Roman" w:cs="Arial"/>
                <w:sz w:val="24"/>
                <w:szCs w:val="24"/>
              </w:rPr>
            </w:pPr>
          </w:p>
        </w:tc>
        <w:tc>
          <w:tcPr>
            <w:tcW w:w="1408" w:type="dxa"/>
            <w:vAlign w:val="bottom"/>
          </w:tcPr>
          <w:p w14:paraId="13140733" w14:textId="05D2F35A" w:rsidR="00154E9A" w:rsidRDefault="00154E9A" w:rsidP="00154E9A">
            <w:pPr>
              <w:spacing w:line="240" w:lineRule="auto"/>
              <w:rPr>
                <w:rFonts w:eastAsia="Times New Roman" w:cs="Arial"/>
                <w:sz w:val="24"/>
                <w:szCs w:val="24"/>
              </w:rPr>
            </w:pPr>
            <w:r>
              <w:t>Болки в гърба, мускулни спазми, болки в крайницит е</w:t>
            </w:r>
          </w:p>
        </w:tc>
        <w:tc>
          <w:tcPr>
            <w:tcW w:w="2127" w:type="dxa"/>
          </w:tcPr>
          <w:p w14:paraId="0264F943" w14:textId="08CE6B30" w:rsidR="00154E9A" w:rsidRDefault="00154E9A" w:rsidP="00154E9A">
            <w:pPr>
              <w:spacing w:line="240" w:lineRule="auto"/>
              <w:rPr>
                <w:rFonts w:eastAsia="Times New Roman" w:cs="Arial"/>
                <w:sz w:val="24"/>
                <w:szCs w:val="24"/>
              </w:rPr>
            </w:pPr>
            <w:r>
              <w:t>Артралгия, болка в кости, остеоартрит</w:t>
            </w:r>
          </w:p>
        </w:tc>
        <w:tc>
          <w:tcPr>
            <w:tcW w:w="1369" w:type="dxa"/>
          </w:tcPr>
          <w:p w14:paraId="76BB289F" w14:textId="77777777" w:rsidR="00154E9A" w:rsidRDefault="00154E9A" w:rsidP="00154E9A">
            <w:pPr>
              <w:spacing w:line="240" w:lineRule="auto"/>
              <w:rPr>
                <w:rFonts w:eastAsia="Times New Roman" w:cs="Arial"/>
                <w:sz w:val="24"/>
                <w:szCs w:val="24"/>
              </w:rPr>
            </w:pPr>
          </w:p>
        </w:tc>
        <w:tc>
          <w:tcPr>
            <w:tcW w:w="1980" w:type="dxa"/>
          </w:tcPr>
          <w:p w14:paraId="05125F31" w14:textId="71F2B958" w:rsidR="00154E9A" w:rsidRDefault="00154E9A" w:rsidP="00154E9A">
            <w:pPr>
              <w:spacing w:line="240" w:lineRule="auto"/>
              <w:rPr>
                <w:rFonts w:eastAsia="Times New Roman" w:cs="Arial"/>
                <w:sz w:val="24"/>
                <w:szCs w:val="24"/>
              </w:rPr>
            </w:pPr>
            <w:r>
              <w:t>Миалгия</w:t>
            </w:r>
          </w:p>
        </w:tc>
      </w:tr>
      <w:tr w:rsidR="00154E9A" w14:paraId="6484A876" w14:textId="77777777" w:rsidTr="00154E9A">
        <w:tc>
          <w:tcPr>
            <w:tcW w:w="1502" w:type="dxa"/>
            <w:vAlign w:val="bottom"/>
          </w:tcPr>
          <w:p w14:paraId="58B63E46" w14:textId="07BD6BEB" w:rsidR="00154E9A" w:rsidRDefault="00154E9A" w:rsidP="00154E9A">
            <w:pPr>
              <w:spacing w:line="240" w:lineRule="auto"/>
              <w:rPr>
                <w:rFonts w:eastAsia="Times New Roman" w:cs="Arial"/>
                <w:sz w:val="24"/>
                <w:szCs w:val="24"/>
              </w:rPr>
            </w:pPr>
            <w:r>
              <w:t xml:space="preserve">Нарушения на бъбреците и </w:t>
            </w:r>
            <w:r>
              <w:rPr>
                <w:i/>
                <w:iCs/>
              </w:rPr>
              <w:t xml:space="preserve">пикочните </w:t>
            </w:r>
            <w:r>
              <w:t>пътища</w:t>
            </w:r>
          </w:p>
        </w:tc>
        <w:tc>
          <w:tcPr>
            <w:tcW w:w="1190" w:type="dxa"/>
          </w:tcPr>
          <w:p w14:paraId="627FDE77" w14:textId="77777777" w:rsidR="00154E9A" w:rsidRDefault="00154E9A" w:rsidP="00154E9A">
            <w:pPr>
              <w:spacing w:line="240" w:lineRule="auto"/>
              <w:rPr>
                <w:rFonts w:eastAsia="Times New Roman" w:cs="Arial"/>
                <w:sz w:val="24"/>
                <w:szCs w:val="24"/>
              </w:rPr>
            </w:pPr>
          </w:p>
        </w:tc>
        <w:tc>
          <w:tcPr>
            <w:tcW w:w="1408" w:type="dxa"/>
          </w:tcPr>
          <w:p w14:paraId="5E866FAB" w14:textId="77777777" w:rsidR="00154E9A" w:rsidRDefault="00154E9A" w:rsidP="00154E9A">
            <w:pPr>
              <w:spacing w:line="240" w:lineRule="auto"/>
              <w:rPr>
                <w:rFonts w:eastAsia="Times New Roman" w:cs="Arial"/>
                <w:sz w:val="24"/>
                <w:szCs w:val="24"/>
              </w:rPr>
            </w:pPr>
          </w:p>
        </w:tc>
        <w:tc>
          <w:tcPr>
            <w:tcW w:w="2127" w:type="dxa"/>
            <w:vAlign w:val="bottom"/>
          </w:tcPr>
          <w:p w14:paraId="6676D74C" w14:textId="08E1CF18" w:rsidR="00154E9A" w:rsidRDefault="00154E9A" w:rsidP="00154E9A">
            <w:pPr>
              <w:spacing w:line="240" w:lineRule="auto"/>
              <w:rPr>
                <w:rFonts w:eastAsia="Times New Roman" w:cs="Arial"/>
                <w:sz w:val="24"/>
                <w:szCs w:val="24"/>
              </w:rPr>
            </w:pPr>
            <w:r>
              <w:t>Бъбречна недостатъчност, азотемия, полиурия, полакиурия</w:t>
            </w:r>
          </w:p>
        </w:tc>
        <w:tc>
          <w:tcPr>
            <w:tcW w:w="1369" w:type="dxa"/>
          </w:tcPr>
          <w:p w14:paraId="782E7930" w14:textId="77777777" w:rsidR="00154E9A" w:rsidRDefault="00154E9A" w:rsidP="00154E9A">
            <w:pPr>
              <w:spacing w:line="240" w:lineRule="auto"/>
              <w:rPr>
                <w:rFonts w:eastAsia="Times New Roman" w:cs="Arial"/>
                <w:sz w:val="24"/>
                <w:szCs w:val="24"/>
              </w:rPr>
            </w:pPr>
          </w:p>
        </w:tc>
        <w:tc>
          <w:tcPr>
            <w:tcW w:w="1980" w:type="dxa"/>
          </w:tcPr>
          <w:p w14:paraId="29EC2CEF" w14:textId="77777777" w:rsidR="00154E9A" w:rsidRDefault="00154E9A" w:rsidP="00154E9A">
            <w:pPr>
              <w:spacing w:line="240" w:lineRule="auto"/>
              <w:rPr>
                <w:rFonts w:eastAsia="Times New Roman" w:cs="Arial"/>
                <w:sz w:val="24"/>
                <w:szCs w:val="24"/>
              </w:rPr>
            </w:pPr>
          </w:p>
        </w:tc>
      </w:tr>
      <w:tr w:rsidR="00154E9A" w14:paraId="20B88582" w14:textId="77777777" w:rsidTr="00154E9A">
        <w:tc>
          <w:tcPr>
            <w:tcW w:w="1502" w:type="dxa"/>
            <w:vAlign w:val="bottom"/>
          </w:tcPr>
          <w:p w14:paraId="503F9653" w14:textId="59D29273" w:rsidR="00154E9A" w:rsidRDefault="00154E9A" w:rsidP="00154E9A">
            <w:pPr>
              <w:spacing w:line="240" w:lineRule="auto"/>
              <w:rPr>
                <w:rFonts w:eastAsia="Times New Roman" w:cs="Arial"/>
                <w:sz w:val="24"/>
                <w:szCs w:val="24"/>
              </w:rPr>
            </w:pPr>
            <w:r>
              <w:t>Нарушения на възпроизво дителната система и гърдата</w:t>
            </w:r>
          </w:p>
        </w:tc>
        <w:tc>
          <w:tcPr>
            <w:tcW w:w="1190" w:type="dxa"/>
          </w:tcPr>
          <w:p w14:paraId="3276D7BA" w14:textId="77777777" w:rsidR="00154E9A" w:rsidRDefault="00154E9A" w:rsidP="00154E9A">
            <w:pPr>
              <w:spacing w:line="240" w:lineRule="auto"/>
              <w:rPr>
                <w:rFonts w:eastAsia="Times New Roman" w:cs="Arial"/>
                <w:sz w:val="24"/>
                <w:szCs w:val="24"/>
              </w:rPr>
            </w:pPr>
          </w:p>
        </w:tc>
        <w:tc>
          <w:tcPr>
            <w:tcW w:w="1408" w:type="dxa"/>
          </w:tcPr>
          <w:p w14:paraId="143ED1CA" w14:textId="7E493198" w:rsidR="00154E9A" w:rsidRDefault="00154E9A" w:rsidP="00154E9A">
            <w:pPr>
              <w:spacing w:line="240" w:lineRule="auto"/>
              <w:rPr>
                <w:rFonts w:eastAsia="Times New Roman" w:cs="Arial"/>
                <w:sz w:val="24"/>
                <w:szCs w:val="24"/>
              </w:rPr>
            </w:pPr>
            <w:r>
              <w:t>Еректилна дисфункци я</w:t>
            </w:r>
          </w:p>
        </w:tc>
        <w:tc>
          <w:tcPr>
            <w:tcW w:w="2127" w:type="dxa"/>
          </w:tcPr>
          <w:p w14:paraId="4902F658" w14:textId="77777777" w:rsidR="00154E9A" w:rsidRDefault="00154E9A" w:rsidP="00154E9A">
            <w:pPr>
              <w:spacing w:line="240" w:lineRule="auto"/>
              <w:rPr>
                <w:rFonts w:eastAsia="Times New Roman" w:cs="Arial"/>
                <w:sz w:val="24"/>
                <w:szCs w:val="24"/>
              </w:rPr>
            </w:pPr>
          </w:p>
        </w:tc>
        <w:tc>
          <w:tcPr>
            <w:tcW w:w="1369" w:type="dxa"/>
          </w:tcPr>
          <w:p w14:paraId="11B15E25" w14:textId="77777777" w:rsidR="00154E9A" w:rsidRDefault="00154E9A" w:rsidP="00154E9A">
            <w:pPr>
              <w:spacing w:line="240" w:lineRule="auto"/>
              <w:rPr>
                <w:rFonts w:eastAsia="Times New Roman" w:cs="Arial"/>
                <w:sz w:val="24"/>
                <w:szCs w:val="24"/>
              </w:rPr>
            </w:pPr>
          </w:p>
        </w:tc>
        <w:tc>
          <w:tcPr>
            <w:tcW w:w="1980" w:type="dxa"/>
            <w:vAlign w:val="bottom"/>
          </w:tcPr>
          <w:p w14:paraId="5C75728D" w14:textId="77777777" w:rsidR="00154E9A" w:rsidRDefault="00154E9A" w:rsidP="00154E9A">
            <w:pPr>
              <w:spacing w:line="240" w:lineRule="auto"/>
              <w:rPr>
                <w:rFonts w:eastAsia="Times New Roman" w:cs="Arial"/>
                <w:sz w:val="24"/>
                <w:szCs w:val="24"/>
              </w:rPr>
            </w:pPr>
          </w:p>
        </w:tc>
      </w:tr>
      <w:tr w:rsidR="00154E9A" w14:paraId="7DC3E36B" w14:textId="77777777" w:rsidTr="00154E9A">
        <w:tc>
          <w:tcPr>
            <w:tcW w:w="1502" w:type="dxa"/>
            <w:vAlign w:val="bottom"/>
          </w:tcPr>
          <w:p w14:paraId="61E6907C" w14:textId="69BF5CF6" w:rsidR="00154E9A" w:rsidRPr="00154E9A" w:rsidRDefault="00154E9A" w:rsidP="00154E9A">
            <w:pPr>
              <w:rPr>
                <w:sz w:val="24"/>
                <w:szCs w:val="24"/>
              </w:rPr>
            </w:pPr>
            <w:r>
              <w:t xml:space="preserve">Вродени, фамилни и </w:t>
            </w:r>
            <w:r w:rsidRPr="00154E9A">
              <w:rPr>
                <w:color w:val="000000"/>
                <w:lang w:eastAsia="bg-BG"/>
              </w:rPr>
              <w:lastRenderedPageBreak/>
              <w:t>генетични нарушения</w:t>
            </w:r>
          </w:p>
        </w:tc>
        <w:tc>
          <w:tcPr>
            <w:tcW w:w="1190" w:type="dxa"/>
          </w:tcPr>
          <w:p w14:paraId="6541D117" w14:textId="77777777" w:rsidR="00154E9A" w:rsidRDefault="00154E9A" w:rsidP="00154E9A">
            <w:pPr>
              <w:spacing w:line="240" w:lineRule="auto"/>
              <w:rPr>
                <w:rFonts w:eastAsia="Times New Roman" w:cs="Arial"/>
                <w:sz w:val="24"/>
                <w:szCs w:val="24"/>
              </w:rPr>
            </w:pPr>
          </w:p>
        </w:tc>
        <w:tc>
          <w:tcPr>
            <w:tcW w:w="1408" w:type="dxa"/>
          </w:tcPr>
          <w:p w14:paraId="28FF5CB6" w14:textId="77777777" w:rsidR="00154E9A" w:rsidRDefault="00154E9A" w:rsidP="00154E9A">
            <w:pPr>
              <w:spacing w:line="240" w:lineRule="auto"/>
              <w:rPr>
                <w:rFonts w:eastAsia="Times New Roman" w:cs="Arial"/>
                <w:sz w:val="24"/>
                <w:szCs w:val="24"/>
              </w:rPr>
            </w:pPr>
          </w:p>
        </w:tc>
        <w:tc>
          <w:tcPr>
            <w:tcW w:w="2127" w:type="dxa"/>
            <w:vAlign w:val="bottom"/>
          </w:tcPr>
          <w:p w14:paraId="67948789" w14:textId="71CDFD41" w:rsidR="00154E9A" w:rsidRPr="00154E9A" w:rsidRDefault="00154E9A" w:rsidP="00154E9A">
            <w:pPr>
              <w:rPr>
                <w:sz w:val="24"/>
                <w:szCs w:val="24"/>
              </w:rPr>
            </w:pPr>
            <w:r>
              <w:t xml:space="preserve">Вродени артериални </w:t>
            </w:r>
            <w:r w:rsidRPr="00154E9A">
              <w:rPr>
                <w:color w:val="000000"/>
                <w:lang w:eastAsia="bg-BG"/>
              </w:rPr>
              <w:lastRenderedPageBreak/>
              <w:t>малформации, ихтиоза</w:t>
            </w:r>
          </w:p>
        </w:tc>
        <w:tc>
          <w:tcPr>
            <w:tcW w:w="1369" w:type="dxa"/>
          </w:tcPr>
          <w:p w14:paraId="48206F4E" w14:textId="77777777" w:rsidR="00154E9A" w:rsidRDefault="00154E9A" w:rsidP="00154E9A">
            <w:pPr>
              <w:spacing w:line="240" w:lineRule="auto"/>
              <w:rPr>
                <w:rFonts w:eastAsia="Times New Roman" w:cs="Arial"/>
                <w:sz w:val="24"/>
                <w:szCs w:val="24"/>
              </w:rPr>
            </w:pPr>
          </w:p>
        </w:tc>
        <w:tc>
          <w:tcPr>
            <w:tcW w:w="1980" w:type="dxa"/>
            <w:vAlign w:val="bottom"/>
          </w:tcPr>
          <w:p w14:paraId="1F5AE9B1" w14:textId="77777777" w:rsidR="00154E9A" w:rsidRDefault="00154E9A" w:rsidP="00154E9A">
            <w:pPr>
              <w:spacing w:line="240" w:lineRule="auto"/>
              <w:rPr>
                <w:rFonts w:eastAsia="Times New Roman" w:cs="Arial"/>
                <w:sz w:val="24"/>
                <w:szCs w:val="24"/>
              </w:rPr>
            </w:pPr>
          </w:p>
        </w:tc>
      </w:tr>
      <w:tr w:rsidR="00154E9A" w14:paraId="13A55E5F" w14:textId="77777777" w:rsidTr="00154E9A">
        <w:tc>
          <w:tcPr>
            <w:tcW w:w="1502" w:type="dxa"/>
          </w:tcPr>
          <w:p w14:paraId="5EF881F2" w14:textId="21B5280F" w:rsidR="00154E9A" w:rsidRDefault="00154E9A" w:rsidP="00154E9A">
            <w:pPr>
              <w:spacing w:line="240" w:lineRule="auto"/>
              <w:rPr>
                <w:rFonts w:eastAsia="Times New Roman" w:cs="Arial"/>
                <w:sz w:val="24"/>
                <w:szCs w:val="24"/>
              </w:rPr>
            </w:pPr>
            <w:r>
              <w:t>Общи нарушения и ефекти на мястото на приложение</w:t>
            </w:r>
          </w:p>
        </w:tc>
        <w:tc>
          <w:tcPr>
            <w:tcW w:w="1190" w:type="dxa"/>
          </w:tcPr>
          <w:p w14:paraId="7E9E0756" w14:textId="3DCE991F" w:rsidR="00154E9A" w:rsidRDefault="00154E9A" w:rsidP="00154E9A">
            <w:pPr>
              <w:spacing w:line="240" w:lineRule="auto"/>
              <w:rPr>
                <w:rFonts w:eastAsia="Times New Roman" w:cs="Arial"/>
                <w:sz w:val="24"/>
                <w:szCs w:val="24"/>
              </w:rPr>
            </w:pPr>
            <w:r>
              <w:t>Астени я</w:t>
            </w:r>
          </w:p>
        </w:tc>
        <w:tc>
          <w:tcPr>
            <w:tcW w:w="1408" w:type="dxa"/>
          </w:tcPr>
          <w:p w14:paraId="0F8C7A10" w14:textId="39D513A7" w:rsidR="00154E9A" w:rsidRDefault="00154E9A" w:rsidP="00154E9A">
            <w:pPr>
              <w:spacing w:line="240" w:lineRule="auto"/>
              <w:rPr>
                <w:rFonts w:eastAsia="Times New Roman" w:cs="Arial"/>
                <w:sz w:val="24"/>
                <w:szCs w:val="24"/>
              </w:rPr>
            </w:pPr>
            <w:r>
              <w:t>Неразполо жения, болка в гърдите, периферен оток, непривичн о усещане</w:t>
            </w:r>
          </w:p>
        </w:tc>
        <w:tc>
          <w:tcPr>
            <w:tcW w:w="2127" w:type="dxa"/>
          </w:tcPr>
          <w:p w14:paraId="1B336931" w14:textId="3E5FBBE5" w:rsidR="00154E9A" w:rsidRDefault="00154E9A" w:rsidP="00154E9A">
            <w:pPr>
              <w:spacing w:line="240" w:lineRule="auto"/>
              <w:rPr>
                <w:rFonts w:eastAsia="Times New Roman" w:cs="Arial"/>
                <w:sz w:val="24"/>
                <w:szCs w:val="24"/>
              </w:rPr>
            </w:pPr>
            <w:r>
              <w:t>Оток, умора</w:t>
            </w:r>
          </w:p>
        </w:tc>
        <w:tc>
          <w:tcPr>
            <w:tcW w:w="1369" w:type="dxa"/>
          </w:tcPr>
          <w:p w14:paraId="1E574B2E" w14:textId="77777777" w:rsidR="00154E9A" w:rsidRDefault="00154E9A" w:rsidP="00154E9A">
            <w:pPr>
              <w:spacing w:line="240" w:lineRule="auto"/>
              <w:rPr>
                <w:rFonts w:eastAsia="Times New Roman" w:cs="Arial"/>
                <w:sz w:val="24"/>
                <w:szCs w:val="24"/>
              </w:rPr>
            </w:pPr>
          </w:p>
        </w:tc>
        <w:tc>
          <w:tcPr>
            <w:tcW w:w="1980" w:type="dxa"/>
          </w:tcPr>
          <w:p w14:paraId="15EBD70A" w14:textId="79B80BF1" w:rsidR="00154E9A" w:rsidRDefault="00154E9A" w:rsidP="00154E9A">
            <w:pPr>
              <w:spacing w:line="240" w:lineRule="auto"/>
              <w:rPr>
                <w:rFonts w:eastAsia="Times New Roman" w:cs="Arial"/>
                <w:sz w:val="24"/>
                <w:szCs w:val="24"/>
              </w:rPr>
            </w:pPr>
            <w:r>
              <w:t>Пирексия</w:t>
            </w:r>
          </w:p>
        </w:tc>
      </w:tr>
      <w:tr w:rsidR="00154E9A" w14:paraId="23E3CE05" w14:textId="77777777" w:rsidTr="00154E9A">
        <w:tc>
          <w:tcPr>
            <w:tcW w:w="1502" w:type="dxa"/>
          </w:tcPr>
          <w:p w14:paraId="4A221DC8" w14:textId="24AF0EE5" w:rsidR="00154E9A" w:rsidRDefault="00154E9A" w:rsidP="00154E9A">
            <w:pPr>
              <w:spacing w:line="240" w:lineRule="auto"/>
              <w:rPr>
                <w:rFonts w:eastAsia="Times New Roman" w:cs="Arial"/>
                <w:sz w:val="24"/>
                <w:szCs w:val="24"/>
              </w:rPr>
            </w:pPr>
            <w:r>
              <w:t>Изследвани я</w:t>
            </w:r>
          </w:p>
        </w:tc>
        <w:tc>
          <w:tcPr>
            <w:tcW w:w="1190" w:type="dxa"/>
          </w:tcPr>
          <w:p w14:paraId="19DD4F22" w14:textId="77777777" w:rsidR="00154E9A" w:rsidRDefault="00154E9A" w:rsidP="00154E9A">
            <w:pPr>
              <w:spacing w:line="240" w:lineRule="auto"/>
              <w:rPr>
                <w:rFonts w:eastAsia="Times New Roman" w:cs="Arial"/>
                <w:sz w:val="24"/>
                <w:szCs w:val="24"/>
              </w:rPr>
            </w:pPr>
          </w:p>
        </w:tc>
        <w:tc>
          <w:tcPr>
            <w:tcW w:w="1408" w:type="dxa"/>
          </w:tcPr>
          <w:p w14:paraId="5A319E25" w14:textId="77777777" w:rsidR="00154E9A" w:rsidRDefault="00154E9A" w:rsidP="00154E9A">
            <w:pPr>
              <w:spacing w:line="240" w:lineRule="auto"/>
              <w:rPr>
                <w:rFonts w:eastAsia="Times New Roman" w:cs="Arial"/>
                <w:sz w:val="24"/>
                <w:szCs w:val="24"/>
              </w:rPr>
            </w:pPr>
          </w:p>
        </w:tc>
        <w:tc>
          <w:tcPr>
            <w:tcW w:w="2127" w:type="dxa"/>
          </w:tcPr>
          <w:p w14:paraId="3C8CE6A1" w14:textId="6ADB21DC" w:rsidR="00154E9A" w:rsidRDefault="00154E9A" w:rsidP="00154E9A">
            <w:pPr>
              <w:spacing w:line="240" w:lineRule="auto"/>
              <w:rPr>
                <w:rFonts w:eastAsia="Times New Roman" w:cs="Arial"/>
                <w:sz w:val="24"/>
                <w:szCs w:val="24"/>
              </w:rPr>
            </w:pPr>
            <w:r>
              <w:t>Хипербилирубине мия</w:t>
            </w:r>
          </w:p>
        </w:tc>
        <w:tc>
          <w:tcPr>
            <w:tcW w:w="1369" w:type="dxa"/>
          </w:tcPr>
          <w:p w14:paraId="04788BA1" w14:textId="73AED760" w:rsidR="00154E9A" w:rsidRDefault="00154E9A" w:rsidP="00154E9A">
            <w:pPr>
              <w:spacing w:line="240" w:lineRule="auto"/>
              <w:rPr>
                <w:rFonts w:eastAsia="Times New Roman" w:cs="Arial"/>
                <w:sz w:val="24"/>
                <w:szCs w:val="24"/>
              </w:rPr>
            </w:pPr>
            <w:r>
              <w:t>Повишен калий в кръвта, повишена гама глутамилтран сфераза, повишена липаза, повишен имуноглобул ин</w:t>
            </w:r>
          </w:p>
        </w:tc>
        <w:tc>
          <w:tcPr>
            <w:tcW w:w="1980" w:type="dxa"/>
          </w:tcPr>
          <w:p w14:paraId="1F914A80" w14:textId="158971CB" w:rsidR="00154E9A" w:rsidRDefault="00154E9A" w:rsidP="00154E9A">
            <w:pPr>
              <w:spacing w:line="240" w:lineRule="auto"/>
              <w:rPr>
                <w:rFonts w:eastAsia="Times New Roman" w:cs="Arial"/>
                <w:sz w:val="24"/>
                <w:szCs w:val="24"/>
              </w:rPr>
            </w:pPr>
            <w:r>
              <w:t>Понижен брой тромбоцити, повишен креатинин в кръвта, повишена урея в кръвта, повишена алкална фосфатаза в кръвта, повишена лактат дехидрогеназа в кръвта, повишена аспартат аминотрансфераза, повишена аланин аминотрансфераза, повишени чернодробни ензими, намален хемоглобин, намален хематокрит, отклонения в електрокардиограма</w:t>
            </w:r>
          </w:p>
        </w:tc>
      </w:tr>
      <w:tr w:rsidR="00154E9A" w14:paraId="5E845BF1" w14:textId="77777777" w:rsidTr="00154E9A">
        <w:tc>
          <w:tcPr>
            <w:tcW w:w="1502" w:type="dxa"/>
          </w:tcPr>
          <w:p w14:paraId="75634E29" w14:textId="54DF2C39" w:rsidR="00154E9A" w:rsidRDefault="00154E9A" w:rsidP="00154E9A">
            <w:pPr>
              <w:spacing w:line="240" w:lineRule="auto"/>
              <w:rPr>
                <w:rFonts w:eastAsia="Times New Roman" w:cs="Arial"/>
                <w:sz w:val="24"/>
                <w:szCs w:val="24"/>
              </w:rPr>
            </w:pPr>
            <w:r>
              <w:t>Наранява</w:t>
            </w:r>
            <w:r>
              <w:softHyphen/>
              <w:t>ния, отравяния и усложне</w:t>
            </w:r>
            <w:r>
              <w:softHyphen/>
              <w:t>ния, възникнали в резултат на интервенци и</w:t>
            </w:r>
          </w:p>
        </w:tc>
        <w:tc>
          <w:tcPr>
            <w:tcW w:w="1190" w:type="dxa"/>
          </w:tcPr>
          <w:p w14:paraId="7DBA6B82" w14:textId="77777777" w:rsidR="00154E9A" w:rsidRDefault="00154E9A" w:rsidP="00154E9A">
            <w:pPr>
              <w:spacing w:line="240" w:lineRule="auto"/>
              <w:rPr>
                <w:rFonts w:eastAsia="Times New Roman" w:cs="Arial"/>
                <w:sz w:val="24"/>
                <w:szCs w:val="24"/>
              </w:rPr>
            </w:pPr>
          </w:p>
        </w:tc>
        <w:tc>
          <w:tcPr>
            <w:tcW w:w="1408" w:type="dxa"/>
          </w:tcPr>
          <w:p w14:paraId="73BB5ABA" w14:textId="77777777" w:rsidR="00154E9A" w:rsidRDefault="00154E9A" w:rsidP="00154E9A">
            <w:pPr>
              <w:spacing w:line="240" w:lineRule="auto"/>
              <w:rPr>
                <w:rFonts w:eastAsia="Times New Roman" w:cs="Arial"/>
                <w:sz w:val="24"/>
                <w:szCs w:val="24"/>
              </w:rPr>
            </w:pPr>
          </w:p>
        </w:tc>
        <w:tc>
          <w:tcPr>
            <w:tcW w:w="2127" w:type="dxa"/>
          </w:tcPr>
          <w:p w14:paraId="75947F30" w14:textId="10B05862" w:rsidR="00154E9A" w:rsidRDefault="00154E9A" w:rsidP="00154E9A">
            <w:pPr>
              <w:spacing w:line="240" w:lineRule="auto"/>
              <w:rPr>
                <w:rFonts w:eastAsia="Times New Roman" w:cs="Arial"/>
                <w:sz w:val="24"/>
                <w:szCs w:val="24"/>
              </w:rPr>
            </w:pPr>
            <w:r>
              <w:t>Нараняване</w:t>
            </w:r>
          </w:p>
        </w:tc>
        <w:tc>
          <w:tcPr>
            <w:tcW w:w="1369" w:type="dxa"/>
          </w:tcPr>
          <w:p w14:paraId="5CE04ABF" w14:textId="77777777" w:rsidR="00154E9A" w:rsidRDefault="00154E9A" w:rsidP="00154E9A">
            <w:pPr>
              <w:spacing w:line="240" w:lineRule="auto"/>
              <w:rPr>
                <w:rFonts w:eastAsia="Times New Roman" w:cs="Arial"/>
                <w:sz w:val="24"/>
                <w:szCs w:val="24"/>
              </w:rPr>
            </w:pPr>
          </w:p>
        </w:tc>
        <w:tc>
          <w:tcPr>
            <w:tcW w:w="1980" w:type="dxa"/>
          </w:tcPr>
          <w:p w14:paraId="23A07A66" w14:textId="77777777" w:rsidR="00154E9A" w:rsidRDefault="00154E9A" w:rsidP="00154E9A">
            <w:pPr>
              <w:spacing w:line="240" w:lineRule="auto"/>
              <w:rPr>
                <w:rFonts w:eastAsia="Times New Roman" w:cs="Arial"/>
                <w:sz w:val="24"/>
                <w:szCs w:val="24"/>
              </w:rPr>
            </w:pPr>
          </w:p>
        </w:tc>
      </w:tr>
    </w:tbl>
    <w:p w14:paraId="70EC9F21" w14:textId="77777777" w:rsidR="00F07F0E" w:rsidRPr="00F07F0E" w:rsidRDefault="00F07F0E" w:rsidP="00F07F0E">
      <w:pPr>
        <w:spacing w:line="240" w:lineRule="auto"/>
        <w:rPr>
          <w:rFonts w:eastAsia="Times New Roman" w:cs="Arial"/>
          <w:sz w:val="24"/>
          <w:szCs w:val="24"/>
        </w:rPr>
      </w:pPr>
    </w:p>
    <w:p w14:paraId="661F36A1" w14:textId="77777777" w:rsidR="00154E9A" w:rsidRPr="00154E9A" w:rsidRDefault="00154E9A" w:rsidP="00154E9A">
      <w:pPr>
        <w:spacing w:line="240" w:lineRule="auto"/>
        <w:rPr>
          <w:rFonts w:eastAsia="Times New Roman" w:cs="Arial"/>
        </w:rPr>
      </w:pPr>
      <w:r w:rsidRPr="00154E9A">
        <w:rPr>
          <w:rFonts w:eastAsia="Times New Roman" w:cs="Arial"/>
          <w:i/>
          <w:iCs/>
          <w:color w:val="000000"/>
          <w:lang w:eastAsia="bg-BG"/>
        </w:rPr>
        <w:t>*Показва АСЕ</w:t>
      </w:r>
      <w:r w:rsidRPr="00154E9A">
        <w:rPr>
          <w:rFonts w:eastAsia="Times New Roman" w:cs="Arial"/>
          <w:i/>
          <w:iCs/>
          <w:color w:val="000000"/>
          <w:lang w:val="en-US"/>
        </w:rPr>
        <w:t>I</w:t>
      </w:r>
      <w:r w:rsidRPr="00154E9A">
        <w:rPr>
          <w:rFonts w:eastAsia="Times New Roman" w:cs="Arial"/>
          <w:i/>
          <w:iCs/>
          <w:color w:val="000000"/>
          <w:lang w:eastAsia="bg-BG"/>
        </w:rPr>
        <w:t xml:space="preserve"> клас нежелани лекарствени реакции</w:t>
      </w:r>
    </w:p>
    <w:p w14:paraId="2A54C2D8" w14:textId="77777777" w:rsidR="00154E9A" w:rsidRPr="00154E9A" w:rsidRDefault="00154E9A" w:rsidP="00154E9A">
      <w:pPr>
        <w:spacing w:line="240" w:lineRule="auto"/>
        <w:rPr>
          <w:rFonts w:eastAsia="Times New Roman" w:cs="Arial"/>
          <w:color w:val="000000"/>
          <w:u w:val="single"/>
          <w:lang w:eastAsia="bg-BG"/>
        </w:rPr>
      </w:pPr>
    </w:p>
    <w:p w14:paraId="567FB82C" w14:textId="2C99FB91" w:rsidR="00154E9A" w:rsidRPr="00154E9A" w:rsidRDefault="00154E9A" w:rsidP="00154E9A">
      <w:pPr>
        <w:spacing w:line="240" w:lineRule="auto"/>
        <w:rPr>
          <w:rFonts w:eastAsia="Times New Roman" w:cs="Arial"/>
        </w:rPr>
      </w:pPr>
      <w:r w:rsidRPr="00154E9A">
        <w:rPr>
          <w:rFonts w:eastAsia="Times New Roman" w:cs="Arial"/>
          <w:color w:val="000000"/>
          <w:u w:val="single"/>
          <w:lang w:eastAsia="bg-BG"/>
        </w:rPr>
        <w:t>Съобщаване на подозирани нежелани реакции</w:t>
      </w:r>
    </w:p>
    <w:p w14:paraId="7CC94938" w14:textId="77777777" w:rsidR="00154E9A" w:rsidRPr="00154E9A" w:rsidRDefault="00154E9A" w:rsidP="00154E9A">
      <w:pPr>
        <w:spacing w:line="240" w:lineRule="auto"/>
        <w:rPr>
          <w:rFonts w:eastAsia="Times New Roman" w:cs="Arial"/>
        </w:rPr>
      </w:pPr>
      <w:r w:rsidRPr="00154E9A">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националната система за съобщаване:</w:t>
      </w:r>
    </w:p>
    <w:p w14:paraId="39BCCA80" w14:textId="77777777" w:rsidR="00154E9A" w:rsidRPr="00154E9A" w:rsidRDefault="00154E9A" w:rsidP="00154E9A">
      <w:pPr>
        <w:spacing w:line="240" w:lineRule="auto"/>
        <w:rPr>
          <w:rFonts w:eastAsia="Times New Roman" w:cs="Arial"/>
          <w:color w:val="000000"/>
          <w:lang w:eastAsia="bg-BG"/>
        </w:rPr>
      </w:pPr>
    </w:p>
    <w:p w14:paraId="210A7725" w14:textId="77777777" w:rsidR="00154E9A" w:rsidRPr="00154E9A" w:rsidRDefault="00154E9A" w:rsidP="00154E9A">
      <w:pPr>
        <w:spacing w:line="240" w:lineRule="auto"/>
        <w:rPr>
          <w:rFonts w:eastAsia="Times New Roman" w:cs="Arial"/>
          <w:color w:val="000000"/>
          <w:lang w:eastAsia="bg-BG"/>
        </w:rPr>
      </w:pPr>
      <w:r w:rsidRPr="00154E9A">
        <w:rPr>
          <w:rFonts w:eastAsia="Times New Roman" w:cs="Arial"/>
          <w:color w:val="000000"/>
          <w:lang w:eastAsia="bg-BG"/>
        </w:rPr>
        <w:t xml:space="preserve">Изпълнителна агенция по лекарствата </w:t>
      </w:r>
    </w:p>
    <w:p w14:paraId="1CCE9EC0" w14:textId="77777777" w:rsidR="00154E9A" w:rsidRPr="00154E9A" w:rsidRDefault="00154E9A" w:rsidP="00154E9A">
      <w:pPr>
        <w:spacing w:line="240" w:lineRule="auto"/>
        <w:rPr>
          <w:rFonts w:eastAsia="Times New Roman" w:cs="Arial"/>
          <w:color w:val="000000"/>
          <w:lang w:eastAsia="bg-BG"/>
        </w:rPr>
      </w:pPr>
      <w:r w:rsidRPr="00154E9A">
        <w:rPr>
          <w:rFonts w:eastAsia="Times New Roman" w:cs="Arial"/>
          <w:color w:val="000000"/>
          <w:lang w:eastAsia="bg-BG"/>
        </w:rPr>
        <w:t xml:space="preserve">ул. „Дамян Груев” № 8 </w:t>
      </w:r>
    </w:p>
    <w:p w14:paraId="2BF10643" w14:textId="77777777" w:rsidR="00154E9A" w:rsidRPr="00154E9A" w:rsidRDefault="00154E9A" w:rsidP="00154E9A">
      <w:pPr>
        <w:spacing w:line="240" w:lineRule="auto"/>
        <w:rPr>
          <w:rFonts w:eastAsia="Times New Roman" w:cs="Arial"/>
          <w:color w:val="000000"/>
          <w:lang w:eastAsia="bg-BG"/>
        </w:rPr>
      </w:pPr>
      <w:r w:rsidRPr="00154E9A">
        <w:rPr>
          <w:rFonts w:eastAsia="Times New Roman" w:cs="Arial"/>
          <w:color w:val="000000"/>
          <w:lang w:eastAsia="bg-BG"/>
        </w:rPr>
        <w:t xml:space="preserve">1303 София </w:t>
      </w:r>
    </w:p>
    <w:p w14:paraId="408FA6EC" w14:textId="77777777" w:rsidR="00154E9A" w:rsidRPr="00154E9A" w:rsidRDefault="00154E9A" w:rsidP="00154E9A">
      <w:pPr>
        <w:spacing w:line="240" w:lineRule="auto"/>
        <w:rPr>
          <w:rFonts w:eastAsia="Times New Roman" w:cs="Arial"/>
          <w:color w:val="000000"/>
          <w:lang w:eastAsia="bg-BG"/>
        </w:rPr>
      </w:pPr>
      <w:r w:rsidRPr="00154E9A">
        <w:rPr>
          <w:rFonts w:eastAsia="Times New Roman" w:cs="Arial"/>
          <w:color w:val="000000"/>
          <w:lang w:eastAsia="bg-BG"/>
        </w:rPr>
        <w:t xml:space="preserve">Тел.:+359 2 8903417 </w:t>
      </w:r>
    </w:p>
    <w:p w14:paraId="510AF65C" w14:textId="5889FBD9" w:rsidR="00154E9A" w:rsidRPr="00154E9A" w:rsidRDefault="00154E9A" w:rsidP="00154E9A">
      <w:pPr>
        <w:spacing w:line="240" w:lineRule="auto"/>
        <w:rPr>
          <w:rFonts w:ascii="Times New Roman" w:eastAsia="Times New Roman" w:hAnsi="Times New Roman" w:cs="Times New Roman"/>
          <w:sz w:val="24"/>
          <w:szCs w:val="24"/>
        </w:rPr>
      </w:pPr>
      <w:r w:rsidRPr="00154E9A">
        <w:rPr>
          <w:rFonts w:eastAsia="Times New Roman" w:cs="Arial"/>
          <w:color w:val="000000"/>
          <w:lang w:eastAsia="bg-BG"/>
        </w:rPr>
        <w:t xml:space="preserve">уебсайт: </w:t>
      </w:r>
      <w:r w:rsidRPr="00154E9A">
        <w:rPr>
          <w:rFonts w:eastAsia="Times New Roman" w:cs="Arial"/>
        </w:rPr>
        <w:fldChar w:fldCharType="begin"/>
      </w:r>
      <w:r w:rsidRPr="00154E9A">
        <w:rPr>
          <w:rFonts w:eastAsia="Times New Roman" w:cs="Arial"/>
        </w:rPr>
        <w:instrText xml:space="preserve"> HYPERLINK "http://www.bda.bg" </w:instrText>
      </w:r>
      <w:r w:rsidRPr="00154E9A">
        <w:rPr>
          <w:rFonts w:eastAsia="Times New Roman" w:cs="Arial"/>
        </w:rPr>
        <w:fldChar w:fldCharType="separate"/>
      </w:r>
      <w:r w:rsidRPr="00154E9A">
        <w:rPr>
          <w:rFonts w:eastAsia="Times New Roman" w:cs="Arial"/>
          <w:color w:val="000000"/>
          <w:u w:val="single"/>
          <w:lang w:val="en-US"/>
        </w:rPr>
        <w:t>www</w:t>
      </w:r>
      <w:r w:rsidRPr="00154E9A">
        <w:rPr>
          <w:rFonts w:eastAsia="Times New Roman" w:cs="Arial"/>
          <w:color w:val="000000"/>
          <w:u w:val="single"/>
          <w:lang w:val="ru-RU"/>
        </w:rPr>
        <w:t>.</w:t>
      </w:r>
      <w:proofErr w:type="spellStart"/>
      <w:r w:rsidRPr="00154E9A">
        <w:rPr>
          <w:rFonts w:eastAsia="Times New Roman" w:cs="Arial"/>
          <w:color w:val="000000"/>
          <w:u w:val="single"/>
          <w:lang w:val="en-US"/>
        </w:rPr>
        <w:t>bda</w:t>
      </w:r>
      <w:proofErr w:type="spellEnd"/>
      <w:r w:rsidRPr="00154E9A">
        <w:rPr>
          <w:rFonts w:eastAsia="Times New Roman" w:cs="Arial"/>
          <w:color w:val="000000"/>
          <w:u w:val="single"/>
          <w:lang w:val="ru-RU"/>
        </w:rPr>
        <w:t>.</w:t>
      </w:r>
      <w:proofErr w:type="spellStart"/>
      <w:r w:rsidRPr="00154E9A">
        <w:rPr>
          <w:rFonts w:eastAsia="Times New Roman" w:cs="Arial"/>
          <w:color w:val="000000"/>
          <w:u w:val="single"/>
          <w:lang w:val="en-US"/>
        </w:rPr>
        <w:t>bg</w:t>
      </w:r>
      <w:proofErr w:type="spellEnd"/>
      <w:r w:rsidRPr="00154E9A">
        <w:rPr>
          <w:rFonts w:eastAsia="Times New Roman" w:cs="Arial"/>
        </w:rPr>
        <w:fldChar w:fldCharType="end"/>
      </w:r>
    </w:p>
    <w:p w14:paraId="1D3838A6" w14:textId="77777777" w:rsidR="00F07F0E" w:rsidRPr="00F07F0E" w:rsidRDefault="00F07F0E" w:rsidP="00F07F0E"/>
    <w:p w14:paraId="5A87DBA3" w14:textId="24146379" w:rsidR="007122AD" w:rsidRDefault="002C50EE" w:rsidP="00936AD0">
      <w:pPr>
        <w:pStyle w:val="Heading2"/>
      </w:pPr>
      <w:r>
        <w:t>4.9. Предозиране</w:t>
      </w:r>
    </w:p>
    <w:p w14:paraId="3D38E95B" w14:textId="4B5D1E13" w:rsidR="00154E9A" w:rsidRDefault="00154E9A" w:rsidP="00154E9A"/>
    <w:p w14:paraId="1821726D" w14:textId="77777777" w:rsidR="00154E9A" w:rsidRPr="00154E9A" w:rsidRDefault="00154E9A" w:rsidP="00154E9A">
      <w:pPr>
        <w:pStyle w:val="Heading3"/>
        <w:rPr>
          <w:rFonts w:eastAsia="Times New Roman"/>
          <w:u w:val="single"/>
        </w:rPr>
      </w:pPr>
      <w:r w:rsidRPr="00154E9A">
        <w:rPr>
          <w:rFonts w:eastAsia="Times New Roman"/>
          <w:u w:val="single"/>
          <w:lang w:eastAsia="bg-BG"/>
        </w:rPr>
        <w:t>Симптоми</w:t>
      </w:r>
    </w:p>
    <w:p w14:paraId="562F7EE9" w14:textId="77777777" w:rsidR="00154E9A" w:rsidRPr="00154E9A" w:rsidRDefault="00154E9A" w:rsidP="00154E9A">
      <w:pPr>
        <w:spacing w:line="240" w:lineRule="auto"/>
        <w:rPr>
          <w:rFonts w:eastAsia="Times New Roman" w:cs="Arial"/>
          <w:sz w:val="24"/>
          <w:szCs w:val="24"/>
        </w:rPr>
      </w:pPr>
      <w:r w:rsidRPr="00154E9A">
        <w:rPr>
          <w:rFonts w:eastAsia="Times New Roman" w:cs="Arial"/>
          <w:color w:val="000000"/>
          <w:lang w:eastAsia="bg-BG"/>
        </w:rPr>
        <w:t>Симптомите на предозиране са тежка хипотония, шок, ступор, брадикардия, електролитни нарушения и бъбречна недостатъчност.</w:t>
      </w:r>
    </w:p>
    <w:p w14:paraId="0AEE9DB6" w14:textId="77777777" w:rsidR="00154E9A" w:rsidRPr="00154E9A" w:rsidRDefault="00154E9A" w:rsidP="00154E9A">
      <w:pPr>
        <w:spacing w:line="240" w:lineRule="auto"/>
        <w:rPr>
          <w:rFonts w:eastAsia="Times New Roman" w:cs="Arial"/>
          <w:color w:val="000000"/>
          <w:u w:val="single"/>
          <w:lang w:eastAsia="bg-BG"/>
        </w:rPr>
      </w:pPr>
    </w:p>
    <w:p w14:paraId="77249D23" w14:textId="271926B4" w:rsidR="00154E9A" w:rsidRPr="00154E9A" w:rsidRDefault="00154E9A" w:rsidP="00154E9A">
      <w:pPr>
        <w:pStyle w:val="Heading3"/>
        <w:rPr>
          <w:rFonts w:eastAsia="Times New Roman"/>
          <w:u w:val="single"/>
        </w:rPr>
      </w:pPr>
      <w:r w:rsidRPr="00154E9A">
        <w:rPr>
          <w:rFonts w:eastAsia="Times New Roman"/>
          <w:u w:val="single"/>
          <w:lang w:eastAsia="bg-BG"/>
        </w:rPr>
        <w:t>Лечение</w:t>
      </w:r>
    </w:p>
    <w:p w14:paraId="52AD4884" w14:textId="77777777" w:rsidR="00154E9A" w:rsidRPr="00154E9A" w:rsidRDefault="00154E9A" w:rsidP="00154E9A">
      <w:pPr>
        <w:spacing w:line="240" w:lineRule="auto"/>
        <w:rPr>
          <w:rFonts w:eastAsia="Times New Roman" w:cs="Arial"/>
          <w:sz w:val="24"/>
          <w:szCs w:val="24"/>
        </w:rPr>
      </w:pPr>
      <w:r w:rsidRPr="00154E9A">
        <w:rPr>
          <w:rFonts w:eastAsia="Times New Roman" w:cs="Arial"/>
          <w:color w:val="000000"/>
          <w:lang w:eastAsia="bg-BG"/>
        </w:rPr>
        <w:t>След поглъщане на предозиран Гоптен капсули, трябва да се обмисли извършването на пълна промивка на стомаха.</w:t>
      </w:r>
    </w:p>
    <w:p w14:paraId="5CC3D315" w14:textId="77777777" w:rsidR="00154E9A" w:rsidRPr="00154E9A" w:rsidRDefault="00154E9A" w:rsidP="00154E9A">
      <w:pPr>
        <w:spacing w:line="240" w:lineRule="auto"/>
        <w:rPr>
          <w:rFonts w:eastAsia="Times New Roman" w:cs="Arial"/>
          <w:sz w:val="24"/>
          <w:szCs w:val="24"/>
        </w:rPr>
      </w:pPr>
      <w:r w:rsidRPr="00154E9A">
        <w:rPr>
          <w:rFonts w:eastAsia="Times New Roman" w:cs="Arial"/>
          <w:color w:val="000000"/>
          <w:lang w:eastAsia="bg-BG"/>
        </w:rPr>
        <w:t>Кръвното налягане трябва да се наблюдава и ако се развие хипотония, трябва да се имат предвид обемозаместващи разтвори.</w:t>
      </w:r>
    </w:p>
    <w:p w14:paraId="4E57ACD2" w14:textId="5F85B261" w:rsidR="00154E9A" w:rsidRPr="00154E9A" w:rsidRDefault="00154E9A" w:rsidP="00154E9A">
      <w:pPr>
        <w:rPr>
          <w:rFonts w:cs="Arial"/>
        </w:rPr>
      </w:pPr>
      <w:r w:rsidRPr="00154E9A">
        <w:rPr>
          <w:rFonts w:eastAsia="Times New Roman" w:cs="Arial"/>
          <w:color w:val="000000"/>
          <w:lang w:eastAsia="bg-BG"/>
        </w:rPr>
        <w:t>Няма специфичен антидот при предозиране на Гоптен.</w:t>
      </w:r>
    </w:p>
    <w:p w14:paraId="02081B24" w14:textId="1F46E296" w:rsidR="00395555" w:rsidRPr="00395555" w:rsidRDefault="002C50EE" w:rsidP="008A6AF2">
      <w:pPr>
        <w:pStyle w:val="Heading1"/>
      </w:pPr>
      <w:r>
        <w:t>5. ФАРМАКОЛОГИЧНИ СВОЙСТВА</w:t>
      </w:r>
    </w:p>
    <w:p w14:paraId="7DE36AC8" w14:textId="5D8F17CE" w:rsidR="00B6672E" w:rsidRDefault="002C50EE" w:rsidP="00936AD0">
      <w:pPr>
        <w:pStyle w:val="Heading2"/>
      </w:pPr>
      <w:r>
        <w:t>5.1. Фармакодинамични свойства</w:t>
      </w:r>
    </w:p>
    <w:p w14:paraId="55911027" w14:textId="39258B99" w:rsidR="00154E9A" w:rsidRDefault="00154E9A" w:rsidP="00154E9A"/>
    <w:p w14:paraId="66EBD15A" w14:textId="77777777" w:rsidR="00154E9A" w:rsidRPr="00154E9A" w:rsidRDefault="00154E9A" w:rsidP="00154E9A">
      <w:pPr>
        <w:spacing w:line="240" w:lineRule="auto"/>
        <w:rPr>
          <w:rFonts w:eastAsia="Times New Roman" w:cs="Arial"/>
          <w:sz w:val="24"/>
          <w:szCs w:val="24"/>
        </w:rPr>
      </w:pPr>
      <w:r w:rsidRPr="00154E9A">
        <w:rPr>
          <w:rFonts w:eastAsia="Times New Roman" w:cs="Arial"/>
          <w:color w:val="000000"/>
          <w:lang w:eastAsia="bg-BG"/>
        </w:rPr>
        <w:t>Фармакотерапевтична група: АСЕ-инхибитори, АТС код: С09АА10</w:t>
      </w:r>
    </w:p>
    <w:p w14:paraId="7D6273AA" w14:textId="77777777" w:rsidR="00154E9A" w:rsidRPr="00154E9A" w:rsidRDefault="00154E9A" w:rsidP="00154E9A">
      <w:pPr>
        <w:spacing w:line="240" w:lineRule="auto"/>
        <w:rPr>
          <w:rFonts w:eastAsia="Times New Roman" w:cs="Arial"/>
          <w:color w:val="000000"/>
          <w:u w:val="single"/>
          <w:lang w:eastAsia="bg-BG"/>
        </w:rPr>
      </w:pPr>
    </w:p>
    <w:p w14:paraId="7FCB5CDC" w14:textId="56790FDD" w:rsidR="00154E9A" w:rsidRPr="00154E9A" w:rsidRDefault="00154E9A" w:rsidP="00154E9A">
      <w:pPr>
        <w:spacing w:line="240" w:lineRule="auto"/>
        <w:rPr>
          <w:rFonts w:eastAsia="Times New Roman" w:cs="Arial"/>
          <w:sz w:val="24"/>
          <w:szCs w:val="24"/>
        </w:rPr>
      </w:pPr>
      <w:r w:rsidRPr="00154E9A">
        <w:rPr>
          <w:rFonts w:eastAsia="Times New Roman" w:cs="Arial"/>
          <w:color w:val="000000"/>
          <w:u w:val="single"/>
          <w:lang w:eastAsia="bg-BG"/>
        </w:rPr>
        <w:t>Механизъм на действие</w:t>
      </w:r>
    </w:p>
    <w:p w14:paraId="37B65032" w14:textId="77777777" w:rsidR="00154E9A" w:rsidRPr="00154E9A" w:rsidRDefault="00154E9A" w:rsidP="00154E9A">
      <w:pPr>
        <w:spacing w:line="240" w:lineRule="auto"/>
        <w:rPr>
          <w:rFonts w:eastAsia="Times New Roman" w:cs="Arial"/>
          <w:sz w:val="24"/>
          <w:szCs w:val="24"/>
        </w:rPr>
      </w:pPr>
      <w:r w:rsidRPr="00154E9A">
        <w:rPr>
          <w:rFonts w:eastAsia="Times New Roman" w:cs="Arial"/>
          <w:color w:val="000000"/>
          <w:lang w:eastAsia="bg-BG"/>
        </w:rPr>
        <w:t xml:space="preserve">Капсулите Гоптен съдържат пред-лекарството </w:t>
      </w:r>
      <w:r w:rsidRPr="00154E9A">
        <w:rPr>
          <w:rFonts w:eastAsia="Times New Roman" w:cs="Arial"/>
          <w:color w:val="000000"/>
          <w:lang w:val="ru-RU"/>
        </w:rPr>
        <w:t>("</w:t>
      </w:r>
      <w:r w:rsidRPr="00154E9A">
        <w:rPr>
          <w:rFonts w:eastAsia="Times New Roman" w:cs="Arial"/>
          <w:color w:val="000000"/>
          <w:lang w:val="en-US"/>
        </w:rPr>
        <w:t>prodrug</w:t>
      </w:r>
      <w:r w:rsidRPr="00154E9A">
        <w:rPr>
          <w:rFonts w:eastAsia="Times New Roman" w:cs="Arial"/>
          <w:color w:val="000000"/>
          <w:lang w:val="ru-RU"/>
        </w:rPr>
        <w:t xml:space="preserve">") </w:t>
      </w:r>
      <w:r w:rsidRPr="00154E9A">
        <w:rPr>
          <w:rFonts w:eastAsia="Times New Roman" w:cs="Arial"/>
          <w:color w:val="000000"/>
          <w:lang w:eastAsia="bg-BG"/>
        </w:rPr>
        <w:t>трандолаприл, който е не-пептиден АСЕ-инхибитор с карбоксилна, но без сулфхидрилна група. Трандолаприл се абсорбира бързо, след което се хидролизира неспецифично до неговия мощен, дълго действащ метаболит трандолаприлат.</w:t>
      </w:r>
    </w:p>
    <w:p w14:paraId="196C7089" w14:textId="77777777" w:rsidR="00154E9A" w:rsidRPr="00154E9A" w:rsidRDefault="00154E9A" w:rsidP="00154E9A">
      <w:pPr>
        <w:spacing w:line="240" w:lineRule="auto"/>
        <w:rPr>
          <w:rFonts w:eastAsia="Times New Roman" w:cs="Arial"/>
          <w:color w:val="000000"/>
          <w:u w:val="single"/>
          <w:lang w:eastAsia="bg-BG"/>
        </w:rPr>
      </w:pPr>
    </w:p>
    <w:p w14:paraId="682F53C5" w14:textId="44FC2D8E" w:rsidR="00154E9A" w:rsidRPr="00154E9A" w:rsidRDefault="00154E9A" w:rsidP="00154E9A">
      <w:pPr>
        <w:spacing w:line="240" w:lineRule="auto"/>
        <w:rPr>
          <w:rFonts w:eastAsia="Times New Roman" w:cs="Arial"/>
          <w:sz w:val="24"/>
          <w:szCs w:val="24"/>
        </w:rPr>
      </w:pPr>
      <w:r w:rsidRPr="00154E9A">
        <w:rPr>
          <w:rFonts w:eastAsia="Times New Roman" w:cs="Arial"/>
          <w:color w:val="000000"/>
          <w:u w:val="single"/>
          <w:lang w:eastAsia="bg-BG"/>
        </w:rPr>
        <w:t>Фармакодинамични ефекти</w:t>
      </w:r>
    </w:p>
    <w:p w14:paraId="7AADA2F3" w14:textId="77777777" w:rsidR="00154E9A" w:rsidRPr="00154E9A" w:rsidRDefault="00154E9A" w:rsidP="00154E9A">
      <w:pPr>
        <w:spacing w:line="240" w:lineRule="auto"/>
        <w:rPr>
          <w:rFonts w:eastAsia="Times New Roman" w:cs="Arial"/>
          <w:sz w:val="24"/>
          <w:szCs w:val="24"/>
        </w:rPr>
      </w:pPr>
      <w:r w:rsidRPr="00154E9A">
        <w:rPr>
          <w:rFonts w:eastAsia="Times New Roman" w:cs="Arial"/>
          <w:color w:val="000000"/>
          <w:lang w:eastAsia="bg-BG"/>
        </w:rPr>
        <w:t>Трандолаприлат се свързва здраво и по механизъм на насищането с АСЕ.</w:t>
      </w:r>
    </w:p>
    <w:p w14:paraId="7251442D" w14:textId="77777777" w:rsidR="00154E9A" w:rsidRPr="00154E9A" w:rsidRDefault="00154E9A" w:rsidP="00154E9A">
      <w:pPr>
        <w:spacing w:line="240" w:lineRule="auto"/>
        <w:rPr>
          <w:rFonts w:eastAsia="Times New Roman" w:cs="Arial"/>
          <w:sz w:val="24"/>
          <w:szCs w:val="24"/>
        </w:rPr>
      </w:pPr>
      <w:r w:rsidRPr="00154E9A">
        <w:rPr>
          <w:rFonts w:eastAsia="Times New Roman" w:cs="Arial"/>
          <w:color w:val="000000"/>
          <w:lang w:eastAsia="bg-BG"/>
        </w:rPr>
        <w:t>Приемът на трандолаприл води до понижаване на концентрациите на ангиотензин II, алдостерон и атриален натриуретичен фактор, както и до повишаване на плазмената ренинова активност и концентрациите на ангиотензин I. По този начин трандолаприл модулира системата ренин- ангиотензин-алдостерон, която играе главна роля в регулацията на кръвния обем и кръвното налягане, и съответно има благоприятен антихипертензивен ефект.</w:t>
      </w:r>
    </w:p>
    <w:p w14:paraId="7E678BE3" w14:textId="77777777" w:rsidR="00154E9A" w:rsidRPr="00154E9A" w:rsidRDefault="00154E9A" w:rsidP="00154E9A">
      <w:pPr>
        <w:spacing w:line="240" w:lineRule="auto"/>
        <w:rPr>
          <w:rFonts w:eastAsia="Times New Roman" w:cs="Arial"/>
          <w:color w:val="000000"/>
          <w:u w:val="single"/>
          <w:lang w:eastAsia="bg-BG"/>
        </w:rPr>
      </w:pPr>
    </w:p>
    <w:p w14:paraId="32B174F3" w14:textId="70260A57" w:rsidR="00154E9A" w:rsidRPr="00154E9A" w:rsidRDefault="00154E9A" w:rsidP="00154E9A">
      <w:pPr>
        <w:spacing w:line="240" w:lineRule="auto"/>
        <w:rPr>
          <w:rFonts w:eastAsia="Times New Roman" w:cs="Arial"/>
          <w:sz w:val="24"/>
          <w:szCs w:val="24"/>
        </w:rPr>
      </w:pPr>
      <w:r w:rsidRPr="00154E9A">
        <w:rPr>
          <w:rFonts w:eastAsia="Times New Roman" w:cs="Arial"/>
          <w:color w:val="000000"/>
          <w:u w:val="single"/>
          <w:lang w:eastAsia="bg-BG"/>
        </w:rPr>
        <w:t>Клинична ефикасност и безопасност</w:t>
      </w:r>
    </w:p>
    <w:p w14:paraId="5CE058D4" w14:textId="77777777" w:rsidR="00154E9A" w:rsidRPr="00154E9A" w:rsidRDefault="00154E9A" w:rsidP="00154E9A">
      <w:pPr>
        <w:spacing w:line="240" w:lineRule="auto"/>
        <w:rPr>
          <w:rFonts w:eastAsia="Times New Roman" w:cs="Arial"/>
          <w:sz w:val="24"/>
          <w:szCs w:val="24"/>
        </w:rPr>
      </w:pPr>
      <w:r w:rsidRPr="00154E9A">
        <w:rPr>
          <w:rFonts w:eastAsia="Times New Roman" w:cs="Arial"/>
          <w:color w:val="000000"/>
          <w:lang w:eastAsia="bg-BG"/>
        </w:rPr>
        <w:lastRenderedPageBreak/>
        <w:t>Прилагането на обичайните терапевтични дози трандолаприл при хипертензивни пациенти води до значително понижение на кръвното налягане, както при легнало, така и при изправено положение на тялото. Антихипертензивният ефект настъпва след 1 час, като неговия максимален ефект е между 8 и 12 часа и продължава най-малко 24 часа.</w:t>
      </w:r>
    </w:p>
    <w:p w14:paraId="25BCB2F4" w14:textId="77777777" w:rsidR="00154E9A" w:rsidRPr="00154E9A" w:rsidRDefault="00154E9A" w:rsidP="00154E9A">
      <w:pPr>
        <w:spacing w:line="240" w:lineRule="auto"/>
        <w:rPr>
          <w:rFonts w:eastAsia="Times New Roman" w:cs="Arial"/>
          <w:sz w:val="24"/>
          <w:szCs w:val="24"/>
        </w:rPr>
      </w:pPr>
      <w:r w:rsidRPr="00154E9A">
        <w:rPr>
          <w:rFonts w:eastAsia="Times New Roman" w:cs="Arial"/>
          <w:color w:val="000000"/>
          <w:lang w:eastAsia="bg-BG"/>
        </w:rPr>
        <w:t>Свойствата на трандолаприл могат да обясняват получените резултати по отношение на регресията на хипертрофията на сърцето с подобряване на диастолната функция и артериалния комплаянс при хора. Освен това, е наблюдавано и намаляване на съдовата хипертрофия при животни.</w:t>
      </w:r>
    </w:p>
    <w:p w14:paraId="5859EFEC" w14:textId="77777777" w:rsidR="00154E9A" w:rsidRPr="00154E9A" w:rsidRDefault="00154E9A" w:rsidP="00154E9A">
      <w:pPr>
        <w:spacing w:line="240" w:lineRule="auto"/>
        <w:rPr>
          <w:rFonts w:eastAsia="Times New Roman" w:cs="Arial"/>
          <w:color w:val="000000"/>
          <w:lang w:eastAsia="bg-BG"/>
        </w:rPr>
      </w:pPr>
    </w:p>
    <w:p w14:paraId="532A10BB" w14:textId="656E6D09" w:rsidR="00154E9A" w:rsidRPr="00154E9A" w:rsidRDefault="00154E9A" w:rsidP="00154E9A">
      <w:pPr>
        <w:spacing w:line="240" w:lineRule="auto"/>
        <w:rPr>
          <w:rFonts w:eastAsia="Times New Roman" w:cs="Arial"/>
          <w:sz w:val="24"/>
          <w:szCs w:val="24"/>
        </w:rPr>
      </w:pPr>
      <w:r w:rsidRPr="00154E9A">
        <w:rPr>
          <w:rFonts w:eastAsia="Times New Roman" w:cs="Arial"/>
          <w:color w:val="000000"/>
          <w:lang w:eastAsia="bg-BG"/>
        </w:rPr>
        <w:t xml:space="preserve">Две големи рандомизирани контролирани проучвания - </w:t>
      </w:r>
      <w:r w:rsidRPr="00154E9A">
        <w:rPr>
          <w:rFonts w:eastAsia="Times New Roman" w:cs="Arial"/>
          <w:color w:val="000000"/>
          <w:lang w:val="en-US"/>
        </w:rPr>
        <w:t>ONTARGET</w:t>
      </w:r>
      <w:r w:rsidRPr="00154E9A">
        <w:rPr>
          <w:rFonts w:eastAsia="Times New Roman" w:cs="Arial"/>
          <w:color w:val="000000"/>
        </w:rPr>
        <w:t xml:space="preserve"> (</w:t>
      </w:r>
      <w:proofErr w:type="spellStart"/>
      <w:r w:rsidRPr="00154E9A">
        <w:rPr>
          <w:rFonts w:eastAsia="Times New Roman" w:cs="Arial"/>
          <w:color w:val="000000"/>
          <w:lang w:val="en-US"/>
        </w:rPr>
        <w:t>ONgoing</w:t>
      </w:r>
      <w:proofErr w:type="spellEnd"/>
      <w:r w:rsidRPr="00154E9A">
        <w:rPr>
          <w:rFonts w:eastAsia="Times New Roman" w:cs="Arial"/>
          <w:color w:val="000000"/>
        </w:rPr>
        <w:t xml:space="preserve"> </w:t>
      </w:r>
      <w:proofErr w:type="spellStart"/>
      <w:r w:rsidRPr="00154E9A">
        <w:rPr>
          <w:rFonts w:eastAsia="Times New Roman" w:cs="Arial"/>
          <w:color w:val="000000"/>
          <w:lang w:val="en-US"/>
        </w:rPr>
        <w:t>Telmisartan</w:t>
      </w:r>
      <w:proofErr w:type="spellEnd"/>
      <w:r w:rsidRPr="00154E9A">
        <w:rPr>
          <w:rFonts w:eastAsia="Times New Roman" w:cs="Arial"/>
          <w:color w:val="000000"/>
        </w:rPr>
        <w:t xml:space="preserve"> </w:t>
      </w:r>
      <w:r w:rsidRPr="00154E9A">
        <w:rPr>
          <w:rFonts w:eastAsia="Times New Roman" w:cs="Arial"/>
          <w:color w:val="000000"/>
          <w:lang w:val="en-US"/>
        </w:rPr>
        <w:t>Alone</w:t>
      </w:r>
      <w:r w:rsidRPr="00154E9A">
        <w:rPr>
          <w:rFonts w:eastAsia="Times New Roman" w:cs="Arial"/>
          <w:color w:val="000000"/>
        </w:rPr>
        <w:t xml:space="preserve"> </w:t>
      </w:r>
      <w:r w:rsidRPr="00154E9A">
        <w:rPr>
          <w:rFonts w:eastAsia="Times New Roman" w:cs="Arial"/>
          <w:color w:val="000000"/>
          <w:lang w:val="en-US"/>
        </w:rPr>
        <w:t>and</w:t>
      </w:r>
      <w:r w:rsidRPr="00154E9A">
        <w:rPr>
          <w:rFonts w:eastAsia="Times New Roman" w:cs="Arial"/>
          <w:color w:val="000000"/>
        </w:rPr>
        <w:t xml:space="preserve"> </w:t>
      </w:r>
      <w:r w:rsidRPr="00154E9A">
        <w:rPr>
          <w:rFonts w:eastAsia="Times New Roman" w:cs="Arial"/>
          <w:color w:val="000000"/>
          <w:lang w:val="en-US"/>
        </w:rPr>
        <w:t>in</w:t>
      </w:r>
      <w:r w:rsidRPr="00154E9A">
        <w:rPr>
          <w:rFonts w:eastAsia="Times New Roman" w:cs="Arial"/>
          <w:color w:val="000000"/>
        </w:rPr>
        <w:t xml:space="preserve"> </w:t>
      </w:r>
      <w:r w:rsidRPr="00154E9A">
        <w:rPr>
          <w:rFonts w:eastAsia="Times New Roman" w:cs="Arial"/>
          <w:color w:val="000000"/>
          <w:lang w:val="en-US"/>
        </w:rPr>
        <w:t>combination</w:t>
      </w:r>
      <w:r w:rsidRPr="00154E9A">
        <w:rPr>
          <w:rFonts w:eastAsia="Times New Roman" w:cs="Arial"/>
          <w:color w:val="000000"/>
        </w:rPr>
        <w:t xml:space="preserve"> </w:t>
      </w:r>
      <w:r w:rsidRPr="00154E9A">
        <w:rPr>
          <w:rFonts w:eastAsia="Times New Roman" w:cs="Arial"/>
          <w:color w:val="000000"/>
          <w:lang w:val="en-US"/>
        </w:rPr>
        <w:t>with</w:t>
      </w:r>
      <w:r w:rsidRPr="00154E9A">
        <w:rPr>
          <w:rFonts w:eastAsia="Times New Roman" w:cs="Arial"/>
          <w:color w:val="000000"/>
        </w:rPr>
        <w:t xml:space="preserve"> </w:t>
      </w:r>
      <w:r w:rsidRPr="00154E9A">
        <w:rPr>
          <w:rFonts w:eastAsia="Times New Roman" w:cs="Arial"/>
          <w:color w:val="000000"/>
          <w:lang w:val="en-US"/>
        </w:rPr>
        <w:t>Ramipril</w:t>
      </w:r>
      <w:r w:rsidRPr="00154E9A">
        <w:rPr>
          <w:rFonts w:eastAsia="Times New Roman" w:cs="Arial"/>
          <w:color w:val="000000"/>
        </w:rPr>
        <w:t xml:space="preserve"> </w:t>
      </w:r>
      <w:r w:rsidRPr="00154E9A">
        <w:rPr>
          <w:rFonts w:eastAsia="Times New Roman" w:cs="Arial"/>
          <w:color w:val="000000"/>
          <w:lang w:val="en-US"/>
        </w:rPr>
        <w:t>Global</w:t>
      </w:r>
      <w:r w:rsidRPr="00154E9A">
        <w:rPr>
          <w:rFonts w:eastAsia="Times New Roman" w:cs="Arial"/>
          <w:color w:val="000000"/>
        </w:rPr>
        <w:t xml:space="preserve"> </w:t>
      </w:r>
      <w:r w:rsidRPr="00154E9A">
        <w:rPr>
          <w:rFonts w:eastAsia="Times New Roman" w:cs="Arial"/>
          <w:color w:val="000000"/>
          <w:lang w:val="en-US"/>
        </w:rPr>
        <w:t>Endpoint</w:t>
      </w:r>
      <w:r w:rsidRPr="00154E9A">
        <w:rPr>
          <w:rFonts w:eastAsia="Times New Roman" w:cs="Arial"/>
          <w:color w:val="000000"/>
        </w:rPr>
        <w:t xml:space="preserve"> </w:t>
      </w:r>
      <w:r w:rsidRPr="00154E9A">
        <w:rPr>
          <w:rFonts w:eastAsia="Times New Roman" w:cs="Arial"/>
          <w:color w:val="000000"/>
          <w:lang w:val="en-US"/>
        </w:rPr>
        <w:t>Trial</w:t>
      </w:r>
      <w:r w:rsidRPr="00154E9A">
        <w:rPr>
          <w:rFonts w:eastAsia="Times New Roman" w:cs="Arial"/>
          <w:color w:val="000000"/>
        </w:rPr>
        <w:t xml:space="preserve"> - </w:t>
      </w:r>
      <w:r w:rsidRPr="00154E9A">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154E9A">
        <w:rPr>
          <w:rFonts w:eastAsia="Times New Roman" w:cs="Arial"/>
          <w:color w:val="000000"/>
          <w:lang w:val="en-US"/>
        </w:rPr>
        <w:t>VA</w:t>
      </w:r>
      <w:r w:rsidRPr="00154E9A">
        <w:rPr>
          <w:rFonts w:eastAsia="Times New Roman" w:cs="Arial"/>
          <w:color w:val="000000"/>
        </w:rPr>
        <w:t xml:space="preserve"> </w:t>
      </w:r>
      <w:r w:rsidRPr="00154E9A">
        <w:rPr>
          <w:rFonts w:eastAsia="Times New Roman" w:cs="Arial"/>
          <w:color w:val="000000"/>
          <w:lang w:val="en-US"/>
        </w:rPr>
        <w:t>NEPHRON</w:t>
      </w:r>
      <w:r w:rsidRPr="00154E9A">
        <w:rPr>
          <w:rFonts w:eastAsia="Times New Roman" w:cs="Arial"/>
          <w:color w:val="000000"/>
        </w:rPr>
        <w:t>-</w:t>
      </w:r>
      <w:r w:rsidRPr="00154E9A">
        <w:rPr>
          <w:rFonts w:eastAsia="Times New Roman" w:cs="Arial"/>
          <w:color w:val="000000"/>
          <w:lang w:val="en-US"/>
        </w:rPr>
        <w:t>D</w:t>
      </w:r>
      <w:r w:rsidRPr="00154E9A">
        <w:rPr>
          <w:rFonts w:eastAsia="Times New Roman" w:cs="Arial"/>
          <w:color w:val="000000"/>
        </w:rPr>
        <w:t xml:space="preserve"> </w:t>
      </w:r>
      <w:r w:rsidRPr="00154E9A">
        <w:rPr>
          <w:rFonts w:eastAsia="Times New Roman" w:cs="Arial"/>
          <w:color w:val="000000"/>
          <w:lang w:eastAsia="bg-BG"/>
        </w:rPr>
        <w:t xml:space="preserve">(Клинично проучване свързано с развитие на нефропатия при диабет, </w:t>
      </w:r>
      <w:r w:rsidRPr="00154E9A">
        <w:rPr>
          <w:rFonts w:eastAsia="Times New Roman" w:cs="Arial"/>
          <w:i/>
          <w:iCs/>
          <w:color w:val="000000"/>
          <w:lang w:eastAsia="bg-BG"/>
        </w:rPr>
        <w:t>проведено от</w:t>
      </w:r>
      <w:r w:rsidRPr="00154E9A">
        <w:rPr>
          <w:rFonts w:eastAsia="Times New Roman" w:cs="Arial"/>
          <w:color w:val="000000"/>
          <w:lang w:eastAsia="bg-BG"/>
        </w:rPr>
        <w:t xml:space="preserve"> Министерство по въпросите на ветераните) - проучват употребата на комбинацията от АСЕ-инхибитор и ангиотензин </w:t>
      </w:r>
      <w:r w:rsidRPr="00154E9A">
        <w:rPr>
          <w:rFonts w:eastAsia="Times New Roman" w:cs="Arial"/>
          <w:color w:val="000000"/>
          <w:lang w:val="en-US"/>
        </w:rPr>
        <w:t>II</w:t>
      </w:r>
      <w:r w:rsidRPr="00154E9A">
        <w:rPr>
          <w:rFonts w:eastAsia="Times New Roman" w:cs="Arial"/>
          <w:color w:val="000000"/>
          <w:lang w:eastAsia="bg-BG"/>
        </w:rPr>
        <w:t>-рецепторен блокер.</w:t>
      </w:r>
    </w:p>
    <w:p w14:paraId="3C643299" w14:textId="77777777" w:rsidR="00154E9A" w:rsidRPr="00E67ECC" w:rsidRDefault="00154E9A" w:rsidP="00154E9A">
      <w:pPr>
        <w:spacing w:line="240" w:lineRule="auto"/>
        <w:rPr>
          <w:rFonts w:eastAsia="Times New Roman" w:cs="Arial"/>
          <w:color w:val="000000"/>
        </w:rPr>
      </w:pPr>
    </w:p>
    <w:p w14:paraId="0FD0CAD3" w14:textId="0D562208" w:rsidR="00154E9A" w:rsidRPr="00154E9A" w:rsidRDefault="00154E9A" w:rsidP="00154E9A">
      <w:pPr>
        <w:spacing w:line="240" w:lineRule="auto"/>
        <w:rPr>
          <w:rFonts w:eastAsia="Times New Roman" w:cs="Arial"/>
          <w:sz w:val="24"/>
          <w:szCs w:val="24"/>
        </w:rPr>
      </w:pPr>
      <w:r w:rsidRPr="00154E9A">
        <w:rPr>
          <w:rFonts w:eastAsia="Times New Roman" w:cs="Arial"/>
          <w:color w:val="000000"/>
          <w:lang w:val="en-US"/>
        </w:rPr>
        <w:t>ONTARGET</w:t>
      </w:r>
      <w:r w:rsidRPr="00154E9A">
        <w:rPr>
          <w:rFonts w:eastAsia="Times New Roman" w:cs="Arial"/>
          <w:color w:val="000000"/>
          <w:lang w:val="ru-RU"/>
        </w:rPr>
        <w:t xml:space="preserve"> </w:t>
      </w:r>
      <w:r w:rsidRPr="00154E9A">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154E9A">
        <w:rPr>
          <w:rFonts w:eastAsia="Times New Roman" w:cs="Arial"/>
          <w:color w:val="000000"/>
          <w:lang w:val="en-US"/>
        </w:rPr>
        <w:t>VA</w:t>
      </w:r>
      <w:r w:rsidRPr="00154E9A">
        <w:rPr>
          <w:rFonts w:eastAsia="Times New Roman" w:cs="Arial"/>
          <w:color w:val="000000"/>
          <w:lang w:val="ru-RU"/>
        </w:rPr>
        <w:t xml:space="preserve"> </w:t>
      </w:r>
      <w:r w:rsidRPr="00154E9A">
        <w:rPr>
          <w:rFonts w:eastAsia="Times New Roman" w:cs="Arial"/>
          <w:color w:val="000000"/>
          <w:lang w:val="en-US"/>
        </w:rPr>
        <w:t>NEPHRON</w:t>
      </w:r>
      <w:r w:rsidRPr="00154E9A">
        <w:rPr>
          <w:rFonts w:eastAsia="Times New Roman" w:cs="Arial"/>
          <w:color w:val="000000"/>
          <w:lang w:val="ru-RU"/>
        </w:rPr>
        <w:t>-</w:t>
      </w:r>
      <w:r w:rsidRPr="00154E9A">
        <w:rPr>
          <w:rFonts w:eastAsia="Times New Roman" w:cs="Arial"/>
          <w:color w:val="000000"/>
          <w:lang w:val="en-US"/>
        </w:rPr>
        <w:t>D</w:t>
      </w:r>
      <w:r w:rsidRPr="00154E9A">
        <w:rPr>
          <w:rFonts w:eastAsia="Times New Roman" w:cs="Arial"/>
          <w:color w:val="000000"/>
          <w:lang w:val="ru-RU"/>
        </w:rPr>
        <w:t xml:space="preserve"> </w:t>
      </w:r>
      <w:r w:rsidRPr="00154E9A">
        <w:rPr>
          <w:rFonts w:eastAsia="Times New Roman" w:cs="Arial"/>
          <w:color w:val="000000"/>
          <w:lang w:eastAsia="bg-BG"/>
        </w:rPr>
        <w:t>е проучване при пациенти със захарен диабет тип 2 и диабетна</w:t>
      </w:r>
    </w:p>
    <w:p w14:paraId="706947D8" w14:textId="6AF5D911" w:rsidR="00154E9A" w:rsidRPr="00154E9A" w:rsidRDefault="00154E9A" w:rsidP="00154E9A">
      <w:pPr>
        <w:rPr>
          <w:rFonts w:eastAsia="Times New Roman" w:cs="Arial"/>
          <w:color w:val="000000"/>
          <w:lang w:eastAsia="bg-BG"/>
        </w:rPr>
      </w:pPr>
      <w:r w:rsidRPr="00154E9A">
        <w:rPr>
          <w:rFonts w:eastAsia="Times New Roman" w:cs="Arial"/>
          <w:color w:val="000000"/>
          <w:lang w:eastAsia="bg-BG"/>
        </w:rPr>
        <w:t>нефропатия.</w:t>
      </w:r>
    </w:p>
    <w:p w14:paraId="749557EF" w14:textId="205B6848" w:rsidR="00154E9A" w:rsidRPr="00154E9A" w:rsidRDefault="00154E9A" w:rsidP="00154E9A">
      <w:pPr>
        <w:rPr>
          <w:rFonts w:eastAsia="Times New Roman" w:cs="Arial"/>
          <w:color w:val="000000"/>
          <w:lang w:eastAsia="bg-BG"/>
        </w:rPr>
      </w:pPr>
    </w:p>
    <w:p w14:paraId="585FBDA6" w14:textId="77777777" w:rsidR="00154E9A" w:rsidRPr="00154E9A" w:rsidRDefault="00154E9A" w:rsidP="00154E9A">
      <w:pPr>
        <w:spacing w:line="240" w:lineRule="auto"/>
        <w:rPr>
          <w:rFonts w:eastAsia="Times New Roman" w:cs="Arial"/>
          <w:sz w:val="24"/>
          <w:szCs w:val="24"/>
        </w:rPr>
      </w:pPr>
      <w:r w:rsidRPr="00154E9A">
        <w:rPr>
          <w:rFonts w:eastAsia="Times New Roman" w:cs="Arial"/>
          <w:color w:val="000000"/>
          <w:lang w:eastAsia="bg-BG"/>
        </w:rPr>
        <w:t>Тези проучвания не показват значим благоприятен ефект върху бъбречните и/или сърдечно</w:t>
      </w:r>
      <w:r w:rsidRPr="00154E9A">
        <w:rPr>
          <w:rFonts w:eastAsia="Times New Roman" w:cs="Arial"/>
          <w:color w:val="000000"/>
          <w:lang w:eastAsia="bg-BG"/>
        </w:rPr>
        <w:softHyphen/>
        <w:t xml:space="preserve">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АСЕ-инхибитори и ангиотензин </w:t>
      </w:r>
      <w:r w:rsidRPr="00154E9A">
        <w:rPr>
          <w:rFonts w:eastAsia="Times New Roman" w:cs="Arial"/>
          <w:color w:val="000000"/>
          <w:lang w:val="en-US"/>
        </w:rPr>
        <w:t>II</w:t>
      </w:r>
      <w:r w:rsidRPr="00154E9A">
        <w:rPr>
          <w:rFonts w:eastAsia="Times New Roman" w:cs="Arial"/>
          <w:color w:val="000000"/>
          <w:lang w:eastAsia="bg-BG"/>
        </w:rPr>
        <w:t>-рецепторни блокери.</w:t>
      </w:r>
    </w:p>
    <w:p w14:paraId="2BC7403A" w14:textId="77777777" w:rsidR="00154E9A" w:rsidRPr="00154E9A" w:rsidRDefault="00154E9A" w:rsidP="00154E9A">
      <w:pPr>
        <w:spacing w:line="240" w:lineRule="auto"/>
        <w:rPr>
          <w:rFonts w:eastAsia="Times New Roman" w:cs="Arial"/>
          <w:color w:val="000000"/>
          <w:lang w:eastAsia="bg-BG"/>
        </w:rPr>
      </w:pPr>
    </w:p>
    <w:p w14:paraId="6BFB79B2" w14:textId="10CD3718" w:rsidR="00154E9A" w:rsidRPr="00154E9A" w:rsidRDefault="00154E9A" w:rsidP="00154E9A">
      <w:pPr>
        <w:spacing w:line="240" w:lineRule="auto"/>
        <w:rPr>
          <w:rFonts w:eastAsia="Times New Roman" w:cs="Arial"/>
          <w:sz w:val="24"/>
          <w:szCs w:val="24"/>
        </w:rPr>
      </w:pPr>
      <w:r w:rsidRPr="00154E9A">
        <w:rPr>
          <w:rFonts w:eastAsia="Times New Roman" w:cs="Arial"/>
          <w:color w:val="000000"/>
          <w:lang w:eastAsia="bg-BG"/>
        </w:rPr>
        <w:t xml:space="preserve">АСЕ-инхибитори и ангиотензин </w:t>
      </w:r>
      <w:r w:rsidRPr="00154E9A">
        <w:rPr>
          <w:rFonts w:eastAsia="Times New Roman" w:cs="Arial"/>
          <w:color w:val="000000"/>
          <w:lang w:val="en-US"/>
        </w:rPr>
        <w:t>II</w:t>
      </w:r>
      <w:r w:rsidRPr="00154E9A">
        <w:rPr>
          <w:rFonts w:eastAsia="Times New Roman" w:cs="Arial"/>
          <w:color w:val="000000"/>
          <w:lang w:eastAsia="bg-BG"/>
        </w:rPr>
        <w:t>-рецепторни блокери следователно не трябва да се използват едновременно при пациенти с диабетна нефропатия.</w:t>
      </w:r>
    </w:p>
    <w:p w14:paraId="5D94E54C" w14:textId="77777777" w:rsidR="00154E9A" w:rsidRPr="00E67ECC" w:rsidRDefault="00154E9A" w:rsidP="00154E9A">
      <w:pPr>
        <w:spacing w:line="240" w:lineRule="auto"/>
        <w:rPr>
          <w:rFonts w:eastAsia="Times New Roman" w:cs="Arial"/>
          <w:color w:val="000000"/>
          <w:lang w:val="ru-RU"/>
        </w:rPr>
      </w:pPr>
    </w:p>
    <w:p w14:paraId="29788D30" w14:textId="15F7C6DE" w:rsidR="00154E9A" w:rsidRPr="00154E9A" w:rsidRDefault="00154E9A" w:rsidP="00154E9A">
      <w:pPr>
        <w:spacing w:line="240" w:lineRule="auto"/>
        <w:rPr>
          <w:rFonts w:eastAsia="Times New Roman" w:cs="Arial"/>
          <w:sz w:val="24"/>
          <w:szCs w:val="24"/>
        </w:rPr>
      </w:pPr>
      <w:r w:rsidRPr="00154E9A">
        <w:rPr>
          <w:rFonts w:eastAsia="Times New Roman" w:cs="Arial"/>
          <w:color w:val="000000"/>
          <w:lang w:val="en-US"/>
        </w:rPr>
        <w:t>ALTITUDE</w:t>
      </w:r>
      <w:r w:rsidRPr="00154E9A">
        <w:rPr>
          <w:rFonts w:eastAsia="Times New Roman" w:cs="Arial"/>
          <w:color w:val="000000"/>
          <w:lang w:val="ru-RU"/>
        </w:rPr>
        <w:t xml:space="preserve"> </w:t>
      </w:r>
      <w:r w:rsidRPr="00154E9A">
        <w:rPr>
          <w:rFonts w:eastAsia="Times New Roman" w:cs="Arial"/>
          <w:color w:val="000000"/>
          <w:lang w:eastAsia="bg-BG"/>
        </w:rPr>
        <w:t xml:space="preserve">(Клинично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ангиотензин </w:t>
      </w:r>
      <w:r w:rsidRPr="00154E9A">
        <w:rPr>
          <w:rFonts w:eastAsia="Times New Roman" w:cs="Arial"/>
          <w:color w:val="000000"/>
          <w:lang w:val="en-US"/>
        </w:rPr>
        <w:t>II</w:t>
      </w:r>
      <w:r w:rsidRPr="00154E9A">
        <w:rPr>
          <w:rFonts w:eastAsia="Times New Roman" w:cs="Arial"/>
          <w:color w:val="000000"/>
          <w:lang w:eastAsia="bg-BG"/>
        </w:rPr>
        <w:t>-рецепторен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w:t>
      </w:r>
      <w:r w:rsidRPr="00154E9A">
        <w:rPr>
          <w:rFonts w:eastAsia="Times New Roman" w:cs="Arial"/>
          <w:color w:val="000000"/>
          <w:lang w:eastAsia="bg-BG"/>
        </w:rPr>
        <w:softHyphen/>
        <w:t>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6DBC60C1" w14:textId="77777777" w:rsidR="00154E9A" w:rsidRPr="00154E9A" w:rsidRDefault="00154E9A" w:rsidP="00154E9A"/>
    <w:p w14:paraId="78DD93AA" w14:textId="05F74800" w:rsidR="00B6672E" w:rsidRDefault="002C50EE" w:rsidP="00936AD0">
      <w:pPr>
        <w:pStyle w:val="Heading2"/>
      </w:pPr>
      <w:r>
        <w:t>5.2. Фармакокинетични свойства</w:t>
      </w:r>
    </w:p>
    <w:p w14:paraId="7A91CDC3" w14:textId="468FA0A9" w:rsidR="00154E9A" w:rsidRDefault="00154E9A" w:rsidP="00154E9A"/>
    <w:p w14:paraId="4958BDC7" w14:textId="77777777" w:rsidR="00154E9A" w:rsidRPr="00154E9A" w:rsidRDefault="00154E9A" w:rsidP="00154E9A">
      <w:pPr>
        <w:pStyle w:val="Heading3"/>
        <w:rPr>
          <w:rFonts w:eastAsia="Times New Roman"/>
          <w:u w:val="single"/>
        </w:rPr>
      </w:pPr>
      <w:r w:rsidRPr="00154E9A">
        <w:rPr>
          <w:rFonts w:eastAsia="Times New Roman"/>
          <w:u w:val="single"/>
          <w:lang w:eastAsia="bg-BG"/>
        </w:rPr>
        <w:t>Абсорбция</w:t>
      </w:r>
    </w:p>
    <w:p w14:paraId="6C7562EB" w14:textId="77777777" w:rsidR="00154E9A" w:rsidRPr="00154E9A" w:rsidRDefault="00154E9A" w:rsidP="00154E9A">
      <w:pPr>
        <w:spacing w:line="240" w:lineRule="auto"/>
        <w:rPr>
          <w:rFonts w:eastAsia="Times New Roman" w:cs="Arial"/>
          <w:sz w:val="24"/>
          <w:szCs w:val="24"/>
        </w:rPr>
      </w:pPr>
      <w:r w:rsidRPr="00154E9A">
        <w:rPr>
          <w:rFonts w:eastAsia="Times New Roman" w:cs="Arial"/>
          <w:color w:val="000000"/>
          <w:lang w:eastAsia="bg-BG"/>
        </w:rPr>
        <w:t>След перорален прием трандолаприл се резорбира много бързо. Пиковите плазмени концентраци на трандолаприл се достигат за един час след приема. Абсолютната бионаличност на трандолаприл е около 10%.</w:t>
      </w:r>
    </w:p>
    <w:p w14:paraId="2CF14365" w14:textId="77777777" w:rsidR="00154E9A" w:rsidRPr="00154E9A" w:rsidRDefault="00154E9A" w:rsidP="00154E9A">
      <w:pPr>
        <w:spacing w:line="240" w:lineRule="auto"/>
        <w:rPr>
          <w:rFonts w:eastAsia="Times New Roman" w:cs="Arial"/>
          <w:color w:val="000000"/>
          <w:u w:val="single"/>
          <w:lang w:eastAsia="bg-BG"/>
        </w:rPr>
      </w:pPr>
    </w:p>
    <w:p w14:paraId="6E60B33A" w14:textId="702740E3" w:rsidR="00154E9A" w:rsidRPr="00154E9A" w:rsidRDefault="00154E9A" w:rsidP="00154E9A">
      <w:pPr>
        <w:pStyle w:val="Heading3"/>
        <w:rPr>
          <w:rFonts w:eastAsia="Times New Roman"/>
          <w:u w:val="single"/>
        </w:rPr>
      </w:pPr>
      <w:r w:rsidRPr="00154E9A">
        <w:rPr>
          <w:rFonts w:eastAsia="Times New Roman"/>
          <w:u w:val="single"/>
          <w:lang w:eastAsia="bg-BG"/>
        </w:rPr>
        <w:lastRenderedPageBreak/>
        <w:t>Биотрансформация</w:t>
      </w:r>
    </w:p>
    <w:p w14:paraId="0EC89A9B" w14:textId="77777777" w:rsidR="00154E9A" w:rsidRPr="00154E9A" w:rsidRDefault="00154E9A" w:rsidP="00154E9A">
      <w:pPr>
        <w:spacing w:line="240" w:lineRule="auto"/>
        <w:rPr>
          <w:rFonts w:eastAsia="Times New Roman" w:cs="Arial"/>
          <w:sz w:val="24"/>
          <w:szCs w:val="24"/>
        </w:rPr>
      </w:pPr>
      <w:r w:rsidRPr="00154E9A">
        <w:rPr>
          <w:rFonts w:eastAsia="Times New Roman" w:cs="Arial"/>
          <w:color w:val="000000"/>
          <w:lang w:eastAsia="bg-BG"/>
        </w:rPr>
        <w:t>Трандолаприл се хидролизира до активния диацид метаболит трандолаприлат, който е специфичен АСЕ-инхибитор. Пиковата плазмена концентрация на трандолаприлат се достига след 3 до 8 часа. Абсолютната бионаличност на трандолаприлат след прием на трандолаприл е около 13%. С</w:t>
      </w:r>
      <w:r w:rsidRPr="00154E9A">
        <w:rPr>
          <w:rFonts w:eastAsia="Times New Roman" w:cs="Arial"/>
          <w:color w:val="000000"/>
          <w:vertAlign w:val="subscript"/>
          <w:lang w:val="en-US"/>
        </w:rPr>
        <w:t>max</w:t>
      </w:r>
      <w:r w:rsidRPr="00154E9A">
        <w:rPr>
          <w:rFonts w:eastAsia="Times New Roman" w:cs="Arial"/>
          <w:color w:val="000000"/>
          <w:lang w:eastAsia="bg-BG"/>
        </w:rPr>
        <w:t xml:space="preserve"> или </w:t>
      </w:r>
      <w:r w:rsidRPr="00154E9A">
        <w:rPr>
          <w:rFonts w:eastAsia="Times New Roman" w:cs="Arial"/>
          <w:color w:val="000000"/>
          <w:lang w:val="en-US"/>
        </w:rPr>
        <w:t>AUC</w:t>
      </w:r>
      <w:r w:rsidRPr="00154E9A">
        <w:rPr>
          <w:rFonts w:eastAsia="Times New Roman" w:cs="Arial"/>
          <w:color w:val="000000"/>
          <w:lang w:val="ru-RU"/>
        </w:rPr>
        <w:t xml:space="preserve"> </w:t>
      </w:r>
      <w:r w:rsidRPr="00154E9A">
        <w:rPr>
          <w:rFonts w:eastAsia="Times New Roman" w:cs="Arial"/>
          <w:color w:val="000000"/>
          <w:lang w:eastAsia="bg-BG"/>
        </w:rPr>
        <w:t>на трандолаприлат не се променя от приема на храна.</w:t>
      </w:r>
    </w:p>
    <w:p w14:paraId="7EE36DBB" w14:textId="77777777" w:rsidR="00154E9A" w:rsidRPr="00154E9A" w:rsidRDefault="00154E9A" w:rsidP="00154E9A">
      <w:pPr>
        <w:spacing w:line="240" w:lineRule="auto"/>
        <w:rPr>
          <w:rFonts w:eastAsia="Times New Roman" w:cs="Arial"/>
          <w:color w:val="000000"/>
          <w:u w:val="single"/>
          <w:lang w:eastAsia="bg-BG"/>
        </w:rPr>
      </w:pPr>
    </w:p>
    <w:p w14:paraId="40DFDA64" w14:textId="3EB34824" w:rsidR="00154E9A" w:rsidRPr="00154E9A" w:rsidRDefault="00154E9A" w:rsidP="00154E9A">
      <w:pPr>
        <w:pStyle w:val="Heading3"/>
        <w:rPr>
          <w:rFonts w:eastAsia="Times New Roman"/>
          <w:u w:val="single"/>
        </w:rPr>
      </w:pPr>
      <w:r w:rsidRPr="00154E9A">
        <w:rPr>
          <w:rFonts w:eastAsia="Times New Roman"/>
          <w:u w:val="single"/>
          <w:lang w:eastAsia="bg-BG"/>
        </w:rPr>
        <w:t>Разпределение</w:t>
      </w:r>
    </w:p>
    <w:p w14:paraId="66C9FD00" w14:textId="77777777" w:rsidR="00154E9A" w:rsidRPr="00154E9A" w:rsidRDefault="00154E9A" w:rsidP="00154E9A">
      <w:pPr>
        <w:spacing w:line="240" w:lineRule="auto"/>
        <w:rPr>
          <w:rFonts w:eastAsia="Times New Roman" w:cs="Arial"/>
          <w:sz w:val="24"/>
          <w:szCs w:val="24"/>
        </w:rPr>
      </w:pPr>
      <w:r w:rsidRPr="00154E9A">
        <w:rPr>
          <w:rFonts w:eastAsia="Times New Roman" w:cs="Arial"/>
          <w:color w:val="000000"/>
          <w:lang w:eastAsia="bg-BG"/>
        </w:rPr>
        <w:t xml:space="preserve">Свързването на трандолаприл с плазмените протеини е около 80% и не зависи от концентрацията. Обемът на разпределение на трандолаприл е около 18 </w:t>
      </w:r>
      <w:r w:rsidRPr="00154E9A">
        <w:rPr>
          <w:rFonts w:eastAsia="Times New Roman" w:cs="Arial"/>
          <w:color w:val="000000"/>
          <w:lang w:val="en-US"/>
        </w:rPr>
        <w:t>L</w:t>
      </w:r>
      <w:r w:rsidRPr="00154E9A">
        <w:rPr>
          <w:rFonts w:eastAsia="Times New Roman" w:cs="Arial"/>
          <w:color w:val="000000"/>
          <w:lang w:val="ru-RU"/>
        </w:rPr>
        <w:t xml:space="preserve">. </w:t>
      </w:r>
      <w:r w:rsidRPr="00154E9A">
        <w:rPr>
          <w:rFonts w:eastAsia="Times New Roman" w:cs="Arial"/>
          <w:color w:val="000000"/>
          <w:lang w:eastAsia="bg-BG"/>
        </w:rPr>
        <w:t xml:space="preserve">Свързването на трандолаприлата е зависимо от концентрацията и варира от 65% при 1 000 </w:t>
      </w:r>
      <w:r w:rsidRPr="00154E9A">
        <w:rPr>
          <w:rFonts w:eastAsia="Times New Roman" w:cs="Arial"/>
          <w:color w:val="000000"/>
          <w:lang w:val="en-US"/>
        </w:rPr>
        <w:t>ng</w:t>
      </w:r>
      <w:r w:rsidRPr="00154E9A">
        <w:rPr>
          <w:rFonts w:eastAsia="Times New Roman" w:cs="Arial"/>
          <w:color w:val="000000"/>
          <w:lang w:val="ru-RU"/>
        </w:rPr>
        <w:t>/</w:t>
      </w:r>
      <w:r w:rsidRPr="00154E9A">
        <w:rPr>
          <w:rFonts w:eastAsia="Times New Roman" w:cs="Arial"/>
          <w:color w:val="000000"/>
          <w:lang w:val="en-US"/>
        </w:rPr>
        <w:t>ml</w:t>
      </w:r>
      <w:r w:rsidRPr="00154E9A">
        <w:rPr>
          <w:rFonts w:eastAsia="Times New Roman" w:cs="Arial"/>
          <w:color w:val="000000"/>
          <w:lang w:val="ru-RU"/>
        </w:rPr>
        <w:t xml:space="preserve"> </w:t>
      </w:r>
      <w:r w:rsidRPr="00154E9A">
        <w:rPr>
          <w:rFonts w:eastAsia="Times New Roman" w:cs="Arial"/>
          <w:color w:val="000000"/>
          <w:lang w:eastAsia="bg-BG"/>
        </w:rPr>
        <w:t xml:space="preserve">до 94% при 0,1 </w:t>
      </w:r>
      <w:r w:rsidRPr="00154E9A">
        <w:rPr>
          <w:rFonts w:eastAsia="Times New Roman" w:cs="Arial"/>
          <w:color w:val="000000"/>
          <w:lang w:val="en-US"/>
        </w:rPr>
        <w:t>ng</w:t>
      </w:r>
      <w:r w:rsidRPr="00154E9A">
        <w:rPr>
          <w:rFonts w:eastAsia="Times New Roman" w:cs="Arial"/>
          <w:color w:val="000000"/>
          <w:lang w:val="ru-RU"/>
        </w:rPr>
        <w:t>/</w:t>
      </w:r>
      <w:r w:rsidRPr="00154E9A">
        <w:rPr>
          <w:rFonts w:eastAsia="Times New Roman" w:cs="Arial"/>
          <w:color w:val="000000"/>
          <w:lang w:val="en-US"/>
        </w:rPr>
        <w:t>ml</w:t>
      </w:r>
      <w:r w:rsidRPr="00154E9A">
        <w:rPr>
          <w:rFonts w:eastAsia="Times New Roman" w:cs="Arial"/>
          <w:color w:val="000000"/>
          <w:lang w:val="ru-RU"/>
        </w:rPr>
        <w:t xml:space="preserve">, </w:t>
      </w:r>
      <w:r w:rsidRPr="00154E9A">
        <w:rPr>
          <w:rFonts w:eastAsia="Times New Roman" w:cs="Arial"/>
          <w:color w:val="000000"/>
          <w:lang w:eastAsia="bg-BG"/>
        </w:rPr>
        <w:t>което показва насищане на свързване с увеличаване на концентрацията. При здрави доброволци, концентрацията на трандолаприл в плазмата намалява бързо с среден полуживот по малко от 1 час.</w:t>
      </w:r>
    </w:p>
    <w:p w14:paraId="6CB87E82" w14:textId="77777777" w:rsidR="00154E9A" w:rsidRPr="00154E9A" w:rsidRDefault="00154E9A" w:rsidP="00154E9A">
      <w:pPr>
        <w:spacing w:line="240" w:lineRule="auto"/>
        <w:rPr>
          <w:rFonts w:eastAsia="Times New Roman" w:cs="Arial"/>
          <w:color w:val="000000"/>
          <w:u w:val="single"/>
          <w:lang w:eastAsia="bg-BG"/>
        </w:rPr>
      </w:pPr>
    </w:p>
    <w:p w14:paraId="6DFBDE8F" w14:textId="75F5AB45" w:rsidR="00154E9A" w:rsidRPr="00154E9A" w:rsidRDefault="00154E9A" w:rsidP="00154E9A">
      <w:pPr>
        <w:pStyle w:val="Heading3"/>
        <w:rPr>
          <w:rFonts w:eastAsia="Times New Roman"/>
          <w:u w:val="single"/>
        </w:rPr>
      </w:pPr>
      <w:r w:rsidRPr="00154E9A">
        <w:rPr>
          <w:rFonts w:eastAsia="Times New Roman"/>
          <w:u w:val="single"/>
          <w:lang w:eastAsia="bg-BG"/>
        </w:rPr>
        <w:t>Биотрансформация</w:t>
      </w:r>
    </w:p>
    <w:p w14:paraId="729613ED" w14:textId="77777777" w:rsidR="00154E9A" w:rsidRPr="00154E9A" w:rsidRDefault="00154E9A" w:rsidP="00154E9A">
      <w:pPr>
        <w:spacing w:line="240" w:lineRule="auto"/>
        <w:rPr>
          <w:rFonts w:eastAsia="Times New Roman" w:cs="Arial"/>
          <w:sz w:val="24"/>
          <w:szCs w:val="24"/>
        </w:rPr>
      </w:pPr>
      <w:r w:rsidRPr="00154E9A">
        <w:rPr>
          <w:rFonts w:eastAsia="Times New Roman" w:cs="Arial"/>
          <w:color w:val="000000"/>
          <w:lang w:eastAsia="bg-BG"/>
        </w:rPr>
        <w:t>При многократно приложение на трандолаприл, равновесно състояние за трандолаприлат се достига за около четири дни, както при здрави доброволци, така и при по-млади или в напреднала възраст пациенти с хипертония. При равновесно състояние, ефективният полуживот на трандолаприлат е между 15 и 23 часа, включващ малка фракция от приетия продукт, вероятно отразяваща свързването с плазмения и тъканен АСЕ.</w:t>
      </w:r>
    </w:p>
    <w:p w14:paraId="5AB9B9F8" w14:textId="77777777" w:rsidR="00154E9A" w:rsidRPr="00154E9A" w:rsidRDefault="00154E9A" w:rsidP="00154E9A">
      <w:pPr>
        <w:spacing w:line="240" w:lineRule="auto"/>
        <w:rPr>
          <w:rFonts w:eastAsia="Times New Roman" w:cs="Arial"/>
          <w:color w:val="000000"/>
          <w:u w:val="single"/>
          <w:lang w:eastAsia="bg-BG"/>
        </w:rPr>
      </w:pPr>
    </w:p>
    <w:p w14:paraId="02874E3B" w14:textId="7CDA3895" w:rsidR="00154E9A" w:rsidRPr="00154E9A" w:rsidRDefault="00154E9A" w:rsidP="00154E9A">
      <w:pPr>
        <w:pStyle w:val="Heading3"/>
        <w:rPr>
          <w:rFonts w:eastAsia="Times New Roman"/>
          <w:u w:val="single"/>
        </w:rPr>
      </w:pPr>
      <w:r w:rsidRPr="00154E9A">
        <w:rPr>
          <w:rFonts w:eastAsia="Times New Roman"/>
          <w:u w:val="single"/>
          <w:lang w:eastAsia="bg-BG"/>
        </w:rPr>
        <w:t>Елиминиране</w:t>
      </w:r>
    </w:p>
    <w:p w14:paraId="1BD0ECE7" w14:textId="77777777" w:rsidR="00154E9A" w:rsidRPr="00154E9A" w:rsidRDefault="00154E9A" w:rsidP="00154E9A">
      <w:pPr>
        <w:spacing w:line="240" w:lineRule="auto"/>
        <w:rPr>
          <w:rFonts w:eastAsia="Times New Roman" w:cs="Arial"/>
          <w:sz w:val="24"/>
          <w:szCs w:val="24"/>
        </w:rPr>
      </w:pPr>
      <w:r w:rsidRPr="00154E9A">
        <w:rPr>
          <w:rFonts w:eastAsia="Times New Roman" w:cs="Arial"/>
          <w:color w:val="000000"/>
          <w:lang w:eastAsia="bg-BG"/>
        </w:rPr>
        <w:t>След перорално приложение на белязан продукт при хора, 33% от радиоактивността се открива в урината и 66% в изпражненията. Около 9-14% от приетата доза трандолаприл се отделя като трандолаприлат в урината. Незначително количество трандолаприл се екскретира непроменено в урината (&lt;0,5%).</w:t>
      </w:r>
    </w:p>
    <w:p w14:paraId="391D07A1" w14:textId="77777777" w:rsidR="00154E9A" w:rsidRPr="00154E9A" w:rsidRDefault="00154E9A" w:rsidP="00154E9A">
      <w:pPr>
        <w:spacing w:line="240" w:lineRule="auto"/>
        <w:rPr>
          <w:rFonts w:eastAsia="Times New Roman" w:cs="Arial"/>
          <w:sz w:val="24"/>
          <w:szCs w:val="24"/>
        </w:rPr>
      </w:pPr>
      <w:r w:rsidRPr="00154E9A">
        <w:rPr>
          <w:rFonts w:eastAsia="Times New Roman" w:cs="Arial"/>
          <w:color w:val="000000"/>
          <w:lang w:eastAsia="bg-BG"/>
        </w:rPr>
        <w:t xml:space="preserve">Общият плазмен клирънс на трандолаприл и трандолаприлат след приблизително 2 </w:t>
      </w:r>
      <w:r w:rsidRPr="00154E9A">
        <w:rPr>
          <w:rFonts w:eastAsia="Times New Roman" w:cs="Arial"/>
          <w:color w:val="000000"/>
          <w:lang w:val="en-US"/>
        </w:rPr>
        <w:t>mg</w:t>
      </w:r>
      <w:r w:rsidRPr="00154E9A">
        <w:rPr>
          <w:rFonts w:eastAsia="Times New Roman" w:cs="Arial"/>
          <w:color w:val="000000"/>
          <w:lang w:eastAsia="bg-BG"/>
        </w:rPr>
        <w:t xml:space="preserve"> интравенозно е около 52 литра на час и 7 литра на час, съответно.</w:t>
      </w:r>
    </w:p>
    <w:p w14:paraId="29BA6E53" w14:textId="22203317" w:rsidR="00154E9A" w:rsidRPr="00154E9A" w:rsidRDefault="00154E9A" w:rsidP="00154E9A">
      <w:pPr>
        <w:spacing w:line="240" w:lineRule="auto"/>
        <w:rPr>
          <w:rFonts w:eastAsia="Times New Roman" w:cs="Arial"/>
          <w:color w:val="000000"/>
          <w:lang w:eastAsia="bg-BG"/>
        </w:rPr>
      </w:pPr>
      <w:r w:rsidRPr="00154E9A">
        <w:rPr>
          <w:rFonts w:eastAsia="Times New Roman" w:cs="Arial"/>
          <w:color w:val="000000"/>
          <w:lang w:eastAsia="bg-BG"/>
        </w:rPr>
        <w:t>Бъбречният клирънс на трандолаприлат варира от 0,15 до 4 литра за час, в зависимост от дозата</w:t>
      </w:r>
    </w:p>
    <w:p w14:paraId="4854C495" w14:textId="7706700D" w:rsidR="00154E9A" w:rsidRPr="00154E9A" w:rsidRDefault="00154E9A" w:rsidP="00154E9A">
      <w:pPr>
        <w:spacing w:line="240" w:lineRule="auto"/>
        <w:rPr>
          <w:rFonts w:eastAsia="Times New Roman" w:cs="Arial"/>
          <w:color w:val="000000"/>
          <w:lang w:eastAsia="bg-BG"/>
        </w:rPr>
      </w:pPr>
    </w:p>
    <w:p w14:paraId="658FE9F5" w14:textId="77777777" w:rsidR="00154E9A" w:rsidRPr="00154E9A" w:rsidRDefault="00154E9A" w:rsidP="00154E9A">
      <w:pPr>
        <w:pStyle w:val="Heading3"/>
        <w:rPr>
          <w:rFonts w:eastAsia="Times New Roman"/>
          <w:u w:val="single"/>
        </w:rPr>
      </w:pPr>
      <w:r w:rsidRPr="00154E9A">
        <w:rPr>
          <w:rFonts w:eastAsia="Times New Roman"/>
          <w:u w:val="single"/>
          <w:lang w:eastAsia="bg-BG"/>
        </w:rPr>
        <w:t>Специални популации</w:t>
      </w:r>
    </w:p>
    <w:p w14:paraId="031EC93C" w14:textId="77777777" w:rsidR="00154E9A" w:rsidRPr="00154E9A" w:rsidRDefault="00154E9A" w:rsidP="00154E9A">
      <w:pPr>
        <w:spacing w:line="240" w:lineRule="auto"/>
        <w:rPr>
          <w:rFonts w:eastAsia="Times New Roman" w:cs="Arial"/>
          <w:i/>
          <w:iCs/>
          <w:color w:val="000000"/>
          <w:lang w:eastAsia="bg-BG"/>
        </w:rPr>
      </w:pPr>
    </w:p>
    <w:p w14:paraId="5D0F383D" w14:textId="0DAEB9E9" w:rsidR="00154E9A" w:rsidRPr="00154E9A" w:rsidRDefault="00154E9A" w:rsidP="00154E9A">
      <w:pPr>
        <w:spacing w:line="240" w:lineRule="auto"/>
        <w:rPr>
          <w:rFonts w:eastAsia="Times New Roman" w:cs="Arial"/>
          <w:sz w:val="24"/>
          <w:szCs w:val="24"/>
        </w:rPr>
      </w:pPr>
      <w:r w:rsidRPr="00154E9A">
        <w:rPr>
          <w:rFonts w:eastAsia="Times New Roman" w:cs="Arial"/>
          <w:i/>
          <w:iCs/>
          <w:color w:val="000000"/>
          <w:lang w:eastAsia="bg-BG"/>
        </w:rPr>
        <w:t>Педиатрична популация</w:t>
      </w:r>
    </w:p>
    <w:p w14:paraId="2BED6D01" w14:textId="77777777" w:rsidR="00154E9A" w:rsidRPr="00154E9A" w:rsidRDefault="00154E9A" w:rsidP="00154E9A">
      <w:pPr>
        <w:spacing w:line="240" w:lineRule="auto"/>
        <w:rPr>
          <w:rFonts w:eastAsia="Times New Roman" w:cs="Arial"/>
          <w:sz w:val="24"/>
          <w:szCs w:val="24"/>
        </w:rPr>
      </w:pPr>
      <w:r w:rsidRPr="00154E9A">
        <w:rPr>
          <w:rFonts w:eastAsia="Times New Roman" w:cs="Arial"/>
          <w:color w:val="000000"/>
          <w:lang w:eastAsia="bg-BG"/>
        </w:rPr>
        <w:t>Фармакокинетиката на трандолаприл не е изследвана при лица под 18-годишна възраст.</w:t>
      </w:r>
    </w:p>
    <w:p w14:paraId="4DB899A6" w14:textId="77777777" w:rsidR="00154E9A" w:rsidRPr="00154E9A" w:rsidRDefault="00154E9A" w:rsidP="00154E9A">
      <w:pPr>
        <w:spacing w:line="240" w:lineRule="auto"/>
        <w:rPr>
          <w:rFonts w:eastAsia="Times New Roman" w:cs="Arial"/>
          <w:i/>
          <w:iCs/>
          <w:color w:val="000000"/>
          <w:lang w:eastAsia="bg-BG"/>
        </w:rPr>
      </w:pPr>
    </w:p>
    <w:p w14:paraId="4E7B87F8" w14:textId="4F1AAF01" w:rsidR="00154E9A" w:rsidRPr="00154E9A" w:rsidRDefault="00154E9A" w:rsidP="00154E9A">
      <w:pPr>
        <w:spacing w:line="240" w:lineRule="auto"/>
        <w:rPr>
          <w:rFonts w:eastAsia="Times New Roman" w:cs="Arial"/>
          <w:sz w:val="24"/>
          <w:szCs w:val="24"/>
        </w:rPr>
      </w:pPr>
      <w:r w:rsidRPr="00154E9A">
        <w:rPr>
          <w:rFonts w:eastAsia="Times New Roman" w:cs="Arial"/>
          <w:i/>
          <w:iCs/>
          <w:color w:val="000000"/>
          <w:lang w:eastAsia="bg-BG"/>
        </w:rPr>
        <w:t>Пациенти в старческа възраст и пол</w:t>
      </w:r>
    </w:p>
    <w:p w14:paraId="741C0F4E" w14:textId="77777777" w:rsidR="00154E9A" w:rsidRPr="00154E9A" w:rsidRDefault="00154E9A" w:rsidP="00154E9A">
      <w:pPr>
        <w:spacing w:line="240" w:lineRule="auto"/>
        <w:rPr>
          <w:rFonts w:eastAsia="Times New Roman" w:cs="Arial"/>
          <w:sz w:val="24"/>
          <w:szCs w:val="24"/>
        </w:rPr>
      </w:pPr>
      <w:r w:rsidRPr="00154E9A">
        <w:rPr>
          <w:rFonts w:eastAsia="Times New Roman" w:cs="Arial"/>
          <w:color w:val="000000"/>
          <w:lang w:eastAsia="bg-BG"/>
        </w:rPr>
        <w:t>Фармакокинетиката на трандолаприл е изследвана при пациенти в старческа възраст (над 65 години) и при двата пола. Плазмената концентрация на трандолаприл е повишена при пациентите в старческа възраст с хипертония, но плазмената концентрация на трандолаприлат и инхибиращата АСЕ активност е подобна при възрастните и по-млади пациенти с хипертония. Фармакокинетиката на трандолаприл и трандолаприлат, както и инхибиращата АСЕ активност е подобна при мъжете и жените в старческа възраст с хипертония.</w:t>
      </w:r>
    </w:p>
    <w:p w14:paraId="07538F9A" w14:textId="77777777" w:rsidR="00154E9A" w:rsidRPr="00154E9A" w:rsidRDefault="00154E9A" w:rsidP="00154E9A">
      <w:pPr>
        <w:spacing w:line="240" w:lineRule="auto"/>
        <w:rPr>
          <w:rFonts w:eastAsia="Times New Roman" w:cs="Arial"/>
          <w:i/>
          <w:iCs/>
          <w:color w:val="000000"/>
          <w:lang w:eastAsia="bg-BG"/>
        </w:rPr>
      </w:pPr>
    </w:p>
    <w:p w14:paraId="738417D9" w14:textId="3DEB4F72" w:rsidR="00154E9A" w:rsidRPr="00154E9A" w:rsidRDefault="00154E9A" w:rsidP="00154E9A">
      <w:pPr>
        <w:spacing w:line="240" w:lineRule="auto"/>
        <w:rPr>
          <w:rFonts w:eastAsia="Times New Roman" w:cs="Arial"/>
          <w:sz w:val="24"/>
          <w:szCs w:val="24"/>
        </w:rPr>
      </w:pPr>
      <w:r w:rsidRPr="00154E9A">
        <w:rPr>
          <w:rFonts w:eastAsia="Times New Roman" w:cs="Arial"/>
          <w:i/>
          <w:iCs/>
          <w:color w:val="000000"/>
          <w:lang w:eastAsia="bg-BG"/>
        </w:rPr>
        <w:t>Раса</w:t>
      </w:r>
    </w:p>
    <w:p w14:paraId="2D93CB0E" w14:textId="77777777" w:rsidR="00154E9A" w:rsidRPr="00154E9A" w:rsidRDefault="00154E9A" w:rsidP="00154E9A">
      <w:pPr>
        <w:spacing w:line="240" w:lineRule="auto"/>
        <w:rPr>
          <w:rFonts w:eastAsia="Times New Roman" w:cs="Arial"/>
          <w:sz w:val="24"/>
          <w:szCs w:val="24"/>
        </w:rPr>
      </w:pPr>
      <w:r w:rsidRPr="00154E9A">
        <w:rPr>
          <w:rFonts w:eastAsia="Times New Roman" w:cs="Arial"/>
          <w:color w:val="000000"/>
          <w:lang w:eastAsia="bg-BG"/>
        </w:rPr>
        <w:t>Не са установени фармакокинетични разлики при различните раси.</w:t>
      </w:r>
    </w:p>
    <w:p w14:paraId="664AF022" w14:textId="77777777" w:rsidR="00154E9A" w:rsidRPr="00154E9A" w:rsidRDefault="00154E9A" w:rsidP="00154E9A">
      <w:pPr>
        <w:spacing w:line="240" w:lineRule="auto"/>
        <w:rPr>
          <w:rFonts w:eastAsia="Times New Roman" w:cs="Arial"/>
          <w:i/>
          <w:iCs/>
          <w:color w:val="000000"/>
          <w:lang w:eastAsia="bg-BG"/>
        </w:rPr>
      </w:pPr>
    </w:p>
    <w:p w14:paraId="19E1AF3B" w14:textId="2BB8A97D" w:rsidR="00154E9A" w:rsidRPr="00154E9A" w:rsidRDefault="00154E9A" w:rsidP="00154E9A">
      <w:pPr>
        <w:spacing w:line="240" w:lineRule="auto"/>
        <w:rPr>
          <w:rFonts w:eastAsia="Times New Roman" w:cs="Arial"/>
          <w:sz w:val="24"/>
          <w:szCs w:val="24"/>
        </w:rPr>
      </w:pPr>
      <w:r w:rsidRPr="00154E9A">
        <w:rPr>
          <w:rFonts w:eastAsia="Times New Roman" w:cs="Arial"/>
          <w:i/>
          <w:iCs/>
          <w:color w:val="000000"/>
          <w:lang w:eastAsia="bg-BG"/>
        </w:rPr>
        <w:t>Бъбречна недостатъчност</w:t>
      </w:r>
    </w:p>
    <w:p w14:paraId="020C276E" w14:textId="77777777" w:rsidR="00154E9A" w:rsidRPr="00154E9A" w:rsidRDefault="00154E9A" w:rsidP="00154E9A">
      <w:pPr>
        <w:spacing w:line="240" w:lineRule="auto"/>
        <w:rPr>
          <w:rFonts w:eastAsia="Times New Roman" w:cs="Arial"/>
          <w:sz w:val="24"/>
          <w:szCs w:val="24"/>
        </w:rPr>
      </w:pPr>
      <w:r w:rsidRPr="00154E9A">
        <w:rPr>
          <w:rFonts w:eastAsia="Times New Roman" w:cs="Arial"/>
          <w:color w:val="000000"/>
          <w:lang w:eastAsia="bg-BG"/>
        </w:rPr>
        <w:t xml:space="preserve">В сравнение с нормалните индивиди, плазмените концентрации на трандолаприл и трандолаприлат са почти два пъти по-високи, а бъбречният клирънс намален с около 85% при пациентите с креатининов клирънс под 30 </w:t>
      </w:r>
      <w:r w:rsidRPr="00154E9A">
        <w:rPr>
          <w:rFonts w:eastAsia="Times New Roman" w:cs="Arial"/>
          <w:color w:val="000000"/>
          <w:lang w:val="en-US"/>
        </w:rPr>
        <w:t>ml</w:t>
      </w:r>
      <w:r w:rsidRPr="00154E9A">
        <w:rPr>
          <w:rFonts w:eastAsia="Times New Roman" w:cs="Arial"/>
          <w:color w:val="000000"/>
          <w:lang w:val="ru-RU"/>
        </w:rPr>
        <w:t>/</w:t>
      </w:r>
      <w:r w:rsidRPr="00154E9A">
        <w:rPr>
          <w:rFonts w:eastAsia="Times New Roman" w:cs="Arial"/>
          <w:color w:val="000000"/>
          <w:lang w:val="en-US"/>
        </w:rPr>
        <w:t>min</w:t>
      </w:r>
      <w:r w:rsidRPr="00154E9A">
        <w:rPr>
          <w:rFonts w:eastAsia="Times New Roman" w:cs="Arial"/>
          <w:color w:val="000000"/>
          <w:lang w:val="ru-RU"/>
        </w:rPr>
        <w:t xml:space="preserve"> </w:t>
      </w:r>
      <w:r w:rsidRPr="00154E9A">
        <w:rPr>
          <w:rFonts w:eastAsia="Times New Roman" w:cs="Arial"/>
          <w:color w:val="000000"/>
          <w:lang w:eastAsia="bg-BG"/>
        </w:rPr>
        <w:t>и тези на хемодиализа. При пациентите с бъбречно увреждане се препоръчва адаптиране на дозата.</w:t>
      </w:r>
    </w:p>
    <w:p w14:paraId="501271E2" w14:textId="77777777" w:rsidR="00154E9A" w:rsidRPr="00154E9A" w:rsidRDefault="00154E9A" w:rsidP="00154E9A">
      <w:pPr>
        <w:spacing w:line="240" w:lineRule="auto"/>
        <w:rPr>
          <w:rFonts w:eastAsia="Times New Roman" w:cs="Arial"/>
          <w:i/>
          <w:iCs/>
          <w:color w:val="000000"/>
          <w:lang w:eastAsia="bg-BG"/>
        </w:rPr>
      </w:pPr>
    </w:p>
    <w:p w14:paraId="275154E5" w14:textId="63EB2C61" w:rsidR="00154E9A" w:rsidRPr="00154E9A" w:rsidRDefault="00154E9A" w:rsidP="00154E9A">
      <w:pPr>
        <w:spacing w:line="240" w:lineRule="auto"/>
        <w:rPr>
          <w:rFonts w:eastAsia="Times New Roman" w:cs="Arial"/>
          <w:sz w:val="24"/>
          <w:szCs w:val="24"/>
        </w:rPr>
      </w:pPr>
      <w:r w:rsidRPr="00154E9A">
        <w:rPr>
          <w:rFonts w:eastAsia="Times New Roman" w:cs="Arial"/>
          <w:i/>
          <w:iCs/>
          <w:color w:val="000000"/>
          <w:lang w:eastAsia="bg-BG"/>
        </w:rPr>
        <w:t>Чернодробна недостатъчност</w:t>
      </w:r>
    </w:p>
    <w:p w14:paraId="763295EE" w14:textId="77777777" w:rsidR="00154E9A" w:rsidRPr="00154E9A" w:rsidRDefault="00154E9A" w:rsidP="00154E9A">
      <w:pPr>
        <w:spacing w:line="240" w:lineRule="auto"/>
        <w:rPr>
          <w:rFonts w:eastAsia="Times New Roman" w:cs="Arial"/>
          <w:sz w:val="24"/>
          <w:szCs w:val="24"/>
        </w:rPr>
      </w:pPr>
      <w:r w:rsidRPr="00154E9A">
        <w:rPr>
          <w:rFonts w:eastAsia="Times New Roman" w:cs="Arial"/>
          <w:color w:val="000000"/>
          <w:lang w:eastAsia="bg-BG"/>
        </w:rPr>
        <w:t>След перорално приложение при пациенти с лека до умерена алкохолна цироза, плазмените концентрации на трандолаприл и трандолаприлат са били съответно девет и два пъти по-високи от тези при нормалните индивиди, без това да е свързано с промяна в инхибиращата АСЕ активност. При пациентите с чернодробна недостатъчност се препоръчва обмисляне приема на по-ниски дози.</w:t>
      </w:r>
    </w:p>
    <w:p w14:paraId="0F133FC0" w14:textId="4A1F59E3" w:rsidR="00154E9A" w:rsidRPr="00154E9A" w:rsidRDefault="00154E9A" w:rsidP="00154E9A"/>
    <w:p w14:paraId="4FB791BE" w14:textId="2FC823A5" w:rsidR="00B6672E" w:rsidRDefault="002C50EE" w:rsidP="00936AD0">
      <w:pPr>
        <w:pStyle w:val="Heading2"/>
      </w:pPr>
      <w:r>
        <w:t>5.3. Предклинични данни за безопасност</w:t>
      </w:r>
    </w:p>
    <w:p w14:paraId="2C0C440A" w14:textId="6D9AF7F7" w:rsidR="00154E9A" w:rsidRDefault="00154E9A" w:rsidP="00154E9A"/>
    <w:p w14:paraId="1F6BECF3" w14:textId="77777777" w:rsidR="00154E9A" w:rsidRPr="00154E9A" w:rsidRDefault="00154E9A" w:rsidP="00154E9A">
      <w:pPr>
        <w:spacing w:line="240" w:lineRule="auto"/>
        <w:rPr>
          <w:rFonts w:eastAsia="Times New Roman" w:cs="Arial"/>
          <w:sz w:val="24"/>
          <w:szCs w:val="24"/>
        </w:rPr>
      </w:pPr>
      <w:r w:rsidRPr="00154E9A">
        <w:rPr>
          <w:rFonts w:eastAsia="Times New Roman" w:cs="Arial"/>
          <w:color w:val="000000"/>
          <w:u w:val="single"/>
          <w:lang w:eastAsia="bg-BG"/>
        </w:rPr>
        <w:t>Карциногенност, мутагенност и нарушение на фертилитета</w:t>
      </w:r>
    </w:p>
    <w:p w14:paraId="1E34E414" w14:textId="77777777" w:rsidR="00154E9A" w:rsidRPr="00154E9A" w:rsidRDefault="00154E9A" w:rsidP="00154E9A">
      <w:pPr>
        <w:spacing w:line="240" w:lineRule="auto"/>
        <w:rPr>
          <w:rFonts w:eastAsia="Times New Roman" w:cs="Arial"/>
          <w:color w:val="000000"/>
          <w:lang w:eastAsia="bg-BG"/>
        </w:rPr>
      </w:pPr>
    </w:p>
    <w:p w14:paraId="0A6DF149" w14:textId="36CE2A2D" w:rsidR="00154E9A" w:rsidRPr="00154E9A" w:rsidRDefault="00154E9A" w:rsidP="00154E9A">
      <w:pPr>
        <w:spacing w:line="240" w:lineRule="auto"/>
        <w:rPr>
          <w:rFonts w:eastAsia="Times New Roman" w:cs="Arial"/>
          <w:sz w:val="24"/>
          <w:szCs w:val="24"/>
        </w:rPr>
      </w:pPr>
      <w:r w:rsidRPr="00154E9A">
        <w:rPr>
          <w:rFonts w:eastAsia="Times New Roman" w:cs="Arial"/>
          <w:color w:val="000000"/>
          <w:lang w:eastAsia="bg-BG"/>
        </w:rPr>
        <w:t xml:space="preserve">Проучванията върху репродуктивната токсичност са показали ефекти върху бъбречното развитие на потомството, с повишена честота на разширение на бъбречното легенче; това е наблюдавано при дози от 10 </w:t>
      </w:r>
      <w:r w:rsidRPr="00154E9A">
        <w:rPr>
          <w:rFonts w:eastAsia="Times New Roman" w:cs="Arial"/>
          <w:color w:val="000000"/>
          <w:lang w:val="en-US"/>
        </w:rPr>
        <w:t>mg</w:t>
      </w:r>
      <w:r w:rsidRPr="00154E9A">
        <w:rPr>
          <w:rFonts w:eastAsia="Times New Roman" w:cs="Arial"/>
          <w:color w:val="000000"/>
          <w:lang w:val="ru-RU"/>
        </w:rPr>
        <w:t>/</w:t>
      </w:r>
      <w:r w:rsidRPr="00154E9A">
        <w:rPr>
          <w:rFonts w:eastAsia="Times New Roman" w:cs="Arial"/>
          <w:color w:val="000000"/>
          <w:lang w:val="en-US"/>
        </w:rPr>
        <w:t>kg</w:t>
      </w:r>
      <w:r w:rsidRPr="00154E9A">
        <w:rPr>
          <w:rFonts w:eastAsia="Times New Roman" w:cs="Arial"/>
          <w:color w:val="000000"/>
          <w:lang w:val="ru-RU"/>
        </w:rPr>
        <w:t>/</w:t>
      </w:r>
      <w:r w:rsidRPr="00154E9A">
        <w:rPr>
          <w:rFonts w:eastAsia="Times New Roman" w:cs="Arial"/>
          <w:color w:val="000000"/>
          <w:lang w:eastAsia="bg-BG"/>
        </w:rPr>
        <w:t>дневно и повече при плъхове, но без засягане на нормалното развитие на потомството. Трандолаприл не е показал мутагенен или карциногенен потенциал.</w:t>
      </w:r>
    </w:p>
    <w:p w14:paraId="6D27B1BE" w14:textId="77777777" w:rsidR="00154E9A" w:rsidRPr="00154E9A" w:rsidRDefault="00154E9A" w:rsidP="00154E9A"/>
    <w:p w14:paraId="1BA6531D" w14:textId="64261CFB" w:rsidR="00B6672E" w:rsidRDefault="002C50EE" w:rsidP="00936AD0">
      <w:pPr>
        <w:pStyle w:val="Heading1"/>
      </w:pPr>
      <w:r>
        <w:t>7. ПРИТЕЖАТЕЛ НА РАЗРЕШЕНИЕТО ЗА УПОТРЕБА</w:t>
      </w:r>
    </w:p>
    <w:p w14:paraId="2532C6FD" w14:textId="2808B0C7" w:rsidR="00154E9A" w:rsidRDefault="00154E9A" w:rsidP="00154E9A"/>
    <w:p w14:paraId="0B98C5CA" w14:textId="77777777" w:rsidR="00154E9A" w:rsidRPr="00154E9A" w:rsidRDefault="00154E9A" w:rsidP="00154E9A">
      <w:pPr>
        <w:rPr>
          <w:sz w:val="24"/>
          <w:szCs w:val="24"/>
        </w:rPr>
      </w:pPr>
      <w:r w:rsidRPr="00154E9A">
        <w:rPr>
          <w:lang w:eastAsia="bg-BG"/>
        </w:rPr>
        <w:t>Майлан ЕООД</w:t>
      </w:r>
    </w:p>
    <w:p w14:paraId="1DE8D13E" w14:textId="77777777" w:rsidR="00154E9A" w:rsidRDefault="00154E9A" w:rsidP="00154E9A">
      <w:pPr>
        <w:rPr>
          <w:lang w:eastAsia="bg-BG"/>
        </w:rPr>
      </w:pPr>
      <w:r w:rsidRPr="00154E9A">
        <w:rPr>
          <w:lang w:eastAsia="bg-BG"/>
        </w:rPr>
        <w:t xml:space="preserve">Офис сграда „Сердика офиси" </w:t>
      </w:r>
    </w:p>
    <w:p w14:paraId="3E6DF123" w14:textId="1AC8A183" w:rsidR="00154E9A" w:rsidRDefault="00154E9A" w:rsidP="00154E9A">
      <w:pPr>
        <w:rPr>
          <w:lang w:eastAsia="bg-BG"/>
        </w:rPr>
      </w:pPr>
      <w:r w:rsidRPr="00154E9A">
        <w:rPr>
          <w:lang w:eastAsia="bg-BG"/>
        </w:rPr>
        <w:t xml:space="preserve">бул. Ситняково № 48, ет. 7 </w:t>
      </w:r>
    </w:p>
    <w:p w14:paraId="7EE89758" w14:textId="58D6AB14" w:rsidR="00154E9A" w:rsidRPr="00154E9A" w:rsidRDefault="00154E9A" w:rsidP="00154E9A">
      <w:pPr>
        <w:rPr>
          <w:sz w:val="24"/>
          <w:szCs w:val="24"/>
        </w:rPr>
      </w:pPr>
      <w:r w:rsidRPr="00154E9A">
        <w:rPr>
          <w:lang w:eastAsia="bg-BG"/>
        </w:rPr>
        <w:t>1505 София</w:t>
      </w:r>
    </w:p>
    <w:p w14:paraId="7072861A" w14:textId="3C02F751" w:rsidR="00154E9A" w:rsidRPr="00154E9A" w:rsidRDefault="00154E9A" w:rsidP="00154E9A">
      <w:r w:rsidRPr="00154E9A">
        <w:rPr>
          <w:lang w:eastAsia="bg-BG"/>
        </w:rPr>
        <w:t>България</w:t>
      </w:r>
    </w:p>
    <w:p w14:paraId="508F3A54" w14:textId="07B00946" w:rsidR="00B6672E" w:rsidRDefault="00936AD0" w:rsidP="00936AD0">
      <w:pPr>
        <w:pStyle w:val="Heading1"/>
      </w:pPr>
      <w:r>
        <w:t>8.</w:t>
      </w:r>
      <w:r w:rsidR="002C50EE">
        <w:t>НОМЕР НА РАЗРЕШЕНИЕТО ЗА УПОТРЕБА</w:t>
      </w:r>
    </w:p>
    <w:p w14:paraId="07607C6E" w14:textId="1B922BB4" w:rsidR="00154E9A" w:rsidRDefault="00154E9A" w:rsidP="00154E9A"/>
    <w:p w14:paraId="51A36484" w14:textId="436EFCED" w:rsidR="00154E9A" w:rsidRPr="009909CD" w:rsidRDefault="009909CD" w:rsidP="00154E9A">
      <w:r>
        <w:t>90060731</w:t>
      </w:r>
    </w:p>
    <w:p w14:paraId="2CCB5832" w14:textId="04540AC7" w:rsidR="007C605B" w:rsidRDefault="002C50EE" w:rsidP="007C605B">
      <w:pPr>
        <w:pStyle w:val="Heading1"/>
      </w:pPr>
      <w:r>
        <w:t>9. ДАТА НА ПЪРВО РАЗРЕШАВАНЕ/ПОДНОВЯВАНЕ НА РАЗРЕШЕНИЕТО ЗА УПОТРЕБА</w:t>
      </w:r>
    </w:p>
    <w:p w14:paraId="2D6A5CBF" w14:textId="77777777" w:rsidR="00154E9A" w:rsidRDefault="00154E9A" w:rsidP="00154E9A">
      <w:pPr>
        <w:spacing w:line="240" w:lineRule="auto"/>
        <w:rPr>
          <w:rFonts w:ascii="Times New Roman" w:eastAsia="Times New Roman" w:hAnsi="Times New Roman" w:cs="Times New Roman"/>
          <w:color w:val="000000"/>
          <w:lang w:eastAsia="bg-BG"/>
        </w:rPr>
      </w:pPr>
    </w:p>
    <w:p w14:paraId="230A85F1" w14:textId="0CE22A23" w:rsidR="00154E9A" w:rsidRPr="00154E9A" w:rsidRDefault="00154E9A" w:rsidP="00154E9A">
      <w:pPr>
        <w:rPr>
          <w:sz w:val="24"/>
          <w:szCs w:val="24"/>
        </w:rPr>
      </w:pPr>
      <w:r w:rsidRPr="00154E9A">
        <w:rPr>
          <w:lang w:eastAsia="bg-BG"/>
        </w:rPr>
        <w:t>Дата на пър</w:t>
      </w:r>
      <w:r w:rsidR="009909CD">
        <w:rPr>
          <w:lang w:eastAsia="bg-BG"/>
        </w:rPr>
        <w:t>во разрешаване: 13 декември 2006</w:t>
      </w:r>
      <w:r w:rsidRPr="00154E9A">
        <w:rPr>
          <w:lang w:eastAsia="bg-BG"/>
        </w:rPr>
        <w:t xml:space="preserve"> г.</w:t>
      </w:r>
    </w:p>
    <w:p w14:paraId="65C123D3" w14:textId="610008C9" w:rsidR="00154E9A" w:rsidRPr="00154E9A" w:rsidRDefault="00154E9A" w:rsidP="00154E9A">
      <w:pPr>
        <w:rPr>
          <w:sz w:val="24"/>
          <w:szCs w:val="24"/>
        </w:rPr>
      </w:pPr>
      <w:r w:rsidRPr="00154E9A">
        <w:rPr>
          <w:lang w:eastAsia="bg-BG"/>
        </w:rPr>
        <w:t>Дата на посл</w:t>
      </w:r>
      <w:r w:rsidR="009909CD">
        <w:rPr>
          <w:lang w:eastAsia="bg-BG"/>
        </w:rPr>
        <w:t>едно подновяване: 30 март 20012</w:t>
      </w:r>
      <w:r w:rsidRPr="00154E9A">
        <w:rPr>
          <w:lang w:eastAsia="bg-BG"/>
        </w:rPr>
        <w:t xml:space="preserve"> г.</w:t>
      </w:r>
    </w:p>
    <w:p w14:paraId="272E1A35" w14:textId="2EB039A6" w:rsidR="00154E9A" w:rsidRDefault="00154E9A" w:rsidP="00154E9A"/>
    <w:p w14:paraId="0E9D0119" w14:textId="0245C6D7" w:rsidR="002C50EE" w:rsidRDefault="002C50EE" w:rsidP="002C50EE">
      <w:pPr>
        <w:pStyle w:val="Heading1"/>
      </w:pPr>
      <w:r>
        <w:t>10. ДАТА НА АКТУАЛИЗИРАНЕ НА ТЕКСТА</w:t>
      </w:r>
    </w:p>
    <w:bookmarkEnd w:id="0"/>
    <w:p w14:paraId="43FB38A2" w14:textId="5B63CB76" w:rsidR="007C605B" w:rsidRDefault="007C605B" w:rsidP="00B6672E"/>
    <w:p w14:paraId="1E8162AF" w14:textId="760DAEC7" w:rsidR="00154E9A" w:rsidRPr="003E3126" w:rsidRDefault="00154E9A" w:rsidP="00154E9A">
      <w:r>
        <w:t>07/2020</w:t>
      </w:r>
    </w:p>
    <w:sectPr w:rsidR="00154E9A"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7F10A7"/>
    <w:multiLevelType w:val="hybridMultilevel"/>
    <w:tmpl w:val="0E0E8D6A"/>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9"/>
  </w:num>
  <w:num w:numId="2">
    <w:abstractNumId w:val="0"/>
  </w:num>
  <w:num w:numId="3">
    <w:abstractNumId w:val="14"/>
  </w:num>
  <w:num w:numId="4">
    <w:abstractNumId w:val="3"/>
  </w:num>
  <w:num w:numId="5">
    <w:abstractNumId w:val="1"/>
  </w:num>
  <w:num w:numId="6">
    <w:abstractNumId w:val="18"/>
  </w:num>
  <w:num w:numId="7">
    <w:abstractNumId w:val="12"/>
  </w:num>
  <w:num w:numId="8">
    <w:abstractNumId w:val="17"/>
  </w:num>
  <w:num w:numId="9">
    <w:abstractNumId w:val="2"/>
  </w:num>
  <w:num w:numId="10">
    <w:abstractNumId w:val="4"/>
  </w:num>
  <w:num w:numId="11">
    <w:abstractNumId w:val="32"/>
  </w:num>
  <w:num w:numId="12">
    <w:abstractNumId w:val="16"/>
  </w:num>
  <w:num w:numId="13">
    <w:abstractNumId w:val="21"/>
  </w:num>
  <w:num w:numId="14">
    <w:abstractNumId w:val="13"/>
  </w:num>
  <w:num w:numId="15">
    <w:abstractNumId w:val="31"/>
  </w:num>
  <w:num w:numId="16">
    <w:abstractNumId w:val="11"/>
  </w:num>
  <w:num w:numId="17">
    <w:abstractNumId w:val="26"/>
  </w:num>
  <w:num w:numId="18">
    <w:abstractNumId w:val="8"/>
  </w:num>
  <w:num w:numId="19">
    <w:abstractNumId w:val="28"/>
  </w:num>
  <w:num w:numId="20">
    <w:abstractNumId w:val="25"/>
  </w:num>
  <w:num w:numId="21">
    <w:abstractNumId w:val="19"/>
  </w:num>
  <w:num w:numId="22">
    <w:abstractNumId w:val="27"/>
  </w:num>
  <w:num w:numId="23">
    <w:abstractNumId w:val="20"/>
  </w:num>
  <w:num w:numId="24">
    <w:abstractNumId w:val="9"/>
  </w:num>
  <w:num w:numId="25">
    <w:abstractNumId w:val="24"/>
  </w:num>
  <w:num w:numId="26">
    <w:abstractNumId w:val="23"/>
  </w:num>
  <w:num w:numId="27">
    <w:abstractNumId w:val="33"/>
  </w:num>
  <w:num w:numId="28">
    <w:abstractNumId w:val="6"/>
  </w:num>
  <w:num w:numId="29">
    <w:abstractNumId w:val="22"/>
  </w:num>
  <w:num w:numId="30">
    <w:abstractNumId w:val="36"/>
  </w:num>
  <w:num w:numId="31">
    <w:abstractNumId w:val="5"/>
  </w:num>
  <w:num w:numId="32">
    <w:abstractNumId w:val="35"/>
  </w:num>
  <w:num w:numId="33">
    <w:abstractNumId w:val="30"/>
  </w:num>
  <w:num w:numId="34">
    <w:abstractNumId w:val="34"/>
  </w:num>
  <w:num w:numId="35">
    <w:abstractNumId w:val="7"/>
  </w:num>
  <w:num w:numId="36">
    <w:abstractNumId w:val="10"/>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54E9A"/>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93B92"/>
    <w:rsid w:val="008A6AF2"/>
    <w:rsid w:val="008C70A2"/>
    <w:rsid w:val="00936AD0"/>
    <w:rsid w:val="009773E4"/>
    <w:rsid w:val="009909CD"/>
    <w:rsid w:val="009B171C"/>
    <w:rsid w:val="009F1313"/>
    <w:rsid w:val="00A20351"/>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6297"/>
    <w:rsid w:val="00DD466D"/>
    <w:rsid w:val="00E67ECC"/>
    <w:rsid w:val="00EB6364"/>
    <w:rsid w:val="00F07F0E"/>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5252</Words>
  <Characters>29938</Characters>
  <Application>Microsoft Office Word</Application>
  <DocSecurity>0</DocSecurity>
  <Lines>249</Lines>
  <Paragraphs>70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2022-08-01T18:34:00Z</dcterms:created>
  <dcterms:modified xsi:type="dcterms:W3CDTF">2022-08-01T18:34:00Z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