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349FDFAA" w:rsidR="00AA23EC" w:rsidRDefault="00DD466D" w:rsidP="00DD466D">
      <w:pPr>
        <w:pStyle w:val="Heading1"/>
      </w:pPr>
      <w:r>
        <w:t>1.ИМЕ НА ЛЕКАРСТВЕНИЯ ПРОДУКТ</w:t>
      </w:r>
    </w:p>
    <w:p w14:paraId="73F8643C" w14:textId="77777777" w:rsidR="009A2A5C" w:rsidRPr="009A2A5C" w:rsidRDefault="009A2A5C" w:rsidP="009A2A5C">
      <w:pPr>
        <w:rPr>
          <w:sz w:val="24"/>
          <w:szCs w:val="24"/>
        </w:rPr>
      </w:pPr>
      <w:r w:rsidRPr="009A2A5C">
        <w:rPr>
          <w:lang w:eastAsia="bg-BG"/>
        </w:rPr>
        <w:t xml:space="preserve">ХАЛОПЕРИДОЛ-РИХТЕР 1,5 </w:t>
      </w:r>
      <w:r w:rsidRPr="009A2A5C">
        <w:rPr>
          <w:lang w:val="en-US"/>
        </w:rPr>
        <w:t xml:space="preserve">mg </w:t>
      </w:r>
      <w:r w:rsidRPr="009A2A5C">
        <w:rPr>
          <w:lang w:eastAsia="bg-BG"/>
        </w:rPr>
        <w:t>таблетки</w:t>
      </w:r>
    </w:p>
    <w:p w14:paraId="74544E94" w14:textId="1B2A409E" w:rsidR="009A2A5C" w:rsidRPr="009A2A5C" w:rsidRDefault="009A2A5C" w:rsidP="009A2A5C">
      <w:r w:rsidRPr="009A2A5C">
        <w:rPr>
          <w:lang w:val="en-US"/>
        </w:rPr>
        <w:t xml:space="preserve">HALOPERIDOL-RICHTER </w:t>
      </w:r>
      <w:r w:rsidRPr="009A2A5C">
        <w:rPr>
          <w:lang w:eastAsia="bg-BG"/>
        </w:rPr>
        <w:t xml:space="preserve">1.5 </w:t>
      </w:r>
      <w:r w:rsidRPr="009A2A5C">
        <w:rPr>
          <w:lang w:val="en-US"/>
        </w:rPr>
        <w:t>mg tablets</w:t>
      </w:r>
    </w:p>
    <w:p w14:paraId="4D88B710" w14:textId="752E9072" w:rsidR="00D86297" w:rsidRDefault="00DD466D" w:rsidP="00AA23EC">
      <w:pPr>
        <w:pStyle w:val="Heading1"/>
      </w:pPr>
      <w:r>
        <w:t>2. КАЧЕСТВЕН И КОЛИЧЕСТВЕН СЪСТАВ</w:t>
      </w:r>
    </w:p>
    <w:p w14:paraId="3E285097" w14:textId="77777777" w:rsidR="009A2A5C" w:rsidRPr="009A2A5C" w:rsidRDefault="009A2A5C" w:rsidP="009A2A5C">
      <w:pPr>
        <w:rPr>
          <w:sz w:val="24"/>
          <w:szCs w:val="24"/>
        </w:rPr>
      </w:pPr>
      <w:r w:rsidRPr="009A2A5C">
        <w:rPr>
          <w:lang w:eastAsia="bg-BG"/>
        </w:rPr>
        <w:t xml:space="preserve">Всяка таблетка съдържа 1,5 </w:t>
      </w:r>
      <w:r w:rsidRPr="009A2A5C">
        <w:rPr>
          <w:lang w:val="en-US"/>
        </w:rPr>
        <w:t xml:space="preserve">mg </w:t>
      </w:r>
      <w:proofErr w:type="spellStart"/>
      <w:r w:rsidRPr="009A2A5C">
        <w:rPr>
          <w:lang w:eastAsia="bg-BG"/>
        </w:rPr>
        <w:t>халоперидол</w:t>
      </w:r>
      <w:proofErr w:type="spellEnd"/>
      <w:r w:rsidRPr="009A2A5C">
        <w:rPr>
          <w:lang w:eastAsia="bg-BG"/>
        </w:rPr>
        <w:t xml:space="preserve"> </w:t>
      </w:r>
      <w:r w:rsidRPr="009A2A5C">
        <w:rPr>
          <w:i/>
          <w:iCs/>
          <w:lang w:val="en-US"/>
        </w:rPr>
        <w:t>(haloperidol).</w:t>
      </w:r>
    </w:p>
    <w:p w14:paraId="13BF1C98" w14:textId="77777777" w:rsidR="009A2A5C" w:rsidRDefault="009A2A5C" w:rsidP="009A2A5C">
      <w:pPr>
        <w:rPr>
          <w:u w:val="single"/>
          <w:lang w:eastAsia="bg-BG"/>
        </w:rPr>
      </w:pPr>
    </w:p>
    <w:p w14:paraId="2BA8970F" w14:textId="7DB7EAFE" w:rsidR="009A2A5C" w:rsidRPr="009A2A5C" w:rsidRDefault="009A2A5C" w:rsidP="009A2A5C">
      <w:pPr>
        <w:rPr>
          <w:sz w:val="24"/>
          <w:szCs w:val="24"/>
        </w:rPr>
      </w:pPr>
      <w:r w:rsidRPr="009A2A5C">
        <w:rPr>
          <w:u w:val="single"/>
          <w:lang w:eastAsia="bg-BG"/>
        </w:rPr>
        <w:t>Помощно вещество с известно действие: В</w:t>
      </w:r>
      <w:r w:rsidRPr="009A2A5C">
        <w:rPr>
          <w:lang w:eastAsia="bg-BG"/>
        </w:rPr>
        <w:t xml:space="preserve">сяка таблетка съдържа 157 </w:t>
      </w:r>
      <w:r w:rsidRPr="009A2A5C">
        <w:rPr>
          <w:lang w:val="en-US"/>
        </w:rPr>
        <w:t xml:space="preserve">mg </w:t>
      </w:r>
      <w:r w:rsidRPr="009A2A5C">
        <w:rPr>
          <w:lang w:eastAsia="bg-BG"/>
        </w:rPr>
        <w:t xml:space="preserve">лактоза </w:t>
      </w:r>
      <w:proofErr w:type="spellStart"/>
      <w:r w:rsidRPr="009A2A5C">
        <w:rPr>
          <w:lang w:eastAsia="bg-BG"/>
        </w:rPr>
        <w:t>монохидрат</w:t>
      </w:r>
      <w:proofErr w:type="spellEnd"/>
      <w:r w:rsidRPr="009A2A5C">
        <w:rPr>
          <w:lang w:eastAsia="bg-BG"/>
        </w:rPr>
        <w:t>.</w:t>
      </w:r>
    </w:p>
    <w:p w14:paraId="1668634C" w14:textId="77777777" w:rsidR="009A2A5C" w:rsidRPr="009A2A5C" w:rsidRDefault="009A2A5C" w:rsidP="009A2A5C"/>
    <w:p w14:paraId="5E332777" w14:textId="25B8B2AF" w:rsidR="005A66D9" w:rsidRDefault="00DD466D" w:rsidP="00CA1B57">
      <w:pPr>
        <w:pStyle w:val="Heading1"/>
      </w:pPr>
      <w:r>
        <w:t>3. ЛЕКАРСТВЕНА ФОРМА</w:t>
      </w:r>
    </w:p>
    <w:p w14:paraId="330B8740" w14:textId="77777777" w:rsidR="009A2A5C" w:rsidRPr="009A2A5C" w:rsidRDefault="009A2A5C" w:rsidP="009A2A5C">
      <w:pPr>
        <w:rPr>
          <w:sz w:val="24"/>
          <w:szCs w:val="24"/>
        </w:rPr>
      </w:pPr>
      <w:r w:rsidRPr="009A2A5C">
        <w:rPr>
          <w:lang w:eastAsia="bg-BG"/>
        </w:rPr>
        <w:t>Таблетка.</w:t>
      </w:r>
    </w:p>
    <w:p w14:paraId="3981BAA8" w14:textId="77777777" w:rsidR="009A2A5C" w:rsidRDefault="009A2A5C" w:rsidP="009A2A5C">
      <w:pPr>
        <w:rPr>
          <w:lang w:eastAsia="bg-BG"/>
        </w:rPr>
      </w:pPr>
    </w:p>
    <w:p w14:paraId="5C506708" w14:textId="138D945F" w:rsidR="009A2A5C" w:rsidRPr="009A2A5C" w:rsidRDefault="009A2A5C" w:rsidP="009A2A5C">
      <w:pPr>
        <w:rPr>
          <w:sz w:val="24"/>
          <w:szCs w:val="24"/>
        </w:rPr>
      </w:pPr>
      <w:r w:rsidRPr="009A2A5C">
        <w:rPr>
          <w:lang w:eastAsia="bg-BG"/>
        </w:rPr>
        <w:t>Кръгли, плоски таблетки, със скосени ръбове, бели или почти бели, с отпечатан знак от едната страна.</w:t>
      </w:r>
    </w:p>
    <w:p w14:paraId="39ABB7A5" w14:textId="77777777" w:rsidR="009A2A5C" w:rsidRPr="009A2A5C" w:rsidRDefault="009A2A5C" w:rsidP="009A2A5C"/>
    <w:p w14:paraId="490FC2C4" w14:textId="77777777" w:rsidR="002C50EE" w:rsidRDefault="002C50EE" w:rsidP="002C50EE">
      <w:pPr>
        <w:pStyle w:val="Heading1"/>
      </w:pPr>
      <w:r>
        <w:t>4. КЛИНИЧНИ ДАННИ</w:t>
      </w:r>
    </w:p>
    <w:p w14:paraId="1512A286" w14:textId="40E29712" w:rsidR="00FD69E8" w:rsidRDefault="002C50EE" w:rsidP="00AA23EC">
      <w:pPr>
        <w:pStyle w:val="Heading2"/>
      </w:pPr>
      <w:r>
        <w:t>4.1. Терапевтични показания</w:t>
      </w:r>
    </w:p>
    <w:p w14:paraId="75B8490F" w14:textId="77777777" w:rsidR="009A2A5C" w:rsidRDefault="009A2A5C" w:rsidP="009A2A5C">
      <w:pPr>
        <w:spacing w:line="240" w:lineRule="auto"/>
        <w:rPr>
          <w:rFonts w:ascii="Times New Roman" w:eastAsia="Times New Roman" w:hAnsi="Times New Roman" w:cs="Times New Roman"/>
          <w:color w:val="000000"/>
          <w:sz w:val="20"/>
          <w:szCs w:val="20"/>
          <w:u w:val="single"/>
          <w:lang w:eastAsia="bg-BG"/>
        </w:rPr>
      </w:pPr>
    </w:p>
    <w:p w14:paraId="23765416" w14:textId="4BF0F372" w:rsidR="009A2A5C" w:rsidRPr="009A2A5C" w:rsidRDefault="009A2A5C" w:rsidP="009A2A5C">
      <w:pPr>
        <w:rPr>
          <w:sz w:val="24"/>
          <w:szCs w:val="24"/>
        </w:rPr>
      </w:pPr>
      <w:r w:rsidRPr="009A2A5C">
        <w:rPr>
          <w:lang w:eastAsia="bg-BG"/>
        </w:rPr>
        <w:t>Възрастни пациенти на 18 и повече години</w:t>
      </w:r>
    </w:p>
    <w:p w14:paraId="0D8492AF" w14:textId="0C9195A3" w:rsidR="009A2A5C" w:rsidRPr="009A2A5C" w:rsidRDefault="009A2A5C" w:rsidP="009A2A5C">
      <w:pPr>
        <w:pStyle w:val="ListParagraph"/>
        <w:numPr>
          <w:ilvl w:val="0"/>
          <w:numId w:val="24"/>
        </w:numPr>
        <w:rPr>
          <w:sz w:val="24"/>
          <w:szCs w:val="24"/>
        </w:rPr>
      </w:pPr>
      <w:r w:rsidRPr="009A2A5C">
        <w:rPr>
          <w:lang w:eastAsia="bg-BG"/>
        </w:rPr>
        <w:t xml:space="preserve">Лечение на </w:t>
      </w:r>
      <w:proofErr w:type="spellStart"/>
      <w:r w:rsidRPr="009A2A5C">
        <w:rPr>
          <w:lang w:eastAsia="bg-BG"/>
        </w:rPr>
        <w:t>на</w:t>
      </w:r>
      <w:proofErr w:type="spellEnd"/>
      <w:r w:rsidRPr="009A2A5C">
        <w:rPr>
          <w:lang w:eastAsia="bg-BG"/>
        </w:rPr>
        <w:t xml:space="preserve"> шизофрения и </w:t>
      </w:r>
      <w:proofErr w:type="spellStart"/>
      <w:r w:rsidRPr="009A2A5C">
        <w:rPr>
          <w:lang w:eastAsia="bg-BG"/>
        </w:rPr>
        <w:t>шизоафективно</w:t>
      </w:r>
      <w:proofErr w:type="spellEnd"/>
      <w:r w:rsidRPr="009A2A5C">
        <w:rPr>
          <w:lang w:eastAsia="bg-BG"/>
        </w:rPr>
        <w:t xml:space="preserve"> разстройство.</w:t>
      </w:r>
    </w:p>
    <w:p w14:paraId="31FBF584" w14:textId="77777777" w:rsidR="009A2A5C" w:rsidRPr="009A2A5C" w:rsidRDefault="009A2A5C" w:rsidP="009A2A5C">
      <w:pPr>
        <w:pStyle w:val="ListParagraph"/>
        <w:numPr>
          <w:ilvl w:val="0"/>
          <w:numId w:val="24"/>
        </w:numPr>
        <w:rPr>
          <w:sz w:val="24"/>
          <w:szCs w:val="24"/>
        </w:rPr>
      </w:pPr>
      <w:r w:rsidRPr="009A2A5C">
        <w:rPr>
          <w:lang w:eastAsia="bg-BG"/>
        </w:rPr>
        <w:t xml:space="preserve">Остро лечение на </w:t>
      </w:r>
      <w:proofErr w:type="spellStart"/>
      <w:r w:rsidRPr="009A2A5C">
        <w:rPr>
          <w:lang w:eastAsia="bg-BG"/>
        </w:rPr>
        <w:t>делир</w:t>
      </w:r>
      <w:proofErr w:type="spellEnd"/>
      <w:r w:rsidRPr="009A2A5C">
        <w:rPr>
          <w:lang w:eastAsia="bg-BG"/>
        </w:rPr>
        <w:t>, когато нефармакологичните лечения са били неуспешни.</w:t>
      </w:r>
    </w:p>
    <w:p w14:paraId="2A06920C" w14:textId="77777777" w:rsidR="009A2A5C" w:rsidRPr="009A2A5C" w:rsidRDefault="009A2A5C" w:rsidP="009A2A5C">
      <w:pPr>
        <w:pStyle w:val="ListParagraph"/>
        <w:numPr>
          <w:ilvl w:val="0"/>
          <w:numId w:val="24"/>
        </w:numPr>
        <w:rPr>
          <w:sz w:val="24"/>
          <w:szCs w:val="24"/>
        </w:rPr>
      </w:pPr>
      <w:r w:rsidRPr="009A2A5C">
        <w:rPr>
          <w:lang w:eastAsia="bg-BG"/>
        </w:rPr>
        <w:t xml:space="preserve">Лечение на умерени до тежки </w:t>
      </w:r>
      <w:proofErr w:type="spellStart"/>
      <w:r w:rsidRPr="009A2A5C">
        <w:rPr>
          <w:lang w:eastAsia="bg-BG"/>
        </w:rPr>
        <w:t>манийни</w:t>
      </w:r>
      <w:proofErr w:type="spellEnd"/>
      <w:r w:rsidRPr="009A2A5C">
        <w:rPr>
          <w:lang w:eastAsia="bg-BG"/>
        </w:rPr>
        <w:t xml:space="preserve"> епизоди, свързани с биполярно разстройство тип I.</w:t>
      </w:r>
    </w:p>
    <w:p w14:paraId="591DA452" w14:textId="77777777" w:rsidR="009A2A5C" w:rsidRPr="009A2A5C" w:rsidRDefault="009A2A5C" w:rsidP="009A2A5C">
      <w:pPr>
        <w:pStyle w:val="ListParagraph"/>
        <w:numPr>
          <w:ilvl w:val="0"/>
          <w:numId w:val="24"/>
        </w:numPr>
        <w:rPr>
          <w:sz w:val="24"/>
          <w:szCs w:val="24"/>
        </w:rPr>
      </w:pPr>
      <w:r w:rsidRPr="009A2A5C">
        <w:rPr>
          <w:lang w:eastAsia="bg-BG"/>
        </w:rPr>
        <w:t xml:space="preserve">Лечение на остра психомоторна </w:t>
      </w:r>
      <w:proofErr w:type="spellStart"/>
      <w:r w:rsidRPr="009A2A5C">
        <w:rPr>
          <w:lang w:eastAsia="bg-BG"/>
        </w:rPr>
        <w:t>ажитация</w:t>
      </w:r>
      <w:proofErr w:type="spellEnd"/>
      <w:r w:rsidRPr="009A2A5C">
        <w:rPr>
          <w:lang w:eastAsia="bg-BG"/>
        </w:rPr>
        <w:t xml:space="preserve">, свързана с психотично разстройство или </w:t>
      </w:r>
      <w:proofErr w:type="spellStart"/>
      <w:r w:rsidRPr="009A2A5C">
        <w:rPr>
          <w:lang w:eastAsia="bg-BG"/>
        </w:rPr>
        <w:t>манийни</w:t>
      </w:r>
      <w:proofErr w:type="spellEnd"/>
      <w:r w:rsidRPr="009A2A5C">
        <w:rPr>
          <w:lang w:eastAsia="bg-BG"/>
        </w:rPr>
        <w:t xml:space="preserve"> епизоди на биполярно разстройство тип I.</w:t>
      </w:r>
    </w:p>
    <w:p w14:paraId="6135CAB2" w14:textId="77777777" w:rsidR="009A2A5C" w:rsidRPr="009A2A5C" w:rsidRDefault="009A2A5C" w:rsidP="009A2A5C">
      <w:pPr>
        <w:pStyle w:val="ListParagraph"/>
        <w:numPr>
          <w:ilvl w:val="0"/>
          <w:numId w:val="24"/>
        </w:numPr>
        <w:rPr>
          <w:sz w:val="24"/>
          <w:szCs w:val="24"/>
        </w:rPr>
      </w:pPr>
      <w:r w:rsidRPr="009A2A5C">
        <w:rPr>
          <w:lang w:eastAsia="bg-BG"/>
        </w:rPr>
        <w:t xml:space="preserve">Лечение на персистираща агресия и психотични симптоми при пациенти с умерена до тежка деменция на </w:t>
      </w:r>
      <w:proofErr w:type="spellStart"/>
      <w:r w:rsidRPr="009A2A5C">
        <w:rPr>
          <w:lang w:eastAsia="bg-BG"/>
        </w:rPr>
        <w:t>АлцхаЙмер</w:t>
      </w:r>
      <w:proofErr w:type="spellEnd"/>
      <w:r w:rsidRPr="009A2A5C">
        <w:rPr>
          <w:lang w:eastAsia="bg-BG"/>
        </w:rPr>
        <w:t xml:space="preserve"> и съдова деменция, когато нефармакологичните лечения са били неуспешни и когато има риск от причиняване на вреда на себе си или на други хора.</w:t>
      </w:r>
    </w:p>
    <w:p w14:paraId="67ADFC35" w14:textId="77777777" w:rsidR="009A2A5C" w:rsidRPr="009A2A5C" w:rsidRDefault="009A2A5C" w:rsidP="009A2A5C">
      <w:pPr>
        <w:pStyle w:val="ListParagraph"/>
        <w:numPr>
          <w:ilvl w:val="0"/>
          <w:numId w:val="24"/>
        </w:numPr>
        <w:rPr>
          <w:sz w:val="24"/>
          <w:szCs w:val="24"/>
        </w:rPr>
      </w:pPr>
      <w:r w:rsidRPr="009A2A5C">
        <w:rPr>
          <w:lang w:eastAsia="bg-BG"/>
        </w:rPr>
        <w:t xml:space="preserve">Лечение на тикови разстройства, включително синдром на </w:t>
      </w:r>
      <w:proofErr w:type="spellStart"/>
      <w:r w:rsidRPr="009A2A5C">
        <w:rPr>
          <w:lang w:eastAsia="bg-BG"/>
        </w:rPr>
        <w:t>Турет</w:t>
      </w:r>
      <w:proofErr w:type="spellEnd"/>
      <w:r w:rsidRPr="009A2A5C">
        <w:rPr>
          <w:lang w:eastAsia="bg-BG"/>
        </w:rPr>
        <w:t xml:space="preserve"> при пациенти с тежко увреждане, след като възпитателни, психологически и други фармакологични лечения са били неуспешни.</w:t>
      </w:r>
    </w:p>
    <w:p w14:paraId="12893610" w14:textId="4D84A38B" w:rsidR="009A2A5C" w:rsidRPr="009A2A5C" w:rsidRDefault="009A2A5C" w:rsidP="009A2A5C">
      <w:pPr>
        <w:pStyle w:val="ListParagraph"/>
        <w:numPr>
          <w:ilvl w:val="0"/>
          <w:numId w:val="24"/>
        </w:numPr>
        <w:rPr>
          <w:sz w:val="24"/>
          <w:szCs w:val="24"/>
        </w:rPr>
      </w:pPr>
      <w:r w:rsidRPr="009A2A5C">
        <w:rPr>
          <w:lang w:eastAsia="bg-BG"/>
        </w:rPr>
        <w:t>Лечение на лека до умерена хорея при болест на Хънтингтън, когато</w:t>
      </w:r>
      <w:r w:rsidRPr="009A2A5C">
        <w:rPr>
          <w:lang w:val="en-US"/>
        </w:rPr>
        <w:t xml:space="preserve"> </w:t>
      </w:r>
      <w:r w:rsidRPr="009A2A5C">
        <w:rPr>
          <w:lang w:eastAsia="bg-BG"/>
        </w:rPr>
        <w:t>другите</w:t>
      </w:r>
      <w:r>
        <w:rPr>
          <w:lang w:val="en-US" w:eastAsia="bg-BG"/>
        </w:rPr>
        <w:t xml:space="preserve"> </w:t>
      </w:r>
      <w:r w:rsidRPr="009A2A5C">
        <w:rPr>
          <w:lang w:eastAsia="bg-BG"/>
        </w:rPr>
        <w:t>лекарствени продукти са неефективни или не се понасят добре.</w:t>
      </w:r>
    </w:p>
    <w:p w14:paraId="7482F2AB" w14:textId="290CE924" w:rsidR="009A2A5C" w:rsidRDefault="009A2A5C" w:rsidP="009A2A5C">
      <w:pPr>
        <w:rPr>
          <w:sz w:val="24"/>
          <w:szCs w:val="24"/>
        </w:rPr>
      </w:pPr>
    </w:p>
    <w:p w14:paraId="7B47017E" w14:textId="77777777" w:rsidR="009A2A5C" w:rsidRPr="009A2A5C" w:rsidRDefault="009A2A5C" w:rsidP="009A2A5C">
      <w:pPr>
        <w:rPr>
          <w:sz w:val="24"/>
          <w:szCs w:val="24"/>
        </w:rPr>
      </w:pPr>
      <w:r w:rsidRPr="009A2A5C">
        <w:rPr>
          <w:lang w:eastAsia="bg-BG"/>
        </w:rPr>
        <w:t>Педиатрични пациенти</w:t>
      </w:r>
    </w:p>
    <w:p w14:paraId="2431CB2F" w14:textId="77777777" w:rsidR="009A2A5C" w:rsidRDefault="009A2A5C" w:rsidP="009A2A5C">
      <w:pPr>
        <w:rPr>
          <w:lang w:eastAsia="bg-BG"/>
        </w:rPr>
      </w:pPr>
    </w:p>
    <w:p w14:paraId="6E112E1D" w14:textId="5A810F38" w:rsidR="009A2A5C" w:rsidRPr="009A2A5C" w:rsidRDefault="009A2A5C" w:rsidP="009A2A5C">
      <w:pPr>
        <w:rPr>
          <w:sz w:val="24"/>
          <w:szCs w:val="24"/>
        </w:rPr>
      </w:pPr>
      <w:r w:rsidRPr="009A2A5C">
        <w:rPr>
          <w:lang w:eastAsia="bg-BG"/>
        </w:rPr>
        <w:t>Лечение на:</w:t>
      </w:r>
    </w:p>
    <w:p w14:paraId="24230BBE" w14:textId="77777777" w:rsidR="009A2A5C" w:rsidRPr="009A2A5C" w:rsidRDefault="009A2A5C" w:rsidP="009A2A5C">
      <w:pPr>
        <w:pStyle w:val="ListParagraph"/>
        <w:numPr>
          <w:ilvl w:val="0"/>
          <w:numId w:val="25"/>
        </w:numPr>
        <w:rPr>
          <w:sz w:val="24"/>
          <w:szCs w:val="24"/>
        </w:rPr>
      </w:pPr>
      <w:r w:rsidRPr="009A2A5C">
        <w:rPr>
          <w:lang w:eastAsia="bg-BG"/>
        </w:rPr>
        <w:lastRenderedPageBreak/>
        <w:t>Шизофрения при юноши на възраст от 13 до 17 години, когато другите фармакологични лечения са били неуспешни или не се понасят добре.</w:t>
      </w:r>
    </w:p>
    <w:p w14:paraId="6F863F94" w14:textId="77777777" w:rsidR="009A2A5C" w:rsidRPr="009A2A5C" w:rsidRDefault="009A2A5C" w:rsidP="009A2A5C">
      <w:pPr>
        <w:pStyle w:val="ListParagraph"/>
        <w:numPr>
          <w:ilvl w:val="0"/>
          <w:numId w:val="25"/>
        </w:numPr>
        <w:rPr>
          <w:sz w:val="24"/>
          <w:szCs w:val="24"/>
        </w:rPr>
      </w:pPr>
      <w:r w:rsidRPr="009A2A5C">
        <w:rPr>
          <w:lang w:eastAsia="bg-BG"/>
        </w:rPr>
        <w:t>Персистираща, тежка агресия при деца и юноши на възраст от 6 до 17 години с аутизъм или генерализирани разстройства в развитието, когато другите лечения са били неуспешни или не се понасят добре.</w:t>
      </w:r>
    </w:p>
    <w:p w14:paraId="6F58C3C5" w14:textId="4E6CC7B9" w:rsidR="009A2A5C" w:rsidRPr="009A2A5C" w:rsidRDefault="009A2A5C" w:rsidP="009A2A5C">
      <w:pPr>
        <w:pStyle w:val="ListParagraph"/>
        <w:numPr>
          <w:ilvl w:val="0"/>
          <w:numId w:val="25"/>
        </w:numPr>
        <w:rPr>
          <w:sz w:val="24"/>
          <w:szCs w:val="24"/>
        </w:rPr>
      </w:pPr>
      <w:r w:rsidRPr="009A2A5C">
        <w:rPr>
          <w:lang w:eastAsia="bg-BG"/>
        </w:rPr>
        <w:t xml:space="preserve">Тикови разстройства, включително синдром на </w:t>
      </w:r>
      <w:proofErr w:type="spellStart"/>
      <w:r w:rsidRPr="009A2A5C">
        <w:rPr>
          <w:lang w:eastAsia="bg-BG"/>
        </w:rPr>
        <w:t>Турет</w:t>
      </w:r>
      <w:proofErr w:type="spellEnd"/>
      <w:r w:rsidRPr="009A2A5C">
        <w:rPr>
          <w:lang w:eastAsia="bg-BG"/>
        </w:rPr>
        <w:t>, при деца и юноши на възраст от 10 до 17 години с тежко увреждане, след като възпитателни, психологически и други фармакологични лечения са били неуспешни.</w:t>
      </w:r>
    </w:p>
    <w:p w14:paraId="0C259D53" w14:textId="77777777" w:rsidR="009A2A5C" w:rsidRPr="009A2A5C" w:rsidRDefault="009A2A5C" w:rsidP="009A2A5C">
      <w:pPr>
        <w:rPr>
          <w:sz w:val="24"/>
          <w:szCs w:val="24"/>
        </w:rPr>
      </w:pPr>
    </w:p>
    <w:p w14:paraId="127F2AC9" w14:textId="1A1127D6" w:rsidR="00FD69E8" w:rsidRDefault="002C50EE" w:rsidP="00AA23EC">
      <w:pPr>
        <w:pStyle w:val="Heading2"/>
      </w:pPr>
      <w:r>
        <w:t>4.2. Дозировка и начин на приложение</w:t>
      </w:r>
    </w:p>
    <w:p w14:paraId="07590001" w14:textId="77777777" w:rsidR="009A2A5C" w:rsidRDefault="009A2A5C" w:rsidP="009A2A5C">
      <w:pPr>
        <w:pStyle w:val="Heading3"/>
        <w:rPr>
          <w:rFonts w:eastAsia="Times New Roman"/>
          <w:u w:val="single"/>
          <w:lang w:eastAsia="bg-BG"/>
        </w:rPr>
      </w:pPr>
    </w:p>
    <w:p w14:paraId="58EFF02B" w14:textId="6129456B" w:rsidR="009A2A5C" w:rsidRPr="009A2A5C" w:rsidRDefault="009A2A5C" w:rsidP="009A2A5C">
      <w:pPr>
        <w:pStyle w:val="Heading3"/>
        <w:rPr>
          <w:rFonts w:eastAsia="Times New Roman"/>
          <w:u w:val="single"/>
        </w:rPr>
      </w:pPr>
      <w:r w:rsidRPr="009A2A5C">
        <w:rPr>
          <w:rFonts w:eastAsia="Times New Roman"/>
          <w:u w:val="single"/>
          <w:lang w:eastAsia="bg-BG"/>
        </w:rPr>
        <w:t>Дозировка</w:t>
      </w:r>
    </w:p>
    <w:p w14:paraId="477AC65F" w14:textId="77777777" w:rsidR="009A2A5C" w:rsidRDefault="009A2A5C" w:rsidP="009A2A5C">
      <w:pPr>
        <w:rPr>
          <w:i/>
          <w:iCs/>
          <w:lang w:eastAsia="bg-BG"/>
        </w:rPr>
      </w:pPr>
    </w:p>
    <w:p w14:paraId="07DD7A91" w14:textId="13087B9C" w:rsidR="009A2A5C" w:rsidRPr="009A2A5C" w:rsidRDefault="009A2A5C" w:rsidP="009A2A5C">
      <w:pPr>
        <w:rPr>
          <w:sz w:val="24"/>
          <w:szCs w:val="24"/>
          <w:u w:val="single"/>
        </w:rPr>
      </w:pPr>
      <w:r w:rsidRPr="009A2A5C">
        <w:rPr>
          <w:i/>
          <w:iCs/>
          <w:u w:val="single"/>
          <w:lang w:eastAsia="bg-BG"/>
        </w:rPr>
        <w:t>Възрастни</w:t>
      </w:r>
    </w:p>
    <w:p w14:paraId="56B3B117" w14:textId="4C18F4EA" w:rsidR="009A2A5C" w:rsidRPr="009A2A5C" w:rsidRDefault="009A2A5C" w:rsidP="009A2A5C">
      <w:pPr>
        <w:rPr>
          <w:sz w:val="24"/>
          <w:szCs w:val="24"/>
        </w:rPr>
      </w:pPr>
      <w:r w:rsidRPr="009A2A5C">
        <w:rPr>
          <w:lang w:eastAsia="bg-BG"/>
        </w:rPr>
        <w:t>Препоръчва се ниска начална доза, която след това може да се коригира според отговора на пациента. Пациентите трябва винаги да се поддържат на минималната ефективна доза (вж. точка 5.2).</w:t>
      </w:r>
    </w:p>
    <w:p w14:paraId="2ADFA77E" w14:textId="77777777" w:rsidR="009A2A5C" w:rsidRDefault="009A2A5C" w:rsidP="009A2A5C">
      <w:pPr>
        <w:rPr>
          <w:lang w:eastAsia="bg-BG"/>
        </w:rPr>
      </w:pPr>
    </w:p>
    <w:p w14:paraId="469DA3D6" w14:textId="2456A409" w:rsidR="009A2A5C" w:rsidRPr="009A2A5C" w:rsidRDefault="009A2A5C" w:rsidP="009A2A5C">
      <w:pPr>
        <w:rPr>
          <w:sz w:val="24"/>
          <w:szCs w:val="24"/>
        </w:rPr>
      </w:pPr>
      <w:r w:rsidRPr="009A2A5C">
        <w:rPr>
          <w:lang w:eastAsia="bg-BG"/>
        </w:rPr>
        <w:t xml:space="preserve">Препоръките за дозиране на </w:t>
      </w:r>
      <w:proofErr w:type="spellStart"/>
      <w:r w:rsidRPr="009A2A5C">
        <w:rPr>
          <w:lang w:eastAsia="bg-BG"/>
        </w:rPr>
        <w:t>Халоперидол</w:t>
      </w:r>
      <w:proofErr w:type="spellEnd"/>
      <w:r w:rsidRPr="009A2A5C">
        <w:rPr>
          <w:lang w:eastAsia="bg-BG"/>
        </w:rPr>
        <w:t>-Рихтер таблетки са представени на Таблица 1.</w:t>
      </w:r>
    </w:p>
    <w:p w14:paraId="04D617AB" w14:textId="77777777" w:rsidR="009A2A5C" w:rsidRDefault="009A2A5C" w:rsidP="009A2A5C">
      <w:pPr>
        <w:rPr>
          <w:b/>
          <w:bCs/>
          <w:lang w:eastAsia="bg-BG"/>
        </w:rPr>
      </w:pPr>
    </w:p>
    <w:p w14:paraId="28A31279" w14:textId="7C61C994" w:rsidR="009A2A5C" w:rsidRDefault="009A2A5C" w:rsidP="009A2A5C">
      <w:pPr>
        <w:rPr>
          <w:b/>
          <w:bCs/>
          <w:lang w:eastAsia="bg-BG"/>
        </w:rPr>
      </w:pPr>
      <w:r w:rsidRPr="009A2A5C">
        <w:rPr>
          <w:b/>
          <w:bCs/>
          <w:lang w:eastAsia="bg-BG"/>
        </w:rPr>
        <w:t xml:space="preserve">Таблица 1: Препоръки за дозиране на </w:t>
      </w:r>
      <w:proofErr w:type="spellStart"/>
      <w:r w:rsidRPr="009A2A5C">
        <w:rPr>
          <w:b/>
          <w:bCs/>
          <w:lang w:eastAsia="bg-BG"/>
        </w:rPr>
        <w:t>халоперидол</w:t>
      </w:r>
      <w:proofErr w:type="spellEnd"/>
      <w:r w:rsidRPr="009A2A5C">
        <w:rPr>
          <w:b/>
          <w:bCs/>
          <w:lang w:eastAsia="bg-BG"/>
        </w:rPr>
        <w:t xml:space="preserve"> при възрастни на 18 и повече години</w:t>
      </w:r>
    </w:p>
    <w:tbl>
      <w:tblPr>
        <w:tblStyle w:val="TableGrid"/>
        <w:tblW w:w="0" w:type="auto"/>
        <w:tblLook w:val="04A0" w:firstRow="1" w:lastRow="0" w:firstColumn="1" w:lastColumn="0" w:noHBand="0" w:noVBand="1"/>
      </w:tblPr>
      <w:tblGrid>
        <w:gridCol w:w="9576"/>
      </w:tblGrid>
      <w:tr w:rsidR="009A2A5C" w14:paraId="4780FC5C" w14:textId="77777777" w:rsidTr="009A2A5C">
        <w:tc>
          <w:tcPr>
            <w:tcW w:w="9576" w:type="dxa"/>
          </w:tcPr>
          <w:p w14:paraId="03599532" w14:textId="77777777" w:rsidR="009A2A5C" w:rsidRPr="009A2A5C" w:rsidRDefault="009A2A5C" w:rsidP="009A2A5C">
            <w:pPr>
              <w:rPr>
                <w:b/>
                <w:bCs/>
              </w:rPr>
            </w:pPr>
            <w:r w:rsidRPr="009A2A5C">
              <w:rPr>
                <w:b/>
                <w:bCs/>
              </w:rPr>
              <w:t xml:space="preserve">Лечение на шизофрения и </w:t>
            </w:r>
            <w:proofErr w:type="spellStart"/>
            <w:r w:rsidRPr="009A2A5C">
              <w:rPr>
                <w:b/>
                <w:bCs/>
              </w:rPr>
              <w:t>шизоафективно</w:t>
            </w:r>
            <w:proofErr w:type="spellEnd"/>
            <w:r w:rsidRPr="009A2A5C">
              <w:rPr>
                <w:b/>
                <w:bCs/>
              </w:rPr>
              <w:t xml:space="preserve"> разстройство</w:t>
            </w:r>
          </w:p>
          <w:p w14:paraId="1EBD55DD" w14:textId="0FA7D690" w:rsidR="009A2A5C" w:rsidRDefault="009A2A5C" w:rsidP="009A2A5C">
            <w:pPr>
              <w:pStyle w:val="ListParagraph"/>
              <w:numPr>
                <w:ilvl w:val="0"/>
                <w:numId w:val="26"/>
              </w:numPr>
            </w:pPr>
            <w:r>
              <w:t xml:space="preserve">2 до 10 </w:t>
            </w:r>
            <w:r w:rsidRPr="009A2A5C">
              <w:rPr>
                <w:lang w:val="en-US"/>
              </w:rPr>
              <w:t>mg/</w:t>
            </w:r>
            <w:r>
              <w:t xml:space="preserve">ден перорално като единична доза или разделени на 2 дози. Пациенти с първи епизод на шизофрения обикновено се повлияват с 2 до 4 </w:t>
            </w:r>
            <w:r w:rsidRPr="009A2A5C">
              <w:rPr>
                <w:lang w:val="en-US"/>
              </w:rPr>
              <w:t>mg</w:t>
            </w:r>
            <w:r>
              <w:t xml:space="preserve">/ден, докато пациенти с шизофрения с множество епизоди може да се нуждаят от дози до 10 </w:t>
            </w:r>
            <w:r w:rsidRPr="009A2A5C">
              <w:rPr>
                <w:lang w:val="en-US"/>
              </w:rPr>
              <w:t xml:space="preserve">mg </w:t>
            </w:r>
            <w:r>
              <w:t>/ден.</w:t>
            </w:r>
          </w:p>
          <w:p w14:paraId="34DF0065" w14:textId="77777777" w:rsidR="009A2A5C" w:rsidRDefault="009A2A5C" w:rsidP="009A2A5C"/>
          <w:p w14:paraId="6093C9B0" w14:textId="77777777" w:rsidR="009A2A5C" w:rsidRDefault="009A2A5C" w:rsidP="009A2A5C">
            <w:pPr>
              <w:pStyle w:val="ListParagraph"/>
              <w:numPr>
                <w:ilvl w:val="0"/>
                <w:numId w:val="26"/>
              </w:numPr>
            </w:pPr>
            <w:r>
              <w:t>Корекции на дозата може да се правят през 1 до 7 дни.</w:t>
            </w:r>
          </w:p>
          <w:p w14:paraId="11FCDF53" w14:textId="77777777" w:rsidR="009A2A5C" w:rsidRDefault="009A2A5C" w:rsidP="009A2A5C"/>
          <w:p w14:paraId="336D7186" w14:textId="5D6F4D7F" w:rsidR="009A2A5C" w:rsidRDefault="009A2A5C" w:rsidP="009A2A5C">
            <w:pPr>
              <w:pStyle w:val="ListParagraph"/>
              <w:numPr>
                <w:ilvl w:val="0"/>
                <w:numId w:val="26"/>
              </w:numPr>
            </w:pPr>
            <w:r>
              <w:t xml:space="preserve">Дози над 10 </w:t>
            </w:r>
            <w:r w:rsidRPr="009A2A5C">
              <w:rPr>
                <w:lang w:val="en-US"/>
              </w:rPr>
              <w:t>mg</w:t>
            </w:r>
            <w:r>
              <w:t xml:space="preserve">/ден не са показали по-добра ефикасност от по-ниски дози при повечето пациенти и може да предизвикат повишена честота на </w:t>
            </w:r>
            <w:proofErr w:type="spellStart"/>
            <w:r>
              <w:t>екстрапирамидни</w:t>
            </w:r>
            <w:proofErr w:type="spellEnd"/>
            <w:r>
              <w:t xml:space="preserve"> </w:t>
            </w:r>
            <w:proofErr w:type="spellStart"/>
            <w:r>
              <w:t>симптоми.Индивидуалното</w:t>
            </w:r>
            <w:proofErr w:type="spellEnd"/>
            <w:r>
              <w:t xml:space="preserve"> съотношение полза/риск трябва да се оцени, когато обмисляте приложение на дози над 10 </w:t>
            </w:r>
            <w:r w:rsidRPr="009A2A5C">
              <w:rPr>
                <w:lang w:val="en-US"/>
              </w:rPr>
              <w:t>mg</w:t>
            </w:r>
            <w:r>
              <w:t>/ден.</w:t>
            </w:r>
          </w:p>
          <w:p w14:paraId="58783836" w14:textId="77777777" w:rsidR="009A2A5C" w:rsidRPr="009A2A5C" w:rsidRDefault="009A2A5C" w:rsidP="009A2A5C">
            <w:pPr>
              <w:rPr>
                <w:sz w:val="24"/>
                <w:szCs w:val="24"/>
              </w:rPr>
            </w:pPr>
          </w:p>
          <w:p w14:paraId="2F0AAC4E" w14:textId="596D7D99" w:rsidR="009A2A5C" w:rsidRPr="009A2A5C" w:rsidRDefault="009A2A5C" w:rsidP="009A2A5C">
            <w:pPr>
              <w:pStyle w:val="ListParagraph"/>
              <w:numPr>
                <w:ilvl w:val="0"/>
                <w:numId w:val="26"/>
              </w:numPr>
              <w:rPr>
                <w:sz w:val="24"/>
                <w:szCs w:val="24"/>
              </w:rPr>
            </w:pPr>
            <w:r>
              <w:t xml:space="preserve">Максималната доза е 20 </w:t>
            </w:r>
            <w:r w:rsidRPr="009A2A5C">
              <w:rPr>
                <w:lang w:val="en-US"/>
              </w:rPr>
              <w:t>mg</w:t>
            </w:r>
            <w:r>
              <w:t>/ден, тъй като при по-високи дози проблемите с безопасността надхвърлят клиничните ползи от лечението.</w:t>
            </w:r>
          </w:p>
        </w:tc>
      </w:tr>
      <w:tr w:rsidR="009A2A5C" w14:paraId="4A3C6F87" w14:textId="77777777" w:rsidTr="009A2A5C">
        <w:tc>
          <w:tcPr>
            <w:tcW w:w="9576" w:type="dxa"/>
          </w:tcPr>
          <w:p w14:paraId="53F723CF" w14:textId="77777777" w:rsidR="009A2A5C" w:rsidRPr="009A2A5C" w:rsidRDefault="009A2A5C" w:rsidP="009A2A5C">
            <w:pPr>
              <w:rPr>
                <w:b/>
                <w:bCs/>
              </w:rPr>
            </w:pPr>
            <w:r w:rsidRPr="009A2A5C">
              <w:rPr>
                <w:b/>
                <w:bCs/>
              </w:rPr>
              <w:t xml:space="preserve">Остро лечение на </w:t>
            </w:r>
            <w:proofErr w:type="spellStart"/>
            <w:r w:rsidRPr="009A2A5C">
              <w:rPr>
                <w:b/>
                <w:bCs/>
              </w:rPr>
              <w:t>делир</w:t>
            </w:r>
            <w:proofErr w:type="spellEnd"/>
            <w:r w:rsidRPr="009A2A5C">
              <w:rPr>
                <w:b/>
                <w:bCs/>
              </w:rPr>
              <w:t xml:space="preserve">, когато </w:t>
            </w:r>
            <w:proofErr w:type="spellStart"/>
            <w:r w:rsidRPr="009A2A5C">
              <w:rPr>
                <w:b/>
                <w:bCs/>
              </w:rPr>
              <w:t>нефармакологичннте</w:t>
            </w:r>
            <w:proofErr w:type="spellEnd"/>
            <w:r w:rsidRPr="009A2A5C">
              <w:rPr>
                <w:b/>
                <w:bCs/>
              </w:rPr>
              <w:t xml:space="preserve"> лечения са били неуспешни</w:t>
            </w:r>
          </w:p>
          <w:p w14:paraId="13E2C48E" w14:textId="77777777" w:rsidR="009A2A5C" w:rsidRDefault="009A2A5C" w:rsidP="009A2A5C"/>
          <w:p w14:paraId="4B25A0E7" w14:textId="666D8DB8" w:rsidR="009A2A5C" w:rsidRDefault="009A2A5C" w:rsidP="009A2A5C">
            <w:pPr>
              <w:pStyle w:val="ListParagraph"/>
              <w:numPr>
                <w:ilvl w:val="0"/>
                <w:numId w:val="27"/>
              </w:numPr>
            </w:pPr>
            <w:r>
              <w:t xml:space="preserve">1 до 10 </w:t>
            </w:r>
            <w:r w:rsidRPr="009A2A5C">
              <w:rPr>
                <w:lang w:val="en-US"/>
              </w:rPr>
              <w:t>mg</w:t>
            </w:r>
            <w:r>
              <w:t>/ден перорално като единична доза или в 2 до 3 разделени дози.</w:t>
            </w:r>
          </w:p>
          <w:p w14:paraId="48FE413B" w14:textId="77777777" w:rsidR="009A2A5C" w:rsidRDefault="009A2A5C" w:rsidP="009A2A5C"/>
          <w:p w14:paraId="3A5E2EF6" w14:textId="7D9B46F6" w:rsidR="009A2A5C" w:rsidRPr="009A2A5C" w:rsidRDefault="009A2A5C" w:rsidP="009A2A5C">
            <w:pPr>
              <w:pStyle w:val="ListParagraph"/>
              <w:numPr>
                <w:ilvl w:val="0"/>
                <w:numId w:val="27"/>
              </w:numPr>
              <w:rPr>
                <w:sz w:val="24"/>
                <w:szCs w:val="24"/>
              </w:rPr>
            </w:pPr>
            <w:r>
              <w:t xml:space="preserve">Трябва да се започне с най-ниската възможна доза и, ако </w:t>
            </w:r>
            <w:proofErr w:type="spellStart"/>
            <w:r>
              <w:t>ажитацията</w:t>
            </w:r>
            <w:proofErr w:type="spellEnd"/>
            <w:r>
              <w:t xml:space="preserve"> продължава, дозата трябва да се коригира постепенно на 2- до 4-часови интервали до максимална доза 10 </w:t>
            </w:r>
            <w:r w:rsidRPr="009A2A5C">
              <w:rPr>
                <w:lang w:val="en-US"/>
              </w:rPr>
              <w:t>mg</w:t>
            </w:r>
            <w:r>
              <w:t>/ден.</w:t>
            </w:r>
          </w:p>
        </w:tc>
      </w:tr>
      <w:tr w:rsidR="009A2A5C" w14:paraId="19F83F1A" w14:textId="77777777" w:rsidTr="009A2A5C">
        <w:tc>
          <w:tcPr>
            <w:tcW w:w="9576" w:type="dxa"/>
          </w:tcPr>
          <w:p w14:paraId="7860F6B8" w14:textId="77777777" w:rsidR="009A2A5C" w:rsidRPr="009A2A5C" w:rsidRDefault="009A2A5C" w:rsidP="009A2A5C">
            <w:pPr>
              <w:rPr>
                <w:b/>
                <w:bCs/>
                <w:sz w:val="24"/>
                <w:szCs w:val="24"/>
              </w:rPr>
            </w:pPr>
            <w:r w:rsidRPr="009A2A5C">
              <w:rPr>
                <w:b/>
                <w:bCs/>
                <w:lang w:eastAsia="bg-BG"/>
              </w:rPr>
              <w:t xml:space="preserve">Лечение на умерени до тежки </w:t>
            </w:r>
            <w:proofErr w:type="spellStart"/>
            <w:r w:rsidRPr="009A2A5C">
              <w:rPr>
                <w:b/>
                <w:bCs/>
                <w:lang w:eastAsia="bg-BG"/>
              </w:rPr>
              <w:t>маннйни</w:t>
            </w:r>
            <w:proofErr w:type="spellEnd"/>
            <w:r w:rsidRPr="009A2A5C">
              <w:rPr>
                <w:b/>
                <w:bCs/>
                <w:lang w:eastAsia="bg-BG"/>
              </w:rPr>
              <w:t xml:space="preserve"> епизоди, свързани с биполярно разстройство тип I</w:t>
            </w:r>
          </w:p>
          <w:p w14:paraId="58781BE2" w14:textId="77777777" w:rsidR="009A2A5C" w:rsidRDefault="009A2A5C" w:rsidP="009A2A5C">
            <w:pPr>
              <w:rPr>
                <w:lang w:eastAsia="bg-BG"/>
              </w:rPr>
            </w:pPr>
          </w:p>
          <w:p w14:paraId="3AE5EF79" w14:textId="152F73BF" w:rsidR="009A2A5C" w:rsidRPr="009A2A5C" w:rsidRDefault="009A2A5C" w:rsidP="009A2A5C">
            <w:pPr>
              <w:pStyle w:val="ListParagraph"/>
              <w:numPr>
                <w:ilvl w:val="0"/>
                <w:numId w:val="28"/>
              </w:numPr>
              <w:rPr>
                <w:lang w:eastAsia="bg-BG"/>
              </w:rPr>
            </w:pPr>
            <w:r w:rsidRPr="009A2A5C">
              <w:rPr>
                <w:lang w:eastAsia="bg-BG"/>
              </w:rPr>
              <w:t xml:space="preserve">2 до 10 </w:t>
            </w:r>
            <w:r w:rsidRPr="009A2A5C">
              <w:rPr>
                <w:lang w:val="en-US"/>
              </w:rPr>
              <w:t>mg</w:t>
            </w:r>
            <w:r w:rsidRPr="009A2A5C">
              <w:rPr>
                <w:lang w:eastAsia="bg-BG"/>
              </w:rPr>
              <w:t>/ден перорално като единична доза или разделени на 2 дози,</w:t>
            </w:r>
          </w:p>
          <w:p w14:paraId="1948B409" w14:textId="77777777" w:rsidR="009A2A5C" w:rsidRDefault="009A2A5C" w:rsidP="009A2A5C">
            <w:pPr>
              <w:rPr>
                <w:lang w:eastAsia="bg-BG"/>
              </w:rPr>
            </w:pPr>
          </w:p>
          <w:p w14:paraId="2220CDE6" w14:textId="1A1E58FD" w:rsidR="009A2A5C" w:rsidRPr="009A2A5C" w:rsidRDefault="009A2A5C" w:rsidP="009A2A5C">
            <w:pPr>
              <w:pStyle w:val="ListParagraph"/>
              <w:numPr>
                <w:ilvl w:val="0"/>
                <w:numId w:val="28"/>
              </w:numPr>
              <w:rPr>
                <w:lang w:eastAsia="bg-BG"/>
              </w:rPr>
            </w:pPr>
            <w:r w:rsidRPr="009A2A5C">
              <w:rPr>
                <w:lang w:eastAsia="bg-BG"/>
              </w:rPr>
              <w:t>Корекции на дозата може да се правят през 1 до 3 дни.</w:t>
            </w:r>
          </w:p>
          <w:p w14:paraId="1BE422F9" w14:textId="77777777" w:rsidR="009A2A5C" w:rsidRDefault="009A2A5C" w:rsidP="009A2A5C">
            <w:pPr>
              <w:rPr>
                <w:lang w:eastAsia="bg-BG"/>
              </w:rPr>
            </w:pPr>
          </w:p>
          <w:p w14:paraId="752A905B" w14:textId="34A1C195" w:rsidR="009A2A5C" w:rsidRPr="009A2A5C" w:rsidRDefault="009A2A5C" w:rsidP="009A2A5C">
            <w:pPr>
              <w:pStyle w:val="ListParagraph"/>
              <w:numPr>
                <w:ilvl w:val="0"/>
                <w:numId w:val="28"/>
              </w:numPr>
              <w:rPr>
                <w:lang w:eastAsia="bg-BG"/>
              </w:rPr>
            </w:pPr>
            <w:r w:rsidRPr="009A2A5C">
              <w:rPr>
                <w:lang w:eastAsia="bg-BG"/>
              </w:rPr>
              <w:t xml:space="preserve">Дози над 10 </w:t>
            </w:r>
            <w:r w:rsidRPr="009A2A5C">
              <w:rPr>
                <w:lang w:val="en-US"/>
              </w:rPr>
              <w:t>mg</w:t>
            </w:r>
            <w:r w:rsidRPr="009A2A5C">
              <w:rPr>
                <w:lang w:eastAsia="bg-BG"/>
              </w:rPr>
              <w:t xml:space="preserve">/ден не са показали по-добра ефикасност от по-ниски дози при повечето пациенти и може да предизвикат повишена честота на </w:t>
            </w:r>
            <w:proofErr w:type="spellStart"/>
            <w:r w:rsidRPr="009A2A5C">
              <w:rPr>
                <w:lang w:eastAsia="bg-BG"/>
              </w:rPr>
              <w:t>екстрапирамидни</w:t>
            </w:r>
            <w:proofErr w:type="spellEnd"/>
            <w:r w:rsidRPr="009A2A5C">
              <w:rPr>
                <w:lang w:eastAsia="bg-BG"/>
              </w:rPr>
              <w:t xml:space="preserve"> симптоми.</w:t>
            </w:r>
            <w:r>
              <w:rPr>
                <w:lang w:val="en-US" w:eastAsia="bg-BG"/>
              </w:rPr>
              <w:t xml:space="preserve"> </w:t>
            </w:r>
            <w:r w:rsidRPr="009A2A5C">
              <w:rPr>
                <w:lang w:eastAsia="bg-BG"/>
              </w:rPr>
              <w:t xml:space="preserve">Индивидуалното съотношение полза-риск трябва да се оцени, когато обмисляте приложение на дози над 10 </w:t>
            </w:r>
            <w:r w:rsidRPr="009A2A5C">
              <w:rPr>
                <w:lang w:val="en-US"/>
              </w:rPr>
              <w:t>mg</w:t>
            </w:r>
            <w:r w:rsidRPr="009A2A5C">
              <w:rPr>
                <w:lang w:eastAsia="bg-BG"/>
              </w:rPr>
              <w:t>/ден,</w:t>
            </w:r>
          </w:p>
          <w:p w14:paraId="5CC83F72" w14:textId="77777777" w:rsidR="009A2A5C" w:rsidRDefault="009A2A5C" w:rsidP="009A2A5C">
            <w:pPr>
              <w:rPr>
                <w:lang w:eastAsia="bg-BG"/>
              </w:rPr>
            </w:pPr>
          </w:p>
          <w:p w14:paraId="7CF0E326" w14:textId="66F4EA2A" w:rsidR="009A2A5C" w:rsidRPr="009A2A5C" w:rsidRDefault="009A2A5C" w:rsidP="009A2A5C">
            <w:pPr>
              <w:pStyle w:val="ListParagraph"/>
              <w:numPr>
                <w:ilvl w:val="0"/>
                <w:numId w:val="28"/>
              </w:numPr>
              <w:rPr>
                <w:lang w:eastAsia="bg-BG"/>
              </w:rPr>
            </w:pPr>
            <w:r w:rsidRPr="009A2A5C">
              <w:rPr>
                <w:lang w:eastAsia="bg-BG"/>
              </w:rPr>
              <w:t xml:space="preserve">Максималната доза е 15 </w:t>
            </w:r>
            <w:r w:rsidRPr="009A2A5C">
              <w:rPr>
                <w:lang w:val="en-US"/>
              </w:rPr>
              <w:t>mg</w:t>
            </w:r>
            <w:r w:rsidRPr="009A2A5C">
              <w:rPr>
                <w:lang w:eastAsia="bg-BG"/>
              </w:rPr>
              <w:t>/ден, тъй като проблемите с безопасността надхвърлят клиничните ползи от лечение с по-високи дози,</w:t>
            </w:r>
          </w:p>
          <w:p w14:paraId="5A3CBB93" w14:textId="77777777" w:rsidR="009A2A5C" w:rsidRDefault="009A2A5C" w:rsidP="009A2A5C">
            <w:pPr>
              <w:rPr>
                <w:lang w:eastAsia="bg-BG"/>
              </w:rPr>
            </w:pPr>
          </w:p>
          <w:p w14:paraId="40471ED1" w14:textId="28798DAC" w:rsidR="009A2A5C" w:rsidRPr="009A2A5C" w:rsidRDefault="009A2A5C" w:rsidP="009A2A5C">
            <w:pPr>
              <w:pStyle w:val="ListParagraph"/>
              <w:numPr>
                <w:ilvl w:val="0"/>
                <w:numId w:val="28"/>
              </w:numPr>
              <w:rPr>
                <w:lang w:eastAsia="bg-BG"/>
              </w:rPr>
            </w:pPr>
            <w:r w:rsidRPr="009A2A5C">
              <w:rPr>
                <w:lang w:eastAsia="bg-BG"/>
              </w:rPr>
              <w:t xml:space="preserve">Продължителната употреба на </w:t>
            </w:r>
            <w:proofErr w:type="spellStart"/>
            <w:r w:rsidRPr="009A2A5C">
              <w:rPr>
                <w:lang w:eastAsia="bg-BG"/>
              </w:rPr>
              <w:t>халоперидол</w:t>
            </w:r>
            <w:proofErr w:type="spellEnd"/>
            <w:r w:rsidRPr="009A2A5C">
              <w:rPr>
                <w:lang w:eastAsia="bg-BG"/>
              </w:rPr>
              <w:t xml:space="preserve"> трябва да се оцени рано по време на лечението (вж. точка 4.4).</w:t>
            </w:r>
          </w:p>
          <w:p w14:paraId="0B8F77EC" w14:textId="77777777" w:rsidR="009A2A5C" w:rsidRDefault="009A2A5C" w:rsidP="009A2A5C">
            <w:pPr>
              <w:rPr>
                <w:sz w:val="24"/>
                <w:szCs w:val="24"/>
              </w:rPr>
            </w:pPr>
          </w:p>
        </w:tc>
      </w:tr>
      <w:tr w:rsidR="009A2A5C" w14:paraId="1233DE69" w14:textId="77777777" w:rsidTr="009A2A5C">
        <w:tc>
          <w:tcPr>
            <w:tcW w:w="9576" w:type="dxa"/>
          </w:tcPr>
          <w:p w14:paraId="16C94A27" w14:textId="77777777" w:rsidR="009A2A5C" w:rsidRPr="009A2A5C" w:rsidRDefault="009A2A5C" w:rsidP="009A2A5C">
            <w:pPr>
              <w:rPr>
                <w:b/>
                <w:bCs/>
              </w:rPr>
            </w:pPr>
            <w:r w:rsidRPr="009A2A5C">
              <w:rPr>
                <w:b/>
                <w:bCs/>
              </w:rPr>
              <w:lastRenderedPageBreak/>
              <w:t xml:space="preserve">Лечение на остра психомоторна </w:t>
            </w:r>
            <w:proofErr w:type="spellStart"/>
            <w:r w:rsidRPr="009A2A5C">
              <w:rPr>
                <w:b/>
                <w:bCs/>
              </w:rPr>
              <w:t>ажитация</w:t>
            </w:r>
            <w:proofErr w:type="spellEnd"/>
            <w:r w:rsidRPr="009A2A5C">
              <w:rPr>
                <w:b/>
                <w:bCs/>
              </w:rPr>
              <w:t xml:space="preserve">, свързана с психотично разстройство или </w:t>
            </w:r>
            <w:proofErr w:type="spellStart"/>
            <w:r w:rsidRPr="009A2A5C">
              <w:rPr>
                <w:b/>
                <w:bCs/>
              </w:rPr>
              <w:t>маннйни</w:t>
            </w:r>
            <w:proofErr w:type="spellEnd"/>
            <w:r w:rsidRPr="009A2A5C">
              <w:rPr>
                <w:b/>
                <w:bCs/>
              </w:rPr>
              <w:t xml:space="preserve"> епизоди на биполярно разстройство тип I</w:t>
            </w:r>
          </w:p>
          <w:p w14:paraId="3AA7C60F" w14:textId="77777777" w:rsidR="009A2A5C" w:rsidRDefault="009A2A5C" w:rsidP="009A2A5C"/>
          <w:p w14:paraId="432E6C38" w14:textId="780388E6" w:rsidR="009A2A5C" w:rsidRDefault="009A2A5C" w:rsidP="009A2A5C">
            <w:pPr>
              <w:pStyle w:val="ListParagraph"/>
              <w:numPr>
                <w:ilvl w:val="0"/>
                <w:numId w:val="29"/>
              </w:numPr>
            </w:pPr>
            <w:r>
              <w:t xml:space="preserve">5 до 10 </w:t>
            </w:r>
            <w:r w:rsidRPr="009A2A5C">
              <w:rPr>
                <w:lang w:val="en-US"/>
              </w:rPr>
              <w:t xml:space="preserve">mg </w:t>
            </w:r>
            <w:r>
              <w:t xml:space="preserve">перорално; ако е необходимо, повторете след 12 часа до максимална доза 20 </w:t>
            </w:r>
            <w:r w:rsidRPr="009A2A5C">
              <w:rPr>
                <w:lang w:val="en-US"/>
              </w:rPr>
              <w:t>mg</w:t>
            </w:r>
            <w:r>
              <w:t>/ден.</w:t>
            </w:r>
          </w:p>
          <w:p w14:paraId="4F3B95B2" w14:textId="77777777" w:rsidR="009A2A5C" w:rsidRDefault="009A2A5C" w:rsidP="009A2A5C"/>
          <w:p w14:paraId="765FBB7D" w14:textId="77777777" w:rsidR="009A2A5C" w:rsidRDefault="009A2A5C" w:rsidP="009A2A5C">
            <w:pPr>
              <w:pStyle w:val="ListParagraph"/>
              <w:numPr>
                <w:ilvl w:val="0"/>
                <w:numId w:val="29"/>
              </w:numPr>
            </w:pPr>
            <w:r>
              <w:t xml:space="preserve">Продължителната употреба на </w:t>
            </w:r>
            <w:proofErr w:type="spellStart"/>
            <w:r>
              <w:t>халоперидол</w:t>
            </w:r>
            <w:proofErr w:type="spellEnd"/>
            <w:r>
              <w:t xml:space="preserve"> трябва да се оцени рано по време на лечението (вж. точка 4.4).</w:t>
            </w:r>
          </w:p>
          <w:p w14:paraId="51A89A6D" w14:textId="77777777" w:rsidR="009A2A5C" w:rsidRDefault="009A2A5C" w:rsidP="009A2A5C">
            <w:pPr>
              <w:pStyle w:val="ListParagraph"/>
            </w:pPr>
          </w:p>
          <w:p w14:paraId="63997BEB" w14:textId="730A8A12" w:rsidR="009A2A5C" w:rsidRPr="009A2A5C" w:rsidRDefault="009A2A5C" w:rsidP="009A2A5C">
            <w:pPr>
              <w:pStyle w:val="ListParagraph"/>
              <w:numPr>
                <w:ilvl w:val="0"/>
                <w:numId w:val="29"/>
              </w:numPr>
            </w:pPr>
            <w:r>
              <w:t xml:space="preserve">Когато се преминава от </w:t>
            </w:r>
            <w:proofErr w:type="spellStart"/>
            <w:r>
              <w:t>халоперидол</w:t>
            </w:r>
            <w:proofErr w:type="spellEnd"/>
            <w:r>
              <w:t xml:space="preserve"> интрамускулна инжекция, </w:t>
            </w:r>
            <w:proofErr w:type="spellStart"/>
            <w:r>
              <w:t>халоперидол</w:t>
            </w:r>
            <w:proofErr w:type="spellEnd"/>
            <w:r>
              <w:t xml:space="preserve"> перорално трябва да се започне при начално съотношение на дозата 1:1, последвано от коригиране на дозата според клиничния отговор.</w:t>
            </w:r>
          </w:p>
        </w:tc>
      </w:tr>
      <w:tr w:rsidR="009A2A5C" w14:paraId="64810735" w14:textId="77777777" w:rsidTr="009A2A5C">
        <w:tc>
          <w:tcPr>
            <w:tcW w:w="9576" w:type="dxa"/>
          </w:tcPr>
          <w:p w14:paraId="481353F8" w14:textId="77777777" w:rsidR="009A2A5C" w:rsidRPr="009B4C79" w:rsidRDefault="009A2A5C" w:rsidP="009A2A5C">
            <w:pPr>
              <w:rPr>
                <w:b/>
                <w:bCs/>
              </w:rPr>
            </w:pPr>
            <w:r w:rsidRPr="009B4C79">
              <w:rPr>
                <w:b/>
                <w:bCs/>
              </w:rPr>
              <w:t xml:space="preserve">Лечение на персистираща агресия и психотични симптоми при пациенти с умерена до тежка деменция на </w:t>
            </w:r>
            <w:proofErr w:type="spellStart"/>
            <w:r w:rsidRPr="009B4C79">
              <w:rPr>
                <w:b/>
                <w:bCs/>
              </w:rPr>
              <w:t>АлцхаЙмер</w:t>
            </w:r>
            <w:proofErr w:type="spellEnd"/>
            <w:r w:rsidRPr="009B4C79">
              <w:rPr>
                <w:b/>
                <w:bCs/>
              </w:rPr>
              <w:t xml:space="preserve"> и съдова деменция, когато нефармакологичните лечения са били неуспешни и когато има риск от причиняване на вреда на себе си или на други хора</w:t>
            </w:r>
          </w:p>
          <w:p w14:paraId="36287A84" w14:textId="77777777" w:rsidR="009A2A5C" w:rsidRDefault="009A2A5C" w:rsidP="009A2A5C"/>
          <w:p w14:paraId="28893965" w14:textId="3BEAB4D7" w:rsidR="009A2A5C" w:rsidRDefault="009A2A5C" w:rsidP="009B4C79">
            <w:pPr>
              <w:pStyle w:val="ListParagraph"/>
              <w:numPr>
                <w:ilvl w:val="0"/>
                <w:numId w:val="30"/>
              </w:numPr>
            </w:pPr>
            <w:r>
              <w:t xml:space="preserve">0,5 до 5 </w:t>
            </w:r>
            <w:r w:rsidRPr="009B4C79">
              <w:rPr>
                <w:lang w:val="en-US"/>
              </w:rPr>
              <w:t>mg</w:t>
            </w:r>
            <w:r>
              <w:t>/ден перорално като единична доза или в 2 разделени дози.</w:t>
            </w:r>
          </w:p>
          <w:p w14:paraId="3B020D36" w14:textId="77777777" w:rsidR="009A2A5C" w:rsidRDefault="009A2A5C" w:rsidP="009A2A5C"/>
          <w:p w14:paraId="336BAB8A" w14:textId="49F0EEB2" w:rsidR="009A2A5C" w:rsidRDefault="009A2A5C" w:rsidP="009B4C79">
            <w:pPr>
              <w:pStyle w:val="ListParagraph"/>
              <w:numPr>
                <w:ilvl w:val="0"/>
                <w:numId w:val="30"/>
              </w:numPr>
            </w:pPr>
            <w:r>
              <w:t>Корекции на дозата може да се правят през 1 до 3 дни.</w:t>
            </w:r>
          </w:p>
          <w:p w14:paraId="0BF220A9" w14:textId="77777777" w:rsidR="009B4C79" w:rsidRDefault="009B4C79" w:rsidP="009A2A5C"/>
          <w:p w14:paraId="6AE8152B" w14:textId="272D325F" w:rsidR="009A2A5C" w:rsidRPr="009B4C79" w:rsidRDefault="009A2A5C" w:rsidP="009B4C79">
            <w:pPr>
              <w:pStyle w:val="ListParagraph"/>
              <w:numPr>
                <w:ilvl w:val="0"/>
                <w:numId w:val="30"/>
              </w:numPr>
              <w:rPr>
                <w:sz w:val="24"/>
                <w:szCs w:val="24"/>
              </w:rPr>
            </w:pPr>
            <w:r>
              <w:t>Необходимостта от продължително лечение трябва да се преоцени след не повече от 6 седмици.</w:t>
            </w:r>
          </w:p>
        </w:tc>
      </w:tr>
      <w:tr w:rsidR="009A2A5C" w14:paraId="6FDCFE7D" w14:textId="77777777" w:rsidTr="009A2A5C">
        <w:tc>
          <w:tcPr>
            <w:tcW w:w="9576" w:type="dxa"/>
          </w:tcPr>
          <w:p w14:paraId="1A6448C8" w14:textId="4C189D2F" w:rsidR="009A2A5C" w:rsidRPr="009B4C79" w:rsidRDefault="009A2A5C" w:rsidP="009B4C79">
            <w:pPr>
              <w:rPr>
                <w:b/>
                <w:bCs/>
              </w:rPr>
            </w:pPr>
            <w:r w:rsidRPr="009B4C79">
              <w:rPr>
                <w:b/>
                <w:bCs/>
              </w:rPr>
              <w:t xml:space="preserve">Лечение на </w:t>
            </w:r>
            <w:proofErr w:type="spellStart"/>
            <w:r w:rsidRPr="009B4C79">
              <w:rPr>
                <w:b/>
                <w:bCs/>
              </w:rPr>
              <w:t>тнкови</w:t>
            </w:r>
            <w:proofErr w:type="spellEnd"/>
            <w:r w:rsidRPr="009B4C79">
              <w:rPr>
                <w:b/>
                <w:bCs/>
              </w:rPr>
              <w:t xml:space="preserve"> разстройства, включително синдром на </w:t>
            </w:r>
            <w:proofErr w:type="spellStart"/>
            <w:r w:rsidRPr="009B4C79">
              <w:rPr>
                <w:b/>
                <w:bCs/>
              </w:rPr>
              <w:t>Турет</w:t>
            </w:r>
            <w:proofErr w:type="spellEnd"/>
            <w:r w:rsidRPr="009B4C79">
              <w:rPr>
                <w:b/>
                <w:bCs/>
              </w:rPr>
              <w:t>, при пациенти с тежко увреждане, след като възпитателни, психологически н други фармакологични лечения са били неуспешни</w:t>
            </w:r>
          </w:p>
          <w:p w14:paraId="6752EAB0" w14:textId="77777777" w:rsidR="009B4C79" w:rsidRDefault="009B4C79" w:rsidP="009A2A5C"/>
          <w:p w14:paraId="194F75A2" w14:textId="77777777" w:rsidR="009A2A5C" w:rsidRDefault="009A2A5C" w:rsidP="009B4C79">
            <w:pPr>
              <w:pStyle w:val="ListParagraph"/>
              <w:numPr>
                <w:ilvl w:val="0"/>
                <w:numId w:val="33"/>
              </w:numPr>
            </w:pPr>
            <w:r>
              <w:t xml:space="preserve">0,5 до 5 </w:t>
            </w:r>
            <w:r w:rsidRPr="009B4C79">
              <w:rPr>
                <w:lang w:val="en-US"/>
              </w:rPr>
              <w:t>mg</w:t>
            </w:r>
            <w:r>
              <w:t>/ден перорално като единична доза или в 2 разделени дози.</w:t>
            </w:r>
          </w:p>
          <w:p w14:paraId="3DDA5E4B" w14:textId="77777777" w:rsidR="009B4C79" w:rsidRDefault="009B4C79" w:rsidP="009B4C79">
            <w:pPr>
              <w:spacing w:line="240" w:lineRule="auto"/>
              <w:rPr>
                <w:rFonts w:eastAsia="Times New Roman" w:cs="Times New Roman"/>
                <w:color w:val="000000"/>
                <w:sz w:val="20"/>
                <w:szCs w:val="20"/>
                <w:lang w:eastAsia="bg-BG"/>
              </w:rPr>
            </w:pPr>
          </w:p>
          <w:p w14:paraId="40C5BC05" w14:textId="6F9EE594" w:rsidR="009B4C79" w:rsidRPr="009B4C79" w:rsidRDefault="009B4C79" w:rsidP="009B4C79">
            <w:pPr>
              <w:pStyle w:val="ListParagraph"/>
              <w:numPr>
                <w:ilvl w:val="0"/>
                <w:numId w:val="32"/>
              </w:numPr>
              <w:rPr>
                <w:lang w:eastAsia="bg-BG"/>
              </w:rPr>
            </w:pPr>
            <w:r w:rsidRPr="009B4C79">
              <w:rPr>
                <w:lang w:eastAsia="bg-BG"/>
              </w:rPr>
              <w:t>Корекции на дозата може да се правят през 1 до 7 дни.</w:t>
            </w:r>
          </w:p>
          <w:p w14:paraId="70FA3C51" w14:textId="77777777" w:rsidR="009B4C79" w:rsidRDefault="009B4C79" w:rsidP="009B4C79">
            <w:pPr>
              <w:rPr>
                <w:lang w:eastAsia="bg-BG"/>
              </w:rPr>
            </w:pPr>
          </w:p>
          <w:p w14:paraId="44FE6E5F" w14:textId="7D604313" w:rsidR="009B4C79" w:rsidRPr="009B4C79" w:rsidRDefault="009B4C79" w:rsidP="009B4C79">
            <w:pPr>
              <w:pStyle w:val="ListParagraph"/>
              <w:numPr>
                <w:ilvl w:val="0"/>
                <w:numId w:val="31"/>
              </w:numPr>
              <w:rPr>
                <w:sz w:val="24"/>
                <w:szCs w:val="24"/>
              </w:rPr>
            </w:pPr>
            <w:r w:rsidRPr="009B4C79">
              <w:rPr>
                <w:lang w:eastAsia="bg-BG"/>
              </w:rPr>
              <w:t>Необходимостта от продължително лечение трябва да се преоценява през 6 до 12 месеца.</w:t>
            </w:r>
          </w:p>
        </w:tc>
      </w:tr>
      <w:tr w:rsidR="009A2A5C" w14:paraId="24C52BD8" w14:textId="77777777" w:rsidTr="009A2A5C">
        <w:tc>
          <w:tcPr>
            <w:tcW w:w="9576" w:type="dxa"/>
          </w:tcPr>
          <w:p w14:paraId="681CCE42" w14:textId="77777777" w:rsidR="009B4C79" w:rsidRPr="009B4C79" w:rsidRDefault="009B4C79" w:rsidP="009B4C79">
            <w:pPr>
              <w:rPr>
                <w:b/>
                <w:bCs/>
                <w:sz w:val="24"/>
                <w:szCs w:val="24"/>
              </w:rPr>
            </w:pPr>
            <w:r w:rsidRPr="009B4C79">
              <w:rPr>
                <w:b/>
                <w:bCs/>
                <w:lang w:eastAsia="bg-BG"/>
              </w:rPr>
              <w:lastRenderedPageBreak/>
              <w:t>Лечение на лека до умерена хорея при болест на Хънтингтън, когато другите лекарствени продукти са неефективни или не се понасят добре</w:t>
            </w:r>
          </w:p>
          <w:p w14:paraId="33C48286" w14:textId="77777777" w:rsidR="009B4C79" w:rsidRDefault="009B4C79" w:rsidP="009B4C79">
            <w:pPr>
              <w:rPr>
                <w:lang w:eastAsia="bg-BG"/>
              </w:rPr>
            </w:pPr>
          </w:p>
          <w:p w14:paraId="34219E3B" w14:textId="1F950A9A" w:rsidR="009B4C79" w:rsidRPr="009B4C79" w:rsidRDefault="009B4C79" w:rsidP="009B4C79">
            <w:pPr>
              <w:pStyle w:val="ListParagraph"/>
              <w:numPr>
                <w:ilvl w:val="0"/>
                <w:numId w:val="31"/>
              </w:numPr>
              <w:rPr>
                <w:lang w:eastAsia="bg-BG"/>
              </w:rPr>
            </w:pPr>
            <w:r w:rsidRPr="009B4C79">
              <w:rPr>
                <w:lang w:eastAsia="bg-BG"/>
              </w:rPr>
              <w:t xml:space="preserve">2 до 10 </w:t>
            </w:r>
            <w:r w:rsidRPr="009B4C79">
              <w:rPr>
                <w:lang w:val="en-US"/>
              </w:rPr>
              <w:t>mg</w:t>
            </w:r>
            <w:r w:rsidRPr="009B4C79">
              <w:rPr>
                <w:lang w:eastAsia="bg-BG"/>
              </w:rPr>
              <w:t>/ден перорално като единична доза или в 2 разделени дози.</w:t>
            </w:r>
          </w:p>
          <w:p w14:paraId="0E98A00C" w14:textId="77777777" w:rsidR="009B4C79" w:rsidRDefault="009B4C79" w:rsidP="009B4C79">
            <w:pPr>
              <w:rPr>
                <w:lang w:eastAsia="bg-BG"/>
              </w:rPr>
            </w:pPr>
          </w:p>
          <w:p w14:paraId="0C1BE24C" w14:textId="14D01A96" w:rsidR="009A2A5C" w:rsidRPr="009B4C79" w:rsidRDefault="009B4C79" w:rsidP="009B4C79">
            <w:pPr>
              <w:pStyle w:val="ListParagraph"/>
              <w:numPr>
                <w:ilvl w:val="0"/>
                <w:numId w:val="31"/>
              </w:numPr>
              <w:rPr>
                <w:sz w:val="24"/>
                <w:szCs w:val="24"/>
              </w:rPr>
            </w:pPr>
            <w:r w:rsidRPr="009B4C79">
              <w:rPr>
                <w:lang w:eastAsia="bg-BG"/>
              </w:rPr>
              <w:t>Корекции на дозата може да се правят през 1 до 3 дни.</w:t>
            </w:r>
          </w:p>
        </w:tc>
      </w:tr>
    </w:tbl>
    <w:p w14:paraId="06CDF123" w14:textId="77777777" w:rsidR="009B4C79" w:rsidRPr="009B4C79" w:rsidRDefault="009B4C79" w:rsidP="009B4C79">
      <w:pPr>
        <w:rPr>
          <w:sz w:val="24"/>
          <w:szCs w:val="24"/>
        </w:rPr>
      </w:pPr>
      <w:proofErr w:type="spellStart"/>
      <w:r w:rsidRPr="009B4C79">
        <w:rPr>
          <w:lang w:eastAsia="bg-BG"/>
        </w:rPr>
        <w:t>Халоперидол</w:t>
      </w:r>
      <w:proofErr w:type="spellEnd"/>
      <w:r w:rsidRPr="009B4C79">
        <w:rPr>
          <w:lang w:eastAsia="bg-BG"/>
        </w:rPr>
        <w:t xml:space="preserve"> перорален разтвор трябва да се прилага при единична доза под 1,5 </w:t>
      </w:r>
      <w:r w:rsidRPr="009B4C79">
        <w:rPr>
          <w:lang w:val="en-US"/>
        </w:rPr>
        <w:t xml:space="preserve">mg, </w:t>
      </w:r>
      <w:r w:rsidRPr="009B4C79">
        <w:rPr>
          <w:lang w:eastAsia="bg-BG"/>
        </w:rPr>
        <w:t xml:space="preserve">която не може да се постигне с </w:t>
      </w:r>
      <w:proofErr w:type="spellStart"/>
      <w:r w:rsidRPr="009B4C79">
        <w:rPr>
          <w:lang w:eastAsia="bg-BG"/>
        </w:rPr>
        <w:t>Халоперидол</w:t>
      </w:r>
      <w:proofErr w:type="spellEnd"/>
      <w:r w:rsidRPr="009B4C79">
        <w:rPr>
          <w:lang w:eastAsia="bg-BG"/>
        </w:rPr>
        <w:t>-Рихтер таблетки.</w:t>
      </w:r>
    </w:p>
    <w:p w14:paraId="2DCCE5C0" w14:textId="77777777" w:rsidR="009B4C79" w:rsidRDefault="009B4C79" w:rsidP="009B4C79">
      <w:pPr>
        <w:rPr>
          <w:i/>
          <w:iCs/>
          <w:u w:val="single"/>
          <w:lang w:eastAsia="bg-BG"/>
        </w:rPr>
      </w:pPr>
    </w:p>
    <w:p w14:paraId="25A875FA" w14:textId="41EFF669" w:rsidR="009B4C79" w:rsidRPr="009B4C79" w:rsidRDefault="009B4C79" w:rsidP="009B4C79">
      <w:pPr>
        <w:rPr>
          <w:sz w:val="24"/>
          <w:szCs w:val="24"/>
        </w:rPr>
      </w:pPr>
      <w:r w:rsidRPr="009B4C79">
        <w:rPr>
          <w:i/>
          <w:iCs/>
          <w:u w:val="single"/>
          <w:lang w:eastAsia="bg-BG"/>
        </w:rPr>
        <w:t>Специални популации</w:t>
      </w:r>
    </w:p>
    <w:p w14:paraId="38A29282" w14:textId="77777777" w:rsidR="009B4C79" w:rsidRDefault="009B4C79" w:rsidP="009B4C79">
      <w:pPr>
        <w:rPr>
          <w:i/>
          <w:iCs/>
          <w:lang w:eastAsia="bg-BG"/>
        </w:rPr>
      </w:pPr>
    </w:p>
    <w:p w14:paraId="4AC2BC61" w14:textId="2896B4CB" w:rsidR="009B4C79" w:rsidRPr="009B4C79" w:rsidRDefault="009B4C79" w:rsidP="009B4C79">
      <w:pPr>
        <w:rPr>
          <w:sz w:val="24"/>
          <w:szCs w:val="24"/>
        </w:rPr>
      </w:pPr>
      <w:r w:rsidRPr="009B4C79">
        <w:rPr>
          <w:i/>
          <w:iCs/>
          <w:lang w:eastAsia="bg-BG"/>
        </w:rPr>
        <w:t>Старческа възраст</w:t>
      </w:r>
    </w:p>
    <w:p w14:paraId="2BC1B6CC" w14:textId="77777777" w:rsidR="009B4C79" w:rsidRPr="009B4C79" w:rsidRDefault="009B4C79" w:rsidP="009B4C79">
      <w:pPr>
        <w:rPr>
          <w:sz w:val="24"/>
          <w:szCs w:val="24"/>
        </w:rPr>
      </w:pPr>
      <w:r w:rsidRPr="009B4C79">
        <w:rPr>
          <w:lang w:eastAsia="bg-BG"/>
        </w:rPr>
        <w:t xml:space="preserve">Препоръчват се следните начални дози </w:t>
      </w:r>
      <w:proofErr w:type="spellStart"/>
      <w:r w:rsidRPr="009B4C79">
        <w:rPr>
          <w:lang w:eastAsia="bg-BG"/>
        </w:rPr>
        <w:t>халоперидол</w:t>
      </w:r>
      <w:proofErr w:type="spellEnd"/>
      <w:r w:rsidRPr="009B4C79">
        <w:rPr>
          <w:lang w:eastAsia="bg-BG"/>
        </w:rPr>
        <w:t xml:space="preserve"> при пациенти в старческа възраст: Лечение на персистираща агресия и психотични симптоми при пациенти с умерена до тежка деменция на Алцхаймер и съдова деменция, когато нефармакологичните лечения са били неуспешни и когато има риск от причиняване на вреда на себе си или на други хора - 0,5 </w:t>
      </w:r>
      <w:r w:rsidRPr="009B4C79">
        <w:rPr>
          <w:lang w:val="en-US"/>
        </w:rPr>
        <w:t>mg</w:t>
      </w:r>
      <w:r w:rsidRPr="009B4C79">
        <w:rPr>
          <w:lang w:eastAsia="bg-BG"/>
        </w:rPr>
        <w:t>/ден.</w:t>
      </w:r>
    </w:p>
    <w:p w14:paraId="418E769E" w14:textId="77777777" w:rsidR="009B4C79" w:rsidRPr="009B4C79" w:rsidRDefault="009B4C79" w:rsidP="009B4C79">
      <w:pPr>
        <w:rPr>
          <w:sz w:val="24"/>
          <w:szCs w:val="24"/>
        </w:rPr>
      </w:pPr>
      <w:r w:rsidRPr="009B4C79">
        <w:rPr>
          <w:lang w:eastAsia="bg-BG"/>
        </w:rPr>
        <w:t>Всички други показания - половината от най-ниската доза при възрастни.</w:t>
      </w:r>
    </w:p>
    <w:p w14:paraId="2CF20B53" w14:textId="77777777" w:rsidR="009B4C79" w:rsidRDefault="009B4C79" w:rsidP="009B4C79">
      <w:pPr>
        <w:rPr>
          <w:lang w:eastAsia="bg-BG"/>
        </w:rPr>
      </w:pPr>
    </w:p>
    <w:p w14:paraId="11696252" w14:textId="4FDB58FF" w:rsidR="009B4C79" w:rsidRPr="009B4C79" w:rsidRDefault="009B4C79" w:rsidP="009B4C79">
      <w:pPr>
        <w:rPr>
          <w:sz w:val="24"/>
          <w:szCs w:val="24"/>
        </w:rPr>
      </w:pPr>
      <w:r w:rsidRPr="009B4C79">
        <w:rPr>
          <w:lang w:eastAsia="bg-BG"/>
        </w:rPr>
        <w:t xml:space="preserve">Дозата на </w:t>
      </w:r>
      <w:proofErr w:type="spellStart"/>
      <w:r w:rsidRPr="009B4C79">
        <w:rPr>
          <w:lang w:eastAsia="bg-BG"/>
        </w:rPr>
        <w:t>халоперидол</w:t>
      </w:r>
      <w:proofErr w:type="spellEnd"/>
      <w:r w:rsidRPr="009B4C79">
        <w:rPr>
          <w:lang w:eastAsia="bg-BG"/>
        </w:rPr>
        <w:t xml:space="preserve"> може да се коригира в зависимост от отговора на пациента. Препоръчва се внимателно и постепенно повишаване на дозата при пациенти в старческа възраст.</w:t>
      </w:r>
    </w:p>
    <w:p w14:paraId="6398FE82" w14:textId="77777777" w:rsidR="009B4C79" w:rsidRDefault="009B4C79" w:rsidP="009B4C79">
      <w:pPr>
        <w:rPr>
          <w:lang w:eastAsia="bg-BG"/>
        </w:rPr>
      </w:pPr>
    </w:p>
    <w:p w14:paraId="12ED8BE1" w14:textId="5CA93D14" w:rsidR="009B4C79" w:rsidRPr="009B4C79" w:rsidRDefault="009B4C79" w:rsidP="009B4C79">
      <w:pPr>
        <w:rPr>
          <w:sz w:val="24"/>
          <w:szCs w:val="24"/>
        </w:rPr>
      </w:pPr>
      <w:r w:rsidRPr="009B4C79">
        <w:rPr>
          <w:lang w:eastAsia="bg-BG"/>
        </w:rPr>
        <w:t xml:space="preserve">Максималната доза при пациенти в старческа възраст е 5 </w:t>
      </w:r>
      <w:r w:rsidRPr="009B4C79">
        <w:rPr>
          <w:lang w:val="en-US"/>
        </w:rPr>
        <w:t>mg</w:t>
      </w:r>
      <w:r w:rsidRPr="009B4C79">
        <w:rPr>
          <w:lang w:eastAsia="bg-BG"/>
        </w:rPr>
        <w:t>/ден.</w:t>
      </w:r>
    </w:p>
    <w:p w14:paraId="6B764852" w14:textId="77777777" w:rsidR="009B4C79" w:rsidRDefault="009B4C79" w:rsidP="009B4C79">
      <w:pPr>
        <w:rPr>
          <w:lang w:eastAsia="bg-BG"/>
        </w:rPr>
      </w:pPr>
    </w:p>
    <w:p w14:paraId="3E1BF108" w14:textId="7F689DAF" w:rsidR="009B4C79" w:rsidRPr="009B4C79" w:rsidRDefault="009B4C79" w:rsidP="009B4C79">
      <w:pPr>
        <w:rPr>
          <w:sz w:val="24"/>
          <w:szCs w:val="24"/>
        </w:rPr>
      </w:pPr>
      <w:r w:rsidRPr="009B4C79">
        <w:rPr>
          <w:lang w:eastAsia="bg-BG"/>
        </w:rPr>
        <w:t xml:space="preserve">Дози над 5 </w:t>
      </w:r>
      <w:r w:rsidRPr="009B4C79">
        <w:rPr>
          <w:lang w:val="en-US"/>
        </w:rPr>
        <w:t>mg</w:t>
      </w:r>
      <w:r w:rsidRPr="009B4C79">
        <w:rPr>
          <w:lang w:eastAsia="bg-BG"/>
        </w:rPr>
        <w:t>/ден трябва да се предвиждат само при пациенти, които са понесли по- високи дози, и след повторна оценка на индивидуалното съотношение полза-риск на пациента.</w:t>
      </w:r>
    </w:p>
    <w:p w14:paraId="1AD261FA" w14:textId="77777777" w:rsidR="009B4C79" w:rsidRDefault="009B4C79" w:rsidP="009B4C79">
      <w:pPr>
        <w:rPr>
          <w:i/>
          <w:iCs/>
          <w:lang w:eastAsia="bg-BG"/>
        </w:rPr>
      </w:pPr>
    </w:p>
    <w:p w14:paraId="50FAA5E2" w14:textId="33C15478" w:rsidR="009B4C79" w:rsidRPr="009B4C79" w:rsidRDefault="009B4C79" w:rsidP="009B4C79">
      <w:pPr>
        <w:rPr>
          <w:sz w:val="24"/>
          <w:szCs w:val="24"/>
        </w:rPr>
      </w:pPr>
      <w:r w:rsidRPr="009B4C79">
        <w:rPr>
          <w:i/>
          <w:iCs/>
          <w:lang w:eastAsia="bg-BG"/>
        </w:rPr>
        <w:t>Бъбречно увреждане</w:t>
      </w:r>
    </w:p>
    <w:p w14:paraId="3ABAB11C" w14:textId="77777777" w:rsidR="009B4C79" w:rsidRPr="009B4C79" w:rsidRDefault="009B4C79" w:rsidP="009B4C79">
      <w:pPr>
        <w:rPr>
          <w:sz w:val="24"/>
          <w:szCs w:val="24"/>
        </w:rPr>
      </w:pPr>
      <w:r w:rsidRPr="009B4C79">
        <w:rPr>
          <w:lang w:eastAsia="bg-BG"/>
        </w:rPr>
        <w:t xml:space="preserve">Влиянието на бъбречното увреждане върху фармакокинетиката на </w:t>
      </w:r>
      <w:proofErr w:type="spellStart"/>
      <w:r w:rsidRPr="009B4C79">
        <w:rPr>
          <w:lang w:eastAsia="bg-BG"/>
        </w:rPr>
        <w:t>халоперидол</w:t>
      </w:r>
      <w:proofErr w:type="spellEnd"/>
      <w:r w:rsidRPr="009B4C79">
        <w:rPr>
          <w:lang w:eastAsia="bg-BG"/>
        </w:rPr>
        <w:t xml:space="preserve"> не е оценено. Не се препоръчва коригиране на дозата, но е необходима предпазливост, когато се лекуват пациенти с бъбречно увреждане. При пациенти с тежко бъбречно увреждане обаче може да се наложи по-ниска начална доза с последващо коригиране на по-малки стъпки и на по-продължителни интервали отколкото при пациентите без бъбречно увреждане (вж. точка 5.2).</w:t>
      </w:r>
    </w:p>
    <w:p w14:paraId="312FDF90" w14:textId="77777777" w:rsidR="009B4C79" w:rsidRDefault="009B4C79" w:rsidP="009B4C79">
      <w:pPr>
        <w:rPr>
          <w:i/>
          <w:iCs/>
          <w:lang w:eastAsia="bg-BG"/>
        </w:rPr>
      </w:pPr>
    </w:p>
    <w:p w14:paraId="27294921" w14:textId="14057A42" w:rsidR="009B4C79" w:rsidRPr="009B4C79" w:rsidRDefault="009B4C79" w:rsidP="009B4C79">
      <w:pPr>
        <w:rPr>
          <w:sz w:val="24"/>
          <w:szCs w:val="24"/>
        </w:rPr>
      </w:pPr>
      <w:r w:rsidRPr="009B4C79">
        <w:rPr>
          <w:i/>
          <w:iCs/>
          <w:lang w:eastAsia="bg-BG"/>
        </w:rPr>
        <w:t>Чернодробно увреждане</w:t>
      </w:r>
    </w:p>
    <w:p w14:paraId="7B62F314" w14:textId="19432E09" w:rsidR="009B4C79" w:rsidRPr="009B4C79" w:rsidRDefault="009B4C79" w:rsidP="009B4C79">
      <w:pPr>
        <w:rPr>
          <w:sz w:val="24"/>
          <w:szCs w:val="24"/>
        </w:rPr>
      </w:pPr>
      <w:r w:rsidRPr="009B4C79">
        <w:rPr>
          <w:lang w:eastAsia="bg-BG"/>
        </w:rPr>
        <w:t xml:space="preserve">Влиянието на чернодробното увреждане върху фармакокинетиката на </w:t>
      </w:r>
      <w:proofErr w:type="spellStart"/>
      <w:r w:rsidRPr="009B4C79">
        <w:rPr>
          <w:lang w:eastAsia="bg-BG"/>
        </w:rPr>
        <w:t>халоперидол</w:t>
      </w:r>
      <w:proofErr w:type="spellEnd"/>
      <w:r w:rsidRPr="009B4C79">
        <w:rPr>
          <w:lang w:eastAsia="bg-BG"/>
        </w:rPr>
        <w:t xml:space="preserve"> не е изследвано. Тъй като </w:t>
      </w:r>
      <w:proofErr w:type="spellStart"/>
      <w:r w:rsidRPr="009B4C79">
        <w:rPr>
          <w:lang w:eastAsia="bg-BG"/>
        </w:rPr>
        <w:t>халоперидол</w:t>
      </w:r>
      <w:proofErr w:type="spellEnd"/>
      <w:r w:rsidRPr="009B4C79">
        <w:rPr>
          <w:lang w:eastAsia="bg-BG"/>
        </w:rPr>
        <w:t xml:space="preserve"> се </w:t>
      </w:r>
      <w:proofErr w:type="spellStart"/>
      <w:r w:rsidRPr="009B4C79">
        <w:rPr>
          <w:lang w:eastAsia="bg-BG"/>
        </w:rPr>
        <w:t>метаболизира</w:t>
      </w:r>
      <w:proofErr w:type="spellEnd"/>
      <w:r w:rsidRPr="009B4C79">
        <w:rPr>
          <w:lang w:eastAsia="bg-BG"/>
        </w:rPr>
        <w:t xml:space="preserve"> в голяма степен в черния дроб, препоръчва се да се намали началната доза наполовина и дозата да се коригира на по</w:t>
      </w:r>
      <w:r>
        <w:rPr>
          <w:lang w:eastAsia="bg-BG"/>
        </w:rPr>
        <w:t xml:space="preserve">- </w:t>
      </w:r>
      <w:r w:rsidRPr="009B4C79">
        <w:rPr>
          <w:lang w:eastAsia="bg-BG"/>
        </w:rPr>
        <w:t>малки стъпки и на по-продължителни интервали отколкото при пациентите без чернодробно увреждане (вж. точки 4.4 и 5.2).</w:t>
      </w:r>
    </w:p>
    <w:p w14:paraId="541F728C" w14:textId="77777777" w:rsidR="009B4C79" w:rsidRDefault="009B4C79" w:rsidP="009B4C79">
      <w:pPr>
        <w:rPr>
          <w:i/>
          <w:iCs/>
          <w:lang w:eastAsia="bg-BG"/>
        </w:rPr>
      </w:pPr>
    </w:p>
    <w:p w14:paraId="1E14316A" w14:textId="194DAE2B" w:rsidR="009B4C79" w:rsidRPr="009B4C79" w:rsidRDefault="009B4C79" w:rsidP="009B4C79">
      <w:pPr>
        <w:rPr>
          <w:sz w:val="24"/>
          <w:szCs w:val="24"/>
        </w:rPr>
      </w:pPr>
      <w:r w:rsidRPr="009B4C79">
        <w:rPr>
          <w:i/>
          <w:iCs/>
          <w:lang w:eastAsia="bg-BG"/>
        </w:rPr>
        <w:lastRenderedPageBreak/>
        <w:t>Педиатрична популация</w:t>
      </w:r>
    </w:p>
    <w:p w14:paraId="07B87FC3" w14:textId="77777777" w:rsidR="009B4C79" w:rsidRPr="009B4C79" w:rsidRDefault="009B4C79" w:rsidP="009B4C79">
      <w:pPr>
        <w:rPr>
          <w:sz w:val="24"/>
          <w:szCs w:val="24"/>
        </w:rPr>
      </w:pPr>
      <w:r w:rsidRPr="009B4C79">
        <w:rPr>
          <w:lang w:eastAsia="bg-BG"/>
        </w:rPr>
        <w:t xml:space="preserve">Безопасността и ефикасността на </w:t>
      </w:r>
      <w:proofErr w:type="spellStart"/>
      <w:r w:rsidRPr="009B4C79">
        <w:rPr>
          <w:lang w:eastAsia="bg-BG"/>
        </w:rPr>
        <w:t>халоперидол</w:t>
      </w:r>
      <w:proofErr w:type="spellEnd"/>
      <w:r w:rsidRPr="009B4C79">
        <w:rPr>
          <w:lang w:eastAsia="bg-BG"/>
        </w:rPr>
        <w:t xml:space="preserve"> таблетки при деца под възрастта, определена в показанията, не са установени. Липсват данни при деца под З-годишна възраст. Препоръките за дозиране на </w:t>
      </w:r>
      <w:proofErr w:type="spellStart"/>
      <w:r w:rsidRPr="009B4C79">
        <w:rPr>
          <w:lang w:eastAsia="bg-BG"/>
        </w:rPr>
        <w:t>халоперидол</w:t>
      </w:r>
      <w:proofErr w:type="spellEnd"/>
      <w:r w:rsidRPr="009B4C79">
        <w:rPr>
          <w:lang w:eastAsia="bg-BG"/>
        </w:rPr>
        <w:t xml:space="preserve"> таблетки са представени на Таблица 2.</w:t>
      </w:r>
    </w:p>
    <w:p w14:paraId="51730048" w14:textId="77777777" w:rsidR="009B4C79" w:rsidRDefault="009B4C79" w:rsidP="009B4C79">
      <w:pPr>
        <w:rPr>
          <w:b/>
          <w:bCs/>
          <w:lang w:eastAsia="bg-BG"/>
        </w:rPr>
      </w:pPr>
      <w:bookmarkStart w:id="1" w:name="bookmark0"/>
    </w:p>
    <w:p w14:paraId="4E7F1AD7" w14:textId="557A5746" w:rsidR="009A2A5C" w:rsidRPr="009A2A5C" w:rsidRDefault="009B4C79" w:rsidP="009B4C79">
      <w:pPr>
        <w:rPr>
          <w:sz w:val="24"/>
          <w:szCs w:val="24"/>
        </w:rPr>
      </w:pPr>
      <w:r w:rsidRPr="009B4C79">
        <w:rPr>
          <w:b/>
          <w:bCs/>
          <w:lang w:eastAsia="bg-BG"/>
        </w:rPr>
        <w:t xml:space="preserve">Таблица 2: Препоръки за дозиране на </w:t>
      </w:r>
      <w:proofErr w:type="spellStart"/>
      <w:r w:rsidRPr="009B4C79">
        <w:rPr>
          <w:b/>
          <w:bCs/>
          <w:lang w:eastAsia="bg-BG"/>
        </w:rPr>
        <w:t>халоперидол</w:t>
      </w:r>
      <w:proofErr w:type="spellEnd"/>
      <w:r w:rsidRPr="009B4C79">
        <w:rPr>
          <w:b/>
          <w:bCs/>
          <w:lang w:eastAsia="bg-BG"/>
        </w:rPr>
        <w:t xml:space="preserve"> при педиатрична популация</w:t>
      </w:r>
      <w:bookmarkEnd w:id="1"/>
    </w:p>
    <w:tbl>
      <w:tblPr>
        <w:tblStyle w:val="TableGrid"/>
        <w:tblW w:w="0" w:type="auto"/>
        <w:tblLook w:val="04A0" w:firstRow="1" w:lastRow="0" w:firstColumn="1" w:lastColumn="0" w:noHBand="0" w:noVBand="1"/>
      </w:tblPr>
      <w:tblGrid>
        <w:gridCol w:w="9576"/>
      </w:tblGrid>
      <w:tr w:rsidR="009B4C79" w14:paraId="7D2E87EF" w14:textId="77777777" w:rsidTr="009B4C79">
        <w:tc>
          <w:tcPr>
            <w:tcW w:w="9576" w:type="dxa"/>
          </w:tcPr>
          <w:p w14:paraId="70245B14" w14:textId="77777777" w:rsidR="009B4C79" w:rsidRPr="009B4C79" w:rsidRDefault="009B4C79" w:rsidP="009B4C79">
            <w:pPr>
              <w:rPr>
                <w:b/>
                <w:bCs/>
              </w:rPr>
            </w:pPr>
            <w:r w:rsidRPr="009B4C79">
              <w:rPr>
                <w:b/>
                <w:bCs/>
              </w:rPr>
              <w:t xml:space="preserve">Лечение на шизофрения при юноши на възраст от 13 до 17 години, когато другите фармакологични лечения са били неуспешни </w:t>
            </w:r>
            <w:proofErr w:type="spellStart"/>
            <w:r w:rsidRPr="009B4C79">
              <w:rPr>
                <w:b/>
                <w:bCs/>
              </w:rPr>
              <w:t>илн</w:t>
            </w:r>
            <w:proofErr w:type="spellEnd"/>
            <w:r w:rsidRPr="009B4C79">
              <w:rPr>
                <w:b/>
                <w:bCs/>
              </w:rPr>
              <w:t xml:space="preserve"> не се понасят добре</w:t>
            </w:r>
          </w:p>
          <w:p w14:paraId="25C849D7" w14:textId="77777777" w:rsidR="009B4C79" w:rsidRDefault="009B4C79" w:rsidP="009B4C79"/>
          <w:p w14:paraId="3DC70AB9" w14:textId="01188C3A" w:rsidR="009B4C79" w:rsidRDefault="009B4C79" w:rsidP="009B4C79">
            <w:pPr>
              <w:pStyle w:val="ListParagraph"/>
              <w:numPr>
                <w:ilvl w:val="0"/>
                <w:numId w:val="35"/>
              </w:numPr>
            </w:pPr>
            <w:r>
              <w:t xml:space="preserve">Препоръчителната доза е 0,5 до 3 </w:t>
            </w:r>
            <w:r w:rsidRPr="009B4C79">
              <w:rPr>
                <w:lang w:val="en-US"/>
              </w:rPr>
              <w:t>mg/kg</w:t>
            </w:r>
            <w:r>
              <w:t>/ден, разделена на дози (2 до 3 пъти на ден), прилагани перорално.</w:t>
            </w:r>
          </w:p>
          <w:p w14:paraId="2645ECBE" w14:textId="77777777" w:rsidR="009B4C79" w:rsidRDefault="009B4C79" w:rsidP="009B4C79"/>
          <w:p w14:paraId="17F329CF" w14:textId="0FC57C80" w:rsidR="009B4C79" w:rsidRDefault="009B4C79" w:rsidP="009B4C79">
            <w:pPr>
              <w:pStyle w:val="ListParagraph"/>
              <w:numPr>
                <w:ilvl w:val="0"/>
                <w:numId w:val="35"/>
              </w:numPr>
            </w:pPr>
            <w:r>
              <w:t xml:space="preserve">Препоръчва се да се оцени индивидуалното съотношение полза-риск, когато се обмислят дози над 3 </w:t>
            </w:r>
            <w:r w:rsidRPr="009B4C79">
              <w:rPr>
                <w:lang w:val="en-US"/>
              </w:rPr>
              <w:t>mg</w:t>
            </w:r>
            <w:r>
              <w:t>/ден.</w:t>
            </w:r>
          </w:p>
          <w:p w14:paraId="576A24F7" w14:textId="77777777" w:rsidR="009B4C79" w:rsidRDefault="009B4C79" w:rsidP="009B4C79"/>
          <w:p w14:paraId="6697B26E" w14:textId="6397F3A0" w:rsidR="009B4C79" w:rsidRDefault="009B4C79" w:rsidP="009B4C79">
            <w:pPr>
              <w:pStyle w:val="ListParagraph"/>
              <w:numPr>
                <w:ilvl w:val="0"/>
                <w:numId w:val="35"/>
              </w:numPr>
            </w:pPr>
            <w:r>
              <w:t xml:space="preserve">Максималната препоръчителна доза е 5 </w:t>
            </w:r>
            <w:r w:rsidRPr="009B4C79">
              <w:rPr>
                <w:lang w:val="en-US"/>
              </w:rPr>
              <w:t>mg</w:t>
            </w:r>
            <w:r>
              <w:t>/ден.</w:t>
            </w:r>
          </w:p>
          <w:p w14:paraId="614A5F15" w14:textId="64A503B2" w:rsidR="009B4C79" w:rsidRDefault="009B4C79" w:rsidP="009B4C79">
            <w:pPr>
              <w:pStyle w:val="ListParagraph"/>
              <w:numPr>
                <w:ilvl w:val="0"/>
                <w:numId w:val="35"/>
              </w:numPr>
            </w:pPr>
            <w:r>
              <w:t>Продължителността на лечение трябва да се оценява индивидуално.</w:t>
            </w:r>
          </w:p>
        </w:tc>
      </w:tr>
      <w:tr w:rsidR="009B4C79" w14:paraId="1747C730" w14:textId="77777777" w:rsidTr="009B4C79">
        <w:tc>
          <w:tcPr>
            <w:tcW w:w="9576" w:type="dxa"/>
          </w:tcPr>
          <w:p w14:paraId="298BA66C" w14:textId="77777777" w:rsidR="009B4C79" w:rsidRPr="009B4C79" w:rsidRDefault="009B4C79" w:rsidP="009B4C79">
            <w:pPr>
              <w:rPr>
                <w:b/>
                <w:bCs/>
              </w:rPr>
            </w:pPr>
            <w:r w:rsidRPr="009B4C79">
              <w:rPr>
                <w:b/>
                <w:bCs/>
              </w:rPr>
              <w:t>Лечение на персистираща, тежка агресия при деца и юноши на възраст от 6 до 17 години с аутизъм или генерализирани разстройства в развитието, когато другите лечения са били неуспешни или не се понасят добре,</w:t>
            </w:r>
          </w:p>
          <w:p w14:paraId="410EBC26" w14:textId="77777777" w:rsidR="009B4C79" w:rsidRDefault="009B4C79" w:rsidP="009B4C79"/>
          <w:p w14:paraId="6D7C4025" w14:textId="1E19062D" w:rsidR="009B4C79" w:rsidRDefault="009B4C79" w:rsidP="009B4C79">
            <w:pPr>
              <w:pStyle w:val="ListParagraph"/>
              <w:numPr>
                <w:ilvl w:val="0"/>
                <w:numId w:val="35"/>
              </w:numPr>
            </w:pPr>
            <w:r>
              <w:t xml:space="preserve">Препоръчителните дози са 0,5 до 3 </w:t>
            </w:r>
            <w:r w:rsidRPr="009B4C79">
              <w:rPr>
                <w:lang w:val="en-US"/>
              </w:rPr>
              <w:t>mg</w:t>
            </w:r>
            <w:r>
              <w:t xml:space="preserve">/ден при деца на възраст от 6 до 11 години и 0,5 до 5 </w:t>
            </w:r>
            <w:r w:rsidRPr="009B4C79">
              <w:rPr>
                <w:lang w:val="en-US"/>
              </w:rPr>
              <w:t>mg</w:t>
            </w:r>
            <w:r>
              <w:t>/ден при юноши на възраст от 12 до 17 години, разделени на дози (2 до 3 пъти на ден), прилагани перорално.</w:t>
            </w:r>
          </w:p>
          <w:p w14:paraId="67B42B36" w14:textId="77777777" w:rsidR="009B4C79" w:rsidRDefault="009B4C79" w:rsidP="009B4C79"/>
          <w:p w14:paraId="7D21DDD2" w14:textId="6D54C270" w:rsidR="009B4C79" w:rsidRDefault="009B4C79" w:rsidP="009B4C79">
            <w:pPr>
              <w:pStyle w:val="ListParagraph"/>
              <w:numPr>
                <w:ilvl w:val="0"/>
                <w:numId w:val="35"/>
              </w:numPr>
            </w:pPr>
            <w:r>
              <w:t>Необходимостта от продължително лечение трябва да се преоцени след 6 седмици.</w:t>
            </w:r>
          </w:p>
        </w:tc>
      </w:tr>
      <w:tr w:rsidR="009B4C79" w14:paraId="26F1CE5E" w14:textId="77777777" w:rsidTr="009B4C79">
        <w:tc>
          <w:tcPr>
            <w:tcW w:w="9576" w:type="dxa"/>
          </w:tcPr>
          <w:p w14:paraId="1EC05F40" w14:textId="77777777" w:rsidR="009B4C79" w:rsidRPr="009B4C79" w:rsidRDefault="009B4C79" w:rsidP="009B4C79">
            <w:pPr>
              <w:rPr>
                <w:b/>
                <w:bCs/>
              </w:rPr>
            </w:pPr>
            <w:r w:rsidRPr="009B4C79">
              <w:rPr>
                <w:b/>
                <w:bCs/>
              </w:rPr>
              <w:t xml:space="preserve">Лечение на тикови разстройства, включително синдром на </w:t>
            </w:r>
            <w:proofErr w:type="spellStart"/>
            <w:r w:rsidRPr="009B4C79">
              <w:rPr>
                <w:b/>
                <w:bCs/>
              </w:rPr>
              <w:t>Турет</w:t>
            </w:r>
            <w:proofErr w:type="spellEnd"/>
            <w:r w:rsidRPr="009B4C79">
              <w:rPr>
                <w:b/>
                <w:bCs/>
              </w:rPr>
              <w:t>, при деца и юноши на възраст от 10 до 17 години с тежко увреждане, след като възпитателни, психологически и други фармакологични лечения са били неуспешни</w:t>
            </w:r>
          </w:p>
          <w:p w14:paraId="14F39050" w14:textId="77777777" w:rsidR="009B4C79" w:rsidRDefault="009B4C79" w:rsidP="009B4C79"/>
          <w:p w14:paraId="5512E8EC" w14:textId="05EA9F72" w:rsidR="009B4C79" w:rsidRDefault="009B4C79" w:rsidP="009B4C79">
            <w:pPr>
              <w:pStyle w:val="ListParagraph"/>
              <w:numPr>
                <w:ilvl w:val="0"/>
                <w:numId w:val="35"/>
              </w:numPr>
            </w:pPr>
            <w:r>
              <w:t xml:space="preserve">Препоръчителните дози са 0,5 до 3 </w:t>
            </w:r>
            <w:r w:rsidRPr="009B4C79">
              <w:rPr>
                <w:lang w:val="en-US"/>
              </w:rPr>
              <w:t>mg/</w:t>
            </w:r>
            <w:r>
              <w:t>ден при деца и юноши на възраст от 10 до 17 години, прилагани перорално в разделени дози (2 до 3 пъти на ден).</w:t>
            </w:r>
          </w:p>
          <w:p w14:paraId="54AB1E70" w14:textId="77777777" w:rsidR="009B4C79" w:rsidRDefault="009B4C79" w:rsidP="009B4C79"/>
          <w:p w14:paraId="37B146B1" w14:textId="5EF413DE" w:rsidR="009B4C79" w:rsidRDefault="009B4C79" w:rsidP="009B4C79">
            <w:pPr>
              <w:pStyle w:val="ListParagraph"/>
              <w:numPr>
                <w:ilvl w:val="0"/>
                <w:numId w:val="35"/>
              </w:numPr>
            </w:pPr>
            <w:r>
              <w:t>Необходимостта от продължително лечение трябва да се преоценява през 6 до 12 месеца.</w:t>
            </w:r>
          </w:p>
        </w:tc>
      </w:tr>
    </w:tbl>
    <w:p w14:paraId="57A304C9" w14:textId="77777777" w:rsidR="004F7849" w:rsidRPr="004F7849" w:rsidRDefault="004F7849" w:rsidP="004F7849">
      <w:pPr>
        <w:rPr>
          <w:sz w:val="24"/>
          <w:szCs w:val="24"/>
          <w:u w:val="single"/>
        </w:rPr>
      </w:pPr>
      <w:r w:rsidRPr="004F7849">
        <w:rPr>
          <w:u w:val="single"/>
          <w:lang w:eastAsia="bg-BG"/>
        </w:rPr>
        <w:t>Преустановяване на лечението</w:t>
      </w:r>
    </w:p>
    <w:p w14:paraId="23FB7C12" w14:textId="77777777" w:rsidR="004F7849" w:rsidRPr="004F7849" w:rsidRDefault="004F7849" w:rsidP="004F7849">
      <w:pPr>
        <w:rPr>
          <w:sz w:val="24"/>
          <w:szCs w:val="24"/>
        </w:rPr>
      </w:pPr>
      <w:r w:rsidRPr="004F7849">
        <w:rPr>
          <w:lang w:eastAsia="bg-BG"/>
        </w:rPr>
        <w:t xml:space="preserve">Препоръчва се постепенно преустановяване на </w:t>
      </w:r>
      <w:proofErr w:type="spellStart"/>
      <w:r w:rsidRPr="004F7849">
        <w:rPr>
          <w:lang w:eastAsia="bg-BG"/>
        </w:rPr>
        <w:t>халоперидол</w:t>
      </w:r>
      <w:proofErr w:type="spellEnd"/>
      <w:r w:rsidRPr="004F7849">
        <w:rPr>
          <w:lang w:eastAsia="bg-BG"/>
        </w:rPr>
        <w:t xml:space="preserve"> (вж. точка 4.4).</w:t>
      </w:r>
    </w:p>
    <w:p w14:paraId="146F9138" w14:textId="77777777" w:rsidR="004F7849" w:rsidRDefault="004F7849" w:rsidP="004F7849">
      <w:pPr>
        <w:rPr>
          <w:lang w:eastAsia="bg-BG"/>
        </w:rPr>
      </w:pPr>
    </w:p>
    <w:p w14:paraId="01D38B58" w14:textId="1DF9D510" w:rsidR="004F7849" w:rsidRPr="004F7849" w:rsidRDefault="004F7849" w:rsidP="004F7849">
      <w:pPr>
        <w:rPr>
          <w:sz w:val="24"/>
          <w:szCs w:val="24"/>
          <w:u w:val="single"/>
        </w:rPr>
      </w:pPr>
      <w:r w:rsidRPr="004F7849">
        <w:rPr>
          <w:u w:val="single"/>
          <w:lang w:eastAsia="bg-BG"/>
        </w:rPr>
        <w:t>Пропусната доза</w:t>
      </w:r>
    </w:p>
    <w:p w14:paraId="2B95696A" w14:textId="1722D2FC" w:rsidR="004F7849" w:rsidRDefault="004F7849" w:rsidP="004F7849">
      <w:pPr>
        <w:rPr>
          <w:lang w:eastAsia="bg-BG"/>
        </w:rPr>
      </w:pPr>
      <w:r w:rsidRPr="004F7849">
        <w:rPr>
          <w:lang w:eastAsia="bg-BG"/>
        </w:rPr>
        <w:t>Ако пациенти пропуснат доза, препоръчва се да вземат следващата доза както обикновено и да не вземат двойна доза.</w:t>
      </w:r>
    </w:p>
    <w:p w14:paraId="2E04C585" w14:textId="081A4D19" w:rsidR="004F7849" w:rsidRDefault="004F7849" w:rsidP="004F7849">
      <w:pPr>
        <w:rPr>
          <w:lang w:eastAsia="bg-BG"/>
        </w:rPr>
      </w:pPr>
    </w:p>
    <w:p w14:paraId="2CBAA56D" w14:textId="77777777" w:rsidR="004F7849" w:rsidRPr="004F7849" w:rsidRDefault="004F7849" w:rsidP="004F7849">
      <w:pPr>
        <w:pStyle w:val="Heading3"/>
        <w:rPr>
          <w:u w:val="single"/>
        </w:rPr>
      </w:pPr>
      <w:r w:rsidRPr="004F7849">
        <w:rPr>
          <w:u w:val="single"/>
        </w:rPr>
        <w:t xml:space="preserve">Начин на приложение </w:t>
      </w:r>
    </w:p>
    <w:p w14:paraId="740C5A06" w14:textId="07B7AED4" w:rsidR="004F7849" w:rsidRPr="004F7849" w:rsidRDefault="004F7849" w:rsidP="004F7849">
      <w:pPr>
        <w:rPr>
          <w:sz w:val="24"/>
          <w:szCs w:val="24"/>
        </w:rPr>
      </w:pPr>
      <w:r>
        <w:t>За перорална употреба.</w:t>
      </w:r>
    </w:p>
    <w:p w14:paraId="1F31F670" w14:textId="77777777" w:rsidR="009A2A5C" w:rsidRPr="009A2A5C" w:rsidRDefault="009A2A5C" w:rsidP="009A2A5C"/>
    <w:p w14:paraId="0E366821" w14:textId="0F691919" w:rsidR="00FD69E8" w:rsidRDefault="002C50EE" w:rsidP="00AA23EC">
      <w:pPr>
        <w:pStyle w:val="Heading2"/>
      </w:pPr>
      <w:r>
        <w:lastRenderedPageBreak/>
        <w:t>4.3. Противопоказания</w:t>
      </w:r>
    </w:p>
    <w:p w14:paraId="49B90D63" w14:textId="77777777" w:rsidR="004F7849" w:rsidRDefault="004F7849" w:rsidP="004F7849">
      <w:pPr>
        <w:spacing w:line="240" w:lineRule="auto"/>
        <w:rPr>
          <w:rFonts w:ascii="Times New Roman" w:eastAsia="Times New Roman" w:hAnsi="Times New Roman" w:cs="Times New Roman"/>
          <w:color w:val="000000"/>
          <w:sz w:val="20"/>
          <w:szCs w:val="20"/>
          <w:lang w:eastAsia="bg-BG"/>
        </w:rPr>
      </w:pPr>
    </w:p>
    <w:p w14:paraId="76EC1AC3" w14:textId="55416B2A" w:rsidR="004F7849" w:rsidRPr="004F7849" w:rsidRDefault="004F7849" w:rsidP="004F7849">
      <w:pPr>
        <w:pStyle w:val="ListParagraph"/>
        <w:numPr>
          <w:ilvl w:val="0"/>
          <w:numId w:val="36"/>
        </w:numPr>
        <w:rPr>
          <w:sz w:val="24"/>
          <w:szCs w:val="24"/>
        </w:rPr>
      </w:pPr>
      <w:r w:rsidRPr="004F7849">
        <w:rPr>
          <w:lang w:eastAsia="bg-BG"/>
        </w:rPr>
        <w:t>Свръхчувствителност към активното вещество или към някое от помощните вещества, изброени в точка 6.1;</w:t>
      </w:r>
    </w:p>
    <w:p w14:paraId="5ACBA0B3" w14:textId="77777777" w:rsidR="004F7849" w:rsidRPr="004F7849" w:rsidRDefault="004F7849" w:rsidP="004F7849">
      <w:pPr>
        <w:pStyle w:val="ListParagraph"/>
        <w:numPr>
          <w:ilvl w:val="0"/>
          <w:numId w:val="36"/>
        </w:numPr>
        <w:rPr>
          <w:sz w:val="24"/>
          <w:szCs w:val="24"/>
        </w:rPr>
      </w:pPr>
      <w:proofErr w:type="spellStart"/>
      <w:r w:rsidRPr="004F7849">
        <w:rPr>
          <w:lang w:eastAsia="bg-BG"/>
        </w:rPr>
        <w:t>Коматозно</w:t>
      </w:r>
      <w:proofErr w:type="spellEnd"/>
      <w:r w:rsidRPr="004F7849">
        <w:rPr>
          <w:lang w:eastAsia="bg-BG"/>
        </w:rPr>
        <w:t xml:space="preserve"> състояние.</w:t>
      </w:r>
    </w:p>
    <w:p w14:paraId="50E0E897" w14:textId="77777777" w:rsidR="004F7849" w:rsidRPr="004F7849" w:rsidRDefault="004F7849" w:rsidP="004F7849">
      <w:pPr>
        <w:pStyle w:val="ListParagraph"/>
        <w:numPr>
          <w:ilvl w:val="0"/>
          <w:numId w:val="36"/>
        </w:numPr>
        <w:rPr>
          <w:sz w:val="24"/>
          <w:szCs w:val="24"/>
        </w:rPr>
      </w:pPr>
      <w:r w:rsidRPr="004F7849">
        <w:rPr>
          <w:lang w:eastAsia="bg-BG"/>
        </w:rPr>
        <w:t>Депресия на централната нервна система (ЦНС). Болест на Паркинсон.</w:t>
      </w:r>
    </w:p>
    <w:p w14:paraId="5F47C278" w14:textId="77777777" w:rsidR="004F7849" w:rsidRPr="004F7849" w:rsidRDefault="004F7849" w:rsidP="004F7849">
      <w:pPr>
        <w:pStyle w:val="ListParagraph"/>
        <w:numPr>
          <w:ilvl w:val="0"/>
          <w:numId w:val="36"/>
        </w:numPr>
        <w:rPr>
          <w:sz w:val="24"/>
          <w:szCs w:val="24"/>
        </w:rPr>
      </w:pPr>
      <w:r w:rsidRPr="004F7849">
        <w:rPr>
          <w:lang w:eastAsia="bg-BG"/>
        </w:rPr>
        <w:t>Деменция с телца на Леви.</w:t>
      </w:r>
    </w:p>
    <w:p w14:paraId="5EFC58B9" w14:textId="77777777" w:rsidR="004F7849" w:rsidRPr="004F7849" w:rsidRDefault="004F7849" w:rsidP="004F7849">
      <w:pPr>
        <w:pStyle w:val="ListParagraph"/>
        <w:numPr>
          <w:ilvl w:val="0"/>
          <w:numId w:val="36"/>
        </w:numPr>
        <w:rPr>
          <w:sz w:val="24"/>
          <w:szCs w:val="24"/>
        </w:rPr>
      </w:pPr>
      <w:r w:rsidRPr="004F7849">
        <w:rPr>
          <w:lang w:eastAsia="bg-BG"/>
        </w:rPr>
        <w:t xml:space="preserve">Прогресивна </w:t>
      </w:r>
      <w:proofErr w:type="spellStart"/>
      <w:r w:rsidRPr="004F7849">
        <w:rPr>
          <w:lang w:eastAsia="bg-BG"/>
        </w:rPr>
        <w:t>супрануклеарна</w:t>
      </w:r>
      <w:proofErr w:type="spellEnd"/>
      <w:r w:rsidRPr="004F7849">
        <w:rPr>
          <w:lang w:eastAsia="bg-BG"/>
        </w:rPr>
        <w:t xml:space="preserve"> парализа.</w:t>
      </w:r>
    </w:p>
    <w:p w14:paraId="11E496F6" w14:textId="77777777" w:rsidR="004F7849" w:rsidRPr="004F7849" w:rsidRDefault="004F7849" w:rsidP="004F7849">
      <w:pPr>
        <w:pStyle w:val="ListParagraph"/>
        <w:numPr>
          <w:ilvl w:val="0"/>
          <w:numId w:val="36"/>
        </w:numPr>
        <w:rPr>
          <w:sz w:val="24"/>
          <w:szCs w:val="24"/>
        </w:rPr>
      </w:pPr>
      <w:r w:rsidRPr="004F7849">
        <w:rPr>
          <w:lang w:eastAsia="bg-BG"/>
        </w:rPr>
        <w:t xml:space="preserve">Известно удължаване на </w:t>
      </w:r>
      <w:r w:rsidRPr="004F7849">
        <w:rPr>
          <w:lang w:val="en-US"/>
        </w:rPr>
        <w:t xml:space="preserve">QTc </w:t>
      </w:r>
      <w:r w:rsidRPr="004F7849">
        <w:rPr>
          <w:lang w:eastAsia="bg-BG"/>
        </w:rPr>
        <w:t xml:space="preserve">интервала или вроден синдром на удължен </w:t>
      </w:r>
      <w:r w:rsidRPr="004F7849">
        <w:rPr>
          <w:lang w:val="en-US"/>
        </w:rPr>
        <w:t xml:space="preserve">QT. </w:t>
      </w:r>
      <w:r w:rsidRPr="004F7849">
        <w:rPr>
          <w:lang w:eastAsia="bg-BG"/>
        </w:rPr>
        <w:t>Скорошен остър миокарден инфаркт.</w:t>
      </w:r>
    </w:p>
    <w:p w14:paraId="09802879" w14:textId="77777777" w:rsidR="004F7849" w:rsidRPr="004F7849" w:rsidRDefault="004F7849" w:rsidP="004F7849">
      <w:pPr>
        <w:pStyle w:val="ListParagraph"/>
        <w:numPr>
          <w:ilvl w:val="0"/>
          <w:numId w:val="36"/>
        </w:numPr>
        <w:rPr>
          <w:sz w:val="24"/>
          <w:szCs w:val="24"/>
        </w:rPr>
      </w:pPr>
      <w:proofErr w:type="spellStart"/>
      <w:r w:rsidRPr="004F7849">
        <w:rPr>
          <w:lang w:eastAsia="bg-BG"/>
        </w:rPr>
        <w:t>Некомпенсирана</w:t>
      </w:r>
      <w:proofErr w:type="spellEnd"/>
      <w:r w:rsidRPr="004F7849">
        <w:rPr>
          <w:lang w:eastAsia="bg-BG"/>
        </w:rPr>
        <w:t xml:space="preserve"> сърдечна недостатъчност.</w:t>
      </w:r>
    </w:p>
    <w:p w14:paraId="149D59EA" w14:textId="77777777" w:rsidR="004F7849" w:rsidRPr="004F7849" w:rsidRDefault="004F7849" w:rsidP="004F7849">
      <w:pPr>
        <w:pStyle w:val="ListParagraph"/>
        <w:numPr>
          <w:ilvl w:val="0"/>
          <w:numId w:val="36"/>
        </w:numPr>
        <w:rPr>
          <w:sz w:val="24"/>
          <w:szCs w:val="24"/>
        </w:rPr>
      </w:pPr>
      <w:r w:rsidRPr="004F7849">
        <w:rPr>
          <w:lang w:eastAsia="bg-BG"/>
        </w:rPr>
        <w:t xml:space="preserve">Анамнеза за камерна аритмия или </w:t>
      </w:r>
      <w:proofErr w:type="spellStart"/>
      <w:r w:rsidRPr="004F7849">
        <w:rPr>
          <w:lang w:val="en-US"/>
        </w:rPr>
        <w:t>torsades</w:t>
      </w:r>
      <w:proofErr w:type="spellEnd"/>
      <w:r w:rsidRPr="004F7849">
        <w:rPr>
          <w:lang w:val="en-US"/>
        </w:rPr>
        <w:t xml:space="preserve"> de pointes. </w:t>
      </w:r>
      <w:r w:rsidRPr="004F7849">
        <w:rPr>
          <w:lang w:eastAsia="bg-BG"/>
        </w:rPr>
        <w:t>Некоригирана хипокалиемия.</w:t>
      </w:r>
    </w:p>
    <w:p w14:paraId="738F2312" w14:textId="77777777" w:rsidR="004F7849" w:rsidRPr="004F7849" w:rsidRDefault="004F7849" w:rsidP="004F7849">
      <w:pPr>
        <w:pStyle w:val="ListParagraph"/>
        <w:numPr>
          <w:ilvl w:val="0"/>
          <w:numId w:val="36"/>
        </w:numPr>
        <w:rPr>
          <w:sz w:val="24"/>
          <w:szCs w:val="24"/>
        </w:rPr>
      </w:pPr>
      <w:r w:rsidRPr="004F7849">
        <w:rPr>
          <w:lang w:eastAsia="bg-BG"/>
        </w:rPr>
        <w:t xml:space="preserve">Едновременно лечение с лекарствени продукти, които удължават </w:t>
      </w:r>
      <w:r w:rsidRPr="004F7849">
        <w:rPr>
          <w:lang w:val="en-US"/>
        </w:rPr>
        <w:t xml:space="preserve">QT </w:t>
      </w:r>
      <w:r w:rsidRPr="004F7849">
        <w:rPr>
          <w:lang w:eastAsia="bg-BG"/>
        </w:rPr>
        <w:t>интервала (вж. точка 4.5).</w:t>
      </w:r>
    </w:p>
    <w:p w14:paraId="4DF48708" w14:textId="77777777" w:rsidR="004F7849" w:rsidRPr="004F7849" w:rsidRDefault="004F7849" w:rsidP="004F7849"/>
    <w:p w14:paraId="6DDF89B4" w14:textId="34CF7AF4" w:rsidR="00C809A7" w:rsidRDefault="002C50EE" w:rsidP="00AA23EC">
      <w:pPr>
        <w:pStyle w:val="Heading2"/>
      </w:pPr>
      <w:r>
        <w:t>4.4. Специални предупреждения и предпазни мерки при употреба</w:t>
      </w:r>
    </w:p>
    <w:p w14:paraId="3562E6A7" w14:textId="77777777" w:rsidR="004F7849" w:rsidRDefault="004F7849" w:rsidP="004F7849">
      <w:pPr>
        <w:rPr>
          <w:lang w:eastAsia="bg-BG"/>
        </w:rPr>
      </w:pPr>
    </w:p>
    <w:p w14:paraId="172F73D4" w14:textId="73C05AA8" w:rsidR="004F7849" w:rsidRPr="004F7849" w:rsidRDefault="004F7849" w:rsidP="004F7849">
      <w:pPr>
        <w:rPr>
          <w:sz w:val="24"/>
          <w:szCs w:val="24"/>
          <w:u w:val="single"/>
        </w:rPr>
      </w:pPr>
      <w:r w:rsidRPr="004F7849">
        <w:rPr>
          <w:u w:val="single"/>
          <w:lang w:eastAsia="bg-BG"/>
        </w:rPr>
        <w:t>Повишена смъртност при хора в старческа възраст с деменция</w:t>
      </w:r>
    </w:p>
    <w:p w14:paraId="127B3D8C" w14:textId="77777777" w:rsidR="004F7849" w:rsidRPr="004F7849" w:rsidRDefault="004F7849" w:rsidP="004F7849">
      <w:pPr>
        <w:rPr>
          <w:sz w:val="24"/>
          <w:szCs w:val="24"/>
        </w:rPr>
      </w:pPr>
      <w:r w:rsidRPr="004F7849">
        <w:rPr>
          <w:lang w:eastAsia="bg-BG"/>
        </w:rPr>
        <w:t xml:space="preserve">Редки случаи на внезапна смърт се съобщават при психиатрични пациенти, приемащи </w:t>
      </w:r>
      <w:proofErr w:type="spellStart"/>
      <w:r w:rsidRPr="004F7849">
        <w:rPr>
          <w:lang w:eastAsia="bg-BG"/>
        </w:rPr>
        <w:t>антипсихотици</w:t>
      </w:r>
      <w:proofErr w:type="spellEnd"/>
      <w:r w:rsidRPr="004F7849">
        <w:rPr>
          <w:lang w:eastAsia="bg-BG"/>
        </w:rPr>
        <w:t xml:space="preserve">, в т.ч. </w:t>
      </w:r>
      <w:proofErr w:type="spellStart"/>
      <w:r w:rsidRPr="004F7849">
        <w:rPr>
          <w:lang w:eastAsia="bg-BG"/>
        </w:rPr>
        <w:t>халоперидол</w:t>
      </w:r>
      <w:proofErr w:type="spellEnd"/>
      <w:r w:rsidRPr="004F7849">
        <w:rPr>
          <w:lang w:eastAsia="bg-BG"/>
        </w:rPr>
        <w:t xml:space="preserve"> (вж. точка 4.8).</w:t>
      </w:r>
    </w:p>
    <w:p w14:paraId="3AA55526" w14:textId="77777777" w:rsidR="004F7849" w:rsidRDefault="004F7849" w:rsidP="004F7849">
      <w:pPr>
        <w:rPr>
          <w:lang w:eastAsia="bg-BG"/>
        </w:rPr>
      </w:pPr>
    </w:p>
    <w:p w14:paraId="1CF4D9CF" w14:textId="5E59EB50" w:rsidR="004F7849" w:rsidRPr="004F7849" w:rsidRDefault="004F7849" w:rsidP="004F7849">
      <w:pPr>
        <w:rPr>
          <w:sz w:val="24"/>
          <w:szCs w:val="24"/>
        </w:rPr>
      </w:pPr>
      <w:r w:rsidRPr="004F7849">
        <w:rPr>
          <w:lang w:eastAsia="bg-BG"/>
        </w:rPr>
        <w:t xml:space="preserve">Пациентите в старческа възраст със психоза, свързана с деменция, лекувани с </w:t>
      </w:r>
      <w:proofErr w:type="spellStart"/>
      <w:r w:rsidRPr="004F7849">
        <w:rPr>
          <w:lang w:eastAsia="bg-BG"/>
        </w:rPr>
        <w:t>антипсихотици</w:t>
      </w:r>
      <w:proofErr w:type="spellEnd"/>
      <w:r w:rsidRPr="004F7849">
        <w:rPr>
          <w:lang w:eastAsia="bg-BG"/>
        </w:rPr>
        <w:t xml:space="preserve">, са изложени на повишен риск от смърт. Анализите на седемнадесет плацебо-контролирани проучвания (модална продължителност от 10 седмици) предимно на пациенти, приемащи атипични </w:t>
      </w:r>
      <w:proofErr w:type="spellStart"/>
      <w:r w:rsidRPr="004F7849">
        <w:rPr>
          <w:lang w:eastAsia="bg-BG"/>
        </w:rPr>
        <w:t>антипсихотици</w:t>
      </w:r>
      <w:proofErr w:type="spellEnd"/>
      <w:r w:rsidRPr="004F7849">
        <w:rPr>
          <w:lang w:eastAsia="bg-BG"/>
        </w:rPr>
        <w:t xml:space="preserve">, показват риск от смърт при лекуваните пациентите между 1,6 и 1,7 пъти по-голям от риска от смърт при плацебо-лекувани пациенти. В хода на обичайното 10-седмично контролирано </w:t>
      </w:r>
      <w:proofErr w:type="spellStart"/>
      <w:r w:rsidRPr="004F7849">
        <w:rPr>
          <w:lang w:eastAsia="bg-BG"/>
        </w:rPr>
        <w:t>проуване</w:t>
      </w:r>
      <w:proofErr w:type="spellEnd"/>
      <w:r w:rsidRPr="004F7849">
        <w:rPr>
          <w:lang w:eastAsia="bg-BG"/>
        </w:rPr>
        <w:t xml:space="preserve"> честотата на смърт при пациентите, лекувани с </w:t>
      </w:r>
      <w:proofErr w:type="spellStart"/>
      <w:r w:rsidRPr="004F7849">
        <w:rPr>
          <w:lang w:eastAsia="bg-BG"/>
        </w:rPr>
        <w:t>антипсихотици</w:t>
      </w:r>
      <w:proofErr w:type="spellEnd"/>
      <w:r w:rsidRPr="004F7849">
        <w:rPr>
          <w:lang w:eastAsia="bg-BG"/>
        </w:rPr>
        <w:t xml:space="preserve">, е около 4,5% в сравнение с честота от около 2,6% в групата с плацебо. Макар че причините за смъртта са различни, повечето смъртните случаи са или от сърдечно-съдово (напр. сърдечна недостатъчност, внезапна смърт) или от инфекциозно естество (напр. пневмония). </w:t>
      </w:r>
      <w:proofErr w:type="spellStart"/>
      <w:r w:rsidRPr="004F7849">
        <w:rPr>
          <w:lang w:eastAsia="bg-BG"/>
        </w:rPr>
        <w:t>Обсервационни</w:t>
      </w:r>
      <w:proofErr w:type="spellEnd"/>
      <w:r w:rsidRPr="004F7849">
        <w:rPr>
          <w:lang w:eastAsia="bg-BG"/>
        </w:rPr>
        <w:t xml:space="preserve"> проучвания показват, че лечението на пациенти в старческа възраст с </w:t>
      </w:r>
      <w:proofErr w:type="spellStart"/>
      <w:r w:rsidRPr="004F7849">
        <w:rPr>
          <w:lang w:eastAsia="bg-BG"/>
        </w:rPr>
        <w:t>халоперидол</w:t>
      </w:r>
      <w:proofErr w:type="spellEnd"/>
      <w:r w:rsidRPr="004F7849">
        <w:rPr>
          <w:lang w:eastAsia="bg-BG"/>
        </w:rPr>
        <w:t xml:space="preserve"> също е свързано с повишена смъртност. Тази връзка може да е по-силна при </w:t>
      </w:r>
      <w:proofErr w:type="spellStart"/>
      <w:r w:rsidRPr="004F7849">
        <w:rPr>
          <w:lang w:eastAsia="bg-BG"/>
        </w:rPr>
        <w:t>халоперидол</w:t>
      </w:r>
      <w:proofErr w:type="spellEnd"/>
      <w:r w:rsidRPr="004F7849">
        <w:rPr>
          <w:lang w:eastAsia="bg-BG"/>
        </w:rPr>
        <w:t xml:space="preserve"> отколкото при атипичните антипсихотични лекарствени продукти. Тя е най-изразена през първите 30 дни след началото на лечението и се запазва най-малко до 6 месеца. Все още не е изяснено до каква степен тази връзка може да се отдаде на лекарствения продукт, а не се повлиява от някои характеристики на пациентите.</w:t>
      </w:r>
    </w:p>
    <w:p w14:paraId="475D38D4" w14:textId="77777777" w:rsidR="004F7849" w:rsidRDefault="004F7849" w:rsidP="004F7849">
      <w:pPr>
        <w:rPr>
          <w:lang w:eastAsia="bg-BG"/>
        </w:rPr>
      </w:pPr>
    </w:p>
    <w:p w14:paraId="7854ABA5" w14:textId="1FE8F720" w:rsidR="004F7849" w:rsidRPr="004F7849" w:rsidRDefault="004F7849" w:rsidP="004F7849">
      <w:pPr>
        <w:rPr>
          <w:sz w:val="24"/>
          <w:szCs w:val="24"/>
          <w:u w:val="single"/>
        </w:rPr>
      </w:pPr>
      <w:r w:rsidRPr="004F7849">
        <w:rPr>
          <w:u w:val="single"/>
          <w:lang w:eastAsia="bg-BG"/>
        </w:rPr>
        <w:t>Сърдечно-съдови ефекти</w:t>
      </w:r>
    </w:p>
    <w:p w14:paraId="16ACA88D" w14:textId="2E3765D1" w:rsidR="004F7849" w:rsidRDefault="004F7849" w:rsidP="004F7849">
      <w:pPr>
        <w:rPr>
          <w:lang w:eastAsia="bg-BG"/>
        </w:rPr>
      </w:pPr>
      <w:r w:rsidRPr="004F7849">
        <w:rPr>
          <w:lang w:eastAsia="bg-BG"/>
        </w:rPr>
        <w:t xml:space="preserve">Освен внезапна смърт при приложение на </w:t>
      </w:r>
      <w:proofErr w:type="spellStart"/>
      <w:r w:rsidRPr="004F7849">
        <w:rPr>
          <w:lang w:eastAsia="bg-BG"/>
        </w:rPr>
        <w:t>халоперидол</w:t>
      </w:r>
      <w:proofErr w:type="spellEnd"/>
      <w:r w:rsidRPr="004F7849">
        <w:rPr>
          <w:lang w:eastAsia="bg-BG"/>
        </w:rPr>
        <w:t xml:space="preserve"> се съобщава и за удължаване на </w:t>
      </w:r>
      <w:r w:rsidRPr="004F7849">
        <w:rPr>
          <w:lang w:val="en-US"/>
        </w:rPr>
        <w:t xml:space="preserve">QTc </w:t>
      </w:r>
      <w:r w:rsidRPr="004F7849">
        <w:rPr>
          <w:lang w:eastAsia="bg-BG"/>
        </w:rPr>
        <w:t>и/или камерни аритмии (вж. точки 4.3 и 4.8). Рискът от тези събития изглежда се повишава при високи дози, високи плазмени концентрации, при предразположени пациенти или при парентерално приложение, особено интравенозно приложение.</w:t>
      </w:r>
    </w:p>
    <w:p w14:paraId="1E49D1E7" w14:textId="11064FA1" w:rsidR="004F7849" w:rsidRDefault="004F7849" w:rsidP="004F7849">
      <w:pPr>
        <w:rPr>
          <w:lang w:eastAsia="bg-BG"/>
        </w:rPr>
      </w:pPr>
    </w:p>
    <w:p w14:paraId="68147863" w14:textId="77777777" w:rsidR="004F7849" w:rsidRPr="004F7849" w:rsidRDefault="004F7849" w:rsidP="004F7849">
      <w:pPr>
        <w:rPr>
          <w:sz w:val="24"/>
          <w:szCs w:val="24"/>
        </w:rPr>
      </w:pPr>
      <w:r w:rsidRPr="004F7849">
        <w:rPr>
          <w:lang w:eastAsia="bg-BG"/>
        </w:rPr>
        <w:t xml:space="preserve">Препоръчва се повишено внимание при пациенти с брадикардия, сърдечно заболяване, семейна анамнеза за удължаване на </w:t>
      </w:r>
      <w:r w:rsidRPr="004F7849">
        <w:rPr>
          <w:lang w:val="en-US"/>
        </w:rPr>
        <w:t xml:space="preserve">QTc </w:t>
      </w:r>
      <w:r w:rsidRPr="004F7849">
        <w:rPr>
          <w:lang w:eastAsia="bg-BG"/>
        </w:rPr>
        <w:t xml:space="preserve">или анамнеза за силна експозиция на алкохол. </w:t>
      </w:r>
      <w:r w:rsidRPr="004F7849">
        <w:rPr>
          <w:lang w:eastAsia="bg-BG"/>
        </w:rPr>
        <w:lastRenderedPageBreak/>
        <w:t xml:space="preserve">Препоръчва се предпазливост и при пациенти с потенциално високи плазмени концентрации (вж. точка 4.4, Слаби </w:t>
      </w:r>
      <w:proofErr w:type="spellStart"/>
      <w:r w:rsidRPr="004F7849">
        <w:rPr>
          <w:lang w:eastAsia="bg-BG"/>
        </w:rPr>
        <w:t>метаболизатори</w:t>
      </w:r>
      <w:proofErr w:type="spellEnd"/>
      <w:r w:rsidRPr="004F7849">
        <w:rPr>
          <w:lang w:eastAsia="bg-BG"/>
        </w:rPr>
        <w:t xml:space="preserve"> на С</w:t>
      </w:r>
      <w:r w:rsidRPr="004F7849">
        <w:rPr>
          <w:lang w:val="en-US"/>
        </w:rPr>
        <w:t>YP2D6).</w:t>
      </w:r>
    </w:p>
    <w:p w14:paraId="693E3821" w14:textId="77777777" w:rsidR="004F7849" w:rsidRDefault="004F7849" w:rsidP="004F7849">
      <w:pPr>
        <w:rPr>
          <w:lang w:eastAsia="bg-BG"/>
        </w:rPr>
      </w:pPr>
    </w:p>
    <w:p w14:paraId="745B4E78" w14:textId="68178460" w:rsidR="004F7849" w:rsidRPr="004F7849" w:rsidRDefault="004F7849" w:rsidP="004F7849">
      <w:pPr>
        <w:rPr>
          <w:sz w:val="24"/>
          <w:szCs w:val="24"/>
        </w:rPr>
      </w:pPr>
      <w:r w:rsidRPr="004F7849">
        <w:rPr>
          <w:lang w:eastAsia="bg-BG"/>
        </w:rPr>
        <w:t xml:space="preserve">Препоръчва се да се направи изходна ЕКГ преди лечението. По време на терапия при всички пациенти трябва да се оценява необходимостта от проследяване на ЕКГ за удължаване на </w:t>
      </w:r>
      <w:r w:rsidRPr="004F7849">
        <w:rPr>
          <w:lang w:val="en-US"/>
        </w:rPr>
        <w:t xml:space="preserve">QTc </w:t>
      </w:r>
      <w:r w:rsidRPr="004F7849">
        <w:rPr>
          <w:lang w:eastAsia="bg-BG"/>
        </w:rPr>
        <w:t xml:space="preserve">интервала и за камерни аритмии. Ако </w:t>
      </w:r>
      <w:r w:rsidRPr="004F7849">
        <w:rPr>
          <w:lang w:val="en-US"/>
        </w:rPr>
        <w:t xml:space="preserve">QTc </w:t>
      </w:r>
      <w:r w:rsidRPr="004F7849">
        <w:rPr>
          <w:lang w:eastAsia="bg-BG"/>
        </w:rPr>
        <w:t xml:space="preserve">се удължи по време на терапията, препоръчва се дозата да се намали при удължен </w:t>
      </w:r>
      <w:r w:rsidRPr="004F7849">
        <w:rPr>
          <w:lang w:val="en-US"/>
        </w:rPr>
        <w:t xml:space="preserve">QTc, </w:t>
      </w:r>
      <w:r w:rsidRPr="004F7849">
        <w:rPr>
          <w:lang w:eastAsia="bg-BG"/>
        </w:rPr>
        <w:t xml:space="preserve">но </w:t>
      </w:r>
      <w:proofErr w:type="spellStart"/>
      <w:r w:rsidRPr="004F7849">
        <w:rPr>
          <w:lang w:eastAsia="bg-BG"/>
        </w:rPr>
        <w:t>халоперидол</w:t>
      </w:r>
      <w:proofErr w:type="spellEnd"/>
      <w:r w:rsidRPr="004F7849">
        <w:rPr>
          <w:lang w:eastAsia="bg-BG"/>
        </w:rPr>
        <w:t xml:space="preserve"> трябва да се преустанови, ако </w:t>
      </w:r>
      <w:r w:rsidRPr="004F7849">
        <w:rPr>
          <w:lang w:val="en-US"/>
        </w:rPr>
        <w:t xml:space="preserve">QTc </w:t>
      </w:r>
      <w:r w:rsidRPr="004F7849">
        <w:rPr>
          <w:lang w:eastAsia="bg-BG"/>
        </w:rPr>
        <w:t xml:space="preserve">надхвърли 500 </w:t>
      </w:r>
      <w:proofErr w:type="spellStart"/>
      <w:r w:rsidRPr="004F7849">
        <w:rPr>
          <w:lang w:val="en-US"/>
        </w:rPr>
        <w:t>ms.</w:t>
      </w:r>
      <w:proofErr w:type="spellEnd"/>
    </w:p>
    <w:p w14:paraId="4FEA3C48" w14:textId="77777777" w:rsidR="004F7849" w:rsidRDefault="004F7849" w:rsidP="004F7849">
      <w:pPr>
        <w:rPr>
          <w:lang w:eastAsia="bg-BG"/>
        </w:rPr>
      </w:pPr>
    </w:p>
    <w:p w14:paraId="6DDE4FFF" w14:textId="6D4374F1" w:rsidR="004F7849" w:rsidRPr="004F7849" w:rsidRDefault="004F7849" w:rsidP="004F7849">
      <w:pPr>
        <w:rPr>
          <w:sz w:val="24"/>
          <w:szCs w:val="24"/>
        </w:rPr>
      </w:pPr>
      <w:r w:rsidRPr="004F7849">
        <w:rPr>
          <w:lang w:eastAsia="bg-BG"/>
        </w:rPr>
        <w:t xml:space="preserve">Електролитните нарушения като хипокалиемия и </w:t>
      </w:r>
      <w:proofErr w:type="spellStart"/>
      <w:r w:rsidRPr="004F7849">
        <w:rPr>
          <w:lang w:eastAsia="bg-BG"/>
        </w:rPr>
        <w:t>хипомагнезиемия</w:t>
      </w:r>
      <w:proofErr w:type="spellEnd"/>
      <w:r w:rsidRPr="004F7849">
        <w:rPr>
          <w:lang w:eastAsia="bg-BG"/>
        </w:rPr>
        <w:t xml:space="preserve"> повишават риска от камерни аритмии и трябва да се коригират преди да се започне лечение с </w:t>
      </w:r>
      <w:proofErr w:type="spellStart"/>
      <w:r w:rsidRPr="004F7849">
        <w:rPr>
          <w:lang w:eastAsia="bg-BG"/>
        </w:rPr>
        <w:t>халоперидол</w:t>
      </w:r>
      <w:proofErr w:type="spellEnd"/>
      <w:r w:rsidRPr="004F7849">
        <w:rPr>
          <w:lang w:eastAsia="bg-BG"/>
        </w:rPr>
        <w:t>. Поради това се препоръчва проследяване на електролитите на изходно ниво и периодично след това.</w:t>
      </w:r>
    </w:p>
    <w:p w14:paraId="57C9A172" w14:textId="77777777" w:rsidR="004F7849" w:rsidRDefault="004F7849" w:rsidP="004F7849">
      <w:pPr>
        <w:rPr>
          <w:lang w:eastAsia="bg-BG"/>
        </w:rPr>
      </w:pPr>
    </w:p>
    <w:p w14:paraId="04AFD3F7" w14:textId="31139861" w:rsidR="004F7849" w:rsidRPr="004F7849" w:rsidRDefault="004F7849" w:rsidP="004F7849">
      <w:pPr>
        <w:rPr>
          <w:sz w:val="24"/>
          <w:szCs w:val="24"/>
        </w:rPr>
      </w:pPr>
      <w:r w:rsidRPr="004F7849">
        <w:rPr>
          <w:lang w:eastAsia="bg-BG"/>
        </w:rPr>
        <w:t xml:space="preserve">Съобщават се също и тахикардия и хипотония (включително ортостатична хипотония) (вж. точка 4.8). Препоръчва се предпазливост, когато </w:t>
      </w:r>
      <w:proofErr w:type="spellStart"/>
      <w:r w:rsidRPr="004F7849">
        <w:rPr>
          <w:lang w:eastAsia="bg-BG"/>
        </w:rPr>
        <w:t>халоперидол</w:t>
      </w:r>
      <w:proofErr w:type="spellEnd"/>
      <w:r w:rsidRPr="004F7849">
        <w:rPr>
          <w:lang w:eastAsia="bg-BG"/>
        </w:rPr>
        <w:t xml:space="preserve"> се прилага на пациенти с </w:t>
      </w:r>
      <w:proofErr w:type="spellStart"/>
      <w:r w:rsidRPr="004F7849">
        <w:rPr>
          <w:lang w:eastAsia="bg-BG"/>
        </w:rPr>
        <w:t>манифестна</w:t>
      </w:r>
      <w:proofErr w:type="spellEnd"/>
      <w:r w:rsidRPr="004F7849">
        <w:rPr>
          <w:lang w:eastAsia="bg-BG"/>
        </w:rPr>
        <w:t xml:space="preserve"> хипотония или ортостатична хипотония.</w:t>
      </w:r>
    </w:p>
    <w:p w14:paraId="4204112C" w14:textId="77777777" w:rsidR="004F7849" w:rsidRDefault="004F7849" w:rsidP="004F7849">
      <w:pPr>
        <w:rPr>
          <w:u w:val="single"/>
          <w:lang w:eastAsia="bg-BG"/>
        </w:rPr>
      </w:pPr>
    </w:p>
    <w:p w14:paraId="6863549D" w14:textId="0ED5FAD2" w:rsidR="004F7849" w:rsidRPr="004F7849" w:rsidRDefault="004F7849" w:rsidP="004F7849">
      <w:pPr>
        <w:rPr>
          <w:sz w:val="24"/>
          <w:szCs w:val="24"/>
        </w:rPr>
      </w:pPr>
      <w:r w:rsidRPr="004F7849">
        <w:rPr>
          <w:u w:val="single"/>
          <w:lang w:eastAsia="bg-BG"/>
        </w:rPr>
        <w:t>Мозъчно-съдови събития</w:t>
      </w:r>
    </w:p>
    <w:p w14:paraId="45B1F97B" w14:textId="77777777" w:rsidR="004F7849" w:rsidRPr="004F7849" w:rsidRDefault="004F7849" w:rsidP="004F7849">
      <w:pPr>
        <w:rPr>
          <w:sz w:val="24"/>
          <w:szCs w:val="24"/>
        </w:rPr>
      </w:pPr>
      <w:r w:rsidRPr="004F7849">
        <w:rPr>
          <w:lang w:eastAsia="bg-BG"/>
        </w:rPr>
        <w:t xml:space="preserve">В рандомизирани, плацебо-контролирани клинични проучвания на популация с деменция се наблюдава приблизително 3-кратно повишен риск от мозъчно-съдови нежелани събития с </w:t>
      </w:r>
      <w:proofErr w:type="spellStart"/>
      <w:r w:rsidRPr="004F7849">
        <w:rPr>
          <w:lang w:eastAsia="bg-BG"/>
        </w:rPr>
        <w:t>накои</w:t>
      </w:r>
      <w:proofErr w:type="spellEnd"/>
      <w:r w:rsidRPr="004F7849">
        <w:rPr>
          <w:lang w:eastAsia="bg-BG"/>
        </w:rPr>
        <w:t xml:space="preserve"> атипични </w:t>
      </w:r>
      <w:proofErr w:type="spellStart"/>
      <w:r w:rsidRPr="004F7849">
        <w:rPr>
          <w:lang w:eastAsia="bg-BG"/>
        </w:rPr>
        <w:t>антипсихотици</w:t>
      </w:r>
      <w:proofErr w:type="spellEnd"/>
      <w:r w:rsidRPr="004F7849">
        <w:rPr>
          <w:lang w:eastAsia="bg-BG"/>
        </w:rPr>
        <w:t xml:space="preserve">. </w:t>
      </w:r>
      <w:proofErr w:type="spellStart"/>
      <w:r w:rsidRPr="004F7849">
        <w:rPr>
          <w:lang w:eastAsia="bg-BG"/>
        </w:rPr>
        <w:t>Обсервационни</w:t>
      </w:r>
      <w:proofErr w:type="spellEnd"/>
      <w:r w:rsidRPr="004F7849">
        <w:rPr>
          <w:lang w:eastAsia="bg-BG"/>
        </w:rPr>
        <w:t xml:space="preserve"> проучвания, сравняващи честотата на инсулт при пациенти в старческа възраст, с експозиция на някакъв </w:t>
      </w:r>
      <w:proofErr w:type="spellStart"/>
      <w:r w:rsidRPr="004F7849">
        <w:rPr>
          <w:lang w:eastAsia="bg-BG"/>
        </w:rPr>
        <w:t>антипсихотик</w:t>
      </w:r>
      <w:proofErr w:type="spellEnd"/>
      <w:r w:rsidRPr="004F7849">
        <w:rPr>
          <w:lang w:eastAsia="bg-BG"/>
        </w:rPr>
        <w:t xml:space="preserve">, с честотата на инсулт при болни, които не са с експозиция на такива лекарствени продукти, установяват повишена честота на инсулт сред пациентите с експозиция. Това повишаване може да бъде по-високо при всички </w:t>
      </w:r>
      <w:proofErr w:type="spellStart"/>
      <w:r w:rsidRPr="004F7849">
        <w:rPr>
          <w:lang w:eastAsia="bg-BG"/>
        </w:rPr>
        <w:t>бутирофенони</w:t>
      </w:r>
      <w:proofErr w:type="spellEnd"/>
      <w:r w:rsidRPr="004F7849">
        <w:rPr>
          <w:lang w:eastAsia="bg-BG"/>
        </w:rPr>
        <w:t xml:space="preserve">, включително </w:t>
      </w:r>
      <w:proofErr w:type="spellStart"/>
      <w:r w:rsidRPr="004F7849">
        <w:rPr>
          <w:lang w:eastAsia="bg-BG"/>
        </w:rPr>
        <w:t>халоперидол</w:t>
      </w:r>
      <w:proofErr w:type="spellEnd"/>
      <w:r w:rsidRPr="004F7849">
        <w:rPr>
          <w:lang w:eastAsia="bg-BG"/>
        </w:rPr>
        <w:t xml:space="preserve">, Механизмът на този повишен риск е известен. Не може да се изключи повишен риска при други популации пациенти. </w:t>
      </w:r>
      <w:proofErr w:type="spellStart"/>
      <w:r w:rsidRPr="004F7849">
        <w:rPr>
          <w:lang w:eastAsia="bg-BG"/>
        </w:rPr>
        <w:t>Халоперидол</w:t>
      </w:r>
      <w:proofErr w:type="spellEnd"/>
      <w:r w:rsidRPr="004F7849">
        <w:rPr>
          <w:lang w:eastAsia="bg-BG"/>
        </w:rPr>
        <w:t xml:space="preserve"> трябва да се използва предпазливо при пациенти с рискови фактори за инсулт.</w:t>
      </w:r>
    </w:p>
    <w:p w14:paraId="06F8B8CB" w14:textId="77777777" w:rsidR="004F7849" w:rsidRDefault="004F7849" w:rsidP="004F7849">
      <w:pPr>
        <w:rPr>
          <w:u w:val="single"/>
          <w:lang w:eastAsia="bg-BG"/>
        </w:rPr>
      </w:pPr>
    </w:p>
    <w:p w14:paraId="57BCB37B" w14:textId="6B1B076C" w:rsidR="004F7849" w:rsidRPr="004F7849" w:rsidRDefault="004F7849" w:rsidP="004F7849">
      <w:pPr>
        <w:rPr>
          <w:sz w:val="24"/>
          <w:szCs w:val="24"/>
        </w:rPr>
      </w:pPr>
      <w:proofErr w:type="spellStart"/>
      <w:r w:rsidRPr="004F7849">
        <w:rPr>
          <w:u w:val="single"/>
          <w:lang w:eastAsia="bg-BG"/>
        </w:rPr>
        <w:t>Невролептичен</w:t>
      </w:r>
      <w:proofErr w:type="spellEnd"/>
      <w:r w:rsidRPr="004F7849">
        <w:rPr>
          <w:u w:val="single"/>
          <w:lang w:eastAsia="bg-BG"/>
        </w:rPr>
        <w:t xml:space="preserve"> малигнен синдром</w:t>
      </w:r>
    </w:p>
    <w:p w14:paraId="7D3E60AE" w14:textId="77777777" w:rsidR="004F7849" w:rsidRPr="004F7849" w:rsidRDefault="004F7849" w:rsidP="004F7849">
      <w:pPr>
        <w:rPr>
          <w:sz w:val="24"/>
          <w:szCs w:val="24"/>
        </w:rPr>
      </w:pPr>
      <w:proofErr w:type="spellStart"/>
      <w:r w:rsidRPr="004F7849">
        <w:rPr>
          <w:lang w:eastAsia="bg-BG"/>
        </w:rPr>
        <w:t>Халоперидол</w:t>
      </w:r>
      <w:proofErr w:type="spellEnd"/>
      <w:r w:rsidRPr="004F7849">
        <w:rPr>
          <w:lang w:eastAsia="bg-BG"/>
        </w:rPr>
        <w:t xml:space="preserve"> е свързан с </w:t>
      </w:r>
      <w:proofErr w:type="spellStart"/>
      <w:r w:rsidRPr="004F7849">
        <w:rPr>
          <w:lang w:eastAsia="bg-BG"/>
        </w:rPr>
        <w:t>невролептичен</w:t>
      </w:r>
      <w:proofErr w:type="spellEnd"/>
      <w:r w:rsidRPr="004F7849">
        <w:rPr>
          <w:lang w:eastAsia="bg-BG"/>
        </w:rPr>
        <w:t xml:space="preserve"> малигнен синдром: рядък </w:t>
      </w:r>
      <w:proofErr w:type="spellStart"/>
      <w:r w:rsidRPr="004F7849">
        <w:rPr>
          <w:lang w:eastAsia="bg-BG"/>
        </w:rPr>
        <w:t>идиосинкратичен</w:t>
      </w:r>
      <w:proofErr w:type="spellEnd"/>
      <w:r w:rsidRPr="004F7849">
        <w:rPr>
          <w:lang w:eastAsia="bg-BG"/>
        </w:rPr>
        <w:t xml:space="preserve"> отговор, характеризиращ се с </w:t>
      </w:r>
      <w:proofErr w:type="spellStart"/>
      <w:r w:rsidRPr="004F7849">
        <w:rPr>
          <w:lang w:eastAsia="bg-BG"/>
        </w:rPr>
        <w:t>хипертермия</w:t>
      </w:r>
      <w:proofErr w:type="spellEnd"/>
      <w:r w:rsidRPr="004F7849">
        <w:rPr>
          <w:lang w:eastAsia="bg-BG"/>
        </w:rPr>
        <w:t xml:space="preserve">, генерализирана мускулна </w:t>
      </w:r>
      <w:proofErr w:type="spellStart"/>
      <w:r w:rsidRPr="004F7849">
        <w:rPr>
          <w:lang w:eastAsia="bg-BG"/>
        </w:rPr>
        <w:t>ригидност</w:t>
      </w:r>
      <w:proofErr w:type="spellEnd"/>
      <w:r w:rsidRPr="004F7849">
        <w:rPr>
          <w:lang w:eastAsia="bg-BG"/>
        </w:rPr>
        <w:t xml:space="preserve">, автономна нестабилност, променено съзнание и повишени нива на серумна </w:t>
      </w:r>
      <w:proofErr w:type="spellStart"/>
      <w:r w:rsidRPr="004F7849">
        <w:rPr>
          <w:lang w:eastAsia="bg-BG"/>
        </w:rPr>
        <w:t>креатин</w:t>
      </w:r>
      <w:proofErr w:type="spellEnd"/>
      <w:r w:rsidRPr="004F7849">
        <w:rPr>
          <w:lang w:eastAsia="bg-BG"/>
        </w:rPr>
        <w:t xml:space="preserve"> </w:t>
      </w:r>
      <w:proofErr w:type="spellStart"/>
      <w:r w:rsidRPr="004F7849">
        <w:rPr>
          <w:lang w:eastAsia="bg-BG"/>
        </w:rPr>
        <w:t>фосфокиназа</w:t>
      </w:r>
      <w:proofErr w:type="spellEnd"/>
      <w:r w:rsidRPr="004F7849">
        <w:rPr>
          <w:lang w:eastAsia="bg-BG"/>
        </w:rPr>
        <w:t xml:space="preserve">. </w:t>
      </w:r>
      <w:proofErr w:type="spellStart"/>
      <w:r w:rsidRPr="004F7849">
        <w:rPr>
          <w:lang w:eastAsia="bg-BG"/>
        </w:rPr>
        <w:t>Хипертермията</w:t>
      </w:r>
      <w:proofErr w:type="spellEnd"/>
      <w:r w:rsidRPr="004F7849">
        <w:rPr>
          <w:lang w:eastAsia="bg-BG"/>
        </w:rPr>
        <w:t xml:space="preserve"> често е ранен признак за този синдром. Антипсихотичното лечение трябва да се спре незабавно и да се започне подходяща поддържащи терапия и внимателно проследяване.</w:t>
      </w:r>
    </w:p>
    <w:p w14:paraId="0102FFC6" w14:textId="77777777" w:rsidR="004F7849" w:rsidRDefault="004F7849" w:rsidP="004F7849">
      <w:pPr>
        <w:rPr>
          <w:u w:val="single"/>
          <w:lang w:eastAsia="bg-BG"/>
        </w:rPr>
      </w:pPr>
    </w:p>
    <w:p w14:paraId="5D0FDBBC" w14:textId="40546712" w:rsidR="004F7849" w:rsidRPr="004F7849" w:rsidRDefault="004F7849" w:rsidP="004F7849">
      <w:pPr>
        <w:rPr>
          <w:sz w:val="24"/>
          <w:szCs w:val="24"/>
        </w:rPr>
      </w:pPr>
      <w:proofErr w:type="spellStart"/>
      <w:r w:rsidRPr="004F7849">
        <w:rPr>
          <w:u w:val="single"/>
          <w:lang w:eastAsia="bg-BG"/>
        </w:rPr>
        <w:t>Тардивна</w:t>
      </w:r>
      <w:proofErr w:type="spellEnd"/>
      <w:r w:rsidRPr="004F7849">
        <w:rPr>
          <w:u w:val="single"/>
          <w:lang w:eastAsia="bg-BG"/>
        </w:rPr>
        <w:t>(късна) дискинезия</w:t>
      </w:r>
    </w:p>
    <w:p w14:paraId="446DA41F" w14:textId="77777777" w:rsidR="004F7849" w:rsidRPr="004F7849" w:rsidRDefault="004F7849" w:rsidP="004F7849">
      <w:pPr>
        <w:rPr>
          <w:sz w:val="24"/>
          <w:szCs w:val="24"/>
        </w:rPr>
      </w:pPr>
      <w:r w:rsidRPr="004F7849">
        <w:rPr>
          <w:lang w:eastAsia="bg-BG"/>
        </w:rPr>
        <w:t xml:space="preserve">Късна дискинезия може да настъпи при някои пациенти на продължителна терапия или след преустановяване на лекарствения продукт. Синдромът се характеризира главно с ритмични неволеви движения на езика, лицето, устата или челюстта. Проявите може да са постоянни при някои пациенти. Синдромът може да се маскира при подновяване на лечението, при повишаване на дозировката или когато се преминава към различен </w:t>
      </w:r>
      <w:proofErr w:type="spellStart"/>
      <w:r w:rsidRPr="004F7849">
        <w:rPr>
          <w:lang w:eastAsia="bg-BG"/>
        </w:rPr>
        <w:t>антипсихотик</w:t>
      </w:r>
      <w:proofErr w:type="spellEnd"/>
      <w:r w:rsidRPr="004F7849">
        <w:rPr>
          <w:lang w:eastAsia="bg-BG"/>
        </w:rPr>
        <w:t xml:space="preserve">. Ако се появят признаци и симптоми на късна дискинезия, трябва да се помисли за преустановяване на всички </w:t>
      </w:r>
      <w:proofErr w:type="spellStart"/>
      <w:r w:rsidRPr="004F7849">
        <w:rPr>
          <w:lang w:eastAsia="bg-BG"/>
        </w:rPr>
        <w:t>антипсихотици</w:t>
      </w:r>
      <w:proofErr w:type="spellEnd"/>
      <w:r w:rsidRPr="004F7849">
        <w:rPr>
          <w:lang w:eastAsia="bg-BG"/>
        </w:rPr>
        <w:t xml:space="preserve">, включително </w:t>
      </w:r>
      <w:proofErr w:type="spellStart"/>
      <w:r w:rsidRPr="004F7849">
        <w:rPr>
          <w:lang w:eastAsia="bg-BG"/>
        </w:rPr>
        <w:t>Халоперидол</w:t>
      </w:r>
      <w:proofErr w:type="spellEnd"/>
      <w:r w:rsidRPr="004F7849">
        <w:rPr>
          <w:lang w:eastAsia="bg-BG"/>
        </w:rPr>
        <w:t>-Рихтер.</w:t>
      </w:r>
    </w:p>
    <w:p w14:paraId="6C4C25D6" w14:textId="77777777" w:rsidR="004F7849" w:rsidRDefault="004F7849" w:rsidP="004F7849">
      <w:pPr>
        <w:rPr>
          <w:u w:val="single"/>
          <w:lang w:eastAsia="bg-BG"/>
        </w:rPr>
      </w:pPr>
    </w:p>
    <w:p w14:paraId="3A299C9E" w14:textId="12FC415A" w:rsidR="004F7849" w:rsidRDefault="004F7849" w:rsidP="004F7849">
      <w:pPr>
        <w:rPr>
          <w:u w:val="single"/>
          <w:lang w:eastAsia="bg-BG"/>
        </w:rPr>
      </w:pPr>
      <w:proofErr w:type="spellStart"/>
      <w:r w:rsidRPr="004F7849">
        <w:rPr>
          <w:u w:val="single"/>
          <w:lang w:eastAsia="bg-BG"/>
        </w:rPr>
        <w:lastRenderedPageBreak/>
        <w:t>Екстрапирамидни</w:t>
      </w:r>
      <w:proofErr w:type="spellEnd"/>
      <w:r w:rsidRPr="004F7849">
        <w:rPr>
          <w:u w:val="single"/>
          <w:lang w:eastAsia="bg-BG"/>
        </w:rPr>
        <w:t xml:space="preserve"> симптоми</w:t>
      </w:r>
    </w:p>
    <w:p w14:paraId="0BFBB829" w14:textId="77777777" w:rsidR="004F7849" w:rsidRPr="004F7849" w:rsidRDefault="004F7849" w:rsidP="004F7849">
      <w:pPr>
        <w:rPr>
          <w:sz w:val="24"/>
          <w:szCs w:val="24"/>
        </w:rPr>
      </w:pPr>
      <w:r w:rsidRPr="004F7849">
        <w:rPr>
          <w:lang w:eastAsia="bg-BG"/>
        </w:rPr>
        <w:t xml:space="preserve">Може да се появят </w:t>
      </w:r>
      <w:proofErr w:type="spellStart"/>
      <w:r w:rsidRPr="004F7849">
        <w:rPr>
          <w:lang w:eastAsia="bg-BG"/>
        </w:rPr>
        <w:t>екстрапирамидни</w:t>
      </w:r>
      <w:proofErr w:type="spellEnd"/>
      <w:r w:rsidRPr="004F7849">
        <w:rPr>
          <w:lang w:eastAsia="bg-BG"/>
        </w:rPr>
        <w:t xml:space="preserve"> симптоми (напр. тремор, </w:t>
      </w:r>
      <w:proofErr w:type="spellStart"/>
      <w:r w:rsidRPr="004F7849">
        <w:rPr>
          <w:lang w:eastAsia="bg-BG"/>
        </w:rPr>
        <w:t>ригидност</w:t>
      </w:r>
      <w:proofErr w:type="spellEnd"/>
      <w:r w:rsidRPr="004F7849">
        <w:rPr>
          <w:lang w:eastAsia="bg-BG"/>
        </w:rPr>
        <w:t xml:space="preserve">, </w:t>
      </w:r>
      <w:proofErr w:type="spellStart"/>
      <w:r w:rsidRPr="004F7849">
        <w:rPr>
          <w:lang w:eastAsia="bg-BG"/>
        </w:rPr>
        <w:t>хиперсаливация</w:t>
      </w:r>
      <w:proofErr w:type="spellEnd"/>
      <w:r w:rsidRPr="004F7849">
        <w:rPr>
          <w:lang w:eastAsia="bg-BG"/>
        </w:rPr>
        <w:t xml:space="preserve">, </w:t>
      </w:r>
      <w:proofErr w:type="spellStart"/>
      <w:r w:rsidRPr="004F7849">
        <w:rPr>
          <w:lang w:eastAsia="bg-BG"/>
        </w:rPr>
        <w:t>брадикинезия</w:t>
      </w:r>
      <w:proofErr w:type="spellEnd"/>
      <w:r w:rsidRPr="004F7849">
        <w:rPr>
          <w:lang w:eastAsia="bg-BG"/>
        </w:rPr>
        <w:t xml:space="preserve">, </w:t>
      </w:r>
      <w:proofErr w:type="spellStart"/>
      <w:r w:rsidRPr="004F7849">
        <w:rPr>
          <w:lang w:eastAsia="bg-BG"/>
        </w:rPr>
        <w:t>акатизия</w:t>
      </w:r>
      <w:proofErr w:type="spellEnd"/>
      <w:r w:rsidRPr="004F7849">
        <w:rPr>
          <w:lang w:eastAsia="bg-BG"/>
        </w:rPr>
        <w:t xml:space="preserve">, остра </w:t>
      </w:r>
      <w:proofErr w:type="spellStart"/>
      <w:r w:rsidRPr="004F7849">
        <w:rPr>
          <w:lang w:eastAsia="bg-BG"/>
        </w:rPr>
        <w:t>дистония</w:t>
      </w:r>
      <w:proofErr w:type="spellEnd"/>
      <w:r w:rsidRPr="004F7849">
        <w:rPr>
          <w:lang w:eastAsia="bg-BG"/>
        </w:rPr>
        <w:t xml:space="preserve">). Употребата на </w:t>
      </w:r>
      <w:proofErr w:type="spellStart"/>
      <w:r w:rsidRPr="004F7849">
        <w:rPr>
          <w:lang w:eastAsia="bg-BG"/>
        </w:rPr>
        <w:t>халоперидол</w:t>
      </w:r>
      <w:proofErr w:type="spellEnd"/>
      <w:r w:rsidRPr="004F7849">
        <w:rPr>
          <w:lang w:eastAsia="bg-BG"/>
        </w:rPr>
        <w:t xml:space="preserve"> е свързана с развитие на </w:t>
      </w:r>
      <w:proofErr w:type="spellStart"/>
      <w:r w:rsidRPr="004F7849">
        <w:rPr>
          <w:lang w:eastAsia="bg-BG"/>
        </w:rPr>
        <w:t>акатизия</w:t>
      </w:r>
      <w:proofErr w:type="spellEnd"/>
      <w:r w:rsidRPr="004F7849">
        <w:rPr>
          <w:lang w:eastAsia="bg-BG"/>
        </w:rPr>
        <w:t>, характеризираща се със субективно неприятно или стресиращо безпокойство и необходимост от движение, често съпътствано от невъзможност да се седи или стои на едно място. Най-вероятно е това да настъпи в рамките на първите няколко седмици от лечението. При пациенти, които развият тези симптоми, повишаването на дозата може да бъде вредно,</w:t>
      </w:r>
    </w:p>
    <w:p w14:paraId="5771479A" w14:textId="77777777" w:rsidR="004F7849" w:rsidRDefault="004F7849" w:rsidP="004F7849">
      <w:pPr>
        <w:rPr>
          <w:lang w:eastAsia="bg-BG"/>
        </w:rPr>
      </w:pPr>
    </w:p>
    <w:p w14:paraId="52D4BC0F" w14:textId="6E15DAA1" w:rsidR="004F7849" w:rsidRPr="004F7849" w:rsidRDefault="004F7849" w:rsidP="004F7849">
      <w:pPr>
        <w:rPr>
          <w:sz w:val="24"/>
          <w:szCs w:val="24"/>
        </w:rPr>
      </w:pPr>
      <w:r w:rsidRPr="004F7849">
        <w:rPr>
          <w:lang w:eastAsia="bg-BG"/>
        </w:rPr>
        <w:t xml:space="preserve">Остра </w:t>
      </w:r>
      <w:proofErr w:type="spellStart"/>
      <w:r w:rsidRPr="004F7849">
        <w:rPr>
          <w:lang w:eastAsia="bg-BG"/>
        </w:rPr>
        <w:t>дистония</w:t>
      </w:r>
      <w:proofErr w:type="spellEnd"/>
      <w:r w:rsidRPr="004F7849">
        <w:rPr>
          <w:lang w:eastAsia="bg-BG"/>
        </w:rPr>
        <w:t xml:space="preserve"> може да настъпи през първите няколко дни на лечението с </w:t>
      </w:r>
      <w:proofErr w:type="spellStart"/>
      <w:r w:rsidRPr="004F7849">
        <w:rPr>
          <w:lang w:eastAsia="bg-BG"/>
        </w:rPr>
        <w:t>халоперидол</w:t>
      </w:r>
      <w:proofErr w:type="spellEnd"/>
      <w:r w:rsidRPr="004F7849">
        <w:rPr>
          <w:lang w:eastAsia="bg-BG"/>
        </w:rPr>
        <w:t xml:space="preserve">, но се съобщава и за по-късно начало, както и за начало след повишения на дозата. </w:t>
      </w:r>
      <w:proofErr w:type="spellStart"/>
      <w:r w:rsidRPr="004F7849">
        <w:rPr>
          <w:lang w:eastAsia="bg-BG"/>
        </w:rPr>
        <w:t>Дистоничните</w:t>
      </w:r>
      <w:proofErr w:type="spellEnd"/>
      <w:r w:rsidRPr="004F7849">
        <w:rPr>
          <w:lang w:eastAsia="bg-BG"/>
        </w:rPr>
        <w:t xml:space="preserve"> симптоми може да включват, но не се ограничават до </w:t>
      </w:r>
      <w:proofErr w:type="spellStart"/>
      <w:r w:rsidRPr="004F7849">
        <w:rPr>
          <w:lang w:eastAsia="bg-BG"/>
        </w:rPr>
        <w:t>тортиколис</w:t>
      </w:r>
      <w:proofErr w:type="spellEnd"/>
      <w:r w:rsidRPr="004F7849">
        <w:rPr>
          <w:lang w:eastAsia="bg-BG"/>
        </w:rPr>
        <w:t xml:space="preserve">, гримаси на лицето, </w:t>
      </w:r>
      <w:proofErr w:type="spellStart"/>
      <w:r w:rsidRPr="004F7849">
        <w:rPr>
          <w:lang w:eastAsia="bg-BG"/>
        </w:rPr>
        <w:t>тризмус</w:t>
      </w:r>
      <w:proofErr w:type="spellEnd"/>
      <w:r w:rsidRPr="004F7849">
        <w:rPr>
          <w:lang w:eastAsia="bg-BG"/>
        </w:rPr>
        <w:t xml:space="preserve">, </w:t>
      </w:r>
      <w:proofErr w:type="spellStart"/>
      <w:r w:rsidRPr="004F7849">
        <w:rPr>
          <w:lang w:eastAsia="bg-BG"/>
        </w:rPr>
        <w:t>протрузия</w:t>
      </w:r>
      <w:proofErr w:type="spellEnd"/>
      <w:r w:rsidRPr="004F7849">
        <w:rPr>
          <w:lang w:eastAsia="bg-BG"/>
        </w:rPr>
        <w:t xml:space="preserve"> на езика и </w:t>
      </w:r>
      <w:proofErr w:type="spellStart"/>
      <w:r w:rsidRPr="004F7849">
        <w:rPr>
          <w:lang w:eastAsia="bg-BG"/>
        </w:rPr>
        <w:t>абнормни</w:t>
      </w:r>
      <w:proofErr w:type="spellEnd"/>
      <w:r w:rsidRPr="004F7849">
        <w:rPr>
          <w:lang w:eastAsia="bg-BG"/>
        </w:rPr>
        <w:t xml:space="preserve"> очни движения, включително </w:t>
      </w:r>
      <w:proofErr w:type="spellStart"/>
      <w:r w:rsidRPr="004F7849">
        <w:rPr>
          <w:lang w:eastAsia="bg-BG"/>
        </w:rPr>
        <w:t>окулогирна</w:t>
      </w:r>
      <w:proofErr w:type="spellEnd"/>
      <w:r w:rsidRPr="004F7849">
        <w:rPr>
          <w:lang w:eastAsia="bg-BG"/>
        </w:rPr>
        <w:t xml:space="preserve"> криза. Мъжкият пол и по-младите възрастови групи са изложени на по-висок риск от получаване на такива реакции. Острата </w:t>
      </w:r>
      <w:proofErr w:type="spellStart"/>
      <w:r w:rsidRPr="004F7849">
        <w:rPr>
          <w:lang w:eastAsia="bg-BG"/>
        </w:rPr>
        <w:t>дистония</w:t>
      </w:r>
      <w:proofErr w:type="spellEnd"/>
      <w:r w:rsidRPr="004F7849">
        <w:rPr>
          <w:lang w:eastAsia="bg-BG"/>
        </w:rPr>
        <w:t xml:space="preserve"> може често да наложи спиране на лекарствения продукт.</w:t>
      </w:r>
    </w:p>
    <w:p w14:paraId="65544CDE" w14:textId="77777777" w:rsidR="004F7849" w:rsidRDefault="004F7849" w:rsidP="004F7849">
      <w:pPr>
        <w:rPr>
          <w:lang w:eastAsia="bg-BG"/>
        </w:rPr>
      </w:pPr>
    </w:p>
    <w:p w14:paraId="463F6A02" w14:textId="08F976EE" w:rsidR="004F7849" w:rsidRPr="004F7849" w:rsidRDefault="004F7849" w:rsidP="004F7849">
      <w:pPr>
        <w:rPr>
          <w:sz w:val="24"/>
          <w:szCs w:val="24"/>
        </w:rPr>
      </w:pPr>
      <w:r w:rsidRPr="004F7849">
        <w:rPr>
          <w:lang w:eastAsia="bg-BG"/>
        </w:rPr>
        <w:t xml:space="preserve">За лечение на </w:t>
      </w:r>
      <w:proofErr w:type="spellStart"/>
      <w:r w:rsidRPr="004F7849">
        <w:rPr>
          <w:lang w:eastAsia="bg-BG"/>
        </w:rPr>
        <w:t>екстрапирамидните</w:t>
      </w:r>
      <w:proofErr w:type="spellEnd"/>
      <w:r w:rsidRPr="004F7849">
        <w:rPr>
          <w:lang w:eastAsia="bg-BG"/>
        </w:rPr>
        <w:t xml:space="preserve"> симптоми може да се предпишат при нужда антипаркинсонови лекарствени продукти от </w:t>
      </w:r>
      <w:proofErr w:type="spellStart"/>
      <w:r w:rsidRPr="004F7849">
        <w:rPr>
          <w:lang w:eastAsia="bg-BG"/>
        </w:rPr>
        <w:t>антихолинергичен</w:t>
      </w:r>
      <w:proofErr w:type="spellEnd"/>
      <w:r w:rsidRPr="004F7849">
        <w:rPr>
          <w:lang w:eastAsia="bg-BG"/>
        </w:rPr>
        <w:t xml:space="preserve"> тип, но се препоръчва те да не се предписват рутинно като предпазна мярка. Ако се необходимо едновременно лечение с антипаркинсонов лекарствен продукт, може да се наложи то да се продължи след спирането на </w:t>
      </w:r>
      <w:proofErr w:type="spellStart"/>
      <w:r w:rsidRPr="004F7849">
        <w:rPr>
          <w:lang w:eastAsia="bg-BG"/>
        </w:rPr>
        <w:t>халоперидол</w:t>
      </w:r>
      <w:proofErr w:type="spellEnd"/>
      <w:r w:rsidRPr="004F7849">
        <w:rPr>
          <w:lang w:eastAsia="bg-BG"/>
        </w:rPr>
        <w:t xml:space="preserve">, ако неговата екскреция е по-бърза от този на </w:t>
      </w:r>
      <w:proofErr w:type="spellStart"/>
      <w:r w:rsidRPr="004F7849">
        <w:rPr>
          <w:lang w:eastAsia="bg-BG"/>
        </w:rPr>
        <w:t>халоперидол</w:t>
      </w:r>
      <w:proofErr w:type="spellEnd"/>
      <w:r w:rsidRPr="004F7849">
        <w:rPr>
          <w:lang w:eastAsia="bg-BG"/>
        </w:rPr>
        <w:t xml:space="preserve">, за да се избегне развитието или влошаването на </w:t>
      </w:r>
      <w:proofErr w:type="spellStart"/>
      <w:r w:rsidRPr="004F7849">
        <w:rPr>
          <w:lang w:eastAsia="bg-BG"/>
        </w:rPr>
        <w:t>екстрапирамидни</w:t>
      </w:r>
      <w:proofErr w:type="spellEnd"/>
      <w:r w:rsidRPr="004F7849">
        <w:rPr>
          <w:lang w:eastAsia="bg-BG"/>
        </w:rPr>
        <w:t xml:space="preserve"> симптоми. Когато </w:t>
      </w:r>
      <w:proofErr w:type="spellStart"/>
      <w:r w:rsidRPr="004F7849">
        <w:rPr>
          <w:lang w:eastAsia="bg-BG"/>
        </w:rPr>
        <w:t>антихолинергични</w:t>
      </w:r>
      <w:proofErr w:type="spellEnd"/>
      <w:r w:rsidRPr="004F7849">
        <w:rPr>
          <w:lang w:eastAsia="bg-BG"/>
        </w:rPr>
        <w:t xml:space="preserve"> </w:t>
      </w:r>
      <w:proofErr w:type="spellStart"/>
      <w:r w:rsidRPr="004F7849">
        <w:rPr>
          <w:lang w:eastAsia="bg-BG"/>
        </w:rPr>
        <w:t>лекарстви</w:t>
      </w:r>
      <w:proofErr w:type="spellEnd"/>
      <w:r w:rsidRPr="004F7849">
        <w:rPr>
          <w:lang w:eastAsia="bg-BG"/>
        </w:rPr>
        <w:t xml:space="preserve"> продукти, включително антипаркинсонови лекарствени продукти, се прилагат едновременно с </w:t>
      </w:r>
      <w:proofErr w:type="spellStart"/>
      <w:r w:rsidRPr="004F7849">
        <w:rPr>
          <w:lang w:eastAsia="bg-BG"/>
        </w:rPr>
        <w:t>халоперидол</w:t>
      </w:r>
      <w:proofErr w:type="spellEnd"/>
      <w:r w:rsidRPr="004F7849">
        <w:rPr>
          <w:lang w:eastAsia="bg-BG"/>
        </w:rPr>
        <w:t>, трябва да се има предвид възможното повишаване на вътреочното налягане.</w:t>
      </w:r>
    </w:p>
    <w:p w14:paraId="2D469CC8" w14:textId="77777777" w:rsidR="004F7849" w:rsidRDefault="004F7849" w:rsidP="004F7849">
      <w:pPr>
        <w:rPr>
          <w:u w:val="single"/>
          <w:lang w:eastAsia="bg-BG"/>
        </w:rPr>
      </w:pPr>
    </w:p>
    <w:p w14:paraId="09D2B169" w14:textId="60B2251C" w:rsidR="004F7849" w:rsidRPr="004F7849" w:rsidRDefault="004F7849" w:rsidP="004F7849">
      <w:pPr>
        <w:rPr>
          <w:sz w:val="24"/>
          <w:szCs w:val="24"/>
        </w:rPr>
      </w:pPr>
      <w:r w:rsidRPr="004F7849">
        <w:rPr>
          <w:u w:val="single"/>
          <w:lang w:eastAsia="bg-BG"/>
        </w:rPr>
        <w:t>Припадъци/конвулсии</w:t>
      </w:r>
    </w:p>
    <w:p w14:paraId="72ECC516" w14:textId="77777777" w:rsidR="004F7849" w:rsidRPr="004F7849" w:rsidRDefault="004F7849" w:rsidP="004F7849">
      <w:pPr>
        <w:rPr>
          <w:sz w:val="24"/>
          <w:szCs w:val="24"/>
        </w:rPr>
      </w:pPr>
      <w:r w:rsidRPr="004F7849">
        <w:rPr>
          <w:lang w:eastAsia="bg-BG"/>
        </w:rPr>
        <w:t xml:space="preserve">Съобщава се, че </w:t>
      </w:r>
      <w:proofErr w:type="spellStart"/>
      <w:r w:rsidRPr="004F7849">
        <w:rPr>
          <w:lang w:eastAsia="bg-BG"/>
        </w:rPr>
        <w:t>халоперидол</w:t>
      </w:r>
      <w:proofErr w:type="spellEnd"/>
      <w:r w:rsidRPr="004F7849">
        <w:rPr>
          <w:lang w:eastAsia="bg-BG"/>
        </w:rPr>
        <w:t xml:space="preserve"> може да отключи припадъци. Препоръчва се повишено внимание при пациенти, страдащи от епилепсия, и при състояния, предразполагащи към припадъци (напр. алкохолно отнемане и мозъчно увреждане).</w:t>
      </w:r>
    </w:p>
    <w:p w14:paraId="72F94AA9" w14:textId="77777777" w:rsidR="004F7849" w:rsidRDefault="004F7849" w:rsidP="004F7849">
      <w:pPr>
        <w:rPr>
          <w:u w:val="single"/>
          <w:lang w:eastAsia="bg-BG"/>
        </w:rPr>
      </w:pPr>
    </w:p>
    <w:p w14:paraId="0051C2D3" w14:textId="15F1A951" w:rsidR="004F7849" w:rsidRPr="004F7849" w:rsidRDefault="004F7849" w:rsidP="004F7849">
      <w:pPr>
        <w:rPr>
          <w:sz w:val="24"/>
          <w:szCs w:val="24"/>
        </w:rPr>
      </w:pPr>
      <w:proofErr w:type="spellStart"/>
      <w:r w:rsidRPr="004F7849">
        <w:rPr>
          <w:u w:val="single"/>
          <w:lang w:eastAsia="bg-BG"/>
        </w:rPr>
        <w:t>Хепатобилиарни</w:t>
      </w:r>
      <w:proofErr w:type="spellEnd"/>
      <w:r w:rsidRPr="004F7849">
        <w:rPr>
          <w:u w:val="single"/>
          <w:lang w:eastAsia="bg-BG"/>
        </w:rPr>
        <w:t xml:space="preserve"> проблеми</w:t>
      </w:r>
    </w:p>
    <w:p w14:paraId="5BABC66F" w14:textId="77777777" w:rsidR="004F7849" w:rsidRPr="004F7849" w:rsidRDefault="004F7849" w:rsidP="004F7849">
      <w:pPr>
        <w:rPr>
          <w:sz w:val="24"/>
          <w:szCs w:val="24"/>
        </w:rPr>
      </w:pPr>
      <w:r w:rsidRPr="004F7849">
        <w:rPr>
          <w:lang w:eastAsia="bg-BG"/>
        </w:rPr>
        <w:t xml:space="preserve">Тъй като </w:t>
      </w:r>
      <w:proofErr w:type="spellStart"/>
      <w:r w:rsidRPr="004F7849">
        <w:rPr>
          <w:lang w:eastAsia="bg-BG"/>
        </w:rPr>
        <w:t>халоперидол</w:t>
      </w:r>
      <w:proofErr w:type="spellEnd"/>
      <w:r w:rsidRPr="004F7849">
        <w:rPr>
          <w:lang w:eastAsia="bg-BG"/>
        </w:rPr>
        <w:t xml:space="preserve"> се </w:t>
      </w:r>
      <w:proofErr w:type="spellStart"/>
      <w:r w:rsidRPr="004F7849">
        <w:rPr>
          <w:lang w:eastAsia="bg-BG"/>
        </w:rPr>
        <w:t>метаболизира</w:t>
      </w:r>
      <w:proofErr w:type="spellEnd"/>
      <w:r w:rsidRPr="004F7849">
        <w:rPr>
          <w:lang w:eastAsia="bg-BG"/>
        </w:rPr>
        <w:t xml:space="preserve"> в черния дроб, препоръчва се коригиране на дозировката и предпазливост при пациенти с чернодробно увреждане, (вж. точки 4.2 и 5.2). Съобщават се отделни случаи на отклонения в чернодробната функция или хепатит, най- често </w:t>
      </w:r>
      <w:proofErr w:type="spellStart"/>
      <w:r w:rsidRPr="004F7849">
        <w:rPr>
          <w:lang w:eastAsia="bg-BG"/>
        </w:rPr>
        <w:t>холестатичен</w:t>
      </w:r>
      <w:proofErr w:type="spellEnd"/>
      <w:r w:rsidRPr="004F7849">
        <w:rPr>
          <w:lang w:eastAsia="bg-BG"/>
        </w:rPr>
        <w:t xml:space="preserve"> (вж. точка 4.8).</w:t>
      </w:r>
    </w:p>
    <w:p w14:paraId="7F9E7598" w14:textId="77777777" w:rsidR="004F7849" w:rsidRDefault="004F7849" w:rsidP="004F7849">
      <w:pPr>
        <w:rPr>
          <w:u w:val="single"/>
          <w:lang w:eastAsia="bg-BG"/>
        </w:rPr>
      </w:pPr>
    </w:p>
    <w:p w14:paraId="67E8697D" w14:textId="0066B79B" w:rsidR="004F7849" w:rsidRPr="004F7849" w:rsidRDefault="004F7849" w:rsidP="004F7849">
      <w:pPr>
        <w:rPr>
          <w:sz w:val="24"/>
          <w:szCs w:val="24"/>
        </w:rPr>
      </w:pPr>
      <w:r w:rsidRPr="004F7849">
        <w:rPr>
          <w:u w:val="single"/>
          <w:lang w:eastAsia="bg-BG"/>
        </w:rPr>
        <w:t>Проблеми от страна на ендокринната система</w:t>
      </w:r>
    </w:p>
    <w:p w14:paraId="5A23CE7B" w14:textId="77777777" w:rsidR="004F7849" w:rsidRPr="004F7849" w:rsidRDefault="004F7849" w:rsidP="004F7849">
      <w:pPr>
        <w:rPr>
          <w:sz w:val="24"/>
          <w:szCs w:val="24"/>
        </w:rPr>
      </w:pPr>
      <w:proofErr w:type="spellStart"/>
      <w:r w:rsidRPr="004F7849">
        <w:rPr>
          <w:lang w:eastAsia="bg-BG"/>
        </w:rPr>
        <w:t>Тироксинът</w:t>
      </w:r>
      <w:proofErr w:type="spellEnd"/>
      <w:r w:rsidRPr="004F7849">
        <w:rPr>
          <w:lang w:eastAsia="bg-BG"/>
        </w:rPr>
        <w:t xml:space="preserve"> може да способства за токсичността на </w:t>
      </w:r>
      <w:proofErr w:type="spellStart"/>
      <w:r w:rsidRPr="004F7849">
        <w:rPr>
          <w:lang w:eastAsia="bg-BG"/>
        </w:rPr>
        <w:t>халоперидол</w:t>
      </w:r>
      <w:proofErr w:type="spellEnd"/>
      <w:r w:rsidRPr="004F7849">
        <w:rPr>
          <w:lang w:eastAsia="bg-BG"/>
        </w:rPr>
        <w:t xml:space="preserve">. Антипсихотичната терапия при пациенти с </w:t>
      </w:r>
      <w:proofErr w:type="spellStart"/>
      <w:r w:rsidRPr="004F7849">
        <w:rPr>
          <w:lang w:eastAsia="bg-BG"/>
        </w:rPr>
        <w:t>хипертиреоидизъм</w:t>
      </w:r>
      <w:proofErr w:type="spellEnd"/>
      <w:r w:rsidRPr="004F7849">
        <w:rPr>
          <w:lang w:eastAsia="bg-BG"/>
        </w:rPr>
        <w:t xml:space="preserve"> трябва да се използва предпазливо и трябва винаги да се придружава от терапия за достигане на </w:t>
      </w:r>
      <w:proofErr w:type="spellStart"/>
      <w:r w:rsidRPr="004F7849">
        <w:rPr>
          <w:lang w:eastAsia="bg-BG"/>
        </w:rPr>
        <w:t>еутироидно</w:t>
      </w:r>
      <w:proofErr w:type="spellEnd"/>
      <w:r w:rsidRPr="004F7849">
        <w:rPr>
          <w:lang w:eastAsia="bg-BG"/>
        </w:rPr>
        <w:t xml:space="preserve"> състояние.</w:t>
      </w:r>
    </w:p>
    <w:p w14:paraId="40910175" w14:textId="77777777" w:rsidR="004F7849" w:rsidRDefault="004F7849" w:rsidP="004F7849">
      <w:pPr>
        <w:rPr>
          <w:lang w:eastAsia="bg-BG"/>
        </w:rPr>
      </w:pPr>
    </w:p>
    <w:p w14:paraId="085FE7C7" w14:textId="77777777" w:rsidR="004F7849" w:rsidRPr="004F7849" w:rsidRDefault="004F7849" w:rsidP="004F7849">
      <w:pPr>
        <w:rPr>
          <w:sz w:val="24"/>
          <w:szCs w:val="24"/>
        </w:rPr>
      </w:pPr>
      <w:r w:rsidRPr="004F7849">
        <w:rPr>
          <w:lang w:eastAsia="bg-BG"/>
        </w:rPr>
        <w:t xml:space="preserve">Хормоналните ефекти на </w:t>
      </w:r>
      <w:proofErr w:type="spellStart"/>
      <w:r w:rsidRPr="004F7849">
        <w:rPr>
          <w:lang w:eastAsia="bg-BG"/>
        </w:rPr>
        <w:t>антипсихотиците</w:t>
      </w:r>
      <w:proofErr w:type="spellEnd"/>
      <w:r w:rsidRPr="004F7849">
        <w:rPr>
          <w:lang w:eastAsia="bg-BG"/>
        </w:rPr>
        <w:t xml:space="preserve"> включват </w:t>
      </w:r>
      <w:proofErr w:type="spellStart"/>
      <w:r w:rsidRPr="004F7849">
        <w:rPr>
          <w:lang w:eastAsia="bg-BG"/>
        </w:rPr>
        <w:t>хиперпролактинемия</w:t>
      </w:r>
      <w:proofErr w:type="spellEnd"/>
      <w:r w:rsidRPr="004F7849">
        <w:rPr>
          <w:lang w:eastAsia="bg-BG"/>
        </w:rPr>
        <w:t xml:space="preserve">, която може да предизвика </w:t>
      </w:r>
      <w:proofErr w:type="spellStart"/>
      <w:r w:rsidRPr="004F7849">
        <w:rPr>
          <w:lang w:eastAsia="bg-BG"/>
        </w:rPr>
        <w:t>галакторея</w:t>
      </w:r>
      <w:proofErr w:type="spellEnd"/>
      <w:r w:rsidRPr="004F7849">
        <w:rPr>
          <w:lang w:eastAsia="bg-BG"/>
        </w:rPr>
        <w:t xml:space="preserve">, </w:t>
      </w:r>
      <w:proofErr w:type="spellStart"/>
      <w:r w:rsidRPr="004F7849">
        <w:rPr>
          <w:lang w:eastAsia="bg-BG"/>
        </w:rPr>
        <w:t>гинекомастия</w:t>
      </w:r>
      <w:proofErr w:type="spellEnd"/>
      <w:r w:rsidRPr="004F7849">
        <w:rPr>
          <w:lang w:eastAsia="bg-BG"/>
        </w:rPr>
        <w:t xml:space="preserve"> и </w:t>
      </w:r>
      <w:proofErr w:type="spellStart"/>
      <w:r w:rsidRPr="004F7849">
        <w:rPr>
          <w:lang w:eastAsia="bg-BG"/>
        </w:rPr>
        <w:t>олигоменорея</w:t>
      </w:r>
      <w:proofErr w:type="spellEnd"/>
      <w:r w:rsidRPr="004F7849">
        <w:rPr>
          <w:lang w:eastAsia="bg-BG"/>
        </w:rPr>
        <w:t xml:space="preserve"> или </w:t>
      </w:r>
      <w:proofErr w:type="spellStart"/>
      <w:r w:rsidRPr="004F7849">
        <w:rPr>
          <w:lang w:eastAsia="bg-BG"/>
        </w:rPr>
        <w:t>аменорея</w:t>
      </w:r>
      <w:proofErr w:type="spellEnd"/>
      <w:r w:rsidRPr="004F7849">
        <w:rPr>
          <w:lang w:eastAsia="bg-BG"/>
        </w:rPr>
        <w:t xml:space="preserve"> (</w:t>
      </w:r>
      <w:proofErr w:type="spellStart"/>
      <w:r w:rsidRPr="004F7849">
        <w:rPr>
          <w:lang w:eastAsia="bg-BG"/>
        </w:rPr>
        <w:t>вж</w:t>
      </w:r>
      <w:proofErr w:type="spellEnd"/>
      <w:r w:rsidRPr="004F7849">
        <w:rPr>
          <w:lang w:eastAsia="bg-BG"/>
        </w:rPr>
        <w:t xml:space="preserve">, точка 4.8). Проучвания на </w:t>
      </w:r>
      <w:proofErr w:type="spellStart"/>
      <w:r w:rsidRPr="004F7849">
        <w:rPr>
          <w:lang w:eastAsia="bg-BG"/>
        </w:rPr>
        <w:t>тьканни</w:t>
      </w:r>
      <w:proofErr w:type="spellEnd"/>
      <w:r w:rsidRPr="004F7849">
        <w:rPr>
          <w:lang w:eastAsia="bg-BG"/>
        </w:rPr>
        <w:t xml:space="preserve"> култури показват, че клетъчният растеж при тумори на гърдата при човека може да се стимулира от </w:t>
      </w:r>
      <w:proofErr w:type="spellStart"/>
      <w:r w:rsidRPr="004F7849">
        <w:rPr>
          <w:lang w:eastAsia="bg-BG"/>
        </w:rPr>
        <w:t>пролактин</w:t>
      </w:r>
      <w:proofErr w:type="spellEnd"/>
      <w:r w:rsidRPr="004F7849">
        <w:rPr>
          <w:lang w:eastAsia="bg-BG"/>
        </w:rPr>
        <w:t xml:space="preserve">. Въпреки че ясна връзка между приложението на </w:t>
      </w:r>
      <w:proofErr w:type="spellStart"/>
      <w:r w:rsidRPr="004F7849">
        <w:rPr>
          <w:lang w:eastAsia="bg-BG"/>
        </w:rPr>
        <w:t>антипсихотици</w:t>
      </w:r>
      <w:proofErr w:type="spellEnd"/>
      <w:r w:rsidRPr="004F7849">
        <w:rPr>
          <w:lang w:eastAsia="bg-BG"/>
        </w:rPr>
        <w:t xml:space="preserve"> и туморите на гърдата при човека не е доказана в</w:t>
      </w:r>
      <w:r w:rsidRPr="004F7849">
        <w:rPr>
          <w:u w:val="single"/>
          <w:lang w:eastAsia="bg-BG"/>
        </w:rPr>
        <w:t xml:space="preserve"> </w:t>
      </w:r>
      <w:r w:rsidRPr="004F7849">
        <w:rPr>
          <w:lang w:eastAsia="bg-BG"/>
        </w:rPr>
        <w:lastRenderedPageBreak/>
        <w:t xml:space="preserve">клиничните и епидемиологичните проучвания, препоръчва се предпазливост при пациенти със съответната медицинска анамнеза. </w:t>
      </w:r>
      <w:proofErr w:type="spellStart"/>
      <w:r w:rsidRPr="004F7849">
        <w:rPr>
          <w:lang w:eastAsia="bg-BG"/>
        </w:rPr>
        <w:t>Халоперидол</w:t>
      </w:r>
      <w:proofErr w:type="spellEnd"/>
      <w:r w:rsidRPr="004F7849">
        <w:rPr>
          <w:lang w:eastAsia="bg-BG"/>
        </w:rPr>
        <w:t xml:space="preserve"> трябва да се използва предпазливо при пациенти с налична </w:t>
      </w:r>
      <w:proofErr w:type="spellStart"/>
      <w:r w:rsidRPr="004F7849">
        <w:rPr>
          <w:lang w:eastAsia="bg-BG"/>
        </w:rPr>
        <w:t>хиперпролактинемия</w:t>
      </w:r>
      <w:proofErr w:type="spellEnd"/>
      <w:r w:rsidRPr="004F7849">
        <w:rPr>
          <w:lang w:eastAsia="bg-BG"/>
        </w:rPr>
        <w:t xml:space="preserve"> и при пациенти с възможно </w:t>
      </w:r>
      <w:proofErr w:type="spellStart"/>
      <w:r w:rsidRPr="004F7849">
        <w:rPr>
          <w:lang w:eastAsia="bg-BG"/>
        </w:rPr>
        <w:t>пролактин</w:t>
      </w:r>
      <w:proofErr w:type="spellEnd"/>
      <w:r>
        <w:rPr>
          <w:lang w:val="en-US" w:eastAsia="bg-BG"/>
        </w:rPr>
        <w:t xml:space="preserve"> </w:t>
      </w:r>
      <w:r w:rsidRPr="004F7849">
        <w:rPr>
          <w:lang w:eastAsia="bg-BG"/>
        </w:rPr>
        <w:t>зависими тумори (вж. точка 5.3).</w:t>
      </w:r>
    </w:p>
    <w:p w14:paraId="6ACAE983" w14:textId="77777777" w:rsidR="004F7849" w:rsidRDefault="004F7849" w:rsidP="004F7849">
      <w:pPr>
        <w:rPr>
          <w:lang w:eastAsia="bg-BG"/>
        </w:rPr>
      </w:pPr>
    </w:p>
    <w:p w14:paraId="624B8466" w14:textId="719E8E6D" w:rsidR="004F7849" w:rsidRPr="004F7849" w:rsidRDefault="004F7849" w:rsidP="004F7849">
      <w:pPr>
        <w:rPr>
          <w:sz w:val="24"/>
          <w:szCs w:val="24"/>
        </w:rPr>
      </w:pPr>
      <w:r w:rsidRPr="004F7849">
        <w:rPr>
          <w:lang w:eastAsia="bg-BG"/>
        </w:rPr>
        <w:t xml:space="preserve">Хипогликемия и на синдром на неправилна секреция на антидиуретичен хормон се съобщават при лечение с </w:t>
      </w:r>
      <w:proofErr w:type="spellStart"/>
      <w:r w:rsidRPr="004F7849">
        <w:rPr>
          <w:lang w:eastAsia="bg-BG"/>
        </w:rPr>
        <w:t>халоперидол</w:t>
      </w:r>
      <w:proofErr w:type="spellEnd"/>
      <w:r w:rsidRPr="004F7849">
        <w:rPr>
          <w:lang w:eastAsia="bg-BG"/>
        </w:rPr>
        <w:t xml:space="preserve"> (вж. точка 4,8).</w:t>
      </w:r>
    </w:p>
    <w:p w14:paraId="340652AD" w14:textId="77777777" w:rsidR="004F7849" w:rsidRDefault="004F7849" w:rsidP="004F7849">
      <w:pPr>
        <w:rPr>
          <w:u w:val="single"/>
          <w:lang w:eastAsia="bg-BG"/>
        </w:rPr>
      </w:pPr>
    </w:p>
    <w:p w14:paraId="0623255C" w14:textId="08CCCDF8" w:rsidR="004F7849" w:rsidRPr="004F7849" w:rsidRDefault="004F7849" w:rsidP="004F7849">
      <w:pPr>
        <w:rPr>
          <w:sz w:val="24"/>
          <w:szCs w:val="24"/>
        </w:rPr>
      </w:pPr>
      <w:r w:rsidRPr="004F7849">
        <w:rPr>
          <w:u w:val="single"/>
          <w:lang w:eastAsia="bg-BG"/>
        </w:rPr>
        <w:t>Венозна тромбоемболия</w:t>
      </w:r>
    </w:p>
    <w:p w14:paraId="0D5CE7E8" w14:textId="77777777" w:rsidR="004F7849" w:rsidRPr="004F7849" w:rsidRDefault="004F7849" w:rsidP="004F7849">
      <w:pPr>
        <w:rPr>
          <w:sz w:val="24"/>
          <w:szCs w:val="24"/>
        </w:rPr>
      </w:pPr>
      <w:r w:rsidRPr="004F7849">
        <w:rPr>
          <w:lang w:eastAsia="bg-BG"/>
        </w:rPr>
        <w:t xml:space="preserve">Случаи на венозен </w:t>
      </w:r>
      <w:proofErr w:type="spellStart"/>
      <w:r w:rsidRPr="004F7849">
        <w:rPr>
          <w:lang w:eastAsia="bg-BG"/>
        </w:rPr>
        <w:t>тромбоемболизъм</w:t>
      </w:r>
      <w:proofErr w:type="spellEnd"/>
      <w:r w:rsidRPr="004F7849">
        <w:rPr>
          <w:lang w:eastAsia="bg-BG"/>
        </w:rPr>
        <w:t xml:space="preserve"> (ВТЕ) се съобщават при лечение с </w:t>
      </w:r>
      <w:proofErr w:type="spellStart"/>
      <w:r w:rsidRPr="004F7849">
        <w:rPr>
          <w:lang w:eastAsia="bg-BG"/>
        </w:rPr>
        <w:t>антипсихотици</w:t>
      </w:r>
      <w:proofErr w:type="spellEnd"/>
      <w:r w:rsidRPr="004F7849">
        <w:rPr>
          <w:lang w:eastAsia="bg-BG"/>
        </w:rPr>
        <w:t xml:space="preserve">. Тъй като при пациентите, лекувани с </w:t>
      </w:r>
      <w:proofErr w:type="spellStart"/>
      <w:r w:rsidRPr="004F7849">
        <w:rPr>
          <w:lang w:eastAsia="bg-BG"/>
        </w:rPr>
        <w:t>антипсихотици</w:t>
      </w:r>
      <w:proofErr w:type="spellEnd"/>
      <w:r w:rsidRPr="004F7849">
        <w:rPr>
          <w:lang w:eastAsia="bg-BG"/>
        </w:rPr>
        <w:t xml:space="preserve">, често имат придобити рискови фактори за ВТЕ, трябва да се установят всички възможни рискови фактори за ВТЕ преди и по време на лечение с </w:t>
      </w:r>
      <w:proofErr w:type="spellStart"/>
      <w:r w:rsidRPr="004F7849">
        <w:rPr>
          <w:lang w:eastAsia="bg-BG"/>
        </w:rPr>
        <w:t>Халоперидол</w:t>
      </w:r>
      <w:proofErr w:type="spellEnd"/>
      <w:r w:rsidRPr="004F7849">
        <w:rPr>
          <w:lang w:eastAsia="bg-BG"/>
        </w:rPr>
        <w:t>-Рихтер и да се предприемат предпазни мерки.</w:t>
      </w:r>
    </w:p>
    <w:p w14:paraId="134B794D" w14:textId="77777777" w:rsidR="004F7849" w:rsidRDefault="004F7849" w:rsidP="004F7849">
      <w:pPr>
        <w:rPr>
          <w:u w:val="single"/>
          <w:lang w:eastAsia="bg-BG"/>
        </w:rPr>
      </w:pPr>
    </w:p>
    <w:p w14:paraId="40396C93" w14:textId="00032267" w:rsidR="004F7849" w:rsidRPr="004F7849" w:rsidRDefault="004F7849" w:rsidP="004F7849">
      <w:pPr>
        <w:rPr>
          <w:sz w:val="24"/>
          <w:szCs w:val="24"/>
        </w:rPr>
      </w:pPr>
      <w:r w:rsidRPr="004F7849">
        <w:rPr>
          <w:u w:val="single"/>
          <w:lang w:eastAsia="bg-BG"/>
        </w:rPr>
        <w:t>Отговор и преустановяване на лечението</w:t>
      </w:r>
    </w:p>
    <w:p w14:paraId="76070D34" w14:textId="77777777" w:rsidR="004F7849" w:rsidRPr="004F7849" w:rsidRDefault="004F7849" w:rsidP="004F7849">
      <w:pPr>
        <w:rPr>
          <w:sz w:val="24"/>
          <w:szCs w:val="24"/>
        </w:rPr>
      </w:pPr>
      <w:r w:rsidRPr="004F7849">
        <w:rPr>
          <w:lang w:eastAsia="bg-BG"/>
        </w:rPr>
        <w:t>При шизофрения отговорът към антипсихотичното лечение може да бъде забавен.</w:t>
      </w:r>
    </w:p>
    <w:p w14:paraId="02EAE7D7" w14:textId="77777777" w:rsidR="004F7849" w:rsidRDefault="004F7849" w:rsidP="004F7849">
      <w:pPr>
        <w:rPr>
          <w:lang w:eastAsia="bg-BG"/>
        </w:rPr>
      </w:pPr>
    </w:p>
    <w:p w14:paraId="079280E0" w14:textId="40BBE271" w:rsidR="004F7849" w:rsidRPr="004F7849" w:rsidRDefault="004F7849" w:rsidP="004F7849">
      <w:pPr>
        <w:rPr>
          <w:sz w:val="24"/>
          <w:szCs w:val="24"/>
        </w:rPr>
      </w:pPr>
      <w:r w:rsidRPr="004F7849">
        <w:rPr>
          <w:lang w:eastAsia="bg-BG"/>
        </w:rPr>
        <w:t xml:space="preserve">При преустановяване на </w:t>
      </w:r>
      <w:proofErr w:type="spellStart"/>
      <w:r w:rsidRPr="004F7849">
        <w:rPr>
          <w:lang w:eastAsia="bg-BG"/>
        </w:rPr>
        <w:t>антипсихотиците</w:t>
      </w:r>
      <w:proofErr w:type="spellEnd"/>
      <w:r w:rsidRPr="004F7849">
        <w:rPr>
          <w:lang w:eastAsia="bg-BG"/>
        </w:rPr>
        <w:t xml:space="preserve"> симптомите на рецидивиране на подлежащото състояние може да не се проявят до няколко седмици или месеци.</w:t>
      </w:r>
    </w:p>
    <w:p w14:paraId="31F5E0C0" w14:textId="77777777" w:rsidR="004F7849" w:rsidRDefault="004F7849" w:rsidP="004F7849">
      <w:pPr>
        <w:rPr>
          <w:lang w:eastAsia="bg-BG"/>
        </w:rPr>
      </w:pPr>
    </w:p>
    <w:p w14:paraId="1A66C3F4" w14:textId="51793512" w:rsidR="004F7849" w:rsidRPr="004F7849" w:rsidRDefault="004F7849" w:rsidP="004F7849">
      <w:pPr>
        <w:rPr>
          <w:sz w:val="24"/>
          <w:szCs w:val="24"/>
        </w:rPr>
      </w:pPr>
      <w:r w:rsidRPr="004F7849">
        <w:rPr>
          <w:lang w:eastAsia="bg-BG"/>
        </w:rPr>
        <w:t>Има много редки съобщения за остри симптоми на отнемане (включително гадене, повръщане и безсъние), при рязко спиране приема на високи дози от антипсихотични лекарства, Като предпазна мярка се препоръчва постепенно преустановяване.</w:t>
      </w:r>
    </w:p>
    <w:p w14:paraId="79B06AEE" w14:textId="77777777" w:rsidR="004F7849" w:rsidRDefault="004F7849" w:rsidP="004F7849">
      <w:pPr>
        <w:rPr>
          <w:u w:val="single"/>
          <w:lang w:eastAsia="bg-BG"/>
        </w:rPr>
      </w:pPr>
    </w:p>
    <w:p w14:paraId="7378326B" w14:textId="3C4D39D5" w:rsidR="004F7849" w:rsidRPr="004F7849" w:rsidRDefault="004F7849" w:rsidP="004F7849">
      <w:pPr>
        <w:rPr>
          <w:sz w:val="24"/>
          <w:szCs w:val="24"/>
        </w:rPr>
      </w:pPr>
      <w:r w:rsidRPr="004F7849">
        <w:rPr>
          <w:u w:val="single"/>
          <w:lang w:eastAsia="bg-BG"/>
        </w:rPr>
        <w:t>Пациенти с депресия</w:t>
      </w:r>
    </w:p>
    <w:p w14:paraId="65331759" w14:textId="77777777" w:rsidR="004F7849" w:rsidRPr="004F7849" w:rsidRDefault="004F7849" w:rsidP="004F7849">
      <w:pPr>
        <w:rPr>
          <w:sz w:val="24"/>
          <w:szCs w:val="24"/>
        </w:rPr>
      </w:pPr>
      <w:r w:rsidRPr="004F7849">
        <w:rPr>
          <w:lang w:eastAsia="bg-BG"/>
        </w:rPr>
        <w:t xml:space="preserve">Препоръчва се </w:t>
      </w:r>
      <w:proofErr w:type="spellStart"/>
      <w:r w:rsidRPr="004F7849">
        <w:rPr>
          <w:lang w:eastAsia="bg-BG"/>
        </w:rPr>
        <w:t>халоперидол</w:t>
      </w:r>
      <w:proofErr w:type="spellEnd"/>
      <w:r w:rsidRPr="004F7849">
        <w:rPr>
          <w:lang w:eastAsia="bg-BG"/>
        </w:rPr>
        <w:t xml:space="preserve"> да не се прилага самостоятелно при пациенти с преобладаваща депресия. Той може де се комбинира с антидепресанти за лечение на състоянията, в които съществува едновременно депресията и психозата (вж. точка 4.5).</w:t>
      </w:r>
    </w:p>
    <w:p w14:paraId="6DFDCA77" w14:textId="77777777" w:rsidR="004F7849" w:rsidRDefault="004F7849" w:rsidP="004F7849">
      <w:pPr>
        <w:rPr>
          <w:u w:val="single"/>
          <w:lang w:eastAsia="bg-BG"/>
        </w:rPr>
      </w:pPr>
    </w:p>
    <w:p w14:paraId="7413A17F" w14:textId="6EEBFAB4" w:rsidR="004F7849" w:rsidRPr="004F7849" w:rsidRDefault="004F7849" w:rsidP="004F7849">
      <w:pPr>
        <w:rPr>
          <w:sz w:val="24"/>
          <w:szCs w:val="24"/>
        </w:rPr>
      </w:pPr>
      <w:r w:rsidRPr="004F7849">
        <w:rPr>
          <w:u w:val="single"/>
          <w:lang w:eastAsia="bg-BG"/>
        </w:rPr>
        <w:t>Преминаване от мания към депресия</w:t>
      </w:r>
    </w:p>
    <w:p w14:paraId="3027821E" w14:textId="77777777" w:rsidR="004F7849" w:rsidRPr="004F7849" w:rsidRDefault="004F7849" w:rsidP="004F7849">
      <w:pPr>
        <w:rPr>
          <w:sz w:val="24"/>
          <w:szCs w:val="24"/>
        </w:rPr>
      </w:pPr>
      <w:r w:rsidRPr="004F7849">
        <w:rPr>
          <w:lang w:eastAsia="bg-BG"/>
        </w:rPr>
        <w:t xml:space="preserve">Има риск при лечението на пациенти с </w:t>
      </w:r>
      <w:proofErr w:type="spellStart"/>
      <w:r w:rsidRPr="004F7849">
        <w:rPr>
          <w:lang w:eastAsia="bg-BG"/>
        </w:rPr>
        <w:t>манийни</w:t>
      </w:r>
      <w:proofErr w:type="spellEnd"/>
      <w:r w:rsidRPr="004F7849">
        <w:rPr>
          <w:lang w:eastAsia="bg-BG"/>
        </w:rPr>
        <w:t xml:space="preserve"> епизоди на биполярно разстройство, те да преминават от мания към депресия. Проследяването на пациентите за преминаване към депресивен епизод със съпътстващите рискове като суицидно поведение е важно, за да се извърши интервенция при настъпване на такива промени.</w:t>
      </w:r>
    </w:p>
    <w:p w14:paraId="2A6E9236" w14:textId="77777777" w:rsidR="004F7849" w:rsidRDefault="004F7849" w:rsidP="004F7849">
      <w:pPr>
        <w:rPr>
          <w:u w:val="single"/>
          <w:lang w:eastAsia="bg-BG"/>
        </w:rPr>
      </w:pPr>
    </w:p>
    <w:p w14:paraId="76B791D6" w14:textId="0666A257" w:rsidR="004F7849" w:rsidRPr="004F7849" w:rsidRDefault="004F7849" w:rsidP="004F7849">
      <w:pPr>
        <w:rPr>
          <w:sz w:val="24"/>
          <w:szCs w:val="24"/>
        </w:rPr>
      </w:pPr>
      <w:r w:rsidRPr="004F7849">
        <w:rPr>
          <w:u w:val="single"/>
          <w:lang w:eastAsia="bg-BG"/>
        </w:rPr>
        <w:t xml:space="preserve">Слаби </w:t>
      </w:r>
      <w:proofErr w:type="spellStart"/>
      <w:r w:rsidRPr="004F7849">
        <w:rPr>
          <w:u w:val="single"/>
          <w:lang w:eastAsia="bg-BG"/>
        </w:rPr>
        <w:t>метаболизатори</w:t>
      </w:r>
      <w:proofErr w:type="spellEnd"/>
      <w:r w:rsidRPr="004F7849">
        <w:rPr>
          <w:u w:val="single"/>
          <w:lang w:eastAsia="bg-BG"/>
        </w:rPr>
        <w:t xml:space="preserve"> на </w:t>
      </w:r>
      <w:r w:rsidRPr="004F7849">
        <w:rPr>
          <w:u w:val="single"/>
          <w:lang w:val="en-US"/>
        </w:rPr>
        <w:t>CYP2D6</w:t>
      </w:r>
    </w:p>
    <w:p w14:paraId="7B62AFE1" w14:textId="77777777" w:rsidR="004F7849" w:rsidRPr="004F7849" w:rsidRDefault="004F7849" w:rsidP="004F7849">
      <w:pPr>
        <w:rPr>
          <w:sz w:val="24"/>
          <w:szCs w:val="24"/>
        </w:rPr>
      </w:pPr>
      <w:proofErr w:type="spellStart"/>
      <w:r w:rsidRPr="004F7849">
        <w:rPr>
          <w:lang w:eastAsia="bg-BG"/>
        </w:rPr>
        <w:t>Халоперидол</w:t>
      </w:r>
      <w:proofErr w:type="spellEnd"/>
      <w:r w:rsidRPr="004F7849">
        <w:rPr>
          <w:lang w:eastAsia="bg-BG"/>
        </w:rPr>
        <w:t xml:space="preserve"> трябва да се прилага предпазливо при пациенти, за които е известно, че са слаби </w:t>
      </w:r>
      <w:proofErr w:type="spellStart"/>
      <w:r w:rsidRPr="004F7849">
        <w:rPr>
          <w:lang w:eastAsia="bg-BG"/>
        </w:rPr>
        <w:t>метаболизатори</w:t>
      </w:r>
      <w:proofErr w:type="spellEnd"/>
      <w:r w:rsidRPr="004F7849">
        <w:rPr>
          <w:lang w:eastAsia="bg-BG"/>
        </w:rPr>
        <w:t xml:space="preserve"> на </w:t>
      </w:r>
      <w:proofErr w:type="spellStart"/>
      <w:r w:rsidRPr="004F7849">
        <w:rPr>
          <w:lang w:eastAsia="bg-BG"/>
        </w:rPr>
        <w:t>цитохром</w:t>
      </w:r>
      <w:proofErr w:type="spellEnd"/>
      <w:r w:rsidRPr="004F7849">
        <w:rPr>
          <w:lang w:eastAsia="bg-BG"/>
        </w:rPr>
        <w:t xml:space="preserve"> Р450 </w:t>
      </w:r>
      <w:r w:rsidRPr="004F7849">
        <w:rPr>
          <w:lang w:val="en-US"/>
        </w:rPr>
        <w:t xml:space="preserve">(CYP) 2D6 </w:t>
      </w:r>
      <w:r w:rsidRPr="004F7849">
        <w:rPr>
          <w:lang w:eastAsia="bg-BG"/>
        </w:rPr>
        <w:t xml:space="preserve">и които приемат едновременно инхибитор на </w:t>
      </w:r>
      <w:r w:rsidRPr="004F7849">
        <w:rPr>
          <w:lang w:val="en-US"/>
        </w:rPr>
        <w:t>CYP3A4.</w:t>
      </w:r>
    </w:p>
    <w:p w14:paraId="2ED6ED9E" w14:textId="77777777" w:rsidR="004F7849" w:rsidRDefault="004F7849" w:rsidP="004F7849">
      <w:pPr>
        <w:rPr>
          <w:u w:val="single"/>
          <w:lang w:eastAsia="bg-BG"/>
        </w:rPr>
      </w:pPr>
    </w:p>
    <w:p w14:paraId="140255BC" w14:textId="78A6B767" w:rsidR="004F7849" w:rsidRPr="004F7849" w:rsidRDefault="004F7849" w:rsidP="004F7849">
      <w:pPr>
        <w:rPr>
          <w:sz w:val="24"/>
          <w:szCs w:val="24"/>
        </w:rPr>
      </w:pPr>
      <w:r w:rsidRPr="004F7849">
        <w:rPr>
          <w:u w:val="single"/>
          <w:lang w:eastAsia="bg-BG"/>
        </w:rPr>
        <w:t>Педиатрична популация</w:t>
      </w:r>
    </w:p>
    <w:p w14:paraId="389FBEAD" w14:textId="77777777" w:rsidR="004F7849" w:rsidRPr="004F7849" w:rsidRDefault="004F7849" w:rsidP="004F7849">
      <w:pPr>
        <w:rPr>
          <w:sz w:val="24"/>
          <w:szCs w:val="24"/>
        </w:rPr>
      </w:pPr>
      <w:r w:rsidRPr="004F7849">
        <w:rPr>
          <w:lang w:eastAsia="bg-BG"/>
        </w:rPr>
        <w:t xml:space="preserve">Наличните данни за безопасността при педиатрични пациенти показват риск от развитие на </w:t>
      </w:r>
      <w:proofErr w:type="spellStart"/>
      <w:r w:rsidRPr="004F7849">
        <w:rPr>
          <w:lang w:eastAsia="bg-BG"/>
        </w:rPr>
        <w:t>екстрапирамидни</w:t>
      </w:r>
      <w:proofErr w:type="spellEnd"/>
      <w:r w:rsidRPr="004F7849">
        <w:rPr>
          <w:lang w:eastAsia="bg-BG"/>
        </w:rPr>
        <w:t xml:space="preserve"> симптоми, включително късна дискинезия и </w:t>
      </w:r>
      <w:proofErr w:type="spellStart"/>
      <w:r w:rsidRPr="004F7849">
        <w:rPr>
          <w:lang w:eastAsia="bg-BG"/>
        </w:rPr>
        <w:t>седация</w:t>
      </w:r>
      <w:proofErr w:type="spellEnd"/>
      <w:r w:rsidRPr="004F7849">
        <w:rPr>
          <w:lang w:eastAsia="bg-BG"/>
        </w:rPr>
        <w:t>. Има ограничени данни за дългосрочната безопасност.</w:t>
      </w:r>
    </w:p>
    <w:p w14:paraId="7C3782ED" w14:textId="77777777" w:rsidR="004F7849" w:rsidRDefault="004F7849" w:rsidP="004F7849">
      <w:pPr>
        <w:rPr>
          <w:u w:val="single"/>
          <w:lang w:eastAsia="bg-BG"/>
        </w:rPr>
      </w:pPr>
    </w:p>
    <w:p w14:paraId="6362C139" w14:textId="7378CC03" w:rsidR="004F7849" w:rsidRPr="004F7849" w:rsidRDefault="004F7849" w:rsidP="004F7849">
      <w:pPr>
        <w:rPr>
          <w:sz w:val="24"/>
          <w:szCs w:val="24"/>
        </w:rPr>
      </w:pPr>
      <w:r w:rsidRPr="004F7849">
        <w:rPr>
          <w:u w:val="single"/>
          <w:lang w:eastAsia="bg-BG"/>
        </w:rPr>
        <w:t>Помощно вещество</w:t>
      </w:r>
    </w:p>
    <w:p w14:paraId="5E9B8165" w14:textId="77777777" w:rsidR="004F7849" w:rsidRPr="004F7849" w:rsidRDefault="004F7849" w:rsidP="004F7849">
      <w:pPr>
        <w:rPr>
          <w:sz w:val="24"/>
          <w:szCs w:val="24"/>
        </w:rPr>
      </w:pPr>
      <w:r w:rsidRPr="004F7849">
        <w:rPr>
          <w:lang w:eastAsia="bg-BG"/>
        </w:rPr>
        <w:t xml:space="preserve">Една таблетка </w:t>
      </w:r>
      <w:proofErr w:type="spellStart"/>
      <w:r w:rsidRPr="004F7849">
        <w:rPr>
          <w:lang w:eastAsia="bg-BG"/>
        </w:rPr>
        <w:t>Халоперидол</w:t>
      </w:r>
      <w:proofErr w:type="spellEnd"/>
      <w:r w:rsidRPr="004F7849">
        <w:rPr>
          <w:lang w:eastAsia="bg-BG"/>
        </w:rPr>
        <w:t xml:space="preserve">-Рихтер съдържа лактоза </w:t>
      </w:r>
      <w:proofErr w:type="spellStart"/>
      <w:r w:rsidRPr="004F7849">
        <w:rPr>
          <w:lang w:eastAsia="bg-BG"/>
        </w:rPr>
        <w:t>монохидрат</w:t>
      </w:r>
      <w:proofErr w:type="spellEnd"/>
      <w:r w:rsidRPr="004F7849">
        <w:rPr>
          <w:lang w:eastAsia="bg-BG"/>
        </w:rPr>
        <w:t xml:space="preserve">. Пациенти с редки наследствени проблеми на непоносимост към фруктоза, непоносимост към </w:t>
      </w:r>
      <w:proofErr w:type="spellStart"/>
      <w:r w:rsidRPr="004F7849">
        <w:rPr>
          <w:lang w:eastAsia="bg-BG"/>
        </w:rPr>
        <w:t>галактоза</w:t>
      </w:r>
      <w:proofErr w:type="spellEnd"/>
      <w:r w:rsidRPr="004F7849">
        <w:rPr>
          <w:lang w:eastAsia="bg-BG"/>
        </w:rPr>
        <w:t xml:space="preserve">, </w:t>
      </w:r>
      <w:r w:rsidRPr="004F7849">
        <w:rPr>
          <w:lang w:eastAsia="bg-BG"/>
        </w:rPr>
        <w:lastRenderedPageBreak/>
        <w:t xml:space="preserve">пълен </w:t>
      </w:r>
      <w:proofErr w:type="spellStart"/>
      <w:r w:rsidRPr="004F7849">
        <w:rPr>
          <w:lang w:eastAsia="bg-BG"/>
        </w:rPr>
        <w:t>лактазен</w:t>
      </w:r>
      <w:proofErr w:type="spellEnd"/>
      <w:r w:rsidRPr="004F7849">
        <w:rPr>
          <w:lang w:eastAsia="bg-BG"/>
        </w:rPr>
        <w:t xml:space="preserve"> дефицит или </w:t>
      </w:r>
      <w:proofErr w:type="spellStart"/>
      <w:r w:rsidRPr="004F7849">
        <w:rPr>
          <w:lang w:eastAsia="bg-BG"/>
        </w:rPr>
        <w:t>глюкозо-галактозна</w:t>
      </w:r>
      <w:proofErr w:type="spellEnd"/>
      <w:r w:rsidRPr="004F7849">
        <w:rPr>
          <w:lang w:eastAsia="bg-BG"/>
        </w:rPr>
        <w:t xml:space="preserve"> малабсорбция не трябва да приемат това лекарство.</w:t>
      </w:r>
    </w:p>
    <w:p w14:paraId="7263DABB" w14:textId="0EBFE9CB" w:rsidR="004F7849" w:rsidRPr="004F7849" w:rsidRDefault="004F7849" w:rsidP="004F7849">
      <w:pPr>
        <w:rPr>
          <w:lang w:val="en-US"/>
        </w:rPr>
      </w:pPr>
    </w:p>
    <w:p w14:paraId="5D37E947" w14:textId="056D3D35" w:rsidR="00C809A7" w:rsidRDefault="002C50EE" w:rsidP="00AA23EC">
      <w:pPr>
        <w:pStyle w:val="Heading2"/>
      </w:pPr>
      <w:r>
        <w:t>4.5. Взаимодействие с други лекарствени продукти и други форми на взаимодействие</w:t>
      </w:r>
    </w:p>
    <w:p w14:paraId="538E18B7" w14:textId="77777777" w:rsidR="004F7849" w:rsidRDefault="004F7849" w:rsidP="004F7849">
      <w:pPr>
        <w:spacing w:line="240" w:lineRule="auto"/>
        <w:rPr>
          <w:rFonts w:ascii="Times New Roman" w:eastAsia="Times New Roman" w:hAnsi="Times New Roman" w:cs="Times New Roman"/>
          <w:color w:val="000000"/>
          <w:sz w:val="20"/>
          <w:szCs w:val="20"/>
          <w:lang w:eastAsia="bg-BG"/>
        </w:rPr>
      </w:pPr>
    </w:p>
    <w:p w14:paraId="6986380D" w14:textId="177DE385" w:rsidR="004F7849" w:rsidRPr="004F7849" w:rsidRDefault="004F7849" w:rsidP="004F7849">
      <w:pPr>
        <w:rPr>
          <w:sz w:val="24"/>
          <w:szCs w:val="24"/>
        </w:rPr>
      </w:pPr>
      <w:r w:rsidRPr="004F7849">
        <w:rPr>
          <w:lang w:eastAsia="bg-BG"/>
        </w:rPr>
        <w:t>Проучвания за взаимодействията са провеждани само при възрастни.</w:t>
      </w:r>
    </w:p>
    <w:p w14:paraId="05D3F0EC" w14:textId="77777777" w:rsidR="004F7849" w:rsidRDefault="004F7849" w:rsidP="004F7849">
      <w:pPr>
        <w:rPr>
          <w:u w:val="single"/>
          <w:lang w:eastAsia="bg-BG"/>
        </w:rPr>
      </w:pPr>
    </w:p>
    <w:p w14:paraId="5D2137AB" w14:textId="790D1462" w:rsidR="004F7849" w:rsidRPr="004F7849" w:rsidRDefault="004F7849" w:rsidP="004F7849">
      <w:pPr>
        <w:rPr>
          <w:sz w:val="24"/>
          <w:szCs w:val="24"/>
        </w:rPr>
      </w:pPr>
      <w:r w:rsidRPr="004F7849">
        <w:rPr>
          <w:u w:val="single"/>
          <w:lang w:eastAsia="bg-BG"/>
        </w:rPr>
        <w:t>Сърдечно-съдови ефекти</w:t>
      </w:r>
    </w:p>
    <w:p w14:paraId="5E617901" w14:textId="77777777" w:rsidR="004F7849" w:rsidRPr="004F7849" w:rsidRDefault="004F7849" w:rsidP="004F7849">
      <w:pPr>
        <w:rPr>
          <w:sz w:val="24"/>
          <w:szCs w:val="24"/>
        </w:rPr>
      </w:pPr>
      <w:proofErr w:type="spellStart"/>
      <w:r w:rsidRPr="004F7849">
        <w:rPr>
          <w:lang w:eastAsia="bg-BG"/>
        </w:rPr>
        <w:t>Халоперидол</w:t>
      </w:r>
      <w:proofErr w:type="spellEnd"/>
      <w:r w:rsidRPr="004F7849">
        <w:rPr>
          <w:lang w:eastAsia="bg-BG"/>
        </w:rPr>
        <w:t xml:space="preserve"> е противопоказан за приложение в комбинация с лекарствени продукти, за които е известно, че удължават </w:t>
      </w:r>
      <w:r w:rsidRPr="004F7849">
        <w:rPr>
          <w:lang w:val="en-US"/>
        </w:rPr>
        <w:t xml:space="preserve">QTc </w:t>
      </w:r>
      <w:r w:rsidRPr="004F7849">
        <w:rPr>
          <w:lang w:eastAsia="bg-BG"/>
        </w:rPr>
        <w:t>интервала (вж. точка 4.3). Примерите включват:</w:t>
      </w:r>
    </w:p>
    <w:p w14:paraId="5C6C0C0E" w14:textId="77777777" w:rsidR="004F7849" w:rsidRPr="004F7849" w:rsidRDefault="004F7849" w:rsidP="004F7849">
      <w:pPr>
        <w:pStyle w:val="ListParagraph"/>
        <w:numPr>
          <w:ilvl w:val="0"/>
          <w:numId w:val="38"/>
        </w:numPr>
        <w:rPr>
          <w:sz w:val="24"/>
          <w:szCs w:val="24"/>
        </w:rPr>
      </w:pPr>
      <w:proofErr w:type="spellStart"/>
      <w:r w:rsidRPr="004F7849">
        <w:rPr>
          <w:lang w:eastAsia="bg-BG"/>
        </w:rPr>
        <w:t>Антиаритмици</w:t>
      </w:r>
      <w:proofErr w:type="spellEnd"/>
      <w:r w:rsidRPr="004F7849">
        <w:rPr>
          <w:lang w:eastAsia="bg-BG"/>
        </w:rPr>
        <w:t xml:space="preserve"> клас </w:t>
      </w:r>
      <w:r w:rsidRPr="004F7849">
        <w:rPr>
          <w:lang w:val="en-US"/>
        </w:rPr>
        <w:t xml:space="preserve">IA </w:t>
      </w:r>
      <w:r w:rsidRPr="004F7849">
        <w:rPr>
          <w:lang w:eastAsia="bg-BG"/>
        </w:rPr>
        <w:t xml:space="preserve">(напр. </w:t>
      </w:r>
      <w:proofErr w:type="spellStart"/>
      <w:r w:rsidRPr="004F7849">
        <w:rPr>
          <w:lang w:eastAsia="bg-BG"/>
        </w:rPr>
        <w:t>дизопирамид</w:t>
      </w:r>
      <w:proofErr w:type="spellEnd"/>
      <w:r w:rsidRPr="004F7849">
        <w:rPr>
          <w:lang w:eastAsia="bg-BG"/>
        </w:rPr>
        <w:t xml:space="preserve">, </w:t>
      </w:r>
      <w:proofErr w:type="spellStart"/>
      <w:r w:rsidRPr="004F7849">
        <w:rPr>
          <w:lang w:eastAsia="bg-BG"/>
        </w:rPr>
        <w:t>хинидин</w:t>
      </w:r>
      <w:proofErr w:type="spellEnd"/>
      <w:r w:rsidRPr="004F7849">
        <w:rPr>
          <w:lang w:eastAsia="bg-BG"/>
        </w:rPr>
        <w:t>);</w:t>
      </w:r>
    </w:p>
    <w:p w14:paraId="3817561E" w14:textId="77777777" w:rsidR="004F7849" w:rsidRPr="004F7849" w:rsidRDefault="004F7849" w:rsidP="004F7849">
      <w:pPr>
        <w:pStyle w:val="ListParagraph"/>
        <w:numPr>
          <w:ilvl w:val="0"/>
          <w:numId w:val="38"/>
        </w:numPr>
        <w:rPr>
          <w:sz w:val="24"/>
          <w:szCs w:val="24"/>
        </w:rPr>
      </w:pPr>
      <w:proofErr w:type="spellStart"/>
      <w:r w:rsidRPr="004F7849">
        <w:rPr>
          <w:lang w:eastAsia="bg-BG"/>
        </w:rPr>
        <w:t>Антиаритмици</w:t>
      </w:r>
      <w:proofErr w:type="spellEnd"/>
      <w:r w:rsidRPr="004F7849">
        <w:rPr>
          <w:lang w:eastAsia="bg-BG"/>
        </w:rPr>
        <w:t xml:space="preserve"> клас III (напр. </w:t>
      </w:r>
      <w:proofErr w:type="spellStart"/>
      <w:r w:rsidRPr="004F7849">
        <w:rPr>
          <w:lang w:eastAsia="bg-BG"/>
        </w:rPr>
        <w:t>амиодарон</w:t>
      </w:r>
      <w:proofErr w:type="spellEnd"/>
      <w:r w:rsidRPr="004F7849">
        <w:rPr>
          <w:lang w:eastAsia="bg-BG"/>
        </w:rPr>
        <w:t xml:space="preserve">, </w:t>
      </w:r>
      <w:proofErr w:type="spellStart"/>
      <w:r w:rsidRPr="004F7849">
        <w:rPr>
          <w:lang w:eastAsia="bg-BG"/>
        </w:rPr>
        <w:t>дофетилид</w:t>
      </w:r>
      <w:proofErr w:type="spellEnd"/>
      <w:r w:rsidRPr="004F7849">
        <w:rPr>
          <w:lang w:eastAsia="bg-BG"/>
        </w:rPr>
        <w:t xml:space="preserve">, </w:t>
      </w:r>
      <w:proofErr w:type="spellStart"/>
      <w:r w:rsidRPr="004F7849">
        <w:rPr>
          <w:lang w:eastAsia="bg-BG"/>
        </w:rPr>
        <w:t>дронедарон</w:t>
      </w:r>
      <w:proofErr w:type="spellEnd"/>
      <w:r w:rsidRPr="004F7849">
        <w:rPr>
          <w:lang w:eastAsia="bg-BG"/>
        </w:rPr>
        <w:t xml:space="preserve">, </w:t>
      </w:r>
      <w:proofErr w:type="spellStart"/>
      <w:r w:rsidRPr="004F7849">
        <w:rPr>
          <w:lang w:eastAsia="bg-BG"/>
        </w:rPr>
        <w:t>ибутилид</w:t>
      </w:r>
      <w:proofErr w:type="spellEnd"/>
      <w:r w:rsidRPr="004F7849">
        <w:rPr>
          <w:lang w:eastAsia="bg-BG"/>
        </w:rPr>
        <w:t xml:space="preserve">, </w:t>
      </w:r>
      <w:proofErr w:type="spellStart"/>
      <w:r w:rsidRPr="004F7849">
        <w:rPr>
          <w:lang w:eastAsia="bg-BG"/>
        </w:rPr>
        <w:t>соталол</w:t>
      </w:r>
      <w:proofErr w:type="spellEnd"/>
      <w:r w:rsidRPr="004F7849">
        <w:rPr>
          <w:lang w:eastAsia="bg-BG"/>
        </w:rPr>
        <w:t>);</w:t>
      </w:r>
    </w:p>
    <w:p w14:paraId="724F9F5A" w14:textId="77777777" w:rsidR="004F7849" w:rsidRPr="004F7849" w:rsidRDefault="004F7849" w:rsidP="004F7849">
      <w:pPr>
        <w:pStyle w:val="ListParagraph"/>
        <w:numPr>
          <w:ilvl w:val="0"/>
          <w:numId w:val="38"/>
        </w:numPr>
        <w:rPr>
          <w:sz w:val="24"/>
          <w:szCs w:val="24"/>
        </w:rPr>
      </w:pPr>
      <w:r w:rsidRPr="004F7849">
        <w:rPr>
          <w:lang w:eastAsia="bg-BG"/>
        </w:rPr>
        <w:t xml:space="preserve">Някои антидепресанти (напр. </w:t>
      </w:r>
      <w:proofErr w:type="spellStart"/>
      <w:r w:rsidRPr="004F7849">
        <w:rPr>
          <w:lang w:eastAsia="bg-BG"/>
        </w:rPr>
        <w:t>циталопрам</w:t>
      </w:r>
      <w:proofErr w:type="spellEnd"/>
      <w:r w:rsidRPr="004F7849">
        <w:rPr>
          <w:lang w:eastAsia="bg-BG"/>
        </w:rPr>
        <w:t xml:space="preserve">, </w:t>
      </w:r>
      <w:proofErr w:type="spellStart"/>
      <w:r w:rsidRPr="004F7849">
        <w:rPr>
          <w:lang w:eastAsia="bg-BG"/>
        </w:rPr>
        <w:t>есциталопрам</w:t>
      </w:r>
      <w:proofErr w:type="spellEnd"/>
      <w:r w:rsidRPr="004F7849">
        <w:rPr>
          <w:lang w:eastAsia="bg-BG"/>
        </w:rPr>
        <w:t>);</w:t>
      </w:r>
    </w:p>
    <w:p w14:paraId="73A13375" w14:textId="77777777" w:rsidR="004F7849" w:rsidRPr="004F7849" w:rsidRDefault="004F7849" w:rsidP="004F7849">
      <w:pPr>
        <w:pStyle w:val="ListParagraph"/>
        <w:numPr>
          <w:ilvl w:val="0"/>
          <w:numId w:val="38"/>
        </w:numPr>
        <w:rPr>
          <w:sz w:val="24"/>
          <w:szCs w:val="24"/>
        </w:rPr>
      </w:pPr>
      <w:r w:rsidRPr="004F7849">
        <w:rPr>
          <w:lang w:eastAsia="bg-BG"/>
        </w:rPr>
        <w:t xml:space="preserve">Някои антибиотици (напр. </w:t>
      </w:r>
      <w:proofErr w:type="spellStart"/>
      <w:r w:rsidRPr="004F7849">
        <w:rPr>
          <w:lang w:eastAsia="bg-BG"/>
        </w:rPr>
        <w:t>азитромицин</w:t>
      </w:r>
      <w:proofErr w:type="spellEnd"/>
      <w:r w:rsidRPr="004F7849">
        <w:rPr>
          <w:lang w:eastAsia="bg-BG"/>
        </w:rPr>
        <w:t xml:space="preserve">, </w:t>
      </w:r>
      <w:proofErr w:type="spellStart"/>
      <w:r w:rsidRPr="004F7849">
        <w:rPr>
          <w:lang w:eastAsia="bg-BG"/>
        </w:rPr>
        <w:t>кларитромицин</w:t>
      </w:r>
      <w:proofErr w:type="spellEnd"/>
      <w:r w:rsidRPr="004F7849">
        <w:rPr>
          <w:lang w:eastAsia="bg-BG"/>
        </w:rPr>
        <w:t xml:space="preserve">, </w:t>
      </w:r>
      <w:proofErr w:type="spellStart"/>
      <w:r w:rsidRPr="004F7849">
        <w:rPr>
          <w:lang w:eastAsia="bg-BG"/>
        </w:rPr>
        <w:t>еритромицин</w:t>
      </w:r>
      <w:proofErr w:type="spellEnd"/>
      <w:r w:rsidRPr="004F7849">
        <w:rPr>
          <w:lang w:eastAsia="bg-BG"/>
        </w:rPr>
        <w:t xml:space="preserve">, </w:t>
      </w:r>
      <w:proofErr w:type="spellStart"/>
      <w:r w:rsidRPr="004F7849">
        <w:rPr>
          <w:lang w:eastAsia="bg-BG"/>
        </w:rPr>
        <w:t>левофлоксацин</w:t>
      </w:r>
      <w:proofErr w:type="spellEnd"/>
      <w:r w:rsidRPr="004F7849">
        <w:rPr>
          <w:lang w:eastAsia="bg-BG"/>
        </w:rPr>
        <w:t xml:space="preserve">, </w:t>
      </w:r>
      <w:proofErr w:type="spellStart"/>
      <w:r w:rsidRPr="004F7849">
        <w:rPr>
          <w:lang w:eastAsia="bg-BG"/>
        </w:rPr>
        <w:t>мофлоксацин</w:t>
      </w:r>
      <w:proofErr w:type="spellEnd"/>
      <w:r w:rsidRPr="004F7849">
        <w:rPr>
          <w:lang w:eastAsia="bg-BG"/>
        </w:rPr>
        <w:t xml:space="preserve">, </w:t>
      </w:r>
      <w:proofErr w:type="spellStart"/>
      <w:r w:rsidRPr="004F7849">
        <w:rPr>
          <w:lang w:eastAsia="bg-BG"/>
        </w:rPr>
        <w:t>телитромицин</w:t>
      </w:r>
      <w:proofErr w:type="spellEnd"/>
      <w:r w:rsidRPr="004F7849">
        <w:rPr>
          <w:lang w:eastAsia="bg-BG"/>
        </w:rPr>
        <w:t>);</w:t>
      </w:r>
    </w:p>
    <w:p w14:paraId="0A4001C6" w14:textId="77777777" w:rsidR="004F7849" w:rsidRPr="004F7849" w:rsidRDefault="004F7849" w:rsidP="004F7849">
      <w:pPr>
        <w:pStyle w:val="ListParagraph"/>
        <w:numPr>
          <w:ilvl w:val="0"/>
          <w:numId w:val="38"/>
        </w:numPr>
        <w:rPr>
          <w:sz w:val="24"/>
          <w:szCs w:val="24"/>
        </w:rPr>
      </w:pPr>
      <w:r w:rsidRPr="004F7849">
        <w:rPr>
          <w:lang w:eastAsia="bg-BG"/>
        </w:rPr>
        <w:t xml:space="preserve">Други </w:t>
      </w:r>
      <w:proofErr w:type="spellStart"/>
      <w:r w:rsidRPr="004F7849">
        <w:rPr>
          <w:lang w:eastAsia="bg-BG"/>
        </w:rPr>
        <w:t>антипсихотици</w:t>
      </w:r>
      <w:proofErr w:type="spellEnd"/>
      <w:r w:rsidRPr="004F7849">
        <w:rPr>
          <w:lang w:eastAsia="bg-BG"/>
        </w:rPr>
        <w:t xml:space="preserve"> (напр. </w:t>
      </w:r>
      <w:proofErr w:type="spellStart"/>
      <w:r w:rsidRPr="004F7849">
        <w:rPr>
          <w:lang w:eastAsia="bg-BG"/>
        </w:rPr>
        <w:t>фенотиазинови</w:t>
      </w:r>
      <w:proofErr w:type="spellEnd"/>
      <w:r w:rsidRPr="004F7849">
        <w:rPr>
          <w:lang w:eastAsia="bg-BG"/>
        </w:rPr>
        <w:t xml:space="preserve"> производни, </w:t>
      </w:r>
      <w:proofErr w:type="spellStart"/>
      <w:r w:rsidRPr="004F7849">
        <w:rPr>
          <w:lang w:eastAsia="bg-BG"/>
        </w:rPr>
        <w:t>пимозид</w:t>
      </w:r>
      <w:proofErr w:type="spellEnd"/>
      <w:r w:rsidRPr="004F7849">
        <w:rPr>
          <w:lang w:eastAsia="bg-BG"/>
        </w:rPr>
        <w:t xml:space="preserve">, </w:t>
      </w:r>
      <w:proofErr w:type="spellStart"/>
      <w:r w:rsidRPr="004F7849">
        <w:rPr>
          <w:lang w:eastAsia="bg-BG"/>
        </w:rPr>
        <w:t>сертиндол</w:t>
      </w:r>
      <w:proofErr w:type="spellEnd"/>
      <w:r w:rsidRPr="004F7849">
        <w:rPr>
          <w:lang w:eastAsia="bg-BG"/>
        </w:rPr>
        <w:t xml:space="preserve">, </w:t>
      </w:r>
      <w:proofErr w:type="spellStart"/>
      <w:r w:rsidRPr="004F7849">
        <w:rPr>
          <w:lang w:eastAsia="bg-BG"/>
        </w:rPr>
        <w:t>зипразидон</w:t>
      </w:r>
      <w:proofErr w:type="spellEnd"/>
      <w:r w:rsidRPr="004F7849">
        <w:rPr>
          <w:lang w:eastAsia="bg-BG"/>
        </w:rPr>
        <w:t>);</w:t>
      </w:r>
    </w:p>
    <w:p w14:paraId="5490BC8E" w14:textId="77777777" w:rsidR="004F7849" w:rsidRPr="004F7849" w:rsidRDefault="004F7849" w:rsidP="004F7849">
      <w:pPr>
        <w:pStyle w:val="ListParagraph"/>
        <w:numPr>
          <w:ilvl w:val="0"/>
          <w:numId w:val="38"/>
        </w:numPr>
        <w:rPr>
          <w:sz w:val="24"/>
          <w:szCs w:val="24"/>
        </w:rPr>
      </w:pPr>
      <w:r w:rsidRPr="004F7849">
        <w:rPr>
          <w:lang w:eastAsia="bg-BG"/>
        </w:rPr>
        <w:t xml:space="preserve">Някои </w:t>
      </w:r>
      <w:proofErr w:type="spellStart"/>
      <w:r w:rsidRPr="004F7849">
        <w:rPr>
          <w:lang w:eastAsia="bg-BG"/>
        </w:rPr>
        <w:t>антимикотици</w:t>
      </w:r>
      <w:proofErr w:type="spellEnd"/>
      <w:r w:rsidRPr="004F7849">
        <w:rPr>
          <w:lang w:eastAsia="bg-BG"/>
        </w:rPr>
        <w:t xml:space="preserve"> (напр. </w:t>
      </w:r>
      <w:proofErr w:type="spellStart"/>
      <w:r w:rsidRPr="004F7849">
        <w:rPr>
          <w:lang w:eastAsia="bg-BG"/>
        </w:rPr>
        <w:t>пентамидин</w:t>
      </w:r>
      <w:proofErr w:type="spellEnd"/>
      <w:r w:rsidRPr="004F7849">
        <w:rPr>
          <w:lang w:eastAsia="bg-BG"/>
        </w:rPr>
        <w:t>);</w:t>
      </w:r>
    </w:p>
    <w:p w14:paraId="4F9E7332" w14:textId="77777777" w:rsidR="004F7849" w:rsidRPr="004F7849" w:rsidRDefault="004F7849" w:rsidP="004F7849">
      <w:pPr>
        <w:pStyle w:val="ListParagraph"/>
        <w:numPr>
          <w:ilvl w:val="0"/>
          <w:numId w:val="38"/>
        </w:numPr>
        <w:rPr>
          <w:sz w:val="24"/>
          <w:szCs w:val="24"/>
        </w:rPr>
      </w:pPr>
      <w:r w:rsidRPr="004F7849">
        <w:rPr>
          <w:lang w:eastAsia="bg-BG"/>
        </w:rPr>
        <w:t xml:space="preserve">Някои антималарийни средства (напр. </w:t>
      </w:r>
      <w:proofErr w:type="spellStart"/>
      <w:r w:rsidRPr="004F7849">
        <w:rPr>
          <w:lang w:eastAsia="bg-BG"/>
        </w:rPr>
        <w:t>халофантрин</w:t>
      </w:r>
      <w:proofErr w:type="spellEnd"/>
      <w:r w:rsidRPr="004F7849">
        <w:rPr>
          <w:lang w:eastAsia="bg-BG"/>
        </w:rPr>
        <w:t>);</w:t>
      </w:r>
    </w:p>
    <w:p w14:paraId="0CB61651" w14:textId="77777777" w:rsidR="004F7849" w:rsidRPr="004F7849" w:rsidRDefault="004F7849" w:rsidP="004F7849">
      <w:pPr>
        <w:pStyle w:val="ListParagraph"/>
        <w:numPr>
          <w:ilvl w:val="0"/>
          <w:numId w:val="38"/>
        </w:numPr>
        <w:rPr>
          <w:sz w:val="24"/>
          <w:szCs w:val="24"/>
        </w:rPr>
      </w:pPr>
      <w:r w:rsidRPr="004F7849">
        <w:rPr>
          <w:lang w:eastAsia="bg-BG"/>
        </w:rPr>
        <w:t xml:space="preserve">Някои стомашно-чревни лекарствени продукти (напр. </w:t>
      </w:r>
      <w:proofErr w:type="spellStart"/>
      <w:r w:rsidRPr="004F7849">
        <w:rPr>
          <w:lang w:eastAsia="bg-BG"/>
        </w:rPr>
        <w:t>доласетрон</w:t>
      </w:r>
      <w:proofErr w:type="spellEnd"/>
      <w:r w:rsidRPr="004F7849">
        <w:rPr>
          <w:lang w:eastAsia="bg-BG"/>
        </w:rPr>
        <w:t>);</w:t>
      </w:r>
    </w:p>
    <w:p w14:paraId="4082CA0A" w14:textId="77777777" w:rsidR="004F7849" w:rsidRPr="004F7849" w:rsidRDefault="004F7849" w:rsidP="004F7849">
      <w:pPr>
        <w:pStyle w:val="ListParagraph"/>
        <w:numPr>
          <w:ilvl w:val="0"/>
          <w:numId w:val="38"/>
        </w:numPr>
        <w:rPr>
          <w:sz w:val="24"/>
          <w:szCs w:val="24"/>
        </w:rPr>
      </w:pPr>
      <w:r w:rsidRPr="004F7849">
        <w:rPr>
          <w:lang w:eastAsia="bg-BG"/>
        </w:rPr>
        <w:t xml:space="preserve">Някои лекарствени продукти, използвани при рак (напр. </w:t>
      </w:r>
      <w:proofErr w:type="spellStart"/>
      <w:r w:rsidRPr="004F7849">
        <w:rPr>
          <w:lang w:eastAsia="bg-BG"/>
        </w:rPr>
        <w:t>торемифен</w:t>
      </w:r>
      <w:proofErr w:type="spellEnd"/>
      <w:r w:rsidRPr="004F7849">
        <w:rPr>
          <w:lang w:eastAsia="bg-BG"/>
        </w:rPr>
        <w:t xml:space="preserve">, </w:t>
      </w:r>
      <w:proofErr w:type="spellStart"/>
      <w:r w:rsidRPr="004F7849">
        <w:rPr>
          <w:lang w:eastAsia="bg-BG"/>
        </w:rPr>
        <w:t>вандетаниб</w:t>
      </w:r>
      <w:proofErr w:type="spellEnd"/>
      <w:r w:rsidRPr="004F7849">
        <w:rPr>
          <w:lang w:eastAsia="bg-BG"/>
        </w:rPr>
        <w:t xml:space="preserve">); Някои други лекарствени продукти (напр. </w:t>
      </w:r>
      <w:proofErr w:type="spellStart"/>
      <w:r w:rsidRPr="004F7849">
        <w:rPr>
          <w:lang w:eastAsia="bg-BG"/>
        </w:rPr>
        <w:t>бепридил</w:t>
      </w:r>
      <w:proofErr w:type="spellEnd"/>
      <w:r w:rsidRPr="004F7849">
        <w:rPr>
          <w:lang w:eastAsia="bg-BG"/>
        </w:rPr>
        <w:t xml:space="preserve">, </w:t>
      </w:r>
      <w:proofErr w:type="spellStart"/>
      <w:r w:rsidRPr="004F7849">
        <w:rPr>
          <w:lang w:eastAsia="bg-BG"/>
        </w:rPr>
        <w:t>метадон</w:t>
      </w:r>
      <w:proofErr w:type="spellEnd"/>
      <w:r w:rsidRPr="004F7849">
        <w:rPr>
          <w:lang w:eastAsia="bg-BG"/>
        </w:rPr>
        <w:t>).</w:t>
      </w:r>
    </w:p>
    <w:p w14:paraId="30DBBDCC" w14:textId="77777777" w:rsidR="004F7849" w:rsidRDefault="004F7849" w:rsidP="004F7849">
      <w:pPr>
        <w:rPr>
          <w:lang w:eastAsia="bg-BG"/>
        </w:rPr>
      </w:pPr>
    </w:p>
    <w:p w14:paraId="748DA657" w14:textId="1E9AB9EF" w:rsidR="004F7849" w:rsidRPr="004F7849" w:rsidRDefault="004F7849" w:rsidP="004F7849">
      <w:pPr>
        <w:rPr>
          <w:sz w:val="24"/>
          <w:szCs w:val="24"/>
        </w:rPr>
      </w:pPr>
      <w:r w:rsidRPr="004F7849">
        <w:rPr>
          <w:lang w:eastAsia="bg-BG"/>
        </w:rPr>
        <w:t>Този списък не е изчерпателен.</w:t>
      </w:r>
    </w:p>
    <w:p w14:paraId="01225EC7" w14:textId="77777777" w:rsidR="004F7849" w:rsidRDefault="004F7849" w:rsidP="004F7849">
      <w:pPr>
        <w:rPr>
          <w:lang w:eastAsia="bg-BG"/>
        </w:rPr>
      </w:pPr>
    </w:p>
    <w:p w14:paraId="79334718" w14:textId="083C01EC" w:rsidR="004F7849" w:rsidRPr="004F7849" w:rsidRDefault="004F7849" w:rsidP="004F7849">
      <w:pPr>
        <w:rPr>
          <w:sz w:val="24"/>
          <w:szCs w:val="24"/>
        </w:rPr>
      </w:pPr>
      <w:r w:rsidRPr="004F7849">
        <w:rPr>
          <w:lang w:eastAsia="bg-BG"/>
        </w:rPr>
        <w:t xml:space="preserve">Препоръчва се предпазливост, когато </w:t>
      </w:r>
      <w:proofErr w:type="spellStart"/>
      <w:r w:rsidRPr="004F7849">
        <w:rPr>
          <w:lang w:eastAsia="bg-BG"/>
        </w:rPr>
        <w:t>халоперидол</w:t>
      </w:r>
      <w:proofErr w:type="spellEnd"/>
      <w:r w:rsidRPr="004F7849">
        <w:rPr>
          <w:lang w:eastAsia="bg-BG"/>
        </w:rPr>
        <w:t xml:space="preserve"> се използва в комбинация с лекарствени продукти, за които е известно, че предизвикват електролитен дисбаланс (вж. точка 4.4).</w:t>
      </w:r>
    </w:p>
    <w:p w14:paraId="734063A7" w14:textId="77777777" w:rsidR="004F7849" w:rsidRDefault="004F7849" w:rsidP="004F7849">
      <w:pPr>
        <w:rPr>
          <w:u w:val="single"/>
          <w:lang w:eastAsia="bg-BG"/>
        </w:rPr>
      </w:pPr>
    </w:p>
    <w:p w14:paraId="3F3B6EB6" w14:textId="2EB1BA2F" w:rsidR="004F7849" w:rsidRPr="004F7849" w:rsidRDefault="004F7849" w:rsidP="004F7849">
      <w:pPr>
        <w:rPr>
          <w:sz w:val="24"/>
          <w:szCs w:val="24"/>
        </w:rPr>
      </w:pPr>
      <w:r w:rsidRPr="004F7849">
        <w:rPr>
          <w:u w:val="single"/>
          <w:lang w:eastAsia="bg-BG"/>
        </w:rPr>
        <w:t xml:space="preserve">Лекарствени продукти, които могат да повишат плазмените концентрации на </w:t>
      </w:r>
      <w:proofErr w:type="spellStart"/>
      <w:r w:rsidRPr="004F7849">
        <w:rPr>
          <w:u w:val="single"/>
          <w:lang w:eastAsia="bg-BG"/>
        </w:rPr>
        <w:t>халоперидол</w:t>
      </w:r>
      <w:proofErr w:type="spellEnd"/>
      <w:r w:rsidRPr="004F7849">
        <w:rPr>
          <w:u w:val="single"/>
          <w:lang w:eastAsia="bg-BG"/>
        </w:rPr>
        <w:t xml:space="preserve"> </w:t>
      </w:r>
      <w:proofErr w:type="spellStart"/>
      <w:r w:rsidRPr="004F7849">
        <w:rPr>
          <w:lang w:eastAsia="bg-BG"/>
        </w:rPr>
        <w:t>Халоперидол</w:t>
      </w:r>
      <w:proofErr w:type="spellEnd"/>
      <w:r w:rsidRPr="004F7849">
        <w:rPr>
          <w:lang w:eastAsia="bg-BG"/>
        </w:rPr>
        <w:t xml:space="preserve"> се </w:t>
      </w:r>
      <w:proofErr w:type="spellStart"/>
      <w:r w:rsidRPr="004F7849">
        <w:rPr>
          <w:lang w:eastAsia="bg-BG"/>
        </w:rPr>
        <w:t>метаболизира</w:t>
      </w:r>
      <w:proofErr w:type="spellEnd"/>
      <w:r w:rsidRPr="004F7849">
        <w:rPr>
          <w:lang w:eastAsia="bg-BG"/>
        </w:rPr>
        <w:t xml:space="preserve"> по няколко пътища (вж. точка 5.2). Основните пътища са </w:t>
      </w:r>
      <w:proofErr w:type="spellStart"/>
      <w:r w:rsidRPr="004F7849">
        <w:rPr>
          <w:lang w:eastAsia="bg-BG"/>
        </w:rPr>
        <w:t>глюкуронидиране</w:t>
      </w:r>
      <w:proofErr w:type="spellEnd"/>
      <w:r w:rsidRPr="004F7849">
        <w:rPr>
          <w:lang w:eastAsia="bg-BG"/>
        </w:rPr>
        <w:t xml:space="preserve"> и </w:t>
      </w:r>
      <w:proofErr w:type="spellStart"/>
      <w:r w:rsidRPr="004F7849">
        <w:rPr>
          <w:lang w:eastAsia="bg-BG"/>
        </w:rPr>
        <w:t>кетонна</w:t>
      </w:r>
      <w:proofErr w:type="spellEnd"/>
      <w:r w:rsidRPr="004F7849">
        <w:rPr>
          <w:lang w:eastAsia="bg-BG"/>
        </w:rPr>
        <w:t xml:space="preserve"> редукция. Ензимната система на </w:t>
      </w:r>
      <w:proofErr w:type="spellStart"/>
      <w:r w:rsidRPr="004F7849">
        <w:rPr>
          <w:lang w:eastAsia="bg-BG"/>
        </w:rPr>
        <w:t>цитохром</w:t>
      </w:r>
      <w:proofErr w:type="spellEnd"/>
      <w:r w:rsidRPr="004F7849">
        <w:rPr>
          <w:lang w:eastAsia="bg-BG"/>
        </w:rPr>
        <w:t xml:space="preserve"> Р450 също участва, особено </w:t>
      </w:r>
      <w:r w:rsidRPr="004F7849">
        <w:rPr>
          <w:lang w:val="en-US"/>
        </w:rPr>
        <w:t xml:space="preserve">CYP3A4 </w:t>
      </w:r>
      <w:r w:rsidRPr="004F7849">
        <w:rPr>
          <w:lang w:eastAsia="bg-BG"/>
        </w:rPr>
        <w:t xml:space="preserve">и в по-малка степен </w:t>
      </w:r>
      <w:r w:rsidRPr="004F7849">
        <w:rPr>
          <w:lang w:val="en-US"/>
        </w:rPr>
        <w:t xml:space="preserve">CYP2D6. </w:t>
      </w:r>
      <w:r w:rsidRPr="004F7849">
        <w:rPr>
          <w:lang w:eastAsia="bg-BG"/>
        </w:rPr>
        <w:t xml:space="preserve">Инхибирането на тези пътища на метаболизъм от друг лекарствен продукт или намаляване на ензимната активност на </w:t>
      </w:r>
      <w:r w:rsidRPr="004F7849">
        <w:rPr>
          <w:lang w:val="en-US"/>
        </w:rPr>
        <w:t xml:space="preserve">CYP2D6 </w:t>
      </w:r>
      <w:r w:rsidRPr="004F7849">
        <w:rPr>
          <w:lang w:eastAsia="bg-BG"/>
        </w:rPr>
        <w:t xml:space="preserve">може да доведе до повишение на концентрациите на </w:t>
      </w:r>
      <w:proofErr w:type="spellStart"/>
      <w:r w:rsidRPr="004F7849">
        <w:rPr>
          <w:lang w:eastAsia="bg-BG"/>
        </w:rPr>
        <w:t>халоперидол</w:t>
      </w:r>
      <w:proofErr w:type="spellEnd"/>
      <w:r w:rsidRPr="004F7849">
        <w:rPr>
          <w:lang w:eastAsia="bg-BG"/>
        </w:rPr>
        <w:t xml:space="preserve">. Ефектът от инхибирането на </w:t>
      </w:r>
      <w:r w:rsidRPr="004F7849">
        <w:rPr>
          <w:lang w:val="en-US"/>
        </w:rPr>
        <w:t xml:space="preserve">CYP3A4 </w:t>
      </w:r>
      <w:r w:rsidRPr="004F7849">
        <w:rPr>
          <w:lang w:eastAsia="bg-BG"/>
        </w:rPr>
        <w:t xml:space="preserve">и от намалената ензимна активност на </w:t>
      </w:r>
      <w:r w:rsidRPr="004F7849">
        <w:rPr>
          <w:lang w:val="en-US"/>
        </w:rPr>
        <w:t xml:space="preserve">CYP2D6 </w:t>
      </w:r>
      <w:r w:rsidRPr="004F7849">
        <w:rPr>
          <w:lang w:eastAsia="bg-BG"/>
        </w:rPr>
        <w:t>може да бъде адитивен (</w:t>
      </w:r>
      <w:proofErr w:type="spellStart"/>
      <w:r w:rsidRPr="004F7849">
        <w:rPr>
          <w:lang w:eastAsia="bg-BG"/>
        </w:rPr>
        <w:t>вж</w:t>
      </w:r>
      <w:proofErr w:type="spellEnd"/>
      <w:r w:rsidRPr="004F7849">
        <w:rPr>
          <w:lang w:eastAsia="bg-BG"/>
        </w:rPr>
        <w:t xml:space="preserve">, точка 5.2). Въз основа на ограничена и понякога противоречаща си информация, потенциалното повишение на плазмените концентрации на </w:t>
      </w:r>
      <w:proofErr w:type="spellStart"/>
      <w:r w:rsidRPr="004F7849">
        <w:rPr>
          <w:lang w:eastAsia="bg-BG"/>
        </w:rPr>
        <w:t>халоперидол</w:t>
      </w:r>
      <w:proofErr w:type="spellEnd"/>
      <w:r w:rsidRPr="004F7849">
        <w:rPr>
          <w:lang w:eastAsia="bg-BG"/>
        </w:rPr>
        <w:t xml:space="preserve"> при едновременно приложение на инхибитор на </w:t>
      </w:r>
      <w:r w:rsidRPr="004F7849">
        <w:rPr>
          <w:lang w:val="en-US"/>
        </w:rPr>
        <w:t xml:space="preserve">CYP3A4 </w:t>
      </w:r>
      <w:r w:rsidRPr="004F7849">
        <w:rPr>
          <w:lang w:eastAsia="bg-BG"/>
        </w:rPr>
        <w:t xml:space="preserve">и/или </w:t>
      </w:r>
      <w:r w:rsidRPr="004F7849">
        <w:rPr>
          <w:lang w:val="en-US"/>
        </w:rPr>
        <w:t xml:space="preserve">CYP2D6 </w:t>
      </w:r>
      <w:r w:rsidRPr="004F7849">
        <w:rPr>
          <w:lang w:eastAsia="bg-BG"/>
        </w:rPr>
        <w:t xml:space="preserve">може да варира между 20 до 40%, въпреки че в някои случаи се съобщават повишения до 100%. Примерите за лекарствени продукти, които могат да повишат плазмените концентрации на </w:t>
      </w:r>
      <w:proofErr w:type="spellStart"/>
      <w:r w:rsidRPr="004F7849">
        <w:rPr>
          <w:lang w:eastAsia="bg-BG"/>
        </w:rPr>
        <w:t>халоперидол</w:t>
      </w:r>
      <w:proofErr w:type="spellEnd"/>
      <w:r w:rsidRPr="004F7849">
        <w:rPr>
          <w:lang w:eastAsia="bg-BG"/>
        </w:rPr>
        <w:t xml:space="preserve"> (въз основа на клиничния опит или механизма на лекарствените взаимодействия), включват:</w:t>
      </w:r>
    </w:p>
    <w:p w14:paraId="3B5D72A2" w14:textId="77777777" w:rsidR="004F7849" w:rsidRDefault="004F7849" w:rsidP="004F7849">
      <w:pPr>
        <w:pStyle w:val="ListParagraph"/>
        <w:numPr>
          <w:ilvl w:val="0"/>
          <w:numId w:val="37"/>
        </w:numPr>
        <w:rPr>
          <w:lang w:eastAsia="bg-BG"/>
        </w:rPr>
      </w:pPr>
      <w:r w:rsidRPr="004F7849">
        <w:rPr>
          <w:lang w:eastAsia="bg-BG"/>
        </w:rPr>
        <w:t xml:space="preserve">Инхибитори на </w:t>
      </w:r>
      <w:r w:rsidRPr="004F7849">
        <w:rPr>
          <w:lang w:val="en-US"/>
        </w:rPr>
        <w:t>CYP3</w:t>
      </w:r>
      <w:r w:rsidRPr="004F7849">
        <w:rPr>
          <w:lang w:eastAsia="bg-BG"/>
        </w:rPr>
        <w:t xml:space="preserve">А4 - </w:t>
      </w:r>
      <w:proofErr w:type="spellStart"/>
      <w:r w:rsidRPr="004F7849">
        <w:rPr>
          <w:lang w:eastAsia="bg-BG"/>
        </w:rPr>
        <w:t>алпразолам</w:t>
      </w:r>
      <w:proofErr w:type="spellEnd"/>
      <w:r w:rsidRPr="004F7849">
        <w:rPr>
          <w:lang w:eastAsia="bg-BG"/>
        </w:rPr>
        <w:t xml:space="preserve">, </w:t>
      </w:r>
      <w:proofErr w:type="spellStart"/>
      <w:r w:rsidRPr="004F7849">
        <w:rPr>
          <w:lang w:eastAsia="bg-BG"/>
        </w:rPr>
        <w:t>флувоксамин</w:t>
      </w:r>
      <w:proofErr w:type="spellEnd"/>
      <w:r w:rsidRPr="004F7849">
        <w:rPr>
          <w:lang w:eastAsia="bg-BG"/>
        </w:rPr>
        <w:t xml:space="preserve">, </w:t>
      </w:r>
      <w:proofErr w:type="spellStart"/>
      <w:r w:rsidRPr="004F7849">
        <w:rPr>
          <w:lang w:eastAsia="bg-BG"/>
        </w:rPr>
        <w:t>индинавир</w:t>
      </w:r>
      <w:proofErr w:type="spellEnd"/>
      <w:r w:rsidRPr="004F7849">
        <w:rPr>
          <w:lang w:eastAsia="bg-BG"/>
        </w:rPr>
        <w:t xml:space="preserve">, </w:t>
      </w:r>
      <w:proofErr w:type="spellStart"/>
      <w:r w:rsidRPr="004F7849">
        <w:rPr>
          <w:lang w:eastAsia="bg-BG"/>
        </w:rPr>
        <w:t>итраконазол</w:t>
      </w:r>
      <w:proofErr w:type="spellEnd"/>
      <w:r w:rsidRPr="004F7849">
        <w:rPr>
          <w:lang w:eastAsia="bg-BG"/>
        </w:rPr>
        <w:t xml:space="preserve">, </w:t>
      </w:r>
      <w:proofErr w:type="spellStart"/>
      <w:r w:rsidRPr="004F7849">
        <w:rPr>
          <w:lang w:eastAsia="bg-BG"/>
        </w:rPr>
        <w:t>кетоконазол</w:t>
      </w:r>
      <w:proofErr w:type="spellEnd"/>
      <w:r w:rsidRPr="004F7849">
        <w:rPr>
          <w:lang w:eastAsia="bg-BG"/>
        </w:rPr>
        <w:t xml:space="preserve">, </w:t>
      </w:r>
      <w:proofErr w:type="spellStart"/>
      <w:r w:rsidRPr="004F7849">
        <w:rPr>
          <w:lang w:eastAsia="bg-BG"/>
        </w:rPr>
        <w:t>нефазодон</w:t>
      </w:r>
      <w:proofErr w:type="spellEnd"/>
      <w:r w:rsidRPr="004F7849">
        <w:rPr>
          <w:lang w:eastAsia="bg-BG"/>
        </w:rPr>
        <w:t xml:space="preserve">, </w:t>
      </w:r>
      <w:proofErr w:type="spellStart"/>
      <w:r w:rsidRPr="004F7849">
        <w:rPr>
          <w:lang w:eastAsia="bg-BG"/>
        </w:rPr>
        <w:t>позаконазол</w:t>
      </w:r>
      <w:proofErr w:type="spellEnd"/>
      <w:r w:rsidRPr="004F7849">
        <w:rPr>
          <w:lang w:eastAsia="bg-BG"/>
        </w:rPr>
        <w:t xml:space="preserve">, </w:t>
      </w:r>
      <w:proofErr w:type="spellStart"/>
      <w:r w:rsidRPr="004F7849">
        <w:rPr>
          <w:lang w:eastAsia="bg-BG"/>
        </w:rPr>
        <w:t>саквинавир</w:t>
      </w:r>
      <w:proofErr w:type="spellEnd"/>
      <w:r w:rsidRPr="004F7849">
        <w:rPr>
          <w:lang w:eastAsia="bg-BG"/>
        </w:rPr>
        <w:t xml:space="preserve">, </w:t>
      </w:r>
      <w:proofErr w:type="spellStart"/>
      <w:r w:rsidRPr="004F7849">
        <w:rPr>
          <w:lang w:eastAsia="bg-BG"/>
        </w:rPr>
        <w:t>верапамил</w:t>
      </w:r>
      <w:proofErr w:type="spellEnd"/>
      <w:r w:rsidRPr="004F7849">
        <w:rPr>
          <w:lang w:eastAsia="bg-BG"/>
        </w:rPr>
        <w:t xml:space="preserve">, </w:t>
      </w:r>
      <w:proofErr w:type="spellStart"/>
      <w:r w:rsidRPr="004F7849">
        <w:rPr>
          <w:lang w:eastAsia="bg-BG"/>
        </w:rPr>
        <w:t>вориконазол</w:t>
      </w:r>
      <w:proofErr w:type="spellEnd"/>
      <w:r w:rsidRPr="004F7849">
        <w:rPr>
          <w:lang w:eastAsia="bg-BG"/>
        </w:rPr>
        <w:t xml:space="preserve">; </w:t>
      </w:r>
    </w:p>
    <w:p w14:paraId="661313DB" w14:textId="2ECE4C9A" w:rsidR="004F7849" w:rsidRPr="004F7849" w:rsidRDefault="004F7849" w:rsidP="004F7849">
      <w:pPr>
        <w:pStyle w:val="ListParagraph"/>
        <w:numPr>
          <w:ilvl w:val="0"/>
          <w:numId w:val="37"/>
        </w:numPr>
        <w:rPr>
          <w:sz w:val="24"/>
          <w:szCs w:val="24"/>
        </w:rPr>
      </w:pPr>
      <w:r w:rsidRPr="004F7849">
        <w:rPr>
          <w:lang w:eastAsia="bg-BG"/>
        </w:rPr>
        <w:lastRenderedPageBreak/>
        <w:t xml:space="preserve">Инхибитори на </w:t>
      </w:r>
      <w:r w:rsidRPr="004F7849">
        <w:rPr>
          <w:lang w:val="en-US"/>
        </w:rPr>
        <w:t xml:space="preserve">CYP2D6 </w:t>
      </w:r>
      <w:r w:rsidRPr="004F7849">
        <w:rPr>
          <w:lang w:eastAsia="bg-BG"/>
        </w:rPr>
        <w:t xml:space="preserve">- </w:t>
      </w:r>
      <w:proofErr w:type="spellStart"/>
      <w:r w:rsidRPr="004F7849">
        <w:rPr>
          <w:lang w:eastAsia="bg-BG"/>
        </w:rPr>
        <w:t>бупропион</w:t>
      </w:r>
      <w:proofErr w:type="spellEnd"/>
      <w:r w:rsidRPr="004F7849">
        <w:rPr>
          <w:lang w:eastAsia="bg-BG"/>
        </w:rPr>
        <w:t xml:space="preserve">, </w:t>
      </w:r>
      <w:proofErr w:type="spellStart"/>
      <w:r w:rsidRPr="004F7849">
        <w:rPr>
          <w:lang w:eastAsia="bg-BG"/>
        </w:rPr>
        <w:t>дулоксетин</w:t>
      </w:r>
      <w:proofErr w:type="spellEnd"/>
      <w:r w:rsidRPr="004F7849">
        <w:rPr>
          <w:lang w:eastAsia="bg-BG"/>
        </w:rPr>
        <w:t xml:space="preserve">, </w:t>
      </w:r>
      <w:proofErr w:type="spellStart"/>
      <w:r w:rsidRPr="004F7849">
        <w:rPr>
          <w:lang w:eastAsia="bg-BG"/>
        </w:rPr>
        <w:t>пароксетин</w:t>
      </w:r>
      <w:proofErr w:type="spellEnd"/>
      <w:r w:rsidRPr="004F7849">
        <w:rPr>
          <w:lang w:eastAsia="bg-BG"/>
        </w:rPr>
        <w:t xml:space="preserve">, </w:t>
      </w:r>
      <w:proofErr w:type="spellStart"/>
      <w:r w:rsidRPr="004F7849">
        <w:rPr>
          <w:lang w:eastAsia="bg-BG"/>
        </w:rPr>
        <w:t>сертралин</w:t>
      </w:r>
      <w:proofErr w:type="spellEnd"/>
      <w:r w:rsidRPr="004F7849">
        <w:rPr>
          <w:lang w:eastAsia="bg-BG"/>
        </w:rPr>
        <w:t xml:space="preserve">, </w:t>
      </w:r>
      <w:proofErr w:type="spellStart"/>
      <w:r w:rsidRPr="004F7849">
        <w:rPr>
          <w:lang w:eastAsia="bg-BG"/>
        </w:rPr>
        <w:t>хлорпромазин</w:t>
      </w:r>
      <w:proofErr w:type="spellEnd"/>
      <w:r w:rsidRPr="004F7849">
        <w:rPr>
          <w:lang w:eastAsia="bg-BG"/>
        </w:rPr>
        <w:t xml:space="preserve">, </w:t>
      </w:r>
      <w:proofErr w:type="spellStart"/>
      <w:r w:rsidRPr="004F7849">
        <w:rPr>
          <w:lang w:eastAsia="bg-BG"/>
        </w:rPr>
        <w:t>прометазин</w:t>
      </w:r>
      <w:proofErr w:type="spellEnd"/>
      <w:r w:rsidRPr="004F7849">
        <w:rPr>
          <w:lang w:eastAsia="bg-BG"/>
        </w:rPr>
        <w:t xml:space="preserve">, </w:t>
      </w:r>
      <w:proofErr w:type="spellStart"/>
      <w:r w:rsidRPr="004F7849">
        <w:rPr>
          <w:lang w:eastAsia="bg-BG"/>
        </w:rPr>
        <w:t>венлафаксин</w:t>
      </w:r>
      <w:proofErr w:type="spellEnd"/>
      <w:r w:rsidRPr="004F7849">
        <w:rPr>
          <w:lang w:eastAsia="bg-BG"/>
        </w:rPr>
        <w:t>;</w:t>
      </w:r>
    </w:p>
    <w:p w14:paraId="04EDAD4D" w14:textId="77777777" w:rsidR="004F7849" w:rsidRPr="004F7849" w:rsidRDefault="004F7849" w:rsidP="004F7849">
      <w:pPr>
        <w:pStyle w:val="ListParagraph"/>
        <w:numPr>
          <w:ilvl w:val="0"/>
          <w:numId w:val="37"/>
        </w:numPr>
        <w:rPr>
          <w:sz w:val="24"/>
          <w:szCs w:val="24"/>
        </w:rPr>
      </w:pPr>
      <w:r w:rsidRPr="004F7849">
        <w:rPr>
          <w:lang w:eastAsia="bg-BG"/>
        </w:rPr>
        <w:t xml:space="preserve">Комбинирани инхибитори на </w:t>
      </w:r>
      <w:r w:rsidRPr="004F7849">
        <w:rPr>
          <w:lang w:val="en-US"/>
        </w:rPr>
        <w:t xml:space="preserve">CYP3A4 </w:t>
      </w:r>
      <w:r w:rsidRPr="004F7849">
        <w:rPr>
          <w:lang w:eastAsia="bg-BG"/>
        </w:rPr>
        <w:t xml:space="preserve">и </w:t>
      </w:r>
      <w:r w:rsidRPr="004F7849">
        <w:rPr>
          <w:lang w:val="en-US"/>
        </w:rPr>
        <w:t xml:space="preserve">CYP2D6: </w:t>
      </w:r>
      <w:proofErr w:type="spellStart"/>
      <w:r w:rsidRPr="004F7849">
        <w:rPr>
          <w:lang w:eastAsia="bg-BG"/>
        </w:rPr>
        <w:t>флуоксетин</w:t>
      </w:r>
      <w:proofErr w:type="spellEnd"/>
      <w:r w:rsidRPr="004F7849">
        <w:rPr>
          <w:lang w:eastAsia="bg-BG"/>
        </w:rPr>
        <w:t>, ритонавир;</w:t>
      </w:r>
    </w:p>
    <w:p w14:paraId="2D1E164D" w14:textId="77777777" w:rsidR="004F7849" w:rsidRPr="004F7849" w:rsidRDefault="004F7849" w:rsidP="004F7849">
      <w:pPr>
        <w:pStyle w:val="ListParagraph"/>
        <w:numPr>
          <w:ilvl w:val="0"/>
          <w:numId w:val="37"/>
        </w:numPr>
        <w:rPr>
          <w:sz w:val="24"/>
          <w:szCs w:val="24"/>
        </w:rPr>
      </w:pPr>
      <w:r w:rsidRPr="004F7849">
        <w:rPr>
          <w:lang w:eastAsia="bg-BG"/>
        </w:rPr>
        <w:t>Несигурен механизъм -</w:t>
      </w:r>
      <w:proofErr w:type="spellStart"/>
      <w:r w:rsidRPr="004F7849">
        <w:rPr>
          <w:lang w:eastAsia="bg-BG"/>
        </w:rPr>
        <w:t>буспирон</w:t>
      </w:r>
      <w:proofErr w:type="spellEnd"/>
      <w:r w:rsidRPr="004F7849">
        <w:rPr>
          <w:lang w:eastAsia="bg-BG"/>
        </w:rPr>
        <w:t>.</w:t>
      </w:r>
    </w:p>
    <w:p w14:paraId="038F6210" w14:textId="77777777" w:rsidR="004F7849" w:rsidRDefault="004F7849" w:rsidP="004F7849">
      <w:pPr>
        <w:rPr>
          <w:lang w:eastAsia="bg-BG"/>
        </w:rPr>
      </w:pPr>
    </w:p>
    <w:p w14:paraId="764A4BB4" w14:textId="6B56FF5C" w:rsidR="004F7849" w:rsidRPr="004F7849" w:rsidRDefault="004F7849" w:rsidP="004F7849">
      <w:pPr>
        <w:rPr>
          <w:sz w:val="24"/>
          <w:szCs w:val="24"/>
        </w:rPr>
      </w:pPr>
      <w:r w:rsidRPr="004F7849">
        <w:rPr>
          <w:lang w:eastAsia="bg-BG"/>
        </w:rPr>
        <w:t>Този списък не е изчерпателен.</w:t>
      </w:r>
    </w:p>
    <w:p w14:paraId="60E2795E" w14:textId="77777777" w:rsidR="004F7849" w:rsidRDefault="004F7849" w:rsidP="004F7849">
      <w:pPr>
        <w:rPr>
          <w:lang w:eastAsia="bg-BG"/>
        </w:rPr>
      </w:pPr>
    </w:p>
    <w:p w14:paraId="7995D79C" w14:textId="77777777" w:rsidR="004F7849" w:rsidRPr="004F7849" w:rsidRDefault="004F7849" w:rsidP="004F7849">
      <w:pPr>
        <w:rPr>
          <w:sz w:val="24"/>
          <w:szCs w:val="24"/>
        </w:rPr>
      </w:pPr>
      <w:r w:rsidRPr="004F7849">
        <w:rPr>
          <w:lang w:eastAsia="bg-BG"/>
        </w:rPr>
        <w:t xml:space="preserve">Повишените плазмени концентрации на </w:t>
      </w:r>
      <w:proofErr w:type="spellStart"/>
      <w:r w:rsidRPr="004F7849">
        <w:rPr>
          <w:lang w:eastAsia="bg-BG"/>
        </w:rPr>
        <w:t>халоперидол</w:t>
      </w:r>
      <w:proofErr w:type="spellEnd"/>
      <w:r w:rsidRPr="004F7849">
        <w:rPr>
          <w:lang w:eastAsia="bg-BG"/>
        </w:rPr>
        <w:t xml:space="preserve"> може да доведат до повишен риск от</w:t>
      </w:r>
      <w:r>
        <w:rPr>
          <w:lang w:val="en-US" w:eastAsia="bg-BG"/>
        </w:rPr>
        <w:t xml:space="preserve"> </w:t>
      </w:r>
      <w:r w:rsidRPr="004F7849">
        <w:rPr>
          <w:lang w:eastAsia="bg-BG"/>
        </w:rPr>
        <w:t xml:space="preserve">нежелани събития, включително удължаване на </w:t>
      </w:r>
      <w:r w:rsidRPr="004F7849">
        <w:rPr>
          <w:lang w:val="en-US"/>
        </w:rPr>
        <w:t xml:space="preserve">QTc </w:t>
      </w:r>
      <w:r w:rsidRPr="004F7849">
        <w:rPr>
          <w:lang w:eastAsia="bg-BG"/>
        </w:rPr>
        <w:t xml:space="preserve">(вж. точка 4.4). Удължаване на </w:t>
      </w:r>
      <w:r w:rsidRPr="004F7849">
        <w:rPr>
          <w:lang w:val="en-US"/>
        </w:rPr>
        <w:t xml:space="preserve">QTc </w:t>
      </w:r>
      <w:r w:rsidRPr="004F7849">
        <w:rPr>
          <w:lang w:eastAsia="bg-BG"/>
        </w:rPr>
        <w:t xml:space="preserve">е наблюдавано, когато </w:t>
      </w:r>
      <w:proofErr w:type="spellStart"/>
      <w:r w:rsidRPr="004F7849">
        <w:rPr>
          <w:lang w:eastAsia="bg-BG"/>
        </w:rPr>
        <w:t>халоперидол</w:t>
      </w:r>
      <w:proofErr w:type="spellEnd"/>
      <w:r w:rsidRPr="004F7849">
        <w:rPr>
          <w:lang w:eastAsia="bg-BG"/>
        </w:rPr>
        <w:t xml:space="preserve"> е прилаган в комбинация с метаболитните инхибитори </w:t>
      </w:r>
      <w:proofErr w:type="spellStart"/>
      <w:r w:rsidRPr="004F7849">
        <w:rPr>
          <w:lang w:eastAsia="bg-BG"/>
        </w:rPr>
        <w:t>кетоконазол</w:t>
      </w:r>
      <w:proofErr w:type="spellEnd"/>
      <w:r w:rsidRPr="004F7849">
        <w:rPr>
          <w:lang w:eastAsia="bg-BG"/>
        </w:rPr>
        <w:t xml:space="preserve"> (400 </w:t>
      </w:r>
      <w:r w:rsidRPr="004F7849">
        <w:rPr>
          <w:lang w:val="en-US"/>
        </w:rPr>
        <w:t>mg</w:t>
      </w:r>
      <w:r w:rsidRPr="004F7849">
        <w:rPr>
          <w:lang w:eastAsia="bg-BG"/>
        </w:rPr>
        <w:t xml:space="preserve">/ден) и </w:t>
      </w:r>
      <w:proofErr w:type="spellStart"/>
      <w:r w:rsidRPr="004F7849">
        <w:rPr>
          <w:lang w:eastAsia="bg-BG"/>
        </w:rPr>
        <w:t>пароксетин</w:t>
      </w:r>
      <w:proofErr w:type="spellEnd"/>
      <w:r w:rsidRPr="004F7849">
        <w:rPr>
          <w:lang w:eastAsia="bg-BG"/>
        </w:rPr>
        <w:t xml:space="preserve"> (20 </w:t>
      </w:r>
      <w:r w:rsidRPr="004F7849">
        <w:rPr>
          <w:lang w:val="en-US"/>
        </w:rPr>
        <w:t>mg</w:t>
      </w:r>
      <w:r w:rsidRPr="004F7849">
        <w:rPr>
          <w:lang w:eastAsia="bg-BG"/>
        </w:rPr>
        <w:t xml:space="preserve">/ден). Препоръчва се пациентите, които приемат </w:t>
      </w:r>
      <w:proofErr w:type="spellStart"/>
      <w:r w:rsidRPr="004F7849">
        <w:rPr>
          <w:lang w:eastAsia="bg-BG"/>
        </w:rPr>
        <w:t>халоперидол</w:t>
      </w:r>
      <w:proofErr w:type="spellEnd"/>
      <w:r w:rsidRPr="004F7849">
        <w:rPr>
          <w:lang w:eastAsia="bg-BG"/>
        </w:rPr>
        <w:t xml:space="preserve"> едновременно с такива лекарствени продукти, да се проследяват за признаци или симптоми на засилени или удължени фармакологични ефекти на </w:t>
      </w:r>
      <w:proofErr w:type="spellStart"/>
      <w:r w:rsidRPr="004F7849">
        <w:rPr>
          <w:lang w:eastAsia="bg-BG"/>
        </w:rPr>
        <w:t>халоперидол</w:t>
      </w:r>
      <w:proofErr w:type="spellEnd"/>
      <w:r w:rsidRPr="004F7849">
        <w:rPr>
          <w:lang w:eastAsia="bg-BG"/>
        </w:rPr>
        <w:t xml:space="preserve">, а дозата на </w:t>
      </w:r>
      <w:proofErr w:type="spellStart"/>
      <w:r w:rsidRPr="004F7849">
        <w:rPr>
          <w:lang w:eastAsia="bg-BG"/>
        </w:rPr>
        <w:t>халоперидол</w:t>
      </w:r>
      <w:proofErr w:type="spellEnd"/>
      <w:r w:rsidRPr="004F7849">
        <w:rPr>
          <w:lang w:eastAsia="bg-BG"/>
        </w:rPr>
        <w:t xml:space="preserve"> да се намали според нуждите.</w:t>
      </w:r>
    </w:p>
    <w:p w14:paraId="34342288" w14:textId="77777777" w:rsidR="004F7849" w:rsidRDefault="004F7849" w:rsidP="004F7849">
      <w:pPr>
        <w:rPr>
          <w:u w:val="single"/>
          <w:lang w:eastAsia="bg-BG"/>
        </w:rPr>
      </w:pPr>
    </w:p>
    <w:p w14:paraId="047D7848" w14:textId="1E36B7C1" w:rsidR="004F7849" w:rsidRPr="004F7849" w:rsidRDefault="004F7849" w:rsidP="004F7849">
      <w:pPr>
        <w:rPr>
          <w:sz w:val="24"/>
          <w:szCs w:val="24"/>
        </w:rPr>
      </w:pPr>
      <w:r w:rsidRPr="004F7849">
        <w:rPr>
          <w:u w:val="single"/>
          <w:lang w:eastAsia="bg-BG"/>
        </w:rPr>
        <w:t xml:space="preserve">Лекарствени продукти, които могат да понижат плазмените концентрации на </w:t>
      </w:r>
      <w:proofErr w:type="spellStart"/>
      <w:r w:rsidRPr="004F7849">
        <w:rPr>
          <w:u w:val="single"/>
          <w:lang w:eastAsia="bg-BG"/>
        </w:rPr>
        <w:t>халоперидол</w:t>
      </w:r>
      <w:proofErr w:type="spellEnd"/>
      <w:r w:rsidRPr="004F7849">
        <w:rPr>
          <w:u w:val="single"/>
          <w:lang w:eastAsia="bg-BG"/>
        </w:rPr>
        <w:t xml:space="preserve"> </w:t>
      </w:r>
      <w:r w:rsidRPr="004F7849">
        <w:rPr>
          <w:lang w:eastAsia="bg-BG"/>
        </w:rPr>
        <w:t xml:space="preserve">Едновременното приложение на </w:t>
      </w:r>
      <w:proofErr w:type="spellStart"/>
      <w:r w:rsidRPr="004F7849">
        <w:rPr>
          <w:lang w:eastAsia="bg-BG"/>
        </w:rPr>
        <w:t>халоперидол</w:t>
      </w:r>
      <w:proofErr w:type="spellEnd"/>
      <w:r w:rsidRPr="004F7849">
        <w:rPr>
          <w:lang w:eastAsia="bg-BG"/>
        </w:rPr>
        <w:t xml:space="preserve"> с мощни ензимни индуктори на </w:t>
      </w:r>
      <w:r w:rsidRPr="004F7849">
        <w:rPr>
          <w:lang w:val="en-US"/>
        </w:rPr>
        <w:t xml:space="preserve">CYP3A4 </w:t>
      </w:r>
      <w:r w:rsidRPr="004F7849">
        <w:rPr>
          <w:lang w:eastAsia="bg-BG"/>
        </w:rPr>
        <w:t xml:space="preserve">може постепенно да понижат плазмените концентрации на </w:t>
      </w:r>
      <w:proofErr w:type="spellStart"/>
      <w:r w:rsidRPr="004F7849">
        <w:rPr>
          <w:lang w:eastAsia="bg-BG"/>
        </w:rPr>
        <w:t>халоперидол</w:t>
      </w:r>
      <w:proofErr w:type="spellEnd"/>
      <w:r w:rsidRPr="004F7849">
        <w:rPr>
          <w:lang w:eastAsia="bg-BG"/>
        </w:rPr>
        <w:t xml:space="preserve"> до такава степен, че може да се понижи ефикасността. Примерите включват:</w:t>
      </w:r>
    </w:p>
    <w:p w14:paraId="5C7C1854" w14:textId="77777777" w:rsidR="004F7849" w:rsidRPr="004F7849" w:rsidRDefault="004F7849" w:rsidP="004F7849">
      <w:pPr>
        <w:pStyle w:val="ListParagraph"/>
        <w:numPr>
          <w:ilvl w:val="0"/>
          <w:numId w:val="39"/>
        </w:numPr>
        <w:rPr>
          <w:sz w:val="24"/>
          <w:szCs w:val="24"/>
        </w:rPr>
      </w:pPr>
      <w:proofErr w:type="spellStart"/>
      <w:r w:rsidRPr="004F7849">
        <w:rPr>
          <w:lang w:eastAsia="bg-BG"/>
        </w:rPr>
        <w:t>Карбамазепин</w:t>
      </w:r>
      <w:proofErr w:type="spellEnd"/>
      <w:r w:rsidRPr="004F7849">
        <w:rPr>
          <w:lang w:eastAsia="bg-BG"/>
        </w:rPr>
        <w:t xml:space="preserve">, </w:t>
      </w:r>
      <w:proofErr w:type="spellStart"/>
      <w:r w:rsidRPr="004F7849">
        <w:rPr>
          <w:lang w:eastAsia="bg-BG"/>
        </w:rPr>
        <w:t>фенобарбитал</w:t>
      </w:r>
      <w:proofErr w:type="spellEnd"/>
      <w:r w:rsidRPr="004F7849">
        <w:rPr>
          <w:lang w:eastAsia="bg-BG"/>
        </w:rPr>
        <w:t xml:space="preserve">, </w:t>
      </w:r>
      <w:proofErr w:type="spellStart"/>
      <w:r w:rsidRPr="004F7849">
        <w:rPr>
          <w:lang w:eastAsia="bg-BG"/>
        </w:rPr>
        <w:t>фенитоин</w:t>
      </w:r>
      <w:proofErr w:type="spellEnd"/>
      <w:r w:rsidRPr="004F7849">
        <w:rPr>
          <w:lang w:eastAsia="bg-BG"/>
        </w:rPr>
        <w:t xml:space="preserve">, </w:t>
      </w:r>
      <w:proofErr w:type="spellStart"/>
      <w:r w:rsidRPr="004F7849">
        <w:rPr>
          <w:lang w:eastAsia="bg-BG"/>
        </w:rPr>
        <w:t>рифампицин</w:t>
      </w:r>
      <w:proofErr w:type="spellEnd"/>
      <w:r w:rsidRPr="004F7849">
        <w:rPr>
          <w:lang w:eastAsia="bg-BG"/>
        </w:rPr>
        <w:t>, жълт кантарион (</w:t>
      </w:r>
      <w:r w:rsidRPr="004F7849">
        <w:rPr>
          <w:i/>
          <w:iCs/>
          <w:lang w:val="en-US"/>
        </w:rPr>
        <w:t xml:space="preserve">Hypericum, </w:t>
      </w:r>
      <w:proofErr w:type="spellStart"/>
      <w:r w:rsidRPr="004F7849">
        <w:rPr>
          <w:i/>
          <w:iCs/>
          <w:lang w:val="en-US"/>
        </w:rPr>
        <w:t>perforatum</w:t>
      </w:r>
      <w:proofErr w:type="spellEnd"/>
      <w:r w:rsidRPr="004F7849">
        <w:rPr>
          <w:i/>
          <w:iCs/>
          <w:lang w:val="en-US"/>
        </w:rPr>
        <w:t>).</w:t>
      </w:r>
    </w:p>
    <w:p w14:paraId="48A5DDB1" w14:textId="77777777" w:rsidR="004F7849" w:rsidRDefault="004F7849" w:rsidP="004F7849">
      <w:pPr>
        <w:rPr>
          <w:lang w:eastAsia="bg-BG"/>
        </w:rPr>
      </w:pPr>
    </w:p>
    <w:p w14:paraId="1FBE34DF" w14:textId="0E2BFD6C" w:rsidR="004F7849" w:rsidRPr="004F7849" w:rsidRDefault="004F7849" w:rsidP="004F7849">
      <w:pPr>
        <w:rPr>
          <w:sz w:val="24"/>
          <w:szCs w:val="24"/>
        </w:rPr>
      </w:pPr>
      <w:r w:rsidRPr="004F7849">
        <w:rPr>
          <w:lang w:eastAsia="bg-BG"/>
        </w:rPr>
        <w:t>Този списък не е изчерпателен.</w:t>
      </w:r>
    </w:p>
    <w:p w14:paraId="3FC54670" w14:textId="77777777" w:rsidR="004F7849" w:rsidRDefault="004F7849" w:rsidP="004F7849">
      <w:pPr>
        <w:rPr>
          <w:lang w:eastAsia="bg-BG"/>
        </w:rPr>
      </w:pPr>
    </w:p>
    <w:p w14:paraId="5EFF0722" w14:textId="59CD9B22" w:rsidR="004F7849" w:rsidRPr="004F7849" w:rsidRDefault="004F7849" w:rsidP="004F7849">
      <w:pPr>
        <w:rPr>
          <w:sz w:val="24"/>
          <w:szCs w:val="24"/>
        </w:rPr>
      </w:pPr>
      <w:r w:rsidRPr="004F7849">
        <w:rPr>
          <w:lang w:eastAsia="bg-BG"/>
        </w:rPr>
        <w:t xml:space="preserve">Ензимна индукция може да се наблюдава след няколко дни лечение. Максимална ензимна индукция обикновено се наблюдава след около 2 седмици и след това може да се поддържа за същия период от време след прекратяване на лечението с лекарствения продукт. По време на комбинирано лечение с индуктори на </w:t>
      </w:r>
      <w:r w:rsidRPr="004F7849">
        <w:rPr>
          <w:lang w:val="en-US"/>
        </w:rPr>
        <w:t xml:space="preserve">CYP3A4 </w:t>
      </w:r>
      <w:r w:rsidRPr="004F7849">
        <w:rPr>
          <w:lang w:eastAsia="bg-BG"/>
        </w:rPr>
        <w:t xml:space="preserve">се препоръчва пациентите да се наблюдават и дозата на </w:t>
      </w:r>
      <w:proofErr w:type="spellStart"/>
      <w:r w:rsidRPr="004F7849">
        <w:rPr>
          <w:lang w:eastAsia="bg-BG"/>
        </w:rPr>
        <w:t>халоперидол</w:t>
      </w:r>
      <w:proofErr w:type="spellEnd"/>
      <w:r w:rsidRPr="004F7849">
        <w:rPr>
          <w:lang w:eastAsia="bg-BG"/>
        </w:rPr>
        <w:t xml:space="preserve"> да се повиши според нуждите. След прекъсването на приложението на индуктора на </w:t>
      </w:r>
      <w:r w:rsidRPr="004F7849">
        <w:rPr>
          <w:lang w:val="en-US"/>
        </w:rPr>
        <w:t xml:space="preserve">CYP3A4 </w:t>
      </w:r>
      <w:r w:rsidRPr="004F7849">
        <w:rPr>
          <w:lang w:eastAsia="bg-BG"/>
        </w:rPr>
        <w:t xml:space="preserve">концентрацията на </w:t>
      </w:r>
      <w:proofErr w:type="spellStart"/>
      <w:r w:rsidRPr="004F7849">
        <w:rPr>
          <w:lang w:eastAsia="bg-BG"/>
        </w:rPr>
        <w:t>халоперидол</w:t>
      </w:r>
      <w:proofErr w:type="spellEnd"/>
      <w:r w:rsidRPr="004F7849">
        <w:rPr>
          <w:lang w:eastAsia="bg-BG"/>
        </w:rPr>
        <w:t xml:space="preserve"> може постепенно да се повиши и поради това може да се наложи намаляване на дозата на </w:t>
      </w:r>
      <w:proofErr w:type="spellStart"/>
      <w:r w:rsidRPr="004F7849">
        <w:rPr>
          <w:lang w:eastAsia="bg-BG"/>
        </w:rPr>
        <w:t>халоперидол</w:t>
      </w:r>
      <w:proofErr w:type="spellEnd"/>
      <w:r w:rsidRPr="004F7849">
        <w:rPr>
          <w:lang w:eastAsia="bg-BG"/>
        </w:rPr>
        <w:t>.</w:t>
      </w:r>
    </w:p>
    <w:p w14:paraId="3F9532E0" w14:textId="77777777" w:rsidR="004F7849" w:rsidRDefault="004F7849" w:rsidP="004F7849">
      <w:pPr>
        <w:rPr>
          <w:lang w:eastAsia="bg-BG"/>
        </w:rPr>
      </w:pPr>
    </w:p>
    <w:p w14:paraId="78C17F10" w14:textId="2A0FEA1D" w:rsidR="004F7849" w:rsidRPr="004F7849" w:rsidRDefault="004F7849" w:rsidP="004F7849">
      <w:pPr>
        <w:rPr>
          <w:sz w:val="24"/>
          <w:szCs w:val="24"/>
        </w:rPr>
      </w:pPr>
      <w:r w:rsidRPr="004F7849">
        <w:rPr>
          <w:lang w:eastAsia="bg-BG"/>
        </w:rPr>
        <w:t xml:space="preserve">Известно е, че натриевият валпроат инхибира </w:t>
      </w:r>
      <w:proofErr w:type="spellStart"/>
      <w:r w:rsidRPr="004F7849">
        <w:rPr>
          <w:lang w:eastAsia="bg-BG"/>
        </w:rPr>
        <w:t>глюкуронидирането</w:t>
      </w:r>
      <w:proofErr w:type="spellEnd"/>
      <w:r w:rsidRPr="004F7849">
        <w:rPr>
          <w:lang w:eastAsia="bg-BG"/>
        </w:rPr>
        <w:t xml:space="preserve">, но не повлиява плазмените концентрации на </w:t>
      </w:r>
      <w:proofErr w:type="spellStart"/>
      <w:r w:rsidRPr="004F7849">
        <w:rPr>
          <w:lang w:eastAsia="bg-BG"/>
        </w:rPr>
        <w:t>халоперидол</w:t>
      </w:r>
      <w:proofErr w:type="spellEnd"/>
      <w:r w:rsidRPr="004F7849">
        <w:rPr>
          <w:lang w:eastAsia="bg-BG"/>
        </w:rPr>
        <w:t>,</w:t>
      </w:r>
    </w:p>
    <w:p w14:paraId="75C1E234" w14:textId="77777777" w:rsidR="004F7849" w:rsidRDefault="004F7849" w:rsidP="004F7849">
      <w:pPr>
        <w:rPr>
          <w:u w:val="single"/>
          <w:lang w:eastAsia="bg-BG"/>
        </w:rPr>
      </w:pPr>
    </w:p>
    <w:p w14:paraId="32346F3E" w14:textId="18EDCC43" w:rsidR="004F7849" w:rsidRPr="004F7849" w:rsidRDefault="004F7849" w:rsidP="004F7849">
      <w:pPr>
        <w:rPr>
          <w:sz w:val="24"/>
          <w:szCs w:val="24"/>
        </w:rPr>
      </w:pPr>
      <w:r w:rsidRPr="004F7849">
        <w:rPr>
          <w:u w:val="single"/>
          <w:lang w:eastAsia="bg-BG"/>
        </w:rPr>
        <w:t xml:space="preserve">Ефект на </w:t>
      </w:r>
      <w:proofErr w:type="spellStart"/>
      <w:r w:rsidRPr="004F7849">
        <w:rPr>
          <w:u w:val="single"/>
          <w:lang w:eastAsia="bg-BG"/>
        </w:rPr>
        <w:t>халоперидол</w:t>
      </w:r>
      <w:proofErr w:type="spellEnd"/>
      <w:r w:rsidRPr="004F7849">
        <w:rPr>
          <w:u w:val="single"/>
          <w:lang w:eastAsia="bg-BG"/>
        </w:rPr>
        <w:t xml:space="preserve"> върху други лекарствени продукти</w:t>
      </w:r>
    </w:p>
    <w:p w14:paraId="209C5CB1" w14:textId="77777777" w:rsidR="004F7849" w:rsidRPr="004F7849" w:rsidRDefault="004F7849" w:rsidP="004F7849">
      <w:pPr>
        <w:rPr>
          <w:sz w:val="24"/>
          <w:szCs w:val="24"/>
        </w:rPr>
      </w:pPr>
      <w:proofErr w:type="spellStart"/>
      <w:r w:rsidRPr="004F7849">
        <w:rPr>
          <w:lang w:eastAsia="bg-BG"/>
        </w:rPr>
        <w:t>Халоперидол</w:t>
      </w:r>
      <w:proofErr w:type="spellEnd"/>
      <w:r w:rsidRPr="004F7849">
        <w:rPr>
          <w:lang w:eastAsia="bg-BG"/>
        </w:rPr>
        <w:t xml:space="preserve"> може да усили потискането на ЦНС, предизвикано от алкохол или лекарствени продукти, </w:t>
      </w:r>
      <w:proofErr w:type="spellStart"/>
      <w:r w:rsidRPr="004F7849">
        <w:rPr>
          <w:lang w:eastAsia="bg-BG"/>
        </w:rPr>
        <w:t>подтискащи</w:t>
      </w:r>
      <w:proofErr w:type="spellEnd"/>
      <w:r w:rsidRPr="004F7849">
        <w:rPr>
          <w:lang w:eastAsia="bg-BG"/>
        </w:rPr>
        <w:t xml:space="preserve"> ЦНС, включително сънотворни, </w:t>
      </w:r>
      <w:proofErr w:type="spellStart"/>
      <w:r w:rsidRPr="004F7849">
        <w:rPr>
          <w:lang w:eastAsia="bg-BG"/>
        </w:rPr>
        <w:t>седативи</w:t>
      </w:r>
      <w:proofErr w:type="spellEnd"/>
      <w:r w:rsidRPr="004F7849">
        <w:rPr>
          <w:lang w:eastAsia="bg-BG"/>
        </w:rPr>
        <w:t xml:space="preserve"> или силни аналгетици. Засилен ефект върху ЦНС се съобщава също и когато се комбинира с </w:t>
      </w:r>
      <w:proofErr w:type="spellStart"/>
      <w:r w:rsidRPr="004F7849">
        <w:rPr>
          <w:lang w:eastAsia="bg-BG"/>
        </w:rPr>
        <w:t>метилдопа</w:t>
      </w:r>
      <w:proofErr w:type="spellEnd"/>
      <w:r w:rsidRPr="004F7849">
        <w:rPr>
          <w:lang w:eastAsia="bg-BG"/>
        </w:rPr>
        <w:t>.</w:t>
      </w:r>
    </w:p>
    <w:p w14:paraId="299CAA80" w14:textId="77777777" w:rsidR="004F7849" w:rsidRPr="004F7849" w:rsidRDefault="004F7849" w:rsidP="004F7849">
      <w:pPr>
        <w:rPr>
          <w:sz w:val="24"/>
          <w:szCs w:val="24"/>
        </w:rPr>
      </w:pPr>
      <w:proofErr w:type="spellStart"/>
      <w:r w:rsidRPr="004F7849">
        <w:rPr>
          <w:lang w:eastAsia="bg-BG"/>
        </w:rPr>
        <w:t>Халоперидол</w:t>
      </w:r>
      <w:proofErr w:type="spellEnd"/>
      <w:r w:rsidRPr="004F7849">
        <w:rPr>
          <w:lang w:eastAsia="bg-BG"/>
        </w:rPr>
        <w:t xml:space="preserve"> може да </w:t>
      </w:r>
      <w:proofErr w:type="spellStart"/>
      <w:r w:rsidRPr="004F7849">
        <w:rPr>
          <w:lang w:eastAsia="bg-BG"/>
        </w:rPr>
        <w:t>антагонизира</w:t>
      </w:r>
      <w:proofErr w:type="spellEnd"/>
      <w:r w:rsidRPr="004F7849">
        <w:rPr>
          <w:lang w:eastAsia="bg-BG"/>
        </w:rPr>
        <w:t xml:space="preserve"> действието на адреналин и други </w:t>
      </w:r>
      <w:proofErr w:type="spellStart"/>
      <w:r w:rsidRPr="004F7849">
        <w:rPr>
          <w:lang w:eastAsia="bg-BG"/>
        </w:rPr>
        <w:t>симпатомиметични</w:t>
      </w:r>
      <w:proofErr w:type="spellEnd"/>
      <w:r w:rsidRPr="004F7849">
        <w:rPr>
          <w:lang w:eastAsia="bg-BG"/>
        </w:rPr>
        <w:t xml:space="preserve"> лекарствени продукти (напр. стимуланти като </w:t>
      </w:r>
      <w:proofErr w:type="spellStart"/>
      <w:r w:rsidRPr="004F7849">
        <w:rPr>
          <w:lang w:eastAsia="bg-BG"/>
        </w:rPr>
        <w:t>амфетамините</w:t>
      </w:r>
      <w:proofErr w:type="spellEnd"/>
      <w:r w:rsidRPr="004F7849">
        <w:rPr>
          <w:lang w:eastAsia="bg-BG"/>
        </w:rPr>
        <w:t xml:space="preserve">) и да намали антихипертензивното действие на </w:t>
      </w:r>
      <w:proofErr w:type="spellStart"/>
      <w:r w:rsidRPr="004F7849">
        <w:rPr>
          <w:lang w:eastAsia="bg-BG"/>
        </w:rPr>
        <w:t>антиадренергичните</w:t>
      </w:r>
      <w:proofErr w:type="spellEnd"/>
      <w:r w:rsidRPr="004F7849">
        <w:rPr>
          <w:lang w:eastAsia="bg-BG"/>
        </w:rPr>
        <w:t xml:space="preserve"> </w:t>
      </w:r>
      <w:proofErr w:type="spellStart"/>
      <w:r w:rsidRPr="004F7849">
        <w:rPr>
          <w:lang w:eastAsia="bg-BG"/>
        </w:rPr>
        <w:t>блокери</w:t>
      </w:r>
      <w:proofErr w:type="spellEnd"/>
      <w:r w:rsidRPr="004F7849">
        <w:rPr>
          <w:lang w:eastAsia="bg-BG"/>
        </w:rPr>
        <w:t xml:space="preserve"> като </w:t>
      </w:r>
      <w:proofErr w:type="spellStart"/>
      <w:r w:rsidRPr="004F7849">
        <w:rPr>
          <w:lang w:eastAsia="bg-BG"/>
        </w:rPr>
        <w:t>гванетидин</w:t>
      </w:r>
      <w:proofErr w:type="spellEnd"/>
      <w:r w:rsidRPr="004F7849">
        <w:rPr>
          <w:lang w:eastAsia="bg-BG"/>
        </w:rPr>
        <w:t>.</w:t>
      </w:r>
    </w:p>
    <w:p w14:paraId="7A45ACD0" w14:textId="77777777" w:rsidR="004F7849" w:rsidRPr="004F7849" w:rsidRDefault="004F7849" w:rsidP="004F7849">
      <w:pPr>
        <w:rPr>
          <w:sz w:val="24"/>
          <w:szCs w:val="24"/>
        </w:rPr>
      </w:pPr>
      <w:proofErr w:type="spellStart"/>
      <w:r w:rsidRPr="004F7849">
        <w:rPr>
          <w:lang w:eastAsia="bg-BG"/>
        </w:rPr>
        <w:t>Халоперидол</w:t>
      </w:r>
      <w:proofErr w:type="spellEnd"/>
      <w:r w:rsidRPr="004F7849">
        <w:rPr>
          <w:lang w:eastAsia="bg-BG"/>
        </w:rPr>
        <w:t xml:space="preserve"> може да </w:t>
      </w:r>
      <w:proofErr w:type="spellStart"/>
      <w:r w:rsidRPr="004F7849">
        <w:rPr>
          <w:lang w:eastAsia="bg-BG"/>
        </w:rPr>
        <w:t>антагонизира</w:t>
      </w:r>
      <w:proofErr w:type="spellEnd"/>
      <w:r w:rsidRPr="004F7849">
        <w:rPr>
          <w:lang w:eastAsia="bg-BG"/>
        </w:rPr>
        <w:t xml:space="preserve"> ефекта на </w:t>
      </w:r>
      <w:proofErr w:type="spellStart"/>
      <w:r w:rsidRPr="004F7849">
        <w:rPr>
          <w:lang w:eastAsia="bg-BG"/>
        </w:rPr>
        <w:t>леводопа</w:t>
      </w:r>
      <w:proofErr w:type="spellEnd"/>
      <w:r w:rsidRPr="004F7849">
        <w:rPr>
          <w:lang w:eastAsia="bg-BG"/>
        </w:rPr>
        <w:t xml:space="preserve"> и други допаминови </w:t>
      </w:r>
      <w:proofErr w:type="spellStart"/>
      <w:r w:rsidRPr="004F7849">
        <w:rPr>
          <w:lang w:eastAsia="bg-BG"/>
        </w:rPr>
        <w:t>агонисти</w:t>
      </w:r>
      <w:proofErr w:type="spellEnd"/>
      <w:r w:rsidRPr="004F7849">
        <w:rPr>
          <w:lang w:eastAsia="bg-BG"/>
        </w:rPr>
        <w:t xml:space="preserve">. </w:t>
      </w:r>
      <w:proofErr w:type="spellStart"/>
      <w:r w:rsidRPr="004F7849">
        <w:rPr>
          <w:lang w:eastAsia="bg-BG"/>
        </w:rPr>
        <w:t>Халоперидол</w:t>
      </w:r>
      <w:proofErr w:type="spellEnd"/>
      <w:r w:rsidRPr="004F7849">
        <w:rPr>
          <w:lang w:eastAsia="bg-BG"/>
        </w:rPr>
        <w:t xml:space="preserve"> е инхибитор на </w:t>
      </w:r>
      <w:r w:rsidRPr="004F7849">
        <w:rPr>
          <w:lang w:val="en-US"/>
        </w:rPr>
        <w:t xml:space="preserve">CYP 2D6. </w:t>
      </w:r>
      <w:proofErr w:type="spellStart"/>
      <w:r w:rsidRPr="004F7849">
        <w:rPr>
          <w:lang w:eastAsia="bg-BG"/>
        </w:rPr>
        <w:t>Халоперидол</w:t>
      </w:r>
      <w:proofErr w:type="spellEnd"/>
      <w:r w:rsidRPr="004F7849">
        <w:rPr>
          <w:lang w:eastAsia="bg-BG"/>
        </w:rPr>
        <w:t xml:space="preserve"> инхибира метаболизма на трицикличните антидепресанти (напр. </w:t>
      </w:r>
      <w:proofErr w:type="spellStart"/>
      <w:r w:rsidRPr="004F7849">
        <w:rPr>
          <w:lang w:eastAsia="bg-BG"/>
        </w:rPr>
        <w:t>имипрамин</w:t>
      </w:r>
      <w:proofErr w:type="spellEnd"/>
      <w:r w:rsidRPr="004F7849">
        <w:rPr>
          <w:lang w:eastAsia="bg-BG"/>
        </w:rPr>
        <w:t xml:space="preserve">, </w:t>
      </w:r>
      <w:proofErr w:type="spellStart"/>
      <w:r w:rsidRPr="004F7849">
        <w:rPr>
          <w:lang w:eastAsia="bg-BG"/>
        </w:rPr>
        <w:t>дезипрамин</w:t>
      </w:r>
      <w:proofErr w:type="spellEnd"/>
      <w:r w:rsidRPr="004F7849">
        <w:rPr>
          <w:lang w:eastAsia="bg-BG"/>
        </w:rPr>
        <w:t>), като по този начин повишава плазмените концентрации на тези лекарствени продукти.</w:t>
      </w:r>
    </w:p>
    <w:p w14:paraId="014F326A" w14:textId="77777777" w:rsidR="004F7849" w:rsidRDefault="004F7849" w:rsidP="004F7849">
      <w:pPr>
        <w:rPr>
          <w:u w:val="single"/>
          <w:lang w:eastAsia="bg-BG"/>
        </w:rPr>
      </w:pPr>
    </w:p>
    <w:p w14:paraId="5E03B03B" w14:textId="728C0957" w:rsidR="004F7849" w:rsidRPr="004F7849" w:rsidRDefault="004F7849" w:rsidP="004F7849">
      <w:pPr>
        <w:rPr>
          <w:sz w:val="24"/>
          <w:szCs w:val="24"/>
        </w:rPr>
      </w:pPr>
      <w:r w:rsidRPr="004F7849">
        <w:rPr>
          <w:u w:val="single"/>
          <w:lang w:eastAsia="bg-BG"/>
        </w:rPr>
        <w:t>Други форми на взаимодействие</w:t>
      </w:r>
    </w:p>
    <w:p w14:paraId="4E8CAD43" w14:textId="77777777" w:rsidR="004F7849" w:rsidRPr="004F7849" w:rsidRDefault="004F7849" w:rsidP="004F7849">
      <w:pPr>
        <w:rPr>
          <w:sz w:val="24"/>
          <w:szCs w:val="24"/>
        </w:rPr>
      </w:pPr>
      <w:r w:rsidRPr="004F7849">
        <w:rPr>
          <w:lang w:eastAsia="bg-BG"/>
        </w:rPr>
        <w:t xml:space="preserve">В редки случаи по време на едновременна употреба на литий и </w:t>
      </w:r>
      <w:proofErr w:type="spellStart"/>
      <w:r w:rsidRPr="004F7849">
        <w:rPr>
          <w:lang w:eastAsia="bg-BG"/>
        </w:rPr>
        <w:t>халоперидол</w:t>
      </w:r>
      <w:proofErr w:type="spellEnd"/>
      <w:r w:rsidRPr="004F7849">
        <w:rPr>
          <w:lang w:eastAsia="bg-BG"/>
        </w:rPr>
        <w:t xml:space="preserve"> се съобщават следните симптоми: енцефалопатия, </w:t>
      </w:r>
      <w:proofErr w:type="spellStart"/>
      <w:r w:rsidRPr="004F7849">
        <w:rPr>
          <w:lang w:eastAsia="bg-BG"/>
        </w:rPr>
        <w:t>екстрапирамидни</w:t>
      </w:r>
      <w:proofErr w:type="spellEnd"/>
      <w:r w:rsidRPr="004F7849">
        <w:rPr>
          <w:lang w:eastAsia="bg-BG"/>
        </w:rPr>
        <w:t xml:space="preserve"> симптоми, късна дискинезия, </w:t>
      </w:r>
      <w:proofErr w:type="spellStart"/>
      <w:r w:rsidRPr="004F7849">
        <w:rPr>
          <w:lang w:eastAsia="bg-BG"/>
        </w:rPr>
        <w:t>невролептичен</w:t>
      </w:r>
      <w:proofErr w:type="spellEnd"/>
      <w:r w:rsidRPr="004F7849">
        <w:rPr>
          <w:lang w:eastAsia="bg-BG"/>
        </w:rPr>
        <w:t xml:space="preserve"> малигнен синдром, остър мозъчен синдром и кома. Повечето от тези симптоми са обратими. Остава неясно дали това представлява отделна клинична единица. Въпреки това при пациенти, които са лекувани едновременно с литий и </w:t>
      </w:r>
      <w:proofErr w:type="spellStart"/>
      <w:r w:rsidRPr="004F7849">
        <w:rPr>
          <w:lang w:eastAsia="bg-BG"/>
        </w:rPr>
        <w:t>халоперидол</w:t>
      </w:r>
      <w:proofErr w:type="spellEnd"/>
      <w:r w:rsidRPr="004F7849">
        <w:rPr>
          <w:lang w:eastAsia="bg-BG"/>
        </w:rPr>
        <w:t>, се препоръчва терапията да се спре незабавно при възникването на такива симптоми.</w:t>
      </w:r>
    </w:p>
    <w:p w14:paraId="7F7A7BD6" w14:textId="77777777" w:rsidR="004F7849" w:rsidRDefault="004F7849" w:rsidP="004F7849">
      <w:pPr>
        <w:rPr>
          <w:lang w:eastAsia="bg-BG"/>
        </w:rPr>
      </w:pPr>
    </w:p>
    <w:p w14:paraId="1B474063" w14:textId="564DBDE2" w:rsidR="004F7849" w:rsidRPr="004F7849" w:rsidRDefault="004F7849" w:rsidP="004F7849">
      <w:pPr>
        <w:rPr>
          <w:sz w:val="24"/>
          <w:szCs w:val="24"/>
          <w:lang w:val="en-US"/>
        </w:rPr>
      </w:pPr>
      <w:r w:rsidRPr="004F7849">
        <w:rPr>
          <w:lang w:eastAsia="bg-BG"/>
        </w:rPr>
        <w:t xml:space="preserve">Съобщава се за </w:t>
      </w:r>
      <w:proofErr w:type="spellStart"/>
      <w:r w:rsidRPr="004F7849">
        <w:rPr>
          <w:lang w:eastAsia="bg-BG"/>
        </w:rPr>
        <w:t>антагонизиране</w:t>
      </w:r>
      <w:proofErr w:type="spellEnd"/>
      <w:r w:rsidRPr="004F7849">
        <w:rPr>
          <w:lang w:eastAsia="bg-BG"/>
        </w:rPr>
        <w:t xml:space="preserve"> на ефекта на антикоагуланта </w:t>
      </w:r>
      <w:proofErr w:type="spellStart"/>
      <w:r w:rsidRPr="004F7849">
        <w:rPr>
          <w:lang w:eastAsia="bg-BG"/>
        </w:rPr>
        <w:t>фениндион</w:t>
      </w:r>
      <w:proofErr w:type="spellEnd"/>
      <w:r w:rsidRPr="004F7849">
        <w:rPr>
          <w:lang w:eastAsia="bg-BG"/>
        </w:rPr>
        <w:t>.</w:t>
      </w:r>
    </w:p>
    <w:p w14:paraId="4AD1BC0C" w14:textId="77777777" w:rsidR="004F7849" w:rsidRPr="004F7849" w:rsidRDefault="004F7849" w:rsidP="004F7849"/>
    <w:p w14:paraId="2A6346D7" w14:textId="7E025E31" w:rsidR="00C809A7" w:rsidRDefault="002C50EE" w:rsidP="00AA23EC">
      <w:pPr>
        <w:pStyle w:val="Heading2"/>
      </w:pPr>
      <w:r>
        <w:t xml:space="preserve">4.6. </w:t>
      </w:r>
      <w:proofErr w:type="spellStart"/>
      <w:r>
        <w:t>Фертилитет</w:t>
      </w:r>
      <w:proofErr w:type="spellEnd"/>
      <w:r>
        <w:t>, бременност и кърмене</w:t>
      </w:r>
    </w:p>
    <w:p w14:paraId="161FA8D1" w14:textId="77777777" w:rsidR="004F7849" w:rsidRDefault="004F7849" w:rsidP="004F7849">
      <w:pPr>
        <w:rPr>
          <w:lang w:eastAsia="bg-BG"/>
        </w:rPr>
      </w:pPr>
    </w:p>
    <w:p w14:paraId="69470CAB" w14:textId="5E7DAB40" w:rsidR="004F7849" w:rsidRPr="004F7849" w:rsidRDefault="004F7849" w:rsidP="004F7849">
      <w:pPr>
        <w:pStyle w:val="Heading3"/>
        <w:rPr>
          <w:rFonts w:eastAsia="Times New Roman"/>
          <w:u w:val="single"/>
        </w:rPr>
      </w:pPr>
      <w:r w:rsidRPr="004F7849">
        <w:rPr>
          <w:rFonts w:eastAsia="Times New Roman"/>
          <w:u w:val="single"/>
          <w:lang w:eastAsia="bg-BG"/>
        </w:rPr>
        <w:t>Бременност</w:t>
      </w:r>
    </w:p>
    <w:p w14:paraId="65BDE82A" w14:textId="77777777" w:rsidR="004F7849" w:rsidRPr="004F7849" w:rsidRDefault="004F7849" w:rsidP="004F7849">
      <w:pPr>
        <w:rPr>
          <w:sz w:val="24"/>
          <w:szCs w:val="24"/>
        </w:rPr>
      </w:pPr>
      <w:r w:rsidRPr="004F7849">
        <w:rPr>
          <w:lang w:eastAsia="bg-BG"/>
        </w:rPr>
        <w:t xml:space="preserve">Неголям обем данни за бременни жени (за изхода на повече от 400 случая на бременност) не показват </w:t>
      </w:r>
      <w:proofErr w:type="spellStart"/>
      <w:r w:rsidRPr="004F7849">
        <w:rPr>
          <w:lang w:eastAsia="bg-BG"/>
        </w:rPr>
        <w:t>малформативна</w:t>
      </w:r>
      <w:proofErr w:type="spellEnd"/>
      <w:r w:rsidRPr="004F7849">
        <w:rPr>
          <w:lang w:eastAsia="bg-BG"/>
        </w:rPr>
        <w:t xml:space="preserve"> или фетална/</w:t>
      </w:r>
      <w:proofErr w:type="spellStart"/>
      <w:r w:rsidRPr="004F7849">
        <w:rPr>
          <w:lang w:eastAsia="bg-BG"/>
        </w:rPr>
        <w:t>неонатална</w:t>
      </w:r>
      <w:proofErr w:type="spellEnd"/>
      <w:r w:rsidRPr="004F7849">
        <w:rPr>
          <w:lang w:eastAsia="bg-BG"/>
        </w:rPr>
        <w:t xml:space="preserve"> токсичност на </w:t>
      </w:r>
      <w:proofErr w:type="spellStart"/>
      <w:r w:rsidRPr="004F7849">
        <w:rPr>
          <w:lang w:eastAsia="bg-BG"/>
        </w:rPr>
        <w:t>халоперидол</w:t>
      </w:r>
      <w:proofErr w:type="spellEnd"/>
      <w:r w:rsidRPr="004F7849">
        <w:rPr>
          <w:lang w:eastAsia="bg-BG"/>
        </w:rPr>
        <w:t xml:space="preserve">. Има обаче отделни съобщения за вродени дефекти след фетална експозиция на </w:t>
      </w:r>
      <w:proofErr w:type="spellStart"/>
      <w:r w:rsidRPr="004F7849">
        <w:rPr>
          <w:lang w:eastAsia="bg-BG"/>
        </w:rPr>
        <w:t>халоперидол</w:t>
      </w:r>
      <w:proofErr w:type="spellEnd"/>
      <w:r w:rsidRPr="004F7849">
        <w:rPr>
          <w:lang w:eastAsia="bg-BG"/>
        </w:rPr>
        <w:t xml:space="preserve"> в комбинация с други лекарствени продукти. Проучванията при животни показват репродуктивна токсичност (вж. точка 5.3). Като предпазна мярка е за предпочитане да се избягва употребата на </w:t>
      </w:r>
      <w:proofErr w:type="spellStart"/>
      <w:r w:rsidRPr="004F7849">
        <w:rPr>
          <w:lang w:eastAsia="bg-BG"/>
        </w:rPr>
        <w:t>халоперидол</w:t>
      </w:r>
      <w:proofErr w:type="spellEnd"/>
      <w:r w:rsidRPr="004F7849">
        <w:rPr>
          <w:lang w:eastAsia="bg-BG"/>
        </w:rPr>
        <w:t xml:space="preserve"> по време на бременност.</w:t>
      </w:r>
    </w:p>
    <w:p w14:paraId="4180909D" w14:textId="77777777" w:rsidR="004F7849" w:rsidRPr="004F7849" w:rsidRDefault="004F7849" w:rsidP="004F7849">
      <w:pPr>
        <w:rPr>
          <w:sz w:val="24"/>
          <w:szCs w:val="24"/>
        </w:rPr>
      </w:pPr>
      <w:r w:rsidRPr="004F7849">
        <w:rPr>
          <w:lang w:eastAsia="bg-BG"/>
        </w:rPr>
        <w:t xml:space="preserve">Новородените кърмачета, с експозиция на </w:t>
      </w:r>
      <w:proofErr w:type="spellStart"/>
      <w:r w:rsidRPr="004F7849">
        <w:rPr>
          <w:lang w:eastAsia="bg-BG"/>
        </w:rPr>
        <w:t>антипсихотици</w:t>
      </w:r>
      <w:proofErr w:type="spellEnd"/>
      <w:r w:rsidRPr="004F7849">
        <w:rPr>
          <w:lang w:eastAsia="bg-BG"/>
        </w:rPr>
        <w:t xml:space="preserve"> (включително </w:t>
      </w:r>
      <w:proofErr w:type="spellStart"/>
      <w:r w:rsidRPr="004F7849">
        <w:rPr>
          <w:lang w:eastAsia="bg-BG"/>
        </w:rPr>
        <w:t>халоперидол</w:t>
      </w:r>
      <w:proofErr w:type="spellEnd"/>
      <w:r w:rsidRPr="004F7849">
        <w:rPr>
          <w:lang w:eastAsia="bg-BG"/>
        </w:rPr>
        <w:t xml:space="preserve">) по време на третото тримесечие на бременността, са в риск от нежелани реакции, включително </w:t>
      </w:r>
      <w:proofErr w:type="spellStart"/>
      <w:r w:rsidRPr="004F7849">
        <w:rPr>
          <w:lang w:eastAsia="bg-BG"/>
        </w:rPr>
        <w:t>екстрапирамидни</w:t>
      </w:r>
      <w:proofErr w:type="spellEnd"/>
      <w:r w:rsidRPr="004F7849">
        <w:rPr>
          <w:lang w:eastAsia="bg-BG"/>
        </w:rPr>
        <w:t xml:space="preserve"> симптоми и/или симптоми на отнемане, които може да варират по тежест и продължителност след раждането. Има съобщения за </w:t>
      </w:r>
      <w:proofErr w:type="spellStart"/>
      <w:r w:rsidRPr="004F7849">
        <w:rPr>
          <w:lang w:eastAsia="bg-BG"/>
        </w:rPr>
        <w:t>ажитация</w:t>
      </w:r>
      <w:proofErr w:type="spellEnd"/>
      <w:r w:rsidRPr="004F7849">
        <w:rPr>
          <w:lang w:eastAsia="bg-BG"/>
        </w:rPr>
        <w:t xml:space="preserve">, хипертония, хипотония, тремор, сънливост, респираторен </w:t>
      </w:r>
      <w:proofErr w:type="spellStart"/>
      <w:r w:rsidRPr="004F7849">
        <w:rPr>
          <w:lang w:eastAsia="bg-BG"/>
        </w:rPr>
        <w:t>дистрес</w:t>
      </w:r>
      <w:proofErr w:type="spellEnd"/>
      <w:r w:rsidRPr="004F7849">
        <w:rPr>
          <w:lang w:eastAsia="bg-BG"/>
        </w:rPr>
        <w:t xml:space="preserve"> или нарушение на храненето. Поради това, препоръчва се новородените кърмачета да се проследяват внимателно.</w:t>
      </w:r>
    </w:p>
    <w:p w14:paraId="6BB7191A" w14:textId="77777777" w:rsidR="004F7849" w:rsidRDefault="004F7849" w:rsidP="004F7849">
      <w:pPr>
        <w:rPr>
          <w:lang w:eastAsia="bg-BG"/>
        </w:rPr>
      </w:pPr>
    </w:p>
    <w:p w14:paraId="7C38AC73" w14:textId="4CFB9CB1" w:rsidR="004F7849" w:rsidRPr="004F7849" w:rsidRDefault="004F7849" w:rsidP="004F7849">
      <w:pPr>
        <w:pStyle w:val="Heading3"/>
        <w:rPr>
          <w:rFonts w:eastAsia="Times New Roman"/>
          <w:u w:val="single"/>
        </w:rPr>
      </w:pPr>
      <w:r w:rsidRPr="004F7849">
        <w:rPr>
          <w:rFonts w:eastAsia="Times New Roman"/>
          <w:u w:val="single"/>
          <w:lang w:eastAsia="bg-BG"/>
        </w:rPr>
        <w:t>Кърмене</w:t>
      </w:r>
    </w:p>
    <w:p w14:paraId="253CBAAE" w14:textId="77777777" w:rsidR="004F7849" w:rsidRPr="004F7849" w:rsidRDefault="004F7849" w:rsidP="004F7849">
      <w:pPr>
        <w:rPr>
          <w:sz w:val="24"/>
          <w:szCs w:val="24"/>
        </w:rPr>
      </w:pPr>
      <w:proofErr w:type="spellStart"/>
      <w:r w:rsidRPr="004F7849">
        <w:rPr>
          <w:lang w:eastAsia="bg-BG"/>
        </w:rPr>
        <w:t>Халоперидол</w:t>
      </w:r>
      <w:proofErr w:type="spellEnd"/>
      <w:r w:rsidRPr="004F7849">
        <w:rPr>
          <w:lang w:eastAsia="bg-BG"/>
        </w:rPr>
        <w:t xml:space="preserve"> се </w:t>
      </w:r>
      <w:proofErr w:type="spellStart"/>
      <w:r w:rsidRPr="004F7849">
        <w:rPr>
          <w:lang w:eastAsia="bg-BG"/>
        </w:rPr>
        <w:t>екскретира</w:t>
      </w:r>
      <w:proofErr w:type="spellEnd"/>
      <w:r w:rsidRPr="004F7849">
        <w:rPr>
          <w:lang w:eastAsia="bg-BG"/>
        </w:rPr>
        <w:t xml:space="preserve"> в човешката кърма. Малки количества </w:t>
      </w:r>
      <w:proofErr w:type="spellStart"/>
      <w:r w:rsidRPr="004F7849">
        <w:rPr>
          <w:lang w:eastAsia="bg-BG"/>
        </w:rPr>
        <w:t>халоперидол</w:t>
      </w:r>
      <w:proofErr w:type="spellEnd"/>
      <w:r w:rsidRPr="004F7849">
        <w:rPr>
          <w:lang w:eastAsia="bg-BG"/>
        </w:rPr>
        <w:t xml:space="preserve"> се откриват в плазмата и урината на кърмени новородени от майки, лекувани с </w:t>
      </w:r>
      <w:proofErr w:type="spellStart"/>
      <w:r w:rsidRPr="004F7849">
        <w:rPr>
          <w:lang w:eastAsia="bg-BG"/>
        </w:rPr>
        <w:t>халоперидол</w:t>
      </w:r>
      <w:proofErr w:type="spellEnd"/>
      <w:r w:rsidRPr="004F7849">
        <w:rPr>
          <w:lang w:eastAsia="bg-BG"/>
        </w:rPr>
        <w:t xml:space="preserve">. Има недостатъчна информация за ефектите на </w:t>
      </w:r>
      <w:proofErr w:type="spellStart"/>
      <w:r w:rsidRPr="004F7849">
        <w:rPr>
          <w:lang w:eastAsia="bg-BG"/>
        </w:rPr>
        <w:t>халоперидол</w:t>
      </w:r>
      <w:proofErr w:type="spellEnd"/>
      <w:r w:rsidRPr="004F7849">
        <w:rPr>
          <w:lang w:eastAsia="bg-BG"/>
        </w:rPr>
        <w:t xml:space="preserve"> при естествено хранени кърмачета. Трябва да се вземе решение дали да се преустанови кърменето или да се преустанови терапията с </w:t>
      </w:r>
      <w:proofErr w:type="spellStart"/>
      <w:r w:rsidRPr="004F7849">
        <w:rPr>
          <w:lang w:eastAsia="bg-BG"/>
        </w:rPr>
        <w:t>халоперидол</w:t>
      </w:r>
      <w:proofErr w:type="spellEnd"/>
      <w:r w:rsidRPr="004F7849">
        <w:rPr>
          <w:lang w:eastAsia="bg-BG"/>
        </w:rPr>
        <w:t>, като се вземат предвид ползата от кърменето за детето и ползата от терапията за жената.</w:t>
      </w:r>
    </w:p>
    <w:p w14:paraId="54F5384C" w14:textId="77777777" w:rsidR="004F7849" w:rsidRDefault="004F7849" w:rsidP="004F7849">
      <w:pPr>
        <w:rPr>
          <w:lang w:eastAsia="bg-BG"/>
        </w:rPr>
      </w:pPr>
    </w:p>
    <w:p w14:paraId="25D26547" w14:textId="6A4ADC60" w:rsidR="004F7849" w:rsidRPr="004F7849" w:rsidRDefault="004F7849" w:rsidP="004F7849">
      <w:pPr>
        <w:pStyle w:val="Heading3"/>
        <w:rPr>
          <w:rFonts w:eastAsia="Times New Roman"/>
          <w:u w:val="single"/>
        </w:rPr>
      </w:pPr>
      <w:proofErr w:type="spellStart"/>
      <w:r w:rsidRPr="004F7849">
        <w:rPr>
          <w:rFonts w:eastAsia="Times New Roman"/>
          <w:u w:val="single"/>
          <w:lang w:eastAsia="bg-BG"/>
        </w:rPr>
        <w:t>Фертилитет</w:t>
      </w:r>
      <w:proofErr w:type="spellEnd"/>
    </w:p>
    <w:p w14:paraId="3BE470AB" w14:textId="04B166F7" w:rsidR="004F7849" w:rsidRDefault="004F7849" w:rsidP="004F7849">
      <w:pPr>
        <w:rPr>
          <w:lang w:eastAsia="bg-BG"/>
        </w:rPr>
      </w:pPr>
      <w:proofErr w:type="spellStart"/>
      <w:r w:rsidRPr="004F7849">
        <w:rPr>
          <w:lang w:eastAsia="bg-BG"/>
        </w:rPr>
        <w:t>Халоперидол</w:t>
      </w:r>
      <w:proofErr w:type="spellEnd"/>
      <w:r w:rsidRPr="004F7849">
        <w:rPr>
          <w:lang w:eastAsia="bg-BG"/>
        </w:rPr>
        <w:t xml:space="preserve"> повишава нивото на </w:t>
      </w:r>
      <w:proofErr w:type="spellStart"/>
      <w:r w:rsidRPr="004F7849">
        <w:rPr>
          <w:lang w:eastAsia="bg-BG"/>
        </w:rPr>
        <w:t>пролактина</w:t>
      </w:r>
      <w:proofErr w:type="spellEnd"/>
      <w:r w:rsidRPr="004F7849">
        <w:rPr>
          <w:lang w:eastAsia="bg-BG"/>
        </w:rPr>
        <w:t xml:space="preserve">. </w:t>
      </w:r>
      <w:proofErr w:type="spellStart"/>
      <w:r w:rsidRPr="004F7849">
        <w:rPr>
          <w:lang w:eastAsia="bg-BG"/>
        </w:rPr>
        <w:t>Хиперпролактинемията</w:t>
      </w:r>
      <w:proofErr w:type="spellEnd"/>
      <w:r w:rsidRPr="004F7849">
        <w:rPr>
          <w:lang w:eastAsia="bg-BG"/>
        </w:rPr>
        <w:t xml:space="preserve"> може да </w:t>
      </w:r>
      <w:proofErr w:type="spellStart"/>
      <w:r w:rsidRPr="004F7849">
        <w:rPr>
          <w:lang w:eastAsia="bg-BG"/>
        </w:rPr>
        <w:t>подтисне</w:t>
      </w:r>
      <w:proofErr w:type="spellEnd"/>
      <w:r w:rsidRPr="004F7849">
        <w:rPr>
          <w:lang w:eastAsia="bg-BG"/>
        </w:rPr>
        <w:t xml:space="preserve"> </w:t>
      </w:r>
      <w:proofErr w:type="spellStart"/>
      <w:r w:rsidRPr="004F7849">
        <w:rPr>
          <w:lang w:eastAsia="bg-BG"/>
        </w:rPr>
        <w:t>хипоталамусния</w:t>
      </w:r>
      <w:proofErr w:type="spellEnd"/>
      <w:r w:rsidRPr="004F7849">
        <w:rPr>
          <w:lang w:eastAsia="bg-BG"/>
        </w:rPr>
        <w:t xml:space="preserve"> </w:t>
      </w:r>
      <w:r w:rsidRPr="004F7849">
        <w:rPr>
          <w:lang w:val="en-US"/>
        </w:rPr>
        <w:t xml:space="preserve">GnRH, </w:t>
      </w:r>
      <w:r w:rsidRPr="004F7849">
        <w:rPr>
          <w:lang w:eastAsia="bg-BG"/>
        </w:rPr>
        <w:t xml:space="preserve">което води до намалена секреция на </w:t>
      </w:r>
      <w:proofErr w:type="spellStart"/>
      <w:r w:rsidRPr="004F7849">
        <w:rPr>
          <w:lang w:eastAsia="bg-BG"/>
        </w:rPr>
        <w:t>хипофизарния</w:t>
      </w:r>
      <w:proofErr w:type="spellEnd"/>
      <w:r w:rsidRPr="004F7849">
        <w:rPr>
          <w:lang w:eastAsia="bg-BG"/>
        </w:rPr>
        <w:t xml:space="preserve"> </w:t>
      </w:r>
      <w:proofErr w:type="spellStart"/>
      <w:r w:rsidRPr="004F7849">
        <w:rPr>
          <w:lang w:eastAsia="bg-BG"/>
        </w:rPr>
        <w:t>гонадотропин</w:t>
      </w:r>
      <w:proofErr w:type="spellEnd"/>
      <w:r w:rsidRPr="004F7849">
        <w:rPr>
          <w:lang w:eastAsia="bg-BG"/>
        </w:rPr>
        <w:t xml:space="preserve">. Това може да инхибира репродуктивната функция чрез увреждане на </w:t>
      </w:r>
      <w:proofErr w:type="spellStart"/>
      <w:r w:rsidRPr="004F7849">
        <w:rPr>
          <w:lang w:eastAsia="bg-BG"/>
        </w:rPr>
        <w:t>стероидната</w:t>
      </w:r>
      <w:proofErr w:type="spellEnd"/>
      <w:r w:rsidRPr="004F7849">
        <w:rPr>
          <w:lang w:eastAsia="bg-BG"/>
        </w:rPr>
        <w:t xml:space="preserve"> генеза в </w:t>
      </w:r>
      <w:proofErr w:type="spellStart"/>
      <w:r w:rsidRPr="004F7849">
        <w:rPr>
          <w:lang w:eastAsia="bg-BG"/>
        </w:rPr>
        <w:t>гонадите</w:t>
      </w:r>
      <w:proofErr w:type="spellEnd"/>
      <w:r w:rsidRPr="004F7849">
        <w:rPr>
          <w:lang w:eastAsia="bg-BG"/>
        </w:rPr>
        <w:t xml:space="preserve"> както при болни жени, така и при болни мъже (вж. точка 4.4).</w:t>
      </w:r>
    </w:p>
    <w:p w14:paraId="24C7D23F" w14:textId="77777777" w:rsidR="004F7849" w:rsidRPr="004F7849" w:rsidRDefault="004F7849" w:rsidP="004F7849"/>
    <w:p w14:paraId="71DE6E9A" w14:textId="579C2959" w:rsidR="00C809A7" w:rsidRDefault="002C50EE" w:rsidP="00AA23EC">
      <w:pPr>
        <w:pStyle w:val="Heading2"/>
      </w:pPr>
      <w:r>
        <w:t>4.7. Ефекти върху способността за шофиране и работа с машини</w:t>
      </w:r>
    </w:p>
    <w:p w14:paraId="4A70B238" w14:textId="77777777" w:rsidR="004F7849" w:rsidRDefault="004F7849" w:rsidP="004F7849">
      <w:pPr>
        <w:rPr>
          <w:sz w:val="20"/>
          <w:szCs w:val="20"/>
        </w:rPr>
      </w:pPr>
    </w:p>
    <w:p w14:paraId="1CEB29DB" w14:textId="6071E8B5" w:rsidR="004F7849" w:rsidRDefault="004F7849" w:rsidP="004F7849">
      <w:proofErr w:type="spellStart"/>
      <w:r>
        <w:lastRenderedPageBreak/>
        <w:t>Халоперидол</w:t>
      </w:r>
      <w:proofErr w:type="spellEnd"/>
      <w:r>
        <w:t xml:space="preserve"> повлиява в умерена степен способността за шофиране и работа с машини. Може да настъпи известна </w:t>
      </w:r>
      <w:proofErr w:type="spellStart"/>
      <w:r>
        <w:t>седация</w:t>
      </w:r>
      <w:proofErr w:type="spellEnd"/>
      <w:r>
        <w:t xml:space="preserve"> или намаляване на бдителността, особено при по- високи дози и в началото на лечението, като това може да се </w:t>
      </w:r>
      <w:proofErr w:type="spellStart"/>
      <w:r>
        <w:t>потенцира</w:t>
      </w:r>
      <w:proofErr w:type="spellEnd"/>
      <w:r>
        <w:t xml:space="preserve"> от алкохол. Препоръчва се пациентите да се съветват да не шофират и да не работят с машини по време на лечение по време на лечението, докато не стане известна тяхната чувствителност.</w:t>
      </w:r>
    </w:p>
    <w:p w14:paraId="0CF943D8" w14:textId="77777777" w:rsidR="004F7849" w:rsidRPr="004F7849" w:rsidRDefault="004F7849" w:rsidP="004F7849"/>
    <w:p w14:paraId="6698E6B8" w14:textId="51AC7203" w:rsidR="00C809A7" w:rsidRDefault="002C50EE" w:rsidP="00AA23EC">
      <w:pPr>
        <w:pStyle w:val="Heading2"/>
      </w:pPr>
      <w:r>
        <w:t>4.8. Нежелани лекарствени реакции</w:t>
      </w:r>
    </w:p>
    <w:p w14:paraId="369E9573" w14:textId="77777777" w:rsidR="004F7849" w:rsidRPr="004F7849" w:rsidRDefault="004F7849" w:rsidP="004F7849">
      <w:pPr>
        <w:rPr>
          <w:sz w:val="24"/>
          <w:szCs w:val="24"/>
        </w:rPr>
      </w:pPr>
      <w:r w:rsidRPr="004F7849">
        <w:rPr>
          <w:lang w:eastAsia="bg-BG"/>
        </w:rPr>
        <w:t xml:space="preserve">Безопасността на </w:t>
      </w:r>
      <w:proofErr w:type="spellStart"/>
      <w:r w:rsidRPr="004F7849">
        <w:rPr>
          <w:lang w:eastAsia="bg-BG"/>
        </w:rPr>
        <w:t>халоперидол</w:t>
      </w:r>
      <w:proofErr w:type="spellEnd"/>
      <w:r w:rsidRPr="004F7849">
        <w:rPr>
          <w:lang w:eastAsia="bg-BG"/>
        </w:rPr>
        <w:t xml:space="preserve"> е оценена при 284 пациенти, лекувани с </w:t>
      </w:r>
      <w:proofErr w:type="spellStart"/>
      <w:r w:rsidRPr="004F7849">
        <w:rPr>
          <w:lang w:eastAsia="bg-BG"/>
        </w:rPr>
        <w:t>халоперидол</w:t>
      </w:r>
      <w:proofErr w:type="spellEnd"/>
      <w:r w:rsidRPr="004F7849">
        <w:rPr>
          <w:lang w:eastAsia="bg-BG"/>
        </w:rPr>
        <w:t xml:space="preserve">, участващи в 3 плацебо-контролирани клинични проучвания, и при 1295 пациенти, участващи в 16 двойнослепи, клинични проучвания, контролирани с активен </w:t>
      </w:r>
      <w:proofErr w:type="spellStart"/>
      <w:r w:rsidRPr="004F7849">
        <w:rPr>
          <w:lang w:eastAsia="bg-BG"/>
        </w:rPr>
        <w:t>компаратор</w:t>
      </w:r>
      <w:proofErr w:type="spellEnd"/>
      <w:r w:rsidRPr="004F7849">
        <w:rPr>
          <w:lang w:eastAsia="bg-BG"/>
        </w:rPr>
        <w:t>.</w:t>
      </w:r>
    </w:p>
    <w:p w14:paraId="0615B1BB" w14:textId="77777777" w:rsidR="004F7849" w:rsidRPr="004F7849" w:rsidRDefault="004F7849" w:rsidP="004F7849">
      <w:pPr>
        <w:rPr>
          <w:sz w:val="24"/>
          <w:szCs w:val="24"/>
        </w:rPr>
      </w:pPr>
      <w:r w:rsidRPr="004F7849">
        <w:rPr>
          <w:lang w:eastAsia="bg-BG"/>
        </w:rPr>
        <w:t xml:space="preserve">Въз основа на сборни данни за безопасността от тези клинични проучвания съобщаваните нежелани реакции са: </w:t>
      </w:r>
      <w:proofErr w:type="spellStart"/>
      <w:r w:rsidRPr="004F7849">
        <w:rPr>
          <w:lang w:eastAsia="bg-BG"/>
        </w:rPr>
        <w:t>екстрапирамидно</w:t>
      </w:r>
      <w:proofErr w:type="spellEnd"/>
      <w:r w:rsidRPr="004F7849">
        <w:rPr>
          <w:lang w:eastAsia="bg-BG"/>
        </w:rPr>
        <w:t xml:space="preserve"> нарушение (34%),</w:t>
      </w:r>
      <w:r w:rsidRPr="004F7849">
        <w:rPr>
          <w:lang w:val="en-US"/>
        </w:rPr>
        <w:t xml:space="preserve"> </w:t>
      </w:r>
      <w:r w:rsidRPr="004F7849">
        <w:rPr>
          <w:lang w:eastAsia="bg-BG"/>
        </w:rPr>
        <w:t xml:space="preserve">безсъние (19%), </w:t>
      </w:r>
      <w:proofErr w:type="spellStart"/>
      <w:r w:rsidRPr="004F7849">
        <w:rPr>
          <w:lang w:eastAsia="bg-BG"/>
        </w:rPr>
        <w:t>ажитация</w:t>
      </w:r>
      <w:proofErr w:type="spellEnd"/>
      <w:r w:rsidRPr="004F7849">
        <w:rPr>
          <w:lang w:eastAsia="bg-BG"/>
        </w:rPr>
        <w:t xml:space="preserve"> (15%), </w:t>
      </w:r>
      <w:proofErr w:type="spellStart"/>
      <w:r w:rsidRPr="004F7849">
        <w:rPr>
          <w:lang w:eastAsia="bg-BG"/>
        </w:rPr>
        <w:t>хиперкинезия</w:t>
      </w:r>
      <w:proofErr w:type="spellEnd"/>
      <w:r w:rsidRPr="004F7849">
        <w:rPr>
          <w:lang w:eastAsia="bg-BG"/>
        </w:rPr>
        <w:t xml:space="preserve"> (13%), главоболие (12%), психотично </w:t>
      </w:r>
      <w:proofErr w:type="spellStart"/>
      <w:r w:rsidRPr="004F7849">
        <w:rPr>
          <w:lang w:eastAsia="bg-BG"/>
        </w:rPr>
        <w:t>разтройство</w:t>
      </w:r>
      <w:proofErr w:type="spellEnd"/>
      <w:r w:rsidRPr="004F7849">
        <w:rPr>
          <w:lang w:eastAsia="bg-BG"/>
        </w:rPr>
        <w:t xml:space="preserve"> (9%),</w:t>
      </w:r>
      <w:r>
        <w:rPr>
          <w:lang w:val="en-US" w:eastAsia="bg-BG"/>
        </w:rPr>
        <w:t xml:space="preserve"> </w:t>
      </w:r>
      <w:r w:rsidRPr="004F7849">
        <w:rPr>
          <w:lang w:eastAsia="bg-BG"/>
        </w:rPr>
        <w:t xml:space="preserve">депресия (8%), повишено тегло (8%), тремор (8%), хипертония (7%), ортостатична </w:t>
      </w:r>
      <w:proofErr w:type="spellStart"/>
      <w:r w:rsidRPr="004F7849">
        <w:rPr>
          <w:lang w:eastAsia="bg-BG"/>
        </w:rPr>
        <w:t>хипотензия</w:t>
      </w:r>
      <w:proofErr w:type="spellEnd"/>
      <w:r w:rsidRPr="004F7849">
        <w:rPr>
          <w:lang w:eastAsia="bg-BG"/>
        </w:rPr>
        <w:t xml:space="preserve"> (7%), </w:t>
      </w:r>
      <w:proofErr w:type="spellStart"/>
      <w:r w:rsidRPr="004F7849">
        <w:rPr>
          <w:lang w:eastAsia="bg-BG"/>
        </w:rPr>
        <w:t>дистония</w:t>
      </w:r>
      <w:proofErr w:type="spellEnd"/>
      <w:r w:rsidRPr="004F7849">
        <w:rPr>
          <w:lang w:eastAsia="bg-BG"/>
        </w:rPr>
        <w:t xml:space="preserve"> (6%) и сънливост (5%).</w:t>
      </w:r>
    </w:p>
    <w:p w14:paraId="134F1C45" w14:textId="77777777" w:rsidR="004F7849" w:rsidRDefault="004F7849" w:rsidP="004F7849">
      <w:pPr>
        <w:rPr>
          <w:lang w:eastAsia="bg-BG"/>
        </w:rPr>
      </w:pPr>
    </w:p>
    <w:p w14:paraId="0950189F" w14:textId="77159DAE" w:rsidR="004F7849" w:rsidRPr="004F7849" w:rsidRDefault="004F7849" w:rsidP="004F7849">
      <w:pPr>
        <w:rPr>
          <w:sz w:val="24"/>
          <w:szCs w:val="24"/>
        </w:rPr>
      </w:pPr>
      <w:r w:rsidRPr="004F7849">
        <w:rPr>
          <w:lang w:eastAsia="bg-BG"/>
        </w:rPr>
        <w:t xml:space="preserve">Освен това, безопасността на </w:t>
      </w:r>
      <w:proofErr w:type="spellStart"/>
      <w:r w:rsidRPr="004F7849">
        <w:rPr>
          <w:lang w:eastAsia="bg-BG"/>
        </w:rPr>
        <w:t>халоперидол</w:t>
      </w:r>
      <w:proofErr w:type="spellEnd"/>
      <w:r w:rsidRPr="004F7849">
        <w:rPr>
          <w:lang w:eastAsia="bg-BG"/>
        </w:rPr>
        <w:t xml:space="preserve"> </w:t>
      </w:r>
      <w:proofErr w:type="spellStart"/>
      <w:r w:rsidRPr="004F7849">
        <w:rPr>
          <w:lang w:eastAsia="bg-BG"/>
        </w:rPr>
        <w:t>деканоат</w:t>
      </w:r>
      <w:proofErr w:type="spellEnd"/>
      <w:r w:rsidRPr="004F7849">
        <w:rPr>
          <w:lang w:eastAsia="bg-BG"/>
        </w:rPr>
        <w:t xml:space="preserve"> е оценявана при 410 пациенти, които участват в 3 проучвания с </w:t>
      </w:r>
      <w:proofErr w:type="spellStart"/>
      <w:r w:rsidRPr="004F7849">
        <w:rPr>
          <w:lang w:eastAsia="bg-BG"/>
        </w:rPr>
        <w:t>компаратор</w:t>
      </w:r>
      <w:proofErr w:type="spellEnd"/>
      <w:r w:rsidRPr="004F7849">
        <w:rPr>
          <w:lang w:eastAsia="bg-BG"/>
        </w:rPr>
        <w:t xml:space="preserve"> (1 сравняващо </w:t>
      </w:r>
      <w:proofErr w:type="spellStart"/>
      <w:r w:rsidRPr="004F7849">
        <w:rPr>
          <w:lang w:eastAsia="bg-BG"/>
        </w:rPr>
        <w:t>халоперидол</w:t>
      </w:r>
      <w:proofErr w:type="spellEnd"/>
      <w:r w:rsidRPr="004F7849">
        <w:rPr>
          <w:lang w:eastAsia="bg-BG"/>
        </w:rPr>
        <w:t xml:space="preserve"> </w:t>
      </w:r>
      <w:proofErr w:type="spellStart"/>
      <w:r w:rsidRPr="004F7849">
        <w:rPr>
          <w:lang w:eastAsia="bg-BG"/>
        </w:rPr>
        <w:t>деканоат</w:t>
      </w:r>
      <w:proofErr w:type="spellEnd"/>
      <w:r w:rsidRPr="004F7849">
        <w:rPr>
          <w:lang w:eastAsia="bg-BG"/>
        </w:rPr>
        <w:t xml:space="preserve"> спрямо </w:t>
      </w:r>
      <w:proofErr w:type="spellStart"/>
      <w:r w:rsidRPr="004F7849">
        <w:rPr>
          <w:lang w:eastAsia="bg-BG"/>
        </w:rPr>
        <w:t>флуфеназин</w:t>
      </w:r>
      <w:proofErr w:type="spellEnd"/>
      <w:r w:rsidRPr="004F7849">
        <w:rPr>
          <w:lang w:eastAsia="bg-BG"/>
        </w:rPr>
        <w:t xml:space="preserve"> и 2 сравняващи формите с </w:t>
      </w:r>
      <w:proofErr w:type="spellStart"/>
      <w:r w:rsidRPr="004F7849">
        <w:rPr>
          <w:lang w:eastAsia="bg-BG"/>
        </w:rPr>
        <w:t>деканоат</w:t>
      </w:r>
      <w:proofErr w:type="spellEnd"/>
      <w:r w:rsidRPr="004F7849">
        <w:rPr>
          <w:lang w:eastAsia="bg-BG"/>
        </w:rPr>
        <w:t xml:space="preserve"> с перорален </w:t>
      </w:r>
      <w:proofErr w:type="spellStart"/>
      <w:r w:rsidRPr="004F7849">
        <w:rPr>
          <w:lang w:eastAsia="bg-BG"/>
        </w:rPr>
        <w:t>халоперидол</w:t>
      </w:r>
      <w:proofErr w:type="spellEnd"/>
      <w:r w:rsidRPr="004F7849">
        <w:rPr>
          <w:lang w:eastAsia="bg-BG"/>
        </w:rPr>
        <w:t>), 9 открити проучвания и 1 проучване доза-отговор.</w:t>
      </w:r>
    </w:p>
    <w:p w14:paraId="00D4999C" w14:textId="77777777" w:rsidR="004F7849" w:rsidRDefault="004F7849" w:rsidP="004F7849">
      <w:pPr>
        <w:rPr>
          <w:lang w:eastAsia="bg-BG"/>
        </w:rPr>
      </w:pPr>
    </w:p>
    <w:p w14:paraId="60CD3C63" w14:textId="64C55180" w:rsidR="004F7849" w:rsidRPr="004F7849" w:rsidRDefault="004F7849" w:rsidP="004F7849">
      <w:pPr>
        <w:rPr>
          <w:sz w:val="24"/>
          <w:szCs w:val="24"/>
        </w:rPr>
      </w:pPr>
      <w:r w:rsidRPr="004F7849">
        <w:rPr>
          <w:lang w:eastAsia="bg-BG"/>
        </w:rPr>
        <w:t>В Таблица 3 са изброени нежеланите реакции както следва:</w:t>
      </w:r>
    </w:p>
    <w:p w14:paraId="3C929DBF" w14:textId="77777777" w:rsidR="004F7849" w:rsidRPr="004F7849" w:rsidRDefault="004F7849" w:rsidP="004F7849">
      <w:pPr>
        <w:pStyle w:val="ListParagraph"/>
        <w:numPr>
          <w:ilvl w:val="0"/>
          <w:numId w:val="40"/>
        </w:numPr>
        <w:rPr>
          <w:sz w:val="24"/>
          <w:szCs w:val="24"/>
        </w:rPr>
      </w:pPr>
      <w:r w:rsidRPr="004F7849">
        <w:rPr>
          <w:lang w:eastAsia="bg-BG"/>
        </w:rPr>
        <w:t xml:space="preserve">Съобщени в клиничните проучвания с </w:t>
      </w:r>
      <w:proofErr w:type="spellStart"/>
      <w:r w:rsidRPr="004F7849">
        <w:rPr>
          <w:lang w:eastAsia="bg-BG"/>
        </w:rPr>
        <w:t>халоперидол</w:t>
      </w:r>
      <w:proofErr w:type="spellEnd"/>
      <w:r w:rsidRPr="004F7849">
        <w:rPr>
          <w:lang w:eastAsia="bg-BG"/>
        </w:rPr>
        <w:t>;</w:t>
      </w:r>
    </w:p>
    <w:p w14:paraId="5FBA84EC" w14:textId="77777777" w:rsidR="004F7849" w:rsidRPr="004F7849" w:rsidRDefault="004F7849" w:rsidP="004F7849">
      <w:pPr>
        <w:pStyle w:val="ListParagraph"/>
        <w:numPr>
          <w:ilvl w:val="0"/>
          <w:numId w:val="40"/>
        </w:numPr>
        <w:rPr>
          <w:sz w:val="24"/>
          <w:szCs w:val="24"/>
        </w:rPr>
      </w:pPr>
      <w:r w:rsidRPr="004F7849">
        <w:rPr>
          <w:lang w:eastAsia="bg-BG"/>
        </w:rPr>
        <w:t xml:space="preserve">Съобщени в клиничните проучвания с </w:t>
      </w:r>
      <w:proofErr w:type="spellStart"/>
      <w:r w:rsidRPr="004F7849">
        <w:rPr>
          <w:lang w:eastAsia="bg-BG"/>
        </w:rPr>
        <w:t>халоперидол</w:t>
      </w:r>
      <w:proofErr w:type="spellEnd"/>
      <w:r w:rsidRPr="004F7849">
        <w:rPr>
          <w:lang w:eastAsia="bg-BG"/>
        </w:rPr>
        <w:t xml:space="preserve"> </w:t>
      </w:r>
      <w:proofErr w:type="spellStart"/>
      <w:r w:rsidRPr="004F7849">
        <w:rPr>
          <w:lang w:eastAsia="bg-BG"/>
        </w:rPr>
        <w:t>деканоат</w:t>
      </w:r>
      <w:proofErr w:type="spellEnd"/>
      <w:r w:rsidRPr="004F7849">
        <w:rPr>
          <w:lang w:eastAsia="bg-BG"/>
        </w:rPr>
        <w:t xml:space="preserve"> и свързани с активното вещество;</w:t>
      </w:r>
    </w:p>
    <w:p w14:paraId="118A3817" w14:textId="77777777" w:rsidR="004F7849" w:rsidRPr="004F7849" w:rsidRDefault="004F7849" w:rsidP="004F7849">
      <w:pPr>
        <w:pStyle w:val="ListParagraph"/>
        <w:numPr>
          <w:ilvl w:val="0"/>
          <w:numId w:val="40"/>
        </w:numPr>
        <w:rPr>
          <w:sz w:val="24"/>
          <w:szCs w:val="24"/>
        </w:rPr>
      </w:pPr>
      <w:r w:rsidRPr="004F7849">
        <w:rPr>
          <w:lang w:eastAsia="bg-BG"/>
        </w:rPr>
        <w:t xml:space="preserve">От </w:t>
      </w:r>
      <w:proofErr w:type="spellStart"/>
      <w:r w:rsidRPr="004F7849">
        <w:rPr>
          <w:lang w:eastAsia="bg-BG"/>
        </w:rPr>
        <w:t>постмаркетинговия</w:t>
      </w:r>
      <w:proofErr w:type="spellEnd"/>
      <w:r w:rsidRPr="004F7849">
        <w:rPr>
          <w:lang w:eastAsia="bg-BG"/>
        </w:rPr>
        <w:t xml:space="preserve"> опит с </w:t>
      </w:r>
      <w:proofErr w:type="spellStart"/>
      <w:r w:rsidRPr="004F7849">
        <w:rPr>
          <w:lang w:eastAsia="bg-BG"/>
        </w:rPr>
        <w:t>халоперидол</w:t>
      </w:r>
      <w:proofErr w:type="spellEnd"/>
      <w:r w:rsidRPr="004F7849">
        <w:rPr>
          <w:lang w:eastAsia="bg-BG"/>
        </w:rPr>
        <w:t xml:space="preserve"> и </w:t>
      </w:r>
      <w:proofErr w:type="spellStart"/>
      <w:r w:rsidRPr="004F7849">
        <w:rPr>
          <w:lang w:eastAsia="bg-BG"/>
        </w:rPr>
        <w:t>халоперидол</w:t>
      </w:r>
      <w:proofErr w:type="spellEnd"/>
      <w:r w:rsidRPr="004F7849">
        <w:rPr>
          <w:lang w:eastAsia="bg-BG"/>
        </w:rPr>
        <w:t xml:space="preserve"> </w:t>
      </w:r>
      <w:proofErr w:type="spellStart"/>
      <w:r w:rsidRPr="004F7849">
        <w:rPr>
          <w:lang w:eastAsia="bg-BG"/>
        </w:rPr>
        <w:t>деканоат</w:t>
      </w:r>
      <w:proofErr w:type="spellEnd"/>
      <w:r w:rsidRPr="004F7849">
        <w:rPr>
          <w:lang w:eastAsia="bg-BG"/>
        </w:rPr>
        <w:t>.</w:t>
      </w:r>
    </w:p>
    <w:p w14:paraId="3787834F" w14:textId="77777777" w:rsidR="004F7849" w:rsidRDefault="004F7849" w:rsidP="004F7849">
      <w:pPr>
        <w:rPr>
          <w:lang w:eastAsia="bg-BG"/>
        </w:rPr>
      </w:pPr>
    </w:p>
    <w:p w14:paraId="7E968279" w14:textId="3DCE89C1" w:rsidR="004F7849" w:rsidRPr="004F7849" w:rsidRDefault="004F7849" w:rsidP="004F7849">
      <w:pPr>
        <w:rPr>
          <w:sz w:val="24"/>
          <w:szCs w:val="24"/>
        </w:rPr>
      </w:pPr>
      <w:r w:rsidRPr="004F7849">
        <w:rPr>
          <w:lang w:eastAsia="bg-BG"/>
        </w:rPr>
        <w:t xml:space="preserve">Честотите на нежеланите реакции се основават на (или са изчислени от) клинични изпитвания или епидемиологични проучвания с </w:t>
      </w:r>
      <w:proofErr w:type="spellStart"/>
      <w:r w:rsidRPr="004F7849">
        <w:rPr>
          <w:lang w:eastAsia="bg-BG"/>
        </w:rPr>
        <w:t>халоперидол</w:t>
      </w:r>
      <w:proofErr w:type="spellEnd"/>
      <w:r w:rsidRPr="004F7849">
        <w:rPr>
          <w:lang w:eastAsia="bg-BG"/>
        </w:rPr>
        <w:t xml:space="preserve"> и са оценени в съответствие със следната условна класификация: много чести (</w:t>
      </w:r>
      <w:r w:rsidRPr="004F7849">
        <w:rPr>
          <w:lang w:val="en-US"/>
        </w:rPr>
        <w:t>≥</w:t>
      </w:r>
      <w:r w:rsidRPr="004F7849">
        <w:rPr>
          <w:lang w:eastAsia="bg-BG"/>
        </w:rPr>
        <w:t xml:space="preserve"> 1/10), чести (</w:t>
      </w:r>
      <w:r w:rsidRPr="004F7849">
        <w:rPr>
          <w:lang w:val="en-US"/>
        </w:rPr>
        <w:t>≥</w:t>
      </w:r>
      <w:r w:rsidRPr="004F7849">
        <w:rPr>
          <w:lang w:eastAsia="bg-BG"/>
        </w:rPr>
        <w:t xml:space="preserve"> 1/100 до &lt;1/10), нечести (</w:t>
      </w:r>
      <w:r w:rsidRPr="004F7849">
        <w:rPr>
          <w:lang w:val="en-US"/>
        </w:rPr>
        <w:t>≥</w:t>
      </w:r>
      <w:r w:rsidRPr="004F7849">
        <w:rPr>
          <w:lang w:eastAsia="bg-BG"/>
        </w:rPr>
        <w:t>1/1000 до &lt;1/100), редки (</w:t>
      </w:r>
      <w:r w:rsidRPr="004F7849">
        <w:rPr>
          <w:lang w:val="en-US"/>
        </w:rPr>
        <w:t>≥</w:t>
      </w:r>
      <w:r w:rsidRPr="004F7849">
        <w:rPr>
          <w:lang w:eastAsia="bg-BG"/>
        </w:rPr>
        <w:t>1/10000 до &lt;1/1000) и много редки (&lt;1/10000), с неизвестна честота (от наличните данни не може да бъде направена оценка).</w:t>
      </w:r>
    </w:p>
    <w:p w14:paraId="6909F37A" w14:textId="77777777" w:rsidR="004F7849" w:rsidRDefault="004F7849" w:rsidP="004F7849">
      <w:pPr>
        <w:rPr>
          <w:lang w:eastAsia="bg-BG"/>
        </w:rPr>
      </w:pPr>
    </w:p>
    <w:p w14:paraId="6F185E08" w14:textId="3CBE3BD3" w:rsidR="004F7849" w:rsidRPr="004F7849" w:rsidRDefault="004F7849" w:rsidP="004F7849">
      <w:pPr>
        <w:rPr>
          <w:sz w:val="24"/>
          <w:szCs w:val="24"/>
        </w:rPr>
      </w:pPr>
      <w:r w:rsidRPr="004F7849">
        <w:rPr>
          <w:lang w:eastAsia="bg-BG"/>
        </w:rPr>
        <w:t xml:space="preserve">Нежеланите реакции са представени по </w:t>
      </w:r>
      <w:proofErr w:type="spellStart"/>
      <w:r w:rsidRPr="004F7849">
        <w:rPr>
          <w:lang w:eastAsia="bg-BG"/>
        </w:rPr>
        <w:t>системо</w:t>
      </w:r>
      <w:proofErr w:type="spellEnd"/>
      <w:r w:rsidRPr="004F7849">
        <w:rPr>
          <w:lang w:eastAsia="bg-BG"/>
        </w:rPr>
        <w:t>-органен клас и по реда на намаляваща сериозност в рамките на всяка категория по честота.</w:t>
      </w:r>
    </w:p>
    <w:p w14:paraId="25E77D4A" w14:textId="77777777" w:rsidR="004F7849" w:rsidRDefault="004F7849" w:rsidP="004F7849">
      <w:pPr>
        <w:rPr>
          <w:b/>
          <w:bCs/>
          <w:lang w:eastAsia="bg-BG"/>
        </w:rPr>
      </w:pPr>
    </w:p>
    <w:p w14:paraId="14DC3F56" w14:textId="3DE8C557" w:rsidR="004F7849" w:rsidRPr="004F7849" w:rsidRDefault="004F7849" w:rsidP="004F7849">
      <w:pPr>
        <w:rPr>
          <w:sz w:val="24"/>
          <w:szCs w:val="24"/>
        </w:rPr>
      </w:pPr>
      <w:r w:rsidRPr="004F7849">
        <w:rPr>
          <w:b/>
          <w:bCs/>
          <w:lang w:eastAsia="bg-BG"/>
        </w:rPr>
        <w:t>Таблица 3: Нежелани реакции</w:t>
      </w:r>
    </w:p>
    <w:tbl>
      <w:tblPr>
        <w:tblStyle w:val="TableGrid"/>
        <w:tblW w:w="0" w:type="auto"/>
        <w:tblLook w:val="04A0" w:firstRow="1" w:lastRow="0" w:firstColumn="1" w:lastColumn="0" w:noHBand="0" w:noVBand="1"/>
      </w:tblPr>
      <w:tblGrid>
        <w:gridCol w:w="1631"/>
        <w:gridCol w:w="1515"/>
        <w:gridCol w:w="1585"/>
        <w:gridCol w:w="1628"/>
        <w:gridCol w:w="1520"/>
        <w:gridCol w:w="1697"/>
      </w:tblGrid>
      <w:tr w:rsidR="004F7849" w14:paraId="72318689" w14:textId="77777777" w:rsidTr="004F7849">
        <w:tc>
          <w:tcPr>
            <w:tcW w:w="1631" w:type="dxa"/>
            <w:vMerge w:val="restart"/>
          </w:tcPr>
          <w:p w14:paraId="34F47ED9" w14:textId="3D1F98FD" w:rsidR="004F7849" w:rsidRPr="004F7849" w:rsidRDefault="004F7849" w:rsidP="004F7849">
            <w:pPr>
              <w:rPr>
                <w:rFonts w:ascii="Times New Roman" w:eastAsia="Times New Roman" w:hAnsi="Times New Roman" w:cs="Times New Roman"/>
                <w:b/>
                <w:bCs/>
                <w:sz w:val="24"/>
                <w:szCs w:val="24"/>
                <w:lang w:val="en-US"/>
              </w:rPr>
            </w:pPr>
            <w:proofErr w:type="spellStart"/>
            <w:r w:rsidRPr="004F7849">
              <w:rPr>
                <w:b/>
                <w:bCs/>
              </w:rPr>
              <w:t>Системо</w:t>
            </w:r>
            <w:proofErr w:type="spellEnd"/>
            <w:r w:rsidRPr="004F7849">
              <w:rPr>
                <w:b/>
                <w:bCs/>
              </w:rPr>
              <w:t>- органен клас</w:t>
            </w:r>
          </w:p>
        </w:tc>
        <w:tc>
          <w:tcPr>
            <w:tcW w:w="7945" w:type="dxa"/>
            <w:gridSpan w:val="5"/>
            <w:vAlign w:val="bottom"/>
          </w:tcPr>
          <w:p w14:paraId="7C44B06F" w14:textId="7EFD9F31" w:rsidR="004F7849" w:rsidRPr="004F7849" w:rsidRDefault="004F7849" w:rsidP="004F7849">
            <w:pPr>
              <w:rPr>
                <w:rFonts w:ascii="Times New Roman" w:eastAsia="Times New Roman" w:hAnsi="Times New Roman" w:cs="Times New Roman"/>
                <w:b/>
                <w:bCs/>
                <w:sz w:val="24"/>
                <w:szCs w:val="24"/>
                <w:lang w:val="en-US"/>
              </w:rPr>
            </w:pPr>
            <w:r w:rsidRPr="004F7849">
              <w:rPr>
                <w:b/>
                <w:bCs/>
              </w:rPr>
              <w:t>Нежелани реакции</w:t>
            </w:r>
          </w:p>
        </w:tc>
      </w:tr>
      <w:tr w:rsidR="004F7849" w14:paraId="4708A237" w14:textId="77777777" w:rsidTr="004F7849">
        <w:tc>
          <w:tcPr>
            <w:tcW w:w="1631" w:type="dxa"/>
            <w:vMerge/>
          </w:tcPr>
          <w:p w14:paraId="71032B7B" w14:textId="77777777" w:rsidR="004F7849" w:rsidRDefault="004F7849" w:rsidP="004F7849">
            <w:pPr>
              <w:spacing w:line="240" w:lineRule="auto"/>
              <w:rPr>
                <w:rFonts w:ascii="Times New Roman" w:eastAsia="Times New Roman" w:hAnsi="Times New Roman" w:cs="Times New Roman"/>
                <w:sz w:val="24"/>
                <w:szCs w:val="24"/>
                <w:lang w:val="en-US"/>
              </w:rPr>
            </w:pPr>
          </w:p>
        </w:tc>
        <w:tc>
          <w:tcPr>
            <w:tcW w:w="7945" w:type="dxa"/>
            <w:gridSpan w:val="5"/>
            <w:vAlign w:val="center"/>
          </w:tcPr>
          <w:p w14:paraId="33365932" w14:textId="62D107BF" w:rsidR="004F7849" w:rsidRPr="004F7849" w:rsidRDefault="004F7849" w:rsidP="004F7849">
            <w:pPr>
              <w:rPr>
                <w:rFonts w:ascii="Times New Roman" w:eastAsia="Times New Roman" w:hAnsi="Times New Roman" w:cs="Times New Roman"/>
                <w:b/>
                <w:bCs/>
                <w:sz w:val="24"/>
                <w:szCs w:val="24"/>
                <w:lang w:val="en-US"/>
              </w:rPr>
            </w:pPr>
            <w:r w:rsidRPr="004F7849">
              <w:rPr>
                <w:b/>
                <w:bCs/>
              </w:rPr>
              <w:t>Честота</w:t>
            </w:r>
          </w:p>
        </w:tc>
      </w:tr>
      <w:tr w:rsidR="004F7849" w14:paraId="4BB86890" w14:textId="77777777" w:rsidTr="004F7849">
        <w:tc>
          <w:tcPr>
            <w:tcW w:w="1631" w:type="dxa"/>
            <w:vMerge/>
          </w:tcPr>
          <w:p w14:paraId="3143E3A9" w14:textId="77777777" w:rsidR="004F7849" w:rsidRDefault="004F7849" w:rsidP="004F7849">
            <w:pPr>
              <w:spacing w:line="240" w:lineRule="auto"/>
              <w:rPr>
                <w:rFonts w:ascii="Times New Roman" w:eastAsia="Times New Roman" w:hAnsi="Times New Roman" w:cs="Times New Roman"/>
                <w:sz w:val="24"/>
                <w:szCs w:val="24"/>
                <w:lang w:val="en-US"/>
              </w:rPr>
            </w:pPr>
          </w:p>
        </w:tc>
        <w:tc>
          <w:tcPr>
            <w:tcW w:w="1515" w:type="dxa"/>
            <w:vAlign w:val="center"/>
          </w:tcPr>
          <w:p w14:paraId="14818F68" w14:textId="71D1DC55" w:rsidR="004F7849" w:rsidRPr="004F7849" w:rsidRDefault="004F7849" w:rsidP="004F7849">
            <w:pPr>
              <w:rPr>
                <w:rFonts w:ascii="Times New Roman" w:eastAsia="Times New Roman" w:hAnsi="Times New Roman" w:cs="Times New Roman"/>
                <w:b/>
                <w:bCs/>
                <w:sz w:val="24"/>
                <w:szCs w:val="24"/>
                <w:lang w:val="en-US"/>
              </w:rPr>
            </w:pPr>
            <w:r w:rsidRPr="004F7849">
              <w:rPr>
                <w:b/>
                <w:bCs/>
              </w:rPr>
              <w:t>Много чести</w:t>
            </w:r>
          </w:p>
        </w:tc>
        <w:tc>
          <w:tcPr>
            <w:tcW w:w="1585" w:type="dxa"/>
            <w:vAlign w:val="center"/>
          </w:tcPr>
          <w:p w14:paraId="4967476C" w14:textId="1AFE9022" w:rsidR="004F7849" w:rsidRPr="004F7849" w:rsidRDefault="004F7849" w:rsidP="004F7849">
            <w:pPr>
              <w:rPr>
                <w:rFonts w:ascii="Times New Roman" w:eastAsia="Times New Roman" w:hAnsi="Times New Roman" w:cs="Times New Roman"/>
                <w:b/>
                <w:bCs/>
                <w:sz w:val="24"/>
                <w:szCs w:val="24"/>
                <w:lang w:val="en-US"/>
              </w:rPr>
            </w:pPr>
            <w:r w:rsidRPr="004F7849">
              <w:rPr>
                <w:b/>
                <w:bCs/>
              </w:rPr>
              <w:t>Чести</w:t>
            </w:r>
          </w:p>
        </w:tc>
        <w:tc>
          <w:tcPr>
            <w:tcW w:w="1628" w:type="dxa"/>
            <w:vAlign w:val="center"/>
          </w:tcPr>
          <w:p w14:paraId="1A2BCE62" w14:textId="32EC2784" w:rsidR="004F7849" w:rsidRPr="004F7849" w:rsidRDefault="004F7849" w:rsidP="004F7849">
            <w:pPr>
              <w:rPr>
                <w:rFonts w:ascii="Times New Roman" w:eastAsia="Times New Roman" w:hAnsi="Times New Roman" w:cs="Times New Roman"/>
                <w:b/>
                <w:bCs/>
                <w:sz w:val="24"/>
                <w:szCs w:val="24"/>
                <w:lang w:val="en-US"/>
              </w:rPr>
            </w:pPr>
            <w:r w:rsidRPr="004F7849">
              <w:rPr>
                <w:b/>
                <w:bCs/>
              </w:rPr>
              <w:t>Нечести</w:t>
            </w:r>
          </w:p>
        </w:tc>
        <w:tc>
          <w:tcPr>
            <w:tcW w:w="1520" w:type="dxa"/>
            <w:vAlign w:val="center"/>
          </w:tcPr>
          <w:p w14:paraId="1D993868" w14:textId="28B4D184" w:rsidR="004F7849" w:rsidRPr="004F7849" w:rsidRDefault="004F7849" w:rsidP="004F7849">
            <w:pPr>
              <w:rPr>
                <w:rFonts w:ascii="Times New Roman" w:eastAsia="Times New Roman" w:hAnsi="Times New Roman" w:cs="Times New Roman"/>
                <w:b/>
                <w:bCs/>
                <w:sz w:val="24"/>
                <w:szCs w:val="24"/>
                <w:lang w:val="en-US"/>
              </w:rPr>
            </w:pPr>
            <w:r w:rsidRPr="004F7849">
              <w:rPr>
                <w:b/>
                <w:bCs/>
              </w:rPr>
              <w:t>Редки</w:t>
            </w:r>
          </w:p>
        </w:tc>
        <w:tc>
          <w:tcPr>
            <w:tcW w:w="1697" w:type="dxa"/>
            <w:vAlign w:val="center"/>
          </w:tcPr>
          <w:p w14:paraId="1A15A71B" w14:textId="3BD67145" w:rsidR="004F7849" w:rsidRPr="004F7849" w:rsidRDefault="004F7849" w:rsidP="004F7849">
            <w:pPr>
              <w:rPr>
                <w:rFonts w:ascii="Times New Roman" w:eastAsia="Times New Roman" w:hAnsi="Times New Roman" w:cs="Times New Roman"/>
                <w:b/>
                <w:bCs/>
                <w:sz w:val="24"/>
                <w:szCs w:val="24"/>
                <w:lang w:val="en-US"/>
              </w:rPr>
            </w:pPr>
            <w:r w:rsidRPr="004F7849">
              <w:rPr>
                <w:b/>
                <w:bCs/>
              </w:rPr>
              <w:t>С неизвестна честота</w:t>
            </w:r>
          </w:p>
        </w:tc>
      </w:tr>
      <w:tr w:rsidR="004F7849" w14:paraId="1D3691E7" w14:textId="77777777" w:rsidTr="004F7849">
        <w:tc>
          <w:tcPr>
            <w:tcW w:w="1631" w:type="dxa"/>
          </w:tcPr>
          <w:p w14:paraId="7C90272A" w14:textId="600E49B8" w:rsidR="004F7849" w:rsidRPr="004F7849" w:rsidRDefault="004F7849" w:rsidP="004F7849">
            <w:pPr>
              <w:rPr>
                <w:rFonts w:ascii="Times New Roman" w:eastAsia="Times New Roman" w:hAnsi="Times New Roman" w:cs="Times New Roman"/>
                <w:b/>
                <w:bCs/>
                <w:sz w:val="24"/>
                <w:szCs w:val="24"/>
                <w:lang w:val="en-US"/>
              </w:rPr>
            </w:pPr>
            <w:r w:rsidRPr="004F7849">
              <w:rPr>
                <w:b/>
                <w:bCs/>
              </w:rPr>
              <w:t>Нарушения на кръвта и лимфната система</w:t>
            </w:r>
          </w:p>
        </w:tc>
        <w:tc>
          <w:tcPr>
            <w:tcW w:w="1515" w:type="dxa"/>
          </w:tcPr>
          <w:p w14:paraId="413B61B5"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1E202284"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51D8D98D" w14:textId="1F2F0C96" w:rsidR="004F7849" w:rsidRDefault="004F7849" w:rsidP="004F7849">
            <w:pPr>
              <w:rPr>
                <w:rFonts w:ascii="Times New Roman" w:eastAsia="Times New Roman" w:hAnsi="Times New Roman" w:cs="Times New Roman"/>
                <w:sz w:val="24"/>
                <w:szCs w:val="24"/>
                <w:lang w:val="en-US"/>
              </w:rPr>
            </w:pPr>
            <w:proofErr w:type="spellStart"/>
            <w:r>
              <w:t>Левкопения</w:t>
            </w:r>
            <w:proofErr w:type="spellEnd"/>
          </w:p>
        </w:tc>
        <w:tc>
          <w:tcPr>
            <w:tcW w:w="1520" w:type="dxa"/>
          </w:tcPr>
          <w:p w14:paraId="071EC786" w14:textId="77777777" w:rsidR="004F7849" w:rsidRDefault="004F7849" w:rsidP="004F7849">
            <w:pPr>
              <w:rPr>
                <w:rFonts w:ascii="Times New Roman" w:eastAsia="Times New Roman" w:hAnsi="Times New Roman" w:cs="Times New Roman"/>
                <w:sz w:val="24"/>
                <w:szCs w:val="24"/>
                <w:lang w:val="en-US"/>
              </w:rPr>
            </w:pPr>
          </w:p>
        </w:tc>
        <w:tc>
          <w:tcPr>
            <w:tcW w:w="1697" w:type="dxa"/>
            <w:vAlign w:val="bottom"/>
          </w:tcPr>
          <w:p w14:paraId="42D9163A" w14:textId="6B0289D1" w:rsidR="004F7849" w:rsidRDefault="004F7849" w:rsidP="004F7849">
            <w:pPr>
              <w:rPr>
                <w:rFonts w:ascii="Times New Roman" w:eastAsia="Times New Roman" w:hAnsi="Times New Roman" w:cs="Times New Roman"/>
                <w:sz w:val="24"/>
                <w:szCs w:val="24"/>
                <w:lang w:val="en-US"/>
              </w:rPr>
            </w:pPr>
            <w:proofErr w:type="spellStart"/>
            <w:r>
              <w:t>Панцитопения</w:t>
            </w:r>
            <w:proofErr w:type="spellEnd"/>
            <w:r>
              <w:t xml:space="preserve"> </w:t>
            </w:r>
            <w:proofErr w:type="spellStart"/>
            <w:r>
              <w:t>Агранулоцито</w:t>
            </w:r>
            <w:proofErr w:type="spellEnd"/>
            <w:r>
              <w:t xml:space="preserve"> за </w:t>
            </w:r>
            <w:proofErr w:type="spellStart"/>
            <w:r>
              <w:t>Тромбоцитопе</w:t>
            </w:r>
            <w:proofErr w:type="spellEnd"/>
            <w:r>
              <w:t xml:space="preserve"> </w:t>
            </w:r>
            <w:proofErr w:type="spellStart"/>
            <w:r>
              <w:t>ния</w:t>
            </w:r>
            <w:proofErr w:type="spellEnd"/>
            <w:r>
              <w:t xml:space="preserve"> </w:t>
            </w:r>
            <w:proofErr w:type="spellStart"/>
            <w:r>
              <w:lastRenderedPageBreak/>
              <w:t>Неутропения</w:t>
            </w:r>
            <w:proofErr w:type="spellEnd"/>
            <w:r>
              <w:t>;</w:t>
            </w:r>
          </w:p>
        </w:tc>
      </w:tr>
      <w:tr w:rsidR="004F7849" w14:paraId="08881E09" w14:textId="77777777" w:rsidTr="004F7849">
        <w:tc>
          <w:tcPr>
            <w:tcW w:w="1631" w:type="dxa"/>
            <w:vAlign w:val="center"/>
          </w:tcPr>
          <w:p w14:paraId="518814CC" w14:textId="5B6E0106" w:rsidR="004F7849" w:rsidRPr="004F7849" w:rsidRDefault="004F7849" w:rsidP="004F7849">
            <w:pPr>
              <w:rPr>
                <w:rFonts w:ascii="Times New Roman" w:eastAsia="Times New Roman" w:hAnsi="Times New Roman" w:cs="Times New Roman"/>
                <w:b/>
                <w:bCs/>
                <w:sz w:val="24"/>
                <w:szCs w:val="24"/>
                <w:lang w:val="en-US"/>
              </w:rPr>
            </w:pPr>
            <w:r w:rsidRPr="004F7849">
              <w:rPr>
                <w:b/>
                <w:bCs/>
              </w:rPr>
              <w:lastRenderedPageBreak/>
              <w:t>Нарушения на имунната система</w:t>
            </w:r>
          </w:p>
        </w:tc>
        <w:tc>
          <w:tcPr>
            <w:tcW w:w="1515" w:type="dxa"/>
          </w:tcPr>
          <w:p w14:paraId="6C92B3B1"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5304887B"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6FF4C833" w14:textId="262A24D0" w:rsidR="004F7849" w:rsidRDefault="004F7849" w:rsidP="004F7849">
            <w:pPr>
              <w:rPr>
                <w:rFonts w:ascii="Times New Roman" w:eastAsia="Times New Roman" w:hAnsi="Times New Roman" w:cs="Times New Roman"/>
                <w:sz w:val="24"/>
                <w:szCs w:val="24"/>
                <w:lang w:val="en-US"/>
              </w:rPr>
            </w:pPr>
            <w:proofErr w:type="spellStart"/>
            <w:r>
              <w:t>Свръхчувстви</w:t>
            </w:r>
            <w:proofErr w:type="spellEnd"/>
            <w:r>
              <w:t xml:space="preserve"> </w:t>
            </w:r>
            <w:proofErr w:type="spellStart"/>
            <w:r>
              <w:t>телност</w:t>
            </w:r>
            <w:proofErr w:type="spellEnd"/>
          </w:p>
        </w:tc>
        <w:tc>
          <w:tcPr>
            <w:tcW w:w="1520" w:type="dxa"/>
          </w:tcPr>
          <w:p w14:paraId="1CB12D7D"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542AC9AF" w14:textId="39D30D0A" w:rsidR="004F7849" w:rsidRDefault="004F7849" w:rsidP="004F7849">
            <w:pPr>
              <w:rPr>
                <w:rFonts w:ascii="Times New Roman" w:eastAsia="Times New Roman" w:hAnsi="Times New Roman" w:cs="Times New Roman"/>
                <w:sz w:val="24"/>
                <w:szCs w:val="24"/>
                <w:lang w:val="en-US"/>
              </w:rPr>
            </w:pPr>
            <w:proofErr w:type="spellStart"/>
            <w:r>
              <w:t>Анафилактичн</w:t>
            </w:r>
            <w:proofErr w:type="spellEnd"/>
            <w:r>
              <w:t xml:space="preserve"> и реакции</w:t>
            </w:r>
          </w:p>
        </w:tc>
      </w:tr>
      <w:tr w:rsidR="004F7849" w14:paraId="393D6D48" w14:textId="77777777" w:rsidTr="004F7849">
        <w:tc>
          <w:tcPr>
            <w:tcW w:w="1631" w:type="dxa"/>
          </w:tcPr>
          <w:p w14:paraId="68F5027A" w14:textId="70A80B6D" w:rsidR="004F7849" w:rsidRPr="004F7849" w:rsidRDefault="004F7849" w:rsidP="004F7849">
            <w:pPr>
              <w:rPr>
                <w:rFonts w:ascii="Times New Roman" w:eastAsia="Times New Roman" w:hAnsi="Times New Roman" w:cs="Times New Roman"/>
                <w:b/>
                <w:bCs/>
                <w:sz w:val="24"/>
                <w:szCs w:val="24"/>
                <w:lang w:val="en-US"/>
              </w:rPr>
            </w:pPr>
            <w:r w:rsidRPr="004F7849">
              <w:rPr>
                <w:b/>
                <w:bCs/>
              </w:rPr>
              <w:t>Ендокринни нарушения</w:t>
            </w:r>
          </w:p>
        </w:tc>
        <w:tc>
          <w:tcPr>
            <w:tcW w:w="1515" w:type="dxa"/>
          </w:tcPr>
          <w:p w14:paraId="1A6CFFE7"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62A204E0"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7CA1FBE8" w14:textId="77777777" w:rsidR="004F7849" w:rsidRDefault="004F7849" w:rsidP="004F7849">
            <w:pPr>
              <w:rPr>
                <w:rFonts w:ascii="Times New Roman" w:eastAsia="Times New Roman" w:hAnsi="Times New Roman" w:cs="Times New Roman"/>
                <w:sz w:val="24"/>
                <w:szCs w:val="24"/>
                <w:lang w:val="en-US"/>
              </w:rPr>
            </w:pPr>
          </w:p>
        </w:tc>
        <w:tc>
          <w:tcPr>
            <w:tcW w:w="1520" w:type="dxa"/>
          </w:tcPr>
          <w:p w14:paraId="6D4A011E" w14:textId="79CB49C8" w:rsidR="004F7849" w:rsidRDefault="004F7849" w:rsidP="004F7849">
            <w:pPr>
              <w:rPr>
                <w:rFonts w:ascii="Times New Roman" w:eastAsia="Times New Roman" w:hAnsi="Times New Roman" w:cs="Times New Roman"/>
                <w:sz w:val="24"/>
                <w:szCs w:val="24"/>
                <w:lang w:val="en-US"/>
              </w:rPr>
            </w:pPr>
            <w:proofErr w:type="spellStart"/>
            <w:r>
              <w:t>Хиперпрола</w:t>
            </w:r>
            <w:proofErr w:type="spellEnd"/>
            <w:r>
              <w:t xml:space="preserve"> </w:t>
            </w:r>
            <w:proofErr w:type="spellStart"/>
            <w:r>
              <w:t>ктинемия</w:t>
            </w:r>
            <w:proofErr w:type="spellEnd"/>
          </w:p>
        </w:tc>
        <w:tc>
          <w:tcPr>
            <w:tcW w:w="1697" w:type="dxa"/>
            <w:vAlign w:val="bottom"/>
          </w:tcPr>
          <w:p w14:paraId="4B19D642" w14:textId="06DA8129" w:rsidR="004F7849" w:rsidRDefault="004F7849" w:rsidP="004F7849">
            <w:pPr>
              <w:rPr>
                <w:rFonts w:ascii="Times New Roman" w:eastAsia="Times New Roman" w:hAnsi="Times New Roman" w:cs="Times New Roman"/>
                <w:sz w:val="24"/>
                <w:szCs w:val="24"/>
                <w:lang w:val="en-US"/>
              </w:rPr>
            </w:pPr>
            <w:r>
              <w:t xml:space="preserve">Нарушена секреция на </w:t>
            </w:r>
            <w:proofErr w:type="spellStart"/>
            <w:r>
              <w:t>антидиуретич</w:t>
            </w:r>
            <w:proofErr w:type="spellEnd"/>
            <w:r>
              <w:t xml:space="preserve"> </w:t>
            </w:r>
            <w:proofErr w:type="spellStart"/>
            <w:r>
              <w:t>ния</w:t>
            </w:r>
            <w:proofErr w:type="spellEnd"/>
            <w:r>
              <w:t xml:space="preserve"> хормон</w:t>
            </w:r>
          </w:p>
        </w:tc>
      </w:tr>
      <w:tr w:rsidR="004F7849" w14:paraId="04CFC979" w14:textId="77777777" w:rsidTr="004F7849">
        <w:tc>
          <w:tcPr>
            <w:tcW w:w="1631" w:type="dxa"/>
            <w:vAlign w:val="bottom"/>
          </w:tcPr>
          <w:p w14:paraId="04962BB1" w14:textId="199ACE8E" w:rsidR="004F7849" w:rsidRPr="004F7849" w:rsidRDefault="004F7849" w:rsidP="004F7849">
            <w:pPr>
              <w:rPr>
                <w:rFonts w:ascii="Times New Roman" w:eastAsia="Times New Roman" w:hAnsi="Times New Roman" w:cs="Times New Roman"/>
                <w:b/>
                <w:bCs/>
                <w:sz w:val="24"/>
                <w:szCs w:val="24"/>
                <w:lang w:val="en-US"/>
              </w:rPr>
            </w:pPr>
            <w:r w:rsidRPr="004F7849">
              <w:rPr>
                <w:b/>
                <w:bCs/>
              </w:rPr>
              <w:t xml:space="preserve">Нарушения на </w:t>
            </w:r>
            <w:proofErr w:type="spellStart"/>
            <w:r w:rsidRPr="004F7849">
              <w:rPr>
                <w:b/>
                <w:bCs/>
              </w:rPr>
              <w:t>метабо</w:t>
            </w:r>
            <w:proofErr w:type="spellEnd"/>
            <w:r w:rsidRPr="004F7849">
              <w:rPr>
                <w:b/>
                <w:bCs/>
              </w:rPr>
              <w:t xml:space="preserve">- </w:t>
            </w:r>
            <w:proofErr w:type="spellStart"/>
            <w:r w:rsidRPr="004F7849">
              <w:rPr>
                <w:b/>
                <w:bCs/>
              </w:rPr>
              <w:t>лизма</w:t>
            </w:r>
            <w:proofErr w:type="spellEnd"/>
            <w:r w:rsidRPr="004F7849">
              <w:rPr>
                <w:b/>
                <w:bCs/>
              </w:rPr>
              <w:t xml:space="preserve"> и</w:t>
            </w:r>
            <w:r w:rsidRPr="004F7849">
              <w:rPr>
                <w:b/>
                <w:bCs/>
                <w:lang w:val="en-US"/>
              </w:rPr>
              <w:t xml:space="preserve"> </w:t>
            </w:r>
            <w:r w:rsidRPr="004F7849">
              <w:rPr>
                <w:b/>
                <w:bCs/>
              </w:rPr>
              <w:t>храненето</w:t>
            </w:r>
          </w:p>
        </w:tc>
        <w:tc>
          <w:tcPr>
            <w:tcW w:w="1515" w:type="dxa"/>
          </w:tcPr>
          <w:p w14:paraId="1016D230"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568A2758"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0D1445BF" w14:textId="77777777" w:rsidR="004F7849" w:rsidRDefault="004F7849" w:rsidP="004F7849">
            <w:pPr>
              <w:rPr>
                <w:rFonts w:ascii="Times New Roman" w:eastAsia="Times New Roman" w:hAnsi="Times New Roman" w:cs="Times New Roman"/>
                <w:sz w:val="24"/>
                <w:szCs w:val="24"/>
                <w:lang w:val="en-US"/>
              </w:rPr>
            </w:pPr>
          </w:p>
        </w:tc>
        <w:tc>
          <w:tcPr>
            <w:tcW w:w="1520" w:type="dxa"/>
          </w:tcPr>
          <w:p w14:paraId="5DC45DA4"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514951B1" w14:textId="2D8DDDAB" w:rsidR="004F7849" w:rsidRDefault="004F7849" w:rsidP="004F7849">
            <w:pPr>
              <w:rPr>
                <w:rFonts w:ascii="Times New Roman" w:eastAsia="Times New Roman" w:hAnsi="Times New Roman" w:cs="Times New Roman"/>
                <w:sz w:val="24"/>
                <w:szCs w:val="24"/>
                <w:lang w:val="en-US"/>
              </w:rPr>
            </w:pPr>
            <w:r>
              <w:t>Хипогликемия</w:t>
            </w:r>
          </w:p>
        </w:tc>
      </w:tr>
      <w:tr w:rsidR="004F7849" w14:paraId="574CE3FF" w14:textId="77777777" w:rsidTr="004F7849">
        <w:tc>
          <w:tcPr>
            <w:tcW w:w="1631" w:type="dxa"/>
          </w:tcPr>
          <w:p w14:paraId="3270D617" w14:textId="34CB1DDE" w:rsidR="004F7849" w:rsidRPr="004F7849" w:rsidRDefault="004F7849" w:rsidP="004F7849">
            <w:pPr>
              <w:rPr>
                <w:rFonts w:ascii="Times New Roman" w:eastAsia="Times New Roman" w:hAnsi="Times New Roman" w:cs="Times New Roman"/>
                <w:b/>
                <w:bCs/>
                <w:sz w:val="24"/>
                <w:szCs w:val="24"/>
                <w:lang w:val="en-US"/>
              </w:rPr>
            </w:pPr>
            <w:r w:rsidRPr="004F7849">
              <w:rPr>
                <w:b/>
                <w:bCs/>
              </w:rPr>
              <w:t>Психични нарушения</w:t>
            </w:r>
          </w:p>
        </w:tc>
        <w:tc>
          <w:tcPr>
            <w:tcW w:w="1515" w:type="dxa"/>
            <w:vAlign w:val="bottom"/>
          </w:tcPr>
          <w:p w14:paraId="2DD1ED80" w14:textId="6F45A40A" w:rsidR="004F7849" w:rsidRDefault="004F7849" w:rsidP="004F7849">
            <w:pPr>
              <w:rPr>
                <w:rFonts w:ascii="Times New Roman" w:eastAsia="Times New Roman" w:hAnsi="Times New Roman" w:cs="Times New Roman"/>
                <w:sz w:val="24"/>
                <w:szCs w:val="24"/>
                <w:lang w:val="en-US"/>
              </w:rPr>
            </w:pPr>
            <w:proofErr w:type="spellStart"/>
            <w:r>
              <w:t>Ажитация</w:t>
            </w:r>
            <w:proofErr w:type="spellEnd"/>
            <w:r>
              <w:t xml:space="preserve"> Безсъние</w:t>
            </w:r>
          </w:p>
        </w:tc>
        <w:tc>
          <w:tcPr>
            <w:tcW w:w="1585" w:type="dxa"/>
          </w:tcPr>
          <w:p w14:paraId="6991035E" w14:textId="77777777" w:rsidR="004F7849" w:rsidRDefault="004F7849" w:rsidP="004F7849">
            <w:pPr>
              <w:rPr>
                <w:rFonts w:ascii="Times New Roman" w:eastAsia="Times New Roman" w:hAnsi="Times New Roman" w:cs="Times New Roman"/>
                <w:sz w:val="24"/>
                <w:szCs w:val="24"/>
                <w:lang w:val="en-US"/>
              </w:rPr>
            </w:pPr>
          </w:p>
        </w:tc>
        <w:tc>
          <w:tcPr>
            <w:tcW w:w="1628" w:type="dxa"/>
            <w:vAlign w:val="center"/>
          </w:tcPr>
          <w:p w14:paraId="7B3B0C01" w14:textId="5DB2FE08" w:rsidR="004F7849" w:rsidRDefault="004F7849" w:rsidP="004F7849">
            <w:pPr>
              <w:rPr>
                <w:rFonts w:ascii="Times New Roman" w:eastAsia="Times New Roman" w:hAnsi="Times New Roman" w:cs="Times New Roman"/>
                <w:sz w:val="24"/>
                <w:szCs w:val="24"/>
                <w:lang w:val="en-US"/>
              </w:rPr>
            </w:pPr>
            <w:r>
              <w:t>Състояние на обърканост Загуба на либидо Намалено либидо Безпокойство</w:t>
            </w:r>
          </w:p>
        </w:tc>
        <w:tc>
          <w:tcPr>
            <w:tcW w:w="1520" w:type="dxa"/>
            <w:vAlign w:val="bottom"/>
          </w:tcPr>
          <w:p w14:paraId="234880EB"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2F868945" w14:textId="77777777" w:rsidR="004F7849" w:rsidRDefault="004F7849" w:rsidP="004F7849">
            <w:pPr>
              <w:rPr>
                <w:rFonts w:ascii="Times New Roman" w:eastAsia="Times New Roman" w:hAnsi="Times New Roman" w:cs="Times New Roman"/>
                <w:sz w:val="24"/>
                <w:szCs w:val="24"/>
                <w:lang w:val="en-US"/>
              </w:rPr>
            </w:pPr>
          </w:p>
        </w:tc>
      </w:tr>
      <w:tr w:rsidR="004F7849" w14:paraId="4B8080D1" w14:textId="77777777" w:rsidTr="004F7849">
        <w:tc>
          <w:tcPr>
            <w:tcW w:w="1631" w:type="dxa"/>
          </w:tcPr>
          <w:p w14:paraId="3BD395DD" w14:textId="36C8500C" w:rsidR="004F7849" w:rsidRPr="004F7849" w:rsidRDefault="004F7849" w:rsidP="004F7849">
            <w:pPr>
              <w:rPr>
                <w:rFonts w:ascii="Times New Roman" w:eastAsia="Times New Roman" w:hAnsi="Times New Roman" w:cs="Times New Roman"/>
                <w:b/>
                <w:bCs/>
                <w:sz w:val="24"/>
                <w:szCs w:val="24"/>
                <w:lang w:val="en-US"/>
              </w:rPr>
            </w:pPr>
            <w:r w:rsidRPr="004F7849">
              <w:rPr>
                <w:b/>
                <w:bCs/>
              </w:rPr>
              <w:t>Нарушения на нервната система</w:t>
            </w:r>
          </w:p>
        </w:tc>
        <w:tc>
          <w:tcPr>
            <w:tcW w:w="1515" w:type="dxa"/>
          </w:tcPr>
          <w:p w14:paraId="3F290C29" w14:textId="3DB3BFB7" w:rsidR="004F7849" w:rsidRDefault="004F7849" w:rsidP="004F7849">
            <w:pPr>
              <w:rPr>
                <w:rFonts w:ascii="Times New Roman" w:eastAsia="Times New Roman" w:hAnsi="Times New Roman" w:cs="Times New Roman"/>
                <w:sz w:val="24"/>
                <w:szCs w:val="24"/>
                <w:lang w:val="en-US"/>
              </w:rPr>
            </w:pPr>
            <w:r>
              <w:t xml:space="preserve">Екстрадирам идно нарушение </w:t>
            </w:r>
            <w:proofErr w:type="spellStart"/>
            <w:r>
              <w:t>Хидеркинези</w:t>
            </w:r>
            <w:proofErr w:type="spellEnd"/>
            <w:r>
              <w:t xml:space="preserve"> я Главоболие</w:t>
            </w:r>
          </w:p>
        </w:tc>
        <w:tc>
          <w:tcPr>
            <w:tcW w:w="1585" w:type="dxa"/>
          </w:tcPr>
          <w:p w14:paraId="24C468AC"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33CEA3C7" w14:textId="77777777" w:rsidR="004F7849" w:rsidRDefault="004F7849" w:rsidP="004F7849">
            <w:r>
              <w:t xml:space="preserve">Конвулсия </w:t>
            </w:r>
            <w:proofErr w:type="spellStart"/>
            <w:r>
              <w:t>Паркинсонизъ</w:t>
            </w:r>
            <w:proofErr w:type="spellEnd"/>
            <w:r>
              <w:t xml:space="preserve"> м</w:t>
            </w:r>
          </w:p>
          <w:p w14:paraId="196DCA09" w14:textId="77777777" w:rsidR="004F7849" w:rsidRDefault="004F7849" w:rsidP="004F7849">
            <w:proofErr w:type="spellStart"/>
            <w:r>
              <w:t>Седация</w:t>
            </w:r>
            <w:proofErr w:type="spellEnd"/>
            <w:r>
              <w:t xml:space="preserve"> Неволеви</w:t>
            </w:r>
          </w:p>
          <w:p w14:paraId="1DF057EB" w14:textId="23EC6C59" w:rsidR="004F7849" w:rsidRDefault="004F7849" w:rsidP="004F7849">
            <w:pPr>
              <w:rPr>
                <w:rFonts w:ascii="Times New Roman" w:eastAsia="Times New Roman" w:hAnsi="Times New Roman" w:cs="Times New Roman"/>
                <w:sz w:val="24"/>
                <w:szCs w:val="24"/>
                <w:lang w:val="en-US"/>
              </w:rPr>
            </w:pPr>
            <w:r>
              <w:t>мускулни съкращения</w:t>
            </w:r>
          </w:p>
        </w:tc>
        <w:tc>
          <w:tcPr>
            <w:tcW w:w="1520" w:type="dxa"/>
          </w:tcPr>
          <w:p w14:paraId="28698626" w14:textId="40056B33" w:rsidR="004F7849" w:rsidRDefault="004F7849" w:rsidP="004F7849">
            <w:pPr>
              <w:rPr>
                <w:rFonts w:ascii="Times New Roman" w:eastAsia="Times New Roman" w:hAnsi="Times New Roman" w:cs="Times New Roman"/>
                <w:sz w:val="24"/>
                <w:szCs w:val="24"/>
                <w:lang w:val="en-US"/>
              </w:rPr>
            </w:pPr>
            <w:proofErr w:type="spellStart"/>
            <w:r>
              <w:t>Невролептич</w:t>
            </w:r>
            <w:proofErr w:type="spellEnd"/>
            <w:r>
              <w:t xml:space="preserve"> </w:t>
            </w:r>
            <w:proofErr w:type="spellStart"/>
            <w:r>
              <w:t>ен</w:t>
            </w:r>
            <w:proofErr w:type="spellEnd"/>
            <w:r>
              <w:t xml:space="preserve"> малигнен синдром Моторна </w:t>
            </w:r>
            <w:proofErr w:type="spellStart"/>
            <w:r>
              <w:t>дисфункия</w:t>
            </w:r>
            <w:proofErr w:type="spellEnd"/>
            <w:r>
              <w:t xml:space="preserve"> </w:t>
            </w:r>
            <w:proofErr w:type="spellStart"/>
            <w:r>
              <w:t>Нистагъм</w:t>
            </w:r>
            <w:proofErr w:type="spellEnd"/>
          </w:p>
        </w:tc>
        <w:tc>
          <w:tcPr>
            <w:tcW w:w="1697" w:type="dxa"/>
          </w:tcPr>
          <w:p w14:paraId="734C26FC" w14:textId="2AEE4757" w:rsidR="004F7849" w:rsidRDefault="004F7849" w:rsidP="004F7849">
            <w:pPr>
              <w:rPr>
                <w:rFonts w:ascii="Times New Roman" w:eastAsia="Times New Roman" w:hAnsi="Times New Roman" w:cs="Times New Roman"/>
                <w:sz w:val="24"/>
                <w:szCs w:val="24"/>
                <w:lang w:val="en-US"/>
              </w:rPr>
            </w:pPr>
            <w:proofErr w:type="spellStart"/>
            <w:r>
              <w:t>Акинезия</w:t>
            </w:r>
            <w:proofErr w:type="spellEnd"/>
            <w:r>
              <w:t xml:space="preserve"> Феномен на зъбчатото колело </w:t>
            </w:r>
            <w:proofErr w:type="spellStart"/>
            <w:r>
              <w:t>Масковидно</w:t>
            </w:r>
            <w:proofErr w:type="spellEnd"/>
            <w:r>
              <w:t xml:space="preserve"> лице</w:t>
            </w:r>
          </w:p>
        </w:tc>
      </w:tr>
      <w:tr w:rsidR="004F7849" w14:paraId="0FB479B1" w14:textId="77777777" w:rsidTr="004F7849">
        <w:tc>
          <w:tcPr>
            <w:tcW w:w="1631" w:type="dxa"/>
          </w:tcPr>
          <w:p w14:paraId="1BDAA1BA" w14:textId="123396D8" w:rsidR="004F7849" w:rsidRPr="004F7849" w:rsidRDefault="004F7849" w:rsidP="004F7849">
            <w:pPr>
              <w:rPr>
                <w:rFonts w:ascii="Times New Roman" w:eastAsia="Times New Roman" w:hAnsi="Times New Roman" w:cs="Times New Roman"/>
                <w:b/>
                <w:bCs/>
                <w:sz w:val="24"/>
                <w:szCs w:val="24"/>
                <w:lang w:val="en-US"/>
              </w:rPr>
            </w:pPr>
            <w:r w:rsidRPr="004F7849">
              <w:rPr>
                <w:b/>
                <w:bCs/>
              </w:rPr>
              <w:t>Нарушения на очите</w:t>
            </w:r>
          </w:p>
        </w:tc>
        <w:tc>
          <w:tcPr>
            <w:tcW w:w="1515" w:type="dxa"/>
          </w:tcPr>
          <w:p w14:paraId="2D7B2135"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67B5B06A"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403DBB42" w14:textId="602EA5D2" w:rsidR="004F7849" w:rsidRDefault="004F7849" w:rsidP="004F7849">
            <w:pPr>
              <w:rPr>
                <w:rFonts w:ascii="Times New Roman" w:eastAsia="Times New Roman" w:hAnsi="Times New Roman" w:cs="Times New Roman"/>
                <w:sz w:val="24"/>
                <w:szCs w:val="24"/>
                <w:lang w:val="en-US"/>
              </w:rPr>
            </w:pPr>
            <w:r>
              <w:t>Замъглено зрение</w:t>
            </w:r>
          </w:p>
        </w:tc>
        <w:tc>
          <w:tcPr>
            <w:tcW w:w="1520" w:type="dxa"/>
          </w:tcPr>
          <w:p w14:paraId="1B45AA45"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5AA1E3FE" w14:textId="77777777" w:rsidR="004F7849" w:rsidRDefault="004F7849" w:rsidP="004F7849">
            <w:pPr>
              <w:rPr>
                <w:rFonts w:ascii="Times New Roman" w:eastAsia="Times New Roman" w:hAnsi="Times New Roman" w:cs="Times New Roman"/>
                <w:sz w:val="24"/>
                <w:szCs w:val="24"/>
                <w:lang w:val="en-US"/>
              </w:rPr>
            </w:pPr>
          </w:p>
        </w:tc>
      </w:tr>
      <w:tr w:rsidR="004F7849" w14:paraId="2D4F664F" w14:textId="77777777" w:rsidTr="004F7849">
        <w:tc>
          <w:tcPr>
            <w:tcW w:w="1631" w:type="dxa"/>
          </w:tcPr>
          <w:p w14:paraId="19AD3CCA" w14:textId="599505EE" w:rsidR="004F7849" w:rsidRPr="004F7849" w:rsidRDefault="004F7849" w:rsidP="004F7849">
            <w:pPr>
              <w:rPr>
                <w:rFonts w:ascii="Times New Roman" w:eastAsia="Times New Roman" w:hAnsi="Times New Roman" w:cs="Times New Roman"/>
                <w:b/>
                <w:bCs/>
                <w:sz w:val="24"/>
                <w:szCs w:val="24"/>
                <w:lang w:val="en-US"/>
              </w:rPr>
            </w:pPr>
            <w:r w:rsidRPr="004F7849">
              <w:rPr>
                <w:b/>
                <w:bCs/>
              </w:rPr>
              <w:t>Сърдечни нарушения</w:t>
            </w:r>
          </w:p>
        </w:tc>
        <w:tc>
          <w:tcPr>
            <w:tcW w:w="1515" w:type="dxa"/>
          </w:tcPr>
          <w:p w14:paraId="2601E1C8"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313F8BAD"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6DDE3367" w14:textId="45115E4B" w:rsidR="004F7849" w:rsidRDefault="004F7849" w:rsidP="004F7849">
            <w:pPr>
              <w:rPr>
                <w:rFonts w:ascii="Times New Roman" w:eastAsia="Times New Roman" w:hAnsi="Times New Roman" w:cs="Times New Roman"/>
                <w:sz w:val="24"/>
                <w:szCs w:val="24"/>
                <w:lang w:val="en-US"/>
              </w:rPr>
            </w:pPr>
            <w:r>
              <w:t>Тахикардия</w:t>
            </w:r>
          </w:p>
        </w:tc>
        <w:tc>
          <w:tcPr>
            <w:tcW w:w="1520" w:type="dxa"/>
          </w:tcPr>
          <w:p w14:paraId="0066E22B" w14:textId="77777777" w:rsidR="004F7849" w:rsidRDefault="004F7849" w:rsidP="004F7849">
            <w:pPr>
              <w:rPr>
                <w:rFonts w:ascii="Times New Roman" w:eastAsia="Times New Roman" w:hAnsi="Times New Roman" w:cs="Times New Roman"/>
                <w:sz w:val="24"/>
                <w:szCs w:val="24"/>
                <w:lang w:val="en-US"/>
              </w:rPr>
            </w:pPr>
          </w:p>
        </w:tc>
        <w:tc>
          <w:tcPr>
            <w:tcW w:w="1697" w:type="dxa"/>
            <w:vAlign w:val="bottom"/>
          </w:tcPr>
          <w:p w14:paraId="465B2D20" w14:textId="77777777" w:rsidR="004F7849" w:rsidRDefault="004F7849" w:rsidP="004F7849">
            <w:r>
              <w:t>Камерно мъждене</w:t>
            </w:r>
          </w:p>
          <w:p w14:paraId="05FF46E5" w14:textId="32DF0236" w:rsidR="004F7849" w:rsidRDefault="004F7849" w:rsidP="004F7849">
            <w:pPr>
              <w:rPr>
                <w:rFonts w:ascii="Times New Roman" w:eastAsia="Times New Roman" w:hAnsi="Times New Roman" w:cs="Times New Roman"/>
                <w:sz w:val="24"/>
                <w:szCs w:val="24"/>
                <w:lang w:val="en-US"/>
              </w:rPr>
            </w:pPr>
            <w:r>
              <w:rPr>
                <w:lang w:val="en-US"/>
              </w:rPr>
              <w:t xml:space="preserve">Torsade de pointes </w:t>
            </w:r>
            <w:r>
              <w:t xml:space="preserve">Камерна тахикардия </w:t>
            </w:r>
            <w:proofErr w:type="spellStart"/>
            <w:r>
              <w:t>Екстрасистоли</w:t>
            </w:r>
            <w:proofErr w:type="spellEnd"/>
          </w:p>
        </w:tc>
      </w:tr>
      <w:tr w:rsidR="004F7849" w14:paraId="7483273F" w14:textId="77777777" w:rsidTr="004F7849">
        <w:tc>
          <w:tcPr>
            <w:tcW w:w="1631" w:type="dxa"/>
            <w:vAlign w:val="center"/>
          </w:tcPr>
          <w:p w14:paraId="5A149F81" w14:textId="3064A670" w:rsidR="004F7849" w:rsidRPr="004F7849" w:rsidRDefault="004F7849" w:rsidP="004F7849">
            <w:pPr>
              <w:rPr>
                <w:rFonts w:ascii="Times New Roman" w:eastAsia="Times New Roman" w:hAnsi="Times New Roman" w:cs="Times New Roman"/>
                <w:b/>
                <w:bCs/>
                <w:sz w:val="24"/>
                <w:szCs w:val="24"/>
                <w:lang w:val="en-US"/>
              </w:rPr>
            </w:pPr>
            <w:r w:rsidRPr="004F7849">
              <w:rPr>
                <w:b/>
                <w:bCs/>
              </w:rPr>
              <w:t>Съдови нарушения</w:t>
            </w:r>
          </w:p>
        </w:tc>
        <w:tc>
          <w:tcPr>
            <w:tcW w:w="1515" w:type="dxa"/>
          </w:tcPr>
          <w:p w14:paraId="6437F15D"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513368AE"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3C43CAA1" w14:textId="77777777" w:rsidR="004F7849" w:rsidRDefault="004F7849" w:rsidP="004F7849">
            <w:pPr>
              <w:rPr>
                <w:rFonts w:ascii="Times New Roman" w:eastAsia="Times New Roman" w:hAnsi="Times New Roman" w:cs="Times New Roman"/>
                <w:sz w:val="24"/>
                <w:szCs w:val="24"/>
                <w:lang w:val="en-US"/>
              </w:rPr>
            </w:pPr>
          </w:p>
        </w:tc>
        <w:tc>
          <w:tcPr>
            <w:tcW w:w="1520" w:type="dxa"/>
          </w:tcPr>
          <w:p w14:paraId="0FC16027"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08926D98" w14:textId="77777777" w:rsidR="004F7849" w:rsidRDefault="004F7849" w:rsidP="004F7849">
            <w:pPr>
              <w:rPr>
                <w:rFonts w:ascii="Times New Roman" w:eastAsia="Times New Roman" w:hAnsi="Times New Roman" w:cs="Times New Roman"/>
                <w:sz w:val="24"/>
                <w:szCs w:val="24"/>
                <w:lang w:val="en-US"/>
              </w:rPr>
            </w:pPr>
          </w:p>
        </w:tc>
      </w:tr>
      <w:tr w:rsidR="004F7849" w14:paraId="746CB2BB" w14:textId="77777777" w:rsidTr="004F7849">
        <w:tc>
          <w:tcPr>
            <w:tcW w:w="1631" w:type="dxa"/>
            <w:vAlign w:val="bottom"/>
          </w:tcPr>
          <w:p w14:paraId="6685A394" w14:textId="2051E1D8" w:rsidR="004F7849" w:rsidRPr="004F7849" w:rsidRDefault="004F7849" w:rsidP="004F7849">
            <w:pPr>
              <w:rPr>
                <w:rFonts w:ascii="Times New Roman" w:eastAsia="Times New Roman" w:hAnsi="Times New Roman" w:cs="Times New Roman"/>
                <w:b/>
                <w:bCs/>
                <w:sz w:val="24"/>
                <w:szCs w:val="24"/>
                <w:lang w:val="en-US"/>
              </w:rPr>
            </w:pPr>
            <w:r w:rsidRPr="004F7849">
              <w:rPr>
                <w:b/>
                <w:bCs/>
              </w:rPr>
              <w:t xml:space="preserve">Респиратор </w:t>
            </w:r>
            <w:proofErr w:type="spellStart"/>
            <w:r w:rsidRPr="004F7849">
              <w:rPr>
                <w:b/>
                <w:bCs/>
              </w:rPr>
              <w:t>ни,гръдни</w:t>
            </w:r>
            <w:proofErr w:type="spellEnd"/>
            <w:r w:rsidRPr="004F7849">
              <w:rPr>
                <w:b/>
                <w:bCs/>
              </w:rPr>
              <w:t xml:space="preserve"> и </w:t>
            </w:r>
            <w:proofErr w:type="spellStart"/>
            <w:r w:rsidRPr="004F7849">
              <w:rPr>
                <w:b/>
                <w:bCs/>
              </w:rPr>
              <w:t>медиастина</w:t>
            </w:r>
            <w:proofErr w:type="spellEnd"/>
            <w:r w:rsidRPr="004F7849">
              <w:rPr>
                <w:b/>
                <w:bCs/>
              </w:rPr>
              <w:t xml:space="preserve"> </w:t>
            </w:r>
            <w:proofErr w:type="spellStart"/>
            <w:r w:rsidRPr="004F7849">
              <w:rPr>
                <w:b/>
                <w:bCs/>
              </w:rPr>
              <w:t>лни</w:t>
            </w:r>
            <w:proofErr w:type="spellEnd"/>
            <w:r w:rsidRPr="004F7849">
              <w:rPr>
                <w:b/>
                <w:bCs/>
              </w:rPr>
              <w:t xml:space="preserve"> нарушения</w:t>
            </w:r>
          </w:p>
        </w:tc>
        <w:tc>
          <w:tcPr>
            <w:tcW w:w="1515" w:type="dxa"/>
          </w:tcPr>
          <w:p w14:paraId="2FE1632C"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74A652DE"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2BC5FE38" w14:textId="0051D611" w:rsidR="004F7849" w:rsidRDefault="004F7849" w:rsidP="004F7849">
            <w:pPr>
              <w:rPr>
                <w:rFonts w:ascii="Times New Roman" w:eastAsia="Times New Roman" w:hAnsi="Times New Roman" w:cs="Times New Roman"/>
                <w:sz w:val="24"/>
                <w:szCs w:val="24"/>
                <w:lang w:val="en-US"/>
              </w:rPr>
            </w:pPr>
            <w:proofErr w:type="spellStart"/>
            <w:r>
              <w:t>Диспнея</w:t>
            </w:r>
            <w:proofErr w:type="spellEnd"/>
          </w:p>
        </w:tc>
        <w:tc>
          <w:tcPr>
            <w:tcW w:w="1520" w:type="dxa"/>
          </w:tcPr>
          <w:p w14:paraId="65B66FA7" w14:textId="5E8DFF4C" w:rsidR="004F7849" w:rsidRDefault="004F7849" w:rsidP="004F7849">
            <w:pPr>
              <w:rPr>
                <w:rFonts w:ascii="Times New Roman" w:eastAsia="Times New Roman" w:hAnsi="Times New Roman" w:cs="Times New Roman"/>
                <w:sz w:val="24"/>
                <w:szCs w:val="24"/>
                <w:lang w:val="en-US"/>
              </w:rPr>
            </w:pPr>
            <w:proofErr w:type="spellStart"/>
            <w:r>
              <w:t>Бронхоспазъ</w:t>
            </w:r>
            <w:proofErr w:type="spellEnd"/>
            <w:r>
              <w:t xml:space="preserve"> м</w:t>
            </w:r>
          </w:p>
        </w:tc>
        <w:tc>
          <w:tcPr>
            <w:tcW w:w="1697" w:type="dxa"/>
          </w:tcPr>
          <w:p w14:paraId="22E6342F" w14:textId="0887FE80" w:rsidR="004F7849" w:rsidRDefault="004F7849" w:rsidP="004F7849">
            <w:pPr>
              <w:rPr>
                <w:rFonts w:ascii="Times New Roman" w:eastAsia="Times New Roman" w:hAnsi="Times New Roman" w:cs="Times New Roman"/>
                <w:sz w:val="24"/>
                <w:szCs w:val="24"/>
                <w:lang w:val="en-US"/>
              </w:rPr>
            </w:pPr>
            <w:r>
              <w:t xml:space="preserve">Оток на ларинкса </w:t>
            </w:r>
            <w:proofErr w:type="spellStart"/>
            <w:r>
              <w:t>Ларингоспазъ</w:t>
            </w:r>
            <w:proofErr w:type="spellEnd"/>
            <w:r>
              <w:t xml:space="preserve"> м</w:t>
            </w:r>
          </w:p>
        </w:tc>
      </w:tr>
      <w:tr w:rsidR="004F7849" w14:paraId="2E89732D" w14:textId="77777777" w:rsidTr="004F7849">
        <w:tc>
          <w:tcPr>
            <w:tcW w:w="1631" w:type="dxa"/>
          </w:tcPr>
          <w:p w14:paraId="0911B0F7" w14:textId="36D5937E" w:rsidR="004F7849" w:rsidRPr="004F7849" w:rsidRDefault="004F7849" w:rsidP="004F7849">
            <w:pPr>
              <w:rPr>
                <w:rFonts w:ascii="Times New Roman" w:eastAsia="Times New Roman" w:hAnsi="Times New Roman" w:cs="Times New Roman"/>
                <w:b/>
                <w:bCs/>
                <w:sz w:val="24"/>
                <w:szCs w:val="24"/>
                <w:lang w:val="en-US"/>
              </w:rPr>
            </w:pPr>
            <w:r w:rsidRPr="004F7849">
              <w:rPr>
                <w:b/>
                <w:bCs/>
              </w:rPr>
              <w:t>Стомашно- чревни нарушения</w:t>
            </w:r>
          </w:p>
        </w:tc>
        <w:tc>
          <w:tcPr>
            <w:tcW w:w="1515" w:type="dxa"/>
          </w:tcPr>
          <w:p w14:paraId="06BE9F1E"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59EAFBE4" w14:textId="3A8815A7" w:rsidR="004F7849" w:rsidRDefault="004F7849" w:rsidP="004F7849">
            <w:pPr>
              <w:rPr>
                <w:rFonts w:ascii="Times New Roman" w:eastAsia="Times New Roman" w:hAnsi="Times New Roman" w:cs="Times New Roman"/>
                <w:sz w:val="24"/>
                <w:szCs w:val="24"/>
                <w:lang w:val="en-US"/>
              </w:rPr>
            </w:pPr>
            <w:r>
              <w:t xml:space="preserve">Повръщане Гадене Запек </w:t>
            </w:r>
            <w:r>
              <w:lastRenderedPageBreak/>
              <w:t xml:space="preserve">Сухота в устата </w:t>
            </w:r>
            <w:proofErr w:type="spellStart"/>
            <w:r>
              <w:t>Слюнчна</w:t>
            </w:r>
            <w:proofErr w:type="spellEnd"/>
            <w:r>
              <w:t xml:space="preserve"> </w:t>
            </w:r>
            <w:proofErr w:type="spellStart"/>
            <w:r>
              <w:t>хиперсекреци</w:t>
            </w:r>
            <w:proofErr w:type="spellEnd"/>
            <w:r>
              <w:t xml:space="preserve"> я</w:t>
            </w:r>
          </w:p>
        </w:tc>
        <w:tc>
          <w:tcPr>
            <w:tcW w:w="1628" w:type="dxa"/>
          </w:tcPr>
          <w:p w14:paraId="26CE4A4C" w14:textId="77777777" w:rsidR="004F7849" w:rsidRDefault="004F7849" w:rsidP="004F7849">
            <w:pPr>
              <w:rPr>
                <w:rFonts w:ascii="Times New Roman" w:eastAsia="Times New Roman" w:hAnsi="Times New Roman" w:cs="Times New Roman"/>
                <w:sz w:val="24"/>
                <w:szCs w:val="24"/>
                <w:lang w:val="en-US"/>
              </w:rPr>
            </w:pPr>
          </w:p>
        </w:tc>
        <w:tc>
          <w:tcPr>
            <w:tcW w:w="1520" w:type="dxa"/>
          </w:tcPr>
          <w:p w14:paraId="530511BC"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0486481F" w14:textId="77777777" w:rsidR="004F7849" w:rsidRDefault="004F7849" w:rsidP="004F7849">
            <w:pPr>
              <w:rPr>
                <w:rFonts w:ascii="Times New Roman" w:eastAsia="Times New Roman" w:hAnsi="Times New Roman" w:cs="Times New Roman"/>
                <w:sz w:val="24"/>
                <w:szCs w:val="24"/>
                <w:lang w:val="en-US"/>
              </w:rPr>
            </w:pPr>
          </w:p>
        </w:tc>
      </w:tr>
      <w:tr w:rsidR="004F7849" w14:paraId="2B5FACB3" w14:textId="77777777" w:rsidTr="004F7849">
        <w:tc>
          <w:tcPr>
            <w:tcW w:w="1631" w:type="dxa"/>
          </w:tcPr>
          <w:p w14:paraId="6A145BBD" w14:textId="11B36915" w:rsidR="004F7849" w:rsidRPr="004F7849" w:rsidRDefault="004F7849" w:rsidP="004F7849">
            <w:pPr>
              <w:rPr>
                <w:rFonts w:ascii="Times New Roman" w:eastAsia="Times New Roman" w:hAnsi="Times New Roman" w:cs="Times New Roman"/>
                <w:b/>
                <w:bCs/>
                <w:sz w:val="24"/>
                <w:szCs w:val="24"/>
                <w:lang w:val="en-US"/>
              </w:rPr>
            </w:pPr>
            <w:proofErr w:type="spellStart"/>
            <w:r w:rsidRPr="004F7849">
              <w:rPr>
                <w:b/>
                <w:bCs/>
              </w:rPr>
              <w:t>Хепатобили</w:t>
            </w:r>
            <w:proofErr w:type="spellEnd"/>
            <w:r w:rsidRPr="004F7849">
              <w:rPr>
                <w:b/>
                <w:bCs/>
              </w:rPr>
              <w:t xml:space="preserve"> </w:t>
            </w:r>
            <w:proofErr w:type="spellStart"/>
            <w:r w:rsidRPr="004F7849">
              <w:rPr>
                <w:b/>
                <w:bCs/>
              </w:rPr>
              <w:t>арни</w:t>
            </w:r>
            <w:proofErr w:type="spellEnd"/>
            <w:r w:rsidRPr="004F7849">
              <w:rPr>
                <w:b/>
                <w:bCs/>
              </w:rPr>
              <w:t xml:space="preserve"> нарушения</w:t>
            </w:r>
          </w:p>
        </w:tc>
        <w:tc>
          <w:tcPr>
            <w:tcW w:w="1515" w:type="dxa"/>
          </w:tcPr>
          <w:p w14:paraId="2A104C0F" w14:textId="77777777" w:rsidR="004F7849" w:rsidRDefault="004F7849" w:rsidP="004F7849">
            <w:pPr>
              <w:rPr>
                <w:rFonts w:ascii="Times New Roman" w:eastAsia="Times New Roman" w:hAnsi="Times New Roman" w:cs="Times New Roman"/>
                <w:sz w:val="24"/>
                <w:szCs w:val="24"/>
                <w:lang w:val="en-US"/>
              </w:rPr>
            </w:pPr>
          </w:p>
        </w:tc>
        <w:tc>
          <w:tcPr>
            <w:tcW w:w="1585" w:type="dxa"/>
            <w:vAlign w:val="center"/>
          </w:tcPr>
          <w:p w14:paraId="4E42B297" w14:textId="2AD3140F" w:rsidR="004F7849" w:rsidRDefault="004F7849" w:rsidP="004F7849">
            <w:pPr>
              <w:rPr>
                <w:rFonts w:ascii="Times New Roman" w:eastAsia="Times New Roman" w:hAnsi="Times New Roman" w:cs="Times New Roman"/>
                <w:sz w:val="24"/>
                <w:szCs w:val="24"/>
                <w:lang w:val="en-US"/>
              </w:rPr>
            </w:pPr>
            <w:r>
              <w:t xml:space="preserve">Отклонения във </w:t>
            </w:r>
            <w:proofErr w:type="spellStart"/>
            <w:r>
              <w:t>функционалн</w:t>
            </w:r>
            <w:proofErr w:type="spellEnd"/>
            <w:r>
              <w:t xml:space="preserve"> </w:t>
            </w:r>
            <w:proofErr w:type="spellStart"/>
            <w:r>
              <w:t>ите</w:t>
            </w:r>
            <w:proofErr w:type="spellEnd"/>
            <w:r>
              <w:t xml:space="preserve"> чернодробни показатели</w:t>
            </w:r>
          </w:p>
        </w:tc>
        <w:tc>
          <w:tcPr>
            <w:tcW w:w="1628" w:type="dxa"/>
          </w:tcPr>
          <w:p w14:paraId="7EB55D96" w14:textId="77777777" w:rsidR="004F7849" w:rsidRDefault="004F7849" w:rsidP="004F7849">
            <w:r>
              <w:t>Хепатит</w:t>
            </w:r>
          </w:p>
          <w:p w14:paraId="6FCA2E35" w14:textId="0ED4310A" w:rsidR="004F7849" w:rsidRDefault="004F7849" w:rsidP="004F7849">
            <w:pPr>
              <w:rPr>
                <w:rFonts w:ascii="Times New Roman" w:eastAsia="Times New Roman" w:hAnsi="Times New Roman" w:cs="Times New Roman"/>
                <w:sz w:val="24"/>
                <w:szCs w:val="24"/>
                <w:lang w:val="en-US"/>
              </w:rPr>
            </w:pPr>
            <w:r>
              <w:t>Жълтеница</w:t>
            </w:r>
          </w:p>
        </w:tc>
        <w:tc>
          <w:tcPr>
            <w:tcW w:w="1520" w:type="dxa"/>
          </w:tcPr>
          <w:p w14:paraId="3A5BA1EA"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685F4ED2" w14:textId="7D6A15AF" w:rsidR="004F7849" w:rsidRDefault="004F7849" w:rsidP="004F7849">
            <w:pPr>
              <w:rPr>
                <w:rFonts w:ascii="Times New Roman" w:eastAsia="Times New Roman" w:hAnsi="Times New Roman" w:cs="Times New Roman"/>
                <w:sz w:val="24"/>
                <w:szCs w:val="24"/>
                <w:lang w:val="en-US"/>
              </w:rPr>
            </w:pPr>
            <w:r>
              <w:t xml:space="preserve">Остра чернодробна </w:t>
            </w:r>
            <w:proofErr w:type="spellStart"/>
            <w:r>
              <w:t>недостатъчнос</w:t>
            </w:r>
            <w:proofErr w:type="spellEnd"/>
            <w:r>
              <w:t xml:space="preserve"> т </w:t>
            </w:r>
            <w:proofErr w:type="spellStart"/>
            <w:r>
              <w:t>Холестаза</w:t>
            </w:r>
            <w:proofErr w:type="spellEnd"/>
          </w:p>
        </w:tc>
      </w:tr>
      <w:tr w:rsidR="004F7849" w14:paraId="29E75B6D" w14:textId="77777777" w:rsidTr="004F7849">
        <w:tc>
          <w:tcPr>
            <w:tcW w:w="1631" w:type="dxa"/>
          </w:tcPr>
          <w:p w14:paraId="107123C6" w14:textId="69CEDE98" w:rsidR="004F7849" w:rsidRPr="004F7849" w:rsidRDefault="004F7849" w:rsidP="004F7849">
            <w:pPr>
              <w:rPr>
                <w:rFonts w:ascii="Times New Roman" w:eastAsia="Times New Roman" w:hAnsi="Times New Roman" w:cs="Times New Roman"/>
                <w:b/>
                <w:bCs/>
                <w:sz w:val="24"/>
                <w:szCs w:val="24"/>
                <w:lang w:val="en-US"/>
              </w:rPr>
            </w:pPr>
            <w:r w:rsidRPr="004F7849">
              <w:rPr>
                <w:b/>
                <w:bCs/>
              </w:rPr>
              <w:t>Нарушения на кожата и подкожната тъкан</w:t>
            </w:r>
          </w:p>
        </w:tc>
        <w:tc>
          <w:tcPr>
            <w:tcW w:w="1515" w:type="dxa"/>
          </w:tcPr>
          <w:p w14:paraId="5F76271D"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52C7689D" w14:textId="403E6F85" w:rsidR="004F7849" w:rsidRDefault="004F7849" w:rsidP="004F7849">
            <w:pPr>
              <w:rPr>
                <w:rFonts w:ascii="Times New Roman" w:eastAsia="Times New Roman" w:hAnsi="Times New Roman" w:cs="Times New Roman"/>
                <w:sz w:val="24"/>
                <w:szCs w:val="24"/>
                <w:lang w:val="en-US"/>
              </w:rPr>
            </w:pPr>
            <w:r>
              <w:t>Обрив</w:t>
            </w:r>
          </w:p>
        </w:tc>
        <w:tc>
          <w:tcPr>
            <w:tcW w:w="1628" w:type="dxa"/>
            <w:vAlign w:val="bottom"/>
          </w:tcPr>
          <w:p w14:paraId="47052A26" w14:textId="36491649" w:rsidR="004F7849" w:rsidRDefault="004F7849" w:rsidP="004F7849">
            <w:pPr>
              <w:rPr>
                <w:rFonts w:ascii="Times New Roman" w:eastAsia="Times New Roman" w:hAnsi="Times New Roman" w:cs="Times New Roman"/>
                <w:sz w:val="24"/>
                <w:szCs w:val="24"/>
                <w:lang w:val="en-US"/>
              </w:rPr>
            </w:pPr>
            <w:r>
              <w:t xml:space="preserve">Реакции на </w:t>
            </w:r>
            <w:proofErr w:type="spellStart"/>
            <w:r>
              <w:t>фоточувствит</w:t>
            </w:r>
            <w:proofErr w:type="spellEnd"/>
            <w:r>
              <w:t xml:space="preserve"> </w:t>
            </w:r>
            <w:proofErr w:type="spellStart"/>
            <w:r>
              <w:t>елност</w:t>
            </w:r>
            <w:proofErr w:type="spellEnd"/>
            <w:r>
              <w:t xml:space="preserve"> Уртикария Сърбеж </w:t>
            </w:r>
            <w:proofErr w:type="spellStart"/>
            <w:r>
              <w:t>Хиперхидроза</w:t>
            </w:r>
            <w:proofErr w:type="spellEnd"/>
          </w:p>
        </w:tc>
        <w:tc>
          <w:tcPr>
            <w:tcW w:w="1520" w:type="dxa"/>
          </w:tcPr>
          <w:p w14:paraId="2C2EC8DA" w14:textId="77777777" w:rsidR="004F7849" w:rsidRDefault="004F7849" w:rsidP="004F7849">
            <w:pPr>
              <w:rPr>
                <w:rFonts w:ascii="Times New Roman" w:eastAsia="Times New Roman" w:hAnsi="Times New Roman" w:cs="Times New Roman"/>
                <w:sz w:val="24"/>
                <w:szCs w:val="24"/>
                <w:lang w:val="en-US"/>
              </w:rPr>
            </w:pPr>
          </w:p>
        </w:tc>
        <w:tc>
          <w:tcPr>
            <w:tcW w:w="1697" w:type="dxa"/>
            <w:vAlign w:val="center"/>
          </w:tcPr>
          <w:p w14:paraId="19DC0CE5" w14:textId="2CE8C79C" w:rsidR="004F7849" w:rsidRDefault="004F7849" w:rsidP="004F7849">
            <w:pPr>
              <w:rPr>
                <w:rFonts w:ascii="Times New Roman" w:eastAsia="Times New Roman" w:hAnsi="Times New Roman" w:cs="Times New Roman"/>
                <w:sz w:val="24"/>
                <w:szCs w:val="24"/>
                <w:lang w:val="en-US"/>
              </w:rPr>
            </w:pPr>
            <w:r>
              <w:t xml:space="preserve">Ангиоедем </w:t>
            </w:r>
            <w:proofErr w:type="spellStart"/>
            <w:r>
              <w:t>Ексфолиативе</w:t>
            </w:r>
            <w:proofErr w:type="spellEnd"/>
            <w:r>
              <w:t xml:space="preserve"> н дерматит </w:t>
            </w:r>
            <w:proofErr w:type="spellStart"/>
            <w:r>
              <w:t>Левкоцитокла</w:t>
            </w:r>
            <w:proofErr w:type="spellEnd"/>
            <w:r>
              <w:t xml:space="preserve"> </w:t>
            </w:r>
            <w:proofErr w:type="spellStart"/>
            <w:r>
              <w:t>стен</w:t>
            </w:r>
            <w:proofErr w:type="spellEnd"/>
            <w:r>
              <w:t xml:space="preserve"> </w:t>
            </w:r>
            <w:proofErr w:type="spellStart"/>
            <w:r>
              <w:t>васкулит</w:t>
            </w:r>
            <w:proofErr w:type="spellEnd"/>
          </w:p>
        </w:tc>
      </w:tr>
      <w:tr w:rsidR="004F7849" w14:paraId="62F697D0" w14:textId="77777777" w:rsidTr="004F7849">
        <w:tc>
          <w:tcPr>
            <w:tcW w:w="1631" w:type="dxa"/>
          </w:tcPr>
          <w:p w14:paraId="2BAB1AD9" w14:textId="02BF2BAA" w:rsidR="004F7849" w:rsidRPr="004F7849" w:rsidRDefault="004F7849" w:rsidP="004F7849">
            <w:pPr>
              <w:rPr>
                <w:rFonts w:ascii="Times New Roman" w:eastAsia="Times New Roman" w:hAnsi="Times New Roman" w:cs="Times New Roman"/>
                <w:b/>
                <w:bCs/>
                <w:sz w:val="24"/>
                <w:szCs w:val="24"/>
                <w:lang w:val="en-US"/>
              </w:rPr>
            </w:pPr>
            <w:r w:rsidRPr="004F7849">
              <w:rPr>
                <w:b/>
                <w:bCs/>
              </w:rPr>
              <w:t xml:space="preserve">Нарушения на мускулно- скелетната система и съединител </w:t>
            </w:r>
            <w:proofErr w:type="spellStart"/>
            <w:r w:rsidRPr="004F7849">
              <w:rPr>
                <w:b/>
                <w:bCs/>
              </w:rPr>
              <w:t>ната</w:t>
            </w:r>
            <w:proofErr w:type="spellEnd"/>
            <w:r w:rsidRPr="004F7849">
              <w:rPr>
                <w:b/>
                <w:bCs/>
              </w:rPr>
              <w:t xml:space="preserve"> тъкан</w:t>
            </w:r>
          </w:p>
        </w:tc>
        <w:tc>
          <w:tcPr>
            <w:tcW w:w="1515" w:type="dxa"/>
          </w:tcPr>
          <w:p w14:paraId="5E31BDCA"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354AC8BF" w14:textId="77777777" w:rsidR="004F7849" w:rsidRDefault="004F7849" w:rsidP="004F7849">
            <w:pPr>
              <w:rPr>
                <w:rFonts w:ascii="Times New Roman" w:eastAsia="Times New Roman" w:hAnsi="Times New Roman" w:cs="Times New Roman"/>
                <w:sz w:val="24"/>
                <w:szCs w:val="24"/>
                <w:lang w:val="en-US"/>
              </w:rPr>
            </w:pPr>
          </w:p>
        </w:tc>
        <w:tc>
          <w:tcPr>
            <w:tcW w:w="1628" w:type="dxa"/>
            <w:vAlign w:val="center"/>
          </w:tcPr>
          <w:p w14:paraId="1104237A" w14:textId="7AFAD419" w:rsidR="004F7849" w:rsidRDefault="004F7849" w:rsidP="004F7849">
            <w:pPr>
              <w:rPr>
                <w:rFonts w:ascii="Times New Roman" w:eastAsia="Times New Roman" w:hAnsi="Times New Roman" w:cs="Times New Roman"/>
                <w:sz w:val="24"/>
                <w:szCs w:val="24"/>
                <w:lang w:val="en-US"/>
              </w:rPr>
            </w:pPr>
            <w:proofErr w:type="spellStart"/>
            <w:r>
              <w:t>Тортиколис</w:t>
            </w:r>
            <w:proofErr w:type="spellEnd"/>
            <w:r>
              <w:t xml:space="preserve"> Мускулна </w:t>
            </w:r>
            <w:proofErr w:type="spellStart"/>
            <w:r>
              <w:t>ригидност</w:t>
            </w:r>
            <w:proofErr w:type="spellEnd"/>
            <w:r>
              <w:t xml:space="preserve"> Мускулни спазми Мускулно- скелетна скованост</w:t>
            </w:r>
          </w:p>
        </w:tc>
        <w:tc>
          <w:tcPr>
            <w:tcW w:w="1520" w:type="dxa"/>
          </w:tcPr>
          <w:p w14:paraId="66D1BBDC" w14:textId="03A7BDE5" w:rsidR="004F7849" w:rsidRDefault="004F7849" w:rsidP="004F7849">
            <w:pPr>
              <w:rPr>
                <w:rFonts w:ascii="Times New Roman" w:eastAsia="Times New Roman" w:hAnsi="Times New Roman" w:cs="Times New Roman"/>
                <w:sz w:val="24"/>
                <w:szCs w:val="24"/>
                <w:lang w:val="en-US"/>
              </w:rPr>
            </w:pPr>
            <w:proofErr w:type="spellStart"/>
            <w:r>
              <w:t>Тризмус</w:t>
            </w:r>
            <w:proofErr w:type="spellEnd"/>
            <w:r>
              <w:t xml:space="preserve"> Мускулно потрепване</w:t>
            </w:r>
          </w:p>
        </w:tc>
        <w:tc>
          <w:tcPr>
            <w:tcW w:w="1697" w:type="dxa"/>
          </w:tcPr>
          <w:p w14:paraId="552CB981" w14:textId="77777777" w:rsidR="004F7849" w:rsidRDefault="004F7849" w:rsidP="004F7849"/>
          <w:p w14:paraId="1720DE23" w14:textId="2FD5765C" w:rsidR="004F7849" w:rsidRDefault="004F7849" w:rsidP="004F7849">
            <w:pPr>
              <w:rPr>
                <w:rFonts w:ascii="Times New Roman" w:eastAsia="Times New Roman" w:hAnsi="Times New Roman" w:cs="Times New Roman"/>
                <w:sz w:val="24"/>
                <w:szCs w:val="24"/>
                <w:lang w:val="en-US"/>
              </w:rPr>
            </w:pPr>
            <w:proofErr w:type="spellStart"/>
            <w:r>
              <w:t>Рабдомиолиза</w:t>
            </w:r>
            <w:proofErr w:type="spellEnd"/>
          </w:p>
        </w:tc>
      </w:tr>
      <w:tr w:rsidR="004F7849" w14:paraId="0E9FB804" w14:textId="77777777" w:rsidTr="004F7849">
        <w:tc>
          <w:tcPr>
            <w:tcW w:w="1631" w:type="dxa"/>
            <w:vAlign w:val="bottom"/>
          </w:tcPr>
          <w:p w14:paraId="292B021F" w14:textId="2B2A81DD" w:rsidR="004F7849" w:rsidRPr="004F7849" w:rsidRDefault="004F7849" w:rsidP="004F7849">
            <w:pPr>
              <w:rPr>
                <w:rFonts w:ascii="Times New Roman" w:eastAsia="Times New Roman" w:hAnsi="Times New Roman" w:cs="Times New Roman"/>
                <w:b/>
                <w:bCs/>
                <w:sz w:val="24"/>
                <w:szCs w:val="24"/>
                <w:lang w:val="en-US"/>
              </w:rPr>
            </w:pPr>
            <w:r w:rsidRPr="004F7849">
              <w:rPr>
                <w:b/>
                <w:bCs/>
              </w:rPr>
              <w:t xml:space="preserve">Нарушения на бъбреците </w:t>
            </w:r>
            <w:r w:rsidRPr="004F7849">
              <w:rPr>
                <w:b/>
                <w:bCs/>
                <w:i/>
                <w:iCs/>
              </w:rPr>
              <w:t xml:space="preserve">и </w:t>
            </w:r>
            <w:r w:rsidRPr="004F7849">
              <w:rPr>
                <w:b/>
                <w:bCs/>
              </w:rPr>
              <w:t>пикочните пътища</w:t>
            </w:r>
          </w:p>
        </w:tc>
        <w:tc>
          <w:tcPr>
            <w:tcW w:w="1515" w:type="dxa"/>
          </w:tcPr>
          <w:p w14:paraId="71FD26E4"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17C9EB8C" w14:textId="18C4B7FB" w:rsidR="004F7849" w:rsidRDefault="004F7849" w:rsidP="004F7849">
            <w:pPr>
              <w:rPr>
                <w:rFonts w:ascii="Times New Roman" w:eastAsia="Times New Roman" w:hAnsi="Times New Roman" w:cs="Times New Roman"/>
                <w:sz w:val="24"/>
                <w:szCs w:val="24"/>
                <w:lang w:val="en-US"/>
              </w:rPr>
            </w:pPr>
            <w:r>
              <w:t>Задържане на урина</w:t>
            </w:r>
          </w:p>
        </w:tc>
        <w:tc>
          <w:tcPr>
            <w:tcW w:w="1628" w:type="dxa"/>
          </w:tcPr>
          <w:p w14:paraId="385E10EF" w14:textId="77777777" w:rsidR="004F7849" w:rsidRDefault="004F7849" w:rsidP="004F7849">
            <w:pPr>
              <w:rPr>
                <w:rFonts w:ascii="Times New Roman" w:eastAsia="Times New Roman" w:hAnsi="Times New Roman" w:cs="Times New Roman"/>
                <w:sz w:val="24"/>
                <w:szCs w:val="24"/>
                <w:lang w:val="en-US"/>
              </w:rPr>
            </w:pPr>
          </w:p>
        </w:tc>
        <w:tc>
          <w:tcPr>
            <w:tcW w:w="1520" w:type="dxa"/>
          </w:tcPr>
          <w:p w14:paraId="0BBC67B6"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55E35E26" w14:textId="77777777" w:rsidR="004F7849" w:rsidRDefault="004F7849" w:rsidP="004F7849">
            <w:pPr>
              <w:rPr>
                <w:rFonts w:ascii="Times New Roman" w:eastAsia="Times New Roman" w:hAnsi="Times New Roman" w:cs="Times New Roman"/>
                <w:sz w:val="24"/>
                <w:szCs w:val="24"/>
                <w:lang w:val="en-US"/>
              </w:rPr>
            </w:pPr>
          </w:p>
        </w:tc>
      </w:tr>
      <w:tr w:rsidR="004F7849" w14:paraId="00901569" w14:textId="77777777" w:rsidTr="004F7849">
        <w:tc>
          <w:tcPr>
            <w:tcW w:w="1631" w:type="dxa"/>
            <w:vAlign w:val="bottom"/>
          </w:tcPr>
          <w:p w14:paraId="20632D9F" w14:textId="4DD2D09B" w:rsidR="004F7849" w:rsidRPr="004F7849" w:rsidRDefault="004F7849" w:rsidP="004F7849">
            <w:pPr>
              <w:rPr>
                <w:rFonts w:ascii="Times New Roman" w:eastAsia="Times New Roman" w:hAnsi="Times New Roman" w:cs="Times New Roman"/>
                <w:b/>
                <w:bCs/>
                <w:sz w:val="24"/>
                <w:szCs w:val="24"/>
                <w:lang w:val="en-US"/>
              </w:rPr>
            </w:pPr>
            <w:r w:rsidRPr="004F7849">
              <w:rPr>
                <w:b/>
                <w:bCs/>
              </w:rPr>
              <w:t xml:space="preserve">Състояния, свързани с </w:t>
            </w:r>
            <w:proofErr w:type="spellStart"/>
            <w:r w:rsidRPr="004F7849">
              <w:rPr>
                <w:b/>
                <w:bCs/>
              </w:rPr>
              <w:t>бременностт</w:t>
            </w:r>
            <w:proofErr w:type="spellEnd"/>
            <w:r w:rsidRPr="004F7849">
              <w:rPr>
                <w:b/>
                <w:bCs/>
              </w:rPr>
              <w:t xml:space="preserve"> а, родовия и </w:t>
            </w:r>
            <w:proofErr w:type="spellStart"/>
            <w:r w:rsidRPr="004F7849">
              <w:rPr>
                <w:b/>
                <w:bCs/>
              </w:rPr>
              <w:t>послеродови</w:t>
            </w:r>
            <w:proofErr w:type="spellEnd"/>
            <w:r w:rsidRPr="004F7849">
              <w:rPr>
                <w:b/>
                <w:bCs/>
              </w:rPr>
              <w:t xml:space="preserve"> я период</w:t>
            </w:r>
          </w:p>
        </w:tc>
        <w:tc>
          <w:tcPr>
            <w:tcW w:w="1515" w:type="dxa"/>
          </w:tcPr>
          <w:p w14:paraId="17DA0122"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216A3D0F"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03B53BC6" w14:textId="77777777" w:rsidR="004F7849" w:rsidRDefault="004F7849" w:rsidP="004F7849">
            <w:pPr>
              <w:rPr>
                <w:rFonts w:ascii="Times New Roman" w:eastAsia="Times New Roman" w:hAnsi="Times New Roman" w:cs="Times New Roman"/>
                <w:sz w:val="24"/>
                <w:szCs w:val="24"/>
                <w:lang w:val="en-US"/>
              </w:rPr>
            </w:pPr>
          </w:p>
        </w:tc>
        <w:tc>
          <w:tcPr>
            <w:tcW w:w="1520" w:type="dxa"/>
          </w:tcPr>
          <w:p w14:paraId="5AC2CDCE"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7E5E3E7C" w14:textId="2B999B88" w:rsidR="004F7849" w:rsidRDefault="004F7849" w:rsidP="004F7849">
            <w:pPr>
              <w:rPr>
                <w:rFonts w:ascii="Times New Roman" w:eastAsia="Times New Roman" w:hAnsi="Times New Roman" w:cs="Times New Roman"/>
                <w:sz w:val="24"/>
                <w:szCs w:val="24"/>
                <w:lang w:val="en-US"/>
              </w:rPr>
            </w:pPr>
            <w:proofErr w:type="spellStart"/>
            <w:r>
              <w:t>Неонатален</w:t>
            </w:r>
            <w:proofErr w:type="spellEnd"/>
            <w:r>
              <w:t xml:space="preserve"> синдром на отнемане (вж. точка 4.6)</w:t>
            </w:r>
          </w:p>
        </w:tc>
      </w:tr>
      <w:tr w:rsidR="004F7849" w14:paraId="1CC72802" w14:textId="77777777" w:rsidTr="004F7849">
        <w:tc>
          <w:tcPr>
            <w:tcW w:w="1631" w:type="dxa"/>
          </w:tcPr>
          <w:p w14:paraId="32920216" w14:textId="5D9735A0" w:rsidR="004F7849" w:rsidRPr="004F7849" w:rsidRDefault="004F7849" w:rsidP="004F7849">
            <w:pPr>
              <w:rPr>
                <w:rFonts w:ascii="Times New Roman" w:eastAsia="Times New Roman" w:hAnsi="Times New Roman" w:cs="Times New Roman"/>
                <w:b/>
                <w:bCs/>
                <w:sz w:val="24"/>
                <w:szCs w:val="24"/>
                <w:lang w:val="en-US"/>
              </w:rPr>
            </w:pPr>
            <w:r w:rsidRPr="004F7849">
              <w:rPr>
                <w:b/>
                <w:bCs/>
              </w:rPr>
              <w:t xml:space="preserve">Нарушения на </w:t>
            </w:r>
            <w:proofErr w:type="spellStart"/>
            <w:r w:rsidRPr="004F7849">
              <w:rPr>
                <w:b/>
                <w:bCs/>
              </w:rPr>
              <w:t>възпроизвод</w:t>
            </w:r>
            <w:proofErr w:type="spellEnd"/>
            <w:r w:rsidRPr="004F7849">
              <w:rPr>
                <w:b/>
                <w:bCs/>
              </w:rPr>
              <w:t xml:space="preserve"> </w:t>
            </w:r>
            <w:proofErr w:type="spellStart"/>
            <w:r w:rsidRPr="004F7849">
              <w:rPr>
                <w:b/>
                <w:bCs/>
              </w:rPr>
              <w:t>ителната</w:t>
            </w:r>
            <w:proofErr w:type="spellEnd"/>
            <w:r w:rsidRPr="004F7849">
              <w:rPr>
                <w:b/>
                <w:bCs/>
              </w:rPr>
              <w:t xml:space="preserve"> система и гърдата</w:t>
            </w:r>
          </w:p>
        </w:tc>
        <w:tc>
          <w:tcPr>
            <w:tcW w:w="1515" w:type="dxa"/>
          </w:tcPr>
          <w:p w14:paraId="2666CE87"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510DC96D" w14:textId="0CF121DB" w:rsidR="004F7849" w:rsidRDefault="004F7849" w:rsidP="004F7849">
            <w:pPr>
              <w:rPr>
                <w:rFonts w:ascii="Times New Roman" w:eastAsia="Times New Roman" w:hAnsi="Times New Roman" w:cs="Times New Roman"/>
                <w:sz w:val="24"/>
                <w:szCs w:val="24"/>
                <w:lang w:val="en-US"/>
              </w:rPr>
            </w:pPr>
            <w:r>
              <w:t>Еректилна дисфункция</w:t>
            </w:r>
          </w:p>
        </w:tc>
        <w:tc>
          <w:tcPr>
            <w:tcW w:w="1628" w:type="dxa"/>
          </w:tcPr>
          <w:p w14:paraId="18F53B85" w14:textId="19AC8329" w:rsidR="004F7849" w:rsidRDefault="004F7849" w:rsidP="004F7849">
            <w:pPr>
              <w:rPr>
                <w:rFonts w:ascii="Times New Roman" w:eastAsia="Times New Roman" w:hAnsi="Times New Roman" w:cs="Times New Roman"/>
                <w:sz w:val="24"/>
                <w:szCs w:val="24"/>
                <w:lang w:val="en-US"/>
              </w:rPr>
            </w:pPr>
            <w:proofErr w:type="spellStart"/>
            <w:r>
              <w:t>Аменорея</w:t>
            </w:r>
            <w:proofErr w:type="spellEnd"/>
            <w:r>
              <w:t xml:space="preserve">, </w:t>
            </w:r>
            <w:proofErr w:type="spellStart"/>
            <w:r>
              <w:t>Галакторея</w:t>
            </w:r>
            <w:proofErr w:type="spellEnd"/>
            <w:r>
              <w:t xml:space="preserve"> </w:t>
            </w:r>
            <w:proofErr w:type="spellStart"/>
            <w:r>
              <w:t>Дисменорея</w:t>
            </w:r>
            <w:proofErr w:type="spellEnd"/>
            <w:r>
              <w:t xml:space="preserve"> Болка в гърдата Дискомфорт в гърдата</w:t>
            </w:r>
          </w:p>
        </w:tc>
        <w:tc>
          <w:tcPr>
            <w:tcW w:w="1520" w:type="dxa"/>
          </w:tcPr>
          <w:p w14:paraId="12F9221B" w14:textId="0A308301" w:rsidR="004F7849" w:rsidRDefault="004F7849" w:rsidP="004F7849">
            <w:pPr>
              <w:rPr>
                <w:rFonts w:ascii="Times New Roman" w:eastAsia="Times New Roman" w:hAnsi="Times New Roman" w:cs="Times New Roman"/>
                <w:sz w:val="24"/>
                <w:szCs w:val="24"/>
                <w:lang w:val="en-US"/>
              </w:rPr>
            </w:pPr>
            <w:proofErr w:type="spellStart"/>
            <w:r>
              <w:t>Менорагия</w:t>
            </w:r>
            <w:proofErr w:type="spellEnd"/>
            <w:r>
              <w:t xml:space="preserve"> </w:t>
            </w:r>
            <w:proofErr w:type="spellStart"/>
            <w:r>
              <w:t>Менструалн</w:t>
            </w:r>
            <w:proofErr w:type="spellEnd"/>
            <w:r>
              <w:t xml:space="preserve"> о нарушение Сексуална дисфункция</w:t>
            </w:r>
          </w:p>
        </w:tc>
        <w:tc>
          <w:tcPr>
            <w:tcW w:w="1697" w:type="dxa"/>
          </w:tcPr>
          <w:p w14:paraId="021E7F4E" w14:textId="77777777" w:rsidR="004F7849" w:rsidRDefault="004F7849" w:rsidP="004F7849">
            <w:proofErr w:type="spellStart"/>
            <w:r>
              <w:t>Приапизъм</w:t>
            </w:r>
            <w:proofErr w:type="spellEnd"/>
          </w:p>
          <w:p w14:paraId="7A9E0F8A" w14:textId="670680D1" w:rsidR="004F7849" w:rsidRDefault="004F7849" w:rsidP="004F7849">
            <w:pPr>
              <w:rPr>
                <w:rFonts w:ascii="Times New Roman" w:eastAsia="Times New Roman" w:hAnsi="Times New Roman" w:cs="Times New Roman"/>
                <w:sz w:val="24"/>
                <w:szCs w:val="24"/>
                <w:lang w:val="en-US"/>
              </w:rPr>
            </w:pPr>
            <w:proofErr w:type="spellStart"/>
            <w:r>
              <w:t>Гинекомастия</w:t>
            </w:r>
            <w:proofErr w:type="spellEnd"/>
          </w:p>
        </w:tc>
      </w:tr>
      <w:tr w:rsidR="004F7849" w14:paraId="3305717D" w14:textId="77777777" w:rsidTr="004F7849">
        <w:tc>
          <w:tcPr>
            <w:tcW w:w="1631" w:type="dxa"/>
          </w:tcPr>
          <w:p w14:paraId="1F568668" w14:textId="7F88B594" w:rsidR="004F7849" w:rsidRPr="004F7849" w:rsidRDefault="004F7849" w:rsidP="004F7849">
            <w:pPr>
              <w:rPr>
                <w:rFonts w:ascii="Times New Roman" w:eastAsia="Times New Roman" w:hAnsi="Times New Roman" w:cs="Times New Roman"/>
                <w:b/>
                <w:bCs/>
                <w:sz w:val="24"/>
                <w:szCs w:val="24"/>
                <w:lang w:val="en-US"/>
              </w:rPr>
            </w:pPr>
            <w:r w:rsidRPr="004F7849">
              <w:rPr>
                <w:b/>
                <w:bCs/>
              </w:rPr>
              <w:t xml:space="preserve">Общи нарушения и </w:t>
            </w:r>
            <w:r w:rsidRPr="004F7849">
              <w:rPr>
                <w:b/>
                <w:bCs/>
              </w:rPr>
              <w:lastRenderedPageBreak/>
              <w:t>ефекти на мястото на приложение</w:t>
            </w:r>
          </w:p>
        </w:tc>
        <w:tc>
          <w:tcPr>
            <w:tcW w:w="1515" w:type="dxa"/>
          </w:tcPr>
          <w:p w14:paraId="556F07AA"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1F85F454" w14:textId="77777777" w:rsidR="004F7849" w:rsidRDefault="004F7849" w:rsidP="004F7849">
            <w:pPr>
              <w:rPr>
                <w:rFonts w:ascii="Times New Roman" w:eastAsia="Times New Roman" w:hAnsi="Times New Roman" w:cs="Times New Roman"/>
                <w:sz w:val="24"/>
                <w:szCs w:val="24"/>
                <w:lang w:val="en-US"/>
              </w:rPr>
            </w:pPr>
          </w:p>
        </w:tc>
        <w:tc>
          <w:tcPr>
            <w:tcW w:w="1628" w:type="dxa"/>
          </w:tcPr>
          <w:p w14:paraId="70FAFFBF" w14:textId="3AAAF5F0" w:rsidR="004F7849" w:rsidRDefault="004F7849" w:rsidP="004F7849">
            <w:pPr>
              <w:rPr>
                <w:rFonts w:ascii="Times New Roman" w:eastAsia="Times New Roman" w:hAnsi="Times New Roman" w:cs="Times New Roman"/>
                <w:sz w:val="24"/>
                <w:szCs w:val="24"/>
                <w:lang w:val="en-US"/>
              </w:rPr>
            </w:pPr>
            <w:proofErr w:type="spellStart"/>
            <w:r>
              <w:t>Хипертермия</w:t>
            </w:r>
            <w:proofErr w:type="spellEnd"/>
            <w:r>
              <w:t xml:space="preserve"> Оток </w:t>
            </w:r>
            <w:r>
              <w:lastRenderedPageBreak/>
              <w:t>Нарушение на походката</w:t>
            </w:r>
          </w:p>
        </w:tc>
        <w:tc>
          <w:tcPr>
            <w:tcW w:w="1520" w:type="dxa"/>
          </w:tcPr>
          <w:p w14:paraId="68323C4B" w14:textId="77777777" w:rsidR="004F7849" w:rsidRDefault="004F7849" w:rsidP="004F7849">
            <w:pPr>
              <w:rPr>
                <w:rFonts w:ascii="Times New Roman" w:eastAsia="Times New Roman" w:hAnsi="Times New Roman" w:cs="Times New Roman"/>
                <w:sz w:val="24"/>
                <w:szCs w:val="24"/>
                <w:lang w:val="en-US"/>
              </w:rPr>
            </w:pPr>
          </w:p>
        </w:tc>
        <w:tc>
          <w:tcPr>
            <w:tcW w:w="1697" w:type="dxa"/>
          </w:tcPr>
          <w:p w14:paraId="6A3FF777" w14:textId="4BA9C5BD" w:rsidR="004F7849" w:rsidRDefault="004F7849" w:rsidP="004F7849">
            <w:pPr>
              <w:rPr>
                <w:rFonts w:ascii="Times New Roman" w:eastAsia="Times New Roman" w:hAnsi="Times New Roman" w:cs="Times New Roman"/>
                <w:sz w:val="24"/>
                <w:szCs w:val="24"/>
                <w:lang w:val="en-US"/>
              </w:rPr>
            </w:pPr>
            <w:r>
              <w:t xml:space="preserve">Внезапна смърт Оток на </w:t>
            </w:r>
            <w:r>
              <w:lastRenderedPageBreak/>
              <w:t>лицето Хипотермия</w:t>
            </w:r>
          </w:p>
        </w:tc>
      </w:tr>
      <w:tr w:rsidR="004F7849" w14:paraId="272D59BC" w14:textId="77777777" w:rsidTr="004F7849">
        <w:tc>
          <w:tcPr>
            <w:tcW w:w="1631" w:type="dxa"/>
          </w:tcPr>
          <w:p w14:paraId="72DF9968" w14:textId="4B13BD6D" w:rsidR="004F7849" w:rsidRPr="004F7849" w:rsidRDefault="004F7849" w:rsidP="004F7849">
            <w:pPr>
              <w:rPr>
                <w:rFonts w:ascii="Times New Roman" w:eastAsia="Times New Roman" w:hAnsi="Times New Roman" w:cs="Times New Roman"/>
                <w:b/>
                <w:bCs/>
                <w:sz w:val="24"/>
                <w:szCs w:val="24"/>
                <w:lang w:val="en-US"/>
              </w:rPr>
            </w:pPr>
            <w:r w:rsidRPr="004F7849">
              <w:rPr>
                <w:b/>
                <w:bCs/>
              </w:rPr>
              <w:t>Изследвани я</w:t>
            </w:r>
          </w:p>
        </w:tc>
        <w:tc>
          <w:tcPr>
            <w:tcW w:w="1515" w:type="dxa"/>
          </w:tcPr>
          <w:p w14:paraId="070D1230" w14:textId="77777777" w:rsidR="004F7849" w:rsidRDefault="004F7849" w:rsidP="004F7849">
            <w:pPr>
              <w:rPr>
                <w:rFonts w:ascii="Times New Roman" w:eastAsia="Times New Roman" w:hAnsi="Times New Roman" w:cs="Times New Roman"/>
                <w:sz w:val="24"/>
                <w:szCs w:val="24"/>
                <w:lang w:val="en-US"/>
              </w:rPr>
            </w:pPr>
          </w:p>
        </w:tc>
        <w:tc>
          <w:tcPr>
            <w:tcW w:w="1585" w:type="dxa"/>
          </w:tcPr>
          <w:p w14:paraId="1B7F6207" w14:textId="4F56C94D" w:rsidR="004F7849" w:rsidRDefault="004F7849" w:rsidP="004F7849">
            <w:pPr>
              <w:rPr>
                <w:rFonts w:ascii="Times New Roman" w:eastAsia="Times New Roman" w:hAnsi="Times New Roman" w:cs="Times New Roman"/>
                <w:sz w:val="24"/>
                <w:szCs w:val="24"/>
                <w:lang w:val="en-US"/>
              </w:rPr>
            </w:pPr>
            <w:r>
              <w:t>Повишено тегло Намалено тегло</w:t>
            </w:r>
          </w:p>
        </w:tc>
        <w:tc>
          <w:tcPr>
            <w:tcW w:w="1628" w:type="dxa"/>
          </w:tcPr>
          <w:p w14:paraId="00E06EEE" w14:textId="77777777" w:rsidR="004F7849" w:rsidRDefault="004F7849" w:rsidP="004F7849">
            <w:pPr>
              <w:rPr>
                <w:rFonts w:ascii="Times New Roman" w:eastAsia="Times New Roman" w:hAnsi="Times New Roman" w:cs="Times New Roman"/>
                <w:sz w:val="24"/>
                <w:szCs w:val="24"/>
                <w:lang w:val="en-US"/>
              </w:rPr>
            </w:pPr>
          </w:p>
        </w:tc>
        <w:tc>
          <w:tcPr>
            <w:tcW w:w="1520" w:type="dxa"/>
          </w:tcPr>
          <w:p w14:paraId="3D0C3F68" w14:textId="4F756C7C" w:rsidR="004F7849" w:rsidRDefault="004F7849" w:rsidP="004F7849">
            <w:pPr>
              <w:rPr>
                <w:rFonts w:ascii="Times New Roman" w:eastAsia="Times New Roman" w:hAnsi="Times New Roman" w:cs="Times New Roman"/>
                <w:sz w:val="24"/>
                <w:szCs w:val="24"/>
                <w:lang w:val="en-US"/>
              </w:rPr>
            </w:pPr>
            <w:r>
              <w:t xml:space="preserve">Удължен </w:t>
            </w:r>
            <w:r>
              <w:rPr>
                <w:lang w:val="en-US"/>
              </w:rPr>
              <w:t xml:space="preserve">QT- </w:t>
            </w:r>
            <w:r>
              <w:t xml:space="preserve">интервал, измерен чрез </w:t>
            </w:r>
            <w:proofErr w:type="spellStart"/>
            <w:r>
              <w:t>електрокард</w:t>
            </w:r>
            <w:proofErr w:type="spellEnd"/>
            <w:r>
              <w:t xml:space="preserve"> </w:t>
            </w:r>
            <w:proofErr w:type="spellStart"/>
            <w:r>
              <w:t>иограма</w:t>
            </w:r>
            <w:proofErr w:type="spellEnd"/>
          </w:p>
        </w:tc>
        <w:tc>
          <w:tcPr>
            <w:tcW w:w="1697" w:type="dxa"/>
          </w:tcPr>
          <w:p w14:paraId="19E9534C" w14:textId="77777777" w:rsidR="004F7849" w:rsidRDefault="004F7849" w:rsidP="004F7849">
            <w:pPr>
              <w:rPr>
                <w:rFonts w:ascii="Times New Roman" w:eastAsia="Times New Roman" w:hAnsi="Times New Roman" w:cs="Times New Roman"/>
                <w:sz w:val="24"/>
                <w:szCs w:val="24"/>
                <w:lang w:val="en-US"/>
              </w:rPr>
            </w:pPr>
          </w:p>
        </w:tc>
      </w:tr>
    </w:tbl>
    <w:p w14:paraId="058A08B2" w14:textId="77777777" w:rsidR="004F7849" w:rsidRPr="004F7849" w:rsidRDefault="004F7849" w:rsidP="004F7849">
      <w:pPr>
        <w:rPr>
          <w:sz w:val="24"/>
          <w:szCs w:val="24"/>
        </w:rPr>
      </w:pPr>
      <w:r w:rsidRPr="004F7849">
        <w:rPr>
          <w:lang w:eastAsia="bg-BG"/>
        </w:rPr>
        <w:t xml:space="preserve">Удължаване на </w:t>
      </w:r>
      <w:r w:rsidRPr="004F7849">
        <w:rPr>
          <w:lang w:val="en-US"/>
        </w:rPr>
        <w:t xml:space="preserve">QT </w:t>
      </w:r>
      <w:r w:rsidRPr="004F7849">
        <w:rPr>
          <w:lang w:eastAsia="bg-BG"/>
        </w:rPr>
        <w:t xml:space="preserve">на електрокардиограма, камерни аритмии (камерно мъждене, камерна тахикардия), </w:t>
      </w:r>
      <w:r w:rsidRPr="004F7849">
        <w:rPr>
          <w:lang w:val="en-US"/>
        </w:rPr>
        <w:t xml:space="preserve">torsade de pointes </w:t>
      </w:r>
      <w:r w:rsidRPr="004F7849">
        <w:rPr>
          <w:lang w:eastAsia="bg-BG"/>
        </w:rPr>
        <w:t xml:space="preserve">и внезапна смърт се съобщават при приемане на </w:t>
      </w:r>
      <w:proofErr w:type="spellStart"/>
      <w:r w:rsidRPr="004F7849">
        <w:rPr>
          <w:lang w:eastAsia="bg-BG"/>
        </w:rPr>
        <w:t>халоперидол</w:t>
      </w:r>
      <w:proofErr w:type="spellEnd"/>
      <w:r w:rsidRPr="004F7849">
        <w:rPr>
          <w:lang w:eastAsia="bg-BG"/>
        </w:rPr>
        <w:t>.</w:t>
      </w:r>
    </w:p>
    <w:p w14:paraId="41F8AA80" w14:textId="77777777" w:rsidR="004F7849" w:rsidRDefault="004F7849" w:rsidP="004F7849">
      <w:pPr>
        <w:rPr>
          <w:u w:val="single"/>
          <w:lang w:eastAsia="bg-BG"/>
        </w:rPr>
      </w:pPr>
    </w:p>
    <w:p w14:paraId="1B7C4BF7" w14:textId="5F184AC1" w:rsidR="004F7849" w:rsidRPr="004F7849" w:rsidRDefault="004F7849" w:rsidP="004F7849">
      <w:pPr>
        <w:rPr>
          <w:sz w:val="24"/>
          <w:szCs w:val="24"/>
        </w:rPr>
      </w:pPr>
      <w:r w:rsidRPr="004F7849">
        <w:rPr>
          <w:u w:val="single"/>
          <w:lang w:eastAsia="bg-BG"/>
        </w:rPr>
        <w:t xml:space="preserve">Ефекти на класа </w:t>
      </w:r>
      <w:proofErr w:type="spellStart"/>
      <w:r w:rsidRPr="004F7849">
        <w:rPr>
          <w:u w:val="single"/>
          <w:lang w:eastAsia="bg-BG"/>
        </w:rPr>
        <w:t>антипсихотици</w:t>
      </w:r>
      <w:proofErr w:type="spellEnd"/>
    </w:p>
    <w:p w14:paraId="0A7AF828" w14:textId="77777777" w:rsidR="004F7849" w:rsidRPr="004F7849" w:rsidRDefault="004F7849" w:rsidP="004F7849">
      <w:pPr>
        <w:rPr>
          <w:sz w:val="24"/>
          <w:szCs w:val="24"/>
        </w:rPr>
      </w:pPr>
      <w:r w:rsidRPr="004F7849">
        <w:rPr>
          <w:lang w:eastAsia="bg-BG"/>
        </w:rPr>
        <w:t xml:space="preserve">При приложение на </w:t>
      </w:r>
      <w:proofErr w:type="spellStart"/>
      <w:r w:rsidRPr="004F7849">
        <w:rPr>
          <w:lang w:eastAsia="bg-BG"/>
        </w:rPr>
        <w:t>антипсихотици</w:t>
      </w:r>
      <w:proofErr w:type="spellEnd"/>
      <w:r w:rsidRPr="004F7849">
        <w:rPr>
          <w:lang w:eastAsia="bg-BG"/>
        </w:rPr>
        <w:t xml:space="preserve"> се съобщава за сърдечен арест.</w:t>
      </w:r>
    </w:p>
    <w:p w14:paraId="6E759FBB" w14:textId="77777777" w:rsidR="004F7849" w:rsidRDefault="004F7849" w:rsidP="004F7849">
      <w:pPr>
        <w:rPr>
          <w:lang w:eastAsia="bg-BG"/>
        </w:rPr>
      </w:pPr>
    </w:p>
    <w:p w14:paraId="2A8EDD91" w14:textId="7BB1C8E9" w:rsidR="004F7849" w:rsidRPr="004F7849" w:rsidRDefault="004F7849" w:rsidP="004F7849">
      <w:pPr>
        <w:rPr>
          <w:sz w:val="24"/>
          <w:szCs w:val="24"/>
        </w:rPr>
      </w:pPr>
      <w:r w:rsidRPr="004F7849">
        <w:rPr>
          <w:lang w:eastAsia="bg-BG"/>
        </w:rPr>
        <w:t xml:space="preserve">При приложение на </w:t>
      </w:r>
      <w:proofErr w:type="spellStart"/>
      <w:r w:rsidRPr="004F7849">
        <w:rPr>
          <w:lang w:eastAsia="bg-BG"/>
        </w:rPr>
        <w:t>антипсихотици</w:t>
      </w:r>
      <w:proofErr w:type="spellEnd"/>
      <w:r w:rsidRPr="004F7849">
        <w:rPr>
          <w:lang w:eastAsia="bg-BG"/>
        </w:rPr>
        <w:t xml:space="preserve"> са съобщавани случаи на венозен </w:t>
      </w:r>
      <w:proofErr w:type="spellStart"/>
      <w:r w:rsidRPr="004F7849">
        <w:rPr>
          <w:lang w:eastAsia="bg-BG"/>
        </w:rPr>
        <w:t>тромбоемболизъм</w:t>
      </w:r>
      <w:proofErr w:type="spellEnd"/>
      <w:r w:rsidRPr="004F7849">
        <w:rPr>
          <w:lang w:eastAsia="bg-BG"/>
        </w:rPr>
        <w:t>, включително случаи на белодробна емболия и случаи дълбока венозна тромбоза.</w:t>
      </w:r>
    </w:p>
    <w:p w14:paraId="45D6BEA5" w14:textId="77777777" w:rsidR="004F7849" w:rsidRPr="004F7849" w:rsidRDefault="004F7849" w:rsidP="004F7849">
      <w:pPr>
        <w:rPr>
          <w:sz w:val="24"/>
          <w:szCs w:val="24"/>
        </w:rPr>
      </w:pPr>
      <w:r w:rsidRPr="004F7849">
        <w:rPr>
          <w:lang w:eastAsia="bg-BG"/>
        </w:rPr>
        <w:t>Честотата е неизвестна.</w:t>
      </w:r>
    </w:p>
    <w:p w14:paraId="3F84A770" w14:textId="77777777" w:rsidR="004F7849" w:rsidRDefault="004F7849" w:rsidP="004F7849">
      <w:pPr>
        <w:rPr>
          <w:u w:val="single"/>
          <w:lang w:eastAsia="bg-BG"/>
        </w:rPr>
      </w:pPr>
    </w:p>
    <w:p w14:paraId="5A5C97E8" w14:textId="05699BA4" w:rsidR="004F7849" w:rsidRPr="004F7849" w:rsidRDefault="004F7849" w:rsidP="004F7849">
      <w:pPr>
        <w:rPr>
          <w:sz w:val="24"/>
          <w:szCs w:val="24"/>
        </w:rPr>
      </w:pPr>
      <w:r w:rsidRPr="004F7849">
        <w:rPr>
          <w:u w:val="single"/>
          <w:lang w:eastAsia="bg-BG"/>
        </w:rPr>
        <w:t>Съобщаване на подозирани нежелани реакции</w:t>
      </w:r>
    </w:p>
    <w:p w14:paraId="2D3C8290" w14:textId="77777777" w:rsidR="004F7849" w:rsidRPr="004F7849" w:rsidRDefault="004F7849" w:rsidP="004F7849">
      <w:pPr>
        <w:rPr>
          <w:sz w:val="24"/>
          <w:szCs w:val="24"/>
        </w:rPr>
      </w:pPr>
      <w:r w:rsidRPr="004F7849">
        <w:rPr>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8,1303 София, тел.: +35928903417, уебсайт: </w:t>
      </w:r>
      <w:hyperlink r:id="rId5" w:history="1">
        <w:r w:rsidRPr="004F7849">
          <w:rPr>
            <w:u w:val="single"/>
            <w:lang w:val="en-US"/>
          </w:rPr>
          <w:t>www.bda.bg</w:t>
        </w:r>
      </w:hyperlink>
      <w:r w:rsidRPr="004F7849">
        <w:rPr>
          <w:lang w:val="en-US"/>
        </w:rPr>
        <w:t>.</w:t>
      </w:r>
    </w:p>
    <w:p w14:paraId="7CD81C03" w14:textId="60768568" w:rsidR="004F7849" w:rsidRPr="004F7849" w:rsidRDefault="004F7849" w:rsidP="004F7849">
      <w:pPr>
        <w:spacing w:line="240" w:lineRule="auto"/>
        <w:rPr>
          <w:rFonts w:ascii="Times New Roman" w:eastAsia="Times New Roman" w:hAnsi="Times New Roman" w:cs="Times New Roman"/>
          <w:sz w:val="24"/>
          <w:szCs w:val="24"/>
          <w:lang w:val="en-US"/>
        </w:rPr>
      </w:pPr>
    </w:p>
    <w:p w14:paraId="5F9EADF0" w14:textId="77777777" w:rsidR="004F7849" w:rsidRPr="004F7849" w:rsidRDefault="004F7849" w:rsidP="004F7849"/>
    <w:p w14:paraId="4239D218" w14:textId="317DCA56" w:rsidR="00C809A7" w:rsidRDefault="002C50EE" w:rsidP="00AA23EC">
      <w:pPr>
        <w:pStyle w:val="Heading2"/>
      </w:pPr>
      <w:r>
        <w:t>4.9. Предозиране</w:t>
      </w:r>
    </w:p>
    <w:p w14:paraId="19CAC491" w14:textId="77777777" w:rsidR="004F7849" w:rsidRDefault="004F7849" w:rsidP="004F7849">
      <w:pPr>
        <w:spacing w:line="240" w:lineRule="auto"/>
        <w:rPr>
          <w:rFonts w:ascii="Times New Roman" w:eastAsia="Times New Roman" w:hAnsi="Times New Roman" w:cs="Times New Roman"/>
          <w:color w:val="000000"/>
          <w:sz w:val="20"/>
          <w:szCs w:val="20"/>
          <w:u w:val="single"/>
          <w:lang w:eastAsia="bg-BG"/>
        </w:rPr>
      </w:pPr>
    </w:p>
    <w:p w14:paraId="5E54A9DE" w14:textId="7CDBDD6E" w:rsidR="004F7849" w:rsidRPr="004F7849" w:rsidRDefault="004F7849" w:rsidP="004F7849">
      <w:pPr>
        <w:pStyle w:val="Heading3"/>
        <w:rPr>
          <w:rFonts w:eastAsia="Times New Roman"/>
          <w:u w:val="single"/>
        </w:rPr>
      </w:pPr>
      <w:r w:rsidRPr="004F7849">
        <w:rPr>
          <w:rFonts w:eastAsia="Times New Roman"/>
          <w:u w:val="single"/>
          <w:lang w:eastAsia="bg-BG"/>
        </w:rPr>
        <w:t>Симптоми и признаци</w:t>
      </w:r>
    </w:p>
    <w:p w14:paraId="71059505" w14:textId="77777777" w:rsidR="004F7849" w:rsidRPr="004F7849" w:rsidRDefault="004F7849" w:rsidP="004F7849">
      <w:pPr>
        <w:rPr>
          <w:sz w:val="24"/>
          <w:szCs w:val="24"/>
        </w:rPr>
      </w:pPr>
      <w:r w:rsidRPr="004F7849">
        <w:rPr>
          <w:lang w:eastAsia="bg-BG"/>
        </w:rPr>
        <w:t xml:space="preserve">Проявите на предозиране с </w:t>
      </w:r>
      <w:proofErr w:type="spellStart"/>
      <w:r w:rsidRPr="004F7849">
        <w:rPr>
          <w:lang w:eastAsia="bg-BG"/>
        </w:rPr>
        <w:t>халоперидол</w:t>
      </w:r>
      <w:proofErr w:type="spellEnd"/>
      <w:r w:rsidRPr="004F7849">
        <w:rPr>
          <w:lang w:eastAsia="bg-BG"/>
        </w:rPr>
        <w:t xml:space="preserve"> представляват засилени известните фармакологични ефекти и нежелани реакции. Най-очебийните симптоми са тежки </w:t>
      </w:r>
      <w:proofErr w:type="spellStart"/>
      <w:r w:rsidRPr="004F7849">
        <w:rPr>
          <w:lang w:eastAsia="bg-BG"/>
        </w:rPr>
        <w:t>екстрапирамидни</w:t>
      </w:r>
      <w:proofErr w:type="spellEnd"/>
      <w:r w:rsidRPr="004F7849">
        <w:rPr>
          <w:lang w:eastAsia="bg-BG"/>
        </w:rPr>
        <w:t xml:space="preserve"> реакции, хипотония и </w:t>
      </w:r>
      <w:proofErr w:type="spellStart"/>
      <w:r w:rsidRPr="004F7849">
        <w:rPr>
          <w:lang w:eastAsia="bg-BG"/>
        </w:rPr>
        <w:t>седация</w:t>
      </w:r>
      <w:proofErr w:type="spellEnd"/>
      <w:r w:rsidRPr="004F7849">
        <w:rPr>
          <w:lang w:eastAsia="bg-BG"/>
        </w:rPr>
        <w:t xml:space="preserve">. </w:t>
      </w:r>
      <w:proofErr w:type="spellStart"/>
      <w:r w:rsidRPr="004F7849">
        <w:rPr>
          <w:lang w:eastAsia="bg-BG"/>
        </w:rPr>
        <w:t>Екстрапирамидната</w:t>
      </w:r>
      <w:proofErr w:type="spellEnd"/>
      <w:r w:rsidRPr="004F7849">
        <w:rPr>
          <w:lang w:eastAsia="bg-BG"/>
        </w:rPr>
        <w:t xml:space="preserve"> реакция се проявява с мускулна </w:t>
      </w:r>
      <w:proofErr w:type="spellStart"/>
      <w:r w:rsidRPr="004F7849">
        <w:rPr>
          <w:lang w:eastAsia="bg-BG"/>
        </w:rPr>
        <w:t>ригидност</w:t>
      </w:r>
      <w:proofErr w:type="spellEnd"/>
      <w:r w:rsidRPr="004F7849">
        <w:rPr>
          <w:lang w:eastAsia="bg-BG"/>
        </w:rPr>
        <w:t xml:space="preserve"> и генерализиран или локализиран тремор. Възможна е също по- скоро </w:t>
      </w:r>
      <w:proofErr w:type="spellStart"/>
      <w:r w:rsidRPr="004F7849">
        <w:rPr>
          <w:lang w:eastAsia="bg-BG"/>
        </w:rPr>
        <w:t>хипертензия</w:t>
      </w:r>
      <w:proofErr w:type="spellEnd"/>
      <w:r w:rsidRPr="004F7849">
        <w:rPr>
          <w:lang w:eastAsia="bg-BG"/>
        </w:rPr>
        <w:t xml:space="preserve"> отколкото </w:t>
      </w:r>
      <w:proofErr w:type="spellStart"/>
      <w:r w:rsidRPr="004F7849">
        <w:rPr>
          <w:lang w:eastAsia="bg-BG"/>
        </w:rPr>
        <w:t>хипотензия</w:t>
      </w:r>
      <w:proofErr w:type="spellEnd"/>
      <w:r w:rsidRPr="004F7849">
        <w:rPr>
          <w:lang w:eastAsia="bg-BG"/>
        </w:rPr>
        <w:t>.</w:t>
      </w:r>
    </w:p>
    <w:p w14:paraId="3CB8C13D" w14:textId="77777777" w:rsidR="004F7849" w:rsidRDefault="004F7849" w:rsidP="004F7849">
      <w:pPr>
        <w:rPr>
          <w:lang w:eastAsia="bg-BG"/>
        </w:rPr>
      </w:pPr>
    </w:p>
    <w:p w14:paraId="566DB902" w14:textId="77777777" w:rsidR="004F7849" w:rsidRPr="004F7849" w:rsidRDefault="004F7849" w:rsidP="004F7849">
      <w:pPr>
        <w:rPr>
          <w:sz w:val="24"/>
          <w:szCs w:val="24"/>
        </w:rPr>
      </w:pPr>
      <w:r w:rsidRPr="004F7849">
        <w:rPr>
          <w:lang w:eastAsia="bg-BG"/>
        </w:rPr>
        <w:t xml:space="preserve">В изключителни случаи пациентът може да изпадне в кома с </w:t>
      </w:r>
      <w:proofErr w:type="spellStart"/>
      <w:r w:rsidRPr="004F7849">
        <w:rPr>
          <w:lang w:eastAsia="bg-BG"/>
        </w:rPr>
        <w:t>рестираторна</w:t>
      </w:r>
      <w:proofErr w:type="spellEnd"/>
      <w:r w:rsidRPr="004F7849">
        <w:rPr>
          <w:lang w:eastAsia="bg-BG"/>
        </w:rPr>
        <w:t xml:space="preserve"> депресия и</w:t>
      </w:r>
      <w:r>
        <w:rPr>
          <w:lang w:eastAsia="bg-BG"/>
        </w:rPr>
        <w:t xml:space="preserve"> </w:t>
      </w:r>
      <w:proofErr w:type="spellStart"/>
      <w:r w:rsidRPr="004F7849">
        <w:rPr>
          <w:lang w:eastAsia="bg-BG"/>
        </w:rPr>
        <w:t>хипотензия</w:t>
      </w:r>
      <w:proofErr w:type="spellEnd"/>
      <w:r w:rsidRPr="004F7849">
        <w:rPr>
          <w:lang w:eastAsia="bg-BG"/>
        </w:rPr>
        <w:t xml:space="preserve">, които могат да бъдат достатъчно тежки, за да доведат до </w:t>
      </w:r>
      <w:proofErr w:type="spellStart"/>
      <w:r w:rsidRPr="004F7849">
        <w:rPr>
          <w:lang w:eastAsia="bg-BG"/>
        </w:rPr>
        <w:t>шокоподбно</w:t>
      </w:r>
      <w:proofErr w:type="spellEnd"/>
      <w:r w:rsidRPr="004F7849">
        <w:rPr>
          <w:lang w:eastAsia="bg-BG"/>
        </w:rPr>
        <w:t xml:space="preserve"> състояние. Трябва да се има предвид рискът от камерни аритмии, възможно свързан с удължаване на </w:t>
      </w:r>
      <w:r w:rsidRPr="004F7849">
        <w:rPr>
          <w:lang w:val="en-US"/>
        </w:rPr>
        <w:t>QTc.</w:t>
      </w:r>
    </w:p>
    <w:p w14:paraId="050F1A58" w14:textId="77777777" w:rsidR="004F7849" w:rsidRDefault="004F7849" w:rsidP="004F7849">
      <w:pPr>
        <w:rPr>
          <w:lang w:eastAsia="bg-BG"/>
        </w:rPr>
      </w:pPr>
    </w:p>
    <w:p w14:paraId="4A5F6B00" w14:textId="59C5670C" w:rsidR="004F7849" w:rsidRPr="004F7849" w:rsidRDefault="004F7849" w:rsidP="004F7849">
      <w:pPr>
        <w:pStyle w:val="Heading3"/>
        <w:rPr>
          <w:rFonts w:eastAsia="Times New Roman"/>
          <w:u w:val="single"/>
        </w:rPr>
      </w:pPr>
      <w:r w:rsidRPr="004F7849">
        <w:rPr>
          <w:rFonts w:eastAsia="Times New Roman"/>
          <w:u w:val="single"/>
          <w:lang w:eastAsia="bg-BG"/>
        </w:rPr>
        <w:t>Лечение</w:t>
      </w:r>
    </w:p>
    <w:p w14:paraId="5DF34C5D" w14:textId="77777777" w:rsidR="004F7849" w:rsidRDefault="004F7849" w:rsidP="004F7849">
      <w:pPr>
        <w:rPr>
          <w:lang w:eastAsia="bg-BG"/>
        </w:rPr>
      </w:pPr>
      <w:r w:rsidRPr="004F7849">
        <w:rPr>
          <w:lang w:eastAsia="bg-BG"/>
        </w:rPr>
        <w:t xml:space="preserve">Няма специфичен антидот. Лечението е поддържащо. Ефикасността на активния въглен не е установена. </w:t>
      </w:r>
    </w:p>
    <w:p w14:paraId="4998C0B5" w14:textId="2627BFBC" w:rsidR="004F7849" w:rsidRPr="004F7849" w:rsidRDefault="004F7849" w:rsidP="004F7849">
      <w:pPr>
        <w:rPr>
          <w:sz w:val="24"/>
          <w:szCs w:val="24"/>
        </w:rPr>
      </w:pPr>
      <w:r w:rsidRPr="004F7849">
        <w:rPr>
          <w:lang w:eastAsia="bg-BG"/>
        </w:rPr>
        <w:lastRenderedPageBreak/>
        <w:t xml:space="preserve">При лечението на предозирането не се препоръчва диализа, защото тя отстранява само много малки количества </w:t>
      </w:r>
      <w:proofErr w:type="spellStart"/>
      <w:r w:rsidRPr="004F7849">
        <w:rPr>
          <w:lang w:eastAsia="bg-BG"/>
        </w:rPr>
        <w:t>халоперидол</w:t>
      </w:r>
      <w:proofErr w:type="spellEnd"/>
      <w:r w:rsidRPr="004F7849">
        <w:rPr>
          <w:lang w:eastAsia="bg-BG"/>
        </w:rPr>
        <w:t xml:space="preserve"> (вж. точка 5.2),</w:t>
      </w:r>
    </w:p>
    <w:p w14:paraId="606BE471" w14:textId="77777777" w:rsidR="004F7849" w:rsidRDefault="004F7849" w:rsidP="004F7849">
      <w:pPr>
        <w:rPr>
          <w:lang w:eastAsia="bg-BG"/>
        </w:rPr>
      </w:pPr>
    </w:p>
    <w:p w14:paraId="0425B434" w14:textId="07804F39" w:rsidR="004F7849" w:rsidRPr="004F7849" w:rsidRDefault="004F7849" w:rsidP="004F7849">
      <w:pPr>
        <w:rPr>
          <w:sz w:val="24"/>
          <w:szCs w:val="24"/>
        </w:rPr>
      </w:pPr>
      <w:r w:rsidRPr="004F7849">
        <w:rPr>
          <w:lang w:eastAsia="bg-BG"/>
        </w:rPr>
        <w:t xml:space="preserve">При </w:t>
      </w:r>
      <w:proofErr w:type="spellStart"/>
      <w:r w:rsidRPr="004F7849">
        <w:rPr>
          <w:lang w:eastAsia="bg-BG"/>
        </w:rPr>
        <w:t>коматозни</w:t>
      </w:r>
      <w:proofErr w:type="spellEnd"/>
      <w:r w:rsidRPr="004F7849">
        <w:rPr>
          <w:lang w:eastAsia="bg-BG"/>
        </w:rPr>
        <w:t xml:space="preserve"> пациенти трябва да се осигурят свободни дихателни пътища чрез прилагане на </w:t>
      </w:r>
      <w:proofErr w:type="spellStart"/>
      <w:r w:rsidRPr="004F7849">
        <w:rPr>
          <w:lang w:eastAsia="bg-BG"/>
        </w:rPr>
        <w:t>орофарингеален</w:t>
      </w:r>
      <w:proofErr w:type="spellEnd"/>
      <w:r w:rsidRPr="004F7849">
        <w:rPr>
          <w:lang w:eastAsia="bg-BG"/>
        </w:rPr>
        <w:t xml:space="preserve"> </w:t>
      </w:r>
      <w:proofErr w:type="spellStart"/>
      <w:r w:rsidRPr="004F7849">
        <w:rPr>
          <w:lang w:eastAsia="bg-BG"/>
        </w:rPr>
        <w:t>въздуховод</w:t>
      </w:r>
      <w:proofErr w:type="spellEnd"/>
      <w:r w:rsidRPr="004F7849">
        <w:rPr>
          <w:lang w:eastAsia="bg-BG"/>
        </w:rPr>
        <w:t xml:space="preserve"> или </w:t>
      </w:r>
      <w:proofErr w:type="spellStart"/>
      <w:r w:rsidRPr="004F7849">
        <w:rPr>
          <w:lang w:eastAsia="bg-BG"/>
        </w:rPr>
        <w:t>ендотрахеална</w:t>
      </w:r>
      <w:proofErr w:type="spellEnd"/>
      <w:r w:rsidRPr="004F7849">
        <w:rPr>
          <w:lang w:eastAsia="bg-BG"/>
        </w:rPr>
        <w:t xml:space="preserve"> тръба. Респираторната депресия може да наложи изкуствено дишане.</w:t>
      </w:r>
    </w:p>
    <w:p w14:paraId="3316A9E4" w14:textId="77777777" w:rsidR="004F7849" w:rsidRDefault="004F7849" w:rsidP="004F7849">
      <w:pPr>
        <w:rPr>
          <w:lang w:eastAsia="bg-BG"/>
        </w:rPr>
      </w:pPr>
    </w:p>
    <w:p w14:paraId="357ED734" w14:textId="0872B1AB" w:rsidR="004F7849" w:rsidRPr="004F7849" w:rsidRDefault="004F7849" w:rsidP="004F7849">
      <w:pPr>
        <w:rPr>
          <w:sz w:val="24"/>
          <w:szCs w:val="24"/>
        </w:rPr>
      </w:pPr>
      <w:r w:rsidRPr="004F7849">
        <w:rPr>
          <w:lang w:eastAsia="bg-BG"/>
        </w:rPr>
        <w:t xml:space="preserve">Препоръчва се проследяване на ЕКГ и жизнено важните функции, като това проследяване продължи до нормализирането на ЕКГ. Препоръчва се лечение на тежките аритмии с подходящи </w:t>
      </w:r>
      <w:proofErr w:type="spellStart"/>
      <w:r w:rsidRPr="004F7849">
        <w:rPr>
          <w:lang w:eastAsia="bg-BG"/>
        </w:rPr>
        <w:t>антиаритмични</w:t>
      </w:r>
      <w:proofErr w:type="spellEnd"/>
      <w:r w:rsidRPr="004F7849">
        <w:rPr>
          <w:lang w:eastAsia="bg-BG"/>
        </w:rPr>
        <w:t xml:space="preserve"> мерки.</w:t>
      </w:r>
    </w:p>
    <w:p w14:paraId="72141B92" w14:textId="77777777" w:rsidR="004F7849" w:rsidRDefault="004F7849" w:rsidP="004F7849">
      <w:pPr>
        <w:rPr>
          <w:lang w:eastAsia="bg-BG"/>
        </w:rPr>
      </w:pPr>
    </w:p>
    <w:p w14:paraId="5E12B517" w14:textId="5CE5AC69" w:rsidR="004F7849" w:rsidRPr="004F7849" w:rsidRDefault="004F7849" w:rsidP="004F7849">
      <w:pPr>
        <w:rPr>
          <w:sz w:val="24"/>
          <w:szCs w:val="24"/>
        </w:rPr>
      </w:pPr>
      <w:r w:rsidRPr="004F7849">
        <w:rPr>
          <w:lang w:eastAsia="bg-BG"/>
        </w:rPr>
        <w:t xml:space="preserve">Хипотонията и </w:t>
      </w:r>
      <w:proofErr w:type="spellStart"/>
      <w:r w:rsidRPr="004F7849">
        <w:rPr>
          <w:lang w:eastAsia="bg-BG"/>
        </w:rPr>
        <w:t>циркулаторният</w:t>
      </w:r>
      <w:proofErr w:type="spellEnd"/>
      <w:r w:rsidRPr="004F7849">
        <w:rPr>
          <w:lang w:eastAsia="bg-BG"/>
        </w:rPr>
        <w:t xml:space="preserve"> колапс може да се преодолеят чрез приложение на интравенозни течности, плазма или концентриран албумин и </w:t>
      </w:r>
      <w:proofErr w:type="spellStart"/>
      <w:r w:rsidRPr="004F7849">
        <w:rPr>
          <w:lang w:eastAsia="bg-BG"/>
        </w:rPr>
        <w:t>вазопресорни</w:t>
      </w:r>
      <w:proofErr w:type="spellEnd"/>
      <w:r w:rsidRPr="004F7849">
        <w:rPr>
          <w:lang w:eastAsia="bg-BG"/>
        </w:rPr>
        <w:t xml:space="preserve"> средства, като </w:t>
      </w:r>
      <w:proofErr w:type="spellStart"/>
      <w:r w:rsidRPr="004F7849">
        <w:rPr>
          <w:lang w:eastAsia="bg-BG"/>
        </w:rPr>
        <w:t>допамин</w:t>
      </w:r>
      <w:proofErr w:type="spellEnd"/>
      <w:r w:rsidRPr="004F7849">
        <w:rPr>
          <w:lang w:eastAsia="bg-BG"/>
        </w:rPr>
        <w:t xml:space="preserve"> или </w:t>
      </w:r>
      <w:proofErr w:type="spellStart"/>
      <w:r w:rsidRPr="004F7849">
        <w:rPr>
          <w:lang w:eastAsia="bg-BG"/>
        </w:rPr>
        <w:t>норадреналин</w:t>
      </w:r>
      <w:proofErr w:type="spellEnd"/>
      <w:r w:rsidRPr="004F7849">
        <w:rPr>
          <w:lang w:eastAsia="bg-BG"/>
        </w:rPr>
        <w:t xml:space="preserve">. Не трябва да се използва адреналин, защото той може да предизвика дълбока хипотония при наличието на </w:t>
      </w:r>
      <w:proofErr w:type="spellStart"/>
      <w:r w:rsidRPr="004F7849">
        <w:rPr>
          <w:lang w:eastAsia="bg-BG"/>
        </w:rPr>
        <w:t>халоперидол</w:t>
      </w:r>
      <w:proofErr w:type="spellEnd"/>
      <w:r w:rsidRPr="004F7849">
        <w:rPr>
          <w:lang w:eastAsia="bg-BG"/>
        </w:rPr>
        <w:t>.</w:t>
      </w:r>
    </w:p>
    <w:p w14:paraId="286F9CF8" w14:textId="77777777" w:rsidR="004F7849" w:rsidRDefault="004F7849" w:rsidP="004F7849">
      <w:pPr>
        <w:rPr>
          <w:lang w:eastAsia="bg-BG"/>
        </w:rPr>
      </w:pPr>
    </w:p>
    <w:p w14:paraId="0EBA0CF9" w14:textId="49219576" w:rsidR="004F7849" w:rsidRPr="004F7849" w:rsidRDefault="004F7849" w:rsidP="004F7849">
      <w:pPr>
        <w:rPr>
          <w:sz w:val="24"/>
          <w:szCs w:val="24"/>
        </w:rPr>
      </w:pPr>
      <w:r w:rsidRPr="004F7849">
        <w:rPr>
          <w:lang w:eastAsia="bg-BG"/>
        </w:rPr>
        <w:t xml:space="preserve">В случай на тежки </w:t>
      </w:r>
      <w:proofErr w:type="spellStart"/>
      <w:r w:rsidRPr="004F7849">
        <w:rPr>
          <w:lang w:eastAsia="bg-BG"/>
        </w:rPr>
        <w:t>ектрапирамидни</w:t>
      </w:r>
      <w:proofErr w:type="spellEnd"/>
      <w:r w:rsidRPr="004F7849">
        <w:rPr>
          <w:lang w:eastAsia="bg-BG"/>
        </w:rPr>
        <w:t xml:space="preserve"> реакции се препоръчва парентерално приложение на антипаркинсонов лекарствен продукт.</w:t>
      </w:r>
    </w:p>
    <w:p w14:paraId="43BEED99" w14:textId="77777777" w:rsidR="004F7849" w:rsidRPr="004F7849" w:rsidRDefault="004F7849" w:rsidP="004F7849"/>
    <w:p w14:paraId="18EF4AFE" w14:textId="77777777" w:rsidR="002C50EE" w:rsidRDefault="002C50EE" w:rsidP="002C50EE">
      <w:pPr>
        <w:pStyle w:val="Heading1"/>
      </w:pPr>
      <w:r>
        <w:t>5. ФАРМАКОЛОГИЧНИ СВОЙСТВА</w:t>
      </w:r>
    </w:p>
    <w:p w14:paraId="6CDB2723" w14:textId="2F72536C" w:rsidR="00C809A7" w:rsidRDefault="002C50EE" w:rsidP="00AA23EC">
      <w:pPr>
        <w:pStyle w:val="Heading2"/>
      </w:pPr>
      <w:r>
        <w:t xml:space="preserve">5.1. </w:t>
      </w:r>
      <w:proofErr w:type="spellStart"/>
      <w:r>
        <w:t>Фармакодинамични</w:t>
      </w:r>
      <w:proofErr w:type="spellEnd"/>
      <w:r>
        <w:t xml:space="preserve"> свойства</w:t>
      </w:r>
    </w:p>
    <w:p w14:paraId="4FBEC9AE" w14:textId="77777777" w:rsidR="004F7849" w:rsidRPr="004F7849" w:rsidRDefault="004F7849" w:rsidP="001A1A96">
      <w:pPr>
        <w:rPr>
          <w:sz w:val="24"/>
          <w:szCs w:val="24"/>
        </w:rPr>
      </w:pPr>
      <w:proofErr w:type="spellStart"/>
      <w:r w:rsidRPr="004F7849">
        <w:rPr>
          <w:lang w:eastAsia="bg-BG"/>
        </w:rPr>
        <w:t>Фармакотерапевтична</w:t>
      </w:r>
      <w:proofErr w:type="spellEnd"/>
      <w:r w:rsidRPr="004F7849">
        <w:rPr>
          <w:lang w:eastAsia="bg-BG"/>
        </w:rPr>
        <w:t xml:space="preserve"> група: </w:t>
      </w:r>
      <w:proofErr w:type="spellStart"/>
      <w:r w:rsidRPr="004F7849">
        <w:rPr>
          <w:lang w:eastAsia="bg-BG"/>
        </w:rPr>
        <w:t>Психолептици</w:t>
      </w:r>
      <w:proofErr w:type="spellEnd"/>
      <w:r w:rsidRPr="004F7849">
        <w:rPr>
          <w:lang w:eastAsia="bg-BG"/>
        </w:rPr>
        <w:t xml:space="preserve">; </w:t>
      </w:r>
      <w:proofErr w:type="spellStart"/>
      <w:r w:rsidRPr="004F7849">
        <w:rPr>
          <w:lang w:eastAsia="bg-BG"/>
        </w:rPr>
        <w:t>Антипсихотици</w:t>
      </w:r>
      <w:proofErr w:type="spellEnd"/>
      <w:r w:rsidRPr="004F7849">
        <w:rPr>
          <w:lang w:eastAsia="bg-BG"/>
        </w:rPr>
        <w:t xml:space="preserve">, производни на </w:t>
      </w:r>
      <w:proofErr w:type="spellStart"/>
      <w:r w:rsidRPr="004F7849">
        <w:rPr>
          <w:lang w:eastAsia="bg-BG"/>
        </w:rPr>
        <w:t>бутирофенона</w:t>
      </w:r>
      <w:proofErr w:type="spellEnd"/>
      <w:r w:rsidRPr="004F7849">
        <w:rPr>
          <w:lang w:eastAsia="bg-BG"/>
        </w:rPr>
        <w:t xml:space="preserve">; АТС код: </w:t>
      </w:r>
      <w:r w:rsidRPr="004F7849">
        <w:rPr>
          <w:lang w:val="en-US"/>
        </w:rPr>
        <w:t>N05AD01</w:t>
      </w:r>
    </w:p>
    <w:p w14:paraId="77E705C8" w14:textId="77777777" w:rsidR="004F7849" w:rsidRDefault="004F7849" w:rsidP="001A1A96">
      <w:pPr>
        <w:rPr>
          <w:u w:val="single"/>
          <w:lang w:eastAsia="bg-BG"/>
        </w:rPr>
      </w:pPr>
    </w:p>
    <w:p w14:paraId="654C071A" w14:textId="6D808E7B" w:rsidR="004F7849" w:rsidRPr="004F7849" w:rsidRDefault="004F7849" w:rsidP="001A1A96">
      <w:pPr>
        <w:rPr>
          <w:sz w:val="24"/>
          <w:szCs w:val="24"/>
        </w:rPr>
      </w:pPr>
      <w:r w:rsidRPr="004F7849">
        <w:rPr>
          <w:u w:val="single"/>
          <w:lang w:eastAsia="bg-BG"/>
        </w:rPr>
        <w:t>Механизъм на действие</w:t>
      </w:r>
    </w:p>
    <w:p w14:paraId="30B96A0E" w14:textId="77777777" w:rsidR="004F7849" w:rsidRPr="004F7849" w:rsidRDefault="004F7849" w:rsidP="001A1A96">
      <w:pPr>
        <w:rPr>
          <w:sz w:val="24"/>
          <w:szCs w:val="24"/>
        </w:rPr>
      </w:pPr>
      <w:proofErr w:type="spellStart"/>
      <w:r w:rsidRPr="004F7849">
        <w:rPr>
          <w:lang w:eastAsia="bg-BG"/>
        </w:rPr>
        <w:t>Халоперидол</w:t>
      </w:r>
      <w:proofErr w:type="spellEnd"/>
      <w:r w:rsidRPr="004F7849">
        <w:rPr>
          <w:lang w:eastAsia="bg-BG"/>
        </w:rPr>
        <w:t xml:space="preserve"> е </w:t>
      </w:r>
      <w:proofErr w:type="spellStart"/>
      <w:r w:rsidRPr="004F7849">
        <w:rPr>
          <w:lang w:eastAsia="bg-BG"/>
        </w:rPr>
        <w:t>антипсихотик</w:t>
      </w:r>
      <w:proofErr w:type="spellEnd"/>
      <w:r w:rsidRPr="004F7849">
        <w:rPr>
          <w:lang w:eastAsia="bg-BG"/>
        </w:rPr>
        <w:t xml:space="preserve">, принадлежащ към групата на </w:t>
      </w:r>
      <w:proofErr w:type="spellStart"/>
      <w:r w:rsidRPr="004F7849">
        <w:rPr>
          <w:lang w:eastAsia="bg-BG"/>
        </w:rPr>
        <w:t>бутирофеноните</w:t>
      </w:r>
      <w:proofErr w:type="spellEnd"/>
      <w:r w:rsidRPr="004F7849">
        <w:rPr>
          <w:lang w:eastAsia="bg-BG"/>
        </w:rPr>
        <w:t xml:space="preserve">. Той е мощен антагонист на централните допаминови рецептори тип 2 и в препоръчителните дози има ниска алфа-1 </w:t>
      </w:r>
      <w:proofErr w:type="spellStart"/>
      <w:r w:rsidRPr="004F7849">
        <w:rPr>
          <w:lang w:eastAsia="bg-BG"/>
        </w:rPr>
        <w:t>антиадренергична</w:t>
      </w:r>
      <w:proofErr w:type="spellEnd"/>
      <w:r w:rsidRPr="004F7849">
        <w:rPr>
          <w:lang w:eastAsia="bg-BG"/>
        </w:rPr>
        <w:t xml:space="preserve"> активност, като не притежава </w:t>
      </w:r>
      <w:proofErr w:type="spellStart"/>
      <w:r w:rsidRPr="004F7849">
        <w:rPr>
          <w:lang w:eastAsia="bg-BG"/>
        </w:rPr>
        <w:t>антихистаминергична</w:t>
      </w:r>
      <w:proofErr w:type="spellEnd"/>
      <w:r w:rsidRPr="004F7849">
        <w:rPr>
          <w:lang w:eastAsia="bg-BG"/>
        </w:rPr>
        <w:t xml:space="preserve"> или </w:t>
      </w:r>
      <w:proofErr w:type="spellStart"/>
      <w:r w:rsidRPr="004F7849">
        <w:rPr>
          <w:lang w:eastAsia="bg-BG"/>
        </w:rPr>
        <w:t>антихолинергична</w:t>
      </w:r>
      <w:proofErr w:type="spellEnd"/>
      <w:r w:rsidRPr="004F7849">
        <w:rPr>
          <w:lang w:eastAsia="bg-BG"/>
        </w:rPr>
        <w:t xml:space="preserve"> активност.</w:t>
      </w:r>
    </w:p>
    <w:p w14:paraId="2E8633DE" w14:textId="77777777" w:rsidR="004F7849" w:rsidRDefault="004F7849" w:rsidP="001A1A96">
      <w:pPr>
        <w:rPr>
          <w:u w:val="single"/>
          <w:lang w:eastAsia="bg-BG"/>
        </w:rPr>
      </w:pPr>
    </w:p>
    <w:p w14:paraId="54266D5B" w14:textId="1891DADE" w:rsidR="004F7849" w:rsidRPr="004F7849" w:rsidRDefault="004F7849" w:rsidP="001A1A96">
      <w:pPr>
        <w:rPr>
          <w:sz w:val="24"/>
          <w:szCs w:val="24"/>
        </w:rPr>
      </w:pPr>
      <w:proofErr w:type="spellStart"/>
      <w:r w:rsidRPr="004F7849">
        <w:rPr>
          <w:u w:val="single"/>
          <w:lang w:eastAsia="bg-BG"/>
        </w:rPr>
        <w:t>Фармакодинамични</w:t>
      </w:r>
      <w:proofErr w:type="spellEnd"/>
      <w:r w:rsidRPr="004F7849">
        <w:rPr>
          <w:u w:val="single"/>
          <w:lang w:eastAsia="bg-BG"/>
        </w:rPr>
        <w:t xml:space="preserve"> ефекти</w:t>
      </w:r>
    </w:p>
    <w:p w14:paraId="613E26D4" w14:textId="77777777" w:rsidR="004F7849" w:rsidRPr="004F7849" w:rsidRDefault="004F7849" w:rsidP="001A1A96">
      <w:pPr>
        <w:rPr>
          <w:sz w:val="24"/>
          <w:szCs w:val="24"/>
        </w:rPr>
      </w:pPr>
      <w:proofErr w:type="spellStart"/>
      <w:r w:rsidRPr="004F7849">
        <w:rPr>
          <w:lang w:eastAsia="bg-BG"/>
        </w:rPr>
        <w:t>Халоперидол</w:t>
      </w:r>
      <w:proofErr w:type="spellEnd"/>
      <w:r w:rsidRPr="004F7849">
        <w:rPr>
          <w:lang w:eastAsia="bg-BG"/>
        </w:rPr>
        <w:t xml:space="preserve"> </w:t>
      </w:r>
      <w:proofErr w:type="spellStart"/>
      <w:r w:rsidRPr="004F7849">
        <w:rPr>
          <w:lang w:eastAsia="bg-BG"/>
        </w:rPr>
        <w:t>подтиска</w:t>
      </w:r>
      <w:proofErr w:type="spellEnd"/>
      <w:r w:rsidRPr="004F7849">
        <w:rPr>
          <w:lang w:eastAsia="bg-BG"/>
        </w:rPr>
        <w:t xml:space="preserve"> </w:t>
      </w:r>
      <w:proofErr w:type="spellStart"/>
      <w:r w:rsidRPr="004F7849">
        <w:rPr>
          <w:lang w:eastAsia="bg-BG"/>
        </w:rPr>
        <w:t>налудностите</w:t>
      </w:r>
      <w:proofErr w:type="spellEnd"/>
      <w:r w:rsidRPr="004F7849">
        <w:rPr>
          <w:lang w:eastAsia="bg-BG"/>
        </w:rPr>
        <w:t xml:space="preserve"> и халюцинациите като пряко последствие от блокиране на </w:t>
      </w:r>
      <w:proofErr w:type="spellStart"/>
      <w:r w:rsidRPr="004F7849">
        <w:rPr>
          <w:lang w:eastAsia="bg-BG"/>
        </w:rPr>
        <w:t>допаминергичното</w:t>
      </w:r>
      <w:proofErr w:type="spellEnd"/>
      <w:r w:rsidRPr="004F7849">
        <w:rPr>
          <w:lang w:eastAsia="bg-BG"/>
        </w:rPr>
        <w:t xml:space="preserve"> активиране на </w:t>
      </w:r>
      <w:proofErr w:type="spellStart"/>
      <w:r w:rsidRPr="004F7849">
        <w:rPr>
          <w:lang w:eastAsia="bg-BG"/>
        </w:rPr>
        <w:t>мезолимбичния</w:t>
      </w:r>
      <w:proofErr w:type="spellEnd"/>
      <w:r w:rsidRPr="004F7849">
        <w:rPr>
          <w:lang w:eastAsia="bg-BG"/>
        </w:rPr>
        <w:t xml:space="preserve"> път. Ефектът на блокиране на централните допаминови рецептори повлиява активността на </w:t>
      </w:r>
      <w:proofErr w:type="spellStart"/>
      <w:r w:rsidRPr="004F7849">
        <w:rPr>
          <w:lang w:eastAsia="bg-BG"/>
        </w:rPr>
        <w:t>базалните</w:t>
      </w:r>
      <w:proofErr w:type="spellEnd"/>
      <w:r w:rsidRPr="004F7849">
        <w:rPr>
          <w:lang w:eastAsia="bg-BG"/>
        </w:rPr>
        <w:t xml:space="preserve"> </w:t>
      </w:r>
      <w:proofErr w:type="spellStart"/>
      <w:r w:rsidRPr="004F7849">
        <w:rPr>
          <w:lang w:eastAsia="bg-BG"/>
        </w:rPr>
        <w:t>ганглии</w:t>
      </w:r>
      <w:proofErr w:type="spellEnd"/>
      <w:r w:rsidRPr="004F7849">
        <w:rPr>
          <w:lang w:eastAsia="bg-BG"/>
        </w:rPr>
        <w:t xml:space="preserve"> (</w:t>
      </w:r>
      <w:proofErr w:type="spellStart"/>
      <w:r w:rsidRPr="004F7849">
        <w:rPr>
          <w:lang w:eastAsia="bg-BG"/>
        </w:rPr>
        <w:t>нигростриатусните</w:t>
      </w:r>
      <w:proofErr w:type="spellEnd"/>
      <w:r w:rsidRPr="004F7849">
        <w:rPr>
          <w:lang w:eastAsia="bg-BG"/>
        </w:rPr>
        <w:t xml:space="preserve"> снопове). </w:t>
      </w:r>
      <w:proofErr w:type="spellStart"/>
      <w:r w:rsidRPr="004F7849">
        <w:rPr>
          <w:lang w:eastAsia="bg-BG"/>
        </w:rPr>
        <w:t>Халоперидол</w:t>
      </w:r>
      <w:proofErr w:type="spellEnd"/>
      <w:r w:rsidRPr="004F7849">
        <w:rPr>
          <w:lang w:eastAsia="bg-BG"/>
        </w:rPr>
        <w:t xml:space="preserve"> предизвиква ефикасна психомоторна </w:t>
      </w:r>
      <w:proofErr w:type="spellStart"/>
      <w:r w:rsidRPr="004F7849">
        <w:rPr>
          <w:lang w:eastAsia="bg-BG"/>
        </w:rPr>
        <w:t>седация</w:t>
      </w:r>
      <w:proofErr w:type="spellEnd"/>
      <w:r w:rsidRPr="004F7849">
        <w:rPr>
          <w:lang w:eastAsia="bg-BG"/>
        </w:rPr>
        <w:t xml:space="preserve">, което обяснява благоприятния ефект върху манията и другите </w:t>
      </w:r>
      <w:proofErr w:type="spellStart"/>
      <w:r w:rsidRPr="004F7849">
        <w:rPr>
          <w:lang w:eastAsia="bg-BG"/>
        </w:rPr>
        <w:t>ажитационни</w:t>
      </w:r>
      <w:proofErr w:type="spellEnd"/>
      <w:r w:rsidRPr="004F7849">
        <w:rPr>
          <w:lang w:eastAsia="bg-BG"/>
        </w:rPr>
        <w:t xml:space="preserve"> синдроми.</w:t>
      </w:r>
    </w:p>
    <w:p w14:paraId="7B7026EA" w14:textId="77777777" w:rsidR="004F7849" w:rsidRDefault="004F7849" w:rsidP="001A1A96">
      <w:pPr>
        <w:rPr>
          <w:lang w:eastAsia="bg-BG"/>
        </w:rPr>
      </w:pPr>
    </w:p>
    <w:p w14:paraId="2BCB21FE" w14:textId="77777777" w:rsidR="001A1A96" w:rsidRPr="001A1A96" w:rsidRDefault="004F7849" w:rsidP="001A1A96">
      <w:pPr>
        <w:rPr>
          <w:sz w:val="24"/>
          <w:szCs w:val="24"/>
        </w:rPr>
      </w:pPr>
      <w:r w:rsidRPr="004F7849">
        <w:rPr>
          <w:lang w:eastAsia="bg-BG"/>
        </w:rPr>
        <w:t xml:space="preserve">Активността върху </w:t>
      </w:r>
      <w:proofErr w:type="spellStart"/>
      <w:r w:rsidRPr="004F7849">
        <w:rPr>
          <w:lang w:eastAsia="bg-BG"/>
        </w:rPr>
        <w:t>базалните</w:t>
      </w:r>
      <w:proofErr w:type="spellEnd"/>
      <w:r w:rsidRPr="004F7849">
        <w:rPr>
          <w:lang w:eastAsia="bg-BG"/>
        </w:rPr>
        <w:t xml:space="preserve"> </w:t>
      </w:r>
      <w:proofErr w:type="spellStart"/>
      <w:r w:rsidRPr="004F7849">
        <w:rPr>
          <w:lang w:eastAsia="bg-BG"/>
        </w:rPr>
        <w:t>ганглии</w:t>
      </w:r>
      <w:proofErr w:type="spellEnd"/>
      <w:r w:rsidRPr="004F7849">
        <w:rPr>
          <w:lang w:eastAsia="bg-BG"/>
        </w:rPr>
        <w:t xml:space="preserve"> вероятно </w:t>
      </w:r>
      <w:proofErr w:type="spellStart"/>
      <w:r w:rsidRPr="004F7849">
        <w:rPr>
          <w:lang w:eastAsia="bg-BG"/>
        </w:rPr>
        <w:t>вероятно</w:t>
      </w:r>
      <w:proofErr w:type="spellEnd"/>
      <w:r w:rsidRPr="004F7849">
        <w:rPr>
          <w:lang w:eastAsia="bg-BG"/>
        </w:rPr>
        <w:t xml:space="preserve"> е в основата на неж</w:t>
      </w:r>
      <w:r w:rsidR="001A1A96" w:rsidRPr="001A1A96">
        <w:rPr>
          <w:lang w:eastAsia="bg-BG"/>
        </w:rPr>
        <w:t xml:space="preserve">еланите </w:t>
      </w:r>
      <w:proofErr w:type="spellStart"/>
      <w:r w:rsidR="001A1A96" w:rsidRPr="001A1A96">
        <w:rPr>
          <w:lang w:eastAsia="bg-BG"/>
        </w:rPr>
        <w:t>екстрапирамидни</w:t>
      </w:r>
      <w:proofErr w:type="spellEnd"/>
      <w:r w:rsidR="001A1A96" w:rsidRPr="001A1A96">
        <w:rPr>
          <w:lang w:eastAsia="bg-BG"/>
        </w:rPr>
        <w:t xml:space="preserve"> моторни ефекти (</w:t>
      </w:r>
      <w:proofErr w:type="spellStart"/>
      <w:r w:rsidR="001A1A96" w:rsidRPr="001A1A96">
        <w:rPr>
          <w:lang w:eastAsia="bg-BG"/>
        </w:rPr>
        <w:t>дистония</w:t>
      </w:r>
      <w:proofErr w:type="spellEnd"/>
      <w:r w:rsidR="001A1A96" w:rsidRPr="001A1A96">
        <w:rPr>
          <w:lang w:eastAsia="bg-BG"/>
        </w:rPr>
        <w:t xml:space="preserve">, </w:t>
      </w:r>
      <w:proofErr w:type="spellStart"/>
      <w:r w:rsidR="001A1A96" w:rsidRPr="001A1A96">
        <w:rPr>
          <w:lang w:eastAsia="bg-BG"/>
        </w:rPr>
        <w:t>акатизия</w:t>
      </w:r>
      <w:proofErr w:type="spellEnd"/>
      <w:r w:rsidR="001A1A96" w:rsidRPr="001A1A96">
        <w:rPr>
          <w:lang w:eastAsia="bg-BG"/>
        </w:rPr>
        <w:t xml:space="preserve"> и </w:t>
      </w:r>
      <w:proofErr w:type="spellStart"/>
      <w:r w:rsidR="001A1A96" w:rsidRPr="001A1A96">
        <w:rPr>
          <w:lang w:eastAsia="bg-BG"/>
        </w:rPr>
        <w:t>паркинсонизъм</w:t>
      </w:r>
      <w:proofErr w:type="spellEnd"/>
      <w:r w:rsidR="001A1A96" w:rsidRPr="001A1A96">
        <w:rPr>
          <w:lang w:eastAsia="bg-BG"/>
        </w:rPr>
        <w:t>).</w:t>
      </w:r>
    </w:p>
    <w:p w14:paraId="4FF72B94" w14:textId="01715461" w:rsidR="004F7849" w:rsidRDefault="004F7849" w:rsidP="004F7849"/>
    <w:p w14:paraId="73BEBBFE" w14:textId="55771B2F" w:rsidR="001A1A96" w:rsidRDefault="001A1A96" w:rsidP="001A1A96">
      <w:proofErr w:type="spellStart"/>
      <w:r>
        <w:t>Антидопаминергичните</w:t>
      </w:r>
      <w:proofErr w:type="spellEnd"/>
      <w:r>
        <w:t xml:space="preserve"> ефекти на </w:t>
      </w:r>
      <w:proofErr w:type="spellStart"/>
      <w:r>
        <w:t>халоперидол</w:t>
      </w:r>
      <w:proofErr w:type="spellEnd"/>
      <w:r>
        <w:t xml:space="preserve"> върху </w:t>
      </w:r>
      <w:proofErr w:type="spellStart"/>
      <w:r>
        <w:t>лактотропите</w:t>
      </w:r>
      <w:proofErr w:type="spellEnd"/>
      <w:r>
        <w:t xml:space="preserve"> в предния дял на хипофизата обяснява </w:t>
      </w:r>
      <w:proofErr w:type="spellStart"/>
      <w:r>
        <w:t>хиперпролактинемията</w:t>
      </w:r>
      <w:proofErr w:type="spellEnd"/>
      <w:r>
        <w:t xml:space="preserve">, дължаща се на инхибиране на </w:t>
      </w:r>
      <w:proofErr w:type="spellStart"/>
      <w:r>
        <w:t>допамин</w:t>
      </w:r>
      <w:proofErr w:type="spellEnd"/>
      <w:r>
        <w:t xml:space="preserve">- </w:t>
      </w:r>
      <w:proofErr w:type="spellStart"/>
      <w:r>
        <w:t>медиираното</w:t>
      </w:r>
      <w:proofErr w:type="spellEnd"/>
      <w:r>
        <w:t xml:space="preserve"> тонично инхибиране на </w:t>
      </w:r>
      <w:proofErr w:type="spellStart"/>
      <w:r>
        <w:t>пролактиновата</w:t>
      </w:r>
      <w:proofErr w:type="spellEnd"/>
      <w:r>
        <w:t xml:space="preserve"> секреция.</w:t>
      </w:r>
    </w:p>
    <w:p w14:paraId="555ABCFB" w14:textId="77777777" w:rsidR="001A1A96" w:rsidRPr="004F7849" w:rsidRDefault="001A1A96" w:rsidP="001A1A96"/>
    <w:p w14:paraId="0A962168" w14:textId="57609AD0" w:rsidR="00C809A7" w:rsidRDefault="002C50EE" w:rsidP="00AA23EC">
      <w:pPr>
        <w:pStyle w:val="Heading2"/>
      </w:pPr>
      <w:r>
        <w:lastRenderedPageBreak/>
        <w:t xml:space="preserve">5.2. </w:t>
      </w:r>
      <w:proofErr w:type="spellStart"/>
      <w:r>
        <w:t>Фармакокинетични</w:t>
      </w:r>
      <w:proofErr w:type="spellEnd"/>
      <w:r>
        <w:t xml:space="preserve"> свойства</w:t>
      </w:r>
    </w:p>
    <w:p w14:paraId="245EEB22" w14:textId="77777777" w:rsidR="001A1A96" w:rsidRDefault="001A1A96" w:rsidP="001A1A96">
      <w:pPr>
        <w:spacing w:line="240" w:lineRule="auto"/>
        <w:rPr>
          <w:rFonts w:ascii="Times New Roman" w:eastAsia="Times New Roman" w:hAnsi="Times New Roman" w:cs="Times New Roman"/>
          <w:color w:val="000000"/>
          <w:sz w:val="20"/>
          <w:szCs w:val="20"/>
          <w:u w:val="single"/>
          <w:lang w:eastAsia="bg-BG"/>
        </w:rPr>
      </w:pPr>
    </w:p>
    <w:p w14:paraId="1C08F57E" w14:textId="336AD44A" w:rsidR="001A1A96" w:rsidRPr="001A1A96" w:rsidRDefault="001A1A96" w:rsidP="001A1A96">
      <w:pPr>
        <w:pStyle w:val="Heading3"/>
        <w:rPr>
          <w:rFonts w:eastAsia="Times New Roman"/>
          <w:u w:val="single"/>
        </w:rPr>
      </w:pPr>
      <w:r w:rsidRPr="001A1A96">
        <w:rPr>
          <w:rFonts w:eastAsia="Times New Roman"/>
          <w:u w:val="single"/>
          <w:lang w:eastAsia="bg-BG"/>
        </w:rPr>
        <w:t>Абсорбция</w:t>
      </w:r>
    </w:p>
    <w:p w14:paraId="1EBEB439" w14:textId="77777777" w:rsidR="001A1A96" w:rsidRPr="001A1A96" w:rsidRDefault="001A1A96" w:rsidP="001A1A96">
      <w:pPr>
        <w:rPr>
          <w:sz w:val="24"/>
          <w:szCs w:val="24"/>
        </w:rPr>
      </w:pPr>
      <w:r w:rsidRPr="001A1A96">
        <w:rPr>
          <w:lang w:eastAsia="bg-BG"/>
        </w:rPr>
        <w:t xml:space="preserve">Средната бионаличност на </w:t>
      </w:r>
      <w:proofErr w:type="spellStart"/>
      <w:r w:rsidRPr="001A1A96">
        <w:rPr>
          <w:lang w:eastAsia="bg-BG"/>
        </w:rPr>
        <w:t>халоперидол</w:t>
      </w:r>
      <w:proofErr w:type="spellEnd"/>
      <w:r w:rsidRPr="001A1A96">
        <w:rPr>
          <w:lang w:eastAsia="bg-BG"/>
        </w:rPr>
        <w:t xml:space="preserve"> след приложение на таблетка или перорален разтвор е 60 до 70%. Максимални плазмени нива на </w:t>
      </w:r>
      <w:proofErr w:type="spellStart"/>
      <w:r w:rsidRPr="001A1A96">
        <w:rPr>
          <w:lang w:eastAsia="bg-BG"/>
        </w:rPr>
        <w:t>халоперидол</w:t>
      </w:r>
      <w:proofErr w:type="spellEnd"/>
      <w:r w:rsidRPr="001A1A96">
        <w:rPr>
          <w:lang w:eastAsia="bg-BG"/>
        </w:rPr>
        <w:t xml:space="preserve"> обикновено се достигат в рамките на 2 до 6 часа след перорален прием. Наблюдавана е голяма интериндивидуална вариабилност на плазмените концентрации. Стационарно състояние се достига в рамките на 1 седмица от началото на лечението.</w:t>
      </w:r>
    </w:p>
    <w:p w14:paraId="78C83374" w14:textId="77777777" w:rsidR="001A1A96" w:rsidRDefault="001A1A96" w:rsidP="001A1A96">
      <w:pPr>
        <w:rPr>
          <w:lang w:eastAsia="bg-BG"/>
        </w:rPr>
      </w:pPr>
    </w:p>
    <w:p w14:paraId="1514B332" w14:textId="4E5A49A6" w:rsidR="001A1A96" w:rsidRPr="001A1A96" w:rsidRDefault="001A1A96" w:rsidP="001A1A96">
      <w:pPr>
        <w:pStyle w:val="Heading3"/>
        <w:rPr>
          <w:rFonts w:eastAsia="Times New Roman"/>
          <w:u w:val="single"/>
        </w:rPr>
      </w:pPr>
      <w:r w:rsidRPr="001A1A96">
        <w:rPr>
          <w:rFonts w:eastAsia="Times New Roman"/>
          <w:u w:val="single"/>
          <w:lang w:eastAsia="bg-BG"/>
        </w:rPr>
        <w:t>Разпределение</w:t>
      </w:r>
    </w:p>
    <w:p w14:paraId="562B3963" w14:textId="77777777" w:rsidR="001A1A96" w:rsidRPr="001A1A96" w:rsidRDefault="001A1A96" w:rsidP="001A1A96">
      <w:pPr>
        <w:rPr>
          <w:sz w:val="24"/>
          <w:szCs w:val="24"/>
        </w:rPr>
      </w:pPr>
      <w:r w:rsidRPr="001A1A96">
        <w:rPr>
          <w:lang w:eastAsia="bg-BG"/>
        </w:rPr>
        <w:t xml:space="preserve">Средното свързване на </w:t>
      </w:r>
      <w:proofErr w:type="spellStart"/>
      <w:r w:rsidRPr="001A1A96">
        <w:rPr>
          <w:lang w:eastAsia="bg-BG"/>
        </w:rPr>
        <w:t>халоперидол</w:t>
      </w:r>
      <w:proofErr w:type="spellEnd"/>
      <w:r w:rsidRPr="001A1A96">
        <w:rPr>
          <w:lang w:eastAsia="bg-BG"/>
        </w:rPr>
        <w:t xml:space="preserve"> с плазмените протеини при възрастни е приблизително 88 до 92%. Съществува голяма интериндивидуална вариабилност на свързването с плазмените протеини. </w:t>
      </w:r>
      <w:proofErr w:type="spellStart"/>
      <w:r w:rsidRPr="001A1A96">
        <w:rPr>
          <w:lang w:eastAsia="bg-BG"/>
        </w:rPr>
        <w:t>Халоперидол</w:t>
      </w:r>
      <w:proofErr w:type="spellEnd"/>
      <w:r w:rsidRPr="001A1A96">
        <w:rPr>
          <w:lang w:eastAsia="bg-BG"/>
        </w:rPr>
        <w:t xml:space="preserve"> бързо се разпределя в различните тъкани и органи, което личи от големия обем на разпределение (средни стойности 8 до 21 </w:t>
      </w:r>
      <w:r w:rsidRPr="001A1A96">
        <w:rPr>
          <w:lang w:val="en-US"/>
        </w:rPr>
        <w:t xml:space="preserve">1/kg </w:t>
      </w:r>
      <w:r w:rsidRPr="001A1A96">
        <w:rPr>
          <w:lang w:eastAsia="bg-BG"/>
        </w:rPr>
        <w:t xml:space="preserve">след интравенозно приложение). </w:t>
      </w:r>
      <w:proofErr w:type="spellStart"/>
      <w:r w:rsidRPr="001A1A96">
        <w:rPr>
          <w:lang w:eastAsia="bg-BG"/>
        </w:rPr>
        <w:t>Халоперидол</w:t>
      </w:r>
      <w:proofErr w:type="spellEnd"/>
      <w:r w:rsidRPr="001A1A96">
        <w:rPr>
          <w:lang w:eastAsia="bg-BG"/>
        </w:rPr>
        <w:t xml:space="preserve"> преминава лесно кръвно-мозъчната бариера. Той преминава също и през плацентата и се </w:t>
      </w:r>
      <w:proofErr w:type="spellStart"/>
      <w:r w:rsidRPr="001A1A96">
        <w:rPr>
          <w:lang w:eastAsia="bg-BG"/>
        </w:rPr>
        <w:t>екскретира</w:t>
      </w:r>
      <w:proofErr w:type="spellEnd"/>
      <w:r w:rsidRPr="001A1A96">
        <w:rPr>
          <w:lang w:eastAsia="bg-BG"/>
        </w:rPr>
        <w:t xml:space="preserve"> в кърмата.</w:t>
      </w:r>
    </w:p>
    <w:p w14:paraId="5FDD783B" w14:textId="77777777" w:rsidR="001A1A96" w:rsidRDefault="001A1A96" w:rsidP="001A1A96">
      <w:pPr>
        <w:rPr>
          <w:lang w:eastAsia="bg-BG"/>
        </w:rPr>
      </w:pPr>
    </w:p>
    <w:p w14:paraId="53457BF5" w14:textId="3EF53420" w:rsidR="001A1A96" w:rsidRPr="001A1A96" w:rsidRDefault="001A1A96" w:rsidP="001A1A96">
      <w:pPr>
        <w:pStyle w:val="Heading3"/>
        <w:rPr>
          <w:rFonts w:eastAsia="Times New Roman"/>
          <w:u w:val="single"/>
        </w:rPr>
      </w:pPr>
      <w:r w:rsidRPr="001A1A96">
        <w:rPr>
          <w:rFonts w:eastAsia="Times New Roman"/>
          <w:u w:val="single"/>
          <w:lang w:eastAsia="bg-BG"/>
        </w:rPr>
        <w:t>Биотрансформация</w:t>
      </w:r>
    </w:p>
    <w:p w14:paraId="2BB13C8C" w14:textId="77777777" w:rsidR="001A1A96" w:rsidRPr="001A1A96" w:rsidRDefault="001A1A96" w:rsidP="001A1A96">
      <w:pPr>
        <w:rPr>
          <w:sz w:val="24"/>
          <w:szCs w:val="24"/>
        </w:rPr>
      </w:pPr>
      <w:proofErr w:type="spellStart"/>
      <w:r w:rsidRPr="001A1A96">
        <w:rPr>
          <w:lang w:eastAsia="bg-BG"/>
        </w:rPr>
        <w:t>Халоперидол</w:t>
      </w:r>
      <w:proofErr w:type="spellEnd"/>
      <w:r w:rsidRPr="001A1A96">
        <w:rPr>
          <w:lang w:eastAsia="bg-BG"/>
        </w:rPr>
        <w:t xml:space="preserve"> се </w:t>
      </w:r>
      <w:proofErr w:type="spellStart"/>
      <w:r w:rsidRPr="001A1A96">
        <w:rPr>
          <w:lang w:eastAsia="bg-BG"/>
        </w:rPr>
        <w:t>метаболизира</w:t>
      </w:r>
      <w:proofErr w:type="spellEnd"/>
      <w:r w:rsidRPr="001A1A96">
        <w:rPr>
          <w:lang w:eastAsia="bg-BG"/>
        </w:rPr>
        <w:t xml:space="preserve"> екстензивно в черния дроб. Основните метаболитни пътища на </w:t>
      </w:r>
      <w:proofErr w:type="spellStart"/>
      <w:r w:rsidRPr="001A1A96">
        <w:rPr>
          <w:lang w:eastAsia="bg-BG"/>
        </w:rPr>
        <w:t>халоперидол</w:t>
      </w:r>
      <w:proofErr w:type="spellEnd"/>
      <w:r w:rsidRPr="001A1A96">
        <w:rPr>
          <w:lang w:eastAsia="bg-BG"/>
        </w:rPr>
        <w:t xml:space="preserve"> при хора включват </w:t>
      </w:r>
      <w:proofErr w:type="spellStart"/>
      <w:r w:rsidRPr="001A1A96">
        <w:rPr>
          <w:lang w:eastAsia="bg-BG"/>
        </w:rPr>
        <w:t>глюкуронидиране</w:t>
      </w:r>
      <w:proofErr w:type="spellEnd"/>
      <w:r w:rsidRPr="001A1A96">
        <w:rPr>
          <w:lang w:eastAsia="bg-BG"/>
        </w:rPr>
        <w:t xml:space="preserve">, </w:t>
      </w:r>
      <w:proofErr w:type="spellStart"/>
      <w:r w:rsidRPr="001A1A96">
        <w:rPr>
          <w:lang w:eastAsia="bg-BG"/>
        </w:rPr>
        <w:t>кетонна</w:t>
      </w:r>
      <w:proofErr w:type="spellEnd"/>
      <w:r w:rsidRPr="001A1A96">
        <w:rPr>
          <w:lang w:eastAsia="bg-BG"/>
        </w:rPr>
        <w:t xml:space="preserve"> редукция, </w:t>
      </w:r>
      <w:proofErr w:type="spellStart"/>
      <w:r w:rsidRPr="001A1A96">
        <w:rPr>
          <w:lang w:eastAsia="bg-BG"/>
        </w:rPr>
        <w:t>оксидативно</w:t>
      </w:r>
      <w:proofErr w:type="spellEnd"/>
      <w:r w:rsidRPr="001A1A96">
        <w:rPr>
          <w:lang w:eastAsia="bg-BG"/>
        </w:rPr>
        <w:t xml:space="preserve"> </w:t>
      </w:r>
      <w:r w:rsidRPr="001A1A96">
        <w:rPr>
          <w:lang w:val="en-US"/>
        </w:rPr>
        <w:t xml:space="preserve">N- </w:t>
      </w:r>
      <w:proofErr w:type="spellStart"/>
      <w:r w:rsidRPr="001A1A96">
        <w:rPr>
          <w:lang w:eastAsia="bg-BG"/>
        </w:rPr>
        <w:t>дезалкилиране</w:t>
      </w:r>
      <w:proofErr w:type="spellEnd"/>
      <w:r w:rsidRPr="001A1A96">
        <w:rPr>
          <w:lang w:eastAsia="bg-BG"/>
        </w:rPr>
        <w:t xml:space="preserve"> и образуване на </w:t>
      </w:r>
      <w:proofErr w:type="spellStart"/>
      <w:r w:rsidRPr="001A1A96">
        <w:rPr>
          <w:lang w:eastAsia="bg-BG"/>
        </w:rPr>
        <w:t>пиридинови</w:t>
      </w:r>
      <w:proofErr w:type="spellEnd"/>
      <w:r w:rsidRPr="001A1A96">
        <w:rPr>
          <w:lang w:eastAsia="bg-BG"/>
        </w:rPr>
        <w:t xml:space="preserve"> метаболити, Счита се, че метаболитите на </w:t>
      </w:r>
      <w:proofErr w:type="spellStart"/>
      <w:r w:rsidRPr="001A1A96">
        <w:rPr>
          <w:lang w:eastAsia="bg-BG"/>
        </w:rPr>
        <w:t>халоперидол</w:t>
      </w:r>
      <w:proofErr w:type="spellEnd"/>
      <w:r w:rsidRPr="001A1A96">
        <w:rPr>
          <w:lang w:eastAsia="bg-BG"/>
        </w:rPr>
        <w:t xml:space="preserve"> не допринасят значително за неговата активност. На редукцията обаче се падат приблизително 23% от биотрансформацията, като не може напълно да се изключи обратно превръщане на редуцирания метаболит на </w:t>
      </w:r>
      <w:proofErr w:type="spellStart"/>
      <w:r w:rsidRPr="001A1A96">
        <w:rPr>
          <w:lang w:eastAsia="bg-BG"/>
        </w:rPr>
        <w:t>халоперидол</w:t>
      </w:r>
      <w:proofErr w:type="spellEnd"/>
      <w:r w:rsidRPr="001A1A96">
        <w:rPr>
          <w:lang w:eastAsia="bg-BG"/>
        </w:rPr>
        <w:t xml:space="preserve"> в </w:t>
      </w:r>
      <w:proofErr w:type="spellStart"/>
      <w:r w:rsidRPr="001A1A96">
        <w:rPr>
          <w:lang w:eastAsia="bg-BG"/>
        </w:rPr>
        <w:t>халоперидол</w:t>
      </w:r>
      <w:proofErr w:type="spellEnd"/>
      <w:r w:rsidRPr="001A1A96">
        <w:rPr>
          <w:lang w:eastAsia="bg-BG"/>
        </w:rPr>
        <w:t xml:space="preserve">. Ензимите </w:t>
      </w:r>
      <w:r w:rsidRPr="001A1A96">
        <w:rPr>
          <w:lang w:val="en-US"/>
        </w:rPr>
        <w:t xml:space="preserve">CYP3A4 </w:t>
      </w:r>
      <w:r w:rsidRPr="001A1A96">
        <w:rPr>
          <w:lang w:eastAsia="bg-BG"/>
        </w:rPr>
        <w:t xml:space="preserve">и </w:t>
      </w:r>
      <w:r w:rsidRPr="001A1A96">
        <w:rPr>
          <w:lang w:val="en-US"/>
        </w:rPr>
        <w:t xml:space="preserve">CYP2D6 </w:t>
      </w:r>
      <w:r w:rsidRPr="001A1A96">
        <w:rPr>
          <w:lang w:eastAsia="bg-BG"/>
        </w:rPr>
        <w:t xml:space="preserve">на </w:t>
      </w:r>
      <w:proofErr w:type="spellStart"/>
      <w:r w:rsidRPr="001A1A96">
        <w:rPr>
          <w:lang w:eastAsia="bg-BG"/>
        </w:rPr>
        <w:t>цитохром</w:t>
      </w:r>
      <w:proofErr w:type="spellEnd"/>
      <w:r w:rsidRPr="001A1A96">
        <w:rPr>
          <w:lang w:eastAsia="bg-BG"/>
        </w:rPr>
        <w:t xml:space="preserve"> Р450 участват в метаболизма на </w:t>
      </w:r>
      <w:proofErr w:type="spellStart"/>
      <w:r w:rsidRPr="001A1A96">
        <w:rPr>
          <w:lang w:eastAsia="bg-BG"/>
        </w:rPr>
        <w:t>халоперидол</w:t>
      </w:r>
      <w:proofErr w:type="spellEnd"/>
      <w:r w:rsidRPr="001A1A96">
        <w:rPr>
          <w:lang w:eastAsia="bg-BG"/>
        </w:rPr>
        <w:t>.</w:t>
      </w:r>
    </w:p>
    <w:p w14:paraId="496C98D5" w14:textId="77777777" w:rsidR="001A1A96" w:rsidRPr="001A1A96" w:rsidRDefault="001A1A96" w:rsidP="001A1A96">
      <w:pPr>
        <w:rPr>
          <w:sz w:val="24"/>
          <w:szCs w:val="24"/>
        </w:rPr>
      </w:pPr>
      <w:r w:rsidRPr="001A1A96">
        <w:rPr>
          <w:lang w:eastAsia="bg-BG"/>
        </w:rPr>
        <w:t xml:space="preserve">Инхибиране или индукция на </w:t>
      </w:r>
      <w:r w:rsidRPr="001A1A96">
        <w:rPr>
          <w:lang w:val="en-US"/>
        </w:rPr>
        <w:t xml:space="preserve">CYP3A4 </w:t>
      </w:r>
      <w:r w:rsidRPr="001A1A96">
        <w:rPr>
          <w:lang w:eastAsia="bg-BG"/>
        </w:rPr>
        <w:t xml:space="preserve">или инхибиране на </w:t>
      </w:r>
      <w:r w:rsidRPr="001A1A96">
        <w:rPr>
          <w:lang w:val="en-US"/>
        </w:rPr>
        <w:t xml:space="preserve">CYP2D6 </w:t>
      </w:r>
      <w:r w:rsidRPr="001A1A96">
        <w:rPr>
          <w:lang w:eastAsia="bg-BG"/>
        </w:rPr>
        <w:t xml:space="preserve">може да повлияе метаболизма на </w:t>
      </w:r>
      <w:proofErr w:type="spellStart"/>
      <w:r w:rsidRPr="001A1A96">
        <w:rPr>
          <w:lang w:eastAsia="bg-BG"/>
        </w:rPr>
        <w:t>халоперидол</w:t>
      </w:r>
      <w:proofErr w:type="spellEnd"/>
      <w:r w:rsidRPr="001A1A96">
        <w:rPr>
          <w:lang w:eastAsia="bg-BG"/>
        </w:rPr>
        <w:t xml:space="preserve">. Понижение на ензимната активност на </w:t>
      </w:r>
      <w:r w:rsidRPr="001A1A96">
        <w:rPr>
          <w:lang w:val="en-US"/>
        </w:rPr>
        <w:t xml:space="preserve">CYP2D6 </w:t>
      </w:r>
      <w:r w:rsidRPr="001A1A96">
        <w:rPr>
          <w:lang w:eastAsia="bg-BG"/>
        </w:rPr>
        <w:t xml:space="preserve">може да доведе до повишение на концентрациите на </w:t>
      </w:r>
      <w:proofErr w:type="spellStart"/>
      <w:r w:rsidRPr="001A1A96">
        <w:rPr>
          <w:lang w:eastAsia="bg-BG"/>
        </w:rPr>
        <w:t>халоперидол</w:t>
      </w:r>
      <w:proofErr w:type="spellEnd"/>
      <w:r w:rsidRPr="001A1A96">
        <w:rPr>
          <w:lang w:eastAsia="bg-BG"/>
        </w:rPr>
        <w:t>.</w:t>
      </w:r>
    </w:p>
    <w:p w14:paraId="59A58BE8" w14:textId="77777777" w:rsidR="001A1A96" w:rsidRDefault="001A1A96" w:rsidP="001A1A96">
      <w:pPr>
        <w:rPr>
          <w:lang w:eastAsia="bg-BG"/>
        </w:rPr>
      </w:pPr>
    </w:p>
    <w:p w14:paraId="662FF247" w14:textId="61F39B9C" w:rsidR="001A1A96" w:rsidRPr="001A1A96" w:rsidRDefault="001A1A96" w:rsidP="001A1A96">
      <w:pPr>
        <w:pStyle w:val="Heading3"/>
        <w:rPr>
          <w:rFonts w:eastAsia="Times New Roman"/>
          <w:u w:val="single"/>
        </w:rPr>
      </w:pPr>
      <w:r w:rsidRPr="001A1A96">
        <w:rPr>
          <w:rFonts w:eastAsia="Times New Roman"/>
          <w:u w:val="single"/>
          <w:lang w:eastAsia="bg-BG"/>
        </w:rPr>
        <w:t>Елиминиране</w:t>
      </w:r>
    </w:p>
    <w:p w14:paraId="586E71E5" w14:textId="77777777" w:rsidR="001A1A96" w:rsidRPr="001A1A96" w:rsidRDefault="001A1A96" w:rsidP="001A1A96">
      <w:pPr>
        <w:rPr>
          <w:sz w:val="24"/>
          <w:szCs w:val="24"/>
        </w:rPr>
      </w:pPr>
      <w:r w:rsidRPr="001A1A96">
        <w:rPr>
          <w:lang w:eastAsia="bg-BG"/>
        </w:rPr>
        <w:t xml:space="preserve">Терминалният елиминационен полуживот на </w:t>
      </w:r>
      <w:proofErr w:type="spellStart"/>
      <w:r w:rsidRPr="001A1A96">
        <w:rPr>
          <w:lang w:eastAsia="bg-BG"/>
        </w:rPr>
        <w:t>халоперидол</w:t>
      </w:r>
      <w:proofErr w:type="spellEnd"/>
      <w:r w:rsidRPr="001A1A96">
        <w:rPr>
          <w:lang w:eastAsia="bg-BG"/>
        </w:rPr>
        <w:t xml:space="preserve"> е средно 24 часа (граници 15 до 37 часа) след перорално приложение. Привидният клирънс на </w:t>
      </w:r>
      <w:proofErr w:type="spellStart"/>
      <w:r w:rsidRPr="001A1A96">
        <w:rPr>
          <w:lang w:eastAsia="bg-BG"/>
        </w:rPr>
        <w:t>халоперидол</w:t>
      </w:r>
      <w:proofErr w:type="spellEnd"/>
      <w:r w:rsidRPr="001A1A96">
        <w:rPr>
          <w:lang w:eastAsia="bg-BG"/>
        </w:rPr>
        <w:t xml:space="preserve"> след </w:t>
      </w:r>
      <w:proofErr w:type="spellStart"/>
      <w:r w:rsidRPr="001A1A96">
        <w:rPr>
          <w:lang w:eastAsia="bg-BG"/>
        </w:rPr>
        <w:t>екстраваскуларно</w:t>
      </w:r>
      <w:proofErr w:type="spellEnd"/>
      <w:r w:rsidRPr="001A1A96">
        <w:rPr>
          <w:lang w:eastAsia="bg-BG"/>
        </w:rPr>
        <w:t xml:space="preserve"> приложение варира от 0,9 до 1,5 </w:t>
      </w:r>
      <w:r w:rsidRPr="001A1A96">
        <w:rPr>
          <w:lang w:val="en-US"/>
        </w:rPr>
        <w:t xml:space="preserve">1/h/kg </w:t>
      </w:r>
      <w:r w:rsidRPr="001A1A96">
        <w:rPr>
          <w:lang w:eastAsia="bg-BG"/>
        </w:rPr>
        <w:t xml:space="preserve">и е намален при слабите </w:t>
      </w:r>
      <w:proofErr w:type="spellStart"/>
      <w:r w:rsidRPr="001A1A96">
        <w:rPr>
          <w:lang w:eastAsia="bg-BG"/>
        </w:rPr>
        <w:t>метаболизатори</w:t>
      </w:r>
      <w:proofErr w:type="spellEnd"/>
      <w:r w:rsidRPr="001A1A96">
        <w:rPr>
          <w:lang w:eastAsia="bg-BG"/>
        </w:rPr>
        <w:t xml:space="preserve"> на </w:t>
      </w:r>
      <w:r w:rsidRPr="001A1A96">
        <w:rPr>
          <w:lang w:val="en-US"/>
        </w:rPr>
        <w:t xml:space="preserve">CYP2D6. </w:t>
      </w:r>
      <w:r w:rsidRPr="001A1A96">
        <w:rPr>
          <w:lang w:eastAsia="bg-BG"/>
        </w:rPr>
        <w:t xml:space="preserve">Понижената </w:t>
      </w:r>
      <w:r w:rsidRPr="001A1A96">
        <w:rPr>
          <w:lang w:val="en-US"/>
        </w:rPr>
        <w:t xml:space="preserve">CYP2D6 </w:t>
      </w:r>
      <w:r w:rsidRPr="001A1A96">
        <w:rPr>
          <w:lang w:eastAsia="bg-BG"/>
        </w:rPr>
        <w:t xml:space="preserve">ензимна активност може да доведе до повишени концентрации на </w:t>
      </w:r>
      <w:proofErr w:type="spellStart"/>
      <w:r w:rsidRPr="001A1A96">
        <w:rPr>
          <w:lang w:eastAsia="bg-BG"/>
        </w:rPr>
        <w:t>халоперидол</w:t>
      </w:r>
      <w:proofErr w:type="spellEnd"/>
      <w:r w:rsidRPr="001A1A96">
        <w:rPr>
          <w:lang w:eastAsia="bg-BG"/>
        </w:rPr>
        <w:t xml:space="preserve">. В един </w:t>
      </w:r>
      <w:proofErr w:type="spellStart"/>
      <w:r w:rsidRPr="001A1A96">
        <w:rPr>
          <w:lang w:eastAsia="bg-BG"/>
        </w:rPr>
        <w:t>популационен</w:t>
      </w:r>
      <w:proofErr w:type="spellEnd"/>
      <w:r w:rsidRPr="001A1A96">
        <w:rPr>
          <w:lang w:eastAsia="bg-BG"/>
        </w:rPr>
        <w:t xml:space="preserve"> </w:t>
      </w:r>
      <w:proofErr w:type="spellStart"/>
      <w:r w:rsidRPr="001A1A96">
        <w:rPr>
          <w:lang w:eastAsia="bg-BG"/>
        </w:rPr>
        <w:t>фармакокинетичен</w:t>
      </w:r>
      <w:proofErr w:type="spellEnd"/>
      <w:r w:rsidRPr="001A1A96">
        <w:rPr>
          <w:lang w:eastAsia="bg-BG"/>
        </w:rPr>
        <w:t xml:space="preserve"> анализ при пациенти с шизофрения интериндивидуалната вариабилност (коефициент на вариране, %) на </w:t>
      </w:r>
      <w:proofErr w:type="spellStart"/>
      <w:r w:rsidRPr="001A1A96">
        <w:rPr>
          <w:lang w:eastAsia="bg-BG"/>
        </w:rPr>
        <w:t>клирънса</w:t>
      </w:r>
      <w:proofErr w:type="spellEnd"/>
      <w:r w:rsidRPr="001A1A96">
        <w:rPr>
          <w:lang w:eastAsia="bg-BG"/>
        </w:rPr>
        <w:t xml:space="preserve"> на </w:t>
      </w:r>
      <w:proofErr w:type="spellStart"/>
      <w:r w:rsidRPr="001A1A96">
        <w:rPr>
          <w:lang w:eastAsia="bg-BG"/>
        </w:rPr>
        <w:t>халоперидол</w:t>
      </w:r>
      <w:proofErr w:type="spellEnd"/>
      <w:r w:rsidRPr="001A1A96">
        <w:rPr>
          <w:lang w:eastAsia="bg-BG"/>
        </w:rPr>
        <w:t xml:space="preserve"> е изчислена че е 44%. След интравенозно приложение на </w:t>
      </w:r>
      <w:proofErr w:type="spellStart"/>
      <w:r w:rsidRPr="001A1A96">
        <w:rPr>
          <w:lang w:eastAsia="bg-BG"/>
        </w:rPr>
        <w:t>халоперидол</w:t>
      </w:r>
      <w:proofErr w:type="spellEnd"/>
      <w:r w:rsidRPr="001A1A96">
        <w:rPr>
          <w:lang w:eastAsia="bg-BG"/>
        </w:rPr>
        <w:t xml:space="preserve"> 21 % от дозата се елиминира с фекалиите, а 33% в урината. Под 3% от дозата се </w:t>
      </w:r>
      <w:proofErr w:type="spellStart"/>
      <w:r w:rsidRPr="001A1A96">
        <w:rPr>
          <w:lang w:eastAsia="bg-BG"/>
        </w:rPr>
        <w:t>екскретира</w:t>
      </w:r>
      <w:proofErr w:type="spellEnd"/>
      <w:r w:rsidRPr="001A1A96">
        <w:rPr>
          <w:lang w:eastAsia="bg-BG"/>
        </w:rPr>
        <w:t xml:space="preserve"> в непроменен вид в урината.</w:t>
      </w:r>
    </w:p>
    <w:p w14:paraId="1B5D362A" w14:textId="77777777" w:rsidR="001A1A96" w:rsidRDefault="001A1A96" w:rsidP="001A1A96">
      <w:pPr>
        <w:rPr>
          <w:lang w:eastAsia="bg-BG"/>
        </w:rPr>
      </w:pPr>
    </w:p>
    <w:p w14:paraId="201451CF" w14:textId="50139C3A" w:rsidR="001A1A96" w:rsidRPr="001A1A96" w:rsidRDefault="001A1A96" w:rsidP="001A1A96">
      <w:pPr>
        <w:pStyle w:val="Heading3"/>
        <w:rPr>
          <w:rFonts w:eastAsia="Times New Roman"/>
          <w:u w:val="single"/>
        </w:rPr>
      </w:pPr>
      <w:r w:rsidRPr="001A1A96">
        <w:rPr>
          <w:rFonts w:eastAsia="Times New Roman"/>
          <w:u w:val="single"/>
          <w:lang w:eastAsia="bg-BG"/>
        </w:rPr>
        <w:t>Линейност/нелинейност</w:t>
      </w:r>
    </w:p>
    <w:p w14:paraId="46933017" w14:textId="77777777" w:rsidR="001A1A96" w:rsidRPr="001A1A96" w:rsidRDefault="001A1A96" w:rsidP="001A1A96">
      <w:pPr>
        <w:rPr>
          <w:sz w:val="24"/>
          <w:szCs w:val="24"/>
        </w:rPr>
      </w:pPr>
      <w:r w:rsidRPr="001A1A96">
        <w:rPr>
          <w:lang w:eastAsia="bg-BG"/>
        </w:rPr>
        <w:t xml:space="preserve">Между дозата и плазмените концентрации на </w:t>
      </w:r>
      <w:proofErr w:type="spellStart"/>
      <w:r w:rsidRPr="001A1A96">
        <w:rPr>
          <w:lang w:eastAsia="bg-BG"/>
        </w:rPr>
        <w:t>халоперидол</w:t>
      </w:r>
      <w:proofErr w:type="spellEnd"/>
      <w:r w:rsidRPr="001A1A96">
        <w:rPr>
          <w:lang w:eastAsia="bg-BG"/>
        </w:rPr>
        <w:t xml:space="preserve"> при възрастни съществува линейна връзка.</w:t>
      </w:r>
    </w:p>
    <w:p w14:paraId="2082AC2A" w14:textId="77777777" w:rsidR="001A1A96" w:rsidRDefault="001A1A96" w:rsidP="001A1A96">
      <w:pPr>
        <w:rPr>
          <w:lang w:eastAsia="bg-BG"/>
        </w:rPr>
      </w:pPr>
    </w:p>
    <w:p w14:paraId="17A8BD8C" w14:textId="686F3F6E" w:rsidR="001A1A96" w:rsidRPr="001A1A96" w:rsidRDefault="001A1A96" w:rsidP="001A1A96">
      <w:pPr>
        <w:pStyle w:val="Heading3"/>
        <w:rPr>
          <w:u w:val="single"/>
          <w:lang w:eastAsia="bg-BG"/>
        </w:rPr>
      </w:pPr>
      <w:r w:rsidRPr="001A1A96">
        <w:rPr>
          <w:rFonts w:eastAsia="Times New Roman"/>
          <w:u w:val="single"/>
          <w:lang w:eastAsia="bg-BG"/>
        </w:rPr>
        <w:lastRenderedPageBreak/>
        <w:t>Специални популации</w:t>
      </w:r>
    </w:p>
    <w:p w14:paraId="677ACB46" w14:textId="77777777" w:rsidR="001A1A96" w:rsidRPr="001A1A96" w:rsidRDefault="001A1A96" w:rsidP="001A1A96">
      <w:pPr>
        <w:rPr>
          <w:i/>
          <w:iCs/>
          <w:sz w:val="24"/>
          <w:szCs w:val="24"/>
          <w:u w:val="single"/>
        </w:rPr>
      </w:pPr>
      <w:r w:rsidRPr="001A1A96">
        <w:rPr>
          <w:i/>
          <w:iCs/>
          <w:u w:val="single"/>
          <w:lang w:eastAsia="bg-BG"/>
        </w:rPr>
        <w:t>Старческа възраст</w:t>
      </w:r>
    </w:p>
    <w:p w14:paraId="6CD530F1" w14:textId="77777777" w:rsidR="001A1A96" w:rsidRPr="001A1A96" w:rsidRDefault="001A1A96" w:rsidP="001A1A96">
      <w:pPr>
        <w:rPr>
          <w:sz w:val="24"/>
          <w:szCs w:val="24"/>
        </w:rPr>
      </w:pPr>
      <w:r w:rsidRPr="001A1A96">
        <w:rPr>
          <w:lang w:eastAsia="bg-BG"/>
        </w:rPr>
        <w:t xml:space="preserve">Плазмените концентрации на </w:t>
      </w:r>
      <w:proofErr w:type="spellStart"/>
      <w:r w:rsidRPr="001A1A96">
        <w:rPr>
          <w:lang w:eastAsia="bg-BG"/>
        </w:rPr>
        <w:t>халоперидол</w:t>
      </w:r>
      <w:proofErr w:type="spellEnd"/>
      <w:r w:rsidRPr="001A1A96">
        <w:rPr>
          <w:lang w:eastAsia="bg-BG"/>
        </w:rPr>
        <w:t xml:space="preserve"> при пациенти в старческа възраст са по-високи от тези при по-младите възрастни след приложението на една и съща доза. Резултатите от малки клинични проучвания показват по-нисък клирънс и по-дълъг елиминационен полуживот на </w:t>
      </w:r>
      <w:proofErr w:type="spellStart"/>
      <w:r w:rsidRPr="001A1A96">
        <w:rPr>
          <w:lang w:eastAsia="bg-BG"/>
        </w:rPr>
        <w:t>халоперидол</w:t>
      </w:r>
      <w:proofErr w:type="spellEnd"/>
      <w:r w:rsidRPr="001A1A96">
        <w:rPr>
          <w:lang w:eastAsia="bg-BG"/>
        </w:rPr>
        <w:t xml:space="preserve"> при пациенти в старческа възраст. Резултатите са в рамките на наблюдаваната вариабилност на фармакокинетиката на </w:t>
      </w:r>
      <w:proofErr w:type="spellStart"/>
      <w:r w:rsidRPr="001A1A96">
        <w:rPr>
          <w:lang w:eastAsia="bg-BG"/>
        </w:rPr>
        <w:t>халоперидол</w:t>
      </w:r>
      <w:proofErr w:type="spellEnd"/>
      <w:r w:rsidRPr="001A1A96">
        <w:rPr>
          <w:lang w:eastAsia="bg-BG"/>
        </w:rPr>
        <w:t>. Препоръчва се коригиране на дозата при пациенти в старческа възраст (вж. точка 4.2).</w:t>
      </w:r>
    </w:p>
    <w:p w14:paraId="24734831" w14:textId="77777777" w:rsidR="001A1A96" w:rsidRDefault="001A1A96" w:rsidP="001A1A96">
      <w:pPr>
        <w:rPr>
          <w:lang w:eastAsia="bg-BG"/>
        </w:rPr>
      </w:pPr>
    </w:p>
    <w:p w14:paraId="49C378B3" w14:textId="4B76B7BA" w:rsidR="001A1A96" w:rsidRPr="001A1A96" w:rsidRDefault="001A1A96" w:rsidP="001A1A96">
      <w:pPr>
        <w:rPr>
          <w:i/>
          <w:iCs/>
          <w:sz w:val="24"/>
          <w:szCs w:val="24"/>
          <w:u w:val="single"/>
        </w:rPr>
      </w:pPr>
      <w:r w:rsidRPr="001A1A96">
        <w:rPr>
          <w:i/>
          <w:iCs/>
          <w:u w:val="single"/>
          <w:lang w:eastAsia="bg-BG"/>
        </w:rPr>
        <w:t>Бъбречно увреждане</w:t>
      </w:r>
    </w:p>
    <w:p w14:paraId="6AFA3B46" w14:textId="77777777" w:rsidR="001A1A96" w:rsidRPr="001A1A96" w:rsidRDefault="001A1A96" w:rsidP="001A1A96">
      <w:pPr>
        <w:rPr>
          <w:sz w:val="24"/>
          <w:szCs w:val="24"/>
        </w:rPr>
      </w:pPr>
      <w:r w:rsidRPr="001A1A96">
        <w:rPr>
          <w:lang w:eastAsia="bg-BG"/>
        </w:rPr>
        <w:t xml:space="preserve">Влиянието на бъбречното увреждане върху фармакокинетиката на </w:t>
      </w:r>
      <w:proofErr w:type="spellStart"/>
      <w:r w:rsidRPr="001A1A96">
        <w:rPr>
          <w:lang w:eastAsia="bg-BG"/>
        </w:rPr>
        <w:t>халоперидол</w:t>
      </w:r>
      <w:proofErr w:type="spellEnd"/>
      <w:r w:rsidRPr="001A1A96">
        <w:rPr>
          <w:lang w:eastAsia="bg-BG"/>
        </w:rPr>
        <w:t xml:space="preserve"> не е изследвано. Около една трета от дозата на </w:t>
      </w:r>
      <w:proofErr w:type="spellStart"/>
      <w:r w:rsidRPr="001A1A96">
        <w:rPr>
          <w:lang w:eastAsia="bg-BG"/>
        </w:rPr>
        <w:t>халоперидол</w:t>
      </w:r>
      <w:proofErr w:type="spellEnd"/>
      <w:r w:rsidRPr="001A1A96">
        <w:rPr>
          <w:lang w:eastAsia="bg-BG"/>
        </w:rPr>
        <w:t xml:space="preserve"> се </w:t>
      </w:r>
      <w:proofErr w:type="spellStart"/>
      <w:r w:rsidRPr="001A1A96">
        <w:rPr>
          <w:lang w:eastAsia="bg-BG"/>
        </w:rPr>
        <w:t>екскретира</w:t>
      </w:r>
      <w:proofErr w:type="spellEnd"/>
      <w:r w:rsidRPr="001A1A96">
        <w:rPr>
          <w:lang w:eastAsia="bg-BG"/>
        </w:rPr>
        <w:t xml:space="preserve"> в урината предимно под формата на метаболити. Под 3% от приложения </w:t>
      </w:r>
      <w:proofErr w:type="spellStart"/>
      <w:r w:rsidRPr="001A1A96">
        <w:rPr>
          <w:lang w:eastAsia="bg-BG"/>
        </w:rPr>
        <w:t>халоперидол</w:t>
      </w:r>
      <w:proofErr w:type="spellEnd"/>
      <w:r w:rsidRPr="001A1A96">
        <w:rPr>
          <w:lang w:eastAsia="bg-BG"/>
        </w:rPr>
        <w:t xml:space="preserve"> се елиминира в непроменен вид в урината. Счита се, че метаболитите на </w:t>
      </w:r>
      <w:proofErr w:type="spellStart"/>
      <w:r w:rsidRPr="001A1A96">
        <w:rPr>
          <w:lang w:eastAsia="bg-BG"/>
        </w:rPr>
        <w:t>халоперидол</w:t>
      </w:r>
      <w:proofErr w:type="spellEnd"/>
      <w:r w:rsidRPr="001A1A96">
        <w:rPr>
          <w:lang w:eastAsia="bg-BG"/>
        </w:rPr>
        <w:t xml:space="preserve"> не допринасят значително за неговата активност, въпреки че не може напълно да се изключи обратно превръщане на редуцирания метаболит на </w:t>
      </w:r>
      <w:proofErr w:type="spellStart"/>
      <w:r w:rsidRPr="001A1A96">
        <w:rPr>
          <w:lang w:eastAsia="bg-BG"/>
        </w:rPr>
        <w:t>халоперидола</w:t>
      </w:r>
      <w:proofErr w:type="spellEnd"/>
      <w:r w:rsidRPr="001A1A96">
        <w:rPr>
          <w:lang w:eastAsia="bg-BG"/>
        </w:rPr>
        <w:t xml:space="preserve"> в </w:t>
      </w:r>
      <w:proofErr w:type="spellStart"/>
      <w:r w:rsidRPr="001A1A96">
        <w:rPr>
          <w:lang w:eastAsia="bg-BG"/>
        </w:rPr>
        <w:t>халоперидол</w:t>
      </w:r>
      <w:proofErr w:type="spellEnd"/>
      <w:r w:rsidRPr="001A1A96">
        <w:rPr>
          <w:lang w:eastAsia="bg-BG"/>
        </w:rPr>
        <w:t xml:space="preserve">. Макар че не се очаква увреждане на бъбречната функция да повлияе елиминирането на </w:t>
      </w:r>
      <w:proofErr w:type="spellStart"/>
      <w:r w:rsidRPr="001A1A96">
        <w:rPr>
          <w:lang w:eastAsia="bg-BG"/>
        </w:rPr>
        <w:t>халоперидол</w:t>
      </w:r>
      <w:proofErr w:type="spellEnd"/>
      <w:r w:rsidRPr="001A1A96">
        <w:rPr>
          <w:lang w:eastAsia="bg-BG"/>
        </w:rPr>
        <w:t xml:space="preserve"> в клинично значима степен, препоръчва се предпазливост при пациенти с бъбречно увреждане и особено при пациенти с тежко бъбречно увреждане поради продължителния полуживот на </w:t>
      </w:r>
      <w:proofErr w:type="spellStart"/>
      <w:r w:rsidRPr="001A1A96">
        <w:rPr>
          <w:lang w:eastAsia="bg-BG"/>
        </w:rPr>
        <w:t>халоперидол</w:t>
      </w:r>
      <w:proofErr w:type="spellEnd"/>
      <w:r w:rsidRPr="001A1A96">
        <w:rPr>
          <w:lang w:eastAsia="bg-BG"/>
        </w:rPr>
        <w:t xml:space="preserve"> и на редуцирания му метаболит и възможността от кумулиране (вж. точка 4.2).</w:t>
      </w:r>
    </w:p>
    <w:p w14:paraId="61EE6B73" w14:textId="77777777" w:rsidR="001A1A96" w:rsidRDefault="001A1A96" w:rsidP="001A1A96">
      <w:pPr>
        <w:rPr>
          <w:lang w:eastAsia="bg-BG"/>
        </w:rPr>
      </w:pPr>
    </w:p>
    <w:p w14:paraId="1CC0DAE0" w14:textId="75A54FAC" w:rsidR="001A1A96" w:rsidRPr="001A1A96" w:rsidRDefault="001A1A96" w:rsidP="001A1A96">
      <w:pPr>
        <w:rPr>
          <w:sz w:val="24"/>
          <w:szCs w:val="24"/>
        </w:rPr>
      </w:pPr>
      <w:r w:rsidRPr="001A1A96">
        <w:rPr>
          <w:lang w:eastAsia="bg-BG"/>
        </w:rPr>
        <w:t xml:space="preserve">Поради големия обем на разпределение на </w:t>
      </w:r>
      <w:proofErr w:type="spellStart"/>
      <w:r w:rsidRPr="001A1A96">
        <w:rPr>
          <w:lang w:eastAsia="bg-BG"/>
        </w:rPr>
        <w:t>халоперидол</w:t>
      </w:r>
      <w:proofErr w:type="spellEnd"/>
      <w:r w:rsidRPr="001A1A96">
        <w:rPr>
          <w:lang w:eastAsia="bg-BG"/>
        </w:rPr>
        <w:t xml:space="preserve"> и изразеното му свързване с протеините, само много малки количества се отстраняват чрез диализа.</w:t>
      </w:r>
    </w:p>
    <w:p w14:paraId="70536C82" w14:textId="77777777" w:rsidR="001A1A96" w:rsidRDefault="001A1A96" w:rsidP="001A1A96">
      <w:pPr>
        <w:rPr>
          <w:lang w:eastAsia="bg-BG"/>
        </w:rPr>
      </w:pPr>
    </w:p>
    <w:p w14:paraId="2D999353" w14:textId="3BD83419" w:rsidR="001A1A96" w:rsidRPr="001A1A96" w:rsidRDefault="001A1A96" w:rsidP="001A1A96">
      <w:pPr>
        <w:rPr>
          <w:i/>
          <w:iCs/>
          <w:sz w:val="24"/>
          <w:szCs w:val="24"/>
          <w:u w:val="single"/>
        </w:rPr>
      </w:pPr>
      <w:r w:rsidRPr="001A1A96">
        <w:rPr>
          <w:i/>
          <w:iCs/>
          <w:u w:val="single"/>
          <w:lang w:eastAsia="bg-BG"/>
        </w:rPr>
        <w:t>Чернодробно увреждане</w:t>
      </w:r>
    </w:p>
    <w:p w14:paraId="77B5A9B8" w14:textId="77777777" w:rsidR="001A1A96" w:rsidRPr="001A1A96" w:rsidRDefault="001A1A96" w:rsidP="001A1A96">
      <w:pPr>
        <w:rPr>
          <w:sz w:val="24"/>
          <w:szCs w:val="24"/>
        </w:rPr>
      </w:pPr>
      <w:r w:rsidRPr="001A1A96">
        <w:rPr>
          <w:lang w:eastAsia="bg-BG"/>
        </w:rPr>
        <w:t xml:space="preserve">Влиянието на чернодробното увреждане върху фармакокинетиката на </w:t>
      </w:r>
      <w:proofErr w:type="spellStart"/>
      <w:r w:rsidRPr="001A1A96">
        <w:rPr>
          <w:lang w:eastAsia="bg-BG"/>
        </w:rPr>
        <w:t>халоперидол</w:t>
      </w:r>
      <w:proofErr w:type="spellEnd"/>
      <w:r w:rsidRPr="001A1A96">
        <w:rPr>
          <w:lang w:eastAsia="bg-BG"/>
        </w:rPr>
        <w:t xml:space="preserve"> не е оценено. Чернодробното увреждане обаче може да окаже значителен ефект върху фармакокинетиката на </w:t>
      </w:r>
      <w:proofErr w:type="spellStart"/>
      <w:r w:rsidRPr="001A1A96">
        <w:rPr>
          <w:lang w:eastAsia="bg-BG"/>
        </w:rPr>
        <w:t>халоперидол</w:t>
      </w:r>
      <w:proofErr w:type="spellEnd"/>
      <w:r w:rsidRPr="001A1A96">
        <w:rPr>
          <w:lang w:eastAsia="bg-BG"/>
        </w:rPr>
        <w:t xml:space="preserve">, защото той се </w:t>
      </w:r>
      <w:proofErr w:type="spellStart"/>
      <w:r w:rsidRPr="001A1A96">
        <w:rPr>
          <w:lang w:eastAsia="bg-BG"/>
        </w:rPr>
        <w:t>метаболизира</w:t>
      </w:r>
      <w:proofErr w:type="spellEnd"/>
      <w:r w:rsidRPr="001A1A96">
        <w:rPr>
          <w:lang w:eastAsia="bg-BG"/>
        </w:rPr>
        <w:t xml:space="preserve"> екстензивно в черния дроб. Поради това при пациенти с чернодробно увреждане се препоръчва коригиране на дозата и предпазливост (вж. точки 4.2 и 4.4).</w:t>
      </w:r>
    </w:p>
    <w:p w14:paraId="0D84D47B" w14:textId="77777777" w:rsidR="001A1A96" w:rsidRDefault="001A1A96" w:rsidP="001A1A96">
      <w:pPr>
        <w:rPr>
          <w:lang w:eastAsia="bg-BG"/>
        </w:rPr>
      </w:pPr>
    </w:p>
    <w:p w14:paraId="0F3CFE7E" w14:textId="47C93862" w:rsidR="001A1A96" w:rsidRPr="001A1A96" w:rsidRDefault="001A1A96" w:rsidP="001A1A96">
      <w:pPr>
        <w:rPr>
          <w:i/>
          <w:iCs/>
          <w:sz w:val="24"/>
          <w:szCs w:val="24"/>
          <w:u w:val="single"/>
        </w:rPr>
      </w:pPr>
      <w:r w:rsidRPr="001A1A96">
        <w:rPr>
          <w:i/>
          <w:iCs/>
          <w:u w:val="single"/>
          <w:lang w:eastAsia="bg-BG"/>
        </w:rPr>
        <w:t>Педиатрична популация</w:t>
      </w:r>
    </w:p>
    <w:p w14:paraId="31FBEAFC" w14:textId="77777777" w:rsidR="001A1A96" w:rsidRPr="001A1A96" w:rsidRDefault="001A1A96" w:rsidP="001A1A96">
      <w:pPr>
        <w:rPr>
          <w:sz w:val="24"/>
          <w:szCs w:val="24"/>
        </w:rPr>
      </w:pPr>
      <w:r w:rsidRPr="001A1A96">
        <w:rPr>
          <w:lang w:eastAsia="bg-BG"/>
        </w:rPr>
        <w:t xml:space="preserve">В педиатричните проучвания са установени ограничени данни за плазмените концентрации, включващи 78 пациенти с различни заболявания (шизофрения, психотично разстройство, синдром на </w:t>
      </w:r>
      <w:proofErr w:type="spellStart"/>
      <w:r w:rsidRPr="001A1A96">
        <w:rPr>
          <w:lang w:eastAsia="bg-BG"/>
        </w:rPr>
        <w:t>Турет</w:t>
      </w:r>
      <w:proofErr w:type="spellEnd"/>
      <w:r w:rsidRPr="001A1A96">
        <w:rPr>
          <w:lang w:eastAsia="bg-BG"/>
        </w:rPr>
        <w:t xml:space="preserve">, аутизъм), получавали перорално дози </w:t>
      </w:r>
      <w:proofErr w:type="spellStart"/>
      <w:r w:rsidRPr="001A1A96">
        <w:rPr>
          <w:lang w:eastAsia="bg-BG"/>
        </w:rPr>
        <w:t>халоперидол</w:t>
      </w:r>
      <w:proofErr w:type="spellEnd"/>
      <w:r w:rsidRPr="001A1A96">
        <w:rPr>
          <w:lang w:eastAsia="bg-BG"/>
        </w:rPr>
        <w:t xml:space="preserve"> до максимум 30 </w:t>
      </w:r>
      <w:r w:rsidRPr="001A1A96">
        <w:rPr>
          <w:lang w:val="en-US"/>
        </w:rPr>
        <w:t>mg</w:t>
      </w:r>
      <w:r w:rsidRPr="001A1A96">
        <w:rPr>
          <w:lang w:eastAsia="bg-BG"/>
        </w:rPr>
        <w:t xml:space="preserve">/ден. Тези проучвания включват предимно деца и юноши на възраст между 2 и 17 години. Плазмените концентрации, измерени в различни времеви точки и след различна продължителност на лечение, са или неизмерими или варират до максимум 44,3 </w:t>
      </w:r>
      <w:r w:rsidRPr="001A1A96">
        <w:rPr>
          <w:lang w:val="en-US"/>
        </w:rPr>
        <w:t xml:space="preserve">ng/ml. </w:t>
      </w:r>
      <w:r w:rsidRPr="001A1A96">
        <w:rPr>
          <w:lang w:eastAsia="bg-BG"/>
        </w:rPr>
        <w:t>Наблюдавана е голяма интериндивидуална вариабилност на плазмените концентрации както при възрастните. При децата има тенденция към по-кратък полуживот в сравнение с възрастните.</w:t>
      </w:r>
    </w:p>
    <w:p w14:paraId="4C933E48" w14:textId="77777777" w:rsidR="001A1A96" w:rsidRDefault="001A1A96" w:rsidP="001A1A96">
      <w:pPr>
        <w:rPr>
          <w:lang w:eastAsia="bg-BG"/>
        </w:rPr>
      </w:pPr>
    </w:p>
    <w:p w14:paraId="28729CC4" w14:textId="2CF4F622" w:rsidR="001A1A96" w:rsidRPr="001A1A96" w:rsidRDefault="001A1A96" w:rsidP="001A1A96">
      <w:pPr>
        <w:rPr>
          <w:sz w:val="24"/>
          <w:szCs w:val="24"/>
        </w:rPr>
      </w:pPr>
      <w:r w:rsidRPr="001A1A96">
        <w:rPr>
          <w:lang w:eastAsia="bg-BG"/>
        </w:rPr>
        <w:t xml:space="preserve">В 2 клинични проучвания при деца, приемащи </w:t>
      </w:r>
      <w:proofErr w:type="spellStart"/>
      <w:r w:rsidRPr="001A1A96">
        <w:rPr>
          <w:lang w:eastAsia="bg-BG"/>
        </w:rPr>
        <w:t>халоперидол</w:t>
      </w:r>
      <w:proofErr w:type="spellEnd"/>
      <w:r w:rsidRPr="001A1A96">
        <w:rPr>
          <w:lang w:eastAsia="bg-BG"/>
        </w:rPr>
        <w:t xml:space="preserve"> за лечение на тикове и синдром на </w:t>
      </w:r>
      <w:r w:rsidRPr="001A1A96">
        <w:rPr>
          <w:lang w:val="en-US"/>
        </w:rPr>
        <w:t xml:space="preserve">Tourette, </w:t>
      </w:r>
      <w:r w:rsidRPr="001A1A96">
        <w:rPr>
          <w:lang w:eastAsia="bg-BG"/>
        </w:rPr>
        <w:t xml:space="preserve">положителният отговор на лечението се свързва с плазмени концентрации от 1 до 4 </w:t>
      </w:r>
      <w:r w:rsidRPr="001A1A96">
        <w:rPr>
          <w:lang w:val="en-US"/>
        </w:rPr>
        <w:t>ng/ml.</w:t>
      </w:r>
    </w:p>
    <w:p w14:paraId="572E796C" w14:textId="77777777" w:rsidR="001A1A96" w:rsidRDefault="001A1A96" w:rsidP="001A1A96">
      <w:pPr>
        <w:rPr>
          <w:lang w:eastAsia="bg-BG"/>
        </w:rPr>
      </w:pPr>
    </w:p>
    <w:p w14:paraId="4FF4CF2A" w14:textId="0D642D67" w:rsidR="001A1A96" w:rsidRPr="001A1A96" w:rsidRDefault="001A1A96" w:rsidP="001A1A96">
      <w:pPr>
        <w:rPr>
          <w:i/>
          <w:iCs/>
          <w:sz w:val="24"/>
          <w:szCs w:val="24"/>
          <w:u w:val="single"/>
        </w:rPr>
      </w:pPr>
      <w:r w:rsidRPr="001A1A96">
        <w:rPr>
          <w:i/>
          <w:iCs/>
          <w:u w:val="single"/>
          <w:lang w:eastAsia="bg-BG"/>
        </w:rPr>
        <w:t>Връзка(и) Фармакокинетика-</w:t>
      </w:r>
      <w:proofErr w:type="spellStart"/>
      <w:r w:rsidRPr="001A1A96">
        <w:rPr>
          <w:i/>
          <w:iCs/>
          <w:u w:val="single"/>
          <w:lang w:eastAsia="bg-BG"/>
        </w:rPr>
        <w:t>Фармакодинамика</w:t>
      </w:r>
      <w:proofErr w:type="spellEnd"/>
    </w:p>
    <w:p w14:paraId="0ED7F1CE" w14:textId="77777777" w:rsidR="001A1A96" w:rsidRDefault="001A1A96" w:rsidP="001A1A96">
      <w:pPr>
        <w:rPr>
          <w:lang w:eastAsia="bg-BG"/>
        </w:rPr>
      </w:pPr>
    </w:p>
    <w:p w14:paraId="7DBC4E6D" w14:textId="41EBD1AF" w:rsidR="001A1A96" w:rsidRPr="001A1A96" w:rsidRDefault="001A1A96" w:rsidP="001A1A96">
      <w:pPr>
        <w:rPr>
          <w:i/>
          <w:iCs/>
          <w:sz w:val="24"/>
          <w:szCs w:val="24"/>
          <w:u w:val="single"/>
        </w:rPr>
      </w:pPr>
      <w:r w:rsidRPr="001A1A96">
        <w:rPr>
          <w:i/>
          <w:iCs/>
          <w:u w:val="single"/>
          <w:lang w:eastAsia="bg-BG"/>
        </w:rPr>
        <w:t>Терапевтични концентрации</w:t>
      </w:r>
    </w:p>
    <w:p w14:paraId="2EE9BC4A" w14:textId="77777777" w:rsidR="001A1A96" w:rsidRPr="001A1A96" w:rsidRDefault="001A1A96" w:rsidP="001A1A96">
      <w:pPr>
        <w:rPr>
          <w:sz w:val="24"/>
          <w:szCs w:val="24"/>
        </w:rPr>
      </w:pPr>
      <w:r w:rsidRPr="001A1A96">
        <w:rPr>
          <w:lang w:eastAsia="bg-BG"/>
        </w:rPr>
        <w:t>Въз основа на публикувани данни от множество клинични проучвания терапевтичен</w:t>
      </w:r>
      <w:r>
        <w:rPr>
          <w:lang w:eastAsia="bg-BG"/>
        </w:rPr>
        <w:t xml:space="preserve"> </w:t>
      </w:r>
      <w:r w:rsidRPr="001A1A96">
        <w:rPr>
          <w:lang w:eastAsia="bg-BG"/>
        </w:rPr>
        <w:t xml:space="preserve">отговор е получен при повечето пациенти с остра или хронична шизофрения при плазмени концентрации от 1 до 10 </w:t>
      </w:r>
      <w:r w:rsidRPr="001A1A96">
        <w:rPr>
          <w:lang w:val="en-US"/>
        </w:rPr>
        <w:t xml:space="preserve">ng/ml. </w:t>
      </w:r>
      <w:r w:rsidRPr="001A1A96">
        <w:rPr>
          <w:lang w:eastAsia="bg-BG"/>
        </w:rPr>
        <w:t xml:space="preserve">Подгрупи пациенти може да се нуждаят от по-високи концентрации поради голямата интериндивидуална вариабилност на фармакокинетиката на </w:t>
      </w:r>
      <w:proofErr w:type="spellStart"/>
      <w:r w:rsidRPr="001A1A96">
        <w:rPr>
          <w:lang w:eastAsia="bg-BG"/>
        </w:rPr>
        <w:t>халоперидол</w:t>
      </w:r>
      <w:proofErr w:type="spellEnd"/>
      <w:r w:rsidRPr="001A1A96">
        <w:rPr>
          <w:lang w:eastAsia="bg-BG"/>
        </w:rPr>
        <w:t>.</w:t>
      </w:r>
    </w:p>
    <w:p w14:paraId="0E3C6002" w14:textId="77777777" w:rsidR="001A1A96" w:rsidRDefault="001A1A96" w:rsidP="001A1A96">
      <w:pPr>
        <w:rPr>
          <w:lang w:eastAsia="bg-BG"/>
        </w:rPr>
      </w:pPr>
    </w:p>
    <w:p w14:paraId="57E932AE" w14:textId="77B24CE2" w:rsidR="001A1A96" w:rsidRPr="001A1A96" w:rsidRDefault="001A1A96" w:rsidP="001A1A96">
      <w:pPr>
        <w:rPr>
          <w:sz w:val="24"/>
          <w:szCs w:val="24"/>
        </w:rPr>
      </w:pPr>
      <w:r w:rsidRPr="001A1A96">
        <w:rPr>
          <w:lang w:eastAsia="bg-BG"/>
        </w:rPr>
        <w:t xml:space="preserve">При пациенти с първи епизод на шизофрения терапевтичен отговор може да получи при ниски концентрации дори от 0,6 до 3,2 </w:t>
      </w:r>
      <w:r w:rsidRPr="001A1A96">
        <w:rPr>
          <w:lang w:val="en-US"/>
        </w:rPr>
        <w:t xml:space="preserve">ng/ml </w:t>
      </w:r>
      <w:r w:rsidRPr="001A1A96">
        <w:rPr>
          <w:lang w:eastAsia="bg-BG"/>
        </w:rPr>
        <w:t xml:space="preserve">според преценките, основаващи се на измерването на ангажирането на </w:t>
      </w:r>
      <w:r w:rsidRPr="001A1A96">
        <w:rPr>
          <w:lang w:val="en-US"/>
        </w:rPr>
        <w:t>D</w:t>
      </w:r>
      <w:r w:rsidRPr="001A1A96">
        <w:rPr>
          <w:vertAlign w:val="subscript"/>
          <w:lang w:val="en-US"/>
        </w:rPr>
        <w:t>2</w:t>
      </w:r>
      <w:r w:rsidRPr="001A1A96">
        <w:rPr>
          <w:lang w:eastAsia="bg-BG"/>
        </w:rPr>
        <w:t xml:space="preserve">рецепторите, като се приема, че ниво на ангажиране на </w:t>
      </w:r>
      <w:r w:rsidRPr="001A1A96">
        <w:rPr>
          <w:lang w:val="en-US"/>
        </w:rPr>
        <w:t>D</w:t>
      </w:r>
      <w:r w:rsidRPr="001A1A96">
        <w:rPr>
          <w:vertAlign w:val="subscript"/>
          <w:lang w:val="en-US"/>
        </w:rPr>
        <w:t>2</w:t>
      </w:r>
      <w:r w:rsidRPr="001A1A96">
        <w:rPr>
          <w:lang w:val="en-US"/>
        </w:rPr>
        <w:t xml:space="preserve"> </w:t>
      </w:r>
      <w:r w:rsidRPr="001A1A96">
        <w:rPr>
          <w:lang w:eastAsia="bg-BG"/>
        </w:rPr>
        <w:t xml:space="preserve">рецепторите от 60 до 80% е най-подходящо за получаване на терапевтичен отговор и ограничаване на </w:t>
      </w:r>
      <w:proofErr w:type="spellStart"/>
      <w:r w:rsidRPr="001A1A96">
        <w:rPr>
          <w:lang w:eastAsia="bg-BG"/>
        </w:rPr>
        <w:t>екстрапирамидните</w:t>
      </w:r>
      <w:proofErr w:type="spellEnd"/>
      <w:r w:rsidRPr="001A1A96">
        <w:rPr>
          <w:lang w:eastAsia="bg-BG"/>
        </w:rPr>
        <w:t xml:space="preserve"> симптоми. Средно, концентрации в тези граници ще се получат с дози от 1 до 4 </w:t>
      </w:r>
      <w:r w:rsidRPr="001A1A96">
        <w:rPr>
          <w:lang w:val="en-US"/>
        </w:rPr>
        <w:t xml:space="preserve">mg </w:t>
      </w:r>
      <w:r w:rsidRPr="001A1A96">
        <w:rPr>
          <w:lang w:eastAsia="bg-BG"/>
        </w:rPr>
        <w:t>дневно.</w:t>
      </w:r>
    </w:p>
    <w:p w14:paraId="428EB493" w14:textId="77777777" w:rsidR="001A1A96" w:rsidRDefault="001A1A96" w:rsidP="001A1A96">
      <w:pPr>
        <w:rPr>
          <w:lang w:eastAsia="bg-BG"/>
        </w:rPr>
      </w:pPr>
    </w:p>
    <w:p w14:paraId="284A2836" w14:textId="17E836E5" w:rsidR="001A1A96" w:rsidRPr="001A1A96" w:rsidRDefault="001A1A96" w:rsidP="001A1A96">
      <w:pPr>
        <w:rPr>
          <w:sz w:val="24"/>
          <w:szCs w:val="24"/>
        </w:rPr>
      </w:pPr>
      <w:r w:rsidRPr="001A1A96">
        <w:rPr>
          <w:lang w:eastAsia="bg-BG"/>
        </w:rPr>
        <w:t xml:space="preserve">Поради голяма интериндивидуална вариабилност във фармакокинетиката на </w:t>
      </w:r>
      <w:proofErr w:type="spellStart"/>
      <w:r w:rsidRPr="001A1A96">
        <w:rPr>
          <w:lang w:eastAsia="bg-BG"/>
        </w:rPr>
        <w:t>халоперидол</w:t>
      </w:r>
      <w:proofErr w:type="spellEnd"/>
      <w:r w:rsidRPr="001A1A96">
        <w:rPr>
          <w:lang w:eastAsia="bg-BG"/>
        </w:rPr>
        <w:t xml:space="preserve"> и връзката концентрация-ефект препоръчва се да се коригира индивидуалната доза </w:t>
      </w:r>
      <w:proofErr w:type="spellStart"/>
      <w:r w:rsidRPr="001A1A96">
        <w:rPr>
          <w:lang w:eastAsia="bg-BG"/>
        </w:rPr>
        <w:t>халоперидол</w:t>
      </w:r>
      <w:proofErr w:type="spellEnd"/>
      <w:r w:rsidRPr="001A1A96">
        <w:rPr>
          <w:lang w:eastAsia="bg-BG"/>
        </w:rPr>
        <w:t xml:space="preserve"> въз основа на отговора на пациента, като се вземат предвид данните, които показват време на забавяне от 5 дни за достигане на половината от максималния терапевтичен отговор. Може да се има предвид измерване на концентрациите на </w:t>
      </w:r>
      <w:proofErr w:type="spellStart"/>
      <w:r w:rsidRPr="001A1A96">
        <w:rPr>
          <w:lang w:eastAsia="bg-BG"/>
        </w:rPr>
        <w:t>халоперидол</w:t>
      </w:r>
      <w:proofErr w:type="spellEnd"/>
      <w:r w:rsidRPr="001A1A96">
        <w:rPr>
          <w:lang w:eastAsia="bg-BG"/>
        </w:rPr>
        <w:t xml:space="preserve"> в кръвта в отделните случаи.</w:t>
      </w:r>
    </w:p>
    <w:p w14:paraId="29B4CB4E" w14:textId="77777777" w:rsidR="001A1A96" w:rsidRDefault="001A1A96" w:rsidP="001A1A96">
      <w:pPr>
        <w:rPr>
          <w:i/>
          <w:iCs/>
          <w:u w:val="single"/>
          <w:lang w:eastAsia="bg-BG"/>
        </w:rPr>
      </w:pPr>
    </w:p>
    <w:p w14:paraId="3FF561C7" w14:textId="45A6C3DD" w:rsidR="001A1A96" w:rsidRPr="001A1A96" w:rsidRDefault="001A1A96" w:rsidP="001A1A96">
      <w:pPr>
        <w:rPr>
          <w:sz w:val="24"/>
          <w:szCs w:val="24"/>
        </w:rPr>
      </w:pPr>
      <w:r w:rsidRPr="001A1A96">
        <w:rPr>
          <w:i/>
          <w:iCs/>
          <w:u w:val="single"/>
          <w:lang w:eastAsia="bg-BG"/>
        </w:rPr>
        <w:t>Сърдечно-съдови ефекти</w:t>
      </w:r>
    </w:p>
    <w:p w14:paraId="43B4F80B" w14:textId="77777777" w:rsidR="001A1A96" w:rsidRPr="001A1A96" w:rsidRDefault="001A1A96" w:rsidP="001A1A96">
      <w:pPr>
        <w:rPr>
          <w:sz w:val="24"/>
          <w:szCs w:val="24"/>
        </w:rPr>
      </w:pPr>
      <w:r w:rsidRPr="001A1A96">
        <w:rPr>
          <w:lang w:eastAsia="bg-BG"/>
        </w:rPr>
        <w:t xml:space="preserve">Рискът от удължаване на </w:t>
      </w:r>
      <w:r w:rsidRPr="001A1A96">
        <w:rPr>
          <w:lang w:val="en-US"/>
        </w:rPr>
        <w:t xml:space="preserve">QTc </w:t>
      </w:r>
      <w:r w:rsidRPr="001A1A96">
        <w:rPr>
          <w:lang w:eastAsia="bg-BG"/>
        </w:rPr>
        <w:t xml:space="preserve">се увеличава с повишаване на дозата и плазмените концентрации на </w:t>
      </w:r>
      <w:proofErr w:type="spellStart"/>
      <w:r w:rsidRPr="001A1A96">
        <w:rPr>
          <w:lang w:eastAsia="bg-BG"/>
        </w:rPr>
        <w:t>халоперидол</w:t>
      </w:r>
      <w:proofErr w:type="spellEnd"/>
      <w:r w:rsidRPr="001A1A96">
        <w:rPr>
          <w:lang w:eastAsia="bg-BG"/>
        </w:rPr>
        <w:t>.</w:t>
      </w:r>
    </w:p>
    <w:p w14:paraId="3D1ABBE3" w14:textId="77777777" w:rsidR="001A1A96" w:rsidRDefault="001A1A96" w:rsidP="001A1A96">
      <w:pPr>
        <w:rPr>
          <w:i/>
          <w:iCs/>
          <w:u w:val="single"/>
          <w:lang w:eastAsia="bg-BG"/>
        </w:rPr>
      </w:pPr>
    </w:p>
    <w:p w14:paraId="109C954A" w14:textId="4E30B19D" w:rsidR="001A1A96" w:rsidRPr="001A1A96" w:rsidRDefault="001A1A96" w:rsidP="001A1A96">
      <w:pPr>
        <w:rPr>
          <w:sz w:val="24"/>
          <w:szCs w:val="24"/>
        </w:rPr>
      </w:pPr>
      <w:proofErr w:type="spellStart"/>
      <w:r w:rsidRPr="001A1A96">
        <w:rPr>
          <w:i/>
          <w:iCs/>
          <w:u w:val="single"/>
          <w:lang w:eastAsia="bg-BG"/>
        </w:rPr>
        <w:t>Екстрапирамидни</w:t>
      </w:r>
      <w:proofErr w:type="spellEnd"/>
      <w:r w:rsidRPr="001A1A96">
        <w:rPr>
          <w:i/>
          <w:iCs/>
          <w:u w:val="single"/>
          <w:lang w:eastAsia="bg-BG"/>
        </w:rPr>
        <w:t xml:space="preserve"> симптоми</w:t>
      </w:r>
    </w:p>
    <w:p w14:paraId="0EE15520" w14:textId="621802CF" w:rsidR="001A1A96" w:rsidRPr="001A1A96" w:rsidRDefault="001A1A96" w:rsidP="001A1A96">
      <w:pPr>
        <w:rPr>
          <w:sz w:val="24"/>
          <w:szCs w:val="24"/>
        </w:rPr>
      </w:pPr>
      <w:proofErr w:type="spellStart"/>
      <w:r w:rsidRPr="001A1A96">
        <w:rPr>
          <w:lang w:eastAsia="bg-BG"/>
        </w:rPr>
        <w:t>Екстрапирамидни</w:t>
      </w:r>
      <w:proofErr w:type="spellEnd"/>
      <w:r w:rsidRPr="001A1A96">
        <w:rPr>
          <w:lang w:eastAsia="bg-BG"/>
        </w:rPr>
        <w:t xml:space="preserve"> симптоми може да възникнат в терапевтичните граници, въпреки че честотата обикновено е по-висока при дози, водещи до по-високи от терапевтичните концентрации.</w:t>
      </w:r>
    </w:p>
    <w:p w14:paraId="301FF7ED" w14:textId="77777777" w:rsidR="001A1A96" w:rsidRPr="001A1A96" w:rsidRDefault="001A1A96" w:rsidP="001A1A96"/>
    <w:p w14:paraId="674BE4E2" w14:textId="3D3BE167" w:rsidR="009B171C" w:rsidRDefault="002C50EE" w:rsidP="00CA1B57">
      <w:pPr>
        <w:pStyle w:val="Heading2"/>
      </w:pPr>
      <w:r>
        <w:t>5.3. Предклинични данни за безопасност</w:t>
      </w:r>
    </w:p>
    <w:p w14:paraId="2C6DA056" w14:textId="77777777" w:rsidR="001A1A96" w:rsidRDefault="001A1A96" w:rsidP="001A1A96">
      <w:pPr>
        <w:rPr>
          <w:lang w:eastAsia="bg-BG"/>
        </w:rPr>
      </w:pPr>
    </w:p>
    <w:p w14:paraId="22250E69" w14:textId="5C405E47" w:rsidR="001A1A96" w:rsidRPr="001A1A96" w:rsidRDefault="001A1A96" w:rsidP="001A1A96">
      <w:pPr>
        <w:rPr>
          <w:sz w:val="24"/>
          <w:szCs w:val="24"/>
        </w:rPr>
      </w:pPr>
      <w:r w:rsidRPr="001A1A96">
        <w:rPr>
          <w:lang w:eastAsia="bg-BG"/>
        </w:rPr>
        <w:t xml:space="preserve">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и </w:t>
      </w:r>
      <w:proofErr w:type="spellStart"/>
      <w:r w:rsidRPr="001A1A96">
        <w:rPr>
          <w:lang w:eastAsia="bg-BG"/>
        </w:rPr>
        <w:t>генотоксичност</w:t>
      </w:r>
      <w:proofErr w:type="spellEnd"/>
      <w:r w:rsidRPr="001A1A96">
        <w:rPr>
          <w:lang w:eastAsia="bg-BG"/>
        </w:rPr>
        <w:t xml:space="preserve">. Приложението на </w:t>
      </w:r>
      <w:proofErr w:type="spellStart"/>
      <w:r w:rsidRPr="001A1A96">
        <w:rPr>
          <w:lang w:eastAsia="bg-BG"/>
        </w:rPr>
        <w:t>халоперидол</w:t>
      </w:r>
      <w:proofErr w:type="spellEnd"/>
      <w:r w:rsidRPr="001A1A96">
        <w:rPr>
          <w:lang w:eastAsia="bg-BG"/>
        </w:rPr>
        <w:t xml:space="preserve"> при гризачи показва намален </w:t>
      </w:r>
      <w:proofErr w:type="spellStart"/>
      <w:r w:rsidRPr="001A1A96">
        <w:rPr>
          <w:lang w:eastAsia="bg-BG"/>
        </w:rPr>
        <w:t>Фертилитет</w:t>
      </w:r>
      <w:proofErr w:type="spellEnd"/>
      <w:r w:rsidRPr="001A1A96">
        <w:rPr>
          <w:lang w:eastAsia="bg-BG"/>
        </w:rPr>
        <w:t xml:space="preserve">, ограничена </w:t>
      </w:r>
      <w:proofErr w:type="spellStart"/>
      <w:r w:rsidRPr="001A1A96">
        <w:rPr>
          <w:lang w:eastAsia="bg-BG"/>
        </w:rPr>
        <w:t>тератогенност</w:t>
      </w:r>
      <w:proofErr w:type="spellEnd"/>
      <w:r w:rsidRPr="001A1A96">
        <w:rPr>
          <w:lang w:eastAsia="bg-BG"/>
        </w:rPr>
        <w:t xml:space="preserve">, както и </w:t>
      </w:r>
      <w:proofErr w:type="spellStart"/>
      <w:r w:rsidRPr="001A1A96">
        <w:rPr>
          <w:lang w:eastAsia="bg-BG"/>
        </w:rPr>
        <w:t>ембрио</w:t>
      </w:r>
      <w:proofErr w:type="spellEnd"/>
      <w:r w:rsidRPr="001A1A96">
        <w:rPr>
          <w:lang w:eastAsia="bg-BG"/>
        </w:rPr>
        <w:t>-токсични ефекти.</w:t>
      </w:r>
    </w:p>
    <w:p w14:paraId="2B92726B" w14:textId="77777777" w:rsidR="001A1A96" w:rsidRDefault="001A1A96" w:rsidP="001A1A96">
      <w:pPr>
        <w:rPr>
          <w:lang w:eastAsia="bg-BG"/>
        </w:rPr>
      </w:pPr>
    </w:p>
    <w:p w14:paraId="02A68433" w14:textId="757C6DE1" w:rsidR="001A1A96" w:rsidRPr="001A1A96" w:rsidRDefault="001A1A96" w:rsidP="001A1A96">
      <w:pPr>
        <w:rPr>
          <w:sz w:val="24"/>
          <w:szCs w:val="24"/>
        </w:rPr>
      </w:pPr>
      <w:r w:rsidRPr="001A1A96">
        <w:rPr>
          <w:lang w:eastAsia="bg-BG"/>
        </w:rPr>
        <w:t xml:space="preserve">В едно проучване за </w:t>
      </w:r>
      <w:proofErr w:type="spellStart"/>
      <w:r w:rsidRPr="001A1A96">
        <w:rPr>
          <w:lang w:eastAsia="bg-BG"/>
        </w:rPr>
        <w:t>канцерогениост</w:t>
      </w:r>
      <w:proofErr w:type="spellEnd"/>
      <w:r w:rsidRPr="001A1A96">
        <w:rPr>
          <w:lang w:eastAsia="bg-BG"/>
        </w:rPr>
        <w:t xml:space="preserve"> на </w:t>
      </w:r>
      <w:proofErr w:type="spellStart"/>
      <w:r w:rsidRPr="001A1A96">
        <w:rPr>
          <w:lang w:eastAsia="bg-BG"/>
        </w:rPr>
        <w:t>халоперидол</w:t>
      </w:r>
      <w:proofErr w:type="spellEnd"/>
      <w:r w:rsidRPr="001A1A96">
        <w:rPr>
          <w:lang w:eastAsia="bg-BG"/>
        </w:rPr>
        <w:t xml:space="preserve"> е наблюдавано доза-зависимо повишение на </w:t>
      </w:r>
      <w:proofErr w:type="spellStart"/>
      <w:r w:rsidRPr="001A1A96">
        <w:rPr>
          <w:lang w:eastAsia="bg-BG"/>
        </w:rPr>
        <w:t>аденомите</w:t>
      </w:r>
      <w:proofErr w:type="spellEnd"/>
      <w:r w:rsidRPr="001A1A96">
        <w:rPr>
          <w:lang w:eastAsia="bg-BG"/>
        </w:rPr>
        <w:t xml:space="preserve"> на хипофизната жлеза и карциномите на млечната жлеза при женски мишки. Тези тумори може да са предизвикани от продължителния антагонизъм на допаминовите </w:t>
      </w:r>
      <w:r w:rsidRPr="001A1A96">
        <w:rPr>
          <w:lang w:val="en-US"/>
        </w:rPr>
        <w:t>D2</w:t>
      </w:r>
      <w:r>
        <w:t xml:space="preserve"> </w:t>
      </w:r>
      <w:r w:rsidRPr="001A1A96">
        <w:rPr>
          <w:lang w:eastAsia="bg-BG"/>
        </w:rPr>
        <w:t xml:space="preserve">рецептори и </w:t>
      </w:r>
      <w:proofErr w:type="spellStart"/>
      <w:r w:rsidRPr="001A1A96">
        <w:rPr>
          <w:lang w:eastAsia="bg-BG"/>
        </w:rPr>
        <w:t>хиперпролактинемията</w:t>
      </w:r>
      <w:proofErr w:type="spellEnd"/>
      <w:r w:rsidRPr="001A1A96">
        <w:rPr>
          <w:lang w:eastAsia="bg-BG"/>
        </w:rPr>
        <w:t>. Значението на тези туморни находки при гризачи по отношение на риска за човека е неизвестно.</w:t>
      </w:r>
    </w:p>
    <w:p w14:paraId="533532DB" w14:textId="77777777" w:rsidR="001A1A96" w:rsidRDefault="001A1A96" w:rsidP="001A1A96">
      <w:pPr>
        <w:rPr>
          <w:lang w:eastAsia="bg-BG"/>
        </w:rPr>
      </w:pPr>
    </w:p>
    <w:p w14:paraId="3D42FA7E" w14:textId="03B89BDF" w:rsidR="001A1A96" w:rsidRPr="001A1A96" w:rsidRDefault="001A1A96" w:rsidP="001A1A96">
      <w:r w:rsidRPr="001A1A96">
        <w:rPr>
          <w:lang w:eastAsia="bg-BG"/>
        </w:rPr>
        <w:lastRenderedPageBreak/>
        <w:t xml:space="preserve">В няколко публикувани проучвания </w:t>
      </w:r>
      <w:r w:rsidRPr="001A1A96">
        <w:rPr>
          <w:i/>
          <w:iCs/>
          <w:lang w:eastAsia="bg-BG"/>
        </w:rPr>
        <w:t xml:space="preserve">в </w:t>
      </w:r>
      <w:r w:rsidRPr="001A1A96">
        <w:rPr>
          <w:i/>
          <w:iCs/>
          <w:lang w:val="en-US"/>
        </w:rPr>
        <w:t>vitro</w:t>
      </w:r>
      <w:r w:rsidRPr="001A1A96">
        <w:rPr>
          <w:lang w:val="en-US"/>
        </w:rPr>
        <w:t xml:space="preserve"> </w:t>
      </w:r>
      <w:r w:rsidRPr="001A1A96">
        <w:rPr>
          <w:lang w:eastAsia="bg-BG"/>
        </w:rPr>
        <w:t xml:space="preserve">е доказано, че </w:t>
      </w:r>
      <w:proofErr w:type="spellStart"/>
      <w:r w:rsidRPr="001A1A96">
        <w:rPr>
          <w:lang w:eastAsia="bg-BG"/>
        </w:rPr>
        <w:t>халоперидол</w:t>
      </w:r>
      <w:proofErr w:type="spellEnd"/>
      <w:r w:rsidRPr="001A1A96">
        <w:rPr>
          <w:lang w:eastAsia="bg-BG"/>
        </w:rPr>
        <w:t xml:space="preserve"> блокира сърдечния </w:t>
      </w:r>
      <w:proofErr w:type="spellStart"/>
      <w:r w:rsidRPr="001A1A96">
        <w:rPr>
          <w:lang w:val="en-US"/>
        </w:rPr>
        <w:t>hERG</w:t>
      </w:r>
      <w:proofErr w:type="spellEnd"/>
      <w:r w:rsidRPr="001A1A96">
        <w:rPr>
          <w:lang w:val="en-US"/>
        </w:rPr>
        <w:t xml:space="preserve"> </w:t>
      </w:r>
      <w:r w:rsidRPr="001A1A96">
        <w:rPr>
          <w:lang w:eastAsia="bg-BG"/>
        </w:rPr>
        <w:t xml:space="preserve">канал. В редица проучвания в </w:t>
      </w:r>
      <w:r w:rsidRPr="001A1A96">
        <w:rPr>
          <w:i/>
          <w:iCs/>
          <w:lang w:val="en-US"/>
        </w:rPr>
        <w:t>vivo</w:t>
      </w:r>
      <w:r w:rsidRPr="001A1A96">
        <w:rPr>
          <w:lang w:val="en-US"/>
        </w:rPr>
        <w:t xml:space="preserve"> </w:t>
      </w:r>
      <w:r w:rsidRPr="001A1A96">
        <w:rPr>
          <w:lang w:eastAsia="bg-BG"/>
        </w:rPr>
        <w:t xml:space="preserve">интравенозното приложение на </w:t>
      </w:r>
      <w:proofErr w:type="spellStart"/>
      <w:r w:rsidRPr="001A1A96">
        <w:rPr>
          <w:lang w:eastAsia="bg-BG"/>
        </w:rPr>
        <w:t>халоперидол</w:t>
      </w:r>
      <w:proofErr w:type="spellEnd"/>
      <w:r w:rsidRPr="001A1A96">
        <w:rPr>
          <w:lang w:eastAsia="bg-BG"/>
        </w:rPr>
        <w:t xml:space="preserve"> в някои модели с животни причинява значително удължаване на </w:t>
      </w:r>
      <w:r w:rsidRPr="001A1A96">
        <w:rPr>
          <w:lang w:val="en-US"/>
        </w:rPr>
        <w:t xml:space="preserve">QTc </w:t>
      </w:r>
      <w:r w:rsidRPr="001A1A96">
        <w:rPr>
          <w:lang w:eastAsia="bg-BG"/>
        </w:rPr>
        <w:t xml:space="preserve">в дози около 0,3 </w:t>
      </w:r>
      <w:r w:rsidRPr="001A1A96">
        <w:rPr>
          <w:lang w:val="en-US"/>
        </w:rPr>
        <w:t xml:space="preserve">mg/kg, </w:t>
      </w:r>
      <w:r w:rsidRPr="001A1A96">
        <w:rPr>
          <w:lang w:eastAsia="bg-BG"/>
        </w:rPr>
        <w:t>които водят до плазмени нива С</w:t>
      </w:r>
      <w:r w:rsidRPr="001A1A96">
        <w:rPr>
          <w:vertAlign w:val="subscript"/>
          <w:lang w:val="en-US"/>
        </w:rPr>
        <w:t>max</w:t>
      </w:r>
      <w:r w:rsidRPr="001A1A96">
        <w:rPr>
          <w:lang w:eastAsia="bg-BG"/>
        </w:rPr>
        <w:t xml:space="preserve"> най-малко 7 до 14 пъти по-висока от терапевтичните плазмени концентрации от 1 до 10 </w:t>
      </w:r>
      <w:r w:rsidRPr="001A1A96">
        <w:rPr>
          <w:lang w:val="en-US"/>
        </w:rPr>
        <w:t xml:space="preserve">ng/ml, </w:t>
      </w:r>
      <w:r w:rsidRPr="001A1A96">
        <w:rPr>
          <w:lang w:eastAsia="bg-BG"/>
        </w:rPr>
        <w:t xml:space="preserve">които са били ефективни при повечето пациенти в клиничните проучвания. Тези интравенозни дози, които удължават </w:t>
      </w:r>
      <w:r w:rsidRPr="001A1A96">
        <w:rPr>
          <w:lang w:val="en-US"/>
        </w:rPr>
        <w:t xml:space="preserve">QTc, </w:t>
      </w:r>
      <w:r w:rsidRPr="001A1A96">
        <w:rPr>
          <w:lang w:eastAsia="bg-BG"/>
        </w:rPr>
        <w:t xml:space="preserve">не предизвикват аритмия. В някои проучвания при животни, по-високи интравенозни дози </w:t>
      </w:r>
      <w:proofErr w:type="spellStart"/>
      <w:r w:rsidRPr="001A1A96">
        <w:rPr>
          <w:lang w:eastAsia="bg-BG"/>
        </w:rPr>
        <w:t>халоперидол</w:t>
      </w:r>
      <w:proofErr w:type="spellEnd"/>
      <w:r w:rsidRPr="001A1A96">
        <w:rPr>
          <w:lang w:eastAsia="bg-BG"/>
        </w:rPr>
        <w:t xml:space="preserve"> от 1 </w:t>
      </w:r>
      <w:r w:rsidRPr="001A1A96">
        <w:rPr>
          <w:lang w:val="en-US"/>
        </w:rPr>
        <w:t xml:space="preserve">mg/kg </w:t>
      </w:r>
      <w:r w:rsidRPr="001A1A96">
        <w:rPr>
          <w:lang w:eastAsia="bg-BG"/>
        </w:rPr>
        <w:t xml:space="preserve">или по-големи предизвикват удължаване на </w:t>
      </w:r>
      <w:r w:rsidRPr="001A1A96">
        <w:rPr>
          <w:lang w:val="en-US"/>
        </w:rPr>
        <w:t xml:space="preserve">QTc </w:t>
      </w:r>
      <w:r w:rsidRPr="001A1A96">
        <w:rPr>
          <w:lang w:eastAsia="bg-BG"/>
        </w:rPr>
        <w:t>и/или камерна аритмия при плазмени нива С</w:t>
      </w:r>
      <w:r w:rsidRPr="001A1A96">
        <w:rPr>
          <w:vertAlign w:val="subscript"/>
          <w:lang w:val="en-US"/>
        </w:rPr>
        <w:t>max</w:t>
      </w:r>
      <w:r w:rsidRPr="001A1A96">
        <w:rPr>
          <w:lang w:eastAsia="bg-BG"/>
        </w:rPr>
        <w:t xml:space="preserve"> най-малко от 38 до 137 пъти по-високи от терапевтичните плазмени</w:t>
      </w:r>
      <w:r>
        <w:rPr>
          <w:lang w:eastAsia="bg-BG"/>
        </w:rPr>
        <w:t xml:space="preserve"> </w:t>
      </w:r>
      <w:r>
        <w:t>концентрации, които са били ефективни при повечето пациенти в клиничните проучвания.</w:t>
      </w:r>
    </w:p>
    <w:p w14:paraId="6940F72E" w14:textId="419034D8" w:rsidR="009B171C" w:rsidRDefault="002C50EE" w:rsidP="00CA1B57">
      <w:pPr>
        <w:pStyle w:val="Heading1"/>
      </w:pPr>
      <w:r>
        <w:t>7. ПРИТЕЖАТЕЛ НА РАЗРЕШЕНИЕТО ЗА УПОТРЕБА</w:t>
      </w:r>
    </w:p>
    <w:p w14:paraId="5D61560B" w14:textId="77777777" w:rsidR="001A1A96" w:rsidRDefault="001A1A96" w:rsidP="001A1A96">
      <w:proofErr w:type="spellStart"/>
      <w:r>
        <w:t>Gedeon</w:t>
      </w:r>
      <w:proofErr w:type="spellEnd"/>
      <w:r>
        <w:t xml:space="preserve"> </w:t>
      </w:r>
      <w:proofErr w:type="spellStart"/>
      <w:r>
        <w:t>Richter</w:t>
      </w:r>
      <w:proofErr w:type="spellEnd"/>
      <w:r>
        <w:t xml:space="preserve"> </w:t>
      </w:r>
      <w:proofErr w:type="spellStart"/>
      <w:r>
        <w:t>Plc</w:t>
      </w:r>
      <w:proofErr w:type="spellEnd"/>
      <w:r>
        <w:t xml:space="preserve">. </w:t>
      </w:r>
    </w:p>
    <w:p w14:paraId="705D7395" w14:textId="77777777" w:rsidR="001A1A96" w:rsidRDefault="001A1A96" w:rsidP="001A1A96">
      <w:proofErr w:type="spellStart"/>
      <w:r>
        <w:t>Gyomrbi</w:t>
      </w:r>
      <w:proofErr w:type="spellEnd"/>
      <w:r>
        <w:t xml:space="preserve"> </w:t>
      </w:r>
      <w:proofErr w:type="spellStart"/>
      <w:r>
        <w:t>lit</w:t>
      </w:r>
      <w:proofErr w:type="spellEnd"/>
      <w:r>
        <w:t xml:space="preserve"> 19-21 </w:t>
      </w:r>
    </w:p>
    <w:p w14:paraId="360A0787" w14:textId="77777777" w:rsidR="001A1A96" w:rsidRDefault="001A1A96" w:rsidP="001A1A96">
      <w:r>
        <w:t xml:space="preserve">1103 </w:t>
      </w:r>
      <w:proofErr w:type="spellStart"/>
      <w:r>
        <w:t>Budapest</w:t>
      </w:r>
      <w:proofErr w:type="spellEnd"/>
      <w:r>
        <w:t xml:space="preserve"> </w:t>
      </w:r>
    </w:p>
    <w:p w14:paraId="54480FB8" w14:textId="4C28030E" w:rsidR="001A1A96" w:rsidRPr="001A1A96" w:rsidRDefault="001A1A96" w:rsidP="001A1A96">
      <w:r>
        <w:rPr>
          <w:lang w:eastAsia="bg-BG"/>
        </w:rPr>
        <w:t>Унгария</w:t>
      </w:r>
    </w:p>
    <w:p w14:paraId="04840D59" w14:textId="39CF9EE9" w:rsidR="002C50EE" w:rsidRDefault="002C50EE" w:rsidP="002C50EE">
      <w:pPr>
        <w:pStyle w:val="Heading1"/>
      </w:pPr>
      <w:r>
        <w:t>8. НОМЕР НА РАЗРЕШЕНИЕТО ЗА УПОТРЕБА</w:t>
      </w:r>
    </w:p>
    <w:p w14:paraId="6D101474" w14:textId="7249114C" w:rsidR="001A1A96" w:rsidRPr="001A1A96" w:rsidRDefault="001A1A96" w:rsidP="001A1A96">
      <w:r>
        <w:rPr>
          <w:lang w:val="en-US"/>
        </w:rPr>
        <w:t xml:space="preserve">Per. </w:t>
      </w:r>
      <w:r>
        <w:t>№ 20000001</w:t>
      </w:r>
    </w:p>
    <w:p w14:paraId="5900CBF3" w14:textId="78299335" w:rsidR="002C50EE" w:rsidRDefault="002C50EE" w:rsidP="002C50EE">
      <w:pPr>
        <w:pStyle w:val="Heading1"/>
      </w:pPr>
      <w:r>
        <w:t>9. ДАТА НА ПЪРВО РАЗРЕШАВАНЕ/ПОДНОВЯВАНЕ НА РАЗРЕШЕНИЕТО ЗА УПОТРЕБА</w:t>
      </w:r>
    </w:p>
    <w:p w14:paraId="1CDFA4C6" w14:textId="77777777" w:rsidR="001A1A96" w:rsidRPr="001A1A96" w:rsidRDefault="001A1A96" w:rsidP="001A1A96">
      <w:pPr>
        <w:rPr>
          <w:sz w:val="24"/>
          <w:szCs w:val="24"/>
        </w:rPr>
      </w:pPr>
      <w:r w:rsidRPr="001A1A96">
        <w:rPr>
          <w:lang w:eastAsia="bg-BG"/>
        </w:rPr>
        <w:t>Дата на първо разрешаване: 10/01/2000</w:t>
      </w:r>
    </w:p>
    <w:p w14:paraId="6E01492B" w14:textId="4AC10F94" w:rsidR="001A1A96" w:rsidRPr="001A1A96" w:rsidRDefault="001A1A96" w:rsidP="001A1A96">
      <w:r w:rsidRPr="001A1A96">
        <w:rPr>
          <w:lang w:eastAsia="bg-BG"/>
        </w:rPr>
        <w:t>Дата на последно подновяване: 14/02/2011</w:t>
      </w:r>
    </w:p>
    <w:p w14:paraId="0E9D0119" w14:textId="0245C6D7" w:rsidR="002C50EE" w:rsidRDefault="002C50EE" w:rsidP="002C50EE">
      <w:pPr>
        <w:pStyle w:val="Heading1"/>
      </w:pPr>
      <w:r>
        <w:t>10. ДАТА НА АКТУАЛИЗИРАНЕ НА ТЕКСТА</w:t>
      </w:r>
    </w:p>
    <w:bookmarkEnd w:id="0"/>
    <w:p w14:paraId="423F4C2A" w14:textId="1CF79E3E" w:rsidR="00C87E90" w:rsidRPr="003E3126" w:rsidRDefault="00C87E90" w:rsidP="00C809A7"/>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E4D5AF3"/>
    <w:multiLevelType w:val="hybridMultilevel"/>
    <w:tmpl w:val="E88A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B5B95"/>
    <w:multiLevelType w:val="hybridMultilevel"/>
    <w:tmpl w:val="5D7A9AA2"/>
    <w:lvl w:ilvl="0" w:tplc="FCDAFA3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50AAC"/>
    <w:multiLevelType w:val="hybridMultilevel"/>
    <w:tmpl w:val="C5B4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63817"/>
    <w:multiLevelType w:val="hybridMultilevel"/>
    <w:tmpl w:val="6396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54C072A"/>
    <w:multiLevelType w:val="hybridMultilevel"/>
    <w:tmpl w:val="277E9926"/>
    <w:lvl w:ilvl="0" w:tplc="FCDAFA3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00730B"/>
    <w:multiLevelType w:val="hybridMultilevel"/>
    <w:tmpl w:val="60143F86"/>
    <w:lvl w:ilvl="0" w:tplc="FCDAFA3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409C1"/>
    <w:multiLevelType w:val="hybridMultilevel"/>
    <w:tmpl w:val="DF8CACDC"/>
    <w:lvl w:ilvl="0" w:tplc="FCDAFA3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5017B"/>
    <w:multiLevelType w:val="hybridMultilevel"/>
    <w:tmpl w:val="5DD07A40"/>
    <w:lvl w:ilvl="0" w:tplc="FCDAFA3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E70F5"/>
    <w:multiLevelType w:val="hybridMultilevel"/>
    <w:tmpl w:val="5A1E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82D44"/>
    <w:multiLevelType w:val="hybridMultilevel"/>
    <w:tmpl w:val="B7A4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31A29"/>
    <w:multiLevelType w:val="hybridMultilevel"/>
    <w:tmpl w:val="B450FF36"/>
    <w:lvl w:ilvl="0" w:tplc="FCDAFA3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B17F6"/>
    <w:multiLevelType w:val="hybridMultilevel"/>
    <w:tmpl w:val="D13C9BF8"/>
    <w:lvl w:ilvl="0" w:tplc="FCDAFA3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11C7E"/>
    <w:multiLevelType w:val="hybridMultilevel"/>
    <w:tmpl w:val="8C84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23AC8"/>
    <w:multiLevelType w:val="hybridMultilevel"/>
    <w:tmpl w:val="2988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13D58"/>
    <w:multiLevelType w:val="hybridMultilevel"/>
    <w:tmpl w:val="9EC6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A2777"/>
    <w:multiLevelType w:val="hybridMultilevel"/>
    <w:tmpl w:val="50AA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6"/>
  </w:num>
  <w:num w:numId="4">
    <w:abstractNumId w:val="4"/>
  </w:num>
  <w:num w:numId="5">
    <w:abstractNumId w:val="1"/>
  </w:num>
  <w:num w:numId="6">
    <w:abstractNumId w:val="20"/>
  </w:num>
  <w:num w:numId="7">
    <w:abstractNumId w:val="13"/>
  </w:num>
  <w:num w:numId="8">
    <w:abstractNumId w:val="19"/>
  </w:num>
  <w:num w:numId="9">
    <w:abstractNumId w:val="3"/>
  </w:num>
  <w:num w:numId="10">
    <w:abstractNumId w:val="5"/>
  </w:num>
  <w:num w:numId="11">
    <w:abstractNumId w:val="33"/>
  </w:num>
  <w:num w:numId="12">
    <w:abstractNumId w:val="17"/>
  </w:num>
  <w:num w:numId="13">
    <w:abstractNumId w:val="23"/>
  </w:num>
  <w:num w:numId="14">
    <w:abstractNumId w:val="15"/>
  </w:num>
  <w:num w:numId="15">
    <w:abstractNumId w:val="32"/>
  </w:num>
  <w:num w:numId="16">
    <w:abstractNumId w:val="11"/>
  </w:num>
  <w:num w:numId="17">
    <w:abstractNumId w:val="27"/>
  </w:num>
  <w:num w:numId="18">
    <w:abstractNumId w:val="9"/>
  </w:num>
  <w:num w:numId="19">
    <w:abstractNumId w:val="29"/>
  </w:num>
  <w:num w:numId="20">
    <w:abstractNumId w:val="26"/>
  </w:num>
  <w:num w:numId="21">
    <w:abstractNumId w:val="21"/>
  </w:num>
  <w:num w:numId="22">
    <w:abstractNumId w:val="28"/>
  </w:num>
  <w:num w:numId="23">
    <w:abstractNumId w:val="22"/>
  </w:num>
  <w:num w:numId="24">
    <w:abstractNumId w:val="24"/>
  </w:num>
  <w:num w:numId="25">
    <w:abstractNumId w:val="12"/>
  </w:num>
  <w:num w:numId="26">
    <w:abstractNumId w:val="25"/>
  </w:num>
  <w:num w:numId="27">
    <w:abstractNumId w:val="31"/>
  </w:num>
  <w:num w:numId="28">
    <w:abstractNumId w:val="10"/>
  </w:num>
  <w:num w:numId="29">
    <w:abstractNumId w:val="37"/>
  </w:num>
  <w:num w:numId="30">
    <w:abstractNumId w:val="8"/>
  </w:num>
  <w:num w:numId="31">
    <w:abstractNumId w:val="38"/>
  </w:num>
  <w:num w:numId="32">
    <w:abstractNumId w:val="39"/>
  </w:num>
  <w:num w:numId="33">
    <w:abstractNumId w:val="6"/>
  </w:num>
  <w:num w:numId="34">
    <w:abstractNumId w:val="2"/>
  </w:num>
  <w:num w:numId="35">
    <w:abstractNumId w:val="36"/>
  </w:num>
  <w:num w:numId="36">
    <w:abstractNumId w:val="34"/>
  </w:num>
  <w:num w:numId="37">
    <w:abstractNumId w:val="35"/>
  </w:num>
  <w:num w:numId="38">
    <w:abstractNumId w:val="14"/>
  </w:num>
  <w:num w:numId="39">
    <w:abstractNumId w:val="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A1A96"/>
    <w:rsid w:val="001D1B23"/>
    <w:rsid w:val="002B4DBB"/>
    <w:rsid w:val="002C50EE"/>
    <w:rsid w:val="00340A0A"/>
    <w:rsid w:val="003E3126"/>
    <w:rsid w:val="004F7849"/>
    <w:rsid w:val="00517A5B"/>
    <w:rsid w:val="00593A00"/>
    <w:rsid w:val="005A66D9"/>
    <w:rsid w:val="00605BCA"/>
    <w:rsid w:val="006158A1"/>
    <w:rsid w:val="00617B1F"/>
    <w:rsid w:val="00672487"/>
    <w:rsid w:val="00672600"/>
    <w:rsid w:val="00681D4A"/>
    <w:rsid w:val="00685882"/>
    <w:rsid w:val="0075649D"/>
    <w:rsid w:val="00814073"/>
    <w:rsid w:val="00826F0D"/>
    <w:rsid w:val="00893B92"/>
    <w:rsid w:val="008C70A2"/>
    <w:rsid w:val="009773E4"/>
    <w:rsid w:val="009A2A5C"/>
    <w:rsid w:val="009B171C"/>
    <w:rsid w:val="009B4C79"/>
    <w:rsid w:val="00A20351"/>
    <w:rsid w:val="00AA23EC"/>
    <w:rsid w:val="00AC63CE"/>
    <w:rsid w:val="00AE2107"/>
    <w:rsid w:val="00B275A8"/>
    <w:rsid w:val="00BF2600"/>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6821</Words>
  <Characters>38881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2021-08-17T13:41:00Z</dcterms:created>
  <dcterms:modified xsi:type="dcterms:W3CDTF">2021-08-17T13:41:00Z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