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705E2F9A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Хелидес 20</w:t>
      </w:r>
      <w:bookmarkStart w:id="1" w:name="_GoBack"/>
      <w:bookmarkEnd w:id="1"/>
      <w:r w:rsidRPr="00D0173E">
        <w:rPr>
          <w:rFonts w:eastAsia="Times New Roman" w:cs="Arial"/>
          <w:color w:val="000000"/>
          <w:lang w:eastAsia="bg-BG"/>
        </w:rPr>
        <w:t xml:space="preserve">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стомашно-устойчиви капсули, твърди</w:t>
      </w:r>
    </w:p>
    <w:p w14:paraId="6855226D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D0173E">
        <w:rPr>
          <w:rFonts w:eastAsia="Times New Roman" w:cs="Arial"/>
          <w:color w:val="000000"/>
          <w:lang w:val="en-US"/>
        </w:rPr>
        <w:t>Helides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20 </w:t>
      </w:r>
      <w:r w:rsidRPr="00D0173E">
        <w:rPr>
          <w:rFonts w:eastAsia="Times New Roman" w:cs="Arial"/>
          <w:color w:val="000000"/>
          <w:lang w:val="en-US"/>
        </w:rPr>
        <w:t>mg gastro-resistant capsules, hard</w:t>
      </w:r>
    </w:p>
    <w:p w14:paraId="76C48E8C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1696A0" w14:textId="22F6F292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Хелидес </w:t>
      </w:r>
      <w:r w:rsidRPr="00D0173E">
        <w:rPr>
          <w:rFonts w:eastAsia="Times New Roman" w:cs="Arial"/>
          <w:color w:val="000000"/>
          <w:lang w:val="en-US"/>
        </w:rPr>
        <w:t xml:space="preserve">40 mg </w:t>
      </w:r>
      <w:r w:rsidRPr="00D0173E">
        <w:rPr>
          <w:rFonts w:eastAsia="Times New Roman" w:cs="Arial"/>
          <w:color w:val="000000"/>
          <w:lang w:eastAsia="bg-BG"/>
        </w:rPr>
        <w:t>стомашно-устойчиви капсули, твърди</w:t>
      </w:r>
    </w:p>
    <w:p w14:paraId="69AC8148" w14:textId="6E9D4898" w:rsidR="00EC41ED" w:rsidRPr="00D0173E" w:rsidRDefault="00D0173E" w:rsidP="00D0173E">
      <w:pPr>
        <w:rPr>
          <w:rFonts w:cs="Arial"/>
        </w:rPr>
      </w:pPr>
      <w:proofErr w:type="spellStart"/>
      <w:r w:rsidRPr="00D0173E">
        <w:rPr>
          <w:rFonts w:eastAsia="Times New Roman" w:cs="Arial"/>
          <w:color w:val="000000"/>
          <w:lang w:val="en-US"/>
        </w:rPr>
        <w:t>Helides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40 </w:t>
      </w:r>
      <w:r w:rsidRPr="00D0173E">
        <w:rPr>
          <w:rFonts w:eastAsia="Times New Roman" w:cs="Arial"/>
          <w:color w:val="000000"/>
          <w:lang w:val="en-US"/>
        </w:rPr>
        <w:t>mg gastro-resistant capsules, hard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20013236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Всяка капсула съдържа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езомепразол </w:t>
      </w:r>
      <w:r w:rsidRPr="00D0173E">
        <w:rPr>
          <w:rFonts w:eastAsia="Times New Roman" w:cs="Arial"/>
          <w:color w:val="000000"/>
          <w:lang w:val="en-US"/>
        </w:rPr>
        <w:t xml:space="preserve">(esomeprazole) </w:t>
      </w:r>
      <w:r w:rsidRPr="00D0173E">
        <w:rPr>
          <w:rFonts w:eastAsia="Times New Roman" w:cs="Arial"/>
          <w:color w:val="000000"/>
          <w:lang w:eastAsia="bg-BG"/>
        </w:rPr>
        <w:t xml:space="preserve">като магнезиев дихидрат </w:t>
      </w:r>
      <w:r w:rsidRPr="00D0173E">
        <w:rPr>
          <w:rFonts w:eastAsia="Times New Roman" w:cs="Arial"/>
          <w:color w:val="000000"/>
          <w:lang w:val="en-US"/>
        </w:rPr>
        <w:t xml:space="preserve">(as magnesium </w:t>
      </w:r>
      <w:proofErr w:type="spellStart"/>
      <w:r w:rsidRPr="00D0173E">
        <w:rPr>
          <w:rFonts w:eastAsia="Times New Roman" w:cs="Arial"/>
          <w:color w:val="000000"/>
          <w:lang w:val="en-US"/>
        </w:rPr>
        <w:t>dihydrate</w:t>
      </w:r>
      <w:proofErr w:type="spellEnd"/>
      <w:r w:rsidRPr="00D0173E">
        <w:rPr>
          <w:rFonts w:eastAsia="Times New Roman" w:cs="Arial"/>
          <w:color w:val="000000"/>
          <w:lang w:val="en-US"/>
        </w:rPr>
        <w:t>).</w:t>
      </w:r>
    </w:p>
    <w:p w14:paraId="68EFF29E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Помощни вещества с известно действие: всяка капсула съдържа 8,05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захароза, 1,85 микрограма метилпарахидроксибензоат (Е218) и 0,56 микрограма пропилпарахидроксибензоат (Е216).</w:t>
      </w:r>
    </w:p>
    <w:p w14:paraId="32FD26AD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3B8FA8" w14:textId="7C430AA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Всяка капсула съдържа 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езомепразол </w:t>
      </w:r>
      <w:r w:rsidRPr="00D0173E">
        <w:rPr>
          <w:rFonts w:eastAsia="Times New Roman" w:cs="Arial"/>
          <w:color w:val="000000"/>
          <w:lang w:val="en-US"/>
        </w:rPr>
        <w:t xml:space="preserve">(esomeprazole) </w:t>
      </w:r>
      <w:r w:rsidRPr="00D0173E">
        <w:rPr>
          <w:rFonts w:eastAsia="Times New Roman" w:cs="Arial"/>
          <w:color w:val="000000"/>
          <w:lang w:eastAsia="bg-BG"/>
        </w:rPr>
        <w:t xml:space="preserve">като магнезиев дихидрат </w:t>
      </w:r>
      <w:r w:rsidRPr="00D0173E">
        <w:rPr>
          <w:rFonts w:eastAsia="Times New Roman" w:cs="Arial"/>
          <w:color w:val="000000"/>
          <w:lang w:val="en-US"/>
        </w:rPr>
        <w:t xml:space="preserve">(as magnesium </w:t>
      </w:r>
      <w:proofErr w:type="spellStart"/>
      <w:r w:rsidRPr="00D0173E">
        <w:rPr>
          <w:rFonts w:eastAsia="Times New Roman" w:cs="Arial"/>
          <w:color w:val="000000"/>
          <w:lang w:val="en-US"/>
        </w:rPr>
        <w:t>dihydrate</w:t>
      </w:r>
      <w:proofErr w:type="spellEnd"/>
      <w:r w:rsidRPr="00D0173E">
        <w:rPr>
          <w:rFonts w:eastAsia="Times New Roman" w:cs="Arial"/>
          <w:color w:val="000000"/>
          <w:lang w:val="en-US"/>
        </w:rPr>
        <w:t>.</w:t>
      </w:r>
    </w:p>
    <w:p w14:paraId="00030E54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Помощни вещества с известно действие: всяка капсула съдържа 16,09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захароза, 3,65 микрограма метилпарахидроксибензоат (Е218) и 1,1 микрограма пропилпарахидроксибензоат (Е216).</w:t>
      </w:r>
    </w:p>
    <w:p w14:paraId="14A0EA23" w14:textId="77777777" w:rsidR="00D0173E" w:rsidRPr="00D0173E" w:rsidRDefault="00D0173E" w:rsidP="00D0173E">
      <w:pPr>
        <w:rPr>
          <w:rFonts w:eastAsia="Times New Roman" w:cs="Arial"/>
          <w:color w:val="000000"/>
          <w:lang w:eastAsia="bg-BG"/>
        </w:rPr>
      </w:pPr>
    </w:p>
    <w:p w14:paraId="54632B43" w14:textId="6C1C4C1D" w:rsidR="00EC41ED" w:rsidRPr="00D0173E" w:rsidRDefault="00D0173E" w:rsidP="00D0173E">
      <w:pPr>
        <w:rPr>
          <w:rFonts w:cs="Arial"/>
        </w:rPr>
      </w:pPr>
      <w:r w:rsidRPr="00D0173E">
        <w:rPr>
          <w:rFonts w:eastAsia="Times New Roman" w:cs="Arial"/>
          <w:color w:val="000000"/>
          <w:lang w:eastAsia="bg-BG"/>
        </w:rPr>
        <w:t>За пълният списък на помощните вещества вж.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0218C5A4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Стомашно-устойчива капсула, твърда</w:t>
      </w:r>
    </w:p>
    <w:p w14:paraId="695EE6FF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62C8D9" w14:textId="468EA50E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Капсула с непрозрачно жълто капаче и непрозрачно бяло тяло с отпечатан в черно надпис „20 </w:t>
      </w:r>
      <w:r w:rsidRPr="00D0173E">
        <w:rPr>
          <w:rFonts w:eastAsia="Times New Roman" w:cs="Arial"/>
          <w:color w:val="000000"/>
          <w:lang w:val="en-US"/>
        </w:rPr>
        <w:t xml:space="preserve">mg” </w:t>
      </w:r>
      <w:r w:rsidRPr="00D0173E">
        <w:rPr>
          <w:rFonts w:eastAsia="Times New Roman" w:cs="Arial"/>
          <w:color w:val="000000"/>
          <w:lang w:eastAsia="bg-BG"/>
        </w:rPr>
        <w:t>върху капачето и тялото. Капсулата съдържа почти бели до сивкави сферични микрогранули.</w:t>
      </w:r>
    </w:p>
    <w:p w14:paraId="77B57078" w14:textId="77777777" w:rsidR="00D0173E" w:rsidRPr="00D0173E" w:rsidRDefault="00D0173E" w:rsidP="00D0173E">
      <w:pPr>
        <w:rPr>
          <w:rFonts w:eastAsia="Times New Roman" w:cs="Arial"/>
          <w:color w:val="000000"/>
          <w:lang w:eastAsia="bg-BG"/>
        </w:rPr>
      </w:pPr>
    </w:p>
    <w:p w14:paraId="743244F0" w14:textId="78D0A777" w:rsidR="00EC41ED" w:rsidRPr="00D0173E" w:rsidRDefault="00D0173E" w:rsidP="00D0173E">
      <w:pPr>
        <w:rPr>
          <w:rFonts w:cs="Arial"/>
        </w:rPr>
      </w:pPr>
      <w:r w:rsidRPr="00D0173E">
        <w:rPr>
          <w:rFonts w:eastAsia="Times New Roman" w:cs="Arial"/>
          <w:color w:val="000000"/>
          <w:lang w:eastAsia="bg-BG"/>
        </w:rPr>
        <w:t xml:space="preserve">Капсула с непрозрачно жълто капаче и непрозрачно жълто тяло с отпечатан в черно надпис „40 </w:t>
      </w:r>
      <w:r w:rsidRPr="00D0173E">
        <w:rPr>
          <w:rFonts w:eastAsia="Times New Roman" w:cs="Arial"/>
          <w:color w:val="000000"/>
          <w:lang w:val="en-US"/>
        </w:rPr>
        <w:t xml:space="preserve">mg” </w:t>
      </w:r>
      <w:r w:rsidRPr="00D0173E">
        <w:rPr>
          <w:rFonts w:eastAsia="Times New Roman" w:cs="Arial"/>
          <w:color w:val="000000"/>
          <w:lang w:eastAsia="bg-BG"/>
        </w:rPr>
        <w:t>върху капачето и тялото. Капсулата съдържа почти бели до сивкави сферични микрогранули.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4FDD6339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lastRenderedPageBreak/>
        <w:t>Хелидес капсули са показани за лечение на:</w:t>
      </w:r>
    </w:p>
    <w:p w14:paraId="4E6E4DA8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3461FD" w14:textId="336F431C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23A01069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bookmarkStart w:id="2" w:name="bookmark0"/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>Гастро-езофагеална рефлуксна болест (ГЕРБ):</w:t>
      </w:r>
      <w:bookmarkEnd w:id="2"/>
    </w:p>
    <w:p w14:paraId="3838DBD0" w14:textId="77777777" w:rsidR="00D0173E" w:rsidRPr="00D0173E" w:rsidRDefault="00D0173E" w:rsidP="00D0173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лечение на ерозивен рефлукс-езофагит;</w:t>
      </w:r>
      <w:r w:rsidRPr="00D0173E">
        <w:rPr>
          <w:rFonts w:eastAsia="Times New Roman" w:cs="Arial"/>
          <w:color w:val="000000"/>
          <w:lang w:eastAsia="bg-BG"/>
        </w:rPr>
        <w:tab/>
      </w:r>
      <w:r w:rsidRPr="00D0173E">
        <w:rPr>
          <w:rFonts w:eastAsia="Times New Roman" w:cs="Arial"/>
          <w:color w:val="000000"/>
          <w:lang w:eastAsia="bg-BG"/>
        </w:rPr>
        <w:tab/>
      </w:r>
      <w:r w:rsidRPr="00D0173E">
        <w:rPr>
          <w:rFonts w:eastAsia="Times New Roman" w:cs="Arial"/>
          <w:color w:val="000000"/>
          <w:lang w:eastAsia="bg-BG"/>
        </w:rPr>
        <w:tab/>
      </w:r>
    </w:p>
    <w:p w14:paraId="1FE8DAE0" w14:textId="77777777" w:rsidR="00D0173E" w:rsidRPr="00D0173E" w:rsidRDefault="00D0173E" w:rsidP="00D0173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продължително лечение на пациенти с оздравял езофагит за предотвратяване на рецидив: </w:t>
      </w:r>
    </w:p>
    <w:p w14:paraId="45BF56C6" w14:textId="1E39867B" w:rsidR="00D0173E" w:rsidRPr="00D0173E" w:rsidRDefault="00D0173E" w:rsidP="00D0173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лечение на гастро-езофагеална рефлуксна болест (ГЕРБ).</w:t>
      </w:r>
    </w:p>
    <w:p w14:paraId="02DEABBE" w14:textId="77777777" w:rsidR="00D0173E" w:rsidRPr="00D0173E" w:rsidRDefault="00D0173E" w:rsidP="00D0173E">
      <w:pPr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3" w:name="bookmark2"/>
    </w:p>
    <w:p w14:paraId="6DFA4B9D" w14:textId="21A99C52" w:rsidR="0091385D" w:rsidRPr="00D0173E" w:rsidRDefault="00D0173E" w:rsidP="00D0173E">
      <w:pPr>
        <w:rPr>
          <w:rFonts w:cs="Arial"/>
        </w:rPr>
      </w:pP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>В комбинация с подходяща антибактериална терапевтична схема за ераднкация</w:t>
      </w:r>
      <w:r w:rsidRPr="00D0173E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</w:t>
      </w: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 xml:space="preserve">на </w:t>
      </w:r>
      <w:r w:rsidRPr="00D0173E">
        <w:rPr>
          <w:rFonts w:eastAsia="Times New Roman" w:cs="Arial"/>
          <w:b/>
          <w:bCs/>
          <w:i/>
          <w:iCs/>
          <w:color w:val="000000"/>
          <w:u w:val="single"/>
          <w:lang w:val="en-US"/>
        </w:rPr>
        <w:t>Helicobacter pylori</w:t>
      </w:r>
      <w:r w:rsidRPr="00D0173E">
        <w:rPr>
          <w:rFonts w:eastAsia="Times New Roman" w:cs="Arial"/>
          <w:b/>
          <w:bCs/>
          <w:color w:val="000000"/>
          <w:u w:val="single"/>
          <w:lang w:val="en-US"/>
        </w:rPr>
        <w:t xml:space="preserve"> </w:t>
      </w: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>за</w:t>
      </w:r>
      <w:r w:rsidRPr="00D0173E">
        <w:rPr>
          <w:rFonts w:eastAsia="Times New Roman" w:cs="Arial"/>
          <w:b/>
          <w:bCs/>
          <w:color w:val="000000"/>
          <w:lang w:eastAsia="bg-BG"/>
        </w:rPr>
        <w:t>:</w:t>
      </w:r>
      <w:bookmarkEnd w:id="3"/>
    </w:p>
    <w:p w14:paraId="60B43740" w14:textId="77777777" w:rsidR="00D0173E" w:rsidRPr="00D0173E" w:rsidRDefault="00D0173E" w:rsidP="00D0173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заздравяване на дуоденална язва, свързана с </w:t>
      </w:r>
      <w:r w:rsidRPr="00D0173E">
        <w:rPr>
          <w:rFonts w:eastAsia="Times New Roman" w:cs="Arial"/>
          <w:i/>
          <w:iCs/>
          <w:color w:val="000000"/>
          <w:lang w:val="en-US"/>
        </w:rPr>
        <w:t>Helicobacter pylori;</w:t>
      </w:r>
    </w:p>
    <w:p w14:paraId="06F29947" w14:textId="22959CFC" w:rsidR="00D0173E" w:rsidRPr="00D0173E" w:rsidRDefault="00D0173E" w:rsidP="00D0173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предотвратяване на рецидив на пептични язви при пациенти с язви, свързани с </w:t>
      </w:r>
      <w:r w:rsidRPr="00D0173E">
        <w:rPr>
          <w:rFonts w:eastAsia="Times New Roman" w:cs="Arial"/>
          <w:i/>
          <w:iCs/>
          <w:color w:val="000000"/>
          <w:lang w:val="en-US"/>
        </w:rPr>
        <w:t>Helicobacter pylori.</w:t>
      </w:r>
    </w:p>
    <w:p w14:paraId="08F9CAA5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23EEDB0A" w14:textId="7DB44CF8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>Пациенти, нуждаещи се от продължителна терапия с нестероидни противовъзпалителни средства (НСПВС):</w:t>
      </w:r>
    </w:p>
    <w:p w14:paraId="1D55C27C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Заздравяване на стомашна язва, свързана с лечение с НСПВС.</w:t>
      </w:r>
    </w:p>
    <w:p w14:paraId="7E12DD32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Профилактика на стомашна и дуоденална язва, причинена от лечение с НСПВС при рискови пациенти.</w:t>
      </w:r>
    </w:p>
    <w:p w14:paraId="08D4D1BB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34BCB250" w14:textId="78B3125F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>Продължително лечение след приложение на инфузионен разтвор за превенция на повторно кървене при пептична язва.</w:t>
      </w:r>
    </w:p>
    <w:p w14:paraId="643C4F17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4" w:name="bookmark4"/>
    </w:p>
    <w:p w14:paraId="46117750" w14:textId="72AFFAF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 xml:space="preserve">Лечение на синдром на </w:t>
      </w:r>
      <w:proofErr w:type="spellStart"/>
      <w:r w:rsidRPr="00D0173E">
        <w:rPr>
          <w:rFonts w:eastAsia="Times New Roman" w:cs="Arial"/>
          <w:b/>
          <w:bCs/>
          <w:color w:val="000000"/>
          <w:u w:val="single"/>
          <w:lang w:val="en-US"/>
        </w:rPr>
        <w:t>Zollinger</w:t>
      </w:r>
      <w:proofErr w:type="spellEnd"/>
      <w:r w:rsidRPr="00D0173E">
        <w:rPr>
          <w:rFonts w:eastAsia="Times New Roman" w:cs="Arial"/>
          <w:b/>
          <w:bCs/>
          <w:color w:val="000000"/>
          <w:u w:val="single"/>
          <w:lang w:val="en-US"/>
        </w:rPr>
        <w:t xml:space="preserve"> Ellison.</w:t>
      </w:r>
      <w:bookmarkEnd w:id="4"/>
    </w:p>
    <w:p w14:paraId="5BC7F6C3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1B0025" w14:textId="03973B3B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Юноши на 12 и повече години</w:t>
      </w:r>
    </w:p>
    <w:p w14:paraId="51E15B3D" w14:textId="677EB94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bookmarkStart w:id="5" w:name="bookmark6"/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>Гастро-езофагеална рефлуксна болест (ГЕРБ):</w:t>
      </w:r>
      <w:bookmarkEnd w:id="5"/>
    </w:p>
    <w:p w14:paraId="4D761E28" w14:textId="73A26A68" w:rsidR="00D0173E" w:rsidRPr="00D0173E" w:rsidRDefault="00D0173E" w:rsidP="00D0173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лечение на ерозивен рефлукс-езофагит;</w:t>
      </w:r>
    </w:p>
    <w:p w14:paraId="476FCD0E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продължително лечение на пациенти с оздравял езофагит за предотвратяване на рецидив; лечение на гастро-езофагеална рефлуксна болест (ГЕРБ).</w:t>
      </w:r>
    </w:p>
    <w:p w14:paraId="1DAF851D" w14:textId="77777777" w:rsidR="00D0173E" w:rsidRPr="00D0173E" w:rsidRDefault="00D0173E" w:rsidP="00D0173E">
      <w:pPr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6" w:name="bookmark8"/>
    </w:p>
    <w:p w14:paraId="642F56D9" w14:textId="517F5A14" w:rsidR="00EC41ED" w:rsidRPr="00D0173E" w:rsidRDefault="00D0173E" w:rsidP="00D0173E">
      <w:pPr>
        <w:rPr>
          <w:rFonts w:cs="Arial"/>
        </w:rPr>
      </w:pP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 xml:space="preserve">В комбинация с антибиотици при лечение на дуоденална язва причинена от </w:t>
      </w:r>
      <w:r w:rsidRPr="00D0173E">
        <w:rPr>
          <w:rFonts w:eastAsia="Times New Roman" w:cs="Arial"/>
          <w:b/>
          <w:bCs/>
          <w:i/>
          <w:iCs/>
          <w:color w:val="000000"/>
          <w:u w:val="single"/>
          <w:lang w:val="en-US"/>
        </w:rPr>
        <w:t>Helicobacter pylori</w:t>
      </w:r>
      <w:bookmarkEnd w:id="6"/>
    </w:p>
    <w:p w14:paraId="4EDD2910" w14:textId="157D318B" w:rsidR="00D0173E" w:rsidRPr="0091385D" w:rsidRDefault="00D0173E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785C7EC9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Капсулите трябва да се поглъщат цели с течност. Капсулите не трябва да се дъвчат или смачкват.</w:t>
      </w:r>
    </w:p>
    <w:p w14:paraId="0F78D5F1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При пациенти, които имат трудности при преглъщането, капсулите могат да се отварят и съдържанието им да се разтваря в половин чаша дегазирана вода. Не трябва да се използват други течности, тъй като стомашно-устойчивото покритие може да се разтвори. Разбъркайте и изпийте течността с гранулите веднага или в рамките на 30 минути. Изплакнете чашата с половин чаша вода и изпийте. Гранулите не трябва да бъдат дъвкани или мачкани.</w:t>
      </w:r>
    </w:p>
    <w:p w14:paraId="5EF5F02B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B427D7" w14:textId="11B81B24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При пациенти, които не могат да преглъщат, съдържанието на капсулите може да се разтваря в негазирана вода и разтворът да се приложи през стомашна сонда. </w:t>
      </w:r>
      <w:r w:rsidRPr="00D0173E">
        <w:rPr>
          <w:rFonts w:eastAsia="Times New Roman" w:cs="Arial"/>
          <w:color w:val="000000"/>
          <w:u w:val="single"/>
          <w:lang w:eastAsia="bg-BG"/>
        </w:rPr>
        <w:t xml:space="preserve">Важно е да </w:t>
      </w:r>
      <w:r w:rsidRPr="00D0173E">
        <w:rPr>
          <w:rFonts w:eastAsia="Times New Roman" w:cs="Arial"/>
          <w:color w:val="000000"/>
          <w:u w:val="single"/>
          <w:lang w:eastAsia="bg-BG"/>
        </w:rPr>
        <w:lastRenderedPageBreak/>
        <w:t>се установи дали избраните спринцовка и сонда са подходящи.</w:t>
      </w:r>
      <w:r w:rsidRPr="00D0173E">
        <w:rPr>
          <w:rFonts w:eastAsia="Times New Roman" w:cs="Arial"/>
          <w:color w:val="000000"/>
          <w:lang w:eastAsia="bg-BG"/>
        </w:rPr>
        <w:t xml:space="preserve"> За подготовка и инструкция за приложение вж. точка 6.6.</w:t>
      </w:r>
    </w:p>
    <w:p w14:paraId="036EC2CC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6919CD" w14:textId="1C0B9563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Възрастни и депа на 12 и повече години</w:t>
      </w:r>
    </w:p>
    <w:p w14:paraId="7E0FBE3C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lang w:eastAsia="bg-BG"/>
        </w:rPr>
        <w:t>Гастро-езофагеална рефлуксна болест (ГЕРБ)</w:t>
      </w:r>
    </w:p>
    <w:p w14:paraId="3D02123C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- </w:t>
      </w:r>
      <w:r w:rsidRPr="00D0173E">
        <w:rPr>
          <w:rFonts w:eastAsia="Times New Roman" w:cs="Arial"/>
          <w:color w:val="000000"/>
          <w:u w:val="single"/>
          <w:lang w:eastAsia="bg-BG"/>
        </w:rPr>
        <w:t>лечение на ерозивен рефлукс-езофагит</w:t>
      </w:r>
    </w:p>
    <w:p w14:paraId="13826D2E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дневно в продължение на 4 седмици.</w:t>
      </w:r>
    </w:p>
    <w:p w14:paraId="0BFBD0AD" w14:textId="4B33B8B1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Препоръчва се допълнително 4-седмично лечение при пациенти, при които езофагитьт не е заздравял или симптомите персистират.</w:t>
      </w:r>
    </w:p>
    <w:p w14:paraId="1A413B11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414004" w14:textId="7A124C7F" w:rsidR="00D0173E" w:rsidRPr="00D0173E" w:rsidRDefault="00D0173E" w:rsidP="00D0173E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 xml:space="preserve">продължително лечение на пациенти със заздравял езофагит за предотвратяване на рецидив </w:t>
      </w:r>
      <w:r w:rsidRPr="00D0173E">
        <w:rPr>
          <w:rFonts w:eastAsia="Times New Roman" w:cs="Arial"/>
          <w:color w:val="000000"/>
          <w:lang w:eastAsia="bg-BG"/>
        </w:rPr>
        <w:t xml:space="preserve">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дневно.</w:t>
      </w:r>
    </w:p>
    <w:p w14:paraId="2B0D98F4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41BB03" w14:textId="77777777" w:rsidR="00D0173E" w:rsidRPr="00D0173E" w:rsidRDefault="00D0173E" w:rsidP="00D0173E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симптоматично лечение на гастро-езофагеална рефлуксна болест (ГЕРБ)</w:t>
      </w:r>
    </w:p>
    <w:p w14:paraId="740BAF42" w14:textId="1518BE49" w:rsidR="00D0173E" w:rsidRPr="00D0173E" w:rsidRDefault="00D0173E" w:rsidP="00D0173E">
      <w:pPr>
        <w:rPr>
          <w:rFonts w:cs="Arial"/>
        </w:rPr>
      </w:pPr>
      <w:r w:rsidRPr="00D0173E">
        <w:rPr>
          <w:rFonts w:eastAsia="Times New Roman" w:cs="Arial"/>
          <w:color w:val="000000"/>
          <w:lang w:eastAsia="bg-BG"/>
        </w:rPr>
        <w:t xml:space="preserve">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дневно при пациенти без езофагит. Ако не се постигне контрол на симптомите след 4 седмици, пациентът трябва да се изследва допълнително. След като симптомите отзвучат последващ контрол на симптоматиката може да се достигне като се вземат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веднъж дневно. При възрастни пациенти може да бъде се използва режим на приемане на  лекарствения продукт при нужда - 20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веднъж дневно. При пациенти, лекувани с НСПВС</w:t>
      </w:r>
      <w:r w:rsidRPr="00D0173E">
        <w:rPr>
          <w:rFonts w:cs="Arial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>и е налице риск от развитие на стомашна и дуоденална язва, не се препоръчва режим на приемане на лекарствения продукт при нужда за последващ контрол на симптоматиката.</w:t>
      </w:r>
    </w:p>
    <w:p w14:paraId="0C6F04A6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4F7455" w14:textId="7148AF03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262ECD4D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lang w:eastAsia="bg-BG"/>
        </w:rPr>
        <w:t xml:space="preserve">В комбинация с подходяща антибактериална схема на лечение за ерадикация на </w:t>
      </w:r>
      <w:r w:rsidRPr="00D0173E">
        <w:rPr>
          <w:rFonts w:eastAsia="Times New Roman" w:cs="Arial"/>
          <w:b/>
          <w:bCs/>
          <w:color w:val="000000"/>
          <w:lang w:val="en-US"/>
        </w:rPr>
        <w:t xml:space="preserve">Helicobacter pylori </w:t>
      </w:r>
      <w:r w:rsidRPr="00D0173E">
        <w:rPr>
          <w:rFonts w:eastAsia="Times New Roman" w:cs="Arial"/>
          <w:b/>
          <w:bCs/>
          <w:color w:val="000000"/>
          <w:lang w:eastAsia="bg-BG"/>
        </w:rPr>
        <w:t>и</w:t>
      </w:r>
    </w:p>
    <w:p w14:paraId="6C86D684" w14:textId="77777777" w:rsidR="00D0173E" w:rsidRPr="00D0173E" w:rsidRDefault="00D0173E" w:rsidP="00D0173E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лечение на дуоденална язва, свързана с </w:t>
      </w:r>
      <w:r w:rsidRPr="00D0173E">
        <w:rPr>
          <w:rFonts w:eastAsia="Times New Roman" w:cs="Arial"/>
          <w:i/>
          <w:iCs/>
          <w:color w:val="000000"/>
          <w:lang w:val="en-US"/>
        </w:rPr>
        <w:t>Helicobacter pylori</w:t>
      </w:r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>и</w:t>
      </w:r>
    </w:p>
    <w:p w14:paraId="0BE0741A" w14:textId="77777777" w:rsidR="00D0173E" w:rsidRPr="00D0173E" w:rsidRDefault="00D0173E" w:rsidP="00D0173E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предотвратяване на рецидив на пептични язви при пациенти с язва, свързана с </w:t>
      </w:r>
      <w:r w:rsidRPr="00D0173E">
        <w:rPr>
          <w:rFonts w:eastAsia="Times New Roman" w:cs="Arial"/>
          <w:color w:val="000000"/>
          <w:lang w:val="en-US"/>
        </w:rPr>
        <w:t>Helicobacter pylori.</w:t>
      </w:r>
    </w:p>
    <w:p w14:paraId="3CD2BD85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Хелидес с 1 </w:t>
      </w:r>
      <w:r w:rsidRPr="00D0173E">
        <w:rPr>
          <w:rFonts w:eastAsia="Times New Roman" w:cs="Arial"/>
          <w:color w:val="000000"/>
          <w:lang w:val="en-US"/>
        </w:rPr>
        <w:t xml:space="preserve">g </w:t>
      </w:r>
      <w:r w:rsidRPr="00D0173E">
        <w:rPr>
          <w:rFonts w:eastAsia="Times New Roman" w:cs="Arial"/>
          <w:color w:val="000000"/>
          <w:lang w:eastAsia="bg-BG"/>
        </w:rPr>
        <w:t xml:space="preserve">амоксицилин и 500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кларитромицин - всичките два пъти дневно в продължение на 7 дни.</w:t>
      </w:r>
    </w:p>
    <w:p w14:paraId="3F90A309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BBD7A5E" w14:textId="1A11FFD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lang w:eastAsia="bg-BG"/>
        </w:rPr>
        <w:t>Пациенти, нуящаещи се от продължителна терапия с НСПВС</w:t>
      </w:r>
    </w:p>
    <w:p w14:paraId="2F0C6D4C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Заздравяване на стомашна язва, свързана с НСПВС:</w:t>
      </w:r>
    </w:p>
    <w:p w14:paraId="0AC9CDE9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Обичайната доза е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веднъж дневно в продължение на 4- 8 седмици.</w:t>
      </w:r>
    </w:p>
    <w:p w14:paraId="5ADA6D03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ED1A30" w14:textId="2ACB787F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Профилактика на стомашна и дуоденална язва, причинени от лечение с НСПВС при рискови пациенти: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дневно.</w:t>
      </w:r>
    </w:p>
    <w:p w14:paraId="555C5514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512ACA1" w14:textId="0894F3DF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lang w:eastAsia="bg-BG"/>
        </w:rPr>
        <w:t>Продължително лечение след интравенозна профилактика на повторно кървене при пептични язви.</w:t>
      </w:r>
    </w:p>
    <w:p w14:paraId="68758CCE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веднъж дневно за 4 седмици след проведена профилактика на пептични язви интравенозно.</w:t>
      </w:r>
    </w:p>
    <w:p w14:paraId="6553EEF6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0A79F78" w14:textId="5238BA6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lang w:eastAsia="bg-BG"/>
        </w:rPr>
        <w:t xml:space="preserve">Лечение на синдрома на </w:t>
      </w:r>
      <w:proofErr w:type="spellStart"/>
      <w:r w:rsidRPr="00D0173E">
        <w:rPr>
          <w:rFonts w:eastAsia="Times New Roman" w:cs="Arial"/>
          <w:b/>
          <w:bCs/>
          <w:color w:val="000000"/>
          <w:lang w:val="en-US"/>
        </w:rPr>
        <w:t>Zollinger</w:t>
      </w:r>
      <w:proofErr w:type="spellEnd"/>
      <w:r w:rsidRPr="00D0173E">
        <w:rPr>
          <w:rFonts w:eastAsia="Times New Roman" w:cs="Arial"/>
          <w:b/>
          <w:bCs/>
          <w:color w:val="000000"/>
          <w:lang w:val="en-US"/>
        </w:rPr>
        <w:t xml:space="preserve"> Ellison</w:t>
      </w:r>
    </w:p>
    <w:p w14:paraId="399D6FE6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Препоръчваната първоначална доза е Хелидес 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два пъти дневно.Дозата се определя според индивидуалните нужди, като продължителността на лечение се определя от клиничните показатели. Въз основа на наличните клинични данни, по-голямата част от пациентите могат да бъдат контролирани при дози от 80 до 160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lastRenderedPageBreak/>
        <w:t xml:space="preserve">езомепразол дневно. При дозировка над 80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дневно, дозата трябва да се раздели в два приема на ден.</w:t>
      </w:r>
    </w:p>
    <w:p w14:paraId="1F7F1FB4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7DA91F6" w14:textId="06E87938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Юноши на 12 и повече години</w:t>
      </w:r>
    </w:p>
    <w:p w14:paraId="782036EF" w14:textId="77777777" w:rsidR="00D0173E" w:rsidRPr="00D0173E" w:rsidRDefault="00D0173E" w:rsidP="00D0173E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471E73A4" w14:textId="600342A2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b/>
          <w:bCs/>
          <w:color w:val="000000"/>
          <w:u w:val="single"/>
          <w:lang w:eastAsia="bg-BG"/>
        </w:rPr>
        <w:t xml:space="preserve">Лечение на дуоденална язва, причинена от </w:t>
      </w:r>
      <w:r w:rsidRPr="00D0173E">
        <w:rPr>
          <w:rFonts w:eastAsia="Times New Roman" w:cs="Arial"/>
          <w:b/>
          <w:bCs/>
          <w:color w:val="000000"/>
          <w:u w:val="single"/>
          <w:lang w:val="en-US"/>
        </w:rPr>
        <w:t>Helicobacter pylori</w:t>
      </w:r>
    </w:p>
    <w:p w14:paraId="76473C48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При избора на подходяща комбинирана терапия, трябва да бъдат взети в предвид официалните национални, регионални и локални упътвания относно бактериалната устойчивост.</w:t>
      </w:r>
    </w:p>
    <w:p w14:paraId="2ECD2501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продължителността на лечението (най-често 7 дни, но понякога до 14 дни), и подходящото използване на антибактериални агенти. Лечението трябва да бъде наблюдавано от специалист.</w:t>
      </w:r>
    </w:p>
    <w:p w14:paraId="26795FE2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</w:p>
    <w:p w14:paraId="7D1256DF" w14:textId="196018A0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Препоръчителната дозировка е:</w:t>
      </w:r>
    </w:p>
    <w:p w14:paraId="169D7C75" w14:textId="32BC4F2D" w:rsidR="00D0173E" w:rsidRDefault="00D0173E" w:rsidP="00D0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73E" w14:paraId="1A798C3B" w14:textId="77777777" w:rsidTr="00CE6FFC">
        <w:tc>
          <w:tcPr>
            <w:tcW w:w="3116" w:type="dxa"/>
            <w:vAlign w:val="bottom"/>
          </w:tcPr>
          <w:p w14:paraId="310F3FF4" w14:textId="6F8FAE22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>Тегло</w:t>
            </w:r>
          </w:p>
        </w:tc>
        <w:tc>
          <w:tcPr>
            <w:tcW w:w="3117" w:type="dxa"/>
            <w:vAlign w:val="bottom"/>
          </w:tcPr>
          <w:p w14:paraId="311548D6" w14:textId="76184A81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>Дозировка</w:t>
            </w:r>
          </w:p>
        </w:tc>
        <w:tc>
          <w:tcPr>
            <w:tcW w:w="3117" w:type="dxa"/>
            <w:vAlign w:val="bottom"/>
          </w:tcPr>
          <w:p w14:paraId="18980160" w14:textId="426C0117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>Тегло</w:t>
            </w:r>
          </w:p>
        </w:tc>
      </w:tr>
      <w:tr w:rsidR="00D0173E" w14:paraId="3BBBFFAE" w14:textId="77777777" w:rsidTr="00CE6FFC">
        <w:tc>
          <w:tcPr>
            <w:tcW w:w="3116" w:type="dxa"/>
          </w:tcPr>
          <w:p w14:paraId="44056A6E" w14:textId="1CEF3652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 xml:space="preserve">30-40 </w:t>
            </w:r>
            <w:r w:rsidRPr="00D0173E">
              <w:rPr>
                <w:lang w:val="en-US"/>
              </w:rPr>
              <w:t>kg</w:t>
            </w:r>
          </w:p>
        </w:tc>
        <w:tc>
          <w:tcPr>
            <w:tcW w:w="3117" w:type="dxa"/>
            <w:vAlign w:val="bottom"/>
          </w:tcPr>
          <w:p w14:paraId="1ED0E43E" w14:textId="20039A38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 xml:space="preserve">Комбинация от два антибиотика: Хелидес 20 </w:t>
            </w:r>
            <w:r w:rsidRPr="00D0173E">
              <w:rPr>
                <w:lang w:val="en-US"/>
              </w:rPr>
              <w:t xml:space="preserve">mg, </w:t>
            </w:r>
            <w:r w:rsidRPr="00D0173E">
              <w:t xml:space="preserve">амоксицилин 750 </w:t>
            </w:r>
            <w:r w:rsidRPr="00D0173E">
              <w:rPr>
                <w:lang w:val="en-US"/>
              </w:rPr>
              <w:t xml:space="preserve">mg </w:t>
            </w:r>
            <w:r w:rsidRPr="00D0173E">
              <w:t xml:space="preserve">и кларитромицин 7.5 </w:t>
            </w:r>
            <w:r w:rsidRPr="00D0173E">
              <w:rPr>
                <w:lang w:val="en-US"/>
              </w:rPr>
              <w:t xml:space="preserve">mg/kg </w:t>
            </w:r>
            <w:r w:rsidRPr="00D0173E">
              <w:t>телесно тегло се приемат заедно два пъти дневно за една седмица.</w:t>
            </w:r>
          </w:p>
        </w:tc>
        <w:tc>
          <w:tcPr>
            <w:tcW w:w="3117" w:type="dxa"/>
          </w:tcPr>
          <w:p w14:paraId="4ED0CFAD" w14:textId="4472A60C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 xml:space="preserve">30-40 </w:t>
            </w:r>
            <w:r w:rsidRPr="00D0173E">
              <w:rPr>
                <w:lang w:val="en-US"/>
              </w:rPr>
              <w:t>kg</w:t>
            </w:r>
          </w:p>
        </w:tc>
      </w:tr>
      <w:tr w:rsidR="00D0173E" w14:paraId="268444E8" w14:textId="77777777" w:rsidTr="00CE6FFC">
        <w:tc>
          <w:tcPr>
            <w:tcW w:w="3116" w:type="dxa"/>
          </w:tcPr>
          <w:p w14:paraId="364C9C44" w14:textId="4540132F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 xml:space="preserve">&gt;40 </w:t>
            </w:r>
            <w:r w:rsidRPr="00D0173E">
              <w:rPr>
                <w:lang w:val="en-US"/>
              </w:rPr>
              <w:t>kg</w:t>
            </w:r>
          </w:p>
        </w:tc>
        <w:tc>
          <w:tcPr>
            <w:tcW w:w="3117" w:type="dxa"/>
            <w:vAlign w:val="bottom"/>
          </w:tcPr>
          <w:p w14:paraId="34139F51" w14:textId="462CDECC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 xml:space="preserve">Комбинация с два антибиотика: Хелидес 20 </w:t>
            </w:r>
            <w:r w:rsidRPr="00D0173E">
              <w:rPr>
                <w:lang w:val="en-US"/>
              </w:rPr>
              <w:t xml:space="preserve">mg, </w:t>
            </w:r>
            <w:r w:rsidRPr="00D0173E">
              <w:t xml:space="preserve">амоксицилин 1 </w:t>
            </w:r>
            <w:r w:rsidRPr="00D0173E">
              <w:rPr>
                <w:lang w:val="en-US"/>
              </w:rPr>
              <w:t xml:space="preserve">g </w:t>
            </w:r>
            <w:r w:rsidRPr="00D0173E">
              <w:t xml:space="preserve">и кларитромицин 500 </w:t>
            </w:r>
            <w:r w:rsidRPr="00D0173E">
              <w:rPr>
                <w:lang w:val="en-US"/>
              </w:rPr>
              <w:t xml:space="preserve">mg </w:t>
            </w:r>
            <w:r w:rsidRPr="00D0173E">
              <w:t>се приемат заедно два пъти дневно за една седмица.</w:t>
            </w:r>
          </w:p>
        </w:tc>
        <w:tc>
          <w:tcPr>
            <w:tcW w:w="3117" w:type="dxa"/>
          </w:tcPr>
          <w:p w14:paraId="6FD3AC42" w14:textId="7D58FA44" w:rsidR="00D0173E" w:rsidRPr="00D0173E" w:rsidRDefault="00D0173E" w:rsidP="00D0173E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173E">
              <w:t xml:space="preserve">&gt;40 </w:t>
            </w:r>
            <w:r w:rsidRPr="00D0173E">
              <w:rPr>
                <w:lang w:val="en-US"/>
              </w:rPr>
              <w:t>kg</w:t>
            </w:r>
          </w:p>
        </w:tc>
      </w:tr>
    </w:tbl>
    <w:p w14:paraId="4095CF0B" w14:textId="7CE318E3" w:rsidR="00D0173E" w:rsidRDefault="00D0173E" w:rsidP="00D0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FF9402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Деца под 12 години</w:t>
      </w:r>
    </w:p>
    <w:p w14:paraId="63DDCF71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Хелидес не трябва да се прилага при деца под 12 годишна възраст, тъй като няма налични данни.</w:t>
      </w:r>
    </w:p>
    <w:p w14:paraId="45109AA6" w14:textId="77777777" w:rsidR="00D0173E" w:rsidRPr="00D0173E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6BFD2A" w14:textId="205DAF08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Увредена бъбречна функция</w:t>
      </w:r>
    </w:p>
    <w:p w14:paraId="56C06D49" w14:textId="7CDC094C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Не е необходимо адаптиране на дозата при пациенти с увредена бъбречна функция. Поради ограничения опит при пациенти с тежка бъбречна недостатъчност, такива пациенти трябва да се лекуват внимателно (вж. точка 5.2).</w:t>
      </w:r>
    </w:p>
    <w:p w14:paraId="462A6F8E" w14:textId="53058728" w:rsidR="00D0173E" w:rsidRDefault="00D0173E" w:rsidP="0091385D"/>
    <w:p w14:paraId="14C34866" w14:textId="77777777" w:rsidR="00D0173E" w:rsidRPr="00D0173E" w:rsidRDefault="00D0173E" w:rsidP="00D0173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Увредена чернод робна функция</w:t>
      </w:r>
    </w:p>
    <w:p w14:paraId="22BD3ADC" w14:textId="77777777" w:rsidR="00D0173E" w:rsidRPr="00D0173E" w:rsidRDefault="00D0173E" w:rsidP="00D0173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Не е необходимо адаптиране на дозата при пациенти с леко до умерено чернодробно увреждане. При пациенти с тежко чернодробно увреждане не трябва да се надхвърля максимална доза от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Хелидес (вж. точка 5.2).</w:t>
      </w:r>
    </w:p>
    <w:p w14:paraId="62AC8DB0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87E08A" w14:textId="1B568EAF" w:rsidR="00D0173E" w:rsidRPr="00D0173E" w:rsidRDefault="00D0173E" w:rsidP="00D0173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Старческа възраст</w:t>
      </w:r>
    </w:p>
    <w:p w14:paraId="161EE758" w14:textId="07BDE714" w:rsidR="00D0173E" w:rsidRPr="00C67FF3" w:rsidRDefault="00D0173E" w:rsidP="00D0173E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>Не се изисква коригиране на дозата при пациенти в напреднала възраст.</w:t>
      </w:r>
    </w:p>
    <w:p w14:paraId="556721AB" w14:textId="77777777" w:rsidR="00D0173E" w:rsidRPr="0091385D" w:rsidRDefault="00D0173E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3C70E000" w14:textId="77777777" w:rsidR="00D0173E" w:rsidRPr="00D0173E" w:rsidRDefault="00D0173E" w:rsidP="00D0173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lastRenderedPageBreak/>
        <w:t>Свръхчувствителност към активното вещество, субституирани бензимидазоли или някое от помощните вещества, изброени в т. 6.1.</w:t>
      </w:r>
    </w:p>
    <w:p w14:paraId="030B6A4D" w14:textId="514E3D6F" w:rsidR="00EC41ED" w:rsidRPr="00C67FF3" w:rsidRDefault="00D0173E" w:rsidP="00D0173E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>Езомепразол не трябва да се прилага едновременно с нелфинавир (вж. точка 4.5).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30AED7E0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При наличието на каквито и да е обезпокоителни симптоми, напр. значима загуба на тегло, повтарящо се повръщане, дисфагия, хематемезис или мелена, и в случаите, когато се подозира или е диагностицирана стомашна язва, трябва да се изключи наличието на злокачествено заболяване, тъй като лечението с езомепразол може да завоалира симптомите и да забави диагнозата.</w:t>
      </w:r>
    </w:p>
    <w:p w14:paraId="1D0D7C18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9C6792" w14:textId="3FEDB38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Пациенти на продължително лечение (особено тези, лекувани повече от една година ) трябва да са под редовно наблюдение.</w:t>
      </w:r>
    </w:p>
    <w:p w14:paraId="7EDB58E1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3E128D" w14:textId="12AFD71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Инхибитори на протонната помпа, особено ако се приемат във високи дози и продължителен период (повече от една година), могат умерено да увеличат риска от фрактури на тазобедрената става, китката и гръбначния стълб, предимно при пациенти в напреднала възраст или при които има наличие на други известни рискови фактори. Наблюдателни изпитвания предполагат, че инхибиторите на протонната помпа могат да увеличат общия риск от фрактури с 10-40 %. Част от увеличаването може да се дължи на други рискови фактори. Пациенти с риск от остеопороза трябва да получават грижи в съответствие с настоящите клинични препоръки и трябва да имат адекватен прием на витамин Д и калций.</w:t>
      </w:r>
    </w:p>
    <w:p w14:paraId="456D71B4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5A5BC7" w14:textId="48A6E35E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Пациенти, които са на режим на лечение при нужда, трябва да бъдат инструктирани да се свържат незабавно с лекуващия си лекар, ако симптомите им променят характера си. Когато се предписва езомепразол за лечение при нужда, трябва да се имат предвид възможността за взаимодействия с други лекарства, дължащи се на флуктуирането на плазмените концентрации на езомепразола. Вж. точка 4.5.</w:t>
      </w:r>
    </w:p>
    <w:p w14:paraId="237E66EF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7FAFBE" w14:textId="295E58B8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Когато се предписва езомепразол за ерадикация на </w:t>
      </w:r>
      <w:r w:rsidRPr="00D0173E">
        <w:rPr>
          <w:rFonts w:eastAsia="Times New Roman" w:cs="Arial"/>
          <w:i/>
          <w:iCs/>
          <w:color w:val="000000"/>
          <w:lang w:val="en-US"/>
        </w:rPr>
        <w:t>Helicobacter pylori,</w:t>
      </w:r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трябва да се имат предвид възможните лекарствени взаимодействия на всички компоненти на тройната терапия. Кларитромицин е потенциален инхибитор на </w:t>
      </w:r>
      <w:r w:rsidRPr="00D0173E">
        <w:rPr>
          <w:rFonts w:eastAsia="Times New Roman" w:cs="Arial"/>
          <w:color w:val="000000"/>
          <w:lang w:val="en-US"/>
        </w:rPr>
        <w:t>CYP3</w:t>
      </w:r>
      <w:r w:rsidRPr="00D0173E">
        <w:rPr>
          <w:rFonts w:eastAsia="Times New Roman" w:cs="Arial"/>
          <w:color w:val="000000"/>
          <w:lang w:eastAsia="bg-BG"/>
        </w:rPr>
        <w:t xml:space="preserve">А4 и това трябва да се има предвид, както и противопоказанията и взаимодействията на кларитромицина, когато тройната терапия се прилага при пациенти, приемащи едновременно други лекарства, метаболизиращи се от </w:t>
      </w:r>
      <w:r w:rsidRPr="00D0173E">
        <w:rPr>
          <w:rFonts w:eastAsia="Times New Roman" w:cs="Arial"/>
          <w:color w:val="000000"/>
          <w:lang w:val="en-US"/>
        </w:rPr>
        <w:t xml:space="preserve">CYP3A4 </w:t>
      </w:r>
      <w:r w:rsidRPr="00D0173E">
        <w:rPr>
          <w:rFonts w:eastAsia="Times New Roman" w:cs="Arial"/>
          <w:color w:val="000000"/>
          <w:lang w:eastAsia="bg-BG"/>
        </w:rPr>
        <w:t>като цизаприд.</w:t>
      </w:r>
    </w:p>
    <w:p w14:paraId="7A3835FE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85ECAF" w14:textId="433F9B5E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Лечението с инхибитори на протонната помпа може да доведе до незначително повишен риск от гастроинтестинални инфекции като </w:t>
      </w:r>
      <w:r w:rsidRPr="00D0173E">
        <w:rPr>
          <w:rFonts w:eastAsia="Times New Roman" w:cs="Arial"/>
          <w:color w:val="000000"/>
          <w:lang w:val="en-US"/>
        </w:rPr>
        <w:t xml:space="preserve">Salmonella </w:t>
      </w:r>
      <w:r w:rsidRPr="00D0173E">
        <w:rPr>
          <w:rFonts w:eastAsia="Times New Roman" w:cs="Arial"/>
          <w:color w:val="000000"/>
          <w:lang w:eastAsia="bg-BG"/>
        </w:rPr>
        <w:t xml:space="preserve">и </w:t>
      </w:r>
      <w:r w:rsidRPr="00D0173E">
        <w:rPr>
          <w:rFonts w:eastAsia="Times New Roman" w:cs="Arial"/>
          <w:color w:val="000000"/>
          <w:lang w:val="en-US"/>
        </w:rPr>
        <w:t xml:space="preserve">Campylobacter </w:t>
      </w:r>
      <w:r w:rsidRPr="00D0173E">
        <w:rPr>
          <w:rFonts w:eastAsia="Times New Roman" w:cs="Arial"/>
          <w:color w:val="000000"/>
          <w:lang w:eastAsia="bg-BG"/>
        </w:rPr>
        <w:t>(вж. точка 5.1).</w:t>
      </w:r>
    </w:p>
    <w:p w14:paraId="114027CB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D5B530" w14:textId="597C511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Не се препоръчва едновременната употреба на езомепразол с атазанавир (вж. точка 4.5).</w:t>
      </w:r>
    </w:p>
    <w:p w14:paraId="0E28BBDE" w14:textId="6094D471" w:rsidR="007A2185" w:rsidRPr="00C67FF3" w:rsidRDefault="00D0173E" w:rsidP="00D0173E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 xml:space="preserve">Ако комбинацията на атазанавир с инхибитор на протонната помпа не може да се избегне, се препоръчва внимателно клинично мониториране при комбинация с повишена доза атазанавир до 400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и 100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ритонавир; езомепразолът не трябва да надвишава 20 </w:t>
      </w:r>
      <w:r w:rsidRPr="00C67FF3">
        <w:rPr>
          <w:rFonts w:eastAsia="Times New Roman" w:cs="Arial"/>
          <w:color w:val="000000"/>
          <w:lang w:val="en-US"/>
        </w:rPr>
        <w:t>mg.</w:t>
      </w:r>
    </w:p>
    <w:p w14:paraId="24E3E82F" w14:textId="654345F3" w:rsidR="0091385D" w:rsidRPr="00C67FF3" w:rsidRDefault="0091385D" w:rsidP="0091385D">
      <w:pPr>
        <w:rPr>
          <w:rFonts w:cs="Arial"/>
        </w:rPr>
      </w:pPr>
    </w:p>
    <w:p w14:paraId="1064192F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Езомепразол е </w:t>
      </w:r>
      <w:r w:rsidRPr="00D0173E">
        <w:rPr>
          <w:rFonts w:eastAsia="Times New Roman" w:cs="Arial"/>
          <w:color w:val="000000"/>
          <w:lang w:val="en-US"/>
        </w:rPr>
        <w:t xml:space="preserve">CYP2C19 </w:t>
      </w:r>
      <w:r w:rsidRPr="00D0173E">
        <w:rPr>
          <w:rFonts w:eastAsia="Times New Roman" w:cs="Arial"/>
          <w:color w:val="000000"/>
          <w:lang w:eastAsia="bg-BG"/>
        </w:rPr>
        <w:t xml:space="preserve">инхибитор. Когато се започва или спира лечение с езомепразол, трябва да се вземе предвид потенциални взаимодействия с лекарства, метаболизирани от </w:t>
      </w:r>
      <w:r w:rsidRPr="00D0173E">
        <w:rPr>
          <w:rFonts w:eastAsia="Times New Roman" w:cs="Arial"/>
          <w:color w:val="000000"/>
          <w:lang w:val="en-US"/>
        </w:rPr>
        <w:t xml:space="preserve">CYP2C19. </w:t>
      </w:r>
      <w:r w:rsidRPr="00D0173E">
        <w:rPr>
          <w:rFonts w:eastAsia="Times New Roman" w:cs="Arial"/>
          <w:color w:val="000000"/>
          <w:lang w:eastAsia="bg-BG"/>
        </w:rPr>
        <w:t xml:space="preserve">Наблюдавано е взаимодействие между клопидогрел и омепразол (вж. точка </w:t>
      </w:r>
      <w:r w:rsidRPr="00D0173E">
        <w:rPr>
          <w:rFonts w:eastAsia="Times New Roman" w:cs="Arial"/>
          <w:color w:val="000000"/>
          <w:lang w:eastAsia="bg-BG"/>
        </w:rPr>
        <w:lastRenderedPageBreak/>
        <w:t>4.5). Клиничната значимост на това взаимодействие не е сигурно. Като предпазна мярка, едновременната употреба на езомепразол и клопидогрел трябва да се избягва.</w:t>
      </w:r>
    </w:p>
    <w:p w14:paraId="6B26D5DF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>Хипомагнезиемия</w:t>
      </w:r>
    </w:p>
    <w:p w14:paraId="4BE7B5E3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Съобщавана е тежка хипомагнезиемия при пациенти, лекувани с ИПП като езомепразол в продължение на три месеца, а в повечето случаи в продължение на година. Могат да се наблюдават сериозни прояви на хипомагнезиемия като умора, тетания, делириум, конвулсии, замаяност, вентрикуларна аритмия, но те могат да започнат незабелязано и да бъдат пропуснати. При повечето засегнати пациенти хипомагнезиемията се подобрява след заместване с магнезий и преустановяване приема на ИПП.</w:t>
      </w:r>
    </w:p>
    <w:p w14:paraId="13399245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За пациенти, които се очаква да бъдат на продължително лечение или които приемат ИПП с дигоксин или други лекарства, които могат да причинят хипомагнезиемия (напр диуретици), медицинските специалисти трябва да обмислят измерване нивата на магнезий преди да се започне лечение с ИПП и периодично по време на лечението.</w:t>
      </w:r>
    </w:p>
    <w:p w14:paraId="4550D55C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AD1B83" w14:textId="27DF8728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>Влияние върху лабораторните изследвания</w:t>
      </w:r>
    </w:p>
    <w:p w14:paraId="66053E23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Повишеното ниво на хромогранин </w:t>
      </w:r>
      <w:r w:rsidRPr="00D0173E">
        <w:rPr>
          <w:rFonts w:eastAsia="Times New Roman" w:cs="Arial"/>
          <w:color w:val="000000"/>
          <w:lang w:val="en-US"/>
        </w:rPr>
        <w:t>A (</w:t>
      </w:r>
      <w:proofErr w:type="spellStart"/>
      <w:r w:rsidRPr="00D0173E">
        <w:rPr>
          <w:rFonts w:eastAsia="Times New Roman" w:cs="Arial"/>
          <w:color w:val="000000"/>
          <w:lang w:val="en-US"/>
        </w:rPr>
        <w:t>CgA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) </w:t>
      </w:r>
      <w:r w:rsidRPr="00D0173E">
        <w:rPr>
          <w:rFonts w:eastAsia="Times New Roman" w:cs="Arial"/>
          <w:color w:val="000000"/>
          <w:lang w:eastAsia="bg-BG"/>
        </w:rPr>
        <w:t xml:space="preserve">може да повлияе на изследванията за невроендокринни тумори. За да се избегне това взаимодействие, лечението с Езомепразол трябва да се спре временно най-малко за 5 дни преди определянето на </w:t>
      </w:r>
      <w:proofErr w:type="spellStart"/>
      <w:r w:rsidRPr="00D0173E">
        <w:rPr>
          <w:rFonts w:eastAsia="Times New Roman" w:cs="Arial"/>
          <w:color w:val="000000"/>
          <w:lang w:val="en-US"/>
        </w:rPr>
        <w:t>CgA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(вж. точка 5.1). Ако нивата на </w:t>
      </w:r>
      <w:proofErr w:type="spellStart"/>
      <w:r w:rsidRPr="00D0173E">
        <w:rPr>
          <w:rFonts w:eastAsia="Times New Roman" w:cs="Arial"/>
          <w:color w:val="000000"/>
          <w:lang w:val="en-US"/>
        </w:rPr>
        <w:t>CgA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>и гастрина не са се възстановили в референтните си граници след началното определяне, измерването трябва да бъде повторено 14 дни след спиране на лечението с инхибитор на протонната помпа.</w:t>
      </w:r>
    </w:p>
    <w:p w14:paraId="05A862B6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2DC4D7" w14:textId="3CC8FD40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Езомепразол, както всички лекарства, блокиращи киселинната секреция, може да намали абсорбцията на витамин В12 (цианокобаламин), поради хипо- или ахлорхидрия. Това трябва да се има предвид при пациенти с намалени депа или рискови фактори за намалена абсорбция на витамин В12 при дълготрайна терапия.</w:t>
      </w:r>
    </w:p>
    <w:p w14:paraId="229B5999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E55D2C" w14:textId="646C1CD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 xml:space="preserve">Субакутен кожен лупус еритематодес </w:t>
      </w:r>
      <w:r w:rsidRPr="00D0173E">
        <w:rPr>
          <w:rFonts w:eastAsia="Times New Roman" w:cs="Arial"/>
          <w:i/>
          <w:iCs/>
          <w:color w:val="000000"/>
          <w:lang w:val="en-US"/>
        </w:rPr>
        <w:t>(SCLE)</w:t>
      </w:r>
    </w:p>
    <w:p w14:paraId="5A343E92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Инхибиторите на протонната помпа са свързани с много редки случаи на </w:t>
      </w:r>
      <w:r w:rsidRPr="00D0173E">
        <w:rPr>
          <w:rFonts w:eastAsia="Times New Roman" w:cs="Arial"/>
          <w:color w:val="000000"/>
          <w:lang w:val="en-US"/>
        </w:rPr>
        <w:t xml:space="preserve">SCLE. </w:t>
      </w:r>
      <w:r w:rsidRPr="00D0173E">
        <w:rPr>
          <w:rFonts w:eastAsia="Times New Roman" w:cs="Arial"/>
          <w:color w:val="000000"/>
          <w:lang w:eastAsia="bg-BG"/>
        </w:rPr>
        <w:t xml:space="preserve">Ако се появят лезии, особено в участъци от кожата, изложени на слънчеви лъчи, и ако те са съпроводени с болки в ставите, пациентът трябва незабавно да потърси медицинска помощ и медицинският специалист следва да обмисли спиране на приема на Хелидес. </w:t>
      </w:r>
      <w:r w:rsidRPr="00D0173E">
        <w:rPr>
          <w:rFonts w:eastAsia="Times New Roman" w:cs="Arial"/>
          <w:color w:val="000000"/>
          <w:lang w:val="en-US"/>
        </w:rPr>
        <w:t xml:space="preserve">SCLE, </w:t>
      </w:r>
      <w:r w:rsidRPr="00D0173E">
        <w:rPr>
          <w:rFonts w:eastAsia="Times New Roman" w:cs="Arial"/>
          <w:color w:val="000000"/>
          <w:lang w:eastAsia="bg-BG"/>
        </w:rPr>
        <w:t xml:space="preserve">настъпил след предходно лечение с инхибитор на протонната помпа, може да увеличи риска от </w:t>
      </w:r>
      <w:r w:rsidRPr="00D0173E">
        <w:rPr>
          <w:rFonts w:eastAsia="Times New Roman" w:cs="Arial"/>
          <w:color w:val="000000"/>
          <w:lang w:val="en-US"/>
        </w:rPr>
        <w:t xml:space="preserve">SCLE </w:t>
      </w:r>
      <w:r w:rsidRPr="00D0173E">
        <w:rPr>
          <w:rFonts w:eastAsia="Times New Roman" w:cs="Arial"/>
          <w:color w:val="000000"/>
          <w:lang w:eastAsia="bg-BG"/>
        </w:rPr>
        <w:t>при употреба на други инхибитори на протонната помпа.</w:t>
      </w:r>
    </w:p>
    <w:p w14:paraId="0051FD39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1513BDC" w14:textId="2A364DC3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>Захароза</w:t>
      </w:r>
    </w:p>
    <w:p w14:paraId="44723213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Този лекарствен продукт съдържа захароза. Пациентите с редки наследствени заболявания като фруктозна непоносимост, глюкозо-галактозна малабсорбция или сукраза-изомалтазна недостатъчност не трябва да приемат това лекарство.</w:t>
      </w:r>
    </w:p>
    <w:p w14:paraId="28679E72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F7E3DB" w14:textId="6D4C6FBD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>Парахидроксибензоати</w:t>
      </w:r>
    </w:p>
    <w:p w14:paraId="60DF65C0" w14:textId="1FED4A69" w:rsidR="00D0173E" w:rsidRPr="00C67FF3" w:rsidRDefault="00D0173E" w:rsidP="00D0173E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>Този продукт съдържа парахидроксибензоати, които могат да причинят алергични реакции (вероятно от забавен тип).</w:t>
      </w:r>
    </w:p>
    <w:p w14:paraId="7F775B27" w14:textId="77777777" w:rsidR="00D0173E" w:rsidRPr="0091385D" w:rsidRDefault="00D0173E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A3A6886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Проучванията за лекарствени взаимодействия са провеждани само при възрастни.</w:t>
      </w:r>
    </w:p>
    <w:p w14:paraId="0F360773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C8E341" w14:textId="5016A14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Ефекти на езомепразола върху фармакокинетиката на други лекарства</w:t>
      </w:r>
    </w:p>
    <w:p w14:paraId="42D71392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EC2F0C9" w14:textId="6646BD3F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 с </w:t>
      </w:r>
      <w:r w:rsidRPr="00D0173E">
        <w:rPr>
          <w:rFonts w:eastAsia="Times New Roman" w:cs="Arial"/>
          <w:i/>
          <w:iCs/>
          <w:color w:val="000000"/>
          <w:lang w:val="en-US"/>
        </w:rPr>
        <w:t xml:space="preserve">pH </w:t>
      </w:r>
      <w:r w:rsidRPr="00D0173E">
        <w:rPr>
          <w:rFonts w:eastAsia="Times New Roman" w:cs="Arial"/>
          <w:i/>
          <w:iCs/>
          <w:color w:val="000000"/>
          <w:lang w:eastAsia="bg-BG"/>
        </w:rPr>
        <w:t>зависима абсорбция</w:t>
      </w:r>
    </w:p>
    <w:p w14:paraId="6BBE4AA6" w14:textId="77777777" w:rsidR="00D0173E" w:rsidRPr="00C67FF3" w:rsidRDefault="00D0173E" w:rsidP="00D0173E">
      <w:pPr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Намалената интрагастрална киселинност по време на лечение с езомепразол може да увеличи или намали абсорбцията на лекарства, ако механизмът на абсорбция се повлиява от стомашната киселинност. Както и при употребата на други инхибитори на киселинната секреция или антиациди, абсорбцията на кетоконазол и итраконазол може да бъде намалена при лечение с езомепразол. Едновременно лечение с омепразол (20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>дневно) и дигоксин при здрави индивиди увеличава бионаличността на дигоксин с 10 % (до 30% при два от десет пациента). Рядко е докладвана дигоксинова токсичност. Въпреки това, трябва да се внимава при прием на езомепразол във високи дози от пациенти в старческа възраст. Терапевтичния лекарствен мониторинг на дигоксин трябва да се засили.</w:t>
      </w:r>
    </w:p>
    <w:p w14:paraId="3ECF61B6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42A86E" w14:textId="23B701DE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Докладвано е, че омепразолът взаимодейства с някои протеазни инхибитори. Клиничната значимост и механизмите на тези докладвани взаимодействия не винаги са известни. Повишеното </w:t>
      </w:r>
      <w:r w:rsidRPr="00D0173E">
        <w:rPr>
          <w:rFonts w:eastAsia="Times New Roman" w:cs="Arial"/>
          <w:color w:val="000000"/>
          <w:lang w:val="en-US"/>
        </w:rPr>
        <w:t xml:space="preserve">pH </w:t>
      </w:r>
      <w:r w:rsidRPr="00D0173E">
        <w:rPr>
          <w:rFonts w:eastAsia="Times New Roman" w:cs="Arial"/>
          <w:color w:val="000000"/>
          <w:lang w:eastAsia="bg-BG"/>
        </w:rPr>
        <w:t xml:space="preserve">на стомаха при лечение с омепразол може да промени абсорбцията на протеазните инхибитори. Други възможни механизми на взаимодействие са чрез потискане на </w:t>
      </w:r>
      <w:r w:rsidRPr="00D0173E">
        <w:rPr>
          <w:rFonts w:eastAsia="Times New Roman" w:cs="Arial"/>
          <w:color w:val="000000"/>
          <w:lang w:val="en-US"/>
        </w:rPr>
        <w:t xml:space="preserve">CYP </w:t>
      </w:r>
      <w:r w:rsidRPr="00D0173E">
        <w:rPr>
          <w:rFonts w:eastAsia="Times New Roman" w:cs="Arial"/>
          <w:color w:val="000000"/>
          <w:lang w:eastAsia="bg-BG"/>
        </w:rPr>
        <w:t xml:space="preserve">2С19. Наблюдавано е понижение на серумните нива на атазанавир и нелфинавир, приемани заедно с омепразол, поради което не се препоръчва едновременната им употреба. Едновременното приложение на омепразол (40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веднъж дневно) с атазанавир 300 </w:t>
      </w:r>
      <w:r w:rsidRPr="00D0173E">
        <w:rPr>
          <w:rFonts w:eastAsia="Times New Roman" w:cs="Arial"/>
          <w:color w:val="000000"/>
          <w:lang w:val="en-US"/>
        </w:rPr>
        <w:t xml:space="preserve">mg/ </w:t>
      </w:r>
      <w:r w:rsidRPr="00D0173E">
        <w:rPr>
          <w:rFonts w:eastAsia="Times New Roman" w:cs="Arial"/>
          <w:color w:val="000000"/>
          <w:lang w:eastAsia="bg-BG"/>
        </w:rPr>
        <w:t xml:space="preserve">ритонавир 100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при здрави доброволци е понижило значително експозицията на атазанавир (приблизително 75 % понижена </w:t>
      </w:r>
      <w:r w:rsidRPr="00D0173E">
        <w:rPr>
          <w:rFonts w:eastAsia="Times New Roman" w:cs="Arial"/>
          <w:color w:val="000000"/>
          <w:lang w:val="en-US"/>
        </w:rPr>
        <w:t xml:space="preserve">AUC, </w:t>
      </w:r>
      <w:r w:rsidRPr="00D0173E">
        <w:rPr>
          <w:rFonts w:eastAsia="Times New Roman" w:cs="Arial"/>
          <w:color w:val="000000"/>
          <w:lang w:eastAsia="bg-BG"/>
        </w:rPr>
        <w:t>С</w:t>
      </w:r>
      <w:r w:rsidRPr="00D0173E">
        <w:rPr>
          <w:rFonts w:eastAsia="Times New Roman" w:cs="Arial"/>
          <w:color w:val="000000"/>
          <w:lang w:val="en-US"/>
        </w:rPr>
        <w:t>m</w:t>
      </w:r>
      <w:r w:rsidRPr="00D0173E">
        <w:rPr>
          <w:rFonts w:eastAsia="Times New Roman" w:cs="Arial"/>
          <w:color w:val="000000"/>
          <w:lang w:eastAsia="bg-BG"/>
        </w:rPr>
        <w:t>ах и С</w:t>
      </w:r>
      <w:r w:rsidRPr="00D0173E">
        <w:rPr>
          <w:rFonts w:eastAsia="Times New Roman" w:cs="Arial"/>
          <w:color w:val="000000"/>
          <w:lang w:val="en-US"/>
        </w:rPr>
        <w:t>min</w:t>
      </w:r>
      <w:r w:rsidRPr="00D0173E">
        <w:rPr>
          <w:rFonts w:eastAsia="Times New Roman" w:cs="Arial"/>
          <w:color w:val="000000"/>
          <w:lang w:eastAsia="bg-BG"/>
        </w:rPr>
        <w:t xml:space="preserve">). Увеличението на дозировката на атазанавир до 400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не е компенсирало влиянието на омепразол върху експозицията на атазанавир. Едновременното приложение на омепразол (20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) </w:t>
      </w:r>
      <w:r w:rsidRPr="00D0173E">
        <w:rPr>
          <w:rFonts w:eastAsia="Times New Roman" w:cs="Arial"/>
          <w:color w:val="000000"/>
          <w:lang w:eastAsia="bg-BG"/>
        </w:rPr>
        <w:t xml:space="preserve">и атазанавир 400 </w:t>
      </w:r>
      <w:r w:rsidRPr="00D0173E">
        <w:rPr>
          <w:rFonts w:eastAsia="Times New Roman" w:cs="Arial"/>
          <w:color w:val="000000"/>
          <w:lang w:val="en-US"/>
        </w:rPr>
        <w:t xml:space="preserve">mg/ </w:t>
      </w:r>
      <w:r w:rsidRPr="00D0173E">
        <w:rPr>
          <w:rFonts w:eastAsia="Times New Roman" w:cs="Arial"/>
          <w:color w:val="000000"/>
          <w:lang w:eastAsia="bg-BG"/>
        </w:rPr>
        <w:t xml:space="preserve">ритонавир 100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при здрави доброволци е намалявало приблизително 30% експозицията на атазанавир в сравнение с експозицията при атазанавир 300 </w:t>
      </w:r>
      <w:r w:rsidRPr="00D0173E">
        <w:rPr>
          <w:rFonts w:eastAsia="Times New Roman" w:cs="Arial"/>
          <w:color w:val="000000"/>
          <w:lang w:val="en-US"/>
        </w:rPr>
        <w:t xml:space="preserve">mg/ </w:t>
      </w:r>
      <w:r w:rsidRPr="00D0173E">
        <w:rPr>
          <w:rFonts w:eastAsia="Times New Roman" w:cs="Arial"/>
          <w:color w:val="000000"/>
          <w:lang w:eastAsia="bg-BG"/>
        </w:rPr>
        <w:t xml:space="preserve">ритонавир 100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без омепразол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. </w:t>
      </w:r>
      <w:r w:rsidRPr="00D0173E">
        <w:rPr>
          <w:rFonts w:eastAsia="Times New Roman" w:cs="Arial"/>
          <w:color w:val="000000"/>
          <w:lang w:eastAsia="bg-BG"/>
        </w:rPr>
        <w:t xml:space="preserve">Едновременното приложение на омепразол (40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) </w:t>
      </w:r>
      <w:r w:rsidRPr="00D0173E">
        <w:rPr>
          <w:rFonts w:eastAsia="Times New Roman" w:cs="Arial"/>
          <w:color w:val="000000"/>
          <w:lang w:eastAsia="bg-BG"/>
        </w:rPr>
        <w:t xml:space="preserve">редуцира средните стойности на </w:t>
      </w:r>
      <w:r w:rsidRPr="00D0173E">
        <w:rPr>
          <w:rFonts w:eastAsia="Times New Roman" w:cs="Arial"/>
          <w:color w:val="000000"/>
          <w:lang w:val="en-US"/>
        </w:rPr>
        <w:t xml:space="preserve">AUC, </w:t>
      </w:r>
      <w:proofErr w:type="spellStart"/>
      <w:r w:rsidRPr="00D0173E">
        <w:rPr>
          <w:rFonts w:eastAsia="Times New Roman" w:cs="Arial"/>
          <w:color w:val="000000"/>
          <w:lang w:val="en-US"/>
        </w:rPr>
        <w:t>Cmax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and </w:t>
      </w:r>
      <w:proofErr w:type="spellStart"/>
      <w:r w:rsidRPr="00D0173E">
        <w:rPr>
          <w:rFonts w:eastAsia="Times New Roman" w:cs="Arial"/>
          <w:color w:val="000000"/>
          <w:lang w:val="en-US"/>
        </w:rPr>
        <w:t>Cmin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на нелфинавир с 36-39 %, а средните стойности на </w:t>
      </w:r>
      <w:r w:rsidRPr="00D0173E">
        <w:rPr>
          <w:rFonts w:eastAsia="Times New Roman" w:cs="Arial"/>
          <w:color w:val="000000"/>
          <w:lang w:val="en-US"/>
        </w:rPr>
        <w:t xml:space="preserve">AUC, </w:t>
      </w:r>
      <w:proofErr w:type="spellStart"/>
      <w:r w:rsidRPr="00D0173E">
        <w:rPr>
          <w:rFonts w:eastAsia="Times New Roman" w:cs="Arial"/>
          <w:color w:val="000000"/>
          <w:lang w:val="en-US"/>
        </w:rPr>
        <w:t>C</w:t>
      </w:r>
      <w:r w:rsidRPr="00D0173E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and </w:t>
      </w:r>
      <w:r w:rsidRPr="00D0173E">
        <w:rPr>
          <w:rFonts w:eastAsia="Times New Roman" w:cs="Arial"/>
          <w:color w:val="000000"/>
          <w:lang w:eastAsia="bg-BG"/>
        </w:rPr>
        <w:t>С</w:t>
      </w:r>
      <w:r w:rsidRPr="00D0173E">
        <w:rPr>
          <w:rFonts w:eastAsia="Times New Roman" w:cs="Arial"/>
          <w:color w:val="000000"/>
          <w:lang w:val="en-US"/>
        </w:rPr>
        <w:t>min</w:t>
      </w:r>
      <w:r w:rsidRPr="00D0173E">
        <w:rPr>
          <w:rFonts w:eastAsia="Times New Roman" w:cs="Arial"/>
          <w:color w:val="000000"/>
          <w:lang w:eastAsia="bg-BG"/>
        </w:rPr>
        <w:t xml:space="preserve"> за фармакологично активния метаболит М8 са намалени с 75-92%. За саквинавир (едновременно приложен с ритонавир) са докладвани повишени серумни нива (80-100%) при съпътстващо лечение с омепразол (40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). </w:t>
      </w:r>
      <w:r w:rsidRPr="00D0173E">
        <w:rPr>
          <w:rFonts w:eastAsia="Times New Roman" w:cs="Arial"/>
          <w:color w:val="000000"/>
          <w:lang w:eastAsia="bg-BG"/>
        </w:rPr>
        <w:t xml:space="preserve">Лечение с омепразол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не е повлиявало експозицията на дарунавир (съпътстван от ритонавир) и на ампренавир (съпътстван от ритонавир). Лечение с езомепразол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не е оказвало ефект върху експозицията на ампренавир (с и без едновременно приложен ритонавир). Лечение с омепразол 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0173E">
        <w:rPr>
          <w:rFonts w:eastAsia="Times New Roman" w:cs="Arial"/>
          <w:color w:val="000000"/>
          <w:lang w:val="en-US"/>
        </w:rPr>
        <w:t>qd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>не е оказвало ефект върху експозицията на лопинавир (едновременно приложен с ритонавир). Въз основа на подобните фармакодинамични ефекти и фармакокинетични свойства на омепразол и езомепразол, едновременно приложение на езомепразол и атазанавир не се препоръчва, а едновременното приложение на езомепразол и нелфинавир е противопоказно.</w:t>
      </w:r>
    </w:p>
    <w:p w14:paraId="5B0D2E53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E4473FA" w14:textId="663003C3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продукти, метаболизирани от </w:t>
      </w:r>
      <w:r w:rsidRPr="00D0173E">
        <w:rPr>
          <w:rFonts w:eastAsia="Times New Roman" w:cs="Arial"/>
          <w:i/>
          <w:iCs/>
          <w:color w:val="000000"/>
          <w:lang w:val="en-US"/>
        </w:rPr>
        <w:t>CYP2C19</w:t>
      </w:r>
    </w:p>
    <w:p w14:paraId="03222CF1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Езомепразол инхибира </w:t>
      </w:r>
      <w:r w:rsidRPr="00D0173E">
        <w:rPr>
          <w:rFonts w:eastAsia="Times New Roman" w:cs="Arial"/>
          <w:color w:val="000000"/>
          <w:lang w:val="en-US"/>
        </w:rPr>
        <w:t xml:space="preserve">CYP2C19, </w:t>
      </w:r>
      <w:r w:rsidRPr="00D0173E">
        <w:rPr>
          <w:rFonts w:eastAsia="Times New Roman" w:cs="Arial"/>
          <w:color w:val="000000"/>
          <w:lang w:eastAsia="bg-BG"/>
        </w:rPr>
        <w:t xml:space="preserve">основният ензим, метаболизиращ езомепразола. Поради това, когато езомепразол се комбинира с лекарства, които се метаболизират от </w:t>
      </w:r>
      <w:r w:rsidRPr="00D0173E">
        <w:rPr>
          <w:rFonts w:eastAsia="Times New Roman" w:cs="Arial"/>
          <w:color w:val="000000"/>
          <w:lang w:val="en-US"/>
        </w:rPr>
        <w:t xml:space="preserve">CYP2C19 </w:t>
      </w:r>
      <w:r w:rsidRPr="00D0173E">
        <w:rPr>
          <w:rFonts w:eastAsia="Times New Roman" w:cs="Arial"/>
          <w:color w:val="000000"/>
          <w:lang w:eastAsia="bg-BG"/>
        </w:rPr>
        <w:t xml:space="preserve">като диазепам, циталопрам, имипрамин, кломипрамин, фенитоин и др., плазмените концентрации на тези лекарства могат да се увеличат и да се наложи намаление на дозата. Това трябва да се има предвид, особено когато се предписва за лечение при нужда. Едновременното приложение на 30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езомепразол е довело до 45 % процента намаление на клирънса на диазепам, който е субстрат на </w:t>
      </w:r>
      <w:r w:rsidRPr="00D0173E">
        <w:rPr>
          <w:rFonts w:eastAsia="Times New Roman" w:cs="Arial"/>
          <w:color w:val="000000"/>
          <w:lang w:val="en-US"/>
        </w:rPr>
        <w:t xml:space="preserve">CYP2C19. </w:t>
      </w:r>
      <w:r w:rsidRPr="00D0173E">
        <w:rPr>
          <w:rFonts w:eastAsia="Times New Roman" w:cs="Arial"/>
          <w:color w:val="000000"/>
          <w:lang w:eastAsia="bg-BG"/>
        </w:rPr>
        <w:t xml:space="preserve">Едновременното приложение на 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езомепразол е довело до 13 % увеличение на най-</w:t>
      </w:r>
      <w:r w:rsidRPr="00D0173E">
        <w:rPr>
          <w:rFonts w:eastAsia="Times New Roman" w:cs="Arial"/>
          <w:color w:val="000000"/>
          <w:lang w:eastAsia="bg-BG"/>
        </w:rPr>
        <w:lastRenderedPageBreak/>
        <w:t xml:space="preserve">ниските плазмени нива на фенитоина при болни с епилепсия. Препоръчва се мониториране на плазмените концентрации на фенитоина при започване или прекъсване на лечението с езомепразол. Омепразол (40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веднъж дневно) повишава С</w:t>
      </w:r>
      <w:r w:rsidRPr="00D0173E">
        <w:rPr>
          <w:rFonts w:eastAsia="Times New Roman" w:cs="Arial"/>
          <w:color w:val="000000"/>
          <w:lang w:val="en-US"/>
        </w:rPr>
        <w:t>m</w:t>
      </w:r>
      <w:r w:rsidRPr="00D0173E">
        <w:rPr>
          <w:rFonts w:eastAsia="Times New Roman" w:cs="Arial"/>
          <w:color w:val="000000"/>
          <w:lang w:eastAsia="bg-BG"/>
        </w:rPr>
        <w:t xml:space="preserve">ах и </w:t>
      </w:r>
      <w:proofErr w:type="spellStart"/>
      <w:r w:rsidRPr="00D0173E">
        <w:rPr>
          <w:rFonts w:eastAsia="Times New Roman" w:cs="Arial"/>
          <w:color w:val="000000"/>
          <w:lang w:val="en-US"/>
        </w:rPr>
        <w:t>AUC</w:t>
      </w:r>
      <w:r w:rsidRPr="00D0173E">
        <w:rPr>
          <w:rFonts w:eastAsia="Times New Roman" w:cs="Arial"/>
          <w:color w:val="000000"/>
          <w:vertAlign w:val="subscript"/>
          <w:lang w:val="en-US"/>
        </w:rPr>
        <w:t>t</w:t>
      </w:r>
      <w:proofErr w:type="spellEnd"/>
      <w:r w:rsidRPr="00D0173E">
        <w:rPr>
          <w:rFonts w:eastAsia="Times New Roman" w:cs="Arial"/>
          <w:color w:val="000000"/>
          <w:lang w:val="en-US"/>
        </w:rPr>
        <w:t xml:space="preserve"> </w:t>
      </w:r>
      <w:r w:rsidRPr="00D0173E">
        <w:rPr>
          <w:rFonts w:eastAsia="Times New Roman" w:cs="Arial"/>
          <w:color w:val="000000"/>
          <w:lang w:eastAsia="bg-BG"/>
        </w:rPr>
        <w:t xml:space="preserve">на вориконазола </w:t>
      </w:r>
      <w:r w:rsidRPr="00D0173E">
        <w:rPr>
          <w:rFonts w:eastAsia="Times New Roman" w:cs="Arial"/>
          <w:color w:val="000000"/>
          <w:lang w:val="en-US"/>
        </w:rPr>
        <w:t xml:space="preserve">(CYP2C19 </w:t>
      </w:r>
      <w:r w:rsidRPr="00D0173E">
        <w:rPr>
          <w:rFonts w:eastAsia="Times New Roman" w:cs="Arial"/>
          <w:color w:val="000000"/>
          <w:lang w:eastAsia="bg-BG"/>
        </w:rPr>
        <w:t>субстрат) съответно с 15% и 41%.</w:t>
      </w:r>
    </w:p>
    <w:p w14:paraId="1D47CA7E" w14:textId="77777777" w:rsidR="00D0173E" w:rsidRPr="00C67FF3" w:rsidRDefault="00D0173E" w:rsidP="00D0173E">
      <w:pPr>
        <w:rPr>
          <w:rFonts w:eastAsia="Times New Roman" w:cs="Arial"/>
          <w:color w:val="000000"/>
          <w:lang w:eastAsia="bg-BG"/>
        </w:rPr>
      </w:pPr>
    </w:p>
    <w:p w14:paraId="5B2761C5" w14:textId="41455E84" w:rsidR="0091385D" w:rsidRPr="00C67FF3" w:rsidRDefault="00D0173E" w:rsidP="00D0173E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 xml:space="preserve">Едно клинично проучване е показало, че времето за коагулация при пациенти, приемащи едновременно 40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езомепразол и варфарин, не превишава допустимите стойности. Въпреки това, след разрешаването за употреба са наблюдавани изолирани случаи с клинична значимост на повишено ниво на </w:t>
      </w:r>
      <w:r w:rsidRPr="00C67FF3">
        <w:rPr>
          <w:rFonts w:eastAsia="Times New Roman" w:cs="Arial"/>
          <w:color w:val="000000"/>
          <w:lang w:val="en-US"/>
        </w:rPr>
        <w:t xml:space="preserve">INR. </w:t>
      </w:r>
      <w:r w:rsidRPr="00C67FF3">
        <w:rPr>
          <w:rFonts w:eastAsia="Times New Roman" w:cs="Arial"/>
          <w:color w:val="000000"/>
          <w:lang w:eastAsia="bg-BG"/>
        </w:rPr>
        <w:t>Препоръчва се мониториране на пациентите, които започват</w:t>
      </w:r>
      <w:r w:rsidRPr="00C67FF3">
        <w:rPr>
          <w:rFonts w:eastAsia="Times New Roman" w:cs="Arial"/>
          <w:color w:val="000000"/>
          <w:lang w:val="en-US"/>
        </w:rPr>
        <w:t xml:space="preserve"> </w:t>
      </w:r>
      <w:r w:rsidRPr="00C67FF3">
        <w:rPr>
          <w:rFonts w:eastAsia="Times New Roman" w:cs="Arial"/>
          <w:color w:val="000000"/>
          <w:lang w:eastAsia="bg-BG"/>
        </w:rPr>
        <w:t>или прекратяват едновременен прием на езомепразол по време на лечение с варфарин или други кумаринови производни.</w:t>
      </w:r>
    </w:p>
    <w:p w14:paraId="0395BD2E" w14:textId="34E46892" w:rsidR="007A2185" w:rsidRPr="00C67FF3" w:rsidRDefault="007A2185" w:rsidP="0091385D">
      <w:pPr>
        <w:rPr>
          <w:rFonts w:cs="Arial"/>
        </w:rPr>
      </w:pPr>
    </w:p>
    <w:p w14:paraId="7FB90FBF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Омепразол, както и изомепразол са инхибиратори на </w:t>
      </w:r>
      <w:r w:rsidRPr="00D0173E">
        <w:rPr>
          <w:rFonts w:eastAsia="Times New Roman" w:cs="Arial"/>
          <w:color w:val="000000"/>
          <w:lang w:val="en-US"/>
        </w:rPr>
        <w:t>CYP2C</w:t>
      </w:r>
      <w:r w:rsidRPr="00D0173E">
        <w:rPr>
          <w:rFonts w:eastAsia="Times New Roman" w:cs="Arial"/>
          <w:color w:val="000000"/>
          <w:lang w:eastAsia="bg-BG"/>
        </w:rPr>
        <w:t xml:space="preserve">19. Омепразол, прилаган в едно кръстосано проучване в дози от 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при здрави доброволци, увеличава С</w:t>
      </w:r>
      <w:r w:rsidRPr="00D0173E">
        <w:rPr>
          <w:rFonts w:eastAsia="Times New Roman" w:cs="Arial"/>
          <w:color w:val="000000"/>
          <w:lang w:val="en-US"/>
        </w:rPr>
        <w:t>m</w:t>
      </w:r>
      <w:r w:rsidRPr="00D0173E">
        <w:rPr>
          <w:rFonts w:eastAsia="Times New Roman" w:cs="Arial"/>
          <w:color w:val="000000"/>
          <w:lang w:eastAsia="bg-BG"/>
        </w:rPr>
        <w:t xml:space="preserve">ах и </w:t>
      </w:r>
      <w:r w:rsidRPr="00D0173E">
        <w:rPr>
          <w:rFonts w:eastAsia="Times New Roman" w:cs="Arial"/>
          <w:color w:val="000000"/>
          <w:lang w:val="en-US"/>
        </w:rPr>
        <w:t xml:space="preserve">AUC </w:t>
      </w:r>
      <w:r w:rsidRPr="00D0173E">
        <w:rPr>
          <w:rFonts w:eastAsia="Times New Roman" w:cs="Arial"/>
          <w:color w:val="000000"/>
          <w:lang w:eastAsia="bg-BG"/>
        </w:rPr>
        <w:t>на цилостазол съответно с 18% и 26%, а един от неговите активни метаболити съответно с 29% и 69%.</w:t>
      </w:r>
    </w:p>
    <w:p w14:paraId="3C6844A6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9E0465" w14:textId="725EDD9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При здрави доброволци едновременното приложение на 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езомепразол е довело до 32% увеличение на площта под кривата концентрация-време </w:t>
      </w:r>
      <w:r w:rsidRPr="00D0173E">
        <w:rPr>
          <w:rFonts w:eastAsia="Times New Roman" w:cs="Arial"/>
          <w:color w:val="000000"/>
          <w:lang w:val="en-US"/>
        </w:rPr>
        <w:t xml:space="preserve">(AUC) </w:t>
      </w:r>
      <w:r w:rsidRPr="00D0173E">
        <w:rPr>
          <w:rFonts w:eastAsia="Times New Roman" w:cs="Arial"/>
          <w:color w:val="000000"/>
          <w:lang w:eastAsia="bg-BG"/>
        </w:rPr>
        <w:t xml:space="preserve">и до 31% удължаване на елиминационния полуживот </w:t>
      </w:r>
      <w:r w:rsidRPr="00D0173E">
        <w:rPr>
          <w:rFonts w:eastAsia="Times New Roman" w:cs="Arial"/>
          <w:color w:val="000000"/>
          <w:lang w:val="en-US"/>
        </w:rPr>
        <w:t>(t</w:t>
      </w:r>
      <w:r w:rsidRPr="00D0173E">
        <w:rPr>
          <w:rFonts w:eastAsia="Times New Roman" w:cs="Arial"/>
          <w:color w:val="000000"/>
          <w:lang w:eastAsia="bg-BG"/>
        </w:rPr>
        <w:t>½</w:t>
      </w:r>
      <w:r w:rsidRPr="00D0173E">
        <w:rPr>
          <w:rFonts w:eastAsia="Times New Roman" w:cs="Arial"/>
          <w:color w:val="000000"/>
          <w:lang w:val="en-US"/>
        </w:rPr>
        <w:t xml:space="preserve">), </w:t>
      </w:r>
      <w:r w:rsidRPr="00D0173E">
        <w:rPr>
          <w:rFonts w:eastAsia="Times New Roman" w:cs="Arial"/>
          <w:color w:val="000000"/>
          <w:lang w:eastAsia="bg-BG"/>
        </w:rPr>
        <w:t xml:space="preserve">но не е било наблюдавано значимо увеличаване на максималните плазмени нива на цизаприда. Леко удълженият </w:t>
      </w:r>
      <w:r w:rsidRPr="00D0173E">
        <w:rPr>
          <w:rFonts w:eastAsia="Times New Roman" w:cs="Arial"/>
          <w:color w:val="000000"/>
          <w:lang w:val="en-US"/>
        </w:rPr>
        <w:t xml:space="preserve">QT </w:t>
      </w:r>
      <w:r w:rsidRPr="00D0173E">
        <w:rPr>
          <w:rFonts w:eastAsia="Times New Roman" w:cs="Arial"/>
          <w:color w:val="000000"/>
          <w:lang w:eastAsia="bg-BG"/>
        </w:rPr>
        <w:t>интервал, наблюдаван след самостоятелно приложение на цизаприд, не се е увеличил допълнително, когато цизаприд е бил даден в комбинация с езомепразол (вж. точка 4.4).</w:t>
      </w:r>
    </w:p>
    <w:p w14:paraId="31F37B77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1BA116" w14:textId="071E56C5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Доказано е, че езомепразол няма клинично значими ефекти върху фармакокинетиката на амоксицилин и хинидин.</w:t>
      </w:r>
    </w:p>
    <w:p w14:paraId="3F4F8B0F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FF8F5A" w14:textId="64D44B09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Не е установено клинично значимо фармакокинетично взаимодействие при едновременното приложение на езомепразол и напроксен или езомепразол и рофекоксиб по време на краткосрочни клинични проучвания.</w:t>
      </w:r>
    </w:p>
    <w:p w14:paraId="52EF8E73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2B38AE" w14:textId="6996A2C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Резултати от проучвания при здрави доброволци са доказали фармакокинетични/ фармакодинамични взаимодействия между, клопидогрел (300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зареждаща доза последвана от 75 </w:t>
      </w:r>
      <w:r w:rsidRPr="00D0173E">
        <w:rPr>
          <w:rFonts w:eastAsia="Times New Roman" w:cs="Arial"/>
          <w:color w:val="000000"/>
          <w:lang w:val="en-US"/>
        </w:rPr>
        <w:t>mg</w:t>
      </w:r>
      <w:r w:rsidRPr="00D0173E">
        <w:rPr>
          <w:rFonts w:eastAsia="Times New Roman" w:cs="Arial"/>
          <w:color w:val="000000"/>
          <w:lang w:eastAsia="bg-BG"/>
        </w:rPr>
        <w:t xml:space="preserve">/дневно) и с омепразол (40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прилагани перорално веднъж дневно) изразени в понижена експозиция на активния метаболит на клопидогрела с около 40 % и понижено максимално инхибиране на тромбоцигната агрегация (индуцирана от АДФ) с около 14 %.</w:t>
      </w:r>
    </w:p>
    <w:p w14:paraId="2EA72C8A" w14:textId="77777777" w:rsidR="00C67FF3" w:rsidRPr="00C67FF3" w:rsidRDefault="00C67FF3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2A1B8A" w14:textId="5FFAAC0C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При едновременно приложение на клопидогрел с фиксирана дозова комбинация езомепразол 20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+ ацетилсалицилова киселина 81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>при здрави доброволци се наблюдава понижена експозиция с около 40 % на активния метаболит на клопидогрел, в сравнение с прилагането на клопидогрел като монотерапия. Максималното инхибиране на тромбоцигната агрегация (индуцирана от АДФ), при тези индивиди обаче е същата, както при приложението на клопидогрел самостоятелно, така и при комбинираната лекарствена терапия клопидогрел+(езомепразол и ацетилсалицилова киселина)..</w:t>
      </w:r>
    </w:p>
    <w:p w14:paraId="57D1E16E" w14:textId="77777777" w:rsidR="00D0173E" w:rsidRPr="00C67FF3" w:rsidRDefault="00D0173E" w:rsidP="00D0173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6F5D0B" w14:textId="4B38A9AB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Противоречиви данни за клиничното повлияване върху фармакокинетичното/ фармакодинамичното взаимодействие на езомепразол по отношение на големи сърдечно</w:t>
      </w:r>
      <w:r w:rsidRPr="00D0173E">
        <w:rPr>
          <w:rFonts w:eastAsia="Times New Roman" w:cs="Arial"/>
          <w:color w:val="000000"/>
          <w:lang w:eastAsia="bg-BG"/>
        </w:rPr>
        <w:softHyphen/>
        <w:t xml:space="preserve">съдови събития, които са докладвани при наблюдателни и клинични </w:t>
      </w:r>
      <w:r w:rsidRPr="00D0173E">
        <w:rPr>
          <w:rFonts w:eastAsia="Times New Roman" w:cs="Arial"/>
          <w:color w:val="000000"/>
          <w:lang w:eastAsia="bg-BG"/>
        </w:rPr>
        <w:lastRenderedPageBreak/>
        <w:t>проучавания. Като предпазна мярка, едновременното приложение с клопидогрел трябва да се избягва.</w:t>
      </w:r>
    </w:p>
    <w:p w14:paraId="19D5E06B" w14:textId="77777777" w:rsidR="00D0173E" w:rsidRPr="00C67FF3" w:rsidRDefault="00D0173E" w:rsidP="00D0173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15135A7" w14:textId="29C230C6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i/>
          <w:iCs/>
          <w:color w:val="000000"/>
          <w:lang w:eastAsia="bg-BG"/>
        </w:rPr>
        <w:t>Неизвестен механизъм</w:t>
      </w:r>
    </w:p>
    <w:p w14:paraId="33842C86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Съобщава се за повишени серумни нива на такролимус при едновременно приложение с езомепразол. Трябва да се извърша засилено проследяване на концентрацията на такролимус, както и на бъбречните функции (креатининов клирънс) и при нужда да се коригира дозата на такролимус.</w:t>
      </w:r>
    </w:p>
    <w:p w14:paraId="70ACD6E3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>Съобщава се за повишени нива на метотрексат при някои пациенти, когато е приеман заедно с инхибитори на протонната помпа. При приложение на високи дози метотрексат, може да се обмисли временно прекъсване на езомепразола.</w:t>
      </w:r>
    </w:p>
    <w:p w14:paraId="505022D4" w14:textId="77777777" w:rsidR="00C67FF3" w:rsidRPr="00C67FF3" w:rsidRDefault="00C67FF3" w:rsidP="00D0173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BCA3DF" w14:textId="5E647E5A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u w:val="single"/>
          <w:lang w:eastAsia="bg-BG"/>
        </w:rPr>
        <w:t>Ефекти на други лекарства върху фармакокинетиката на езомепразол</w:t>
      </w:r>
    </w:p>
    <w:p w14:paraId="2CE780F3" w14:textId="77777777" w:rsidR="00D0173E" w:rsidRPr="00D0173E" w:rsidRDefault="00D0173E" w:rsidP="00D0173E">
      <w:pPr>
        <w:spacing w:line="240" w:lineRule="auto"/>
        <w:rPr>
          <w:rFonts w:eastAsia="Times New Roman" w:cs="Arial"/>
          <w:lang w:eastAsia="bg-BG"/>
        </w:rPr>
      </w:pPr>
      <w:r w:rsidRPr="00D0173E">
        <w:rPr>
          <w:rFonts w:eastAsia="Times New Roman" w:cs="Arial"/>
          <w:color w:val="000000"/>
          <w:lang w:eastAsia="bg-BG"/>
        </w:rPr>
        <w:t xml:space="preserve">Езомепразол се метаболизира от </w:t>
      </w:r>
      <w:r w:rsidRPr="00D0173E">
        <w:rPr>
          <w:rFonts w:eastAsia="Times New Roman" w:cs="Arial"/>
          <w:color w:val="000000"/>
          <w:lang w:val="en-US"/>
        </w:rPr>
        <w:t xml:space="preserve">CYP2C19 </w:t>
      </w:r>
      <w:r w:rsidRPr="00D0173E">
        <w:rPr>
          <w:rFonts w:eastAsia="Times New Roman" w:cs="Arial"/>
          <w:color w:val="000000"/>
          <w:lang w:eastAsia="bg-BG"/>
        </w:rPr>
        <w:t xml:space="preserve">и </w:t>
      </w:r>
      <w:r w:rsidRPr="00D0173E">
        <w:rPr>
          <w:rFonts w:eastAsia="Times New Roman" w:cs="Arial"/>
          <w:color w:val="000000"/>
          <w:lang w:val="en-US"/>
        </w:rPr>
        <w:t xml:space="preserve">CYP3A4. </w:t>
      </w:r>
      <w:r w:rsidRPr="00D0173E">
        <w:rPr>
          <w:rFonts w:eastAsia="Times New Roman" w:cs="Arial"/>
          <w:color w:val="000000"/>
          <w:lang w:eastAsia="bg-BG"/>
        </w:rPr>
        <w:t xml:space="preserve">Едновременното приложение на езомепразол и инхибитора на </w:t>
      </w:r>
      <w:r w:rsidRPr="00D0173E">
        <w:rPr>
          <w:rFonts w:eastAsia="Times New Roman" w:cs="Arial"/>
          <w:color w:val="000000"/>
          <w:lang w:val="en-US"/>
        </w:rPr>
        <w:t xml:space="preserve">CYP3A4, </w:t>
      </w:r>
      <w:r w:rsidRPr="00D0173E">
        <w:rPr>
          <w:rFonts w:eastAsia="Times New Roman" w:cs="Arial"/>
          <w:color w:val="000000"/>
          <w:lang w:eastAsia="bg-BG"/>
        </w:rPr>
        <w:t xml:space="preserve">кларитромицин (500 </w:t>
      </w:r>
      <w:r w:rsidRPr="00D0173E">
        <w:rPr>
          <w:rFonts w:eastAsia="Times New Roman" w:cs="Arial"/>
          <w:color w:val="000000"/>
          <w:lang w:val="en-US"/>
        </w:rPr>
        <w:t xml:space="preserve">mg </w:t>
      </w:r>
      <w:r w:rsidRPr="00D0173E">
        <w:rPr>
          <w:rFonts w:eastAsia="Times New Roman" w:cs="Arial"/>
          <w:color w:val="000000"/>
          <w:lang w:eastAsia="bg-BG"/>
        </w:rPr>
        <w:t xml:space="preserve">два пъти дневно) е довело до удвояване на експозицията на </w:t>
      </w:r>
      <w:r w:rsidRPr="00D0173E">
        <w:rPr>
          <w:rFonts w:eastAsia="Times New Roman" w:cs="Arial"/>
          <w:color w:val="000000"/>
          <w:lang w:val="en-US"/>
        </w:rPr>
        <w:t xml:space="preserve">(AUC) </w:t>
      </w:r>
      <w:r w:rsidRPr="00D0173E">
        <w:rPr>
          <w:rFonts w:eastAsia="Times New Roman" w:cs="Arial"/>
          <w:color w:val="000000"/>
          <w:lang w:eastAsia="bg-BG"/>
        </w:rPr>
        <w:t xml:space="preserve">на езомепразола. Едновременното приложение на </w:t>
      </w:r>
    </w:p>
    <w:p w14:paraId="398C80A2" w14:textId="484AA313" w:rsidR="00D0173E" w:rsidRPr="00C67FF3" w:rsidRDefault="00D0173E" w:rsidP="00D0173E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 xml:space="preserve">езомепразол и комбиниран инхибитор на </w:t>
      </w:r>
      <w:r w:rsidRPr="00C67FF3">
        <w:rPr>
          <w:rFonts w:eastAsia="Times New Roman" w:cs="Arial"/>
          <w:color w:val="000000"/>
          <w:lang w:val="en-US"/>
        </w:rPr>
        <w:t xml:space="preserve">CYP2C19 </w:t>
      </w:r>
      <w:r w:rsidRPr="00C67FF3">
        <w:rPr>
          <w:rFonts w:eastAsia="Times New Roman" w:cs="Arial"/>
          <w:color w:val="000000"/>
          <w:lang w:eastAsia="bg-BG"/>
        </w:rPr>
        <w:t xml:space="preserve">и </w:t>
      </w:r>
      <w:r w:rsidRPr="00C67FF3">
        <w:rPr>
          <w:rFonts w:eastAsia="Times New Roman" w:cs="Arial"/>
          <w:color w:val="000000"/>
          <w:lang w:val="en-US"/>
        </w:rPr>
        <w:t xml:space="preserve">CYP3A4 </w:t>
      </w:r>
      <w:r w:rsidRPr="00C67FF3">
        <w:rPr>
          <w:rFonts w:eastAsia="Times New Roman" w:cs="Arial"/>
          <w:color w:val="000000"/>
          <w:lang w:eastAsia="bg-BG"/>
        </w:rPr>
        <w:t xml:space="preserve">може да доведе до увеличаване на експозицията на езомепразол повече от два пъти. Инхибиторът на </w:t>
      </w:r>
      <w:r w:rsidRPr="00C67FF3">
        <w:rPr>
          <w:rFonts w:eastAsia="Times New Roman" w:cs="Arial"/>
          <w:color w:val="000000"/>
          <w:lang w:val="en-US"/>
        </w:rPr>
        <w:t xml:space="preserve">CYP2C19 </w:t>
      </w:r>
      <w:r w:rsidRPr="00C67FF3">
        <w:rPr>
          <w:rFonts w:eastAsia="Times New Roman" w:cs="Arial"/>
          <w:color w:val="000000"/>
          <w:lang w:eastAsia="bg-BG"/>
        </w:rPr>
        <w:t xml:space="preserve">и </w:t>
      </w:r>
      <w:r w:rsidRPr="00C67FF3">
        <w:rPr>
          <w:rFonts w:eastAsia="Times New Roman" w:cs="Arial"/>
          <w:color w:val="000000"/>
          <w:lang w:val="en-US"/>
        </w:rPr>
        <w:t>CYP3A4</w:t>
      </w:r>
      <w:r w:rsidRPr="00C67FF3">
        <w:rPr>
          <w:rFonts w:eastAsia="Times New Roman" w:cs="Arial"/>
          <w:color w:val="000000"/>
          <w:lang w:eastAsia="bg-BG"/>
        </w:rPr>
        <w:t xml:space="preserve"> вориконазол повишава </w:t>
      </w:r>
      <w:proofErr w:type="spellStart"/>
      <w:r w:rsidRPr="00C67FF3">
        <w:rPr>
          <w:rFonts w:eastAsia="Times New Roman" w:cs="Arial"/>
          <w:color w:val="000000"/>
          <w:lang w:val="en-US"/>
        </w:rPr>
        <w:t>AUC</w:t>
      </w:r>
      <w:r w:rsidRPr="00C67FF3">
        <w:rPr>
          <w:rFonts w:eastAsia="Times New Roman" w:cs="Arial"/>
          <w:color w:val="000000"/>
          <w:vertAlign w:val="subscript"/>
          <w:lang w:val="en-US"/>
        </w:rPr>
        <w:t>t</w:t>
      </w:r>
      <w:proofErr w:type="spellEnd"/>
      <w:r w:rsidRPr="00C67FF3">
        <w:rPr>
          <w:rFonts w:eastAsia="Times New Roman" w:cs="Arial"/>
          <w:color w:val="000000"/>
          <w:lang w:val="en-US"/>
        </w:rPr>
        <w:t xml:space="preserve"> </w:t>
      </w:r>
      <w:r w:rsidRPr="00C67FF3">
        <w:rPr>
          <w:rFonts w:eastAsia="Times New Roman" w:cs="Arial"/>
          <w:color w:val="000000"/>
          <w:lang w:eastAsia="bg-BG"/>
        </w:rPr>
        <w:t>на омепразола с 280%. Коригиране на дозата на езомепразол не се налага редовно при тези два случая. Въпреки това, коригиране на дозата следва да се обмисля при пациенти с тежка чернодробна недостатъчност и ако е се налага продължително лечение.</w:t>
      </w:r>
    </w:p>
    <w:p w14:paraId="606603D0" w14:textId="2D54FA94" w:rsidR="00D0173E" w:rsidRDefault="00D0173E" w:rsidP="0091385D"/>
    <w:p w14:paraId="301DD842" w14:textId="3EE6C420" w:rsidR="00C67FF3" w:rsidRDefault="00C67FF3" w:rsidP="0091385D">
      <w:r>
        <w:t xml:space="preserve">Лекарства, известни като индуктори на </w:t>
      </w:r>
      <w:r>
        <w:rPr>
          <w:lang w:val="en-US"/>
        </w:rPr>
        <w:t xml:space="preserve">CYP2C19 </w:t>
      </w:r>
      <w:r>
        <w:t xml:space="preserve">и/или </w:t>
      </w:r>
      <w:r>
        <w:rPr>
          <w:lang w:val="en-US"/>
        </w:rPr>
        <w:t xml:space="preserve">CYP3A4 </w:t>
      </w:r>
      <w:r>
        <w:t>(като рифамшшин и жълт кантарион) могат да доведат до намалени серумни нива на езомепразол, чрез повишаване на неговия метаболизъм.</w:t>
      </w:r>
    </w:p>
    <w:p w14:paraId="479D648A" w14:textId="77777777" w:rsidR="00C67FF3" w:rsidRPr="0091385D" w:rsidRDefault="00C67FF3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06AE2508" w14:textId="77777777" w:rsidR="00C67FF3" w:rsidRPr="00C67FF3" w:rsidRDefault="00C67FF3" w:rsidP="00C67FF3">
      <w:pPr>
        <w:pStyle w:val="Heading3"/>
        <w:rPr>
          <w:rFonts w:eastAsia="Times New Roman"/>
          <w:b/>
          <w:u w:val="single"/>
          <w:lang w:eastAsia="bg-BG"/>
        </w:rPr>
      </w:pPr>
      <w:r w:rsidRPr="00C67FF3">
        <w:rPr>
          <w:rFonts w:eastAsia="Times New Roman"/>
          <w:b/>
          <w:u w:val="single"/>
          <w:lang w:eastAsia="bg-BG"/>
        </w:rPr>
        <w:t>Бременност</w:t>
      </w:r>
    </w:p>
    <w:p w14:paraId="1A479DB1" w14:textId="77777777" w:rsidR="00C67FF3" w:rsidRP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CF5A01" w14:textId="10013B2B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Няма достатъчно клинични данни за езомепразол, прилаган по време на бременност. Епидемиологични изследвания с рацемичната смес, омепразол, прй голяма експозиция по време на бременност не показват вредни или токсични за ембриона ефекти. Изследвания при животни с езомепразол не показват директни или индиректни ефекти по отношение на ембрионалното/ феталното развитие. Изследвания при животни с рацемичната смес не показват директни или индиректни вредни ефекти по отношение на бременността, раждането или постнаталното развитие. Предписването на езомепразол на бременни жени трябва да е предпазливо.</w:t>
      </w:r>
    </w:p>
    <w:p w14:paraId="01D2763A" w14:textId="77777777" w:rsidR="00C67FF3" w:rsidRP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BCB7BF" w14:textId="5B12F875" w:rsidR="00C67FF3" w:rsidRPr="00C67FF3" w:rsidRDefault="00C67FF3" w:rsidP="00C67FF3">
      <w:pPr>
        <w:pStyle w:val="Heading3"/>
        <w:rPr>
          <w:rFonts w:eastAsia="Times New Roman"/>
          <w:b/>
          <w:u w:val="single"/>
          <w:lang w:eastAsia="bg-BG"/>
        </w:rPr>
      </w:pPr>
      <w:r w:rsidRPr="00C67FF3">
        <w:rPr>
          <w:rFonts w:eastAsia="Times New Roman"/>
          <w:b/>
          <w:u w:val="single"/>
          <w:lang w:eastAsia="bg-BG"/>
        </w:rPr>
        <w:t>Кърмене</w:t>
      </w:r>
    </w:p>
    <w:p w14:paraId="64E1FCFE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Не е известно дали езомепразол се екскретира в кърмата при хора. Не са провеждани проучвания при кърмачки. Не е налична достатъчно информация за ефектите на езомепразол при новородени/кърмачета. Поради това Хелидес не трябва да се използва по време на кърмене.</w:t>
      </w:r>
    </w:p>
    <w:p w14:paraId="76F0D3FB" w14:textId="77777777" w:rsidR="00C67FF3" w:rsidRP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B3779C" w14:textId="020E3AC2" w:rsidR="00C67FF3" w:rsidRPr="00C67FF3" w:rsidRDefault="00C67FF3" w:rsidP="00C67FF3">
      <w:pPr>
        <w:pStyle w:val="Heading3"/>
        <w:rPr>
          <w:rFonts w:eastAsia="Times New Roman"/>
          <w:b/>
          <w:u w:val="single"/>
          <w:lang w:eastAsia="bg-BG"/>
        </w:rPr>
      </w:pPr>
      <w:r w:rsidRPr="00C67FF3">
        <w:rPr>
          <w:rFonts w:eastAsia="Times New Roman"/>
          <w:b/>
          <w:u w:val="single"/>
          <w:lang w:eastAsia="bg-BG"/>
        </w:rPr>
        <w:lastRenderedPageBreak/>
        <w:t>Фертилитет</w:t>
      </w:r>
    </w:p>
    <w:p w14:paraId="102F0D07" w14:textId="1C00859F" w:rsidR="007A2185" w:rsidRPr="00C67FF3" w:rsidRDefault="00C67FF3" w:rsidP="00C67FF3">
      <w:pPr>
        <w:rPr>
          <w:rFonts w:cs="Arial"/>
        </w:rPr>
      </w:pPr>
      <w:r w:rsidRPr="00C67FF3">
        <w:rPr>
          <w:rFonts w:eastAsia="Times New Roman" w:cs="Arial"/>
          <w:color w:val="000000"/>
          <w:lang w:eastAsia="bg-BG"/>
        </w:rPr>
        <w:t>Проучвания при животни с рацемичната смес омепразол, прилаган перорално, не показват ефекти по отношение на фертилитет.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609C7231" w:rsidR="007A2185" w:rsidRPr="00C67FF3" w:rsidRDefault="00C67FF3" w:rsidP="0091385D">
      <w:pPr>
        <w:rPr>
          <w:rFonts w:cs="Arial"/>
        </w:rPr>
      </w:pPr>
      <w:r w:rsidRPr="00C67FF3">
        <w:rPr>
          <w:rFonts w:cs="Arial"/>
        </w:rPr>
        <w:t>Езомепразол има незначителен ефект върху способността за шофиране и работа с машини. Рапортувани са нежелани лекарствени реакции като световъртеж (нечеста) или замъглено зрение (рядка) (вж. точка 4.8). Ако пациентите се повлияват, не трябва да шофират или да работят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0254AACC" w14:textId="630FB1B8" w:rsidR="007A2185" w:rsidRP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Следните нежелани лекарствени реакции са наблюдавани или подозирани по време на клиничните изпитвания на езомепразол и пост-маркетингова употреба. Пито една от тях не е била свързана с дозата. Според честотата на тяхната поява нежеланите реакции се делят на: (много чести ≥1/10, чести от ≥1/100 до &lt;1/10; нечести: от ≥1/1 000 до &lt;1/100; редки: от</w:t>
      </w:r>
      <w:r w:rsidRPr="00C67FF3">
        <w:rPr>
          <w:rFonts w:eastAsia="Times New Roman" w:cs="Arial"/>
          <w:lang w:eastAsia="bg-BG"/>
        </w:rPr>
        <w:t xml:space="preserve"> </w:t>
      </w:r>
      <w:r w:rsidRPr="00C67FF3">
        <w:rPr>
          <w:rFonts w:eastAsia="Times New Roman" w:cs="Arial"/>
          <w:color w:val="000000"/>
          <w:lang w:eastAsia="bg-BG"/>
        </w:rPr>
        <w:t>≥1/10 000 до &lt;1/1 000; много редки: &lt;1/10 000, с неизвестна честота: не могат да бъдат определени от наличните данни).</w:t>
      </w:r>
    </w:p>
    <w:p w14:paraId="6C21BACE" w14:textId="65085E4E" w:rsidR="00C67FF3" w:rsidRDefault="00C67FF3" w:rsidP="00C67FF3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7FF3" w14:paraId="5AA922BF" w14:textId="77777777" w:rsidTr="00C67FF3">
        <w:tc>
          <w:tcPr>
            <w:tcW w:w="3116" w:type="dxa"/>
            <w:vMerge w:val="restart"/>
          </w:tcPr>
          <w:p w14:paraId="0259769F" w14:textId="1E462B49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кръвта и лимфната система</w:t>
            </w:r>
          </w:p>
        </w:tc>
        <w:tc>
          <w:tcPr>
            <w:tcW w:w="3117" w:type="dxa"/>
          </w:tcPr>
          <w:p w14:paraId="3D287247" w14:textId="5FE5B3C9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Редки</w:t>
            </w:r>
          </w:p>
        </w:tc>
        <w:tc>
          <w:tcPr>
            <w:tcW w:w="3117" w:type="dxa"/>
          </w:tcPr>
          <w:p w14:paraId="53B4D055" w14:textId="0A2F1405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Левкопения, тромбоцитопения</w:t>
            </w:r>
          </w:p>
        </w:tc>
      </w:tr>
      <w:tr w:rsidR="00C67FF3" w14:paraId="46B45C5C" w14:textId="77777777" w:rsidTr="00C67FF3">
        <w:tc>
          <w:tcPr>
            <w:tcW w:w="3116" w:type="dxa"/>
            <w:vMerge/>
          </w:tcPr>
          <w:p w14:paraId="25A6D95F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0CEDDF24" w14:textId="4B1FA9CE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Много редки</w:t>
            </w:r>
          </w:p>
        </w:tc>
        <w:tc>
          <w:tcPr>
            <w:tcW w:w="3117" w:type="dxa"/>
          </w:tcPr>
          <w:p w14:paraId="1C962273" w14:textId="18C22133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Агранулоцитоза, панцитопения</w:t>
            </w:r>
          </w:p>
        </w:tc>
      </w:tr>
      <w:tr w:rsidR="00C67FF3" w14:paraId="5DD3CADB" w14:textId="77777777" w:rsidTr="00C67FF3">
        <w:tc>
          <w:tcPr>
            <w:tcW w:w="3116" w:type="dxa"/>
          </w:tcPr>
          <w:p w14:paraId="1048134F" w14:textId="04F746E5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имунната система</w:t>
            </w:r>
          </w:p>
        </w:tc>
        <w:tc>
          <w:tcPr>
            <w:tcW w:w="3117" w:type="dxa"/>
          </w:tcPr>
          <w:p w14:paraId="38198807" w14:textId="6A806170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Редки</w:t>
            </w:r>
          </w:p>
        </w:tc>
        <w:tc>
          <w:tcPr>
            <w:tcW w:w="3117" w:type="dxa"/>
          </w:tcPr>
          <w:p w14:paraId="46845593" w14:textId="5A270391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Реакции на свръхчувствителност като треска, ангиоедема и анафилактична реакция/ шок</w:t>
            </w:r>
          </w:p>
        </w:tc>
      </w:tr>
      <w:tr w:rsidR="00C67FF3" w14:paraId="1E5D94C0" w14:textId="77777777" w:rsidTr="00C67FF3">
        <w:tc>
          <w:tcPr>
            <w:tcW w:w="3116" w:type="dxa"/>
            <w:vMerge w:val="restart"/>
          </w:tcPr>
          <w:p w14:paraId="211A2753" w14:textId="1D677B96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метаболизма и храненето</w:t>
            </w:r>
          </w:p>
        </w:tc>
        <w:tc>
          <w:tcPr>
            <w:tcW w:w="3117" w:type="dxa"/>
          </w:tcPr>
          <w:p w14:paraId="036366FC" w14:textId="25C0B183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Нечести</w:t>
            </w:r>
          </w:p>
        </w:tc>
        <w:tc>
          <w:tcPr>
            <w:tcW w:w="3117" w:type="dxa"/>
          </w:tcPr>
          <w:p w14:paraId="17727E22" w14:textId="6C66AE4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Периферна едема</w:t>
            </w:r>
          </w:p>
        </w:tc>
      </w:tr>
      <w:tr w:rsidR="00C67FF3" w14:paraId="1765783F" w14:textId="77777777" w:rsidTr="00C67FF3">
        <w:tc>
          <w:tcPr>
            <w:tcW w:w="3116" w:type="dxa"/>
            <w:vMerge/>
          </w:tcPr>
          <w:p w14:paraId="07205EA6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7FDBB20F" w14:textId="3A38C2C5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Редки</w:t>
            </w:r>
          </w:p>
        </w:tc>
        <w:tc>
          <w:tcPr>
            <w:tcW w:w="3117" w:type="dxa"/>
          </w:tcPr>
          <w:p w14:paraId="2A4AECA6" w14:textId="2E94C57A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Хипонатриемия</w:t>
            </w:r>
          </w:p>
        </w:tc>
      </w:tr>
      <w:tr w:rsidR="00C67FF3" w14:paraId="156A343D" w14:textId="77777777" w:rsidTr="00C67FF3">
        <w:tc>
          <w:tcPr>
            <w:tcW w:w="3116" w:type="dxa"/>
            <w:vMerge/>
          </w:tcPr>
          <w:p w14:paraId="2AC2B77E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0B0635DE" w14:textId="1C689EDB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С неизвестна честота</w:t>
            </w:r>
          </w:p>
        </w:tc>
        <w:tc>
          <w:tcPr>
            <w:tcW w:w="3117" w:type="dxa"/>
          </w:tcPr>
          <w:p w14:paraId="74A3009C" w14:textId="77777777" w:rsidR="00C67FF3" w:rsidRPr="00C67FF3" w:rsidRDefault="00C67FF3" w:rsidP="00C67FF3">
            <w:r w:rsidRPr="00C67FF3">
              <w:t>Хипомагнезиемия (Вижте т. 4.4); тежката хипомагнезиемия може да се свърже с хипокалциемия;</w:t>
            </w:r>
          </w:p>
          <w:p w14:paraId="084D3801" w14:textId="2C5B64B2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Хипомагнезиемия може също така да доведе до хипокалемия</w:t>
            </w:r>
          </w:p>
        </w:tc>
      </w:tr>
      <w:tr w:rsidR="00C67FF3" w14:paraId="788F6C08" w14:textId="77777777" w:rsidTr="00C67FF3">
        <w:tc>
          <w:tcPr>
            <w:tcW w:w="3116" w:type="dxa"/>
            <w:vMerge w:val="restart"/>
          </w:tcPr>
          <w:p w14:paraId="2662D2A4" w14:textId="25FCEC68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Психични нарушения</w:t>
            </w:r>
          </w:p>
        </w:tc>
        <w:tc>
          <w:tcPr>
            <w:tcW w:w="3117" w:type="dxa"/>
          </w:tcPr>
          <w:p w14:paraId="3837A62F" w14:textId="4932DC9A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Нечести</w:t>
            </w:r>
          </w:p>
        </w:tc>
        <w:tc>
          <w:tcPr>
            <w:tcW w:w="3117" w:type="dxa"/>
          </w:tcPr>
          <w:p w14:paraId="49EF334A" w14:textId="3F45D4EA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Безсъние</w:t>
            </w:r>
          </w:p>
        </w:tc>
      </w:tr>
      <w:tr w:rsidR="00C67FF3" w14:paraId="44CA11F3" w14:textId="77777777" w:rsidTr="00C67FF3">
        <w:tc>
          <w:tcPr>
            <w:tcW w:w="3116" w:type="dxa"/>
            <w:vMerge/>
          </w:tcPr>
          <w:p w14:paraId="31305A0E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26FB9B56" w14:textId="3B0A56C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Редки</w:t>
            </w:r>
          </w:p>
        </w:tc>
        <w:tc>
          <w:tcPr>
            <w:tcW w:w="3117" w:type="dxa"/>
          </w:tcPr>
          <w:p w14:paraId="1D82FA53" w14:textId="16AFDB73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Раздразнение, обърканост, депресия</w:t>
            </w:r>
          </w:p>
        </w:tc>
      </w:tr>
      <w:tr w:rsidR="00C67FF3" w14:paraId="71279F9E" w14:textId="77777777" w:rsidTr="00C67FF3">
        <w:tc>
          <w:tcPr>
            <w:tcW w:w="3116" w:type="dxa"/>
            <w:vMerge/>
          </w:tcPr>
          <w:p w14:paraId="171F8247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2ED59FF5" w14:textId="7382855E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Много редки</w:t>
            </w:r>
          </w:p>
        </w:tc>
        <w:tc>
          <w:tcPr>
            <w:tcW w:w="3117" w:type="dxa"/>
          </w:tcPr>
          <w:p w14:paraId="54663C64" w14:textId="714368FF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Агресия, халюцинации</w:t>
            </w:r>
          </w:p>
        </w:tc>
      </w:tr>
      <w:tr w:rsidR="00C67FF3" w14:paraId="75726641" w14:textId="77777777" w:rsidTr="00C67FF3">
        <w:tc>
          <w:tcPr>
            <w:tcW w:w="3116" w:type="dxa"/>
            <w:vMerge w:val="restart"/>
          </w:tcPr>
          <w:p w14:paraId="182361B1" w14:textId="0752EED9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Нарушения на нервната система</w:t>
            </w:r>
          </w:p>
        </w:tc>
        <w:tc>
          <w:tcPr>
            <w:tcW w:w="3117" w:type="dxa"/>
          </w:tcPr>
          <w:p w14:paraId="20678F5B" w14:textId="4E5098D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Чести</w:t>
            </w:r>
          </w:p>
        </w:tc>
        <w:tc>
          <w:tcPr>
            <w:tcW w:w="3117" w:type="dxa"/>
          </w:tcPr>
          <w:p w14:paraId="3FF3578C" w14:textId="0505780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Главоболие</w:t>
            </w:r>
          </w:p>
        </w:tc>
      </w:tr>
      <w:tr w:rsidR="00C67FF3" w14:paraId="62688457" w14:textId="77777777" w:rsidTr="00C67FF3">
        <w:tc>
          <w:tcPr>
            <w:tcW w:w="3116" w:type="dxa"/>
            <w:vMerge/>
          </w:tcPr>
          <w:p w14:paraId="40C9C7FF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180A4932" w14:textId="3DDB9125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Нечести</w:t>
            </w:r>
          </w:p>
        </w:tc>
        <w:tc>
          <w:tcPr>
            <w:tcW w:w="3117" w:type="dxa"/>
          </w:tcPr>
          <w:p w14:paraId="5DA6C88C" w14:textId="2B5C0D09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Световъртеж, парестезия, сомнолентност</w:t>
            </w:r>
          </w:p>
        </w:tc>
      </w:tr>
      <w:tr w:rsidR="00C67FF3" w14:paraId="5DC3F178" w14:textId="77777777" w:rsidTr="00C67FF3">
        <w:tc>
          <w:tcPr>
            <w:tcW w:w="3116" w:type="dxa"/>
            <w:vMerge/>
          </w:tcPr>
          <w:p w14:paraId="5EA9E382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3689CD44" w14:textId="056CEEE3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5F9477C7" w14:textId="3F151B0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Нарушения на вкуса</w:t>
            </w:r>
          </w:p>
        </w:tc>
      </w:tr>
      <w:tr w:rsidR="00C67FF3" w14:paraId="3736C861" w14:textId="77777777" w:rsidTr="00C67FF3">
        <w:tc>
          <w:tcPr>
            <w:tcW w:w="3116" w:type="dxa"/>
          </w:tcPr>
          <w:p w14:paraId="4113832D" w14:textId="13A19F2D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Нарушения на окото</w:t>
            </w:r>
          </w:p>
        </w:tc>
        <w:tc>
          <w:tcPr>
            <w:tcW w:w="3117" w:type="dxa"/>
          </w:tcPr>
          <w:p w14:paraId="249C357C" w14:textId="27BBE8D1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17BC8B40" w14:textId="6EDF4FA6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Замъглено зрение</w:t>
            </w:r>
          </w:p>
        </w:tc>
      </w:tr>
      <w:tr w:rsidR="00C67FF3" w14:paraId="4C29B0E8" w14:textId="77777777" w:rsidTr="00C67FF3">
        <w:tc>
          <w:tcPr>
            <w:tcW w:w="3116" w:type="dxa"/>
          </w:tcPr>
          <w:p w14:paraId="4BB1F892" w14:textId="3A64387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lastRenderedPageBreak/>
              <w:t>Нарушения на ухото и лабиринта</w:t>
            </w:r>
          </w:p>
        </w:tc>
        <w:tc>
          <w:tcPr>
            <w:tcW w:w="3117" w:type="dxa"/>
          </w:tcPr>
          <w:p w14:paraId="0599CFE3" w14:textId="07FF763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Нечести</w:t>
            </w:r>
          </w:p>
        </w:tc>
        <w:tc>
          <w:tcPr>
            <w:tcW w:w="3117" w:type="dxa"/>
          </w:tcPr>
          <w:p w14:paraId="78C8D894" w14:textId="6E66C676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Вертиго</w:t>
            </w:r>
          </w:p>
        </w:tc>
      </w:tr>
      <w:tr w:rsidR="00C67FF3" w14:paraId="5622BA51" w14:textId="77777777" w:rsidTr="00C67FF3">
        <w:tc>
          <w:tcPr>
            <w:tcW w:w="3116" w:type="dxa"/>
          </w:tcPr>
          <w:p w14:paraId="767499F5" w14:textId="31D82DFD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Респираторни, гръдни и медиастинални нарушения</w:t>
            </w:r>
          </w:p>
        </w:tc>
        <w:tc>
          <w:tcPr>
            <w:tcW w:w="3117" w:type="dxa"/>
          </w:tcPr>
          <w:p w14:paraId="7243387F" w14:textId="77D89CB1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17DB60F1" w14:textId="4C002E02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Бронхоспазъм</w:t>
            </w:r>
          </w:p>
        </w:tc>
      </w:tr>
      <w:tr w:rsidR="00C67FF3" w14:paraId="6A28F82A" w14:textId="77777777" w:rsidTr="00C67FF3">
        <w:tc>
          <w:tcPr>
            <w:tcW w:w="3116" w:type="dxa"/>
            <w:vMerge w:val="restart"/>
          </w:tcPr>
          <w:p w14:paraId="0D529B2F" w14:textId="36A5D1BD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гастроинтестиналния тракт</w:t>
            </w:r>
          </w:p>
        </w:tc>
        <w:tc>
          <w:tcPr>
            <w:tcW w:w="3117" w:type="dxa"/>
          </w:tcPr>
          <w:p w14:paraId="351800D0" w14:textId="3DF1D85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Чести</w:t>
            </w:r>
          </w:p>
        </w:tc>
        <w:tc>
          <w:tcPr>
            <w:tcW w:w="3117" w:type="dxa"/>
          </w:tcPr>
          <w:p w14:paraId="74E401E1" w14:textId="02067F98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Коремна болка, констипация, диария, флатуленция, гадене/ повръщане, полипи на дъното (фундуса) на стомаха (доброкачествени)</w:t>
            </w:r>
          </w:p>
        </w:tc>
      </w:tr>
      <w:tr w:rsidR="00C67FF3" w14:paraId="13F4A10A" w14:textId="77777777" w:rsidTr="00C67FF3">
        <w:tc>
          <w:tcPr>
            <w:tcW w:w="3116" w:type="dxa"/>
            <w:vMerge/>
          </w:tcPr>
          <w:p w14:paraId="40C564F5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6FBEF4F3" w14:textId="4E599DD8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Нечести</w:t>
            </w:r>
          </w:p>
        </w:tc>
        <w:tc>
          <w:tcPr>
            <w:tcW w:w="3117" w:type="dxa"/>
          </w:tcPr>
          <w:p w14:paraId="0BC80857" w14:textId="5F094714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Сухота в устата</w:t>
            </w:r>
          </w:p>
        </w:tc>
      </w:tr>
      <w:tr w:rsidR="00C67FF3" w14:paraId="18AD1A12" w14:textId="77777777" w:rsidTr="00C67FF3">
        <w:tc>
          <w:tcPr>
            <w:tcW w:w="3116" w:type="dxa"/>
            <w:vMerge/>
          </w:tcPr>
          <w:p w14:paraId="2AD2AF49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6F9B5544" w14:textId="01F8B26C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3522F210" w14:textId="3CE178C8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Стоматит, гастроинтестинална кандидоза</w:t>
            </w:r>
          </w:p>
        </w:tc>
      </w:tr>
      <w:tr w:rsidR="00C67FF3" w14:paraId="3F268449" w14:textId="77777777" w:rsidTr="00C67FF3">
        <w:tc>
          <w:tcPr>
            <w:tcW w:w="3116" w:type="dxa"/>
            <w:vMerge/>
          </w:tcPr>
          <w:p w14:paraId="43CDD83D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4AED82BD" w14:textId="30E35631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Неизвестна честота</w:t>
            </w:r>
          </w:p>
        </w:tc>
        <w:tc>
          <w:tcPr>
            <w:tcW w:w="3117" w:type="dxa"/>
          </w:tcPr>
          <w:p w14:paraId="14BD59B0" w14:textId="1C6E75DD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Микроскопичен колит</w:t>
            </w:r>
          </w:p>
        </w:tc>
      </w:tr>
      <w:tr w:rsidR="00C67FF3" w14:paraId="76AB2880" w14:textId="77777777" w:rsidTr="00C67FF3">
        <w:tc>
          <w:tcPr>
            <w:tcW w:w="3116" w:type="dxa"/>
            <w:vMerge w:val="restart"/>
          </w:tcPr>
          <w:p w14:paraId="43ADCC12" w14:textId="126C195A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Хепатобилиарни нарушения</w:t>
            </w:r>
          </w:p>
        </w:tc>
        <w:tc>
          <w:tcPr>
            <w:tcW w:w="3117" w:type="dxa"/>
          </w:tcPr>
          <w:p w14:paraId="7D7AA96C" w14:textId="58B4AC5A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Нечести</w:t>
            </w:r>
          </w:p>
        </w:tc>
        <w:tc>
          <w:tcPr>
            <w:tcW w:w="3117" w:type="dxa"/>
          </w:tcPr>
          <w:p w14:paraId="65C2A119" w14:textId="2644DB2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Повишени чернодробни ензими</w:t>
            </w:r>
          </w:p>
        </w:tc>
      </w:tr>
      <w:tr w:rsidR="00C67FF3" w14:paraId="73B09FA9" w14:textId="77777777" w:rsidTr="00C67FF3">
        <w:tc>
          <w:tcPr>
            <w:tcW w:w="3116" w:type="dxa"/>
            <w:vMerge/>
          </w:tcPr>
          <w:p w14:paraId="1F3DB056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1CA29435" w14:textId="3A983492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241C7B3D" w14:textId="7C2590DD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Хепатит с или без жълтеница</w:t>
            </w:r>
          </w:p>
        </w:tc>
      </w:tr>
      <w:tr w:rsidR="00C67FF3" w14:paraId="2D56CC05" w14:textId="77777777" w:rsidTr="00C67FF3">
        <w:tc>
          <w:tcPr>
            <w:tcW w:w="3116" w:type="dxa"/>
            <w:vMerge/>
          </w:tcPr>
          <w:p w14:paraId="59EA01B1" w14:textId="77777777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17" w:type="dxa"/>
          </w:tcPr>
          <w:p w14:paraId="014FC157" w14:textId="48336798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Много редки</w:t>
            </w:r>
          </w:p>
        </w:tc>
        <w:tc>
          <w:tcPr>
            <w:tcW w:w="3117" w:type="dxa"/>
          </w:tcPr>
          <w:p w14:paraId="6BB8D881" w14:textId="771A0F0D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Чернодробна недостатъчност, енцефалопатия при пациенти с анамнеза за предишно чернодробно заболяване</w:t>
            </w:r>
          </w:p>
        </w:tc>
      </w:tr>
      <w:tr w:rsidR="00C67FF3" w14:paraId="75C21894" w14:textId="77777777" w:rsidTr="00C67FF3">
        <w:tc>
          <w:tcPr>
            <w:tcW w:w="3116" w:type="dxa"/>
            <w:vMerge w:val="restart"/>
          </w:tcPr>
          <w:p w14:paraId="75DDA445" w14:textId="5815556E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кожата и подкожната тъкан</w:t>
            </w:r>
          </w:p>
        </w:tc>
        <w:tc>
          <w:tcPr>
            <w:tcW w:w="3117" w:type="dxa"/>
          </w:tcPr>
          <w:p w14:paraId="52F3DDB5" w14:textId="3DC067F3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Нечести</w:t>
            </w:r>
          </w:p>
        </w:tc>
        <w:tc>
          <w:tcPr>
            <w:tcW w:w="3117" w:type="dxa"/>
          </w:tcPr>
          <w:p w14:paraId="708D3F4B" w14:textId="1960A36E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Дерматит, пруритус, обрив, уртикария</w:t>
            </w:r>
          </w:p>
        </w:tc>
      </w:tr>
      <w:tr w:rsidR="00C67FF3" w14:paraId="2BA5C623" w14:textId="77777777" w:rsidTr="00C67FF3">
        <w:tc>
          <w:tcPr>
            <w:tcW w:w="3116" w:type="dxa"/>
            <w:vMerge/>
          </w:tcPr>
          <w:p w14:paraId="3235DB2E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57263F76" w14:textId="2B6A77B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715D8434" w14:textId="2E80AA7D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Алопеция, фоточувствителност</w:t>
            </w:r>
          </w:p>
        </w:tc>
      </w:tr>
      <w:tr w:rsidR="00C67FF3" w14:paraId="13E35E2F" w14:textId="77777777" w:rsidTr="00C67FF3">
        <w:tc>
          <w:tcPr>
            <w:tcW w:w="3116" w:type="dxa"/>
            <w:vMerge/>
          </w:tcPr>
          <w:p w14:paraId="11AF0150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01D21051" w14:textId="1919378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Много редки</w:t>
            </w:r>
          </w:p>
        </w:tc>
        <w:tc>
          <w:tcPr>
            <w:tcW w:w="3117" w:type="dxa"/>
          </w:tcPr>
          <w:p w14:paraId="72C89404" w14:textId="77751AA0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Еритема мултиформе, синдром на </w:t>
            </w:r>
            <w:r>
              <w:rPr>
                <w:lang w:val="en-US"/>
              </w:rPr>
              <w:t xml:space="preserve">Stevens- Johnson, </w:t>
            </w:r>
            <w:r>
              <w:t>токсична епидермална некролиза (ТЕН)</w:t>
            </w:r>
          </w:p>
        </w:tc>
      </w:tr>
      <w:tr w:rsidR="00C67FF3" w14:paraId="46D8BEF7" w14:textId="77777777" w:rsidTr="00C67FF3">
        <w:tc>
          <w:tcPr>
            <w:tcW w:w="3116" w:type="dxa"/>
            <w:vMerge/>
          </w:tcPr>
          <w:p w14:paraId="14A0FDE1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7F385B2E" w14:textId="628B565F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17" w:type="dxa"/>
          </w:tcPr>
          <w:p w14:paraId="300EE7A0" w14:textId="167D6A3C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Субакуген кожен лупус еритематодес (вж. точка 4.4)</w:t>
            </w:r>
          </w:p>
        </w:tc>
      </w:tr>
      <w:tr w:rsidR="00C67FF3" w14:paraId="2E7D975A" w14:textId="77777777" w:rsidTr="00C67FF3">
        <w:tc>
          <w:tcPr>
            <w:tcW w:w="3116" w:type="dxa"/>
            <w:vMerge w:val="restart"/>
          </w:tcPr>
          <w:p w14:paraId="0422DB68" w14:textId="2DC9A3C6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мускулно- скелетната система и съединителната тъкан</w:t>
            </w:r>
          </w:p>
        </w:tc>
        <w:tc>
          <w:tcPr>
            <w:tcW w:w="3117" w:type="dxa"/>
          </w:tcPr>
          <w:p w14:paraId="4847D7CF" w14:textId="64612C9A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Нечести</w:t>
            </w:r>
          </w:p>
        </w:tc>
        <w:tc>
          <w:tcPr>
            <w:tcW w:w="3117" w:type="dxa"/>
          </w:tcPr>
          <w:p w14:paraId="072EEE6E" w14:textId="7EF9019C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фрактури на тазобедрената става, китката и гръбначния стълб (Вижте т. 4.4)</w:t>
            </w:r>
          </w:p>
        </w:tc>
      </w:tr>
      <w:tr w:rsidR="00C67FF3" w14:paraId="2A5A45C4" w14:textId="77777777" w:rsidTr="00C67FF3">
        <w:tc>
          <w:tcPr>
            <w:tcW w:w="3116" w:type="dxa"/>
            <w:vMerge/>
          </w:tcPr>
          <w:p w14:paraId="232423AD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3C795E5E" w14:textId="31BFAC91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Редки</w:t>
            </w:r>
          </w:p>
        </w:tc>
        <w:tc>
          <w:tcPr>
            <w:tcW w:w="3117" w:type="dxa"/>
          </w:tcPr>
          <w:p w14:paraId="172610AC" w14:textId="214C09EC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Артралгия, миалгия</w:t>
            </w:r>
          </w:p>
        </w:tc>
      </w:tr>
      <w:tr w:rsidR="00C67FF3" w14:paraId="5E5D8DDE" w14:textId="77777777" w:rsidTr="00C67FF3">
        <w:tc>
          <w:tcPr>
            <w:tcW w:w="3116" w:type="dxa"/>
            <w:vMerge/>
          </w:tcPr>
          <w:p w14:paraId="64333B48" w14:textId="77777777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7" w:type="dxa"/>
          </w:tcPr>
          <w:p w14:paraId="1C761326" w14:textId="7D257501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Много редки</w:t>
            </w:r>
          </w:p>
        </w:tc>
        <w:tc>
          <w:tcPr>
            <w:tcW w:w="3117" w:type="dxa"/>
          </w:tcPr>
          <w:p w14:paraId="78C9520C" w14:textId="21069223" w:rsid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Мускулна слабост</w:t>
            </w:r>
          </w:p>
        </w:tc>
      </w:tr>
      <w:tr w:rsidR="00C67FF3" w14:paraId="6EBAE3A8" w14:textId="77777777" w:rsidTr="00C67FF3">
        <w:tc>
          <w:tcPr>
            <w:tcW w:w="3116" w:type="dxa"/>
          </w:tcPr>
          <w:p w14:paraId="46187310" w14:textId="3ED8DD6D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бъбреците и пикочната система</w:t>
            </w:r>
          </w:p>
        </w:tc>
        <w:tc>
          <w:tcPr>
            <w:tcW w:w="3117" w:type="dxa"/>
          </w:tcPr>
          <w:p w14:paraId="3302F87E" w14:textId="20B36E66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Много редки</w:t>
            </w:r>
          </w:p>
        </w:tc>
        <w:tc>
          <w:tcPr>
            <w:tcW w:w="3117" w:type="dxa"/>
          </w:tcPr>
          <w:p w14:paraId="1403BEC9" w14:textId="1E9F03B1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Интерстициален нефрит; при някои пациенти е докладвано за бъбречна недостатъчност</w:t>
            </w:r>
          </w:p>
        </w:tc>
      </w:tr>
      <w:tr w:rsidR="00C67FF3" w14:paraId="353DEB41" w14:textId="77777777" w:rsidTr="00C67FF3">
        <w:tc>
          <w:tcPr>
            <w:tcW w:w="3116" w:type="dxa"/>
          </w:tcPr>
          <w:p w14:paraId="12BC9E8B" w14:textId="555D5F76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Нарушения на възпроизводителната система и гърдата</w:t>
            </w:r>
          </w:p>
        </w:tc>
        <w:tc>
          <w:tcPr>
            <w:tcW w:w="3117" w:type="dxa"/>
          </w:tcPr>
          <w:p w14:paraId="691AED5F" w14:textId="7A241A9D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Много редки</w:t>
            </w:r>
          </w:p>
        </w:tc>
        <w:tc>
          <w:tcPr>
            <w:tcW w:w="3117" w:type="dxa"/>
          </w:tcPr>
          <w:p w14:paraId="49113C2A" w14:textId="561DF6B0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Гинекомастия</w:t>
            </w:r>
          </w:p>
        </w:tc>
      </w:tr>
      <w:tr w:rsidR="00C67FF3" w14:paraId="06859455" w14:textId="77777777" w:rsidTr="00C67FF3">
        <w:tc>
          <w:tcPr>
            <w:tcW w:w="3116" w:type="dxa"/>
          </w:tcPr>
          <w:p w14:paraId="2376E7D8" w14:textId="568DAF4E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lastRenderedPageBreak/>
              <w:t>Общи нарушения и ефекти на мястото на приложение</w:t>
            </w:r>
          </w:p>
        </w:tc>
        <w:tc>
          <w:tcPr>
            <w:tcW w:w="3117" w:type="dxa"/>
          </w:tcPr>
          <w:p w14:paraId="23A90B08" w14:textId="148B165C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Редки</w:t>
            </w:r>
          </w:p>
        </w:tc>
        <w:tc>
          <w:tcPr>
            <w:tcW w:w="3117" w:type="dxa"/>
          </w:tcPr>
          <w:p w14:paraId="27190946" w14:textId="36E584CA" w:rsidR="00C67FF3" w:rsidRPr="00C67FF3" w:rsidRDefault="00C67FF3" w:rsidP="00C67FF3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67FF3">
              <w:t>Отпадналост, повишено потоотделяне</w:t>
            </w:r>
          </w:p>
        </w:tc>
      </w:tr>
    </w:tbl>
    <w:p w14:paraId="0D16BEB7" w14:textId="4D982272" w:rsidR="00C67FF3" w:rsidRDefault="00C67FF3" w:rsidP="00C67F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6CAC3F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AA0293C" w14:textId="77777777" w:rsid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Съобщаването на подозирани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</w:t>
      </w:r>
    </w:p>
    <w:p w14:paraId="2EB8773B" w14:textId="77777777" w:rsid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4FFAE19B" w14:textId="77777777" w:rsid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ул. „Дамян Груев“ № 8 </w:t>
      </w:r>
    </w:p>
    <w:p w14:paraId="401897BF" w14:textId="3066A017" w:rsidR="00C67FF3" w:rsidRPr="00C67FF3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1303 София</w:t>
      </w:r>
    </w:p>
    <w:p w14:paraId="0A825055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Тел.: +359 2 8903417</w:t>
      </w:r>
    </w:p>
    <w:p w14:paraId="606E57A3" w14:textId="44508D78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C67FF3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A43B8F3" w14:textId="6E11BC57" w:rsidR="007A2185" w:rsidRPr="00C67FF3" w:rsidRDefault="00C67FF3" w:rsidP="0091385D">
      <w:r w:rsidRPr="00C67FF3">
        <w:t xml:space="preserve">До днес няма опит с преднамерено отравяне. Симптомите, описани във връзка с 280 </w:t>
      </w:r>
      <w:r w:rsidRPr="00C67FF3">
        <w:rPr>
          <w:lang w:val="en-US"/>
        </w:rPr>
        <w:t xml:space="preserve">mg </w:t>
      </w:r>
      <w:r w:rsidRPr="00C67FF3">
        <w:t xml:space="preserve">са гатроинтестинални и симптоми на слабост. Единични дози от 80 </w:t>
      </w:r>
      <w:r w:rsidRPr="00C67FF3">
        <w:rPr>
          <w:lang w:val="en-US"/>
        </w:rPr>
        <w:t xml:space="preserve">mg </w:t>
      </w:r>
      <w:r w:rsidRPr="00C67FF3">
        <w:t>езомепразол не са довели до някакво събитие. Не е известен специфичен антидот. Езомепразолът се свързва с плазмените протеини в много висока степен и поради това не се отстранява лесно чрез диализа. Както при всеки случай на предозиране, лечението трябва да бъде симптоматично и да се прилагат общи поддържащи мерки.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350790DC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b/>
          <w:bCs/>
          <w:color w:val="000000"/>
          <w:lang w:eastAsia="bg-BG"/>
        </w:rPr>
        <w:t xml:space="preserve">Фармакотерапевтнчна група: </w:t>
      </w:r>
      <w:r w:rsidRPr="00C67FF3">
        <w:rPr>
          <w:rFonts w:eastAsia="Times New Roman" w:cs="Arial"/>
          <w:color w:val="000000"/>
          <w:lang w:eastAsia="bg-BG"/>
        </w:rPr>
        <w:t>инхибитор на протонната помпа</w:t>
      </w:r>
    </w:p>
    <w:p w14:paraId="7E4D0D4D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АТС код: А02В С05</w:t>
      </w:r>
    </w:p>
    <w:p w14:paraId="4F20DC5D" w14:textId="77777777" w:rsidR="00134F57" w:rsidRPr="00134F57" w:rsidRDefault="00134F57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044AD1" w14:textId="73D8617D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Езомепразол е </w:t>
      </w:r>
      <w:r w:rsidRPr="00C67FF3">
        <w:rPr>
          <w:rFonts w:eastAsia="Times New Roman" w:cs="Arial"/>
          <w:color w:val="000000"/>
          <w:lang w:val="en-US"/>
        </w:rPr>
        <w:t>S</w:t>
      </w:r>
      <w:r w:rsidRPr="00C67FF3">
        <w:rPr>
          <w:rFonts w:eastAsia="Times New Roman" w:cs="Arial"/>
          <w:color w:val="000000"/>
          <w:lang w:eastAsia="bg-BG"/>
        </w:rPr>
        <w:t xml:space="preserve">-изомер на омепразол и намалява стомашната киселинна секреция чрез високо прицелен механизъм на действие. Той е специфичен инхибитор на протонната помпа в париеталната клетка. </w:t>
      </w:r>
      <w:r w:rsidRPr="00C67FF3">
        <w:rPr>
          <w:rFonts w:eastAsia="Times New Roman" w:cs="Arial"/>
          <w:color w:val="000000"/>
          <w:lang w:val="en-US"/>
        </w:rPr>
        <w:t xml:space="preserve">R- </w:t>
      </w:r>
      <w:proofErr w:type="gramStart"/>
      <w:r w:rsidRPr="00C67FF3">
        <w:rPr>
          <w:rFonts w:eastAsia="Times New Roman" w:cs="Arial"/>
          <w:color w:val="000000"/>
          <w:lang w:eastAsia="bg-BG"/>
        </w:rPr>
        <w:t>и</w:t>
      </w:r>
      <w:proofErr w:type="gramEnd"/>
      <w:r w:rsidRPr="00C67FF3">
        <w:rPr>
          <w:rFonts w:eastAsia="Times New Roman" w:cs="Arial"/>
          <w:color w:val="000000"/>
          <w:lang w:eastAsia="bg-BG"/>
        </w:rPr>
        <w:t xml:space="preserve"> </w:t>
      </w:r>
      <w:r w:rsidRPr="00C67FF3">
        <w:rPr>
          <w:rFonts w:eastAsia="Times New Roman" w:cs="Arial"/>
          <w:color w:val="000000"/>
          <w:lang w:val="en-US"/>
        </w:rPr>
        <w:t>S</w:t>
      </w:r>
      <w:r w:rsidRPr="00C67FF3">
        <w:rPr>
          <w:rFonts w:eastAsia="Times New Roman" w:cs="Arial"/>
          <w:color w:val="000000"/>
          <w:lang w:eastAsia="bg-BG"/>
        </w:rPr>
        <w:t>-изомерите на омепразол имат подобно фармакодинамично действие.</w:t>
      </w:r>
    </w:p>
    <w:p w14:paraId="76BA781A" w14:textId="77777777" w:rsidR="00134F57" w:rsidRPr="00134F57" w:rsidRDefault="00134F57" w:rsidP="00C67FF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B719E7" w14:textId="3AB2C19D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u w:val="single"/>
          <w:lang w:eastAsia="bg-BG"/>
        </w:rPr>
        <w:t>Място и механизъм на действие</w:t>
      </w:r>
    </w:p>
    <w:p w14:paraId="03699501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Езомепразол е слаба основа и се концентрира и превръща в активна форма в силно киселата среда на секреторните каналчета на париеталните клетки, където инхибира ензима Н</w:t>
      </w:r>
      <w:r w:rsidRPr="00C67FF3">
        <w:rPr>
          <w:rFonts w:eastAsia="Times New Roman" w:cs="Arial"/>
          <w:color w:val="000000"/>
          <w:vertAlign w:val="superscript"/>
          <w:lang w:eastAsia="bg-BG"/>
        </w:rPr>
        <w:t>+</w:t>
      </w:r>
      <w:r w:rsidRPr="00C67FF3">
        <w:rPr>
          <w:rFonts w:eastAsia="Times New Roman" w:cs="Arial"/>
          <w:color w:val="000000"/>
          <w:lang w:eastAsia="bg-BG"/>
        </w:rPr>
        <w:t>К</w:t>
      </w:r>
      <w:r w:rsidRPr="00C67FF3">
        <w:rPr>
          <w:rFonts w:eastAsia="Times New Roman" w:cs="Arial"/>
          <w:color w:val="000000"/>
          <w:vertAlign w:val="superscript"/>
          <w:lang w:eastAsia="bg-BG"/>
        </w:rPr>
        <w:t>+</w:t>
      </w:r>
      <w:r w:rsidRPr="00C67FF3">
        <w:rPr>
          <w:rFonts w:eastAsia="Times New Roman" w:cs="Arial"/>
          <w:color w:val="000000"/>
          <w:lang w:eastAsia="bg-BG"/>
        </w:rPr>
        <w:t>-АТФ-аза - основна ензимосигуряваща дейност на протонната помпа и инхибира както базалната, така и стимулираната киселинна секреция.</w:t>
      </w:r>
    </w:p>
    <w:p w14:paraId="5C21E83E" w14:textId="77777777" w:rsidR="00134F57" w:rsidRPr="00134F57" w:rsidRDefault="00134F57" w:rsidP="00C67FF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485F1ED" w14:textId="6A9E7601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u w:val="single"/>
          <w:lang w:eastAsia="bg-BG"/>
        </w:rPr>
        <w:t>Ефект върху стомашната киселинна секреция</w:t>
      </w:r>
    </w:p>
    <w:p w14:paraId="219ECB2B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След перорален прием на 20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и 40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езомепразол началото на ефекта се наблюдава след един час. При многократно приложение на 20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>езомепразол веднъж дневно в продължение на 5 дни средната максимална киселинна продукция след стимулиране с пентагастрин е намаляла с 90 % при измерване 6-7 часа след приема в ден пети.</w:t>
      </w:r>
    </w:p>
    <w:p w14:paraId="331FD50D" w14:textId="77777777" w:rsidR="00134F57" w:rsidRPr="00134F57" w:rsidRDefault="00134F57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E501B1" w14:textId="1BD7713C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lastRenderedPageBreak/>
        <w:t xml:space="preserve">След 5 дни орално приложение на 20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и 40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езомепразол стомашното </w:t>
      </w:r>
      <w:r w:rsidRPr="00C67FF3">
        <w:rPr>
          <w:rFonts w:eastAsia="Times New Roman" w:cs="Arial"/>
          <w:color w:val="000000"/>
          <w:lang w:val="en-US"/>
        </w:rPr>
        <w:t xml:space="preserve">pH </w:t>
      </w:r>
      <w:r w:rsidRPr="00C67FF3">
        <w:rPr>
          <w:rFonts w:eastAsia="Times New Roman" w:cs="Arial"/>
          <w:color w:val="000000"/>
          <w:lang w:eastAsia="bg-BG"/>
        </w:rPr>
        <w:t xml:space="preserve">над 4 е поддържано съответно в продължение на средно време от 13 и 17 часа от 24-часовия период при пациенти с ГЕРБ. Процентът от пациенти на 20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езомепразол, които са поддържали стомашното </w:t>
      </w:r>
      <w:r w:rsidRPr="00C67FF3">
        <w:rPr>
          <w:rFonts w:eastAsia="Times New Roman" w:cs="Arial"/>
          <w:color w:val="000000"/>
          <w:lang w:val="en-US"/>
        </w:rPr>
        <w:t xml:space="preserve">pH </w:t>
      </w:r>
      <w:r w:rsidRPr="00C67FF3">
        <w:rPr>
          <w:rFonts w:eastAsia="Times New Roman" w:cs="Arial"/>
          <w:color w:val="000000"/>
          <w:lang w:eastAsia="bg-BG"/>
        </w:rPr>
        <w:t xml:space="preserve">над 4 в продължение на най-малко 8,12 и 16 часа е бил съответно 76%, 54% и 24%. Съответните проценти при езомепразол 40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>са били 97%, 92% и 56%.</w:t>
      </w:r>
    </w:p>
    <w:p w14:paraId="31125E99" w14:textId="77777777" w:rsidR="00134F57" w:rsidRPr="00134F57" w:rsidRDefault="00134F57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7ED1AB" w14:textId="673D2DC9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Доказана е връзка между инхибирането на стомашната секреция и експозицията при използване на </w:t>
      </w:r>
      <w:r w:rsidRPr="00C67FF3">
        <w:rPr>
          <w:rFonts w:eastAsia="Times New Roman" w:cs="Arial"/>
          <w:color w:val="000000"/>
          <w:lang w:val="en-US"/>
        </w:rPr>
        <w:t xml:space="preserve">AUC </w:t>
      </w:r>
      <w:r w:rsidRPr="00C67FF3">
        <w:rPr>
          <w:rFonts w:eastAsia="Times New Roman" w:cs="Arial"/>
          <w:color w:val="000000"/>
          <w:lang w:eastAsia="bg-BG"/>
        </w:rPr>
        <w:t>като референтен показател на плазмената концентрати.</w:t>
      </w:r>
    </w:p>
    <w:p w14:paraId="777D4E48" w14:textId="77777777" w:rsidR="00C67FF3" w:rsidRPr="00134F57" w:rsidRDefault="00C67FF3" w:rsidP="00C67FF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3E7C51" w14:textId="641AE984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u w:val="single"/>
          <w:lang w:eastAsia="bg-BG"/>
        </w:rPr>
        <w:t>Терапевтични ефекти на инхибирането на киселинността</w:t>
      </w:r>
    </w:p>
    <w:p w14:paraId="5F33F82E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Излекуване на рефлукс-езофагит с езомепразол 40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>се наблюдава приблизително при 78% от пациентите след 4 седмици и при 93% след 8 седмици.</w:t>
      </w:r>
    </w:p>
    <w:p w14:paraId="21480CAC" w14:textId="77777777" w:rsidR="00C67FF3" w:rsidRPr="00134F57" w:rsidRDefault="00C67FF3" w:rsidP="00C67F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C4E4DC" w14:textId="4C7AE24A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 xml:space="preserve">Едноседмично лечение с езомепразол 20 </w:t>
      </w:r>
      <w:r w:rsidRPr="00C67FF3">
        <w:rPr>
          <w:rFonts w:eastAsia="Times New Roman" w:cs="Arial"/>
          <w:color w:val="000000"/>
          <w:lang w:val="en-US"/>
        </w:rPr>
        <w:t xml:space="preserve">mg </w:t>
      </w:r>
      <w:r w:rsidRPr="00C67FF3">
        <w:rPr>
          <w:rFonts w:eastAsia="Times New Roman" w:cs="Arial"/>
          <w:color w:val="000000"/>
          <w:lang w:eastAsia="bg-BG"/>
        </w:rPr>
        <w:t xml:space="preserve">два пъта дневно и подходящи антибиотици води до успешна ерадикация на </w:t>
      </w:r>
      <w:r w:rsidRPr="00C67FF3">
        <w:rPr>
          <w:rFonts w:eastAsia="Times New Roman" w:cs="Arial"/>
          <w:i/>
          <w:iCs/>
          <w:color w:val="000000"/>
          <w:lang w:eastAsia="bg-BG"/>
        </w:rPr>
        <w:t xml:space="preserve">Н. </w:t>
      </w:r>
      <w:proofErr w:type="gramStart"/>
      <w:r w:rsidRPr="00C67FF3">
        <w:rPr>
          <w:rFonts w:eastAsia="Times New Roman" w:cs="Arial"/>
          <w:i/>
          <w:iCs/>
          <w:color w:val="000000"/>
          <w:lang w:val="en-US"/>
        </w:rPr>
        <w:t>pylori</w:t>
      </w:r>
      <w:proofErr w:type="gramEnd"/>
      <w:r w:rsidRPr="00C67FF3">
        <w:rPr>
          <w:rFonts w:eastAsia="Times New Roman" w:cs="Arial"/>
          <w:color w:val="000000"/>
          <w:lang w:val="en-US"/>
        </w:rPr>
        <w:t xml:space="preserve"> </w:t>
      </w:r>
      <w:r w:rsidRPr="00C67FF3">
        <w:rPr>
          <w:rFonts w:eastAsia="Times New Roman" w:cs="Arial"/>
          <w:color w:val="000000"/>
          <w:lang w:eastAsia="bg-BG"/>
        </w:rPr>
        <w:t>при приблизително 90% от пациентите.</w:t>
      </w:r>
    </w:p>
    <w:p w14:paraId="078CB832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>След лечение за ерадикация в продължение на една седмица се счита, че няма нужда от последваща монотерапия с антисекреторни лекарства за ефективно лекуване на язва и отстраняване на симптомите при неусложнени дуоденални язви.</w:t>
      </w:r>
    </w:p>
    <w:p w14:paraId="3C831BB3" w14:textId="77777777" w:rsidR="00C67FF3" w:rsidRPr="00C67FF3" w:rsidRDefault="00C67FF3" w:rsidP="00C67FF3">
      <w:pPr>
        <w:spacing w:line="240" w:lineRule="auto"/>
        <w:rPr>
          <w:rFonts w:eastAsia="Times New Roman" w:cs="Arial"/>
          <w:lang w:eastAsia="bg-BG"/>
        </w:rPr>
      </w:pPr>
      <w:r w:rsidRPr="00C67FF3">
        <w:rPr>
          <w:rFonts w:eastAsia="Times New Roman" w:cs="Arial"/>
          <w:color w:val="000000"/>
          <w:lang w:eastAsia="bg-BG"/>
        </w:rPr>
        <w:tab/>
      </w:r>
    </w:p>
    <w:p w14:paraId="5093B3BF" w14:textId="77777777" w:rsidR="00134F57" w:rsidRPr="00134F57" w:rsidRDefault="00C67FF3" w:rsidP="00134F57">
      <w:pPr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В рандомизирано, двойно-сляпо, плацебо-контролирано клинично проучване, пациенти с ендоскопски потвърдено кървене от пептична язва </w:t>
      </w:r>
      <w:r w:rsidRPr="00134F57">
        <w:rPr>
          <w:rFonts w:eastAsia="Times New Roman" w:cs="Arial"/>
          <w:color w:val="000000"/>
          <w:lang w:val="en-US"/>
        </w:rPr>
        <w:t xml:space="preserve">(Forrest </w:t>
      </w:r>
      <w:proofErr w:type="spellStart"/>
      <w:r w:rsidRPr="00134F57">
        <w:rPr>
          <w:rFonts w:eastAsia="Times New Roman" w:cs="Arial"/>
          <w:color w:val="000000"/>
          <w:lang w:val="en-US"/>
        </w:rPr>
        <w:t>Ia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, </w:t>
      </w:r>
      <w:proofErr w:type="spellStart"/>
      <w:r w:rsidRPr="00134F57">
        <w:rPr>
          <w:rFonts w:eastAsia="Times New Roman" w:cs="Arial"/>
          <w:color w:val="000000"/>
          <w:lang w:val="en-US"/>
        </w:rPr>
        <w:t>Ib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, </w:t>
      </w:r>
      <w:proofErr w:type="spellStart"/>
      <w:r w:rsidRPr="00134F57">
        <w:rPr>
          <w:rFonts w:eastAsia="Times New Roman" w:cs="Arial"/>
          <w:color w:val="000000"/>
          <w:lang w:val="en-US"/>
        </w:rPr>
        <w:t>IIa</w:t>
      </w:r>
      <w:proofErr w:type="spellEnd"/>
      <w:r w:rsidRPr="00134F57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134F57">
        <w:rPr>
          <w:rFonts w:eastAsia="Times New Roman" w:cs="Arial"/>
          <w:color w:val="000000"/>
          <w:lang w:val="en-US"/>
        </w:rPr>
        <w:t>IIb</w:t>
      </w:r>
      <w:proofErr w:type="spellEnd"/>
      <w:r w:rsidRPr="00134F57">
        <w:rPr>
          <w:rFonts w:eastAsia="Times New Roman" w:cs="Arial"/>
          <w:color w:val="000000"/>
          <w:lang w:eastAsia="bg-BG"/>
        </w:rPr>
        <w:t xml:space="preserve"> съответно 9% 43%, 38% и 10%), са били рандомизирани да получат езомепразол инфузионен разтвор </w:t>
      </w:r>
      <w:r w:rsidRPr="00134F57">
        <w:rPr>
          <w:rFonts w:eastAsia="Times New Roman" w:cs="Arial"/>
          <w:color w:val="000000"/>
          <w:lang w:val="en-US"/>
        </w:rPr>
        <w:t xml:space="preserve"> (n=375)</w:t>
      </w:r>
      <w:r w:rsidR="00134F57" w:rsidRPr="00134F57">
        <w:rPr>
          <w:rFonts w:eastAsia="Times New Roman" w:cs="Arial"/>
          <w:color w:val="000000"/>
        </w:rPr>
        <w:t xml:space="preserve"> </w:t>
      </w:r>
      <w:r w:rsidR="00134F57" w:rsidRPr="00134F57">
        <w:rPr>
          <w:rFonts w:eastAsia="Times New Roman" w:cs="Arial"/>
          <w:color w:val="000000"/>
          <w:lang w:eastAsia="bg-BG"/>
        </w:rPr>
        <w:t>или плацебо (</w:t>
      </w:r>
      <w:r w:rsidR="00134F57" w:rsidRPr="00134F57">
        <w:rPr>
          <w:rFonts w:eastAsia="Times New Roman" w:cs="Arial"/>
          <w:color w:val="000000"/>
          <w:lang w:val="en-US"/>
        </w:rPr>
        <w:t>n=</w:t>
      </w:r>
      <w:r w:rsidR="00134F57" w:rsidRPr="00134F57">
        <w:rPr>
          <w:rFonts w:eastAsia="Times New Roman" w:cs="Arial"/>
          <w:color w:val="000000"/>
          <w:lang w:eastAsia="bg-BG"/>
        </w:rPr>
        <w:t xml:space="preserve">389). След ендоскопска хемостаза, пациентите получавали или 80 </w:t>
      </w:r>
      <w:r w:rsidR="00134F57" w:rsidRPr="00134F57">
        <w:rPr>
          <w:rFonts w:eastAsia="Times New Roman" w:cs="Arial"/>
          <w:color w:val="000000"/>
          <w:lang w:val="en-US"/>
        </w:rPr>
        <w:t xml:space="preserve">mg </w:t>
      </w:r>
      <w:r w:rsidR="00134F57" w:rsidRPr="00134F57">
        <w:rPr>
          <w:rFonts w:eastAsia="Times New Roman" w:cs="Arial"/>
          <w:color w:val="000000"/>
          <w:lang w:eastAsia="bg-BG"/>
        </w:rPr>
        <w:t xml:space="preserve">езомепразол като интравенозна инфузия за 30 минути с последваща непрекъсната инфузия от 8 </w:t>
      </w:r>
      <w:r w:rsidR="00134F57" w:rsidRPr="00134F57">
        <w:rPr>
          <w:rFonts w:eastAsia="Times New Roman" w:cs="Arial"/>
          <w:color w:val="000000"/>
          <w:lang w:val="en-US"/>
        </w:rPr>
        <w:t xml:space="preserve">mg/h, </w:t>
      </w:r>
      <w:r w:rsidR="00134F57" w:rsidRPr="00134F57">
        <w:rPr>
          <w:rFonts w:eastAsia="Times New Roman" w:cs="Arial"/>
          <w:color w:val="000000"/>
          <w:lang w:eastAsia="bg-BG"/>
        </w:rPr>
        <w:t xml:space="preserve">или плацебо за 72 часа. След началния период от 72 часа, всички пациенти получавали в продължение на 27 дни 40 </w:t>
      </w:r>
      <w:r w:rsidR="00134F57" w:rsidRPr="00134F57">
        <w:rPr>
          <w:rFonts w:eastAsia="Times New Roman" w:cs="Arial"/>
          <w:color w:val="000000"/>
          <w:lang w:val="en-US"/>
        </w:rPr>
        <w:t xml:space="preserve">mg </w:t>
      </w:r>
      <w:r w:rsidR="00134F57" w:rsidRPr="00134F57">
        <w:rPr>
          <w:rFonts w:eastAsia="Times New Roman" w:cs="Arial"/>
          <w:color w:val="000000"/>
          <w:lang w:eastAsia="bg-BG"/>
        </w:rPr>
        <w:t>перорален езомепразол за подтискане на киселинната секреция. Процентът на поява на повторно кървене след по-малко от 3 дни, бил 5,9% в групата на езомепразол в сравнение с 10,3% в плацебо-групата. На 30-я ден след приключване на лечението, процентът на поява на повторно кървене в групата на езомепразол спрямо групата на плацебо бил съответно 7,7% спрямо 13,6%.</w:t>
      </w:r>
    </w:p>
    <w:p w14:paraId="4D6392BC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</w:p>
    <w:p w14:paraId="000102CE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u w:val="single"/>
          <w:lang w:eastAsia="bg-BG"/>
        </w:rPr>
        <w:t>Други ефекти, свързани с инхибирането на киселинната секреция</w:t>
      </w:r>
    </w:p>
    <w:p w14:paraId="41D53768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При някои пациенти при продължително лечение с езомепразол са наблюдавани повишен брой </w:t>
      </w:r>
      <w:r w:rsidRPr="00134F57">
        <w:rPr>
          <w:rFonts w:eastAsia="Times New Roman" w:cs="Arial"/>
          <w:color w:val="000000"/>
          <w:lang w:val="en-US"/>
        </w:rPr>
        <w:t>ECL</w:t>
      </w:r>
      <w:r w:rsidRPr="00134F57">
        <w:rPr>
          <w:rFonts w:eastAsia="Times New Roman" w:cs="Arial"/>
          <w:color w:val="000000"/>
          <w:lang w:eastAsia="bg-BG"/>
        </w:rPr>
        <w:t>-клетки, вероятно свързани с повишените серумни нива на гастрина. Счита се, че тези находки нямат клинична значимост.</w:t>
      </w:r>
    </w:p>
    <w:p w14:paraId="12C86B51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BB6ED2" w14:textId="75D1F59C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По време на продължителното лечение с антисекреторни лекарства се съобщава за известно увеличение на честотата на поява на кистозно-дегенеративни промени в стомашните ерозии. Тези промени са физиологично следствие от продължителното инхибиране на киселинната секреция. Засега се счита, че те са обратими.</w:t>
      </w:r>
    </w:p>
    <w:p w14:paraId="3236C3D8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972E0D" w14:textId="2DC9CFD4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Намаляването на стомашната киселинност, дължаща се на всякакви средства, включително и инхибитори на протонната помпа, повишава съдържанието на бактерии, нормално присъстващи в гастроинтестиналния тракт. Лечението с инхибитори на протонната помпа може да доведе до леко повишаване на риска от гастроинтестинални инфекции като </w:t>
      </w:r>
      <w:r w:rsidRPr="00134F57">
        <w:rPr>
          <w:rFonts w:eastAsia="Times New Roman" w:cs="Arial"/>
          <w:i/>
          <w:iCs/>
          <w:color w:val="000000"/>
          <w:lang w:val="en-US"/>
        </w:rPr>
        <w:t>Salmonella</w:t>
      </w:r>
      <w:r w:rsidRPr="00134F57">
        <w:rPr>
          <w:rFonts w:eastAsia="Times New Roman" w:cs="Arial"/>
          <w:color w:val="000000"/>
          <w:lang w:val="en-US"/>
        </w:rPr>
        <w:t xml:space="preserve"> </w:t>
      </w:r>
      <w:r w:rsidRPr="00134F57">
        <w:rPr>
          <w:rFonts w:eastAsia="Times New Roman" w:cs="Arial"/>
          <w:color w:val="000000"/>
          <w:lang w:eastAsia="bg-BG"/>
        </w:rPr>
        <w:t xml:space="preserve">и </w:t>
      </w:r>
      <w:r w:rsidRPr="00134F57">
        <w:rPr>
          <w:rFonts w:eastAsia="Times New Roman" w:cs="Arial"/>
          <w:i/>
          <w:iCs/>
          <w:color w:val="000000"/>
          <w:lang w:val="en-US"/>
        </w:rPr>
        <w:t>Campylobacter.,</w:t>
      </w:r>
      <w:r w:rsidRPr="00134F57">
        <w:rPr>
          <w:rFonts w:eastAsia="Times New Roman" w:cs="Arial"/>
          <w:color w:val="000000"/>
          <w:lang w:val="en-US"/>
        </w:rPr>
        <w:t xml:space="preserve"> </w:t>
      </w:r>
      <w:r w:rsidRPr="00134F57">
        <w:rPr>
          <w:rFonts w:eastAsia="Times New Roman" w:cs="Arial"/>
          <w:color w:val="000000"/>
          <w:lang w:eastAsia="bg-BG"/>
        </w:rPr>
        <w:t xml:space="preserve">а при хоспитализирани пациенти са възможни също и такива причинени от </w:t>
      </w:r>
      <w:r w:rsidRPr="00134F57">
        <w:rPr>
          <w:rFonts w:eastAsia="Times New Roman" w:cs="Arial"/>
          <w:i/>
          <w:iCs/>
          <w:color w:val="000000"/>
          <w:lang w:val="en-US"/>
        </w:rPr>
        <w:t>Clostridium difficile.</w:t>
      </w:r>
    </w:p>
    <w:p w14:paraId="07C3A746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CE98AA" w14:textId="7A040869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lastRenderedPageBreak/>
        <w:t xml:space="preserve">По време на лечение с антиселекторни лекарствени продукти гастрина в серума се повишава в отговор на понижената стомашна киселинна секреция. В резултат на намалената стомашна киселинност се повишава и нивото на </w:t>
      </w:r>
      <w:proofErr w:type="spellStart"/>
      <w:r w:rsidRPr="00134F57">
        <w:rPr>
          <w:rFonts w:eastAsia="Times New Roman" w:cs="Arial"/>
          <w:color w:val="000000"/>
          <w:lang w:val="en-US"/>
        </w:rPr>
        <w:t>CgA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. </w:t>
      </w:r>
      <w:r w:rsidRPr="00134F57">
        <w:rPr>
          <w:rFonts w:eastAsia="Times New Roman" w:cs="Arial"/>
          <w:color w:val="000000"/>
          <w:lang w:eastAsia="bg-BG"/>
        </w:rPr>
        <w:t xml:space="preserve">Повишеното ниво на </w:t>
      </w:r>
      <w:proofErr w:type="spellStart"/>
      <w:r w:rsidRPr="00134F57">
        <w:rPr>
          <w:rFonts w:eastAsia="Times New Roman" w:cs="Arial"/>
          <w:color w:val="000000"/>
          <w:lang w:val="en-US"/>
        </w:rPr>
        <w:t>CgA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 </w:t>
      </w:r>
      <w:r w:rsidRPr="00134F57">
        <w:rPr>
          <w:rFonts w:eastAsia="Times New Roman" w:cs="Arial"/>
          <w:color w:val="000000"/>
          <w:lang w:eastAsia="bg-BG"/>
        </w:rPr>
        <w:t>може да повлияе на изследванията за невроендокринни тумори.</w:t>
      </w:r>
    </w:p>
    <w:p w14:paraId="5AC399D5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Наличните публикувани данни показват, че прилагането на инхибитори на протонната помпа трябва да се преустанови между 5 дни и 2 седмици преди измерване на </w:t>
      </w:r>
      <w:proofErr w:type="spellStart"/>
      <w:r w:rsidRPr="00134F57">
        <w:rPr>
          <w:rFonts w:eastAsia="Times New Roman" w:cs="Arial"/>
          <w:color w:val="000000"/>
          <w:lang w:val="en-US"/>
        </w:rPr>
        <w:t>CgA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. </w:t>
      </w:r>
      <w:r w:rsidRPr="00134F57">
        <w:rPr>
          <w:rFonts w:eastAsia="Times New Roman" w:cs="Arial"/>
          <w:color w:val="000000"/>
          <w:lang w:eastAsia="bg-BG"/>
        </w:rPr>
        <w:t xml:space="preserve">Това се прави с цел нивата на </w:t>
      </w:r>
      <w:proofErr w:type="spellStart"/>
      <w:r w:rsidRPr="00134F57">
        <w:rPr>
          <w:rFonts w:eastAsia="Times New Roman" w:cs="Arial"/>
          <w:color w:val="000000"/>
          <w:lang w:val="en-US"/>
        </w:rPr>
        <w:t>CgA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, </w:t>
      </w:r>
      <w:r w:rsidRPr="00134F57">
        <w:rPr>
          <w:rFonts w:eastAsia="Times New Roman" w:cs="Arial"/>
          <w:color w:val="000000"/>
          <w:lang w:eastAsia="bg-BG"/>
        </w:rPr>
        <w:t>които могат да са лъжливо повишени след лечение с ИПП, да се възстановят до референтните си граници.</w:t>
      </w:r>
    </w:p>
    <w:p w14:paraId="06ED2D3C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F165AF" w14:textId="77F4D71B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В две клинични изпитвания в сравнение с ранитидин, езомепразол показва по-добър ефект при лечение на стомашна язва при пациенти, приемащи НСПВС, включително СОХ-2 селективни НСПВС.</w:t>
      </w:r>
    </w:p>
    <w:p w14:paraId="46EC79E5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D6B43A" w14:textId="53ED052D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В две клинични изпитвания в сравнение с плацебо, езомепразол показва по-добър ефект при профилактика на стомашна и дуоденална язва при пациенти на НСПВС (на възраст &gt;60 и/или с предишна язва), включително СОХ-2 селективни НСПВС.</w:t>
      </w:r>
    </w:p>
    <w:p w14:paraId="0941D12F" w14:textId="77777777" w:rsidR="00134F57" w:rsidRPr="00134F57" w:rsidRDefault="00134F57" w:rsidP="00134F5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ECD041E" w14:textId="790D2B44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b/>
          <w:bCs/>
          <w:color w:val="000000"/>
          <w:lang w:eastAsia="bg-BG"/>
        </w:rPr>
        <w:t>Педиатрична популация</w:t>
      </w:r>
    </w:p>
    <w:p w14:paraId="038F692B" w14:textId="6A23ADDD" w:rsidR="007A2185" w:rsidRPr="00134F57" w:rsidRDefault="00134F57" w:rsidP="00134F57">
      <w:pPr>
        <w:rPr>
          <w:rFonts w:cs="Arial"/>
        </w:rPr>
      </w:pPr>
      <w:r w:rsidRPr="00134F57">
        <w:rPr>
          <w:rFonts w:eastAsia="Times New Roman" w:cs="Arial"/>
          <w:color w:val="000000"/>
          <w:lang w:eastAsia="bg-BG"/>
        </w:rPr>
        <w:t xml:space="preserve">В проучване при педиатрични пациенти с ГЕРБ (на възраст &lt;1 до 17 години) - приемащи дългосрочна терапия с инхибитор на протонната помпа, 61% от децата са развили лека степен </w:t>
      </w:r>
      <w:r w:rsidRPr="00134F57">
        <w:rPr>
          <w:rFonts w:eastAsia="Times New Roman" w:cs="Arial"/>
          <w:color w:val="000000"/>
          <w:lang w:val="en-US"/>
        </w:rPr>
        <w:t>ECL</w:t>
      </w:r>
      <w:r w:rsidRPr="00134F57">
        <w:rPr>
          <w:rFonts w:eastAsia="Times New Roman" w:cs="Arial"/>
          <w:color w:val="000000"/>
          <w:lang w:eastAsia="bg-BG"/>
        </w:rPr>
        <w:t>-клетъчна хиперплазия с неизвестна клинична значимост и без развитие на атрофичен гастрит или карциноидни тумори.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6809F94" w14:textId="77777777" w:rsidR="00134F57" w:rsidRPr="00134F57" w:rsidRDefault="00134F57" w:rsidP="00134F57">
      <w:pPr>
        <w:pStyle w:val="Heading3"/>
        <w:rPr>
          <w:color w:val="auto"/>
          <w:u w:val="single"/>
        </w:rPr>
      </w:pPr>
      <w:r w:rsidRPr="00134F57">
        <w:rPr>
          <w:u w:val="single"/>
        </w:rPr>
        <w:t>Абсорбция и разпределение</w:t>
      </w:r>
    </w:p>
    <w:p w14:paraId="3E482268" w14:textId="77777777" w:rsidR="00134F57" w:rsidRPr="00134F57" w:rsidRDefault="00134F57" w:rsidP="00134F57">
      <w:pPr>
        <w:rPr>
          <w:rFonts w:eastAsia="Times New Roman" w:cs="Arial"/>
          <w:lang w:eastAsia="bg-BG"/>
        </w:rPr>
      </w:pPr>
      <w:r w:rsidRPr="00134F57">
        <w:rPr>
          <w:rFonts w:cs="Arial"/>
        </w:rPr>
        <w:t xml:space="preserve">Езомепразол е лабилен в кисела среда и поради това се прилага перорално във вид на стомашно-устойчиви гранули. </w:t>
      </w:r>
      <w:r w:rsidRPr="00134F57">
        <w:rPr>
          <w:rFonts w:cs="Arial"/>
          <w:lang w:val="en-US"/>
        </w:rPr>
        <w:t xml:space="preserve">In vivo </w:t>
      </w:r>
      <w:r w:rsidRPr="00134F57">
        <w:rPr>
          <w:rFonts w:cs="Arial"/>
        </w:rPr>
        <w:t xml:space="preserve">превръщането в </w:t>
      </w:r>
      <w:r w:rsidRPr="00134F57">
        <w:rPr>
          <w:rFonts w:cs="Arial"/>
          <w:lang w:val="en-US"/>
        </w:rPr>
        <w:t>R</w:t>
      </w:r>
      <w:r w:rsidRPr="00134F57">
        <w:rPr>
          <w:rFonts w:cs="Arial"/>
        </w:rPr>
        <w:t xml:space="preserve">-изомер е незначително. Абсорбцията на езомепразол е бърза, като максималните плазмени нива се наблюдават приблизително 1-2 часа след приема. Абсолютната бионаличност е 64% след единична доза от 40 </w:t>
      </w:r>
      <w:r w:rsidRPr="00134F57">
        <w:rPr>
          <w:rFonts w:cs="Arial"/>
          <w:lang w:val="en-US"/>
        </w:rPr>
        <w:t xml:space="preserve">mg </w:t>
      </w:r>
      <w:r w:rsidRPr="00134F57">
        <w:rPr>
          <w:rFonts w:cs="Arial"/>
        </w:rPr>
        <w:t>и се</w:t>
      </w:r>
      <w:r w:rsidRPr="00134F57">
        <w:rPr>
          <w:rFonts w:cs="Arial"/>
        </w:rPr>
        <w:t xml:space="preserve"> </w:t>
      </w:r>
      <w:r w:rsidRPr="00134F57">
        <w:rPr>
          <w:rFonts w:eastAsia="Times New Roman" w:cs="Arial"/>
          <w:color w:val="000000"/>
          <w:lang w:eastAsia="bg-BG"/>
        </w:rPr>
        <w:t xml:space="preserve">повишава до 89% след многократно приложение веднъж дневно. При 20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 xml:space="preserve">езомепразол съответните стойности са респективно 50 % и 68%. Обемът на разпределение в равновесно състояние при здрави лица е приблизително 0,22 </w:t>
      </w:r>
      <w:r w:rsidRPr="00134F57">
        <w:rPr>
          <w:rFonts w:eastAsia="Times New Roman" w:cs="Arial"/>
          <w:color w:val="000000"/>
          <w:lang w:val="en-US"/>
        </w:rPr>
        <w:t xml:space="preserve">l/kg. </w:t>
      </w:r>
      <w:r w:rsidRPr="00134F57">
        <w:rPr>
          <w:rFonts w:eastAsia="Times New Roman" w:cs="Arial"/>
          <w:color w:val="000000"/>
          <w:lang w:eastAsia="bg-BG"/>
        </w:rPr>
        <w:t>Езомепразолът се свързва с плазмените протеини в 97%.</w:t>
      </w:r>
    </w:p>
    <w:p w14:paraId="14316922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5CC0ED" w14:textId="323E1ED4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Едновременното приемане с храна може да забави и намали абсорбцията на езомепразола, въпреки че това не повлиява ефекта на езомепразол върху стомашната киселинност.</w:t>
      </w:r>
    </w:p>
    <w:p w14:paraId="0A4FCB7D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623970" w14:textId="555D804C" w:rsidR="00134F57" w:rsidRPr="00134F57" w:rsidRDefault="00134F57" w:rsidP="00134F57">
      <w:pPr>
        <w:pStyle w:val="Heading3"/>
        <w:rPr>
          <w:rFonts w:eastAsia="Times New Roman"/>
          <w:u w:val="single"/>
          <w:lang w:eastAsia="bg-BG"/>
        </w:rPr>
      </w:pPr>
      <w:r>
        <w:rPr>
          <w:rFonts w:eastAsia="Times New Roman"/>
          <w:u w:val="single"/>
          <w:lang w:eastAsia="bg-BG"/>
        </w:rPr>
        <w:t>Биотрансф</w:t>
      </w:r>
      <w:r w:rsidRPr="00134F57">
        <w:rPr>
          <w:rFonts w:eastAsia="Times New Roman"/>
          <w:u w:val="single"/>
          <w:lang w:eastAsia="bg-BG"/>
        </w:rPr>
        <w:t>ормация и елиминиране</w:t>
      </w:r>
    </w:p>
    <w:p w14:paraId="2042428D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Езомепразол се метаболизира напълно от системата на цигохром Р450 </w:t>
      </w:r>
      <w:r w:rsidRPr="00134F57">
        <w:rPr>
          <w:rFonts w:eastAsia="Times New Roman" w:cs="Arial"/>
          <w:color w:val="000000"/>
          <w:lang w:val="en-US"/>
        </w:rPr>
        <w:t xml:space="preserve">(CYP). </w:t>
      </w:r>
      <w:r w:rsidRPr="00134F57">
        <w:rPr>
          <w:rFonts w:eastAsia="Times New Roman" w:cs="Arial"/>
          <w:color w:val="000000"/>
          <w:lang w:eastAsia="bg-BG"/>
        </w:rPr>
        <w:t xml:space="preserve">Основната част от метаболизма на езомепразол зависи от полиморфния </w:t>
      </w:r>
      <w:r w:rsidRPr="00134F57">
        <w:rPr>
          <w:rFonts w:eastAsia="Times New Roman" w:cs="Arial"/>
          <w:color w:val="000000"/>
          <w:lang w:val="en-US"/>
        </w:rPr>
        <w:t xml:space="preserve">CYP2C19, </w:t>
      </w:r>
      <w:r w:rsidRPr="00134F57">
        <w:rPr>
          <w:rFonts w:eastAsia="Times New Roman" w:cs="Arial"/>
          <w:color w:val="000000"/>
          <w:lang w:eastAsia="bg-BG"/>
        </w:rPr>
        <w:t xml:space="preserve">отговорен за образуването на хидрокси- и дезметил- метаболити на езомепразола. Останалата част зависи от друг специфичен изоензим, </w:t>
      </w:r>
      <w:r w:rsidRPr="00134F57">
        <w:rPr>
          <w:rFonts w:eastAsia="Times New Roman" w:cs="Arial"/>
          <w:color w:val="000000"/>
          <w:lang w:val="en-US"/>
        </w:rPr>
        <w:t xml:space="preserve">CYP3A4, </w:t>
      </w:r>
      <w:r w:rsidRPr="00134F57">
        <w:rPr>
          <w:rFonts w:eastAsia="Times New Roman" w:cs="Arial"/>
          <w:color w:val="000000"/>
          <w:lang w:eastAsia="bg-BG"/>
        </w:rPr>
        <w:t>отговорен за образуването на езомепразол сулфон, основен метаболит в плазмата.</w:t>
      </w:r>
    </w:p>
    <w:p w14:paraId="446B8047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FFCBEE" w14:textId="469B0715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Показателите по-долу отразяват предимно фармакокинетиката на лица с функциониращ </w:t>
      </w:r>
      <w:r w:rsidRPr="00134F57">
        <w:rPr>
          <w:rFonts w:eastAsia="Times New Roman" w:cs="Arial"/>
          <w:color w:val="000000"/>
          <w:lang w:val="en-US"/>
        </w:rPr>
        <w:t xml:space="preserve">CYP2C19 </w:t>
      </w:r>
      <w:r w:rsidRPr="00134F57">
        <w:rPr>
          <w:rFonts w:eastAsia="Times New Roman" w:cs="Arial"/>
          <w:color w:val="000000"/>
          <w:lang w:eastAsia="bg-BG"/>
        </w:rPr>
        <w:t>ензим, екстензивни метаболизатори.</w:t>
      </w:r>
    </w:p>
    <w:p w14:paraId="059E9BF7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3F1F7B" w14:textId="6B2500DA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lastRenderedPageBreak/>
        <w:t xml:space="preserve">Тоталният плазмен клирънс е около 17 </w:t>
      </w:r>
      <w:r w:rsidRPr="00134F57">
        <w:rPr>
          <w:rFonts w:eastAsia="Times New Roman" w:cs="Arial"/>
          <w:color w:val="000000"/>
          <w:lang w:val="en-US"/>
        </w:rPr>
        <w:t xml:space="preserve">l/h </w:t>
      </w:r>
      <w:r w:rsidRPr="00134F57">
        <w:rPr>
          <w:rFonts w:eastAsia="Times New Roman" w:cs="Arial"/>
          <w:color w:val="000000"/>
          <w:lang w:eastAsia="bg-BG"/>
        </w:rPr>
        <w:t>след единична доза и около 9</w:t>
      </w:r>
      <w:r w:rsidRPr="00134F57">
        <w:rPr>
          <w:rFonts w:eastAsia="Times New Roman" w:cs="Arial"/>
          <w:color w:val="000000"/>
          <w:lang w:val="en-US"/>
        </w:rPr>
        <w:t xml:space="preserve"> l/h </w:t>
      </w:r>
      <w:r w:rsidRPr="00134F57">
        <w:rPr>
          <w:rFonts w:eastAsia="Times New Roman" w:cs="Arial"/>
          <w:color w:val="000000"/>
          <w:lang w:eastAsia="bg-BG"/>
        </w:rPr>
        <w:t xml:space="preserve">след многократно приложение. Плазменият полуживот е около 1,3 часа след многократно прилагане веднъж дневно. Фармакокинетиката на езомепразол е изследвана при дози до 40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 xml:space="preserve">два пъти дневно. Площта под кривата концентрация-време се увеличава при многократно прилагане на езомепразола. Това увеличение зависи от дозата и води до повече от пропорционално на дозата увеличение на </w:t>
      </w:r>
      <w:r w:rsidRPr="00134F57">
        <w:rPr>
          <w:rFonts w:eastAsia="Times New Roman" w:cs="Arial"/>
          <w:color w:val="000000"/>
          <w:lang w:val="en-US"/>
        </w:rPr>
        <w:t xml:space="preserve">AUC </w:t>
      </w:r>
      <w:r w:rsidRPr="00134F57">
        <w:rPr>
          <w:rFonts w:eastAsia="Times New Roman" w:cs="Arial"/>
          <w:color w:val="000000"/>
          <w:lang w:eastAsia="bg-BG"/>
        </w:rPr>
        <w:t xml:space="preserve">след многократно прилагане. Тази зависимост от времето и дозата се дължи на намаление на метаболизма при първо преминаване и на системния клирънс, вероятно причинени от инхибирането на ензима </w:t>
      </w:r>
      <w:r w:rsidRPr="00134F57">
        <w:rPr>
          <w:rFonts w:eastAsia="Times New Roman" w:cs="Arial"/>
          <w:color w:val="000000"/>
          <w:lang w:val="en-US"/>
        </w:rPr>
        <w:t xml:space="preserve">CYP2C19 </w:t>
      </w:r>
      <w:r w:rsidRPr="00134F57">
        <w:rPr>
          <w:rFonts w:eastAsia="Times New Roman" w:cs="Arial"/>
          <w:color w:val="000000"/>
          <w:lang w:eastAsia="bg-BG"/>
        </w:rPr>
        <w:t>от езомепразола и/или неговия сулфонов метаболит. Езомепразол се елиминира напълно от плазмата между приемите, като няма тенденция за кумулиране при приемане веднъж дневно.</w:t>
      </w:r>
    </w:p>
    <w:p w14:paraId="0667185C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A7B077" w14:textId="30D21472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Главните метаболити на езомепразол нямат ефект върху стомашната киселинна секреция. Почти 80% от пероралната доза на езомепразол се екскретират под формата на метаболити с урината, а остатъкът - с фекалиите. Под 1% от изходното съединение се открива в урината.</w:t>
      </w:r>
    </w:p>
    <w:p w14:paraId="6B734929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298598" w14:textId="3C1E24B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u w:val="single"/>
          <w:lang w:eastAsia="bg-BG"/>
        </w:rPr>
        <w:t>Специални групи пациенти</w:t>
      </w:r>
    </w:p>
    <w:p w14:paraId="07F6F32F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Приблизително при 2,9± 1,5% от популацията липсва функциониращ </w:t>
      </w:r>
      <w:r w:rsidRPr="00134F57">
        <w:rPr>
          <w:rFonts w:eastAsia="Times New Roman" w:cs="Arial"/>
          <w:color w:val="000000"/>
          <w:lang w:val="en-US"/>
        </w:rPr>
        <w:t>CYP2C</w:t>
      </w:r>
      <w:r w:rsidRPr="00134F57">
        <w:rPr>
          <w:rFonts w:eastAsia="Times New Roman" w:cs="Arial"/>
          <w:color w:val="000000"/>
          <w:lang w:eastAsia="bg-BG"/>
        </w:rPr>
        <w:t xml:space="preserve">19 ензим и те са наречени слаби метаболизатори. При тези лица метаболизмът на езомепразол вероятно се катализира предимно от </w:t>
      </w:r>
      <w:r w:rsidRPr="00134F57">
        <w:rPr>
          <w:rFonts w:eastAsia="Times New Roman" w:cs="Arial"/>
          <w:color w:val="000000"/>
          <w:lang w:val="en-US"/>
        </w:rPr>
        <w:t xml:space="preserve">CYP3A4. </w:t>
      </w:r>
      <w:r w:rsidRPr="00134F57">
        <w:rPr>
          <w:rFonts w:eastAsia="Times New Roman" w:cs="Arial"/>
          <w:color w:val="000000"/>
          <w:lang w:eastAsia="bg-BG"/>
        </w:rPr>
        <w:t xml:space="preserve">След многократно прилагане на 40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 xml:space="preserve">езомепразол веднъж дневно средната площ под кривата концентрация-време е била приблизително 100% по-голяма при слабите метаболизатори, отколкото при лицата с функциониращ </w:t>
      </w:r>
      <w:r w:rsidRPr="00134F57">
        <w:rPr>
          <w:rFonts w:eastAsia="Times New Roman" w:cs="Arial"/>
          <w:color w:val="000000"/>
          <w:lang w:val="en-US"/>
        </w:rPr>
        <w:t xml:space="preserve">CYP2C19 </w:t>
      </w:r>
      <w:r w:rsidRPr="00134F57">
        <w:rPr>
          <w:rFonts w:eastAsia="Times New Roman" w:cs="Arial"/>
          <w:color w:val="000000"/>
          <w:lang w:eastAsia="bg-BG"/>
        </w:rPr>
        <w:t>ензим (екстензивни метаболизатори). Средните максимални плазмени концентрации са били повишени с около 60%.</w:t>
      </w:r>
    </w:p>
    <w:p w14:paraId="27DC192F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Тези находки нямат отношение към дозирането на езомепразола.</w:t>
      </w:r>
    </w:p>
    <w:p w14:paraId="3546485F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BEE203" w14:textId="40CA8B14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Метаболизмът на езомепразол не се променя значимо при лица в старческа възраст (71-80 години).</w:t>
      </w:r>
    </w:p>
    <w:p w14:paraId="667DCC08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F160EF" w14:textId="645330A3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След еднократно прилагане на 40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>езомепразол средната площ под кривата концентрация- време е приблизително 30% по-голяма при жени, отколкото при мъже. Не е установена полова разлика след многократно прилагане веднъж дневно. Тези находки нямат отношение към дозирането на езомепразол.</w:t>
      </w:r>
    </w:p>
    <w:p w14:paraId="15246E41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20947B" w14:textId="0309418D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u w:val="single"/>
          <w:lang w:eastAsia="bg-BG"/>
        </w:rPr>
        <w:t>Нарушена органна функция</w:t>
      </w:r>
    </w:p>
    <w:p w14:paraId="4A0382DB" w14:textId="77777777" w:rsidR="00134F57" w:rsidRPr="00134F57" w:rsidRDefault="00134F57" w:rsidP="00134F57">
      <w:pPr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Метаболизмът на езомепразол при болни с леко до умерено нарушена функция на черния дроб може да бъде влошен. Степента на метаболизиране е намалена при пациенти с тежко увредена чернодробна функция, което води до удвояване на площта под кривата концентрация-време на езомепразол. Поради това при пациенти с тежка дисфункция не трябва да се превишава максималната доза от 20 </w:t>
      </w:r>
      <w:r w:rsidRPr="00134F57">
        <w:rPr>
          <w:rFonts w:eastAsia="Times New Roman" w:cs="Arial"/>
          <w:color w:val="000000"/>
          <w:lang w:val="en-US"/>
        </w:rPr>
        <w:t xml:space="preserve">mg. </w:t>
      </w:r>
      <w:r w:rsidRPr="00134F57">
        <w:rPr>
          <w:rFonts w:eastAsia="Times New Roman" w:cs="Arial"/>
          <w:color w:val="000000"/>
          <w:lang w:eastAsia="bg-BG"/>
        </w:rPr>
        <w:t>Езомепразол или главните му метаболити не показват тенденция за акумулиране при приемане веднъж дневно.</w:t>
      </w:r>
    </w:p>
    <w:p w14:paraId="43A29A77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BFEBB2" w14:textId="01D42BD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>Не са провеждани проучвания при пациенти с намалена бъбречна функция. Тъй като през бъбреците се извършва екскрецията на метаболитиге на езомепразола, но не и елиминирането на изходното съединение, не се очакват промени в метаболизма на езомепразол при пациенти с увредена бъбречна функция.</w:t>
      </w:r>
    </w:p>
    <w:p w14:paraId="113E24B0" w14:textId="77777777" w:rsidR="00134F57" w:rsidRPr="00134F57" w:rsidRDefault="00134F57" w:rsidP="00134F5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C1C0DC" w14:textId="500CAC63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810B6C6" w14:textId="77777777" w:rsidR="00134F57" w:rsidRPr="00134F57" w:rsidRDefault="00134F57" w:rsidP="00134F57">
      <w:pPr>
        <w:spacing w:line="240" w:lineRule="auto"/>
        <w:rPr>
          <w:rFonts w:eastAsia="Times New Roman" w:cs="Arial"/>
          <w:lang w:eastAsia="bg-BG"/>
        </w:rPr>
      </w:pPr>
      <w:r w:rsidRPr="00134F57">
        <w:rPr>
          <w:rFonts w:eastAsia="Times New Roman" w:cs="Arial"/>
          <w:color w:val="000000"/>
          <w:u w:val="single"/>
          <w:lang w:eastAsia="bg-BG"/>
        </w:rPr>
        <w:lastRenderedPageBreak/>
        <w:t>Юноши на възраст между 12-18 години</w:t>
      </w:r>
      <w:r w:rsidRPr="00134F57">
        <w:rPr>
          <w:rFonts w:eastAsia="Times New Roman" w:cs="Arial"/>
          <w:color w:val="000000"/>
          <w:lang w:eastAsia="bg-BG"/>
        </w:rPr>
        <w:t>:</w:t>
      </w:r>
    </w:p>
    <w:p w14:paraId="45551830" w14:textId="4440B7B3" w:rsidR="007A2185" w:rsidRPr="00134F57" w:rsidRDefault="00134F57" w:rsidP="00134F57">
      <w:pPr>
        <w:rPr>
          <w:rFonts w:cs="Arial"/>
        </w:rPr>
      </w:pPr>
      <w:r w:rsidRPr="00134F57">
        <w:rPr>
          <w:rFonts w:eastAsia="Times New Roman" w:cs="Arial"/>
          <w:color w:val="000000"/>
          <w:lang w:eastAsia="bg-BG"/>
        </w:rPr>
        <w:t xml:space="preserve">След многократен прием на 20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 xml:space="preserve">и 40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 xml:space="preserve">езомепразол, общата експозиция </w:t>
      </w:r>
      <w:r w:rsidRPr="00134F57">
        <w:rPr>
          <w:rFonts w:eastAsia="Times New Roman" w:cs="Arial"/>
          <w:color w:val="000000"/>
          <w:lang w:val="en-US"/>
        </w:rPr>
        <w:t xml:space="preserve">(AUC) </w:t>
      </w:r>
      <w:r w:rsidRPr="00134F57">
        <w:rPr>
          <w:rFonts w:eastAsia="Times New Roman" w:cs="Arial"/>
          <w:color w:val="000000"/>
          <w:lang w:eastAsia="bg-BG"/>
        </w:rPr>
        <w:t xml:space="preserve">и времето за достигане на максимална плазмена концентрация </w:t>
      </w:r>
      <w:r w:rsidRPr="00134F57">
        <w:rPr>
          <w:rFonts w:eastAsia="Times New Roman" w:cs="Arial"/>
          <w:color w:val="000000"/>
          <w:lang w:val="en-US"/>
        </w:rPr>
        <w:t>(</w:t>
      </w:r>
      <w:proofErr w:type="spellStart"/>
      <w:r w:rsidRPr="00134F57">
        <w:rPr>
          <w:rFonts w:eastAsia="Times New Roman" w:cs="Arial"/>
          <w:color w:val="000000"/>
          <w:lang w:val="en-US"/>
        </w:rPr>
        <w:t>t</w:t>
      </w:r>
      <w:r w:rsidRPr="00134F57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) </w:t>
      </w:r>
      <w:r w:rsidRPr="00134F57">
        <w:rPr>
          <w:rFonts w:eastAsia="Times New Roman" w:cs="Arial"/>
          <w:color w:val="000000"/>
          <w:lang w:eastAsia="bg-BG"/>
        </w:rPr>
        <w:t>при юноши между 12 и 18 годишна възраст са съизмерими със стойностите наблюдавани при възрастни пациенти и при двете дозировки на езомепразол.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5BA2E43D" w:rsidR="007A2185" w:rsidRPr="00134F57" w:rsidRDefault="00134F57" w:rsidP="0091385D">
      <w:pPr>
        <w:rPr>
          <w:rFonts w:cs="Arial"/>
        </w:rPr>
      </w:pPr>
      <w:r w:rsidRPr="00134F57">
        <w:rPr>
          <w:rFonts w:cs="Arial"/>
        </w:rPr>
        <w:t xml:space="preserve">Предклиничните проучвания не са установили някакви особени рискове за човека въз основа на токсичността след многократно третиране, генотоксичността и репродуктивната токсичност. Изследванията за канцерогенност при плъхове, извършени с рацемична смес, са показали хиперплазия на стомашните </w:t>
      </w:r>
      <w:r w:rsidRPr="00134F57">
        <w:rPr>
          <w:rFonts w:cs="Arial"/>
          <w:lang w:val="en-US"/>
        </w:rPr>
        <w:t>ECL</w:t>
      </w:r>
      <w:r w:rsidRPr="00134F57">
        <w:rPr>
          <w:rFonts w:cs="Arial"/>
        </w:rPr>
        <w:t>-клетки и карциноиди. Тези стомашни ефекти при плъхове се дължат на продължителната изявена хипергастринемия вследствие на намалена продукция на стомашна киселина и са наблюдавани след продължително третиране на плъхове с инхибитори на стомашната секреция.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168402D0" w14:textId="77777777" w:rsidR="00134F57" w:rsidRPr="00134F57" w:rsidRDefault="00134F57" w:rsidP="00134F57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134F57">
        <w:rPr>
          <w:rFonts w:eastAsia="Times New Roman" w:cs="Arial"/>
          <w:color w:val="000000"/>
          <w:lang w:val="en-US"/>
        </w:rPr>
        <w:t>Zentiva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134F57">
        <w:rPr>
          <w:rFonts w:eastAsia="Times New Roman" w:cs="Arial"/>
          <w:color w:val="000000"/>
          <w:lang w:val="en-US"/>
        </w:rPr>
        <w:t>k.s</w:t>
      </w:r>
      <w:proofErr w:type="spellEnd"/>
      <w:r w:rsidRPr="00134F57">
        <w:rPr>
          <w:rFonts w:eastAsia="Times New Roman" w:cs="Arial"/>
          <w:color w:val="000000"/>
          <w:lang w:val="en-US"/>
        </w:rPr>
        <w:t>.</w:t>
      </w:r>
    </w:p>
    <w:p w14:paraId="616CA1A7" w14:textId="77777777" w:rsidR="00134F57" w:rsidRPr="00134F57" w:rsidRDefault="00134F57" w:rsidP="00134F57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134F57">
        <w:rPr>
          <w:rFonts w:eastAsia="Times New Roman" w:cs="Arial"/>
          <w:color w:val="000000"/>
          <w:lang w:val="en-US"/>
        </w:rPr>
        <w:t xml:space="preserve">U </w:t>
      </w:r>
      <w:proofErr w:type="spellStart"/>
      <w:r w:rsidRPr="00134F57">
        <w:rPr>
          <w:rFonts w:eastAsia="Times New Roman" w:cs="Arial"/>
          <w:color w:val="000000"/>
          <w:lang w:val="en-US"/>
        </w:rPr>
        <w:t>Kabelovny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 </w:t>
      </w:r>
      <w:r w:rsidRPr="00134F57">
        <w:rPr>
          <w:rFonts w:eastAsia="Times New Roman" w:cs="Arial"/>
          <w:color w:val="000000"/>
          <w:lang w:eastAsia="bg-BG"/>
        </w:rPr>
        <w:t xml:space="preserve">130, </w:t>
      </w:r>
      <w:proofErr w:type="spellStart"/>
      <w:r w:rsidRPr="00134F57">
        <w:rPr>
          <w:rFonts w:eastAsia="Times New Roman" w:cs="Arial"/>
          <w:color w:val="000000"/>
          <w:lang w:val="en-US"/>
        </w:rPr>
        <w:t>Dolni</w:t>
      </w:r>
      <w:proofErr w:type="spellEnd"/>
      <w:r w:rsidRPr="00134F57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134F57">
        <w:rPr>
          <w:rFonts w:eastAsia="Times New Roman" w:cs="Arial"/>
          <w:color w:val="000000"/>
          <w:lang w:val="en-US"/>
        </w:rPr>
        <w:t>Mecholupy</w:t>
      </w:r>
      <w:proofErr w:type="spellEnd"/>
    </w:p>
    <w:p w14:paraId="1F82776F" w14:textId="77777777" w:rsidR="00134F57" w:rsidRPr="00134F57" w:rsidRDefault="00134F57" w:rsidP="00134F57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134F57">
        <w:rPr>
          <w:rFonts w:eastAsia="Times New Roman" w:cs="Arial"/>
          <w:color w:val="000000"/>
          <w:lang w:val="en-US"/>
        </w:rPr>
        <w:t>102 37 Prague 10</w:t>
      </w:r>
    </w:p>
    <w:p w14:paraId="4F02909F" w14:textId="6B2CA926" w:rsidR="007A2185" w:rsidRPr="00134F57" w:rsidRDefault="00134F57" w:rsidP="00134F57">
      <w:pPr>
        <w:rPr>
          <w:rFonts w:cs="Arial"/>
        </w:rPr>
      </w:pPr>
      <w:r w:rsidRPr="00134F57">
        <w:rPr>
          <w:rFonts w:eastAsia="Times New Roman" w:cs="Arial"/>
          <w:color w:val="000000"/>
          <w:lang w:eastAsia="bg-BG"/>
        </w:rPr>
        <w:t>Чешка република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591826B4" w14:textId="77777777" w:rsidR="00134F57" w:rsidRPr="00134F57" w:rsidRDefault="00134F57" w:rsidP="00134F5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34F57">
        <w:rPr>
          <w:rFonts w:eastAsia="Times New Roman" w:cs="Arial"/>
          <w:color w:val="000000"/>
          <w:lang w:eastAsia="bg-BG"/>
        </w:rPr>
        <w:t xml:space="preserve">Хелидес 20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>стомашно-устойчиви капсули, твърди: 20110045</w:t>
      </w:r>
    </w:p>
    <w:p w14:paraId="46161304" w14:textId="0E919B04" w:rsidR="007A2185" w:rsidRPr="00134F57" w:rsidRDefault="00134F57" w:rsidP="00134F57">
      <w:pPr>
        <w:rPr>
          <w:rFonts w:cs="Arial"/>
        </w:rPr>
      </w:pPr>
      <w:r w:rsidRPr="00134F57">
        <w:rPr>
          <w:rFonts w:eastAsia="Times New Roman" w:cs="Arial"/>
          <w:color w:val="000000"/>
          <w:lang w:eastAsia="bg-BG"/>
        </w:rPr>
        <w:t xml:space="preserve">Хелидес 40 </w:t>
      </w:r>
      <w:r w:rsidRPr="00134F57">
        <w:rPr>
          <w:rFonts w:eastAsia="Times New Roman" w:cs="Arial"/>
          <w:color w:val="000000"/>
          <w:lang w:val="en-US"/>
        </w:rPr>
        <w:t xml:space="preserve">mg </w:t>
      </w:r>
      <w:r w:rsidRPr="00134F57">
        <w:rPr>
          <w:rFonts w:eastAsia="Times New Roman" w:cs="Arial"/>
          <w:color w:val="000000"/>
          <w:lang w:eastAsia="bg-BG"/>
        </w:rPr>
        <w:t>стомашно-устойчиви капсули, твърди: 20110046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62B989D9" w:rsidR="007A2185" w:rsidRPr="00134F57" w:rsidRDefault="00134F57" w:rsidP="0091385D">
      <w:pPr>
        <w:rPr>
          <w:rFonts w:cs="Arial"/>
        </w:rPr>
      </w:pPr>
      <w:r w:rsidRPr="00134F57">
        <w:rPr>
          <w:rFonts w:cs="Arial"/>
        </w:rPr>
        <w:t>18.01.2011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0815C291" w:rsidR="007A2185" w:rsidRPr="00134F57" w:rsidRDefault="00134F57" w:rsidP="0091385D">
      <w:pPr>
        <w:rPr>
          <w:rFonts w:cs="Arial"/>
        </w:rPr>
      </w:pPr>
      <w:r w:rsidRPr="00134F57">
        <w:rPr>
          <w:rFonts w:cs="Arial"/>
          <w:b/>
          <w:bCs/>
        </w:rPr>
        <w:t>6.4.2017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775F"/>
    <w:multiLevelType w:val="hybridMultilevel"/>
    <w:tmpl w:val="AB42953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644"/>
    <w:multiLevelType w:val="hybridMultilevel"/>
    <w:tmpl w:val="37587BD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205B"/>
    <w:multiLevelType w:val="hybridMultilevel"/>
    <w:tmpl w:val="D09EE46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4"/>
  </w:num>
  <w:num w:numId="13">
    <w:abstractNumId w:val="20"/>
  </w:num>
  <w:num w:numId="14">
    <w:abstractNumId w:val="11"/>
  </w:num>
  <w:num w:numId="15">
    <w:abstractNumId w:val="31"/>
  </w:num>
  <w:num w:numId="16">
    <w:abstractNumId w:val="9"/>
  </w:num>
  <w:num w:numId="17">
    <w:abstractNumId w:val="25"/>
  </w:num>
  <w:num w:numId="18">
    <w:abstractNumId w:val="7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3"/>
  </w:num>
  <w:num w:numId="28">
    <w:abstractNumId w:val="6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30"/>
  </w:num>
  <w:num w:numId="34">
    <w:abstractNumId w:val="34"/>
  </w:num>
  <w:num w:numId="35">
    <w:abstractNumId w:val="13"/>
  </w:num>
  <w:num w:numId="36">
    <w:abstractNumId w:val="35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34F57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67FF3"/>
    <w:rsid w:val="00C809A7"/>
    <w:rsid w:val="00C83063"/>
    <w:rsid w:val="00C87E90"/>
    <w:rsid w:val="00CA1B57"/>
    <w:rsid w:val="00CF77F7"/>
    <w:rsid w:val="00D0173E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5605</Words>
  <Characters>31952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2023-03-06T02:54:00Z</dcterms:created>
  <dcterms:modified xsi:type="dcterms:W3CDTF">2023-03-06T02:54:00Z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