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20DCBC54" w14:textId="77777777" w:rsidR="008368C5" w:rsidRPr="008368C5" w:rsidRDefault="008368C5" w:rsidP="008368C5">
      <w:pPr>
        <w:spacing w:line="240" w:lineRule="auto"/>
        <w:rPr>
          <w:rFonts w:eastAsia="Times New Roman" w:cs="Arial"/>
          <w:sz w:val="28"/>
          <w:szCs w:val="24"/>
          <w:lang w:val="en-US" w:eastAsia="bg-BG"/>
        </w:rPr>
      </w:pPr>
      <w:r w:rsidRPr="008368C5">
        <w:rPr>
          <w:rFonts w:eastAsia="Times New Roman" w:cs="Arial"/>
          <w:color w:val="000000"/>
          <w:szCs w:val="20"/>
          <w:lang w:eastAsia="bg-BG"/>
        </w:rPr>
        <w:t xml:space="preserve">Хепароид 100 </w:t>
      </w:r>
      <w:r w:rsidRPr="008368C5">
        <w:rPr>
          <w:rFonts w:eastAsia="Times New Roman" w:cs="Arial"/>
          <w:color w:val="000000"/>
          <w:szCs w:val="20"/>
          <w:lang w:val="en-US"/>
        </w:rPr>
        <w:t>IU</w:t>
      </w:r>
      <w:r w:rsidRPr="008368C5">
        <w:rPr>
          <w:rFonts w:eastAsia="Times New Roman" w:cs="Arial"/>
          <w:iCs/>
          <w:color w:val="000000"/>
          <w:szCs w:val="20"/>
          <w:lang w:val="en-US"/>
        </w:rPr>
        <w:t>/</w:t>
      </w:r>
      <w:r w:rsidRPr="008368C5">
        <w:rPr>
          <w:rFonts w:eastAsia="Times New Roman" w:cs="Arial"/>
          <w:color w:val="000000"/>
          <w:szCs w:val="20"/>
          <w:lang w:val="en-US"/>
        </w:rPr>
        <w:t xml:space="preserve">mg </w:t>
      </w:r>
      <w:r w:rsidRPr="008368C5">
        <w:rPr>
          <w:rFonts w:eastAsia="Times New Roman" w:cs="Arial"/>
          <w:color w:val="000000"/>
          <w:szCs w:val="20"/>
          <w:lang w:eastAsia="bg-BG"/>
        </w:rPr>
        <w:t>маз</w:t>
      </w:r>
      <w:bookmarkStart w:id="1" w:name="_GoBack"/>
      <w:bookmarkEnd w:id="1"/>
    </w:p>
    <w:p w14:paraId="2729AFB7" w14:textId="77777777" w:rsidR="008368C5" w:rsidRPr="008368C5" w:rsidRDefault="008368C5" w:rsidP="008368C5">
      <w:pPr>
        <w:rPr>
          <w:rFonts w:eastAsia="Times New Roman" w:cs="Arial"/>
          <w:color w:val="000000"/>
          <w:szCs w:val="20"/>
          <w:lang w:val="en-US"/>
        </w:rPr>
      </w:pPr>
    </w:p>
    <w:p w14:paraId="69AC8148" w14:textId="3D84B53D" w:rsidR="00EC41ED" w:rsidRPr="008368C5" w:rsidRDefault="008368C5" w:rsidP="008368C5">
      <w:pPr>
        <w:rPr>
          <w:rFonts w:cs="Arial"/>
          <w:sz w:val="24"/>
        </w:rPr>
      </w:pPr>
      <w:proofErr w:type="spellStart"/>
      <w:r w:rsidRPr="008368C5">
        <w:rPr>
          <w:rFonts w:eastAsia="Times New Roman" w:cs="Arial"/>
          <w:color w:val="000000"/>
          <w:szCs w:val="20"/>
          <w:lang w:val="en-US"/>
        </w:rPr>
        <w:t>Heparoid</w:t>
      </w:r>
      <w:proofErr w:type="spellEnd"/>
      <w:r w:rsidRPr="008368C5">
        <w:rPr>
          <w:rFonts w:eastAsia="Times New Roman" w:cs="Arial"/>
          <w:color w:val="000000"/>
          <w:szCs w:val="20"/>
          <w:lang w:val="en-US"/>
        </w:rPr>
        <w:t xml:space="preserve"> </w:t>
      </w:r>
      <w:r w:rsidRPr="008368C5">
        <w:rPr>
          <w:rFonts w:eastAsia="Times New Roman" w:cs="Arial"/>
          <w:color w:val="000000"/>
          <w:szCs w:val="20"/>
          <w:lang w:eastAsia="bg-BG"/>
        </w:rPr>
        <w:t xml:space="preserve">100 </w:t>
      </w:r>
      <w:r w:rsidRPr="008368C5">
        <w:rPr>
          <w:rFonts w:eastAsia="Times New Roman" w:cs="Arial"/>
          <w:color w:val="000000"/>
          <w:szCs w:val="20"/>
          <w:lang w:val="en-US"/>
        </w:rPr>
        <w:t>IU/mg ointment</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2DD80D9B" w14:textId="77777777" w:rsidR="008368C5" w:rsidRPr="008368C5" w:rsidRDefault="008368C5" w:rsidP="008368C5">
      <w:pPr>
        <w:spacing w:line="240" w:lineRule="auto"/>
        <w:rPr>
          <w:rFonts w:eastAsia="Times New Roman" w:cs="Arial"/>
          <w:sz w:val="28"/>
          <w:szCs w:val="24"/>
          <w:lang w:eastAsia="bg-BG"/>
        </w:rPr>
      </w:pPr>
      <w:r w:rsidRPr="008368C5">
        <w:rPr>
          <w:rFonts w:eastAsia="Times New Roman" w:cs="Arial"/>
          <w:color w:val="000000"/>
          <w:szCs w:val="20"/>
          <w:lang w:eastAsia="bg-BG"/>
        </w:rPr>
        <w:t xml:space="preserve">1 </w:t>
      </w:r>
      <w:r w:rsidRPr="008368C5">
        <w:rPr>
          <w:rFonts w:eastAsia="Times New Roman" w:cs="Arial"/>
          <w:color w:val="000000"/>
          <w:szCs w:val="20"/>
          <w:lang w:val="en-US"/>
        </w:rPr>
        <w:t xml:space="preserve">g </w:t>
      </w:r>
      <w:r w:rsidRPr="008368C5">
        <w:rPr>
          <w:rFonts w:eastAsia="Times New Roman" w:cs="Arial"/>
          <w:color w:val="000000"/>
          <w:szCs w:val="20"/>
          <w:lang w:eastAsia="bg-BG"/>
        </w:rPr>
        <w:t xml:space="preserve">маз съдържа 2 </w:t>
      </w:r>
      <w:r w:rsidRPr="008368C5">
        <w:rPr>
          <w:rFonts w:eastAsia="Times New Roman" w:cs="Arial"/>
          <w:color w:val="000000"/>
          <w:szCs w:val="20"/>
          <w:lang w:val="en-US"/>
        </w:rPr>
        <w:t xml:space="preserve">mg </w:t>
      </w:r>
      <w:r w:rsidRPr="008368C5">
        <w:rPr>
          <w:rFonts w:eastAsia="Times New Roman" w:cs="Arial"/>
          <w:color w:val="000000"/>
          <w:szCs w:val="20"/>
          <w:lang w:eastAsia="bg-BG"/>
        </w:rPr>
        <w:t xml:space="preserve">(еквивалентно на 200 </w:t>
      </w:r>
      <w:r w:rsidRPr="008368C5">
        <w:rPr>
          <w:rFonts w:eastAsia="Times New Roman" w:cs="Arial"/>
          <w:color w:val="000000"/>
          <w:szCs w:val="20"/>
          <w:lang w:val="en-US"/>
        </w:rPr>
        <w:t>IU</w:t>
      </w:r>
      <w:r w:rsidRPr="008368C5">
        <w:rPr>
          <w:rFonts w:eastAsia="Times New Roman" w:cs="Arial"/>
          <w:color w:val="000000"/>
          <w:szCs w:val="20"/>
          <w:lang w:eastAsia="bg-BG"/>
        </w:rPr>
        <w:t xml:space="preserve">) хепариноид </w:t>
      </w:r>
      <w:r w:rsidRPr="008368C5">
        <w:rPr>
          <w:rFonts w:eastAsia="Times New Roman" w:cs="Arial"/>
          <w:i/>
          <w:iCs/>
          <w:color w:val="000000"/>
          <w:szCs w:val="20"/>
          <w:lang w:val="en-US"/>
        </w:rPr>
        <w:t xml:space="preserve">(heparinoid). </w:t>
      </w:r>
      <w:r w:rsidRPr="008368C5">
        <w:rPr>
          <w:rFonts w:eastAsia="Times New Roman" w:cs="Arial"/>
          <w:color w:val="000000"/>
          <w:szCs w:val="20"/>
          <w:lang w:val="en-US"/>
        </w:rPr>
        <w:t xml:space="preserve">30 g </w:t>
      </w:r>
      <w:r w:rsidRPr="008368C5">
        <w:rPr>
          <w:rFonts w:eastAsia="Times New Roman" w:cs="Arial"/>
          <w:color w:val="000000"/>
          <w:szCs w:val="20"/>
          <w:lang w:eastAsia="bg-BG"/>
        </w:rPr>
        <w:t xml:space="preserve">маз съдържат 60 </w:t>
      </w:r>
      <w:r w:rsidRPr="008368C5">
        <w:rPr>
          <w:rFonts w:eastAsia="Times New Roman" w:cs="Arial"/>
          <w:color w:val="000000"/>
          <w:szCs w:val="20"/>
          <w:lang w:val="en-US"/>
        </w:rPr>
        <w:t xml:space="preserve">mg </w:t>
      </w:r>
      <w:r w:rsidRPr="008368C5">
        <w:rPr>
          <w:rFonts w:eastAsia="Times New Roman" w:cs="Arial"/>
          <w:color w:val="000000"/>
          <w:szCs w:val="20"/>
          <w:lang w:eastAsia="bg-BG"/>
        </w:rPr>
        <w:t>хепариноид.</w:t>
      </w:r>
    </w:p>
    <w:p w14:paraId="37C09356" w14:textId="77777777" w:rsidR="008368C5" w:rsidRPr="008368C5" w:rsidRDefault="008368C5" w:rsidP="008368C5">
      <w:pPr>
        <w:spacing w:line="240" w:lineRule="auto"/>
        <w:rPr>
          <w:rFonts w:eastAsia="Times New Roman" w:cs="Arial"/>
          <w:color w:val="000000"/>
          <w:szCs w:val="20"/>
          <w:lang w:eastAsia="bg-BG"/>
        </w:rPr>
      </w:pPr>
    </w:p>
    <w:p w14:paraId="548EB1CC" w14:textId="3A5DB39E" w:rsidR="008368C5" w:rsidRPr="008368C5" w:rsidRDefault="008368C5" w:rsidP="008368C5">
      <w:pPr>
        <w:spacing w:line="240" w:lineRule="auto"/>
        <w:rPr>
          <w:rFonts w:eastAsia="Times New Roman" w:cs="Arial"/>
          <w:sz w:val="28"/>
          <w:szCs w:val="24"/>
          <w:lang w:eastAsia="bg-BG"/>
        </w:rPr>
      </w:pPr>
      <w:r w:rsidRPr="008368C5">
        <w:rPr>
          <w:rFonts w:eastAsia="Times New Roman" w:cs="Arial"/>
          <w:color w:val="000000"/>
          <w:szCs w:val="20"/>
          <w:lang w:eastAsia="bg-BG"/>
        </w:rPr>
        <w:t xml:space="preserve">Помощни вещества с известно действие: цетостеарилов алкохол, пропилен гликол 1500 </w:t>
      </w:r>
      <w:r w:rsidRPr="008368C5">
        <w:rPr>
          <w:rFonts w:eastAsia="Times New Roman" w:cs="Arial"/>
          <w:color w:val="000000"/>
          <w:szCs w:val="20"/>
          <w:lang w:val="en-US"/>
        </w:rPr>
        <w:t xml:space="preserve">mg </w:t>
      </w:r>
      <w:r w:rsidRPr="008368C5">
        <w:rPr>
          <w:rFonts w:eastAsia="Times New Roman" w:cs="Arial"/>
          <w:color w:val="000000"/>
          <w:szCs w:val="20"/>
          <w:lang w:eastAsia="bg-BG"/>
        </w:rPr>
        <w:t>(вижте точка 4.4), метил парахидроксибензоат, пропил парахидроксибензоат.</w:t>
      </w:r>
    </w:p>
    <w:p w14:paraId="54632B43" w14:textId="0147CBAF" w:rsidR="00EC41ED" w:rsidRPr="008368C5" w:rsidRDefault="008368C5" w:rsidP="008368C5">
      <w:pPr>
        <w:rPr>
          <w:rFonts w:cs="Arial"/>
          <w:sz w:val="24"/>
        </w:rPr>
      </w:pPr>
      <w:r w:rsidRPr="008368C5">
        <w:rPr>
          <w:rFonts w:eastAsia="Times New Roman" w:cs="Arial"/>
          <w:color w:val="000000"/>
          <w:szCs w:val="2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28C074E9" w14:textId="77777777" w:rsidR="008368C5" w:rsidRPr="008368C5" w:rsidRDefault="008368C5" w:rsidP="008368C5">
      <w:pPr>
        <w:spacing w:line="240" w:lineRule="auto"/>
        <w:rPr>
          <w:rFonts w:eastAsia="Times New Roman" w:cs="Arial"/>
          <w:sz w:val="28"/>
          <w:szCs w:val="24"/>
          <w:lang w:eastAsia="bg-BG"/>
        </w:rPr>
      </w:pPr>
      <w:r w:rsidRPr="008368C5">
        <w:rPr>
          <w:rFonts w:eastAsia="Times New Roman" w:cs="Arial"/>
          <w:color w:val="000000"/>
          <w:szCs w:val="20"/>
          <w:lang w:eastAsia="bg-BG"/>
        </w:rPr>
        <w:t>Маз</w:t>
      </w:r>
    </w:p>
    <w:p w14:paraId="743244F0" w14:textId="7A51C783" w:rsidR="00EC41ED" w:rsidRPr="008368C5" w:rsidRDefault="008368C5" w:rsidP="008368C5">
      <w:pPr>
        <w:rPr>
          <w:rFonts w:cs="Arial"/>
          <w:sz w:val="24"/>
        </w:rPr>
      </w:pPr>
      <w:r w:rsidRPr="008368C5">
        <w:rPr>
          <w:rFonts w:eastAsia="Times New Roman" w:cs="Arial"/>
          <w:i/>
          <w:iCs/>
          <w:color w:val="000000"/>
          <w:szCs w:val="20"/>
          <w:lang w:eastAsia="bg-BG"/>
        </w:rPr>
        <w:t>Външен вид:</w:t>
      </w:r>
      <w:r w:rsidRPr="008368C5">
        <w:rPr>
          <w:rFonts w:eastAsia="Times New Roman" w:cs="Arial"/>
          <w:color w:val="000000"/>
          <w:szCs w:val="20"/>
          <w:lang w:eastAsia="bg-BG"/>
        </w:rPr>
        <w:t xml:space="preserve"> бял крем от М/В емулсионен тип</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7DF1F8FF" w14:textId="77777777" w:rsidR="008368C5" w:rsidRPr="008368C5" w:rsidRDefault="008368C5" w:rsidP="008368C5">
      <w:pPr>
        <w:spacing w:line="240" w:lineRule="auto"/>
        <w:rPr>
          <w:rFonts w:eastAsia="Times New Roman" w:cs="Arial"/>
          <w:lang w:eastAsia="bg-BG"/>
        </w:rPr>
      </w:pPr>
      <w:r w:rsidRPr="008368C5">
        <w:rPr>
          <w:rFonts w:eastAsia="Times New Roman" w:cs="Arial"/>
          <w:color w:val="000000"/>
          <w:lang w:eastAsia="bg-BG"/>
        </w:rPr>
        <w:t>Повърхностни тромбофлебити, мигриращ флебит, перифлебит при варикозни язви, тромбофлебит във варикозен комплекс, фибротизация на кожата при хронична венозна недостатъчност, нови хипертрофични и келоидни белези, локални усложнения след склеротерапия; тендовагинит, пост-травматични хематоми, контузии, разтягане на меките тъкани.</w:t>
      </w:r>
    </w:p>
    <w:p w14:paraId="6DFA4B9D" w14:textId="46EA3D02" w:rsidR="0091385D" w:rsidRPr="008368C5" w:rsidRDefault="008368C5" w:rsidP="008368C5">
      <w:pPr>
        <w:rPr>
          <w:rFonts w:cs="Arial"/>
        </w:rPr>
      </w:pPr>
      <w:r w:rsidRPr="008368C5">
        <w:rPr>
          <w:rFonts w:eastAsia="Times New Roman" w:cs="Arial"/>
          <w:color w:val="000000"/>
          <w:lang w:eastAsia="bg-BG"/>
        </w:rPr>
        <w:t>Лекарственият продукт може да се прилага както при възрастни, така и при деца от най-ранна възраст.</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6DAB7BFD" w14:textId="77777777" w:rsidR="008368C5" w:rsidRPr="008368C5" w:rsidRDefault="008368C5" w:rsidP="008368C5">
      <w:pPr>
        <w:spacing w:line="240" w:lineRule="auto"/>
        <w:rPr>
          <w:rFonts w:eastAsia="Times New Roman" w:cs="Arial"/>
          <w:lang w:eastAsia="bg-BG"/>
        </w:rPr>
      </w:pPr>
      <w:r w:rsidRPr="008368C5">
        <w:rPr>
          <w:rFonts w:eastAsia="Times New Roman" w:cs="Arial"/>
          <w:color w:val="000000"/>
          <w:lang w:eastAsia="bg-BG"/>
        </w:rPr>
        <w:t>За приложение върху кожата.</w:t>
      </w:r>
    </w:p>
    <w:p w14:paraId="2AABF1E2" w14:textId="77777777" w:rsidR="008368C5" w:rsidRPr="008368C5" w:rsidRDefault="008368C5" w:rsidP="008368C5">
      <w:pPr>
        <w:spacing w:line="240" w:lineRule="auto"/>
        <w:rPr>
          <w:rFonts w:eastAsia="Times New Roman" w:cs="Arial"/>
          <w:color w:val="000000"/>
          <w:u w:val="single"/>
          <w:lang w:eastAsia="bg-BG"/>
        </w:rPr>
      </w:pPr>
    </w:p>
    <w:p w14:paraId="66C083FB" w14:textId="082C685A" w:rsidR="008368C5" w:rsidRPr="008368C5" w:rsidRDefault="008368C5" w:rsidP="008368C5">
      <w:pPr>
        <w:spacing w:line="240" w:lineRule="auto"/>
        <w:rPr>
          <w:rFonts w:eastAsia="Times New Roman" w:cs="Arial"/>
          <w:lang w:eastAsia="bg-BG"/>
        </w:rPr>
      </w:pPr>
      <w:r w:rsidRPr="008368C5">
        <w:rPr>
          <w:rFonts w:eastAsia="Times New Roman" w:cs="Arial"/>
          <w:color w:val="000000"/>
          <w:u w:val="single"/>
          <w:lang w:eastAsia="bg-BG"/>
        </w:rPr>
        <w:t>Възрастни, деца и юноши</w:t>
      </w:r>
    </w:p>
    <w:p w14:paraId="7FBF1BCE" w14:textId="029423C2" w:rsidR="00EC41ED" w:rsidRPr="008368C5" w:rsidRDefault="008368C5" w:rsidP="008368C5">
      <w:pPr>
        <w:rPr>
          <w:rFonts w:cs="Arial"/>
        </w:rPr>
      </w:pPr>
      <w:r w:rsidRPr="008368C5">
        <w:rPr>
          <w:rFonts w:eastAsia="Times New Roman" w:cs="Arial"/>
          <w:color w:val="000000"/>
          <w:lang w:eastAsia="bg-BG"/>
        </w:rPr>
        <w:t xml:space="preserve">Нанася се с лек масаж по кожата върху засегнатото място и областта около него около 1 </w:t>
      </w:r>
      <w:r w:rsidRPr="008368C5">
        <w:rPr>
          <w:rFonts w:eastAsia="Times New Roman" w:cs="Arial"/>
          <w:color w:val="000000"/>
          <w:lang w:val="en-US"/>
        </w:rPr>
        <w:t xml:space="preserve">mm </w:t>
      </w:r>
      <w:r w:rsidRPr="008368C5">
        <w:rPr>
          <w:rFonts w:eastAsia="Times New Roman" w:cs="Arial"/>
          <w:color w:val="000000"/>
          <w:lang w:eastAsia="bg-BG"/>
        </w:rPr>
        <w:t xml:space="preserve">дебел слой маз, 2-3 пъти на ден. При увреждане на вените може да се приложи </w:t>
      </w:r>
      <w:r w:rsidRPr="008368C5">
        <w:rPr>
          <w:rFonts w:eastAsia="Times New Roman" w:cs="Arial"/>
          <w:color w:val="000000"/>
          <w:lang w:eastAsia="bg-BG"/>
        </w:rPr>
        <w:lastRenderedPageBreak/>
        <w:t>компресивна превръзка. При големи и болезнени кръвоизливи третираното с мазта място може в началото да се покрие с непропускаща въздух превръзка, най-добре през нощта. При варикозна язва мазта трябва да се втрива в кожата около нея.</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40FCCE29" w14:textId="77777777" w:rsidR="008368C5" w:rsidRPr="008368C5" w:rsidRDefault="008368C5" w:rsidP="008368C5">
      <w:pPr>
        <w:spacing w:line="240" w:lineRule="auto"/>
        <w:rPr>
          <w:rFonts w:eastAsia="Times New Roman" w:cs="Arial"/>
          <w:lang w:eastAsia="bg-BG"/>
        </w:rPr>
      </w:pPr>
      <w:r w:rsidRPr="008368C5">
        <w:rPr>
          <w:rFonts w:eastAsia="Times New Roman" w:cs="Arial"/>
          <w:color w:val="000000"/>
          <w:lang w:eastAsia="bg-BG"/>
        </w:rPr>
        <w:t>Свръхчувствителност към активното вещество, парахидроксибензоати, пропил енгликол или някое от помощните вещества, изброени в точка 6.1.</w:t>
      </w:r>
    </w:p>
    <w:p w14:paraId="030B6A4D" w14:textId="3D7DE1EC" w:rsidR="00EC41ED" w:rsidRPr="008368C5" w:rsidRDefault="008368C5" w:rsidP="008368C5">
      <w:pPr>
        <w:rPr>
          <w:rFonts w:cs="Arial"/>
        </w:rPr>
      </w:pPr>
      <w:r w:rsidRPr="008368C5">
        <w:rPr>
          <w:rFonts w:eastAsia="Times New Roman" w:cs="Arial"/>
          <w:color w:val="000000"/>
          <w:lang w:eastAsia="bg-BG"/>
        </w:rPr>
        <w:t>Хеморагична диатеза, различни форми на пурпура, тромбоцитопения, хемофилия, различни общи състояния с тенденция към кървене.</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1BC74544" w14:textId="77777777" w:rsidR="008368C5" w:rsidRPr="008368C5" w:rsidRDefault="008368C5" w:rsidP="008368C5">
      <w:pPr>
        <w:spacing w:line="240" w:lineRule="auto"/>
        <w:rPr>
          <w:rFonts w:eastAsia="Times New Roman" w:cs="Arial"/>
          <w:lang w:eastAsia="bg-BG"/>
        </w:rPr>
      </w:pPr>
      <w:r w:rsidRPr="008368C5">
        <w:rPr>
          <w:rFonts w:eastAsia="Times New Roman" w:cs="Arial"/>
          <w:color w:val="000000"/>
          <w:lang w:eastAsia="bg-BG"/>
        </w:rPr>
        <w:t>Лекарственият продукт не трябва да се прилага върху наранена кожна повърхност, лигавици и в очите.</w:t>
      </w:r>
    </w:p>
    <w:p w14:paraId="1CB29969" w14:textId="77777777" w:rsidR="008368C5" w:rsidRPr="008368C5" w:rsidRDefault="008368C5" w:rsidP="008368C5">
      <w:pPr>
        <w:spacing w:line="240" w:lineRule="auto"/>
        <w:rPr>
          <w:rFonts w:eastAsia="Times New Roman" w:cs="Arial"/>
          <w:color w:val="000000"/>
          <w:lang w:eastAsia="bg-BG"/>
        </w:rPr>
      </w:pPr>
    </w:p>
    <w:p w14:paraId="46B8FFBE" w14:textId="5E3E7245" w:rsidR="008368C5" w:rsidRPr="008368C5" w:rsidRDefault="008368C5" w:rsidP="008368C5">
      <w:pPr>
        <w:spacing w:line="240" w:lineRule="auto"/>
        <w:rPr>
          <w:rFonts w:eastAsia="Times New Roman" w:cs="Arial"/>
          <w:lang w:eastAsia="bg-BG"/>
        </w:rPr>
      </w:pPr>
      <w:r w:rsidRPr="008368C5">
        <w:rPr>
          <w:rFonts w:eastAsia="Times New Roman" w:cs="Arial"/>
          <w:color w:val="000000"/>
          <w:lang w:eastAsia="bg-BG"/>
        </w:rPr>
        <w:t>Тази маз съдържа цетостеарилов алкохол, който може да причини локални кожни реакции (напр. контактен дерматит). Също съдържа и метил парахидроксибензоат и пропил парахидроксибензоат, които могат да причинат алекгични реакции (възможно е да са отложени).</w:t>
      </w:r>
    </w:p>
    <w:p w14:paraId="7B509A5A" w14:textId="77777777" w:rsidR="008368C5" w:rsidRPr="008368C5" w:rsidRDefault="008368C5" w:rsidP="008368C5">
      <w:pPr>
        <w:spacing w:line="240" w:lineRule="auto"/>
        <w:rPr>
          <w:rFonts w:eastAsia="Times New Roman" w:cs="Arial"/>
          <w:b/>
          <w:bCs/>
          <w:color w:val="000000"/>
          <w:lang w:eastAsia="bg-BG"/>
        </w:rPr>
      </w:pPr>
    </w:p>
    <w:p w14:paraId="42380526" w14:textId="45482217" w:rsidR="008368C5" w:rsidRPr="008368C5" w:rsidRDefault="008368C5" w:rsidP="008368C5">
      <w:pPr>
        <w:spacing w:line="240" w:lineRule="auto"/>
        <w:rPr>
          <w:rFonts w:eastAsia="Times New Roman" w:cs="Arial"/>
          <w:lang w:eastAsia="bg-BG"/>
        </w:rPr>
      </w:pPr>
      <w:r w:rsidRPr="008368C5">
        <w:rPr>
          <w:rFonts w:eastAsia="Times New Roman" w:cs="Arial"/>
          <w:b/>
          <w:bCs/>
          <w:color w:val="000000"/>
          <w:lang w:eastAsia="bg-BG"/>
        </w:rPr>
        <w:t>Пропилен гликол</w:t>
      </w:r>
    </w:p>
    <w:p w14:paraId="0E28BBDE" w14:textId="6434819A" w:rsidR="007A2185" w:rsidRPr="008368C5" w:rsidRDefault="008368C5" w:rsidP="008368C5">
      <w:pPr>
        <w:rPr>
          <w:rFonts w:cs="Arial"/>
        </w:rPr>
      </w:pPr>
      <w:r w:rsidRPr="008368C5">
        <w:rPr>
          <w:rFonts w:eastAsia="Times New Roman" w:cs="Arial"/>
          <w:color w:val="000000"/>
          <w:lang w:eastAsia="bg-BG"/>
        </w:rPr>
        <w:t xml:space="preserve">Това лекарство съдържа 1500 </w:t>
      </w:r>
      <w:r w:rsidRPr="008368C5">
        <w:rPr>
          <w:rFonts w:eastAsia="Times New Roman" w:cs="Arial"/>
          <w:color w:val="000000"/>
          <w:lang w:val="en-US"/>
        </w:rPr>
        <w:t xml:space="preserve">mg </w:t>
      </w:r>
      <w:r w:rsidRPr="008368C5">
        <w:rPr>
          <w:rFonts w:eastAsia="Times New Roman" w:cs="Arial"/>
          <w:color w:val="000000"/>
          <w:lang w:eastAsia="bg-BG"/>
        </w:rPr>
        <w:t xml:space="preserve">пропилен гликол в 30 </w:t>
      </w:r>
      <w:r w:rsidRPr="008368C5">
        <w:rPr>
          <w:rFonts w:eastAsia="Times New Roman" w:cs="Arial"/>
          <w:color w:val="000000"/>
          <w:lang w:val="en-US"/>
        </w:rPr>
        <w:t xml:space="preserve">g </w:t>
      </w:r>
      <w:r w:rsidRPr="008368C5">
        <w:rPr>
          <w:rFonts w:eastAsia="Times New Roman" w:cs="Arial"/>
          <w:color w:val="000000"/>
          <w:lang w:eastAsia="bg-BG"/>
        </w:rPr>
        <w:t>маз. Пропилен гликолът може да причини дразнене на кожата. Това лекарство трябва да се използва с пов</w:t>
      </w:r>
      <w:r>
        <w:rPr>
          <w:rFonts w:eastAsia="Times New Roman" w:cs="Arial"/>
          <w:color w:val="000000"/>
          <w:lang w:eastAsia="bg-BG"/>
        </w:rPr>
        <w:t xml:space="preserve">ишено внимание при бебета, </w:t>
      </w:r>
      <w:r w:rsidRPr="008368C5">
        <w:rPr>
          <w:rFonts w:eastAsia="Times New Roman" w:cs="Arial"/>
          <w:color w:val="000000"/>
          <w:lang w:eastAsia="bg-BG"/>
        </w:rPr>
        <w:t>по-</w:t>
      </w:r>
      <w:r w:rsidRPr="008368C5">
        <w:t>малки от 4 седмици с отворени рани или големи области на увредена кожа (напр. изгаряния).</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B2761C5" w14:textId="46E8C316" w:rsidR="0091385D" w:rsidRPr="008368C5" w:rsidRDefault="008368C5" w:rsidP="0091385D">
      <w:pPr>
        <w:rPr>
          <w:rFonts w:cs="Arial"/>
        </w:rPr>
      </w:pPr>
      <w:r w:rsidRPr="008368C5">
        <w:rPr>
          <w:rFonts w:cs="Arial"/>
        </w:rPr>
        <w:t>Хепароид не трябва да се прилага в комбинация с други лекарствени продукти приложени локално (напр. съдържащи тетрациклини, хидрокортизон или салицилова киселина).</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02F0D07" w14:textId="690C98B5" w:rsidR="007A2185" w:rsidRPr="008368C5" w:rsidRDefault="008368C5" w:rsidP="0091385D">
      <w:pPr>
        <w:rPr>
          <w:rFonts w:cs="Arial"/>
        </w:rPr>
      </w:pPr>
      <w:r w:rsidRPr="008368C5">
        <w:rPr>
          <w:rFonts w:cs="Arial"/>
        </w:rPr>
        <w:t>По време на бременност и кърмене лекарственият продукт може да се използва само за кратко време, само за малки по площ участъци от кожата и при абсолютна необходимост, с изключение на последното тримесечие на бременността, когато не трябва да се използва изобщо поради възможно повлияване на раждането (риск от кървене).</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79C5086D" w:rsidR="007A2185" w:rsidRPr="008368C5" w:rsidRDefault="008368C5" w:rsidP="0091385D">
      <w:pPr>
        <w:rPr>
          <w:rFonts w:cs="Arial"/>
        </w:rPr>
      </w:pPr>
      <w:r w:rsidRPr="008368C5">
        <w:rPr>
          <w:rFonts w:cs="Arial"/>
        </w:rPr>
        <w:t>Този лекарствен продукт не повлиява способността за шофиране 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254AACC" w14:textId="498AA487" w:rsidR="007A2185" w:rsidRPr="008368C5" w:rsidRDefault="008368C5" w:rsidP="0091385D">
      <w:pPr>
        <w:rPr>
          <w:rFonts w:cs="Arial"/>
        </w:rPr>
      </w:pPr>
      <w:r w:rsidRPr="008368C5">
        <w:rPr>
          <w:rFonts w:cs="Arial"/>
        </w:rPr>
        <w:lastRenderedPageBreak/>
        <w:t xml:space="preserve">Следващата таблица обобщава нежеланите лекарствени реакции на хепариноид, разгелени в групи според </w:t>
      </w:r>
      <w:proofErr w:type="spellStart"/>
      <w:r w:rsidRPr="008368C5">
        <w:rPr>
          <w:rFonts w:cs="Arial"/>
          <w:lang w:val="en-US"/>
        </w:rPr>
        <w:t>MedDRA</w:t>
      </w:r>
      <w:proofErr w:type="spellEnd"/>
      <w:r w:rsidRPr="008368C5">
        <w:rPr>
          <w:rFonts w:cs="Arial"/>
          <w:lang w:val="en-US"/>
        </w:rPr>
        <w:t xml:space="preserve"> </w:t>
      </w:r>
      <w:r w:rsidRPr="008368C5">
        <w:rPr>
          <w:rFonts w:cs="Arial"/>
        </w:rPr>
        <w:t xml:space="preserve">терминологията, заедно с тяхната честота: нечести (&gt;1/1 000 до ≤1/100), </w:t>
      </w:r>
      <w:r w:rsidRPr="008368C5">
        <w:rPr>
          <w:rFonts w:cs="Arial"/>
        </w:rPr>
        <w:t>р</w:t>
      </w:r>
      <w:r w:rsidRPr="008368C5">
        <w:rPr>
          <w:rFonts w:cs="Arial"/>
        </w:rPr>
        <w:t>едки</w:t>
      </w:r>
      <w:r w:rsidRPr="008368C5">
        <w:rPr>
          <w:rFonts w:cs="Arial"/>
        </w:rPr>
        <w:t xml:space="preserve"> </w:t>
      </w:r>
      <w:r w:rsidRPr="008368C5">
        <w:rPr>
          <w:rFonts w:cs="Arial"/>
        </w:rPr>
        <w:t>(&gt;1/10 000</w:t>
      </w:r>
      <w:r w:rsidRPr="008368C5">
        <w:rPr>
          <w:rFonts w:cs="Arial"/>
        </w:rPr>
        <w:t xml:space="preserve"> </w:t>
      </w:r>
      <w:r w:rsidRPr="008368C5">
        <w:rPr>
          <w:rFonts w:cs="Arial"/>
        </w:rPr>
        <w:t>до</w:t>
      </w:r>
      <w:r w:rsidRPr="008368C5">
        <w:rPr>
          <w:rFonts w:cs="Arial"/>
        </w:rPr>
        <w:t xml:space="preserve"> </w:t>
      </w:r>
      <w:r w:rsidRPr="008368C5">
        <w:rPr>
          <w:rFonts w:cs="Arial"/>
        </w:rPr>
        <w:t>≤</w:t>
      </w:r>
      <w:r w:rsidRPr="008368C5">
        <w:rPr>
          <w:rFonts w:cs="Arial"/>
        </w:rPr>
        <w:t xml:space="preserve"> </w:t>
      </w:r>
      <w:r w:rsidRPr="008368C5">
        <w:rPr>
          <w:rFonts w:cs="Arial"/>
        </w:rPr>
        <w:t>1/1 000)</w:t>
      </w:r>
    </w:p>
    <w:tbl>
      <w:tblPr>
        <w:tblStyle w:val="TableGrid"/>
        <w:tblW w:w="0" w:type="auto"/>
        <w:tblLook w:val="04A0" w:firstRow="1" w:lastRow="0" w:firstColumn="1" w:lastColumn="0" w:noHBand="0" w:noVBand="1"/>
      </w:tblPr>
      <w:tblGrid>
        <w:gridCol w:w="3116"/>
        <w:gridCol w:w="3117"/>
        <w:gridCol w:w="3117"/>
      </w:tblGrid>
      <w:tr w:rsidR="008368C5" w:rsidRPr="008368C5" w14:paraId="3B49A70E" w14:textId="77777777" w:rsidTr="008368C5">
        <w:tc>
          <w:tcPr>
            <w:tcW w:w="3116" w:type="dxa"/>
          </w:tcPr>
          <w:p w14:paraId="66A7570D" w14:textId="507A5E7F" w:rsidR="008368C5" w:rsidRPr="008368C5" w:rsidRDefault="008368C5" w:rsidP="008368C5">
            <w:pPr>
              <w:rPr>
                <w:rFonts w:cs="Arial"/>
              </w:rPr>
            </w:pPr>
            <w:proofErr w:type="spellStart"/>
            <w:r w:rsidRPr="008368C5">
              <w:rPr>
                <w:rFonts w:cs="Arial"/>
                <w:b/>
                <w:bCs/>
                <w:lang w:val="en-US"/>
              </w:rPr>
              <w:t>MedDRA</w:t>
            </w:r>
            <w:proofErr w:type="spellEnd"/>
            <w:r w:rsidRPr="008368C5">
              <w:rPr>
                <w:rFonts w:cs="Arial"/>
                <w:b/>
                <w:bCs/>
                <w:lang w:val="en-US"/>
              </w:rPr>
              <w:t xml:space="preserve"> </w:t>
            </w:r>
            <w:r w:rsidRPr="008368C5">
              <w:rPr>
                <w:rFonts w:cs="Arial"/>
                <w:b/>
                <w:bCs/>
              </w:rPr>
              <w:t xml:space="preserve">сиетемно-органии </w:t>
            </w:r>
            <w:r w:rsidRPr="008368C5">
              <w:rPr>
                <w:rFonts w:cs="Arial"/>
                <w:b/>
                <w:bCs/>
                <w:i/>
                <w:iCs/>
              </w:rPr>
              <w:t>класове</w:t>
            </w:r>
          </w:p>
        </w:tc>
        <w:tc>
          <w:tcPr>
            <w:tcW w:w="3117" w:type="dxa"/>
          </w:tcPr>
          <w:p w14:paraId="3CC37AAB" w14:textId="015E3791" w:rsidR="008368C5" w:rsidRPr="008368C5" w:rsidRDefault="008368C5" w:rsidP="008368C5">
            <w:pPr>
              <w:rPr>
                <w:rFonts w:cs="Arial"/>
              </w:rPr>
            </w:pPr>
            <w:r w:rsidRPr="008368C5">
              <w:rPr>
                <w:rFonts w:cs="Arial"/>
                <w:b/>
                <w:bCs/>
              </w:rPr>
              <w:t>Честота</w:t>
            </w:r>
          </w:p>
        </w:tc>
        <w:tc>
          <w:tcPr>
            <w:tcW w:w="3117" w:type="dxa"/>
          </w:tcPr>
          <w:p w14:paraId="16866076" w14:textId="77777777" w:rsidR="008368C5" w:rsidRPr="008368C5" w:rsidRDefault="008368C5" w:rsidP="008368C5">
            <w:pPr>
              <w:rPr>
                <w:rFonts w:cs="Arial"/>
              </w:rPr>
            </w:pPr>
          </w:p>
          <w:p w14:paraId="3245D002" w14:textId="3C2F5DD8" w:rsidR="008368C5" w:rsidRPr="008368C5" w:rsidRDefault="008368C5" w:rsidP="008368C5">
            <w:pPr>
              <w:rPr>
                <w:rFonts w:cs="Arial"/>
              </w:rPr>
            </w:pPr>
            <w:r w:rsidRPr="008368C5">
              <w:rPr>
                <w:rFonts w:cs="Arial"/>
                <w:b/>
                <w:bCs/>
              </w:rPr>
              <w:t>Нежелана реакция</w:t>
            </w:r>
          </w:p>
        </w:tc>
      </w:tr>
      <w:tr w:rsidR="008368C5" w:rsidRPr="008368C5" w14:paraId="06888CB3" w14:textId="77777777" w:rsidTr="008368C5">
        <w:tc>
          <w:tcPr>
            <w:tcW w:w="3116" w:type="dxa"/>
            <w:vMerge w:val="restart"/>
          </w:tcPr>
          <w:p w14:paraId="139AA51F" w14:textId="0187FEC4" w:rsidR="008368C5" w:rsidRPr="008368C5" w:rsidRDefault="008368C5" w:rsidP="008368C5">
            <w:pPr>
              <w:rPr>
                <w:rFonts w:cs="Arial"/>
              </w:rPr>
            </w:pPr>
            <w:r w:rsidRPr="008368C5">
              <w:rPr>
                <w:rFonts w:cs="Arial"/>
              </w:rPr>
              <w:t>Нарушения на кожата и подкожната тъкан</w:t>
            </w:r>
          </w:p>
        </w:tc>
        <w:tc>
          <w:tcPr>
            <w:tcW w:w="3117" w:type="dxa"/>
          </w:tcPr>
          <w:p w14:paraId="2EBD525B" w14:textId="002FF7AF" w:rsidR="008368C5" w:rsidRPr="008368C5" w:rsidRDefault="008368C5" w:rsidP="008368C5">
            <w:pPr>
              <w:rPr>
                <w:rFonts w:cs="Arial"/>
              </w:rPr>
            </w:pPr>
            <w:r w:rsidRPr="008368C5">
              <w:rPr>
                <w:rFonts w:cs="Arial"/>
              </w:rPr>
              <w:t>нечести</w:t>
            </w:r>
          </w:p>
        </w:tc>
        <w:tc>
          <w:tcPr>
            <w:tcW w:w="3117" w:type="dxa"/>
          </w:tcPr>
          <w:p w14:paraId="300D3A76" w14:textId="4B3DA607" w:rsidR="008368C5" w:rsidRPr="008368C5" w:rsidRDefault="008368C5" w:rsidP="008368C5">
            <w:pPr>
              <w:rPr>
                <w:rFonts w:cs="Arial"/>
              </w:rPr>
            </w:pPr>
            <w:r w:rsidRPr="008368C5">
              <w:rPr>
                <w:rFonts w:cs="Arial"/>
              </w:rPr>
              <w:t>локално кожно дразнене (парене, сърбеж, зачервяване и кожни обриви)</w:t>
            </w:r>
          </w:p>
        </w:tc>
      </w:tr>
      <w:tr w:rsidR="008368C5" w:rsidRPr="008368C5" w14:paraId="3DBC1D77" w14:textId="77777777" w:rsidTr="008368C5">
        <w:tc>
          <w:tcPr>
            <w:tcW w:w="3116" w:type="dxa"/>
            <w:vMerge/>
          </w:tcPr>
          <w:p w14:paraId="3F8A5B9C" w14:textId="77777777" w:rsidR="008368C5" w:rsidRPr="008368C5" w:rsidRDefault="008368C5" w:rsidP="008368C5">
            <w:pPr>
              <w:rPr>
                <w:rFonts w:cs="Arial"/>
              </w:rPr>
            </w:pPr>
          </w:p>
        </w:tc>
        <w:tc>
          <w:tcPr>
            <w:tcW w:w="3117" w:type="dxa"/>
          </w:tcPr>
          <w:p w14:paraId="39E94C6F" w14:textId="17172FE4" w:rsidR="008368C5" w:rsidRPr="008368C5" w:rsidRDefault="008368C5" w:rsidP="008368C5">
            <w:pPr>
              <w:rPr>
                <w:rFonts w:cs="Arial"/>
              </w:rPr>
            </w:pPr>
            <w:r w:rsidRPr="008368C5">
              <w:rPr>
                <w:rFonts w:cs="Arial"/>
              </w:rPr>
              <w:t>редки</w:t>
            </w:r>
          </w:p>
        </w:tc>
        <w:tc>
          <w:tcPr>
            <w:tcW w:w="3117" w:type="dxa"/>
          </w:tcPr>
          <w:p w14:paraId="46261338" w14:textId="6F94FB6B" w:rsidR="008368C5" w:rsidRPr="008368C5" w:rsidRDefault="008368C5" w:rsidP="008368C5">
            <w:pPr>
              <w:rPr>
                <w:rFonts w:cs="Arial"/>
              </w:rPr>
            </w:pPr>
            <w:r w:rsidRPr="008368C5">
              <w:rPr>
                <w:rFonts w:cs="Arial"/>
              </w:rPr>
              <w:t>кожна свръхчувствителност към хепарин, парахидроксибензоати, пропилен гликол или друго помощно вещество на продукта</w:t>
            </w:r>
          </w:p>
        </w:tc>
      </w:tr>
    </w:tbl>
    <w:p w14:paraId="008AFCC4" w14:textId="110029CD" w:rsidR="008368C5" w:rsidRPr="008368C5" w:rsidRDefault="008368C5" w:rsidP="0091385D">
      <w:pPr>
        <w:rPr>
          <w:rFonts w:cs="Arial"/>
        </w:rPr>
      </w:pPr>
    </w:p>
    <w:p w14:paraId="4663DE15" w14:textId="004B9849" w:rsidR="008368C5" w:rsidRPr="008368C5" w:rsidRDefault="008368C5" w:rsidP="0091385D">
      <w:pPr>
        <w:rPr>
          <w:rFonts w:cs="Arial"/>
        </w:rPr>
      </w:pPr>
    </w:p>
    <w:p w14:paraId="0C84F4A5" w14:textId="77777777" w:rsidR="008368C5" w:rsidRPr="008368C5" w:rsidRDefault="008368C5" w:rsidP="008368C5">
      <w:pPr>
        <w:spacing w:line="240" w:lineRule="auto"/>
        <w:rPr>
          <w:rFonts w:eastAsia="Times New Roman" w:cs="Arial"/>
          <w:lang w:eastAsia="bg-BG"/>
        </w:rPr>
      </w:pPr>
      <w:bookmarkStart w:id="2" w:name="bookmark0"/>
      <w:r w:rsidRPr="008368C5">
        <w:rPr>
          <w:rFonts w:eastAsia="Times New Roman" w:cs="Arial"/>
          <w:b/>
          <w:bCs/>
          <w:color w:val="000000"/>
          <w:u w:val="single"/>
          <w:lang w:eastAsia="bg-BG"/>
        </w:rPr>
        <w:t>Съобщаване на подозирани нежелани реакции</w:t>
      </w:r>
      <w:bookmarkEnd w:id="2"/>
    </w:p>
    <w:p w14:paraId="6F1DD506" w14:textId="63AA22A6" w:rsidR="008368C5" w:rsidRPr="008368C5" w:rsidRDefault="008368C5" w:rsidP="008368C5">
      <w:pPr>
        <w:rPr>
          <w:rFonts w:cs="Arial"/>
        </w:rPr>
      </w:pPr>
      <w:r w:rsidRPr="008368C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+ 359 2 890 34 17, уебсайт: </w:t>
      </w:r>
      <w:r w:rsidRPr="008368C5">
        <w:rPr>
          <w:rFonts w:eastAsia="Times New Roman" w:cs="Arial"/>
          <w:lang w:eastAsia="bg-BG"/>
        </w:rPr>
        <w:fldChar w:fldCharType="begin"/>
      </w:r>
      <w:r w:rsidRPr="008368C5">
        <w:rPr>
          <w:rFonts w:eastAsia="Times New Roman" w:cs="Arial"/>
          <w:lang w:eastAsia="bg-BG"/>
        </w:rPr>
        <w:instrText xml:space="preserve"> HYPERLINK "http://www.bda.bg" </w:instrText>
      </w:r>
      <w:r w:rsidRPr="008368C5">
        <w:rPr>
          <w:rFonts w:eastAsia="Times New Roman" w:cs="Arial"/>
          <w:lang w:eastAsia="bg-BG"/>
        </w:rPr>
      </w:r>
      <w:r w:rsidRPr="008368C5">
        <w:rPr>
          <w:rFonts w:eastAsia="Times New Roman" w:cs="Arial"/>
          <w:lang w:eastAsia="bg-BG"/>
        </w:rPr>
        <w:fldChar w:fldCharType="separate"/>
      </w:r>
      <w:r w:rsidRPr="008368C5">
        <w:rPr>
          <w:rFonts w:eastAsia="Times New Roman" w:cs="Arial"/>
          <w:color w:val="000000"/>
          <w:u w:val="single"/>
          <w:lang w:val="en-US"/>
        </w:rPr>
        <w:t>www.bda.bg</w:t>
      </w:r>
      <w:r w:rsidRPr="008368C5">
        <w:rPr>
          <w:rFonts w:eastAsia="Times New Roman" w:cs="Arial"/>
          <w:lang w:eastAsia="bg-BG"/>
        </w:rPr>
        <w:fldChar w:fldCharType="end"/>
      </w:r>
      <w:r w:rsidRPr="008368C5">
        <w:rPr>
          <w:rFonts w:eastAsia="Times New Roman" w:cs="Arial"/>
          <w:color w:val="000000"/>
          <w:lang w:val="en-US"/>
        </w:rPr>
        <w:t>.</w:t>
      </w:r>
    </w:p>
    <w:p w14:paraId="2E5E21B8" w14:textId="77777777" w:rsidR="008368C5" w:rsidRPr="0091385D" w:rsidRDefault="008368C5"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3AAD23B1" w:rsidR="007A2185" w:rsidRPr="008368C5" w:rsidRDefault="008368C5" w:rsidP="008368C5">
      <w:pPr>
        <w:spacing w:line="240" w:lineRule="auto"/>
        <w:rPr>
          <w:rFonts w:eastAsia="Times New Roman" w:cs="Arial"/>
          <w:sz w:val="28"/>
          <w:szCs w:val="24"/>
          <w:lang w:eastAsia="bg-BG"/>
        </w:rPr>
      </w:pPr>
      <w:r w:rsidRPr="008368C5">
        <w:rPr>
          <w:rFonts w:eastAsia="Times New Roman" w:cs="Arial"/>
          <w:color w:val="000000"/>
          <w:szCs w:val="20"/>
          <w:lang w:eastAsia="bg-BG"/>
        </w:rPr>
        <w:t>Досега няма данни за предозиране. Поради концентрацията на активното веществво и  минималната резорбция на хепарина, значими системни ефекти не могат да се очаква при случайно поглъщане на голямо количество от лекарствения продукт при малки деца може да се наблюдава гадене или дори повръщане. Препоръчително е да се предизвика повръщане или да се улесни.</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5A0ABD8D" w14:textId="77777777" w:rsidR="008368C5" w:rsidRPr="008368C5" w:rsidRDefault="008368C5" w:rsidP="008368C5">
      <w:pPr>
        <w:spacing w:line="240" w:lineRule="auto"/>
        <w:rPr>
          <w:rFonts w:eastAsia="Times New Roman" w:cs="Arial"/>
          <w:sz w:val="28"/>
          <w:szCs w:val="24"/>
          <w:lang w:eastAsia="bg-BG"/>
        </w:rPr>
      </w:pPr>
      <w:r w:rsidRPr="008368C5">
        <w:rPr>
          <w:rFonts w:eastAsia="Times New Roman" w:cs="Arial"/>
          <w:color w:val="000000"/>
          <w:szCs w:val="20"/>
          <w:u w:val="single"/>
          <w:lang w:eastAsia="bg-BG"/>
        </w:rPr>
        <w:t>Фармакотерапевтична група: антиварикозни средства, хепарини и хепариноиди за локално приложение</w:t>
      </w:r>
    </w:p>
    <w:p w14:paraId="6916C2C8" w14:textId="77777777" w:rsidR="008368C5" w:rsidRPr="008368C5" w:rsidRDefault="008368C5" w:rsidP="008368C5">
      <w:pPr>
        <w:spacing w:line="240" w:lineRule="auto"/>
        <w:rPr>
          <w:rFonts w:eastAsia="Times New Roman" w:cs="Arial"/>
          <w:sz w:val="28"/>
          <w:szCs w:val="24"/>
          <w:lang w:eastAsia="bg-BG"/>
        </w:rPr>
      </w:pPr>
      <w:r w:rsidRPr="008368C5">
        <w:rPr>
          <w:rFonts w:eastAsia="Times New Roman" w:cs="Arial"/>
          <w:color w:val="000000"/>
          <w:szCs w:val="20"/>
          <w:u w:val="single"/>
          <w:lang w:eastAsia="bg-BG"/>
        </w:rPr>
        <w:t xml:space="preserve">АТС код: </w:t>
      </w:r>
      <w:r w:rsidRPr="008368C5">
        <w:rPr>
          <w:rFonts w:eastAsia="Times New Roman" w:cs="Arial"/>
          <w:color w:val="000000"/>
          <w:szCs w:val="20"/>
          <w:lang w:eastAsia="bg-BG"/>
        </w:rPr>
        <w:t>С05ВА01</w:t>
      </w:r>
    </w:p>
    <w:p w14:paraId="5533630C" w14:textId="77777777" w:rsidR="008368C5" w:rsidRPr="008368C5" w:rsidRDefault="008368C5" w:rsidP="008368C5">
      <w:pPr>
        <w:rPr>
          <w:rFonts w:eastAsia="Times New Roman" w:cs="Arial"/>
          <w:color w:val="000000"/>
          <w:szCs w:val="20"/>
          <w:lang w:eastAsia="bg-BG"/>
        </w:rPr>
      </w:pPr>
    </w:p>
    <w:p w14:paraId="038F692B" w14:textId="6470C49B" w:rsidR="007A2185" w:rsidRPr="008368C5" w:rsidRDefault="008368C5" w:rsidP="008368C5">
      <w:pPr>
        <w:rPr>
          <w:rFonts w:cs="Arial"/>
          <w:sz w:val="24"/>
        </w:rPr>
      </w:pPr>
      <w:r w:rsidRPr="008368C5">
        <w:rPr>
          <w:rFonts w:eastAsia="Times New Roman" w:cs="Arial"/>
          <w:color w:val="000000"/>
          <w:szCs w:val="20"/>
          <w:lang w:eastAsia="bg-BG"/>
        </w:rPr>
        <w:t xml:space="preserve">Хепариноид е сулфонирана високомолекулна субстанция с антикоагулантно и липолитично действие, предизвикано чрез активиране на липопротеин липазата, разграждаща мастните киселини от липопротеините. В мястото на възпаление или травматична контузия хепариноид намалява кръвосъсирването, ускорява резорбцията на </w:t>
      </w:r>
      <w:r w:rsidRPr="008368C5">
        <w:rPr>
          <w:rFonts w:eastAsia="Times New Roman" w:cs="Arial"/>
          <w:color w:val="000000"/>
          <w:szCs w:val="20"/>
          <w:lang w:eastAsia="bg-BG"/>
        </w:rPr>
        <w:lastRenderedPageBreak/>
        <w:t>хематома, намалява образуването на отоци (намалява чувството на напрежение, облекчава болката) и проявява противовъзпалителни ефекти.</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12460C52" w14:textId="77777777" w:rsidR="008368C5" w:rsidRPr="008368C5" w:rsidRDefault="008368C5" w:rsidP="008368C5">
      <w:pPr>
        <w:pStyle w:val="Heading3"/>
        <w:rPr>
          <w:rFonts w:eastAsia="Times New Roman"/>
          <w:sz w:val="28"/>
          <w:u w:val="single"/>
          <w:lang w:eastAsia="bg-BG"/>
        </w:rPr>
      </w:pPr>
      <w:r w:rsidRPr="008368C5">
        <w:rPr>
          <w:rFonts w:eastAsia="Times New Roman"/>
          <w:u w:val="single"/>
          <w:lang w:eastAsia="bg-BG"/>
        </w:rPr>
        <w:t>Абсорбция</w:t>
      </w:r>
    </w:p>
    <w:p w14:paraId="45551830" w14:textId="24535ED0" w:rsidR="007A2185" w:rsidRPr="008368C5" w:rsidRDefault="008368C5" w:rsidP="008368C5">
      <w:pPr>
        <w:rPr>
          <w:rFonts w:cs="Arial"/>
          <w:sz w:val="24"/>
        </w:rPr>
      </w:pPr>
      <w:r w:rsidRPr="008368C5">
        <w:rPr>
          <w:rFonts w:eastAsia="Times New Roman" w:cs="Arial"/>
          <w:color w:val="000000"/>
          <w:szCs w:val="20"/>
          <w:lang w:eastAsia="bg-BG"/>
        </w:rPr>
        <w:t>Данните за абсорбцията при хора показват големи индивидуални различия. По-високият антикоагулантен ефект е очевиден само в областта, където хепариноид е бил приложен. Когато се прилагат трикратни и по-високи концентрации на хепариноид върху по-големи участъци на кожата е било установено удължаване на времето на кръвосъсирване.</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7B28068E" w:rsidR="007A2185" w:rsidRPr="008368C5" w:rsidRDefault="008368C5" w:rsidP="0091385D">
      <w:pPr>
        <w:rPr>
          <w:rFonts w:cs="Arial"/>
          <w:sz w:val="24"/>
        </w:rPr>
      </w:pPr>
      <w:r w:rsidRPr="008368C5">
        <w:rPr>
          <w:rFonts w:cs="Arial"/>
          <w:szCs w:val="20"/>
        </w:rPr>
        <w:t>Няма налични данни. Безопасността на лекарствения продукт е доказана чрез многогодишната клинична практика.</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D6C8D05" w14:textId="77777777" w:rsidR="008368C5" w:rsidRPr="008368C5" w:rsidRDefault="008368C5" w:rsidP="008368C5">
      <w:pPr>
        <w:spacing w:line="240" w:lineRule="auto"/>
        <w:rPr>
          <w:rFonts w:eastAsia="Times New Roman" w:cs="Arial"/>
          <w:sz w:val="28"/>
          <w:szCs w:val="24"/>
          <w:lang w:val="en-US" w:eastAsia="bg-BG"/>
        </w:rPr>
      </w:pPr>
      <w:proofErr w:type="spellStart"/>
      <w:r w:rsidRPr="008368C5">
        <w:rPr>
          <w:rFonts w:eastAsia="Times New Roman" w:cs="Arial"/>
          <w:color w:val="000000"/>
          <w:szCs w:val="20"/>
          <w:lang w:val="en-US"/>
        </w:rPr>
        <w:t>Zentiva</w:t>
      </w:r>
      <w:proofErr w:type="spellEnd"/>
      <w:r w:rsidRPr="008368C5">
        <w:rPr>
          <w:rFonts w:eastAsia="Times New Roman" w:cs="Arial"/>
          <w:color w:val="000000"/>
          <w:szCs w:val="20"/>
          <w:lang w:val="en-US"/>
        </w:rPr>
        <w:t xml:space="preserve"> </w:t>
      </w:r>
      <w:proofErr w:type="spellStart"/>
      <w:r w:rsidRPr="008368C5">
        <w:rPr>
          <w:rFonts w:eastAsia="Times New Roman" w:cs="Arial"/>
          <w:color w:val="000000"/>
          <w:szCs w:val="20"/>
          <w:lang w:val="en-US"/>
        </w:rPr>
        <w:t>k.s</w:t>
      </w:r>
      <w:proofErr w:type="spellEnd"/>
      <w:r w:rsidRPr="008368C5">
        <w:rPr>
          <w:rFonts w:eastAsia="Times New Roman" w:cs="Arial"/>
          <w:color w:val="000000"/>
          <w:szCs w:val="20"/>
          <w:lang w:val="en-US"/>
        </w:rPr>
        <w:t>.</w:t>
      </w:r>
    </w:p>
    <w:p w14:paraId="21816E49" w14:textId="77777777" w:rsidR="008368C5" w:rsidRPr="008368C5" w:rsidRDefault="008368C5" w:rsidP="008368C5">
      <w:pPr>
        <w:rPr>
          <w:rFonts w:eastAsia="Times New Roman" w:cs="Arial"/>
          <w:color w:val="000000"/>
          <w:szCs w:val="20"/>
          <w:lang w:eastAsia="bg-BG"/>
        </w:rPr>
      </w:pPr>
      <w:r w:rsidRPr="008368C5">
        <w:rPr>
          <w:rFonts w:eastAsia="Times New Roman" w:cs="Arial"/>
          <w:color w:val="000000"/>
          <w:szCs w:val="20"/>
          <w:lang w:val="en-US"/>
        </w:rPr>
        <w:t xml:space="preserve">U </w:t>
      </w:r>
      <w:proofErr w:type="spellStart"/>
      <w:r w:rsidRPr="008368C5">
        <w:rPr>
          <w:rFonts w:eastAsia="Times New Roman" w:cs="Arial"/>
          <w:color w:val="000000"/>
          <w:szCs w:val="20"/>
          <w:lang w:val="en-US"/>
        </w:rPr>
        <w:t>kabelovny</w:t>
      </w:r>
      <w:proofErr w:type="spellEnd"/>
      <w:r w:rsidRPr="008368C5">
        <w:rPr>
          <w:rFonts w:eastAsia="Times New Roman" w:cs="Arial"/>
          <w:color w:val="000000"/>
          <w:szCs w:val="20"/>
          <w:lang w:val="en-US"/>
        </w:rPr>
        <w:t xml:space="preserve"> </w:t>
      </w:r>
      <w:r w:rsidRPr="008368C5">
        <w:rPr>
          <w:rFonts w:eastAsia="Times New Roman" w:cs="Arial"/>
          <w:color w:val="000000"/>
          <w:szCs w:val="20"/>
          <w:lang w:eastAsia="bg-BG"/>
        </w:rPr>
        <w:t xml:space="preserve">130, </w:t>
      </w:r>
    </w:p>
    <w:p w14:paraId="22744F56" w14:textId="63146C09" w:rsidR="008368C5" w:rsidRPr="008368C5" w:rsidRDefault="008368C5" w:rsidP="008368C5">
      <w:pPr>
        <w:rPr>
          <w:rFonts w:eastAsia="Times New Roman" w:cs="Arial"/>
          <w:color w:val="000000"/>
          <w:szCs w:val="20"/>
          <w:lang w:val="en-US"/>
        </w:rPr>
      </w:pPr>
      <w:proofErr w:type="spellStart"/>
      <w:r w:rsidRPr="008368C5">
        <w:rPr>
          <w:rFonts w:eastAsia="Times New Roman" w:cs="Arial"/>
          <w:color w:val="000000"/>
          <w:szCs w:val="20"/>
          <w:lang w:val="en-US"/>
        </w:rPr>
        <w:t>Dolni</w:t>
      </w:r>
      <w:proofErr w:type="spellEnd"/>
      <w:r w:rsidRPr="008368C5">
        <w:rPr>
          <w:rFonts w:eastAsia="Times New Roman" w:cs="Arial"/>
          <w:color w:val="000000"/>
          <w:szCs w:val="20"/>
          <w:lang w:val="en-US"/>
        </w:rPr>
        <w:t xml:space="preserve"> </w:t>
      </w:r>
      <w:proofErr w:type="spellStart"/>
      <w:r w:rsidRPr="008368C5">
        <w:rPr>
          <w:rFonts w:eastAsia="Times New Roman" w:cs="Arial"/>
          <w:color w:val="000000"/>
          <w:szCs w:val="20"/>
          <w:lang w:val="en-US"/>
        </w:rPr>
        <w:t>Mecholupy</w:t>
      </w:r>
      <w:proofErr w:type="spellEnd"/>
      <w:r w:rsidRPr="008368C5">
        <w:rPr>
          <w:rFonts w:eastAsia="Times New Roman" w:cs="Arial"/>
          <w:color w:val="000000"/>
          <w:szCs w:val="20"/>
          <w:lang w:val="en-US"/>
        </w:rPr>
        <w:t xml:space="preserve"> </w:t>
      </w:r>
    </w:p>
    <w:p w14:paraId="319BCD56" w14:textId="6613D8E2" w:rsidR="008368C5" w:rsidRPr="008368C5" w:rsidRDefault="008368C5" w:rsidP="008368C5">
      <w:pPr>
        <w:rPr>
          <w:rFonts w:eastAsia="Times New Roman" w:cs="Arial"/>
          <w:color w:val="000000"/>
          <w:szCs w:val="20"/>
          <w:lang w:val="en-US"/>
        </w:rPr>
      </w:pPr>
      <w:r w:rsidRPr="008368C5">
        <w:rPr>
          <w:rFonts w:eastAsia="Times New Roman" w:cs="Arial"/>
          <w:color w:val="000000"/>
          <w:szCs w:val="20"/>
          <w:lang w:val="en-US"/>
        </w:rPr>
        <w:t xml:space="preserve">102 37, Prague 10 </w:t>
      </w:r>
    </w:p>
    <w:p w14:paraId="4F02909F" w14:textId="17F1C83F" w:rsidR="007A2185" w:rsidRPr="008368C5" w:rsidRDefault="008368C5" w:rsidP="008368C5">
      <w:pPr>
        <w:rPr>
          <w:rFonts w:cs="Arial"/>
          <w:sz w:val="24"/>
        </w:rPr>
      </w:pPr>
      <w:r w:rsidRPr="008368C5">
        <w:rPr>
          <w:rFonts w:eastAsia="Times New Roman" w:cs="Arial"/>
          <w:color w:val="000000"/>
          <w:szCs w:val="20"/>
          <w:lang w:eastAsia="bg-BG"/>
        </w:rPr>
        <w:t>Чешка република</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3AD70406" w:rsidR="007A2185" w:rsidRPr="008368C5" w:rsidRDefault="008368C5" w:rsidP="0091385D">
      <w:pPr>
        <w:rPr>
          <w:rFonts w:cs="Arial"/>
          <w:sz w:val="24"/>
        </w:rPr>
      </w:pPr>
      <w:r w:rsidRPr="008368C5">
        <w:rPr>
          <w:rFonts w:cs="Arial"/>
          <w:szCs w:val="20"/>
        </w:rPr>
        <w:t>20000241</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30750CC" w14:textId="77777777" w:rsidR="008368C5" w:rsidRPr="008368C5" w:rsidRDefault="008368C5" w:rsidP="008368C5">
      <w:pPr>
        <w:spacing w:line="240" w:lineRule="auto"/>
        <w:rPr>
          <w:rFonts w:eastAsia="Times New Roman" w:cs="Arial"/>
          <w:sz w:val="28"/>
          <w:szCs w:val="24"/>
          <w:lang w:eastAsia="bg-BG"/>
        </w:rPr>
      </w:pPr>
      <w:r w:rsidRPr="008368C5">
        <w:rPr>
          <w:rFonts w:eastAsia="Times New Roman" w:cs="Arial"/>
          <w:color w:val="000000"/>
          <w:szCs w:val="20"/>
          <w:lang w:eastAsia="bg-BG"/>
        </w:rPr>
        <w:t>Дата на първо разрешаване: 06.06,2000 г.</w:t>
      </w:r>
    </w:p>
    <w:p w14:paraId="6C57D8B6" w14:textId="2AB39414" w:rsidR="007A2185" w:rsidRPr="008368C5" w:rsidRDefault="008368C5" w:rsidP="008368C5">
      <w:pPr>
        <w:rPr>
          <w:rFonts w:cs="Arial"/>
          <w:sz w:val="24"/>
        </w:rPr>
      </w:pPr>
      <w:r w:rsidRPr="008368C5">
        <w:rPr>
          <w:rFonts w:eastAsia="Times New Roman" w:cs="Arial"/>
          <w:color w:val="000000"/>
          <w:szCs w:val="20"/>
          <w:lang w:eastAsia="bg-BG"/>
        </w:rPr>
        <w:t>Дата на последно подновяване: 20.12.2010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253ABEA" w:rsidR="007A2185" w:rsidRPr="008368C5" w:rsidRDefault="008368C5" w:rsidP="0091385D">
      <w:pPr>
        <w:rPr>
          <w:rFonts w:cs="Arial"/>
          <w:sz w:val="24"/>
        </w:rPr>
      </w:pPr>
      <w:r w:rsidRPr="008368C5">
        <w:rPr>
          <w:rFonts w:cs="Arial"/>
          <w:szCs w:val="20"/>
        </w:rPr>
        <w:t>22.12.2021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368C5"/>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2023-03-01T00:54:00Z</dcterms:created>
  <dcterms:modified xsi:type="dcterms:W3CDTF">2023-03-01T00:54:00Z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